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8E9CE" w14:textId="0D0D4809" w:rsidR="00263DBC" w:rsidRDefault="002F39BD">
      <w:r>
        <w:rPr>
          <w:noProof/>
        </w:rPr>
        <w:drawing>
          <wp:anchor distT="0" distB="0" distL="114300" distR="114300" simplePos="0" relativeHeight="251658240" behindDoc="0" locked="0" layoutInCell="1" allowOverlap="1" wp14:anchorId="2A79B356" wp14:editId="46BE6058">
            <wp:simplePos x="0" y="0"/>
            <wp:positionH relativeFrom="page">
              <wp:align>right</wp:align>
            </wp:positionH>
            <wp:positionV relativeFrom="paragraph">
              <wp:posOffset>13439</wp:posOffset>
            </wp:positionV>
            <wp:extent cx="7545439" cy="7901731"/>
            <wp:effectExtent l="0" t="0" r="0" b="4445"/>
            <wp:wrapNone/>
            <wp:docPr id="1983621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510" b="14445"/>
                    <a:stretch>
                      <a:fillRect/>
                    </a:stretch>
                  </pic:blipFill>
                  <pic:spPr bwMode="auto">
                    <a:xfrm>
                      <a:off x="0" y="0"/>
                      <a:ext cx="7545439" cy="790173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A375EE" w14:textId="280007BF" w:rsidR="00263DBC" w:rsidRDefault="002F39BD">
      <w:r>
        <w:rPr>
          <w:rFonts w:ascii="Noto Serif Light" w:hAnsi="Noto Serif Light" w:cs="Noto Serif Light"/>
          <w:b/>
          <w:bCs/>
          <w:noProof/>
        </w:rPr>
        <w:drawing>
          <wp:anchor distT="0" distB="0" distL="114300" distR="114300" simplePos="0" relativeHeight="251691008" behindDoc="0" locked="0" layoutInCell="1" allowOverlap="1" wp14:anchorId="0CC742A8" wp14:editId="63BFBB01">
            <wp:simplePos x="0" y="0"/>
            <wp:positionH relativeFrom="margin">
              <wp:align>center</wp:align>
            </wp:positionH>
            <wp:positionV relativeFrom="paragraph">
              <wp:posOffset>7969469</wp:posOffset>
            </wp:positionV>
            <wp:extent cx="2497540" cy="744097"/>
            <wp:effectExtent l="0" t="0" r="0" b="0"/>
            <wp:wrapNone/>
            <wp:docPr id="18077279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856" t="20508" r="51209" b="25704"/>
                    <a:stretch>
                      <a:fillRect/>
                    </a:stretch>
                  </pic:blipFill>
                  <pic:spPr bwMode="auto">
                    <a:xfrm>
                      <a:off x="0" y="0"/>
                      <a:ext cx="2497540" cy="74409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63DBC">
        <w:br w:type="page"/>
      </w:r>
    </w:p>
    <w:p w14:paraId="45047C3C" w14:textId="40CB57E7" w:rsidR="00C51AAF" w:rsidRDefault="00263DBC" w:rsidP="00263DBC">
      <w:pPr>
        <w:pStyle w:val="ABHeading"/>
      </w:pPr>
      <w:bookmarkStart w:id="0" w:name="_Toc238127998"/>
      <w:bookmarkStart w:id="1" w:name="_Toc238128242"/>
      <w:bookmarkStart w:id="2" w:name="_Toc238129272"/>
      <w:r w:rsidRPr="00263DBC">
        <w:lastRenderedPageBreak/>
        <w:t>Contents</w:t>
      </w:r>
      <w:bookmarkEnd w:id="0"/>
      <w:bookmarkEnd w:id="1"/>
      <w:bookmarkEnd w:id="2"/>
    </w:p>
    <w:p w14:paraId="08A38ED6" w14:textId="6A9BF196" w:rsidR="005E6A50" w:rsidRDefault="005E6A50" w:rsidP="00D34255">
      <w:pPr>
        <w:pStyle w:val="ABParagraph"/>
        <w:rPr>
          <w:rFonts w:asciiTheme="minorHAnsi" w:eastAsiaTheme="minorEastAsia" w:hAnsiTheme="minorHAnsi" w:cstheme="minorBidi"/>
          <w:bCs/>
          <w:noProof/>
          <w:lang w:eastAsia="en-GB"/>
        </w:rPr>
      </w:pPr>
      <w:r>
        <w:fldChar w:fldCharType="begin"/>
      </w:r>
      <w:r>
        <w:instrText xml:space="preserve"> TOC \o "1-2" \h \z \t "AB Contents Subhead,2" </w:instrText>
      </w:r>
      <w:r>
        <w:fldChar w:fldCharType="separate"/>
      </w:r>
    </w:p>
    <w:p w14:paraId="05AB6244" w14:textId="0007874E" w:rsidR="005E6A50" w:rsidRDefault="005E6A50" w:rsidP="005E6A50">
      <w:pPr>
        <w:pStyle w:val="TOC1"/>
        <w:tabs>
          <w:tab w:val="right" w:pos="9016"/>
        </w:tabs>
        <w:spacing w:line="360" w:lineRule="auto"/>
        <w:rPr>
          <w:rFonts w:asciiTheme="minorHAnsi" w:eastAsiaTheme="minorEastAsia" w:hAnsiTheme="minorHAnsi" w:cstheme="minorBidi"/>
          <w:bCs w:val="0"/>
          <w:noProof/>
          <w:sz w:val="24"/>
          <w:szCs w:val="24"/>
          <w:lang w:eastAsia="en-GB"/>
        </w:rPr>
      </w:pPr>
      <w:hyperlink w:anchor="_Toc238129273" w:history="1">
        <w:r w:rsidRPr="00717049">
          <w:rPr>
            <w:rStyle w:val="Hyperlink"/>
            <w:noProof/>
          </w:rPr>
          <w:t>Welcome</w:t>
        </w:r>
        <w:r>
          <w:rPr>
            <w:noProof/>
            <w:webHidden/>
          </w:rPr>
          <w:tab/>
        </w:r>
        <w:r>
          <w:rPr>
            <w:noProof/>
            <w:webHidden/>
          </w:rPr>
          <w:fldChar w:fldCharType="begin"/>
        </w:r>
        <w:r>
          <w:rPr>
            <w:noProof/>
            <w:webHidden/>
          </w:rPr>
          <w:instrText xml:space="preserve"> PAGEREF _Toc238129273 \h </w:instrText>
        </w:r>
        <w:r>
          <w:rPr>
            <w:noProof/>
            <w:webHidden/>
          </w:rPr>
        </w:r>
        <w:r>
          <w:rPr>
            <w:noProof/>
            <w:webHidden/>
          </w:rPr>
          <w:fldChar w:fldCharType="separate"/>
        </w:r>
        <w:r w:rsidR="00C47DA0">
          <w:rPr>
            <w:noProof/>
            <w:webHidden/>
          </w:rPr>
          <w:t>3</w:t>
        </w:r>
        <w:r>
          <w:rPr>
            <w:noProof/>
            <w:webHidden/>
          </w:rPr>
          <w:fldChar w:fldCharType="end"/>
        </w:r>
      </w:hyperlink>
    </w:p>
    <w:p w14:paraId="1AE578DD" w14:textId="42AFACDF" w:rsidR="005E6A50" w:rsidRDefault="005E6A50" w:rsidP="005E6A50">
      <w:pPr>
        <w:pStyle w:val="TOC1"/>
        <w:tabs>
          <w:tab w:val="right" w:pos="9016"/>
        </w:tabs>
        <w:spacing w:line="360" w:lineRule="auto"/>
        <w:rPr>
          <w:rFonts w:asciiTheme="minorHAnsi" w:eastAsiaTheme="minorEastAsia" w:hAnsiTheme="minorHAnsi" w:cstheme="minorBidi"/>
          <w:bCs w:val="0"/>
          <w:noProof/>
          <w:sz w:val="24"/>
          <w:szCs w:val="24"/>
          <w:lang w:eastAsia="en-GB"/>
        </w:rPr>
      </w:pPr>
      <w:hyperlink w:anchor="_Toc238129274" w:history="1">
        <w:r w:rsidRPr="00717049">
          <w:rPr>
            <w:rStyle w:val="Hyperlink"/>
            <w:noProof/>
          </w:rPr>
          <w:t>Organising Committee</w:t>
        </w:r>
        <w:r>
          <w:rPr>
            <w:noProof/>
            <w:webHidden/>
          </w:rPr>
          <w:tab/>
        </w:r>
        <w:r>
          <w:rPr>
            <w:noProof/>
            <w:webHidden/>
          </w:rPr>
          <w:fldChar w:fldCharType="begin"/>
        </w:r>
        <w:r>
          <w:rPr>
            <w:noProof/>
            <w:webHidden/>
          </w:rPr>
          <w:instrText xml:space="preserve"> PAGEREF _Toc238129274 \h </w:instrText>
        </w:r>
        <w:r>
          <w:rPr>
            <w:noProof/>
            <w:webHidden/>
          </w:rPr>
        </w:r>
        <w:r>
          <w:rPr>
            <w:noProof/>
            <w:webHidden/>
          </w:rPr>
          <w:fldChar w:fldCharType="separate"/>
        </w:r>
        <w:r w:rsidR="00C47DA0">
          <w:rPr>
            <w:noProof/>
            <w:webHidden/>
          </w:rPr>
          <w:t>5</w:t>
        </w:r>
        <w:r>
          <w:rPr>
            <w:noProof/>
            <w:webHidden/>
          </w:rPr>
          <w:fldChar w:fldCharType="end"/>
        </w:r>
      </w:hyperlink>
    </w:p>
    <w:p w14:paraId="705A6590" w14:textId="020A3E0E" w:rsidR="005E6A50" w:rsidRDefault="005E6A50" w:rsidP="005E6A50">
      <w:pPr>
        <w:pStyle w:val="TOC1"/>
        <w:tabs>
          <w:tab w:val="right" w:pos="9016"/>
        </w:tabs>
        <w:spacing w:line="360" w:lineRule="auto"/>
        <w:rPr>
          <w:rFonts w:asciiTheme="minorHAnsi" w:eastAsiaTheme="minorEastAsia" w:hAnsiTheme="minorHAnsi" w:cstheme="minorBidi"/>
          <w:bCs w:val="0"/>
          <w:noProof/>
          <w:sz w:val="24"/>
          <w:szCs w:val="24"/>
          <w:lang w:eastAsia="en-GB"/>
        </w:rPr>
      </w:pPr>
      <w:hyperlink w:anchor="_Toc238129275" w:history="1">
        <w:r w:rsidRPr="00717049">
          <w:rPr>
            <w:rStyle w:val="Hyperlink"/>
            <w:noProof/>
          </w:rPr>
          <w:t>Key Information</w:t>
        </w:r>
        <w:r>
          <w:rPr>
            <w:noProof/>
            <w:webHidden/>
          </w:rPr>
          <w:tab/>
        </w:r>
        <w:r>
          <w:rPr>
            <w:noProof/>
            <w:webHidden/>
          </w:rPr>
          <w:fldChar w:fldCharType="begin"/>
        </w:r>
        <w:r>
          <w:rPr>
            <w:noProof/>
            <w:webHidden/>
          </w:rPr>
          <w:instrText xml:space="preserve"> PAGEREF _Toc238129275 \h </w:instrText>
        </w:r>
        <w:r>
          <w:rPr>
            <w:noProof/>
            <w:webHidden/>
          </w:rPr>
        </w:r>
        <w:r>
          <w:rPr>
            <w:noProof/>
            <w:webHidden/>
          </w:rPr>
          <w:fldChar w:fldCharType="separate"/>
        </w:r>
        <w:r w:rsidR="00C47DA0">
          <w:rPr>
            <w:noProof/>
            <w:webHidden/>
          </w:rPr>
          <w:t>6</w:t>
        </w:r>
        <w:r>
          <w:rPr>
            <w:noProof/>
            <w:webHidden/>
          </w:rPr>
          <w:fldChar w:fldCharType="end"/>
        </w:r>
      </w:hyperlink>
    </w:p>
    <w:p w14:paraId="56F736C1" w14:textId="38EAA69C" w:rsidR="005E6A50" w:rsidRDefault="005E6A50" w:rsidP="005E6A50">
      <w:pPr>
        <w:pStyle w:val="TOC1"/>
        <w:tabs>
          <w:tab w:val="right" w:pos="9016"/>
        </w:tabs>
        <w:spacing w:line="360" w:lineRule="auto"/>
        <w:rPr>
          <w:rFonts w:asciiTheme="minorHAnsi" w:eastAsiaTheme="minorEastAsia" w:hAnsiTheme="minorHAnsi" w:cstheme="minorBidi"/>
          <w:bCs w:val="0"/>
          <w:noProof/>
          <w:sz w:val="24"/>
          <w:szCs w:val="24"/>
          <w:lang w:eastAsia="en-GB"/>
        </w:rPr>
      </w:pPr>
      <w:hyperlink w:anchor="_Toc238129276" w:history="1">
        <w:r w:rsidRPr="00717049">
          <w:rPr>
            <w:rStyle w:val="Hyperlink"/>
            <w:noProof/>
          </w:rPr>
          <w:t>Campus Map</w:t>
        </w:r>
        <w:r>
          <w:rPr>
            <w:noProof/>
            <w:webHidden/>
          </w:rPr>
          <w:tab/>
        </w:r>
        <w:r>
          <w:rPr>
            <w:noProof/>
            <w:webHidden/>
          </w:rPr>
          <w:fldChar w:fldCharType="begin"/>
        </w:r>
        <w:r>
          <w:rPr>
            <w:noProof/>
            <w:webHidden/>
          </w:rPr>
          <w:instrText xml:space="preserve"> PAGEREF _Toc238129276 \h </w:instrText>
        </w:r>
        <w:r>
          <w:rPr>
            <w:noProof/>
            <w:webHidden/>
          </w:rPr>
        </w:r>
        <w:r>
          <w:rPr>
            <w:noProof/>
            <w:webHidden/>
          </w:rPr>
          <w:fldChar w:fldCharType="separate"/>
        </w:r>
        <w:r w:rsidR="00C47DA0">
          <w:rPr>
            <w:noProof/>
            <w:webHidden/>
          </w:rPr>
          <w:t>9</w:t>
        </w:r>
        <w:r>
          <w:rPr>
            <w:noProof/>
            <w:webHidden/>
          </w:rPr>
          <w:fldChar w:fldCharType="end"/>
        </w:r>
      </w:hyperlink>
    </w:p>
    <w:p w14:paraId="64FC6440" w14:textId="73479330" w:rsidR="005E6A50" w:rsidRDefault="005E6A50" w:rsidP="005E6A50">
      <w:pPr>
        <w:pStyle w:val="TOC1"/>
        <w:tabs>
          <w:tab w:val="right" w:pos="9016"/>
        </w:tabs>
        <w:spacing w:line="360" w:lineRule="auto"/>
        <w:rPr>
          <w:rFonts w:asciiTheme="minorHAnsi" w:eastAsiaTheme="minorEastAsia" w:hAnsiTheme="minorHAnsi" w:cstheme="minorBidi"/>
          <w:bCs w:val="0"/>
          <w:noProof/>
          <w:sz w:val="24"/>
          <w:szCs w:val="24"/>
          <w:lang w:eastAsia="en-GB"/>
        </w:rPr>
      </w:pPr>
      <w:hyperlink w:anchor="_Toc238129277" w:history="1">
        <w:r w:rsidRPr="00717049">
          <w:rPr>
            <w:rStyle w:val="Hyperlink"/>
            <w:noProof/>
          </w:rPr>
          <w:t>Travel Information</w:t>
        </w:r>
        <w:r>
          <w:rPr>
            <w:noProof/>
            <w:webHidden/>
          </w:rPr>
          <w:tab/>
        </w:r>
        <w:r>
          <w:rPr>
            <w:noProof/>
            <w:webHidden/>
          </w:rPr>
          <w:fldChar w:fldCharType="begin"/>
        </w:r>
        <w:r>
          <w:rPr>
            <w:noProof/>
            <w:webHidden/>
          </w:rPr>
          <w:instrText xml:space="preserve"> PAGEREF _Toc238129277 \h </w:instrText>
        </w:r>
        <w:r>
          <w:rPr>
            <w:noProof/>
            <w:webHidden/>
          </w:rPr>
        </w:r>
        <w:r>
          <w:rPr>
            <w:noProof/>
            <w:webHidden/>
          </w:rPr>
          <w:fldChar w:fldCharType="separate"/>
        </w:r>
        <w:r w:rsidR="00C47DA0">
          <w:rPr>
            <w:noProof/>
            <w:webHidden/>
          </w:rPr>
          <w:t>10</w:t>
        </w:r>
        <w:r>
          <w:rPr>
            <w:noProof/>
            <w:webHidden/>
          </w:rPr>
          <w:fldChar w:fldCharType="end"/>
        </w:r>
      </w:hyperlink>
    </w:p>
    <w:p w14:paraId="419ED8CC" w14:textId="5981CA4F" w:rsidR="005E6A50" w:rsidRDefault="005E6A50" w:rsidP="005E6A50">
      <w:pPr>
        <w:pStyle w:val="TOC1"/>
        <w:tabs>
          <w:tab w:val="right" w:pos="9016"/>
        </w:tabs>
        <w:spacing w:line="360" w:lineRule="auto"/>
        <w:rPr>
          <w:rFonts w:asciiTheme="minorHAnsi" w:eastAsiaTheme="minorEastAsia" w:hAnsiTheme="minorHAnsi" w:cstheme="minorBidi"/>
          <w:bCs w:val="0"/>
          <w:noProof/>
          <w:sz w:val="24"/>
          <w:szCs w:val="24"/>
          <w:lang w:eastAsia="en-GB"/>
        </w:rPr>
      </w:pPr>
      <w:hyperlink w:anchor="_Toc238129278" w:history="1">
        <w:r w:rsidRPr="00717049">
          <w:rPr>
            <w:rStyle w:val="Hyperlink"/>
            <w:noProof/>
          </w:rPr>
          <w:t>What to do on Campus</w:t>
        </w:r>
        <w:r>
          <w:rPr>
            <w:noProof/>
            <w:webHidden/>
          </w:rPr>
          <w:tab/>
        </w:r>
        <w:r>
          <w:rPr>
            <w:noProof/>
            <w:webHidden/>
          </w:rPr>
          <w:fldChar w:fldCharType="begin"/>
        </w:r>
        <w:r>
          <w:rPr>
            <w:noProof/>
            <w:webHidden/>
          </w:rPr>
          <w:instrText xml:space="preserve"> PAGEREF _Toc238129278 \h </w:instrText>
        </w:r>
        <w:r>
          <w:rPr>
            <w:noProof/>
            <w:webHidden/>
          </w:rPr>
        </w:r>
        <w:r>
          <w:rPr>
            <w:noProof/>
            <w:webHidden/>
          </w:rPr>
          <w:fldChar w:fldCharType="separate"/>
        </w:r>
        <w:r w:rsidR="00C47DA0">
          <w:rPr>
            <w:noProof/>
            <w:webHidden/>
          </w:rPr>
          <w:t>12</w:t>
        </w:r>
        <w:r>
          <w:rPr>
            <w:noProof/>
            <w:webHidden/>
          </w:rPr>
          <w:fldChar w:fldCharType="end"/>
        </w:r>
      </w:hyperlink>
    </w:p>
    <w:p w14:paraId="05EFD305" w14:textId="266AC723" w:rsidR="005E6A50" w:rsidRDefault="005E6A50" w:rsidP="005E6A50">
      <w:pPr>
        <w:pStyle w:val="TOC1"/>
        <w:tabs>
          <w:tab w:val="right" w:pos="9016"/>
        </w:tabs>
        <w:spacing w:line="360" w:lineRule="auto"/>
        <w:rPr>
          <w:rFonts w:asciiTheme="minorHAnsi" w:eastAsiaTheme="minorEastAsia" w:hAnsiTheme="minorHAnsi" w:cstheme="minorBidi"/>
          <w:bCs w:val="0"/>
          <w:noProof/>
          <w:sz w:val="24"/>
          <w:szCs w:val="24"/>
          <w:lang w:eastAsia="en-GB"/>
        </w:rPr>
      </w:pPr>
      <w:hyperlink w:anchor="_Toc238129279" w:history="1">
        <w:r w:rsidRPr="00717049">
          <w:rPr>
            <w:rStyle w:val="Hyperlink"/>
            <w:noProof/>
          </w:rPr>
          <w:t>Conference Programme</w:t>
        </w:r>
        <w:r>
          <w:rPr>
            <w:noProof/>
            <w:webHidden/>
          </w:rPr>
          <w:tab/>
        </w:r>
        <w:r>
          <w:rPr>
            <w:noProof/>
            <w:webHidden/>
          </w:rPr>
          <w:fldChar w:fldCharType="begin"/>
        </w:r>
        <w:r>
          <w:rPr>
            <w:noProof/>
            <w:webHidden/>
          </w:rPr>
          <w:instrText xml:space="preserve"> PAGEREF _Toc238129279 \h </w:instrText>
        </w:r>
        <w:r>
          <w:rPr>
            <w:noProof/>
            <w:webHidden/>
          </w:rPr>
        </w:r>
        <w:r>
          <w:rPr>
            <w:noProof/>
            <w:webHidden/>
          </w:rPr>
          <w:fldChar w:fldCharType="separate"/>
        </w:r>
        <w:r w:rsidR="00C47DA0">
          <w:rPr>
            <w:noProof/>
            <w:webHidden/>
          </w:rPr>
          <w:t>14</w:t>
        </w:r>
        <w:r>
          <w:rPr>
            <w:noProof/>
            <w:webHidden/>
          </w:rPr>
          <w:fldChar w:fldCharType="end"/>
        </w:r>
      </w:hyperlink>
    </w:p>
    <w:p w14:paraId="5C7F102D" w14:textId="52A651F6" w:rsidR="005E6A50" w:rsidRDefault="005E6A50" w:rsidP="005E6A50">
      <w:pPr>
        <w:pStyle w:val="TOC1"/>
        <w:tabs>
          <w:tab w:val="right" w:pos="9016"/>
        </w:tabs>
        <w:spacing w:line="360" w:lineRule="auto"/>
        <w:rPr>
          <w:rFonts w:asciiTheme="minorHAnsi" w:eastAsiaTheme="minorEastAsia" w:hAnsiTheme="minorHAnsi" w:cstheme="minorBidi"/>
          <w:bCs w:val="0"/>
          <w:noProof/>
          <w:sz w:val="24"/>
          <w:szCs w:val="24"/>
          <w:lang w:eastAsia="en-GB"/>
        </w:rPr>
      </w:pPr>
      <w:hyperlink w:anchor="_Toc238129280" w:history="1">
        <w:r w:rsidRPr="00717049">
          <w:rPr>
            <w:rStyle w:val="Hyperlink"/>
            <w:noProof/>
          </w:rPr>
          <w:t>Invited Speakers</w:t>
        </w:r>
        <w:r>
          <w:rPr>
            <w:noProof/>
            <w:webHidden/>
          </w:rPr>
          <w:tab/>
        </w:r>
        <w:r>
          <w:rPr>
            <w:noProof/>
            <w:webHidden/>
          </w:rPr>
          <w:fldChar w:fldCharType="begin"/>
        </w:r>
        <w:r>
          <w:rPr>
            <w:noProof/>
            <w:webHidden/>
          </w:rPr>
          <w:instrText xml:space="preserve"> PAGEREF _Toc238129280 \h </w:instrText>
        </w:r>
        <w:r>
          <w:rPr>
            <w:noProof/>
            <w:webHidden/>
          </w:rPr>
        </w:r>
        <w:r>
          <w:rPr>
            <w:noProof/>
            <w:webHidden/>
          </w:rPr>
          <w:fldChar w:fldCharType="separate"/>
        </w:r>
        <w:r w:rsidR="00C47DA0">
          <w:rPr>
            <w:noProof/>
            <w:webHidden/>
          </w:rPr>
          <w:t>26</w:t>
        </w:r>
        <w:r>
          <w:rPr>
            <w:noProof/>
            <w:webHidden/>
          </w:rPr>
          <w:fldChar w:fldCharType="end"/>
        </w:r>
      </w:hyperlink>
    </w:p>
    <w:p w14:paraId="119C7261" w14:textId="341E3F96" w:rsidR="005E6A50" w:rsidRDefault="005E6A50" w:rsidP="005E6A50">
      <w:pPr>
        <w:pStyle w:val="TOC2"/>
        <w:spacing w:line="360" w:lineRule="auto"/>
        <w:rPr>
          <w:rFonts w:asciiTheme="minorHAnsi" w:eastAsiaTheme="minorEastAsia" w:hAnsiTheme="minorHAnsi" w:cstheme="minorBidi"/>
          <w:i w:val="0"/>
          <w:iCs w:val="0"/>
          <w:sz w:val="24"/>
          <w:szCs w:val="24"/>
          <w:lang w:eastAsia="en-GB"/>
        </w:rPr>
      </w:pPr>
      <w:hyperlink w:anchor="_Toc238129281" w:history="1">
        <w:r w:rsidRPr="00717049">
          <w:rPr>
            <w:rStyle w:val="Hyperlink"/>
          </w:rPr>
          <w:t>Keynote Speakers</w:t>
        </w:r>
        <w:r>
          <w:rPr>
            <w:webHidden/>
          </w:rPr>
          <w:tab/>
        </w:r>
        <w:r w:rsidRPr="005E6A50">
          <w:rPr>
            <w:i w:val="0"/>
            <w:iCs w:val="0"/>
            <w:webHidden/>
          </w:rPr>
          <w:fldChar w:fldCharType="begin"/>
        </w:r>
        <w:r w:rsidRPr="005E6A50">
          <w:rPr>
            <w:i w:val="0"/>
            <w:iCs w:val="0"/>
            <w:webHidden/>
          </w:rPr>
          <w:instrText xml:space="preserve"> PAGEREF _Toc238129281 \h </w:instrText>
        </w:r>
        <w:r w:rsidRPr="005E6A50">
          <w:rPr>
            <w:i w:val="0"/>
            <w:iCs w:val="0"/>
            <w:webHidden/>
          </w:rPr>
        </w:r>
        <w:r w:rsidRPr="005E6A50">
          <w:rPr>
            <w:i w:val="0"/>
            <w:iCs w:val="0"/>
            <w:webHidden/>
          </w:rPr>
          <w:fldChar w:fldCharType="separate"/>
        </w:r>
        <w:r w:rsidR="00C47DA0">
          <w:rPr>
            <w:i w:val="0"/>
            <w:iCs w:val="0"/>
            <w:webHidden/>
          </w:rPr>
          <w:t>26</w:t>
        </w:r>
        <w:r w:rsidRPr="005E6A50">
          <w:rPr>
            <w:i w:val="0"/>
            <w:iCs w:val="0"/>
            <w:webHidden/>
          </w:rPr>
          <w:fldChar w:fldCharType="end"/>
        </w:r>
      </w:hyperlink>
    </w:p>
    <w:p w14:paraId="39DCB986" w14:textId="71968EE9" w:rsidR="005E6A50" w:rsidRDefault="005E6A50" w:rsidP="005E6A50">
      <w:pPr>
        <w:pStyle w:val="TOC2"/>
        <w:spacing w:line="360" w:lineRule="auto"/>
        <w:rPr>
          <w:rFonts w:asciiTheme="minorHAnsi" w:eastAsiaTheme="minorEastAsia" w:hAnsiTheme="minorHAnsi" w:cstheme="minorBidi"/>
          <w:i w:val="0"/>
          <w:iCs w:val="0"/>
          <w:sz w:val="24"/>
          <w:szCs w:val="24"/>
          <w:lang w:eastAsia="en-GB"/>
        </w:rPr>
      </w:pPr>
      <w:hyperlink w:anchor="_Toc238129282" w:history="1">
        <w:r w:rsidRPr="00717049">
          <w:rPr>
            <w:rStyle w:val="Hyperlink"/>
          </w:rPr>
          <w:t>Panel Speakers</w:t>
        </w:r>
        <w:r>
          <w:rPr>
            <w:webHidden/>
          </w:rPr>
          <w:tab/>
        </w:r>
        <w:r w:rsidRPr="005E6A50">
          <w:rPr>
            <w:i w:val="0"/>
            <w:iCs w:val="0"/>
            <w:webHidden/>
          </w:rPr>
          <w:fldChar w:fldCharType="begin"/>
        </w:r>
        <w:r w:rsidRPr="005E6A50">
          <w:rPr>
            <w:i w:val="0"/>
            <w:iCs w:val="0"/>
            <w:webHidden/>
          </w:rPr>
          <w:instrText xml:space="preserve"> PAGEREF _Toc238129282 \h </w:instrText>
        </w:r>
        <w:r w:rsidRPr="005E6A50">
          <w:rPr>
            <w:i w:val="0"/>
            <w:iCs w:val="0"/>
            <w:webHidden/>
          </w:rPr>
        </w:r>
        <w:r w:rsidRPr="005E6A50">
          <w:rPr>
            <w:i w:val="0"/>
            <w:iCs w:val="0"/>
            <w:webHidden/>
          </w:rPr>
          <w:fldChar w:fldCharType="separate"/>
        </w:r>
        <w:r w:rsidR="00C47DA0">
          <w:rPr>
            <w:i w:val="0"/>
            <w:iCs w:val="0"/>
            <w:webHidden/>
          </w:rPr>
          <w:t>28</w:t>
        </w:r>
        <w:r w:rsidRPr="005E6A50">
          <w:rPr>
            <w:i w:val="0"/>
            <w:iCs w:val="0"/>
            <w:webHidden/>
          </w:rPr>
          <w:fldChar w:fldCharType="end"/>
        </w:r>
      </w:hyperlink>
    </w:p>
    <w:p w14:paraId="63C60BB1" w14:textId="2B6F56C6" w:rsidR="005E6A50" w:rsidRDefault="005E6A50" w:rsidP="005E6A50">
      <w:pPr>
        <w:pStyle w:val="TOC1"/>
        <w:tabs>
          <w:tab w:val="right" w:pos="9016"/>
        </w:tabs>
        <w:spacing w:line="360" w:lineRule="auto"/>
        <w:rPr>
          <w:rFonts w:asciiTheme="minorHAnsi" w:eastAsiaTheme="minorEastAsia" w:hAnsiTheme="minorHAnsi" w:cstheme="minorBidi"/>
          <w:bCs w:val="0"/>
          <w:noProof/>
          <w:sz w:val="24"/>
          <w:szCs w:val="24"/>
          <w:lang w:eastAsia="en-GB"/>
        </w:rPr>
      </w:pPr>
      <w:hyperlink w:anchor="_Toc238129283" w:history="1">
        <w:r w:rsidRPr="00717049">
          <w:rPr>
            <w:rStyle w:val="Hyperlink"/>
            <w:noProof/>
          </w:rPr>
          <w:t>Abstracts</w:t>
        </w:r>
        <w:r>
          <w:rPr>
            <w:noProof/>
            <w:webHidden/>
          </w:rPr>
          <w:tab/>
        </w:r>
        <w:r>
          <w:rPr>
            <w:noProof/>
            <w:webHidden/>
          </w:rPr>
          <w:fldChar w:fldCharType="begin"/>
        </w:r>
        <w:r>
          <w:rPr>
            <w:noProof/>
            <w:webHidden/>
          </w:rPr>
          <w:instrText xml:space="preserve"> PAGEREF _Toc238129283 \h </w:instrText>
        </w:r>
        <w:r>
          <w:rPr>
            <w:noProof/>
            <w:webHidden/>
          </w:rPr>
        </w:r>
        <w:r>
          <w:rPr>
            <w:noProof/>
            <w:webHidden/>
          </w:rPr>
          <w:fldChar w:fldCharType="separate"/>
        </w:r>
        <w:r w:rsidR="00C47DA0">
          <w:rPr>
            <w:noProof/>
            <w:webHidden/>
          </w:rPr>
          <w:t>31</w:t>
        </w:r>
        <w:r>
          <w:rPr>
            <w:noProof/>
            <w:webHidden/>
          </w:rPr>
          <w:fldChar w:fldCharType="end"/>
        </w:r>
      </w:hyperlink>
    </w:p>
    <w:p w14:paraId="7E9F34B7" w14:textId="77DE5D48" w:rsidR="005E6A50" w:rsidRDefault="005E6A50" w:rsidP="005E6A50">
      <w:pPr>
        <w:pStyle w:val="TOC1"/>
        <w:tabs>
          <w:tab w:val="right" w:pos="9016"/>
        </w:tabs>
        <w:spacing w:line="360" w:lineRule="auto"/>
        <w:rPr>
          <w:rFonts w:asciiTheme="minorHAnsi" w:eastAsiaTheme="minorEastAsia" w:hAnsiTheme="minorHAnsi" w:cstheme="minorBidi"/>
          <w:bCs w:val="0"/>
          <w:noProof/>
          <w:sz w:val="24"/>
          <w:szCs w:val="24"/>
          <w:lang w:eastAsia="en-GB"/>
        </w:rPr>
      </w:pPr>
      <w:hyperlink w:anchor="_Toc238129286" w:history="1">
        <w:r w:rsidRPr="00717049">
          <w:rPr>
            <w:rStyle w:val="Hyperlink"/>
            <w:noProof/>
          </w:rPr>
          <w:t>Author Index</w:t>
        </w:r>
        <w:r>
          <w:rPr>
            <w:noProof/>
            <w:webHidden/>
          </w:rPr>
          <w:tab/>
        </w:r>
        <w:r>
          <w:rPr>
            <w:noProof/>
            <w:webHidden/>
          </w:rPr>
          <w:fldChar w:fldCharType="begin"/>
        </w:r>
        <w:r>
          <w:rPr>
            <w:noProof/>
            <w:webHidden/>
          </w:rPr>
          <w:instrText xml:space="preserve"> PAGEREF _Toc238129286 \h </w:instrText>
        </w:r>
        <w:r>
          <w:rPr>
            <w:noProof/>
            <w:webHidden/>
          </w:rPr>
        </w:r>
        <w:r>
          <w:rPr>
            <w:noProof/>
            <w:webHidden/>
          </w:rPr>
          <w:fldChar w:fldCharType="separate"/>
        </w:r>
        <w:r w:rsidR="00C47DA0">
          <w:rPr>
            <w:noProof/>
            <w:webHidden/>
          </w:rPr>
          <w:t>272</w:t>
        </w:r>
        <w:r>
          <w:rPr>
            <w:noProof/>
            <w:webHidden/>
          </w:rPr>
          <w:fldChar w:fldCharType="end"/>
        </w:r>
      </w:hyperlink>
    </w:p>
    <w:p w14:paraId="541C5A3A" w14:textId="3CB649F1" w:rsidR="00263DBC" w:rsidRDefault="005E6A50" w:rsidP="00813F52">
      <w:r>
        <w:rPr>
          <w:rFonts w:ascii="Noto Serif Light" w:hAnsi="Noto Serif Light" w:cs="Noto Serif Light"/>
          <w:sz w:val="32"/>
          <w:szCs w:val="40"/>
        </w:rPr>
        <w:fldChar w:fldCharType="end"/>
      </w:r>
    </w:p>
    <w:p w14:paraId="1C922ABA" w14:textId="77777777" w:rsidR="009E7F1D" w:rsidRDefault="00C47DA0" w:rsidP="00C47DA0">
      <w:pPr>
        <w:tabs>
          <w:tab w:val="left" w:pos="7947"/>
        </w:tabs>
        <w:rPr>
          <w:rFonts w:ascii="Noto Serif Light" w:hAnsi="Noto Serif Light" w:cs="Noto Serif Light"/>
          <w:b/>
          <w:bCs/>
          <w:color w:val="690E0D"/>
          <w:sz w:val="32"/>
          <w:szCs w:val="32"/>
        </w:rPr>
      </w:pPr>
      <w:r>
        <w:rPr>
          <w:rFonts w:ascii="Noto Serif Light" w:hAnsi="Noto Serif Light" w:cs="Noto Serif Light"/>
          <w:b/>
          <w:bCs/>
          <w:color w:val="690E0D"/>
          <w:sz w:val="32"/>
          <w:szCs w:val="32"/>
        </w:rPr>
        <w:tab/>
      </w:r>
    </w:p>
    <w:p w14:paraId="2EA7A4E9" w14:textId="77777777" w:rsidR="009E7F1D" w:rsidRDefault="009E7F1D" w:rsidP="00C47DA0">
      <w:pPr>
        <w:tabs>
          <w:tab w:val="left" w:pos="7947"/>
        </w:tabs>
        <w:rPr>
          <w:rFonts w:ascii="Noto Serif Light" w:hAnsi="Noto Serif Light" w:cs="Noto Serif Light"/>
          <w:b/>
          <w:bCs/>
          <w:color w:val="690E0D"/>
          <w:sz w:val="32"/>
          <w:szCs w:val="32"/>
        </w:rPr>
      </w:pPr>
    </w:p>
    <w:p w14:paraId="502F0DCB" w14:textId="77777777" w:rsidR="009E7F1D" w:rsidRDefault="009E7F1D" w:rsidP="00C47DA0">
      <w:pPr>
        <w:tabs>
          <w:tab w:val="left" w:pos="7947"/>
        </w:tabs>
        <w:rPr>
          <w:rFonts w:ascii="Noto Serif Light" w:hAnsi="Noto Serif Light" w:cs="Noto Serif Light"/>
          <w:b/>
          <w:bCs/>
          <w:color w:val="690E0D"/>
          <w:sz w:val="32"/>
          <w:szCs w:val="32"/>
        </w:rPr>
      </w:pPr>
    </w:p>
    <w:p w14:paraId="4B2D8BF5" w14:textId="77777777" w:rsidR="009E7F1D" w:rsidRDefault="009E7F1D" w:rsidP="00C47DA0">
      <w:pPr>
        <w:tabs>
          <w:tab w:val="left" w:pos="7947"/>
        </w:tabs>
        <w:rPr>
          <w:rFonts w:ascii="Noto Serif Light" w:hAnsi="Noto Serif Light" w:cs="Noto Serif Light"/>
          <w:b/>
          <w:bCs/>
          <w:color w:val="690E0D"/>
          <w:sz w:val="32"/>
          <w:szCs w:val="32"/>
        </w:rPr>
      </w:pPr>
    </w:p>
    <w:p w14:paraId="2F2857CE" w14:textId="3831022F" w:rsidR="00813F52" w:rsidRDefault="00C47DA0" w:rsidP="00C47DA0">
      <w:pPr>
        <w:tabs>
          <w:tab w:val="left" w:pos="7947"/>
        </w:tabs>
        <w:rPr>
          <w:rFonts w:ascii="Noto Serif Light" w:hAnsi="Noto Serif Light" w:cs="Noto Serif Light"/>
          <w:b/>
          <w:bCs/>
          <w:color w:val="690E0D"/>
          <w:sz w:val="32"/>
          <w:szCs w:val="32"/>
        </w:rPr>
      </w:pPr>
      <w:r>
        <w:rPr>
          <w:rFonts w:ascii="Noto Serif Light" w:hAnsi="Noto Serif Light" w:cs="Noto Serif Light"/>
          <w:b/>
          <w:bCs/>
          <w:color w:val="690E0D"/>
          <w:sz w:val="32"/>
          <w:szCs w:val="32"/>
        </w:rPr>
        <w:tab/>
      </w:r>
    </w:p>
    <w:p w14:paraId="3BDB00D1" w14:textId="03E512C5" w:rsidR="00302670" w:rsidRPr="0027472E" w:rsidRDefault="00263DBC" w:rsidP="0020709C">
      <w:pPr>
        <w:pStyle w:val="ABHeading"/>
        <w:spacing w:line="240" w:lineRule="auto"/>
      </w:pPr>
      <w:bookmarkStart w:id="3" w:name="_Toc238127999"/>
      <w:bookmarkStart w:id="4" w:name="_Toc238129273"/>
      <w:r>
        <w:lastRenderedPageBreak/>
        <w:t>Welcome</w:t>
      </w:r>
      <w:bookmarkEnd w:id="3"/>
      <w:bookmarkEnd w:id="4"/>
      <w:r w:rsidR="0027472E" w:rsidRPr="0027472E">
        <w:t xml:space="preserve"> to the 20</w:t>
      </w:r>
      <w:r w:rsidR="0027472E" w:rsidRPr="0027472E">
        <w:rPr>
          <w:vertAlign w:val="superscript"/>
        </w:rPr>
        <w:t>th</w:t>
      </w:r>
      <w:r w:rsidR="0027472E">
        <w:t xml:space="preserve"> </w:t>
      </w:r>
      <w:r w:rsidR="0027472E" w:rsidRPr="0027472E">
        <w:t>Regional Innovation Policies Conference</w:t>
      </w:r>
    </w:p>
    <w:p w14:paraId="61281227" w14:textId="77777777" w:rsidR="0020709C" w:rsidRDefault="0020709C" w:rsidP="00302670">
      <w:pPr>
        <w:pStyle w:val="ABParagraph"/>
      </w:pPr>
    </w:p>
    <w:p w14:paraId="5BBB1D61" w14:textId="5880D2E9" w:rsidR="00302670" w:rsidRPr="00302670" w:rsidRDefault="00302670" w:rsidP="00302670">
      <w:pPr>
        <w:pStyle w:val="ABParagraph"/>
      </w:pPr>
      <w:r w:rsidRPr="00302670">
        <w:t xml:space="preserve">Thank you for joining us in Birmingham for this special occasion. The conference is hosted by City-Region Economic Development Institute (City-REDI) and Birmingham Business School at the University of Birmingham, in partnership with the Local Policy Innovation Partnership (LPIP) Hub and Regional Studies Association (RSA).  </w:t>
      </w:r>
    </w:p>
    <w:p w14:paraId="3462E8B5" w14:textId="69FBA6A9" w:rsidR="00302670" w:rsidRPr="00302670" w:rsidRDefault="00302670" w:rsidP="00302670">
      <w:pPr>
        <w:pStyle w:val="ABParagraph"/>
      </w:pPr>
    </w:p>
    <w:p w14:paraId="518632C2" w14:textId="1F508835" w:rsidR="00302670" w:rsidRPr="00302670" w:rsidRDefault="00302670" w:rsidP="00302670">
      <w:pPr>
        <w:pStyle w:val="ABParagraph"/>
      </w:pPr>
      <w:r w:rsidRPr="00302670">
        <w:t>This landmark anniversary provides an opportunity not only to reflect on two decades of scholarship and policy engagement, but also to look ahead to the future of regional innovation policies in an increasingly complex and uncertain world. The conference theme,</w:t>
      </w:r>
      <w:r w:rsidRPr="001140FC">
        <w:t xml:space="preserve"> </w:t>
      </w:r>
      <w:r w:rsidRPr="001140FC">
        <w:rPr>
          <w:i/>
          <w:iCs/>
        </w:rPr>
        <w:t>Navigating Futures with Innovation: Resilient and Resurgent Regions</w:t>
      </w:r>
      <w:r w:rsidRPr="001140FC">
        <w:t xml:space="preserve">, </w:t>
      </w:r>
      <w:r w:rsidRPr="00302670">
        <w:t xml:space="preserve">invites us to explore how places can adapt, transform and prosper in the face of economic, technological, environmental and social changes. </w:t>
      </w:r>
    </w:p>
    <w:p w14:paraId="24560F80" w14:textId="77777777" w:rsidR="00302670" w:rsidRPr="00302670" w:rsidRDefault="00302670" w:rsidP="00302670">
      <w:pPr>
        <w:pStyle w:val="ABParagraph"/>
      </w:pPr>
    </w:p>
    <w:p w14:paraId="149D5EDF" w14:textId="713803B3" w:rsidR="00302670" w:rsidRPr="00302670" w:rsidRDefault="00302670" w:rsidP="00302670">
      <w:pPr>
        <w:pStyle w:val="ABParagraph"/>
      </w:pPr>
      <w:r w:rsidRPr="00302670">
        <w:t xml:space="preserve">Today, regions across the world face profound challenges and opportunities. Rapid technological advances, the transition to net zero, shifting geopolitical landscapes, demographic change and increasing inequalities are reshaping the contexts in which innovation occurs. At the same time, new forms of collaboration, emerging technologies and evolving governance arrangements offer unprecedented possibilities for creating more resilient, inclusive and sustainable regional futures. Understanding how innovation ecosystems respond to disruption and how policy can support transformative change has never been more important. </w:t>
      </w:r>
    </w:p>
    <w:p w14:paraId="744D3B6B" w14:textId="77777777" w:rsidR="00302670" w:rsidRPr="00302670" w:rsidRDefault="00302670" w:rsidP="00302670">
      <w:pPr>
        <w:pStyle w:val="ABParagraph"/>
      </w:pPr>
    </w:p>
    <w:p w14:paraId="1D0A8F53" w14:textId="29EE1DD2" w:rsidR="00302670" w:rsidRPr="00302670" w:rsidRDefault="00302670" w:rsidP="00302670">
      <w:pPr>
        <w:pStyle w:val="ABParagraph"/>
      </w:pPr>
      <w:r w:rsidRPr="00302670">
        <w:t>We look forward to engaging discussions, inspiring keynote presentations and thought-provoking panel session that bring together diverse perspectives from across the world. We also host a special session in memory of Professor Lisa De Propris, our former colleague at Birmingham Business School. Lisa was a keynote speaker at the 19</w:t>
      </w:r>
      <w:r w:rsidRPr="00302670">
        <w:rPr>
          <w:vertAlign w:val="superscript"/>
        </w:rPr>
        <w:t>th</w:t>
      </w:r>
      <w:r w:rsidRPr="00302670">
        <w:t xml:space="preserve"> Conference in Venice last year and a member of the Local Organising Committee for this year's conference in Birmingham. In recognition of her outstanding contributions to esearch and scholarship, we celebrate her academic legacy through reflections on her influential work and lasting impact.</w:t>
      </w:r>
    </w:p>
    <w:p w14:paraId="39293161" w14:textId="289607B6" w:rsidR="00302670" w:rsidRPr="00302670" w:rsidRDefault="00302670" w:rsidP="00302670">
      <w:pPr>
        <w:pStyle w:val="ABParagraph"/>
      </w:pPr>
    </w:p>
    <w:p w14:paraId="31F86E44" w14:textId="77777777" w:rsidR="009E7F1D" w:rsidRDefault="00302670" w:rsidP="00302670">
      <w:pPr>
        <w:pStyle w:val="ABParagraph"/>
      </w:pPr>
      <w:r w:rsidRPr="00302670">
        <w:t xml:space="preserve">We are delighted to welcome both long-standing members of the RegInnoPol community and those joining us for the first time. Whether you are presenting research, sharing policy insights or learning from experiences of others, your participation is central to the success of this event. We encourage you to make the most of the opportunities to connect with colleagues, build new networks and engage in stimulating </w:t>
      </w:r>
    </w:p>
    <w:p w14:paraId="10CE5962" w14:textId="77777777" w:rsidR="009E7F1D" w:rsidRDefault="009E7F1D" w:rsidP="00302670">
      <w:pPr>
        <w:pStyle w:val="ABParagraph"/>
      </w:pPr>
    </w:p>
    <w:p w14:paraId="7875C604" w14:textId="77777777" w:rsidR="009E7F1D" w:rsidRDefault="009E7F1D" w:rsidP="00302670">
      <w:pPr>
        <w:pStyle w:val="ABParagraph"/>
      </w:pPr>
    </w:p>
    <w:p w14:paraId="355C0AD0" w14:textId="77777777" w:rsidR="009E7F1D" w:rsidRDefault="009E7F1D" w:rsidP="00302670">
      <w:pPr>
        <w:pStyle w:val="ABParagraph"/>
      </w:pPr>
    </w:p>
    <w:p w14:paraId="51A90A26" w14:textId="77777777" w:rsidR="009E7F1D" w:rsidRDefault="009E7F1D" w:rsidP="00302670">
      <w:pPr>
        <w:pStyle w:val="ABParagraph"/>
      </w:pPr>
    </w:p>
    <w:p w14:paraId="13C9ABA8" w14:textId="77777777" w:rsidR="009E7F1D" w:rsidRDefault="009E7F1D" w:rsidP="00302670">
      <w:pPr>
        <w:pStyle w:val="ABParagraph"/>
      </w:pPr>
    </w:p>
    <w:p w14:paraId="1A317EF6" w14:textId="77777777" w:rsidR="009E7F1D" w:rsidRDefault="009E7F1D" w:rsidP="00302670">
      <w:pPr>
        <w:pStyle w:val="ABParagraph"/>
      </w:pPr>
    </w:p>
    <w:p w14:paraId="7C5821FD" w14:textId="3ACB0953" w:rsidR="00302670" w:rsidRPr="00302670" w:rsidRDefault="00302670" w:rsidP="00302670">
      <w:pPr>
        <w:pStyle w:val="ABParagraph"/>
      </w:pPr>
      <w:r w:rsidRPr="00302670">
        <w:lastRenderedPageBreak/>
        <w:t xml:space="preserve">discussions. We look forward to the insights, debates and connections that will emerge as we collectively explore how innovation can support resilient and resurgent regions for the future. </w:t>
      </w:r>
    </w:p>
    <w:p w14:paraId="5C1CD940" w14:textId="53C3E8D3" w:rsidR="00302670" w:rsidRPr="00302670" w:rsidRDefault="00302670" w:rsidP="00302670">
      <w:pPr>
        <w:pStyle w:val="ABParagraph"/>
      </w:pPr>
    </w:p>
    <w:p w14:paraId="59C74D48" w14:textId="2BC88309" w:rsidR="00302670" w:rsidRPr="00302670" w:rsidRDefault="00302670" w:rsidP="00302670">
      <w:pPr>
        <w:pStyle w:val="ABParagraph"/>
      </w:pPr>
      <w:r w:rsidRPr="00302670">
        <w:t>We wish you a productive, inspiring and enjoyable conference!</w:t>
      </w:r>
    </w:p>
    <w:p w14:paraId="4DECA59D" w14:textId="731C7805" w:rsidR="00302670" w:rsidRPr="00302670" w:rsidRDefault="00302670" w:rsidP="00302670">
      <w:pPr>
        <w:pStyle w:val="ABParagraph"/>
      </w:pPr>
    </w:p>
    <w:p w14:paraId="403A4F04" w14:textId="594DEDF2" w:rsidR="00263DBC" w:rsidRDefault="009E7F1D" w:rsidP="00302670">
      <w:pPr>
        <w:rPr>
          <w:rFonts w:ascii="Noto Serif Light" w:eastAsiaTheme="majorEastAsia" w:hAnsi="Noto Serif Light" w:cs="Noto Serif Light"/>
          <w:b/>
          <w:bCs/>
          <w:color w:val="690E0D"/>
          <w:sz w:val="48"/>
          <w:szCs w:val="48"/>
        </w:rPr>
      </w:pPr>
      <w:r>
        <w:rPr>
          <w:rFonts w:ascii="Noto Serif Light" w:hAnsi="Noto Serif Light" w:cs="Noto Serif Light"/>
          <w:b/>
          <w:bCs/>
          <w:noProof/>
        </w:rPr>
        <w:drawing>
          <wp:anchor distT="0" distB="0" distL="114300" distR="114300" simplePos="0" relativeHeight="251692032" behindDoc="0" locked="0" layoutInCell="1" allowOverlap="1" wp14:anchorId="7A479765" wp14:editId="0670BCDA">
            <wp:simplePos x="0" y="0"/>
            <wp:positionH relativeFrom="margin">
              <wp:posOffset>3241062</wp:posOffset>
            </wp:positionH>
            <wp:positionV relativeFrom="paragraph">
              <wp:posOffset>2064604</wp:posOffset>
            </wp:positionV>
            <wp:extent cx="759460" cy="701040"/>
            <wp:effectExtent l="0" t="0" r="2540" b="3810"/>
            <wp:wrapNone/>
            <wp:docPr id="3848937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893716" name="Picture 38489371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9460" cy="701040"/>
                    </a:xfrm>
                    <a:prstGeom prst="rect">
                      <a:avLst/>
                    </a:prstGeom>
                  </pic:spPr>
                </pic:pic>
              </a:graphicData>
            </a:graphic>
            <wp14:sizeRelH relativeFrom="margin">
              <wp14:pctWidth>0</wp14:pctWidth>
            </wp14:sizeRelH>
            <wp14:sizeRelV relativeFrom="margin">
              <wp14:pctHeight>0</wp14:pctHeight>
            </wp14:sizeRelV>
          </wp:anchor>
        </w:drawing>
      </w:r>
      <w:r>
        <w:rPr>
          <w:rFonts w:ascii="Noto Serif Light" w:hAnsi="Noto Serif Light" w:cs="Noto Serif Light"/>
          <w:b/>
          <w:bCs/>
          <w:noProof/>
        </w:rPr>
        <w:drawing>
          <wp:anchor distT="0" distB="0" distL="114300" distR="114300" simplePos="0" relativeHeight="251697152" behindDoc="0" locked="0" layoutInCell="1" allowOverlap="1" wp14:anchorId="38B1B9ED" wp14:editId="38D1CD5A">
            <wp:simplePos x="0" y="0"/>
            <wp:positionH relativeFrom="column">
              <wp:posOffset>1197938</wp:posOffset>
            </wp:positionH>
            <wp:positionV relativeFrom="paragraph">
              <wp:posOffset>1770073</wp:posOffset>
            </wp:positionV>
            <wp:extent cx="1270660" cy="1270660"/>
            <wp:effectExtent l="0" t="0" r="5715" b="5715"/>
            <wp:wrapNone/>
            <wp:docPr id="12485559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0660" cy="12706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Noto Serif Light" w:hAnsi="Noto Serif Light" w:cs="Noto Serif Light"/>
          <w:b/>
          <w:bCs/>
          <w:noProof/>
        </w:rPr>
        <w:drawing>
          <wp:anchor distT="0" distB="0" distL="114300" distR="114300" simplePos="0" relativeHeight="251694080" behindDoc="0" locked="0" layoutInCell="1" allowOverlap="1" wp14:anchorId="730A4ED1" wp14:editId="7834A13C">
            <wp:simplePos x="0" y="0"/>
            <wp:positionH relativeFrom="margin">
              <wp:posOffset>3138717</wp:posOffset>
            </wp:positionH>
            <wp:positionV relativeFrom="paragraph">
              <wp:posOffset>878140</wp:posOffset>
            </wp:positionV>
            <wp:extent cx="2296160" cy="384810"/>
            <wp:effectExtent l="0" t="0" r="8890" b="0"/>
            <wp:wrapNone/>
            <wp:docPr id="20388448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844877" name="Picture 203884487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96160" cy="384810"/>
                    </a:xfrm>
                    <a:prstGeom prst="rect">
                      <a:avLst/>
                    </a:prstGeom>
                  </pic:spPr>
                </pic:pic>
              </a:graphicData>
            </a:graphic>
            <wp14:sizeRelH relativeFrom="margin">
              <wp14:pctWidth>0</wp14:pctWidth>
            </wp14:sizeRelH>
            <wp14:sizeRelV relativeFrom="margin">
              <wp14:pctHeight>0</wp14:pctHeight>
            </wp14:sizeRelV>
          </wp:anchor>
        </w:drawing>
      </w:r>
      <w:r w:rsidR="00BF15D7">
        <w:rPr>
          <w:rFonts w:ascii="Noto Serif Light" w:eastAsiaTheme="majorEastAsia" w:hAnsi="Noto Serif Light" w:cs="Noto Serif Light"/>
          <w:b/>
          <w:bCs/>
          <w:noProof/>
          <w:color w:val="690E0D"/>
          <w:sz w:val="48"/>
          <w:szCs w:val="48"/>
        </w:rPr>
        <w:drawing>
          <wp:anchor distT="0" distB="0" distL="114300" distR="114300" simplePos="0" relativeHeight="251696128" behindDoc="0" locked="0" layoutInCell="1" allowOverlap="1" wp14:anchorId="4A82E366" wp14:editId="224871EC">
            <wp:simplePos x="0" y="0"/>
            <wp:positionH relativeFrom="margin">
              <wp:posOffset>43640</wp:posOffset>
            </wp:positionH>
            <wp:positionV relativeFrom="paragraph">
              <wp:posOffset>755365</wp:posOffset>
            </wp:positionV>
            <wp:extent cx="2448560" cy="785495"/>
            <wp:effectExtent l="0" t="0" r="0" b="0"/>
            <wp:wrapNone/>
            <wp:docPr id="770348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34813" name="Picture 77034813"/>
                    <pic:cNvPicPr/>
                  </pic:nvPicPr>
                  <pic:blipFill rotWithShape="1">
                    <a:blip r:embed="rId13" cstate="print">
                      <a:extLst>
                        <a:ext uri="{28A0092B-C50C-407E-A947-70E740481C1C}">
                          <a14:useLocalDpi xmlns:a14="http://schemas.microsoft.com/office/drawing/2010/main" val="0"/>
                        </a:ext>
                      </a:extLst>
                    </a:blip>
                    <a:srcRect l="50502" t="11894" r="3528" b="26233"/>
                    <a:stretch>
                      <a:fillRect/>
                    </a:stretch>
                  </pic:blipFill>
                  <pic:spPr bwMode="auto">
                    <a:xfrm>
                      <a:off x="0" y="0"/>
                      <a:ext cx="2448560" cy="785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2670" w:rsidRPr="00302670">
        <w:rPr>
          <w:rFonts w:ascii="Noto Serif Light" w:hAnsi="Noto Serif Light" w:cs="Noto Serif Light"/>
          <w:b/>
          <w:bCs/>
        </w:rPr>
        <w:t>The RegInnoPol 2026 Local Organising Committee</w:t>
      </w:r>
      <w:r w:rsidR="00263DBC">
        <w:br w:type="page"/>
      </w:r>
    </w:p>
    <w:p w14:paraId="3D0E4D6E" w14:textId="2550B15F" w:rsidR="00263DBC" w:rsidRDefault="00BC21C0" w:rsidP="00263DBC">
      <w:pPr>
        <w:pStyle w:val="ABHeading"/>
      </w:pPr>
      <w:bookmarkStart w:id="5" w:name="_Toc238128000"/>
      <w:bookmarkStart w:id="6" w:name="_Toc238129274"/>
      <w:r>
        <w:lastRenderedPageBreak/>
        <w:t>Organising</w:t>
      </w:r>
      <w:r w:rsidR="00263DBC">
        <w:t xml:space="preserve"> Committee</w:t>
      </w:r>
      <w:bookmarkEnd w:id="5"/>
      <w:bookmarkEnd w:id="6"/>
    </w:p>
    <w:p w14:paraId="6331F066" w14:textId="77777777" w:rsidR="00302670" w:rsidRDefault="00302670" w:rsidP="00302670">
      <w:pPr>
        <w:pStyle w:val="ABParagraph"/>
      </w:pPr>
    </w:p>
    <w:p w14:paraId="25082FDA" w14:textId="7B732111" w:rsidR="00302670" w:rsidRPr="00302670" w:rsidRDefault="00302670" w:rsidP="007045CF">
      <w:pPr>
        <w:pStyle w:val="ABSubhead"/>
      </w:pPr>
      <w:r>
        <w:t>Local Organising Committee</w:t>
      </w:r>
    </w:p>
    <w:p w14:paraId="57C3BF7F" w14:textId="77777777" w:rsidR="00302670" w:rsidRPr="00BC21C0" w:rsidRDefault="00302670" w:rsidP="00302670">
      <w:pPr>
        <w:pStyle w:val="ABParagraph"/>
        <w:numPr>
          <w:ilvl w:val="0"/>
          <w:numId w:val="1"/>
        </w:numPr>
      </w:pPr>
      <w:r w:rsidRPr="00BC21C0">
        <w:t>Anne Green</w:t>
      </w:r>
    </w:p>
    <w:p w14:paraId="0B964A39" w14:textId="77777777" w:rsidR="00302670" w:rsidRDefault="00302670" w:rsidP="00302670">
      <w:pPr>
        <w:pStyle w:val="ABParagraph"/>
        <w:numPr>
          <w:ilvl w:val="0"/>
          <w:numId w:val="1"/>
        </w:numPr>
      </w:pPr>
      <w:r w:rsidRPr="00BC21C0">
        <w:t>David Bailey</w:t>
      </w:r>
    </w:p>
    <w:p w14:paraId="1FAA3371" w14:textId="77777777" w:rsidR="00302670" w:rsidRDefault="00302670" w:rsidP="00302670">
      <w:pPr>
        <w:pStyle w:val="ABParagraph"/>
        <w:numPr>
          <w:ilvl w:val="0"/>
          <w:numId w:val="1"/>
        </w:numPr>
      </w:pPr>
      <w:r w:rsidRPr="00BC21C0">
        <w:t>Fumi Kitagawa</w:t>
      </w:r>
    </w:p>
    <w:p w14:paraId="5F843B82" w14:textId="77777777" w:rsidR="00302670" w:rsidRDefault="00302670" w:rsidP="00302670">
      <w:pPr>
        <w:pStyle w:val="ABParagraph"/>
        <w:numPr>
          <w:ilvl w:val="0"/>
          <w:numId w:val="1"/>
        </w:numPr>
      </w:pPr>
      <w:r>
        <w:t>Lisa De Propris</w:t>
      </w:r>
    </w:p>
    <w:p w14:paraId="6EEBD2AD" w14:textId="77777777" w:rsidR="00302670" w:rsidRDefault="00302670" w:rsidP="00302670">
      <w:pPr>
        <w:pStyle w:val="ABParagraph"/>
        <w:numPr>
          <w:ilvl w:val="0"/>
          <w:numId w:val="1"/>
        </w:numPr>
      </w:pPr>
      <w:r w:rsidRPr="00BC21C0">
        <w:t>Rebecca Riley</w:t>
      </w:r>
    </w:p>
    <w:p w14:paraId="00B89871" w14:textId="77777777" w:rsidR="00BC21C0" w:rsidRPr="00BC21C0" w:rsidRDefault="00BC21C0" w:rsidP="007F78A2">
      <w:pPr>
        <w:pStyle w:val="ABParagraph"/>
      </w:pPr>
    </w:p>
    <w:p w14:paraId="0EB385BA" w14:textId="77777777" w:rsidR="00BC21C0" w:rsidRPr="00302670" w:rsidRDefault="00BC21C0" w:rsidP="007045CF">
      <w:pPr>
        <w:pStyle w:val="ABSubhead"/>
      </w:pPr>
      <w:r w:rsidRPr="00302670">
        <w:t>Conference Coordination &amp; Management</w:t>
      </w:r>
    </w:p>
    <w:p w14:paraId="56AAAA13" w14:textId="77777777" w:rsidR="00302670" w:rsidRPr="00BC21C0" w:rsidRDefault="00302670" w:rsidP="00302670">
      <w:pPr>
        <w:pStyle w:val="ABParagraph"/>
        <w:numPr>
          <w:ilvl w:val="0"/>
          <w:numId w:val="2"/>
        </w:numPr>
      </w:pPr>
      <w:r w:rsidRPr="00BC21C0">
        <w:t>Fumi Kitagawa</w:t>
      </w:r>
    </w:p>
    <w:p w14:paraId="6C4B8B11" w14:textId="77777777" w:rsidR="00302670" w:rsidRDefault="00302670" w:rsidP="00302670">
      <w:pPr>
        <w:pStyle w:val="ABParagraph"/>
        <w:numPr>
          <w:ilvl w:val="0"/>
          <w:numId w:val="2"/>
        </w:numPr>
      </w:pPr>
      <w:r w:rsidRPr="00BC21C0">
        <w:t xml:space="preserve">Yaneth Lavelle </w:t>
      </w:r>
    </w:p>
    <w:p w14:paraId="29230828" w14:textId="77777777" w:rsidR="00302670" w:rsidRDefault="00302670" w:rsidP="00302670">
      <w:pPr>
        <w:pStyle w:val="ABParagraph"/>
        <w:numPr>
          <w:ilvl w:val="0"/>
          <w:numId w:val="2"/>
        </w:numPr>
      </w:pPr>
      <w:r>
        <w:t>University of Birmingham Conferences &amp; Events team</w:t>
      </w:r>
    </w:p>
    <w:p w14:paraId="14C95ACC" w14:textId="77777777" w:rsidR="00302670" w:rsidRDefault="00302670" w:rsidP="00302670">
      <w:pPr>
        <w:pStyle w:val="ABParagraph"/>
        <w:ind w:left="720"/>
      </w:pPr>
    </w:p>
    <w:p w14:paraId="15C00F75" w14:textId="7D7C3903" w:rsidR="00302670" w:rsidRDefault="00302670" w:rsidP="00302670">
      <w:pPr>
        <w:pStyle w:val="ABParagraph"/>
        <w:rPr>
          <w:i/>
          <w:iCs/>
        </w:rPr>
      </w:pPr>
      <w:r>
        <w:rPr>
          <w:i/>
          <w:iCs/>
        </w:rPr>
        <w:t>With special thanks to</w:t>
      </w:r>
    </w:p>
    <w:p w14:paraId="46C6A380" w14:textId="77777777" w:rsidR="00302670" w:rsidRDefault="00302670" w:rsidP="00302670">
      <w:pPr>
        <w:pStyle w:val="ABParagraph"/>
        <w:numPr>
          <w:ilvl w:val="0"/>
          <w:numId w:val="35"/>
        </w:numPr>
      </w:pPr>
      <w:r>
        <w:t xml:space="preserve">Special Session Organisers for ideas and coordinating the </w:t>
      </w:r>
      <w:hyperlink r:id="rId14" w:history="1">
        <w:r w:rsidRPr="00D01863">
          <w:rPr>
            <w:rStyle w:val="Hyperlink"/>
          </w:rPr>
          <w:t>Special Sessions</w:t>
        </w:r>
      </w:hyperlink>
    </w:p>
    <w:p w14:paraId="4D7B2D81" w14:textId="77777777" w:rsidR="00302670" w:rsidRDefault="00302670" w:rsidP="00302670">
      <w:pPr>
        <w:pStyle w:val="ABParagraph"/>
        <w:numPr>
          <w:ilvl w:val="0"/>
          <w:numId w:val="35"/>
        </w:numPr>
      </w:pPr>
      <w:r>
        <w:t>Keynotes &amp; Panel Speakers and Chairs &amp; Contributors to Sessions</w:t>
      </w:r>
    </w:p>
    <w:p w14:paraId="098D9D0F" w14:textId="77777777" w:rsidR="00302670" w:rsidRDefault="00302670" w:rsidP="00302670">
      <w:pPr>
        <w:pStyle w:val="ABParagraph"/>
        <w:numPr>
          <w:ilvl w:val="0"/>
          <w:numId w:val="35"/>
        </w:numPr>
      </w:pPr>
      <w:r>
        <w:t xml:space="preserve">City-REDI colleagues for organisational support </w:t>
      </w:r>
    </w:p>
    <w:p w14:paraId="18CF1135" w14:textId="77777777" w:rsidR="00302670" w:rsidRDefault="00302670" w:rsidP="00302670">
      <w:pPr>
        <w:pStyle w:val="ABParagraph"/>
        <w:numPr>
          <w:ilvl w:val="0"/>
          <w:numId w:val="35"/>
        </w:numPr>
      </w:pPr>
      <w:r>
        <w:t>Professor Simon Collinson (</w:t>
      </w:r>
      <w:r w:rsidRPr="00846196">
        <w:t>Zhejiang University</w:t>
      </w:r>
      <w:r>
        <w:t xml:space="preserve">) for supporting the conference </w:t>
      </w:r>
    </w:p>
    <w:p w14:paraId="6BABB96C" w14:textId="4CA57230" w:rsidR="00BC21C0" w:rsidRDefault="00302670" w:rsidP="00BC21C0">
      <w:pPr>
        <w:pStyle w:val="ABParagraph"/>
        <w:numPr>
          <w:ilvl w:val="0"/>
          <w:numId w:val="2"/>
        </w:numPr>
      </w:pPr>
      <w:r>
        <w:t xml:space="preserve">Katie Brown and Rebecca Amos at Conferences &amp; Events team </w:t>
      </w:r>
    </w:p>
    <w:p w14:paraId="4152ABEA" w14:textId="77777777" w:rsidR="00BC21C0" w:rsidRPr="00BC21C0" w:rsidRDefault="00BC21C0" w:rsidP="00BC21C0">
      <w:pPr>
        <w:pStyle w:val="ABParagraph"/>
      </w:pPr>
    </w:p>
    <w:p w14:paraId="02E83C60" w14:textId="77777777" w:rsidR="00BC21C0" w:rsidRPr="00BC21C0" w:rsidRDefault="00BC21C0" w:rsidP="00BC21C0">
      <w:pPr>
        <w:pStyle w:val="ABSubhead"/>
      </w:pPr>
      <w:r w:rsidRPr="00BC21C0">
        <w:t>Regional Innovation Policies Conference International Advisors</w:t>
      </w:r>
    </w:p>
    <w:p w14:paraId="2260EF04" w14:textId="77777777" w:rsidR="00BC21C0" w:rsidRPr="00BC21C0" w:rsidRDefault="00BC21C0" w:rsidP="00101DE0">
      <w:pPr>
        <w:pStyle w:val="ABParagraph"/>
        <w:numPr>
          <w:ilvl w:val="0"/>
          <w:numId w:val="3"/>
        </w:numPr>
      </w:pPr>
      <w:r w:rsidRPr="00BC21C0">
        <w:t>Bjorn Asheim</w:t>
      </w:r>
    </w:p>
    <w:p w14:paraId="7BBE3283" w14:textId="77777777" w:rsidR="00BC21C0" w:rsidRPr="00BC21C0" w:rsidRDefault="00BC21C0" w:rsidP="00101DE0">
      <w:pPr>
        <w:pStyle w:val="ABParagraph"/>
        <w:numPr>
          <w:ilvl w:val="0"/>
          <w:numId w:val="3"/>
        </w:numPr>
      </w:pPr>
      <w:r w:rsidRPr="00BC21C0">
        <w:t>Rune Dahl Fitjar</w:t>
      </w:r>
    </w:p>
    <w:p w14:paraId="4AA4B610" w14:textId="77777777" w:rsidR="00BC21C0" w:rsidRPr="00BC21C0" w:rsidRDefault="00BC21C0" w:rsidP="00101DE0">
      <w:pPr>
        <w:pStyle w:val="ABParagraph"/>
        <w:numPr>
          <w:ilvl w:val="0"/>
          <w:numId w:val="3"/>
        </w:numPr>
      </w:pPr>
      <w:r w:rsidRPr="00BC21C0">
        <w:t>Monica Plechero</w:t>
      </w:r>
    </w:p>
    <w:p w14:paraId="5BC7F9E2" w14:textId="505E096E" w:rsidR="00263DBC" w:rsidRDefault="00263DBC">
      <w:pPr>
        <w:rPr>
          <w:rFonts w:ascii="Noto Serif Light" w:eastAsiaTheme="majorEastAsia" w:hAnsi="Noto Serif Light" w:cs="Noto Serif Light"/>
          <w:b/>
          <w:bCs/>
          <w:color w:val="690E0D"/>
          <w:sz w:val="48"/>
          <w:szCs w:val="48"/>
        </w:rPr>
      </w:pPr>
      <w:r>
        <w:br w:type="page"/>
      </w:r>
    </w:p>
    <w:p w14:paraId="6BA53CBA" w14:textId="1E0F2144" w:rsidR="00263DBC" w:rsidRPr="0027472E" w:rsidRDefault="00263DBC" w:rsidP="0027472E">
      <w:pPr>
        <w:pStyle w:val="ABHeading"/>
      </w:pPr>
      <w:bookmarkStart w:id="7" w:name="_Toc238128001"/>
      <w:bookmarkStart w:id="8" w:name="_Toc238129275"/>
      <w:r>
        <w:lastRenderedPageBreak/>
        <w:t>Key Information</w:t>
      </w:r>
      <w:bookmarkEnd w:id="7"/>
      <w:bookmarkEnd w:id="8"/>
    </w:p>
    <w:p w14:paraId="3EC4D900" w14:textId="77777777" w:rsidR="0027472E" w:rsidRPr="0027472E" w:rsidRDefault="0027472E" w:rsidP="0020709C">
      <w:pPr>
        <w:pStyle w:val="ABParagraph"/>
      </w:pPr>
    </w:p>
    <w:p w14:paraId="54B80665" w14:textId="457BF077" w:rsidR="0086550A" w:rsidRDefault="00074330" w:rsidP="0086550A">
      <w:pPr>
        <w:pStyle w:val="ABSubhead"/>
      </w:pPr>
      <w:r w:rsidRPr="0086550A">
        <w:rPr>
          <w:rFonts w:ascii="Manrope" w:hAnsi="Manrope" w:cs="Calibri"/>
          <w:noProof/>
        </w:rPr>
        <w:drawing>
          <wp:anchor distT="0" distB="0" distL="114300" distR="114300" simplePos="0" relativeHeight="251661312" behindDoc="0" locked="0" layoutInCell="1" allowOverlap="1" wp14:anchorId="3CF716E0" wp14:editId="6BE6E9B9">
            <wp:simplePos x="0" y="0"/>
            <wp:positionH relativeFrom="margin">
              <wp:posOffset>3246651</wp:posOffset>
            </wp:positionH>
            <wp:positionV relativeFrom="paragraph">
              <wp:posOffset>13344</wp:posOffset>
            </wp:positionV>
            <wp:extent cx="2785110" cy="1562735"/>
            <wp:effectExtent l="0" t="0" r="0" b="0"/>
            <wp:wrapThrough wrapText="bothSides">
              <wp:wrapPolygon edited="0">
                <wp:start x="0" y="0"/>
                <wp:lineTo x="0" y="21328"/>
                <wp:lineTo x="21423" y="21328"/>
                <wp:lineTo x="21423" y="0"/>
                <wp:lineTo x="0" y="0"/>
              </wp:wrapPolygon>
            </wp:wrapThrough>
            <wp:docPr id="12326978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924" r="10439" b="12576"/>
                    <a:stretch>
                      <a:fillRect/>
                    </a:stretch>
                  </pic:blipFill>
                  <pic:spPr bwMode="auto">
                    <a:xfrm>
                      <a:off x="0" y="0"/>
                      <a:ext cx="2785110" cy="15627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63DBC" w:rsidRPr="0086550A">
        <w:t>Conference Venue</w:t>
      </w:r>
    </w:p>
    <w:p w14:paraId="4E179445" w14:textId="43A965ED" w:rsidR="00263DBC" w:rsidRDefault="00263DBC" w:rsidP="0086550A">
      <w:pPr>
        <w:pStyle w:val="ABParagraph"/>
      </w:pPr>
      <w:r w:rsidRPr="0086550A">
        <w:rPr>
          <w:rStyle w:val="ABParagraphChar"/>
        </w:rPr>
        <w:t xml:space="preserve">The 20th Regional Innovation Policies Conference will be held in the Alan Walters </w:t>
      </w:r>
      <w:r w:rsidR="00074330" w:rsidRPr="0086550A">
        <w:rPr>
          <w:rStyle w:val="ABParagraphChar"/>
        </w:rPr>
        <w:t>B</w:t>
      </w:r>
      <w:r w:rsidRPr="0086550A">
        <w:rPr>
          <w:rStyle w:val="ABParagraphChar"/>
        </w:rPr>
        <w:t>uilding on the University of Birmingham central campus.</w:t>
      </w:r>
    </w:p>
    <w:p w14:paraId="4AD7D32E" w14:textId="68ADDDBD" w:rsidR="00074330" w:rsidRPr="00074330" w:rsidRDefault="00074330" w:rsidP="00074330">
      <w:pPr>
        <w:spacing w:after="0" w:line="240" w:lineRule="auto"/>
        <w:rPr>
          <w:rFonts w:ascii="Noto Serif Light" w:hAnsi="Noto Serif Light" w:cs="Noto Serif Light"/>
          <w:b/>
          <w:bCs/>
        </w:rPr>
      </w:pPr>
    </w:p>
    <w:p w14:paraId="3098199F" w14:textId="79095E63" w:rsidR="00263DBC" w:rsidRDefault="00074330" w:rsidP="00074330">
      <w:pPr>
        <w:spacing w:after="0" w:line="240" w:lineRule="auto"/>
        <w:rPr>
          <w:rFonts w:ascii="Noto Serif Light" w:hAnsi="Noto Serif Light" w:cs="Noto Serif Light"/>
        </w:rPr>
      </w:pPr>
      <w:r w:rsidRPr="001C2DBA">
        <w:rPr>
          <w:rFonts w:cs="Calibri"/>
          <w:noProof/>
        </w:rPr>
        <w:drawing>
          <wp:anchor distT="0" distB="0" distL="114300" distR="114300" simplePos="0" relativeHeight="251660288" behindDoc="1" locked="0" layoutInCell="1" allowOverlap="1" wp14:anchorId="3B7C14A3" wp14:editId="40CF0DCB">
            <wp:simplePos x="0" y="0"/>
            <wp:positionH relativeFrom="margin">
              <wp:posOffset>3251759</wp:posOffset>
            </wp:positionH>
            <wp:positionV relativeFrom="paragraph">
              <wp:posOffset>344379</wp:posOffset>
            </wp:positionV>
            <wp:extent cx="2781300" cy="1564005"/>
            <wp:effectExtent l="0" t="0" r="0" b="0"/>
            <wp:wrapTight wrapText="bothSides">
              <wp:wrapPolygon edited="0">
                <wp:start x="0" y="0"/>
                <wp:lineTo x="0" y="21311"/>
                <wp:lineTo x="21452" y="21311"/>
                <wp:lineTo x="21452" y="0"/>
                <wp:lineTo x="0" y="0"/>
              </wp:wrapPolygon>
            </wp:wrapTight>
            <wp:docPr id="1154696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81300" cy="15640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Noto Serif Light" w:hAnsi="Noto Serif Light" w:cs="Noto Serif Light"/>
        </w:rPr>
        <w:t xml:space="preserve">The Alan Walters Building is marked R29 in the red zone on the </w:t>
      </w:r>
      <w:hyperlink r:id="rId17" w:history="1">
        <w:r w:rsidRPr="00436020">
          <w:rPr>
            <w:rStyle w:val="Hyperlink"/>
            <w:rFonts w:ascii="Noto Serif Light" w:hAnsi="Noto Serif Light" w:cs="Noto Serif Light"/>
          </w:rPr>
          <w:t>campus map</w:t>
        </w:r>
      </w:hyperlink>
      <w:r>
        <w:rPr>
          <w:rFonts w:ascii="Noto Serif Light" w:hAnsi="Noto Serif Light" w:cs="Noto Serif Light"/>
        </w:rPr>
        <w:t>, and is a short walk from the University Train Station</w:t>
      </w:r>
    </w:p>
    <w:p w14:paraId="093A027A" w14:textId="44A1834F" w:rsidR="00074330" w:rsidRDefault="00074330" w:rsidP="00074330">
      <w:pPr>
        <w:spacing w:after="0" w:line="240" w:lineRule="auto"/>
        <w:rPr>
          <w:rFonts w:ascii="Noto Serif Light" w:hAnsi="Noto Serif Light" w:cs="Noto Serif Light"/>
        </w:rPr>
      </w:pPr>
    </w:p>
    <w:p w14:paraId="234B76C0" w14:textId="20C5B1B0" w:rsidR="0086550A" w:rsidRDefault="00074330" w:rsidP="0027472E">
      <w:pPr>
        <w:spacing w:after="0" w:line="240" w:lineRule="auto"/>
        <w:rPr>
          <w:rFonts w:ascii="Noto Serif Light" w:hAnsi="Noto Serif Light" w:cs="Noto Serif Light"/>
        </w:rPr>
      </w:pPr>
      <w:r>
        <w:rPr>
          <w:rFonts w:ascii="Noto Serif Light" w:hAnsi="Noto Serif Light" w:cs="Noto Serif Light"/>
          <w:b/>
          <w:bCs/>
        </w:rPr>
        <w:t>Address</w:t>
      </w:r>
      <w:r>
        <w:rPr>
          <w:rFonts w:ascii="Noto Serif Light" w:hAnsi="Noto Serif Light" w:cs="Noto Serif Light"/>
          <w:b/>
          <w:bCs/>
        </w:rPr>
        <w:br/>
      </w:r>
      <w:r>
        <w:rPr>
          <w:rFonts w:ascii="Noto Serif Light" w:hAnsi="Noto Serif Light" w:cs="Noto Serif Light"/>
        </w:rPr>
        <w:t>Alan Walters Building</w:t>
      </w:r>
      <w:r>
        <w:rPr>
          <w:rFonts w:ascii="Noto Serif Light" w:hAnsi="Noto Serif Light" w:cs="Noto Serif Light"/>
        </w:rPr>
        <w:br/>
        <w:t>University of Birmingham</w:t>
      </w:r>
      <w:r>
        <w:rPr>
          <w:rFonts w:ascii="Noto Serif Light" w:hAnsi="Noto Serif Light" w:cs="Noto Serif Light"/>
        </w:rPr>
        <w:br/>
        <w:t>Edgbaston</w:t>
      </w:r>
      <w:r>
        <w:rPr>
          <w:rFonts w:ascii="Noto Serif Light" w:hAnsi="Noto Serif Light" w:cs="Noto Serif Light"/>
        </w:rPr>
        <w:br/>
        <w:t>B15 2TT</w:t>
      </w:r>
    </w:p>
    <w:p w14:paraId="3377D8E3" w14:textId="77777777" w:rsidR="003427C1" w:rsidRDefault="003427C1" w:rsidP="00074330">
      <w:pPr>
        <w:spacing w:after="0" w:line="240" w:lineRule="auto"/>
        <w:rPr>
          <w:rFonts w:ascii="Noto Serif Light" w:hAnsi="Noto Serif Light" w:cs="Noto Serif Light"/>
        </w:rPr>
      </w:pPr>
    </w:p>
    <w:p w14:paraId="7BFCDBFF" w14:textId="77777777" w:rsidR="003427C1" w:rsidRDefault="003427C1" w:rsidP="00074330">
      <w:pPr>
        <w:spacing w:after="0" w:line="240" w:lineRule="auto"/>
        <w:rPr>
          <w:rFonts w:ascii="Noto Serif Light" w:hAnsi="Noto Serif Light" w:cs="Noto Serif Light"/>
        </w:rPr>
      </w:pPr>
    </w:p>
    <w:p w14:paraId="2F6F5540" w14:textId="77777777" w:rsidR="00436020" w:rsidRDefault="00436020" w:rsidP="00436020">
      <w:pPr>
        <w:pStyle w:val="ABSubhead"/>
      </w:pPr>
      <w:r w:rsidRPr="00074330">
        <w:t>Registration and Query Desk</w:t>
      </w:r>
    </w:p>
    <w:p w14:paraId="5D263384" w14:textId="77777777" w:rsidR="00436020" w:rsidRDefault="00436020" w:rsidP="00436020">
      <w:pPr>
        <w:pStyle w:val="ABParagraph"/>
        <w:rPr>
          <w:b/>
          <w:bCs/>
        </w:rPr>
      </w:pPr>
    </w:p>
    <w:tbl>
      <w:tblPr>
        <w:tblStyle w:val="TableGrid"/>
        <w:tblW w:w="9525" w:type="dxa"/>
        <w:tblCellMar>
          <w:top w:w="57" w:type="dxa"/>
          <w:bottom w:w="85" w:type="dxa"/>
        </w:tblCellMar>
        <w:tblLook w:val="04A0" w:firstRow="1" w:lastRow="0" w:firstColumn="1" w:lastColumn="0" w:noHBand="0" w:noVBand="1"/>
      </w:tblPr>
      <w:tblGrid>
        <w:gridCol w:w="3175"/>
        <w:gridCol w:w="2207"/>
        <w:gridCol w:w="4143"/>
      </w:tblGrid>
      <w:tr w:rsidR="00436020" w14:paraId="7DAD55EC" w14:textId="77777777" w:rsidTr="00E549C3">
        <w:trPr>
          <w:trHeight w:val="567"/>
        </w:trPr>
        <w:tc>
          <w:tcPr>
            <w:tcW w:w="3175" w:type="dxa"/>
            <w:shd w:val="clear" w:color="auto" w:fill="690E0D"/>
            <w:vAlign w:val="center"/>
          </w:tcPr>
          <w:p w14:paraId="1D9342CB" w14:textId="77777777" w:rsidR="00436020" w:rsidRPr="00074330" w:rsidRDefault="00436020" w:rsidP="00E549C3">
            <w:pPr>
              <w:pStyle w:val="ABParagraph"/>
              <w:rPr>
                <w:b/>
                <w:bCs/>
              </w:rPr>
            </w:pPr>
            <w:r w:rsidRPr="00074330">
              <w:rPr>
                <w:b/>
                <w:bCs/>
              </w:rPr>
              <w:t>Date</w:t>
            </w:r>
          </w:p>
        </w:tc>
        <w:tc>
          <w:tcPr>
            <w:tcW w:w="2207" w:type="dxa"/>
            <w:shd w:val="clear" w:color="auto" w:fill="690E0D"/>
            <w:vAlign w:val="center"/>
          </w:tcPr>
          <w:p w14:paraId="3576388B" w14:textId="77777777" w:rsidR="00436020" w:rsidRDefault="00436020" w:rsidP="00E549C3">
            <w:pPr>
              <w:pStyle w:val="ABParagraph"/>
              <w:rPr>
                <w:b/>
                <w:bCs/>
              </w:rPr>
            </w:pPr>
            <w:r>
              <w:rPr>
                <w:b/>
                <w:bCs/>
              </w:rPr>
              <w:t>Times</w:t>
            </w:r>
          </w:p>
        </w:tc>
        <w:tc>
          <w:tcPr>
            <w:tcW w:w="4143" w:type="dxa"/>
            <w:shd w:val="clear" w:color="auto" w:fill="690E0D"/>
            <w:vAlign w:val="center"/>
          </w:tcPr>
          <w:p w14:paraId="1363FB53" w14:textId="77777777" w:rsidR="00436020" w:rsidRDefault="00436020" w:rsidP="00E549C3">
            <w:pPr>
              <w:pStyle w:val="ABParagraph"/>
              <w:rPr>
                <w:b/>
                <w:bCs/>
              </w:rPr>
            </w:pPr>
            <w:r>
              <w:rPr>
                <w:b/>
                <w:bCs/>
              </w:rPr>
              <w:t>Venue</w:t>
            </w:r>
          </w:p>
        </w:tc>
      </w:tr>
      <w:tr w:rsidR="00436020" w14:paraId="33E84307" w14:textId="77777777" w:rsidTr="00E549C3">
        <w:trPr>
          <w:trHeight w:val="567"/>
        </w:trPr>
        <w:tc>
          <w:tcPr>
            <w:tcW w:w="3175" w:type="dxa"/>
            <w:vAlign w:val="center"/>
          </w:tcPr>
          <w:p w14:paraId="7DC63677" w14:textId="77777777" w:rsidR="00436020" w:rsidRPr="00074330" w:rsidRDefault="00436020" w:rsidP="00E549C3">
            <w:pPr>
              <w:pStyle w:val="ABParagraph"/>
            </w:pPr>
            <w:r>
              <w:t>Thursday 17 September</w:t>
            </w:r>
          </w:p>
        </w:tc>
        <w:tc>
          <w:tcPr>
            <w:tcW w:w="2207" w:type="dxa"/>
            <w:vAlign w:val="center"/>
          </w:tcPr>
          <w:p w14:paraId="38247DA0" w14:textId="77777777" w:rsidR="00436020" w:rsidRPr="00436020" w:rsidRDefault="00436020" w:rsidP="00E549C3">
            <w:pPr>
              <w:pStyle w:val="ABParagraph"/>
            </w:pPr>
            <w:r w:rsidRPr="00436020">
              <w:t>08</w:t>
            </w:r>
            <w:r>
              <w:t>:</w:t>
            </w:r>
            <w:r w:rsidRPr="00436020">
              <w:t>00 – 18</w:t>
            </w:r>
            <w:r>
              <w:t>:</w:t>
            </w:r>
            <w:r w:rsidRPr="00436020">
              <w:t>00</w:t>
            </w:r>
          </w:p>
        </w:tc>
        <w:tc>
          <w:tcPr>
            <w:tcW w:w="4143" w:type="dxa"/>
            <w:vAlign w:val="center"/>
          </w:tcPr>
          <w:p w14:paraId="6AF4297B" w14:textId="77777777" w:rsidR="00436020" w:rsidRPr="00436020" w:rsidRDefault="00436020" w:rsidP="00E549C3">
            <w:pPr>
              <w:pStyle w:val="ABParagraph"/>
            </w:pPr>
            <w:r w:rsidRPr="00436020">
              <w:t>Alan Walters (Atrium)</w:t>
            </w:r>
          </w:p>
        </w:tc>
      </w:tr>
      <w:tr w:rsidR="00436020" w14:paraId="63E23625" w14:textId="77777777" w:rsidTr="00E549C3">
        <w:trPr>
          <w:trHeight w:val="567"/>
        </w:trPr>
        <w:tc>
          <w:tcPr>
            <w:tcW w:w="3175" w:type="dxa"/>
            <w:vAlign w:val="center"/>
          </w:tcPr>
          <w:p w14:paraId="70603A62" w14:textId="77777777" w:rsidR="00436020" w:rsidRDefault="00436020" w:rsidP="00E549C3">
            <w:pPr>
              <w:pStyle w:val="ABParagraph"/>
            </w:pPr>
            <w:r>
              <w:t>Friday 18 September</w:t>
            </w:r>
          </w:p>
        </w:tc>
        <w:tc>
          <w:tcPr>
            <w:tcW w:w="2207" w:type="dxa"/>
            <w:vAlign w:val="center"/>
          </w:tcPr>
          <w:p w14:paraId="36ACAF73" w14:textId="77777777" w:rsidR="00436020" w:rsidRPr="00436020" w:rsidRDefault="00436020" w:rsidP="00E549C3">
            <w:pPr>
              <w:pStyle w:val="ABParagraph"/>
            </w:pPr>
            <w:r>
              <w:t>08:30 – 16:30</w:t>
            </w:r>
          </w:p>
        </w:tc>
        <w:tc>
          <w:tcPr>
            <w:tcW w:w="4143" w:type="dxa"/>
            <w:vAlign w:val="center"/>
          </w:tcPr>
          <w:p w14:paraId="19D38D58" w14:textId="77777777" w:rsidR="00436020" w:rsidRPr="00436020" w:rsidRDefault="00436020" w:rsidP="00E549C3">
            <w:pPr>
              <w:pStyle w:val="ABParagraph"/>
            </w:pPr>
            <w:r w:rsidRPr="00436020">
              <w:t>Alan Walters (Atrium)</w:t>
            </w:r>
          </w:p>
        </w:tc>
      </w:tr>
    </w:tbl>
    <w:p w14:paraId="010B916A" w14:textId="77777777" w:rsidR="003427C1" w:rsidRDefault="003427C1" w:rsidP="00436020">
      <w:pPr>
        <w:pStyle w:val="ABParagraph"/>
        <w:rPr>
          <w:b/>
          <w:bCs/>
        </w:rPr>
      </w:pPr>
    </w:p>
    <w:p w14:paraId="569D0347" w14:textId="77777777" w:rsidR="003427C1" w:rsidRDefault="003427C1" w:rsidP="00436020">
      <w:pPr>
        <w:pStyle w:val="ABParagraph"/>
        <w:rPr>
          <w:b/>
          <w:bCs/>
        </w:rPr>
      </w:pPr>
    </w:p>
    <w:p w14:paraId="7E1FF555" w14:textId="5B06EAA9" w:rsidR="00436020" w:rsidRDefault="00436020" w:rsidP="003427C1">
      <w:pPr>
        <w:pStyle w:val="ABSubhead"/>
      </w:pPr>
      <w:r>
        <w:t>Social Eve</w:t>
      </w:r>
      <w:r w:rsidR="003427C1">
        <w:t>nts</w:t>
      </w:r>
    </w:p>
    <w:p w14:paraId="4FF9729E" w14:textId="77777777" w:rsidR="003427C1" w:rsidRPr="003427C1" w:rsidRDefault="003427C1" w:rsidP="003427C1">
      <w:pPr>
        <w:pStyle w:val="ABParagraph"/>
      </w:pPr>
    </w:p>
    <w:tbl>
      <w:tblPr>
        <w:tblStyle w:val="TableGrid"/>
        <w:tblW w:w="9498" w:type="dxa"/>
        <w:tblInd w:w="-5" w:type="dxa"/>
        <w:tblCellMar>
          <w:top w:w="57" w:type="dxa"/>
          <w:bottom w:w="85" w:type="dxa"/>
        </w:tblCellMar>
        <w:tblLook w:val="04A0" w:firstRow="1" w:lastRow="0" w:firstColumn="1" w:lastColumn="0" w:noHBand="0" w:noVBand="1"/>
      </w:tblPr>
      <w:tblGrid>
        <w:gridCol w:w="3544"/>
        <w:gridCol w:w="1843"/>
        <w:gridCol w:w="1559"/>
        <w:gridCol w:w="2552"/>
      </w:tblGrid>
      <w:tr w:rsidR="00436020" w14:paraId="339B2F9C" w14:textId="77777777" w:rsidTr="000F5209">
        <w:trPr>
          <w:trHeight w:val="569"/>
        </w:trPr>
        <w:tc>
          <w:tcPr>
            <w:tcW w:w="3544" w:type="dxa"/>
            <w:shd w:val="clear" w:color="auto" w:fill="690E0D"/>
            <w:vAlign w:val="center"/>
          </w:tcPr>
          <w:p w14:paraId="2B13A774" w14:textId="77777777" w:rsidR="00436020" w:rsidRPr="00074330" w:rsidRDefault="00436020" w:rsidP="00E549C3">
            <w:pPr>
              <w:pStyle w:val="ABParagraph"/>
              <w:rPr>
                <w:b/>
                <w:bCs/>
              </w:rPr>
            </w:pPr>
            <w:r>
              <w:rPr>
                <w:b/>
                <w:bCs/>
              </w:rPr>
              <w:t>Event</w:t>
            </w:r>
          </w:p>
        </w:tc>
        <w:tc>
          <w:tcPr>
            <w:tcW w:w="1843" w:type="dxa"/>
            <w:shd w:val="clear" w:color="auto" w:fill="690E0D"/>
          </w:tcPr>
          <w:p w14:paraId="2C0BE46F" w14:textId="77777777" w:rsidR="00436020" w:rsidRPr="00074330" w:rsidRDefault="00436020" w:rsidP="00E549C3">
            <w:pPr>
              <w:pStyle w:val="ABParagraph"/>
              <w:rPr>
                <w:b/>
                <w:bCs/>
              </w:rPr>
            </w:pPr>
          </w:p>
        </w:tc>
        <w:tc>
          <w:tcPr>
            <w:tcW w:w="1559" w:type="dxa"/>
            <w:shd w:val="clear" w:color="auto" w:fill="690E0D"/>
            <w:vAlign w:val="center"/>
          </w:tcPr>
          <w:p w14:paraId="5F474140" w14:textId="77777777" w:rsidR="00436020" w:rsidRPr="00074330" w:rsidRDefault="00436020" w:rsidP="00E549C3">
            <w:pPr>
              <w:pStyle w:val="ABParagraph"/>
              <w:rPr>
                <w:b/>
                <w:bCs/>
              </w:rPr>
            </w:pPr>
            <w:r w:rsidRPr="00074330">
              <w:rPr>
                <w:b/>
                <w:bCs/>
              </w:rPr>
              <w:t>Date</w:t>
            </w:r>
          </w:p>
        </w:tc>
        <w:tc>
          <w:tcPr>
            <w:tcW w:w="2552" w:type="dxa"/>
            <w:shd w:val="clear" w:color="auto" w:fill="690E0D"/>
            <w:vAlign w:val="center"/>
          </w:tcPr>
          <w:p w14:paraId="4B9F26AA" w14:textId="77777777" w:rsidR="00436020" w:rsidRDefault="00436020" w:rsidP="00E549C3">
            <w:pPr>
              <w:pStyle w:val="ABParagraph"/>
              <w:rPr>
                <w:b/>
                <w:bCs/>
              </w:rPr>
            </w:pPr>
            <w:r>
              <w:rPr>
                <w:b/>
                <w:bCs/>
              </w:rPr>
              <w:t>Venue</w:t>
            </w:r>
          </w:p>
        </w:tc>
      </w:tr>
      <w:tr w:rsidR="00436020" w14:paraId="225A2B07" w14:textId="77777777" w:rsidTr="000F5209">
        <w:trPr>
          <w:trHeight w:val="569"/>
        </w:trPr>
        <w:tc>
          <w:tcPr>
            <w:tcW w:w="3544" w:type="dxa"/>
            <w:vAlign w:val="center"/>
          </w:tcPr>
          <w:p w14:paraId="637E4411" w14:textId="77777777" w:rsidR="00436020" w:rsidRDefault="00436020" w:rsidP="00E549C3">
            <w:pPr>
              <w:pStyle w:val="ABParagraph"/>
            </w:pPr>
            <w:r w:rsidRPr="0086550A">
              <w:t>Welcome Reception</w:t>
            </w:r>
          </w:p>
        </w:tc>
        <w:tc>
          <w:tcPr>
            <w:tcW w:w="1843" w:type="dxa"/>
            <w:vAlign w:val="center"/>
          </w:tcPr>
          <w:p w14:paraId="7E063C8E" w14:textId="77777777" w:rsidR="00436020" w:rsidRDefault="00436020" w:rsidP="00E549C3">
            <w:pPr>
              <w:pStyle w:val="ABParagraph"/>
            </w:pPr>
            <w:r>
              <w:t>Wednesday 16 September</w:t>
            </w:r>
          </w:p>
        </w:tc>
        <w:tc>
          <w:tcPr>
            <w:tcW w:w="1559" w:type="dxa"/>
            <w:vAlign w:val="center"/>
          </w:tcPr>
          <w:p w14:paraId="504E0181" w14:textId="77777777" w:rsidR="00436020" w:rsidRPr="00074330" w:rsidRDefault="00436020" w:rsidP="00E549C3">
            <w:pPr>
              <w:pStyle w:val="ABParagraph"/>
            </w:pPr>
            <w:r>
              <w:t>18:30-20:00</w:t>
            </w:r>
          </w:p>
        </w:tc>
        <w:tc>
          <w:tcPr>
            <w:tcW w:w="2552" w:type="dxa"/>
            <w:vAlign w:val="center"/>
          </w:tcPr>
          <w:p w14:paraId="5B9C9DAF" w14:textId="77777777" w:rsidR="00436020" w:rsidRPr="0086550A" w:rsidRDefault="00436020" w:rsidP="00E549C3">
            <w:pPr>
              <w:pStyle w:val="ABParagraph"/>
            </w:pPr>
            <w:r w:rsidRPr="0086550A">
              <w:t>The Exchange</w:t>
            </w:r>
          </w:p>
        </w:tc>
      </w:tr>
      <w:tr w:rsidR="00436020" w14:paraId="379711E5" w14:textId="77777777" w:rsidTr="000F5209">
        <w:trPr>
          <w:trHeight w:val="569"/>
        </w:trPr>
        <w:tc>
          <w:tcPr>
            <w:tcW w:w="3544" w:type="dxa"/>
            <w:vAlign w:val="center"/>
          </w:tcPr>
          <w:p w14:paraId="2873B4B0" w14:textId="77777777" w:rsidR="00171A9B" w:rsidRDefault="00436020" w:rsidP="00E549C3">
            <w:pPr>
              <w:pStyle w:val="ABParagraph"/>
            </w:pPr>
            <w:r>
              <w:t>Drinks Reception</w:t>
            </w:r>
            <w:r w:rsidR="000F5209">
              <w:t xml:space="preserve"> </w:t>
            </w:r>
          </w:p>
          <w:p w14:paraId="783166F5" w14:textId="45888DDF" w:rsidR="00436020" w:rsidRPr="00171A9B" w:rsidRDefault="00171A9B" w:rsidP="00E549C3">
            <w:pPr>
              <w:pStyle w:val="ABParagraph"/>
              <w:rPr>
                <w:i/>
                <w:iCs/>
              </w:rPr>
            </w:pPr>
            <w:r w:rsidRPr="00171A9B">
              <w:rPr>
                <w:i/>
                <w:iCs/>
              </w:rPr>
              <w:t>I</w:t>
            </w:r>
            <w:r w:rsidR="000F5209" w:rsidRPr="00171A9B">
              <w:rPr>
                <w:i/>
                <w:iCs/>
              </w:rPr>
              <w:t>n Memory of Professor Lisa De Propris (Courtesy of Birmingham Buisness School)</w:t>
            </w:r>
          </w:p>
        </w:tc>
        <w:tc>
          <w:tcPr>
            <w:tcW w:w="1843" w:type="dxa"/>
            <w:vAlign w:val="center"/>
          </w:tcPr>
          <w:p w14:paraId="1A47C6C8" w14:textId="77777777" w:rsidR="00436020" w:rsidRDefault="00436020" w:rsidP="00E549C3">
            <w:pPr>
              <w:pStyle w:val="ABParagraph"/>
            </w:pPr>
            <w:r>
              <w:t>Thursday 17 September</w:t>
            </w:r>
          </w:p>
        </w:tc>
        <w:tc>
          <w:tcPr>
            <w:tcW w:w="1559" w:type="dxa"/>
            <w:vAlign w:val="center"/>
          </w:tcPr>
          <w:p w14:paraId="4EA1B136" w14:textId="77777777" w:rsidR="00436020" w:rsidRDefault="00436020" w:rsidP="00E549C3">
            <w:pPr>
              <w:pStyle w:val="ABParagraph"/>
            </w:pPr>
            <w:r>
              <w:t>17:50-18:30</w:t>
            </w:r>
          </w:p>
        </w:tc>
        <w:tc>
          <w:tcPr>
            <w:tcW w:w="2552" w:type="dxa"/>
            <w:vAlign w:val="center"/>
          </w:tcPr>
          <w:p w14:paraId="2C183431" w14:textId="77777777" w:rsidR="00436020" w:rsidRPr="0086550A" w:rsidRDefault="00436020" w:rsidP="00E549C3">
            <w:pPr>
              <w:pStyle w:val="ABParagraph"/>
            </w:pPr>
            <w:r>
              <w:t>Alan Walters (Atrium)</w:t>
            </w:r>
          </w:p>
        </w:tc>
      </w:tr>
      <w:tr w:rsidR="00436020" w14:paraId="7D9E5C82" w14:textId="77777777" w:rsidTr="000F5209">
        <w:trPr>
          <w:trHeight w:val="569"/>
        </w:trPr>
        <w:tc>
          <w:tcPr>
            <w:tcW w:w="3544" w:type="dxa"/>
            <w:vAlign w:val="center"/>
          </w:tcPr>
          <w:p w14:paraId="39964CB8" w14:textId="77777777" w:rsidR="00436020" w:rsidRDefault="00436020" w:rsidP="00E549C3">
            <w:pPr>
              <w:pStyle w:val="ABParagraph"/>
            </w:pPr>
            <w:r>
              <w:t>Conference Dinner</w:t>
            </w:r>
          </w:p>
        </w:tc>
        <w:tc>
          <w:tcPr>
            <w:tcW w:w="1843" w:type="dxa"/>
            <w:vAlign w:val="center"/>
          </w:tcPr>
          <w:p w14:paraId="5609F01B" w14:textId="77777777" w:rsidR="00436020" w:rsidRDefault="00436020" w:rsidP="00E549C3">
            <w:pPr>
              <w:pStyle w:val="ABParagraph"/>
            </w:pPr>
            <w:r>
              <w:t>Thursday 17 September</w:t>
            </w:r>
          </w:p>
        </w:tc>
        <w:tc>
          <w:tcPr>
            <w:tcW w:w="1559" w:type="dxa"/>
            <w:vAlign w:val="center"/>
          </w:tcPr>
          <w:p w14:paraId="564D1DAA" w14:textId="77777777" w:rsidR="00436020" w:rsidRDefault="00436020" w:rsidP="00E549C3">
            <w:pPr>
              <w:pStyle w:val="ABParagraph"/>
            </w:pPr>
            <w:r>
              <w:t>19:30-22:30</w:t>
            </w:r>
          </w:p>
        </w:tc>
        <w:tc>
          <w:tcPr>
            <w:tcW w:w="2552" w:type="dxa"/>
            <w:vAlign w:val="center"/>
          </w:tcPr>
          <w:p w14:paraId="6777E523" w14:textId="77777777" w:rsidR="00436020" w:rsidRPr="0086550A" w:rsidRDefault="00436020" w:rsidP="00E549C3">
            <w:pPr>
              <w:pStyle w:val="ABParagraph"/>
            </w:pPr>
            <w:r>
              <w:t>Industrial Gallery, Birmingham Museum &amp; Art Gallery (BMAG)</w:t>
            </w:r>
          </w:p>
        </w:tc>
      </w:tr>
    </w:tbl>
    <w:p w14:paraId="6A7D8309" w14:textId="77777777" w:rsidR="000F5209" w:rsidRDefault="000F5209" w:rsidP="001140FC">
      <w:pPr>
        <w:pStyle w:val="ABParagraph"/>
      </w:pPr>
    </w:p>
    <w:p w14:paraId="1391C659" w14:textId="77777777" w:rsidR="000F5209" w:rsidRDefault="000F5209" w:rsidP="001140FC">
      <w:pPr>
        <w:pStyle w:val="ABParagraph"/>
      </w:pPr>
    </w:p>
    <w:p w14:paraId="19FEDEAD" w14:textId="6C18EEE5" w:rsidR="0086550A" w:rsidRDefault="000F60AE" w:rsidP="00AE2979">
      <w:pPr>
        <w:pStyle w:val="ABSubhead"/>
        <w:jc w:val="right"/>
      </w:pPr>
      <w:r>
        <w:rPr>
          <w:b w:val="0"/>
          <w:bCs w:val="0"/>
          <w:noProof/>
        </w:rPr>
        <w:drawing>
          <wp:anchor distT="0" distB="0" distL="360045" distR="360045" simplePos="0" relativeHeight="251670528" behindDoc="0" locked="0" layoutInCell="1" allowOverlap="1" wp14:anchorId="69719F5E" wp14:editId="29497C56">
            <wp:simplePos x="0" y="0"/>
            <wp:positionH relativeFrom="margin">
              <wp:align>left</wp:align>
            </wp:positionH>
            <wp:positionV relativeFrom="paragraph">
              <wp:posOffset>60960</wp:posOffset>
            </wp:positionV>
            <wp:extent cx="2786400" cy="1854000"/>
            <wp:effectExtent l="0" t="0" r="0" b="0"/>
            <wp:wrapThrough wrapText="bothSides">
              <wp:wrapPolygon edited="0">
                <wp:start x="0" y="0"/>
                <wp:lineTo x="0" y="21311"/>
                <wp:lineTo x="21413" y="21311"/>
                <wp:lineTo x="21413" y="0"/>
                <wp:lineTo x="0" y="0"/>
              </wp:wrapPolygon>
            </wp:wrapThrough>
            <wp:docPr id="1540106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86400" cy="185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550A">
        <w:t>Welcome Reception</w:t>
      </w:r>
    </w:p>
    <w:p w14:paraId="3D0A2B80" w14:textId="4D91BB70" w:rsidR="0086550A" w:rsidRDefault="0086550A" w:rsidP="00AE2979">
      <w:pPr>
        <w:spacing w:after="0" w:line="240" w:lineRule="auto"/>
        <w:ind w:left="2160"/>
        <w:jc w:val="right"/>
        <w:rPr>
          <w:rFonts w:ascii="Noto Serif Light" w:hAnsi="Noto Serif Light" w:cs="Noto Serif Light"/>
        </w:rPr>
      </w:pPr>
      <w:r>
        <w:rPr>
          <w:rFonts w:ascii="Noto Serif Light" w:hAnsi="Noto Serif Light" w:cs="Noto Serif Light"/>
        </w:rPr>
        <w:t>Welcome drinks and canapes will be hosted on Wednesday at The Exchange, Birmingham City Centre. Please note, this is a ticketed event – please ensure you booked your place when you registered for the conference.</w:t>
      </w:r>
    </w:p>
    <w:p w14:paraId="77A127F2" w14:textId="5B586AD2" w:rsidR="0086550A" w:rsidRDefault="0086550A" w:rsidP="00AE2979">
      <w:pPr>
        <w:spacing w:after="0" w:line="240" w:lineRule="auto"/>
        <w:jc w:val="right"/>
        <w:rPr>
          <w:rFonts w:ascii="Noto Serif Light" w:hAnsi="Noto Serif Light" w:cs="Noto Serif Light"/>
        </w:rPr>
      </w:pPr>
    </w:p>
    <w:p w14:paraId="49D520ED" w14:textId="6652A42D" w:rsidR="0086550A" w:rsidRDefault="0086550A" w:rsidP="00AE2979">
      <w:pPr>
        <w:spacing w:after="0" w:line="240" w:lineRule="auto"/>
        <w:jc w:val="right"/>
        <w:rPr>
          <w:rFonts w:ascii="Noto Serif Light" w:hAnsi="Noto Serif Light" w:cs="Noto Serif Light"/>
          <w:b/>
          <w:bCs/>
        </w:rPr>
      </w:pPr>
      <w:r>
        <w:rPr>
          <w:rFonts w:ascii="Noto Serif Light" w:hAnsi="Noto Serif Light" w:cs="Noto Serif Light"/>
          <w:b/>
          <w:bCs/>
        </w:rPr>
        <w:t>Address</w:t>
      </w:r>
    </w:p>
    <w:p w14:paraId="14762E25" w14:textId="3B0A9A40" w:rsidR="0086550A" w:rsidRDefault="000F5209" w:rsidP="00AE2979">
      <w:pPr>
        <w:spacing w:after="0" w:line="240" w:lineRule="auto"/>
        <w:jc w:val="right"/>
        <w:rPr>
          <w:rFonts w:ascii="Noto Serif Light" w:hAnsi="Noto Serif Light" w:cs="Noto Serif Light"/>
        </w:rPr>
      </w:pPr>
      <w:r>
        <w:rPr>
          <w:b/>
          <w:bCs/>
          <w:noProof/>
        </w:rPr>
        <w:drawing>
          <wp:anchor distT="0" distB="0" distL="360045" distR="360045" simplePos="0" relativeHeight="251671552" behindDoc="0" locked="0" layoutInCell="1" allowOverlap="1" wp14:anchorId="1247C02E" wp14:editId="5A41CF33">
            <wp:simplePos x="0" y="0"/>
            <wp:positionH relativeFrom="margin">
              <wp:posOffset>-635</wp:posOffset>
            </wp:positionH>
            <wp:positionV relativeFrom="paragraph">
              <wp:posOffset>10795</wp:posOffset>
            </wp:positionV>
            <wp:extent cx="2786380" cy="1850390"/>
            <wp:effectExtent l="0" t="0" r="0" b="0"/>
            <wp:wrapThrough wrapText="bothSides">
              <wp:wrapPolygon edited="0">
                <wp:start x="0" y="0"/>
                <wp:lineTo x="0" y="21348"/>
                <wp:lineTo x="21413" y="21348"/>
                <wp:lineTo x="21413" y="0"/>
                <wp:lineTo x="0" y="0"/>
              </wp:wrapPolygon>
            </wp:wrapThrough>
            <wp:docPr id="8443299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86380" cy="1850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550A">
        <w:rPr>
          <w:rFonts w:ascii="Noto Serif Light" w:hAnsi="Noto Serif Light" w:cs="Noto Serif Light"/>
        </w:rPr>
        <w:t>The Exchange</w:t>
      </w:r>
      <w:r w:rsidR="0086550A">
        <w:rPr>
          <w:rFonts w:ascii="Noto Serif Light" w:hAnsi="Noto Serif Light" w:cs="Noto Serif Light"/>
        </w:rPr>
        <w:br/>
        <w:t>3 Centenary Square</w:t>
      </w:r>
      <w:r w:rsidR="0086550A">
        <w:rPr>
          <w:rFonts w:ascii="Noto Serif Light" w:hAnsi="Noto Serif Light" w:cs="Noto Serif Light"/>
        </w:rPr>
        <w:br/>
        <w:t>Birmingham</w:t>
      </w:r>
    </w:p>
    <w:p w14:paraId="70743AEC" w14:textId="3E994D66" w:rsidR="0086550A" w:rsidRPr="0086550A" w:rsidRDefault="0086550A" w:rsidP="00AE2979">
      <w:pPr>
        <w:spacing w:after="0" w:line="240" w:lineRule="auto"/>
        <w:jc w:val="right"/>
        <w:rPr>
          <w:rFonts w:ascii="Noto Serif Light" w:hAnsi="Noto Serif Light" w:cs="Noto Serif Light"/>
        </w:rPr>
      </w:pPr>
      <w:r>
        <w:rPr>
          <w:rFonts w:ascii="Noto Serif Light" w:hAnsi="Noto Serif Light" w:cs="Noto Serif Light"/>
        </w:rPr>
        <w:t>B1 2DR</w:t>
      </w:r>
    </w:p>
    <w:p w14:paraId="2921D9D1" w14:textId="635D14BC" w:rsidR="00AE2979" w:rsidRDefault="00AE2979" w:rsidP="000E1994">
      <w:pPr>
        <w:pStyle w:val="ABParagraph"/>
      </w:pPr>
    </w:p>
    <w:p w14:paraId="64A57322" w14:textId="5C907033" w:rsidR="0027472E" w:rsidRDefault="0027472E" w:rsidP="000E1994">
      <w:pPr>
        <w:pStyle w:val="ABParagraph"/>
      </w:pPr>
    </w:p>
    <w:p w14:paraId="15AF0351" w14:textId="4C166B3C" w:rsidR="0027472E" w:rsidRDefault="0027472E" w:rsidP="000E1994">
      <w:pPr>
        <w:pStyle w:val="ABParagraph"/>
      </w:pPr>
    </w:p>
    <w:p w14:paraId="1E11EC24" w14:textId="7D7CFA2E" w:rsidR="0027472E" w:rsidRDefault="0027472E" w:rsidP="000E1994">
      <w:pPr>
        <w:pStyle w:val="ABParagraph"/>
      </w:pPr>
    </w:p>
    <w:p w14:paraId="0DA40577" w14:textId="77777777" w:rsidR="0027472E" w:rsidRDefault="0027472E" w:rsidP="000E1994">
      <w:pPr>
        <w:pStyle w:val="ABParagraph"/>
      </w:pPr>
    </w:p>
    <w:p w14:paraId="072FF7B0" w14:textId="77777777" w:rsidR="0027472E" w:rsidRDefault="0027472E" w:rsidP="000E1994">
      <w:pPr>
        <w:pStyle w:val="ABParagraph"/>
      </w:pPr>
    </w:p>
    <w:p w14:paraId="1AA91B41" w14:textId="77777777" w:rsidR="0027472E" w:rsidRDefault="0027472E" w:rsidP="000E1994">
      <w:pPr>
        <w:pStyle w:val="ABParagraph"/>
      </w:pPr>
    </w:p>
    <w:p w14:paraId="34A9B8E8" w14:textId="65D0664F" w:rsidR="0027472E" w:rsidRDefault="0027472E" w:rsidP="000E1994">
      <w:pPr>
        <w:pStyle w:val="ABParagraph"/>
      </w:pPr>
    </w:p>
    <w:p w14:paraId="7D503B83" w14:textId="77777777" w:rsidR="009E7F1D" w:rsidRDefault="009E7F1D" w:rsidP="000E1994">
      <w:pPr>
        <w:pStyle w:val="ABParagraph"/>
      </w:pPr>
    </w:p>
    <w:p w14:paraId="02A5DFAD" w14:textId="7A656D9E" w:rsidR="00074330" w:rsidRDefault="0027472E" w:rsidP="00AE2979">
      <w:pPr>
        <w:pStyle w:val="ABSubhead"/>
      </w:pPr>
      <w:r>
        <w:rPr>
          <w:b w:val="0"/>
          <w:bCs w:val="0"/>
          <w:noProof/>
        </w:rPr>
        <w:drawing>
          <wp:anchor distT="0" distB="0" distL="114300" distR="114300" simplePos="0" relativeHeight="251679744" behindDoc="1" locked="0" layoutInCell="1" allowOverlap="1" wp14:anchorId="64D71E56" wp14:editId="1BEECA1B">
            <wp:simplePos x="0" y="0"/>
            <wp:positionH relativeFrom="column">
              <wp:posOffset>3356742</wp:posOffset>
            </wp:positionH>
            <wp:positionV relativeFrom="paragraph">
              <wp:posOffset>7463</wp:posOffset>
            </wp:positionV>
            <wp:extent cx="2786380" cy="1855631"/>
            <wp:effectExtent l="0" t="0" r="0" b="0"/>
            <wp:wrapTight wrapText="bothSides">
              <wp:wrapPolygon edited="0">
                <wp:start x="0" y="0"/>
                <wp:lineTo x="0" y="21290"/>
                <wp:lineTo x="21413" y="21290"/>
                <wp:lineTo x="21413" y="0"/>
                <wp:lineTo x="0" y="0"/>
              </wp:wrapPolygon>
            </wp:wrapTight>
            <wp:docPr id="1449004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004151" name="Picture 144900415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86380" cy="1855631"/>
                    </a:xfrm>
                    <a:prstGeom prst="rect">
                      <a:avLst/>
                    </a:prstGeom>
                  </pic:spPr>
                </pic:pic>
              </a:graphicData>
            </a:graphic>
          </wp:anchor>
        </w:drawing>
      </w:r>
      <w:r w:rsidR="000F60AE">
        <w:t>Conference Dinner</w:t>
      </w:r>
    </w:p>
    <w:p w14:paraId="1C577564" w14:textId="42D6419E" w:rsidR="000F60AE" w:rsidRDefault="000F60AE" w:rsidP="00AE2979">
      <w:pPr>
        <w:pStyle w:val="ABParagraph"/>
      </w:pPr>
      <w:r>
        <w:t xml:space="preserve">The conference dinner will be held on Thursday </w:t>
      </w:r>
      <w:r w:rsidR="00BC21C0">
        <w:t>in the Industrial Gallery at the Birmingham Museum &amp; Art Gallery</w:t>
      </w:r>
      <w:r w:rsidR="00436020">
        <w:t xml:space="preserve"> (BMAG)</w:t>
      </w:r>
      <w:r w:rsidR="00BC21C0">
        <w:t>. Please note, this is a ticketed event – please ensure you booked your place when you registered for the conference.</w:t>
      </w:r>
    </w:p>
    <w:p w14:paraId="0A6702E5" w14:textId="07E7D325" w:rsidR="00BC21C0" w:rsidRDefault="00BC21C0" w:rsidP="00AE2979">
      <w:pPr>
        <w:pStyle w:val="ABParagraph"/>
        <w:rPr>
          <w:b/>
          <w:bCs/>
        </w:rPr>
      </w:pPr>
    </w:p>
    <w:p w14:paraId="25E957EB" w14:textId="3ABC2BFA" w:rsidR="00AE2979" w:rsidRDefault="00AE2979" w:rsidP="00AE2979">
      <w:pPr>
        <w:pStyle w:val="ABParagraph"/>
        <w:rPr>
          <w:b/>
          <w:bCs/>
        </w:rPr>
      </w:pPr>
      <w:r>
        <w:rPr>
          <w:b/>
          <w:bCs/>
        </w:rPr>
        <w:t>Address</w:t>
      </w:r>
    </w:p>
    <w:p w14:paraId="421C9F47" w14:textId="3C52CF4C" w:rsidR="00BC21C0" w:rsidRDefault="00BC21C0" w:rsidP="00AE2979">
      <w:pPr>
        <w:pStyle w:val="ABParagraph"/>
      </w:pPr>
      <w:r>
        <w:t>Birmingham Museum &amp; Art Gallery</w:t>
      </w:r>
    </w:p>
    <w:p w14:paraId="6435FFCD" w14:textId="5FEFF50D" w:rsidR="00BC21C0" w:rsidRDefault="009E7F1D" w:rsidP="00AE2979">
      <w:pPr>
        <w:pStyle w:val="ABParagraph"/>
      </w:pPr>
      <w:r>
        <w:rPr>
          <w:b/>
          <w:bCs/>
          <w:noProof/>
        </w:rPr>
        <w:drawing>
          <wp:anchor distT="0" distB="0" distL="114300" distR="114300" simplePos="0" relativeHeight="251680768" behindDoc="1" locked="0" layoutInCell="1" allowOverlap="1" wp14:anchorId="7DE1B6E5" wp14:editId="58CFD957">
            <wp:simplePos x="0" y="0"/>
            <wp:positionH relativeFrom="column">
              <wp:posOffset>3358821</wp:posOffset>
            </wp:positionH>
            <wp:positionV relativeFrom="page">
              <wp:posOffset>7123430</wp:posOffset>
            </wp:positionV>
            <wp:extent cx="2787015" cy="1966595"/>
            <wp:effectExtent l="0" t="0" r="0" b="0"/>
            <wp:wrapTight wrapText="bothSides">
              <wp:wrapPolygon edited="0">
                <wp:start x="0" y="0"/>
                <wp:lineTo x="0" y="21342"/>
                <wp:lineTo x="21408" y="21342"/>
                <wp:lineTo x="21408" y="0"/>
                <wp:lineTo x="0" y="0"/>
              </wp:wrapPolygon>
            </wp:wrapTight>
            <wp:docPr id="4621934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193459" name="Picture 462193459"/>
                    <pic:cNvPicPr/>
                  </pic:nvPicPr>
                  <pic:blipFill rotWithShape="1">
                    <a:blip r:embed="rId21" cstate="print">
                      <a:extLst>
                        <a:ext uri="{28A0092B-C50C-407E-A947-70E740481C1C}">
                          <a14:useLocalDpi xmlns:a14="http://schemas.microsoft.com/office/drawing/2010/main" val="0"/>
                        </a:ext>
                      </a:extLst>
                    </a:blip>
                    <a:srcRect t="5923"/>
                    <a:stretch>
                      <a:fillRect/>
                    </a:stretch>
                  </pic:blipFill>
                  <pic:spPr bwMode="auto">
                    <a:xfrm>
                      <a:off x="0" y="0"/>
                      <a:ext cx="2787015" cy="1966595"/>
                    </a:xfrm>
                    <a:prstGeom prst="rect">
                      <a:avLst/>
                    </a:prstGeom>
                    <a:ln>
                      <a:noFill/>
                    </a:ln>
                    <a:extLst>
                      <a:ext uri="{53640926-AAD7-44D8-BBD7-CCE9431645EC}">
                        <a14:shadowObscured xmlns:a14="http://schemas.microsoft.com/office/drawing/2010/main"/>
                      </a:ext>
                    </a:extLst>
                  </pic:spPr>
                </pic:pic>
              </a:graphicData>
            </a:graphic>
          </wp:anchor>
        </w:drawing>
      </w:r>
      <w:r w:rsidR="00BC21C0">
        <w:t>Chamberlain Square</w:t>
      </w:r>
    </w:p>
    <w:p w14:paraId="5419D4AD" w14:textId="25D127CC" w:rsidR="00BC21C0" w:rsidRDefault="00BC21C0" w:rsidP="00AE2979">
      <w:pPr>
        <w:pStyle w:val="ABParagraph"/>
      </w:pPr>
      <w:r>
        <w:t>Birmingham</w:t>
      </w:r>
    </w:p>
    <w:p w14:paraId="142D3D19" w14:textId="580F1440" w:rsidR="00BC21C0" w:rsidRDefault="00BC21C0" w:rsidP="00AE2979">
      <w:pPr>
        <w:pStyle w:val="ABParagraph"/>
      </w:pPr>
      <w:r>
        <w:t>B3 3DH</w:t>
      </w:r>
    </w:p>
    <w:p w14:paraId="0E0A44D6" w14:textId="5F8713C4" w:rsidR="00BC21C0" w:rsidRDefault="00BC21C0" w:rsidP="00AE2979">
      <w:pPr>
        <w:pStyle w:val="ABParagraph"/>
      </w:pPr>
    </w:p>
    <w:p w14:paraId="3035EA7D" w14:textId="5617D34A" w:rsidR="00436020" w:rsidRDefault="00436020" w:rsidP="000F60AE">
      <w:pPr>
        <w:pStyle w:val="ABParagraph"/>
      </w:pPr>
    </w:p>
    <w:p w14:paraId="63DB42E3" w14:textId="6A522249" w:rsidR="00436020" w:rsidRDefault="00436020" w:rsidP="000F60AE">
      <w:pPr>
        <w:pStyle w:val="ABParagraph"/>
      </w:pPr>
    </w:p>
    <w:p w14:paraId="0986A059" w14:textId="77777777" w:rsidR="00436020" w:rsidRDefault="00436020" w:rsidP="000F60AE">
      <w:pPr>
        <w:pStyle w:val="ABParagraph"/>
      </w:pPr>
    </w:p>
    <w:p w14:paraId="33BD5E21" w14:textId="77777777" w:rsidR="00436020" w:rsidRDefault="00436020" w:rsidP="000F60AE">
      <w:pPr>
        <w:pStyle w:val="ABParagraph"/>
      </w:pPr>
    </w:p>
    <w:p w14:paraId="567035CA" w14:textId="77777777" w:rsidR="00436020" w:rsidRDefault="00436020" w:rsidP="000F60AE">
      <w:pPr>
        <w:pStyle w:val="ABParagraph"/>
      </w:pPr>
    </w:p>
    <w:p w14:paraId="633059A4" w14:textId="77777777" w:rsidR="00436020" w:rsidRDefault="00436020" w:rsidP="000F60AE">
      <w:pPr>
        <w:pStyle w:val="ABParagraph"/>
      </w:pPr>
    </w:p>
    <w:p w14:paraId="3FEC4ED4" w14:textId="77777777" w:rsidR="00436020" w:rsidRDefault="00436020" w:rsidP="000F60AE">
      <w:pPr>
        <w:pStyle w:val="ABParagraph"/>
      </w:pPr>
    </w:p>
    <w:p w14:paraId="39035633" w14:textId="0A081956" w:rsidR="000F5209" w:rsidRDefault="000F5209">
      <w:pPr>
        <w:rPr>
          <w:rFonts w:ascii="Noto Serif Light" w:eastAsiaTheme="majorEastAsia" w:hAnsi="Noto Serif Light" w:cs="Noto Serif Light"/>
          <w:b/>
          <w:bCs/>
          <w:color w:val="690E0D"/>
          <w:sz w:val="56"/>
          <w:szCs w:val="48"/>
        </w:rPr>
      </w:pPr>
      <w:bookmarkStart w:id="9" w:name="_Toc238128002"/>
      <w:bookmarkStart w:id="10" w:name="_Toc238129276"/>
    </w:p>
    <w:p w14:paraId="38889C92" w14:textId="46D6C9AA" w:rsidR="00263DBC" w:rsidRDefault="00263DBC" w:rsidP="00263DBC">
      <w:pPr>
        <w:pStyle w:val="ABHeading"/>
      </w:pPr>
      <w:r>
        <w:lastRenderedPageBreak/>
        <w:t>Campus Map</w:t>
      </w:r>
      <w:bookmarkEnd w:id="9"/>
      <w:bookmarkEnd w:id="10"/>
    </w:p>
    <w:p w14:paraId="37699519" w14:textId="65CB7EA0" w:rsidR="00074330" w:rsidRDefault="00074330" w:rsidP="00074330">
      <w:pPr>
        <w:pStyle w:val="ABParagraph"/>
      </w:pPr>
      <w:r w:rsidRPr="00074330">
        <w:rPr>
          <w:b/>
          <w:bCs/>
          <w:color w:val="C00000"/>
        </w:rPr>
        <w:t>R29</w:t>
      </w:r>
      <w:r>
        <w:rPr>
          <w:b/>
          <w:bCs/>
        </w:rPr>
        <w:t xml:space="preserve"> </w:t>
      </w:r>
      <w:r>
        <w:t>Alan Walters Building</w:t>
      </w:r>
    </w:p>
    <w:p w14:paraId="1A6E52CB" w14:textId="77777777" w:rsidR="00074330" w:rsidRDefault="00074330" w:rsidP="00074330">
      <w:pPr>
        <w:pStyle w:val="ABParagraph"/>
      </w:pPr>
    </w:p>
    <w:p w14:paraId="1D122913" w14:textId="0822F3EE" w:rsidR="00074330" w:rsidRDefault="00074330" w:rsidP="00074330">
      <w:pPr>
        <w:pStyle w:val="ABParagraph"/>
      </w:pPr>
      <w:r>
        <w:t xml:space="preserve">Please also take a look at the </w:t>
      </w:r>
      <w:hyperlink r:id="rId22" w:history="1">
        <w:r w:rsidRPr="006B5927">
          <w:rPr>
            <w:rStyle w:val="Hyperlink"/>
          </w:rPr>
          <w:t>interactive campus map</w:t>
        </w:r>
      </w:hyperlink>
      <w:r>
        <w:t xml:space="preserve">, and </w:t>
      </w:r>
      <w:hyperlink r:id="rId23" w:history="1">
        <w:r w:rsidRPr="006B5927">
          <w:rPr>
            <w:rStyle w:val="Hyperlink"/>
          </w:rPr>
          <w:t>mobility map</w:t>
        </w:r>
      </w:hyperlink>
      <w:r>
        <w:t xml:space="preserve"> as needed.</w:t>
      </w:r>
    </w:p>
    <w:p w14:paraId="11DC95BC" w14:textId="405684CC" w:rsidR="00074330" w:rsidRDefault="0087531E" w:rsidP="00074330">
      <w:pPr>
        <w:pStyle w:val="ABParagraph"/>
      </w:pPr>
      <w:r w:rsidRPr="00A866CC">
        <w:rPr>
          <w:noProof/>
        </w:rPr>
        <w:drawing>
          <wp:anchor distT="0" distB="0" distL="114300" distR="114300" simplePos="0" relativeHeight="251663360" behindDoc="0" locked="0" layoutInCell="1" allowOverlap="1" wp14:anchorId="7CE9794A" wp14:editId="5D34700E">
            <wp:simplePos x="0" y="0"/>
            <wp:positionH relativeFrom="margin">
              <wp:posOffset>-356260</wp:posOffset>
            </wp:positionH>
            <wp:positionV relativeFrom="paragraph">
              <wp:posOffset>37095</wp:posOffset>
            </wp:positionV>
            <wp:extent cx="6448302" cy="7201001"/>
            <wp:effectExtent l="0" t="0" r="0" b="0"/>
            <wp:wrapNone/>
            <wp:docPr id="2004858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858498" name=""/>
                    <pic:cNvPicPr/>
                  </pic:nvPicPr>
                  <pic:blipFill rotWithShape="1">
                    <a:blip r:embed="rId24">
                      <a:extLst>
                        <a:ext uri="{28A0092B-C50C-407E-A947-70E740481C1C}">
                          <a14:useLocalDpi xmlns:a14="http://schemas.microsoft.com/office/drawing/2010/main" val="0"/>
                        </a:ext>
                      </a:extLst>
                    </a:blip>
                    <a:srcRect l="12963" t="26440" r="13084" b="3390"/>
                    <a:stretch>
                      <a:fillRect/>
                    </a:stretch>
                  </pic:blipFill>
                  <pic:spPr bwMode="auto">
                    <a:xfrm>
                      <a:off x="0" y="0"/>
                      <a:ext cx="6449135" cy="72019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077554" w14:textId="176CB488" w:rsidR="00074330" w:rsidRDefault="00074330" w:rsidP="00074330">
      <w:pPr>
        <w:pStyle w:val="ABParagraph"/>
      </w:pPr>
    </w:p>
    <w:p w14:paraId="4D1AFC72" w14:textId="77777777" w:rsidR="00074330" w:rsidRDefault="00074330" w:rsidP="00074330">
      <w:pPr>
        <w:pStyle w:val="ABParagraph"/>
      </w:pPr>
    </w:p>
    <w:p w14:paraId="5F47CE52" w14:textId="77777777" w:rsidR="00074330" w:rsidRDefault="00074330" w:rsidP="00074330">
      <w:pPr>
        <w:pStyle w:val="ABParagraph"/>
      </w:pPr>
    </w:p>
    <w:p w14:paraId="34B592BA" w14:textId="77777777" w:rsidR="00074330" w:rsidRDefault="00074330" w:rsidP="00074330">
      <w:pPr>
        <w:pStyle w:val="ABParagraph"/>
      </w:pPr>
    </w:p>
    <w:p w14:paraId="05B8A6E8" w14:textId="569F4702" w:rsidR="00E67180" w:rsidRPr="00F47F21" w:rsidRDefault="00E67180" w:rsidP="00F47F21">
      <w:pPr>
        <w:pStyle w:val="ABParagraph"/>
        <w:rPr>
          <w:rFonts w:eastAsiaTheme="majorEastAsia"/>
          <w:color w:val="690E0D"/>
          <w:sz w:val="48"/>
          <w:szCs w:val="48"/>
        </w:rPr>
        <w:sectPr w:rsidR="00E67180" w:rsidRPr="00F47F21" w:rsidSect="002F39BD">
          <w:footerReference w:type="default" r:id="rId25"/>
          <w:pgSz w:w="11906" w:h="16838"/>
          <w:pgMar w:top="1440" w:right="1440" w:bottom="1440" w:left="1440" w:header="708" w:footer="708" w:gutter="0"/>
          <w:cols w:space="708"/>
          <w:titlePg/>
          <w:docGrid w:linePitch="360"/>
        </w:sectPr>
      </w:pPr>
      <w:bookmarkStart w:id="11" w:name="_Toc238128003"/>
      <w:bookmarkStart w:id="12" w:name="_Toc238129277"/>
    </w:p>
    <w:p w14:paraId="58A0C8CF" w14:textId="345D9556" w:rsidR="00263DBC" w:rsidRDefault="00E67180" w:rsidP="00263DBC">
      <w:pPr>
        <w:pStyle w:val="ABHeading"/>
      </w:pPr>
      <w:r>
        <w:lastRenderedPageBreak/>
        <w:t>T</w:t>
      </w:r>
      <w:r w:rsidR="00263DBC">
        <w:t>ravel Information</w:t>
      </w:r>
      <w:bookmarkEnd w:id="11"/>
      <w:bookmarkEnd w:id="12"/>
    </w:p>
    <w:p w14:paraId="04424E30" w14:textId="501EAAD2" w:rsidR="00074330" w:rsidRPr="00FF0B8F" w:rsidRDefault="00074330" w:rsidP="00074330">
      <w:pPr>
        <w:pStyle w:val="ABParagraph"/>
      </w:pPr>
      <w:r w:rsidRPr="00FF0B8F">
        <w:t xml:space="preserve">Birmingham is </w:t>
      </w:r>
      <w:r>
        <w:t xml:space="preserve">in </w:t>
      </w:r>
      <w:r w:rsidRPr="00FF0B8F">
        <w:t>the heart of the West Midlands, the UK’s second-largest city, with excellent travel connections</w:t>
      </w:r>
      <w:r>
        <w:t>.</w:t>
      </w:r>
      <w:r w:rsidRPr="00FF0B8F">
        <w:t xml:space="preserve"> The University of Birmingham’s leafy campus is located in Edgbaston, just two miles south-east of the city centre, with our own train station, University Station.</w:t>
      </w:r>
    </w:p>
    <w:p w14:paraId="7EBE2900" w14:textId="77777777" w:rsidR="00074330" w:rsidRDefault="00074330" w:rsidP="00074330">
      <w:pPr>
        <w:pStyle w:val="ABParagraph"/>
        <w:rPr>
          <w:b/>
          <w:bCs/>
        </w:rPr>
      </w:pPr>
    </w:p>
    <w:p w14:paraId="6037F396" w14:textId="77777777" w:rsidR="00074330" w:rsidRDefault="00074330" w:rsidP="00074330">
      <w:pPr>
        <w:pStyle w:val="ABParagraph"/>
      </w:pPr>
      <w:r w:rsidRPr="00FF0B8F">
        <w:rPr>
          <w:b/>
          <w:bCs/>
        </w:rPr>
        <w:t xml:space="preserve">Sustainable </w:t>
      </w:r>
      <w:r>
        <w:rPr>
          <w:b/>
          <w:bCs/>
        </w:rPr>
        <w:t>T</w:t>
      </w:r>
      <w:r w:rsidRPr="00FF0B8F">
        <w:rPr>
          <w:b/>
          <w:bCs/>
        </w:rPr>
        <w:t>ravel</w:t>
      </w:r>
      <w:r>
        <w:br/>
      </w:r>
      <w:r w:rsidRPr="00FF0B8F">
        <w:t xml:space="preserve">Please help us </w:t>
      </w:r>
      <w:r>
        <w:t xml:space="preserve">to reduce the environmental impact of the conference </w:t>
      </w:r>
      <w:r w:rsidRPr="00FF0B8F">
        <w:t>by considering your method of travel carefully.</w:t>
      </w:r>
    </w:p>
    <w:p w14:paraId="5D88B4CE" w14:textId="77777777" w:rsidR="00074330" w:rsidRPr="00FF0B8F" w:rsidRDefault="00074330" w:rsidP="00074330">
      <w:pPr>
        <w:pStyle w:val="ABParagraph"/>
      </w:pPr>
    </w:p>
    <w:p w14:paraId="608D3194" w14:textId="77777777" w:rsidR="00074330" w:rsidRDefault="00074330" w:rsidP="00074330">
      <w:pPr>
        <w:pStyle w:val="ABParagraph"/>
      </w:pPr>
      <w:r w:rsidRPr="00FF0B8F">
        <w:rPr>
          <w:b/>
          <w:bCs/>
        </w:rPr>
        <w:t>Rail</w:t>
      </w:r>
      <w:r>
        <w:br/>
      </w:r>
      <w:r w:rsidRPr="00FF0B8F">
        <w:t xml:space="preserve">The University Train Station is based right on campus and is only 10-minute journey from New Street Station. Birmingham New Street is a hub for travel from across the country, and links directly with University via a high-frequency service that takes only six minutes. </w:t>
      </w:r>
    </w:p>
    <w:p w14:paraId="7300A439" w14:textId="77777777" w:rsidR="00074330" w:rsidRPr="00FF0B8F" w:rsidRDefault="00074330" w:rsidP="00074330">
      <w:pPr>
        <w:pStyle w:val="ABParagraph"/>
      </w:pPr>
    </w:p>
    <w:p w14:paraId="23B3E671" w14:textId="77777777" w:rsidR="00074330" w:rsidRPr="00FF0B8F" w:rsidRDefault="00074330" w:rsidP="00074330">
      <w:pPr>
        <w:pStyle w:val="ABParagraph"/>
      </w:pPr>
      <w:r w:rsidRPr="00FF0B8F">
        <w:t>The centre of the main campus is a five-minute walk from University station.</w:t>
      </w:r>
    </w:p>
    <w:p w14:paraId="479C3133" w14:textId="77777777" w:rsidR="00074330" w:rsidRDefault="00074330" w:rsidP="00074330">
      <w:pPr>
        <w:pStyle w:val="ABParagraph"/>
      </w:pPr>
      <w:r w:rsidRPr="00FF0B8F">
        <w:t>Timetables and service updates are available from the National Rail</w:t>
      </w:r>
      <w:r>
        <w:t xml:space="preserve"> </w:t>
      </w:r>
      <w:r w:rsidRPr="00FF0B8F">
        <w:t>website: </w:t>
      </w:r>
      <w:hyperlink r:id="rId26" w:history="1">
        <w:r w:rsidRPr="00FF0B8F">
          <w:rPr>
            <w:rStyle w:val="Hyperlink"/>
          </w:rPr>
          <w:t>ojp.nationalrail.co.uk</w:t>
        </w:r>
      </w:hyperlink>
    </w:p>
    <w:p w14:paraId="4E185B8D" w14:textId="77777777" w:rsidR="00074330" w:rsidRPr="00FF0B8F" w:rsidRDefault="00074330" w:rsidP="00074330">
      <w:pPr>
        <w:pStyle w:val="ABParagraph"/>
      </w:pPr>
    </w:p>
    <w:p w14:paraId="177D0AE4" w14:textId="77777777" w:rsidR="00074330" w:rsidRDefault="00074330" w:rsidP="00074330">
      <w:pPr>
        <w:pStyle w:val="ABParagraph"/>
      </w:pPr>
      <w:r w:rsidRPr="00FF0B8F">
        <w:rPr>
          <w:b/>
          <w:bCs/>
        </w:rPr>
        <w:t>Bus</w:t>
      </w:r>
      <w:r>
        <w:br/>
      </w:r>
      <w:r w:rsidRPr="00FF0B8F">
        <w:t>Frequent bus services run from the city centre. Maps can be found throughout the city centre indicating bus stop locations, and bus stops will display route information and times. The journey takes around 20 minutes, depending on traffic.</w:t>
      </w:r>
    </w:p>
    <w:p w14:paraId="42843FE1" w14:textId="77777777" w:rsidR="00074330" w:rsidRPr="00FF0B8F" w:rsidRDefault="00074330" w:rsidP="00074330">
      <w:pPr>
        <w:pStyle w:val="ABParagraph"/>
      </w:pPr>
    </w:p>
    <w:p w14:paraId="33177810" w14:textId="77777777" w:rsidR="00074330" w:rsidRDefault="00074330" w:rsidP="00074330">
      <w:pPr>
        <w:pStyle w:val="ABParagraph"/>
      </w:pPr>
      <w:r w:rsidRPr="00FF0B8F">
        <w:t>Online bus timetables are available on the National Express West Midlands website: </w:t>
      </w:r>
      <w:hyperlink r:id="rId27" w:history="1">
        <w:r w:rsidRPr="00FF0B8F">
          <w:rPr>
            <w:rStyle w:val="Hyperlink"/>
          </w:rPr>
          <w:t>nxbus.co.uk/west-midlands</w:t>
        </w:r>
      </w:hyperlink>
    </w:p>
    <w:p w14:paraId="2665D03C" w14:textId="77777777" w:rsidR="00074330" w:rsidRPr="00FF0B8F" w:rsidRDefault="00074330" w:rsidP="00074330">
      <w:pPr>
        <w:pStyle w:val="ABParagraph"/>
      </w:pPr>
    </w:p>
    <w:p w14:paraId="2AF26025" w14:textId="77777777" w:rsidR="00074330" w:rsidRDefault="00074330" w:rsidP="00074330">
      <w:pPr>
        <w:pStyle w:val="ABParagraph"/>
      </w:pPr>
      <w:r w:rsidRPr="00FF0B8F">
        <w:rPr>
          <w:b/>
          <w:bCs/>
        </w:rPr>
        <w:t>Car</w:t>
      </w:r>
    </w:p>
    <w:p w14:paraId="2F5F36D2" w14:textId="77777777" w:rsidR="00074330" w:rsidRDefault="00074330" w:rsidP="00074330">
      <w:pPr>
        <w:pStyle w:val="ABParagraph"/>
      </w:pPr>
      <w:r>
        <w:t>The closest car park is a 7-10 minute walk away at the</w:t>
      </w:r>
      <w:r w:rsidRPr="00AE2979">
        <w:rPr>
          <w:b/>
          <w:bCs/>
        </w:rPr>
        <w:t xml:space="preserve"> North East Multi-Storey Car Park</w:t>
      </w:r>
      <w:r>
        <w:t xml:space="preserve"> (sometimes called the Northgate Car Park), </w:t>
      </w:r>
      <w:r w:rsidRPr="0006652A">
        <w:rPr>
          <w:b/>
          <w:bCs/>
        </w:rPr>
        <w:t>B15 2SA</w:t>
      </w:r>
      <w:r>
        <w:t>, which is Pay &amp; Display (RingoApp available).</w:t>
      </w:r>
    </w:p>
    <w:p w14:paraId="3FFDB9AF" w14:textId="77777777" w:rsidR="00074330" w:rsidRDefault="00074330" w:rsidP="00074330">
      <w:pPr>
        <w:pStyle w:val="ABParagraph"/>
      </w:pPr>
    </w:p>
    <w:p w14:paraId="72C6E5C9" w14:textId="1CAB3B79" w:rsidR="00074330" w:rsidRDefault="00074330" w:rsidP="00074330">
      <w:pPr>
        <w:pStyle w:val="ABParagraph"/>
        <w:rPr>
          <w:b/>
          <w:bCs/>
        </w:rPr>
      </w:pPr>
      <w:r>
        <w:t>Parking spaces for Blue Badge holders are available behind the Aston Webb</w:t>
      </w:r>
      <w:r w:rsidRPr="00FF0B8F">
        <w:t xml:space="preserve"> </w:t>
      </w:r>
      <w:r>
        <w:t xml:space="preserve">building – use </w:t>
      </w:r>
      <w:r w:rsidRPr="00FF0B8F">
        <w:t>Ring Rd S, Birmingham</w:t>
      </w:r>
      <w:r>
        <w:t>,</w:t>
      </w:r>
      <w:r w:rsidRPr="00FF0B8F">
        <w:t xml:space="preserve"> </w:t>
      </w:r>
      <w:r w:rsidRPr="00BF30F9">
        <w:rPr>
          <w:b/>
          <w:bCs/>
        </w:rPr>
        <w:t>B15 2TN</w:t>
      </w:r>
      <w:r w:rsidR="005A182D">
        <w:rPr>
          <w:b/>
          <w:bCs/>
        </w:rPr>
        <w:t>.</w:t>
      </w:r>
    </w:p>
    <w:p w14:paraId="58D83F9D" w14:textId="77777777" w:rsidR="00074330" w:rsidRPr="00FF0B8F" w:rsidRDefault="00074330" w:rsidP="00074330">
      <w:pPr>
        <w:pStyle w:val="ABParagraph"/>
      </w:pPr>
    </w:p>
    <w:p w14:paraId="536A4582" w14:textId="77777777" w:rsidR="00074330" w:rsidRDefault="00074330" w:rsidP="00074330">
      <w:pPr>
        <w:pStyle w:val="ABParagraph"/>
      </w:pPr>
      <w:r w:rsidRPr="00FF0B8F">
        <w:t>What3Words: ///part.mass.nail</w:t>
      </w:r>
    </w:p>
    <w:p w14:paraId="2FB97844" w14:textId="77777777" w:rsidR="00074330" w:rsidRPr="00FF0B8F" w:rsidRDefault="00074330" w:rsidP="00074330">
      <w:pPr>
        <w:pStyle w:val="ABParagraph"/>
      </w:pPr>
    </w:p>
    <w:p w14:paraId="794787B7" w14:textId="52315336" w:rsidR="00074330" w:rsidRPr="00FF0B8F" w:rsidRDefault="00074330" w:rsidP="00074330">
      <w:pPr>
        <w:pStyle w:val="ABParagraph"/>
      </w:pPr>
      <w:r w:rsidRPr="00FF0B8F">
        <w:rPr>
          <w:b/>
          <w:bCs/>
        </w:rPr>
        <w:t>Air</w:t>
      </w:r>
      <w:r>
        <w:br/>
      </w:r>
      <w:r w:rsidRPr="00FF0B8F">
        <w:t>Birmingham International Airport has its own convenient train station, Birmingham International</w:t>
      </w:r>
      <w:r>
        <w:t xml:space="preserve"> Station</w:t>
      </w:r>
      <w:r w:rsidRPr="00FF0B8F">
        <w:t xml:space="preserve">, which operates a high-frequency service into Birmingham New Street </w:t>
      </w:r>
      <w:r>
        <w:t xml:space="preserve">Station </w:t>
      </w:r>
      <w:r w:rsidRPr="00FF0B8F">
        <w:t>in unde</w:t>
      </w:r>
      <w:r>
        <w:t>r</w:t>
      </w:r>
      <w:r w:rsidR="0087531E">
        <w:t xml:space="preserve"> </w:t>
      </w:r>
      <w:r w:rsidRPr="00FF0B8F">
        <w:t>15 minutes. Change here, and follow the</w:t>
      </w:r>
      <w:r>
        <w:t xml:space="preserve"> ‘Rail’</w:t>
      </w:r>
      <w:r w:rsidRPr="00FF0B8F">
        <w:t xml:space="preserve"> directions above to University </w:t>
      </w:r>
      <w:r>
        <w:t>S</w:t>
      </w:r>
      <w:r w:rsidRPr="00FF0B8F">
        <w:t>tation.</w:t>
      </w:r>
    </w:p>
    <w:p w14:paraId="482E6E77" w14:textId="77777777" w:rsidR="00074330" w:rsidRDefault="00074330" w:rsidP="00074330">
      <w:pPr>
        <w:pStyle w:val="ABParagraph"/>
        <w:rPr>
          <w:b/>
          <w:bCs/>
        </w:rPr>
      </w:pPr>
    </w:p>
    <w:p w14:paraId="5E1BCB17" w14:textId="77777777" w:rsidR="0027472E" w:rsidRDefault="0027472E" w:rsidP="00074330">
      <w:pPr>
        <w:pStyle w:val="ABParagraph"/>
        <w:rPr>
          <w:b/>
          <w:bCs/>
        </w:rPr>
      </w:pPr>
    </w:p>
    <w:p w14:paraId="272201B6" w14:textId="77777777" w:rsidR="00F47F21" w:rsidRDefault="00F47F21" w:rsidP="00074330">
      <w:pPr>
        <w:pStyle w:val="ABParagraph"/>
        <w:rPr>
          <w:b/>
          <w:bCs/>
        </w:rPr>
      </w:pPr>
    </w:p>
    <w:p w14:paraId="7E78AF92" w14:textId="77777777" w:rsidR="00F47F21" w:rsidRDefault="00F47F21" w:rsidP="00074330">
      <w:pPr>
        <w:pStyle w:val="ABParagraph"/>
        <w:rPr>
          <w:b/>
          <w:bCs/>
        </w:rPr>
      </w:pPr>
    </w:p>
    <w:p w14:paraId="3850B627" w14:textId="5EA86D5F" w:rsidR="00074330" w:rsidRDefault="00074330" w:rsidP="00074330">
      <w:pPr>
        <w:pStyle w:val="ABParagraph"/>
      </w:pPr>
      <w:r w:rsidRPr="00FF0B8F">
        <w:rPr>
          <w:b/>
          <w:bCs/>
        </w:rPr>
        <w:t>Taxi</w:t>
      </w:r>
      <w:r>
        <w:br/>
      </w:r>
      <w:r w:rsidRPr="00FF0B8F">
        <w:t xml:space="preserve">There are taxi ranks at </w:t>
      </w:r>
      <w:r>
        <w:t xml:space="preserve">Birmingham </w:t>
      </w:r>
      <w:r w:rsidRPr="00FF0B8F">
        <w:t>New Street Station and throughout the city centre. The journey to the University takes around 10 minutes, depending on traffic. Uber is also available and is the typical choice of taxi. </w:t>
      </w:r>
    </w:p>
    <w:p w14:paraId="0B68D7BA" w14:textId="77777777" w:rsidR="00074330" w:rsidRDefault="00074330" w:rsidP="00074330">
      <w:pPr>
        <w:pStyle w:val="ABParagraph"/>
      </w:pPr>
    </w:p>
    <w:p w14:paraId="14353FFE" w14:textId="77777777" w:rsidR="00074330" w:rsidRDefault="00074330" w:rsidP="00074330">
      <w:pPr>
        <w:pStyle w:val="ABParagraph"/>
      </w:pPr>
    </w:p>
    <w:p w14:paraId="5028C114" w14:textId="54F6832D" w:rsidR="00074330" w:rsidRPr="00E52C44" w:rsidRDefault="00074330" w:rsidP="00074330">
      <w:pPr>
        <w:pStyle w:val="ABParagraph"/>
        <w:rPr>
          <w:i/>
          <w:iCs/>
        </w:rPr>
      </w:pPr>
      <w:r>
        <w:rPr>
          <w:i/>
          <w:iCs/>
        </w:rPr>
        <w:t>For detailed information about the</w:t>
      </w:r>
      <w:r>
        <w:t xml:space="preserve"> </w:t>
      </w:r>
      <w:r>
        <w:rPr>
          <w:i/>
          <w:iCs/>
        </w:rPr>
        <w:t xml:space="preserve">travel options, please visit the of the </w:t>
      </w:r>
      <w:hyperlink r:id="rId28" w:history="1">
        <w:r w:rsidRPr="006B5927">
          <w:rPr>
            <w:rStyle w:val="Hyperlink"/>
            <w:i/>
            <w:iCs/>
          </w:rPr>
          <w:t>conference website</w:t>
        </w:r>
      </w:hyperlink>
      <w:r>
        <w:rPr>
          <w:i/>
          <w:iCs/>
        </w:rPr>
        <w:t>.</w:t>
      </w:r>
    </w:p>
    <w:p w14:paraId="23C4388F" w14:textId="3208CFD2" w:rsidR="00263DBC" w:rsidRDefault="00074330" w:rsidP="00074330">
      <w:pPr>
        <w:pStyle w:val="ABParagraph"/>
        <w:rPr>
          <w:rFonts w:eastAsiaTheme="majorEastAsia"/>
          <w:color w:val="690E0D"/>
          <w:sz w:val="48"/>
          <w:szCs w:val="48"/>
        </w:rPr>
      </w:pPr>
      <w:r>
        <w:rPr>
          <w:noProof/>
        </w:rPr>
        <w:drawing>
          <wp:anchor distT="0" distB="0" distL="114300" distR="114300" simplePos="0" relativeHeight="251665408" behindDoc="1" locked="0" layoutInCell="1" allowOverlap="1" wp14:anchorId="6AC33E35" wp14:editId="17196D01">
            <wp:simplePos x="0" y="0"/>
            <wp:positionH relativeFrom="margin">
              <wp:align>left</wp:align>
            </wp:positionH>
            <wp:positionV relativeFrom="paragraph">
              <wp:posOffset>417195</wp:posOffset>
            </wp:positionV>
            <wp:extent cx="5501640" cy="2721610"/>
            <wp:effectExtent l="0" t="0" r="3810" b="2540"/>
            <wp:wrapTight wrapText="bothSides">
              <wp:wrapPolygon edited="0">
                <wp:start x="0" y="0"/>
                <wp:lineTo x="0" y="21469"/>
                <wp:lineTo x="21540" y="21469"/>
                <wp:lineTo x="21540" y="0"/>
                <wp:lineTo x="0" y="0"/>
              </wp:wrapPolygon>
            </wp:wrapTight>
            <wp:docPr id="1615399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01640" cy="2721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3DBC">
        <w:br w:type="page"/>
      </w:r>
    </w:p>
    <w:p w14:paraId="0536CD4D" w14:textId="77777777" w:rsidR="00E67180" w:rsidRDefault="00E67180" w:rsidP="00074330">
      <w:pPr>
        <w:pStyle w:val="ABHeading"/>
        <w:sectPr w:rsidR="00E67180" w:rsidSect="006B5927">
          <w:pgSz w:w="11906" w:h="16838"/>
          <w:pgMar w:top="1440" w:right="1440" w:bottom="1440" w:left="1440" w:header="708" w:footer="708" w:gutter="0"/>
          <w:cols w:space="708"/>
          <w:docGrid w:linePitch="360"/>
        </w:sectPr>
      </w:pPr>
      <w:bookmarkStart w:id="13" w:name="_Toc238128004"/>
      <w:bookmarkStart w:id="14" w:name="_Toc238129278"/>
    </w:p>
    <w:p w14:paraId="2EFE28F2" w14:textId="1BBC7C50" w:rsidR="00263DBC" w:rsidRDefault="00263DBC" w:rsidP="00074330">
      <w:pPr>
        <w:pStyle w:val="ABHeading"/>
      </w:pPr>
      <w:r>
        <w:lastRenderedPageBreak/>
        <w:t>What to do on Campus</w:t>
      </w:r>
      <w:bookmarkEnd w:id="13"/>
      <w:bookmarkEnd w:id="14"/>
    </w:p>
    <w:p w14:paraId="515A88ED" w14:textId="66EE00A1" w:rsidR="00074330" w:rsidRDefault="00074330" w:rsidP="00074330">
      <w:pPr>
        <w:pStyle w:val="ABParagraph"/>
      </w:pPr>
      <w:r>
        <w:t>On campus, the university offers a wide range of attractions for you to enjoy during your stay, all of which boast great history and culture. The conference programme includes time on Wednesday afternoon for you to visit attractions on campus or explore the local area. Some examples of places to visit on campus include:</w:t>
      </w:r>
    </w:p>
    <w:p w14:paraId="1943C4AA" w14:textId="6FDB97C2" w:rsidR="00074330" w:rsidRDefault="00074330" w:rsidP="00074330">
      <w:pPr>
        <w:pStyle w:val="ABParagraph"/>
      </w:pPr>
    </w:p>
    <w:p w14:paraId="57DC7C0F" w14:textId="5659D241" w:rsidR="00074330" w:rsidRDefault="005A182D" w:rsidP="00074330">
      <w:pPr>
        <w:pStyle w:val="ABParagraph"/>
        <w:rPr>
          <w:b/>
          <w:bCs/>
        </w:rPr>
      </w:pPr>
      <w:r>
        <w:rPr>
          <w:noProof/>
        </w:rPr>
        <w:drawing>
          <wp:anchor distT="0" distB="0" distL="114300" distR="114300" simplePos="0" relativeHeight="251667456" behindDoc="0" locked="0" layoutInCell="1" allowOverlap="1" wp14:anchorId="28B4F381" wp14:editId="277593B3">
            <wp:simplePos x="0" y="0"/>
            <wp:positionH relativeFrom="margin">
              <wp:posOffset>3933825</wp:posOffset>
            </wp:positionH>
            <wp:positionV relativeFrom="paragraph">
              <wp:posOffset>14605</wp:posOffset>
            </wp:positionV>
            <wp:extent cx="1944370" cy="1295400"/>
            <wp:effectExtent l="0" t="0" r="0" b="0"/>
            <wp:wrapSquare wrapText="bothSides"/>
            <wp:docPr id="8192905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44370" cy="129540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31" w:history="1">
        <w:r w:rsidR="00074330" w:rsidRPr="00645B38">
          <w:rPr>
            <w:rStyle w:val="Hyperlink"/>
            <w:b/>
            <w:bCs/>
          </w:rPr>
          <w:t>Lapworth Museum of Geology</w:t>
        </w:r>
      </w:hyperlink>
    </w:p>
    <w:p w14:paraId="40901E2C" w14:textId="79371AC8" w:rsidR="00074330" w:rsidRDefault="00074330" w:rsidP="00074330">
      <w:pPr>
        <w:pStyle w:val="ABParagraph"/>
      </w:pPr>
      <w:r>
        <w:t>Enabling visitors to explore life over the past 3.5 billion years, the Lapworth Museum showcases exceptional objects from one of the UK’s most outstanding geological collections</w:t>
      </w:r>
      <w:r w:rsidR="006B5927">
        <w:t xml:space="preserve">. </w:t>
      </w:r>
      <w:r>
        <w:t>From rocks and fossils to volcanoes, earthquakes, and even dinosaurs, the Museum captures the imagination of all ages. Located within the Aston Webb A Block building - the building is marked as R4 on the campus map.</w:t>
      </w:r>
    </w:p>
    <w:p w14:paraId="488BC255" w14:textId="2A493BE4" w:rsidR="00074330" w:rsidRDefault="00074330" w:rsidP="00074330">
      <w:pPr>
        <w:pStyle w:val="ABParagraph"/>
      </w:pPr>
    </w:p>
    <w:p w14:paraId="2436D74A" w14:textId="250B5890" w:rsidR="00074330" w:rsidRDefault="00074330" w:rsidP="00074330">
      <w:pPr>
        <w:pStyle w:val="ABParagraph"/>
      </w:pPr>
      <w:r w:rsidRPr="00074330">
        <w:rPr>
          <w:b/>
          <w:bCs/>
        </w:rPr>
        <w:t>Opening Times:</w:t>
      </w:r>
      <w:r>
        <w:t xml:space="preserve"> Monday – Friday: 10:00-17:00, Weekends: 12:00-17:00 </w:t>
      </w:r>
    </w:p>
    <w:p w14:paraId="73E245D6" w14:textId="133E899E" w:rsidR="00074330" w:rsidRDefault="00074330" w:rsidP="00074330">
      <w:pPr>
        <w:pStyle w:val="ABParagraph"/>
      </w:pPr>
      <w:r w:rsidRPr="00074330">
        <w:rPr>
          <w:b/>
          <w:bCs/>
        </w:rPr>
        <w:t>Admission:</w:t>
      </w:r>
      <w:r>
        <w:t xml:space="preserve"> Free </w:t>
      </w:r>
    </w:p>
    <w:p w14:paraId="4A9E2A5D" w14:textId="0A628422" w:rsidR="00074330" w:rsidRDefault="005A182D" w:rsidP="00074330">
      <w:pPr>
        <w:pStyle w:val="ABParagraph"/>
      </w:pPr>
      <w:r>
        <w:rPr>
          <w:noProof/>
        </w:rPr>
        <w:drawing>
          <wp:anchor distT="0" distB="0" distL="114300" distR="114300" simplePos="0" relativeHeight="251668480" behindDoc="0" locked="0" layoutInCell="1" allowOverlap="1" wp14:anchorId="13189AC1" wp14:editId="609DF965">
            <wp:simplePos x="0" y="0"/>
            <wp:positionH relativeFrom="margin">
              <wp:posOffset>-57150</wp:posOffset>
            </wp:positionH>
            <wp:positionV relativeFrom="paragraph">
              <wp:posOffset>203835</wp:posOffset>
            </wp:positionV>
            <wp:extent cx="1943100" cy="1295400"/>
            <wp:effectExtent l="0" t="0" r="0" b="0"/>
            <wp:wrapSquare wrapText="bothSides"/>
            <wp:docPr id="5932378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43100" cy="129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C02EF" w14:textId="78C3CB7D" w:rsidR="00074330" w:rsidRDefault="00074330" w:rsidP="00074330">
      <w:pPr>
        <w:pStyle w:val="ABParagraph"/>
        <w:rPr>
          <w:b/>
          <w:bCs/>
        </w:rPr>
      </w:pPr>
      <w:hyperlink r:id="rId33" w:history="1">
        <w:r w:rsidRPr="00645B38">
          <w:rPr>
            <w:rStyle w:val="Hyperlink"/>
            <w:b/>
            <w:bCs/>
          </w:rPr>
          <w:t>Winterbourne House and Garden</w:t>
        </w:r>
      </w:hyperlink>
    </w:p>
    <w:p w14:paraId="1D9959CD" w14:textId="19D2D852" w:rsidR="00074330" w:rsidRDefault="00074330" w:rsidP="00074330">
      <w:pPr>
        <w:pStyle w:val="ABParagraph"/>
      </w:pPr>
      <w:r>
        <w:t>Restored to its Edwardian Arts and Craft splendour, Winterbourne House is a unique heritage attraction set within seven acres of beautiful botanic gardens. Winterbourne is a hidden gem, home to beautiful antiques and over 6,000 plant species from around the world. Located on Edgbaston Park Road, a few minutes’ walk from Edgbaston Park Hotel. Has a café onsite.</w:t>
      </w:r>
    </w:p>
    <w:p w14:paraId="2035AC7E" w14:textId="2ED4FE2D" w:rsidR="00074330" w:rsidRDefault="00074330" w:rsidP="00074330">
      <w:pPr>
        <w:pStyle w:val="ABParagraph"/>
      </w:pPr>
    </w:p>
    <w:p w14:paraId="498A1E34" w14:textId="3995539D" w:rsidR="00074330" w:rsidRDefault="00074330" w:rsidP="00074330">
      <w:pPr>
        <w:pStyle w:val="ABParagraph"/>
      </w:pPr>
      <w:r w:rsidRPr="00074330">
        <w:rPr>
          <w:b/>
          <w:bCs/>
        </w:rPr>
        <w:t>Opening Times:</w:t>
      </w:r>
      <w:r>
        <w:t xml:space="preserve"> 10:30am–5.30pm</w:t>
      </w:r>
      <w:r>
        <w:br/>
      </w:r>
      <w:r w:rsidRPr="00074330">
        <w:rPr>
          <w:b/>
          <w:bCs/>
        </w:rPr>
        <w:t>Admission:</w:t>
      </w:r>
      <w:r>
        <w:t xml:space="preserve"> Delegates</w:t>
      </w:r>
      <w:r w:rsidRPr="001517CB">
        <w:t xml:space="preserve"> are entitled to a discount on the admission fee. The discounted price is £</w:t>
      </w:r>
      <w:r>
        <w:t>7.50 (you will need to show your conference lanyard to access the discount)</w:t>
      </w:r>
    </w:p>
    <w:p w14:paraId="7DBDC7A9" w14:textId="49A52C7F" w:rsidR="005A182D" w:rsidRDefault="005A182D" w:rsidP="00074330">
      <w:pPr>
        <w:pStyle w:val="ABParagraph"/>
      </w:pPr>
    </w:p>
    <w:p w14:paraId="1B35E6FC" w14:textId="6B4B0F77" w:rsidR="00074330" w:rsidRDefault="005A182D" w:rsidP="00074330">
      <w:pPr>
        <w:pStyle w:val="ABParagraph"/>
      </w:pPr>
      <w:r w:rsidRPr="007253C8">
        <w:rPr>
          <w:rStyle w:val="Hyperlink"/>
          <w:noProof/>
        </w:rPr>
        <w:drawing>
          <wp:anchor distT="0" distB="0" distL="114300" distR="114300" simplePos="0" relativeHeight="251669504" behindDoc="0" locked="0" layoutInCell="1" allowOverlap="1" wp14:anchorId="33890EEB" wp14:editId="3248E61A">
            <wp:simplePos x="0" y="0"/>
            <wp:positionH relativeFrom="margin">
              <wp:posOffset>3937000</wp:posOffset>
            </wp:positionH>
            <wp:positionV relativeFrom="paragraph">
              <wp:posOffset>57150</wp:posOffset>
            </wp:positionV>
            <wp:extent cx="1941195" cy="1205230"/>
            <wp:effectExtent l="0" t="0" r="1905" b="0"/>
            <wp:wrapSquare wrapText="bothSides"/>
            <wp:docPr id="16397293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4">
                      <a:extLst>
                        <a:ext uri="{28A0092B-C50C-407E-A947-70E740481C1C}">
                          <a14:useLocalDpi xmlns:a14="http://schemas.microsoft.com/office/drawing/2010/main" val="0"/>
                        </a:ext>
                      </a:extLst>
                    </a:blip>
                    <a:srcRect l="10281"/>
                    <a:stretch>
                      <a:fillRect/>
                    </a:stretch>
                  </pic:blipFill>
                  <pic:spPr bwMode="auto">
                    <a:xfrm>
                      <a:off x="0" y="0"/>
                      <a:ext cx="1941195" cy="1205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hyperlink r:id="rId35" w:history="1">
        <w:r w:rsidR="00074330" w:rsidRPr="007253C8">
          <w:rPr>
            <w:rStyle w:val="Hyperlink"/>
            <w:b/>
            <w:bCs/>
          </w:rPr>
          <w:t>University of Birmingham Blue Plaque and Sculpture Trails</w:t>
        </w:r>
      </w:hyperlink>
      <w:r w:rsidR="00074330" w:rsidRPr="007253C8">
        <w:t xml:space="preserve"> </w:t>
      </w:r>
      <w:r w:rsidR="00074330">
        <w:br/>
        <w:t xml:space="preserve">There have been many influential achievements by brilliant men and women who have worked at the University of Birmingham since its earliest days. The Blue Plaques highlight these special achievements and celebrate those who have helped to shape our heritage as a research university. The Campus Sculpture Trail allows you to explore the range of styles, subjects and shapes of sculpture on the University’s Edgbaston campus. The Faraday Bronze Sculpture was commissioned to mark the centenary of the University of Birmingham’s Royal Charter, this is located near the campus train station. </w:t>
      </w:r>
    </w:p>
    <w:p w14:paraId="4B43245D" w14:textId="77777777" w:rsidR="00AC2E56" w:rsidRDefault="00AC2E56" w:rsidP="00074330">
      <w:pPr>
        <w:pStyle w:val="ABParagraph"/>
      </w:pPr>
    </w:p>
    <w:p w14:paraId="28F9CF7F" w14:textId="0073BA70" w:rsidR="00263DBC" w:rsidRDefault="00074330" w:rsidP="005A182D">
      <w:pPr>
        <w:pStyle w:val="ABParagraph"/>
        <w:rPr>
          <w:rFonts w:eastAsiaTheme="majorEastAsia"/>
          <w:b/>
          <w:bCs/>
          <w:color w:val="690E0D"/>
          <w:sz w:val="48"/>
          <w:szCs w:val="48"/>
        </w:rPr>
      </w:pPr>
      <w:r w:rsidRPr="00B708D1">
        <w:rPr>
          <w:i/>
          <w:iCs/>
        </w:rPr>
        <w:t xml:space="preserve">Want to explore Birmingham further? Please see </w:t>
      </w:r>
      <w:r>
        <w:rPr>
          <w:i/>
          <w:iCs/>
        </w:rPr>
        <w:t xml:space="preserve">the </w:t>
      </w:r>
      <w:hyperlink r:id="rId36" w:history="1">
        <w:r w:rsidRPr="006B5927">
          <w:rPr>
            <w:rStyle w:val="Hyperlink"/>
            <w:i/>
            <w:iCs/>
          </w:rPr>
          <w:t>conference website</w:t>
        </w:r>
      </w:hyperlink>
      <w:r>
        <w:rPr>
          <w:i/>
          <w:iCs/>
        </w:rPr>
        <w:t>.</w:t>
      </w:r>
      <w:r w:rsidR="00263DBC">
        <w:br w:type="page"/>
      </w:r>
    </w:p>
    <w:p w14:paraId="7896D761" w14:textId="77777777" w:rsidR="005E6A50" w:rsidRDefault="005E6A50" w:rsidP="00263DBC">
      <w:pPr>
        <w:pStyle w:val="ABHeading"/>
        <w:sectPr w:rsidR="005E6A50" w:rsidSect="006B5927">
          <w:pgSz w:w="11906" w:h="16838"/>
          <w:pgMar w:top="1440" w:right="1440" w:bottom="1440" w:left="1440" w:header="708" w:footer="708" w:gutter="0"/>
          <w:cols w:space="708"/>
          <w:docGrid w:linePitch="360"/>
        </w:sectPr>
      </w:pPr>
      <w:bookmarkStart w:id="15" w:name="_Toc238128005"/>
      <w:bookmarkStart w:id="16" w:name="_Toc238129279"/>
    </w:p>
    <w:p w14:paraId="341EC6C6" w14:textId="6D6397F5" w:rsidR="00263DBC" w:rsidRDefault="00263DBC" w:rsidP="00263DBC">
      <w:pPr>
        <w:pStyle w:val="ABHeading"/>
      </w:pPr>
      <w:r>
        <w:lastRenderedPageBreak/>
        <w:t>Conference Programme</w:t>
      </w:r>
      <w:bookmarkEnd w:id="15"/>
      <w:bookmarkEnd w:id="16"/>
    </w:p>
    <w:p w14:paraId="6483ECFF" w14:textId="77777777" w:rsidR="005E6A50" w:rsidRDefault="005E6A50"/>
    <w:p w14:paraId="3427ECC5" w14:textId="77777777" w:rsidR="005E6A50" w:rsidRPr="00CB6136" w:rsidRDefault="005E6A50" w:rsidP="005E6A50">
      <w:pPr>
        <w:pStyle w:val="ABSubhead"/>
      </w:pPr>
      <w:r w:rsidRPr="00CB6136">
        <w:rPr>
          <w:lang w:val="en"/>
        </w:rPr>
        <w:t>Presentations</w:t>
      </w:r>
      <w:r w:rsidRPr="00CB6136">
        <w:t> </w:t>
      </w:r>
    </w:p>
    <w:p w14:paraId="7AB31E40" w14:textId="77777777" w:rsidR="005E6A50" w:rsidRPr="00CB6136" w:rsidRDefault="005E6A50" w:rsidP="005E6A50">
      <w:pPr>
        <w:pStyle w:val="ABParagraph"/>
      </w:pPr>
      <w:r w:rsidRPr="00CB6136">
        <w:rPr>
          <w:lang w:val="en"/>
        </w:rPr>
        <w:t>Each session is scheduled for a duration of 90 minutes (sessions with 4 presentations), or 75 minutes (sessions with 3 presentations).</w:t>
      </w:r>
      <w:r w:rsidRPr="00CB6136">
        <w:rPr>
          <w:rFonts w:ascii="Arial" w:hAnsi="Arial" w:cs="Arial"/>
          <w:lang w:val="en"/>
        </w:rPr>
        <w:t> </w:t>
      </w:r>
      <w:r w:rsidRPr="00CB6136">
        <w:rPr>
          <w:lang w:val="en"/>
        </w:rPr>
        <w:t xml:space="preserve"> This means that presentations should last 15 minutes, ensuring time for questions and discussions.</w:t>
      </w:r>
      <w:r w:rsidRPr="00CB6136">
        <w:t> </w:t>
      </w:r>
      <w:r w:rsidRPr="00CB6136">
        <w:rPr>
          <w:lang w:val="en"/>
        </w:rPr>
        <w:t>The chair of each session is responsible for making sure that all presenters are allocated an equal amount of time, and that there is enough time for questions and discussions.</w:t>
      </w:r>
      <w:r w:rsidRPr="00CB6136">
        <w:t> </w:t>
      </w:r>
    </w:p>
    <w:p w14:paraId="449C718A" w14:textId="77777777" w:rsidR="005E6A50" w:rsidRPr="00CB6136" w:rsidRDefault="005E6A50" w:rsidP="005E6A50">
      <w:pPr>
        <w:pStyle w:val="ABParagraph"/>
      </w:pPr>
    </w:p>
    <w:p w14:paraId="40BC9160" w14:textId="77777777" w:rsidR="005E6A50" w:rsidRPr="00CB6136" w:rsidRDefault="005E6A50" w:rsidP="005E6A50">
      <w:pPr>
        <w:pStyle w:val="ABParagraph"/>
        <w:rPr>
          <w:lang w:val="en"/>
        </w:rPr>
        <w:sectPr w:rsidR="005E6A50" w:rsidRPr="00CB6136" w:rsidSect="006B5927">
          <w:pgSz w:w="11906" w:h="16838"/>
          <w:pgMar w:top="1440" w:right="1440" w:bottom="1440" w:left="1440" w:header="709" w:footer="709" w:gutter="0"/>
          <w:cols w:space="708"/>
          <w:docGrid w:linePitch="360"/>
        </w:sectPr>
      </w:pPr>
    </w:p>
    <w:p w14:paraId="1D21EC57" w14:textId="77777777" w:rsidR="005E6A50" w:rsidRPr="005E6A50" w:rsidRDefault="005E6A50" w:rsidP="005E6A50">
      <w:pPr>
        <w:pStyle w:val="ABParagraph"/>
        <w:rPr>
          <w:b/>
          <w:bCs/>
        </w:rPr>
      </w:pPr>
      <w:r w:rsidRPr="005E6A50">
        <w:rPr>
          <w:b/>
          <w:bCs/>
          <w:lang w:val="en"/>
        </w:rPr>
        <w:t>Themed sessions</w:t>
      </w:r>
      <w:r w:rsidRPr="005E6A50">
        <w:rPr>
          <w:b/>
          <w:bCs/>
        </w:rPr>
        <w:t> </w:t>
      </w:r>
    </w:p>
    <w:p w14:paraId="39747EA0" w14:textId="77777777" w:rsidR="005E6A50" w:rsidRPr="00CB6136" w:rsidRDefault="005E6A50" w:rsidP="00101DE0">
      <w:pPr>
        <w:pStyle w:val="ABParagraph"/>
        <w:numPr>
          <w:ilvl w:val="0"/>
          <w:numId w:val="4"/>
        </w:numPr>
      </w:pPr>
      <w:r w:rsidRPr="00CB6136">
        <w:rPr>
          <w:lang w:val="en"/>
        </w:rPr>
        <w:t>Regional Innovation Policies and Skills Development </w:t>
      </w:r>
      <w:r w:rsidRPr="00CB6136">
        <w:t> </w:t>
      </w:r>
    </w:p>
    <w:p w14:paraId="452AA2BB" w14:textId="77777777" w:rsidR="005E6A50" w:rsidRPr="00CB6136" w:rsidRDefault="005E6A50" w:rsidP="00101DE0">
      <w:pPr>
        <w:pStyle w:val="ABParagraph"/>
        <w:numPr>
          <w:ilvl w:val="0"/>
          <w:numId w:val="4"/>
        </w:numPr>
      </w:pPr>
      <w:r w:rsidRPr="00CB6136">
        <w:rPr>
          <w:lang w:val="en"/>
        </w:rPr>
        <w:t>Entrepreneurial Ecosystems and Place-based Strategies </w:t>
      </w:r>
      <w:r w:rsidRPr="00CB6136">
        <w:t> </w:t>
      </w:r>
    </w:p>
    <w:p w14:paraId="0D7B8A3A" w14:textId="77777777" w:rsidR="00AC2E56" w:rsidRPr="00AC2E56" w:rsidRDefault="00AC2E56" w:rsidP="00101DE0">
      <w:pPr>
        <w:pStyle w:val="ABParagraph"/>
        <w:numPr>
          <w:ilvl w:val="0"/>
          <w:numId w:val="4"/>
        </w:numPr>
      </w:pPr>
      <w:r w:rsidRPr="00AC2E56">
        <w:rPr>
          <w:lang w:val="en"/>
        </w:rPr>
        <w:t>Analyzing the RIS and Place-based Strategies</w:t>
      </w:r>
    </w:p>
    <w:p w14:paraId="306A3004" w14:textId="4C12EF84" w:rsidR="005E6A50" w:rsidRPr="00CB6136" w:rsidRDefault="005E6A50" w:rsidP="00101DE0">
      <w:pPr>
        <w:pStyle w:val="ABParagraph"/>
        <w:numPr>
          <w:ilvl w:val="0"/>
          <w:numId w:val="4"/>
        </w:numPr>
      </w:pPr>
      <w:r w:rsidRPr="00CB6136">
        <w:rPr>
          <w:lang w:val="en"/>
        </w:rPr>
        <w:t>SMEs and Innovation</w:t>
      </w:r>
      <w:r w:rsidRPr="00CB6136">
        <w:t> </w:t>
      </w:r>
    </w:p>
    <w:p w14:paraId="74C0DD25" w14:textId="77777777" w:rsidR="005E6A50" w:rsidRPr="00CB6136" w:rsidRDefault="005E6A50" w:rsidP="00101DE0">
      <w:pPr>
        <w:pStyle w:val="ABParagraph"/>
        <w:numPr>
          <w:ilvl w:val="0"/>
          <w:numId w:val="4"/>
        </w:numPr>
      </w:pPr>
      <w:r w:rsidRPr="00CB6136">
        <w:rPr>
          <w:lang w:val="en"/>
        </w:rPr>
        <w:t>Data-driven regional policy – from the past to the present</w:t>
      </w:r>
      <w:r w:rsidRPr="00CB6136">
        <w:t> </w:t>
      </w:r>
    </w:p>
    <w:p w14:paraId="25F0D086" w14:textId="77777777" w:rsidR="005E6A50" w:rsidRPr="00CB6136" w:rsidRDefault="005E6A50" w:rsidP="00101DE0">
      <w:pPr>
        <w:pStyle w:val="ABParagraph"/>
        <w:numPr>
          <w:ilvl w:val="0"/>
          <w:numId w:val="4"/>
        </w:numPr>
      </w:pPr>
      <w:r w:rsidRPr="00CB6136">
        <w:rPr>
          <w:lang w:val="en"/>
        </w:rPr>
        <w:t>Evaluating Public policy on Research and Innovation  </w:t>
      </w:r>
      <w:r w:rsidRPr="00CB6136">
        <w:t> </w:t>
      </w:r>
    </w:p>
    <w:p w14:paraId="227C76BA" w14:textId="77777777" w:rsidR="005E6A50" w:rsidRPr="00CB6136" w:rsidRDefault="005E6A50" w:rsidP="00101DE0">
      <w:pPr>
        <w:pStyle w:val="ABParagraph"/>
        <w:numPr>
          <w:ilvl w:val="0"/>
          <w:numId w:val="4"/>
        </w:numPr>
      </w:pPr>
      <w:r w:rsidRPr="00CB6136">
        <w:rPr>
          <w:lang w:val="en"/>
        </w:rPr>
        <w:t>Rural and Coastal Innovation - Place-based Strategies &amp; Policies</w:t>
      </w:r>
      <w:r w:rsidRPr="00CB6136">
        <w:t> </w:t>
      </w:r>
    </w:p>
    <w:p w14:paraId="1BE39371" w14:textId="77777777" w:rsidR="005E6A50" w:rsidRPr="00CB6136" w:rsidRDefault="005E6A50" w:rsidP="00101DE0">
      <w:pPr>
        <w:pStyle w:val="ABParagraph"/>
        <w:numPr>
          <w:ilvl w:val="0"/>
          <w:numId w:val="4"/>
        </w:numPr>
      </w:pPr>
      <w:r w:rsidRPr="00CB6136">
        <w:rPr>
          <w:lang w:val="en"/>
        </w:rPr>
        <w:t>Geography and demography of twin transition</w:t>
      </w:r>
      <w:r w:rsidRPr="00CB6136">
        <w:t> </w:t>
      </w:r>
    </w:p>
    <w:p w14:paraId="049C0FAD" w14:textId="77777777" w:rsidR="005E6A50" w:rsidRPr="00CB6136" w:rsidRDefault="005E6A50" w:rsidP="00101DE0">
      <w:pPr>
        <w:pStyle w:val="ABParagraph"/>
        <w:numPr>
          <w:ilvl w:val="0"/>
          <w:numId w:val="4"/>
        </w:numPr>
      </w:pPr>
      <w:r w:rsidRPr="00CB6136">
        <w:rPr>
          <w:lang w:val="en"/>
        </w:rPr>
        <w:t>Forms of Intermediaries - Governance and Innovation Ecosystems</w:t>
      </w:r>
      <w:r w:rsidRPr="00CB6136">
        <w:t> </w:t>
      </w:r>
    </w:p>
    <w:p w14:paraId="7212071B" w14:textId="77777777" w:rsidR="005E6A50" w:rsidRPr="00CB6136" w:rsidRDefault="005E6A50" w:rsidP="00101DE0">
      <w:pPr>
        <w:pStyle w:val="ABParagraph"/>
        <w:numPr>
          <w:ilvl w:val="0"/>
          <w:numId w:val="4"/>
        </w:numPr>
      </w:pPr>
      <w:r w:rsidRPr="00CB6136">
        <w:rPr>
          <w:lang w:val="en"/>
        </w:rPr>
        <w:t>Place-based Strategies for Innovation and Investment</w:t>
      </w:r>
      <w:r w:rsidRPr="00CB6136">
        <w:t> </w:t>
      </w:r>
    </w:p>
    <w:p w14:paraId="116193F1" w14:textId="675E4231" w:rsidR="005E6A50" w:rsidRPr="00CB6136" w:rsidRDefault="005E6A50" w:rsidP="00101DE0">
      <w:pPr>
        <w:pStyle w:val="ABParagraph"/>
        <w:numPr>
          <w:ilvl w:val="0"/>
          <w:numId w:val="4"/>
        </w:numPr>
      </w:pPr>
      <w:r w:rsidRPr="00CB6136">
        <w:rPr>
          <w:lang w:val="en"/>
        </w:rPr>
        <w:t>Beyond clusters and agglomeration – Towards New Innovation Policies?</w:t>
      </w:r>
      <w:r w:rsidRPr="00CB6136">
        <w:t> </w:t>
      </w:r>
    </w:p>
    <w:p w14:paraId="6775430A" w14:textId="77777777" w:rsidR="005E6A50" w:rsidRPr="00CB6136" w:rsidRDefault="005E6A50" w:rsidP="00101DE0">
      <w:pPr>
        <w:pStyle w:val="ABParagraph"/>
        <w:numPr>
          <w:ilvl w:val="0"/>
          <w:numId w:val="4"/>
        </w:numPr>
      </w:pPr>
      <w:r w:rsidRPr="00CB6136">
        <w:rPr>
          <w:lang w:val="en"/>
        </w:rPr>
        <w:t>Towards Regional Inclusive Innovation</w:t>
      </w:r>
      <w:r w:rsidRPr="00CB6136">
        <w:t> </w:t>
      </w:r>
    </w:p>
    <w:p w14:paraId="1899C335" w14:textId="77777777" w:rsidR="005E6A50" w:rsidRPr="00CB6136" w:rsidRDefault="005E6A50" w:rsidP="00101DE0">
      <w:pPr>
        <w:pStyle w:val="ABParagraph"/>
        <w:numPr>
          <w:ilvl w:val="0"/>
          <w:numId w:val="4"/>
        </w:numPr>
      </w:pPr>
      <w:r w:rsidRPr="00CB6136">
        <w:rPr>
          <w:lang w:val="en"/>
        </w:rPr>
        <w:t>Innovation Policy and Transformation - Missions, Goals and Paradox</w:t>
      </w:r>
      <w:r w:rsidRPr="00CB6136">
        <w:t> </w:t>
      </w:r>
    </w:p>
    <w:p w14:paraId="5DE2834C" w14:textId="77777777" w:rsidR="005E6A50" w:rsidRPr="00CB6136" w:rsidRDefault="005E6A50" w:rsidP="00101DE0">
      <w:pPr>
        <w:pStyle w:val="ABParagraph"/>
        <w:numPr>
          <w:ilvl w:val="0"/>
          <w:numId w:val="4"/>
        </w:numPr>
      </w:pPr>
      <w:r w:rsidRPr="00CB6136">
        <w:rPr>
          <w:lang w:val="en"/>
        </w:rPr>
        <w:t>Creative Infrastructure &amp; Cultural Innovation in Regions</w:t>
      </w:r>
      <w:r w:rsidRPr="00CB6136">
        <w:t> </w:t>
      </w:r>
    </w:p>
    <w:p w14:paraId="7A033029" w14:textId="2469EF9F" w:rsidR="005A182D" w:rsidRDefault="005E6A50" w:rsidP="005E6A50">
      <w:pPr>
        <w:pStyle w:val="ABParagraph"/>
      </w:pPr>
      <w:r w:rsidRPr="00CB6136">
        <w:t> </w:t>
      </w:r>
    </w:p>
    <w:p w14:paraId="02F5F176" w14:textId="77777777" w:rsidR="00AC2E56" w:rsidRPr="00AC2E56" w:rsidRDefault="00AC2E56" w:rsidP="005E6A50">
      <w:pPr>
        <w:pStyle w:val="ABParagraph"/>
      </w:pPr>
    </w:p>
    <w:p w14:paraId="5CBB5BAD" w14:textId="77777777" w:rsidR="009E7F1D" w:rsidRDefault="009E7F1D" w:rsidP="005E6A50">
      <w:pPr>
        <w:pStyle w:val="ABParagraph"/>
        <w:rPr>
          <w:b/>
          <w:bCs/>
          <w:lang w:val="en"/>
        </w:rPr>
      </w:pPr>
    </w:p>
    <w:p w14:paraId="426E75A4" w14:textId="77777777" w:rsidR="009E7F1D" w:rsidRDefault="009E7F1D" w:rsidP="005E6A50">
      <w:pPr>
        <w:pStyle w:val="ABParagraph"/>
        <w:rPr>
          <w:b/>
          <w:bCs/>
          <w:lang w:val="en"/>
        </w:rPr>
      </w:pPr>
    </w:p>
    <w:p w14:paraId="288062BC" w14:textId="1AB8E679" w:rsidR="005E6A50" w:rsidRPr="001900D1" w:rsidRDefault="005E6A50" w:rsidP="005E6A50">
      <w:pPr>
        <w:pStyle w:val="ABParagraph"/>
        <w:rPr>
          <w:b/>
          <w:bCs/>
        </w:rPr>
      </w:pPr>
      <w:r w:rsidRPr="001900D1">
        <w:rPr>
          <w:b/>
          <w:bCs/>
          <w:lang w:val="en"/>
        </w:rPr>
        <w:t>Special sessions</w:t>
      </w:r>
      <w:r w:rsidRPr="001900D1">
        <w:rPr>
          <w:b/>
          <w:bCs/>
        </w:rPr>
        <w:t> </w:t>
      </w:r>
    </w:p>
    <w:p w14:paraId="605887A2" w14:textId="53FBC7DF" w:rsidR="005E6A50" w:rsidRPr="00CB6136" w:rsidRDefault="005E6A50" w:rsidP="005E6A50">
      <w:pPr>
        <w:pStyle w:val="ABParagraph"/>
      </w:pPr>
      <w:r>
        <w:rPr>
          <w:lang w:val="en"/>
        </w:rPr>
        <w:t xml:space="preserve">A. </w:t>
      </w:r>
      <w:r w:rsidRPr="00CB6136">
        <w:rPr>
          <w:lang w:val="en"/>
        </w:rPr>
        <w:t>Future-Oriented Regional Innovation Policies: Imaginaries (A1, A2, A3)</w:t>
      </w:r>
      <w:r w:rsidRPr="00CB6136">
        <w:t> </w:t>
      </w:r>
    </w:p>
    <w:p w14:paraId="3F583AAD" w14:textId="0C0AEE70" w:rsidR="005E6A50" w:rsidRPr="00CB6136" w:rsidRDefault="005E6A50" w:rsidP="005E6A50">
      <w:pPr>
        <w:pStyle w:val="ABParagraph"/>
      </w:pPr>
      <w:r w:rsidRPr="005E6A50">
        <w:rPr>
          <w:lang w:val="en"/>
        </w:rPr>
        <w:t>C.</w:t>
      </w:r>
      <w:r>
        <w:rPr>
          <w:lang w:val="en"/>
        </w:rPr>
        <w:t xml:space="preserve"> </w:t>
      </w:r>
      <w:r w:rsidRPr="00CB6136">
        <w:rPr>
          <w:lang w:val="en"/>
        </w:rPr>
        <w:t>Procuring Innovation for the Regional Future </w:t>
      </w:r>
      <w:r w:rsidRPr="00CB6136">
        <w:t> </w:t>
      </w:r>
    </w:p>
    <w:p w14:paraId="36CFDD1C" w14:textId="350D1BA3" w:rsidR="005E6A50" w:rsidRPr="00CB6136" w:rsidRDefault="005E6A50" w:rsidP="005E6A50">
      <w:pPr>
        <w:pStyle w:val="ABParagraph"/>
      </w:pPr>
      <w:r>
        <w:rPr>
          <w:lang w:val="en"/>
        </w:rPr>
        <w:t xml:space="preserve">D. </w:t>
      </w:r>
      <w:r w:rsidRPr="00CB6136">
        <w:rPr>
          <w:lang w:val="en"/>
        </w:rPr>
        <w:t>Building Effective University-Policy Partnerships (D1, D2)</w:t>
      </w:r>
      <w:r w:rsidRPr="00CB6136">
        <w:t> </w:t>
      </w:r>
    </w:p>
    <w:p w14:paraId="5F6241FA" w14:textId="45085343" w:rsidR="005E6A50" w:rsidRPr="00CB6136" w:rsidRDefault="005E6A50" w:rsidP="005E6A50">
      <w:pPr>
        <w:pStyle w:val="ABParagraph"/>
      </w:pPr>
      <w:r>
        <w:rPr>
          <w:lang w:val="en"/>
        </w:rPr>
        <w:t xml:space="preserve">E. </w:t>
      </w:r>
      <w:r w:rsidRPr="00CB6136">
        <w:rPr>
          <w:lang w:val="en"/>
        </w:rPr>
        <w:t>Inclusive and Sustainable Regional Food Systems</w:t>
      </w:r>
      <w:r w:rsidRPr="00CB6136">
        <w:t> </w:t>
      </w:r>
    </w:p>
    <w:p w14:paraId="578A069C" w14:textId="5F14D5D2" w:rsidR="005E6A50" w:rsidRPr="00CB6136" w:rsidRDefault="005E6A50" w:rsidP="005E6A50">
      <w:pPr>
        <w:pStyle w:val="ABParagraph"/>
        <w:sectPr w:rsidR="005E6A50" w:rsidRPr="00CB6136" w:rsidSect="006B5927">
          <w:type w:val="continuous"/>
          <w:pgSz w:w="11906" w:h="16838"/>
          <w:pgMar w:top="1440" w:right="1440" w:bottom="1440" w:left="1440" w:header="709" w:footer="709" w:gutter="0"/>
          <w:cols w:num="2" w:space="708"/>
          <w:docGrid w:linePitch="360"/>
        </w:sectPr>
      </w:pPr>
      <w:r>
        <w:rPr>
          <w:lang w:val="en"/>
        </w:rPr>
        <w:t xml:space="preserve">F. </w:t>
      </w:r>
      <w:r w:rsidRPr="00CB6136">
        <w:rPr>
          <w:lang w:val="en"/>
        </w:rPr>
        <w:t>History, Retrovation and the Temporalities of Regional Innovation (F1, F2)</w:t>
      </w:r>
      <w:r w:rsidRPr="00CB6136">
        <w:t> </w:t>
      </w:r>
    </w:p>
    <w:tbl>
      <w:tblPr>
        <w:tblStyle w:val="TableGrid"/>
        <w:tblW w:w="16302" w:type="dxa"/>
        <w:tblInd w:w="-856" w:type="dxa"/>
        <w:tblCellMar>
          <w:top w:w="113" w:type="dxa"/>
          <w:bottom w:w="113" w:type="dxa"/>
        </w:tblCellMar>
        <w:tblLook w:val="04A0" w:firstRow="1" w:lastRow="0" w:firstColumn="1" w:lastColumn="0" w:noHBand="0" w:noVBand="1"/>
      </w:tblPr>
      <w:tblGrid>
        <w:gridCol w:w="1702"/>
        <w:gridCol w:w="3004"/>
        <w:gridCol w:w="398"/>
        <w:gridCol w:w="2324"/>
        <w:gridCol w:w="1220"/>
        <w:gridCol w:w="1501"/>
        <w:gridCol w:w="2042"/>
        <w:gridCol w:w="680"/>
        <w:gridCol w:w="3431"/>
      </w:tblGrid>
      <w:tr w:rsidR="005E6A50" w:rsidRPr="005E6A50" w14:paraId="17667AA0" w14:textId="77777777" w:rsidTr="00DE7B22">
        <w:tc>
          <w:tcPr>
            <w:tcW w:w="16302" w:type="dxa"/>
            <w:gridSpan w:val="9"/>
            <w:shd w:val="clear" w:color="auto" w:fill="A3331D"/>
          </w:tcPr>
          <w:p w14:paraId="661A3B6C" w14:textId="77777777" w:rsidR="005E6A50" w:rsidRPr="005E6A50" w:rsidRDefault="005E6A50" w:rsidP="00F4404E">
            <w:pPr>
              <w:rPr>
                <w:rFonts w:ascii="Noto Serif Light" w:hAnsi="Noto Serif Light" w:cs="Noto Serif Light"/>
                <w:b/>
                <w:bCs/>
                <w:color w:val="FFFFFF" w:themeColor="background1"/>
                <w:sz w:val="32"/>
                <w:szCs w:val="32"/>
              </w:rPr>
            </w:pPr>
            <w:r w:rsidRPr="005E6A50">
              <w:rPr>
                <w:rFonts w:ascii="Noto Serif Light" w:hAnsi="Noto Serif Light" w:cs="Noto Serif Light"/>
                <w:b/>
                <w:bCs/>
                <w:color w:val="FFFFFF" w:themeColor="background1"/>
                <w:sz w:val="32"/>
                <w:szCs w:val="32"/>
              </w:rPr>
              <w:lastRenderedPageBreak/>
              <w:t>Thursday 17 September</w:t>
            </w:r>
          </w:p>
        </w:tc>
      </w:tr>
      <w:tr w:rsidR="005E6A50" w:rsidRPr="005E6A50" w14:paraId="54EBB527" w14:textId="77777777" w:rsidTr="00DE7B22">
        <w:trPr>
          <w:trHeight w:val="963"/>
        </w:trPr>
        <w:tc>
          <w:tcPr>
            <w:tcW w:w="1702" w:type="dxa"/>
          </w:tcPr>
          <w:p w14:paraId="517AFE2D" w14:textId="77777777" w:rsidR="005E6A50" w:rsidRPr="005E6A50" w:rsidRDefault="005E6A50" w:rsidP="00F4404E">
            <w:pPr>
              <w:rPr>
                <w:rFonts w:ascii="Noto Serif Light" w:hAnsi="Noto Serif Light" w:cs="Noto Serif Light"/>
              </w:rPr>
            </w:pPr>
            <w:r w:rsidRPr="005E6A50">
              <w:rPr>
                <w:rFonts w:ascii="Noto Serif Light" w:hAnsi="Noto Serif Light" w:cs="Noto Serif Light"/>
              </w:rPr>
              <w:t>8:00 – 9:00</w:t>
            </w:r>
          </w:p>
        </w:tc>
        <w:tc>
          <w:tcPr>
            <w:tcW w:w="14600" w:type="dxa"/>
            <w:gridSpan w:val="8"/>
          </w:tcPr>
          <w:p w14:paraId="7675EB12" w14:textId="77777777" w:rsidR="005E6A50" w:rsidRPr="005E6A50" w:rsidRDefault="005E6A50" w:rsidP="00F4404E">
            <w:pPr>
              <w:rPr>
                <w:rFonts w:ascii="Noto Serif Light" w:hAnsi="Noto Serif Light" w:cs="Noto Serif Light"/>
                <w:b/>
                <w:bCs/>
              </w:rPr>
            </w:pPr>
            <w:r w:rsidRPr="005E6A50">
              <w:rPr>
                <w:rFonts w:ascii="Noto Serif Light" w:hAnsi="Noto Serif Light" w:cs="Noto Serif Light"/>
                <w:b/>
                <w:bCs/>
              </w:rPr>
              <w:t>Registration and Refreshments</w:t>
            </w:r>
          </w:p>
          <w:p w14:paraId="24C812DE" w14:textId="77777777" w:rsidR="005E6A50" w:rsidRPr="005E6A50" w:rsidRDefault="005E6A50" w:rsidP="00F4404E">
            <w:pPr>
              <w:rPr>
                <w:rFonts w:ascii="Noto Serif Light" w:hAnsi="Noto Serif Light" w:cs="Noto Serif Light"/>
              </w:rPr>
            </w:pPr>
          </w:p>
          <w:p w14:paraId="2A8895E8" w14:textId="77777777" w:rsidR="005E6A50" w:rsidRPr="005E6A50" w:rsidRDefault="005E6A50" w:rsidP="00F4404E">
            <w:pPr>
              <w:rPr>
                <w:rFonts w:ascii="Noto Serif Light" w:hAnsi="Noto Serif Light" w:cs="Noto Serif Light"/>
              </w:rPr>
            </w:pPr>
            <w:r w:rsidRPr="005E6A50">
              <w:rPr>
                <w:rFonts w:ascii="Noto Serif Light" w:hAnsi="Noto Serif Light" w:cs="Noto Serif Light"/>
                <w:b/>
                <w:bCs/>
              </w:rPr>
              <w:t xml:space="preserve">Location: </w:t>
            </w:r>
            <w:r w:rsidRPr="005E6A50">
              <w:rPr>
                <w:rFonts w:ascii="Noto Serif Light" w:hAnsi="Noto Serif Light" w:cs="Noto Serif Light"/>
              </w:rPr>
              <w:t>Alan Walters Atrium</w:t>
            </w:r>
          </w:p>
        </w:tc>
      </w:tr>
      <w:tr w:rsidR="005E6A50" w:rsidRPr="005E6A50" w14:paraId="7DBE577D" w14:textId="77777777" w:rsidTr="00DE7B22">
        <w:trPr>
          <w:trHeight w:val="1192"/>
        </w:trPr>
        <w:tc>
          <w:tcPr>
            <w:tcW w:w="1702" w:type="dxa"/>
          </w:tcPr>
          <w:p w14:paraId="71918B22" w14:textId="77777777" w:rsidR="005E6A50" w:rsidRPr="005E6A50" w:rsidRDefault="005E6A50" w:rsidP="00F4404E">
            <w:pPr>
              <w:rPr>
                <w:rFonts w:ascii="Noto Serif Light" w:hAnsi="Noto Serif Light" w:cs="Noto Serif Light"/>
              </w:rPr>
            </w:pPr>
            <w:r w:rsidRPr="005E6A50">
              <w:rPr>
                <w:rFonts w:ascii="Noto Serif Light" w:hAnsi="Noto Serif Light" w:cs="Noto Serif Light"/>
              </w:rPr>
              <w:t>9:00 – 10:30</w:t>
            </w:r>
          </w:p>
        </w:tc>
        <w:tc>
          <w:tcPr>
            <w:tcW w:w="14600" w:type="dxa"/>
            <w:gridSpan w:val="8"/>
            <w:shd w:val="clear" w:color="auto" w:fill="FCEDEA"/>
          </w:tcPr>
          <w:p w14:paraId="6A05CC10" w14:textId="77777777" w:rsidR="004A69C0" w:rsidRPr="004A69C0" w:rsidRDefault="004A69C0" w:rsidP="004A69C0">
            <w:pPr>
              <w:rPr>
                <w:rFonts w:ascii="Noto Serif Light" w:hAnsi="Noto Serif Light" w:cs="Noto Serif Light"/>
                <w:b/>
                <w:bCs/>
              </w:rPr>
            </w:pPr>
            <w:r w:rsidRPr="004A69C0">
              <w:rPr>
                <w:rFonts w:ascii="Noto Serif Light" w:hAnsi="Noto Serif Light" w:cs="Noto Serif Light"/>
                <w:b/>
                <w:bCs/>
              </w:rPr>
              <w:t>Welcome by Edgar Meyer (BBS Dean), Rune Fitjar (RegInnoPol Conference) &amp; the Local Organising Committee</w:t>
            </w:r>
          </w:p>
          <w:p w14:paraId="79A7824B" w14:textId="77777777" w:rsidR="004A69C0" w:rsidRDefault="004A69C0" w:rsidP="004A69C0">
            <w:pPr>
              <w:rPr>
                <w:rFonts w:ascii="Noto Serif Light" w:hAnsi="Noto Serif Light" w:cs="Noto Serif Light"/>
                <w:b/>
                <w:bCs/>
              </w:rPr>
            </w:pPr>
          </w:p>
          <w:p w14:paraId="1AFB1AD1" w14:textId="2A3E7CFF" w:rsidR="004A69C0" w:rsidRDefault="004A69C0" w:rsidP="004A69C0">
            <w:pPr>
              <w:rPr>
                <w:rFonts w:ascii="Noto Serif Light" w:hAnsi="Noto Serif Light" w:cs="Noto Serif Light"/>
                <w:b/>
                <w:bCs/>
              </w:rPr>
            </w:pPr>
            <w:r w:rsidRPr="004A69C0">
              <w:rPr>
                <w:rFonts w:ascii="Noto Serif Light" w:hAnsi="Noto Serif Light" w:cs="Noto Serif Light"/>
                <w:b/>
                <w:bCs/>
              </w:rPr>
              <w:t>Day 1 Plenary Session: Regional Innovation Policy in a Post-Rules-Based World</w:t>
            </w:r>
          </w:p>
          <w:p w14:paraId="6FD0A934" w14:textId="53F28C3E" w:rsidR="004A69C0" w:rsidRPr="004A69C0" w:rsidRDefault="004A69C0" w:rsidP="004A69C0">
            <w:pPr>
              <w:rPr>
                <w:rFonts w:ascii="Noto Serif Light" w:hAnsi="Noto Serif Light" w:cs="Noto Serif Light"/>
                <w:b/>
                <w:bCs/>
              </w:rPr>
            </w:pPr>
            <w:r w:rsidRPr="004A69C0">
              <w:rPr>
                <w:rFonts w:ascii="Noto Serif Light" w:hAnsi="Noto Serif Light" w:cs="Noto Serif Light"/>
              </w:rPr>
              <w:t>Keynote Speaker:</w:t>
            </w:r>
            <w:r w:rsidRPr="004A69C0">
              <w:rPr>
                <w:rFonts w:ascii="Noto Serif Light" w:hAnsi="Noto Serif Light" w:cs="Noto Serif Light"/>
                <w:b/>
                <w:bCs/>
              </w:rPr>
              <w:t xml:space="preserve"> Meric Gertler</w:t>
            </w:r>
          </w:p>
          <w:p w14:paraId="3880EC01" w14:textId="529EA1C6" w:rsidR="005E6A50" w:rsidRDefault="004A69C0" w:rsidP="004A69C0">
            <w:pPr>
              <w:rPr>
                <w:rFonts w:ascii="Noto Serif Light" w:hAnsi="Noto Serif Light" w:cs="Noto Serif Light"/>
                <w:b/>
                <w:bCs/>
              </w:rPr>
            </w:pPr>
            <w:r w:rsidRPr="004A69C0">
              <w:rPr>
                <w:rFonts w:ascii="Noto Serif Light" w:hAnsi="Noto Serif Light" w:cs="Noto Serif Light"/>
              </w:rPr>
              <w:t>Commentators:</w:t>
            </w:r>
            <w:r w:rsidRPr="004A69C0">
              <w:rPr>
                <w:rFonts w:ascii="Noto Serif Light" w:hAnsi="Noto Serif Light" w:cs="Noto Serif Light"/>
                <w:b/>
                <w:bCs/>
              </w:rPr>
              <w:t xml:space="preserve"> Jun Du &amp; Rebecca Riley</w:t>
            </w:r>
          </w:p>
          <w:p w14:paraId="660E76DB" w14:textId="77777777" w:rsidR="004A69C0" w:rsidRPr="005E6A50" w:rsidRDefault="004A69C0" w:rsidP="004A69C0">
            <w:pPr>
              <w:rPr>
                <w:rFonts w:ascii="Noto Serif Light" w:hAnsi="Noto Serif Light" w:cs="Noto Serif Light"/>
              </w:rPr>
            </w:pPr>
          </w:p>
          <w:p w14:paraId="44EAC618" w14:textId="77777777" w:rsidR="005E6A50" w:rsidRPr="005E6A50" w:rsidRDefault="005E6A50" w:rsidP="00F4404E">
            <w:pPr>
              <w:rPr>
                <w:rFonts w:ascii="Noto Serif Light" w:hAnsi="Noto Serif Light" w:cs="Noto Serif Light"/>
              </w:rPr>
            </w:pPr>
            <w:r w:rsidRPr="005E6A50">
              <w:rPr>
                <w:rFonts w:ascii="Noto Serif Light" w:hAnsi="Noto Serif Light" w:cs="Noto Serif Light"/>
                <w:b/>
                <w:bCs/>
              </w:rPr>
              <w:t xml:space="preserve">Location: </w:t>
            </w:r>
            <w:r w:rsidRPr="005E6A50">
              <w:rPr>
                <w:rFonts w:ascii="Noto Serif Light" w:hAnsi="Noto Serif Light" w:cs="Noto Serif Light"/>
              </w:rPr>
              <w:t>G03 – Lecture Theatre 1</w:t>
            </w:r>
          </w:p>
        </w:tc>
      </w:tr>
      <w:tr w:rsidR="005E6A50" w:rsidRPr="005E6A50" w14:paraId="50AD0DEA" w14:textId="77777777" w:rsidTr="00DE7B22">
        <w:trPr>
          <w:trHeight w:val="775"/>
        </w:trPr>
        <w:tc>
          <w:tcPr>
            <w:tcW w:w="1702" w:type="dxa"/>
          </w:tcPr>
          <w:p w14:paraId="0A2F4F46" w14:textId="77777777" w:rsidR="005E6A50" w:rsidRPr="005E6A50" w:rsidRDefault="005E6A50" w:rsidP="00F4404E">
            <w:pPr>
              <w:rPr>
                <w:rFonts w:ascii="Noto Serif Light" w:hAnsi="Noto Serif Light" w:cs="Noto Serif Light"/>
              </w:rPr>
            </w:pPr>
            <w:r w:rsidRPr="005E6A50">
              <w:rPr>
                <w:rFonts w:ascii="Noto Serif Light" w:hAnsi="Noto Serif Light" w:cs="Noto Serif Light"/>
              </w:rPr>
              <w:t>10:30 – 11:00</w:t>
            </w:r>
          </w:p>
        </w:tc>
        <w:tc>
          <w:tcPr>
            <w:tcW w:w="14600" w:type="dxa"/>
            <w:gridSpan w:val="8"/>
          </w:tcPr>
          <w:p w14:paraId="5400E374" w14:textId="77777777" w:rsidR="005E6A50" w:rsidRPr="005E6A50" w:rsidRDefault="005E6A50" w:rsidP="00F4404E">
            <w:pPr>
              <w:rPr>
                <w:rFonts w:ascii="Noto Serif Light" w:hAnsi="Noto Serif Light" w:cs="Noto Serif Light"/>
                <w:b/>
                <w:bCs/>
              </w:rPr>
            </w:pPr>
            <w:r w:rsidRPr="005E6A50">
              <w:rPr>
                <w:rFonts w:ascii="Noto Serif Light" w:hAnsi="Noto Serif Light" w:cs="Noto Serif Light"/>
                <w:b/>
                <w:bCs/>
              </w:rPr>
              <w:t>Refreshment Break</w:t>
            </w:r>
          </w:p>
          <w:p w14:paraId="4122CDBB" w14:textId="77777777" w:rsidR="005E6A50" w:rsidRPr="005E6A50" w:rsidRDefault="005E6A50" w:rsidP="00F4404E">
            <w:pPr>
              <w:rPr>
                <w:rFonts w:ascii="Noto Serif Light" w:hAnsi="Noto Serif Light" w:cs="Noto Serif Light"/>
                <w:b/>
                <w:bCs/>
              </w:rPr>
            </w:pPr>
          </w:p>
          <w:p w14:paraId="6F3B4AAF" w14:textId="77777777" w:rsidR="005E6A50" w:rsidRPr="005E6A50" w:rsidRDefault="005E6A50" w:rsidP="00F4404E">
            <w:pPr>
              <w:rPr>
                <w:rFonts w:ascii="Noto Serif Light" w:hAnsi="Noto Serif Light" w:cs="Noto Serif Light"/>
                <w:b/>
                <w:bCs/>
              </w:rPr>
            </w:pPr>
            <w:r w:rsidRPr="005E6A50">
              <w:rPr>
                <w:rFonts w:ascii="Noto Serif Light" w:hAnsi="Noto Serif Light" w:cs="Noto Serif Light"/>
                <w:b/>
                <w:bCs/>
              </w:rPr>
              <w:t xml:space="preserve">Location: </w:t>
            </w:r>
            <w:r w:rsidRPr="005E6A50">
              <w:rPr>
                <w:rFonts w:ascii="Noto Serif Light" w:hAnsi="Noto Serif Light" w:cs="Noto Serif Light"/>
              </w:rPr>
              <w:t>Alan Walters Atrium</w:t>
            </w:r>
          </w:p>
        </w:tc>
      </w:tr>
      <w:tr w:rsidR="005E6A50" w:rsidRPr="005E6A50" w14:paraId="5AAE1CC1" w14:textId="77777777" w:rsidTr="00DE7B22">
        <w:trPr>
          <w:trHeight w:val="176"/>
        </w:trPr>
        <w:tc>
          <w:tcPr>
            <w:tcW w:w="1702" w:type="dxa"/>
            <w:vMerge w:val="restart"/>
          </w:tcPr>
          <w:p w14:paraId="19FBAB0B" w14:textId="77777777" w:rsidR="005E6A50" w:rsidRPr="005E6A50" w:rsidRDefault="005E6A50" w:rsidP="00F4404E">
            <w:pPr>
              <w:rPr>
                <w:rFonts w:ascii="Noto Serif Light" w:hAnsi="Noto Serif Light" w:cs="Noto Serif Light"/>
              </w:rPr>
            </w:pPr>
            <w:r w:rsidRPr="005E6A50">
              <w:rPr>
                <w:rFonts w:ascii="Noto Serif Light" w:hAnsi="Noto Serif Light" w:cs="Noto Serif Light"/>
              </w:rPr>
              <w:t>11:00 – 12:30</w:t>
            </w:r>
          </w:p>
        </w:tc>
        <w:tc>
          <w:tcPr>
            <w:tcW w:w="14600" w:type="dxa"/>
            <w:gridSpan w:val="8"/>
            <w:shd w:val="clear" w:color="auto" w:fill="F4CAC2"/>
          </w:tcPr>
          <w:p w14:paraId="66DD8116" w14:textId="77777777" w:rsidR="005E6A50" w:rsidRPr="005E6A50" w:rsidRDefault="005E6A50" w:rsidP="00F4404E">
            <w:pPr>
              <w:rPr>
                <w:rFonts w:ascii="Noto Serif Light" w:hAnsi="Noto Serif Light" w:cs="Noto Serif Light"/>
                <w:b/>
                <w:bCs/>
              </w:rPr>
            </w:pPr>
            <w:r w:rsidRPr="005E6A50">
              <w:rPr>
                <w:rFonts w:ascii="Noto Serif Light" w:hAnsi="Noto Serif Light" w:cs="Noto Serif Light"/>
                <w:b/>
                <w:bCs/>
              </w:rPr>
              <w:t>Parallel Session 1</w:t>
            </w:r>
          </w:p>
        </w:tc>
      </w:tr>
      <w:tr w:rsidR="005E6A50" w:rsidRPr="005E6A50" w14:paraId="1926895E" w14:textId="77777777" w:rsidTr="00DE7B22">
        <w:tc>
          <w:tcPr>
            <w:tcW w:w="1702" w:type="dxa"/>
            <w:vMerge/>
          </w:tcPr>
          <w:p w14:paraId="64920A4D" w14:textId="77777777" w:rsidR="005E6A50" w:rsidRPr="005E6A50" w:rsidRDefault="005E6A50" w:rsidP="00F4404E">
            <w:pPr>
              <w:rPr>
                <w:rFonts w:ascii="Noto Serif Light" w:hAnsi="Noto Serif Light" w:cs="Noto Serif Light"/>
              </w:rPr>
            </w:pPr>
          </w:p>
        </w:tc>
        <w:tc>
          <w:tcPr>
            <w:tcW w:w="3402" w:type="dxa"/>
            <w:gridSpan w:val="2"/>
            <w:shd w:val="clear" w:color="auto" w:fill="F9E0DB"/>
          </w:tcPr>
          <w:p w14:paraId="51A22548" w14:textId="77777777" w:rsidR="005E6A50" w:rsidRPr="005E6A50" w:rsidRDefault="005E6A50" w:rsidP="00F4404E">
            <w:pPr>
              <w:rPr>
                <w:rFonts w:ascii="Noto Serif Light" w:hAnsi="Noto Serif Light" w:cs="Noto Serif Light"/>
                <w:b/>
                <w:bCs/>
                <w:sz w:val="22"/>
                <w:szCs w:val="22"/>
              </w:rPr>
            </w:pPr>
            <w:r w:rsidRPr="005E6A50">
              <w:rPr>
                <w:rFonts w:ascii="Noto Serif Light" w:hAnsi="Noto Serif Light" w:cs="Noto Serif Light"/>
                <w:b/>
                <w:bCs/>
                <w:sz w:val="22"/>
                <w:szCs w:val="22"/>
              </w:rPr>
              <w:t>A1: Future-Orientated Regional Innovation Policies</w:t>
            </w:r>
          </w:p>
          <w:p w14:paraId="547D17EB" w14:textId="77777777" w:rsidR="005E6A50" w:rsidRDefault="005E6A50" w:rsidP="00F4404E">
            <w:pPr>
              <w:rPr>
                <w:rFonts w:ascii="Noto Serif Light" w:hAnsi="Noto Serif Light" w:cs="Noto Serif Light"/>
                <w:b/>
                <w:bCs/>
                <w:sz w:val="22"/>
                <w:szCs w:val="22"/>
              </w:rPr>
            </w:pPr>
          </w:p>
          <w:p w14:paraId="37620233" w14:textId="77777777" w:rsidR="003D7B5B" w:rsidRDefault="003D7B5B" w:rsidP="00F4404E">
            <w:pPr>
              <w:rPr>
                <w:rFonts w:ascii="Noto Serif Light" w:hAnsi="Noto Serif Light" w:cs="Noto Serif Light"/>
                <w:b/>
                <w:bCs/>
                <w:sz w:val="22"/>
                <w:szCs w:val="22"/>
              </w:rPr>
            </w:pPr>
          </w:p>
          <w:p w14:paraId="5E0B6743" w14:textId="1C27FE89" w:rsidR="005E6A50" w:rsidRPr="003E1AF5" w:rsidRDefault="003D7B5B" w:rsidP="00F4404E">
            <w:pPr>
              <w:rPr>
                <w:rFonts w:ascii="Noto Serif Light" w:hAnsi="Noto Serif Light" w:cs="Noto Serif Light"/>
                <w:sz w:val="22"/>
                <w:szCs w:val="22"/>
              </w:rPr>
            </w:pPr>
            <w:r>
              <w:rPr>
                <w:rFonts w:ascii="Noto Serif Light" w:hAnsi="Noto Serif Light" w:cs="Noto Serif Light"/>
                <w:b/>
                <w:bCs/>
                <w:sz w:val="22"/>
                <w:szCs w:val="22"/>
              </w:rPr>
              <w:t xml:space="preserve">Location: </w:t>
            </w:r>
            <w:r w:rsidR="003E1AF5">
              <w:rPr>
                <w:rFonts w:ascii="Noto Serif Light" w:hAnsi="Noto Serif Light" w:cs="Noto Serif Light"/>
                <w:sz w:val="22"/>
                <w:szCs w:val="22"/>
              </w:rPr>
              <w:t>G11 – Lecture Theatre 2</w:t>
            </w:r>
          </w:p>
        </w:tc>
        <w:tc>
          <w:tcPr>
            <w:tcW w:w="3544" w:type="dxa"/>
            <w:gridSpan w:val="2"/>
            <w:shd w:val="clear" w:color="auto" w:fill="FDF3F1"/>
          </w:tcPr>
          <w:p w14:paraId="76856DD2" w14:textId="77777777" w:rsidR="005E6A50" w:rsidRPr="005E6A50" w:rsidRDefault="005E6A50" w:rsidP="00F4404E">
            <w:pPr>
              <w:rPr>
                <w:rFonts w:ascii="Noto Serif Light" w:hAnsi="Noto Serif Light" w:cs="Noto Serif Light"/>
                <w:b/>
                <w:bCs/>
                <w:sz w:val="22"/>
                <w:szCs w:val="22"/>
              </w:rPr>
            </w:pPr>
            <w:r w:rsidRPr="005E6A50">
              <w:rPr>
                <w:rFonts w:ascii="Noto Serif Light" w:hAnsi="Noto Serif Light" w:cs="Noto Serif Light"/>
                <w:b/>
                <w:bCs/>
                <w:sz w:val="22"/>
                <w:szCs w:val="22"/>
              </w:rPr>
              <w:t>Entrepreneurial Ecosystems and Place-based Strategies</w:t>
            </w:r>
          </w:p>
          <w:p w14:paraId="4A40351F" w14:textId="77777777" w:rsidR="005E6A50" w:rsidRDefault="005E6A50" w:rsidP="00F4404E">
            <w:pPr>
              <w:rPr>
                <w:rFonts w:ascii="Noto Serif Light" w:hAnsi="Noto Serif Light" w:cs="Noto Serif Light"/>
                <w:sz w:val="22"/>
                <w:szCs w:val="22"/>
              </w:rPr>
            </w:pPr>
          </w:p>
          <w:p w14:paraId="5D3945DB" w14:textId="77777777" w:rsidR="003D7B5B" w:rsidRDefault="003D7B5B" w:rsidP="00F4404E">
            <w:pPr>
              <w:rPr>
                <w:rFonts w:ascii="Noto Serif Light" w:hAnsi="Noto Serif Light" w:cs="Noto Serif Light"/>
                <w:sz w:val="22"/>
                <w:szCs w:val="22"/>
              </w:rPr>
            </w:pPr>
          </w:p>
          <w:p w14:paraId="77D3147C" w14:textId="64561487" w:rsidR="003D7B5B" w:rsidRPr="003E1AF5" w:rsidRDefault="003D7B5B" w:rsidP="00F4404E">
            <w:pPr>
              <w:rPr>
                <w:rFonts w:ascii="Noto Serif Light" w:hAnsi="Noto Serif Light" w:cs="Noto Serif Light"/>
                <w:sz w:val="22"/>
                <w:szCs w:val="22"/>
              </w:rPr>
            </w:pPr>
            <w:r>
              <w:rPr>
                <w:rFonts w:ascii="Noto Serif Light" w:hAnsi="Noto Serif Light" w:cs="Noto Serif Light"/>
                <w:b/>
                <w:bCs/>
                <w:sz w:val="22"/>
                <w:szCs w:val="22"/>
              </w:rPr>
              <w:t>Location:</w:t>
            </w:r>
            <w:r w:rsidR="003E1AF5">
              <w:rPr>
                <w:rFonts w:ascii="Noto Serif Light" w:hAnsi="Noto Serif Light" w:cs="Noto Serif Light"/>
                <w:b/>
                <w:bCs/>
                <w:sz w:val="22"/>
                <w:szCs w:val="22"/>
              </w:rPr>
              <w:t xml:space="preserve"> </w:t>
            </w:r>
            <w:r w:rsidR="003E1AF5">
              <w:rPr>
                <w:rFonts w:ascii="Noto Serif Light" w:hAnsi="Noto Serif Light" w:cs="Noto Serif Light"/>
                <w:sz w:val="22"/>
                <w:szCs w:val="22"/>
              </w:rPr>
              <w:t>103 – Lecture Theatre 3</w:t>
            </w:r>
          </w:p>
        </w:tc>
        <w:tc>
          <w:tcPr>
            <w:tcW w:w="3543" w:type="dxa"/>
            <w:gridSpan w:val="2"/>
            <w:shd w:val="clear" w:color="auto" w:fill="FEF5F0"/>
          </w:tcPr>
          <w:p w14:paraId="7202C953" w14:textId="77777777" w:rsidR="005E6A50" w:rsidRDefault="005E6A50" w:rsidP="00F4404E">
            <w:pPr>
              <w:rPr>
                <w:rFonts w:ascii="Noto Serif Light" w:hAnsi="Noto Serif Light" w:cs="Noto Serif Light"/>
                <w:b/>
                <w:bCs/>
                <w:sz w:val="22"/>
                <w:szCs w:val="22"/>
              </w:rPr>
            </w:pPr>
            <w:r w:rsidRPr="005E6A50">
              <w:rPr>
                <w:rFonts w:ascii="Noto Serif Light" w:hAnsi="Noto Serif Light" w:cs="Noto Serif Light"/>
                <w:b/>
                <w:bCs/>
                <w:sz w:val="22"/>
                <w:szCs w:val="22"/>
                <w:lang w:val="en"/>
              </w:rPr>
              <w:t>Rural and Coastal Innovation - Place-based Strategies &amp; Policies</w:t>
            </w:r>
            <w:r w:rsidRPr="005E6A50">
              <w:rPr>
                <w:rFonts w:ascii="Noto Serif Light" w:hAnsi="Noto Serif Light" w:cs="Noto Serif Light"/>
                <w:b/>
                <w:bCs/>
                <w:sz w:val="22"/>
                <w:szCs w:val="22"/>
              </w:rPr>
              <w:t> </w:t>
            </w:r>
          </w:p>
          <w:p w14:paraId="443C4DD7" w14:textId="77777777" w:rsidR="003D7B5B" w:rsidRDefault="003D7B5B" w:rsidP="00F4404E">
            <w:pPr>
              <w:rPr>
                <w:rFonts w:ascii="Noto Serif Light" w:hAnsi="Noto Serif Light" w:cs="Noto Serif Light"/>
                <w:b/>
                <w:bCs/>
                <w:sz w:val="22"/>
                <w:szCs w:val="22"/>
              </w:rPr>
            </w:pPr>
          </w:p>
          <w:p w14:paraId="77C5DB58" w14:textId="42BE259C" w:rsidR="003D7B5B" w:rsidRPr="003E1AF5" w:rsidRDefault="003D7B5B" w:rsidP="00F4404E">
            <w:pPr>
              <w:rPr>
                <w:rFonts w:ascii="Noto Serif Light" w:hAnsi="Noto Serif Light" w:cs="Noto Serif Light"/>
                <w:sz w:val="22"/>
                <w:szCs w:val="22"/>
              </w:rPr>
            </w:pPr>
            <w:r>
              <w:rPr>
                <w:rFonts w:ascii="Noto Serif Light" w:hAnsi="Noto Serif Light" w:cs="Noto Serif Light"/>
                <w:b/>
                <w:bCs/>
                <w:sz w:val="22"/>
                <w:szCs w:val="22"/>
              </w:rPr>
              <w:t>Location:</w:t>
            </w:r>
            <w:r w:rsidR="003E1AF5">
              <w:rPr>
                <w:rFonts w:ascii="Noto Serif Light" w:hAnsi="Noto Serif Light" w:cs="Noto Serif Light"/>
                <w:b/>
                <w:bCs/>
                <w:sz w:val="22"/>
                <w:szCs w:val="22"/>
              </w:rPr>
              <w:t xml:space="preserve"> </w:t>
            </w:r>
            <w:r w:rsidR="003E1AF5">
              <w:rPr>
                <w:rFonts w:ascii="Noto Serif Light" w:hAnsi="Noto Serif Light" w:cs="Noto Serif Light"/>
                <w:sz w:val="22"/>
                <w:szCs w:val="22"/>
              </w:rPr>
              <w:t>111 – Lecture Theatre 4</w:t>
            </w:r>
          </w:p>
        </w:tc>
        <w:tc>
          <w:tcPr>
            <w:tcW w:w="4111" w:type="dxa"/>
            <w:gridSpan w:val="2"/>
            <w:shd w:val="clear" w:color="auto" w:fill="FEEEE6"/>
          </w:tcPr>
          <w:p w14:paraId="7C7CBA5F" w14:textId="77777777" w:rsidR="005E6A50" w:rsidRPr="005E6A50" w:rsidRDefault="005E6A50" w:rsidP="00F4404E">
            <w:pPr>
              <w:rPr>
                <w:rFonts w:ascii="Noto Serif Light" w:hAnsi="Noto Serif Light" w:cs="Noto Serif Light"/>
                <w:b/>
                <w:bCs/>
                <w:sz w:val="22"/>
                <w:szCs w:val="22"/>
              </w:rPr>
            </w:pPr>
            <w:r w:rsidRPr="005E6A50">
              <w:rPr>
                <w:rFonts w:ascii="Noto Serif Light" w:hAnsi="Noto Serif Light" w:cs="Noto Serif Light"/>
                <w:b/>
                <w:bCs/>
                <w:sz w:val="22"/>
                <w:szCs w:val="22"/>
                <w:lang w:val="en"/>
              </w:rPr>
              <w:t>F1: History, Retrovation and the Temporalities</w:t>
            </w:r>
            <w:r w:rsidRPr="005E6A50">
              <w:rPr>
                <w:rFonts w:ascii="Noto Serif Light" w:hAnsi="Noto Serif Light" w:cs="Noto Serif Light"/>
                <w:b/>
                <w:bCs/>
                <w:sz w:val="22"/>
                <w:szCs w:val="22"/>
              </w:rPr>
              <w:t> </w:t>
            </w:r>
          </w:p>
          <w:p w14:paraId="3980C6B8" w14:textId="77777777" w:rsidR="005E6A50" w:rsidRDefault="005E6A50" w:rsidP="00F4404E">
            <w:pPr>
              <w:rPr>
                <w:rFonts w:ascii="Noto Serif Light" w:hAnsi="Noto Serif Light" w:cs="Noto Serif Light"/>
                <w:sz w:val="22"/>
                <w:szCs w:val="22"/>
              </w:rPr>
            </w:pPr>
          </w:p>
          <w:p w14:paraId="69BAADAB" w14:textId="77777777" w:rsidR="003D7B5B" w:rsidRDefault="003D7B5B" w:rsidP="00F4404E">
            <w:pPr>
              <w:rPr>
                <w:rFonts w:ascii="Noto Serif Light" w:hAnsi="Noto Serif Light" w:cs="Noto Serif Light"/>
                <w:sz w:val="22"/>
                <w:szCs w:val="22"/>
              </w:rPr>
            </w:pPr>
          </w:p>
          <w:p w14:paraId="5806D502" w14:textId="6263A125" w:rsidR="003D7B5B" w:rsidRPr="003E1AF5" w:rsidRDefault="003D7B5B" w:rsidP="00F4404E">
            <w:pPr>
              <w:rPr>
                <w:rFonts w:ascii="Noto Serif Light" w:hAnsi="Noto Serif Light" w:cs="Noto Serif Light"/>
                <w:sz w:val="22"/>
                <w:szCs w:val="22"/>
              </w:rPr>
            </w:pPr>
            <w:r>
              <w:rPr>
                <w:rFonts w:ascii="Noto Serif Light" w:hAnsi="Noto Serif Light" w:cs="Noto Serif Light"/>
                <w:b/>
                <w:bCs/>
                <w:sz w:val="22"/>
                <w:szCs w:val="22"/>
              </w:rPr>
              <w:t>Location:</w:t>
            </w:r>
            <w:r w:rsidR="003E1AF5">
              <w:rPr>
                <w:rFonts w:ascii="Noto Serif Light" w:hAnsi="Noto Serif Light" w:cs="Noto Serif Light"/>
                <w:b/>
                <w:bCs/>
                <w:sz w:val="22"/>
                <w:szCs w:val="22"/>
              </w:rPr>
              <w:t xml:space="preserve"> </w:t>
            </w:r>
            <w:r w:rsidR="003E1AF5">
              <w:rPr>
                <w:rFonts w:ascii="Noto Serif Light" w:hAnsi="Noto Serif Light" w:cs="Noto Serif Light"/>
                <w:sz w:val="22"/>
                <w:szCs w:val="22"/>
              </w:rPr>
              <w:t>112 – Lecture Theatre 5</w:t>
            </w:r>
          </w:p>
        </w:tc>
      </w:tr>
      <w:tr w:rsidR="004A69C0" w:rsidRPr="005E6A50" w14:paraId="08E385D0" w14:textId="77777777" w:rsidTr="00DE7B22">
        <w:tc>
          <w:tcPr>
            <w:tcW w:w="1702" w:type="dxa"/>
            <w:vMerge/>
          </w:tcPr>
          <w:p w14:paraId="1B22AFDB" w14:textId="77777777" w:rsidR="004A69C0" w:rsidRPr="005E6A50" w:rsidRDefault="004A69C0" w:rsidP="00F4404E">
            <w:pPr>
              <w:rPr>
                <w:rFonts w:ascii="Noto Serif Light" w:hAnsi="Noto Serif Light" w:cs="Noto Serif Light"/>
              </w:rPr>
            </w:pPr>
          </w:p>
        </w:tc>
        <w:tc>
          <w:tcPr>
            <w:tcW w:w="3402" w:type="dxa"/>
            <w:gridSpan w:val="2"/>
            <w:shd w:val="clear" w:color="auto" w:fill="F9E0DB"/>
          </w:tcPr>
          <w:p w14:paraId="1CC1290C" w14:textId="4CADAC6F" w:rsidR="004A69C0" w:rsidRDefault="004A69C0" w:rsidP="00F4404E">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Chair: Muzamil Farooq</w:t>
            </w:r>
          </w:p>
        </w:tc>
        <w:tc>
          <w:tcPr>
            <w:tcW w:w="3544" w:type="dxa"/>
            <w:gridSpan w:val="2"/>
            <w:shd w:val="clear" w:color="auto" w:fill="FDF3F1"/>
          </w:tcPr>
          <w:p w14:paraId="39506596" w14:textId="64A5BF1F" w:rsidR="004A69C0" w:rsidRDefault="004A69C0" w:rsidP="00F4404E">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Chair: James Wood</w:t>
            </w:r>
          </w:p>
        </w:tc>
        <w:tc>
          <w:tcPr>
            <w:tcW w:w="3543" w:type="dxa"/>
            <w:gridSpan w:val="2"/>
            <w:shd w:val="clear" w:color="auto" w:fill="FEF5F0"/>
          </w:tcPr>
          <w:p w14:paraId="5C55F61F" w14:textId="05A21F3A" w:rsidR="004A69C0" w:rsidRDefault="004A69C0"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C</w:t>
            </w:r>
            <w:r w:rsidRPr="004A69C0">
              <w:rPr>
                <w:rFonts w:ascii="Noto Serif Light" w:hAnsi="Noto Serif Light" w:cs="Noto Serif Light"/>
                <w:b/>
                <w:bCs/>
                <w:sz w:val="20"/>
                <w:szCs w:val="20"/>
                <w:lang w:val="en"/>
              </w:rPr>
              <w:t>hair: Gerardo Javier Arriaga</w:t>
            </w:r>
            <w:r>
              <w:rPr>
                <w:rFonts w:ascii="Noto Serif Light" w:hAnsi="Noto Serif Light" w:cs="Noto Serif Light"/>
                <w:b/>
                <w:bCs/>
                <w:sz w:val="20"/>
                <w:szCs w:val="20"/>
                <w:lang w:val="en"/>
              </w:rPr>
              <w:t xml:space="preserve"> G</w:t>
            </w:r>
            <w:r w:rsidRPr="004A69C0">
              <w:rPr>
                <w:rFonts w:ascii="Noto Serif Light" w:hAnsi="Noto Serif Light" w:cs="Noto Serif Light"/>
                <w:b/>
                <w:bCs/>
                <w:sz w:val="20"/>
                <w:szCs w:val="20"/>
                <w:lang w:val="en"/>
              </w:rPr>
              <w:t>arcia</w:t>
            </w:r>
          </w:p>
        </w:tc>
        <w:tc>
          <w:tcPr>
            <w:tcW w:w="4111" w:type="dxa"/>
            <w:gridSpan w:val="2"/>
            <w:shd w:val="clear" w:color="auto" w:fill="FEEEE6"/>
          </w:tcPr>
          <w:p w14:paraId="68CFD9CD" w14:textId="1DBE0C01" w:rsidR="004A69C0" w:rsidRDefault="004A69C0" w:rsidP="00F4404E">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Chair: SS-F organiser</w:t>
            </w:r>
          </w:p>
        </w:tc>
      </w:tr>
      <w:tr w:rsidR="005E6A50" w:rsidRPr="005E6A50" w14:paraId="0BEA4CC5" w14:textId="77777777" w:rsidTr="00DE7B22">
        <w:tc>
          <w:tcPr>
            <w:tcW w:w="1702" w:type="dxa"/>
            <w:vMerge/>
          </w:tcPr>
          <w:p w14:paraId="7670943E" w14:textId="77777777" w:rsidR="005E6A50" w:rsidRPr="005E6A50" w:rsidRDefault="005E6A50" w:rsidP="00F4404E">
            <w:pPr>
              <w:rPr>
                <w:rFonts w:ascii="Noto Serif Light" w:hAnsi="Noto Serif Light" w:cs="Noto Serif Light"/>
              </w:rPr>
            </w:pPr>
          </w:p>
        </w:tc>
        <w:tc>
          <w:tcPr>
            <w:tcW w:w="3402" w:type="dxa"/>
            <w:gridSpan w:val="2"/>
            <w:shd w:val="clear" w:color="auto" w:fill="F9E0DB"/>
          </w:tcPr>
          <w:p w14:paraId="57F3F819" w14:textId="6BAEC4E9"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O1. </w:t>
            </w:r>
            <w:r w:rsidR="005E6A50" w:rsidRPr="005E6A50">
              <w:rPr>
                <w:rFonts w:ascii="Noto Serif Light" w:hAnsi="Noto Serif Light" w:cs="Noto Serif Light"/>
                <w:b/>
                <w:bCs/>
                <w:sz w:val="20"/>
                <w:szCs w:val="20"/>
                <w:lang w:val="en"/>
              </w:rPr>
              <w:t>Marco Bellandi &amp; Erica Santini:</w:t>
            </w:r>
          </w:p>
          <w:p w14:paraId="4581AE60" w14:textId="77777777" w:rsidR="005E6A50" w:rsidRPr="005E6A50" w:rsidRDefault="005E6A50" w:rsidP="00F4404E">
            <w:pPr>
              <w:rPr>
                <w:rFonts w:ascii="Noto Serif Light" w:hAnsi="Noto Serif Light" w:cs="Noto Serif Light"/>
                <w:sz w:val="20"/>
                <w:szCs w:val="20"/>
              </w:rPr>
            </w:pPr>
            <w:r w:rsidRPr="005E6A50">
              <w:rPr>
                <w:rFonts w:ascii="Noto Serif Light" w:hAnsi="Noto Serif Light" w:cs="Noto Serif Light"/>
                <w:sz w:val="20"/>
                <w:szCs w:val="20"/>
                <w:lang w:val="en"/>
              </w:rPr>
              <w:lastRenderedPageBreak/>
              <w:t>Future-Oriented Regional Innovation Policies and Radical Rerouting in Local Production Systems</w:t>
            </w:r>
            <w:r w:rsidRPr="005E6A50">
              <w:rPr>
                <w:rFonts w:ascii="Noto Serif Light" w:hAnsi="Noto Serif Light" w:cs="Noto Serif Light"/>
                <w:sz w:val="20"/>
                <w:szCs w:val="20"/>
              </w:rPr>
              <w:t> </w:t>
            </w:r>
          </w:p>
        </w:tc>
        <w:tc>
          <w:tcPr>
            <w:tcW w:w="3544" w:type="dxa"/>
            <w:gridSpan w:val="2"/>
            <w:shd w:val="clear" w:color="auto" w:fill="FDF3F1"/>
          </w:tcPr>
          <w:p w14:paraId="1B0B63CE" w14:textId="1FE5E085"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lastRenderedPageBreak/>
              <w:t xml:space="preserve">O5. </w:t>
            </w:r>
            <w:r w:rsidR="005E6A50" w:rsidRPr="005E6A50">
              <w:rPr>
                <w:rFonts w:ascii="Noto Serif Light" w:hAnsi="Noto Serif Light" w:cs="Noto Serif Light"/>
                <w:b/>
                <w:bCs/>
                <w:sz w:val="20"/>
                <w:szCs w:val="20"/>
                <w:lang w:val="en"/>
              </w:rPr>
              <w:t>J</w:t>
            </w:r>
            <w:r w:rsidR="00F72B38">
              <w:rPr>
                <w:rFonts w:ascii="Noto Serif Light" w:hAnsi="Noto Serif Light" w:cs="Noto Serif Light"/>
                <w:b/>
                <w:bCs/>
                <w:sz w:val="20"/>
                <w:szCs w:val="20"/>
                <w:lang w:val="en"/>
              </w:rPr>
              <w:t>au</w:t>
            </w:r>
            <w:r w:rsidR="005E6A50" w:rsidRPr="005E6A50">
              <w:rPr>
                <w:rFonts w:ascii="Noto Serif Light" w:hAnsi="Noto Serif Light" w:cs="Noto Serif Light"/>
                <w:b/>
                <w:bCs/>
                <w:sz w:val="20"/>
                <w:szCs w:val="20"/>
                <w:lang w:val="en"/>
              </w:rPr>
              <w:t>n Hwang:</w:t>
            </w:r>
          </w:p>
          <w:p w14:paraId="764F6950" w14:textId="711F2DDD" w:rsidR="005E6A50" w:rsidRPr="005E6A50" w:rsidRDefault="005E6A50" w:rsidP="00F4404E">
            <w:pPr>
              <w:rPr>
                <w:rFonts w:ascii="Noto Serif Light" w:hAnsi="Noto Serif Light" w:cs="Noto Serif Light"/>
                <w:sz w:val="20"/>
                <w:szCs w:val="20"/>
              </w:rPr>
            </w:pPr>
            <w:r w:rsidRPr="005E6A50">
              <w:rPr>
                <w:rFonts w:ascii="Noto Serif Light" w:hAnsi="Noto Serif Light" w:cs="Noto Serif Light"/>
                <w:sz w:val="20"/>
                <w:szCs w:val="20"/>
                <w:lang w:val="en"/>
              </w:rPr>
              <w:t xml:space="preserve">Overcoming Peripherality: How Government-backed Venture Capital </w:t>
            </w:r>
            <w:r w:rsidRPr="005E6A50">
              <w:rPr>
                <w:rFonts w:ascii="Noto Serif Light" w:hAnsi="Noto Serif Light" w:cs="Noto Serif Light"/>
                <w:sz w:val="20"/>
                <w:szCs w:val="20"/>
                <w:lang w:val="en"/>
              </w:rPr>
              <w:lastRenderedPageBreak/>
              <w:t>Funds Shape Network Dynamics in</w:t>
            </w:r>
            <w:r w:rsidR="004A69C0">
              <w:rPr>
                <w:rFonts w:ascii="Noto Serif Light" w:hAnsi="Noto Serif Light" w:cs="Noto Serif Light"/>
                <w:sz w:val="20"/>
                <w:szCs w:val="20"/>
                <w:lang w:val="en"/>
              </w:rPr>
              <w:t xml:space="preserve"> </w:t>
            </w:r>
            <w:r w:rsidRPr="005E6A50">
              <w:rPr>
                <w:rFonts w:ascii="Noto Serif Light" w:hAnsi="Noto Serif Light" w:cs="Noto Serif Light"/>
                <w:sz w:val="20"/>
                <w:szCs w:val="20"/>
                <w:lang w:val="en"/>
              </w:rPr>
              <w:t>Entrepreneurial Ecosystems in Peripheral Places.</w:t>
            </w:r>
            <w:r w:rsidRPr="005E6A50">
              <w:rPr>
                <w:rFonts w:ascii="Noto Serif Light" w:hAnsi="Noto Serif Light" w:cs="Noto Serif Light"/>
                <w:sz w:val="20"/>
                <w:szCs w:val="20"/>
              </w:rPr>
              <w:t> </w:t>
            </w:r>
          </w:p>
        </w:tc>
        <w:tc>
          <w:tcPr>
            <w:tcW w:w="3543" w:type="dxa"/>
            <w:gridSpan w:val="2"/>
            <w:shd w:val="clear" w:color="auto" w:fill="FEF5F0"/>
          </w:tcPr>
          <w:p w14:paraId="627C4A1A" w14:textId="77777777" w:rsidR="00DE7B22" w:rsidRPr="00DE7B22" w:rsidRDefault="00DE7B22" w:rsidP="00DE7B22">
            <w:pPr>
              <w:rPr>
                <w:rFonts w:ascii="Noto Serif Light" w:hAnsi="Noto Serif Light" w:cs="Noto Serif Light"/>
                <w:b/>
                <w:bCs/>
                <w:sz w:val="20"/>
                <w:szCs w:val="20"/>
                <w:lang w:val="en"/>
              </w:rPr>
            </w:pPr>
            <w:r w:rsidRPr="00DE7B22">
              <w:rPr>
                <w:rFonts w:ascii="Noto Serif Light" w:hAnsi="Noto Serif Light" w:cs="Noto Serif Light"/>
                <w:b/>
                <w:bCs/>
                <w:sz w:val="20"/>
                <w:szCs w:val="20"/>
                <w:lang w:val="en"/>
              </w:rPr>
              <w:lastRenderedPageBreak/>
              <w:t>O10. Katherine Willis et al:</w:t>
            </w:r>
          </w:p>
          <w:p w14:paraId="032D2CC0" w14:textId="5533B357" w:rsidR="005E6A50" w:rsidRPr="00DE7B22" w:rsidRDefault="00DE7B22" w:rsidP="00DE7B22">
            <w:pPr>
              <w:rPr>
                <w:rFonts w:ascii="Noto Serif Light" w:hAnsi="Noto Serif Light" w:cs="Noto Serif Light"/>
                <w:b/>
                <w:bCs/>
                <w:sz w:val="20"/>
                <w:szCs w:val="20"/>
                <w:lang w:val="en"/>
              </w:rPr>
            </w:pPr>
            <w:r w:rsidRPr="00DE7B22">
              <w:rPr>
                <w:rFonts w:ascii="Noto Serif Light" w:hAnsi="Noto Serif Light" w:cs="Noto Serif Light"/>
                <w:b/>
                <w:bCs/>
                <w:sz w:val="20"/>
                <w:szCs w:val="20"/>
                <w:lang w:val="en"/>
              </w:rPr>
              <w:t>Creative Industries and Coastal: Regions - New Drivers of Growth?</w:t>
            </w:r>
          </w:p>
          <w:p w14:paraId="771A69E9" w14:textId="77777777" w:rsidR="005E6A50" w:rsidRPr="005E6A50" w:rsidRDefault="005E6A50" w:rsidP="00F4404E">
            <w:pPr>
              <w:rPr>
                <w:rFonts w:ascii="Noto Serif Light" w:hAnsi="Noto Serif Light" w:cs="Noto Serif Light"/>
                <w:sz w:val="20"/>
                <w:szCs w:val="20"/>
                <w:lang w:val="en"/>
              </w:rPr>
            </w:pPr>
          </w:p>
        </w:tc>
        <w:tc>
          <w:tcPr>
            <w:tcW w:w="4111" w:type="dxa"/>
            <w:gridSpan w:val="2"/>
            <w:shd w:val="clear" w:color="auto" w:fill="FEEEE6"/>
          </w:tcPr>
          <w:p w14:paraId="4B5DF746" w14:textId="41E468F0"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lastRenderedPageBreak/>
              <w:t xml:space="preserve">O13. </w:t>
            </w:r>
            <w:r w:rsidR="005E6A50" w:rsidRPr="005E6A50">
              <w:rPr>
                <w:rFonts w:ascii="Noto Serif Light" w:hAnsi="Noto Serif Light" w:cs="Noto Serif Light"/>
                <w:b/>
                <w:bCs/>
                <w:sz w:val="20"/>
                <w:szCs w:val="20"/>
                <w:lang w:val="en"/>
              </w:rPr>
              <w:t>Sebastian Losacker &amp; Linda Luetkes:</w:t>
            </w:r>
          </w:p>
          <w:p w14:paraId="3D83FF6A" w14:textId="0BB2F03C" w:rsidR="005E6A50" w:rsidRPr="0027472E" w:rsidRDefault="005E6A50" w:rsidP="00F4404E">
            <w:pPr>
              <w:rPr>
                <w:rFonts w:ascii="Noto Serif Light" w:hAnsi="Noto Serif Light" w:cs="Noto Serif Light"/>
                <w:sz w:val="20"/>
                <w:szCs w:val="20"/>
              </w:rPr>
            </w:pPr>
            <w:r w:rsidRPr="005E6A50">
              <w:rPr>
                <w:rFonts w:ascii="Noto Serif Light" w:hAnsi="Noto Serif Light" w:cs="Noto Serif Light"/>
                <w:sz w:val="20"/>
                <w:szCs w:val="20"/>
                <w:lang w:val="en"/>
              </w:rPr>
              <w:lastRenderedPageBreak/>
              <w:t xml:space="preserve">Old </w:t>
            </w:r>
            <w:r w:rsidR="00DB1769" w:rsidRPr="005E6A50">
              <w:rPr>
                <w:rFonts w:ascii="Noto Serif Light" w:hAnsi="Noto Serif Light" w:cs="Noto Serif Light"/>
                <w:sz w:val="20"/>
                <w:szCs w:val="20"/>
                <w:lang w:val="en"/>
              </w:rPr>
              <w:t xml:space="preserve">Roots, New Routes: </w:t>
            </w:r>
            <w:r w:rsidRPr="005E6A50">
              <w:rPr>
                <w:rFonts w:ascii="Noto Serif Light" w:hAnsi="Noto Serif Light" w:cs="Noto Serif Light"/>
                <w:sz w:val="20"/>
                <w:szCs w:val="20"/>
                <w:lang w:val="en"/>
              </w:rPr>
              <w:t xml:space="preserve">A </w:t>
            </w:r>
            <w:r w:rsidR="00DB1769" w:rsidRPr="005E6A50">
              <w:rPr>
                <w:rFonts w:ascii="Noto Serif Light" w:hAnsi="Noto Serif Light" w:cs="Noto Serif Light"/>
                <w:sz w:val="20"/>
                <w:szCs w:val="20"/>
                <w:lang w:val="en"/>
              </w:rPr>
              <w:t xml:space="preserve">Revaluation Perspective on </w:t>
            </w:r>
            <w:r w:rsidR="00DB1769">
              <w:rPr>
                <w:rFonts w:ascii="Noto Serif Light" w:hAnsi="Noto Serif Light" w:cs="Noto Serif Light"/>
                <w:sz w:val="20"/>
                <w:szCs w:val="20"/>
                <w:lang w:val="en"/>
              </w:rPr>
              <w:t>t</w:t>
            </w:r>
            <w:r w:rsidR="00DB1769" w:rsidRPr="005E6A50">
              <w:rPr>
                <w:rFonts w:ascii="Noto Serif Light" w:hAnsi="Noto Serif Light" w:cs="Noto Serif Light"/>
                <w:sz w:val="20"/>
                <w:szCs w:val="20"/>
                <w:lang w:val="en"/>
              </w:rPr>
              <w:t>he Geographies of Innovation</w:t>
            </w:r>
            <w:r w:rsidR="00DB1769" w:rsidRPr="005E6A50">
              <w:rPr>
                <w:rFonts w:ascii="Noto Serif Light" w:hAnsi="Noto Serif Light" w:cs="Noto Serif Light"/>
                <w:sz w:val="20"/>
                <w:szCs w:val="20"/>
              </w:rPr>
              <w:t> </w:t>
            </w:r>
          </w:p>
        </w:tc>
      </w:tr>
      <w:tr w:rsidR="005E6A50" w:rsidRPr="005E6A50" w14:paraId="52BEB7AC" w14:textId="77777777" w:rsidTr="00DE7B22">
        <w:tc>
          <w:tcPr>
            <w:tcW w:w="1702" w:type="dxa"/>
            <w:vMerge/>
          </w:tcPr>
          <w:p w14:paraId="368FCB14" w14:textId="77777777" w:rsidR="005E6A50" w:rsidRPr="005E6A50" w:rsidRDefault="005E6A50" w:rsidP="00F4404E">
            <w:pPr>
              <w:rPr>
                <w:rFonts w:ascii="Noto Serif Light" w:hAnsi="Noto Serif Light" w:cs="Noto Serif Light"/>
              </w:rPr>
            </w:pPr>
          </w:p>
        </w:tc>
        <w:tc>
          <w:tcPr>
            <w:tcW w:w="3402" w:type="dxa"/>
            <w:gridSpan w:val="2"/>
            <w:shd w:val="clear" w:color="auto" w:fill="F9E0DB"/>
          </w:tcPr>
          <w:p w14:paraId="456E89DE" w14:textId="70DB8C78"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O2. O</w:t>
            </w:r>
            <w:r w:rsidR="005E6A50" w:rsidRPr="005E6A50">
              <w:rPr>
                <w:rFonts w:ascii="Noto Serif Light" w:hAnsi="Noto Serif Light" w:cs="Noto Serif Light"/>
                <w:b/>
                <w:bCs/>
                <w:sz w:val="20"/>
                <w:szCs w:val="20"/>
                <w:lang w:val="en"/>
              </w:rPr>
              <w:t>la Grindheim Onsøyen:</w:t>
            </w:r>
          </w:p>
          <w:p w14:paraId="3CABEE0E" w14:textId="77777777" w:rsidR="005E6A50" w:rsidRPr="005E6A50" w:rsidRDefault="005E6A50" w:rsidP="00F4404E">
            <w:pPr>
              <w:rPr>
                <w:rFonts w:ascii="Noto Serif Light" w:hAnsi="Noto Serif Light" w:cs="Noto Serif Light"/>
                <w:sz w:val="20"/>
                <w:szCs w:val="20"/>
              </w:rPr>
            </w:pPr>
            <w:r w:rsidRPr="005E6A50">
              <w:rPr>
                <w:rFonts w:ascii="Noto Serif Light" w:hAnsi="Noto Serif Light" w:cs="Noto Serif Light"/>
                <w:sz w:val="20"/>
                <w:szCs w:val="20"/>
                <w:lang w:val="en"/>
              </w:rPr>
              <w:t>Bounded directionality: Conceptualizing Future Path Development</w:t>
            </w:r>
            <w:r w:rsidRPr="005E6A50">
              <w:rPr>
                <w:rFonts w:ascii="Noto Serif Light" w:hAnsi="Noto Serif Light" w:cs="Noto Serif Light"/>
                <w:sz w:val="20"/>
                <w:szCs w:val="20"/>
              </w:rPr>
              <w:t> </w:t>
            </w:r>
          </w:p>
          <w:p w14:paraId="2AD851D9" w14:textId="77777777" w:rsidR="005E6A50" w:rsidRPr="005E6A50" w:rsidRDefault="005E6A50" w:rsidP="00F4404E">
            <w:pPr>
              <w:rPr>
                <w:rFonts w:ascii="Noto Serif Light" w:hAnsi="Noto Serif Light" w:cs="Noto Serif Light"/>
                <w:b/>
                <w:bCs/>
                <w:sz w:val="20"/>
                <w:szCs w:val="20"/>
                <w:lang w:val="en"/>
              </w:rPr>
            </w:pPr>
          </w:p>
          <w:p w14:paraId="7C5181A1" w14:textId="77777777" w:rsidR="005E6A50" w:rsidRPr="005E6A50" w:rsidRDefault="005E6A50" w:rsidP="00F4404E">
            <w:pPr>
              <w:rPr>
                <w:rFonts w:ascii="Noto Serif Light" w:hAnsi="Noto Serif Light" w:cs="Noto Serif Light"/>
                <w:b/>
                <w:bCs/>
                <w:sz w:val="20"/>
                <w:szCs w:val="20"/>
                <w:lang w:val="en"/>
              </w:rPr>
            </w:pPr>
          </w:p>
        </w:tc>
        <w:tc>
          <w:tcPr>
            <w:tcW w:w="3544" w:type="dxa"/>
            <w:gridSpan w:val="2"/>
            <w:shd w:val="clear" w:color="auto" w:fill="FDF3F1"/>
          </w:tcPr>
          <w:p w14:paraId="5DE6F1C7" w14:textId="66407FEF"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O6. </w:t>
            </w:r>
            <w:r w:rsidR="005E6A50" w:rsidRPr="005E6A50">
              <w:rPr>
                <w:rFonts w:ascii="Noto Serif Light" w:hAnsi="Noto Serif Light" w:cs="Noto Serif Light"/>
                <w:b/>
                <w:bCs/>
                <w:sz w:val="20"/>
                <w:szCs w:val="20"/>
                <w:lang w:val="en"/>
              </w:rPr>
              <w:t>Valentina Forrer:</w:t>
            </w:r>
          </w:p>
          <w:p w14:paraId="57D0A53B" w14:textId="5FEA2BD0" w:rsidR="005E6A50" w:rsidRPr="000A0BAC" w:rsidRDefault="005E6A50" w:rsidP="00F4404E">
            <w:pPr>
              <w:rPr>
                <w:rFonts w:ascii="Noto Serif Light" w:hAnsi="Noto Serif Light" w:cs="Noto Serif Light"/>
                <w:sz w:val="20"/>
                <w:szCs w:val="20"/>
              </w:rPr>
            </w:pPr>
            <w:r w:rsidRPr="005E6A50">
              <w:rPr>
                <w:rFonts w:ascii="Noto Serif Light" w:hAnsi="Noto Serif Light" w:cs="Noto Serif Light"/>
                <w:sz w:val="20"/>
                <w:szCs w:val="20"/>
                <w:lang w:val="en"/>
              </w:rPr>
              <w:t>The Driving Role of Entrepreneurial Support Organisations in Student Venture University Entrepreneurial Ecosystem</w:t>
            </w:r>
            <w:r w:rsidR="000A0BAC">
              <w:rPr>
                <w:rFonts w:ascii="Noto Serif Light" w:hAnsi="Noto Serif Light" w:cs="Noto Serif Light"/>
                <w:sz w:val="20"/>
                <w:szCs w:val="20"/>
                <w:lang w:val="en"/>
              </w:rPr>
              <w:t>s</w:t>
            </w:r>
          </w:p>
        </w:tc>
        <w:tc>
          <w:tcPr>
            <w:tcW w:w="3543" w:type="dxa"/>
            <w:gridSpan w:val="2"/>
            <w:shd w:val="clear" w:color="auto" w:fill="FEF5F0"/>
          </w:tcPr>
          <w:p w14:paraId="4B74EBF6" w14:textId="77777777" w:rsidR="00DE7B22" w:rsidRPr="00DE7B22" w:rsidRDefault="00DE7B22" w:rsidP="00DE7B22">
            <w:pPr>
              <w:rPr>
                <w:rFonts w:ascii="Noto Serif Light" w:hAnsi="Noto Serif Light" w:cs="Noto Serif Light"/>
                <w:b/>
                <w:bCs/>
                <w:sz w:val="20"/>
                <w:szCs w:val="20"/>
                <w:lang w:val="en"/>
              </w:rPr>
            </w:pPr>
            <w:r w:rsidRPr="00DE7B22">
              <w:rPr>
                <w:rFonts w:ascii="Noto Serif Light" w:hAnsi="Noto Serif Light" w:cs="Noto Serif Light"/>
                <w:b/>
                <w:bCs/>
                <w:sz w:val="20"/>
                <w:szCs w:val="20"/>
                <w:lang w:val="en"/>
              </w:rPr>
              <w:t>O11. Chienling Lo:</w:t>
            </w:r>
          </w:p>
          <w:p w14:paraId="42BB9F46" w14:textId="5F8D1A8D" w:rsidR="005E6A50" w:rsidRPr="005E6A50" w:rsidRDefault="00DE7B22" w:rsidP="00DE7B22">
            <w:pPr>
              <w:rPr>
                <w:rFonts w:ascii="Noto Serif Light" w:hAnsi="Noto Serif Light" w:cs="Noto Serif Light"/>
                <w:sz w:val="20"/>
                <w:szCs w:val="20"/>
                <w:lang w:val="en"/>
              </w:rPr>
            </w:pPr>
            <w:r w:rsidRPr="00DE7B22">
              <w:rPr>
                <w:rFonts w:ascii="Noto Serif Light" w:hAnsi="Noto Serif Light" w:cs="Noto Serif Light"/>
                <w:sz w:val="20"/>
                <w:szCs w:val="20"/>
                <w:lang w:val="en"/>
              </w:rPr>
              <w:t xml:space="preserve">‘Two Cornwalls’: Exploring Innovative Solutions to Tackle Rural Housing Poverty Among Low Income Cornish Communities Through Affordable, Low Carbon Homes  </w:t>
            </w:r>
          </w:p>
        </w:tc>
        <w:tc>
          <w:tcPr>
            <w:tcW w:w="4111" w:type="dxa"/>
            <w:gridSpan w:val="2"/>
            <w:shd w:val="clear" w:color="auto" w:fill="FEEEE6"/>
          </w:tcPr>
          <w:p w14:paraId="32DA13AD" w14:textId="2C5D0670"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O14. </w:t>
            </w:r>
            <w:r w:rsidR="005E6A50" w:rsidRPr="005E6A50">
              <w:rPr>
                <w:rFonts w:ascii="Noto Serif Light" w:hAnsi="Noto Serif Light" w:cs="Noto Serif Light"/>
                <w:b/>
                <w:bCs/>
                <w:sz w:val="20"/>
                <w:szCs w:val="20"/>
                <w:lang w:val="en"/>
              </w:rPr>
              <w:t>Silvia Rita Sedita et al:</w:t>
            </w:r>
          </w:p>
          <w:p w14:paraId="7331A61E"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Retrovation for Sustainability: Linking Past Knowledge, Innovation Reconfiguration, and Sustainability Outcomes</w:t>
            </w:r>
            <w:r w:rsidRPr="005E6A50">
              <w:rPr>
                <w:rFonts w:ascii="Noto Serif Light" w:hAnsi="Noto Serif Light" w:cs="Noto Serif Light"/>
                <w:sz w:val="20"/>
                <w:szCs w:val="20"/>
              </w:rPr>
              <w:t> </w:t>
            </w:r>
          </w:p>
        </w:tc>
      </w:tr>
      <w:tr w:rsidR="005E6A50" w:rsidRPr="005E6A50" w14:paraId="62C6B8FB" w14:textId="77777777" w:rsidTr="00DE7B22">
        <w:tc>
          <w:tcPr>
            <w:tcW w:w="1702" w:type="dxa"/>
            <w:vMerge/>
          </w:tcPr>
          <w:p w14:paraId="7999152D" w14:textId="77777777" w:rsidR="005E6A50" w:rsidRPr="005E6A50" w:rsidRDefault="005E6A50" w:rsidP="00F4404E">
            <w:pPr>
              <w:rPr>
                <w:rFonts w:ascii="Noto Serif Light" w:hAnsi="Noto Serif Light" w:cs="Noto Serif Light"/>
              </w:rPr>
            </w:pPr>
          </w:p>
        </w:tc>
        <w:tc>
          <w:tcPr>
            <w:tcW w:w="3402" w:type="dxa"/>
            <w:gridSpan w:val="2"/>
            <w:shd w:val="clear" w:color="auto" w:fill="F9E0DB"/>
          </w:tcPr>
          <w:p w14:paraId="00CE5B6F" w14:textId="4B833928"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O3. </w:t>
            </w:r>
            <w:r w:rsidR="005E6A50" w:rsidRPr="005E6A50">
              <w:rPr>
                <w:rFonts w:ascii="Noto Serif Light" w:hAnsi="Noto Serif Light" w:cs="Noto Serif Light"/>
                <w:b/>
                <w:bCs/>
                <w:sz w:val="20"/>
                <w:szCs w:val="20"/>
                <w:lang w:val="en"/>
              </w:rPr>
              <w:t>Huiwen Gong:</w:t>
            </w:r>
          </w:p>
          <w:p w14:paraId="07965D03" w14:textId="77777777" w:rsidR="005E6A50" w:rsidRPr="005E6A50" w:rsidRDefault="005E6A50" w:rsidP="00F4404E">
            <w:pPr>
              <w:rPr>
                <w:rFonts w:ascii="Noto Serif Light" w:hAnsi="Noto Serif Light" w:cs="Noto Serif Light"/>
                <w:sz w:val="20"/>
                <w:szCs w:val="20"/>
              </w:rPr>
            </w:pPr>
            <w:r w:rsidRPr="005E6A50">
              <w:rPr>
                <w:rFonts w:ascii="Noto Serif Light" w:hAnsi="Noto Serif Light" w:cs="Noto Serif Light"/>
                <w:sz w:val="20"/>
                <w:szCs w:val="20"/>
                <w:lang w:val="en"/>
              </w:rPr>
              <w:t>Governing Futures: A Geography of Expectations for Future-Oriented Innovation Policy</w:t>
            </w:r>
          </w:p>
          <w:p w14:paraId="2E7AEB99" w14:textId="77777777" w:rsidR="005E6A50" w:rsidRPr="005E6A50" w:rsidRDefault="005E6A50" w:rsidP="00F4404E">
            <w:pPr>
              <w:rPr>
                <w:rFonts w:ascii="Noto Serif Light" w:hAnsi="Noto Serif Light" w:cs="Noto Serif Light"/>
                <w:b/>
                <w:bCs/>
                <w:sz w:val="20"/>
                <w:szCs w:val="20"/>
                <w:lang w:val="en"/>
              </w:rPr>
            </w:pPr>
          </w:p>
          <w:p w14:paraId="568D02AA" w14:textId="77777777" w:rsidR="005E6A50" w:rsidRPr="005E6A50" w:rsidRDefault="005E6A50" w:rsidP="00F4404E">
            <w:pPr>
              <w:rPr>
                <w:rFonts w:ascii="Noto Serif Light" w:hAnsi="Noto Serif Light" w:cs="Noto Serif Light"/>
                <w:b/>
                <w:bCs/>
                <w:sz w:val="20"/>
                <w:szCs w:val="20"/>
                <w:lang w:val="en"/>
              </w:rPr>
            </w:pPr>
          </w:p>
          <w:p w14:paraId="7AAC14DD" w14:textId="77777777" w:rsidR="005E6A50" w:rsidRPr="005E6A50" w:rsidRDefault="005E6A50" w:rsidP="00F4404E">
            <w:pPr>
              <w:rPr>
                <w:rFonts w:ascii="Noto Serif Light" w:hAnsi="Noto Serif Light" w:cs="Noto Serif Light"/>
                <w:b/>
                <w:bCs/>
                <w:sz w:val="20"/>
                <w:szCs w:val="20"/>
                <w:lang w:val="en"/>
              </w:rPr>
            </w:pPr>
          </w:p>
        </w:tc>
        <w:tc>
          <w:tcPr>
            <w:tcW w:w="3544" w:type="dxa"/>
            <w:gridSpan w:val="2"/>
            <w:shd w:val="clear" w:color="auto" w:fill="FDF3F1"/>
          </w:tcPr>
          <w:p w14:paraId="36A94BB6" w14:textId="210FEC4F"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O7. </w:t>
            </w:r>
            <w:r w:rsidR="005E6A50" w:rsidRPr="005E6A50">
              <w:rPr>
                <w:rFonts w:ascii="Noto Serif Light" w:hAnsi="Noto Serif Light" w:cs="Noto Serif Light"/>
                <w:b/>
                <w:bCs/>
                <w:sz w:val="20"/>
                <w:szCs w:val="20"/>
                <w:lang w:val="en"/>
              </w:rPr>
              <w:t>Paige Clayton &amp; Maryann Feldman:</w:t>
            </w:r>
          </w:p>
          <w:p w14:paraId="17CA4E7A" w14:textId="77777777" w:rsidR="005E6A50" w:rsidRPr="005E6A50" w:rsidRDefault="005E6A50" w:rsidP="00F4404E">
            <w:pPr>
              <w:rPr>
                <w:rFonts w:ascii="Noto Serif Light" w:hAnsi="Noto Serif Light" w:cs="Noto Serif Light"/>
                <w:sz w:val="20"/>
                <w:szCs w:val="20"/>
              </w:rPr>
            </w:pPr>
            <w:r w:rsidRPr="005E6A50">
              <w:rPr>
                <w:rFonts w:ascii="Noto Serif Light" w:hAnsi="Noto Serif Light" w:cs="Noto Serif Light"/>
                <w:sz w:val="20"/>
                <w:szCs w:val="20"/>
                <w:lang w:val="en"/>
              </w:rPr>
              <w:t>Corporate Strategy Externalities and Entrepreneurial Ecosystem Emergence</w:t>
            </w:r>
            <w:r w:rsidRPr="005E6A50">
              <w:rPr>
                <w:rFonts w:ascii="Noto Serif Light" w:hAnsi="Noto Serif Light" w:cs="Noto Serif Light"/>
                <w:sz w:val="20"/>
                <w:szCs w:val="20"/>
              </w:rPr>
              <w:t> </w:t>
            </w:r>
          </w:p>
          <w:p w14:paraId="47314B21" w14:textId="77777777" w:rsidR="005E6A50" w:rsidRPr="005E6A50" w:rsidRDefault="005E6A50" w:rsidP="00F4404E">
            <w:pPr>
              <w:rPr>
                <w:rFonts w:ascii="Noto Serif Light" w:hAnsi="Noto Serif Light" w:cs="Noto Serif Light"/>
                <w:b/>
                <w:bCs/>
                <w:sz w:val="20"/>
                <w:szCs w:val="20"/>
                <w:lang w:val="en"/>
              </w:rPr>
            </w:pPr>
          </w:p>
        </w:tc>
        <w:tc>
          <w:tcPr>
            <w:tcW w:w="3543" w:type="dxa"/>
            <w:gridSpan w:val="2"/>
            <w:shd w:val="clear" w:color="auto" w:fill="FEF5F0"/>
          </w:tcPr>
          <w:p w14:paraId="497F0FBA" w14:textId="77777777" w:rsidR="00DE7B22" w:rsidRPr="00DE7B22" w:rsidRDefault="00DE7B22" w:rsidP="00DE7B22">
            <w:pPr>
              <w:rPr>
                <w:rFonts w:ascii="Noto Serif Light" w:hAnsi="Noto Serif Light" w:cs="Noto Serif Light"/>
                <w:b/>
                <w:bCs/>
                <w:sz w:val="20"/>
                <w:szCs w:val="20"/>
              </w:rPr>
            </w:pPr>
            <w:r w:rsidRPr="00DE7B22">
              <w:rPr>
                <w:rFonts w:ascii="Noto Serif Light" w:hAnsi="Noto Serif Light" w:cs="Noto Serif Light"/>
                <w:b/>
                <w:bCs/>
                <w:sz w:val="20"/>
                <w:szCs w:val="20"/>
              </w:rPr>
              <w:t xml:space="preserve">O12. Anna Ruoso &amp; Chiara Marzocchi: </w:t>
            </w:r>
          </w:p>
          <w:p w14:paraId="17A7528B" w14:textId="2A8B316E" w:rsidR="006563CB" w:rsidRPr="006563CB" w:rsidRDefault="00DE7B22" w:rsidP="00DE7B22">
            <w:pPr>
              <w:rPr>
                <w:rFonts w:ascii="Noto Serif Light" w:hAnsi="Noto Serif Light" w:cs="Noto Serif Light"/>
                <w:sz w:val="20"/>
                <w:szCs w:val="20"/>
              </w:rPr>
            </w:pPr>
            <w:r w:rsidRPr="00DE7B22">
              <w:rPr>
                <w:rFonts w:ascii="Noto Serif Light" w:hAnsi="Noto Serif Light" w:cs="Noto Serif Light"/>
                <w:sz w:val="20"/>
                <w:szCs w:val="20"/>
              </w:rPr>
              <w:t>Building Resilient Regions Through Entrepreneurial Embeddedness: An Analysis of Social Enterprises as Key Drivers of Rural Ecosystems</w:t>
            </w:r>
          </w:p>
        </w:tc>
        <w:tc>
          <w:tcPr>
            <w:tcW w:w="4111" w:type="dxa"/>
            <w:gridSpan w:val="2"/>
            <w:shd w:val="clear" w:color="auto" w:fill="FEEEE6"/>
          </w:tcPr>
          <w:p w14:paraId="6D1C4FDE" w14:textId="77777777" w:rsidR="003427C1" w:rsidRPr="005E6A50" w:rsidRDefault="003427C1" w:rsidP="003427C1">
            <w:pPr>
              <w:rPr>
                <w:rFonts w:ascii="Noto Serif Light" w:hAnsi="Noto Serif Light" w:cs="Noto Serif Light"/>
                <w:b/>
                <w:bCs/>
                <w:sz w:val="20"/>
                <w:szCs w:val="20"/>
              </w:rPr>
            </w:pPr>
            <w:r>
              <w:rPr>
                <w:rFonts w:ascii="Noto Serif Light" w:hAnsi="Noto Serif Light" w:cs="Noto Serif Light"/>
                <w:b/>
                <w:bCs/>
                <w:sz w:val="20"/>
                <w:szCs w:val="20"/>
                <w:lang w:val="en"/>
              </w:rPr>
              <w:t xml:space="preserve">O16. </w:t>
            </w:r>
            <w:r w:rsidRPr="005E6A50">
              <w:rPr>
                <w:rFonts w:ascii="Noto Serif Light" w:hAnsi="Noto Serif Light" w:cs="Noto Serif Light"/>
                <w:b/>
                <w:bCs/>
                <w:sz w:val="20"/>
                <w:szCs w:val="20"/>
                <w:lang w:val="en"/>
              </w:rPr>
              <w:t>Anna Butzin &amp; Martina Fuchs:</w:t>
            </w:r>
            <w:r w:rsidRPr="005E6A50">
              <w:rPr>
                <w:rFonts w:ascii="Noto Serif Light" w:hAnsi="Noto Serif Light" w:cs="Noto Serif Light"/>
                <w:b/>
                <w:bCs/>
                <w:sz w:val="20"/>
                <w:szCs w:val="20"/>
              </w:rPr>
              <w:t> </w:t>
            </w:r>
          </w:p>
          <w:p w14:paraId="7230F6E0" w14:textId="77777777" w:rsidR="003427C1" w:rsidRPr="005E6A50" w:rsidRDefault="003427C1" w:rsidP="003427C1">
            <w:pPr>
              <w:rPr>
                <w:rFonts w:ascii="Noto Serif Light" w:hAnsi="Noto Serif Light" w:cs="Noto Serif Light"/>
                <w:sz w:val="20"/>
                <w:szCs w:val="20"/>
              </w:rPr>
            </w:pPr>
            <w:r w:rsidRPr="005E6A50">
              <w:rPr>
                <w:rFonts w:ascii="Noto Serif Light" w:hAnsi="Noto Serif Light" w:cs="Noto Serif Light"/>
                <w:sz w:val="20"/>
                <w:szCs w:val="20"/>
                <w:lang w:val="en"/>
              </w:rPr>
              <w:t>Micro-Level Foundations of Relatedness and Innovation: The Re-alignment of Automotive and Bicycle Industries</w:t>
            </w:r>
            <w:r w:rsidRPr="005E6A50">
              <w:rPr>
                <w:rFonts w:ascii="Noto Serif Light" w:hAnsi="Noto Serif Light" w:cs="Noto Serif Light"/>
                <w:sz w:val="20"/>
                <w:szCs w:val="20"/>
              </w:rPr>
              <w:t> </w:t>
            </w:r>
          </w:p>
          <w:p w14:paraId="76DEF76B" w14:textId="77777777" w:rsidR="005E6A50" w:rsidRPr="005E6A50" w:rsidRDefault="005E6A50" w:rsidP="003427C1">
            <w:pPr>
              <w:rPr>
                <w:rFonts w:ascii="Noto Serif Light" w:hAnsi="Noto Serif Light" w:cs="Noto Serif Light"/>
                <w:b/>
                <w:bCs/>
                <w:sz w:val="20"/>
                <w:szCs w:val="20"/>
                <w:lang w:val="en"/>
              </w:rPr>
            </w:pPr>
          </w:p>
        </w:tc>
      </w:tr>
      <w:tr w:rsidR="005E6A50" w:rsidRPr="005E6A50" w14:paraId="26EFFC21" w14:textId="77777777" w:rsidTr="00DE7B22">
        <w:tc>
          <w:tcPr>
            <w:tcW w:w="1702" w:type="dxa"/>
            <w:vMerge/>
            <w:tcBorders>
              <w:bottom w:val="single" w:sz="4" w:space="0" w:color="FFFFFF" w:themeColor="background1"/>
            </w:tcBorders>
          </w:tcPr>
          <w:p w14:paraId="7CB371C9" w14:textId="77777777" w:rsidR="005E6A50" w:rsidRPr="005E6A50" w:rsidRDefault="005E6A50" w:rsidP="00F4404E">
            <w:pPr>
              <w:rPr>
                <w:rFonts w:ascii="Noto Serif Light" w:hAnsi="Noto Serif Light" w:cs="Noto Serif Light"/>
              </w:rPr>
            </w:pPr>
          </w:p>
        </w:tc>
        <w:tc>
          <w:tcPr>
            <w:tcW w:w="3402" w:type="dxa"/>
            <w:gridSpan w:val="2"/>
            <w:shd w:val="clear" w:color="auto" w:fill="F9E0DB"/>
          </w:tcPr>
          <w:p w14:paraId="0B212ED9" w14:textId="067417EB" w:rsidR="005E6A50" w:rsidRPr="005E6A50" w:rsidRDefault="00D43043" w:rsidP="00F4404E">
            <w:pPr>
              <w:rPr>
                <w:rFonts w:ascii="Noto Serif Light" w:hAnsi="Noto Serif Light" w:cs="Noto Serif Light"/>
                <w:b/>
                <w:bCs/>
                <w:sz w:val="20"/>
                <w:szCs w:val="20"/>
              </w:rPr>
            </w:pPr>
            <w:r>
              <w:rPr>
                <w:rFonts w:ascii="Noto Serif Light" w:hAnsi="Noto Serif Light" w:cs="Noto Serif Light"/>
                <w:b/>
                <w:bCs/>
                <w:sz w:val="20"/>
                <w:szCs w:val="20"/>
                <w:lang w:val="en"/>
              </w:rPr>
              <w:t xml:space="preserve">O4. </w:t>
            </w:r>
            <w:r w:rsidR="005E6A50" w:rsidRPr="005E6A50">
              <w:rPr>
                <w:rFonts w:ascii="Noto Serif Light" w:hAnsi="Noto Serif Light" w:cs="Noto Serif Light"/>
                <w:b/>
                <w:bCs/>
                <w:sz w:val="20"/>
                <w:szCs w:val="20"/>
                <w:lang w:val="en"/>
              </w:rPr>
              <w:t>Andrew Beer:</w:t>
            </w:r>
            <w:r w:rsidR="005E6A50" w:rsidRPr="005E6A50">
              <w:rPr>
                <w:rFonts w:ascii="Noto Serif Light" w:hAnsi="Noto Serif Light" w:cs="Noto Serif Light"/>
                <w:b/>
                <w:bCs/>
                <w:sz w:val="20"/>
                <w:szCs w:val="20"/>
              </w:rPr>
              <w:t> </w:t>
            </w:r>
          </w:p>
          <w:p w14:paraId="130EF401" w14:textId="77777777" w:rsidR="005E6A50" w:rsidRPr="005E6A50" w:rsidRDefault="005E6A50" w:rsidP="00F4404E">
            <w:pPr>
              <w:rPr>
                <w:rFonts w:ascii="Noto Serif Light" w:hAnsi="Noto Serif Light" w:cs="Noto Serif Light"/>
                <w:sz w:val="20"/>
                <w:szCs w:val="20"/>
              </w:rPr>
            </w:pPr>
            <w:r w:rsidRPr="005E6A50">
              <w:rPr>
                <w:rFonts w:ascii="Noto Serif Light" w:hAnsi="Noto Serif Light" w:cs="Noto Serif Light"/>
                <w:sz w:val="20"/>
                <w:szCs w:val="20"/>
                <w:lang w:val="en"/>
              </w:rPr>
              <w:t>Adaptive Capacity, Regional Innovation and Future-Focused Policies: Lessons from Communities in Transition</w:t>
            </w:r>
            <w:r w:rsidRPr="005E6A50">
              <w:rPr>
                <w:rFonts w:ascii="Noto Serif Light" w:hAnsi="Noto Serif Light" w:cs="Noto Serif Light"/>
                <w:sz w:val="20"/>
                <w:szCs w:val="20"/>
              </w:rPr>
              <w:t> </w:t>
            </w:r>
          </w:p>
          <w:p w14:paraId="3FB3948B" w14:textId="77777777" w:rsidR="005E6A50" w:rsidRPr="005E6A50" w:rsidRDefault="005E6A50" w:rsidP="00F4404E">
            <w:pPr>
              <w:rPr>
                <w:rFonts w:ascii="Noto Serif Light" w:hAnsi="Noto Serif Light" w:cs="Noto Serif Light"/>
                <w:b/>
                <w:bCs/>
                <w:sz w:val="20"/>
                <w:szCs w:val="20"/>
                <w:lang w:val="en"/>
              </w:rPr>
            </w:pPr>
          </w:p>
        </w:tc>
        <w:tc>
          <w:tcPr>
            <w:tcW w:w="3544" w:type="dxa"/>
            <w:gridSpan w:val="2"/>
            <w:shd w:val="clear" w:color="auto" w:fill="FDF3F1"/>
          </w:tcPr>
          <w:p w14:paraId="67566B97" w14:textId="15E8D354" w:rsidR="005E6A50" w:rsidRPr="005E6A50" w:rsidRDefault="00D43043" w:rsidP="00F4404E">
            <w:pPr>
              <w:rPr>
                <w:rFonts w:ascii="Noto Serif Light" w:hAnsi="Noto Serif Light" w:cs="Noto Serif Light"/>
                <w:b/>
                <w:bCs/>
                <w:sz w:val="20"/>
                <w:szCs w:val="20"/>
              </w:rPr>
            </w:pPr>
            <w:r>
              <w:rPr>
                <w:rFonts w:ascii="Noto Serif Light" w:hAnsi="Noto Serif Light" w:cs="Noto Serif Light"/>
                <w:b/>
                <w:bCs/>
                <w:sz w:val="20"/>
                <w:szCs w:val="20"/>
                <w:lang w:val="en"/>
              </w:rPr>
              <w:t xml:space="preserve">O8. </w:t>
            </w:r>
            <w:r w:rsidR="005E6A50" w:rsidRPr="005E6A50">
              <w:rPr>
                <w:rFonts w:ascii="Noto Serif Light" w:hAnsi="Noto Serif Light" w:cs="Noto Serif Light"/>
                <w:b/>
                <w:bCs/>
                <w:sz w:val="20"/>
                <w:szCs w:val="20"/>
                <w:lang w:val="en"/>
              </w:rPr>
              <w:t>Klevisa Kapo &amp; Francesco Capone:</w:t>
            </w:r>
            <w:r w:rsidR="005E6A50" w:rsidRPr="005E6A50">
              <w:rPr>
                <w:rFonts w:ascii="Noto Serif Light" w:hAnsi="Noto Serif Light" w:cs="Noto Serif Light"/>
                <w:b/>
                <w:bCs/>
                <w:sz w:val="20"/>
                <w:szCs w:val="20"/>
              </w:rPr>
              <w:t> </w:t>
            </w:r>
          </w:p>
          <w:p w14:paraId="0286963E" w14:textId="0BBAD40A" w:rsidR="005E6A50" w:rsidRPr="005E6A50" w:rsidRDefault="005E6A50" w:rsidP="00F4404E">
            <w:pPr>
              <w:rPr>
                <w:rFonts w:ascii="Noto Serif Light" w:hAnsi="Noto Serif Light" w:cs="Noto Serif Light"/>
                <w:sz w:val="20"/>
                <w:szCs w:val="20"/>
              </w:rPr>
            </w:pPr>
            <w:r w:rsidRPr="005E6A50">
              <w:rPr>
                <w:rFonts w:ascii="Noto Serif Light" w:hAnsi="Noto Serif Light" w:cs="Noto Serif Light"/>
                <w:sz w:val="20"/>
                <w:szCs w:val="20"/>
                <w:lang w:val="en"/>
              </w:rPr>
              <w:t>Mapping the Tirana Start-up Ecosystem: A Social Network Analysis of Structure, Governance and Collaborations</w:t>
            </w:r>
          </w:p>
        </w:tc>
        <w:tc>
          <w:tcPr>
            <w:tcW w:w="3543" w:type="dxa"/>
            <w:gridSpan w:val="2"/>
            <w:shd w:val="clear" w:color="auto" w:fill="FEF5F0"/>
          </w:tcPr>
          <w:p w14:paraId="270A98CE" w14:textId="77777777" w:rsidR="00DE7B22" w:rsidRPr="00DE7B22" w:rsidRDefault="00DE7B22" w:rsidP="00DE7B22">
            <w:pPr>
              <w:rPr>
                <w:rFonts w:ascii="Noto Serif Light" w:hAnsi="Noto Serif Light" w:cs="Noto Serif Light"/>
                <w:b/>
                <w:bCs/>
                <w:sz w:val="20"/>
                <w:szCs w:val="20"/>
              </w:rPr>
            </w:pPr>
            <w:r w:rsidRPr="00DE7B22">
              <w:rPr>
                <w:rFonts w:ascii="Noto Serif Light" w:hAnsi="Noto Serif Light" w:cs="Noto Serif Light"/>
                <w:b/>
                <w:bCs/>
                <w:sz w:val="20"/>
                <w:szCs w:val="20"/>
              </w:rPr>
              <w:t>049. Thomas Hastings:</w:t>
            </w:r>
          </w:p>
          <w:p w14:paraId="304B16B2" w14:textId="5C94EA4E" w:rsidR="005E6A50" w:rsidRPr="005E6A50" w:rsidRDefault="00DE7B22" w:rsidP="00DE7B22">
            <w:pPr>
              <w:rPr>
                <w:rFonts w:ascii="Noto Serif Light" w:hAnsi="Noto Serif Light" w:cs="Noto Serif Light"/>
                <w:sz w:val="20"/>
                <w:szCs w:val="20"/>
              </w:rPr>
            </w:pPr>
            <w:r w:rsidRPr="00DE7B22">
              <w:rPr>
                <w:rFonts w:ascii="Noto Serif Light" w:hAnsi="Noto Serif Light" w:cs="Noto Serif Light"/>
                <w:sz w:val="20"/>
                <w:szCs w:val="20"/>
              </w:rPr>
              <w:t>Valorising new paths? Exploring anaerobic digestion and its impact on the rural economy of Bangladesh</w:t>
            </w:r>
          </w:p>
        </w:tc>
        <w:tc>
          <w:tcPr>
            <w:tcW w:w="4111" w:type="dxa"/>
            <w:gridSpan w:val="2"/>
            <w:shd w:val="clear" w:color="auto" w:fill="FEEEE6"/>
          </w:tcPr>
          <w:p w14:paraId="137AE493" w14:textId="77777777" w:rsidR="00DE7B22" w:rsidRDefault="00DE7B22" w:rsidP="00DE7B22">
            <w:pPr>
              <w:rPr>
                <w:rFonts w:ascii="Noto Serif Light" w:hAnsi="Noto Serif Light" w:cs="Noto Serif Light"/>
                <w:b/>
                <w:bCs/>
                <w:sz w:val="20"/>
                <w:szCs w:val="20"/>
                <w:lang w:val="en"/>
              </w:rPr>
            </w:pPr>
            <w:r>
              <w:rPr>
                <w:rFonts w:ascii="Noto Serif Light" w:hAnsi="Noto Serif Light" w:cs="Noto Serif Light"/>
                <w:b/>
                <w:bCs/>
                <w:sz w:val="20"/>
                <w:szCs w:val="20"/>
                <w:lang w:val="en"/>
              </w:rPr>
              <w:t>O9. Nick Clifton</w:t>
            </w:r>
          </w:p>
          <w:p w14:paraId="6C9F9A1D" w14:textId="77777777" w:rsidR="00DE7B22" w:rsidRPr="00A620F4" w:rsidRDefault="00DE7B22" w:rsidP="00DE7B22">
            <w:pPr>
              <w:rPr>
                <w:rFonts w:ascii="Noto Serif Light" w:hAnsi="Noto Serif Light" w:cs="Noto Serif Light"/>
                <w:sz w:val="20"/>
                <w:szCs w:val="20"/>
              </w:rPr>
            </w:pPr>
            <w:r w:rsidRPr="00A620F4">
              <w:rPr>
                <w:rFonts w:ascii="Noto Serif Light" w:hAnsi="Noto Serif Light" w:cs="Noto Serif Light"/>
                <w:sz w:val="20"/>
                <w:szCs w:val="20"/>
              </w:rPr>
              <w:t>Towards a dynamic conceptualisation of the regional innovation system: the systemic knowledge network continuum</w:t>
            </w:r>
          </w:p>
          <w:p w14:paraId="391648B4" w14:textId="77777777" w:rsidR="005E6A50" w:rsidRPr="005E6A50" w:rsidRDefault="005E6A50" w:rsidP="003427C1">
            <w:pPr>
              <w:rPr>
                <w:rFonts w:ascii="Noto Serif Light" w:hAnsi="Noto Serif Light" w:cs="Noto Serif Light"/>
                <w:b/>
                <w:bCs/>
                <w:sz w:val="20"/>
                <w:szCs w:val="20"/>
                <w:lang w:val="en"/>
              </w:rPr>
            </w:pPr>
          </w:p>
        </w:tc>
      </w:tr>
      <w:tr w:rsidR="005E6A50" w:rsidRPr="005E6A50" w14:paraId="47EC0181" w14:textId="77777777" w:rsidTr="00DE7B22">
        <w:trPr>
          <w:trHeight w:val="957"/>
        </w:trPr>
        <w:tc>
          <w:tcPr>
            <w:tcW w:w="1702" w:type="dxa"/>
            <w:tcBorders>
              <w:top w:val="single" w:sz="4" w:space="0" w:color="auto"/>
              <w:bottom w:val="single" w:sz="4" w:space="0" w:color="auto"/>
            </w:tcBorders>
          </w:tcPr>
          <w:p w14:paraId="5FA8568D" w14:textId="77777777" w:rsidR="005E6A50" w:rsidRPr="005E6A50" w:rsidRDefault="005E6A50" w:rsidP="00F4404E">
            <w:pPr>
              <w:rPr>
                <w:rFonts w:ascii="Noto Serif Light" w:hAnsi="Noto Serif Light" w:cs="Noto Serif Light"/>
              </w:rPr>
            </w:pPr>
            <w:r w:rsidRPr="005E6A50">
              <w:rPr>
                <w:rFonts w:ascii="Noto Serif Light" w:hAnsi="Noto Serif Light" w:cs="Noto Serif Light"/>
              </w:rPr>
              <w:t>12:30 – 13:30</w:t>
            </w:r>
          </w:p>
        </w:tc>
        <w:tc>
          <w:tcPr>
            <w:tcW w:w="14600" w:type="dxa"/>
            <w:gridSpan w:val="8"/>
          </w:tcPr>
          <w:p w14:paraId="580D53E3" w14:textId="77777777" w:rsidR="005E6A50" w:rsidRPr="005E6A50" w:rsidRDefault="005E6A50" w:rsidP="00F4404E">
            <w:pPr>
              <w:rPr>
                <w:rFonts w:ascii="Noto Serif Light" w:hAnsi="Noto Serif Light" w:cs="Noto Serif Light"/>
                <w:b/>
                <w:bCs/>
                <w:lang w:val="en"/>
              </w:rPr>
            </w:pPr>
            <w:r w:rsidRPr="005E6A50">
              <w:rPr>
                <w:rFonts w:ascii="Noto Serif Light" w:hAnsi="Noto Serif Light" w:cs="Noto Serif Light"/>
                <w:b/>
                <w:bCs/>
                <w:lang w:val="en"/>
              </w:rPr>
              <w:t>Lunch</w:t>
            </w:r>
          </w:p>
          <w:p w14:paraId="1257FE30" w14:textId="77777777" w:rsidR="005E6A50" w:rsidRPr="005E6A50" w:rsidRDefault="005E6A50" w:rsidP="00F4404E">
            <w:pPr>
              <w:rPr>
                <w:rFonts w:ascii="Noto Serif Light" w:hAnsi="Noto Serif Light" w:cs="Noto Serif Light"/>
                <w:b/>
                <w:bCs/>
                <w:lang w:val="en"/>
              </w:rPr>
            </w:pPr>
          </w:p>
          <w:p w14:paraId="54BF3F4B" w14:textId="163412FC" w:rsidR="000A0BAC" w:rsidRPr="000A0BAC" w:rsidRDefault="005E6A50" w:rsidP="00F4404E">
            <w:pPr>
              <w:rPr>
                <w:rFonts w:ascii="Noto Serif Light" w:hAnsi="Noto Serif Light" w:cs="Noto Serif Light"/>
              </w:rPr>
            </w:pPr>
            <w:r w:rsidRPr="005E6A50">
              <w:rPr>
                <w:rFonts w:ascii="Noto Serif Light" w:hAnsi="Noto Serif Light" w:cs="Noto Serif Light"/>
                <w:b/>
                <w:bCs/>
                <w:lang w:val="en"/>
              </w:rPr>
              <w:t xml:space="preserve">Location: </w:t>
            </w:r>
            <w:r w:rsidRPr="005E6A50">
              <w:rPr>
                <w:rFonts w:ascii="Noto Serif Light" w:hAnsi="Noto Serif Light" w:cs="Noto Serif Light"/>
              </w:rPr>
              <w:t>Alan Walters Atrium</w:t>
            </w:r>
          </w:p>
        </w:tc>
      </w:tr>
      <w:tr w:rsidR="005E6A50" w:rsidRPr="005E6A50" w14:paraId="07CF521C" w14:textId="77777777" w:rsidTr="00DE7B22">
        <w:trPr>
          <w:trHeight w:val="180"/>
        </w:trPr>
        <w:tc>
          <w:tcPr>
            <w:tcW w:w="1702" w:type="dxa"/>
            <w:vMerge w:val="restart"/>
            <w:tcBorders>
              <w:top w:val="single" w:sz="4" w:space="0" w:color="auto"/>
            </w:tcBorders>
          </w:tcPr>
          <w:p w14:paraId="440282DC" w14:textId="77777777" w:rsidR="005E6A50" w:rsidRPr="005E6A50" w:rsidRDefault="005E6A50" w:rsidP="00F4404E">
            <w:pPr>
              <w:rPr>
                <w:rFonts w:ascii="Noto Serif Light" w:hAnsi="Noto Serif Light" w:cs="Noto Serif Light"/>
              </w:rPr>
            </w:pPr>
            <w:r w:rsidRPr="005E6A50">
              <w:rPr>
                <w:rFonts w:ascii="Noto Serif Light" w:hAnsi="Noto Serif Light" w:cs="Noto Serif Light"/>
              </w:rPr>
              <w:t>13:30 – 14:45</w:t>
            </w:r>
          </w:p>
        </w:tc>
        <w:tc>
          <w:tcPr>
            <w:tcW w:w="14600" w:type="dxa"/>
            <w:gridSpan w:val="8"/>
            <w:shd w:val="clear" w:color="auto" w:fill="F4CAC2"/>
          </w:tcPr>
          <w:p w14:paraId="2F631953" w14:textId="497308D7" w:rsidR="005E6A50" w:rsidRPr="005E6A50" w:rsidRDefault="005E6A50" w:rsidP="00F4404E">
            <w:pPr>
              <w:rPr>
                <w:rFonts w:ascii="Noto Serif Light" w:hAnsi="Noto Serif Light" w:cs="Noto Serif Light"/>
                <w:b/>
                <w:bCs/>
                <w:lang w:val="en"/>
              </w:rPr>
            </w:pPr>
            <w:r w:rsidRPr="005E6A50">
              <w:rPr>
                <w:rFonts w:ascii="Noto Serif Light" w:hAnsi="Noto Serif Light" w:cs="Noto Serif Light"/>
                <w:b/>
                <w:bCs/>
                <w:lang w:val="en"/>
              </w:rPr>
              <w:t>Parallel Session</w:t>
            </w:r>
            <w:r w:rsidR="003E205A">
              <w:rPr>
                <w:rFonts w:ascii="Noto Serif Light" w:hAnsi="Noto Serif Light" w:cs="Noto Serif Light"/>
                <w:b/>
                <w:bCs/>
                <w:lang w:val="en"/>
              </w:rPr>
              <w:t xml:space="preserve"> 2</w:t>
            </w:r>
          </w:p>
        </w:tc>
      </w:tr>
      <w:tr w:rsidR="005E6A50" w:rsidRPr="005E6A50" w14:paraId="40D93AC2" w14:textId="77777777" w:rsidTr="00DE7B22">
        <w:tc>
          <w:tcPr>
            <w:tcW w:w="1702" w:type="dxa"/>
            <w:vMerge/>
          </w:tcPr>
          <w:p w14:paraId="378D9E31" w14:textId="77777777" w:rsidR="005E6A50" w:rsidRPr="005E6A50" w:rsidRDefault="005E6A50" w:rsidP="00F4404E">
            <w:pPr>
              <w:rPr>
                <w:rFonts w:ascii="Noto Serif Light" w:hAnsi="Noto Serif Light" w:cs="Noto Serif Light"/>
              </w:rPr>
            </w:pPr>
          </w:p>
        </w:tc>
        <w:tc>
          <w:tcPr>
            <w:tcW w:w="3004" w:type="dxa"/>
            <w:shd w:val="clear" w:color="auto" w:fill="F9E0DB"/>
          </w:tcPr>
          <w:p w14:paraId="3595CB49" w14:textId="77777777" w:rsidR="005E6A50" w:rsidRDefault="001140FC" w:rsidP="00F4404E">
            <w:pPr>
              <w:rPr>
                <w:rFonts w:ascii="Noto Serif Light" w:hAnsi="Noto Serif Light" w:cs="Noto Serif Light"/>
                <w:b/>
                <w:bCs/>
                <w:sz w:val="22"/>
                <w:szCs w:val="22"/>
              </w:rPr>
            </w:pPr>
            <w:r w:rsidRPr="001140FC">
              <w:rPr>
                <w:rFonts w:ascii="Noto Serif Light" w:hAnsi="Noto Serif Light" w:cs="Noto Serif Light"/>
                <w:b/>
                <w:bCs/>
                <w:sz w:val="22"/>
                <w:szCs w:val="22"/>
              </w:rPr>
              <w:t>Analyzing the RIS and Place-based Strategies</w:t>
            </w:r>
          </w:p>
          <w:p w14:paraId="14F4F11C" w14:textId="77777777" w:rsidR="0080066D" w:rsidRDefault="0080066D" w:rsidP="00F4404E">
            <w:pPr>
              <w:rPr>
                <w:rFonts w:ascii="Noto Serif Light" w:hAnsi="Noto Serif Light" w:cs="Noto Serif Light"/>
                <w:b/>
                <w:bCs/>
                <w:sz w:val="22"/>
                <w:szCs w:val="22"/>
                <w:lang w:val="en"/>
              </w:rPr>
            </w:pPr>
          </w:p>
          <w:p w14:paraId="6B68A3BF" w14:textId="77777777" w:rsidR="0080066D" w:rsidRDefault="0080066D" w:rsidP="00F4404E">
            <w:pPr>
              <w:rPr>
                <w:rFonts w:ascii="Noto Serif Light" w:hAnsi="Noto Serif Light" w:cs="Noto Serif Light"/>
                <w:b/>
                <w:bCs/>
                <w:sz w:val="22"/>
                <w:szCs w:val="22"/>
                <w:lang w:val="en"/>
              </w:rPr>
            </w:pPr>
          </w:p>
          <w:p w14:paraId="7B84A3AF" w14:textId="65646E64" w:rsidR="0080066D" w:rsidRPr="0080066D" w:rsidRDefault="0080066D" w:rsidP="00F4404E">
            <w:pPr>
              <w:rPr>
                <w:rFonts w:ascii="Noto Serif Light" w:hAnsi="Noto Serif Light" w:cs="Noto Serif Light"/>
                <w:sz w:val="22"/>
                <w:szCs w:val="22"/>
                <w:lang w:val="en"/>
              </w:rPr>
            </w:pPr>
            <w:r>
              <w:rPr>
                <w:rFonts w:ascii="Noto Serif Light" w:hAnsi="Noto Serif Light" w:cs="Noto Serif Light"/>
                <w:b/>
                <w:bCs/>
                <w:sz w:val="22"/>
                <w:szCs w:val="22"/>
                <w:lang w:val="en"/>
              </w:rPr>
              <w:t xml:space="preserve">Location: </w:t>
            </w:r>
            <w:r>
              <w:rPr>
                <w:rFonts w:ascii="Noto Serif Light" w:hAnsi="Noto Serif Light" w:cs="Noto Serif Light"/>
                <w:sz w:val="22"/>
                <w:szCs w:val="22"/>
                <w:lang w:val="en"/>
              </w:rPr>
              <w:t>G03 – Lecture Theatre 1</w:t>
            </w:r>
          </w:p>
        </w:tc>
        <w:tc>
          <w:tcPr>
            <w:tcW w:w="2722" w:type="dxa"/>
            <w:gridSpan w:val="2"/>
            <w:shd w:val="clear" w:color="auto" w:fill="FDF3F1"/>
          </w:tcPr>
          <w:p w14:paraId="2A885A99" w14:textId="77777777" w:rsidR="005E6A50" w:rsidRPr="005E6A50" w:rsidRDefault="005E6A50" w:rsidP="00F4404E">
            <w:pPr>
              <w:rPr>
                <w:rFonts w:ascii="Noto Serif Light" w:hAnsi="Noto Serif Light" w:cs="Noto Serif Light"/>
                <w:b/>
                <w:bCs/>
                <w:sz w:val="22"/>
                <w:szCs w:val="22"/>
              </w:rPr>
            </w:pPr>
            <w:r w:rsidRPr="005E6A50">
              <w:rPr>
                <w:rFonts w:ascii="Noto Serif Light" w:hAnsi="Noto Serif Light" w:cs="Noto Serif Light"/>
                <w:b/>
                <w:bCs/>
                <w:sz w:val="22"/>
                <w:szCs w:val="22"/>
                <w:lang w:val="en"/>
              </w:rPr>
              <w:lastRenderedPageBreak/>
              <w:t>SMEs and Innovation</w:t>
            </w:r>
            <w:r w:rsidRPr="005E6A50">
              <w:rPr>
                <w:rFonts w:ascii="Noto Serif Light" w:hAnsi="Noto Serif Light" w:cs="Noto Serif Light"/>
                <w:b/>
                <w:bCs/>
                <w:sz w:val="22"/>
                <w:szCs w:val="22"/>
              </w:rPr>
              <w:t> </w:t>
            </w:r>
          </w:p>
          <w:p w14:paraId="4CC0C72C" w14:textId="77777777" w:rsidR="005E6A50" w:rsidRDefault="005E6A50" w:rsidP="00F4404E">
            <w:pPr>
              <w:rPr>
                <w:rFonts w:ascii="Noto Serif Light" w:hAnsi="Noto Serif Light" w:cs="Noto Serif Light"/>
                <w:b/>
                <w:bCs/>
                <w:sz w:val="22"/>
                <w:szCs w:val="22"/>
                <w:lang w:val="en"/>
              </w:rPr>
            </w:pPr>
          </w:p>
          <w:p w14:paraId="6191FB93" w14:textId="77777777" w:rsidR="003E1AF5" w:rsidRDefault="003E1AF5" w:rsidP="00F4404E">
            <w:pPr>
              <w:rPr>
                <w:rFonts w:ascii="Noto Serif Light" w:hAnsi="Noto Serif Light" w:cs="Noto Serif Light"/>
                <w:b/>
                <w:bCs/>
                <w:sz w:val="22"/>
                <w:szCs w:val="22"/>
                <w:lang w:val="en"/>
              </w:rPr>
            </w:pPr>
          </w:p>
          <w:p w14:paraId="4C511DF8" w14:textId="77777777" w:rsidR="003E1AF5" w:rsidRDefault="003E1AF5" w:rsidP="00F4404E">
            <w:pPr>
              <w:rPr>
                <w:rFonts w:ascii="Noto Serif Light" w:hAnsi="Noto Serif Light" w:cs="Noto Serif Light"/>
                <w:b/>
                <w:bCs/>
                <w:sz w:val="22"/>
                <w:szCs w:val="22"/>
                <w:lang w:val="en"/>
              </w:rPr>
            </w:pPr>
          </w:p>
          <w:p w14:paraId="4C087A52" w14:textId="5EF79386" w:rsidR="003E1AF5" w:rsidRPr="005E6A50" w:rsidRDefault="003E1AF5" w:rsidP="00F4404E">
            <w:pPr>
              <w:rPr>
                <w:rFonts w:ascii="Noto Serif Light" w:hAnsi="Noto Serif Light" w:cs="Noto Serif Light"/>
                <w:b/>
                <w:bCs/>
                <w:sz w:val="22"/>
                <w:szCs w:val="22"/>
                <w:lang w:val="en"/>
              </w:rPr>
            </w:pPr>
            <w:r>
              <w:rPr>
                <w:rFonts w:ascii="Noto Serif Light" w:hAnsi="Noto Serif Light" w:cs="Noto Serif Light"/>
                <w:b/>
                <w:bCs/>
                <w:sz w:val="22"/>
                <w:szCs w:val="22"/>
              </w:rPr>
              <w:t xml:space="preserve">Location: </w:t>
            </w:r>
            <w:r>
              <w:rPr>
                <w:rFonts w:ascii="Noto Serif Light" w:hAnsi="Noto Serif Light" w:cs="Noto Serif Light"/>
                <w:sz w:val="22"/>
                <w:szCs w:val="22"/>
              </w:rPr>
              <w:t>G11 – Lecture Theatre 2</w:t>
            </w:r>
          </w:p>
        </w:tc>
        <w:tc>
          <w:tcPr>
            <w:tcW w:w="2721" w:type="dxa"/>
            <w:gridSpan w:val="2"/>
            <w:shd w:val="clear" w:color="auto" w:fill="FEF5F0"/>
          </w:tcPr>
          <w:p w14:paraId="7C49745A" w14:textId="77777777" w:rsidR="005E6A50" w:rsidRPr="005E6A50" w:rsidRDefault="005E6A50" w:rsidP="00F4404E">
            <w:pPr>
              <w:rPr>
                <w:rFonts w:ascii="Noto Serif Light" w:hAnsi="Noto Serif Light" w:cs="Noto Serif Light"/>
                <w:b/>
                <w:bCs/>
                <w:sz w:val="22"/>
                <w:szCs w:val="22"/>
              </w:rPr>
            </w:pPr>
            <w:r w:rsidRPr="005E6A50">
              <w:rPr>
                <w:rFonts w:ascii="Noto Serif Light" w:hAnsi="Noto Serif Light" w:cs="Noto Serif Light"/>
                <w:b/>
                <w:bCs/>
                <w:sz w:val="22"/>
                <w:szCs w:val="22"/>
                <w:lang w:val="en"/>
              </w:rPr>
              <w:lastRenderedPageBreak/>
              <w:t>F2: History, Retrovation and the Temporalities</w:t>
            </w:r>
            <w:r w:rsidRPr="005E6A50">
              <w:rPr>
                <w:rFonts w:ascii="Noto Serif Light" w:hAnsi="Noto Serif Light" w:cs="Noto Serif Light"/>
                <w:b/>
                <w:bCs/>
                <w:sz w:val="22"/>
                <w:szCs w:val="22"/>
              </w:rPr>
              <w:t> </w:t>
            </w:r>
          </w:p>
          <w:p w14:paraId="5FE61B0D" w14:textId="77777777" w:rsidR="005E6A50" w:rsidRDefault="005E6A50" w:rsidP="00F4404E">
            <w:pPr>
              <w:rPr>
                <w:rFonts w:ascii="Noto Serif Light" w:hAnsi="Noto Serif Light" w:cs="Noto Serif Light"/>
                <w:b/>
                <w:bCs/>
                <w:sz w:val="22"/>
                <w:szCs w:val="22"/>
                <w:lang w:val="en"/>
              </w:rPr>
            </w:pPr>
          </w:p>
          <w:p w14:paraId="76953BC3" w14:textId="77777777" w:rsidR="0094350A" w:rsidRDefault="0094350A" w:rsidP="00F4404E">
            <w:pPr>
              <w:rPr>
                <w:rFonts w:ascii="Noto Serif Light" w:hAnsi="Noto Serif Light" w:cs="Noto Serif Light"/>
                <w:b/>
                <w:bCs/>
                <w:sz w:val="22"/>
                <w:szCs w:val="22"/>
                <w:lang w:val="en"/>
              </w:rPr>
            </w:pPr>
          </w:p>
          <w:p w14:paraId="2901955C" w14:textId="41E6EED5" w:rsidR="0094350A" w:rsidRPr="0094350A" w:rsidRDefault="0094350A" w:rsidP="00F4404E">
            <w:pPr>
              <w:rPr>
                <w:rFonts w:ascii="Noto Serif Light" w:hAnsi="Noto Serif Light" w:cs="Noto Serif Light"/>
                <w:sz w:val="22"/>
                <w:szCs w:val="22"/>
                <w:lang w:val="en"/>
              </w:rPr>
            </w:pPr>
            <w:r>
              <w:rPr>
                <w:rFonts w:ascii="Noto Serif Light" w:hAnsi="Noto Serif Light" w:cs="Noto Serif Light"/>
                <w:b/>
                <w:bCs/>
                <w:sz w:val="22"/>
                <w:szCs w:val="22"/>
                <w:lang w:val="en"/>
              </w:rPr>
              <w:t xml:space="preserve">Location: </w:t>
            </w:r>
            <w:r>
              <w:rPr>
                <w:rFonts w:ascii="Noto Serif Light" w:hAnsi="Noto Serif Light" w:cs="Noto Serif Light"/>
                <w:sz w:val="22"/>
                <w:szCs w:val="22"/>
                <w:lang w:val="en"/>
              </w:rPr>
              <w:t xml:space="preserve">103 </w:t>
            </w:r>
            <w:r>
              <w:rPr>
                <w:rFonts w:ascii="Noto Serif Light" w:hAnsi="Noto Serif Light" w:cs="Noto Serif Light"/>
                <w:sz w:val="22"/>
                <w:szCs w:val="22"/>
              </w:rPr>
              <w:t>– Lecture Theatre 3</w:t>
            </w:r>
          </w:p>
        </w:tc>
        <w:tc>
          <w:tcPr>
            <w:tcW w:w="2722" w:type="dxa"/>
            <w:gridSpan w:val="2"/>
            <w:shd w:val="clear" w:color="auto" w:fill="FEEEE6"/>
          </w:tcPr>
          <w:p w14:paraId="6CCBCE74" w14:textId="77777777" w:rsidR="005E6A50" w:rsidRDefault="005E6A50" w:rsidP="00F4404E">
            <w:pPr>
              <w:rPr>
                <w:rFonts w:ascii="Noto Serif Light" w:hAnsi="Noto Serif Light" w:cs="Noto Serif Light"/>
                <w:b/>
                <w:bCs/>
                <w:sz w:val="22"/>
                <w:szCs w:val="22"/>
              </w:rPr>
            </w:pPr>
            <w:r w:rsidRPr="005E6A50">
              <w:rPr>
                <w:rFonts w:ascii="Noto Serif Light" w:hAnsi="Noto Serif Light" w:cs="Noto Serif Light"/>
                <w:b/>
                <w:bCs/>
                <w:sz w:val="22"/>
                <w:szCs w:val="22"/>
                <w:lang w:val="en"/>
              </w:rPr>
              <w:lastRenderedPageBreak/>
              <w:t>Data-driven regional policy – from the past to the present</w:t>
            </w:r>
            <w:r w:rsidRPr="005E6A50">
              <w:rPr>
                <w:rFonts w:ascii="Noto Serif Light" w:hAnsi="Noto Serif Light" w:cs="Noto Serif Light"/>
                <w:b/>
                <w:bCs/>
                <w:sz w:val="22"/>
                <w:szCs w:val="22"/>
              </w:rPr>
              <w:t> </w:t>
            </w:r>
          </w:p>
          <w:p w14:paraId="0BD044E5" w14:textId="77777777" w:rsidR="0094350A" w:rsidRDefault="0094350A" w:rsidP="00F4404E">
            <w:pPr>
              <w:rPr>
                <w:rFonts w:ascii="Noto Serif Light" w:hAnsi="Noto Serif Light" w:cs="Noto Serif Light"/>
                <w:b/>
                <w:bCs/>
                <w:sz w:val="22"/>
                <w:szCs w:val="22"/>
              </w:rPr>
            </w:pPr>
          </w:p>
          <w:p w14:paraId="3CCBBD38" w14:textId="05B343BD" w:rsidR="0094350A" w:rsidRPr="0094350A" w:rsidRDefault="0094350A" w:rsidP="00F4404E">
            <w:pPr>
              <w:rPr>
                <w:rFonts w:ascii="Noto Serif Light" w:hAnsi="Noto Serif Light" w:cs="Noto Serif Light"/>
                <w:sz w:val="22"/>
                <w:szCs w:val="22"/>
                <w:lang w:val="en"/>
              </w:rPr>
            </w:pPr>
            <w:r>
              <w:rPr>
                <w:rFonts w:ascii="Noto Serif Light" w:hAnsi="Noto Serif Light" w:cs="Noto Serif Light"/>
                <w:b/>
                <w:bCs/>
                <w:sz w:val="22"/>
                <w:szCs w:val="22"/>
              </w:rPr>
              <w:t xml:space="preserve">Location: </w:t>
            </w:r>
            <w:r>
              <w:rPr>
                <w:rFonts w:ascii="Noto Serif Light" w:hAnsi="Noto Serif Light" w:cs="Noto Serif Light"/>
                <w:sz w:val="22"/>
                <w:szCs w:val="22"/>
              </w:rPr>
              <w:t>111 – Lecture Theatre 4</w:t>
            </w:r>
          </w:p>
        </w:tc>
        <w:tc>
          <w:tcPr>
            <w:tcW w:w="3431" w:type="dxa"/>
            <w:shd w:val="clear" w:color="auto" w:fill="F9E0DB"/>
          </w:tcPr>
          <w:p w14:paraId="58FF45A6" w14:textId="77777777" w:rsidR="005E6A50" w:rsidRDefault="005E6A50" w:rsidP="00F4404E">
            <w:pPr>
              <w:rPr>
                <w:rFonts w:ascii="Noto Serif Light" w:hAnsi="Noto Serif Light" w:cs="Noto Serif Light"/>
                <w:b/>
                <w:bCs/>
                <w:sz w:val="22"/>
                <w:szCs w:val="22"/>
              </w:rPr>
            </w:pPr>
            <w:r w:rsidRPr="005E6A50">
              <w:rPr>
                <w:rFonts w:ascii="Noto Serif Light" w:hAnsi="Noto Serif Light" w:cs="Noto Serif Light"/>
                <w:b/>
                <w:bCs/>
                <w:sz w:val="22"/>
                <w:szCs w:val="22"/>
                <w:lang w:val="en"/>
              </w:rPr>
              <w:lastRenderedPageBreak/>
              <w:t>Creative Infrastructure &amp; Cultural Innovation in Regions</w:t>
            </w:r>
            <w:r w:rsidRPr="005E6A50">
              <w:rPr>
                <w:rFonts w:ascii="Noto Serif Light" w:hAnsi="Noto Serif Light" w:cs="Noto Serif Light"/>
                <w:b/>
                <w:bCs/>
                <w:sz w:val="22"/>
                <w:szCs w:val="22"/>
              </w:rPr>
              <w:t> </w:t>
            </w:r>
          </w:p>
          <w:p w14:paraId="668410C9" w14:textId="77777777" w:rsidR="0094350A" w:rsidRDefault="0094350A" w:rsidP="00F4404E">
            <w:pPr>
              <w:rPr>
                <w:rFonts w:ascii="Noto Serif Light" w:hAnsi="Noto Serif Light" w:cs="Noto Serif Light"/>
                <w:b/>
                <w:bCs/>
                <w:sz w:val="22"/>
                <w:szCs w:val="22"/>
                <w:lang w:val="en"/>
              </w:rPr>
            </w:pPr>
          </w:p>
          <w:p w14:paraId="6F26DC2A" w14:textId="75B03306" w:rsidR="0094350A" w:rsidRPr="0094350A" w:rsidRDefault="0094350A" w:rsidP="00F4404E">
            <w:pPr>
              <w:rPr>
                <w:rFonts w:ascii="Noto Serif Light" w:hAnsi="Noto Serif Light" w:cs="Noto Serif Light"/>
                <w:sz w:val="22"/>
                <w:szCs w:val="22"/>
                <w:lang w:val="en"/>
              </w:rPr>
            </w:pPr>
            <w:r>
              <w:rPr>
                <w:rFonts w:ascii="Noto Serif Light" w:hAnsi="Noto Serif Light" w:cs="Noto Serif Light"/>
                <w:b/>
                <w:bCs/>
                <w:sz w:val="22"/>
                <w:szCs w:val="22"/>
                <w:lang w:val="en"/>
              </w:rPr>
              <w:lastRenderedPageBreak/>
              <w:t xml:space="preserve">Location: </w:t>
            </w:r>
            <w:r>
              <w:rPr>
                <w:rFonts w:ascii="Noto Serif Light" w:hAnsi="Noto Serif Light" w:cs="Noto Serif Light"/>
                <w:sz w:val="22"/>
                <w:szCs w:val="22"/>
                <w:lang w:val="en"/>
              </w:rPr>
              <w:t xml:space="preserve">112 </w:t>
            </w:r>
            <w:r>
              <w:rPr>
                <w:rFonts w:ascii="Noto Serif Light" w:hAnsi="Noto Serif Light" w:cs="Noto Serif Light"/>
                <w:sz w:val="22"/>
                <w:szCs w:val="22"/>
              </w:rPr>
              <w:t>– Lecture Theatre 5</w:t>
            </w:r>
          </w:p>
        </w:tc>
      </w:tr>
      <w:tr w:rsidR="004A69C0" w:rsidRPr="005E6A50" w14:paraId="3D2091CA" w14:textId="77777777" w:rsidTr="00DE7B22">
        <w:tc>
          <w:tcPr>
            <w:tcW w:w="1702" w:type="dxa"/>
            <w:vMerge/>
          </w:tcPr>
          <w:p w14:paraId="2B483950" w14:textId="77777777" w:rsidR="004A69C0" w:rsidRPr="005E6A50" w:rsidRDefault="004A69C0" w:rsidP="00F4404E">
            <w:pPr>
              <w:rPr>
                <w:rFonts w:ascii="Noto Serif Light" w:hAnsi="Noto Serif Light" w:cs="Noto Serif Light"/>
              </w:rPr>
            </w:pPr>
          </w:p>
        </w:tc>
        <w:tc>
          <w:tcPr>
            <w:tcW w:w="3004" w:type="dxa"/>
            <w:shd w:val="clear" w:color="auto" w:fill="F9E0DB"/>
          </w:tcPr>
          <w:p w14:paraId="0CCB87C9" w14:textId="50AF9435" w:rsidR="004A69C0" w:rsidRDefault="004A69C0" w:rsidP="00F4404E">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Chair: Konstantinos Kollydas</w:t>
            </w:r>
          </w:p>
        </w:tc>
        <w:tc>
          <w:tcPr>
            <w:tcW w:w="2722" w:type="dxa"/>
            <w:gridSpan w:val="2"/>
            <w:shd w:val="clear" w:color="auto" w:fill="FDF3F1"/>
          </w:tcPr>
          <w:p w14:paraId="7724D5B3" w14:textId="7F0D6562" w:rsidR="004A69C0" w:rsidRDefault="004A69C0" w:rsidP="00F4404E">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Chair: Robert Bowen</w:t>
            </w:r>
          </w:p>
        </w:tc>
        <w:tc>
          <w:tcPr>
            <w:tcW w:w="2721" w:type="dxa"/>
            <w:gridSpan w:val="2"/>
            <w:shd w:val="clear" w:color="auto" w:fill="FEF5F0"/>
          </w:tcPr>
          <w:p w14:paraId="5B273042" w14:textId="7A02CB1E" w:rsidR="004A69C0" w:rsidRDefault="004A69C0" w:rsidP="00F4404E">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Chair: SS-F organiser</w:t>
            </w:r>
          </w:p>
        </w:tc>
        <w:tc>
          <w:tcPr>
            <w:tcW w:w="2722" w:type="dxa"/>
            <w:gridSpan w:val="2"/>
            <w:shd w:val="clear" w:color="auto" w:fill="FEEEE6"/>
          </w:tcPr>
          <w:p w14:paraId="0973341D" w14:textId="4BEB9A0A" w:rsidR="004A69C0" w:rsidRDefault="004A69C0" w:rsidP="00F4404E">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Chair: Huanjia Ma</w:t>
            </w:r>
          </w:p>
        </w:tc>
        <w:tc>
          <w:tcPr>
            <w:tcW w:w="3431" w:type="dxa"/>
            <w:shd w:val="clear" w:color="auto" w:fill="F9E0DB"/>
          </w:tcPr>
          <w:p w14:paraId="23A2F1BC" w14:textId="4247053D" w:rsidR="004A69C0" w:rsidRDefault="004A69C0" w:rsidP="00F4404E">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Chair: Katharine Willis</w:t>
            </w:r>
          </w:p>
        </w:tc>
      </w:tr>
      <w:tr w:rsidR="005E6A50" w:rsidRPr="005E6A50" w14:paraId="36BE5D3D" w14:textId="77777777" w:rsidTr="00DE7B22">
        <w:tc>
          <w:tcPr>
            <w:tcW w:w="1702" w:type="dxa"/>
            <w:vMerge/>
          </w:tcPr>
          <w:p w14:paraId="68AFF5EC" w14:textId="77777777" w:rsidR="005E6A50" w:rsidRPr="005E6A50" w:rsidRDefault="005E6A50" w:rsidP="00F4404E">
            <w:pPr>
              <w:rPr>
                <w:rFonts w:ascii="Noto Serif Light" w:hAnsi="Noto Serif Light" w:cs="Noto Serif Light"/>
              </w:rPr>
            </w:pPr>
          </w:p>
        </w:tc>
        <w:tc>
          <w:tcPr>
            <w:tcW w:w="3004" w:type="dxa"/>
            <w:shd w:val="clear" w:color="auto" w:fill="F9E0DB"/>
          </w:tcPr>
          <w:p w14:paraId="417A4995" w14:textId="3EA8EC08" w:rsidR="005E6A50" w:rsidRPr="005E6A50" w:rsidRDefault="00D43043" w:rsidP="00F4404E">
            <w:pPr>
              <w:rPr>
                <w:rFonts w:ascii="Noto Serif Light" w:hAnsi="Noto Serif Light" w:cs="Noto Serif Light"/>
                <w:sz w:val="20"/>
                <w:szCs w:val="20"/>
                <w:lang w:val="en"/>
              </w:rPr>
            </w:pPr>
            <w:r>
              <w:rPr>
                <w:rFonts w:ascii="Noto Serif Light" w:hAnsi="Noto Serif Light" w:cs="Noto Serif Light"/>
                <w:b/>
                <w:bCs/>
                <w:sz w:val="20"/>
                <w:szCs w:val="20"/>
                <w:lang w:val="en"/>
              </w:rPr>
              <w:t xml:space="preserve">O17. </w:t>
            </w:r>
            <w:r w:rsidR="005E6A50" w:rsidRPr="005E6A50">
              <w:rPr>
                <w:rFonts w:ascii="Noto Serif Light" w:hAnsi="Noto Serif Light" w:cs="Noto Serif Light"/>
                <w:b/>
                <w:bCs/>
                <w:sz w:val="20"/>
                <w:szCs w:val="20"/>
                <w:lang w:val="en"/>
              </w:rPr>
              <w:t>Manuel González-lópez:</w:t>
            </w:r>
            <w:r w:rsidR="005E6A50" w:rsidRPr="005E6A50">
              <w:rPr>
                <w:rFonts w:ascii="Noto Serif Light" w:hAnsi="Noto Serif Light" w:cs="Noto Serif Light"/>
                <w:sz w:val="20"/>
                <w:szCs w:val="20"/>
                <w:lang w:val="en"/>
              </w:rPr>
              <w:t> </w:t>
            </w:r>
          </w:p>
          <w:p w14:paraId="0B974C81" w14:textId="2DD90369" w:rsidR="006563CB"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RIS3 and Productive Transformation in Spanish Regions: Evaluating the Effects of Smart Specialisation on Economic Activity in Priority Sectors (2014–2020) </w:t>
            </w:r>
          </w:p>
        </w:tc>
        <w:tc>
          <w:tcPr>
            <w:tcW w:w="2722" w:type="dxa"/>
            <w:gridSpan w:val="2"/>
            <w:shd w:val="clear" w:color="auto" w:fill="FDF3F1"/>
          </w:tcPr>
          <w:p w14:paraId="465E9C79" w14:textId="7B384896" w:rsidR="005E6A50" w:rsidRPr="005E6A50" w:rsidRDefault="00D43043" w:rsidP="00F4404E">
            <w:pPr>
              <w:rPr>
                <w:rFonts w:ascii="Noto Serif Light" w:hAnsi="Noto Serif Light" w:cs="Noto Serif Light"/>
                <w:sz w:val="20"/>
                <w:szCs w:val="20"/>
                <w:lang w:val="en"/>
              </w:rPr>
            </w:pPr>
            <w:r>
              <w:rPr>
                <w:rFonts w:ascii="Noto Serif Light" w:hAnsi="Noto Serif Light" w:cs="Noto Serif Light"/>
                <w:b/>
                <w:bCs/>
                <w:sz w:val="20"/>
                <w:szCs w:val="20"/>
                <w:lang w:val="en"/>
              </w:rPr>
              <w:t xml:space="preserve">O20. </w:t>
            </w:r>
            <w:r w:rsidR="005E6A50" w:rsidRPr="005E6A50">
              <w:rPr>
                <w:rFonts w:ascii="Noto Serif Light" w:hAnsi="Noto Serif Light" w:cs="Noto Serif Light"/>
                <w:b/>
                <w:bCs/>
                <w:sz w:val="20"/>
                <w:szCs w:val="20"/>
                <w:lang w:val="en"/>
              </w:rPr>
              <w:t>Gary Walpole</w:t>
            </w:r>
            <w:r w:rsidR="005E6A50" w:rsidRPr="005E6A50">
              <w:rPr>
                <w:rFonts w:ascii="Noto Serif Light" w:hAnsi="Noto Serif Light" w:cs="Noto Serif Light"/>
                <w:sz w:val="20"/>
                <w:szCs w:val="20"/>
                <w:lang w:val="en"/>
              </w:rPr>
              <w:t>: </w:t>
            </w:r>
          </w:p>
          <w:p w14:paraId="36A59CDB" w14:textId="0C904484"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xml:space="preserve">Enhancing </w:t>
            </w:r>
            <w:r w:rsidR="00DB1769" w:rsidRPr="005E6A50">
              <w:rPr>
                <w:rFonts w:ascii="Noto Serif Light" w:hAnsi="Noto Serif Light" w:cs="Noto Serif Light"/>
                <w:sz w:val="20"/>
                <w:szCs w:val="20"/>
                <w:lang w:val="en"/>
              </w:rPr>
              <w:t xml:space="preserve">Regional </w:t>
            </w:r>
            <w:r w:rsidRPr="005E6A50">
              <w:rPr>
                <w:rFonts w:ascii="Noto Serif Light" w:hAnsi="Noto Serif Light" w:cs="Noto Serif Light"/>
                <w:sz w:val="20"/>
                <w:szCs w:val="20"/>
                <w:lang w:val="en"/>
              </w:rPr>
              <w:t xml:space="preserve">Circular Economy </w:t>
            </w:r>
            <w:r w:rsidR="00DB1769" w:rsidRPr="005E6A50">
              <w:rPr>
                <w:rFonts w:ascii="Noto Serif Light" w:hAnsi="Noto Serif Light" w:cs="Noto Serif Light"/>
                <w:sz w:val="20"/>
                <w:szCs w:val="20"/>
                <w:lang w:val="en"/>
              </w:rPr>
              <w:t xml:space="preserve">Innovation: </w:t>
            </w:r>
            <w:r w:rsidRPr="005E6A50">
              <w:rPr>
                <w:rFonts w:ascii="Noto Serif Light" w:hAnsi="Noto Serif Light" w:cs="Noto Serif Light"/>
                <w:sz w:val="20"/>
                <w:szCs w:val="20"/>
                <w:lang w:val="en"/>
              </w:rPr>
              <w:t xml:space="preserve">A </w:t>
            </w:r>
            <w:r w:rsidR="00DB1769" w:rsidRPr="005E6A50">
              <w:rPr>
                <w:rFonts w:ascii="Noto Serif Light" w:hAnsi="Noto Serif Light" w:cs="Noto Serif Light"/>
                <w:sz w:val="20"/>
                <w:szCs w:val="20"/>
                <w:lang w:val="en"/>
              </w:rPr>
              <w:t xml:space="preserve">Triple Helix Approach to Supporting </w:t>
            </w:r>
            <w:r w:rsidRPr="005E6A50">
              <w:rPr>
                <w:rFonts w:ascii="Noto Serif Light" w:hAnsi="Noto Serif Light" w:cs="Noto Serif Light"/>
                <w:sz w:val="20"/>
                <w:szCs w:val="20"/>
                <w:lang w:val="en"/>
              </w:rPr>
              <w:t xml:space="preserve">SME </w:t>
            </w:r>
            <w:r w:rsidR="00DB1769" w:rsidRPr="005E6A50">
              <w:rPr>
                <w:rFonts w:ascii="Noto Serif Light" w:hAnsi="Noto Serif Light" w:cs="Noto Serif Light"/>
                <w:sz w:val="20"/>
                <w:szCs w:val="20"/>
                <w:lang w:val="en"/>
              </w:rPr>
              <w:t>Innovation Through Public Seed Funding  </w:t>
            </w:r>
          </w:p>
          <w:p w14:paraId="0A7F61AB"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w:t>
            </w:r>
          </w:p>
        </w:tc>
        <w:tc>
          <w:tcPr>
            <w:tcW w:w="2721" w:type="dxa"/>
            <w:gridSpan w:val="2"/>
            <w:shd w:val="clear" w:color="auto" w:fill="FEF5F0"/>
          </w:tcPr>
          <w:p w14:paraId="53D28402" w14:textId="07CC7D7D" w:rsidR="005E6A50" w:rsidRPr="005E6A50" w:rsidRDefault="00D43043" w:rsidP="00F4404E">
            <w:pPr>
              <w:rPr>
                <w:rFonts w:ascii="Noto Serif Light" w:hAnsi="Noto Serif Light" w:cs="Noto Serif Light"/>
                <w:sz w:val="20"/>
                <w:szCs w:val="20"/>
                <w:lang w:val="en"/>
              </w:rPr>
            </w:pPr>
            <w:r>
              <w:rPr>
                <w:rFonts w:ascii="Noto Serif Light" w:hAnsi="Noto Serif Light" w:cs="Noto Serif Light"/>
                <w:b/>
                <w:bCs/>
                <w:sz w:val="20"/>
                <w:szCs w:val="20"/>
                <w:lang w:val="en"/>
              </w:rPr>
              <w:t xml:space="preserve">O23. </w:t>
            </w:r>
            <w:r w:rsidR="005E6A50" w:rsidRPr="005E6A50">
              <w:rPr>
                <w:rFonts w:ascii="Noto Serif Light" w:hAnsi="Noto Serif Light" w:cs="Noto Serif Light"/>
                <w:b/>
                <w:bCs/>
                <w:sz w:val="20"/>
                <w:szCs w:val="20"/>
                <w:lang w:val="en"/>
              </w:rPr>
              <w:t>Lukas Zaghow &amp; Lech Suwala</w:t>
            </w:r>
            <w:r w:rsidR="005E6A50" w:rsidRPr="005E6A50">
              <w:rPr>
                <w:rFonts w:ascii="Noto Serif Light" w:hAnsi="Noto Serif Light" w:cs="Noto Serif Light"/>
                <w:sz w:val="20"/>
                <w:szCs w:val="20"/>
                <w:lang w:val="en"/>
              </w:rPr>
              <w:t>: </w:t>
            </w:r>
          </w:p>
          <w:p w14:paraId="4E1F24FB"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No Need to Reinvent the Wheel? Recurring Principles in Regional Innovation Support Infrastructures Over Time </w:t>
            </w:r>
          </w:p>
        </w:tc>
        <w:tc>
          <w:tcPr>
            <w:tcW w:w="2722" w:type="dxa"/>
            <w:gridSpan w:val="2"/>
            <w:shd w:val="clear" w:color="auto" w:fill="FEEEE6"/>
          </w:tcPr>
          <w:p w14:paraId="1BDA8C60" w14:textId="23C5EFB7" w:rsidR="005E6A50" w:rsidRPr="005E6A50" w:rsidRDefault="00D43043" w:rsidP="00F4404E">
            <w:pPr>
              <w:rPr>
                <w:rFonts w:ascii="Noto Serif Light" w:hAnsi="Noto Serif Light" w:cs="Noto Serif Light"/>
                <w:sz w:val="20"/>
                <w:szCs w:val="20"/>
                <w:lang w:val="en"/>
              </w:rPr>
            </w:pPr>
            <w:r>
              <w:rPr>
                <w:rFonts w:ascii="Noto Serif Light" w:hAnsi="Noto Serif Light" w:cs="Noto Serif Light"/>
                <w:b/>
                <w:bCs/>
                <w:sz w:val="20"/>
                <w:szCs w:val="20"/>
                <w:lang w:val="en"/>
              </w:rPr>
              <w:t xml:space="preserve">O26. </w:t>
            </w:r>
            <w:r w:rsidR="005E6A50" w:rsidRPr="005E6A50">
              <w:rPr>
                <w:rFonts w:ascii="Noto Serif Light" w:hAnsi="Noto Serif Light" w:cs="Noto Serif Light"/>
                <w:b/>
                <w:bCs/>
                <w:sz w:val="20"/>
                <w:szCs w:val="20"/>
                <w:lang w:val="en"/>
              </w:rPr>
              <w:t>María Begoña Peña-Lang</w:t>
            </w:r>
            <w:r w:rsidR="005E6A50" w:rsidRPr="005E6A50">
              <w:rPr>
                <w:rFonts w:ascii="Noto Serif Light" w:hAnsi="Noto Serif Light" w:cs="Noto Serif Light"/>
                <w:sz w:val="20"/>
                <w:szCs w:val="20"/>
                <w:lang w:val="en"/>
              </w:rPr>
              <w:t>:  </w:t>
            </w:r>
          </w:p>
          <w:p w14:paraId="2A47F486"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From Innovation Systems to Intelligence Systems: Rethinking Data-Driven Regional Policy </w:t>
            </w:r>
          </w:p>
        </w:tc>
        <w:tc>
          <w:tcPr>
            <w:tcW w:w="3431" w:type="dxa"/>
            <w:shd w:val="clear" w:color="auto" w:fill="F9E0DB"/>
          </w:tcPr>
          <w:p w14:paraId="257C949E" w14:textId="4E5A4904"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O29. </w:t>
            </w:r>
            <w:r w:rsidR="005E6A50" w:rsidRPr="005E6A50">
              <w:rPr>
                <w:rFonts w:ascii="Noto Serif Light" w:hAnsi="Noto Serif Light" w:cs="Noto Serif Light"/>
                <w:b/>
                <w:bCs/>
                <w:sz w:val="20"/>
                <w:szCs w:val="20"/>
                <w:lang w:val="en"/>
              </w:rPr>
              <w:t>Maria Salomaa: </w:t>
            </w:r>
          </w:p>
          <w:p w14:paraId="375E465E" w14:textId="21F8F689"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xml:space="preserve">Universities’ </w:t>
            </w:r>
            <w:r w:rsidR="00DB1769" w:rsidRPr="005E6A50">
              <w:rPr>
                <w:rFonts w:ascii="Noto Serif Light" w:hAnsi="Noto Serif Light" w:cs="Noto Serif Light"/>
                <w:sz w:val="20"/>
                <w:szCs w:val="20"/>
                <w:lang w:val="en"/>
              </w:rPr>
              <w:t xml:space="preserve">Role in Driving Regional Creative and Cultural Industry Ecosystems: </w:t>
            </w:r>
            <w:r w:rsidRPr="005E6A50">
              <w:rPr>
                <w:rFonts w:ascii="Noto Serif Light" w:hAnsi="Noto Serif Light" w:cs="Noto Serif Light"/>
                <w:sz w:val="20"/>
                <w:szCs w:val="20"/>
                <w:lang w:val="en"/>
              </w:rPr>
              <w:t xml:space="preserve">Lessons </w:t>
            </w:r>
            <w:r w:rsidR="00DB1769" w:rsidRPr="005E6A50">
              <w:rPr>
                <w:rFonts w:ascii="Noto Serif Light" w:hAnsi="Noto Serif Light" w:cs="Noto Serif Light"/>
                <w:sz w:val="20"/>
                <w:szCs w:val="20"/>
                <w:lang w:val="en"/>
              </w:rPr>
              <w:t xml:space="preserve">Learnt from </w:t>
            </w:r>
            <w:r w:rsidRPr="005E6A50">
              <w:rPr>
                <w:rFonts w:ascii="Noto Serif Light" w:hAnsi="Noto Serif Light" w:cs="Noto Serif Light"/>
                <w:sz w:val="20"/>
                <w:szCs w:val="20"/>
                <w:lang w:val="en"/>
              </w:rPr>
              <w:t>Tampere </w:t>
            </w:r>
          </w:p>
        </w:tc>
      </w:tr>
      <w:tr w:rsidR="005E6A50" w:rsidRPr="005E6A50" w14:paraId="23478E5D" w14:textId="77777777" w:rsidTr="00DE7B22">
        <w:tc>
          <w:tcPr>
            <w:tcW w:w="1702" w:type="dxa"/>
            <w:vMerge/>
          </w:tcPr>
          <w:p w14:paraId="400BC5E0" w14:textId="77777777" w:rsidR="005E6A50" w:rsidRPr="005E6A50" w:rsidRDefault="005E6A50" w:rsidP="00F4404E">
            <w:pPr>
              <w:rPr>
                <w:rFonts w:ascii="Noto Serif Light" w:hAnsi="Noto Serif Light" w:cs="Noto Serif Light"/>
              </w:rPr>
            </w:pPr>
          </w:p>
        </w:tc>
        <w:tc>
          <w:tcPr>
            <w:tcW w:w="3004" w:type="dxa"/>
            <w:shd w:val="clear" w:color="auto" w:fill="F9E0DB"/>
          </w:tcPr>
          <w:p w14:paraId="1EB2FE9D" w14:textId="68B47203" w:rsidR="005E6A50" w:rsidRPr="005E6A50" w:rsidRDefault="00D43043" w:rsidP="00F4404E">
            <w:pPr>
              <w:rPr>
                <w:rFonts w:ascii="Noto Serif Light" w:hAnsi="Noto Serif Light" w:cs="Noto Serif Light"/>
                <w:sz w:val="20"/>
                <w:szCs w:val="20"/>
                <w:lang w:val="en"/>
              </w:rPr>
            </w:pPr>
            <w:r>
              <w:rPr>
                <w:rFonts w:ascii="Noto Serif Light" w:hAnsi="Noto Serif Light" w:cs="Noto Serif Light"/>
                <w:b/>
                <w:bCs/>
                <w:sz w:val="20"/>
                <w:szCs w:val="20"/>
                <w:lang w:val="en"/>
              </w:rPr>
              <w:t xml:space="preserve">O18. </w:t>
            </w:r>
            <w:r w:rsidR="005E6A50" w:rsidRPr="005E6A50">
              <w:rPr>
                <w:rFonts w:ascii="Noto Serif Light" w:hAnsi="Noto Serif Light" w:cs="Noto Serif Light"/>
                <w:b/>
                <w:bCs/>
                <w:sz w:val="20"/>
                <w:szCs w:val="20"/>
                <w:lang w:val="en"/>
              </w:rPr>
              <w:t>Nicholas Sweeney</w:t>
            </w:r>
            <w:r w:rsidR="005E6A50" w:rsidRPr="005E6A50">
              <w:rPr>
                <w:rFonts w:ascii="Noto Serif Light" w:hAnsi="Noto Serif Light" w:cs="Noto Serif Light"/>
                <w:sz w:val="20"/>
                <w:szCs w:val="20"/>
                <w:lang w:val="en"/>
              </w:rPr>
              <w:t>:  </w:t>
            </w:r>
          </w:p>
          <w:p w14:paraId="53DE9783"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Recovering Internal Structures of Regional Innovation Systems: </w:t>
            </w:r>
          </w:p>
          <w:p w14:paraId="1D676B90"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OECD Regions' Patenting Networks </w:t>
            </w:r>
          </w:p>
        </w:tc>
        <w:tc>
          <w:tcPr>
            <w:tcW w:w="2722" w:type="dxa"/>
            <w:gridSpan w:val="2"/>
            <w:shd w:val="clear" w:color="auto" w:fill="FDF3F1"/>
          </w:tcPr>
          <w:p w14:paraId="2396272A" w14:textId="2FE8FEF6"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O21. </w:t>
            </w:r>
            <w:r w:rsidR="005E6A50" w:rsidRPr="005E6A50">
              <w:rPr>
                <w:rFonts w:ascii="Noto Serif Light" w:hAnsi="Noto Serif Light" w:cs="Noto Serif Light"/>
                <w:b/>
                <w:bCs/>
                <w:sz w:val="20"/>
                <w:szCs w:val="20"/>
                <w:lang w:val="en"/>
              </w:rPr>
              <w:t>Jose Hervas:</w:t>
            </w:r>
          </w:p>
          <w:p w14:paraId="52694468" w14:textId="424851D6"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xml:space="preserve">How </w:t>
            </w:r>
            <w:r w:rsidR="00DB1769" w:rsidRPr="005E6A50">
              <w:rPr>
                <w:rFonts w:ascii="Noto Serif Light" w:hAnsi="Noto Serif Light" w:cs="Noto Serif Light"/>
                <w:sz w:val="20"/>
                <w:szCs w:val="20"/>
                <w:lang w:val="en"/>
              </w:rPr>
              <w:t>Can Peripheral S</w:t>
            </w:r>
            <w:r w:rsidR="00DB1769">
              <w:rPr>
                <w:rFonts w:ascii="Noto Serif Light" w:hAnsi="Noto Serif Light" w:cs="Noto Serif Light"/>
                <w:sz w:val="20"/>
                <w:szCs w:val="20"/>
                <w:lang w:val="en"/>
              </w:rPr>
              <w:t>ME</w:t>
            </w:r>
            <w:r w:rsidR="00DB1769" w:rsidRPr="005E6A50">
              <w:rPr>
                <w:rFonts w:ascii="Noto Serif Light" w:hAnsi="Noto Serif Light" w:cs="Noto Serif Light"/>
                <w:sz w:val="20"/>
                <w:szCs w:val="20"/>
                <w:lang w:val="en"/>
              </w:rPr>
              <w:t>s Bypass Thin Locations for Innovation? </w:t>
            </w:r>
          </w:p>
          <w:p w14:paraId="2B7234EE"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w:t>
            </w:r>
          </w:p>
        </w:tc>
        <w:tc>
          <w:tcPr>
            <w:tcW w:w="2721" w:type="dxa"/>
            <w:gridSpan w:val="2"/>
            <w:shd w:val="clear" w:color="auto" w:fill="FEF5F0"/>
          </w:tcPr>
          <w:p w14:paraId="57655E8F" w14:textId="2F964681" w:rsidR="005E6A50" w:rsidRPr="005E6A50" w:rsidRDefault="00D43043" w:rsidP="00F4404E">
            <w:pPr>
              <w:rPr>
                <w:rFonts w:ascii="Noto Serif Light" w:hAnsi="Noto Serif Light" w:cs="Noto Serif Light"/>
                <w:sz w:val="20"/>
                <w:szCs w:val="20"/>
                <w:lang w:val="en"/>
              </w:rPr>
            </w:pPr>
            <w:r>
              <w:rPr>
                <w:rFonts w:ascii="Noto Serif Light" w:hAnsi="Noto Serif Light" w:cs="Noto Serif Light"/>
                <w:b/>
                <w:bCs/>
                <w:sz w:val="20"/>
                <w:szCs w:val="20"/>
                <w:lang w:val="en"/>
              </w:rPr>
              <w:t xml:space="preserve">O24. </w:t>
            </w:r>
            <w:r w:rsidR="005E6A50" w:rsidRPr="005E6A50">
              <w:rPr>
                <w:rFonts w:ascii="Noto Serif Light" w:hAnsi="Noto Serif Light" w:cs="Noto Serif Light"/>
                <w:b/>
                <w:bCs/>
                <w:sz w:val="20"/>
                <w:szCs w:val="20"/>
                <w:lang w:val="en"/>
              </w:rPr>
              <w:t>Silvia Rita Sedita &amp; Giacomo Sbalchiero</w:t>
            </w:r>
            <w:r w:rsidR="005E6A50" w:rsidRPr="005E6A50">
              <w:rPr>
                <w:rFonts w:ascii="Noto Serif Light" w:hAnsi="Noto Serif Light" w:cs="Noto Serif Light"/>
                <w:sz w:val="20"/>
                <w:szCs w:val="20"/>
                <w:lang w:val="en"/>
              </w:rPr>
              <w:t>: </w:t>
            </w:r>
          </w:p>
          <w:p w14:paraId="66E97474"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SMART PUEBLOS: Retrovation and Regenerative Rural Innovation in Depopulated Territories </w:t>
            </w:r>
          </w:p>
        </w:tc>
        <w:tc>
          <w:tcPr>
            <w:tcW w:w="2722" w:type="dxa"/>
            <w:gridSpan w:val="2"/>
            <w:shd w:val="clear" w:color="auto" w:fill="FEEEE6"/>
          </w:tcPr>
          <w:p w14:paraId="2525848C" w14:textId="26B4B2CB"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O27. </w:t>
            </w:r>
            <w:r w:rsidR="005E6A50" w:rsidRPr="005E6A50">
              <w:rPr>
                <w:rFonts w:ascii="Noto Serif Light" w:hAnsi="Noto Serif Light" w:cs="Noto Serif Light"/>
                <w:b/>
                <w:bCs/>
                <w:sz w:val="20"/>
                <w:szCs w:val="20"/>
                <w:lang w:val="en"/>
              </w:rPr>
              <w:t>Hiroyuki Okamuro &amp; Junichi Nishimura: </w:t>
            </w:r>
          </w:p>
          <w:p w14:paraId="2B5AB2BF" w14:textId="78BDCA14"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xml:space="preserve">The </w:t>
            </w:r>
            <w:r w:rsidR="00DB1769" w:rsidRPr="005E6A50">
              <w:rPr>
                <w:rFonts w:ascii="Noto Serif Light" w:hAnsi="Noto Serif Light" w:cs="Noto Serif Light"/>
                <w:sz w:val="20"/>
                <w:szCs w:val="20"/>
                <w:lang w:val="en"/>
              </w:rPr>
              <w:t xml:space="preserve">Contribution of </w:t>
            </w:r>
            <w:r w:rsidRPr="005E6A50">
              <w:rPr>
                <w:rFonts w:ascii="Noto Serif Light" w:hAnsi="Noto Serif Light" w:cs="Noto Serif Light"/>
                <w:sz w:val="20"/>
                <w:szCs w:val="20"/>
                <w:lang w:val="en"/>
              </w:rPr>
              <w:t xml:space="preserve">Japanese </w:t>
            </w:r>
            <w:r w:rsidR="00DB1769" w:rsidRPr="005E6A50">
              <w:rPr>
                <w:rFonts w:ascii="Noto Serif Light" w:hAnsi="Noto Serif Light" w:cs="Noto Serif Light"/>
                <w:sz w:val="20"/>
                <w:szCs w:val="20"/>
                <w:lang w:val="en"/>
              </w:rPr>
              <w:t>National Universities to Regional Productivity:  </w:t>
            </w:r>
          </w:p>
          <w:p w14:paraId="4BBC2E02" w14:textId="77777777" w:rsidR="006563CB"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xml:space="preserve">Identifying </w:t>
            </w:r>
            <w:r w:rsidR="00DB1769" w:rsidRPr="005E6A50">
              <w:rPr>
                <w:rFonts w:ascii="Noto Serif Light" w:hAnsi="Noto Serif Light" w:cs="Noto Serif Light"/>
                <w:sz w:val="20"/>
                <w:szCs w:val="20"/>
                <w:lang w:val="en"/>
              </w:rPr>
              <w:t>The Impact of Higher Education Using Historical Natural Experiments  </w:t>
            </w:r>
          </w:p>
          <w:p w14:paraId="24F033B0" w14:textId="2278DD52" w:rsidR="00531A6C" w:rsidRPr="005E6A50" w:rsidRDefault="00531A6C" w:rsidP="00F4404E">
            <w:pPr>
              <w:rPr>
                <w:rFonts w:ascii="Noto Serif Light" w:hAnsi="Noto Serif Light" w:cs="Noto Serif Light"/>
                <w:sz w:val="20"/>
                <w:szCs w:val="20"/>
                <w:lang w:val="en"/>
              </w:rPr>
            </w:pPr>
          </w:p>
        </w:tc>
        <w:tc>
          <w:tcPr>
            <w:tcW w:w="3431" w:type="dxa"/>
            <w:shd w:val="clear" w:color="auto" w:fill="F9E0DB"/>
          </w:tcPr>
          <w:p w14:paraId="2DFBAECC" w14:textId="49C2E09B" w:rsidR="005E6A50" w:rsidRPr="005E6A50" w:rsidRDefault="00D43043" w:rsidP="00F4404E">
            <w:pPr>
              <w:rPr>
                <w:rFonts w:ascii="Noto Serif Light" w:hAnsi="Noto Serif Light" w:cs="Noto Serif Light"/>
                <w:sz w:val="20"/>
                <w:szCs w:val="20"/>
                <w:lang w:val="en"/>
              </w:rPr>
            </w:pPr>
            <w:r>
              <w:rPr>
                <w:rFonts w:ascii="Noto Serif Light" w:hAnsi="Noto Serif Light" w:cs="Noto Serif Light"/>
                <w:b/>
                <w:bCs/>
                <w:sz w:val="20"/>
                <w:szCs w:val="20"/>
                <w:lang w:val="en"/>
              </w:rPr>
              <w:t xml:space="preserve">O30. </w:t>
            </w:r>
            <w:r w:rsidR="005E6A50" w:rsidRPr="005E6A50">
              <w:rPr>
                <w:rFonts w:ascii="Noto Serif Light" w:hAnsi="Noto Serif Light" w:cs="Noto Serif Light"/>
                <w:b/>
                <w:bCs/>
                <w:sz w:val="20"/>
                <w:szCs w:val="20"/>
                <w:lang w:val="en"/>
              </w:rPr>
              <w:t>Katy Shaw &amp; Sara Hassen</w:t>
            </w:r>
            <w:r w:rsidR="005E6A50" w:rsidRPr="005E6A50">
              <w:rPr>
                <w:rFonts w:ascii="Noto Serif Light" w:hAnsi="Noto Serif Light" w:cs="Noto Serif Light"/>
                <w:sz w:val="20"/>
                <w:szCs w:val="20"/>
                <w:lang w:val="en"/>
              </w:rPr>
              <w:t>:  </w:t>
            </w:r>
          </w:p>
          <w:p w14:paraId="2B6D8301"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Civic Universities as Cultural Innovation Intermediaries: Building Place-Based Creative Ecosystems through Quadruple Helix Collaboration </w:t>
            </w:r>
          </w:p>
        </w:tc>
      </w:tr>
      <w:tr w:rsidR="005E6A50" w:rsidRPr="005E6A50" w14:paraId="5E69CB28" w14:textId="77777777" w:rsidTr="00DE7B22">
        <w:tc>
          <w:tcPr>
            <w:tcW w:w="1702" w:type="dxa"/>
            <w:vMerge/>
            <w:tcBorders>
              <w:bottom w:val="single" w:sz="4" w:space="0" w:color="auto"/>
            </w:tcBorders>
          </w:tcPr>
          <w:p w14:paraId="0B2D46D4" w14:textId="77777777" w:rsidR="005E6A50" w:rsidRPr="005E6A50" w:rsidRDefault="005E6A50" w:rsidP="00F4404E">
            <w:pPr>
              <w:rPr>
                <w:rFonts w:ascii="Noto Serif Light" w:hAnsi="Noto Serif Light" w:cs="Noto Serif Light"/>
              </w:rPr>
            </w:pPr>
          </w:p>
        </w:tc>
        <w:tc>
          <w:tcPr>
            <w:tcW w:w="3004" w:type="dxa"/>
            <w:tcBorders>
              <w:bottom w:val="single" w:sz="4" w:space="0" w:color="auto"/>
            </w:tcBorders>
            <w:shd w:val="clear" w:color="auto" w:fill="F9E0DB"/>
          </w:tcPr>
          <w:p w14:paraId="2918949C" w14:textId="77777777" w:rsidR="00667EF1" w:rsidRPr="005E6A50" w:rsidRDefault="00D43043" w:rsidP="00667EF1">
            <w:pPr>
              <w:pStyle w:val="paragraph"/>
              <w:spacing w:before="0" w:beforeAutospacing="0" w:after="0" w:afterAutospacing="0"/>
              <w:textAlignment w:val="baseline"/>
              <w:rPr>
                <w:rFonts w:ascii="Noto Serif Light" w:eastAsiaTheme="minorHAnsi" w:hAnsi="Noto Serif Light" w:cs="Noto Serif Light"/>
                <w:b/>
                <w:bCs/>
                <w:kern w:val="2"/>
                <w:sz w:val="20"/>
                <w:szCs w:val="20"/>
                <w:lang w:val="en" w:eastAsia="en-US"/>
                <w14:ligatures w14:val="standardContextual"/>
              </w:rPr>
            </w:pPr>
            <w:r>
              <w:rPr>
                <w:rFonts w:ascii="Noto Serif Light" w:hAnsi="Noto Serif Light" w:cs="Noto Serif Light"/>
                <w:b/>
                <w:bCs/>
                <w:sz w:val="20"/>
                <w:szCs w:val="20"/>
                <w:lang w:val="en"/>
              </w:rPr>
              <w:t xml:space="preserve">O19. </w:t>
            </w:r>
            <w:r w:rsidR="00667EF1" w:rsidRPr="005E6A50">
              <w:rPr>
                <w:rFonts w:ascii="Noto Serif Light" w:eastAsiaTheme="minorHAnsi" w:hAnsi="Noto Serif Light" w:cs="Noto Serif Light"/>
                <w:b/>
                <w:bCs/>
                <w:kern w:val="2"/>
                <w:sz w:val="20"/>
                <w:szCs w:val="20"/>
                <w:lang w:val="en" w:eastAsia="en-US"/>
                <w14:ligatures w14:val="standardContextual"/>
              </w:rPr>
              <w:t>Paul Marshall:</w:t>
            </w:r>
          </w:p>
          <w:p w14:paraId="71B8C8E6" w14:textId="77777777" w:rsidR="005E6A50" w:rsidRDefault="00667EF1"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Innovation Districts and the Limits of Place-Based Skills Policy: Comparative Evidence from Two London Life Sciences Clusters</w:t>
            </w:r>
          </w:p>
          <w:p w14:paraId="7F62D7B0" w14:textId="5B59873F" w:rsidR="000A0BAC" w:rsidRPr="005E6A50" w:rsidRDefault="000A0BAC" w:rsidP="00F4404E">
            <w:pPr>
              <w:rPr>
                <w:rFonts w:ascii="Noto Serif Light" w:hAnsi="Noto Serif Light" w:cs="Noto Serif Light"/>
                <w:sz w:val="20"/>
                <w:szCs w:val="20"/>
                <w:lang w:val="en"/>
              </w:rPr>
            </w:pPr>
          </w:p>
        </w:tc>
        <w:tc>
          <w:tcPr>
            <w:tcW w:w="2722" w:type="dxa"/>
            <w:gridSpan w:val="2"/>
            <w:tcBorders>
              <w:bottom w:val="single" w:sz="4" w:space="0" w:color="auto"/>
            </w:tcBorders>
            <w:shd w:val="clear" w:color="auto" w:fill="FDF3F1"/>
          </w:tcPr>
          <w:p w14:paraId="0DF9669D" w14:textId="6D7C1C2F"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O22. </w:t>
            </w:r>
            <w:r w:rsidR="005E6A50" w:rsidRPr="005E6A50">
              <w:rPr>
                <w:rFonts w:ascii="Noto Serif Light" w:hAnsi="Noto Serif Light" w:cs="Noto Serif Light"/>
                <w:b/>
                <w:bCs/>
                <w:sz w:val="20"/>
                <w:szCs w:val="20"/>
                <w:lang w:val="en"/>
              </w:rPr>
              <w:t>Maddalen Alkorta Elzo et al:</w:t>
            </w:r>
          </w:p>
          <w:p w14:paraId="33E24943" w14:textId="5F4E2491"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xml:space="preserve">VET </w:t>
            </w:r>
            <w:r w:rsidR="00DB1769" w:rsidRPr="005E6A50">
              <w:rPr>
                <w:rFonts w:ascii="Noto Serif Light" w:hAnsi="Noto Serif Light" w:cs="Noto Serif Light"/>
                <w:sz w:val="20"/>
                <w:szCs w:val="20"/>
                <w:lang w:val="en"/>
              </w:rPr>
              <w:t>Centres in Supporting Innovation in S</w:t>
            </w:r>
            <w:r w:rsidR="00DB1769">
              <w:rPr>
                <w:rFonts w:ascii="Noto Serif Light" w:hAnsi="Noto Serif Light" w:cs="Noto Serif Light"/>
                <w:sz w:val="20"/>
                <w:szCs w:val="20"/>
                <w:lang w:val="en"/>
              </w:rPr>
              <w:t>ME</w:t>
            </w:r>
            <w:r w:rsidR="00DB1769" w:rsidRPr="005E6A50">
              <w:rPr>
                <w:rFonts w:ascii="Noto Serif Light" w:hAnsi="Noto Serif Light" w:cs="Noto Serif Light"/>
                <w:sz w:val="20"/>
                <w:szCs w:val="20"/>
                <w:lang w:val="en"/>
              </w:rPr>
              <w:t>s: Beyond the Traditional Mandate </w:t>
            </w:r>
          </w:p>
        </w:tc>
        <w:tc>
          <w:tcPr>
            <w:tcW w:w="2721" w:type="dxa"/>
            <w:gridSpan w:val="2"/>
            <w:tcBorders>
              <w:bottom w:val="single" w:sz="4" w:space="0" w:color="auto"/>
            </w:tcBorders>
            <w:shd w:val="clear" w:color="auto" w:fill="FEF5F0"/>
          </w:tcPr>
          <w:p w14:paraId="0B2159F9" w14:textId="0FFA98EB" w:rsidR="005E6A50" w:rsidRPr="005E6A50" w:rsidRDefault="00D43043" w:rsidP="00F4404E">
            <w:pPr>
              <w:rPr>
                <w:rFonts w:ascii="Noto Serif Light" w:hAnsi="Noto Serif Light" w:cs="Noto Serif Light"/>
                <w:sz w:val="20"/>
                <w:szCs w:val="20"/>
                <w:lang w:val="en"/>
              </w:rPr>
            </w:pPr>
            <w:r>
              <w:rPr>
                <w:rFonts w:ascii="Noto Serif Light" w:hAnsi="Noto Serif Light" w:cs="Noto Serif Light"/>
                <w:b/>
                <w:bCs/>
                <w:sz w:val="20"/>
                <w:szCs w:val="20"/>
                <w:lang w:val="en"/>
              </w:rPr>
              <w:t xml:space="preserve">O25. </w:t>
            </w:r>
            <w:r w:rsidR="005E6A50" w:rsidRPr="005E6A50">
              <w:rPr>
                <w:rFonts w:ascii="Noto Serif Light" w:hAnsi="Noto Serif Light" w:cs="Noto Serif Light"/>
                <w:b/>
                <w:bCs/>
                <w:sz w:val="20"/>
                <w:szCs w:val="20"/>
                <w:lang w:val="en"/>
              </w:rPr>
              <w:t>Linda Lütkes &amp; Sebastian Losacker</w:t>
            </w:r>
            <w:r w:rsidR="005E6A50" w:rsidRPr="005E6A50">
              <w:rPr>
                <w:rFonts w:ascii="Noto Serif Light" w:hAnsi="Noto Serif Light" w:cs="Noto Serif Light"/>
                <w:sz w:val="20"/>
                <w:szCs w:val="20"/>
                <w:lang w:val="en"/>
              </w:rPr>
              <w:t>: </w:t>
            </w:r>
          </w:p>
          <w:p w14:paraId="198555A3" w14:textId="23D40BE2"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xml:space="preserve">Building </w:t>
            </w:r>
            <w:r w:rsidR="00DB1769">
              <w:rPr>
                <w:rFonts w:ascii="Noto Serif Light" w:hAnsi="Noto Serif Light" w:cs="Noto Serif Light"/>
                <w:sz w:val="20"/>
                <w:szCs w:val="20"/>
                <w:lang w:val="en"/>
              </w:rPr>
              <w:t>o</w:t>
            </w:r>
            <w:r w:rsidR="00DB1769" w:rsidRPr="005E6A50">
              <w:rPr>
                <w:rFonts w:ascii="Noto Serif Light" w:hAnsi="Noto Serif Light" w:cs="Noto Serif Light"/>
                <w:sz w:val="20"/>
                <w:szCs w:val="20"/>
                <w:lang w:val="en"/>
              </w:rPr>
              <w:t xml:space="preserve">n the Past: </w:t>
            </w:r>
            <w:r w:rsidRPr="005E6A50">
              <w:rPr>
                <w:rFonts w:ascii="Noto Serif Light" w:hAnsi="Noto Serif Light" w:cs="Noto Serif Light"/>
                <w:sz w:val="20"/>
                <w:szCs w:val="20"/>
                <w:lang w:val="en"/>
              </w:rPr>
              <w:t>Challenge</w:t>
            </w:r>
            <w:r w:rsidR="00DB1769" w:rsidRPr="005E6A50">
              <w:rPr>
                <w:rFonts w:ascii="Noto Serif Light" w:hAnsi="Noto Serif Light" w:cs="Noto Serif Light"/>
                <w:sz w:val="20"/>
                <w:szCs w:val="20"/>
                <w:lang w:val="en"/>
              </w:rPr>
              <w:t xml:space="preserve">-Oriented Innovation in </w:t>
            </w:r>
            <w:r w:rsidRPr="005E6A50">
              <w:rPr>
                <w:rFonts w:ascii="Noto Serif Light" w:hAnsi="Noto Serif Light" w:cs="Noto Serif Light"/>
                <w:sz w:val="20"/>
                <w:szCs w:val="20"/>
                <w:lang w:val="en"/>
              </w:rPr>
              <w:t xml:space="preserve">Bangalore’s </w:t>
            </w:r>
            <w:r w:rsidR="00DB1769" w:rsidRPr="005E6A50">
              <w:rPr>
                <w:rFonts w:ascii="Noto Serif Light" w:hAnsi="Noto Serif Light" w:cs="Noto Serif Light"/>
                <w:sz w:val="20"/>
                <w:szCs w:val="20"/>
                <w:lang w:val="en"/>
              </w:rPr>
              <w:t>Construction Sector </w:t>
            </w:r>
          </w:p>
        </w:tc>
        <w:tc>
          <w:tcPr>
            <w:tcW w:w="2722" w:type="dxa"/>
            <w:gridSpan w:val="2"/>
            <w:tcBorders>
              <w:bottom w:val="single" w:sz="4" w:space="0" w:color="auto"/>
            </w:tcBorders>
            <w:shd w:val="clear" w:color="auto" w:fill="FEEEE6"/>
          </w:tcPr>
          <w:p w14:paraId="2B332030" w14:textId="0B749857"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O28. </w:t>
            </w:r>
            <w:r w:rsidR="005E6A50" w:rsidRPr="005E6A50">
              <w:rPr>
                <w:rFonts w:ascii="Noto Serif Light" w:hAnsi="Noto Serif Light" w:cs="Noto Serif Light"/>
                <w:b/>
                <w:bCs/>
                <w:sz w:val="20"/>
                <w:szCs w:val="20"/>
                <w:lang w:val="en"/>
              </w:rPr>
              <w:t>Ferran Jordi Portilla-Salas et al:</w:t>
            </w:r>
          </w:p>
          <w:p w14:paraId="6366A056"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From Policy Expectations to Economic Outcomes: A Comparison from the Spanish Spin-Offs and Similar Firms  </w:t>
            </w:r>
          </w:p>
        </w:tc>
        <w:tc>
          <w:tcPr>
            <w:tcW w:w="3431" w:type="dxa"/>
            <w:tcBorders>
              <w:bottom w:val="single" w:sz="4" w:space="0" w:color="auto"/>
            </w:tcBorders>
            <w:shd w:val="clear" w:color="auto" w:fill="F9E0DB"/>
          </w:tcPr>
          <w:p w14:paraId="7321E758" w14:textId="53675845"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O31. </w:t>
            </w:r>
            <w:r w:rsidR="005E6A50" w:rsidRPr="005E6A50">
              <w:rPr>
                <w:rFonts w:ascii="Noto Serif Light" w:hAnsi="Noto Serif Light" w:cs="Noto Serif Light"/>
                <w:b/>
                <w:bCs/>
                <w:sz w:val="20"/>
                <w:szCs w:val="20"/>
                <w:lang w:val="en"/>
              </w:rPr>
              <w:t>Rupert Lorraine:</w:t>
            </w:r>
          </w:p>
          <w:p w14:paraId="02B7C0BD" w14:textId="11CF5E18" w:rsidR="006563CB"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Creativity as Connective Infrastructure for Coastal Innovation: Evidence and Emerging Practice from Plymouth and the Great South West </w:t>
            </w:r>
          </w:p>
        </w:tc>
      </w:tr>
      <w:tr w:rsidR="005E6A50" w:rsidRPr="005E6A50" w14:paraId="68E18821" w14:textId="77777777" w:rsidTr="00DE7B22">
        <w:trPr>
          <w:trHeight w:val="870"/>
        </w:trPr>
        <w:tc>
          <w:tcPr>
            <w:tcW w:w="1702" w:type="dxa"/>
            <w:tcBorders>
              <w:top w:val="single" w:sz="4" w:space="0" w:color="auto"/>
              <w:bottom w:val="single" w:sz="4" w:space="0" w:color="auto"/>
            </w:tcBorders>
          </w:tcPr>
          <w:p w14:paraId="1BA395BA" w14:textId="415A86BD" w:rsidR="005E6A50" w:rsidRPr="005E6A50" w:rsidRDefault="005E6A50" w:rsidP="00F4404E">
            <w:pPr>
              <w:rPr>
                <w:rFonts w:ascii="Noto Serif Light" w:hAnsi="Noto Serif Light" w:cs="Noto Serif Light"/>
                <w:lang w:val="en"/>
              </w:rPr>
            </w:pPr>
            <w:r w:rsidRPr="005E6A50">
              <w:rPr>
                <w:rFonts w:ascii="Noto Serif Light" w:hAnsi="Noto Serif Light" w:cs="Noto Serif Light"/>
                <w:lang w:val="en"/>
              </w:rPr>
              <w:lastRenderedPageBreak/>
              <w:t>14:</w:t>
            </w:r>
            <w:r w:rsidR="008B18AC">
              <w:rPr>
                <w:rFonts w:ascii="Noto Serif Light" w:hAnsi="Noto Serif Light" w:cs="Noto Serif Light"/>
                <w:lang w:val="en"/>
              </w:rPr>
              <w:t>4</w:t>
            </w:r>
            <w:r w:rsidRPr="005E6A50">
              <w:rPr>
                <w:rFonts w:ascii="Noto Serif Light" w:hAnsi="Noto Serif Light" w:cs="Noto Serif Light"/>
                <w:lang w:val="en"/>
              </w:rPr>
              <w:t>5 – 14:55</w:t>
            </w:r>
          </w:p>
        </w:tc>
        <w:tc>
          <w:tcPr>
            <w:tcW w:w="14600" w:type="dxa"/>
            <w:gridSpan w:val="8"/>
            <w:tcBorders>
              <w:bottom w:val="single" w:sz="4" w:space="0" w:color="auto"/>
            </w:tcBorders>
          </w:tcPr>
          <w:p w14:paraId="6DB3C307" w14:textId="77777777" w:rsidR="005E6A50" w:rsidRPr="005E6A50" w:rsidRDefault="005E6A50" w:rsidP="00F4404E">
            <w:pPr>
              <w:rPr>
                <w:rFonts w:ascii="Noto Serif Light" w:hAnsi="Noto Serif Light" w:cs="Noto Serif Light"/>
                <w:b/>
                <w:bCs/>
              </w:rPr>
            </w:pPr>
            <w:r w:rsidRPr="005E6A50">
              <w:rPr>
                <w:rFonts w:ascii="Noto Serif Light" w:hAnsi="Noto Serif Light" w:cs="Noto Serif Light"/>
                <w:b/>
                <w:bCs/>
              </w:rPr>
              <w:t>Refreshment Break</w:t>
            </w:r>
          </w:p>
          <w:p w14:paraId="244DE82B" w14:textId="77777777" w:rsidR="005E6A50" w:rsidRPr="005E6A50" w:rsidRDefault="005E6A50" w:rsidP="00F4404E">
            <w:pPr>
              <w:rPr>
                <w:rFonts w:ascii="Noto Serif Light" w:hAnsi="Noto Serif Light" w:cs="Noto Serif Light"/>
                <w:b/>
                <w:bCs/>
              </w:rPr>
            </w:pPr>
          </w:p>
          <w:p w14:paraId="6742D600" w14:textId="77777777" w:rsidR="005E6A50" w:rsidRDefault="005E6A50" w:rsidP="00F4404E">
            <w:pPr>
              <w:rPr>
                <w:rFonts w:ascii="Noto Serif Light" w:hAnsi="Noto Serif Light" w:cs="Noto Serif Light"/>
              </w:rPr>
            </w:pPr>
            <w:r w:rsidRPr="005E6A50">
              <w:rPr>
                <w:rFonts w:ascii="Noto Serif Light" w:hAnsi="Noto Serif Light" w:cs="Noto Serif Light"/>
                <w:b/>
                <w:bCs/>
              </w:rPr>
              <w:t xml:space="preserve">Location: </w:t>
            </w:r>
            <w:r w:rsidRPr="005E6A50">
              <w:rPr>
                <w:rFonts w:ascii="Noto Serif Light" w:hAnsi="Noto Serif Light" w:cs="Noto Serif Light"/>
              </w:rPr>
              <w:t>Alan Walters Atrium</w:t>
            </w:r>
          </w:p>
          <w:p w14:paraId="5BD08094" w14:textId="77777777" w:rsidR="000A0BAC" w:rsidRPr="005E6A50" w:rsidRDefault="000A0BAC" w:rsidP="00F4404E">
            <w:pPr>
              <w:rPr>
                <w:rFonts w:ascii="Noto Serif Light" w:hAnsi="Noto Serif Light" w:cs="Noto Serif Light"/>
                <w:b/>
                <w:bCs/>
              </w:rPr>
            </w:pPr>
          </w:p>
        </w:tc>
      </w:tr>
      <w:tr w:rsidR="005E6A50" w:rsidRPr="005E6A50" w14:paraId="345D2B0C" w14:textId="77777777" w:rsidTr="00DE7B22">
        <w:tc>
          <w:tcPr>
            <w:tcW w:w="1702" w:type="dxa"/>
            <w:vMerge w:val="restart"/>
            <w:tcBorders>
              <w:top w:val="nil"/>
            </w:tcBorders>
          </w:tcPr>
          <w:p w14:paraId="2F303614" w14:textId="3A4DFEF4" w:rsidR="005E6A50" w:rsidRPr="005E6A50" w:rsidRDefault="005E6A50" w:rsidP="00F4404E">
            <w:pPr>
              <w:rPr>
                <w:rFonts w:ascii="Noto Serif Light" w:hAnsi="Noto Serif Light" w:cs="Noto Serif Light"/>
                <w:lang w:val="en"/>
              </w:rPr>
            </w:pPr>
            <w:r w:rsidRPr="005E6A50">
              <w:rPr>
                <w:rFonts w:ascii="Noto Serif Light" w:hAnsi="Noto Serif Light" w:cs="Noto Serif Light"/>
                <w:lang w:val="en"/>
              </w:rPr>
              <w:t>14:55 – 16:10</w:t>
            </w:r>
          </w:p>
        </w:tc>
        <w:tc>
          <w:tcPr>
            <w:tcW w:w="14600" w:type="dxa"/>
            <w:gridSpan w:val="8"/>
            <w:tcBorders>
              <w:top w:val="nil"/>
            </w:tcBorders>
            <w:shd w:val="clear" w:color="auto" w:fill="F4CAC2"/>
          </w:tcPr>
          <w:p w14:paraId="679759CE" w14:textId="77777777" w:rsidR="005E6A50" w:rsidRPr="005E6A50" w:rsidRDefault="005E6A50" w:rsidP="00F4404E">
            <w:pPr>
              <w:rPr>
                <w:rFonts w:ascii="Noto Serif Light" w:hAnsi="Noto Serif Light" w:cs="Noto Serif Light"/>
                <w:b/>
                <w:bCs/>
              </w:rPr>
            </w:pPr>
            <w:r w:rsidRPr="005E6A50">
              <w:rPr>
                <w:rFonts w:ascii="Noto Serif Light" w:hAnsi="Noto Serif Light" w:cs="Noto Serif Light"/>
                <w:b/>
                <w:bCs/>
              </w:rPr>
              <w:t>Parallel Session 3</w:t>
            </w:r>
          </w:p>
        </w:tc>
      </w:tr>
      <w:tr w:rsidR="005E6A50" w:rsidRPr="005E6A50" w14:paraId="5EEC50D2" w14:textId="77777777" w:rsidTr="00DE7B22">
        <w:tc>
          <w:tcPr>
            <w:tcW w:w="1702" w:type="dxa"/>
            <w:vMerge/>
          </w:tcPr>
          <w:p w14:paraId="754944D2" w14:textId="77777777" w:rsidR="005E6A50" w:rsidRPr="005E6A50" w:rsidRDefault="005E6A50" w:rsidP="00F4404E">
            <w:pPr>
              <w:rPr>
                <w:rFonts w:ascii="Noto Serif Light" w:hAnsi="Noto Serif Light" w:cs="Noto Serif Light"/>
                <w:lang w:val="en"/>
              </w:rPr>
            </w:pPr>
          </w:p>
        </w:tc>
        <w:tc>
          <w:tcPr>
            <w:tcW w:w="3402" w:type="dxa"/>
            <w:gridSpan w:val="2"/>
            <w:shd w:val="clear" w:color="auto" w:fill="F9E0DB"/>
          </w:tcPr>
          <w:p w14:paraId="16E227D9" w14:textId="77777777" w:rsidR="005E6A50" w:rsidRPr="005E6A50" w:rsidRDefault="005E6A50" w:rsidP="00F4404E">
            <w:pPr>
              <w:rPr>
                <w:rFonts w:ascii="Noto Serif Light" w:hAnsi="Noto Serif Light" w:cs="Noto Serif Light"/>
                <w:b/>
                <w:bCs/>
                <w:sz w:val="22"/>
                <w:szCs w:val="22"/>
                <w:lang w:val="en"/>
              </w:rPr>
            </w:pPr>
            <w:r w:rsidRPr="005E6A50">
              <w:rPr>
                <w:rFonts w:ascii="Noto Serif Light" w:hAnsi="Noto Serif Light" w:cs="Noto Serif Light"/>
                <w:b/>
                <w:bCs/>
                <w:sz w:val="22"/>
                <w:szCs w:val="22"/>
                <w:lang w:val="en"/>
              </w:rPr>
              <w:t>Evaluating Public policy on Research and Innovation   </w:t>
            </w:r>
          </w:p>
          <w:p w14:paraId="62C40DE7" w14:textId="77777777" w:rsidR="005E6A50" w:rsidRDefault="005E6A50" w:rsidP="00F4404E">
            <w:pPr>
              <w:rPr>
                <w:rFonts w:ascii="Noto Serif Light" w:hAnsi="Noto Serif Light" w:cs="Noto Serif Light"/>
                <w:b/>
                <w:bCs/>
                <w:sz w:val="22"/>
                <w:szCs w:val="22"/>
                <w:lang w:val="en"/>
              </w:rPr>
            </w:pPr>
          </w:p>
          <w:p w14:paraId="7D1F7789" w14:textId="1656461D" w:rsidR="003E1AF5" w:rsidRPr="005E6A50" w:rsidRDefault="003E1AF5" w:rsidP="00F4404E">
            <w:pPr>
              <w:rPr>
                <w:rFonts w:ascii="Noto Serif Light" w:hAnsi="Noto Serif Light" w:cs="Noto Serif Light"/>
                <w:b/>
                <w:bCs/>
                <w:sz w:val="22"/>
                <w:szCs w:val="22"/>
                <w:lang w:val="en"/>
              </w:rPr>
            </w:pPr>
            <w:r>
              <w:rPr>
                <w:rFonts w:ascii="Noto Serif Light" w:hAnsi="Noto Serif Light" w:cs="Noto Serif Light"/>
                <w:b/>
                <w:bCs/>
                <w:sz w:val="22"/>
                <w:szCs w:val="22"/>
              </w:rPr>
              <w:t xml:space="preserve">Location: </w:t>
            </w:r>
            <w:r>
              <w:rPr>
                <w:rFonts w:ascii="Noto Serif Light" w:hAnsi="Noto Serif Light" w:cs="Noto Serif Light"/>
                <w:sz w:val="22"/>
                <w:szCs w:val="22"/>
              </w:rPr>
              <w:t>G11 – Lecture Theatre 2</w:t>
            </w:r>
          </w:p>
        </w:tc>
        <w:tc>
          <w:tcPr>
            <w:tcW w:w="3544" w:type="dxa"/>
            <w:gridSpan w:val="2"/>
            <w:shd w:val="clear" w:color="auto" w:fill="FDF3F1"/>
          </w:tcPr>
          <w:p w14:paraId="5C761785" w14:textId="77777777" w:rsidR="005E6A50" w:rsidRDefault="005E6A50" w:rsidP="00F4404E">
            <w:pPr>
              <w:rPr>
                <w:rFonts w:ascii="Noto Serif Light" w:hAnsi="Noto Serif Light" w:cs="Noto Serif Light"/>
                <w:b/>
                <w:bCs/>
                <w:sz w:val="22"/>
                <w:szCs w:val="22"/>
                <w:lang w:val="en"/>
              </w:rPr>
            </w:pPr>
            <w:r w:rsidRPr="005E6A50">
              <w:rPr>
                <w:rFonts w:ascii="Noto Serif Light" w:hAnsi="Noto Serif Light" w:cs="Noto Serif Light"/>
                <w:b/>
                <w:bCs/>
                <w:sz w:val="22"/>
                <w:szCs w:val="22"/>
                <w:lang w:val="en"/>
              </w:rPr>
              <w:t>Geography and demography of twin transition </w:t>
            </w:r>
          </w:p>
          <w:p w14:paraId="4478660A" w14:textId="77777777" w:rsidR="0094350A" w:rsidRDefault="0094350A" w:rsidP="00F4404E">
            <w:pPr>
              <w:rPr>
                <w:rFonts w:ascii="Noto Serif Light" w:hAnsi="Noto Serif Light" w:cs="Noto Serif Light"/>
                <w:b/>
                <w:bCs/>
                <w:sz w:val="22"/>
                <w:szCs w:val="22"/>
                <w:lang w:val="en"/>
              </w:rPr>
            </w:pPr>
          </w:p>
          <w:p w14:paraId="3B39BC74" w14:textId="04BBB994" w:rsidR="0094350A" w:rsidRPr="0094350A" w:rsidRDefault="0094350A" w:rsidP="00F4404E">
            <w:pPr>
              <w:rPr>
                <w:rFonts w:ascii="Noto Serif Light" w:hAnsi="Noto Serif Light" w:cs="Noto Serif Light"/>
                <w:sz w:val="22"/>
                <w:szCs w:val="22"/>
                <w:lang w:val="en"/>
              </w:rPr>
            </w:pPr>
            <w:r>
              <w:rPr>
                <w:rFonts w:ascii="Noto Serif Light" w:hAnsi="Noto Serif Light" w:cs="Noto Serif Light"/>
                <w:b/>
                <w:bCs/>
                <w:sz w:val="22"/>
                <w:szCs w:val="22"/>
                <w:lang w:val="en"/>
              </w:rPr>
              <w:t xml:space="preserve">Location: </w:t>
            </w:r>
            <w:r>
              <w:rPr>
                <w:rFonts w:ascii="Noto Serif Light" w:hAnsi="Noto Serif Light" w:cs="Noto Serif Light"/>
                <w:sz w:val="22"/>
                <w:szCs w:val="22"/>
                <w:lang w:val="en"/>
              </w:rPr>
              <w:t xml:space="preserve">103 </w:t>
            </w:r>
            <w:r>
              <w:rPr>
                <w:rFonts w:ascii="Noto Serif Light" w:hAnsi="Noto Serif Light" w:cs="Noto Serif Light"/>
                <w:sz w:val="22"/>
                <w:szCs w:val="22"/>
              </w:rPr>
              <w:t>– Lecture Theatre 3</w:t>
            </w:r>
          </w:p>
        </w:tc>
        <w:tc>
          <w:tcPr>
            <w:tcW w:w="3543" w:type="dxa"/>
            <w:gridSpan w:val="2"/>
            <w:shd w:val="clear" w:color="auto" w:fill="FEF5F0"/>
          </w:tcPr>
          <w:p w14:paraId="7A775650" w14:textId="77777777" w:rsidR="005E6A50" w:rsidRDefault="005E6A50" w:rsidP="00F4404E">
            <w:pPr>
              <w:rPr>
                <w:rFonts w:ascii="Noto Serif Light" w:hAnsi="Noto Serif Light" w:cs="Noto Serif Light"/>
                <w:b/>
                <w:bCs/>
                <w:sz w:val="22"/>
                <w:szCs w:val="22"/>
                <w:lang w:val="en"/>
              </w:rPr>
            </w:pPr>
            <w:r w:rsidRPr="005E6A50">
              <w:rPr>
                <w:rFonts w:ascii="Noto Serif Light" w:hAnsi="Noto Serif Light" w:cs="Noto Serif Light"/>
                <w:b/>
                <w:bCs/>
                <w:sz w:val="22"/>
                <w:szCs w:val="22"/>
                <w:lang w:val="en"/>
              </w:rPr>
              <w:t>Place-based Strategies for Innovation and Investment </w:t>
            </w:r>
          </w:p>
          <w:p w14:paraId="139080F9" w14:textId="77777777" w:rsidR="0094350A" w:rsidRDefault="0094350A" w:rsidP="00F4404E">
            <w:pPr>
              <w:rPr>
                <w:rFonts w:ascii="Noto Serif Light" w:hAnsi="Noto Serif Light" w:cs="Noto Serif Light"/>
                <w:b/>
                <w:bCs/>
                <w:sz w:val="22"/>
                <w:szCs w:val="22"/>
                <w:lang w:val="en"/>
              </w:rPr>
            </w:pPr>
          </w:p>
          <w:p w14:paraId="30FF8762" w14:textId="7C85BF38" w:rsidR="0094350A" w:rsidRPr="0094350A" w:rsidRDefault="0094350A" w:rsidP="00F4404E">
            <w:pPr>
              <w:rPr>
                <w:rFonts w:ascii="Noto Serif Light" w:hAnsi="Noto Serif Light" w:cs="Noto Serif Light"/>
                <w:sz w:val="22"/>
                <w:szCs w:val="22"/>
                <w:lang w:val="en"/>
              </w:rPr>
            </w:pPr>
            <w:r>
              <w:rPr>
                <w:rFonts w:ascii="Noto Serif Light" w:hAnsi="Noto Serif Light" w:cs="Noto Serif Light"/>
                <w:b/>
                <w:bCs/>
                <w:sz w:val="22"/>
                <w:szCs w:val="22"/>
                <w:lang w:val="en"/>
              </w:rPr>
              <w:t xml:space="preserve">Location: </w:t>
            </w:r>
            <w:r>
              <w:rPr>
                <w:rFonts w:ascii="Noto Serif Light" w:hAnsi="Noto Serif Light" w:cs="Noto Serif Light"/>
                <w:sz w:val="22"/>
                <w:szCs w:val="22"/>
                <w:lang w:val="en"/>
              </w:rPr>
              <w:t xml:space="preserve">111 </w:t>
            </w:r>
            <w:r>
              <w:rPr>
                <w:rFonts w:ascii="Noto Serif Light" w:hAnsi="Noto Serif Light" w:cs="Noto Serif Light"/>
                <w:sz w:val="22"/>
                <w:szCs w:val="22"/>
              </w:rPr>
              <w:t>– Lecture Theatre 4</w:t>
            </w:r>
          </w:p>
        </w:tc>
        <w:tc>
          <w:tcPr>
            <w:tcW w:w="4111" w:type="dxa"/>
            <w:gridSpan w:val="2"/>
            <w:shd w:val="clear" w:color="auto" w:fill="FEEEE6"/>
          </w:tcPr>
          <w:p w14:paraId="234391EB" w14:textId="77777777" w:rsidR="0094350A" w:rsidRDefault="005E6A50" w:rsidP="00F4404E">
            <w:pPr>
              <w:rPr>
                <w:rFonts w:ascii="Noto Serif Light" w:hAnsi="Noto Serif Light" w:cs="Noto Serif Light"/>
                <w:b/>
                <w:bCs/>
                <w:sz w:val="22"/>
                <w:szCs w:val="22"/>
                <w:lang w:val="en"/>
              </w:rPr>
            </w:pPr>
            <w:r w:rsidRPr="005E6A50">
              <w:rPr>
                <w:rFonts w:ascii="Noto Serif Light" w:hAnsi="Noto Serif Light" w:cs="Noto Serif Light"/>
                <w:b/>
                <w:bCs/>
                <w:sz w:val="22"/>
                <w:szCs w:val="22"/>
                <w:lang w:val="en"/>
              </w:rPr>
              <w:t>D1: Building Effective University-Policy Partnerships</w:t>
            </w:r>
          </w:p>
          <w:p w14:paraId="5BF7B425" w14:textId="77777777" w:rsidR="0094350A" w:rsidRDefault="0094350A" w:rsidP="00F4404E">
            <w:pPr>
              <w:rPr>
                <w:rFonts w:ascii="Noto Serif Light" w:hAnsi="Noto Serif Light" w:cs="Noto Serif Light"/>
                <w:b/>
                <w:bCs/>
                <w:sz w:val="22"/>
                <w:szCs w:val="22"/>
                <w:lang w:val="en"/>
              </w:rPr>
            </w:pPr>
          </w:p>
          <w:p w14:paraId="55F97AE4" w14:textId="5B62201B" w:rsidR="005E6A50" w:rsidRPr="005E6A50" w:rsidRDefault="0094350A" w:rsidP="00F4404E">
            <w:pPr>
              <w:rPr>
                <w:rFonts w:ascii="Noto Serif Light" w:hAnsi="Noto Serif Light" w:cs="Noto Serif Light"/>
                <w:b/>
                <w:bCs/>
                <w:sz w:val="22"/>
                <w:szCs w:val="22"/>
                <w:lang w:val="en"/>
              </w:rPr>
            </w:pPr>
            <w:r>
              <w:rPr>
                <w:rFonts w:ascii="Noto Serif Light" w:hAnsi="Noto Serif Light" w:cs="Noto Serif Light"/>
                <w:b/>
                <w:bCs/>
                <w:sz w:val="22"/>
                <w:szCs w:val="22"/>
                <w:lang w:val="en"/>
              </w:rPr>
              <w:t xml:space="preserve">Location: </w:t>
            </w:r>
            <w:r>
              <w:rPr>
                <w:rFonts w:ascii="Noto Serif Light" w:hAnsi="Noto Serif Light" w:cs="Noto Serif Light"/>
                <w:sz w:val="22"/>
                <w:szCs w:val="22"/>
                <w:lang w:val="en"/>
              </w:rPr>
              <w:t xml:space="preserve">112 </w:t>
            </w:r>
            <w:r>
              <w:rPr>
                <w:rFonts w:ascii="Noto Serif Light" w:hAnsi="Noto Serif Light" w:cs="Noto Serif Light"/>
                <w:sz w:val="22"/>
                <w:szCs w:val="22"/>
              </w:rPr>
              <w:t>– Lecture Theatre 5</w:t>
            </w:r>
            <w:r w:rsidR="005E6A50" w:rsidRPr="005E6A50">
              <w:rPr>
                <w:rFonts w:ascii="Noto Serif Light" w:hAnsi="Noto Serif Light" w:cs="Noto Serif Light"/>
                <w:b/>
                <w:bCs/>
                <w:sz w:val="22"/>
                <w:szCs w:val="22"/>
                <w:lang w:val="en"/>
              </w:rPr>
              <w:t> </w:t>
            </w:r>
          </w:p>
        </w:tc>
      </w:tr>
      <w:tr w:rsidR="004A69C0" w:rsidRPr="005E6A50" w14:paraId="60235129" w14:textId="77777777" w:rsidTr="00DE7B22">
        <w:tc>
          <w:tcPr>
            <w:tcW w:w="1702" w:type="dxa"/>
            <w:vMerge/>
          </w:tcPr>
          <w:p w14:paraId="0E19B9DB" w14:textId="77777777" w:rsidR="004A69C0" w:rsidRPr="005E6A50" w:rsidRDefault="004A69C0" w:rsidP="00F4404E">
            <w:pPr>
              <w:rPr>
                <w:rFonts w:ascii="Noto Serif Light" w:hAnsi="Noto Serif Light" w:cs="Noto Serif Light"/>
                <w:lang w:val="en"/>
              </w:rPr>
            </w:pPr>
          </w:p>
        </w:tc>
        <w:tc>
          <w:tcPr>
            <w:tcW w:w="3402" w:type="dxa"/>
            <w:gridSpan w:val="2"/>
            <w:shd w:val="clear" w:color="auto" w:fill="F9E0DB"/>
          </w:tcPr>
          <w:p w14:paraId="0BFBBBB0" w14:textId="0B07C5CA" w:rsidR="004A69C0" w:rsidRDefault="004A69C0" w:rsidP="00F4404E">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Chair: Konstantinos Kollydas</w:t>
            </w:r>
          </w:p>
        </w:tc>
        <w:tc>
          <w:tcPr>
            <w:tcW w:w="3544" w:type="dxa"/>
            <w:gridSpan w:val="2"/>
            <w:shd w:val="clear" w:color="auto" w:fill="FDF3F1"/>
          </w:tcPr>
          <w:p w14:paraId="535BFA18" w14:textId="2ADD4D76" w:rsidR="004A69C0" w:rsidRDefault="004A69C0" w:rsidP="00F4404E">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Chair: Huanjia Ma</w:t>
            </w:r>
          </w:p>
        </w:tc>
        <w:tc>
          <w:tcPr>
            <w:tcW w:w="3543" w:type="dxa"/>
            <w:gridSpan w:val="2"/>
            <w:shd w:val="clear" w:color="auto" w:fill="FEF5F0"/>
          </w:tcPr>
          <w:p w14:paraId="0A965C8A" w14:textId="71259A6C" w:rsidR="004A69C0" w:rsidRDefault="004A69C0" w:rsidP="00F4404E">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Chair: David Bailey</w:t>
            </w:r>
          </w:p>
        </w:tc>
        <w:tc>
          <w:tcPr>
            <w:tcW w:w="4111" w:type="dxa"/>
            <w:gridSpan w:val="2"/>
            <w:shd w:val="clear" w:color="auto" w:fill="FEEEE6"/>
          </w:tcPr>
          <w:p w14:paraId="4568CA3D" w14:textId="0D214422" w:rsidR="004A69C0" w:rsidRDefault="004A69C0" w:rsidP="00F4404E">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Chair: Abigail T</w:t>
            </w:r>
            <w:r>
              <w:rPr>
                <w:rFonts w:ascii="Noto Serif Light" w:hAnsi="Noto Serif Light" w:cs="Noto Serif Light"/>
                <w:b/>
                <w:bCs/>
                <w:sz w:val="20"/>
                <w:szCs w:val="20"/>
                <w:lang w:val="en"/>
              </w:rPr>
              <w:t>a</w:t>
            </w:r>
            <w:r w:rsidRPr="004A69C0">
              <w:rPr>
                <w:rFonts w:ascii="Noto Serif Light" w:hAnsi="Noto Serif Light" w:cs="Noto Serif Light"/>
                <w:b/>
                <w:bCs/>
                <w:sz w:val="20"/>
                <w:szCs w:val="20"/>
                <w:lang w:val="en"/>
              </w:rPr>
              <w:t>ylor</w:t>
            </w:r>
          </w:p>
        </w:tc>
      </w:tr>
      <w:tr w:rsidR="005E6A50" w:rsidRPr="005E6A50" w14:paraId="1E52E1F6" w14:textId="77777777" w:rsidTr="00DE7B22">
        <w:tc>
          <w:tcPr>
            <w:tcW w:w="1702" w:type="dxa"/>
            <w:vMerge/>
          </w:tcPr>
          <w:p w14:paraId="2AE579E2" w14:textId="77777777" w:rsidR="005E6A50" w:rsidRPr="005E6A50" w:rsidRDefault="005E6A50" w:rsidP="00F4404E">
            <w:pPr>
              <w:rPr>
                <w:rFonts w:ascii="Noto Serif Light" w:hAnsi="Noto Serif Light" w:cs="Noto Serif Light"/>
                <w:lang w:val="en"/>
              </w:rPr>
            </w:pPr>
          </w:p>
        </w:tc>
        <w:tc>
          <w:tcPr>
            <w:tcW w:w="3402" w:type="dxa"/>
            <w:gridSpan w:val="2"/>
            <w:shd w:val="clear" w:color="auto" w:fill="F9E0DB"/>
          </w:tcPr>
          <w:p w14:paraId="408194AA" w14:textId="2ECE4DCB"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O32. K</w:t>
            </w:r>
            <w:r w:rsidR="005E6A50" w:rsidRPr="005E6A50">
              <w:rPr>
                <w:rFonts w:ascii="Noto Serif Light" w:hAnsi="Noto Serif Light" w:cs="Noto Serif Light"/>
                <w:b/>
                <w:bCs/>
                <w:sz w:val="20"/>
                <w:szCs w:val="20"/>
                <w:lang w:val="en"/>
              </w:rPr>
              <w:t>evin Mulligan et al: </w:t>
            </w:r>
          </w:p>
          <w:p w14:paraId="46311520"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Climbing the Collaborative Research and Innovation Policy Support Ladder </w:t>
            </w:r>
          </w:p>
          <w:p w14:paraId="64043E85" w14:textId="77777777" w:rsidR="005E6A50" w:rsidRPr="005E6A50" w:rsidRDefault="005E6A50" w:rsidP="00F4404E">
            <w:pPr>
              <w:rPr>
                <w:rFonts w:ascii="Noto Serif Light" w:hAnsi="Noto Serif Light" w:cs="Noto Serif Light"/>
                <w:sz w:val="20"/>
                <w:szCs w:val="20"/>
                <w:lang w:val="en"/>
              </w:rPr>
            </w:pPr>
          </w:p>
          <w:p w14:paraId="11DF629D" w14:textId="77777777" w:rsidR="005E6A50" w:rsidRPr="005E6A50" w:rsidRDefault="005E6A50" w:rsidP="00F4404E">
            <w:pPr>
              <w:rPr>
                <w:rFonts w:ascii="Noto Serif Light" w:hAnsi="Noto Serif Light" w:cs="Noto Serif Light"/>
                <w:sz w:val="20"/>
                <w:szCs w:val="20"/>
                <w:lang w:val="en"/>
              </w:rPr>
            </w:pPr>
          </w:p>
        </w:tc>
        <w:tc>
          <w:tcPr>
            <w:tcW w:w="3544" w:type="dxa"/>
            <w:gridSpan w:val="2"/>
            <w:shd w:val="clear" w:color="auto" w:fill="FDF3F1"/>
          </w:tcPr>
          <w:p w14:paraId="41D6E2E6" w14:textId="26B3C245" w:rsidR="005E6A50" w:rsidRPr="005E6A50" w:rsidRDefault="00D43043" w:rsidP="00F4404E">
            <w:pPr>
              <w:rPr>
                <w:rFonts w:ascii="Noto Serif Light" w:hAnsi="Noto Serif Light" w:cs="Noto Serif Light"/>
                <w:sz w:val="20"/>
                <w:szCs w:val="20"/>
                <w:lang w:val="en"/>
              </w:rPr>
            </w:pPr>
            <w:r>
              <w:rPr>
                <w:rFonts w:ascii="Noto Serif Light" w:hAnsi="Noto Serif Light" w:cs="Noto Serif Light"/>
                <w:b/>
                <w:bCs/>
                <w:sz w:val="20"/>
                <w:szCs w:val="20"/>
                <w:lang w:val="en"/>
              </w:rPr>
              <w:t xml:space="preserve">O35. </w:t>
            </w:r>
            <w:r w:rsidR="005E6A50" w:rsidRPr="005E6A50">
              <w:rPr>
                <w:rFonts w:ascii="Noto Serif Light" w:hAnsi="Noto Serif Light" w:cs="Noto Serif Light"/>
                <w:b/>
                <w:bCs/>
                <w:sz w:val="20"/>
                <w:szCs w:val="20"/>
                <w:lang w:val="en"/>
              </w:rPr>
              <w:t>Rune Fitjar &amp; Tom Broekel</w:t>
            </w:r>
            <w:r w:rsidR="005E6A50" w:rsidRPr="005E6A50">
              <w:rPr>
                <w:rFonts w:ascii="Noto Serif Light" w:hAnsi="Noto Serif Light" w:cs="Noto Serif Light"/>
                <w:sz w:val="20"/>
                <w:szCs w:val="20"/>
                <w:lang w:val="en"/>
              </w:rPr>
              <w:t>: </w:t>
            </w:r>
          </w:p>
          <w:p w14:paraId="6BCB5E6E"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The Camouflage Green Transition: Defence Restructuring and Path-Dependent Regional Development in Peripheral Regions </w:t>
            </w:r>
          </w:p>
        </w:tc>
        <w:tc>
          <w:tcPr>
            <w:tcW w:w="3543" w:type="dxa"/>
            <w:gridSpan w:val="2"/>
            <w:shd w:val="clear" w:color="auto" w:fill="FEF5F0"/>
          </w:tcPr>
          <w:p w14:paraId="73F289BC" w14:textId="78201B61"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O38. </w:t>
            </w:r>
            <w:r w:rsidR="005E6A50" w:rsidRPr="005E6A50">
              <w:rPr>
                <w:rFonts w:ascii="Noto Serif Light" w:hAnsi="Noto Serif Light" w:cs="Noto Serif Light"/>
                <w:b/>
                <w:bCs/>
                <w:sz w:val="20"/>
                <w:szCs w:val="20"/>
                <w:lang w:val="en"/>
              </w:rPr>
              <w:t>Jun Du and Xiaocan Yuan: </w:t>
            </w:r>
          </w:p>
          <w:p w14:paraId="3A9AE12A" w14:textId="1C931AA3"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xml:space="preserve">Knowledge </w:t>
            </w:r>
            <w:r w:rsidR="00DB1769" w:rsidRPr="005E6A50">
              <w:rPr>
                <w:rFonts w:ascii="Noto Serif Light" w:hAnsi="Noto Serif Light" w:cs="Noto Serif Light"/>
                <w:sz w:val="20"/>
                <w:szCs w:val="20"/>
                <w:lang w:val="en"/>
              </w:rPr>
              <w:t xml:space="preserve">Space and Inward Investment </w:t>
            </w:r>
            <w:r w:rsidR="00DB1769">
              <w:rPr>
                <w:rFonts w:ascii="Noto Serif Light" w:hAnsi="Noto Serif Light" w:cs="Noto Serif Light"/>
                <w:sz w:val="20"/>
                <w:szCs w:val="20"/>
                <w:lang w:val="en"/>
              </w:rPr>
              <w:t>i</w:t>
            </w:r>
            <w:r w:rsidR="00DB1769" w:rsidRPr="005E6A50">
              <w:rPr>
                <w:rFonts w:ascii="Noto Serif Light" w:hAnsi="Noto Serif Light" w:cs="Noto Serif Light"/>
                <w:sz w:val="20"/>
                <w:szCs w:val="20"/>
                <w:lang w:val="en"/>
              </w:rPr>
              <w:t xml:space="preserve">n </w:t>
            </w:r>
            <w:r w:rsidRPr="005E6A50">
              <w:rPr>
                <w:rFonts w:ascii="Noto Serif Light" w:hAnsi="Noto Serif Light" w:cs="Noto Serif Light"/>
                <w:sz w:val="20"/>
                <w:szCs w:val="20"/>
                <w:lang w:val="en"/>
              </w:rPr>
              <w:t xml:space="preserve">UK </w:t>
            </w:r>
            <w:r w:rsidR="00DB1769" w:rsidRPr="005E6A50">
              <w:rPr>
                <w:rFonts w:ascii="Noto Serif Light" w:hAnsi="Noto Serif Light" w:cs="Noto Serif Light"/>
                <w:sz w:val="20"/>
                <w:szCs w:val="20"/>
                <w:lang w:val="en"/>
              </w:rPr>
              <w:t>Regions </w:t>
            </w:r>
          </w:p>
          <w:p w14:paraId="62BCE970" w14:textId="77777777" w:rsidR="005E6A50" w:rsidRPr="005E6A50" w:rsidRDefault="005E6A50" w:rsidP="00F4404E">
            <w:pPr>
              <w:rPr>
                <w:rFonts w:ascii="Noto Serif Light" w:hAnsi="Noto Serif Light" w:cs="Noto Serif Light"/>
                <w:i/>
                <w:iCs/>
                <w:sz w:val="20"/>
                <w:szCs w:val="20"/>
                <w:lang w:val="en"/>
              </w:rPr>
            </w:pPr>
          </w:p>
        </w:tc>
        <w:tc>
          <w:tcPr>
            <w:tcW w:w="4111" w:type="dxa"/>
            <w:gridSpan w:val="2"/>
            <w:shd w:val="clear" w:color="auto" w:fill="FEEEE6"/>
          </w:tcPr>
          <w:p w14:paraId="04545E15" w14:textId="2532B040"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O41. </w:t>
            </w:r>
            <w:r w:rsidR="005E6A50" w:rsidRPr="005E6A50">
              <w:rPr>
                <w:rFonts w:ascii="Noto Serif Light" w:hAnsi="Noto Serif Light" w:cs="Noto Serif Light"/>
                <w:b/>
                <w:bCs/>
                <w:sz w:val="20"/>
                <w:szCs w:val="20"/>
                <w:lang w:val="en"/>
              </w:rPr>
              <w:t>Abigail Taylor &amp; Massimiliano Nuccio:</w:t>
            </w:r>
          </w:p>
          <w:p w14:paraId="4EC54A12" w14:textId="77777777" w:rsidR="000A0BAC"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Beyond the Helix: Institutional Design and Governance of University-Based Policy Institutes in Europe </w:t>
            </w:r>
          </w:p>
          <w:p w14:paraId="172CD068" w14:textId="77777777" w:rsidR="000A0BAC" w:rsidRDefault="000A0BAC" w:rsidP="00F4404E">
            <w:pPr>
              <w:rPr>
                <w:rFonts w:ascii="Noto Serif Light" w:hAnsi="Noto Serif Light" w:cs="Noto Serif Light"/>
                <w:sz w:val="20"/>
                <w:szCs w:val="20"/>
                <w:lang w:val="en"/>
              </w:rPr>
            </w:pPr>
          </w:p>
          <w:p w14:paraId="33AA10CA" w14:textId="5900030F" w:rsidR="00531A6C" w:rsidRPr="005E6A50" w:rsidRDefault="00531A6C" w:rsidP="00F4404E">
            <w:pPr>
              <w:rPr>
                <w:rFonts w:ascii="Noto Serif Light" w:hAnsi="Noto Serif Light" w:cs="Noto Serif Light"/>
                <w:sz w:val="20"/>
                <w:szCs w:val="20"/>
                <w:lang w:val="en"/>
              </w:rPr>
            </w:pPr>
          </w:p>
        </w:tc>
      </w:tr>
      <w:tr w:rsidR="005E6A50" w:rsidRPr="005E6A50" w14:paraId="41A5A900" w14:textId="77777777" w:rsidTr="00DE7B22">
        <w:tc>
          <w:tcPr>
            <w:tcW w:w="1702" w:type="dxa"/>
            <w:vMerge/>
          </w:tcPr>
          <w:p w14:paraId="6CB36644" w14:textId="77777777" w:rsidR="005E6A50" w:rsidRPr="005E6A50" w:rsidRDefault="005E6A50" w:rsidP="00F4404E">
            <w:pPr>
              <w:rPr>
                <w:rFonts w:ascii="Noto Serif Light" w:hAnsi="Noto Serif Light" w:cs="Noto Serif Light"/>
                <w:lang w:val="en"/>
              </w:rPr>
            </w:pPr>
          </w:p>
        </w:tc>
        <w:tc>
          <w:tcPr>
            <w:tcW w:w="3402" w:type="dxa"/>
            <w:gridSpan w:val="2"/>
            <w:shd w:val="clear" w:color="auto" w:fill="F9E0DB"/>
          </w:tcPr>
          <w:p w14:paraId="39673EFB" w14:textId="2C03930F"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O33. </w:t>
            </w:r>
            <w:r w:rsidR="005E6A50" w:rsidRPr="005E6A50">
              <w:rPr>
                <w:rFonts w:ascii="Noto Serif Light" w:hAnsi="Noto Serif Light" w:cs="Noto Serif Light"/>
                <w:b/>
                <w:bCs/>
                <w:sz w:val="20"/>
                <w:szCs w:val="20"/>
                <w:lang w:val="en"/>
              </w:rPr>
              <w:t>Junichi Nishimura &amp; Hiroyuki Okamuro:</w:t>
            </w:r>
          </w:p>
          <w:p w14:paraId="48E7FBD3" w14:textId="22FF34DD"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xml:space="preserve">How </w:t>
            </w:r>
            <w:r w:rsidR="00DB1769" w:rsidRPr="005E6A50">
              <w:rPr>
                <w:rFonts w:ascii="Noto Serif Light" w:hAnsi="Noto Serif Light" w:cs="Noto Serif Light"/>
                <w:sz w:val="20"/>
                <w:szCs w:val="20"/>
                <w:lang w:val="en"/>
              </w:rPr>
              <w:t xml:space="preserve">Should Place-Based </w:t>
            </w:r>
            <w:r w:rsidRPr="005E6A50">
              <w:rPr>
                <w:rFonts w:ascii="Noto Serif Light" w:hAnsi="Noto Serif Light" w:cs="Noto Serif Light"/>
                <w:sz w:val="20"/>
                <w:szCs w:val="20"/>
                <w:lang w:val="en"/>
              </w:rPr>
              <w:t>R</w:t>
            </w:r>
            <w:r w:rsidR="00DB1769" w:rsidRPr="005E6A50">
              <w:rPr>
                <w:rFonts w:ascii="Noto Serif Light" w:hAnsi="Noto Serif Light" w:cs="Noto Serif Light"/>
                <w:sz w:val="20"/>
                <w:szCs w:val="20"/>
                <w:lang w:val="en"/>
              </w:rPr>
              <w:t>&amp;</w:t>
            </w:r>
            <w:r w:rsidRPr="005E6A50">
              <w:rPr>
                <w:rFonts w:ascii="Noto Serif Light" w:hAnsi="Noto Serif Light" w:cs="Noto Serif Light"/>
                <w:sz w:val="20"/>
                <w:szCs w:val="20"/>
                <w:lang w:val="en"/>
              </w:rPr>
              <w:t xml:space="preserve">D </w:t>
            </w:r>
            <w:r w:rsidR="00DB1769" w:rsidRPr="005E6A50">
              <w:rPr>
                <w:rFonts w:ascii="Noto Serif Light" w:hAnsi="Noto Serif Light" w:cs="Noto Serif Light"/>
                <w:sz w:val="20"/>
                <w:szCs w:val="20"/>
                <w:lang w:val="en"/>
              </w:rPr>
              <w:t xml:space="preserve">Support Be Designed and Implemented? </w:t>
            </w:r>
            <w:r w:rsidRPr="005E6A50">
              <w:rPr>
                <w:rFonts w:ascii="Noto Serif Light" w:hAnsi="Noto Serif Light" w:cs="Noto Serif Light"/>
                <w:sz w:val="20"/>
                <w:szCs w:val="20"/>
                <w:lang w:val="en"/>
              </w:rPr>
              <w:t xml:space="preserve">Evidence </w:t>
            </w:r>
            <w:r w:rsidR="00DB1769" w:rsidRPr="005E6A50">
              <w:rPr>
                <w:rFonts w:ascii="Noto Serif Light" w:hAnsi="Noto Serif Light" w:cs="Noto Serif Light"/>
                <w:sz w:val="20"/>
                <w:szCs w:val="20"/>
                <w:lang w:val="en"/>
              </w:rPr>
              <w:t xml:space="preserve">From </w:t>
            </w:r>
            <w:r w:rsidR="00DB1769">
              <w:rPr>
                <w:rFonts w:ascii="Noto Serif Light" w:hAnsi="Noto Serif Light" w:cs="Noto Serif Light"/>
                <w:sz w:val="20"/>
                <w:szCs w:val="20"/>
                <w:lang w:val="en"/>
              </w:rPr>
              <w:t>a</w:t>
            </w:r>
            <w:r w:rsidR="00DB1769" w:rsidRPr="005E6A50">
              <w:rPr>
                <w:rFonts w:ascii="Noto Serif Light" w:hAnsi="Noto Serif Light" w:cs="Noto Serif Light"/>
                <w:sz w:val="20"/>
                <w:szCs w:val="20"/>
                <w:lang w:val="en"/>
              </w:rPr>
              <w:t xml:space="preserve"> Firm Survey </w:t>
            </w:r>
            <w:r w:rsidR="00DB1769">
              <w:rPr>
                <w:rFonts w:ascii="Noto Serif Light" w:hAnsi="Noto Serif Light" w:cs="Noto Serif Light"/>
                <w:sz w:val="20"/>
                <w:szCs w:val="20"/>
                <w:lang w:val="en"/>
              </w:rPr>
              <w:t>i</w:t>
            </w:r>
            <w:r w:rsidR="00DB1769" w:rsidRPr="005E6A50">
              <w:rPr>
                <w:rFonts w:ascii="Noto Serif Light" w:hAnsi="Noto Serif Light" w:cs="Noto Serif Light"/>
                <w:sz w:val="20"/>
                <w:szCs w:val="20"/>
                <w:lang w:val="en"/>
              </w:rPr>
              <w:t xml:space="preserve">n </w:t>
            </w:r>
            <w:r w:rsidRPr="005E6A50">
              <w:rPr>
                <w:rFonts w:ascii="Noto Serif Light" w:hAnsi="Noto Serif Light" w:cs="Noto Serif Light"/>
                <w:sz w:val="20"/>
                <w:szCs w:val="20"/>
                <w:lang w:val="en"/>
              </w:rPr>
              <w:t>Japan </w:t>
            </w:r>
          </w:p>
          <w:p w14:paraId="5ADB0655" w14:textId="77777777" w:rsidR="001140FC" w:rsidRPr="005E6A50" w:rsidRDefault="001140FC" w:rsidP="00F4404E">
            <w:pPr>
              <w:rPr>
                <w:rFonts w:ascii="Noto Serif Light" w:hAnsi="Noto Serif Light" w:cs="Noto Serif Light"/>
                <w:sz w:val="20"/>
                <w:szCs w:val="20"/>
                <w:lang w:val="en"/>
              </w:rPr>
            </w:pPr>
          </w:p>
        </w:tc>
        <w:tc>
          <w:tcPr>
            <w:tcW w:w="3544" w:type="dxa"/>
            <w:gridSpan w:val="2"/>
            <w:shd w:val="clear" w:color="auto" w:fill="FDF3F1"/>
          </w:tcPr>
          <w:p w14:paraId="1F8ED97A" w14:textId="09DE55C0"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O36. </w:t>
            </w:r>
            <w:r w:rsidR="005E6A50" w:rsidRPr="005E6A50">
              <w:rPr>
                <w:rFonts w:ascii="Noto Serif Light" w:hAnsi="Noto Serif Light" w:cs="Noto Serif Light"/>
                <w:b/>
                <w:bCs/>
                <w:sz w:val="20"/>
                <w:szCs w:val="20"/>
                <w:lang w:val="en"/>
              </w:rPr>
              <w:t>Astrid Krenz &amp; Jammila Laaguidi: </w:t>
            </w:r>
          </w:p>
          <w:p w14:paraId="4639D4B1"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The Economic Geography of the Twin Transformation: Detecting Digital and Green Innovation in Germany </w:t>
            </w:r>
          </w:p>
        </w:tc>
        <w:tc>
          <w:tcPr>
            <w:tcW w:w="3543" w:type="dxa"/>
            <w:gridSpan w:val="2"/>
            <w:shd w:val="clear" w:color="auto" w:fill="FEF5F0"/>
          </w:tcPr>
          <w:p w14:paraId="33A16D0F" w14:textId="75755049" w:rsidR="005E6A50" w:rsidRPr="005E6A50" w:rsidRDefault="00D43043" w:rsidP="00F4404E">
            <w:pPr>
              <w:rPr>
                <w:rFonts w:ascii="Noto Serif Light" w:hAnsi="Noto Serif Light" w:cs="Noto Serif Light"/>
                <w:sz w:val="20"/>
                <w:szCs w:val="20"/>
                <w:lang w:val="en"/>
              </w:rPr>
            </w:pPr>
            <w:r>
              <w:rPr>
                <w:rFonts w:ascii="Noto Serif Light" w:hAnsi="Noto Serif Light" w:cs="Noto Serif Light"/>
                <w:b/>
                <w:bCs/>
                <w:sz w:val="20"/>
                <w:szCs w:val="20"/>
                <w:lang w:val="en"/>
              </w:rPr>
              <w:t xml:space="preserve">O39. </w:t>
            </w:r>
            <w:r w:rsidR="005E6A50" w:rsidRPr="005E6A50">
              <w:rPr>
                <w:rFonts w:ascii="Noto Serif Light" w:hAnsi="Noto Serif Light" w:cs="Noto Serif Light"/>
                <w:b/>
                <w:bCs/>
                <w:sz w:val="20"/>
                <w:szCs w:val="20"/>
                <w:lang w:val="en"/>
              </w:rPr>
              <w:t>Chloe Billing</w:t>
            </w:r>
            <w:r w:rsidR="005E6A50" w:rsidRPr="005E6A50">
              <w:rPr>
                <w:rFonts w:ascii="Noto Serif Light" w:hAnsi="Noto Serif Light" w:cs="Noto Serif Light"/>
                <w:sz w:val="20"/>
                <w:szCs w:val="20"/>
                <w:lang w:val="en"/>
              </w:rPr>
              <w:t>:  </w:t>
            </w:r>
          </w:p>
          <w:p w14:paraId="52E19B5C" w14:textId="617DA4E9"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Translating Industrial Strength into Strategic Advantage: Developing a Place-Based Advanced Manufacturing Investment Proposition for the West Midlands</w:t>
            </w:r>
          </w:p>
        </w:tc>
        <w:tc>
          <w:tcPr>
            <w:tcW w:w="4111" w:type="dxa"/>
            <w:gridSpan w:val="2"/>
            <w:shd w:val="clear" w:color="auto" w:fill="FEEEE6"/>
          </w:tcPr>
          <w:p w14:paraId="3411FA21" w14:textId="7DA829D0" w:rsidR="005E6A50" w:rsidRPr="005E6A50" w:rsidRDefault="00D43043" w:rsidP="00F4404E">
            <w:pPr>
              <w:rPr>
                <w:rFonts w:ascii="Noto Serif Light" w:hAnsi="Noto Serif Light" w:cs="Noto Serif Light"/>
                <w:sz w:val="20"/>
                <w:szCs w:val="20"/>
                <w:lang w:val="en"/>
              </w:rPr>
            </w:pPr>
            <w:r>
              <w:rPr>
                <w:rFonts w:ascii="Noto Serif Light" w:hAnsi="Noto Serif Light" w:cs="Noto Serif Light"/>
                <w:b/>
                <w:bCs/>
                <w:sz w:val="20"/>
                <w:szCs w:val="20"/>
                <w:lang w:val="en"/>
              </w:rPr>
              <w:t xml:space="preserve">O42. </w:t>
            </w:r>
            <w:r w:rsidR="005E6A50" w:rsidRPr="005E6A50">
              <w:rPr>
                <w:rFonts w:ascii="Noto Serif Light" w:hAnsi="Noto Serif Light" w:cs="Noto Serif Light"/>
                <w:b/>
                <w:bCs/>
                <w:sz w:val="20"/>
                <w:szCs w:val="20"/>
                <w:lang w:val="en"/>
              </w:rPr>
              <w:t>Sandrine Labory</w:t>
            </w:r>
            <w:r w:rsidR="005E6A50" w:rsidRPr="005E6A50">
              <w:rPr>
                <w:rFonts w:ascii="Noto Serif Light" w:hAnsi="Noto Serif Light" w:cs="Noto Serif Light"/>
                <w:sz w:val="20"/>
                <w:szCs w:val="20"/>
                <w:lang w:val="en"/>
              </w:rPr>
              <w:t>: </w:t>
            </w:r>
          </w:p>
          <w:p w14:paraId="30B5986F" w14:textId="070A3355"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xml:space="preserve">The </w:t>
            </w:r>
            <w:r w:rsidR="00DB1769" w:rsidRPr="005E6A50">
              <w:rPr>
                <w:rFonts w:ascii="Noto Serif Light" w:hAnsi="Noto Serif Light" w:cs="Noto Serif Light"/>
                <w:sz w:val="20"/>
                <w:szCs w:val="20"/>
                <w:lang w:val="en"/>
              </w:rPr>
              <w:t xml:space="preserve">Role of Universities </w:t>
            </w:r>
            <w:r w:rsidR="00DB1769">
              <w:rPr>
                <w:rFonts w:ascii="Noto Serif Light" w:hAnsi="Noto Serif Light" w:cs="Noto Serif Light"/>
                <w:sz w:val="20"/>
                <w:szCs w:val="20"/>
                <w:lang w:val="en"/>
              </w:rPr>
              <w:t>i</w:t>
            </w:r>
            <w:r w:rsidR="00DB1769" w:rsidRPr="005E6A50">
              <w:rPr>
                <w:rFonts w:ascii="Noto Serif Light" w:hAnsi="Noto Serif Light" w:cs="Noto Serif Light"/>
                <w:sz w:val="20"/>
                <w:szCs w:val="20"/>
                <w:lang w:val="en"/>
              </w:rPr>
              <w:t xml:space="preserve">n Regions and </w:t>
            </w:r>
            <w:r w:rsidRPr="005E6A50">
              <w:rPr>
                <w:rFonts w:ascii="Noto Serif Light" w:hAnsi="Noto Serif Light" w:cs="Noto Serif Light"/>
                <w:sz w:val="20"/>
                <w:szCs w:val="20"/>
                <w:lang w:val="en"/>
              </w:rPr>
              <w:t xml:space="preserve">European </w:t>
            </w:r>
            <w:r w:rsidR="00DB1769" w:rsidRPr="005E6A50">
              <w:rPr>
                <w:rFonts w:ascii="Noto Serif Light" w:hAnsi="Noto Serif Light" w:cs="Noto Serif Light"/>
                <w:sz w:val="20"/>
                <w:szCs w:val="20"/>
                <w:lang w:val="en"/>
              </w:rPr>
              <w:t>University Alliances </w:t>
            </w:r>
          </w:p>
        </w:tc>
      </w:tr>
      <w:tr w:rsidR="005E6A50" w:rsidRPr="005E6A50" w14:paraId="153DF382" w14:textId="77777777" w:rsidTr="00DE7B22">
        <w:trPr>
          <w:trHeight w:val="1603"/>
        </w:trPr>
        <w:tc>
          <w:tcPr>
            <w:tcW w:w="1702" w:type="dxa"/>
            <w:vMerge/>
            <w:tcBorders>
              <w:bottom w:val="single" w:sz="4" w:space="0" w:color="auto"/>
            </w:tcBorders>
          </w:tcPr>
          <w:p w14:paraId="0B513434" w14:textId="77777777" w:rsidR="005E6A50" w:rsidRPr="005E6A50" w:rsidRDefault="005E6A50" w:rsidP="00F4404E">
            <w:pPr>
              <w:rPr>
                <w:rFonts w:ascii="Noto Serif Light" w:hAnsi="Noto Serif Light" w:cs="Noto Serif Light"/>
                <w:lang w:val="en"/>
              </w:rPr>
            </w:pPr>
          </w:p>
        </w:tc>
        <w:tc>
          <w:tcPr>
            <w:tcW w:w="3402" w:type="dxa"/>
            <w:gridSpan w:val="2"/>
            <w:shd w:val="clear" w:color="auto" w:fill="F9E0DB"/>
          </w:tcPr>
          <w:p w14:paraId="454C6224" w14:textId="4FD701B8" w:rsidR="005E6A50" w:rsidRPr="005E6A50" w:rsidRDefault="00D43043" w:rsidP="00F4404E">
            <w:pPr>
              <w:rPr>
                <w:rFonts w:ascii="Noto Serif Light" w:hAnsi="Noto Serif Light" w:cs="Noto Serif Light"/>
                <w:sz w:val="20"/>
                <w:szCs w:val="20"/>
                <w:lang w:val="en"/>
              </w:rPr>
            </w:pPr>
            <w:r>
              <w:rPr>
                <w:rFonts w:ascii="Noto Serif Light" w:hAnsi="Noto Serif Light" w:cs="Noto Serif Light"/>
                <w:b/>
                <w:bCs/>
                <w:sz w:val="20"/>
                <w:szCs w:val="20"/>
                <w:lang w:val="en"/>
              </w:rPr>
              <w:t xml:space="preserve">O34. </w:t>
            </w:r>
            <w:r w:rsidR="005E6A50" w:rsidRPr="005E6A50">
              <w:rPr>
                <w:rFonts w:ascii="Noto Serif Light" w:hAnsi="Noto Serif Light" w:cs="Noto Serif Light"/>
                <w:b/>
                <w:bCs/>
                <w:sz w:val="20"/>
                <w:szCs w:val="20"/>
                <w:lang w:val="en"/>
              </w:rPr>
              <w:t>Carolin Ioramashvili &amp; Nicholas Sweeney</w:t>
            </w:r>
            <w:r w:rsidR="005E6A50" w:rsidRPr="005E6A50">
              <w:rPr>
                <w:rFonts w:ascii="Noto Serif Light" w:hAnsi="Noto Serif Light" w:cs="Noto Serif Light"/>
                <w:sz w:val="20"/>
                <w:szCs w:val="20"/>
                <w:lang w:val="en"/>
              </w:rPr>
              <w:t>:  </w:t>
            </w:r>
          </w:p>
          <w:p w14:paraId="4F19A6D4" w14:textId="01B76CE2" w:rsidR="001140FC"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xml:space="preserve">Ticket </w:t>
            </w:r>
            <w:r w:rsidR="00DB1769">
              <w:rPr>
                <w:rFonts w:ascii="Noto Serif Light" w:hAnsi="Noto Serif Light" w:cs="Noto Serif Light"/>
                <w:sz w:val="20"/>
                <w:szCs w:val="20"/>
                <w:lang w:val="en"/>
              </w:rPr>
              <w:t>t</w:t>
            </w:r>
            <w:r w:rsidR="00DB1769" w:rsidRPr="005E6A50">
              <w:rPr>
                <w:rFonts w:ascii="Noto Serif Light" w:hAnsi="Noto Serif Light" w:cs="Noto Serif Light"/>
                <w:sz w:val="20"/>
                <w:szCs w:val="20"/>
                <w:lang w:val="en"/>
              </w:rPr>
              <w:t xml:space="preserve">o Impact: Estimating The Impact </w:t>
            </w:r>
            <w:r w:rsidR="00DB1769">
              <w:rPr>
                <w:rFonts w:ascii="Noto Serif Light" w:hAnsi="Noto Serif Light" w:cs="Noto Serif Light"/>
                <w:sz w:val="20"/>
                <w:szCs w:val="20"/>
                <w:lang w:val="en"/>
              </w:rPr>
              <w:t>o</w:t>
            </w:r>
            <w:r w:rsidR="00DB1769" w:rsidRPr="005E6A50">
              <w:rPr>
                <w:rFonts w:ascii="Noto Serif Light" w:hAnsi="Noto Serif Light" w:cs="Noto Serif Light"/>
                <w:sz w:val="20"/>
                <w:szCs w:val="20"/>
                <w:lang w:val="en"/>
              </w:rPr>
              <w:t>f Public Transport Infrastructure on Collaborative Research Projects </w:t>
            </w:r>
          </w:p>
        </w:tc>
        <w:tc>
          <w:tcPr>
            <w:tcW w:w="3544" w:type="dxa"/>
            <w:gridSpan w:val="2"/>
            <w:shd w:val="clear" w:color="auto" w:fill="FDF3F1"/>
          </w:tcPr>
          <w:p w14:paraId="2621E956" w14:textId="5E1D538C"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O37. </w:t>
            </w:r>
            <w:r w:rsidR="005E6A50" w:rsidRPr="005E6A50">
              <w:rPr>
                <w:rFonts w:ascii="Noto Serif Light" w:hAnsi="Noto Serif Light" w:cs="Noto Serif Light"/>
                <w:b/>
                <w:bCs/>
                <w:sz w:val="20"/>
                <w:szCs w:val="20"/>
                <w:lang w:val="en"/>
              </w:rPr>
              <w:t>Thanos Fragkandreas:</w:t>
            </w:r>
          </w:p>
          <w:p w14:paraId="7E01454E"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Entrepreneurs with Disabilities in the Twin Transition: Exploratory Evidence from UK Regions </w:t>
            </w:r>
          </w:p>
        </w:tc>
        <w:tc>
          <w:tcPr>
            <w:tcW w:w="3543" w:type="dxa"/>
            <w:gridSpan w:val="2"/>
            <w:shd w:val="clear" w:color="auto" w:fill="FEF5F0"/>
          </w:tcPr>
          <w:p w14:paraId="11CCC2F7" w14:textId="562A3D97" w:rsidR="005E6A50" w:rsidRPr="005E6A50" w:rsidRDefault="00D43043" w:rsidP="00F4404E">
            <w:pPr>
              <w:rPr>
                <w:rFonts w:ascii="Noto Serif Light" w:hAnsi="Noto Serif Light" w:cs="Noto Serif Light"/>
                <w:sz w:val="20"/>
                <w:szCs w:val="20"/>
                <w:lang w:val="en"/>
              </w:rPr>
            </w:pPr>
            <w:r>
              <w:rPr>
                <w:rFonts w:ascii="Noto Serif Light" w:hAnsi="Noto Serif Light" w:cs="Noto Serif Light"/>
                <w:b/>
                <w:bCs/>
                <w:sz w:val="20"/>
                <w:szCs w:val="20"/>
                <w:lang w:val="en"/>
              </w:rPr>
              <w:t xml:space="preserve">O40. </w:t>
            </w:r>
            <w:r w:rsidR="005E6A50" w:rsidRPr="005E6A50">
              <w:rPr>
                <w:rFonts w:ascii="Noto Serif Light" w:hAnsi="Noto Serif Light" w:cs="Noto Serif Light"/>
                <w:b/>
                <w:bCs/>
                <w:sz w:val="20"/>
                <w:szCs w:val="20"/>
                <w:lang w:val="en"/>
              </w:rPr>
              <w:t>Naoki Fujiwara:</w:t>
            </w:r>
            <w:r w:rsidR="005E6A50" w:rsidRPr="005E6A50">
              <w:rPr>
                <w:rFonts w:ascii="Noto Serif Light" w:hAnsi="Noto Serif Light" w:cs="Noto Serif Light"/>
                <w:sz w:val="20"/>
                <w:szCs w:val="20"/>
                <w:lang w:val="en"/>
              </w:rPr>
              <w:t> </w:t>
            </w:r>
          </w:p>
          <w:p w14:paraId="77603A7F"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Linking Mega-events to Place-based Innovation: Expo 2025 and Urban Innovation Strategies in Osaka, Japan  </w:t>
            </w:r>
          </w:p>
          <w:p w14:paraId="41B0FFE4"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w:t>
            </w:r>
          </w:p>
        </w:tc>
        <w:tc>
          <w:tcPr>
            <w:tcW w:w="4111" w:type="dxa"/>
            <w:gridSpan w:val="2"/>
            <w:shd w:val="clear" w:color="auto" w:fill="FEEEE6"/>
          </w:tcPr>
          <w:p w14:paraId="3E559B14" w14:textId="52446C48"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O43. </w:t>
            </w:r>
            <w:r w:rsidR="005E6A50" w:rsidRPr="005E6A50">
              <w:rPr>
                <w:rFonts w:ascii="Noto Serif Light" w:hAnsi="Noto Serif Light" w:cs="Noto Serif Light"/>
                <w:b/>
                <w:bCs/>
                <w:sz w:val="20"/>
                <w:szCs w:val="20"/>
                <w:lang w:val="en"/>
              </w:rPr>
              <w:t>Sara Hassen et al:</w:t>
            </w:r>
          </w:p>
          <w:p w14:paraId="752B3284"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From Anchor Institutions to Governance Actors: Universities and the Institutional Architecture of Place-Based Innovation </w:t>
            </w:r>
          </w:p>
        </w:tc>
      </w:tr>
      <w:tr w:rsidR="005E6A50" w:rsidRPr="005E6A50" w14:paraId="628EEF97" w14:textId="77777777" w:rsidTr="00DE7B22">
        <w:tc>
          <w:tcPr>
            <w:tcW w:w="1702" w:type="dxa"/>
            <w:tcBorders>
              <w:top w:val="single" w:sz="4" w:space="0" w:color="auto"/>
              <w:bottom w:val="single" w:sz="4" w:space="0" w:color="auto"/>
            </w:tcBorders>
          </w:tcPr>
          <w:p w14:paraId="04B377F4" w14:textId="77777777" w:rsidR="005E6A50" w:rsidRPr="005E6A50" w:rsidRDefault="005E6A50" w:rsidP="00F4404E">
            <w:pPr>
              <w:rPr>
                <w:rFonts w:ascii="Noto Serif Light" w:hAnsi="Noto Serif Light" w:cs="Noto Serif Light"/>
                <w:lang w:val="en"/>
              </w:rPr>
            </w:pPr>
            <w:r w:rsidRPr="005E6A50">
              <w:rPr>
                <w:rFonts w:ascii="Noto Serif Light" w:hAnsi="Noto Serif Light" w:cs="Noto Serif Light"/>
                <w:lang w:val="en"/>
              </w:rPr>
              <w:t>16:10 – 16:20</w:t>
            </w:r>
          </w:p>
        </w:tc>
        <w:tc>
          <w:tcPr>
            <w:tcW w:w="14600" w:type="dxa"/>
            <w:gridSpan w:val="8"/>
          </w:tcPr>
          <w:p w14:paraId="740D882E" w14:textId="77777777" w:rsidR="005E6A50" w:rsidRPr="005E6A50" w:rsidRDefault="005E6A50" w:rsidP="00F4404E">
            <w:pPr>
              <w:rPr>
                <w:rFonts w:ascii="Noto Serif Light" w:hAnsi="Noto Serif Light" w:cs="Noto Serif Light"/>
                <w:b/>
                <w:bCs/>
              </w:rPr>
            </w:pPr>
            <w:r w:rsidRPr="005E6A50">
              <w:rPr>
                <w:rFonts w:ascii="Noto Serif Light" w:hAnsi="Noto Serif Light" w:cs="Noto Serif Light"/>
                <w:b/>
                <w:bCs/>
              </w:rPr>
              <w:t>Refreshment Break</w:t>
            </w:r>
          </w:p>
          <w:p w14:paraId="462E43EC" w14:textId="77777777" w:rsidR="005E6A50" w:rsidRPr="005E6A50" w:rsidRDefault="005E6A50" w:rsidP="00F4404E">
            <w:pPr>
              <w:rPr>
                <w:rFonts w:ascii="Noto Serif Light" w:hAnsi="Noto Serif Light" w:cs="Noto Serif Light"/>
                <w:b/>
                <w:bCs/>
              </w:rPr>
            </w:pPr>
          </w:p>
          <w:p w14:paraId="77F08E45" w14:textId="74D8D37E" w:rsidR="001140FC" w:rsidRPr="000A0BAC" w:rsidRDefault="005E6A50" w:rsidP="00F4404E">
            <w:pPr>
              <w:rPr>
                <w:rFonts w:ascii="Noto Serif Light" w:hAnsi="Noto Serif Light" w:cs="Noto Serif Light"/>
              </w:rPr>
            </w:pPr>
            <w:r w:rsidRPr="005E6A50">
              <w:rPr>
                <w:rFonts w:ascii="Noto Serif Light" w:hAnsi="Noto Serif Light" w:cs="Noto Serif Light"/>
                <w:b/>
                <w:bCs/>
              </w:rPr>
              <w:t xml:space="preserve">Location: </w:t>
            </w:r>
            <w:r w:rsidRPr="005E6A50">
              <w:rPr>
                <w:rFonts w:ascii="Noto Serif Light" w:hAnsi="Noto Serif Light" w:cs="Noto Serif Light"/>
              </w:rPr>
              <w:t>Alan Walters Atrium</w:t>
            </w:r>
          </w:p>
        </w:tc>
      </w:tr>
      <w:tr w:rsidR="005E6A50" w:rsidRPr="005E6A50" w14:paraId="2D78F2AB" w14:textId="77777777" w:rsidTr="00DE7B22">
        <w:trPr>
          <w:trHeight w:val="586"/>
        </w:trPr>
        <w:tc>
          <w:tcPr>
            <w:tcW w:w="1702" w:type="dxa"/>
            <w:tcBorders>
              <w:top w:val="single" w:sz="4" w:space="0" w:color="auto"/>
              <w:bottom w:val="single" w:sz="4" w:space="0" w:color="auto"/>
            </w:tcBorders>
          </w:tcPr>
          <w:p w14:paraId="208A5DE2" w14:textId="77777777" w:rsidR="005E6A50" w:rsidRPr="005E6A50" w:rsidRDefault="005E6A50" w:rsidP="00F4404E">
            <w:pPr>
              <w:rPr>
                <w:rFonts w:ascii="Noto Serif Light" w:hAnsi="Noto Serif Light" w:cs="Noto Serif Light"/>
                <w:lang w:val="en"/>
              </w:rPr>
            </w:pPr>
            <w:r w:rsidRPr="005E6A50">
              <w:rPr>
                <w:rFonts w:ascii="Noto Serif Light" w:hAnsi="Noto Serif Light" w:cs="Noto Serif Light"/>
                <w:lang w:val="en"/>
              </w:rPr>
              <w:t>16:20 – 16:55</w:t>
            </w:r>
          </w:p>
        </w:tc>
        <w:tc>
          <w:tcPr>
            <w:tcW w:w="14600" w:type="dxa"/>
            <w:gridSpan w:val="8"/>
            <w:shd w:val="clear" w:color="auto" w:fill="FDF3F1"/>
          </w:tcPr>
          <w:p w14:paraId="77405B66" w14:textId="77777777" w:rsidR="005E6A50" w:rsidRPr="005E6A50" w:rsidRDefault="005E6A50" w:rsidP="00F4404E">
            <w:pPr>
              <w:rPr>
                <w:rFonts w:ascii="Noto Serif Light" w:hAnsi="Noto Serif Light" w:cs="Noto Serif Light"/>
                <w:b/>
                <w:bCs/>
                <w:lang w:val="en"/>
              </w:rPr>
            </w:pPr>
            <w:r w:rsidRPr="005E6A50">
              <w:rPr>
                <w:rFonts w:ascii="Noto Serif Light" w:hAnsi="Noto Serif Light" w:cs="Noto Serif Light"/>
                <w:b/>
                <w:bCs/>
                <w:lang w:val="en"/>
              </w:rPr>
              <w:t>Journal Pitches: Journal Editors, Special Issue Guest Editors</w:t>
            </w:r>
          </w:p>
          <w:p w14:paraId="7AFF5003" w14:textId="77777777" w:rsidR="005E6A50" w:rsidRPr="005E6A50" w:rsidRDefault="005E6A50" w:rsidP="00F4404E">
            <w:pPr>
              <w:rPr>
                <w:rFonts w:ascii="Noto Serif Light" w:hAnsi="Noto Serif Light" w:cs="Noto Serif Light"/>
                <w:b/>
                <w:bCs/>
                <w:lang w:val="en"/>
              </w:rPr>
            </w:pPr>
          </w:p>
          <w:p w14:paraId="08E2A94D" w14:textId="77777777" w:rsidR="005E6A50" w:rsidRDefault="005E6A50" w:rsidP="00F4404E">
            <w:pPr>
              <w:rPr>
                <w:rFonts w:ascii="Noto Serif Light" w:hAnsi="Noto Serif Light" w:cs="Noto Serif Light"/>
              </w:rPr>
            </w:pPr>
            <w:r w:rsidRPr="005E6A50">
              <w:rPr>
                <w:rFonts w:ascii="Noto Serif Light" w:hAnsi="Noto Serif Light" w:cs="Noto Serif Light"/>
                <w:b/>
                <w:bCs/>
                <w:lang w:val="en"/>
              </w:rPr>
              <w:t>Location:</w:t>
            </w:r>
            <w:r w:rsidRPr="005E6A50">
              <w:rPr>
                <w:rFonts w:ascii="Noto Serif Light" w:hAnsi="Noto Serif Light" w:cs="Noto Serif Light"/>
              </w:rPr>
              <w:t xml:space="preserve"> G03 – Lecture Theatre 1</w:t>
            </w:r>
          </w:p>
          <w:p w14:paraId="2FAD7BF3" w14:textId="77777777" w:rsidR="001140FC" w:rsidRPr="005E6A50" w:rsidRDefault="001140FC" w:rsidP="00F4404E">
            <w:pPr>
              <w:rPr>
                <w:rFonts w:ascii="Noto Serif Light" w:hAnsi="Noto Serif Light" w:cs="Noto Serif Light"/>
                <w:b/>
                <w:bCs/>
                <w:lang w:val="en"/>
              </w:rPr>
            </w:pPr>
          </w:p>
        </w:tc>
      </w:tr>
      <w:tr w:rsidR="005E6A50" w:rsidRPr="005E6A50" w14:paraId="3647851F" w14:textId="77777777" w:rsidTr="00DE7B22">
        <w:trPr>
          <w:trHeight w:val="1825"/>
        </w:trPr>
        <w:tc>
          <w:tcPr>
            <w:tcW w:w="1702" w:type="dxa"/>
            <w:tcBorders>
              <w:top w:val="single" w:sz="4" w:space="0" w:color="auto"/>
              <w:bottom w:val="single" w:sz="4" w:space="0" w:color="auto"/>
            </w:tcBorders>
          </w:tcPr>
          <w:p w14:paraId="14025859" w14:textId="77777777" w:rsidR="005E6A50" w:rsidRPr="005E6A50" w:rsidRDefault="005E6A50" w:rsidP="00F4404E">
            <w:pPr>
              <w:rPr>
                <w:rFonts w:ascii="Noto Serif Light" w:hAnsi="Noto Serif Light" w:cs="Noto Serif Light"/>
                <w:lang w:val="en"/>
              </w:rPr>
            </w:pPr>
            <w:r w:rsidRPr="005E6A50">
              <w:rPr>
                <w:rFonts w:ascii="Noto Serif Light" w:hAnsi="Noto Serif Light" w:cs="Noto Serif Light"/>
                <w:lang w:val="en"/>
              </w:rPr>
              <w:t>1</w:t>
            </w:r>
            <w:r w:rsidRPr="005E6A50">
              <w:rPr>
                <w:rFonts w:ascii="Noto Serif Light" w:hAnsi="Noto Serif Light" w:cs="Noto Serif Light"/>
              </w:rPr>
              <w:t>7:05 – 17:50</w:t>
            </w:r>
          </w:p>
        </w:tc>
        <w:tc>
          <w:tcPr>
            <w:tcW w:w="14600" w:type="dxa"/>
            <w:gridSpan w:val="8"/>
            <w:shd w:val="clear" w:color="auto" w:fill="FDF3F1"/>
          </w:tcPr>
          <w:p w14:paraId="39041A16" w14:textId="77777777" w:rsidR="005E6A50" w:rsidRDefault="005E6A50" w:rsidP="00F4404E">
            <w:pPr>
              <w:rPr>
                <w:rFonts w:ascii="Noto Serif Light" w:hAnsi="Noto Serif Light" w:cs="Noto Serif Light"/>
                <w:b/>
                <w:bCs/>
                <w:lang w:val="en"/>
              </w:rPr>
            </w:pPr>
            <w:r w:rsidRPr="005E6A50">
              <w:rPr>
                <w:rFonts w:ascii="Noto Serif Light" w:hAnsi="Noto Serif Light" w:cs="Noto Serif Light"/>
                <w:b/>
                <w:bCs/>
                <w:lang w:val="en"/>
              </w:rPr>
              <w:t>Day 1 Special Session: Regional Innovation Policies, Industry 4.0 and Skills in an Era of Disruptive Changes</w:t>
            </w:r>
          </w:p>
          <w:p w14:paraId="56B0D591" w14:textId="19479895" w:rsidR="004A69C0" w:rsidRPr="004A69C0" w:rsidRDefault="004A69C0" w:rsidP="00F4404E">
            <w:pPr>
              <w:rPr>
                <w:rFonts w:ascii="Noto Serif Light" w:hAnsi="Noto Serif Light" w:cs="Noto Serif Light"/>
                <w:i/>
                <w:iCs/>
                <w:lang w:val="en"/>
              </w:rPr>
            </w:pPr>
            <w:r w:rsidRPr="005E6A50">
              <w:rPr>
                <w:rFonts w:ascii="Noto Serif Light" w:hAnsi="Noto Serif Light" w:cs="Noto Serif Light"/>
                <w:i/>
                <w:iCs/>
                <w:lang w:val="en"/>
              </w:rPr>
              <w:t>In memory of Professor Lisa De Propris</w:t>
            </w:r>
          </w:p>
          <w:p w14:paraId="20F1A3F0" w14:textId="77777777" w:rsidR="004A69C0" w:rsidRPr="005E6A50" w:rsidRDefault="004A69C0" w:rsidP="00F4404E">
            <w:pPr>
              <w:rPr>
                <w:rFonts w:ascii="Noto Serif Light" w:hAnsi="Noto Serif Light" w:cs="Noto Serif Light"/>
                <w:b/>
                <w:bCs/>
                <w:lang w:val="en"/>
              </w:rPr>
            </w:pPr>
          </w:p>
          <w:p w14:paraId="632818BE" w14:textId="77777777" w:rsidR="00667EF1" w:rsidRPr="00822C20" w:rsidRDefault="00667EF1" w:rsidP="00667EF1">
            <w:pPr>
              <w:rPr>
                <w:rFonts w:ascii="Noto Serif Light" w:hAnsi="Noto Serif Light" w:cs="Noto Serif Light"/>
              </w:rPr>
            </w:pPr>
            <w:r w:rsidRPr="004A69C0">
              <w:rPr>
                <w:rFonts w:ascii="Noto Serif Light" w:hAnsi="Noto Serif Light" w:cs="Noto Serif Light"/>
                <w:b/>
                <w:bCs/>
              </w:rPr>
              <w:t>Speakers: Professors Marco Bellandi, Sandrine Labory, Phil Tomlinson</w:t>
            </w:r>
            <w:r w:rsidRPr="00822C20">
              <w:rPr>
                <w:rFonts w:ascii="Noto Serif Light" w:hAnsi="Noto Serif Light" w:cs="Noto Serif Light"/>
              </w:rPr>
              <w:t xml:space="preserve"> and others</w:t>
            </w:r>
          </w:p>
          <w:p w14:paraId="332BC6F4" w14:textId="77777777" w:rsidR="001140FC" w:rsidRPr="005E6A50" w:rsidRDefault="001140FC" w:rsidP="00F4404E">
            <w:pPr>
              <w:rPr>
                <w:rFonts w:ascii="Noto Serif Light" w:hAnsi="Noto Serif Light" w:cs="Noto Serif Light"/>
                <w:b/>
                <w:bCs/>
                <w:lang w:val="en"/>
              </w:rPr>
            </w:pPr>
          </w:p>
          <w:p w14:paraId="72DD7E69" w14:textId="77777777" w:rsidR="005E6A50" w:rsidRPr="005E6A50" w:rsidRDefault="005E6A50" w:rsidP="00F4404E">
            <w:pPr>
              <w:rPr>
                <w:rFonts w:ascii="Noto Serif Light" w:hAnsi="Noto Serif Light" w:cs="Noto Serif Light"/>
                <w:lang w:val="en"/>
              </w:rPr>
            </w:pPr>
            <w:r w:rsidRPr="005E6A50">
              <w:rPr>
                <w:rFonts w:ascii="Noto Serif Light" w:hAnsi="Noto Serif Light" w:cs="Noto Serif Light"/>
                <w:b/>
                <w:bCs/>
                <w:lang w:val="en"/>
              </w:rPr>
              <w:t xml:space="preserve">Location: </w:t>
            </w:r>
            <w:r w:rsidRPr="005E6A50">
              <w:rPr>
                <w:rFonts w:ascii="Noto Serif Light" w:hAnsi="Noto Serif Light" w:cs="Noto Serif Light"/>
              </w:rPr>
              <w:t>G03 – Lecture Theatre 1</w:t>
            </w:r>
          </w:p>
        </w:tc>
      </w:tr>
      <w:tr w:rsidR="005E6A50" w:rsidRPr="005E6A50" w14:paraId="261B7CB9" w14:textId="77777777" w:rsidTr="00DE7B22">
        <w:trPr>
          <w:trHeight w:val="821"/>
        </w:trPr>
        <w:tc>
          <w:tcPr>
            <w:tcW w:w="1702" w:type="dxa"/>
            <w:tcBorders>
              <w:top w:val="single" w:sz="4" w:space="0" w:color="auto"/>
              <w:bottom w:val="single" w:sz="4" w:space="0" w:color="auto"/>
            </w:tcBorders>
          </w:tcPr>
          <w:p w14:paraId="70CABD37" w14:textId="77777777" w:rsidR="005E6A50" w:rsidRPr="005E6A50" w:rsidRDefault="005E6A50" w:rsidP="00F4404E">
            <w:pPr>
              <w:rPr>
                <w:rFonts w:ascii="Noto Serif Light" w:hAnsi="Noto Serif Light" w:cs="Noto Serif Light"/>
                <w:lang w:val="en"/>
              </w:rPr>
            </w:pPr>
            <w:r w:rsidRPr="005E6A50">
              <w:rPr>
                <w:rFonts w:ascii="Noto Serif Light" w:hAnsi="Noto Serif Light" w:cs="Noto Serif Light"/>
                <w:lang w:val="en"/>
              </w:rPr>
              <w:t>1</w:t>
            </w:r>
            <w:r w:rsidRPr="005E6A50">
              <w:rPr>
                <w:rFonts w:ascii="Noto Serif Light" w:hAnsi="Noto Serif Light" w:cs="Noto Serif Light"/>
              </w:rPr>
              <w:t>7:50 – 18:30</w:t>
            </w:r>
          </w:p>
        </w:tc>
        <w:tc>
          <w:tcPr>
            <w:tcW w:w="14600" w:type="dxa"/>
            <w:gridSpan w:val="8"/>
          </w:tcPr>
          <w:p w14:paraId="2CC9E7B5" w14:textId="02843919" w:rsidR="005E6A50" w:rsidRPr="001140FC" w:rsidRDefault="004A69C0" w:rsidP="00F4404E">
            <w:pPr>
              <w:rPr>
                <w:rFonts w:ascii="Noto Serif Light" w:hAnsi="Noto Serif Light" w:cs="Noto Serif Light"/>
                <w:b/>
                <w:bCs/>
                <w:i/>
                <w:iCs/>
                <w:lang w:val="en"/>
              </w:rPr>
            </w:pPr>
            <w:r w:rsidRPr="004A69C0">
              <w:rPr>
                <w:rFonts w:ascii="Noto Serif Light" w:hAnsi="Noto Serif Light" w:cs="Noto Serif Light"/>
                <w:b/>
                <w:bCs/>
                <w:lang w:val="en"/>
              </w:rPr>
              <w:t>Drinks Reception in Memory of Professor Lisa De Propris (courtesy of Birmingham Business School)</w:t>
            </w:r>
          </w:p>
          <w:p w14:paraId="58CAE6FD" w14:textId="77777777" w:rsidR="005E6A50" w:rsidRPr="005E6A50" w:rsidRDefault="005E6A50" w:rsidP="00F4404E">
            <w:pPr>
              <w:rPr>
                <w:rFonts w:ascii="Noto Serif Light" w:hAnsi="Noto Serif Light" w:cs="Noto Serif Light"/>
                <w:b/>
                <w:bCs/>
                <w:lang w:val="en"/>
              </w:rPr>
            </w:pPr>
          </w:p>
          <w:p w14:paraId="7B0C68C0" w14:textId="00BC6151" w:rsidR="005E6A50" w:rsidRPr="005E6A50" w:rsidRDefault="005E6A50" w:rsidP="00F4404E">
            <w:pPr>
              <w:rPr>
                <w:rFonts w:ascii="Noto Serif Light" w:hAnsi="Noto Serif Light" w:cs="Noto Serif Light"/>
                <w:b/>
                <w:bCs/>
                <w:lang w:val="en"/>
              </w:rPr>
            </w:pPr>
            <w:r w:rsidRPr="005E6A50">
              <w:rPr>
                <w:rFonts w:ascii="Noto Serif Light" w:hAnsi="Noto Serif Light" w:cs="Noto Serif Light"/>
                <w:b/>
                <w:bCs/>
                <w:lang w:val="en"/>
              </w:rPr>
              <w:t xml:space="preserve">Location: </w:t>
            </w:r>
            <w:r w:rsidRPr="005E6A50">
              <w:rPr>
                <w:rFonts w:ascii="Noto Serif Light" w:hAnsi="Noto Serif Light" w:cs="Noto Serif Light"/>
              </w:rPr>
              <w:t>Alan</w:t>
            </w:r>
            <w:r w:rsidR="004A69C0">
              <w:rPr>
                <w:rFonts w:ascii="Noto Serif Light" w:hAnsi="Noto Serif Light" w:cs="Noto Serif Light"/>
              </w:rPr>
              <w:t xml:space="preserve"> </w:t>
            </w:r>
            <w:r w:rsidRPr="005E6A50">
              <w:rPr>
                <w:rFonts w:ascii="Noto Serif Light" w:hAnsi="Noto Serif Light" w:cs="Noto Serif Light"/>
              </w:rPr>
              <w:t>Walters Atrium</w:t>
            </w:r>
          </w:p>
        </w:tc>
      </w:tr>
      <w:tr w:rsidR="005E6A50" w:rsidRPr="005E6A50" w14:paraId="4BB64AC8" w14:textId="77777777" w:rsidTr="00DE7B22">
        <w:trPr>
          <w:trHeight w:val="1048"/>
        </w:trPr>
        <w:tc>
          <w:tcPr>
            <w:tcW w:w="1702" w:type="dxa"/>
            <w:tcBorders>
              <w:top w:val="single" w:sz="4" w:space="0" w:color="auto"/>
            </w:tcBorders>
          </w:tcPr>
          <w:p w14:paraId="078C7923" w14:textId="77777777" w:rsidR="005E6A50" w:rsidRPr="005E6A50" w:rsidRDefault="005E6A50" w:rsidP="00F4404E">
            <w:pPr>
              <w:rPr>
                <w:rFonts w:ascii="Noto Serif Light" w:hAnsi="Noto Serif Light" w:cs="Noto Serif Light"/>
                <w:lang w:val="en"/>
              </w:rPr>
            </w:pPr>
            <w:r w:rsidRPr="005E6A50">
              <w:rPr>
                <w:rFonts w:ascii="Noto Serif Light" w:hAnsi="Noto Serif Light" w:cs="Noto Serif Light"/>
                <w:lang w:val="en"/>
              </w:rPr>
              <w:t>1</w:t>
            </w:r>
            <w:r w:rsidRPr="005E6A50">
              <w:rPr>
                <w:rFonts w:ascii="Noto Serif Light" w:hAnsi="Noto Serif Light" w:cs="Noto Serif Light"/>
              </w:rPr>
              <w:t>9:30 – 22:30</w:t>
            </w:r>
          </w:p>
        </w:tc>
        <w:tc>
          <w:tcPr>
            <w:tcW w:w="14600" w:type="dxa"/>
            <w:gridSpan w:val="8"/>
          </w:tcPr>
          <w:p w14:paraId="330FE279" w14:textId="77777777" w:rsidR="005E6A50" w:rsidRPr="005E6A50" w:rsidRDefault="005E6A50" w:rsidP="00F4404E">
            <w:pPr>
              <w:rPr>
                <w:rFonts w:ascii="Noto Serif Light" w:hAnsi="Noto Serif Light" w:cs="Noto Serif Light"/>
                <w:b/>
                <w:bCs/>
                <w:lang w:val="en"/>
              </w:rPr>
            </w:pPr>
            <w:r w:rsidRPr="005E6A50">
              <w:rPr>
                <w:rFonts w:ascii="Noto Serif Light" w:hAnsi="Noto Serif Light" w:cs="Noto Serif Light"/>
                <w:b/>
                <w:bCs/>
                <w:lang w:val="en"/>
              </w:rPr>
              <w:t>Conference Dinner</w:t>
            </w:r>
          </w:p>
          <w:p w14:paraId="036FFCA0" w14:textId="77777777" w:rsidR="005E6A50" w:rsidRPr="005E6A50" w:rsidRDefault="005E6A50" w:rsidP="00F4404E">
            <w:pPr>
              <w:rPr>
                <w:rFonts w:ascii="Noto Serif Light" w:hAnsi="Noto Serif Light" w:cs="Noto Serif Light"/>
                <w:b/>
                <w:bCs/>
                <w:lang w:val="en"/>
              </w:rPr>
            </w:pPr>
          </w:p>
          <w:p w14:paraId="7A3B303B" w14:textId="77777777" w:rsidR="005E6A50" w:rsidRPr="005E6A50" w:rsidRDefault="005E6A50" w:rsidP="00F4404E">
            <w:pPr>
              <w:rPr>
                <w:rFonts w:ascii="Noto Serif Light" w:hAnsi="Noto Serif Light" w:cs="Noto Serif Light"/>
                <w:b/>
                <w:bCs/>
                <w:lang w:val="en"/>
              </w:rPr>
            </w:pPr>
            <w:r w:rsidRPr="005E6A50">
              <w:rPr>
                <w:rFonts w:ascii="Noto Serif Light" w:hAnsi="Noto Serif Light" w:cs="Noto Serif Light"/>
                <w:b/>
                <w:bCs/>
                <w:lang w:val="en"/>
              </w:rPr>
              <w:t xml:space="preserve">Location: </w:t>
            </w:r>
            <w:r w:rsidRPr="005E6A50">
              <w:rPr>
                <w:rFonts w:ascii="Noto Serif Light" w:hAnsi="Noto Serif Light" w:cs="Noto Serif Light"/>
                <w:lang w:val="en"/>
              </w:rPr>
              <w:t>Industrial Gallery at the Birmingham Museum &amp; Art Gallery, Birmingham City Centre</w:t>
            </w:r>
          </w:p>
        </w:tc>
      </w:tr>
    </w:tbl>
    <w:p w14:paraId="6152A5D9" w14:textId="38EBABC0" w:rsidR="005E6A50" w:rsidRDefault="005E6A50">
      <w:r>
        <w:br w:type="page"/>
      </w:r>
    </w:p>
    <w:tbl>
      <w:tblPr>
        <w:tblStyle w:val="TableGrid"/>
        <w:tblW w:w="15593" w:type="dxa"/>
        <w:tblInd w:w="-856" w:type="dxa"/>
        <w:tblCellMar>
          <w:top w:w="113" w:type="dxa"/>
          <w:bottom w:w="113" w:type="dxa"/>
        </w:tblCellMar>
        <w:tblLook w:val="04A0" w:firstRow="1" w:lastRow="0" w:firstColumn="1" w:lastColumn="0" w:noHBand="0" w:noVBand="1"/>
      </w:tblPr>
      <w:tblGrid>
        <w:gridCol w:w="1702"/>
        <w:gridCol w:w="3004"/>
        <w:gridCol w:w="2722"/>
        <w:gridCol w:w="2721"/>
        <w:gridCol w:w="2722"/>
        <w:gridCol w:w="2722"/>
      </w:tblGrid>
      <w:tr w:rsidR="005E6A50" w:rsidRPr="005E6A50" w14:paraId="14036223" w14:textId="77777777" w:rsidTr="005E6A50">
        <w:tc>
          <w:tcPr>
            <w:tcW w:w="15593" w:type="dxa"/>
            <w:gridSpan w:val="6"/>
            <w:shd w:val="clear" w:color="auto" w:fill="A3331D"/>
          </w:tcPr>
          <w:p w14:paraId="2B5FC488" w14:textId="77777777" w:rsidR="005E6A50" w:rsidRPr="005E6A50" w:rsidRDefault="005E6A50" w:rsidP="00F4404E">
            <w:pPr>
              <w:rPr>
                <w:rFonts w:ascii="Noto Serif Light" w:hAnsi="Noto Serif Light" w:cs="Noto Serif Light"/>
                <w:b/>
                <w:bCs/>
                <w:color w:val="FFFFFF" w:themeColor="background1"/>
                <w:sz w:val="32"/>
                <w:szCs w:val="32"/>
              </w:rPr>
            </w:pPr>
            <w:r w:rsidRPr="005E6A50">
              <w:rPr>
                <w:rFonts w:ascii="Noto Serif Light" w:hAnsi="Noto Serif Light" w:cs="Noto Serif Light"/>
                <w:b/>
                <w:bCs/>
                <w:color w:val="FFFFFF" w:themeColor="background1"/>
                <w:sz w:val="32"/>
                <w:szCs w:val="32"/>
              </w:rPr>
              <w:lastRenderedPageBreak/>
              <w:t>Friday 18 September</w:t>
            </w:r>
          </w:p>
        </w:tc>
      </w:tr>
      <w:tr w:rsidR="009C3317" w:rsidRPr="005E6A50" w14:paraId="062BCAA1" w14:textId="77777777" w:rsidTr="00DD41EB">
        <w:trPr>
          <w:trHeight w:val="836"/>
        </w:trPr>
        <w:tc>
          <w:tcPr>
            <w:tcW w:w="1702" w:type="dxa"/>
          </w:tcPr>
          <w:p w14:paraId="52B70CA2" w14:textId="5FCAC2F4" w:rsidR="009C3317" w:rsidRPr="005E6A50" w:rsidRDefault="009C3317" w:rsidP="009C3317">
            <w:pPr>
              <w:rPr>
                <w:rFonts w:ascii="Noto Serif Light" w:hAnsi="Noto Serif Light" w:cs="Noto Serif Light"/>
                <w:lang w:val="en"/>
              </w:rPr>
            </w:pPr>
            <w:r>
              <w:rPr>
                <w:rFonts w:ascii="Noto Serif Light" w:hAnsi="Noto Serif Light" w:cs="Noto Serif Light"/>
                <w:lang w:val="en"/>
              </w:rPr>
              <w:t>8:30 – 9:</w:t>
            </w:r>
            <w:r w:rsidR="006563CB">
              <w:rPr>
                <w:rFonts w:ascii="Noto Serif Light" w:hAnsi="Noto Serif Light" w:cs="Noto Serif Light"/>
                <w:lang w:val="en"/>
              </w:rPr>
              <w:t>1</w:t>
            </w:r>
            <w:r>
              <w:rPr>
                <w:rFonts w:ascii="Noto Serif Light" w:hAnsi="Noto Serif Light" w:cs="Noto Serif Light"/>
                <w:lang w:val="en"/>
              </w:rPr>
              <w:t>5</w:t>
            </w:r>
          </w:p>
        </w:tc>
        <w:tc>
          <w:tcPr>
            <w:tcW w:w="13891" w:type="dxa"/>
            <w:gridSpan w:val="5"/>
          </w:tcPr>
          <w:p w14:paraId="7E68C8A6" w14:textId="07438D82" w:rsidR="009C3317" w:rsidRPr="005E6A50" w:rsidRDefault="006563CB" w:rsidP="009C3317">
            <w:pPr>
              <w:rPr>
                <w:rFonts w:ascii="Noto Serif Light" w:hAnsi="Noto Serif Light" w:cs="Noto Serif Light"/>
                <w:b/>
                <w:bCs/>
                <w:lang w:val="en"/>
              </w:rPr>
            </w:pPr>
            <w:r>
              <w:rPr>
                <w:rFonts w:ascii="Noto Serif Light" w:hAnsi="Noto Serif Light" w:cs="Noto Serif Light"/>
                <w:b/>
                <w:bCs/>
                <w:lang w:val="en"/>
              </w:rPr>
              <w:t>Arrival Refreshments</w:t>
            </w:r>
          </w:p>
          <w:p w14:paraId="14E676D4" w14:textId="77777777" w:rsidR="009C3317" w:rsidRPr="005E6A50" w:rsidRDefault="009C3317" w:rsidP="009C3317">
            <w:pPr>
              <w:rPr>
                <w:rFonts w:ascii="Noto Serif Light" w:hAnsi="Noto Serif Light" w:cs="Noto Serif Light"/>
                <w:b/>
                <w:bCs/>
                <w:lang w:val="en"/>
              </w:rPr>
            </w:pPr>
          </w:p>
          <w:p w14:paraId="536C8B60" w14:textId="3B2246FB" w:rsidR="000A0BAC" w:rsidRPr="004A69C0" w:rsidRDefault="009C3317" w:rsidP="009C3317">
            <w:pPr>
              <w:rPr>
                <w:rFonts w:ascii="Noto Serif Light" w:hAnsi="Noto Serif Light" w:cs="Noto Serif Light"/>
              </w:rPr>
            </w:pPr>
            <w:r w:rsidRPr="005E6A50">
              <w:rPr>
                <w:rFonts w:ascii="Noto Serif Light" w:hAnsi="Noto Serif Light" w:cs="Noto Serif Light"/>
                <w:b/>
                <w:bCs/>
                <w:lang w:val="en"/>
              </w:rPr>
              <w:t xml:space="preserve">Location: </w:t>
            </w:r>
            <w:r w:rsidRPr="005E6A50">
              <w:rPr>
                <w:rFonts w:ascii="Noto Serif Light" w:hAnsi="Noto Serif Light" w:cs="Noto Serif Light"/>
              </w:rPr>
              <w:t>Alan Walters Atrium</w:t>
            </w:r>
          </w:p>
        </w:tc>
      </w:tr>
      <w:tr w:rsidR="005E6A50" w:rsidRPr="005E6A50" w14:paraId="4CE9CC59" w14:textId="77777777" w:rsidTr="00DD41EB">
        <w:tc>
          <w:tcPr>
            <w:tcW w:w="1702" w:type="dxa"/>
            <w:vMerge w:val="restart"/>
          </w:tcPr>
          <w:p w14:paraId="60D88C30" w14:textId="77777777" w:rsidR="005E6A50" w:rsidRPr="005E6A50" w:rsidRDefault="005E6A50" w:rsidP="00F4404E">
            <w:pPr>
              <w:rPr>
                <w:rFonts w:ascii="Noto Serif Light" w:hAnsi="Noto Serif Light" w:cs="Noto Serif Light"/>
                <w:lang w:val="en"/>
              </w:rPr>
            </w:pPr>
            <w:r w:rsidRPr="005E6A50">
              <w:rPr>
                <w:rFonts w:ascii="Noto Serif Light" w:hAnsi="Noto Serif Light" w:cs="Noto Serif Light"/>
                <w:lang w:val="en"/>
              </w:rPr>
              <w:t>9:15 – 10:45</w:t>
            </w:r>
          </w:p>
        </w:tc>
        <w:tc>
          <w:tcPr>
            <w:tcW w:w="13891" w:type="dxa"/>
            <w:gridSpan w:val="5"/>
            <w:shd w:val="clear" w:color="auto" w:fill="F4CAC2"/>
          </w:tcPr>
          <w:p w14:paraId="6E870578" w14:textId="77777777" w:rsidR="005E6A50" w:rsidRPr="005E6A50" w:rsidRDefault="005E6A50" w:rsidP="00F4404E">
            <w:pPr>
              <w:rPr>
                <w:rFonts w:ascii="Noto Serif Light" w:hAnsi="Noto Serif Light" w:cs="Noto Serif Light"/>
                <w:b/>
                <w:bCs/>
                <w:sz w:val="20"/>
                <w:szCs w:val="20"/>
                <w:lang w:val="en"/>
              </w:rPr>
            </w:pPr>
            <w:r w:rsidRPr="005E6A50">
              <w:rPr>
                <w:rFonts w:ascii="Noto Serif Light" w:hAnsi="Noto Serif Light" w:cs="Noto Serif Light"/>
                <w:b/>
                <w:bCs/>
                <w:lang w:val="en"/>
              </w:rPr>
              <w:t>Parallel Session 4</w:t>
            </w:r>
          </w:p>
        </w:tc>
      </w:tr>
      <w:tr w:rsidR="005E6A50" w:rsidRPr="005E6A50" w14:paraId="6A24830F" w14:textId="77777777" w:rsidTr="00DD41EB">
        <w:tc>
          <w:tcPr>
            <w:tcW w:w="1702" w:type="dxa"/>
            <w:vMerge/>
          </w:tcPr>
          <w:p w14:paraId="405140A2" w14:textId="77777777" w:rsidR="005E6A50" w:rsidRPr="005E6A50" w:rsidRDefault="005E6A50" w:rsidP="00F4404E">
            <w:pPr>
              <w:rPr>
                <w:rFonts w:ascii="Noto Serif Light" w:hAnsi="Noto Serif Light" w:cs="Noto Serif Light"/>
                <w:lang w:val="en"/>
              </w:rPr>
            </w:pPr>
          </w:p>
        </w:tc>
        <w:tc>
          <w:tcPr>
            <w:tcW w:w="3004" w:type="dxa"/>
            <w:shd w:val="clear" w:color="auto" w:fill="F9E0DB"/>
          </w:tcPr>
          <w:p w14:paraId="4AE1CA2F" w14:textId="77777777" w:rsidR="005E6A50" w:rsidRDefault="005E6A50" w:rsidP="00F4404E">
            <w:pPr>
              <w:rPr>
                <w:rFonts w:ascii="Noto Serif Light" w:hAnsi="Noto Serif Light" w:cs="Noto Serif Light"/>
                <w:b/>
                <w:bCs/>
                <w:sz w:val="22"/>
                <w:szCs w:val="22"/>
                <w:lang w:val="en"/>
              </w:rPr>
            </w:pPr>
            <w:r w:rsidRPr="005E6A50">
              <w:rPr>
                <w:rFonts w:ascii="Noto Serif Light" w:hAnsi="Noto Serif Light" w:cs="Noto Serif Light"/>
                <w:b/>
                <w:bCs/>
                <w:sz w:val="22"/>
                <w:szCs w:val="22"/>
                <w:lang w:val="en"/>
              </w:rPr>
              <w:t>A2: Creating the Future with Narratives and New Industrial Paths </w:t>
            </w:r>
          </w:p>
          <w:p w14:paraId="16B44751" w14:textId="77777777" w:rsidR="003E1AF5" w:rsidRDefault="003E1AF5" w:rsidP="00F4404E">
            <w:pPr>
              <w:rPr>
                <w:rFonts w:ascii="Noto Serif Light" w:hAnsi="Noto Serif Light" w:cs="Noto Serif Light"/>
                <w:b/>
                <w:bCs/>
                <w:sz w:val="22"/>
                <w:szCs w:val="22"/>
                <w:lang w:val="en"/>
              </w:rPr>
            </w:pPr>
          </w:p>
          <w:p w14:paraId="3D9E2F1F" w14:textId="77777777" w:rsidR="00ED39C8" w:rsidRDefault="00ED39C8" w:rsidP="00F4404E">
            <w:pPr>
              <w:rPr>
                <w:rFonts w:ascii="Noto Serif Light" w:hAnsi="Noto Serif Light" w:cs="Noto Serif Light"/>
                <w:b/>
                <w:bCs/>
                <w:sz w:val="22"/>
                <w:szCs w:val="22"/>
                <w:lang w:val="en"/>
              </w:rPr>
            </w:pPr>
          </w:p>
          <w:p w14:paraId="08295993" w14:textId="4EF0E4EE" w:rsidR="003E1AF5" w:rsidRPr="005E6A50" w:rsidRDefault="003E1AF5" w:rsidP="00F4404E">
            <w:pPr>
              <w:rPr>
                <w:rFonts w:ascii="Noto Serif Light" w:hAnsi="Noto Serif Light" w:cs="Noto Serif Light"/>
                <w:b/>
                <w:bCs/>
                <w:sz w:val="22"/>
                <w:szCs w:val="22"/>
                <w:lang w:val="en"/>
              </w:rPr>
            </w:pPr>
            <w:r>
              <w:rPr>
                <w:rFonts w:ascii="Noto Serif Light" w:hAnsi="Noto Serif Light" w:cs="Noto Serif Light"/>
                <w:b/>
                <w:bCs/>
                <w:sz w:val="22"/>
                <w:szCs w:val="22"/>
              </w:rPr>
              <w:t xml:space="preserve">Location: </w:t>
            </w:r>
            <w:r>
              <w:rPr>
                <w:rFonts w:ascii="Noto Serif Light" w:hAnsi="Noto Serif Light" w:cs="Noto Serif Light"/>
                <w:sz w:val="22"/>
                <w:szCs w:val="22"/>
              </w:rPr>
              <w:t>G03 – Lecture Theatre 1</w:t>
            </w:r>
          </w:p>
        </w:tc>
        <w:tc>
          <w:tcPr>
            <w:tcW w:w="2722" w:type="dxa"/>
            <w:shd w:val="clear" w:color="auto" w:fill="FDF3F1"/>
          </w:tcPr>
          <w:p w14:paraId="355E2442" w14:textId="77777777" w:rsidR="005E6A50" w:rsidRDefault="005E6A50" w:rsidP="00F4404E">
            <w:pPr>
              <w:rPr>
                <w:rFonts w:ascii="Noto Serif Light" w:hAnsi="Noto Serif Light" w:cs="Noto Serif Light"/>
                <w:b/>
                <w:bCs/>
                <w:sz w:val="22"/>
                <w:szCs w:val="22"/>
                <w:lang w:val="en"/>
              </w:rPr>
            </w:pPr>
            <w:r w:rsidRPr="005E6A50">
              <w:rPr>
                <w:rFonts w:ascii="Noto Serif Light" w:hAnsi="Noto Serif Light" w:cs="Noto Serif Light"/>
                <w:b/>
                <w:bCs/>
                <w:sz w:val="22"/>
                <w:szCs w:val="22"/>
                <w:lang w:val="en"/>
              </w:rPr>
              <w:t>Regional Innovation Policies and Skills Development </w:t>
            </w:r>
          </w:p>
          <w:p w14:paraId="70A1F208" w14:textId="77777777" w:rsidR="003E1AF5" w:rsidRDefault="003E1AF5" w:rsidP="00F4404E">
            <w:pPr>
              <w:rPr>
                <w:rFonts w:ascii="Noto Serif Light" w:hAnsi="Noto Serif Light" w:cs="Noto Serif Light"/>
                <w:b/>
                <w:bCs/>
                <w:sz w:val="22"/>
                <w:szCs w:val="22"/>
                <w:lang w:val="en"/>
              </w:rPr>
            </w:pPr>
          </w:p>
          <w:p w14:paraId="2053F2C8" w14:textId="77777777" w:rsidR="00ED39C8" w:rsidRDefault="00ED39C8" w:rsidP="00F4404E">
            <w:pPr>
              <w:rPr>
                <w:rFonts w:ascii="Noto Serif Light" w:hAnsi="Noto Serif Light" w:cs="Noto Serif Light"/>
                <w:b/>
                <w:bCs/>
                <w:sz w:val="22"/>
                <w:szCs w:val="22"/>
                <w:lang w:val="en"/>
              </w:rPr>
            </w:pPr>
          </w:p>
          <w:p w14:paraId="77A1D93B" w14:textId="4305C11A" w:rsidR="005E6A50" w:rsidRPr="005E6A50" w:rsidRDefault="003E1AF5" w:rsidP="00F4404E">
            <w:pPr>
              <w:rPr>
                <w:rFonts w:ascii="Noto Serif Light" w:hAnsi="Noto Serif Light" w:cs="Noto Serif Light"/>
                <w:b/>
                <w:bCs/>
                <w:sz w:val="22"/>
                <w:szCs w:val="22"/>
                <w:lang w:val="en"/>
              </w:rPr>
            </w:pPr>
            <w:r>
              <w:rPr>
                <w:rFonts w:ascii="Noto Serif Light" w:hAnsi="Noto Serif Light" w:cs="Noto Serif Light"/>
                <w:b/>
                <w:bCs/>
                <w:sz w:val="22"/>
                <w:szCs w:val="22"/>
              </w:rPr>
              <w:t xml:space="preserve">Location: </w:t>
            </w:r>
            <w:r>
              <w:rPr>
                <w:rFonts w:ascii="Noto Serif Light" w:hAnsi="Noto Serif Light" w:cs="Noto Serif Light"/>
                <w:sz w:val="22"/>
                <w:szCs w:val="22"/>
              </w:rPr>
              <w:t>G11 – Lecture Theatre 2</w:t>
            </w:r>
          </w:p>
        </w:tc>
        <w:tc>
          <w:tcPr>
            <w:tcW w:w="2721" w:type="dxa"/>
            <w:shd w:val="clear" w:color="auto" w:fill="FEF5F0"/>
          </w:tcPr>
          <w:p w14:paraId="1717A3CC" w14:textId="77777777" w:rsidR="005E6A50" w:rsidRPr="005E6A50" w:rsidRDefault="005E6A50" w:rsidP="00F4404E">
            <w:pPr>
              <w:rPr>
                <w:rFonts w:ascii="Noto Serif Light" w:hAnsi="Noto Serif Light" w:cs="Noto Serif Light"/>
                <w:b/>
                <w:bCs/>
                <w:sz w:val="22"/>
                <w:szCs w:val="22"/>
                <w:lang w:val="en"/>
              </w:rPr>
            </w:pPr>
            <w:r w:rsidRPr="005E6A50">
              <w:rPr>
                <w:rFonts w:ascii="Noto Serif Light" w:hAnsi="Noto Serif Light" w:cs="Noto Serif Light"/>
                <w:b/>
                <w:bCs/>
                <w:sz w:val="22"/>
                <w:szCs w:val="22"/>
                <w:lang w:val="en"/>
              </w:rPr>
              <w:t>Forms of Intermediaries - Governance and Innovation Ecosystems </w:t>
            </w:r>
          </w:p>
          <w:p w14:paraId="34A67A4C" w14:textId="77777777" w:rsidR="005E6A50" w:rsidRDefault="005E6A50" w:rsidP="00F4404E">
            <w:pPr>
              <w:rPr>
                <w:rFonts w:ascii="Noto Serif Light" w:hAnsi="Noto Serif Light" w:cs="Noto Serif Light"/>
                <w:b/>
                <w:bCs/>
                <w:sz w:val="22"/>
                <w:szCs w:val="22"/>
                <w:lang w:val="en"/>
              </w:rPr>
            </w:pPr>
          </w:p>
          <w:p w14:paraId="41FFE7FD" w14:textId="77777777" w:rsidR="00ED39C8" w:rsidRDefault="00ED39C8" w:rsidP="00F4404E">
            <w:pPr>
              <w:rPr>
                <w:rFonts w:ascii="Noto Serif Light" w:hAnsi="Noto Serif Light" w:cs="Noto Serif Light"/>
                <w:b/>
                <w:bCs/>
                <w:sz w:val="22"/>
                <w:szCs w:val="22"/>
                <w:lang w:val="en"/>
              </w:rPr>
            </w:pPr>
          </w:p>
          <w:p w14:paraId="00F38A3A" w14:textId="1BC51E98" w:rsidR="00ED39C8" w:rsidRPr="00ED39C8" w:rsidRDefault="00ED39C8" w:rsidP="00F4404E">
            <w:pPr>
              <w:rPr>
                <w:rFonts w:ascii="Noto Serif Light" w:hAnsi="Noto Serif Light" w:cs="Noto Serif Light"/>
                <w:sz w:val="22"/>
                <w:szCs w:val="22"/>
                <w:lang w:val="en"/>
              </w:rPr>
            </w:pPr>
            <w:r>
              <w:rPr>
                <w:rFonts w:ascii="Noto Serif Light" w:hAnsi="Noto Serif Light" w:cs="Noto Serif Light"/>
                <w:b/>
                <w:bCs/>
                <w:sz w:val="22"/>
                <w:szCs w:val="22"/>
                <w:lang w:val="en"/>
              </w:rPr>
              <w:t xml:space="preserve">Location: </w:t>
            </w:r>
            <w:r>
              <w:rPr>
                <w:rFonts w:ascii="Noto Serif Light" w:hAnsi="Noto Serif Light" w:cs="Noto Serif Light"/>
                <w:sz w:val="22"/>
                <w:szCs w:val="22"/>
                <w:lang w:val="en"/>
              </w:rPr>
              <w:t xml:space="preserve">103 </w:t>
            </w:r>
            <w:r>
              <w:rPr>
                <w:rFonts w:ascii="Noto Serif Light" w:hAnsi="Noto Serif Light" w:cs="Noto Serif Light"/>
                <w:sz w:val="22"/>
                <w:szCs w:val="22"/>
              </w:rPr>
              <w:t>– Lecture Theatre 3</w:t>
            </w:r>
          </w:p>
        </w:tc>
        <w:tc>
          <w:tcPr>
            <w:tcW w:w="2722" w:type="dxa"/>
            <w:shd w:val="clear" w:color="auto" w:fill="FEEEE6"/>
          </w:tcPr>
          <w:p w14:paraId="73F7287A" w14:textId="77777777" w:rsidR="005E6A50" w:rsidRDefault="005E6A50" w:rsidP="00F4404E">
            <w:pPr>
              <w:rPr>
                <w:rFonts w:ascii="Noto Serif Light" w:hAnsi="Noto Serif Light" w:cs="Noto Serif Light"/>
                <w:b/>
                <w:bCs/>
                <w:sz w:val="22"/>
                <w:szCs w:val="22"/>
                <w:lang w:val="en"/>
              </w:rPr>
            </w:pPr>
            <w:r w:rsidRPr="005E6A50">
              <w:rPr>
                <w:rFonts w:ascii="Noto Serif Light" w:hAnsi="Noto Serif Light" w:cs="Noto Serif Light"/>
                <w:b/>
                <w:bCs/>
                <w:sz w:val="22"/>
                <w:szCs w:val="22"/>
                <w:lang w:val="en"/>
              </w:rPr>
              <w:t>Innovation Policy and Transformation - Missions, Goals and Paradox </w:t>
            </w:r>
          </w:p>
          <w:p w14:paraId="76D30149" w14:textId="77777777" w:rsidR="00ED39C8" w:rsidRDefault="00ED39C8" w:rsidP="00F4404E">
            <w:pPr>
              <w:rPr>
                <w:rFonts w:ascii="Noto Serif Light" w:hAnsi="Noto Serif Light" w:cs="Noto Serif Light"/>
                <w:b/>
                <w:bCs/>
                <w:sz w:val="22"/>
                <w:szCs w:val="22"/>
                <w:lang w:val="en"/>
              </w:rPr>
            </w:pPr>
          </w:p>
          <w:p w14:paraId="1FF564C0" w14:textId="306DBAFA" w:rsidR="00ED39C8" w:rsidRPr="00ED39C8" w:rsidRDefault="00ED39C8" w:rsidP="00F4404E">
            <w:pPr>
              <w:rPr>
                <w:rFonts w:ascii="Noto Serif Light" w:hAnsi="Noto Serif Light" w:cs="Noto Serif Light"/>
                <w:sz w:val="22"/>
                <w:szCs w:val="22"/>
                <w:lang w:val="en"/>
              </w:rPr>
            </w:pPr>
            <w:r>
              <w:rPr>
                <w:rFonts w:ascii="Noto Serif Light" w:hAnsi="Noto Serif Light" w:cs="Noto Serif Light"/>
                <w:b/>
                <w:bCs/>
                <w:sz w:val="22"/>
                <w:szCs w:val="22"/>
                <w:lang w:val="en"/>
              </w:rPr>
              <w:t xml:space="preserve">Location: </w:t>
            </w:r>
            <w:r>
              <w:rPr>
                <w:rFonts w:ascii="Noto Serif Light" w:hAnsi="Noto Serif Light" w:cs="Noto Serif Light"/>
                <w:sz w:val="22"/>
                <w:szCs w:val="22"/>
                <w:lang w:val="en"/>
              </w:rPr>
              <w:t xml:space="preserve">111 </w:t>
            </w:r>
            <w:r>
              <w:rPr>
                <w:rFonts w:ascii="Noto Serif Light" w:hAnsi="Noto Serif Light" w:cs="Noto Serif Light"/>
                <w:sz w:val="22"/>
                <w:szCs w:val="22"/>
              </w:rPr>
              <w:t>– Lecture Theatre 4</w:t>
            </w:r>
          </w:p>
        </w:tc>
        <w:tc>
          <w:tcPr>
            <w:tcW w:w="2722" w:type="dxa"/>
            <w:shd w:val="clear" w:color="auto" w:fill="F9E0DB"/>
          </w:tcPr>
          <w:p w14:paraId="2426EAF0" w14:textId="77777777" w:rsidR="005E6A50" w:rsidRPr="005E6A50" w:rsidRDefault="005E6A50" w:rsidP="00F4404E">
            <w:pPr>
              <w:rPr>
                <w:rFonts w:ascii="Noto Serif Light" w:hAnsi="Noto Serif Light" w:cs="Noto Serif Light"/>
                <w:b/>
                <w:bCs/>
                <w:sz w:val="22"/>
                <w:szCs w:val="22"/>
                <w:lang w:val="en"/>
              </w:rPr>
            </w:pPr>
            <w:r w:rsidRPr="005E6A50">
              <w:rPr>
                <w:rFonts w:ascii="Noto Serif Light" w:hAnsi="Noto Serif Light" w:cs="Noto Serif Light"/>
                <w:b/>
                <w:bCs/>
                <w:sz w:val="22"/>
                <w:szCs w:val="22"/>
                <w:lang w:val="en"/>
              </w:rPr>
              <w:t>E: Inclusive and Sustainable Regional Food Systems </w:t>
            </w:r>
          </w:p>
          <w:p w14:paraId="4293937B" w14:textId="77777777" w:rsidR="005E6A50" w:rsidRDefault="005E6A50" w:rsidP="00F4404E">
            <w:pPr>
              <w:rPr>
                <w:rFonts w:ascii="Noto Serif Light" w:hAnsi="Noto Serif Light" w:cs="Noto Serif Light"/>
                <w:b/>
                <w:bCs/>
                <w:sz w:val="22"/>
                <w:szCs w:val="22"/>
                <w:lang w:val="en"/>
              </w:rPr>
            </w:pPr>
          </w:p>
          <w:p w14:paraId="01F7E952" w14:textId="77777777" w:rsidR="00ED39C8" w:rsidRDefault="00ED39C8" w:rsidP="00F4404E">
            <w:pPr>
              <w:rPr>
                <w:rFonts w:ascii="Noto Serif Light" w:hAnsi="Noto Serif Light" w:cs="Noto Serif Light"/>
                <w:b/>
                <w:bCs/>
                <w:sz w:val="22"/>
                <w:szCs w:val="22"/>
                <w:lang w:val="en"/>
              </w:rPr>
            </w:pPr>
          </w:p>
          <w:p w14:paraId="040FB878" w14:textId="4654F846" w:rsidR="00ED39C8" w:rsidRPr="00ED39C8" w:rsidRDefault="00ED39C8" w:rsidP="00F4404E">
            <w:pPr>
              <w:rPr>
                <w:rFonts w:ascii="Noto Serif Light" w:hAnsi="Noto Serif Light" w:cs="Noto Serif Light"/>
                <w:sz w:val="22"/>
                <w:szCs w:val="22"/>
                <w:lang w:val="en"/>
              </w:rPr>
            </w:pPr>
            <w:r>
              <w:rPr>
                <w:rFonts w:ascii="Noto Serif Light" w:hAnsi="Noto Serif Light" w:cs="Noto Serif Light"/>
                <w:b/>
                <w:bCs/>
                <w:sz w:val="22"/>
                <w:szCs w:val="22"/>
                <w:lang w:val="en"/>
              </w:rPr>
              <w:t xml:space="preserve">Location: </w:t>
            </w:r>
            <w:r>
              <w:rPr>
                <w:rFonts w:ascii="Noto Serif Light" w:hAnsi="Noto Serif Light" w:cs="Noto Serif Light"/>
                <w:sz w:val="22"/>
                <w:szCs w:val="22"/>
                <w:lang w:val="en"/>
              </w:rPr>
              <w:t xml:space="preserve">112 </w:t>
            </w:r>
            <w:r>
              <w:rPr>
                <w:rFonts w:ascii="Noto Serif Light" w:hAnsi="Noto Serif Light" w:cs="Noto Serif Light"/>
                <w:sz w:val="22"/>
                <w:szCs w:val="22"/>
              </w:rPr>
              <w:t>– Lecture Theatre 5</w:t>
            </w:r>
          </w:p>
        </w:tc>
      </w:tr>
      <w:tr w:rsidR="004A69C0" w:rsidRPr="005E6A50" w14:paraId="42679342" w14:textId="77777777" w:rsidTr="00DD41EB">
        <w:tc>
          <w:tcPr>
            <w:tcW w:w="1702" w:type="dxa"/>
            <w:vMerge/>
          </w:tcPr>
          <w:p w14:paraId="52A951F0" w14:textId="77777777" w:rsidR="004A69C0" w:rsidRPr="005E6A50" w:rsidRDefault="004A69C0" w:rsidP="00F4404E">
            <w:pPr>
              <w:rPr>
                <w:rFonts w:ascii="Noto Serif Light" w:hAnsi="Noto Serif Light" w:cs="Noto Serif Light"/>
                <w:lang w:val="en"/>
              </w:rPr>
            </w:pPr>
          </w:p>
        </w:tc>
        <w:tc>
          <w:tcPr>
            <w:tcW w:w="3004" w:type="dxa"/>
            <w:shd w:val="clear" w:color="auto" w:fill="F9E0DB"/>
          </w:tcPr>
          <w:p w14:paraId="44B953D5" w14:textId="11F4B13C" w:rsidR="004A69C0" w:rsidRDefault="004A69C0" w:rsidP="00F4404E">
            <w:pPr>
              <w:pStyle w:val="paragraph"/>
              <w:spacing w:before="0" w:beforeAutospacing="0" w:after="0" w:afterAutospacing="0"/>
              <w:textAlignment w:val="baseline"/>
              <w:rPr>
                <w:rFonts w:ascii="Noto Serif Light" w:eastAsiaTheme="minorHAnsi" w:hAnsi="Noto Serif Light" w:cs="Noto Serif Light"/>
                <w:b/>
                <w:bCs/>
                <w:kern w:val="2"/>
                <w:sz w:val="20"/>
                <w:szCs w:val="20"/>
                <w:lang w:val="en" w:eastAsia="en-US"/>
                <w14:ligatures w14:val="standardContextual"/>
              </w:rPr>
            </w:pPr>
            <w:r w:rsidRPr="004A69C0">
              <w:rPr>
                <w:rFonts w:ascii="Noto Serif Light" w:eastAsiaTheme="minorHAnsi" w:hAnsi="Noto Serif Light" w:cs="Noto Serif Light"/>
                <w:b/>
                <w:bCs/>
                <w:kern w:val="2"/>
                <w:sz w:val="20"/>
                <w:szCs w:val="20"/>
                <w:lang w:val="en" w:eastAsia="en-US"/>
                <w14:ligatures w14:val="standardContextual"/>
              </w:rPr>
              <w:t>Chair: Huiwen Gong</w:t>
            </w:r>
          </w:p>
        </w:tc>
        <w:tc>
          <w:tcPr>
            <w:tcW w:w="2722" w:type="dxa"/>
            <w:shd w:val="clear" w:color="auto" w:fill="FDF3F1"/>
          </w:tcPr>
          <w:p w14:paraId="14D1DE95" w14:textId="758D6BAF" w:rsidR="004A69C0" w:rsidRDefault="004A69C0" w:rsidP="00F4404E">
            <w:pPr>
              <w:pStyle w:val="paragraph"/>
              <w:spacing w:before="0" w:beforeAutospacing="0" w:after="0" w:afterAutospacing="0"/>
              <w:textAlignment w:val="baseline"/>
              <w:rPr>
                <w:rFonts w:ascii="Noto Serif Light" w:eastAsiaTheme="minorHAnsi" w:hAnsi="Noto Serif Light" w:cs="Noto Serif Light"/>
                <w:b/>
                <w:bCs/>
                <w:kern w:val="2"/>
                <w:sz w:val="20"/>
                <w:szCs w:val="20"/>
                <w:lang w:val="en" w:eastAsia="en-US"/>
                <w14:ligatures w14:val="standardContextual"/>
              </w:rPr>
            </w:pPr>
            <w:r w:rsidRPr="004A69C0">
              <w:rPr>
                <w:rFonts w:ascii="Noto Serif Light" w:eastAsiaTheme="minorHAnsi" w:hAnsi="Noto Serif Light" w:cs="Noto Serif Light"/>
                <w:b/>
                <w:bCs/>
                <w:kern w:val="2"/>
                <w:sz w:val="20"/>
                <w:szCs w:val="20"/>
                <w:lang w:val="en" w:eastAsia="en-US"/>
                <w14:ligatures w14:val="standardContextual"/>
              </w:rPr>
              <w:t>Chair: Anne Green</w:t>
            </w:r>
          </w:p>
        </w:tc>
        <w:tc>
          <w:tcPr>
            <w:tcW w:w="2721" w:type="dxa"/>
            <w:shd w:val="clear" w:color="auto" w:fill="FEF5F0"/>
          </w:tcPr>
          <w:p w14:paraId="5254C98D" w14:textId="6C545E08" w:rsidR="004A69C0" w:rsidRDefault="004A69C0" w:rsidP="00F4404E">
            <w:pPr>
              <w:pStyle w:val="paragraph"/>
              <w:spacing w:before="0" w:beforeAutospacing="0" w:after="0" w:afterAutospacing="0"/>
              <w:textAlignment w:val="baseline"/>
              <w:rPr>
                <w:rFonts w:ascii="Noto Serif Light" w:eastAsiaTheme="minorHAnsi" w:hAnsi="Noto Serif Light" w:cs="Noto Serif Light"/>
                <w:b/>
                <w:bCs/>
                <w:kern w:val="2"/>
                <w:sz w:val="20"/>
                <w:szCs w:val="20"/>
                <w:lang w:val="en" w:eastAsia="en-US"/>
                <w14:ligatures w14:val="standardContextual"/>
              </w:rPr>
            </w:pPr>
            <w:r w:rsidRPr="004A69C0">
              <w:rPr>
                <w:rFonts w:ascii="Noto Serif Light" w:eastAsiaTheme="minorHAnsi" w:hAnsi="Noto Serif Light" w:cs="Noto Serif Light"/>
                <w:b/>
                <w:bCs/>
                <w:kern w:val="2"/>
                <w:sz w:val="20"/>
                <w:szCs w:val="20"/>
                <w:lang w:val="en" w:eastAsia="en-US"/>
                <w14:ligatures w14:val="standardContextual"/>
              </w:rPr>
              <w:t>Chair: Paige Clayton</w:t>
            </w:r>
          </w:p>
        </w:tc>
        <w:tc>
          <w:tcPr>
            <w:tcW w:w="2722" w:type="dxa"/>
            <w:shd w:val="clear" w:color="auto" w:fill="FEEEE6"/>
          </w:tcPr>
          <w:p w14:paraId="19C514BF" w14:textId="5B5C4C33" w:rsidR="004A69C0" w:rsidRDefault="004A69C0" w:rsidP="00F4404E">
            <w:pPr>
              <w:pStyle w:val="paragraph"/>
              <w:spacing w:before="0" w:beforeAutospacing="0" w:after="0" w:afterAutospacing="0"/>
              <w:textAlignment w:val="baseline"/>
              <w:rPr>
                <w:rFonts w:ascii="Noto Serif Light" w:eastAsiaTheme="minorHAnsi" w:hAnsi="Noto Serif Light" w:cs="Noto Serif Light"/>
                <w:b/>
                <w:bCs/>
                <w:kern w:val="2"/>
                <w:sz w:val="20"/>
                <w:szCs w:val="20"/>
                <w:lang w:val="en" w:eastAsia="en-US"/>
                <w14:ligatures w14:val="standardContextual"/>
              </w:rPr>
            </w:pPr>
            <w:r w:rsidRPr="004A69C0">
              <w:rPr>
                <w:rFonts w:ascii="Noto Serif Light" w:eastAsiaTheme="minorHAnsi" w:hAnsi="Noto Serif Light" w:cs="Noto Serif Light"/>
                <w:b/>
                <w:bCs/>
                <w:kern w:val="2"/>
                <w:sz w:val="20"/>
                <w:szCs w:val="20"/>
                <w:lang w:val="en" w:eastAsia="en-US"/>
                <w14:ligatures w14:val="standardContextual"/>
              </w:rPr>
              <w:t>Chair: Annum Rafique</w:t>
            </w:r>
          </w:p>
        </w:tc>
        <w:tc>
          <w:tcPr>
            <w:tcW w:w="2722" w:type="dxa"/>
            <w:shd w:val="clear" w:color="auto" w:fill="F9E0DB"/>
          </w:tcPr>
          <w:p w14:paraId="38B993CB" w14:textId="7B39638B" w:rsidR="004A69C0" w:rsidRDefault="004A69C0" w:rsidP="00F4404E">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Chair: Monica Plechero</w:t>
            </w:r>
          </w:p>
        </w:tc>
      </w:tr>
      <w:tr w:rsidR="005E6A50" w:rsidRPr="005E6A50" w14:paraId="650AB180" w14:textId="77777777" w:rsidTr="00DD41EB">
        <w:tc>
          <w:tcPr>
            <w:tcW w:w="1702" w:type="dxa"/>
            <w:vMerge/>
          </w:tcPr>
          <w:p w14:paraId="15C4C622" w14:textId="77777777" w:rsidR="005E6A50" w:rsidRPr="005E6A50" w:rsidRDefault="005E6A50" w:rsidP="00F4404E">
            <w:pPr>
              <w:rPr>
                <w:rFonts w:ascii="Noto Serif Light" w:hAnsi="Noto Serif Light" w:cs="Noto Serif Light"/>
                <w:lang w:val="en"/>
              </w:rPr>
            </w:pPr>
          </w:p>
        </w:tc>
        <w:tc>
          <w:tcPr>
            <w:tcW w:w="3004" w:type="dxa"/>
            <w:shd w:val="clear" w:color="auto" w:fill="F9E0DB"/>
          </w:tcPr>
          <w:p w14:paraId="38F1C2E5" w14:textId="0337390C" w:rsidR="005E6A50" w:rsidRPr="005E6A50" w:rsidRDefault="00D43043" w:rsidP="00F4404E">
            <w:pPr>
              <w:pStyle w:val="paragraph"/>
              <w:spacing w:before="0" w:beforeAutospacing="0" w:after="0" w:afterAutospacing="0"/>
              <w:textAlignment w:val="baseline"/>
              <w:rPr>
                <w:rFonts w:ascii="Noto Serif Light" w:eastAsiaTheme="minorHAnsi" w:hAnsi="Noto Serif Light" w:cs="Noto Serif Light"/>
                <w:b/>
                <w:bCs/>
                <w:kern w:val="2"/>
                <w:sz w:val="20"/>
                <w:szCs w:val="20"/>
                <w:lang w:val="en" w:eastAsia="en-US"/>
                <w14:ligatures w14:val="standardContextual"/>
              </w:rPr>
            </w:pPr>
            <w:r>
              <w:rPr>
                <w:rFonts w:ascii="Noto Serif Light" w:eastAsiaTheme="minorHAnsi" w:hAnsi="Noto Serif Light" w:cs="Noto Serif Light"/>
                <w:b/>
                <w:bCs/>
                <w:kern w:val="2"/>
                <w:sz w:val="20"/>
                <w:szCs w:val="20"/>
                <w:lang w:val="en" w:eastAsia="en-US"/>
                <w14:ligatures w14:val="standardContextual"/>
              </w:rPr>
              <w:t xml:space="preserve">O44. </w:t>
            </w:r>
            <w:r w:rsidR="005E6A50" w:rsidRPr="005E6A50">
              <w:rPr>
                <w:rFonts w:ascii="Noto Serif Light" w:eastAsiaTheme="minorHAnsi" w:hAnsi="Noto Serif Light" w:cs="Noto Serif Light"/>
                <w:b/>
                <w:bCs/>
                <w:kern w:val="2"/>
                <w:sz w:val="20"/>
                <w:szCs w:val="20"/>
                <w:lang w:val="en" w:eastAsia="en-US"/>
                <w14:ligatures w14:val="standardContextual"/>
              </w:rPr>
              <w:t>Purushottam Adhikari &amp; Roman Martin:</w:t>
            </w:r>
          </w:p>
          <w:p w14:paraId="6A450518" w14:textId="01608E44" w:rsidR="00531A6C"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Culture and the Legitimation of Green Industrial Path Development: Evidence from the Textile Industry in Western Sweden </w:t>
            </w:r>
          </w:p>
        </w:tc>
        <w:tc>
          <w:tcPr>
            <w:tcW w:w="2722" w:type="dxa"/>
            <w:shd w:val="clear" w:color="auto" w:fill="FDF3F1"/>
          </w:tcPr>
          <w:p w14:paraId="74E16546" w14:textId="610F1D5F" w:rsidR="005E6A50" w:rsidRPr="005E6A50" w:rsidRDefault="00D43043" w:rsidP="00F4404E">
            <w:pPr>
              <w:pStyle w:val="paragraph"/>
              <w:spacing w:before="0" w:beforeAutospacing="0" w:after="0" w:afterAutospacing="0"/>
              <w:textAlignment w:val="baseline"/>
              <w:rPr>
                <w:rFonts w:ascii="Noto Serif Light" w:eastAsiaTheme="minorHAnsi" w:hAnsi="Noto Serif Light" w:cs="Noto Serif Light"/>
                <w:kern w:val="2"/>
                <w:sz w:val="20"/>
                <w:szCs w:val="20"/>
                <w:lang w:val="en" w:eastAsia="en-US"/>
                <w14:ligatures w14:val="standardContextual"/>
              </w:rPr>
            </w:pPr>
            <w:r>
              <w:rPr>
                <w:rFonts w:ascii="Noto Serif Light" w:eastAsiaTheme="minorHAnsi" w:hAnsi="Noto Serif Light" w:cs="Noto Serif Light"/>
                <w:b/>
                <w:bCs/>
                <w:kern w:val="2"/>
                <w:sz w:val="20"/>
                <w:szCs w:val="20"/>
                <w:lang w:val="en" w:eastAsia="en-US"/>
                <w14:ligatures w14:val="standardContextual"/>
              </w:rPr>
              <w:t xml:space="preserve">O48. </w:t>
            </w:r>
            <w:r w:rsidR="005E6A50" w:rsidRPr="005E6A50">
              <w:rPr>
                <w:rFonts w:ascii="Noto Serif Light" w:eastAsiaTheme="minorHAnsi" w:hAnsi="Noto Serif Light" w:cs="Noto Serif Light"/>
                <w:b/>
                <w:bCs/>
                <w:kern w:val="2"/>
                <w:sz w:val="20"/>
                <w:szCs w:val="20"/>
                <w:lang w:val="en" w:eastAsia="en-US"/>
                <w14:ligatures w14:val="standardContextual"/>
              </w:rPr>
              <w:t>Verity Campbell-Barr &amp; Vicky Bamsey:</w:t>
            </w:r>
            <w:r w:rsidR="005E6A50" w:rsidRPr="005E6A50">
              <w:rPr>
                <w:rFonts w:ascii="Noto Serif Light" w:eastAsiaTheme="minorHAnsi" w:hAnsi="Noto Serif Light" w:cs="Noto Serif Light"/>
                <w:kern w:val="2"/>
                <w:sz w:val="20"/>
                <w:szCs w:val="20"/>
                <w:lang w:val="en" w:eastAsia="en-US"/>
                <w14:ligatures w14:val="standardContextual"/>
              </w:rPr>
              <w:t> </w:t>
            </w:r>
          </w:p>
          <w:p w14:paraId="05F71C6E"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Creative Coastal Futures through Inclusive STEAM Skills Escalators: Education, Partnership and Cradle to Career Pathways </w:t>
            </w:r>
          </w:p>
        </w:tc>
        <w:tc>
          <w:tcPr>
            <w:tcW w:w="2721" w:type="dxa"/>
            <w:shd w:val="clear" w:color="auto" w:fill="FEF5F0"/>
          </w:tcPr>
          <w:p w14:paraId="740A4DF2" w14:textId="113CF7A0" w:rsidR="005E6A50" w:rsidRPr="005E6A50" w:rsidRDefault="00D43043" w:rsidP="00F4404E">
            <w:pPr>
              <w:pStyle w:val="paragraph"/>
              <w:spacing w:before="0" w:beforeAutospacing="0" w:after="0" w:afterAutospacing="0"/>
              <w:textAlignment w:val="baseline"/>
              <w:rPr>
                <w:rFonts w:ascii="Noto Serif Light" w:eastAsiaTheme="minorHAnsi" w:hAnsi="Noto Serif Light" w:cs="Noto Serif Light"/>
                <w:kern w:val="2"/>
                <w:sz w:val="20"/>
                <w:szCs w:val="20"/>
                <w:lang w:val="en" w:eastAsia="en-US"/>
                <w14:ligatures w14:val="standardContextual"/>
              </w:rPr>
            </w:pPr>
            <w:r>
              <w:rPr>
                <w:rFonts w:ascii="Noto Serif Light" w:eastAsiaTheme="minorHAnsi" w:hAnsi="Noto Serif Light" w:cs="Noto Serif Light"/>
                <w:b/>
                <w:bCs/>
                <w:kern w:val="2"/>
                <w:sz w:val="20"/>
                <w:szCs w:val="20"/>
                <w:lang w:val="en" w:eastAsia="en-US"/>
                <w14:ligatures w14:val="standardContextual"/>
              </w:rPr>
              <w:t xml:space="preserve">O52. </w:t>
            </w:r>
            <w:r w:rsidR="005E6A50" w:rsidRPr="005E6A50">
              <w:rPr>
                <w:rFonts w:ascii="Noto Serif Light" w:eastAsiaTheme="minorHAnsi" w:hAnsi="Noto Serif Light" w:cs="Noto Serif Light"/>
                <w:b/>
                <w:bCs/>
                <w:kern w:val="2"/>
                <w:sz w:val="20"/>
                <w:szCs w:val="20"/>
                <w:lang w:val="en" w:eastAsia="en-US"/>
                <w14:ligatures w14:val="standardContextual"/>
              </w:rPr>
              <w:t>Felicia Fai &amp; Phil Tomlinson:</w:t>
            </w:r>
            <w:r w:rsidR="005E6A50" w:rsidRPr="005E6A50">
              <w:rPr>
                <w:rFonts w:ascii="Noto Serif Light" w:eastAsiaTheme="minorHAnsi" w:hAnsi="Noto Serif Light" w:cs="Noto Serif Light"/>
                <w:kern w:val="2"/>
                <w:sz w:val="20"/>
                <w:szCs w:val="20"/>
                <w:lang w:val="en" w:eastAsia="en-US"/>
                <w14:ligatures w14:val="standardContextual"/>
              </w:rPr>
              <w:t> </w:t>
            </w:r>
          </w:p>
          <w:p w14:paraId="4A5D40A3"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Bridging Informal and Formal Support: Coworking Spaces as Intermediaries in Place-Based Innovation Ecosystems </w:t>
            </w:r>
          </w:p>
        </w:tc>
        <w:tc>
          <w:tcPr>
            <w:tcW w:w="2722" w:type="dxa"/>
            <w:shd w:val="clear" w:color="auto" w:fill="FEEEE6"/>
          </w:tcPr>
          <w:p w14:paraId="768593A4" w14:textId="3B6BF23F" w:rsidR="005E6A50" w:rsidRPr="005E6A50" w:rsidRDefault="00D43043" w:rsidP="00F4404E">
            <w:pPr>
              <w:pStyle w:val="paragraph"/>
              <w:spacing w:before="0" w:beforeAutospacing="0" w:after="0" w:afterAutospacing="0"/>
              <w:textAlignment w:val="baseline"/>
              <w:rPr>
                <w:rFonts w:ascii="Noto Serif Light" w:eastAsiaTheme="minorHAnsi" w:hAnsi="Noto Serif Light" w:cs="Noto Serif Light"/>
                <w:b/>
                <w:bCs/>
                <w:kern w:val="2"/>
                <w:sz w:val="20"/>
                <w:szCs w:val="20"/>
                <w:lang w:val="en" w:eastAsia="en-US"/>
                <w14:ligatures w14:val="standardContextual"/>
              </w:rPr>
            </w:pPr>
            <w:r>
              <w:rPr>
                <w:rFonts w:ascii="Noto Serif Light" w:eastAsiaTheme="minorHAnsi" w:hAnsi="Noto Serif Light" w:cs="Noto Serif Light"/>
                <w:b/>
                <w:bCs/>
                <w:kern w:val="2"/>
                <w:sz w:val="20"/>
                <w:szCs w:val="20"/>
                <w:lang w:val="en" w:eastAsia="en-US"/>
                <w14:ligatures w14:val="standardContextual"/>
              </w:rPr>
              <w:t xml:space="preserve">O56. </w:t>
            </w:r>
            <w:r w:rsidR="005E6A50" w:rsidRPr="005E6A50">
              <w:rPr>
                <w:rFonts w:ascii="Noto Serif Light" w:eastAsiaTheme="minorHAnsi" w:hAnsi="Noto Serif Light" w:cs="Noto Serif Light"/>
                <w:b/>
                <w:bCs/>
                <w:kern w:val="2"/>
                <w:sz w:val="20"/>
                <w:szCs w:val="20"/>
                <w:lang w:val="en" w:eastAsia="en-US"/>
                <w14:ligatures w14:val="standardContextual"/>
              </w:rPr>
              <w:t>Matt Ziembla et al: </w:t>
            </w:r>
          </w:p>
          <w:p w14:paraId="61086AA5" w14:textId="74E49CCE" w:rsidR="005E6A50" w:rsidRPr="004A69C0" w:rsidRDefault="005E6A50" w:rsidP="004A69C0">
            <w:pPr>
              <w:pStyle w:val="paragraph"/>
              <w:spacing w:before="0" w:beforeAutospacing="0" w:after="0" w:afterAutospacing="0"/>
              <w:textAlignment w:val="baseline"/>
              <w:rPr>
                <w:rFonts w:ascii="Noto Serif Light" w:eastAsiaTheme="minorHAnsi" w:hAnsi="Noto Serif Light" w:cs="Noto Serif Light"/>
                <w:kern w:val="2"/>
                <w:sz w:val="20"/>
                <w:szCs w:val="20"/>
                <w:lang w:val="en" w:eastAsia="en-US"/>
                <w14:ligatures w14:val="standardContextual"/>
              </w:rPr>
            </w:pPr>
            <w:r w:rsidRPr="005E6A50">
              <w:rPr>
                <w:rFonts w:ascii="Noto Serif Light" w:eastAsiaTheme="minorHAnsi" w:hAnsi="Noto Serif Light" w:cs="Noto Serif Light"/>
                <w:kern w:val="2"/>
                <w:sz w:val="20"/>
                <w:szCs w:val="20"/>
                <w:lang w:val="en" w:eastAsia="en-US"/>
                <w14:ligatures w14:val="standardContextual"/>
              </w:rPr>
              <w:t xml:space="preserve">What </w:t>
            </w:r>
            <w:r w:rsidR="00DB1769" w:rsidRPr="005E6A50">
              <w:rPr>
                <w:rFonts w:ascii="Noto Serif Light" w:eastAsiaTheme="minorHAnsi" w:hAnsi="Noto Serif Light" w:cs="Noto Serif Light"/>
                <w:kern w:val="2"/>
                <w:sz w:val="20"/>
                <w:szCs w:val="20"/>
                <w:lang w:val="en" w:eastAsia="en-US"/>
                <w14:ligatures w14:val="standardContextual"/>
              </w:rPr>
              <w:t xml:space="preserve">Makes Regions Ready for Missions? </w:t>
            </w:r>
            <w:r w:rsidRPr="005E6A50">
              <w:rPr>
                <w:rFonts w:ascii="Noto Serif Light" w:eastAsiaTheme="minorHAnsi" w:hAnsi="Noto Serif Light" w:cs="Noto Serif Light"/>
                <w:kern w:val="2"/>
                <w:sz w:val="20"/>
                <w:szCs w:val="20"/>
                <w:lang w:val="en" w:eastAsia="en-US"/>
                <w14:ligatures w14:val="standardContextual"/>
              </w:rPr>
              <w:t xml:space="preserve">A </w:t>
            </w:r>
            <w:r w:rsidR="00DB1769" w:rsidRPr="005E6A50">
              <w:rPr>
                <w:rFonts w:ascii="Noto Serif Light" w:eastAsiaTheme="minorHAnsi" w:hAnsi="Noto Serif Light" w:cs="Noto Serif Light"/>
                <w:kern w:val="2"/>
                <w:sz w:val="20"/>
                <w:szCs w:val="20"/>
                <w:lang w:val="en" w:eastAsia="en-US"/>
                <w14:ligatures w14:val="standardContextual"/>
              </w:rPr>
              <w:t>Framework Towards Regional Readiness  </w:t>
            </w:r>
          </w:p>
        </w:tc>
        <w:tc>
          <w:tcPr>
            <w:tcW w:w="2722" w:type="dxa"/>
            <w:shd w:val="clear" w:color="auto" w:fill="F9E0DB"/>
          </w:tcPr>
          <w:p w14:paraId="1AF030C2" w14:textId="66253B4F"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O60. </w:t>
            </w:r>
            <w:r w:rsidR="005E6A50" w:rsidRPr="005E6A50">
              <w:rPr>
                <w:rFonts w:ascii="Noto Serif Light" w:hAnsi="Noto Serif Light" w:cs="Noto Serif Light"/>
                <w:b/>
                <w:bCs/>
                <w:sz w:val="20"/>
                <w:szCs w:val="20"/>
                <w:lang w:val="en"/>
              </w:rPr>
              <w:t>Vladi Finotto, Monica Plechero, et al:</w:t>
            </w:r>
          </w:p>
          <w:p w14:paraId="77A7378A" w14:textId="3D368E39"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Bridging the Coordination Gap: A Design-Science Approach to Digital Architectures for Sustainable Regional Agri-Food Transitions </w:t>
            </w:r>
          </w:p>
        </w:tc>
      </w:tr>
      <w:tr w:rsidR="005E6A50" w:rsidRPr="005E6A50" w14:paraId="1BEE3EDC" w14:textId="77777777" w:rsidTr="00DD41EB">
        <w:tc>
          <w:tcPr>
            <w:tcW w:w="1702" w:type="dxa"/>
            <w:vMerge/>
          </w:tcPr>
          <w:p w14:paraId="66486BD1" w14:textId="77777777" w:rsidR="005E6A50" w:rsidRPr="005E6A50" w:rsidRDefault="005E6A50" w:rsidP="00F4404E">
            <w:pPr>
              <w:rPr>
                <w:rFonts w:ascii="Noto Serif Light" w:hAnsi="Noto Serif Light" w:cs="Noto Serif Light"/>
                <w:lang w:val="en"/>
              </w:rPr>
            </w:pPr>
          </w:p>
        </w:tc>
        <w:tc>
          <w:tcPr>
            <w:tcW w:w="3004" w:type="dxa"/>
            <w:shd w:val="clear" w:color="auto" w:fill="F9E0DB"/>
          </w:tcPr>
          <w:p w14:paraId="035D157C" w14:textId="0D675F37" w:rsidR="005E6A50" w:rsidRPr="005E6A50" w:rsidRDefault="00D43043" w:rsidP="00F4404E">
            <w:pPr>
              <w:pStyle w:val="paragraph"/>
              <w:spacing w:before="0" w:beforeAutospacing="0" w:after="0" w:afterAutospacing="0"/>
              <w:textAlignment w:val="baseline"/>
              <w:rPr>
                <w:rFonts w:ascii="Noto Serif Light" w:eastAsiaTheme="minorHAnsi" w:hAnsi="Noto Serif Light" w:cs="Noto Serif Light"/>
                <w:b/>
                <w:bCs/>
                <w:kern w:val="2"/>
                <w:sz w:val="20"/>
                <w:szCs w:val="20"/>
                <w:lang w:val="en" w:eastAsia="en-US"/>
                <w14:ligatures w14:val="standardContextual"/>
              </w:rPr>
            </w:pPr>
            <w:r>
              <w:rPr>
                <w:rFonts w:ascii="Noto Serif Light" w:eastAsiaTheme="minorHAnsi" w:hAnsi="Noto Serif Light" w:cs="Noto Serif Light"/>
                <w:b/>
                <w:bCs/>
                <w:kern w:val="2"/>
                <w:sz w:val="20"/>
                <w:szCs w:val="20"/>
                <w:lang w:val="en" w:eastAsia="en-US"/>
                <w14:ligatures w14:val="standardContextual"/>
              </w:rPr>
              <w:t xml:space="preserve">O45. </w:t>
            </w:r>
            <w:r w:rsidR="005E6A50" w:rsidRPr="005E6A50">
              <w:rPr>
                <w:rFonts w:ascii="Noto Serif Light" w:eastAsiaTheme="minorHAnsi" w:hAnsi="Noto Serif Light" w:cs="Noto Serif Light"/>
                <w:b/>
                <w:bCs/>
                <w:kern w:val="2"/>
                <w:sz w:val="20"/>
                <w:szCs w:val="20"/>
                <w:lang w:val="en" w:eastAsia="en-US"/>
                <w14:ligatures w14:val="standardContextual"/>
              </w:rPr>
              <w:t>Marina Candi &amp; Fumi Kitagawa:</w:t>
            </w:r>
          </w:p>
          <w:p w14:paraId="7E945E6C" w14:textId="7329C726" w:rsidR="005E6A50" w:rsidRPr="005E6A50" w:rsidRDefault="005E6A50" w:rsidP="00F4404E">
            <w:pPr>
              <w:pStyle w:val="paragraph"/>
              <w:spacing w:before="0" w:beforeAutospacing="0" w:after="0" w:afterAutospacing="0"/>
              <w:textAlignment w:val="baseline"/>
              <w:rPr>
                <w:rFonts w:ascii="Noto Serif Light" w:eastAsiaTheme="minorHAnsi" w:hAnsi="Noto Serif Light" w:cs="Noto Serif Light"/>
                <w:kern w:val="2"/>
                <w:sz w:val="20"/>
                <w:szCs w:val="20"/>
                <w:lang w:val="en" w:eastAsia="en-US"/>
                <w14:ligatures w14:val="standardContextual"/>
              </w:rPr>
            </w:pPr>
            <w:r w:rsidRPr="005E6A50">
              <w:rPr>
                <w:rFonts w:ascii="Noto Serif Light" w:eastAsiaTheme="minorHAnsi" w:hAnsi="Noto Serif Light" w:cs="Noto Serif Light"/>
                <w:kern w:val="2"/>
                <w:sz w:val="20"/>
                <w:szCs w:val="20"/>
                <w:lang w:val="en" w:eastAsia="en-US"/>
                <w14:ligatures w14:val="standardContextual"/>
              </w:rPr>
              <w:t>Leveraging Artificial Intelligence for New Regional Path Creation in Peripheral Regions </w:t>
            </w:r>
          </w:p>
        </w:tc>
        <w:tc>
          <w:tcPr>
            <w:tcW w:w="2722" w:type="dxa"/>
            <w:shd w:val="clear" w:color="auto" w:fill="FDF3F1"/>
          </w:tcPr>
          <w:p w14:paraId="597D82BE" w14:textId="77777777" w:rsidR="00667EF1" w:rsidRPr="005E6A50" w:rsidRDefault="00667EF1" w:rsidP="00667EF1">
            <w:pPr>
              <w:pStyle w:val="paragraph"/>
              <w:spacing w:before="0" w:beforeAutospacing="0" w:after="0" w:afterAutospacing="0"/>
              <w:textAlignment w:val="baseline"/>
              <w:rPr>
                <w:rFonts w:ascii="Noto Serif Light" w:eastAsiaTheme="minorHAnsi" w:hAnsi="Noto Serif Light" w:cs="Noto Serif Light"/>
                <w:b/>
                <w:bCs/>
                <w:kern w:val="2"/>
                <w:sz w:val="20"/>
                <w:szCs w:val="20"/>
                <w:lang w:val="en" w:eastAsia="en-US"/>
                <w14:ligatures w14:val="standardContextual"/>
              </w:rPr>
            </w:pPr>
            <w:r>
              <w:rPr>
                <w:rFonts w:ascii="Noto Serif Light" w:eastAsiaTheme="minorHAnsi" w:hAnsi="Noto Serif Light" w:cs="Noto Serif Light"/>
                <w:b/>
                <w:bCs/>
                <w:kern w:val="2"/>
                <w:sz w:val="20"/>
                <w:szCs w:val="20"/>
                <w:lang w:val="en" w:eastAsia="en-US"/>
                <w14:ligatures w14:val="standardContextual"/>
              </w:rPr>
              <w:t xml:space="preserve">O50. </w:t>
            </w:r>
            <w:r w:rsidRPr="005E6A50">
              <w:rPr>
                <w:rFonts w:ascii="Noto Serif Light" w:eastAsiaTheme="minorHAnsi" w:hAnsi="Noto Serif Light" w:cs="Noto Serif Light"/>
                <w:b/>
                <w:bCs/>
                <w:kern w:val="2"/>
                <w:sz w:val="20"/>
                <w:szCs w:val="20"/>
                <w:lang w:val="en" w:eastAsia="en-US"/>
                <w14:ligatures w14:val="standardContextual"/>
              </w:rPr>
              <w:t>Kostas Kollydas et al: </w:t>
            </w:r>
          </w:p>
          <w:p w14:paraId="54BE3C3A" w14:textId="3F0DA19E" w:rsidR="005E6A50" w:rsidRPr="005E6A50" w:rsidRDefault="00667EF1" w:rsidP="00667EF1">
            <w:pPr>
              <w:pStyle w:val="paragraph"/>
              <w:spacing w:before="0" w:beforeAutospacing="0" w:after="0" w:afterAutospacing="0"/>
              <w:textAlignment w:val="baseline"/>
              <w:rPr>
                <w:rFonts w:ascii="Noto Serif Light" w:eastAsiaTheme="minorHAnsi" w:hAnsi="Noto Serif Light" w:cs="Noto Serif Light"/>
                <w:kern w:val="2"/>
                <w:sz w:val="20"/>
                <w:szCs w:val="20"/>
                <w:lang w:val="en" w:eastAsia="en-US"/>
                <w14:ligatures w14:val="standardContextual"/>
              </w:rPr>
            </w:pPr>
            <w:r w:rsidRPr="005E6A50">
              <w:rPr>
                <w:rFonts w:ascii="Noto Serif Light" w:eastAsiaTheme="minorHAnsi" w:hAnsi="Noto Serif Light" w:cs="Noto Serif Light"/>
                <w:kern w:val="2"/>
                <w:sz w:val="20"/>
                <w:szCs w:val="20"/>
                <w:lang w:val="en" w:eastAsia="en-US"/>
                <w14:ligatures w14:val="standardContextual"/>
              </w:rPr>
              <w:t xml:space="preserve">Changing Demand for Management and Leadership Skills in </w:t>
            </w:r>
            <w:r>
              <w:rPr>
                <w:rFonts w:ascii="Noto Serif Light" w:eastAsiaTheme="minorHAnsi" w:hAnsi="Noto Serif Light" w:cs="Noto Serif Light"/>
                <w:kern w:val="2"/>
                <w:sz w:val="20"/>
                <w:szCs w:val="20"/>
                <w:lang w:val="en" w:eastAsia="en-US"/>
                <w14:ligatures w14:val="standardContextual"/>
              </w:rPr>
              <w:t>t</w:t>
            </w:r>
            <w:r w:rsidRPr="005E6A50">
              <w:rPr>
                <w:rFonts w:ascii="Noto Serif Light" w:eastAsiaTheme="minorHAnsi" w:hAnsi="Noto Serif Light" w:cs="Noto Serif Light"/>
                <w:kern w:val="2"/>
                <w:sz w:val="20"/>
                <w:szCs w:val="20"/>
                <w:lang w:val="en" w:eastAsia="en-US"/>
                <w14:ligatures w14:val="standardContextual"/>
              </w:rPr>
              <w:t>he Age of AI </w:t>
            </w:r>
          </w:p>
        </w:tc>
        <w:tc>
          <w:tcPr>
            <w:tcW w:w="2721" w:type="dxa"/>
            <w:shd w:val="clear" w:color="auto" w:fill="FEF5F0"/>
          </w:tcPr>
          <w:p w14:paraId="21196B38" w14:textId="31A186B9" w:rsidR="005E6A50" w:rsidRPr="005E6A50" w:rsidRDefault="00D43043" w:rsidP="00F4404E">
            <w:pPr>
              <w:pStyle w:val="paragraph"/>
              <w:spacing w:before="0" w:beforeAutospacing="0" w:after="0" w:afterAutospacing="0"/>
              <w:textAlignment w:val="baseline"/>
              <w:rPr>
                <w:rFonts w:ascii="Noto Serif Light" w:eastAsiaTheme="minorHAnsi" w:hAnsi="Noto Serif Light" w:cs="Noto Serif Light"/>
                <w:b/>
                <w:bCs/>
                <w:kern w:val="2"/>
                <w:sz w:val="20"/>
                <w:szCs w:val="20"/>
                <w:lang w:val="en" w:eastAsia="en-US"/>
                <w14:ligatures w14:val="standardContextual"/>
              </w:rPr>
            </w:pPr>
            <w:r>
              <w:rPr>
                <w:rFonts w:ascii="Noto Serif Light" w:eastAsiaTheme="minorHAnsi" w:hAnsi="Noto Serif Light" w:cs="Noto Serif Light"/>
                <w:b/>
                <w:bCs/>
                <w:kern w:val="2"/>
                <w:sz w:val="20"/>
                <w:szCs w:val="20"/>
                <w:lang w:val="en" w:eastAsia="en-US"/>
                <w14:ligatures w14:val="standardContextual"/>
              </w:rPr>
              <w:t xml:space="preserve">O53. </w:t>
            </w:r>
            <w:r w:rsidR="005E6A50" w:rsidRPr="005E6A50">
              <w:rPr>
                <w:rFonts w:ascii="Noto Serif Light" w:eastAsiaTheme="minorHAnsi" w:hAnsi="Noto Serif Light" w:cs="Noto Serif Light"/>
                <w:b/>
                <w:bCs/>
                <w:kern w:val="2"/>
                <w:sz w:val="20"/>
                <w:szCs w:val="20"/>
                <w:lang w:val="en" w:eastAsia="en-US"/>
                <w14:ligatures w14:val="standardContextual"/>
              </w:rPr>
              <w:t>James Wood: </w:t>
            </w:r>
          </w:p>
          <w:p w14:paraId="6732F744" w14:textId="77777777" w:rsidR="005E6A50" w:rsidRPr="005E6A50" w:rsidRDefault="005E6A50" w:rsidP="00F4404E">
            <w:pPr>
              <w:pStyle w:val="paragraph"/>
              <w:spacing w:before="0" w:beforeAutospacing="0" w:after="0" w:afterAutospacing="0"/>
              <w:textAlignment w:val="baseline"/>
              <w:rPr>
                <w:rFonts w:ascii="Noto Serif Light" w:eastAsiaTheme="minorHAnsi" w:hAnsi="Noto Serif Light" w:cs="Noto Serif Light"/>
                <w:kern w:val="2"/>
                <w:sz w:val="20"/>
                <w:szCs w:val="20"/>
                <w:lang w:val="en" w:eastAsia="en-US"/>
                <w14:ligatures w14:val="standardContextual"/>
              </w:rPr>
            </w:pPr>
            <w:r w:rsidRPr="005E6A50">
              <w:rPr>
                <w:rFonts w:ascii="Noto Serif Light" w:eastAsiaTheme="minorHAnsi" w:hAnsi="Noto Serif Light" w:cs="Noto Serif Light"/>
                <w:kern w:val="2"/>
                <w:sz w:val="20"/>
                <w:szCs w:val="20"/>
                <w:lang w:val="en" w:eastAsia="en-US"/>
                <w14:ligatures w14:val="standardContextual"/>
              </w:rPr>
              <w:t>Beyond Functional Intermediaries: Political Embeddedness, Equity, and Multi-Scalar Governance in California's iHub System </w:t>
            </w:r>
          </w:p>
        </w:tc>
        <w:tc>
          <w:tcPr>
            <w:tcW w:w="2722" w:type="dxa"/>
            <w:shd w:val="clear" w:color="auto" w:fill="FEEEE6"/>
          </w:tcPr>
          <w:p w14:paraId="2944E730" w14:textId="68261364" w:rsidR="005E6A50" w:rsidRPr="005E6A50" w:rsidRDefault="00D43043" w:rsidP="00F4404E">
            <w:pPr>
              <w:pStyle w:val="paragraph"/>
              <w:spacing w:before="0" w:beforeAutospacing="0" w:after="0" w:afterAutospacing="0"/>
              <w:textAlignment w:val="baseline"/>
              <w:rPr>
                <w:rFonts w:ascii="Noto Serif Light" w:eastAsiaTheme="minorHAnsi" w:hAnsi="Noto Serif Light" w:cs="Noto Serif Light"/>
                <w:b/>
                <w:bCs/>
                <w:kern w:val="2"/>
                <w:sz w:val="20"/>
                <w:szCs w:val="20"/>
                <w:lang w:val="en" w:eastAsia="en-US"/>
                <w14:ligatures w14:val="standardContextual"/>
              </w:rPr>
            </w:pPr>
            <w:r>
              <w:rPr>
                <w:rFonts w:ascii="Noto Serif Light" w:eastAsiaTheme="minorHAnsi" w:hAnsi="Noto Serif Light" w:cs="Noto Serif Light"/>
                <w:b/>
                <w:bCs/>
                <w:kern w:val="2"/>
                <w:sz w:val="20"/>
                <w:szCs w:val="20"/>
                <w:lang w:val="en" w:eastAsia="en-US"/>
                <w14:ligatures w14:val="standardContextual"/>
              </w:rPr>
              <w:t xml:space="preserve">O57. </w:t>
            </w:r>
            <w:r w:rsidR="005E6A50" w:rsidRPr="005E6A50">
              <w:rPr>
                <w:rFonts w:ascii="Noto Serif Light" w:eastAsiaTheme="minorHAnsi" w:hAnsi="Noto Serif Light" w:cs="Noto Serif Light"/>
                <w:b/>
                <w:bCs/>
                <w:kern w:val="2"/>
                <w:sz w:val="20"/>
                <w:szCs w:val="20"/>
                <w:lang w:val="en" w:eastAsia="en-US"/>
                <w14:ligatures w14:val="standardContextual"/>
              </w:rPr>
              <w:t>Kalle Tuomi &amp; Heli Kurikka: </w:t>
            </w:r>
          </w:p>
          <w:p w14:paraId="5365DD1A" w14:textId="77777777" w:rsidR="005E6A50" w:rsidRPr="005E6A50" w:rsidRDefault="005E6A50" w:rsidP="00F4404E">
            <w:pPr>
              <w:pStyle w:val="paragraph"/>
              <w:spacing w:before="0" w:beforeAutospacing="0" w:after="0" w:afterAutospacing="0"/>
              <w:textAlignment w:val="baseline"/>
              <w:rPr>
                <w:rFonts w:ascii="Noto Serif Light" w:eastAsiaTheme="minorHAnsi" w:hAnsi="Noto Serif Light" w:cs="Noto Serif Light"/>
                <w:kern w:val="2"/>
                <w:sz w:val="20"/>
                <w:szCs w:val="20"/>
                <w:lang w:val="en" w:eastAsia="en-US"/>
                <w14:ligatures w14:val="standardContextual"/>
              </w:rPr>
            </w:pPr>
            <w:r w:rsidRPr="005E6A50">
              <w:rPr>
                <w:rFonts w:ascii="Noto Serif Light" w:eastAsiaTheme="minorHAnsi" w:hAnsi="Noto Serif Light" w:cs="Noto Serif Light"/>
                <w:kern w:val="2"/>
                <w:sz w:val="20"/>
                <w:szCs w:val="20"/>
                <w:lang w:val="en" w:eastAsia="en-US"/>
                <w14:ligatures w14:val="standardContextual"/>
              </w:rPr>
              <w:t>The Finnish Innovation Policy Paradox in the Era of Transformative Ambitions </w:t>
            </w:r>
          </w:p>
        </w:tc>
        <w:tc>
          <w:tcPr>
            <w:tcW w:w="2722" w:type="dxa"/>
            <w:shd w:val="clear" w:color="auto" w:fill="F9E0DB"/>
          </w:tcPr>
          <w:p w14:paraId="05DFFEEC" w14:textId="492F3C9A"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O61. </w:t>
            </w:r>
            <w:r w:rsidR="005E6A50" w:rsidRPr="005E6A50">
              <w:rPr>
                <w:rFonts w:ascii="Noto Serif Light" w:hAnsi="Noto Serif Light" w:cs="Noto Serif Light"/>
                <w:b/>
                <w:bCs/>
                <w:sz w:val="20"/>
                <w:szCs w:val="20"/>
                <w:lang w:val="en"/>
              </w:rPr>
              <w:t>Katerina Psarikidou: </w:t>
            </w:r>
          </w:p>
          <w:p w14:paraId="7D435A5B" w14:textId="1B6BDEB0"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xml:space="preserve">Innovating </w:t>
            </w:r>
            <w:r w:rsidR="00DB1769" w:rsidRPr="005E6A50">
              <w:rPr>
                <w:rFonts w:ascii="Noto Serif Light" w:hAnsi="Noto Serif Light" w:cs="Noto Serif Light"/>
                <w:sz w:val="20"/>
                <w:szCs w:val="20"/>
                <w:lang w:val="en"/>
              </w:rPr>
              <w:t>Policies Through Co-Production: Engaging Local Communities in Regional Food System Change </w:t>
            </w:r>
          </w:p>
        </w:tc>
      </w:tr>
      <w:tr w:rsidR="005E6A50" w:rsidRPr="005E6A50" w14:paraId="51564F81" w14:textId="77777777" w:rsidTr="00DD41EB">
        <w:tc>
          <w:tcPr>
            <w:tcW w:w="1702" w:type="dxa"/>
            <w:vMerge/>
          </w:tcPr>
          <w:p w14:paraId="1DEE43AF" w14:textId="77777777" w:rsidR="005E6A50" w:rsidRPr="005E6A50" w:rsidRDefault="005E6A50" w:rsidP="00F4404E">
            <w:pPr>
              <w:rPr>
                <w:rFonts w:ascii="Noto Serif Light" w:hAnsi="Noto Serif Light" w:cs="Noto Serif Light"/>
                <w:lang w:val="en"/>
              </w:rPr>
            </w:pPr>
          </w:p>
        </w:tc>
        <w:tc>
          <w:tcPr>
            <w:tcW w:w="3004" w:type="dxa"/>
            <w:shd w:val="clear" w:color="auto" w:fill="F9E0DB"/>
          </w:tcPr>
          <w:p w14:paraId="58A7482B" w14:textId="41355D09" w:rsidR="005E6A50" w:rsidRPr="005E6A50" w:rsidRDefault="00D43043" w:rsidP="00F4404E">
            <w:pPr>
              <w:pStyle w:val="paragraph"/>
              <w:spacing w:before="0" w:beforeAutospacing="0" w:after="0" w:afterAutospacing="0"/>
              <w:textAlignment w:val="baseline"/>
              <w:rPr>
                <w:rFonts w:ascii="Noto Serif Light" w:eastAsiaTheme="minorHAnsi" w:hAnsi="Noto Serif Light" w:cs="Noto Serif Light"/>
                <w:b/>
                <w:bCs/>
                <w:kern w:val="2"/>
                <w:sz w:val="20"/>
                <w:szCs w:val="20"/>
                <w:lang w:val="en" w:eastAsia="en-US"/>
                <w14:ligatures w14:val="standardContextual"/>
              </w:rPr>
            </w:pPr>
            <w:r>
              <w:rPr>
                <w:rFonts w:ascii="Noto Serif Light" w:eastAsiaTheme="minorHAnsi" w:hAnsi="Noto Serif Light" w:cs="Noto Serif Light"/>
                <w:b/>
                <w:bCs/>
                <w:kern w:val="2"/>
                <w:sz w:val="20"/>
                <w:szCs w:val="20"/>
                <w:lang w:val="en" w:eastAsia="en-US"/>
                <w14:ligatures w14:val="standardContextual"/>
              </w:rPr>
              <w:t xml:space="preserve">O46. </w:t>
            </w:r>
            <w:r w:rsidR="005E6A50" w:rsidRPr="005E6A50">
              <w:rPr>
                <w:rFonts w:ascii="Noto Serif Light" w:eastAsiaTheme="minorHAnsi" w:hAnsi="Noto Serif Light" w:cs="Noto Serif Light"/>
                <w:b/>
                <w:bCs/>
                <w:kern w:val="2"/>
                <w:sz w:val="20"/>
                <w:szCs w:val="20"/>
                <w:lang w:val="en" w:eastAsia="en-US"/>
                <w14:ligatures w14:val="standardContextual"/>
              </w:rPr>
              <w:t>Muzamil Farooq: </w:t>
            </w:r>
          </w:p>
          <w:p w14:paraId="24889149" w14:textId="77777777" w:rsidR="005E6A50" w:rsidRPr="005E6A50" w:rsidRDefault="005E6A50" w:rsidP="00F4404E">
            <w:pPr>
              <w:pStyle w:val="paragraph"/>
              <w:spacing w:before="0" w:beforeAutospacing="0" w:after="0" w:afterAutospacing="0"/>
              <w:textAlignment w:val="baseline"/>
              <w:rPr>
                <w:rFonts w:ascii="Noto Serif Light" w:eastAsiaTheme="minorHAnsi" w:hAnsi="Noto Serif Light" w:cs="Noto Serif Light"/>
                <w:kern w:val="2"/>
                <w:sz w:val="20"/>
                <w:szCs w:val="20"/>
                <w:lang w:val="en" w:eastAsia="en-US"/>
                <w14:ligatures w14:val="standardContextual"/>
              </w:rPr>
            </w:pPr>
            <w:r w:rsidRPr="005E6A50">
              <w:rPr>
                <w:rFonts w:ascii="Noto Serif Light" w:eastAsiaTheme="minorHAnsi" w:hAnsi="Noto Serif Light" w:cs="Noto Serif Light"/>
                <w:kern w:val="2"/>
                <w:sz w:val="20"/>
                <w:szCs w:val="20"/>
                <w:lang w:val="en" w:eastAsia="en-US"/>
                <w14:ligatures w14:val="standardContextual"/>
              </w:rPr>
              <w:t>Oil Wine, New Glasses? Regional Branding, Imaginaries and the Politics of Sustainability Transitions in Oil-Specialised Region of Stavanger </w:t>
            </w:r>
          </w:p>
        </w:tc>
        <w:tc>
          <w:tcPr>
            <w:tcW w:w="2722" w:type="dxa"/>
            <w:shd w:val="clear" w:color="auto" w:fill="FDF3F1"/>
          </w:tcPr>
          <w:p w14:paraId="7219DCDE" w14:textId="77777777" w:rsidR="00667EF1" w:rsidRPr="005E6A50" w:rsidRDefault="00667EF1" w:rsidP="00667EF1">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O51. </w:t>
            </w:r>
            <w:r w:rsidRPr="005E6A50">
              <w:rPr>
                <w:rFonts w:ascii="Noto Serif Light" w:hAnsi="Noto Serif Light" w:cs="Noto Serif Light"/>
                <w:b/>
                <w:bCs/>
                <w:sz w:val="20"/>
                <w:szCs w:val="20"/>
                <w:lang w:val="en"/>
              </w:rPr>
              <w:t>Gerardo Javier Arriaga-Garcia &amp; Kostas Kollydas: </w:t>
            </w:r>
          </w:p>
          <w:p w14:paraId="26B7F302" w14:textId="653B1294" w:rsidR="005E6A50" w:rsidRPr="005E6A50" w:rsidRDefault="00667EF1" w:rsidP="00667EF1">
            <w:pPr>
              <w:pStyle w:val="paragraph"/>
              <w:spacing w:before="0" w:beforeAutospacing="0" w:after="0" w:afterAutospacing="0"/>
              <w:textAlignment w:val="baseline"/>
              <w:rPr>
                <w:rFonts w:ascii="Noto Serif Light" w:eastAsiaTheme="minorHAnsi" w:hAnsi="Noto Serif Light" w:cs="Noto Serif Light"/>
                <w:kern w:val="2"/>
                <w:sz w:val="20"/>
                <w:szCs w:val="20"/>
                <w:lang w:val="en" w:eastAsia="en-US"/>
                <w14:ligatures w14:val="standardContextual"/>
              </w:rPr>
            </w:pPr>
            <w:r w:rsidRPr="005E6A50">
              <w:rPr>
                <w:rFonts w:ascii="Noto Serif Light" w:hAnsi="Noto Serif Light" w:cs="Noto Serif Light"/>
                <w:sz w:val="20"/>
                <w:szCs w:val="20"/>
                <w:lang w:val="en"/>
              </w:rPr>
              <w:t>From Skills Gaps to Capability Gaps: Inclusive Innovation, Regional Development and Poverty Alleviation in the West Midlands </w:t>
            </w:r>
          </w:p>
        </w:tc>
        <w:tc>
          <w:tcPr>
            <w:tcW w:w="2721" w:type="dxa"/>
            <w:shd w:val="clear" w:color="auto" w:fill="FEF5F0"/>
          </w:tcPr>
          <w:p w14:paraId="79F25D9A" w14:textId="19FA1D57" w:rsidR="005E6A50" w:rsidRPr="005E6A50" w:rsidRDefault="00D43043" w:rsidP="00F4404E">
            <w:pPr>
              <w:pStyle w:val="paragraph"/>
              <w:spacing w:before="0" w:beforeAutospacing="0" w:after="0" w:afterAutospacing="0"/>
              <w:textAlignment w:val="baseline"/>
              <w:rPr>
                <w:rFonts w:ascii="Noto Serif Light" w:eastAsiaTheme="minorHAnsi" w:hAnsi="Noto Serif Light" w:cs="Noto Serif Light"/>
                <w:b/>
                <w:bCs/>
                <w:kern w:val="2"/>
                <w:sz w:val="20"/>
                <w:szCs w:val="20"/>
                <w:lang w:val="en" w:eastAsia="en-US"/>
                <w14:ligatures w14:val="standardContextual"/>
              </w:rPr>
            </w:pPr>
            <w:r>
              <w:rPr>
                <w:rFonts w:ascii="Noto Serif Light" w:eastAsiaTheme="minorHAnsi" w:hAnsi="Noto Serif Light" w:cs="Noto Serif Light"/>
                <w:b/>
                <w:bCs/>
                <w:kern w:val="2"/>
                <w:sz w:val="20"/>
                <w:szCs w:val="20"/>
                <w:lang w:val="en" w:eastAsia="en-US"/>
                <w14:ligatures w14:val="standardContextual"/>
              </w:rPr>
              <w:t xml:space="preserve">O54. </w:t>
            </w:r>
            <w:r w:rsidR="005E6A50" w:rsidRPr="005E6A50">
              <w:rPr>
                <w:rFonts w:ascii="Noto Serif Light" w:eastAsiaTheme="minorHAnsi" w:hAnsi="Noto Serif Light" w:cs="Noto Serif Light"/>
                <w:b/>
                <w:bCs/>
                <w:kern w:val="2"/>
                <w:sz w:val="20"/>
                <w:szCs w:val="20"/>
                <w:lang w:val="en" w:eastAsia="en-US"/>
                <w14:ligatures w14:val="standardContextual"/>
              </w:rPr>
              <w:t>George Bramley &amp; Thorsten Kampmann: </w:t>
            </w:r>
          </w:p>
          <w:p w14:paraId="63A98615" w14:textId="79491CB0" w:rsidR="005E6A50" w:rsidRPr="005E6A50" w:rsidRDefault="005E6A50" w:rsidP="00F4404E">
            <w:pPr>
              <w:pStyle w:val="paragraph"/>
              <w:spacing w:before="0" w:beforeAutospacing="0" w:after="0" w:afterAutospacing="0"/>
              <w:textAlignment w:val="baseline"/>
              <w:rPr>
                <w:rFonts w:ascii="Noto Serif Light" w:eastAsiaTheme="minorHAnsi" w:hAnsi="Noto Serif Light" w:cs="Noto Serif Light"/>
                <w:kern w:val="2"/>
                <w:sz w:val="20"/>
                <w:szCs w:val="20"/>
                <w:lang w:val="en" w:eastAsia="en-US"/>
                <w14:ligatures w14:val="standardContextual"/>
              </w:rPr>
            </w:pPr>
            <w:r w:rsidRPr="005E6A50">
              <w:rPr>
                <w:rFonts w:ascii="Noto Serif Light" w:eastAsiaTheme="minorHAnsi" w:hAnsi="Noto Serif Light" w:cs="Noto Serif Light"/>
                <w:kern w:val="2"/>
                <w:sz w:val="20"/>
                <w:szCs w:val="20"/>
                <w:lang w:val="en" w:eastAsia="en-US"/>
                <w14:ligatures w14:val="standardContextual"/>
              </w:rPr>
              <w:t xml:space="preserve">Reflections on West Midlands Health Technology Innovation Accelerator: </w:t>
            </w:r>
            <w:r w:rsidR="00DB1769" w:rsidRPr="005E6A50">
              <w:rPr>
                <w:rFonts w:ascii="Noto Serif Light" w:eastAsiaTheme="minorHAnsi" w:hAnsi="Noto Serif Light" w:cs="Noto Serif Light"/>
                <w:kern w:val="2"/>
                <w:sz w:val="20"/>
                <w:szCs w:val="20"/>
                <w:lang w:val="en" w:eastAsia="en-US"/>
                <w14:ligatures w14:val="standardContextual"/>
              </w:rPr>
              <w:t>Supporting Innovation Ecosystem Development and Commercialisation </w:t>
            </w:r>
          </w:p>
        </w:tc>
        <w:tc>
          <w:tcPr>
            <w:tcW w:w="2722" w:type="dxa"/>
            <w:shd w:val="clear" w:color="auto" w:fill="FEEEE6"/>
          </w:tcPr>
          <w:p w14:paraId="7989CC1C" w14:textId="56D88356" w:rsidR="005E6A50" w:rsidRPr="005E6A50" w:rsidRDefault="00D43043" w:rsidP="00F4404E">
            <w:pPr>
              <w:pStyle w:val="paragraph"/>
              <w:spacing w:before="0" w:beforeAutospacing="0" w:after="0" w:afterAutospacing="0"/>
              <w:textAlignment w:val="baseline"/>
              <w:rPr>
                <w:rFonts w:ascii="Noto Serif Light" w:eastAsiaTheme="minorHAnsi" w:hAnsi="Noto Serif Light" w:cs="Noto Serif Light"/>
                <w:b/>
                <w:bCs/>
                <w:kern w:val="2"/>
                <w:sz w:val="20"/>
                <w:szCs w:val="20"/>
                <w:lang w:val="en" w:eastAsia="en-US"/>
                <w14:ligatures w14:val="standardContextual"/>
              </w:rPr>
            </w:pPr>
            <w:r>
              <w:rPr>
                <w:rFonts w:ascii="Noto Serif Light" w:eastAsiaTheme="minorHAnsi" w:hAnsi="Noto Serif Light" w:cs="Noto Serif Light"/>
                <w:b/>
                <w:bCs/>
                <w:kern w:val="2"/>
                <w:sz w:val="20"/>
                <w:szCs w:val="20"/>
                <w:lang w:val="en" w:eastAsia="en-US"/>
                <w14:ligatures w14:val="standardContextual"/>
              </w:rPr>
              <w:t xml:space="preserve">O58. </w:t>
            </w:r>
            <w:r w:rsidR="005E6A50" w:rsidRPr="005E6A50">
              <w:rPr>
                <w:rFonts w:ascii="Noto Serif Light" w:eastAsiaTheme="minorHAnsi" w:hAnsi="Noto Serif Light" w:cs="Noto Serif Light"/>
                <w:b/>
                <w:bCs/>
                <w:kern w:val="2"/>
                <w:sz w:val="20"/>
                <w:szCs w:val="20"/>
                <w:lang w:val="en" w:eastAsia="en-US"/>
                <w14:ligatures w14:val="standardContextual"/>
              </w:rPr>
              <w:t>Des McNulty: </w:t>
            </w:r>
          </w:p>
          <w:p w14:paraId="3668515F" w14:textId="77777777" w:rsidR="005E6A50" w:rsidRPr="005E6A50" w:rsidRDefault="005E6A50" w:rsidP="00F4404E">
            <w:pPr>
              <w:pStyle w:val="paragraph"/>
              <w:spacing w:before="0" w:beforeAutospacing="0" w:after="0" w:afterAutospacing="0"/>
              <w:textAlignment w:val="baseline"/>
              <w:rPr>
                <w:rFonts w:ascii="Noto Serif Light" w:eastAsiaTheme="minorHAnsi" w:hAnsi="Noto Serif Light" w:cs="Noto Serif Light"/>
                <w:kern w:val="2"/>
                <w:sz w:val="20"/>
                <w:szCs w:val="20"/>
                <w:lang w:val="en" w:eastAsia="en-US"/>
                <w14:ligatures w14:val="standardContextual"/>
              </w:rPr>
            </w:pPr>
            <w:r w:rsidRPr="005E6A50">
              <w:rPr>
                <w:rFonts w:ascii="Noto Serif Light" w:eastAsiaTheme="minorHAnsi" w:hAnsi="Noto Serif Light" w:cs="Noto Serif Light"/>
                <w:kern w:val="2"/>
                <w:sz w:val="20"/>
                <w:szCs w:val="20"/>
                <w:lang w:val="en" w:eastAsia="en-US"/>
                <w14:ligatures w14:val="standardContextual"/>
              </w:rPr>
              <w:t>Innovation Ecosystems in Ukraine and Post War Reconstruction </w:t>
            </w:r>
          </w:p>
          <w:p w14:paraId="5B068573" w14:textId="77777777" w:rsidR="005E6A50" w:rsidRPr="005E6A50" w:rsidRDefault="005E6A50" w:rsidP="00F4404E">
            <w:pPr>
              <w:pStyle w:val="paragraph"/>
              <w:spacing w:before="0" w:beforeAutospacing="0" w:after="0" w:afterAutospacing="0"/>
              <w:textAlignment w:val="baseline"/>
              <w:rPr>
                <w:rFonts w:ascii="Noto Serif Light" w:eastAsiaTheme="minorHAnsi" w:hAnsi="Noto Serif Light" w:cs="Noto Serif Light"/>
                <w:kern w:val="2"/>
                <w:sz w:val="20"/>
                <w:szCs w:val="20"/>
                <w:lang w:val="en" w:eastAsia="en-US"/>
                <w14:ligatures w14:val="standardContextual"/>
              </w:rPr>
            </w:pPr>
            <w:r w:rsidRPr="005E6A50">
              <w:rPr>
                <w:rFonts w:ascii="Noto Serif Light" w:eastAsiaTheme="minorHAnsi" w:hAnsi="Noto Serif Light" w:cs="Noto Serif Light"/>
                <w:kern w:val="2"/>
                <w:sz w:val="20"/>
                <w:szCs w:val="20"/>
                <w:lang w:val="en" w:eastAsia="en-US"/>
                <w14:ligatures w14:val="standardContextual"/>
              </w:rPr>
              <w:t> </w:t>
            </w:r>
          </w:p>
          <w:p w14:paraId="243A61C0" w14:textId="77777777" w:rsidR="005E6A50" w:rsidRPr="005E6A50" w:rsidRDefault="005E6A50" w:rsidP="00F4404E">
            <w:pPr>
              <w:pStyle w:val="paragraph"/>
              <w:spacing w:before="0" w:beforeAutospacing="0" w:after="0" w:afterAutospacing="0"/>
              <w:textAlignment w:val="baseline"/>
              <w:rPr>
                <w:rFonts w:ascii="Noto Serif Light" w:eastAsiaTheme="minorHAnsi" w:hAnsi="Noto Serif Light" w:cs="Noto Serif Light"/>
                <w:kern w:val="2"/>
                <w:sz w:val="20"/>
                <w:szCs w:val="20"/>
                <w:lang w:val="en" w:eastAsia="en-US"/>
                <w14:ligatures w14:val="standardContextual"/>
              </w:rPr>
            </w:pPr>
            <w:r w:rsidRPr="005E6A50">
              <w:rPr>
                <w:rFonts w:ascii="Noto Serif Light" w:eastAsiaTheme="minorHAnsi" w:hAnsi="Noto Serif Light" w:cs="Noto Serif Light"/>
                <w:kern w:val="2"/>
                <w:sz w:val="20"/>
                <w:szCs w:val="20"/>
                <w:lang w:val="en" w:eastAsia="en-US"/>
                <w14:ligatures w14:val="standardContextual"/>
              </w:rPr>
              <w:t> </w:t>
            </w:r>
          </w:p>
        </w:tc>
        <w:tc>
          <w:tcPr>
            <w:tcW w:w="2722" w:type="dxa"/>
            <w:shd w:val="clear" w:color="auto" w:fill="F9E0DB"/>
          </w:tcPr>
          <w:p w14:paraId="6EC4B579" w14:textId="1A9689C8" w:rsidR="005E6A50" w:rsidRPr="005E6A50" w:rsidRDefault="00D43043" w:rsidP="00F4404E">
            <w:pPr>
              <w:pStyle w:val="paragraph"/>
              <w:spacing w:before="0" w:beforeAutospacing="0" w:after="0" w:afterAutospacing="0"/>
              <w:textAlignment w:val="baseline"/>
              <w:rPr>
                <w:rFonts w:ascii="Noto Serif Light" w:eastAsiaTheme="minorHAnsi" w:hAnsi="Noto Serif Light" w:cs="Noto Serif Light"/>
                <w:b/>
                <w:bCs/>
                <w:kern w:val="2"/>
                <w:sz w:val="20"/>
                <w:szCs w:val="20"/>
                <w:lang w:val="en" w:eastAsia="en-US"/>
                <w14:ligatures w14:val="standardContextual"/>
              </w:rPr>
            </w:pPr>
            <w:r>
              <w:rPr>
                <w:rFonts w:ascii="Noto Serif Light" w:eastAsiaTheme="minorHAnsi" w:hAnsi="Noto Serif Light" w:cs="Noto Serif Light"/>
                <w:b/>
                <w:bCs/>
                <w:kern w:val="2"/>
                <w:sz w:val="20"/>
                <w:szCs w:val="20"/>
                <w:lang w:val="en" w:eastAsia="en-US"/>
                <w14:ligatures w14:val="standardContextual"/>
              </w:rPr>
              <w:t xml:space="preserve">O62. </w:t>
            </w:r>
            <w:r w:rsidR="005E6A50" w:rsidRPr="005E6A50">
              <w:rPr>
                <w:rFonts w:ascii="Noto Serif Light" w:eastAsiaTheme="minorHAnsi" w:hAnsi="Noto Serif Light" w:cs="Noto Serif Light"/>
                <w:b/>
                <w:bCs/>
                <w:kern w:val="2"/>
                <w:sz w:val="20"/>
                <w:szCs w:val="20"/>
                <w:lang w:val="en" w:eastAsia="en-US"/>
                <w14:ligatures w14:val="standardContextual"/>
              </w:rPr>
              <w:t>Vladi Finotto et al: </w:t>
            </w:r>
          </w:p>
          <w:p w14:paraId="0B72E20A" w14:textId="16200053"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xml:space="preserve">Of </w:t>
            </w:r>
            <w:r w:rsidR="00DB1769" w:rsidRPr="005E6A50">
              <w:rPr>
                <w:rFonts w:ascii="Noto Serif Light" w:hAnsi="Noto Serif Light" w:cs="Noto Serif Light"/>
                <w:sz w:val="20"/>
                <w:szCs w:val="20"/>
                <w:lang w:val="en"/>
              </w:rPr>
              <w:t>Shellf</w:t>
            </w:r>
            <w:r w:rsidR="00DB1769">
              <w:rPr>
                <w:rFonts w:ascii="Noto Serif Light" w:hAnsi="Noto Serif Light" w:cs="Noto Serif Light"/>
                <w:sz w:val="20"/>
                <w:szCs w:val="20"/>
                <w:lang w:val="en"/>
              </w:rPr>
              <w:t>i</w:t>
            </w:r>
            <w:r w:rsidR="00DB1769" w:rsidRPr="005E6A50">
              <w:rPr>
                <w:rFonts w:ascii="Noto Serif Light" w:hAnsi="Noto Serif Light" w:cs="Noto Serif Light"/>
                <w:sz w:val="20"/>
                <w:szCs w:val="20"/>
                <w:lang w:val="en"/>
              </w:rPr>
              <w:t xml:space="preserve">sh, Oysters and Alien Crabs: </w:t>
            </w:r>
            <w:r w:rsidRPr="005E6A50">
              <w:rPr>
                <w:rFonts w:ascii="Noto Serif Light" w:hAnsi="Noto Serif Light" w:cs="Noto Serif Light"/>
                <w:sz w:val="20"/>
                <w:szCs w:val="20"/>
                <w:lang w:val="en"/>
              </w:rPr>
              <w:t xml:space="preserve">Territorial </w:t>
            </w:r>
            <w:r w:rsidR="00DB1769" w:rsidRPr="005E6A50">
              <w:rPr>
                <w:rFonts w:ascii="Noto Serif Light" w:hAnsi="Noto Serif Light" w:cs="Noto Serif Light"/>
                <w:sz w:val="20"/>
                <w:szCs w:val="20"/>
                <w:lang w:val="en"/>
              </w:rPr>
              <w:t xml:space="preserve">Transitions, Narrative Reframing and Governance Arrangements in </w:t>
            </w:r>
            <w:r w:rsidR="00DB1769">
              <w:rPr>
                <w:rFonts w:ascii="Noto Serif Light" w:hAnsi="Noto Serif Light" w:cs="Noto Serif Light"/>
                <w:sz w:val="20"/>
                <w:szCs w:val="20"/>
                <w:lang w:val="en"/>
              </w:rPr>
              <w:t>a</w:t>
            </w:r>
            <w:r w:rsidR="00DB1769" w:rsidRPr="005E6A50">
              <w:rPr>
                <w:rFonts w:ascii="Noto Serif Light" w:hAnsi="Noto Serif Light" w:cs="Noto Serif Light"/>
                <w:sz w:val="20"/>
                <w:szCs w:val="20"/>
                <w:lang w:val="en"/>
              </w:rPr>
              <w:t xml:space="preserve"> Marginal Coastal Area </w:t>
            </w:r>
          </w:p>
        </w:tc>
      </w:tr>
      <w:tr w:rsidR="005E6A50" w:rsidRPr="005E6A50" w14:paraId="0F4BF437" w14:textId="77777777" w:rsidTr="00DD41EB">
        <w:tc>
          <w:tcPr>
            <w:tcW w:w="1702" w:type="dxa"/>
            <w:vMerge/>
          </w:tcPr>
          <w:p w14:paraId="7734F8B4" w14:textId="77777777" w:rsidR="005E6A50" w:rsidRPr="005E6A50" w:rsidRDefault="005E6A50" w:rsidP="00F4404E">
            <w:pPr>
              <w:rPr>
                <w:rFonts w:ascii="Noto Serif Light" w:hAnsi="Noto Serif Light" w:cs="Noto Serif Light"/>
                <w:lang w:val="en"/>
              </w:rPr>
            </w:pPr>
          </w:p>
        </w:tc>
        <w:tc>
          <w:tcPr>
            <w:tcW w:w="3004" w:type="dxa"/>
            <w:shd w:val="clear" w:color="auto" w:fill="F9E0DB"/>
          </w:tcPr>
          <w:p w14:paraId="4636005C" w14:textId="06D9660E"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O47. </w:t>
            </w:r>
            <w:r w:rsidR="005E6A50" w:rsidRPr="005E6A50">
              <w:rPr>
                <w:rFonts w:ascii="Noto Serif Light" w:hAnsi="Noto Serif Light" w:cs="Noto Serif Light"/>
                <w:b/>
                <w:bCs/>
                <w:sz w:val="20"/>
                <w:szCs w:val="20"/>
                <w:lang w:val="en"/>
              </w:rPr>
              <w:t>Guanyu Wang: </w:t>
            </w:r>
          </w:p>
          <w:p w14:paraId="20B8A3B6" w14:textId="64B92670"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Co-production of Post-tourist Space in Urban China: Multi-dimensional Critical Potential of Baixiangju, Chongqing  </w:t>
            </w:r>
          </w:p>
          <w:p w14:paraId="666D523C"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w:t>
            </w:r>
          </w:p>
        </w:tc>
        <w:tc>
          <w:tcPr>
            <w:tcW w:w="2722" w:type="dxa"/>
            <w:shd w:val="clear" w:color="auto" w:fill="FDF3F1"/>
          </w:tcPr>
          <w:p w14:paraId="1A66999D" w14:textId="47C52B45" w:rsidR="005E6A50" w:rsidRPr="005E6A50" w:rsidRDefault="005E6A50" w:rsidP="00DE7B22">
            <w:pPr>
              <w:rPr>
                <w:rFonts w:ascii="Noto Serif Light" w:hAnsi="Noto Serif Light" w:cs="Noto Serif Light"/>
                <w:sz w:val="20"/>
                <w:szCs w:val="20"/>
                <w:lang w:val="en"/>
              </w:rPr>
            </w:pPr>
          </w:p>
        </w:tc>
        <w:tc>
          <w:tcPr>
            <w:tcW w:w="2721" w:type="dxa"/>
            <w:shd w:val="clear" w:color="auto" w:fill="FEF5F0"/>
          </w:tcPr>
          <w:p w14:paraId="6D1FDF78" w14:textId="79C3C50B"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O55. </w:t>
            </w:r>
            <w:r w:rsidR="005E6A50" w:rsidRPr="005E6A50">
              <w:rPr>
                <w:rFonts w:ascii="Noto Serif Light" w:hAnsi="Noto Serif Light" w:cs="Noto Serif Light"/>
                <w:b/>
                <w:bCs/>
                <w:sz w:val="20"/>
                <w:szCs w:val="20"/>
                <w:lang w:val="en"/>
              </w:rPr>
              <w:t>Piotr Łasak &amp; Marta Gancarczyk: </w:t>
            </w:r>
          </w:p>
          <w:p w14:paraId="7ACCF637" w14:textId="087FA0D4"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xml:space="preserve">Financial </w:t>
            </w:r>
            <w:r w:rsidR="00DB1769" w:rsidRPr="005E6A50">
              <w:rPr>
                <w:rFonts w:ascii="Noto Serif Light" w:hAnsi="Noto Serif Light" w:cs="Noto Serif Light"/>
                <w:sz w:val="20"/>
                <w:szCs w:val="20"/>
                <w:lang w:val="en"/>
              </w:rPr>
              <w:t xml:space="preserve">Ecologies Enhanced </w:t>
            </w:r>
            <w:r w:rsidR="00DB1769">
              <w:rPr>
                <w:rFonts w:ascii="Noto Serif Light" w:hAnsi="Noto Serif Light" w:cs="Noto Serif Light"/>
                <w:sz w:val="20"/>
                <w:szCs w:val="20"/>
                <w:lang w:val="en"/>
              </w:rPr>
              <w:t>b</w:t>
            </w:r>
            <w:r w:rsidR="00DB1769" w:rsidRPr="005E6A50">
              <w:rPr>
                <w:rFonts w:ascii="Noto Serif Light" w:hAnsi="Noto Serif Light" w:cs="Noto Serif Light"/>
                <w:sz w:val="20"/>
                <w:szCs w:val="20"/>
                <w:lang w:val="en"/>
              </w:rPr>
              <w:t xml:space="preserve">y Fintech </w:t>
            </w:r>
            <w:r w:rsidR="00DB1769">
              <w:rPr>
                <w:rFonts w:ascii="Noto Serif Light" w:hAnsi="Noto Serif Light" w:cs="Noto Serif Light"/>
                <w:sz w:val="20"/>
                <w:szCs w:val="20"/>
                <w:lang w:val="en"/>
              </w:rPr>
              <w:t>f</w:t>
            </w:r>
            <w:r w:rsidR="00DB1769" w:rsidRPr="005E6A50">
              <w:rPr>
                <w:rFonts w:ascii="Noto Serif Light" w:hAnsi="Noto Serif Light" w:cs="Noto Serif Light"/>
                <w:sz w:val="20"/>
                <w:szCs w:val="20"/>
                <w:lang w:val="en"/>
              </w:rPr>
              <w:t xml:space="preserve">or Inclusive Territorial Development: </w:t>
            </w:r>
            <w:r w:rsidRPr="005E6A50">
              <w:rPr>
                <w:rFonts w:ascii="Noto Serif Light" w:hAnsi="Noto Serif Light" w:cs="Noto Serif Light"/>
                <w:sz w:val="20"/>
                <w:szCs w:val="20"/>
                <w:lang w:val="en"/>
              </w:rPr>
              <w:t xml:space="preserve">A </w:t>
            </w:r>
            <w:r w:rsidR="00DB1769" w:rsidRPr="005E6A50">
              <w:rPr>
                <w:rFonts w:ascii="Noto Serif Light" w:hAnsi="Noto Serif Light" w:cs="Noto Serif Light"/>
                <w:sz w:val="20"/>
                <w:szCs w:val="20"/>
                <w:lang w:val="en"/>
              </w:rPr>
              <w:t>Systematic Literature Review </w:t>
            </w:r>
          </w:p>
        </w:tc>
        <w:tc>
          <w:tcPr>
            <w:tcW w:w="2722" w:type="dxa"/>
            <w:shd w:val="clear" w:color="auto" w:fill="FEEEE6"/>
          </w:tcPr>
          <w:p w14:paraId="240E88B4" w14:textId="5EF36C92"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O59. </w:t>
            </w:r>
            <w:r w:rsidR="005E6A50" w:rsidRPr="005E6A50">
              <w:rPr>
                <w:rFonts w:ascii="Noto Serif Light" w:hAnsi="Noto Serif Light" w:cs="Noto Serif Light"/>
                <w:b/>
                <w:bCs/>
                <w:sz w:val="20"/>
                <w:szCs w:val="20"/>
                <w:lang w:val="en"/>
              </w:rPr>
              <w:t>Abhisikha Das &amp; Sneha Maria Varghese: </w:t>
            </w:r>
          </w:p>
          <w:p w14:paraId="5C9F2A72"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Planning Cities that Work for Informal Workers in India  </w:t>
            </w:r>
          </w:p>
          <w:p w14:paraId="612C3513"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w:t>
            </w:r>
          </w:p>
        </w:tc>
        <w:tc>
          <w:tcPr>
            <w:tcW w:w="2722" w:type="dxa"/>
            <w:shd w:val="clear" w:color="auto" w:fill="F9E0DB"/>
          </w:tcPr>
          <w:p w14:paraId="77FCF5B0" w14:textId="014AEE07"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O63. </w:t>
            </w:r>
            <w:r w:rsidR="005E6A50" w:rsidRPr="005E6A50">
              <w:rPr>
                <w:rFonts w:ascii="Noto Serif Light" w:hAnsi="Noto Serif Light" w:cs="Noto Serif Light"/>
                <w:b/>
                <w:bCs/>
                <w:sz w:val="20"/>
                <w:szCs w:val="20"/>
                <w:lang w:val="en"/>
              </w:rPr>
              <w:t>Sharon Mayho &amp; Nick Clifton: </w:t>
            </w:r>
          </w:p>
          <w:p w14:paraId="3E6A4E55"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Waste Not, Want Not! A Food Sector Triple Helix Case Study from Wales </w:t>
            </w:r>
          </w:p>
        </w:tc>
      </w:tr>
      <w:tr w:rsidR="005E6A50" w:rsidRPr="005E6A50" w14:paraId="1BC5C7E3" w14:textId="77777777" w:rsidTr="00DD41EB">
        <w:tc>
          <w:tcPr>
            <w:tcW w:w="1702" w:type="dxa"/>
          </w:tcPr>
          <w:p w14:paraId="6FE49395" w14:textId="77777777" w:rsidR="005E6A50" w:rsidRPr="005E6A50" w:rsidRDefault="005E6A50" w:rsidP="00F4404E">
            <w:pPr>
              <w:rPr>
                <w:rFonts w:ascii="Noto Serif Light" w:hAnsi="Noto Serif Light" w:cs="Noto Serif Light"/>
                <w:lang w:val="en"/>
              </w:rPr>
            </w:pPr>
            <w:r w:rsidRPr="005E6A50">
              <w:rPr>
                <w:rFonts w:ascii="Noto Serif Light" w:hAnsi="Noto Serif Light" w:cs="Noto Serif Light"/>
                <w:lang w:val="en"/>
              </w:rPr>
              <w:t>10:45 – 11:00</w:t>
            </w:r>
          </w:p>
        </w:tc>
        <w:tc>
          <w:tcPr>
            <w:tcW w:w="13891" w:type="dxa"/>
            <w:gridSpan w:val="5"/>
          </w:tcPr>
          <w:p w14:paraId="2EFE9E69" w14:textId="77777777" w:rsidR="005E6A50" w:rsidRPr="005E6A50" w:rsidRDefault="005E6A50" w:rsidP="00F4404E">
            <w:pPr>
              <w:rPr>
                <w:rFonts w:ascii="Noto Serif Light" w:hAnsi="Noto Serif Light" w:cs="Noto Serif Light"/>
                <w:b/>
                <w:bCs/>
                <w:lang w:val="en"/>
              </w:rPr>
            </w:pPr>
            <w:r w:rsidRPr="005E6A50">
              <w:rPr>
                <w:rFonts w:ascii="Noto Serif Light" w:hAnsi="Noto Serif Light" w:cs="Noto Serif Light"/>
                <w:b/>
                <w:bCs/>
                <w:lang w:val="en"/>
              </w:rPr>
              <w:t>Refreshment Break</w:t>
            </w:r>
          </w:p>
          <w:p w14:paraId="790FEF8B" w14:textId="77777777" w:rsidR="005E6A50" w:rsidRPr="005E6A50" w:rsidRDefault="005E6A50" w:rsidP="00F4404E">
            <w:pPr>
              <w:rPr>
                <w:rFonts w:ascii="Noto Serif Light" w:hAnsi="Noto Serif Light" w:cs="Noto Serif Light"/>
                <w:b/>
                <w:bCs/>
                <w:lang w:val="en"/>
              </w:rPr>
            </w:pPr>
          </w:p>
          <w:p w14:paraId="736599AF" w14:textId="1536AD9B" w:rsidR="001140FC" w:rsidRPr="000A0BAC" w:rsidRDefault="005E6A50" w:rsidP="00F4404E">
            <w:pPr>
              <w:rPr>
                <w:rFonts w:ascii="Noto Serif Light" w:hAnsi="Noto Serif Light" w:cs="Noto Serif Light"/>
              </w:rPr>
            </w:pPr>
            <w:r w:rsidRPr="005E6A50">
              <w:rPr>
                <w:rFonts w:ascii="Noto Serif Light" w:hAnsi="Noto Serif Light" w:cs="Noto Serif Light"/>
                <w:b/>
                <w:bCs/>
                <w:lang w:val="en"/>
              </w:rPr>
              <w:t xml:space="preserve">Location: </w:t>
            </w:r>
            <w:r w:rsidRPr="005E6A50">
              <w:rPr>
                <w:rFonts w:ascii="Noto Serif Light" w:hAnsi="Noto Serif Light" w:cs="Noto Serif Light"/>
              </w:rPr>
              <w:t>Alan Walters Atrium</w:t>
            </w:r>
          </w:p>
        </w:tc>
      </w:tr>
      <w:tr w:rsidR="005E6A50" w:rsidRPr="005E6A50" w14:paraId="287A1E61" w14:textId="77777777" w:rsidTr="00DD41EB">
        <w:tc>
          <w:tcPr>
            <w:tcW w:w="1702" w:type="dxa"/>
          </w:tcPr>
          <w:p w14:paraId="0D9205F1" w14:textId="77777777" w:rsidR="005E6A50" w:rsidRPr="005E6A50" w:rsidRDefault="005E6A50" w:rsidP="00F4404E">
            <w:pPr>
              <w:rPr>
                <w:rFonts w:ascii="Noto Serif Light" w:hAnsi="Noto Serif Light" w:cs="Noto Serif Light"/>
                <w:lang w:val="en"/>
              </w:rPr>
            </w:pPr>
            <w:r w:rsidRPr="005E6A50">
              <w:rPr>
                <w:rFonts w:ascii="Noto Serif Light" w:hAnsi="Noto Serif Light" w:cs="Noto Serif Light"/>
                <w:lang w:val="en"/>
              </w:rPr>
              <w:t>11:00 – 12:00</w:t>
            </w:r>
          </w:p>
        </w:tc>
        <w:tc>
          <w:tcPr>
            <w:tcW w:w="13891" w:type="dxa"/>
            <w:gridSpan w:val="5"/>
            <w:shd w:val="clear" w:color="auto" w:fill="FDF3F1"/>
          </w:tcPr>
          <w:p w14:paraId="35FAA40D" w14:textId="77777777" w:rsidR="005E6A50" w:rsidRPr="005E6A50" w:rsidRDefault="005E6A50" w:rsidP="00F4404E">
            <w:pPr>
              <w:rPr>
                <w:rFonts w:ascii="Noto Serif Light" w:hAnsi="Noto Serif Light" w:cs="Noto Serif Light"/>
                <w:b/>
                <w:bCs/>
              </w:rPr>
            </w:pPr>
            <w:r w:rsidRPr="005E6A50">
              <w:rPr>
                <w:rFonts w:ascii="Noto Serif Light" w:hAnsi="Noto Serif Light" w:cs="Noto Serif Light"/>
                <w:b/>
                <w:bCs/>
              </w:rPr>
              <w:t>Day 2 Plenary Session: Imagining and Governing Regional Futures: Navigating Green Industrial Transitions in an Era of Geoeconomic Competition</w:t>
            </w:r>
          </w:p>
          <w:p w14:paraId="2597A2C5" w14:textId="77777777" w:rsidR="004A69C0" w:rsidRDefault="004A69C0" w:rsidP="00F4404E">
            <w:pPr>
              <w:rPr>
                <w:rFonts w:ascii="Noto Serif Light" w:hAnsi="Noto Serif Light" w:cs="Noto Serif Light"/>
              </w:rPr>
            </w:pPr>
          </w:p>
          <w:p w14:paraId="6B7454B8" w14:textId="703E6AE4" w:rsidR="005E6A50" w:rsidRPr="005E6A50" w:rsidRDefault="005E6A50" w:rsidP="00F4404E">
            <w:pPr>
              <w:rPr>
                <w:rFonts w:ascii="Noto Serif Light" w:hAnsi="Noto Serif Light" w:cs="Noto Serif Light"/>
              </w:rPr>
            </w:pPr>
            <w:r w:rsidRPr="005E6A50">
              <w:rPr>
                <w:rFonts w:ascii="Noto Serif Light" w:hAnsi="Noto Serif Light" w:cs="Noto Serif Light"/>
              </w:rPr>
              <w:t xml:space="preserve">Keynote Speaker: </w:t>
            </w:r>
            <w:r w:rsidRPr="004A69C0">
              <w:rPr>
                <w:rFonts w:ascii="Noto Serif Light" w:hAnsi="Noto Serif Light" w:cs="Noto Serif Light"/>
                <w:b/>
                <w:bCs/>
              </w:rPr>
              <w:t>Huiwen Gong</w:t>
            </w:r>
          </w:p>
          <w:p w14:paraId="68E31A6A" w14:textId="542EDAE5" w:rsidR="005E6A50" w:rsidRDefault="004A69C0" w:rsidP="00F4404E">
            <w:pPr>
              <w:rPr>
                <w:rFonts w:ascii="Noto Serif Light" w:hAnsi="Noto Serif Light" w:cs="Noto Serif Light"/>
              </w:rPr>
            </w:pPr>
            <w:r w:rsidRPr="004A69C0">
              <w:rPr>
                <w:rFonts w:ascii="Noto Serif Light" w:hAnsi="Noto Serif Light" w:cs="Noto Serif Light"/>
              </w:rPr>
              <w:t xml:space="preserve">Commentators: </w:t>
            </w:r>
            <w:r w:rsidRPr="004A69C0">
              <w:rPr>
                <w:rFonts w:ascii="Noto Serif Light" w:hAnsi="Noto Serif Light" w:cs="Noto Serif Light"/>
                <w:b/>
                <w:bCs/>
              </w:rPr>
              <w:t>David Bailey &amp; Annum Rafique</w:t>
            </w:r>
          </w:p>
          <w:p w14:paraId="522843C0" w14:textId="77777777" w:rsidR="004A69C0" w:rsidRPr="005E6A50" w:rsidRDefault="004A69C0" w:rsidP="00F4404E">
            <w:pPr>
              <w:rPr>
                <w:rFonts w:ascii="Noto Serif Light" w:hAnsi="Noto Serif Light" w:cs="Noto Serif Light"/>
              </w:rPr>
            </w:pPr>
          </w:p>
          <w:p w14:paraId="6B795336" w14:textId="6DAED22C" w:rsidR="001140FC" w:rsidRPr="000A0BAC" w:rsidRDefault="005E6A50" w:rsidP="00F4404E">
            <w:pPr>
              <w:rPr>
                <w:rFonts w:ascii="Noto Serif Light" w:hAnsi="Noto Serif Light" w:cs="Noto Serif Light"/>
              </w:rPr>
            </w:pPr>
            <w:r w:rsidRPr="005E6A50">
              <w:rPr>
                <w:rFonts w:ascii="Noto Serif Light" w:hAnsi="Noto Serif Light" w:cs="Noto Serif Light"/>
                <w:b/>
                <w:bCs/>
              </w:rPr>
              <w:t xml:space="preserve">Location: </w:t>
            </w:r>
            <w:r w:rsidRPr="005E6A50">
              <w:rPr>
                <w:rFonts w:ascii="Noto Serif Light" w:hAnsi="Noto Serif Light" w:cs="Noto Serif Light"/>
              </w:rPr>
              <w:t>G03 – Lecture Theatre 1</w:t>
            </w:r>
          </w:p>
        </w:tc>
      </w:tr>
      <w:tr w:rsidR="005E6A50" w:rsidRPr="005E6A50" w14:paraId="7E41D5F9" w14:textId="77777777" w:rsidTr="00DD41EB">
        <w:tc>
          <w:tcPr>
            <w:tcW w:w="1702" w:type="dxa"/>
          </w:tcPr>
          <w:p w14:paraId="6FEC281B" w14:textId="77777777" w:rsidR="005E6A50" w:rsidRPr="005E6A50" w:rsidRDefault="005E6A50" w:rsidP="00F4404E">
            <w:pPr>
              <w:rPr>
                <w:rFonts w:ascii="Noto Serif Light" w:hAnsi="Noto Serif Light" w:cs="Noto Serif Light"/>
                <w:lang w:val="en"/>
              </w:rPr>
            </w:pPr>
            <w:r w:rsidRPr="005E6A50">
              <w:rPr>
                <w:rFonts w:ascii="Noto Serif Light" w:hAnsi="Noto Serif Light" w:cs="Noto Serif Light"/>
                <w:lang w:val="en"/>
              </w:rPr>
              <w:t>12:00 – 1:00</w:t>
            </w:r>
          </w:p>
        </w:tc>
        <w:tc>
          <w:tcPr>
            <w:tcW w:w="13891" w:type="dxa"/>
            <w:gridSpan w:val="5"/>
            <w:shd w:val="clear" w:color="auto" w:fill="FDF3F1"/>
          </w:tcPr>
          <w:p w14:paraId="51CB8ED7" w14:textId="77777777" w:rsidR="005E6A50" w:rsidRPr="005E6A50" w:rsidRDefault="005E6A50" w:rsidP="00F4404E">
            <w:pPr>
              <w:rPr>
                <w:rFonts w:ascii="Noto Serif Light" w:hAnsi="Noto Serif Light" w:cs="Noto Serif Light"/>
                <w:b/>
                <w:bCs/>
                <w:lang w:val="en"/>
              </w:rPr>
            </w:pPr>
            <w:r w:rsidRPr="005E6A50">
              <w:rPr>
                <w:rFonts w:ascii="Noto Serif Light" w:hAnsi="Noto Serif Light" w:cs="Noto Serif Light"/>
                <w:b/>
                <w:bCs/>
                <w:lang w:val="en"/>
              </w:rPr>
              <w:t>Day 2 Panel Session: Innovation Policies and Regional Futures – Bridging Policy and Research</w:t>
            </w:r>
          </w:p>
          <w:p w14:paraId="0933B1D7" w14:textId="77777777" w:rsidR="005E6A50" w:rsidRPr="005E6A50" w:rsidRDefault="005E6A50" w:rsidP="00F4404E">
            <w:pPr>
              <w:rPr>
                <w:rFonts w:ascii="Noto Serif Light" w:hAnsi="Noto Serif Light" w:cs="Noto Serif Light"/>
                <w:b/>
                <w:bCs/>
                <w:lang w:val="en"/>
              </w:rPr>
            </w:pPr>
          </w:p>
          <w:p w14:paraId="218FDCD7" w14:textId="77777777" w:rsidR="004A69C0" w:rsidRPr="004A69C0" w:rsidRDefault="004A69C0" w:rsidP="004A69C0">
            <w:pPr>
              <w:rPr>
                <w:rFonts w:ascii="Noto Serif Light" w:hAnsi="Noto Serif Light" w:cs="Noto Serif Light"/>
                <w:lang w:val="en"/>
              </w:rPr>
            </w:pPr>
            <w:r w:rsidRPr="004A69C0">
              <w:rPr>
                <w:rFonts w:ascii="Noto Serif Light" w:hAnsi="Noto Serif Light" w:cs="Noto Serif Light"/>
                <w:lang w:val="en"/>
              </w:rPr>
              <w:t xml:space="preserve">Facilitator: </w:t>
            </w:r>
            <w:r w:rsidRPr="004A69C0">
              <w:rPr>
                <w:rFonts w:ascii="Noto Serif Light" w:hAnsi="Noto Serif Light" w:cs="Noto Serif Light"/>
                <w:b/>
                <w:bCs/>
                <w:lang w:val="en"/>
              </w:rPr>
              <w:t>Chloe Billing</w:t>
            </w:r>
          </w:p>
          <w:p w14:paraId="163DAD74" w14:textId="2717EE5C" w:rsidR="005E6A50" w:rsidRPr="005E6A50" w:rsidRDefault="004A69C0" w:rsidP="004A69C0">
            <w:pPr>
              <w:rPr>
                <w:rFonts w:ascii="Noto Serif Light" w:hAnsi="Noto Serif Light" w:cs="Noto Serif Light"/>
                <w:b/>
                <w:bCs/>
                <w:lang w:val="en"/>
              </w:rPr>
            </w:pPr>
            <w:r w:rsidRPr="004A69C0">
              <w:rPr>
                <w:rFonts w:ascii="Noto Serif Light" w:hAnsi="Noto Serif Light" w:cs="Noto Serif Light"/>
                <w:lang w:val="en"/>
              </w:rPr>
              <w:t>Speakers:</w:t>
            </w:r>
            <w:r w:rsidRPr="004A69C0">
              <w:rPr>
                <w:rFonts w:ascii="Noto Serif Light" w:hAnsi="Noto Serif Light" w:cs="Noto Serif Light"/>
                <w:b/>
                <w:bCs/>
                <w:lang w:val="en"/>
              </w:rPr>
              <w:t xml:space="preserve"> James Wilson, Anna Humphreys, Carolin Ioramashvili, David Waite</w:t>
            </w:r>
            <w:r w:rsidR="005E6A50" w:rsidRPr="005E6A50">
              <w:rPr>
                <w:rFonts w:ascii="Noto Serif Light" w:hAnsi="Noto Serif Light" w:cs="Noto Serif Light"/>
                <w:lang w:val="en"/>
              </w:rPr>
              <w:t xml:space="preserve"> </w:t>
            </w:r>
          </w:p>
          <w:p w14:paraId="5733EE17" w14:textId="77777777" w:rsidR="005E6A50" w:rsidRPr="005E6A50" w:rsidRDefault="005E6A50" w:rsidP="00F4404E">
            <w:pPr>
              <w:rPr>
                <w:rFonts w:ascii="Noto Serif Light" w:hAnsi="Noto Serif Light" w:cs="Noto Serif Light"/>
                <w:b/>
                <w:bCs/>
                <w:lang w:val="en"/>
              </w:rPr>
            </w:pPr>
            <w:r w:rsidRPr="005E6A50">
              <w:rPr>
                <w:rFonts w:ascii="Noto Serif Light" w:hAnsi="Noto Serif Light" w:cs="Noto Serif Light"/>
                <w:b/>
                <w:bCs/>
                <w:lang w:val="en"/>
              </w:rPr>
              <w:lastRenderedPageBreak/>
              <w:t xml:space="preserve">Location: </w:t>
            </w:r>
            <w:r w:rsidRPr="005E6A50">
              <w:rPr>
                <w:rFonts w:ascii="Noto Serif Light" w:hAnsi="Noto Serif Light" w:cs="Noto Serif Light"/>
              </w:rPr>
              <w:t>G03 – Lecture Theatre 1</w:t>
            </w:r>
          </w:p>
        </w:tc>
      </w:tr>
      <w:tr w:rsidR="005E6A50" w:rsidRPr="005E6A50" w14:paraId="6AE31512" w14:textId="77777777" w:rsidTr="00DD41EB">
        <w:tc>
          <w:tcPr>
            <w:tcW w:w="1702" w:type="dxa"/>
          </w:tcPr>
          <w:p w14:paraId="3EBAA7B2" w14:textId="77777777" w:rsidR="005E6A50" w:rsidRPr="005E6A50" w:rsidRDefault="005E6A50" w:rsidP="00F4404E">
            <w:pPr>
              <w:rPr>
                <w:rFonts w:ascii="Noto Serif Light" w:hAnsi="Noto Serif Light" w:cs="Noto Serif Light"/>
                <w:lang w:val="en"/>
              </w:rPr>
            </w:pPr>
            <w:r w:rsidRPr="005E6A50">
              <w:rPr>
                <w:rFonts w:ascii="Noto Serif Light" w:hAnsi="Noto Serif Light" w:cs="Noto Serif Light"/>
                <w:lang w:val="en"/>
              </w:rPr>
              <w:lastRenderedPageBreak/>
              <w:t>13:00 – 14:00</w:t>
            </w:r>
          </w:p>
        </w:tc>
        <w:tc>
          <w:tcPr>
            <w:tcW w:w="13891" w:type="dxa"/>
            <w:gridSpan w:val="5"/>
          </w:tcPr>
          <w:p w14:paraId="19C0236B" w14:textId="77777777" w:rsidR="005E6A50" w:rsidRPr="005E6A50" w:rsidRDefault="005E6A50" w:rsidP="00F4404E">
            <w:pPr>
              <w:rPr>
                <w:rFonts w:ascii="Noto Serif Light" w:hAnsi="Noto Serif Light" w:cs="Noto Serif Light"/>
                <w:b/>
                <w:bCs/>
                <w:lang w:val="en"/>
              </w:rPr>
            </w:pPr>
            <w:r w:rsidRPr="005E6A50">
              <w:rPr>
                <w:rFonts w:ascii="Noto Serif Light" w:hAnsi="Noto Serif Light" w:cs="Noto Serif Light"/>
                <w:b/>
                <w:bCs/>
                <w:lang w:val="en"/>
              </w:rPr>
              <w:t>Lunch</w:t>
            </w:r>
          </w:p>
          <w:p w14:paraId="7B1B8BD8" w14:textId="77777777" w:rsidR="005E6A50" w:rsidRPr="005E6A50" w:rsidRDefault="005E6A50" w:rsidP="00F4404E">
            <w:pPr>
              <w:rPr>
                <w:rFonts w:ascii="Noto Serif Light" w:hAnsi="Noto Serif Light" w:cs="Noto Serif Light"/>
                <w:b/>
                <w:bCs/>
                <w:lang w:val="en"/>
              </w:rPr>
            </w:pPr>
          </w:p>
          <w:p w14:paraId="6AD0E4B6" w14:textId="77777777" w:rsidR="005E6A50" w:rsidRPr="005E6A50" w:rsidRDefault="005E6A50" w:rsidP="00F4404E">
            <w:pPr>
              <w:rPr>
                <w:rFonts w:ascii="Noto Serif Light" w:hAnsi="Noto Serif Light" w:cs="Noto Serif Light"/>
                <w:b/>
                <w:bCs/>
                <w:lang w:val="en"/>
              </w:rPr>
            </w:pPr>
            <w:r w:rsidRPr="005E6A50">
              <w:rPr>
                <w:rFonts w:ascii="Noto Serif Light" w:hAnsi="Noto Serif Light" w:cs="Noto Serif Light"/>
                <w:b/>
                <w:bCs/>
                <w:lang w:val="en"/>
              </w:rPr>
              <w:t xml:space="preserve">Location: </w:t>
            </w:r>
            <w:r w:rsidRPr="005E6A50">
              <w:rPr>
                <w:rFonts w:ascii="Noto Serif Light" w:hAnsi="Noto Serif Light" w:cs="Noto Serif Light"/>
              </w:rPr>
              <w:t>Alan Walters Atrium</w:t>
            </w:r>
          </w:p>
        </w:tc>
      </w:tr>
      <w:tr w:rsidR="005E6A50" w:rsidRPr="005E6A50" w14:paraId="6A2E2AC4" w14:textId="77777777" w:rsidTr="00DD41EB">
        <w:tc>
          <w:tcPr>
            <w:tcW w:w="1702" w:type="dxa"/>
            <w:vMerge w:val="restart"/>
          </w:tcPr>
          <w:p w14:paraId="24AC5697" w14:textId="77777777" w:rsidR="005E6A50" w:rsidRPr="005E6A50" w:rsidRDefault="005E6A50" w:rsidP="00F4404E">
            <w:pPr>
              <w:rPr>
                <w:rFonts w:ascii="Noto Serif Light" w:hAnsi="Noto Serif Light" w:cs="Noto Serif Light"/>
                <w:lang w:val="en"/>
              </w:rPr>
            </w:pPr>
            <w:r w:rsidRPr="005E6A50">
              <w:rPr>
                <w:rFonts w:ascii="Noto Serif Light" w:hAnsi="Noto Serif Light" w:cs="Noto Serif Light"/>
                <w:lang w:val="en"/>
              </w:rPr>
              <w:t>14:00 – 15:30</w:t>
            </w:r>
          </w:p>
        </w:tc>
        <w:tc>
          <w:tcPr>
            <w:tcW w:w="13891" w:type="dxa"/>
            <w:gridSpan w:val="5"/>
            <w:shd w:val="clear" w:color="auto" w:fill="F4CAC2"/>
          </w:tcPr>
          <w:p w14:paraId="0282ACDC" w14:textId="77777777" w:rsidR="005E6A50" w:rsidRPr="005E6A50" w:rsidRDefault="005E6A50" w:rsidP="00F4404E">
            <w:pPr>
              <w:rPr>
                <w:rFonts w:ascii="Noto Serif Light" w:hAnsi="Noto Serif Light" w:cs="Noto Serif Light"/>
                <w:b/>
                <w:bCs/>
                <w:sz w:val="20"/>
                <w:szCs w:val="20"/>
                <w:lang w:val="en"/>
              </w:rPr>
            </w:pPr>
            <w:r w:rsidRPr="005E6A50">
              <w:rPr>
                <w:rFonts w:ascii="Noto Serif Light" w:hAnsi="Noto Serif Light" w:cs="Noto Serif Light"/>
                <w:b/>
                <w:bCs/>
                <w:lang w:val="en"/>
              </w:rPr>
              <w:t>Parallel Session 5</w:t>
            </w:r>
          </w:p>
        </w:tc>
      </w:tr>
      <w:tr w:rsidR="005E6A50" w:rsidRPr="005E6A50" w14:paraId="5681B55F" w14:textId="77777777" w:rsidTr="00DD41EB">
        <w:tc>
          <w:tcPr>
            <w:tcW w:w="1702" w:type="dxa"/>
            <w:vMerge/>
          </w:tcPr>
          <w:p w14:paraId="082B9FEA" w14:textId="77777777" w:rsidR="005E6A50" w:rsidRPr="005E6A50" w:rsidRDefault="005E6A50" w:rsidP="00F4404E">
            <w:pPr>
              <w:rPr>
                <w:rFonts w:ascii="Noto Serif Light" w:hAnsi="Noto Serif Light" w:cs="Noto Serif Light"/>
                <w:lang w:val="en"/>
              </w:rPr>
            </w:pPr>
          </w:p>
        </w:tc>
        <w:tc>
          <w:tcPr>
            <w:tcW w:w="3004" w:type="dxa"/>
            <w:shd w:val="clear" w:color="auto" w:fill="F9E0DB"/>
          </w:tcPr>
          <w:p w14:paraId="0CA27E0C" w14:textId="77777777" w:rsidR="005E6A50" w:rsidRPr="005E6A50" w:rsidRDefault="005E6A50" w:rsidP="00F4404E">
            <w:pPr>
              <w:rPr>
                <w:rFonts w:ascii="Noto Serif Light" w:hAnsi="Noto Serif Light" w:cs="Noto Serif Light"/>
                <w:b/>
                <w:bCs/>
                <w:sz w:val="22"/>
                <w:szCs w:val="22"/>
                <w:lang w:val="en"/>
              </w:rPr>
            </w:pPr>
            <w:r w:rsidRPr="005E6A50">
              <w:rPr>
                <w:rFonts w:ascii="Noto Serif Light" w:hAnsi="Noto Serif Light" w:cs="Noto Serif Light"/>
                <w:b/>
                <w:bCs/>
                <w:sz w:val="22"/>
                <w:szCs w:val="22"/>
                <w:lang w:val="en"/>
              </w:rPr>
              <w:t>A3: Regional Transition and Innovation to the Sustainable Future </w:t>
            </w:r>
          </w:p>
          <w:p w14:paraId="2F73D918" w14:textId="77777777" w:rsidR="005E6A50" w:rsidRDefault="005E6A50" w:rsidP="00F4404E">
            <w:pPr>
              <w:rPr>
                <w:rFonts w:ascii="Noto Serif Light" w:hAnsi="Noto Serif Light" w:cs="Noto Serif Light"/>
                <w:b/>
                <w:bCs/>
                <w:sz w:val="22"/>
                <w:szCs w:val="22"/>
                <w:lang w:val="en"/>
              </w:rPr>
            </w:pPr>
          </w:p>
          <w:p w14:paraId="114BE976" w14:textId="77777777" w:rsidR="003E1AF5" w:rsidRDefault="003E1AF5" w:rsidP="00F4404E">
            <w:pPr>
              <w:rPr>
                <w:rFonts w:ascii="Noto Serif Light" w:hAnsi="Noto Serif Light" w:cs="Noto Serif Light"/>
                <w:b/>
                <w:bCs/>
                <w:sz w:val="22"/>
                <w:szCs w:val="22"/>
                <w:lang w:val="en"/>
              </w:rPr>
            </w:pPr>
          </w:p>
          <w:p w14:paraId="50CA4203" w14:textId="5B6F8189" w:rsidR="003E1AF5" w:rsidRPr="005E6A50" w:rsidRDefault="003E1AF5" w:rsidP="00F4404E">
            <w:pPr>
              <w:rPr>
                <w:rFonts w:ascii="Noto Serif Light" w:hAnsi="Noto Serif Light" w:cs="Noto Serif Light"/>
                <w:b/>
                <w:bCs/>
                <w:sz w:val="22"/>
                <w:szCs w:val="22"/>
                <w:lang w:val="en"/>
              </w:rPr>
            </w:pPr>
            <w:r>
              <w:rPr>
                <w:rFonts w:ascii="Noto Serif Light" w:hAnsi="Noto Serif Light" w:cs="Noto Serif Light"/>
                <w:b/>
                <w:bCs/>
                <w:sz w:val="22"/>
                <w:szCs w:val="22"/>
              </w:rPr>
              <w:t xml:space="preserve">Location: </w:t>
            </w:r>
            <w:r>
              <w:rPr>
                <w:rFonts w:ascii="Noto Serif Light" w:hAnsi="Noto Serif Light" w:cs="Noto Serif Light"/>
                <w:sz w:val="22"/>
                <w:szCs w:val="22"/>
              </w:rPr>
              <w:t>G03 – Lecture Theatre 1</w:t>
            </w:r>
          </w:p>
        </w:tc>
        <w:tc>
          <w:tcPr>
            <w:tcW w:w="2722" w:type="dxa"/>
            <w:shd w:val="clear" w:color="auto" w:fill="FDF3F1"/>
          </w:tcPr>
          <w:p w14:paraId="7A535B02" w14:textId="77777777" w:rsidR="005E6A50" w:rsidRPr="005E6A50" w:rsidRDefault="005E6A50" w:rsidP="00F4404E">
            <w:pPr>
              <w:rPr>
                <w:rFonts w:ascii="Noto Serif Light" w:hAnsi="Noto Serif Light" w:cs="Noto Serif Light"/>
                <w:b/>
                <w:bCs/>
                <w:sz w:val="22"/>
                <w:szCs w:val="22"/>
                <w:lang w:val="en"/>
              </w:rPr>
            </w:pPr>
            <w:r w:rsidRPr="005E6A50">
              <w:rPr>
                <w:rFonts w:ascii="Noto Serif Light" w:hAnsi="Noto Serif Light" w:cs="Noto Serif Light"/>
                <w:b/>
                <w:bCs/>
                <w:sz w:val="22"/>
                <w:szCs w:val="22"/>
                <w:lang w:val="en"/>
              </w:rPr>
              <w:t>C: Procuring Innovation for the Regional Future </w:t>
            </w:r>
          </w:p>
          <w:p w14:paraId="0A2E49A0" w14:textId="77777777" w:rsidR="005E6A50" w:rsidRDefault="005E6A50" w:rsidP="00F4404E">
            <w:pPr>
              <w:rPr>
                <w:rFonts w:ascii="Noto Serif Light" w:hAnsi="Noto Serif Light" w:cs="Noto Serif Light"/>
                <w:b/>
                <w:bCs/>
                <w:sz w:val="22"/>
                <w:szCs w:val="22"/>
                <w:lang w:val="en"/>
              </w:rPr>
            </w:pPr>
          </w:p>
          <w:p w14:paraId="7245469F" w14:textId="77777777" w:rsidR="003E1AF5" w:rsidRDefault="003E1AF5" w:rsidP="00F4404E">
            <w:pPr>
              <w:rPr>
                <w:rFonts w:ascii="Noto Serif Light" w:hAnsi="Noto Serif Light" w:cs="Noto Serif Light"/>
                <w:b/>
                <w:bCs/>
                <w:sz w:val="22"/>
                <w:szCs w:val="22"/>
                <w:lang w:val="en"/>
              </w:rPr>
            </w:pPr>
          </w:p>
          <w:p w14:paraId="071305C1" w14:textId="77777777" w:rsidR="003E1AF5" w:rsidRDefault="003E1AF5" w:rsidP="00F4404E">
            <w:pPr>
              <w:rPr>
                <w:rFonts w:ascii="Noto Serif Light" w:hAnsi="Noto Serif Light" w:cs="Noto Serif Light"/>
                <w:b/>
                <w:bCs/>
                <w:sz w:val="22"/>
                <w:szCs w:val="22"/>
                <w:lang w:val="en"/>
              </w:rPr>
            </w:pPr>
          </w:p>
          <w:p w14:paraId="6AD74779" w14:textId="2CCB2710" w:rsidR="003E1AF5" w:rsidRPr="005E6A50" w:rsidRDefault="003E1AF5" w:rsidP="00F4404E">
            <w:pPr>
              <w:rPr>
                <w:rFonts w:ascii="Noto Serif Light" w:hAnsi="Noto Serif Light" w:cs="Noto Serif Light"/>
                <w:b/>
                <w:bCs/>
                <w:sz w:val="22"/>
                <w:szCs w:val="22"/>
                <w:lang w:val="en"/>
              </w:rPr>
            </w:pPr>
            <w:r>
              <w:rPr>
                <w:rFonts w:ascii="Noto Serif Light" w:hAnsi="Noto Serif Light" w:cs="Noto Serif Light"/>
                <w:b/>
                <w:bCs/>
                <w:sz w:val="22"/>
                <w:szCs w:val="22"/>
              </w:rPr>
              <w:t xml:space="preserve">Location: </w:t>
            </w:r>
            <w:r>
              <w:rPr>
                <w:rFonts w:ascii="Noto Serif Light" w:hAnsi="Noto Serif Light" w:cs="Noto Serif Light"/>
                <w:sz w:val="22"/>
                <w:szCs w:val="22"/>
              </w:rPr>
              <w:t>G11 – Lecture Theatre 2</w:t>
            </w:r>
          </w:p>
        </w:tc>
        <w:tc>
          <w:tcPr>
            <w:tcW w:w="2721" w:type="dxa"/>
            <w:shd w:val="clear" w:color="auto" w:fill="FEF5F0"/>
          </w:tcPr>
          <w:p w14:paraId="1A8B6A4F" w14:textId="77777777" w:rsidR="005E6A50" w:rsidRDefault="005E6A50" w:rsidP="00F4404E">
            <w:pPr>
              <w:rPr>
                <w:rFonts w:ascii="Noto Serif Light" w:hAnsi="Noto Serif Light" w:cs="Noto Serif Light"/>
                <w:b/>
                <w:bCs/>
                <w:sz w:val="22"/>
                <w:szCs w:val="22"/>
                <w:lang w:val="en"/>
              </w:rPr>
            </w:pPr>
            <w:r w:rsidRPr="005E6A50">
              <w:rPr>
                <w:rFonts w:ascii="Noto Serif Light" w:hAnsi="Noto Serif Light" w:cs="Noto Serif Light"/>
                <w:b/>
                <w:bCs/>
                <w:sz w:val="22"/>
                <w:szCs w:val="22"/>
                <w:lang w:val="en"/>
              </w:rPr>
              <w:t>D2: Building Effective University-Policy Partnerships </w:t>
            </w:r>
          </w:p>
          <w:p w14:paraId="76313DFA" w14:textId="77777777" w:rsidR="000A0BAC" w:rsidRDefault="000A0BAC" w:rsidP="00F4404E">
            <w:pPr>
              <w:rPr>
                <w:rFonts w:ascii="Noto Serif Light" w:hAnsi="Noto Serif Light" w:cs="Noto Serif Light"/>
                <w:b/>
                <w:bCs/>
                <w:sz w:val="22"/>
                <w:szCs w:val="22"/>
                <w:lang w:val="en"/>
              </w:rPr>
            </w:pPr>
          </w:p>
          <w:p w14:paraId="224EE87B" w14:textId="77777777" w:rsidR="000A0BAC" w:rsidRDefault="000A0BAC" w:rsidP="00F4404E">
            <w:pPr>
              <w:rPr>
                <w:rFonts w:ascii="Noto Serif Light" w:hAnsi="Noto Serif Light" w:cs="Noto Serif Light"/>
                <w:b/>
                <w:bCs/>
                <w:sz w:val="22"/>
                <w:szCs w:val="22"/>
                <w:lang w:val="en"/>
              </w:rPr>
            </w:pPr>
          </w:p>
          <w:p w14:paraId="5FDDCE96" w14:textId="4C9FF3D8" w:rsidR="000A0BAC" w:rsidRPr="000A0BAC" w:rsidRDefault="000A0BAC" w:rsidP="00F4404E">
            <w:pPr>
              <w:rPr>
                <w:rFonts w:ascii="Noto Serif Light" w:hAnsi="Noto Serif Light" w:cs="Noto Serif Light"/>
                <w:sz w:val="22"/>
                <w:szCs w:val="22"/>
                <w:lang w:val="en"/>
              </w:rPr>
            </w:pPr>
            <w:r>
              <w:rPr>
                <w:rFonts w:ascii="Noto Serif Light" w:hAnsi="Noto Serif Light" w:cs="Noto Serif Light"/>
                <w:b/>
                <w:bCs/>
                <w:sz w:val="22"/>
                <w:szCs w:val="22"/>
                <w:lang w:val="en"/>
              </w:rPr>
              <w:t xml:space="preserve">Location: </w:t>
            </w:r>
            <w:r>
              <w:rPr>
                <w:rFonts w:ascii="Noto Serif Light" w:hAnsi="Noto Serif Light" w:cs="Noto Serif Light"/>
                <w:sz w:val="22"/>
                <w:szCs w:val="22"/>
                <w:lang w:val="en"/>
              </w:rPr>
              <w:t xml:space="preserve">103 </w:t>
            </w:r>
            <w:r>
              <w:rPr>
                <w:rFonts w:ascii="Noto Serif Light" w:hAnsi="Noto Serif Light" w:cs="Noto Serif Light"/>
                <w:sz w:val="22"/>
                <w:szCs w:val="22"/>
              </w:rPr>
              <w:t>– Lecture Theatre 3</w:t>
            </w:r>
          </w:p>
        </w:tc>
        <w:tc>
          <w:tcPr>
            <w:tcW w:w="2722" w:type="dxa"/>
            <w:shd w:val="clear" w:color="auto" w:fill="FEEEE6"/>
          </w:tcPr>
          <w:p w14:paraId="5B4B4468" w14:textId="77777777" w:rsidR="005E6A50" w:rsidRDefault="005E6A50" w:rsidP="00F4404E">
            <w:pPr>
              <w:rPr>
                <w:rFonts w:ascii="Noto Serif Light" w:hAnsi="Noto Serif Light" w:cs="Noto Serif Light"/>
                <w:b/>
                <w:bCs/>
                <w:sz w:val="22"/>
                <w:szCs w:val="22"/>
                <w:lang w:val="en"/>
              </w:rPr>
            </w:pPr>
            <w:r w:rsidRPr="005E6A50">
              <w:rPr>
                <w:rFonts w:ascii="Noto Serif Light" w:hAnsi="Noto Serif Light" w:cs="Noto Serif Light"/>
                <w:b/>
                <w:bCs/>
                <w:sz w:val="22"/>
                <w:szCs w:val="22"/>
                <w:lang w:val="en"/>
              </w:rPr>
              <w:t>Beyond clusters and agglomeration – Towards New Innovation Policies? </w:t>
            </w:r>
          </w:p>
          <w:p w14:paraId="3D517131" w14:textId="77777777" w:rsidR="000A0BAC" w:rsidRDefault="000A0BAC" w:rsidP="00F4404E">
            <w:pPr>
              <w:rPr>
                <w:rFonts w:ascii="Noto Serif Light" w:hAnsi="Noto Serif Light" w:cs="Noto Serif Light"/>
                <w:b/>
                <w:bCs/>
                <w:sz w:val="22"/>
                <w:szCs w:val="22"/>
                <w:lang w:val="en"/>
              </w:rPr>
            </w:pPr>
          </w:p>
          <w:p w14:paraId="718C238B" w14:textId="13AAB47D" w:rsidR="005E6A50" w:rsidRPr="000A0BAC" w:rsidRDefault="000A0BAC" w:rsidP="00F4404E">
            <w:pPr>
              <w:rPr>
                <w:rFonts w:ascii="Noto Serif Light" w:hAnsi="Noto Serif Light" w:cs="Noto Serif Light"/>
                <w:sz w:val="22"/>
                <w:szCs w:val="22"/>
                <w:lang w:val="en"/>
              </w:rPr>
            </w:pPr>
            <w:r>
              <w:rPr>
                <w:rFonts w:ascii="Noto Serif Light" w:hAnsi="Noto Serif Light" w:cs="Noto Serif Light"/>
                <w:b/>
                <w:bCs/>
                <w:sz w:val="22"/>
                <w:szCs w:val="22"/>
                <w:lang w:val="en"/>
              </w:rPr>
              <w:t xml:space="preserve">Location: </w:t>
            </w:r>
            <w:r>
              <w:rPr>
                <w:rFonts w:ascii="Noto Serif Light" w:hAnsi="Noto Serif Light" w:cs="Noto Serif Light"/>
                <w:sz w:val="22"/>
                <w:szCs w:val="22"/>
                <w:lang w:val="en"/>
              </w:rPr>
              <w:t xml:space="preserve">111 </w:t>
            </w:r>
            <w:r>
              <w:rPr>
                <w:rFonts w:ascii="Noto Serif Light" w:hAnsi="Noto Serif Light" w:cs="Noto Serif Light"/>
                <w:sz w:val="22"/>
                <w:szCs w:val="22"/>
              </w:rPr>
              <w:t>– Lecture Theatre 4</w:t>
            </w:r>
          </w:p>
        </w:tc>
        <w:tc>
          <w:tcPr>
            <w:tcW w:w="2722" w:type="dxa"/>
            <w:shd w:val="clear" w:color="auto" w:fill="F9E0DB"/>
          </w:tcPr>
          <w:p w14:paraId="283C7C91" w14:textId="77777777" w:rsidR="005E6A50" w:rsidRPr="005E6A50" w:rsidRDefault="005E6A50" w:rsidP="00F4404E">
            <w:pPr>
              <w:rPr>
                <w:rFonts w:ascii="Noto Serif Light" w:hAnsi="Noto Serif Light" w:cs="Noto Serif Light"/>
                <w:b/>
                <w:bCs/>
                <w:sz w:val="22"/>
                <w:szCs w:val="22"/>
                <w:lang w:val="en"/>
              </w:rPr>
            </w:pPr>
            <w:r w:rsidRPr="005E6A50">
              <w:rPr>
                <w:rFonts w:ascii="Noto Serif Light" w:hAnsi="Noto Serif Light" w:cs="Noto Serif Light"/>
                <w:b/>
                <w:bCs/>
                <w:sz w:val="22"/>
                <w:szCs w:val="22"/>
                <w:lang w:val="en"/>
              </w:rPr>
              <w:t>Towards Regional Inclusive Innovation </w:t>
            </w:r>
          </w:p>
          <w:p w14:paraId="66BBDEE6" w14:textId="77777777" w:rsidR="005E6A50" w:rsidRDefault="005E6A50" w:rsidP="00F4404E">
            <w:pPr>
              <w:rPr>
                <w:rFonts w:ascii="Noto Serif Light" w:hAnsi="Noto Serif Light" w:cs="Noto Serif Light"/>
                <w:b/>
                <w:bCs/>
                <w:sz w:val="22"/>
                <w:szCs w:val="22"/>
                <w:lang w:val="en"/>
              </w:rPr>
            </w:pPr>
          </w:p>
          <w:p w14:paraId="01EA3626" w14:textId="77777777" w:rsidR="000A0BAC" w:rsidRDefault="000A0BAC" w:rsidP="00F4404E">
            <w:pPr>
              <w:rPr>
                <w:rFonts w:ascii="Noto Serif Light" w:hAnsi="Noto Serif Light" w:cs="Noto Serif Light"/>
                <w:b/>
                <w:bCs/>
                <w:sz w:val="22"/>
                <w:szCs w:val="22"/>
                <w:lang w:val="en"/>
              </w:rPr>
            </w:pPr>
          </w:p>
          <w:p w14:paraId="60C3101D" w14:textId="77777777" w:rsidR="000A0BAC" w:rsidRDefault="000A0BAC" w:rsidP="00F4404E">
            <w:pPr>
              <w:rPr>
                <w:rFonts w:ascii="Noto Serif Light" w:hAnsi="Noto Serif Light" w:cs="Noto Serif Light"/>
                <w:b/>
                <w:bCs/>
                <w:sz w:val="22"/>
                <w:szCs w:val="22"/>
                <w:lang w:val="en"/>
              </w:rPr>
            </w:pPr>
          </w:p>
          <w:p w14:paraId="33837DE6" w14:textId="24DCC4AE" w:rsidR="000A0BAC" w:rsidRPr="000A0BAC" w:rsidRDefault="000A0BAC" w:rsidP="00F4404E">
            <w:pPr>
              <w:rPr>
                <w:rFonts w:ascii="Noto Serif Light" w:hAnsi="Noto Serif Light" w:cs="Noto Serif Light"/>
                <w:sz w:val="22"/>
                <w:szCs w:val="22"/>
                <w:lang w:val="en"/>
              </w:rPr>
            </w:pPr>
            <w:r>
              <w:rPr>
                <w:rFonts w:ascii="Noto Serif Light" w:hAnsi="Noto Serif Light" w:cs="Noto Serif Light"/>
                <w:b/>
                <w:bCs/>
                <w:sz w:val="22"/>
                <w:szCs w:val="22"/>
                <w:lang w:val="en"/>
              </w:rPr>
              <w:t xml:space="preserve">Location: </w:t>
            </w:r>
            <w:r>
              <w:rPr>
                <w:rFonts w:ascii="Noto Serif Light" w:hAnsi="Noto Serif Light" w:cs="Noto Serif Light"/>
                <w:sz w:val="22"/>
                <w:szCs w:val="22"/>
                <w:lang w:val="en"/>
              </w:rPr>
              <w:t xml:space="preserve">112 </w:t>
            </w:r>
            <w:r>
              <w:rPr>
                <w:rFonts w:ascii="Noto Serif Light" w:hAnsi="Noto Serif Light" w:cs="Noto Serif Light"/>
                <w:sz w:val="22"/>
                <w:szCs w:val="22"/>
              </w:rPr>
              <w:t>– Lecture Theatre 5</w:t>
            </w:r>
          </w:p>
        </w:tc>
      </w:tr>
      <w:tr w:rsidR="004A69C0" w:rsidRPr="005E6A50" w14:paraId="4C480C2B" w14:textId="77777777" w:rsidTr="00DD41EB">
        <w:tc>
          <w:tcPr>
            <w:tcW w:w="1702" w:type="dxa"/>
            <w:vMerge/>
          </w:tcPr>
          <w:p w14:paraId="34893041" w14:textId="77777777" w:rsidR="004A69C0" w:rsidRPr="005E6A50" w:rsidRDefault="004A69C0" w:rsidP="00F4404E">
            <w:pPr>
              <w:rPr>
                <w:rFonts w:ascii="Noto Serif Light" w:hAnsi="Noto Serif Light" w:cs="Noto Serif Light"/>
                <w:lang w:val="en"/>
              </w:rPr>
            </w:pPr>
          </w:p>
        </w:tc>
        <w:tc>
          <w:tcPr>
            <w:tcW w:w="3004" w:type="dxa"/>
            <w:shd w:val="clear" w:color="auto" w:fill="F9E0DB"/>
          </w:tcPr>
          <w:p w14:paraId="0E0CF3AD" w14:textId="3FFD02C9" w:rsidR="004A69C0" w:rsidRDefault="004A69C0" w:rsidP="00F4404E">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Chair: Muzamil Farooq</w:t>
            </w:r>
          </w:p>
        </w:tc>
        <w:tc>
          <w:tcPr>
            <w:tcW w:w="2722" w:type="dxa"/>
            <w:shd w:val="clear" w:color="auto" w:fill="FDF3F1"/>
          </w:tcPr>
          <w:p w14:paraId="21ECE0F5" w14:textId="7E5E81CB" w:rsidR="004A69C0" w:rsidRDefault="004A69C0" w:rsidP="00F4404E">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Chair: Annum Rafique</w:t>
            </w:r>
          </w:p>
        </w:tc>
        <w:tc>
          <w:tcPr>
            <w:tcW w:w="2721" w:type="dxa"/>
            <w:shd w:val="clear" w:color="auto" w:fill="FEF5F0"/>
          </w:tcPr>
          <w:p w14:paraId="177ED7D2" w14:textId="19E60175" w:rsidR="004A69C0" w:rsidRDefault="004A69C0" w:rsidP="00F4404E">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Chair: Abigail Taylor</w:t>
            </w:r>
          </w:p>
        </w:tc>
        <w:tc>
          <w:tcPr>
            <w:tcW w:w="2722" w:type="dxa"/>
            <w:shd w:val="clear" w:color="auto" w:fill="FEEEE6"/>
          </w:tcPr>
          <w:p w14:paraId="782A4B55" w14:textId="1415A0A5" w:rsidR="004A69C0" w:rsidRDefault="004A69C0" w:rsidP="00F4404E">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Chair: Chloe Billing</w:t>
            </w:r>
          </w:p>
        </w:tc>
        <w:tc>
          <w:tcPr>
            <w:tcW w:w="2722" w:type="dxa"/>
            <w:shd w:val="clear" w:color="auto" w:fill="F9E0DB"/>
          </w:tcPr>
          <w:p w14:paraId="264129FC" w14:textId="77777777" w:rsidR="004A69C0" w:rsidRPr="004A69C0" w:rsidRDefault="004A69C0" w:rsidP="004A69C0">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 xml:space="preserve">Chair: Gerardo Javier </w:t>
            </w:r>
          </w:p>
          <w:p w14:paraId="0998F6FD" w14:textId="2CF46624" w:rsidR="004A69C0" w:rsidRDefault="004A69C0" w:rsidP="004A69C0">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Arriaga-Garcia</w:t>
            </w:r>
          </w:p>
        </w:tc>
      </w:tr>
      <w:tr w:rsidR="005E6A50" w:rsidRPr="005E6A50" w14:paraId="6F7557DD" w14:textId="77777777" w:rsidTr="00DD41EB">
        <w:tc>
          <w:tcPr>
            <w:tcW w:w="1702" w:type="dxa"/>
            <w:vMerge/>
          </w:tcPr>
          <w:p w14:paraId="4917EF07" w14:textId="77777777" w:rsidR="005E6A50" w:rsidRPr="005E6A50" w:rsidRDefault="005E6A50" w:rsidP="00F4404E">
            <w:pPr>
              <w:rPr>
                <w:rFonts w:ascii="Noto Serif Light" w:hAnsi="Noto Serif Light" w:cs="Noto Serif Light"/>
                <w:lang w:val="en"/>
              </w:rPr>
            </w:pPr>
          </w:p>
        </w:tc>
        <w:tc>
          <w:tcPr>
            <w:tcW w:w="3004" w:type="dxa"/>
            <w:shd w:val="clear" w:color="auto" w:fill="F9E0DB"/>
          </w:tcPr>
          <w:p w14:paraId="3639C080" w14:textId="6AA0CB91"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O64. </w:t>
            </w:r>
            <w:r w:rsidR="005E6A50" w:rsidRPr="005E6A50">
              <w:rPr>
                <w:rFonts w:ascii="Noto Serif Light" w:hAnsi="Noto Serif Light" w:cs="Noto Serif Light"/>
                <w:b/>
                <w:bCs/>
                <w:sz w:val="20"/>
                <w:szCs w:val="20"/>
                <w:lang w:val="en"/>
              </w:rPr>
              <w:t>Francesco Cappellano: </w:t>
            </w:r>
          </w:p>
          <w:p w14:paraId="1B3A2DC8" w14:textId="04DE7272"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International Borders, Innovation, and Climate Change Adaptation: A Relational Perspective from the Danish/German Borderland </w:t>
            </w:r>
          </w:p>
        </w:tc>
        <w:tc>
          <w:tcPr>
            <w:tcW w:w="2722" w:type="dxa"/>
            <w:shd w:val="clear" w:color="auto" w:fill="FDF3F1"/>
          </w:tcPr>
          <w:p w14:paraId="21FB01C3" w14:textId="7B578C75"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O68. </w:t>
            </w:r>
            <w:r w:rsidR="005E6A50" w:rsidRPr="005E6A50">
              <w:rPr>
                <w:rFonts w:ascii="Noto Serif Light" w:hAnsi="Noto Serif Light" w:cs="Noto Serif Light"/>
                <w:b/>
                <w:bCs/>
                <w:sz w:val="20"/>
                <w:szCs w:val="20"/>
                <w:lang w:val="en"/>
              </w:rPr>
              <w:t>Raquel Ortega-Argiles, Elvira Uyarra Pei-Yu Yuan &amp; Xin Deng:</w:t>
            </w:r>
          </w:p>
          <w:p w14:paraId="72B3117D" w14:textId="0350867F"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Unlocking Regional Innovation Potential: A Place-Sensitive Approach to Public Procurement</w:t>
            </w:r>
          </w:p>
        </w:tc>
        <w:tc>
          <w:tcPr>
            <w:tcW w:w="2721" w:type="dxa"/>
            <w:shd w:val="clear" w:color="auto" w:fill="FEF5F0"/>
          </w:tcPr>
          <w:p w14:paraId="5AB2CC23" w14:textId="29B50763"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O72. </w:t>
            </w:r>
            <w:r w:rsidR="005E6A50" w:rsidRPr="005E6A50">
              <w:rPr>
                <w:rFonts w:ascii="Noto Serif Light" w:hAnsi="Noto Serif Light" w:cs="Noto Serif Light"/>
                <w:b/>
                <w:bCs/>
                <w:sz w:val="20"/>
                <w:szCs w:val="20"/>
                <w:lang w:val="en"/>
              </w:rPr>
              <w:t>Des McNulty:  </w:t>
            </w:r>
          </w:p>
          <w:p w14:paraId="184E51EE"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Civic Universities and Intelligent City Regions </w:t>
            </w:r>
          </w:p>
        </w:tc>
        <w:tc>
          <w:tcPr>
            <w:tcW w:w="2722" w:type="dxa"/>
            <w:shd w:val="clear" w:color="auto" w:fill="FEEEE6"/>
          </w:tcPr>
          <w:p w14:paraId="0FA9CA91" w14:textId="49AFF3EF"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O76. </w:t>
            </w:r>
            <w:r w:rsidR="005E6A50" w:rsidRPr="005E6A50">
              <w:rPr>
                <w:rFonts w:ascii="Noto Serif Light" w:hAnsi="Noto Serif Light" w:cs="Noto Serif Light"/>
                <w:b/>
                <w:bCs/>
                <w:sz w:val="20"/>
                <w:szCs w:val="20"/>
                <w:lang w:val="en"/>
              </w:rPr>
              <w:t>Adam Brown &amp; Jen Nelles: </w:t>
            </w:r>
          </w:p>
          <w:p w14:paraId="7FCCCB81"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Beyond Agglomeration: Understanding the Role of Economic Complexity, Clusters and Networks in Regional Economic Development </w:t>
            </w:r>
          </w:p>
        </w:tc>
        <w:tc>
          <w:tcPr>
            <w:tcW w:w="2722" w:type="dxa"/>
            <w:shd w:val="clear" w:color="auto" w:fill="F9E0DB"/>
          </w:tcPr>
          <w:p w14:paraId="6EA801DB" w14:textId="70982ECA"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O80. </w:t>
            </w:r>
            <w:r w:rsidR="005E6A50" w:rsidRPr="005E6A50">
              <w:rPr>
                <w:rFonts w:ascii="Noto Serif Light" w:hAnsi="Noto Serif Light" w:cs="Noto Serif Light"/>
                <w:b/>
                <w:bCs/>
                <w:sz w:val="20"/>
                <w:szCs w:val="20"/>
                <w:lang w:val="en"/>
              </w:rPr>
              <w:t>David Charles et al: </w:t>
            </w:r>
          </w:p>
          <w:p w14:paraId="3E5C2146"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Rethinking Regional Innovation Systems: Inclusivity and Innovation in (semi)Peripheral Places </w:t>
            </w:r>
          </w:p>
        </w:tc>
      </w:tr>
      <w:tr w:rsidR="005E6A50" w:rsidRPr="005E6A50" w14:paraId="45220F51" w14:textId="77777777" w:rsidTr="00DD41EB">
        <w:tc>
          <w:tcPr>
            <w:tcW w:w="1702" w:type="dxa"/>
            <w:vMerge/>
          </w:tcPr>
          <w:p w14:paraId="03B8A689" w14:textId="77777777" w:rsidR="005E6A50" w:rsidRPr="005E6A50" w:rsidRDefault="005E6A50" w:rsidP="00F4404E">
            <w:pPr>
              <w:rPr>
                <w:rFonts w:ascii="Noto Serif Light" w:hAnsi="Noto Serif Light" w:cs="Noto Serif Light"/>
                <w:lang w:val="en"/>
              </w:rPr>
            </w:pPr>
          </w:p>
        </w:tc>
        <w:tc>
          <w:tcPr>
            <w:tcW w:w="3004" w:type="dxa"/>
            <w:shd w:val="clear" w:color="auto" w:fill="F9E0DB"/>
          </w:tcPr>
          <w:p w14:paraId="5DD982F3" w14:textId="7630413C"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O65. </w:t>
            </w:r>
            <w:r w:rsidR="005E6A50" w:rsidRPr="005E6A50">
              <w:rPr>
                <w:rFonts w:ascii="Noto Serif Light" w:hAnsi="Noto Serif Light" w:cs="Noto Serif Light"/>
                <w:b/>
                <w:bCs/>
                <w:sz w:val="20"/>
                <w:szCs w:val="20"/>
                <w:lang w:val="en"/>
              </w:rPr>
              <w:t>Marta Gancarczy</w:t>
            </w:r>
            <w:r w:rsidR="00166371">
              <w:rPr>
                <w:rFonts w:ascii="Noto Serif Light" w:hAnsi="Noto Serif Light" w:cs="Noto Serif Light"/>
                <w:b/>
                <w:bCs/>
                <w:sz w:val="20"/>
                <w:szCs w:val="20"/>
                <w:lang w:val="en"/>
              </w:rPr>
              <w:t>k, Jacek Gancarczyk &amp; Vadim Grinevich</w:t>
            </w:r>
            <w:r w:rsidR="005E6A50" w:rsidRPr="005E6A50">
              <w:rPr>
                <w:rFonts w:ascii="Noto Serif Light" w:hAnsi="Noto Serif Light" w:cs="Noto Serif Light"/>
                <w:b/>
                <w:bCs/>
                <w:sz w:val="20"/>
                <w:szCs w:val="20"/>
                <w:lang w:val="en"/>
              </w:rPr>
              <w:t>: </w:t>
            </w:r>
          </w:p>
          <w:p w14:paraId="7C81926B" w14:textId="5DF4C0A3"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xml:space="preserve">Sustainable </w:t>
            </w:r>
            <w:r w:rsidR="00DB1769" w:rsidRPr="005E6A50">
              <w:rPr>
                <w:rFonts w:ascii="Noto Serif Light" w:hAnsi="Noto Serif Light" w:cs="Noto Serif Light"/>
                <w:sz w:val="20"/>
                <w:szCs w:val="20"/>
                <w:lang w:val="en"/>
              </w:rPr>
              <w:t xml:space="preserve">Industrial Transformation in </w:t>
            </w:r>
            <w:r w:rsidR="00DB1769">
              <w:rPr>
                <w:rFonts w:ascii="Noto Serif Light" w:hAnsi="Noto Serif Light" w:cs="Noto Serif Light"/>
                <w:sz w:val="20"/>
                <w:szCs w:val="20"/>
                <w:lang w:val="en"/>
              </w:rPr>
              <w:t xml:space="preserve">a </w:t>
            </w:r>
            <w:r w:rsidR="00DB1769" w:rsidRPr="005E6A50">
              <w:rPr>
                <w:rFonts w:ascii="Noto Serif Light" w:hAnsi="Noto Serif Light" w:cs="Noto Serif Light"/>
                <w:sz w:val="20"/>
                <w:szCs w:val="20"/>
                <w:lang w:val="en"/>
              </w:rPr>
              <w:t xml:space="preserve">Post-Industrial City from </w:t>
            </w:r>
            <w:r w:rsidR="00DB1769">
              <w:rPr>
                <w:rFonts w:ascii="Noto Serif Light" w:hAnsi="Noto Serif Light" w:cs="Noto Serif Light"/>
                <w:sz w:val="20"/>
                <w:szCs w:val="20"/>
                <w:lang w:val="en"/>
              </w:rPr>
              <w:t>a</w:t>
            </w:r>
            <w:r w:rsidR="00DB1769" w:rsidRPr="005E6A50">
              <w:rPr>
                <w:rFonts w:ascii="Noto Serif Light" w:hAnsi="Noto Serif Light" w:cs="Noto Serif Light"/>
                <w:sz w:val="20"/>
                <w:szCs w:val="20"/>
                <w:lang w:val="en"/>
              </w:rPr>
              <w:t xml:space="preserve">n Entrepreneurial Ecosystem </w:t>
            </w:r>
            <w:r w:rsidR="00DB1769" w:rsidRPr="005E6A50">
              <w:rPr>
                <w:rFonts w:ascii="Noto Serif Light" w:hAnsi="Noto Serif Light" w:cs="Noto Serif Light"/>
                <w:sz w:val="20"/>
                <w:szCs w:val="20"/>
                <w:lang w:val="en"/>
              </w:rPr>
              <w:lastRenderedPageBreak/>
              <w:t xml:space="preserve">Perspective: The Case of </w:t>
            </w:r>
            <w:r w:rsidRPr="005E6A50">
              <w:rPr>
                <w:rFonts w:ascii="Noto Serif Light" w:hAnsi="Noto Serif Light" w:cs="Noto Serif Light"/>
                <w:sz w:val="20"/>
                <w:szCs w:val="20"/>
                <w:lang w:val="en"/>
              </w:rPr>
              <w:t>Krakow </w:t>
            </w:r>
          </w:p>
          <w:p w14:paraId="11DB1387" w14:textId="77777777" w:rsidR="005E6A50" w:rsidRPr="005E6A50" w:rsidRDefault="005E6A50" w:rsidP="00F4404E">
            <w:pPr>
              <w:rPr>
                <w:rFonts w:ascii="Noto Serif Light" w:hAnsi="Noto Serif Light" w:cs="Noto Serif Light"/>
                <w:sz w:val="20"/>
                <w:szCs w:val="20"/>
                <w:lang w:val="en"/>
              </w:rPr>
            </w:pPr>
          </w:p>
        </w:tc>
        <w:tc>
          <w:tcPr>
            <w:tcW w:w="2722" w:type="dxa"/>
            <w:shd w:val="clear" w:color="auto" w:fill="FDF3F1"/>
          </w:tcPr>
          <w:p w14:paraId="1C88D0E0" w14:textId="198052F2"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lastRenderedPageBreak/>
              <w:t xml:space="preserve">O69. </w:t>
            </w:r>
            <w:r w:rsidR="005E6A50" w:rsidRPr="005E6A50">
              <w:rPr>
                <w:rFonts w:ascii="Noto Serif Light" w:hAnsi="Noto Serif Light" w:cs="Noto Serif Light"/>
                <w:b/>
                <w:bCs/>
                <w:sz w:val="20"/>
                <w:szCs w:val="20"/>
                <w:lang w:val="en"/>
              </w:rPr>
              <w:t>Annum Rafique:</w:t>
            </w:r>
          </w:p>
          <w:p w14:paraId="47C1E902"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Public Procurement for Net Zero: Spatial, Functional, and Distributional Asymmetries </w:t>
            </w:r>
          </w:p>
        </w:tc>
        <w:tc>
          <w:tcPr>
            <w:tcW w:w="2721" w:type="dxa"/>
            <w:shd w:val="clear" w:color="auto" w:fill="FEF5F0"/>
          </w:tcPr>
          <w:p w14:paraId="5040AA2D" w14:textId="77777777" w:rsidR="004A69C0" w:rsidRPr="004A69C0" w:rsidRDefault="004A69C0" w:rsidP="004A69C0">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 xml:space="preserve">O74. Magda Cepeda et al: </w:t>
            </w:r>
          </w:p>
          <w:p w14:paraId="7514BE13" w14:textId="6BB377D0" w:rsidR="004A69C0" w:rsidRPr="004A69C0" w:rsidRDefault="004A69C0" w:rsidP="004A69C0">
            <w:pPr>
              <w:rPr>
                <w:rFonts w:ascii="Noto Serif Light" w:hAnsi="Noto Serif Light" w:cs="Noto Serif Light"/>
                <w:sz w:val="20"/>
                <w:szCs w:val="20"/>
                <w:lang w:val="en"/>
              </w:rPr>
            </w:pPr>
            <w:r w:rsidRPr="004A69C0">
              <w:rPr>
                <w:rFonts w:ascii="Noto Serif Light" w:hAnsi="Noto Serif Light" w:cs="Noto Serif Light"/>
                <w:sz w:val="20"/>
                <w:szCs w:val="20"/>
                <w:lang w:val="en"/>
              </w:rPr>
              <w:t xml:space="preserve">Aligning Knowledge Supply and Policy Demand: A Behavioural Approach to Regional Engagement </w:t>
            </w:r>
          </w:p>
          <w:p w14:paraId="217ED8AE" w14:textId="55175096" w:rsidR="005E6A50" w:rsidRPr="005E6A50" w:rsidRDefault="005E6A50" w:rsidP="00F4404E">
            <w:pPr>
              <w:rPr>
                <w:rFonts w:ascii="Noto Serif Light" w:hAnsi="Noto Serif Light" w:cs="Noto Serif Light"/>
                <w:sz w:val="20"/>
                <w:szCs w:val="20"/>
                <w:lang w:val="en"/>
              </w:rPr>
            </w:pPr>
          </w:p>
        </w:tc>
        <w:tc>
          <w:tcPr>
            <w:tcW w:w="2722" w:type="dxa"/>
            <w:shd w:val="clear" w:color="auto" w:fill="FEEEE6"/>
          </w:tcPr>
          <w:p w14:paraId="1A4B3C71" w14:textId="684AC353"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O77. </w:t>
            </w:r>
            <w:r w:rsidR="005E6A50" w:rsidRPr="005E6A50">
              <w:rPr>
                <w:rFonts w:ascii="Noto Serif Light" w:hAnsi="Noto Serif Light" w:cs="Noto Serif Light"/>
                <w:b/>
                <w:bCs/>
                <w:sz w:val="20"/>
                <w:szCs w:val="20"/>
                <w:lang w:val="en"/>
              </w:rPr>
              <w:t>Mads Bruun Ingstrup et al:</w:t>
            </w:r>
          </w:p>
          <w:p w14:paraId="535A7B7D" w14:textId="77777777" w:rsidR="005E6A50" w:rsidRPr="005E6A50" w:rsidRDefault="005E6A50" w:rsidP="00F4404E">
            <w:pPr>
              <w:rPr>
                <w:rFonts w:ascii="Noto Serif Light" w:hAnsi="Noto Serif Light" w:cs="Noto Serif Light"/>
                <w:b/>
                <w:bCs/>
                <w:sz w:val="20"/>
                <w:szCs w:val="20"/>
                <w:lang w:val="en"/>
              </w:rPr>
            </w:pPr>
            <w:r w:rsidRPr="005E6A50">
              <w:rPr>
                <w:rFonts w:ascii="Noto Serif Light" w:hAnsi="Noto Serif Light" w:cs="Noto Serif Light"/>
                <w:sz w:val="20"/>
                <w:szCs w:val="20"/>
                <w:lang w:val="en"/>
              </w:rPr>
              <w:t>Cluster Policy After the</w:t>
            </w:r>
            <w:r w:rsidRPr="005E6A50">
              <w:rPr>
                <w:rFonts w:ascii="Noto Serif Light" w:hAnsi="Noto Serif Light" w:cs="Noto Serif Light"/>
                <w:b/>
                <w:bCs/>
                <w:sz w:val="20"/>
                <w:szCs w:val="20"/>
                <w:lang w:val="en"/>
              </w:rPr>
              <w:t xml:space="preserve"> </w:t>
            </w:r>
            <w:r w:rsidRPr="005E6A50">
              <w:rPr>
                <w:rFonts w:ascii="Noto Serif Light" w:hAnsi="Noto Serif Light" w:cs="Noto Serif Light"/>
                <w:sz w:val="20"/>
                <w:szCs w:val="20"/>
                <w:lang w:val="en"/>
              </w:rPr>
              <w:t>Boom: Institutionalization and Displacement in Norway and Denmark</w:t>
            </w:r>
            <w:r w:rsidRPr="005E6A50">
              <w:rPr>
                <w:rFonts w:ascii="Noto Serif Light" w:hAnsi="Noto Serif Light" w:cs="Noto Serif Light"/>
                <w:b/>
                <w:bCs/>
                <w:sz w:val="20"/>
                <w:szCs w:val="20"/>
                <w:lang w:val="en"/>
              </w:rPr>
              <w:t> </w:t>
            </w:r>
          </w:p>
        </w:tc>
        <w:tc>
          <w:tcPr>
            <w:tcW w:w="2722" w:type="dxa"/>
            <w:shd w:val="clear" w:color="auto" w:fill="F9E0DB"/>
          </w:tcPr>
          <w:p w14:paraId="51404C57" w14:textId="382AC919"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O81. </w:t>
            </w:r>
            <w:r w:rsidR="005E6A50" w:rsidRPr="005E6A50">
              <w:rPr>
                <w:rFonts w:ascii="Noto Serif Light" w:hAnsi="Noto Serif Light" w:cs="Noto Serif Light"/>
                <w:b/>
                <w:bCs/>
                <w:sz w:val="20"/>
                <w:szCs w:val="20"/>
                <w:lang w:val="en"/>
              </w:rPr>
              <w:t>Michi Ochiai: </w:t>
            </w:r>
          </w:p>
          <w:p w14:paraId="2ABD8EF5"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A Three-Pillar Framework for Methodological Rigor in Regional Inclusive Innovation </w:t>
            </w:r>
          </w:p>
        </w:tc>
      </w:tr>
      <w:tr w:rsidR="005E6A50" w:rsidRPr="005E6A50" w14:paraId="259ACC05" w14:textId="77777777" w:rsidTr="00DD41EB">
        <w:tc>
          <w:tcPr>
            <w:tcW w:w="1702" w:type="dxa"/>
            <w:vMerge/>
          </w:tcPr>
          <w:p w14:paraId="46B266C0" w14:textId="77777777" w:rsidR="005E6A50" w:rsidRPr="005E6A50" w:rsidRDefault="005E6A50" w:rsidP="00F4404E">
            <w:pPr>
              <w:rPr>
                <w:rFonts w:ascii="Noto Serif Light" w:hAnsi="Noto Serif Light" w:cs="Noto Serif Light"/>
                <w:lang w:val="en"/>
              </w:rPr>
            </w:pPr>
          </w:p>
        </w:tc>
        <w:tc>
          <w:tcPr>
            <w:tcW w:w="3004" w:type="dxa"/>
            <w:shd w:val="clear" w:color="auto" w:fill="F9E0DB"/>
          </w:tcPr>
          <w:p w14:paraId="451CA2CD" w14:textId="72549466"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O66. </w:t>
            </w:r>
            <w:r w:rsidR="005E6A50" w:rsidRPr="005E6A50">
              <w:rPr>
                <w:rFonts w:ascii="Noto Serif Light" w:hAnsi="Noto Serif Light" w:cs="Noto Serif Light"/>
                <w:b/>
                <w:bCs/>
                <w:sz w:val="20"/>
                <w:szCs w:val="20"/>
                <w:lang w:val="en"/>
              </w:rPr>
              <w:t>Ziqing Wang:</w:t>
            </w:r>
          </w:p>
          <w:p w14:paraId="769E5E26"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Carbon Policy and Uneven Regional Transitions </w:t>
            </w:r>
          </w:p>
          <w:p w14:paraId="348EC32E" w14:textId="77777777" w:rsidR="005E6A50" w:rsidRPr="005E6A50" w:rsidRDefault="005E6A50" w:rsidP="00F4404E">
            <w:pPr>
              <w:rPr>
                <w:rFonts w:ascii="Noto Serif Light" w:hAnsi="Noto Serif Light" w:cs="Noto Serif Light"/>
                <w:b/>
                <w:bCs/>
                <w:sz w:val="20"/>
                <w:szCs w:val="20"/>
                <w:lang w:val="en"/>
              </w:rPr>
            </w:pPr>
            <w:r w:rsidRPr="005E6A50">
              <w:rPr>
                <w:rFonts w:ascii="Noto Serif Light" w:hAnsi="Noto Serif Light" w:cs="Noto Serif Light"/>
                <w:b/>
                <w:bCs/>
                <w:sz w:val="20"/>
                <w:szCs w:val="20"/>
                <w:lang w:val="en"/>
              </w:rPr>
              <w:t> </w:t>
            </w:r>
          </w:p>
        </w:tc>
        <w:tc>
          <w:tcPr>
            <w:tcW w:w="2722" w:type="dxa"/>
            <w:shd w:val="clear" w:color="auto" w:fill="FDF3F1"/>
          </w:tcPr>
          <w:p w14:paraId="63E27A6D" w14:textId="344F9638"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O70. </w:t>
            </w:r>
            <w:r w:rsidR="005E6A50" w:rsidRPr="005E6A50">
              <w:rPr>
                <w:rFonts w:ascii="Noto Serif Light" w:hAnsi="Noto Serif Light" w:cs="Noto Serif Light"/>
                <w:b/>
                <w:bCs/>
                <w:sz w:val="20"/>
                <w:szCs w:val="20"/>
                <w:lang w:val="en"/>
              </w:rPr>
              <w:t>Joe Sanderson &amp; Chris Lonsdale:</w:t>
            </w:r>
          </w:p>
          <w:p w14:paraId="027F82B7" w14:textId="1B700703"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xml:space="preserve">A </w:t>
            </w:r>
            <w:r w:rsidR="00535DC8" w:rsidRPr="005E6A50">
              <w:rPr>
                <w:rFonts w:ascii="Noto Serif Light" w:hAnsi="Noto Serif Light" w:cs="Noto Serif Light"/>
                <w:sz w:val="20"/>
                <w:szCs w:val="20"/>
                <w:lang w:val="en"/>
              </w:rPr>
              <w:t xml:space="preserve">Buyer Capabilities Framework: </w:t>
            </w:r>
            <w:r w:rsidRPr="005E6A50">
              <w:rPr>
                <w:rFonts w:ascii="Noto Serif Light" w:hAnsi="Noto Serif Light" w:cs="Noto Serif Light"/>
                <w:sz w:val="20"/>
                <w:szCs w:val="20"/>
                <w:lang w:val="en"/>
              </w:rPr>
              <w:t xml:space="preserve">What </w:t>
            </w:r>
            <w:r w:rsidR="00535DC8" w:rsidRPr="005E6A50">
              <w:rPr>
                <w:rFonts w:ascii="Noto Serif Light" w:hAnsi="Noto Serif Light" w:cs="Noto Serif Light"/>
                <w:sz w:val="20"/>
                <w:szCs w:val="20"/>
                <w:lang w:val="en"/>
              </w:rPr>
              <w:t xml:space="preserve">Skills </w:t>
            </w:r>
            <w:r w:rsidR="00535DC8">
              <w:rPr>
                <w:rFonts w:ascii="Noto Serif Light" w:hAnsi="Noto Serif Light" w:cs="Noto Serif Light"/>
                <w:sz w:val="20"/>
                <w:szCs w:val="20"/>
                <w:lang w:val="en"/>
              </w:rPr>
              <w:t>a</w:t>
            </w:r>
            <w:r w:rsidR="00535DC8" w:rsidRPr="005E6A50">
              <w:rPr>
                <w:rFonts w:ascii="Noto Serif Light" w:hAnsi="Noto Serif Light" w:cs="Noto Serif Light"/>
                <w:sz w:val="20"/>
                <w:szCs w:val="20"/>
                <w:lang w:val="en"/>
              </w:rPr>
              <w:t xml:space="preserve">nd Knowledge </w:t>
            </w:r>
            <w:r w:rsidR="00535DC8">
              <w:rPr>
                <w:rFonts w:ascii="Noto Serif Light" w:hAnsi="Noto Serif Light" w:cs="Noto Serif Light"/>
                <w:sz w:val="20"/>
                <w:szCs w:val="20"/>
                <w:lang w:val="en"/>
              </w:rPr>
              <w:t>Do</w:t>
            </w:r>
            <w:r w:rsidR="00535DC8" w:rsidRPr="005E6A50">
              <w:rPr>
                <w:rFonts w:ascii="Noto Serif Light" w:hAnsi="Noto Serif Light" w:cs="Noto Serif Light"/>
                <w:sz w:val="20"/>
                <w:szCs w:val="20"/>
                <w:lang w:val="en"/>
              </w:rPr>
              <w:t xml:space="preserve"> Buyers Need </w:t>
            </w:r>
            <w:r w:rsidR="00535DC8">
              <w:rPr>
                <w:rFonts w:ascii="Noto Serif Light" w:hAnsi="Noto Serif Light" w:cs="Noto Serif Light"/>
                <w:sz w:val="20"/>
                <w:szCs w:val="20"/>
                <w:lang w:val="en"/>
              </w:rPr>
              <w:t>f</w:t>
            </w:r>
            <w:r w:rsidR="00535DC8" w:rsidRPr="005E6A50">
              <w:rPr>
                <w:rFonts w:ascii="Noto Serif Light" w:hAnsi="Noto Serif Light" w:cs="Noto Serif Light"/>
                <w:sz w:val="20"/>
                <w:szCs w:val="20"/>
                <w:lang w:val="en"/>
              </w:rPr>
              <w:t xml:space="preserve">or Effective </w:t>
            </w:r>
            <w:r w:rsidRPr="005E6A50">
              <w:rPr>
                <w:rFonts w:ascii="Noto Serif Light" w:hAnsi="Noto Serif Light" w:cs="Noto Serif Light"/>
                <w:sz w:val="20"/>
                <w:szCs w:val="20"/>
                <w:lang w:val="en"/>
              </w:rPr>
              <w:t xml:space="preserve">PPI </w:t>
            </w:r>
            <w:r w:rsidR="00535DC8" w:rsidRPr="005E6A50">
              <w:rPr>
                <w:rFonts w:ascii="Noto Serif Light" w:hAnsi="Noto Serif Light" w:cs="Noto Serif Light"/>
                <w:sz w:val="20"/>
                <w:szCs w:val="20"/>
                <w:lang w:val="en"/>
              </w:rPr>
              <w:t>Implementation? </w:t>
            </w:r>
          </w:p>
        </w:tc>
        <w:tc>
          <w:tcPr>
            <w:tcW w:w="2721" w:type="dxa"/>
            <w:shd w:val="clear" w:color="auto" w:fill="FEF5F0"/>
          </w:tcPr>
          <w:p w14:paraId="066D1440" w14:textId="77777777" w:rsidR="004A69C0" w:rsidRPr="004A69C0" w:rsidRDefault="004A69C0" w:rsidP="004A69C0">
            <w:pPr>
              <w:rPr>
                <w:rFonts w:ascii="Noto Serif Light" w:hAnsi="Noto Serif Light" w:cs="Noto Serif Light"/>
                <w:b/>
                <w:bCs/>
                <w:sz w:val="20"/>
                <w:szCs w:val="20"/>
                <w:lang w:val="en"/>
              </w:rPr>
            </w:pPr>
            <w:r w:rsidRPr="004A69C0">
              <w:rPr>
                <w:rFonts w:ascii="Noto Serif Light" w:hAnsi="Noto Serif Light" w:cs="Noto Serif Light"/>
                <w:b/>
                <w:bCs/>
                <w:sz w:val="20"/>
                <w:szCs w:val="20"/>
                <w:lang w:val="en"/>
              </w:rPr>
              <w:t>O75. Rosi Smith:</w:t>
            </w:r>
          </w:p>
          <w:p w14:paraId="03BDE5F5" w14:textId="21AE971F" w:rsidR="005E6A50" w:rsidRPr="005E6A50" w:rsidRDefault="004A69C0" w:rsidP="004A69C0">
            <w:pPr>
              <w:rPr>
                <w:rFonts w:ascii="Noto Serif Light" w:hAnsi="Noto Serif Light" w:cs="Noto Serif Light"/>
                <w:sz w:val="20"/>
                <w:szCs w:val="20"/>
                <w:lang w:val="en"/>
              </w:rPr>
            </w:pPr>
            <w:r w:rsidRPr="004A69C0">
              <w:rPr>
                <w:rFonts w:ascii="Noto Serif Light" w:hAnsi="Noto Serif Light" w:cs="Noto Serif Light"/>
                <w:sz w:val="20"/>
                <w:szCs w:val="20"/>
                <w:lang w:val="en"/>
              </w:rPr>
              <w:t>What and How Can We Learn from Cuba’s Hyperconnected Local University Centres?</w:t>
            </w:r>
          </w:p>
        </w:tc>
        <w:tc>
          <w:tcPr>
            <w:tcW w:w="2722" w:type="dxa"/>
            <w:shd w:val="clear" w:color="auto" w:fill="FEEEE6"/>
          </w:tcPr>
          <w:p w14:paraId="272BAD50" w14:textId="7CDB0ADB"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O78. </w:t>
            </w:r>
            <w:r w:rsidR="005E6A50" w:rsidRPr="005E6A50">
              <w:rPr>
                <w:rFonts w:ascii="Noto Serif Light" w:hAnsi="Noto Serif Light" w:cs="Noto Serif Light"/>
                <w:b/>
                <w:bCs/>
                <w:sz w:val="20"/>
                <w:szCs w:val="20"/>
                <w:lang w:val="en"/>
              </w:rPr>
              <w:t>David Bailey &amp; Paul Hildreth: </w:t>
            </w:r>
          </w:p>
          <w:p w14:paraId="51A4B093"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Putting Place First: Towards a New Vision for UK Industrial Strategy  </w:t>
            </w:r>
          </w:p>
          <w:p w14:paraId="3616E16D" w14:textId="77777777" w:rsidR="005E6A50" w:rsidRPr="005E6A50" w:rsidRDefault="005E6A50" w:rsidP="00F4404E">
            <w:pPr>
              <w:rPr>
                <w:rFonts w:ascii="Noto Serif Light" w:hAnsi="Noto Serif Light" w:cs="Noto Serif Light"/>
                <w:b/>
                <w:bCs/>
                <w:sz w:val="20"/>
                <w:szCs w:val="20"/>
                <w:lang w:val="en"/>
              </w:rPr>
            </w:pPr>
            <w:r w:rsidRPr="005E6A50">
              <w:rPr>
                <w:rFonts w:ascii="Noto Serif Light" w:hAnsi="Noto Serif Light" w:cs="Noto Serif Light"/>
                <w:b/>
                <w:bCs/>
                <w:sz w:val="20"/>
                <w:szCs w:val="20"/>
                <w:lang w:val="en"/>
              </w:rPr>
              <w:t> </w:t>
            </w:r>
          </w:p>
        </w:tc>
        <w:tc>
          <w:tcPr>
            <w:tcW w:w="2722" w:type="dxa"/>
            <w:shd w:val="clear" w:color="auto" w:fill="F9E0DB"/>
          </w:tcPr>
          <w:p w14:paraId="26D2ED43" w14:textId="77EB4597"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O82. </w:t>
            </w:r>
            <w:r w:rsidR="005E6A50" w:rsidRPr="005E6A50">
              <w:rPr>
                <w:rFonts w:ascii="Noto Serif Light" w:hAnsi="Noto Serif Light" w:cs="Noto Serif Light"/>
                <w:b/>
                <w:bCs/>
                <w:sz w:val="20"/>
                <w:szCs w:val="20"/>
                <w:lang w:val="en"/>
              </w:rPr>
              <w:t>Judith Terstriep &amp; Alexandra David: </w:t>
            </w:r>
          </w:p>
          <w:p w14:paraId="5E956D9B" w14:textId="176A3195" w:rsidR="000A0BAC"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Measuring Reciprocal Innovativeness in Entrepreneurial Ecosystems: A Multi-level IOOI Framework for Inclusive Place-Based Innovation Policy </w:t>
            </w:r>
          </w:p>
        </w:tc>
      </w:tr>
      <w:tr w:rsidR="005E6A50" w:rsidRPr="005E6A50" w14:paraId="769BB1A8" w14:textId="77777777" w:rsidTr="00DD41EB">
        <w:tc>
          <w:tcPr>
            <w:tcW w:w="1702" w:type="dxa"/>
            <w:vMerge/>
          </w:tcPr>
          <w:p w14:paraId="3E91A732" w14:textId="77777777" w:rsidR="005E6A50" w:rsidRPr="005E6A50" w:rsidRDefault="005E6A50" w:rsidP="00F4404E">
            <w:pPr>
              <w:rPr>
                <w:rFonts w:ascii="Noto Serif Light" w:hAnsi="Noto Serif Light" w:cs="Noto Serif Light"/>
                <w:lang w:val="en"/>
              </w:rPr>
            </w:pPr>
          </w:p>
        </w:tc>
        <w:tc>
          <w:tcPr>
            <w:tcW w:w="3004" w:type="dxa"/>
            <w:shd w:val="clear" w:color="auto" w:fill="F9E0DB"/>
          </w:tcPr>
          <w:p w14:paraId="74C7F8A9" w14:textId="0F3C65BC"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O67. </w:t>
            </w:r>
            <w:r w:rsidR="005E6A50" w:rsidRPr="005E6A50">
              <w:rPr>
                <w:rFonts w:ascii="Noto Serif Light" w:hAnsi="Noto Serif Light" w:cs="Noto Serif Light"/>
                <w:b/>
                <w:bCs/>
                <w:sz w:val="20"/>
                <w:szCs w:val="20"/>
                <w:lang w:val="en"/>
              </w:rPr>
              <w:t>Mario- Davide Parrilli &amp; Natalja Apanasovich:</w:t>
            </w:r>
          </w:p>
          <w:p w14:paraId="01E090C0" w14:textId="754E7F29" w:rsidR="006563CB"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Eco</w:t>
            </w:r>
            <w:r w:rsidR="00535DC8" w:rsidRPr="005E6A50">
              <w:rPr>
                <w:rFonts w:ascii="Noto Serif Light" w:hAnsi="Noto Serif Light" w:cs="Noto Serif Light"/>
                <w:sz w:val="20"/>
                <w:szCs w:val="20"/>
                <w:lang w:val="en"/>
              </w:rPr>
              <w:t xml:space="preserve">-Innovation in Different Regional Innovation Contexts: The Impact </w:t>
            </w:r>
            <w:r w:rsidR="00535DC8">
              <w:rPr>
                <w:rFonts w:ascii="Noto Serif Light" w:hAnsi="Noto Serif Light" w:cs="Noto Serif Light"/>
                <w:sz w:val="20"/>
                <w:szCs w:val="20"/>
                <w:lang w:val="en"/>
              </w:rPr>
              <w:t>o</w:t>
            </w:r>
            <w:r w:rsidR="00535DC8" w:rsidRPr="005E6A50">
              <w:rPr>
                <w:rFonts w:ascii="Noto Serif Light" w:hAnsi="Noto Serif Light" w:cs="Noto Serif Light"/>
                <w:sz w:val="20"/>
                <w:szCs w:val="20"/>
                <w:lang w:val="en"/>
              </w:rPr>
              <w:t xml:space="preserve">f Business Innovation Modes Across Firms </w:t>
            </w:r>
            <w:r w:rsidR="00535DC8">
              <w:rPr>
                <w:rFonts w:ascii="Noto Serif Light" w:hAnsi="Noto Serif Light" w:cs="Noto Serif Light"/>
                <w:sz w:val="20"/>
                <w:szCs w:val="20"/>
                <w:lang w:val="en"/>
              </w:rPr>
              <w:t>i</w:t>
            </w:r>
            <w:r w:rsidR="00535DC8" w:rsidRPr="005E6A50">
              <w:rPr>
                <w:rFonts w:ascii="Noto Serif Light" w:hAnsi="Noto Serif Light" w:cs="Noto Serif Light"/>
                <w:sz w:val="20"/>
                <w:szCs w:val="20"/>
                <w:lang w:val="en"/>
              </w:rPr>
              <w:t xml:space="preserve">n </w:t>
            </w:r>
            <w:r w:rsidRPr="005E6A50">
              <w:rPr>
                <w:rFonts w:ascii="Noto Serif Light" w:hAnsi="Noto Serif Light" w:cs="Noto Serif Light"/>
                <w:sz w:val="20"/>
                <w:szCs w:val="20"/>
                <w:lang w:val="en"/>
              </w:rPr>
              <w:t>Europe</w:t>
            </w:r>
            <w:r w:rsidR="00535DC8" w:rsidRPr="005E6A50">
              <w:rPr>
                <w:rFonts w:ascii="Noto Serif Light" w:hAnsi="Noto Serif Light" w:cs="Noto Serif Light"/>
                <w:sz w:val="20"/>
                <w:szCs w:val="20"/>
                <w:lang w:val="en"/>
              </w:rPr>
              <w:t xml:space="preserve">, </w:t>
            </w:r>
            <w:r w:rsidRPr="005E6A50">
              <w:rPr>
                <w:rFonts w:ascii="Noto Serif Light" w:hAnsi="Noto Serif Light" w:cs="Noto Serif Light"/>
                <w:sz w:val="20"/>
                <w:szCs w:val="20"/>
                <w:lang w:val="en"/>
              </w:rPr>
              <w:t xml:space="preserve">Northern Africa </w:t>
            </w:r>
            <w:r w:rsidR="00535DC8">
              <w:rPr>
                <w:rFonts w:ascii="Noto Serif Light" w:hAnsi="Noto Serif Light" w:cs="Noto Serif Light"/>
                <w:sz w:val="20"/>
                <w:szCs w:val="20"/>
                <w:lang w:val="en"/>
              </w:rPr>
              <w:t>a</w:t>
            </w:r>
            <w:r w:rsidR="00535DC8" w:rsidRPr="005E6A50">
              <w:rPr>
                <w:rFonts w:ascii="Noto Serif Light" w:hAnsi="Noto Serif Light" w:cs="Noto Serif Light"/>
                <w:sz w:val="20"/>
                <w:szCs w:val="20"/>
                <w:lang w:val="en"/>
              </w:rPr>
              <w:t xml:space="preserve">nd </w:t>
            </w:r>
            <w:r w:rsidRPr="005E6A50">
              <w:rPr>
                <w:rFonts w:ascii="Noto Serif Light" w:hAnsi="Noto Serif Light" w:cs="Noto Serif Light"/>
                <w:sz w:val="20"/>
                <w:szCs w:val="20"/>
                <w:lang w:val="en"/>
              </w:rPr>
              <w:t>Central Asia </w:t>
            </w:r>
          </w:p>
        </w:tc>
        <w:tc>
          <w:tcPr>
            <w:tcW w:w="2722" w:type="dxa"/>
            <w:shd w:val="clear" w:color="auto" w:fill="FDF3F1"/>
          </w:tcPr>
          <w:p w14:paraId="1F1DD6A4" w14:textId="093011E0"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O71. </w:t>
            </w:r>
            <w:r w:rsidR="005E6A50" w:rsidRPr="005E6A50">
              <w:rPr>
                <w:rFonts w:ascii="Noto Serif Light" w:hAnsi="Noto Serif Light" w:cs="Noto Serif Light"/>
                <w:b/>
                <w:bCs/>
                <w:sz w:val="20"/>
                <w:szCs w:val="20"/>
                <w:lang w:val="en"/>
              </w:rPr>
              <w:t>Huanjia Ma &amp; Xing Deng:</w:t>
            </w:r>
          </w:p>
          <w:p w14:paraId="56C01098" w14:textId="08B96F94" w:rsidR="005E6A50" w:rsidRPr="005E6A50" w:rsidRDefault="005C77CD" w:rsidP="00F4404E">
            <w:pPr>
              <w:rPr>
                <w:rFonts w:ascii="Noto Serif Light" w:hAnsi="Noto Serif Light" w:cs="Noto Serif Light"/>
                <w:sz w:val="20"/>
                <w:szCs w:val="20"/>
                <w:lang w:val="en"/>
              </w:rPr>
            </w:pPr>
            <w:r w:rsidRPr="005C77CD">
              <w:rPr>
                <w:rFonts w:ascii="Noto Serif Light" w:hAnsi="Noto Serif Light" w:cs="Noto Serif Light"/>
                <w:sz w:val="20"/>
                <w:szCs w:val="20"/>
                <w:lang w:val="en"/>
              </w:rPr>
              <w:t>Scaling Through Public Demand: Public Procurement, Venture Capital and High-Growth Firms</w:t>
            </w:r>
          </w:p>
        </w:tc>
        <w:tc>
          <w:tcPr>
            <w:tcW w:w="2721" w:type="dxa"/>
            <w:shd w:val="clear" w:color="auto" w:fill="FEF5F0"/>
          </w:tcPr>
          <w:p w14:paraId="4DCB199B" w14:textId="77777777" w:rsidR="004A69C0" w:rsidRPr="004A69C0" w:rsidRDefault="005E6A50" w:rsidP="004A69C0">
            <w:pPr>
              <w:rPr>
                <w:rFonts w:ascii="Noto Serif Light" w:hAnsi="Noto Serif Light" w:cs="Noto Serif Light"/>
                <w:b/>
                <w:bCs/>
                <w:sz w:val="20"/>
                <w:szCs w:val="20"/>
                <w:lang w:val="en"/>
              </w:rPr>
            </w:pPr>
            <w:r w:rsidRPr="005E6A50">
              <w:rPr>
                <w:rFonts w:ascii="Noto Serif Light" w:hAnsi="Noto Serif Light" w:cs="Noto Serif Light"/>
                <w:b/>
                <w:bCs/>
                <w:sz w:val="20"/>
                <w:szCs w:val="20"/>
                <w:lang w:val="en"/>
              </w:rPr>
              <w:t> </w:t>
            </w:r>
            <w:r w:rsidR="004A69C0" w:rsidRPr="004A69C0">
              <w:rPr>
                <w:rFonts w:ascii="Noto Serif Light" w:hAnsi="Noto Serif Light" w:cs="Noto Serif Light"/>
                <w:b/>
                <w:bCs/>
                <w:sz w:val="20"/>
                <w:szCs w:val="20"/>
                <w:lang w:val="en"/>
              </w:rPr>
              <w:t xml:space="preserve">O73. Reynaldo Jiménez Guethon: </w:t>
            </w:r>
          </w:p>
          <w:p w14:paraId="18C38089" w14:textId="03A22063" w:rsidR="005E6A50" w:rsidRPr="004A69C0" w:rsidRDefault="004A69C0" w:rsidP="004A69C0">
            <w:pPr>
              <w:rPr>
                <w:rFonts w:ascii="Noto Serif Light" w:hAnsi="Noto Serif Light" w:cs="Noto Serif Light"/>
                <w:sz w:val="20"/>
                <w:szCs w:val="20"/>
                <w:lang w:val="en"/>
              </w:rPr>
            </w:pPr>
            <w:r w:rsidRPr="004A69C0">
              <w:rPr>
                <w:rFonts w:ascii="Noto Serif Light" w:hAnsi="Noto Serif Light" w:cs="Noto Serif Light"/>
                <w:sz w:val="20"/>
                <w:szCs w:val="20"/>
                <w:lang w:val="en"/>
              </w:rPr>
              <w:t>Knowledge Management and Local Development: The Role of Municipal University Centers in the Co-Construction of Public Policies and Social Innovation in Cuba</w:t>
            </w:r>
          </w:p>
        </w:tc>
        <w:tc>
          <w:tcPr>
            <w:tcW w:w="2722" w:type="dxa"/>
            <w:shd w:val="clear" w:color="auto" w:fill="FEEEE6"/>
          </w:tcPr>
          <w:p w14:paraId="1F26CE34" w14:textId="0B907636"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O79. </w:t>
            </w:r>
            <w:r w:rsidR="005E6A50" w:rsidRPr="005E6A50">
              <w:rPr>
                <w:rFonts w:ascii="Noto Serif Light" w:hAnsi="Noto Serif Light" w:cs="Noto Serif Light"/>
                <w:b/>
                <w:bCs/>
                <w:sz w:val="20"/>
                <w:szCs w:val="20"/>
                <w:lang w:val="en"/>
              </w:rPr>
              <w:t>Frank Van Oort &amp; Mark Thissen:</w:t>
            </w:r>
          </w:p>
          <w:p w14:paraId="2EC170D7" w14:textId="77777777" w:rsidR="005E6A50" w:rsidRPr="005E6A50"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Decoupling from Global Value Chains in European Regions and Sectors: Implications for Innovation and Regional Ecosystem Policies </w:t>
            </w:r>
          </w:p>
        </w:tc>
        <w:tc>
          <w:tcPr>
            <w:tcW w:w="2722" w:type="dxa"/>
            <w:shd w:val="clear" w:color="auto" w:fill="F9E0DB"/>
          </w:tcPr>
          <w:p w14:paraId="4E12BAAD" w14:textId="27C7FDFF" w:rsidR="005E6A50" w:rsidRPr="005E6A50" w:rsidRDefault="00D43043" w:rsidP="00F4404E">
            <w:pPr>
              <w:rPr>
                <w:rFonts w:ascii="Noto Serif Light" w:hAnsi="Noto Serif Light" w:cs="Noto Serif Light"/>
                <w:b/>
                <w:bCs/>
                <w:sz w:val="20"/>
                <w:szCs w:val="20"/>
                <w:lang w:val="en"/>
              </w:rPr>
            </w:pPr>
            <w:r>
              <w:rPr>
                <w:rFonts w:ascii="Noto Serif Light" w:hAnsi="Noto Serif Light" w:cs="Noto Serif Light"/>
                <w:b/>
                <w:bCs/>
                <w:sz w:val="20"/>
                <w:szCs w:val="20"/>
                <w:lang w:val="en"/>
              </w:rPr>
              <w:t xml:space="preserve">O83. </w:t>
            </w:r>
            <w:r w:rsidR="005E6A50" w:rsidRPr="005E6A50">
              <w:rPr>
                <w:rFonts w:ascii="Noto Serif Light" w:hAnsi="Noto Serif Light" w:cs="Noto Serif Light"/>
                <w:b/>
                <w:bCs/>
                <w:sz w:val="20"/>
                <w:szCs w:val="20"/>
                <w:lang w:val="en"/>
              </w:rPr>
              <w:t>Julia Ratcliffe &amp; Rachel Milte: </w:t>
            </w:r>
          </w:p>
          <w:p w14:paraId="209E5E7D" w14:textId="21AFEE1C" w:rsidR="005E6A50" w:rsidRPr="00DD41EB" w:rsidRDefault="005E6A50" w:rsidP="00F4404E">
            <w:pPr>
              <w:rPr>
                <w:rFonts w:ascii="Noto Serif Light" w:hAnsi="Noto Serif Light" w:cs="Noto Serif Light"/>
                <w:sz w:val="20"/>
                <w:szCs w:val="20"/>
                <w:lang w:val="en"/>
              </w:rPr>
            </w:pPr>
            <w:r w:rsidRPr="005E6A50">
              <w:rPr>
                <w:rFonts w:ascii="Noto Serif Light" w:hAnsi="Noto Serif Light" w:cs="Noto Serif Light"/>
                <w:sz w:val="20"/>
                <w:szCs w:val="20"/>
                <w:lang w:val="en"/>
              </w:rPr>
              <w:t xml:space="preserve">Beyond Gross Domestic Product: Assessing </w:t>
            </w:r>
            <w:r w:rsidR="00535DC8" w:rsidRPr="005E6A50">
              <w:rPr>
                <w:rFonts w:ascii="Noto Serif Light" w:hAnsi="Noto Serif Light" w:cs="Noto Serif Light"/>
                <w:sz w:val="20"/>
                <w:szCs w:val="20"/>
                <w:lang w:val="en"/>
              </w:rPr>
              <w:t xml:space="preserve">General Public Preferences for </w:t>
            </w:r>
            <w:r w:rsidR="00535DC8">
              <w:rPr>
                <w:rFonts w:ascii="Noto Serif Light" w:hAnsi="Noto Serif Light" w:cs="Noto Serif Light"/>
                <w:sz w:val="20"/>
                <w:szCs w:val="20"/>
                <w:lang w:val="en"/>
              </w:rPr>
              <w:t>a</w:t>
            </w:r>
            <w:r w:rsidR="00535DC8" w:rsidRPr="005E6A50">
              <w:rPr>
                <w:rFonts w:ascii="Noto Serif Light" w:hAnsi="Noto Serif Light" w:cs="Noto Serif Light"/>
                <w:sz w:val="20"/>
                <w:szCs w:val="20"/>
                <w:lang w:val="en"/>
              </w:rPr>
              <w:t xml:space="preserve"> Wellbeing Economy </w:t>
            </w:r>
          </w:p>
        </w:tc>
      </w:tr>
      <w:tr w:rsidR="005E6A50" w:rsidRPr="005E6A50" w14:paraId="62027BA3" w14:textId="77777777" w:rsidTr="00DD41EB">
        <w:trPr>
          <w:trHeight w:val="824"/>
        </w:trPr>
        <w:tc>
          <w:tcPr>
            <w:tcW w:w="1702" w:type="dxa"/>
          </w:tcPr>
          <w:p w14:paraId="4DFB687A" w14:textId="77777777" w:rsidR="005E6A50" w:rsidRPr="005E6A50" w:rsidRDefault="005E6A50" w:rsidP="00F4404E">
            <w:pPr>
              <w:rPr>
                <w:rFonts w:ascii="Noto Serif Light" w:hAnsi="Noto Serif Light" w:cs="Noto Serif Light"/>
                <w:lang w:val="en"/>
              </w:rPr>
            </w:pPr>
            <w:r w:rsidRPr="005E6A50">
              <w:rPr>
                <w:rFonts w:ascii="Noto Serif Light" w:hAnsi="Noto Serif Light" w:cs="Noto Serif Light"/>
                <w:lang w:val="en"/>
              </w:rPr>
              <w:t>15:35 – 16:00</w:t>
            </w:r>
          </w:p>
        </w:tc>
        <w:tc>
          <w:tcPr>
            <w:tcW w:w="13891" w:type="dxa"/>
            <w:gridSpan w:val="5"/>
            <w:shd w:val="clear" w:color="auto" w:fill="FDF3F1"/>
          </w:tcPr>
          <w:p w14:paraId="1D95889B" w14:textId="77777777" w:rsidR="0068632C" w:rsidRDefault="0068632C" w:rsidP="0068632C">
            <w:pPr>
              <w:rPr>
                <w:rFonts w:ascii="Noto Serif Light" w:hAnsi="Noto Serif Light" w:cs="Noto Serif Light"/>
                <w:b/>
                <w:bCs/>
                <w:lang w:val="en"/>
              </w:rPr>
            </w:pPr>
            <w:r w:rsidRPr="005E6A50">
              <w:rPr>
                <w:rFonts w:ascii="Noto Serif Light" w:hAnsi="Noto Serif Light" w:cs="Noto Serif Light"/>
                <w:b/>
                <w:bCs/>
                <w:lang w:val="en"/>
              </w:rPr>
              <w:t>Closing Session</w:t>
            </w:r>
          </w:p>
          <w:p w14:paraId="0CA675C8" w14:textId="77777777" w:rsidR="0068632C" w:rsidRPr="005E6A50" w:rsidRDefault="0068632C" w:rsidP="0068632C">
            <w:pPr>
              <w:rPr>
                <w:rFonts w:ascii="Noto Serif Light" w:hAnsi="Noto Serif Light" w:cs="Noto Serif Light"/>
                <w:b/>
                <w:bCs/>
                <w:lang w:val="en"/>
              </w:rPr>
            </w:pPr>
            <w:r>
              <w:rPr>
                <w:rFonts w:ascii="Noto Serif Light" w:hAnsi="Noto Serif Light" w:cs="Noto Serif Light"/>
                <w:b/>
                <w:bCs/>
                <w:lang w:val="en"/>
              </w:rPr>
              <w:t xml:space="preserve">Closing remarks from the </w:t>
            </w:r>
            <w:r>
              <w:rPr>
                <w:rFonts w:ascii="Noto Serif Light" w:hAnsi="Noto Serif Light" w:cs="Noto Serif Light"/>
                <w:b/>
                <w:bCs/>
              </w:rPr>
              <w:t xml:space="preserve">Local Organising Committee; Welcome to the future RegInnoPol Conference </w:t>
            </w:r>
          </w:p>
          <w:p w14:paraId="69013A78" w14:textId="77777777" w:rsidR="0068632C" w:rsidRDefault="0068632C" w:rsidP="0068632C">
            <w:pPr>
              <w:rPr>
                <w:rFonts w:ascii="Noto Serif Light" w:hAnsi="Noto Serif Light" w:cs="Noto Serif Light"/>
                <w:b/>
                <w:bCs/>
                <w:lang w:val="en"/>
              </w:rPr>
            </w:pPr>
          </w:p>
          <w:p w14:paraId="31F01280" w14:textId="6F2CEC00" w:rsidR="005E6A50" w:rsidRPr="005E6A50" w:rsidRDefault="0068632C" w:rsidP="0068632C">
            <w:pPr>
              <w:rPr>
                <w:rFonts w:ascii="Noto Serif Light" w:hAnsi="Noto Serif Light" w:cs="Noto Serif Light"/>
                <w:b/>
                <w:bCs/>
                <w:lang w:val="en"/>
              </w:rPr>
            </w:pPr>
            <w:r w:rsidRPr="005E6A50">
              <w:rPr>
                <w:rFonts w:ascii="Noto Serif Light" w:hAnsi="Noto Serif Light" w:cs="Noto Serif Light"/>
                <w:b/>
                <w:bCs/>
                <w:lang w:val="en"/>
              </w:rPr>
              <w:t>Location:</w:t>
            </w:r>
            <w:r w:rsidRPr="005E6A50">
              <w:rPr>
                <w:rFonts w:ascii="Noto Serif Light" w:hAnsi="Noto Serif Light" w:cs="Noto Serif Light"/>
              </w:rPr>
              <w:t xml:space="preserve"> G03 – Lecture Theatre 1</w:t>
            </w:r>
          </w:p>
        </w:tc>
      </w:tr>
      <w:tr w:rsidR="005E6A50" w:rsidRPr="005E6A50" w14:paraId="15656E24" w14:textId="77777777" w:rsidTr="00DD41EB">
        <w:trPr>
          <w:trHeight w:val="823"/>
        </w:trPr>
        <w:tc>
          <w:tcPr>
            <w:tcW w:w="1702" w:type="dxa"/>
          </w:tcPr>
          <w:p w14:paraId="144DF7F8" w14:textId="77777777" w:rsidR="005E6A50" w:rsidRPr="005E6A50" w:rsidRDefault="005E6A50" w:rsidP="00F4404E">
            <w:pPr>
              <w:rPr>
                <w:rFonts w:ascii="Noto Serif Light" w:hAnsi="Noto Serif Light" w:cs="Noto Serif Light"/>
                <w:lang w:val="en"/>
              </w:rPr>
            </w:pPr>
            <w:r w:rsidRPr="005E6A50">
              <w:rPr>
                <w:rFonts w:ascii="Noto Serif Light" w:hAnsi="Noto Serif Light" w:cs="Noto Serif Light"/>
                <w:lang w:val="en"/>
              </w:rPr>
              <w:t>16:00 – 16:30</w:t>
            </w:r>
          </w:p>
        </w:tc>
        <w:tc>
          <w:tcPr>
            <w:tcW w:w="13891" w:type="dxa"/>
            <w:gridSpan w:val="5"/>
          </w:tcPr>
          <w:p w14:paraId="0E2E9580" w14:textId="77777777" w:rsidR="005E6A50" w:rsidRPr="005E6A50" w:rsidRDefault="005E6A50" w:rsidP="00F4404E">
            <w:pPr>
              <w:rPr>
                <w:rFonts w:ascii="Noto Serif Light" w:hAnsi="Noto Serif Light" w:cs="Noto Serif Light"/>
                <w:b/>
                <w:bCs/>
                <w:lang w:val="en"/>
              </w:rPr>
            </w:pPr>
            <w:r w:rsidRPr="005E6A50">
              <w:rPr>
                <w:rFonts w:ascii="Noto Serif Light" w:hAnsi="Noto Serif Light" w:cs="Noto Serif Light"/>
                <w:b/>
                <w:bCs/>
                <w:lang w:val="en"/>
              </w:rPr>
              <w:t>Farewell Coffee</w:t>
            </w:r>
          </w:p>
          <w:p w14:paraId="2C2A1004" w14:textId="77777777" w:rsidR="005E6A50" w:rsidRPr="005E6A50" w:rsidRDefault="005E6A50" w:rsidP="00F4404E">
            <w:pPr>
              <w:rPr>
                <w:rFonts w:ascii="Noto Serif Light" w:hAnsi="Noto Serif Light" w:cs="Noto Serif Light"/>
                <w:b/>
                <w:bCs/>
                <w:lang w:val="en"/>
              </w:rPr>
            </w:pPr>
          </w:p>
          <w:p w14:paraId="64B52BFD" w14:textId="77777777" w:rsidR="005E6A50" w:rsidRPr="005E6A50" w:rsidRDefault="005E6A50" w:rsidP="00F4404E">
            <w:pPr>
              <w:rPr>
                <w:rFonts w:ascii="Noto Serif Light" w:hAnsi="Noto Serif Light" w:cs="Noto Serif Light"/>
                <w:b/>
                <w:bCs/>
                <w:lang w:val="en"/>
              </w:rPr>
            </w:pPr>
            <w:r w:rsidRPr="005E6A50">
              <w:rPr>
                <w:rFonts w:ascii="Noto Serif Light" w:hAnsi="Noto Serif Light" w:cs="Noto Serif Light"/>
                <w:b/>
                <w:bCs/>
                <w:lang w:val="en"/>
              </w:rPr>
              <w:t xml:space="preserve">Location: </w:t>
            </w:r>
            <w:r w:rsidRPr="005E6A50">
              <w:rPr>
                <w:rFonts w:ascii="Noto Serif Light" w:hAnsi="Noto Serif Light" w:cs="Noto Serif Light"/>
              </w:rPr>
              <w:t>Alan Walters Atrium</w:t>
            </w:r>
          </w:p>
        </w:tc>
      </w:tr>
      <w:tr w:rsidR="00DD41EB" w:rsidRPr="005E6A50" w14:paraId="4F651BD8" w14:textId="77777777" w:rsidTr="00DD41EB">
        <w:trPr>
          <w:trHeight w:val="728"/>
        </w:trPr>
        <w:tc>
          <w:tcPr>
            <w:tcW w:w="1702" w:type="dxa"/>
          </w:tcPr>
          <w:p w14:paraId="580828C7" w14:textId="674EF2DC" w:rsidR="00DD41EB" w:rsidRPr="005E6A50" w:rsidRDefault="00DD41EB" w:rsidP="00F4404E">
            <w:pPr>
              <w:rPr>
                <w:rFonts w:ascii="Noto Serif Light" w:hAnsi="Noto Serif Light" w:cs="Noto Serif Light"/>
                <w:lang w:val="en"/>
              </w:rPr>
            </w:pPr>
            <w:r w:rsidRPr="00DD41EB">
              <w:rPr>
                <w:rFonts w:ascii="Noto Serif Light" w:hAnsi="Noto Serif Light" w:cs="Noto Serif Light"/>
                <w:lang w:val="en"/>
              </w:rPr>
              <w:lastRenderedPageBreak/>
              <w:t>16:30 – 17:30</w:t>
            </w:r>
          </w:p>
        </w:tc>
        <w:tc>
          <w:tcPr>
            <w:tcW w:w="13891" w:type="dxa"/>
            <w:gridSpan w:val="5"/>
          </w:tcPr>
          <w:p w14:paraId="1F847FF7" w14:textId="308324A2" w:rsidR="00DD41EB" w:rsidRDefault="00DD41EB" w:rsidP="00DD41EB">
            <w:pPr>
              <w:rPr>
                <w:rFonts w:ascii="Noto Serif Light" w:hAnsi="Noto Serif Light" w:cs="Noto Serif Light"/>
                <w:b/>
                <w:bCs/>
                <w:lang w:val="en"/>
              </w:rPr>
            </w:pPr>
            <w:r w:rsidRPr="00DD41EB">
              <w:rPr>
                <w:rFonts w:ascii="Noto Serif Light" w:hAnsi="Noto Serif Light" w:cs="Noto Serif Light"/>
                <w:b/>
                <w:bCs/>
                <w:lang w:val="en"/>
              </w:rPr>
              <w:t>Informal Drinks</w:t>
            </w:r>
          </w:p>
          <w:p w14:paraId="1CC8B4E3" w14:textId="77777777" w:rsidR="00DD41EB" w:rsidRPr="00DD41EB" w:rsidRDefault="00DD41EB" w:rsidP="00DD41EB">
            <w:pPr>
              <w:rPr>
                <w:rFonts w:ascii="Noto Serif Light" w:hAnsi="Noto Serif Light" w:cs="Noto Serif Light"/>
                <w:b/>
                <w:bCs/>
                <w:lang w:val="en"/>
              </w:rPr>
            </w:pPr>
          </w:p>
          <w:p w14:paraId="4C115134" w14:textId="392DE3A6" w:rsidR="00DD41EB" w:rsidRPr="005E6A50" w:rsidRDefault="00DD41EB" w:rsidP="00DD41EB">
            <w:pPr>
              <w:rPr>
                <w:rFonts w:ascii="Noto Serif Light" w:hAnsi="Noto Serif Light" w:cs="Noto Serif Light"/>
                <w:b/>
                <w:bCs/>
                <w:lang w:val="en"/>
              </w:rPr>
            </w:pPr>
            <w:r w:rsidRPr="00DD41EB">
              <w:rPr>
                <w:rFonts w:ascii="Noto Serif Light" w:hAnsi="Noto Serif Light" w:cs="Noto Serif Light"/>
                <w:b/>
                <w:bCs/>
                <w:lang w:val="en"/>
              </w:rPr>
              <w:t xml:space="preserve">Location: </w:t>
            </w:r>
            <w:r w:rsidRPr="00DD41EB">
              <w:rPr>
                <w:rFonts w:ascii="Noto Serif Light" w:hAnsi="Noto Serif Light" w:cs="Noto Serif Light"/>
                <w:lang w:val="en"/>
              </w:rPr>
              <w:t>The Guild of Students</w:t>
            </w:r>
          </w:p>
        </w:tc>
      </w:tr>
    </w:tbl>
    <w:p w14:paraId="4DD1966E" w14:textId="77777777" w:rsidR="005E6A50" w:rsidRDefault="005E6A50">
      <w:pPr>
        <w:sectPr w:rsidR="005E6A50" w:rsidSect="00DE7B22">
          <w:pgSz w:w="16838" w:h="11906" w:orient="landscape"/>
          <w:pgMar w:top="1440" w:right="1080" w:bottom="1440" w:left="1080" w:header="709" w:footer="709" w:gutter="0"/>
          <w:cols w:space="708"/>
          <w:docGrid w:linePitch="360"/>
        </w:sectPr>
      </w:pPr>
    </w:p>
    <w:p w14:paraId="204A1471" w14:textId="345B83B7" w:rsidR="00263DBC" w:rsidRDefault="00263DBC" w:rsidP="00263DBC">
      <w:pPr>
        <w:pStyle w:val="ABHeading"/>
      </w:pPr>
      <w:bookmarkStart w:id="17" w:name="_Toc238128006"/>
      <w:bookmarkStart w:id="18" w:name="_Toc238129280"/>
      <w:r>
        <w:lastRenderedPageBreak/>
        <w:t>Invited Speakers</w:t>
      </w:r>
      <w:bookmarkEnd w:id="17"/>
      <w:bookmarkEnd w:id="18"/>
    </w:p>
    <w:p w14:paraId="609ED8F0" w14:textId="06F93D51" w:rsidR="00813F52" w:rsidRDefault="00813F52" w:rsidP="00D34255">
      <w:pPr>
        <w:pStyle w:val="ABParagraph"/>
      </w:pPr>
    </w:p>
    <w:p w14:paraId="6C05F43A" w14:textId="510FEAE4" w:rsidR="00813F52" w:rsidRDefault="00813F52" w:rsidP="00813F52">
      <w:pPr>
        <w:pStyle w:val="ABContentsSubhead"/>
      </w:pPr>
      <w:bookmarkStart w:id="19" w:name="_Toc238129281"/>
      <w:r w:rsidRPr="00813F52">
        <w:t>Keynote Speakers</w:t>
      </w:r>
      <w:bookmarkEnd w:id="19"/>
    </w:p>
    <w:p w14:paraId="69BF0AD1" w14:textId="2B073116" w:rsidR="00813F52" w:rsidRDefault="00813F52" w:rsidP="00D34255">
      <w:pPr>
        <w:pStyle w:val="ABParagraph"/>
      </w:pPr>
    </w:p>
    <w:p w14:paraId="09C5E7A3" w14:textId="1B2A02B2" w:rsidR="00813F52" w:rsidRDefault="008C20EB" w:rsidP="00813F52">
      <w:pPr>
        <w:pStyle w:val="ABSubhead"/>
        <w:rPr>
          <w:b w:val="0"/>
          <w:bCs w:val="0"/>
        </w:rPr>
      </w:pPr>
      <w:r w:rsidRPr="00B27D8F">
        <w:rPr>
          <w:noProof/>
          <w:color w:val="A4331D"/>
        </w:rPr>
        <w:drawing>
          <wp:anchor distT="0" distB="0" distL="114300" distR="114300" simplePos="0" relativeHeight="251672576" behindDoc="0" locked="0" layoutInCell="1" allowOverlap="1" wp14:anchorId="2C02B45A" wp14:editId="2D4A4CB3">
            <wp:simplePos x="0" y="0"/>
            <wp:positionH relativeFrom="margin">
              <wp:align>right</wp:align>
            </wp:positionH>
            <wp:positionV relativeFrom="paragraph">
              <wp:posOffset>43843</wp:posOffset>
            </wp:positionV>
            <wp:extent cx="2520000" cy="2520000"/>
            <wp:effectExtent l="0" t="0" r="0" b="0"/>
            <wp:wrapSquare wrapText="bothSides"/>
            <wp:docPr id="2632467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7">
                      <a:extLst>
                        <a:ext uri="{28A0092B-C50C-407E-A947-70E740481C1C}">
                          <a14:useLocalDpi xmlns:a14="http://schemas.microsoft.com/office/drawing/2010/main" val="0"/>
                        </a:ext>
                      </a:extLst>
                    </a:blip>
                    <a:srcRect t="4242" b="4242"/>
                    <a:stretch>
                      <a:fillRect/>
                    </a:stretch>
                  </pic:blipFill>
                  <pic:spPr bwMode="auto">
                    <a:xfrm>
                      <a:off x="0" y="0"/>
                      <a:ext cx="2520000" cy="252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13F52" w:rsidRPr="00B27D8F">
        <w:rPr>
          <w:color w:val="A4331D"/>
        </w:rPr>
        <w:t>Prof</w:t>
      </w:r>
      <w:r w:rsidR="00EB208F" w:rsidRPr="00B27D8F">
        <w:rPr>
          <w:color w:val="A4331D"/>
        </w:rPr>
        <w:t>essor</w:t>
      </w:r>
      <w:r w:rsidR="00813F52" w:rsidRPr="00B27D8F">
        <w:rPr>
          <w:color w:val="A4331D"/>
        </w:rPr>
        <w:t xml:space="preserve"> Meric S. Gertler</w:t>
      </w:r>
      <w:r w:rsidR="00813F52" w:rsidRPr="00B27D8F">
        <w:rPr>
          <w:color w:val="A4331D"/>
        </w:rPr>
        <w:br/>
      </w:r>
      <w:r w:rsidR="00813F52">
        <w:rPr>
          <w:b w:val="0"/>
          <w:bCs w:val="0"/>
        </w:rPr>
        <w:t>President Emeritus, University</w:t>
      </w:r>
      <w:r>
        <w:rPr>
          <w:b w:val="0"/>
          <w:bCs w:val="0"/>
        </w:rPr>
        <w:br/>
      </w:r>
      <w:r w:rsidR="00813F52">
        <w:rPr>
          <w:b w:val="0"/>
          <w:bCs w:val="0"/>
        </w:rPr>
        <w:t>of Toronto</w:t>
      </w:r>
    </w:p>
    <w:p w14:paraId="1ADE5C26" w14:textId="77777777" w:rsidR="00813F52" w:rsidRDefault="00813F52" w:rsidP="00D34255">
      <w:pPr>
        <w:pStyle w:val="ABParagraph"/>
      </w:pPr>
    </w:p>
    <w:p w14:paraId="54715772" w14:textId="4BF2B254" w:rsidR="008C20EB" w:rsidRDefault="008C20EB" w:rsidP="00813F52">
      <w:pPr>
        <w:pStyle w:val="ABParagraph"/>
      </w:pPr>
      <w:r>
        <w:rPr>
          <w:b/>
          <w:bCs/>
        </w:rPr>
        <w:t xml:space="preserve">Keynote: </w:t>
      </w:r>
      <w:r w:rsidRPr="008C20EB">
        <w:t xml:space="preserve">Regional </w:t>
      </w:r>
      <w:r>
        <w:t>I</w:t>
      </w:r>
      <w:r w:rsidRPr="008C20EB">
        <w:t xml:space="preserve">nnovation </w:t>
      </w:r>
      <w:r>
        <w:t>P</w:t>
      </w:r>
      <w:r w:rsidRPr="008C20EB">
        <w:t xml:space="preserve">olicy in a </w:t>
      </w:r>
      <w:r>
        <w:t>P</w:t>
      </w:r>
      <w:r w:rsidRPr="008C20EB">
        <w:t>ost-</w:t>
      </w:r>
      <w:r>
        <w:t>R</w:t>
      </w:r>
      <w:r w:rsidRPr="008C20EB">
        <w:t>ules-</w:t>
      </w:r>
      <w:r>
        <w:t>B</w:t>
      </w:r>
      <w:r w:rsidRPr="008C20EB">
        <w:t xml:space="preserve">ased </w:t>
      </w:r>
      <w:r>
        <w:t>W</w:t>
      </w:r>
      <w:r w:rsidRPr="008C20EB">
        <w:t>orld</w:t>
      </w:r>
    </w:p>
    <w:p w14:paraId="43E6B08C" w14:textId="77777777" w:rsidR="008C20EB" w:rsidRDefault="008C20EB" w:rsidP="00813F52">
      <w:pPr>
        <w:pStyle w:val="ABParagraph"/>
      </w:pPr>
    </w:p>
    <w:p w14:paraId="629D4196" w14:textId="655EA4C3" w:rsidR="008C20EB" w:rsidRPr="008C20EB" w:rsidRDefault="008C20EB" w:rsidP="008C20EB">
      <w:pPr>
        <w:pStyle w:val="ABParagraph"/>
      </w:pPr>
      <w:r w:rsidRPr="008C20EB">
        <w:rPr>
          <w:b/>
          <w:bCs/>
        </w:rPr>
        <w:t xml:space="preserve">Biography: </w:t>
      </w:r>
      <w:r w:rsidRPr="008C20EB">
        <w:t>Meric S. Gertler served as the 16</w:t>
      </w:r>
      <w:r w:rsidRPr="008C20EB">
        <w:rPr>
          <w:vertAlign w:val="superscript"/>
        </w:rPr>
        <w:t>th</w:t>
      </w:r>
      <w:r w:rsidRPr="008C20EB">
        <w:t xml:space="preserve"> President of the University of Toronto from 2013 to 2025. He continues to hold an appointment at U of T as Professor in the Munk School of Global Affairs and Public Policy, Distinguished Scholar in Residence in the School of Cities, Professor of Geography &amp; Planning, and Goldring Chair in Canadian Studies. Prior to becoming President,</w:t>
      </w:r>
      <w:r>
        <w:t xml:space="preserve"> </w:t>
      </w:r>
      <w:r w:rsidRPr="008C20EB">
        <w:t xml:space="preserve">he served as Dean of the Faculty of Arts &amp; Science. During his term as President, Professor Gertler championed the university’s role as a city-building institution and leader in sustainability, for which it was recognized as the number one university in the world by </w:t>
      </w:r>
      <w:r w:rsidRPr="008C20EB">
        <w:rPr>
          <w:i/>
          <w:iCs/>
        </w:rPr>
        <w:t>QS World University Rankings: Sustainability</w:t>
      </w:r>
      <w:r w:rsidRPr="008C20EB">
        <w:t xml:space="preserve"> in both 2024 and 2025. An expert on urban economies, local and national innovation policy, and the role of institutions in economic development, he has advised governments in Canada, the United States and Singapore, as well as the OECD and the European Union. He has authored or edited nine books and over 100 scientific publications. A graduate of McMaster University, the University of California, Berkeley, and Harvard University, he is a Visiting Fellow at St Edmund Hall, University of Oxford for the 2025-26 academic year. A Fellow of the Royal Society of Canada, the Royal</w:t>
      </w:r>
      <w:r>
        <w:t xml:space="preserve"> </w:t>
      </w:r>
      <w:r w:rsidRPr="008C20EB">
        <w:t>Canadian Geographical Society, the Academy of Social Sciences (UK), and a Corresponding Fellow of the British Academy, President Gertler was appointed to the Order of Canada in 2015.</w:t>
      </w:r>
    </w:p>
    <w:p w14:paraId="6A4DBD6C" w14:textId="5FFCDF51" w:rsidR="008C20EB" w:rsidRDefault="008C20EB" w:rsidP="008C20EB">
      <w:pPr>
        <w:pStyle w:val="ABSubhead"/>
      </w:pPr>
      <w:r w:rsidRPr="00B27D8F">
        <w:rPr>
          <w:noProof/>
          <w:color w:val="A4331D"/>
        </w:rPr>
        <w:lastRenderedPageBreak/>
        <w:drawing>
          <wp:anchor distT="0" distB="0" distL="114300" distR="114300" simplePos="0" relativeHeight="251673600" behindDoc="0" locked="0" layoutInCell="1" allowOverlap="1" wp14:anchorId="71C59806" wp14:editId="1D94CCCB">
            <wp:simplePos x="0" y="0"/>
            <wp:positionH relativeFrom="margin">
              <wp:align>right</wp:align>
            </wp:positionH>
            <wp:positionV relativeFrom="paragraph">
              <wp:posOffset>0</wp:posOffset>
            </wp:positionV>
            <wp:extent cx="2519680" cy="2519680"/>
            <wp:effectExtent l="0" t="0" r="0" b="0"/>
            <wp:wrapSquare wrapText="bothSides"/>
            <wp:docPr id="11968190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238" t="2211" r="-238" b="26361"/>
                    <a:stretch>
                      <a:fillRect/>
                    </a:stretch>
                  </pic:blipFill>
                  <pic:spPr bwMode="auto">
                    <a:xfrm>
                      <a:off x="0" y="0"/>
                      <a:ext cx="2519680" cy="2519680"/>
                    </a:xfrm>
                    <a:prstGeom prst="rect">
                      <a:avLst/>
                    </a:prstGeom>
                    <a:noFill/>
                    <a:ln>
                      <a:noFill/>
                    </a:ln>
                    <a:extLst>
                      <a:ext uri="{53640926-AAD7-44D8-BBD7-CCE9431645EC}">
                        <a14:shadowObscured xmlns:a14="http://schemas.microsoft.com/office/drawing/2010/main"/>
                      </a:ext>
                    </a:extLst>
                  </pic:spPr>
                </pic:pic>
              </a:graphicData>
            </a:graphic>
          </wp:anchor>
        </w:drawing>
      </w:r>
      <w:r w:rsidRPr="00B27D8F">
        <w:rPr>
          <w:color w:val="A4331D"/>
        </w:rPr>
        <w:t>Prof</w:t>
      </w:r>
      <w:r w:rsidR="00EB208F" w:rsidRPr="00B27D8F">
        <w:rPr>
          <w:color w:val="A4331D"/>
        </w:rPr>
        <w:t xml:space="preserve">essor </w:t>
      </w:r>
      <w:r w:rsidRPr="00B27D8F">
        <w:rPr>
          <w:color w:val="A4331D"/>
        </w:rPr>
        <w:t>Huiwen Gong</w:t>
      </w:r>
    </w:p>
    <w:p w14:paraId="44C04ABF" w14:textId="746A98E1" w:rsidR="008C20EB" w:rsidRDefault="008C20EB" w:rsidP="008C20EB">
      <w:pPr>
        <w:pStyle w:val="ABSubhead"/>
        <w:rPr>
          <w:b w:val="0"/>
          <w:bCs w:val="0"/>
        </w:rPr>
      </w:pPr>
      <w:r>
        <w:rPr>
          <w:b w:val="0"/>
          <w:bCs w:val="0"/>
        </w:rPr>
        <w:t>Professor of Regional Studies and Economic Geography, University of Stavanger</w:t>
      </w:r>
    </w:p>
    <w:p w14:paraId="46B8E8C3" w14:textId="77777777" w:rsidR="008C20EB" w:rsidRDefault="008C20EB" w:rsidP="00D34255">
      <w:pPr>
        <w:pStyle w:val="ABParagraph"/>
      </w:pPr>
    </w:p>
    <w:p w14:paraId="10402BF4" w14:textId="2F889F78" w:rsidR="008C20EB" w:rsidRDefault="008C20EB" w:rsidP="008C20EB">
      <w:pPr>
        <w:pStyle w:val="ABParagraph"/>
      </w:pPr>
      <w:r>
        <w:rPr>
          <w:b/>
          <w:bCs/>
        </w:rPr>
        <w:t xml:space="preserve">Keynote: </w:t>
      </w:r>
      <w:r>
        <w:t>Imagining and Governing Regional Futures: Navigating green industrial transitions in an era of geoeconomic competition</w:t>
      </w:r>
    </w:p>
    <w:p w14:paraId="3C318969" w14:textId="64BBFA77" w:rsidR="008C20EB" w:rsidRDefault="008C20EB" w:rsidP="008C20EB">
      <w:pPr>
        <w:pStyle w:val="ABParagraph"/>
      </w:pPr>
    </w:p>
    <w:p w14:paraId="5BA89E40" w14:textId="2DFE1233" w:rsidR="008C20EB" w:rsidRPr="008C20EB" w:rsidRDefault="008C20EB" w:rsidP="008C20EB">
      <w:pPr>
        <w:pStyle w:val="ABParagraph"/>
      </w:pPr>
      <w:r w:rsidRPr="008C20EB">
        <w:rPr>
          <w:b/>
          <w:bCs/>
        </w:rPr>
        <w:t>Biography:</w:t>
      </w:r>
      <w:r w:rsidRPr="008C20EB">
        <w:t xml:space="preserve"> Huiwen Gong is Professor of Innovation and Regional Studies at the School of Business and Law, University of Stavanger. She holds a PhD in Economic Geography from Kiel University, Germany, and was a Marie Skłodowska-Curie Individual Fellow. Her research examines how regions and nations imagine, contest, and materialise their futures under conditions of sustainability transitions, technological change, and geopolitical reconfiguration. Her work integrates regional industrial path development, Sino-EU industrial dynamics, and the geography of innovation, with a particular focus on emerging cleantech production networks in China and Europe. Through extensive field research in China, Germany, Norway, and Switzerland, she analyses how future-oriented visions of green growth, technological sovereignty, and regional prosperity are translated into concrete</w:t>
      </w:r>
      <w:r w:rsidR="009C3317">
        <w:t xml:space="preserve"> </w:t>
      </w:r>
      <w:r w:rsidRPr="008C20EB">
        <w:t xml:space="preserve">investment, policy, and institutional change. Her current research investigates how Chinese and European actors are building battery value chains amid intensified geopolitical tensions, with particular attention to the local social, environmental, and economic implications of these future-making strategies. Huiwen is a founding editor and speciality editor of </w:t>
      </w:r>
      <w:r w:rsidRPr="008C20EB">
        <w:rPr>
          <w:i/>
          <w:iCs/>
        </w:rPr>
        <w:t>Progress in</w:t>
      </w:r>
      <w:r>
        <w:t xml:space="preserve"> </w:t>
      </w:r>
      <w:r w:rsidRPr="008C20EB">
        <w:rPr>
          <w:i/>
          <w:iCs/>
        </w:rPr>
        <w:t>Economic Geography</w:t>
      </w:r>
      <w:r w:rsidRPr="008C20EB">
        <w:t xml:space="preserve"> and serves on the editorial boards of </w:t>
      </w:r>
      <w:r w:rsidRPr="008C20EB">
        <w:rPr>
          <w:i/>
          <w:iCs/>
        </w:rPr>
        <w:t>Economic Geography</w:t>
      </w:r>
      <w:r w:rsidRPr="008C20EB">
        <w:t xml:space="preserve"> and </w:t>
      </w:r>
      <w:r w:rsidRPr="008C20EB">
        <w:rPr>
          <w:i/>
          <w:iCs/>
        </w:rPr>
        <w:t>Geoforum</w:t>
      </w:r>
      <w:r w:rsidRPr="008C20EB">
        <w:t>. She has published widely in leading journals including Progress in Human Geography, Economic Geography, Journal of Economic Geography, Technological Forecasting and Societal Change, Environmental Innovation and Societal Transition and so on.</w:t>
      </w:r>
    </w:p>
    <w:p w14:paraId="3C94600D" w14:textId="55ED5181" w:rsidR="008C20EB" w:rsidRDefault="008C20EB">
      <w:pPr>
        <w:rPr>
          <w:rFonts w:ascii="Noto Serif Light" w:hAnsi="Noto Serif Light" w:cs="Noto Serif Light"/>
        </w:rPr>
      </w:pPr>
      <w:r>
        <w:br w:type="page"/>
      </w:r>
    </w:p>
    <w:p w14:paraId="0C5CA1ED" w14:textId="52465D05" w:rsidR="008C20EB" w:rsidRDefault="008C20EB" w:rsidP="008C20EB">
      <w:pPr>
        <w:pStyle w:val="ABContentsSubhead"/>
      </w:pPr>
      <w:bookmarkStart w:id="20" w:name="_Toc238129282"/>
      <w:r>
        <w:lastRenderedPageBreak/>
        <w:t>Panel Speakers</w:t>
      </w:r>
      <w:bookmarkEnd w:id="20"/>
    </w:p>
    <w:p w14:paraId="2D80A1AA" w14:textId="6BB8CE06" w:rsidR="008C20EB" w:rsidRDefault="008C20EB" w:rsidP="00D34255">
      <w:pPr>
        <w:pStyle w:val="ABParagraph"/>
      </w:pPr>
    </w:p>
    <w:p w14:paraId="28F33002" w14:textId="77777777" w:rsidR="00B27D8F" w:rsidRPr="00D34255" w:rsidRDefault="00B27D8F" w:rsidP="00D34255">
      <w:pPr>
        <w:pStyle w:val="ABParagraph"/>
      </w:pPr>
    </w:p>
    <w:p w14:paraId="571E1080" w14:textId="706B6739" w:rsidR="008C20EB" w:rsidRDefault="00B27D8F" w:rsidP="008C20EB">
      <w:pPr>
        <w:pStyle w:val="ABSubhead"/>
        <w:rPr>
          <w:b w:val="0"/>
          <w:bCs w:val="0"/>
        </w:rPr>
      </w:pPr>
      <w:r>
        <w:rPr>
          <w:noProof/>
        </w:rPr>
        <w:drawing>
          <wp:anchor distT="0" distB="0" distL="114300" distR="114300" simplePos="0" relativeHeight="251674624" behindDoc="0" locked="0" layoutInCell="1" allowOverlap="1" wp14:anchorId="7DF28F7F" wp14:editId="2508D577">
            <wp:simplePos x="0" y="0"/>
            <wp:positionH relativeFrom="margin">
              <wp:align>right</wp:align>
            </wp:positionH>
            <wp:positionV relativeFrom="paragraph">
              <wp:posOffset>17101</wp:posOffset>
            </wp:positionV>
            <wp:extent cx="2520000" cy="2520000"/>
            <wp:effectExtent l="0" t="0" r="0" b="0"/>
            <wp:wrapSquare wrapText="bothSides"/>
            <wp:docPr id="1825285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5106" t="12842" r="5976" b="4908"/>
                    <a:stretch>
                      <a:fillRect/>
                    </a:stretch>
                  </pic:blipFill>
                  <pic:spPr bwMode="auto">
                    <a:xfrm>
                      <a:off x="0" y="0"/>
                      <a:ext cx="2520000" cy="252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C20EB" w:rsidRPr="00B27D8F">
        <w:rPr>
          <w:color w:val="A4331D"/>
        </w:rPr>
        <w:t>James Wilson</w:t>
      </w:r>
      <w:r w:rsidR="008C20EB">
        <w:br/>
      </w:r>
      <w:r w:rsidR="008C20EB" w:rsidRPr="00B27D8F">
        <w:rPr>
          <w:b w:val="0"/>
          <w:bCs w:val="0"/>
        </w:rPr>
        <w:t xml:space="preserve">General Director, </w:t>
      </w:r>
      <w:r w:rsidR="00CB017E" w:rsidRPr="00B27D8F">
        <w:rPr>
          <w:b w:val="0"/>
          <w:bCs w:val="0"/>
        </w:rPr>
        <w:t xml:space="preserve">Orkestra-Basque Institute of Competitivenes, </w:t>
      </w:r>
      <w:r w:rsidR="008C20EB" w:rsidRPr="00B27D8F">
        <w:rPr>
          <w:b w:val="0"/>
          <w:bCs w:val="0"/>
        </w:rPr>
        <w:t>University of Deusto</w:t>
      </w:r>
    </w:p>
    <w:p w14:paraId="09A3235C" w14:textId="3D5681DB" w:rsidR="008C20EB" w:rsidRPr="008C20EB" w:rsidRDefault="008C20EB" w:rsidP="008C20EB">
      <w:pPr>
        <w:pStyle w:val="ABParagraph"/>
      </w:pPr>
    </w:p>
    <w:p w14:paraId="3FAAAF87" w14:textId="7B5064A0" w:rsidR="008C20EB" w:rsidRDefault="008C20EB" w:rsidP="008C20EB">
      <w:pPr>
        <w:pStyle w:val="ABParagraph"/>
      </w:pPr>
      <w:r w:rsidRPr="008C20EB">
        <w:t>James Wilson is General Director at Orkestra-Basque Institute of Competitiveness and teaching faculty at Deusto Business School, University of Deusto. His research is focused on regional competitiveness, clusters, governance, regional strategy, and the roles of universities in territorial development. James has over 20 years of policy analysis experience, working with governments and institutions at different levels, and has edited numerous policy reports including the annual Basque Country Competitiveness Report. He has published widely in peer-reviewed academic journals and books and has played leading roles in several European research projects. James is regularly invited as an expert speaker/advisor by institutions such as the European Commission and by national and regional governments and is an active member of international networks such as the Regional Studies Association and TCI Network. </w:t>
      </w:r>
    </w:p>
    <w:p w14:paraId="78DDBF07" w14:textId="167B057F" w:rsidR="008C20EB" w:rsidRDefault="008C20EB" w:rsidP="008C20EB">
      <w:pPr>
        <w:pStyle w:val="ABParagraph"/>
      </w:pPr>
    </w:p>
    <w:p w14:paraId="286F6F22" w14:textId="77777777" w:rsidR="00CB017E" w:rsidRDefault="00CB017E" w:rsidP="008C20EB">
      <w:pPr>
        <w:pStyle w:val="ABParagraph"/>
      </w:pPr>
    </w:p>
    <w:p w14:paraId="5355AEDE" w14:textId="77777777" w:rsidR="00B27D8F" w:rsidRDefault="00B27D8F" w:rsidP="008C20EB">
      <w:pPr>
        <w:pStyle w:val="ABParagraph"/>
      </w:pPr>
    </w:p>
    <w:p w14:paraId="55077178" w14:textId="77777777" w:rsidR="00B27D8F" w:rsidRDefault="00B27D8F" w:rsidP="008C20EB">
      <w:pPr>
        <w:pStyle w:val="ABParagraph"/>
      </w:pPr>
    </w:p>
    <w:p w14:paraId="1AFC9970" w14:textId="77777777" w:rsidR="00B27D8F" w:rsidRDefault="00B27D8F" w:rsidP="008C20EB">
      <w:pPr>
        <w:pStyle w:val="ABParagraph"/>
      </w:pPr>
    </w:p>
    <w:p w14:paraId="211B9BD5" w14:textId="688F828A" w:rsidR="008C20EB" w:rsidRDefault="008C20EB" w:rsidP="008C20EB">
      <w:pPr>
        <w:pStyle w:val="ABSubhead"/>
        <w:rPr>
          <w:b w:val="0"/>
          <w:bCs w:val="0"/>
        </w:rPr>
      </w:pPr>
      <w:r w:rsidRPr="00B27D8F">
        <w:rPr>
          <w:noProof/>
          <w:color w:val="A4331D"/>
        </w:rPr>
        <w:drawing>
          <wp:anchor distT="0" distB="0" distL="114300" distR="114300" simplePos="0" relativeHeight="251675648" behindDoc="0" locked="0" layoutInCell="1" allowOverlap="1" wp14:anchorId="3FD0D4FE" wp14:editId="61292559">
            <wp:simplePos x="0" y="0"/>
            <wp:positionH relativeFrom="margin">
              <wp:align>right</wp:align>
            </wp:positionH>
            <wp:positionV relativeFrom="paragraph">
              <wp:posOffset>7402</wp:posOffset>
            </wp:positionV>
            <wp:extent cx="2519680" cy="2519680"/>
            <wp:effectExtent l="0" t="0" r="0" b="0"/>
            <wp:wrapSquare wrapText="bothSides"/>
            <wp:docPr id="11547523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19680" cy="2519680"/>
                    </a:xfrm>
                    <a:prstGeom prst="rect">
                      <a:avLst/>
                    </a:prstGeom>
                    <a:noFill/>
                    <a:ln>
                      <a:noFill/>
                    </a:ln>
                  </pic:spPr>
                </pic:pic>
              </a:graphicData>
            </a:graphic>
          </wp:anchor>
        </w:drawing>
      </w:r>
      <w:r w:rsidRPr="00B27D8F">
        <w:rPr>
          <w:color w:val="A4331D"/>
        </w:rPr>
        <w:t>Anna Humphreys</w:t>
      </w:r>
      <w:r>
        <w:br/>
      </w:r>
      <w:r>
        <w:rPr>
          <w:b w:val="0"/>
          <w:bCs w:val="0"/>
        </w:rPr>
        <w:t>Strategic Lead for Inclusive Growth, West Midlands Combined Authority</w:t>
      </w:r>
    </w:p>
    <w:p w14:paraId="6EA9944F" w14:textId="77777777" w:rsidR="008C20EB" w:rsidRDefault="008C20EB" w:rsidP="008C20EB">
      <w:pPr>
        <w:pStyle w:val="ABParagraph"/>
      </w:pPr>
    </w:p>
    <w:p w14:paraId="1168BB42" w14:textId="195B8F27" w:rsidR="008C20EB" w:rsidRPr="008C20EB" w:rsidRDefault="008C20EB" w:rsidP="008C20EB">
      <w:pPr>
        <w:pStyle w:val="ABParagraph"/>
      </w:pPr>
      <w:r w:rsidRPr="008C20EB">
        <w:t>Anna is the Strategic Lead for Inclusive Growth at the West Midlands Combined Authority, working to ensure that regional policy focuses on the same set of social, environmental and economic missions. These missions, or fundamentals to equitable and sustainable growth, help the region to thrive, maximising the social impact that can be delivered for people and places. She has a particular interest in Doughnut Economics, the role of social value in public procurement, and community wealth building.</w:t>
      </w:r>
    </w:p>
    <w:p w14:paraId="0351AE67" w14:textId="77777777" w:rsidR="00B27D8F" w:rsidRDefault="00B27D8F" w:rsidP="008C20EB">
      <w:pPr>
        <w:pStyle w:val="ABSubhead"/>
        <w:rPr>
          <w:color w:val="A4331D"/>
        </w:rPr>
      </w:pPr>
    </w:p>
    <w:p w14:paraId="5CE870E8" w14:textId="77777777" w:rsidR="00B27D8F" w:rsidRDefault="00B27D8F" w:rsidP="008C20EB">
      <w:pPr>
        <w:pStyle w:val="ABSubhead"/>
        <w:rPr>
          <w:color w:val="A4331D"/>
        </w:rPr>
      </w:pPr>
    </w:p>
    <w:p w14:paraId="2BD377FC" w14:textId="77777777" w:rsidR="00B27D8F" w:rsidRDefault="00B27D8F" w:rsidP="008C20EB">
      <w:pPr>
        <w:pStyle w:val="ABSubhead"/>
        <w:rPr>
          <w:color w:val="A4331D"/>
        </w:rPr>
      </w:pPr>
    </w:p>
    <w:p w14:paraId="4E4EBB0E" w14:textId="77777777" w:rsidR="00B27D8F" w:rsidRDefault="00B27D8F" w:rsidP="008C20EB">
      <w:pPr>
        <w:pStyle w:val="ABSubhead"/>
        <w:rPr>
          <w:color w:val="A4331D"/>
        </w:rPr>
      </w:pPr>
    </w:p>
    <w:p w14:paraId="470B628C" w14:textId="77777777" w:rsidR="00B27D8F" w:rsidRDefault="00B27D8F" w:rsidP="008C20EB">
      <w:pPr>
        <w:pStyle w:val="ABSubhead"/>
        <w:rPr>
          <w:color w:val="A4331D"/>
        </w:rPr>
      </w:pPr>
    </w:p>
    <w:p w14:paraId="5709C591" w14:textId="3D6AD8C9" w:rsidR="008C20EB" w:rsidRDefault="008C20EB" w:rsidP="008C20EB">
      <w:pPr>
        <w:pStyle w:val="ABSubhead"/>
        <w:rPr>
          <w:b w:val="0"/>
          <w:bCs w:val="0"/>
        </w:rPr>
      </w:pPr>
      <w:r w:rsidRPr="00B27D8F">
        <w:rPr>
          <w:b w:val="0"/>
          <w:bCs w:val="0"/>
          <w:noProof/>
          <w:color w:val="A4331D"/>
        </w:rPr>
        <w:drawing>
          <wp:anchor distT="0" distB="0" distL="114300" distR="114300" simplePos="0" relativeHeight="251676672" behindDoc="0" locked="0" layoutInCell="1" allowOverlap="1" wp14:anchorId="555F72D7" wp14:editId="7B254DDE">
            <wp:simplePos x="0" y="0"/>
            <wp:positionH relativeFrom="margin">
              <wp:align>right</wp:align>
            </wp:positionH>
            <wp:positionV relativeFrom="paragraph">
              <wp:posOffset>13525</wp:posOffset>
            </wp:positionV>
            <wp:extent cx="2520000" cy="2520000"/>
            <wp:effectExtent l="0" t="0" r="0" b="0"/>
            <wp:wrapSquare wrapText="bothSides"/>
            <wp:docPr id="76048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20000" cy="25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7D8F">
        <w:rPr>
          <w:color w:val="A4331D"/>
        </w:rPr>
        <w:t>Carolin Ioramasahvili</w:t>
      </w:r>
      <w:r>
        <w:br/>
      </w:r>
      <w:r>
        <w:rPr>
          <w:b w:val="0"/>
          <w:bCs w:val="0"/>
        </w:rPr>
        <w:t>Assistant Professor, University of Sussex</w:t>
      </w:r>
    </w:p>
    <w:p w14:paraId="4467644C" w14:textId="000DBB77" w:rsidR="008C20EB" w:rsidRDefault="008C20EB" w:rsidP="008C20EB">
      <w:pPr>
        <w:pStyle w:val="ABParagraph"/>
      </w:pPr>
    </w:p>
    <w:p w14:paraId="2DE1D1C3" w14:textId="39AC82F3" w:rsidR="008C20EB" w:rsidRDefault="008C20EB" w:rsidP="008C20EB">
      <w:pPr>
        <w:pStyle w:val="ABParagraph"/>
      </w:pPr>
      <w:r w:rsidRPr="008C20EB">
        <w:t>Carolin Ioramashvili is Assistant Professor in Innovation Policy at the Science Policy Research Unit (SPRU), University of Sussex. Her main research interests are in the role of innovation and technological change for local and regional development. Her work frequently spans policy and academia. She is currently a UKRI Policy Fellow at the Department for Culture, Media and Sport where she examines the impacts of Horizon Europe funding for the cultural and creative industries. In 2024/25 she was a British Academy Innovation Fellow in Cabinet Office where she worked on approaches to strengthen capacity and capability for policy evaluation in local government. Prior to joining SPRU, she was a Research Fellow at City-REDI, University of Birmingham. She holds a visiting fellowship at the London School of Economics, where she also earned her PhD.</w:t>
      </w:r>
    </w:p>
    <w:p w14:paraId="009EDED6" w14:textId="77777777" w:rsidR="008C20EB" w:rsidRDefault="008C20EB" w:rsidP="008C20EB">
      <w:pPr>
        <w:pStyle w:val="ABParagraph"/>
      </w:pPr>
    </w:p>
    <w:p w14:paraId="49BD947E" w14:textId="77777777" w:rsidR="00B27D8F" w:rsidRDefault="00B27D8F" w:rsidP="008C20EB">
      <w:pPr>
        <w:pStyle w:val="ABParagraph"/>
      </w:pPr>
    </w:p>
    <w:p w14:paraId="729346D4" w14:textId="77777777" w:rsidR="00B27D8F" w:rsidRDefault="00B27D8F" w:rsidP="008C20EB">
      <w:pPr>
        <w:pStyle w:val="ABParagraph"/>
      </w:pPr>
    </w:p>
    <w:p w14:paraId="0574704F" w14:textId="77777777" w:rsidR="00B27D8F" w:rsidRDefault="00B27D8F" w:rsidP="008C20EB">
      <w:pPr>
        <w:pStyle w:val="ABParagraph"/>
      </w:pPr>
    </w:p>
    <w:p w14:paraId="64E9554A" w14:textId="77777777" w:rsidR="00B27D8F" w:rsidRDefault="00B27D8F" w:rsidP="008C20EB">
      <w:pPr>
        <w:pStyle w:val="ABParagraph"/>
      </w:pPr>
    </w:p>
    <w:p w14:paraId="7FFCEB9A" w14:textId="77777777" w:rsidR="00B27D8F" w:rsidRDefault="00B27D8F" w:rsidP="008C20EB">
      <w:pPr>
        <w:pStyle w:val="ABParagraph"/>
      </w:pPr>
    </w:p>
    <w:p w14:paraId="04EA8B1B" w14:textId="73631531" w:rsidR="008C20EB" w:rsidRPr="008C20EB" w:rsidRDefault="008C20EB" w:rsidP="008C20EB">
      <w:pPr>
        <w:pStyle w:val="ABParagraph"/>
      </w:pPr>
    </w:p>
    <w:p w14:paraId="20E4A934" w14:textId="561B23EA" w:rsidR="008C20EB" w:rsidRPr="008C20EB" w:rsidRDefault="005E6A50" w:rsidP="008C20EB">
      <w:pPr>
        <w:pStyle w:val="ABSubhead"/>
        <w:rPr>
          <w:b w:val="0"/>
          <w:bCs w:val="0"/>
        </w:rPr>
      </w:pPr>
      <w:r w:rsidRPr="00B27D8F">
        <w:rPr>
          <w:noProof/>
          <w:color w:val="A4331D"/>
        </w:rPr>
        <w:drawing>
          <wp:anchor distT="0" distB="0" distL="114300" distR="114300" simplePos="0" relativeHeight="251677696" behindDoc="0" locked="0" layoutInCell="1" allowOverlap="1" wp14:anchorId="13B33F8C" wp14:editId="4D412FB4">
            <wp:simplePos x="0" y="0"/>
            <wp:positionH relativeFrom="margin">
              <wp:align>right</wp:align>
            </wp:positionH>
            <wp:positionV relativeFrom="paragraph">
              <wp:posOffset>19059</wp:posOffset>
            </wp:positionV>
            <wp:extent cx="2520000" cy="2520000"/>
            <wp:effectExtent l="0" t="0" r="0" b="0"/>
            <wp:wrapSquare wrapText="bothSides"/>
            <wp:docPr id="15541143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360" r="360"/>
                    <a:stretch>
                      <a:fillRect/>
                    </a:stretch>
                  </pic:blipFill>
                  <pic:spPr bwMode="auto">
                    <a:xfrm>
                      <a:off x="0" y="0"/>
                      <a:ext cx="2520000" cy="252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C20EB" w:rsidRPr="00B27D8F">
        <w:rPr>
          <w:color w:val="A4331D"/>
        </w:rPr>
        <w:t>David Waite</w:t>
      </w:r>
      <w:r w:rsidR="008C20EB">
        <w:br/>
      </w:r>
      <w:r w:rsidR="008C20EB">
        <w:rPr>
          <w:b w:val="0"/>
          <w:bCs w:val="0"/>
        </w:rPr>
        <w:t>Senior Lecturer, University of Glasgow</w:t>
      </w:r>
    </w:p>
    <w:p w14:paraId="01BA1863" w14:textId="48AC901F" w:rsidR="008C20EB" w:rsidRDefault="008C20EB" w:rsidP="008C20EB">
      <w:pPr>
        <w:pStyle w:val="ABParagraph"/>
      </w:pPr>
    </w:p>
    <w:p w14:paraId="01C42207" w14:textId="5D9A52D6" w:rsidR="005E6A50" w:rsidRDefault="005E6A50" w:rsidP="008C20EB">
      <w:pPr>
        <w:pStyle w:val="ABParagraph"/>
      </w:pPr>
      <w:r w:rsidRPr="005E6A50">
        <w:t xml:space="preserve">David Waite is a Senior Lecturer in the University of Glasgow's School of Social and Political Sciences. David's research focuses on the development of second-tier city-regions, with a particular interest in the governance responses for these places. He co-authored a report on </w:t>
      </w:r>
      <w:hyperlink r:id="rId43" w:tgtFrame="_blank" w:history="1">
        <w:r w:rsidRPr="005E6A50">
          <w:rPr>
            <w:rStyle w:val="Hyperlink"/>
          </w:rPr>
          <w:t>Inclusive Innovation</w:t>
        </w:r>
      </w:hyperlink>
      <w:r w:rsidRPr="005E6A50">
        <w:t xml:space="preserve"> which explores the ways in which four UK city-regions in Belfast, Cardiff, Glasgow and Greater Manchester are addressing the challenge of delivering inclusive innovation in practice.</w:t>
      </w:r>
    </w:p>
    <w:p w14:paraId="5BD513B0" w14:textId="02767173" w:rsidR="005E6A50" w:rsidRDefault="008C20EB" w:rsidP="005E6A50">
      <w:pPr>
        <w:pStyle w:val="ABSubhead"/>
        <w:rPr>
          <w:b w:val="0"/>
          <w:bCs w:val="0"/>
        </w:rPr>
      </w:pPr>
      <w:r>
        <w:br w:type="page"/>
      </w:r>
      <w:r w:rsidR="005E6A50" w:rsidRPr="00B27D8F">
        <w:rPr>
          <w:noProof/>
          <w:color w:val="A4331D"/>
        </w:rPr>
        <w:lastRenderedPageBreak/>
        <w:drawing>
          <wp:anchor distT="0" distB="0" distL="114300" distR="114300" simplePos="0" relativeHeight="251678720" behindDoc="0" locked="0" layoutInCell="1" allowOverlap="1" wp14:anchorId="516E2A78" wp14:editId="62FF10AC">
            <wp:simplePos x="0" y="0"/>
            <wp:positionH relativeFrom="margin">
              <wp:align>right</wp:align>
            </wp:positionH>
            <wp:positionV relativeFrom="paragraph">
              <wp:posOffset>237</wp:posOffset>
            </wp:positionV>
            <wp:extent cx="2519680" cy="2519680"/>
            <wp:effectExtent l="0" t="0" r="0" b="0"/>
            <wp:wrapSquare wrapText="bothSides"/>
            <wp:docPr id="19002263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21713" t="11347" r="32208" b="20583"/>
                    <a:stretch>
                      <a:fillRect/>
                    </a:stretch>
                  </pic:blipFill>
                  <pic:spPr bwMode="auto">
                    <a:xfrm>
                      <a:off x="0" y="0"/>
                      <a:ext cx="2519680" cy="2519680"/>
                    </a:xfrm>
                    <a:prstGeom prst="rect">
                      <a:avLst/>
                    </a:prstGeom>
                    <a:noFill/>
                    <a:ln>
                      <a:noFill/>
                    </a:ln>
                    <a:extLst>
                      <a:ext uri="{53640926-AAD7-44D8-BBD7-CCE9431645EC}">
                        <a14:shadowObscured xmlns:a14="http://schemas.microsoft.com/office/drawing/2010/main"/>
                      </a:ext>
                    </a:extLst>
                  </pic:spPr>
                </pic:pic>
              </a:graphicData>
            </a:graphic>
          </wp:anchor>
        </w:drawing>
      </w:r>
      <w:r w:rsidR="005E6A50" w:rsidRPr="00B27D8F">
        <w:rPr>
          <w:color w:val="A4331D"/>
        </w:rPr>
        <w:t>Chloe Billing (Chair)</w:t>
      </w:r>
      <w:r w:rsidR="005E6A50">
        <w:br/>
      </w:r>
      <w:r w:rsidR="005E6A50">
        <w:rPr>
          <w:b w:val="0"/>
          <w:bCs w:val="0"/>
        </w:rPr>
        <w:t>Research Fellow, University of Birmingham</w:t>
      </w:r>
    </w:p>
    <w:p w14:paraId="2A259C09" w14:textId="3437AFA0" w:rsidR="005E6A50" w:rsidRDefault="005E6A50" w:rsidP="005E6A50">
      <w:pPr>
        <w:pStyle w:val="ABParagraph"/>
      </w:pPr>
    </w:p>
    <w:p w14:paraId="55ADC03B" w14:textId="3D7F8855" w:rsidR="00263DBC" w:rsidRPr="008C20EB" w:rsidRDefault="005E6A50" w:rsidP="00813F52">
      <w:pPr>
        <w:pStyle w:val="ABParagraph"/>
      </w:pPr>
      <w:r w:rsidRPr="005E6A50">
        <w:t xml:space="preserve">Chloe Billing is a Research Fellow at City-REDI, University of Birmingham, specialising in the UK space sector. Her research focuses on advanced manufacturing, innovation ecosystems, regional economic development, and industrial policy, with particular interests in commercialisation pathways, innovation pathways and programme evaluation. She has contributed to major funded projects for Innovate UK, the ESRC, the UK Space Agency, and the West Midlands Combined Authority, examining space cluster development, innovation assets, and how universities and industry can work together to develop regional talent. She has published in journals including </w:t>
      </w:r>
      <w:r w:rsidRPr="005E6A50">
        <w:rPr>
          <w:i/>
          <w:iCs/>
        </w:rPr>
        <w:t>Industry and Innovation</w:t>
      </w:r>
      <w:r w:rsidRPr="005E6A50">
        <w:t xml:space="preserve">, </w:t>
      </w:r>
      <w:r w:rsidRPr="005E6A50">
        <w:rPr>
          <w:i/>
          <w:iCs/>
        </w:rPr>
        <w:t>Urban Studies</w:t>
      </w:r>
      <w:r w:rsidRPr="005E6A50">
        <w:t xml:space="preserve">, </w:t>
      </w:r>
      <w:r w:rsidRPr="005E6A50">
        <w:rPr>
          <w:i/>
          <w:iCs/>
        </w:rPr>
        <w:t>Regional Studies</w:t>
      </w:r>
      <w:r w:rsidRPr="005E6A50">
        <w:t xml:space="preserve">, and </w:t>
      </w:r>
      <w:r w:rsidRPr="005E6A50">
        <w:rPr>
          <w:i/>
          <w:iCs/>
        </w:rPr>
        <w:t>Economic Geography</w:t>
      </w:r>
      <w:r w:rsidRPr="005E6A50">
        <w:t>.</w:t>
      </w:r>
      <w:r>
        <w:br w:type="page"/>
      </w:r>
    </w:p>
    <w:p w14:paraId="22ABDF8B" w14:textId="65E900FA" w:rsidR="00D34255" w:rsidRDefault="00263DBC" w:rsidP="00167939">
      <w:pPr>
        <w:pStyle w:val="ABHeading"/>
      </w:pPr>
      <w:bookmarkStart w:id="21" w:name="_Toc238128007"/>
      <w:bookmarkStart w:id="22" w:name="_Toc238129283"/>
      <w:r>
        <w:lastRenderedPageBreak/>
        <w:t>Abstracts</w:t>
      </w:r>
      <w:bookmarkEnd w:id="21"/>
      <w:bookmarkEnd w:id="22"/>
    </w:p>
    <w:p w14:paraId="134C4B32" w14:textId="4728F643" w:rsidR="00CE1F6A" w:rsidRDefault="00D43043" w:rsidP="00CE1F6A">
      <w:pPr>
        <w:pStyle w:val="ABSubhead"/>
      </w:pPr>
      <w:r>
        <w:t xml:space="preserve">O1. </w:t>
      </w:r>
      <w:r w:rsidR="00CE1F6A" w:rsidRPr="00CD05A8">
        <w:t xml:space="preserve">Future-Oriented Regional Innovation Policies and Radical Rerouting in Local Production Systems </w:t>
      </w:r>
    </w:p>
    <w:p w14:paraId="70ED7894" w14:textId="77777777" w:rsidR="00CE1F6A" w:rsidRPr="003835DE" w:rsidRDefault="00CE1F6A" w:rsidP="00CE1F6A">
      <w:pPr>
        <w:pStyle w:val="ABParagraph"/>
      </w:pPr>
    </w:p>
    <w:p w14:paraId="6137C78A" w14:textId="77777777" w:rsidR="00CE1F6A" w:rsidRPr="00CD05A8" w:rsidRDefault="00CE1F6A" w:rsidP="00CE1F6A">
      <w:pPr>
        <w:pStyle w:val="AbstractBookAuthors"/>
        <w:rPr>
          <w:rFonts w:ascii="Noto Serif Light" w:hAnsi="Noto Serif Light" w:cs="Noto Serif Light"/>
        </w:rPr>
      </w:pPr>
      <w:r w:rsidRPr="00CD05A8">
        <w:rPr>
          <w:rStyle w:val="AbstractBookBaseCharacterStyle"/>
          <w:rFonts w:ascii="Noto Serif Light" w:hAnsi="Noto Serif Light" w:cs="Noto Serif Light"/>
        </w:rPr>
        <w:t>Prof</w:t>
      </w:r>
      <w:r>
        <w:rPr>
          <w:rStyle w:val="AbstractBookBaseCharacterStyle"/>
          <w:rFonts w:ascii="Noto Serif Light" w:hAnsi="Noto Serif Light" w:cs="Noto Serif Light"/>
        </w:rPr>
        <w:t>essor</w:t>
      </w:r>
      <w:r w:rsidRPr="00CD05A8">
        <w:rPr>
          <w:rStyle w:val="AbstractBookBaseCharacterStyle"/>
          <w:rFonts w:ascii="Noto Serif Light" w:hAnsi="Noto Serif Light" w:cs="Noto Serif Light"/>
        </w:rPr>
        <w:t xml:space="preserve"> Erica Santini</w:t>
      </w:r>
      <w:r>
        <w:rPr>
          <w:rStyle w:val="AbstractBookBaseCharacterStyle"/>
          <w:rFonts w:ascii="Noto Serif Light" w:hAnsi="Noto Serif Light" w:cs="Noto Serif Light"/>
          <w:vertAlign w:val="superscript"/>
        </w:rPr>
        <w:t>2</w:t>
      </w:r>
      <w:r w:rsidRPr="00CD05A8">
        <w:rPr>
          <w:rStyle w:val="AbstractBookBaseCharacterStyle"/>
          <w:rFonts w:ascii="Noto Serif Light" w:hAnsi="Noto Serif Light" w:cs="Noto Serif Light"/>
        </w:rPr>
        <w:t xml:space="preserve">, </w:t>
      </w:r>
      <w:r w:rsidRPr="00CD05A8">
        <w:rPr>
          <w:rStyle w:val="AbstractBookPresentingAuthor"/>
          <w:rFonts w:ascii="Noto Serif Light" w:hAnsi="Noto Serif Light" w:cs="Noto Serif Light"/>
        </w:rPr>
        <w:t>Marco Bellandi</w:t>
      </w:r>
      <w:r w:rsidRPr="00CD05A8">
        <w:rPr>
          <w:rFonts w:ascii="Noto Serif Light" w:hAnsi="Noto Serif Light" w:cs="Noto Serif Light"/>
          <w:vertAlign w:val="superscript"/>
        </w:rPr>
        <w:t>1</w:t>
      </w:r>
    </w:p>
    <w:p w14:paraId="33EEEA0D" w14:textId="10CC90CC" w:rsidR="00CE1F6A" w:rsidRPr="003F4A3F" w:rsidRDefault="00CE1F6A" w:rsidP="00CE1F6A">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Department of Economics and Management, University of Florence, F</w:t>
      </w:r>
      <w:r>
        <w:rPr>
          <w:rStyle w:val="AbstractBookBaseCharacterStyle"/>
          <w:rFonts w:ascii="Noto Serif Light" w:hAnsi="Noto Serif Light" w:cs="Noto Serif Light"/>
        </w:rPr>
        <w:t>ireze</w:t>
      </w:r>
      <w:r w:rsidRPr="00CD05A8">
        <w:rPr>
          <w:rStyle w:val="AbstractBookBaseCharacterStyle"/>
          <w:rFonts w:ascii="Noto Serif Light" w:hAnsi="Noto Serif Light" w:cs="Noto Serif Light"/>
        </w:rPr>
        <w:t>, Italy</w:t>
      </w:r>
      <w:r>
        <w:rPr>
          <w:rStyle w:val="AbstractBookBaseCharacterStyle"/>
          <w:rFonts w:ascii="Noto Serif Light" w:hAnsi="Noto Serif Light" w:cs="Noto Serif Light"/>
        </w:rPr>
        <w:t xml:space="preserve">, </w:t>
      </w:r>
      <w:r>
        <w:rPr>
          <w:rStyle w:val="AbstractBookBaseCharacterStyle"/>
          <w:rFonts w:ascii="Noto Serif Light" w:hAnsi="Noto Serif Light" w:cs="Noto Serif Light"/>
          <w:vertAlign w:val="superscript"/>
        </w:rPr>
        <w:t>2</w:t>
      </w:r>
      <w:r w:rsidRPr="003F4A3F">
        <w:rPr>
          <w:rFonts w:asciiTheme="minorHAnsi" w:eastAsiaTheme="minorHAnsi" w:hAnsiTheme="minorHAnsi" w:cstheme="minorBidi"/>
          <w:kern w:val="2"/>
          <w:lang w:val="en-GB" w:eastAsia="en-US"/>
          <w14:ligatures w14:val="standardContextual"/>
        </w:rPr>
        <w:t xml:space="preserve"> </w:t>
      </w:r>
      <w:r w:rsidRPr="003F4A3F">
        <w:rPr>
          <w:rFonts w:ascii="Noto Serif Light" w:hAnsi="Noto Serif Light" w:cs="Noto Serif Light"/>
          <w:lang w:val="en-GB"/>
        </w:rPr>
        <w:t xml:space="preserve">Department of Economics and </w:t>
      </w:r>
      <w:r w:rsidR="001140FC" w:rsidRPr="003F4A3F">
        <w:rPr>
          <w:rFonts w:ascii="Noto Serif Light" w:hAnsi="Noto Serif Light" w:cs="Noto Serif Light"/>
          <w:lang w:val="en-GB"/>
        </w:rPr>
        <w:t>Management</w:t>
      </w:r>
      <w:r w:rsidRPr="003F4A3F">
        <w:rPr>
          <w:rFonts w:ascii="Noto Serif Light" w:hAnsi="Noto Serif Light" w:cs="Noto Serif Light"/>
          <w:lang w:val="en-GB"/>
        </w:rPr>
        <w:t>,</w:t>
      </w:r>
      <w:r>
        <w:rPr>
          <w:rFonts w:ascii="Noto Serif Light" w:hAnsi="Noto Serif Light" w:cs="Noto Serif Light"/>
          <w:lang w:val="en-GB"/>
        </w:rPr>
        <w:t xml:space="preserve"> </w:t>
      </w:r>
      <w:r w:rsidRPr="003F4A3F">
        <w:rPr>
          <w:rFonts w:ascii="Noto Serif Light" w:hAnsi="Noto Serif Light" w:cs="Noto Serif Light"/>
          <w:lang w:val="en-GB"/>
        </w:rPr>
        <w:t>University of Trento</w:t>
      </w:r>
      <w:r>
        <w:rPr>
          <w:rFonts w:ascii="Noto Serif Light" w:hAnsi="Noto Serif Light" w:cs="Noto Serif Light"/>
          <w:lang w:val="en-GB"/>
        </w:rPr>
        <w:t>, Trento, Italy</w:t>
      </w:r>
    </w:p>
    <w:p w14:paraId="6F95C44B" w14:textId="77777777" w:rsidR="00CE1F6A" w:rsidRDefault="00CE1F6A" w:rsidP="00CE1F6A">
      <w:pPr>
        <w:pStyle w:val="AbstractBookBaseParagraph"/>
        <w:rPr>
          <w:rStyle w:val="AbstractBookBaseCharacterStyle"/>
          <w:rFonts w:ascii="Noto Serif Light" w:hAnsi="Noto Serif Light" w:cs="Noto Serif Light"/>
        </w:rPr>
      </w:pPr>
    </w:p>
    <w:p w14:paraId="5F986DB3" w14:textId="77777777" w:rsidR="00CE1F6A" w:rsidRPr="003835DE" w:rsidRDefault="00CE1F6A" w:rsidP="00CE1F6A">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75B560FD"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Local production systems (LPSs) are increasingly challenged by the combined pressures of digitalization, sustainability imperatives, geopolitical instability, and global value chain restructuring (Bianchini et al., 2023; De Propris, and Labory, 2025). Regional innovation policies are progressively shifting from traditional competitiveness-oriented approaches toward more future-oriented and transformative agendas aimed at steering territories through difficult transitions (De Propris and Bailey, 2021; Bailey and Hildreth, 2025). Yet, despite the growing emphasis on mission-oriented and challenge-driven policies, important questions remain open concerning how regions imagine and enact alternative futures, how local actors break away from historically established development paths, and how uneven capacities for adaptation shape territorial divergence (Antonietti et al, 2026).</w:t>
      </w:r>
    </w:p>
    <w:p w14:paraId="4A56B881" w14:textId="77777777" w:rsidR="00CE1F6A" w:rsidRPr="00CD05A8" w:rsidRDefault="00CE1F6A" w:rsidP="00CE1F6A">
      <w:pPr>
        <w:pStyle w:val="AbstractBookBaseParagraph"/>
        <w:rPr>
          <w:rFonts w:ascii="Noto Serif Light" w:hAnsi="Noto Serif Light" w:cs="Noto Serif Light"/>
        </w:rPr>
      </w:pPr>
    </w:p>
    <w:p w14:paraId="7BF10A98"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Building on streams of the literatures in evolutionary economic geography and regional innovation systems, the paper aims at contributing to the view that local development trajectories cannot be understood solely through inherited industrial specializations and institutional rigidities. Rather, regions and LPSs should be conceptualized as complex adaptive systems (De Propris and Bailey, 2021; Bellandi et al., 2021). Our contribution pivots on a perspective that originally combines the traditional debate on path dependency with the metaphor of Lévy flights.</w:t>
      </w:r>
    </w:p>
    <w:p w14:paraId="69307256" w14:textId="77777777" w:rsidR="00CE1F6A" w:rsidRPr="00CD05A8" w:rsidRDefault="00CE1F6A" w:rsidP="00CE1F6A">
      <w:pPr>
        <w:pStyle w:val="AbstractBookBaseParagraph"/>
        <w:rPr>
          <w:rFonts w:ascii="Noto Serif Light" w:hAnsi="Noto Serif Light" w:cs="Noto Serif Light"/>
        </w:rPr>
      </w:pPr>
    </w:p>
    <w:p w14:paraId="029F36AC"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Originating from studies of biological search processes, Lévy flights describe search dynamics characterized by intermittent long-distance jumps combined with localized exploration (Viswanathan et al., 1996). This exploration-exploitation balance provides a useful heuristic for understanding how territories may occasionally depart from established trajectories to explore cognitively distant opportunities and reroute to new development paths. Of course, what appears as a quite long-distance jump in some LPSs might appear as just localized exploration in a LPS richer in multiplicity of know-how nuclei and complexity of technological fields (Bellandi et al., 2019; Diodato et al. 2023). This point, however, strengthens the interest of considering factors and mechanisms of radical rerouting that we associate to the metaphor of Lévy flights: firstly, for possibilities of catching-up they offer to relatively peripheral LPSs (De Propris and Labory, 2025); and, secondly, for prospects for stronger LPSs to lock-out against wicked transformative challenges (De Propris and Bailey, 2021; Bellandi et al., 2025). </w:t>
      </w:r>
    </w:p>
    <w:p w14:paraId="31010767"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The awareness of contemporary waves of such challenges hitting many different LPSs and the need to face them with complex sustainability transitions, spanning the digital, the green and the social, increasingly address policy frameworks towards attempt to put such transitions within narratives, imaginaries, and strategic visions of regional </w:t>
      </w:r>
      <w:r w:rsidRPr="00CD05A8">
        <w:rPr>
          <w:rFonts w:ascii="Noto Serif Light" w:hAnsi="Noto Serif Light" w:cs="Noto Serif Light"/>
        </w:rPr>
        <w:lastRenderedPageBreak/>
        <w:t>futures (De Propris, 2024). However, transitions are inherently political and contested processes, and, while alignment around shared visions of transformation is easily advocated in emphatic policy reports, local actors may instead toil around conflicting and reciprocally damaging imaginaries.</w:t>
      </w:r>
    </w:p>
    <w:p w14:paraId="0F85C6A0" w14:textId="77777777" w:rsidR="00CE1F6A" w:rsidRPr="00CD05A8" w:rsidRDefault="00CE1F6A" w:rsidP="00CE1F6A">
      <w:pPr>
        <w:pStyle w:val="AbstractBookBaseParagraph"/>
        <w:rPr>
          <w:rFonts w:ascii="Noto Serif Light" w:hAnsi="Noto Serif Light" w:cs="Noto Serif Light"/>
        </w:rPr>
      </w:pPr>
    </w:p>
    <w:p w14:paraId="1A21A831"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Collective agency and reflexive functions promoted by strong and open place-leaderships operating at multi-scale levels would have a key role to play here for LPSs, both supporting risky but well equipped exploratory jumps of innovators and early adopters, and allowing the larger local community to discuss, build, and legitimize a temporarily shared vision of new specialized arenas of localized walks of explorations and exploitations around the targets of most promising long-distance jumps (Storper, 1997; Forrer et al., 2024; Pflitsch and Menzel, 2026). Weak or closed place-leaderships would instead lock a LPS in traditional logics (Bellandi et al. 2021).</w:t>
      </w:r>
    </w:p>
    <w:p w14:paraId="183E1EE5" w14:textId="77777777" w:rsidR="00CE1F6A" w:rsidRPr="00CD05A8" w:rsidRDefault="00CE1F6A" w:rsidP="00CE1F6A">
      <w:pPr>
        <w:pStyle w:val="AbstractBookBaseParagraph"/>
        <w:rPr>
          <w:rFonts w:ascii="Noto Serif Light" w:hAnsi="Noto Serif Light" w:cs="Noto Serif Light"/>
        </w:rPr>
      </w:pPr>
    </w:p>
    <w:p w14:paraId="2233E86C"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Overall, the paper argues that regional innovation policies should move beyond deterministic understandings of industrial specialization and embrace more adaptive, exploratory, and reflexive approaches capable of supporting inclusive and territorially sensitive transformation processes. In this perspective, narratives and strategic visions should not be externally imposed, but rather co-produced in coherence with historically embedded exploration–exploitation dynamics of each LPS.</w:t>
      </w:r>
    </w:p>
    <w:p w14:paraId="3C6837AC" w14:textId="77777777" w:rsidR="00CE1F6A" w:rsidRPr="00CD05A8" w:rsidRDefault="00CE1F6A" w:rsidP="00CE1F6A">
      <w:pPr>
        <w:pStyle w:val="AbstractBookBaseParagraph"/>
        <w:rPr>
          <w:rFonts w:ascii="Noto Serif Light" w:hAnsi="Noto Serif Light" w:cs="Noto Serif Light"/>
        </w:rPr>
      </w:pPr>
    </w:p>
    <w:p w14:paraId="052CA36B" w14:textId="77777777" w:rsidR="00CE1F6A" w:rsidRPr="003835DE" w:rsidRDefault="00CE1F6A" w:rsidP="00CE1F6A">
      <w:pPr>
        <w:pStyle w:val="AbstractBookBaseParagraph"/>
        <w:rPr>
          <w:rFonts w:ascii="Noto Serif Light" w:hAnsi="Noto Serif Light" w:cs="Noto Serif Light"/>
          <w:b/>
          <w:bCs/>
        </w:rPr>
      </w:pPr>
      <w:r w:rsidRPr="003835DE">
        <w:rPr>
          <w:rFonts w:ascii="Noto Serif Light" w:hAnsi="Noto Serif Light" w:cs="Noto Serif Light"/>
          <w:b/>
          <w:bCs/>
        </w:rPr>
        <w:t>References</w:t>
      </w:r>
    </w:p>
    <w:p w14:paraId="1C8602DC" w14:textId="77777777" w:rsidR="00CE1F6A" w:rsidRPr="00CD05A8" w:rsidRDefault="00CE1F6A" w:rsidP="00CE1F6A">
      <w:pPr>
        <w:pStyle w:val="AbstractBookBaseParagraph"/>
        <w:numPr>
          <w:ilvl w:val="0"/>
          <w:numId w:val="23"/>
        </w:numPr>
        <w:rPr>
          <w:rFonts w:ascii="Noto Serif Light" w:hAnsi="Noto Serif Light" w:cs="Noto Serif Light"/>
        </w:rPr>
      </w:pPr>
      <w:r w:rsidRPr="00CD05A8">
        <w:rPr>
          <w:rFonts w:ascii="Noto Serif Light" w:hAnsi="Noto Serif Light" w:cs="Noto Serif Light"/>
        </w:rPr>
        <w:t xml:space="preserve">Antonietti, R. Bettiol, M., Di Maria, E., Montresor, S., &amp; Vargiu, L.  (2026), “The Twin Transition and its geographical dimensions: a systematic literature review”, European Planning Studies, DOI: 10.1080/09654313.2025.2608162 </w:t>
      </w:r>
    </w:p>
    <w:p w14:paraId="5C28743B" w14:textId="77777777" w:rsidR="00CE1F6A" w:rsidRPr="00CD05A8" w:rsidRDefault="00CE1F6A" w:rsidP="00CE1F6A">
      <w:pPr>
        <w:pStyle w:val="AbstractBookBaseParagraph"/>
        <w:numPr>
          <w:ilvl w:val="0"/>
          <w:numId w:val="23"/>
        </w:numPr>
        <w:rPr>
          <w:rFonts w:ascii="Noto Serif Light" w:hAnsi="Noto Serif Light" w:cs="Noto Serif Light"/>
        </w:rPr>
      </w:pPr>
      <w:r w:rsidRPr="00CD05A8">
        <w:rPr>
          <w:rFonts w:ascii="Noto Serif Light" w:hAnsi="Noto Serif Light" w:cs="Noto Serif Light"/>
        </w:rPr>
        <w:t>Bailey, D., &amp; Hildreth, P. (2025), “Beyond the agglomeration orthodoxy: rethinking industrial strategy”, Contemporary Social Science, Vol. 20 No. 2-3, pp. 484-495.</w:t>
      </w:r>
    </w:p>
    <w:p w14:paraId="16FFF21F" w14:textId="77777777" w:rsidR="00CE1F6A" w:rsidRPr="00CD05A8" w:rsidRDefault="00CE1F6A" w:rsidP="00CE1F6A">
      <w:pPr>
        <w:pStyle w:val="AbstractBookBaseParagraph"/>
        <w:numPr>
          <w:ilvl w:val="0"/>
          <w:numId w:val="23"/>
        </w:numPr>
        <w:rPr>
          <w:rFonts w:ascii="Noto Serif Light" w:hAnsi="Noto Serif Light" w:cs="Noto Serif Light"/>
        </w:rPr>
      </w:pPr>
      <w:r w:rsidRPr="00CD05A8">
        <w:rPr>
          <w:rFonts w:ascii="Noto Serif Light" w:hAnsi="Noto Serif Light" w:cs="Noto Serif Light"/>
        </w:rPr>
        <w:t>Bellandi, M., Plechero, M., &amp; Santini, E. (2021). Forms of place leadership in local productive systems: from endogenous rerouting to deliberate resistance to change. Regional Studies, 55(7), 1327-1336.</w:t>
      </w:r>
    </w:p>
    <w:p w14:paraId="73F85E4F" w14:textId="77777777" w:rsidR="00CE1F6A" w:rsidRPr="00CD05A8" w:rsidRDefault="00CE1F6A" w:rsidP="00CE1F6A">
      <w:pPr>
        <w:pStyle w:val="AbstractBookBaseParagraph"/>
        <w:numPr>
          <w:ilvl w:val="0"/>
          <w:numId w:val="23"/>
        </w:numPr>
        <w:rPr>
          <w:rFonts w:ascii="Noto Serif Light" w:hAnsi="Noto Serif Light" w:cs="Noto Serif Light"/>
        </w:rPr>
      </w:pPr>
      <w:r w:rsidRPr="00CD05A8">
        <w:rPr>
          <w:rFonts w:ascii="Noto Serif Light" w:hAnsi="Noto Serif Light" w:cs="Noto Serif Light"/>
        </w:rPr>
        <w:t>Bellandi, M., De Propris, L., &amp; Santini, E. (2019). An evolutionary analysis of industrial districts: the changing multiplicity of production know-how nuclei. Cambridge Journal of Economics, 43(1), 187-204.</w:t>
      </w:r>
    </w:p>
    <w:p w14:paraId="1A46EEBE" w14:textId="77777777" w:rsidR="00CE1F6A" w:rsidRPr="00CD05A8" w:rsidRDefault="00CE1F6A" w:rsidP="00CE1F6A">
      <w:pPr>
        <w:pStyle w:val="AbstractBookBaseParagraph"/>
        <w:numPr>
          <w:ilvl w:val="0"/>
          <w:numId w:val="23"/>
        </w:numPr>
        <w:rPr>
          <w:rFonts w:ascii="Noto Serif Light" w:hAnsi="Noto Serif Light" w:cs="Noto Serif Light"/>
        </w:rPr>
      </w:pPr>
      <w:r w:rsidRPr="00CD05A8">
        <w:rPr>
          <w:rFonts w:ascii="Noto Serif Light" w:hAnsi="Noto Serif Light" w:cs="Noto Serif Light"/>
        </w:rPr>
        <w:t>Bellandi, M., De Propris, L., &amp; Torre, A. (2025). From Marshall’s external economies to external economies of transformation in contemporary industrial spaces, Cambridge Journal of Economics, 49 (3), 559–579</w:t>
      </w:r>
    </w:p>
    <w:p w14:paraId="2E41B42F" w14:textId="77777777" w:rsidR="00CE1F6A" w:rsidRPr="00CD05A8" w:rsidRDefault="00CE1F6A" w:rsidP="00CE1F6A">
      <w:pPr>
        <w:pStyle w:val="AbstractBookBaseParagraph"/>
        <w:numPr>
          <w:ilvl w:val="0"/>
          <w:numId w:val="23"/>
        </w:numPr>
        <w:rPr>
          <w:rFonts w:ascii="Noto Serif Light" w:hAnsi="Noto Serif Light" w:cs="Noto Serif Light"/>
        </w:rPr>
      </w:pPr>
      <w:r w:rsidRPr="00CD05A8">
        <w:rPr>
          <w:rFonts w:ascii="Noto Serif Light" w:hAnsi="Noto Serif Light" w:cs="Noto Serif Light"/>
        </w:rPr>
        <w:t>Bianchini, S., Damioli, G., &amp; Ghisetti, C. (2023), “The environmental effects of the “twin” green and digital transition in European regions”, Environmental and Resource Economics, Vol. 84 No. 4, pp. 877-918.</w:t>
      </w:r>
    </w:p>
    <w:p w14:paraId="29AA3BA7" w14:textId="77777777" w:rsidR="00CE1F6A" w:rsidRPr="00CD05A8" w:rsidRDefault="00CE1F6A" w:rsidP="00CE1F6A">
      <w:pPr>
        <w:pStyle w:val="AbstractBookBaseParagraph"/>
        <w:numPr>
          <w:ilvl w:val="0"/>
          <w:numId w:val="23"/>
        </w:numPr>
        <w:rPr>
          <w:rFonts w:ascii="Noto Serif Light" w:hAnsi="Noto Serif Light" w:cs="Noto Serif Light"/>
        </w:rPr>
      </w:pPr>
      <w:r w:rsidRPr="00CD05A8">
        <w:rPr>
          <w:rFonts w:ascii="Noto Serif Light" w:hAnsi="Noto Serif Light" w:cs="Noto Serif Light"/>
        </w:rPr>
        <w:t>De Propris, L. (2024). “Globalisation must work for as many regions as possible”. Regional Studies, 58 (7), 1505-1508.</w:t>
      </w:r>
    </w:p>
    <w:p w14:paraId="02BF4193" w14:textId="77777777" w:rsidR="00CE1F6A" w:rsidRPr="00CD05A8" w:rsidRDefault="00CE1F6A" w:rsidP="00CE1F6A">
      <w:pPr>
        <w:pStyle w:val="AbstractBookBaseParagraph"/>
        <w:numPr>
          <w:ilvl w:val="0"/>
          <w:numId w:val="23"/>
        </w:numPr>
        <w:rPr>
          <w:rFonts w:ascii="Noto Serif Light" w:hAnsi="Noto Serif Light" w:cs="Noto Serif Light"/>
        </w:rPr>
      </w:pPr>
      <w:r w:rsidRPr="00CD05A8">
        <w:rPr>
          <w:rFonts w:ascii="Noto Serif Light" w:hAnsi="Noto Serif Light" w:cs="Noto Serif Light"/>
        </w:rPr>
        <w:t>De Propris, L., &amp; Bailey, D. (2021). “Pathways of Regional Transformation and Industry 4.0.” Regional Studies 55 (10–11): 1617–1629.</w:t>
      </w:r>
    </w:p>
    <w:p w14:paraId="7E4357F3" w14:textId="77777777" w:rsidR="00CE1F6A" w:rsidRPr="00CD05A8" w:rsidRDefault="00CE1F6A" w:rsidP="00CE1F6A">
      <w:pPr>
        <w:pStyle w:val="AbstractBookBaseParagraph"/>
        <w:numPr>
          <w:ilvl w:val="0"/>
          <w:numId w:val="23"/>
        </w:numPr>
        <w:rPr>
          <w:rFonts w:ascii="Noto Serif Light" w:hAnsi="Noto Serif Light" w:cs="Noto Serif Light"/>
        </w:rPr>
      </w:pPr>
      <w:r w:rsidRPr="00CD05A8">
        <w:rPr>
          <w:rFonts w:ascii="Noto Serif Light" w:hAnsi="Noto Serif Light" w:cs="Noto Serif Light"/>
        </w:rPr>
        <w:t>De Propris, L., &amp; Labory, S. (2025). “An industrial strategy for EU cohesion in an era of transformation”, Contemporary Social Science, Vol. 20 No. 2-3, pp. 249-271.</w:t>
      </w:r>
    </w:p>
    <w:p w14:paraId="78920448" w14:textId="77777777" w:rsidR="00CE1F6A" w:rsidRPr="00CD05A8" w:rsidRDefault="00CE1F6A" w:rsidP="00CE1F6A">
      <w:pPr>
        <w:pStyle w:val="AbstractBookBaseParagraph"/>
        <w:numPr>
          <w:ilvl w:val="0"/>
          <w:numId w:val="23"/>
        </w:numPr>
        <w:rPr>
          <w:rFonts w:ascii="Noto Serif Light" w:hAnsi="Noto Serif Light" w:cs="Noto Serif Light"/>
        </w:rPr>
      </w:pPr>
      <w:r w:rsidRPr="00CD05A8">
        <w:rPr>
          <w:rFonts w:ascii="Noto Serif Light" w:hAnsi="Noto Serif Light" w:cs="Noto Serif Light"/>
        </w:rPr>
        <w:lastRenderedPageBreak/>
        <w:t>Diodato, D., L. Napolitano, E. Pugliese, &amp; A. Tacchella (2023). “Economic Complexity for Regional Industrial Strategy”. JRC Science for Policy Brief – Industrial Innovation &amp; Dynamics Series. No. JRC136443.</w:t>
      </w:r>
    </w:p>
    <w:p w14:paraId="14BB2A6E" w14:textId="77777777" w:rsidR="00CE1F6A" w:rsidRPr="00CD05A8" w:rsidRDefault="00CE1F6A" w:rsidP="00CE1F6A">
      <w:pPr>
        <w:pStyle w:val="AbstractBookBaseParagraph"/>
        <w:numPr>
          <w:ilvl w:val="0"/>
          <w:numId w:val="23"/>
        </w:numPr>
        <w:rPr>
          <w:rFonts w:ascii="Noto Serif Light" w:hAnsi="Noto Serif Light" w:cs="Noto Serif Light"/>
        </w:rPr>
      </w:pPr>
      <w:r w:rsidRPr="00CD05A8">
        <w:rPr>
          <w:rFonts w:ascii="Noto Serif Light" w:hAnsi="Noto Serif Light" w:cs="Noto Serif Light"/>
        </w:rPr>
        <w:t>Forrer, V., Plechero, M., Rossi, A., &amp; Santini, E. (2022). “Top-down and bottom-up legitimization of emerging industries: evidence from two Italian mechatronics clusters”, Regional Studies, 56 (4), 656-667.</w:t>
      </w:r>
    </w:p>
    <w:p w14:paraId="6B578391" w14:textId="77777777" w:rsidR="00CE1F6A" w:rsidRPr="00CD05A8" w:rsidRDefault="00CE1F6A" w:rsidP="00CE1F6A">
      <w:pPr>
        <w:pStyle w:val="AbstractBookBaseParagraph"/>
        <w:numPr>
          <w:ilvl w:val="0"/>
          <w:numId w:val="23"/>
        </w:numPr>
        <w:rPr>
          <w:rFonts w:ascii="Noto Serif Light" w:hAnsi="Noto Serif Light" w:cs="Noto Serif Light"/>
        </w:rPr>
      </w:pPr>
      <w:r w:rsidRPr="00CD05A8">
        <w:rPr>
          <w:rFonts w:ascii="Noto Serif Light" w:hAnsi="Noto Serif Light" w:cs="Noto Serif Light"/>
        </w:rPr>
        <w:t>Pflitsch, G., Menzel, M-P. (2026). “Rethinking the Third Mission: Organizing dissonance in transformative universities”, Research Policy, 55 (2).</w:t>
      </w:r>
    </w:p>
    <w:p w14:paraId="175F4811" w14:textId="77777777" w:rsidR="00CE1F6A" w:rsidRPr="00CD05A8" w:rsidRDefault="00CE1F6A" w:rsidP="00CE1F6A">
      <w:pPr>
        <w:pStyle w:val="AbstractBookBaseParagraph"/>
        <w:numPr>
          <w:ilvl w:val="0"/>
          <w:numId w:val="23"/>
        </w:numPr>
        <w:rPr>
          <w:rFonts w:ascii="Noto Serif Light" w:hAnsi="Noto Serif Light" w:cs="Noto Serif Light"/>
        </w:rPr>
      </w:pPr>
      <w:r w:rsidRPr="00CD05A8">
        <w:rPr>
          <w:rFonts w:ascii="Noto Serif Light" w:hAnsi="Noto Serif Light" w:cs="Noto Serif Light"/>
        </w:rPr>
        <w:t>Storper, M. (1997). “The city: centre of economic reflexivity”. Service Industries Journal, 17(1), 1-27.</w:t>
      </w:r>
    </w:p>
    <w:p w14:paraId="3D5C675A" w14:textId="77777777" w:rsidR="00CE1F6A" w:rsidRPr="00CD05A8" w:rsidRDefault="00CE1F6A" w:rsidP="00CE1F6A">
      <w:pPr>
        <w:pStyle w:val="AbstractBookBaseParagraph"/>
        <w:numPr>
          <w:ilvl w:val="0"/>
          <w:numId w:val="23"/>
        </w:numPr>
        <w:rPr>
          <w:rFonts w:ascii="Noto Serif Light" w:hAnsi="Noto Serif Light" w:cs="Noto Serif Light"/>
        </w:rPr>
      </w:pPr>
      <w:r w:rsidRPr="00CD05A8">
        <w:rPr>
          <w:rFonts w:ascii="Noto Serif Light" w:hAnsi="Noto Serif Light" w:cs="Noto Serif Light"/>
        </w:rPr>
        <w:t>Viswanathan, G. M., Afanasyev, V., Buldyrev, S. V., Murphy, E. J., Prince, P. A., &amp; Stanley, H. E. (1996). “Lévy flight search patterns of wandering albatrosses”. Nature, 381(6581), 413-415.</w:t>
      </w:r>
    </w:p>
    <w:p w14:paraId="1CF5C3DC" w14:textId="77777777" w:rsidR="00CE1F6A" w:rsidRPr="00CD05A8" w:rsidRDefault="00CE1F6A" w:rsidP="00CE1F6A">
      <w:pPr>
        <w:pStyle w:val="AbstractBookBaseParagraph"/>
        <w:rPr>
          <w:rFonts w:ascii="Noto Serif Light" w:hAnsi="Noto Serif Light" w:cs="Noto Serif Light"/>
        </w:rPr>
      </w:pPr>
    </w:p>
    <w:p w14:paraId="1B67926F"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br w:type="page"/>
      </w:r>
    </w:p>
    <w:p w14:paraId="14BD236C" w14:textId="169FD702" w:rsidR="00CE1F6A" w:rsidRDefault="00D43043" w:rsidP="00CE1F6A">
      <w:pPr>
        <w:pStyle w:val="ABSubhead"/>
      </w:pPr>
      <w:r>
        <w:lastRenderedPageBreak/>
        <w:t xml:space="preserve">O2. </w:t>
      </w:r>
      <w:r w:rsidR="00405FF8" w:rsidRPr="00405FF8">
        <w:t xml:space="preserve">Bounded </w:t>
      </w:r>
      <w:r w:rsidR="009C3317">
        <w:t>D</w:t>
      </w:r>
      <w:r w:rsidR="00405FF8" w:rsidRPr="00405FF8">
        <w:t>irectionality: Conceptualizing Future Path Development</w:t>
      </w:r>
    </w:p>
    <w:p w14:paraId="3704A074" w14:textId="77777777" w:rsidR="00CE1F6A" w:rsidRPr="00103F5E" w:rsidRDefault="00CE1F6A" w:rsidP="00CE1F6A">
      <w:pPr>
        <w:pStyle w:val="ABParagraph"/>
      </w:pPr>
    </w:p>
    <w:p w14:paraId="478C6126" w14:textId="77777777" w:rsidR="00CE1F6A" w:rsidRPr="00CD05A8" w:rsidRDefault="00CE1F6A" w:rsidP="00CE1F6A">
      <w:pPr>
        <w:pStyle w:val="AbstractBookAuthors"/>
        <w:rPr>
          <w:rFonts w:ascii="Noto Serif Light" w:hAnsi="Noto Serif Light" w:cs="Noto Serif Light"/>
        </w:rPr>
      </w:pPr>
      <w:r w:rsidRPr="00CD05A8">
        <w:rPr>
          <w:rStyle w:val="AbstractBookPresentingAuthor"/>
          <w:rFonts w:ascii="Noto Serif Light" w:hAnsi="Noto Serif Light" w:cs="Noto Serif Light"/>
        </w:rPr>
        <w:t>Ola Grindheim Onsøyen</w:t>
      </w:r>
      <w:r w:rsidRPr="00CD05A8">
        <w:rPr>
          <w:rFonts w:ascii="Noto Serif Light" w:hAnsi="Noto Serif Light" w:cs="Noto Serif Light"/>
          <w:vertAlign w:val="superscript"/>
        </w:rPr>
        <w:t>1</w:t>
      </w:r>
    </w:p>
    <w:p w14:paraId="6F77D4EE" w14:textId="77777777" w:rsidR="00CE1F6A" w:rsidRDefault="00CE1F6A" w:rsidP="00CE1F6A">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Molde University College, Molde, Norway</w:t>
      </w:r>
    </w:p>
    <w:p w14:paraId="63309E67" w14:textId="77777777" w:rsidR="00CE1F6A" w:rsidRDefault="00CE1F6A" w:rsidP="00CE1F6A">
      <w:pPr>
        <w:pStyle w:val="AbstractBookBaseParagraph"/>
        <w:rPr>
          <w:rStyle w:val="AbstractBookBaseCharacterStyle"/>
          <w:rFonts w:ascii="Noto Serif Light" w:hAnsi="Noto Serif Light" w:cs="Noto Serif Light"/>
        </w:rPr>
      </w:pPr>
    </w:p>
    <w:p w14:paraId="5B39BDA4" w14:textId="77777777" w:rsidR="00CE1F6A" w:rsidRPr="00103F5E" w:rsidRDefault="00CE1F6A" w:rsidP="00CE1F6A">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512D2FD1"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In recent years, economic geographers have shown an increasing interest in the power of narratives, visions and imaginaries (Benner, 2024; Crawford et al., 2026; Gong, 2024). This has been called an ideational turn (Benner, 2024). The interest in ideational elements is growing, but these themes remain undertheorized in economic geography. For example, it remains unclear how collective imaginaries might inhibit or enable paths for future development. This paper aims to address this knowledge gap by conceptualizing how collective future-oriented imaginaries are used to enable or constrain directions for path development.</w:t>
      </w:r>
    </w:p>
    <w:p w14:paraId="4D904CB3" w14:textId="77777777" w:rsidR="00CE1F6A" w:rsidRPr="00CD05A8" w:rsidRDefault="00CE1F6A" w:rsidP="00CE1F6A">
      <w:pPr>
        <w:pStyle w:val="AbstractBookBaseParagraph"/>
        <w:rPr>
          <w:rFonts w:ascii="Noto Serif Light" w:hAnsi="Noto Serif Light" w:cs="Noto Serif Light"/>
        </w:rPr>
      </w:pPr>
    </w:p>
    <w:p w14:paraId="33DB5ED2"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Societal transitions are shaped by collective imaginations of the future (Rohracher &amp; Konrad, 2026). Similarly, innovation is shaped by future oriented imagination (Borup et al., 2006). Thus, as the impact and severity of ecological degradation and climate change is continuously increasing (IPBES, 2019; IPCC, 2023), and a transition towards sustainability is ever more pressing, how societies transition and change to address these structural issues is affected by how tomorrow’s societies are collectively imagined (Rohracher &amp; Konrad, 2026). In other words, if human societies are to undergo a just transition towards sustainability, contemporary societies must imagine futures that are just and confined to planetary boundaries and find paths towards such futures.</w:t>
      </w:r>
    </w:p>
    <w:p w14:paraId="01D1786F" w14:textId="77777777" w:rsidR="00CE1F6A" w:rsidRPr="00CD05A8" w:rsidRDefault="00CE1F6A" w:rsidP="00CE1F6A">
      <w:pPr>
        <w:pStyle w:val="AbstractBookBaseParagraph"/>
        <w:rPr>
          <w:rFonts w:ascii="Noto Serif Light" w:hAnsi="Noto Serif Light" w:cs="Noto Serif Light"/>
        </w:rPr>
      </w:pPr>
    </w:p>
    <w:p w14:paraId="5C05DB24"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A promising direction for economic geographers seeking to develop future-oriented approaches to economic geography is by interacting with transition studies (Binz et al., 2025). Especially sociotechnical scholars have studied the interrelation between narratives, imaginaries and visions with institutional and technological arrangements for long (Hendriks et al., 2025; Jasanoff, 2004; Jasanoff &amp; Kim, 2009; Rohracher &amp; Konrad, 2026). This paper will formulate a novel concept that integrates elements of sociotechnical studies in an economic geographical conceptualization of future path development. The concept introduced is named bounded directionality. Bounded directionality integrates insights concerning sociotechnical imaginaries and transition studies discussion on directionality into an economic geographical understanding of how path development is shaped by geographically anchored future imaginaries. </w:t>
      </w:r>
    </w:p>
    <w:p w14:paraId="67B4E359" w14:textId="77777777" w:rsidR="00CE1F6A" w:rsidRPr="00CD05A8" w:rsidRDefault="00CE1F6A" w:rsidP="00CE1F6A">
      <w:pPr>
        <w:pStyle w:val="AbstractBookBaseParagraph"/>
        <w:rPr>
          <w:rFonts w:ascii="Noto Serif Light" w:hAnsi="Noto Serif Light" w:cs="Noto Serif Light"/>
        </w:rPr>
      </w:pPr>
    </w:p>
    <w:p w14:paraId="2182B410"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Sociotechnical imaginaries are defined as “collectively held, institutionally stabilized, and publicly performed visions of desirable futures, animated by shared understandings of forms of social life and social order attainable through, and supportive of advances in science and technology” (Jasanoff, 2015, p. 4). Sociotechnical imaginaries is a concept that has received an increasing amount of attention in the last years, and is related to STS (Hendriks et al., 2025). The concept was first introduced by Jasanoff and Kim (2009), in their study of how policies and institutions regarding nuclear energy development is influenced by future oriented visions. They found that the radically different paths chosen in USA and South Korea for development of nuclear energy were influenced by the predominant collective idea in the public concerning nuclear power.</w:t>
      </w:r>
    </w:p>
    <w:p w14:paraId="2E427E6A" w14:textId="77777777" w:rsidR="00CE1F6A" w:rsidRPr="00CD05A8" w:rsidRDefault="00CE1F6A" w:rsidP="00CE1F6A">
      <w:pPr>
        <w:pStyle w:val="AbstractBookBaseParagraph"/>
        <w:rPr>
          <w:rFonts w:ascii="Noto Serif Light" w:hAnsi="Noto Serif Light" w:cs="Noto Serif Light"/>
        </w:rPr>
      </w:pPr>
    </w:p>
    <w:p w14:paraId="47F86F9D"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The term directionality stems from innovation policy research, and means to “contribute to a particular direction of transformative change” (Parks, 2022, p. 1). This can mean to give innovation a particular direction, that systems develop in particular directions, or a combination (de Graaff et al., 2025). Evolutionary economic geography can help provide understandings of how directionality is affected by place-bound institutions, knowledge flows and routines. The elements of path dependency are highlighted by using the term “bounded”. Directionality is bounded in place and time. On the other hand, contemporary path development is not deterministic. In the study of regional transitions, it means that regional futures are neither pre-determined nor open ended. How regional sustainable futures will be configured is geographically contingent. Furthermore, bridging the gap between evolutionary economic geography and sociotechnical imaginaries can provide further understanding of how regional agents materialize, advocate, influence and are influenced by collective imaginaries. </w:t>
      </w:r>
    </w:p>
    <w:p w14:paraId="20DEC256" w14:textId="77777777" w:rsidR="00CE1F6A" w:rsidRPr="00CD05A8" w:rsidRDefault="00CE1F6A" w:rsidP="00CE1F6A">
      <w:pPr>
        <w:pStyle w:val="AbstractBookBaseParagraph"/>
        <w:rPr>
          <w:rFonts w:ascii="Noto Serif Light" w:hAnsi="Noto Serif Light" w:cs="Noto Serif Light"/>
        </w:rPr>
      </w:pPr>
    </w:p>
    <w:p w14:paraId="1CD23117"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Path development is shaped by technology, organizational routines, institutions and culture. Similarly, the sociotechnical notion of co-production emphasizes that these same elements influence ideas, values and norms. In combination, this implies that industrial paths and sociotechnical imaginaries are interrelated and analytically coherent. Future path development can therefore be understood as a process in which ideational elements and formal structures, understood as institutions, organizations and technologies, mutually shape one another over time. The concept of bounded directionality contributes to a stronger understanding of the geographical contingencies of the imaginaries that are constructed, institutionalized and shape regional development. This is a particularly important theoretical contribution to economic geography as regions are, or should, reorient development to fit within planetary boundaries.</w:t>
      </w:r>
    </w:p>
    <w:p w14:paraId="46B1FCA6" w14:textId="77777777" w:rsidR="00CE1F6A" w:rsidRPr="00CD05A8" w:rsidRDefault="00CE1F6A" w:rsidP="00CE1F6A">
      <w:pPr>
        <w:pStyle w:val="AbstractBookBaseParagraph"/>
        <w:rPr>
          <w:rFonts w:ascii="Noto Serif Light" w:hAnsi="Noto Serif Light" w:cs="Noto Serif Light"/>
        </w:rPr>
      </w:pPr>
    </w:p>
    <w:p w14:paraId="3536361C" w14:textId="77777777" w:rsidR="00CE1F6A" w:rsidRPr="00103F5E" w:rsidRDefault="00CE1F6A" w:rsidP="00CE1F6A">
      <w:pPr>
        <w:pStyle w:val="AbstractBookBaseParagraph"/>
        <w:rPr>
          <w:rFonts w:ascii="Noto Serif Light" w:hAnsi="Noto Serif Light" w:cs="Noto Serif Light"/>
          <w:b/>
          <w:bCs/>
        </w:rPr>
      </w:pPr>
      <w:r>
        <w:rPr>
          <w:rFonts w:ascii="Noto Serif Light" w:hAnsi="Noto Serif Light" w:cs="Noto Serif Light"/>
          <w:b/>
          <w:bCs/>
        </w:rPr>
        <w:t>References</w:t>
      </w:r>
    </w:p>
    <w:p w14:paraId="7BC6A6C9" w14:textId="77777777" w:rsidR="00CE1F6A" w:rsidRPr="00CD05A8" w:rsidRDefault="00CE1F6A" w:rsidP="00CE1F6A">
      <w:pPr>
        <w:pStyle w:val="AbstractBookBaseParagraph"/>
        <w:numPr>
          <w:ilvl w:val="0"/>
          <w:numId w:val="34"/>
        </w:numPr>
        <w:rPr>
          <w:rFonts w:ascii="Noto Serif Light" w:hAnsi="Noto Serif Light" w:cs="Noto Serif Light"/>
        </w:rPr>
      </w:pPr>
      <w:r w:rsidRPr="00CD05A8">
        <w:rPr>
          <w:rFonts w:ascii="Noto Serif Light" w:hAnsi="Noto Serif Light" w:cs="Noto Serif Light"/>
        </w:rPr>
        <w:t xml:space="preserve">Benner, M. (2024). An ideational turn in economic geography? Progress in Economic Geography, 2(1), 100014. https://doi.org/https://doi.org/10.1016/j.peg.2024.100014 </w:t>
      </w:r>
    </w:p>
    <w:p w14:paraId="0EF96C53" w14:textId="77777777" w:rsidR="00CE1F6A" w:rsidRPr="00CD05A8" w:rsidRDefault="00CE1F6A" w:rsidP="00CE1F6A">
      <w:pPr>
        <w:pStyle w:val="AbstractBookBaseParagraph"/>
        <w:numPr>
          <w:ilvl w:val="0"/>
          <w:numId w:val="34"/>
        </w:numPr>
        <w:rPr>
          <w:rFonts w:ascii="Noto Serif Light" w:hAnsi="Noto Serif Light" w:cs="Noto Serif Light"/>
        </w:rPr>
      </w:pPr>
      <w:r w:rsidRPr="00CD05A8">
        <w:rPr>
          <w:rFonts w:ascii="Noto Serif Light" w:hAnsi="Noto Serif Light" w:cs="Noto Serif Light"/>
        </w:rPr>
        <w:t xml:space="preserve">Binz, C., Coenen, L., Frenken, K., Murphy, J. T., Strambach, S., Trippl, M., &amp; Truffer, B. (2025). Exploring the Economic Geographies of Sustainability Transitions: Commentary and Agenda. Economic Geography, 101(1), 1-27. https://doi.org/10.1080/00130095.2024.2445530 </w:t>
      </w:r>
    </w:p>
    <w:p w14:paraId="11BD7702" w14:textId="77777777" w:rsidR="00CE1F6A" w:rsidRPr="00CD05A8" w:rsidRDefault="00CE1F6A" w:rsidP="00CE1F6A">
      <w:pPr>
        <w:pStyle w:val="AbstractBookBaseParagraph"/>
        <w:numPr>
          <w:ilvl w:val="0"/>
          <w:numId w:val="34"/>
        </w:numPr>
        <w:rPr>
          <w:rFonts w:ascii="Noto Serif Light" w:hAnsi="Noto Serif Light" w:cs="Noto Serif Light"/>
        </w:rPr>
      </w:pPr>
      <w:r w:rsidRPr="00CD05A8">
        <w:rPr>
          <w:rFonts w:ascii="Noto Serif Light" w:hAnsi="Noto Serif Light" w:cs="Noto Serif Light"/>
        </w:rPr>
        <w:t xml:space="preserve">Borup, M., Brown, N., Konrad, K., &amp; Van Lente, H. (2006). The sociology of expectations in science and technology. Technology Analysis &amp; Strategic Management, 18(3-4), 285-298. https://doi.org/10.1080/09537320600777002 </w:t>
      </w:r>
    </w:p>
    <w:p w14:paraId="2C8B4CD0" w14:textId="77777777" w:rsidR="00CE1F6A" w:rsidRPr="00CD05A8" w:rsidRDefault="00CE1F6A" w:rsidP="00CE1F6A">
      <w:pPr>
        <w:pStyle w:val="AbstractBookBaseParagraph"/>
        <w:numPr>
          <w:ilvl w:val="0"/>
          <w:numId w:val="34"/>
        </w:numPr>
        <w:rPr>
          <w:rFonts w:ascii="Noto Serif Light" w:hAnsi="Noto Serif Light" w:cs="Noto Serif Light"/>
        </w:rPr>
      </w:pPr>
      <w:r w:rsidRPr="00CD05A8">
        <w:rPr>
          <w:rFonts w:ascii="Noto Serif Light" w:hAnsi="Noto Serif Light" w:cs="Noto Serif Light"/>
        </w:rPr>
        <w:t xml:space="preserve">Crawford, G., Christiansen, J., &amp; Rojas-Marchini, F. (2026). Developing methods for future-gazing economic geographies. Environment and Planning A: Economy and Space, 58(2), 303-311. https://doi.org/10.1177/0308518x251347428 </w:t>
      </w:r>
    </w:p>
    <w:p w14:paraId="770E8D2B" w14:textId="77777777" w:rsidR="00CE1F6A" w:rsidRPr="00CD05A8" w:rsidRDefault="00CE1F6A" w:rsidP="00CE1F6A">
      <w:pPr>
        <w:pStyle w:val="AbstractBookBaseParagraph"/>
        <w:numPr>
          <w:ilvl w:val="0"/>
          <w:numId w:val="34"/>
        </w:numPr>
        <w:rPr>
          <w:rFonts w:ascii="Noto Serif Light" w:hAnsi="Noto Serif Light" w:cs="Noto Serif Light"/>
        </w:rPr>
      </w:pPr>
      <w:r w:rsidRPr="00CD05A8">
        <w:rPr>
          <w:rFonts w:ascii="Noto Serif Light" w:hAnsi="Noto Serif Light" w:cs="Noto Serif Light"/>
        </w:rPr>
        <w:t xml:space="preserve">de Graaff, S., Wanzenböck, I., &amp; Frenken, K. (2025). The politics of directionality in innovation policy through the lens of policy process frameworks. Science and Public Policy, 52(3), 418-432. https://doi.org/10.1093/scipol/scae083 </w:t>
      </w:r>
    </w:p>
    <w:p w14:paraId="044AA103" w14:textId="77777777" w:rsidR="00CE1F6A" w:rsidRPr="00CD05A8" w:rsidRDefault="00CE1F6A" w:rsidP="00CE1F6A">
      <w:pPr>
        <w:pStyle w:val="AbstractBookBaseParagraph"/>
        <w:numPr>
          <w:ilvl w:val="0"/>
          <w:numId w:val="34"/>
        </w:numPr>
        <w:rPr>
          <w:rFonts w:ascii="Noto Serif Light" w:hAnsi="Noto Serif Light" w:cs="Noto Serif Light"/>
        </w:rPr>
      </w:pPr>
      <w:r w:rsidRPr="00CD05A8">
        <w:rPr>
          <w:rFonts w:ascii="Noto Serif Light" w:hAnsi="Noto Serif Light" w:cs="Noto Serif Light"/>
        </w:rPr>
        <w:t xml:space="preserve">Gong, H. (2024). Futures should matter (more): Toward a forward-looking perspective in economic geography. Progress in Human Geography, 48(3), 292-315. </w:t>
      </w:r>
    </w:p>
    <w:p w14:paraId="3E0FA344" w14:textId="77777777" w:rsidR="00CE1F6A" w:rsidRPr="00CD05A8" w:rsidRDefault="00CE1F6A" w:rsidP="00CE1F6A">
      <w:pPr>
        <w:pStyle w:val="AbstractBookBaseParagraph"/>
        <w:numPr>
          <w:ilvl w:val="0"/>
          <w:numId w:val="34"/>
        </w:numPr>
        <w:rPr>
          <w:rFonts w:ascii="Noto Serif Light" w:hAnsi="Noto Serif Light" w:cs="Noto Serif Light"/>
        </w:rPr>
      </w:pPr>
      <w:r w:rsidRPr="00CD05A8">
        <w:rPr>
          <w:rFonts w:ascii="Noto Serif Light" w:hAnsi="Noto Serif Light" w:cs="Noto Serif Light"/>
        </w:rPr>
        <w:lastRenderedPageBreak/>
        <w:t xml:space="preserve">Hendriks, A., Karhunmaa, K., &amp; Delvenne, P. (2025). Shaping the future: A conceptual review of sociotechnical imaginaries. Futures, 170, 103607. https://doi.org/https://doi.org/10.1016/j.futures.2025.103607 </w:t>
      </w:r>
    </w:p>
    <w:p w14:paraId="78F743DD" w14:textId="77777777" w:rsidR="00CE1F6A" w:rsidRPr="00CD05A8" w:rsidRDefault="00CE1F6A" w:rsidP="00CE1F6A">
      <w:pPr>
        <w:pStyle w:val="AbstractBookBaseParagraph"/>
        <w:numPr>
          <w:ilvl w:val="0"/>
          <w:numId w:val="34"/>
        </w:numPr>
        <w:rPr>
          <w:rFonts w:ascii="Noto Serif Light" w:hAnsi="Noto Serif Light" w:cs="Noto Serif Light"/>
        </w:rPr>
      </w:pPr>
      <w:r w:rsidRPr="00CD05A8">
        <w:rPr>
          <w:rFonts w:ascii="Noto Serif Light" w:hAnsi="Noto Serif Light" w:cs="Noto Serif Light"/>
        </w:rPr>
        <w:t xml:space="preserve">IPBES, B. E. (2019). Global assessment report on biodiversity and ecosystem services of the Intergovernmental Science-Policy Platform on Biodiversity and Ecosystem Services. IPBES secretariat, 1148. </w:t>
      </w:r>
    </w:p>
    <w:p w14:paraId="40F35F29" w14:textId="77777777" w:rsidR="00CE1F6A" w:rsidRPr="00CD05A8" w:rsidRDefault="00CE1F6A" w:rsidP="00CE1F6A">
      <w:pPr>
        <w:pStyle w:val="AbstractBookBaseParagraph"/>
        <w:numPr>
          <w:ilvl w:val="0"/>
          <w:numId w:val="34"/>
        </w:numPr>
        <w:rPr>
          <w:rFonts w:ascii="Noto Serif Light" w:hAnsi="Noto Serif Light" w:cs="Noto Serif Light"/>
        </w:rPr>
      </w:pPr>
      <w:r w:rsidRPr="00CD05A8">
        <w:rPr>
          <w:rFonts w:ascii="Noto Serif Light" w:hAnsi="Noto Serif Light" w:cs="Noto Serif Light"/>
        </w:rPr>
        <w:t xml:space="preserve">IPCC. (2023). AR6 Synthesis report. </w:t>
      </w:r>
    </w:p>
    <w:p w14:paraId="539674B2" w14:textId="77777777" w:rsidR="00CE1F6A" w:rsidRPr="00CD05A8" w:rsidRDefault="00CE1F6A" w:rsidP="00CE1F6A">
      <w:pPr>
        <w:pStyle w:val="AbstractBookBaseParagraph"/>
        <w:numPr>
          <w:ilvl w:val="0"/>
          <w:numId w:val="34"/>
        </w:numPr>
        <w:rPr>
          <w:rFonts w:ascii="Noto Serif Light" w:hAnsi="Noto Serif Light" w:cs="Noto Serif Light"/>
        </w:rPr>
      </w:pPr>
      <w:r w:rsidRPr="00CD05A8">
        <w:rPr>
          <w:rFonts w:ascii="Noto Serif Light" w:hAnsi="Noto Serif Light" w:cs="Noto Serif Light"/>
        </w:rPr>
        <w:t xml:space="preserve">Jasanoff, S. (2004). The idiom of co-production. In States of knowledge (pp. 1-12). Routledge. </w:t>
      </w:r>
    </w:p>
    <w:p w14:paraId="4E07B179" w14:textId="77777777" w:rsidR="00CE1F6A" w:rsidRPr="00CD05A8" w:rsidRDefault="00CE1F6A" w:rsidP="00CE1F6A">
      <w:pPr>
        <w:pStyle w:val="AbstractBookBaseParagraph"/>
        <w:numPr>
          <w:ilvl w:val="0"/>
          <w:numId w:val="34"/>
        </w:numPr>
        <w:rPr>
          <w:rFonts w:ascii="Noto Serif Light" w:hAnsi="Noto Serif Light" w:cs="Noto Serif Light"/>
        </w:rPr>
      </w:pPr>
      <w:r w:rsidRPr="00CD05A8">
        <w:rPr>
          <w:rFonts w:ascii="Noto Serif Light" w:hAnsi="Noto Serif Light" w:cs="Noto Serif Light"/>
        </w:rPr>
        <w:t xml:space="preserve">Jasanoff, S. (2015). Future Imperfect: Science, Technology, and the Imaginations of Modernity. In S. Jasanoff &amp; S.-H. Kim (Eds.), Dreamscapes of Modernity : Sociotechnical Imaginaries and the Fabrication of Power. University of Chicago Press. http://ebookcentral.proquest.com/lib/moldebib-ebooks/detail.action?docID=2130453 </w:t>
      </w:r>
    </w:p>
    <w:p w14:paraId="18303C83" w14:textId="77777777" w:rsidR="00CE1F6A" w:rsidRPr="00CD05A8" w:rsidRDefault="00CE1F6A" w:rsidP="00CE1F6A">
      <w:pPr>
        <w:pStyle w:val="AbstractBookBaseParagraph"/>
        <w:numPr>
          <w:ilvl w:val="0"/>
          <w:numId w:val="34"/>
        </w:numPr>
        <w:rPr>
          <w:rFonts w:ascii="Noto Serif Light" w:hAnsi="Noto Serif Light" w:cs="Noto Serif Light"/>
        </w:rPr>
      </w:pPr>
      <w:r w:rsidRPr="00CD05A8">
        <w:rPr>
          <w:rFonts w:ascii="Noto Serif Light" w:hAnsi="Noto Serif Light" w:cs="Noto Serif Light"/>
        </w:rPr>
        <w:t xml:space="preserve">Jasanoff, S., &amp; Kim, S.-H. (2009). Containing the atom: Sociotechnical imaginaries and nuclear power in the United States and South Korea. Minerva, 47, 119-146. </w:t>
      </w:r>
    </w:p>
    <w:p w14:paraId="0D8E20FE" w14:textId="77777777" w:rsidR="00CE1F6A" w:rsidRPr="00CD05A8" w:rsidRDefault="00CE1F6A" w:rsidP="00CE1F6A">
      <w:pPr>
        <w:pStyle w:val="AbstractBookBaseParagraph"/>
        <w:numPr>
          <w:ilvl w:val="0"/>
          <w:numId w:val="34"/>
        </w:numPr>
        <w:rPr>
          <w:rFonts w:ascii="Noto Serif Light" w:hAnsi="Noto Serif Light" w:cs="Noto Serif Light"/>
        </w:rPr>
      </w:pPr>
      <w:r w:rsidRPr="00CD05A8">
        <w:rPr>
          <w:rFonts w:ascii="Noto Serif Light" w:hAnsi="Noto Serif Light" w:cs="Noto Serif Light"/>
        </w:rPr>
        <w:t xml:space="preserve">Parks, D. (2022). Directionality in transformative innovation policy: who is giving directions? Environmental Innovation and Societal Transitions, 43, 1-13. https://doi.org/https://doi.org/10.1016/j.eist.2022.02.005 </w:t>
      </w:r>
    </w:p>
    <w:p w14:paraId="20947AFB" w14:textId="77777777" w:rsidR="00CE1F6A" w:rsidRPr="00CD05A8" w:rsidRDefault="00CE1F6A" w:rsidP="00CE1F6A">
      <w:pPr>
        <w:pStyle w:val="AbstractBookBaseParagraph"/>
        <w:numPr>
          <w:ilvl w:val="0"/>
          <w:numId w:val="34"/>
        </w:numPr>
        <w:rPr>
          <w:rFonts w:ascii="Noto Serif Light" w:hAnsi="Noto Serif Light" w:cs="Noto Serif Light"/>
        </w:rPr>
      </w:pPr>
      <w:r w:rsidRPr="00CD05A8">
        <w:rPr>
          <w:rFonts w:ascii="Noto Serif Light" w:hAnsi="Noto Serif Light" w:cs="Noto Serif Light"/>
        </w:rPr>
        <w:t>Rohracher, H., &amp; Konrad, K. (2026). Expectations, Visions and Imaginaries: A Subtle Force in Transition Processes. In J. Wesche &amp; A. Hendriks (Eds.), Introduction to Sustainability Transitions Research (pp. 241-258). Cambridge University Press. https://doi.org/DOI: 10.1017/9781009437318.018</w:t>
      </w:r>
    </w:p>
    <w:p w14:paraId="7B3EA654" w14:textId="77777777" w:rsidR="00CE1F6A" w:rsidRPr="00CD05A8" w:rsidRDefault="00CE1F6A" w:rsidP="00CE1F6A">
      <w:pPr>
        <w:pStyle w:val="AbstractBookBaseParagraph"/>
        <w:rPr>
          <w:rFonts w:ascii="Noto Serif Light" w:hAnsi="Noto Serif Light" w:cs="Noto Serif Light"/>
        </w:rPr>
      </w:pPr>
    </w:p>
    <w:p w14:paraId="2D7FD8BB"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br w:type="page"/>
      </w:r>
    </w:p>
    <w:p w14:paraId="161899B5" w14:textId="72BEE7BE" w:rsidR="00CE1F6A" w:rsidRDefault="00D43043" w:rsidP="00CE1F6A">
      <w:pPr>
        <w:pStyle w:val="ABSubhead"/>
      </w:pPr>
      <w:r>
        <w:lastRenderedPageBreak/>
        <w:t xml:space="preserve">O3. </w:t>
      </w:r>
      <w:r w:rsidR="00CE1F6A" w:rsidRPr="00CD05A8">
        <w:t>Governing Futures: A Geography of Expectations for Future-Oriented Innovation Policy</w:t>
      </w:r>
    </w:p>
    <w:p w14:paraId="48CD66E1" w14:textId="77777777" w:rsidR="00CE1F6A" w:rsidRPr="006F57EB" w:rsidRDefault="00CE1F6A" w:rsidP="00CE1F6A">
      <w:pPr>
        <w:pStyle w:val="ABParagraph"/>
      </w:pPr>
    </w:p>
    <w:p w14:paraId="0AF0B370" w14:textId="77777777" w:rsidR="00CE1F6A" w:rsidRPr="00CD05A8" w:rsidRDefault="00CE1F6A" w:rsidP="00CE1F6A">
      <w:pPr>
        <w:pStyle w:val="AbstractBookAuthors"/>
        <w:rPr>
          <w:rFonts w:ascii="Noto Serif Light" w:hAnsi="Noto Serif Light" w:cs="Noto Serif Light"/>
        </w:rPr>
      </w:pPr>
      <w:r w:rsidRPr="00CD05A8">
        <w:rPr>
          <w:rStyle w:val="AbstractBookPresentingAuthor"/>
          <w:rFonts w:ascii="Noto Serif Light" w:hAnsi="Noto Serif Light" w:cs="Noto Serif Light"/>
        </w:rPr>
        <w:t>Professor Huiwen Gong</w:t>
      </w:r>
      <w:r w:rsidRPr="00CD05A8">
        <w:rPr>
          <w:rFonts w:ascii="Noto Serif Light" w:hAnsi="Noto Serif Light" w:cs="Noto Serif Light"/>
          <w:vertAlign w:val="superscript"/>
        </w:rPr>
        <w:t>1</w:t>
      </w:r>
    </w:p>
    <w:p w14:paraId="4F20802A" w14:textId="77777777" w:rsidR="00CE1F6A" w:rsidRDefault="00CE1F6A" w:rsidP="00CE1F6A">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University </w:t>
      </w:r>
      <w:r>
        <w:rPr>
          <w:rStyle w:val="AbstractBookBaseCharacterStyle"/>
          <w:rFonts w:ascii="Noto Serif Light" w:hAnsi="Noto Serif Light" w:cs="Noto Serif Light"/>
        </w:rPr>
        <w:t>o</w:t>
      </w:r>
      <w:r w:rsidRPr="00CD05A8">
        <w:rPr>
          <w:rStyle w:val="AbstractBookBaseCharacterStyle"/>
          <w:rFonts w:ascii="Noto Serif Light" w:hAnsi="Noto Serif Light" w:cs="Noto Serif Light"/>
        </w:rPr>
        <w:t>f Stavanger, Norway</w:t>
      </w:r>
    </w:p>
    <w:p w14:paraId="2CE1B91B" w14:textId="77777777" w:rsidR="00CE1F6A" w:rsidRDefault="00CE1F6A" w:rsidP="00CE1F6A">
      <w:pPr>
        <w:pStyle w:val="AbstractBookBaseParagraph"/>
        <w:rPr>
          <w:rStyle w:val="AbstractBookBaseCharacterStyle"/>
          <w:rFonts w:ascii="Noto Serif Light" w:hAnsi="Noto Serif Light" w:cs="Noto Serif Light"/>
        </w:rPr>
      </w:pPr>
    </w:p>
    <w:p w14:paraId="6A86FF39" w14:textId="77777777" w:rsidR="00CE1F6A" w:rsidRPr="006F57EB" w:rsidRDefault="00CE1F6A" w:rsidP="00CE1F6A">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57FA134F"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Futures matter because they actively shape socio-technological and economic development in the present. Responding to the theme of future-oriented innovation policies, this paper advances a geographical perspective on expectations by conceptualising them as spatial-political projects that underpin the design and implementation of such policies.</w:t>
      </w:r>
    </w:p>
    <w:p w14:paraId="2FC3A33A" w14:textId="77777777" w:rsidR="00CE1F6A" w:rsidRPr="00CD05A8" w:rsidRDefault="00CE1F6A" w:rsidP="00CE1F6A">
      <w:pPr>
        <w:pStyle w:val="AbstractBookBaseParagraph"/>
        <w:rPr>
          <w:rFonts w:ascii="Noto Serif Light" w:hAnsi="Noto Serif Light" w:cs="Noto Serif Light"/>
        </w:rPr>
      </w:pPr>
    </w:p>
    <w:p w14:paraId="7F59C6A0"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Rather than treating expectations as generic or placeless projections of the future, the paper shows how their credibility, circulation, and effects are conditioned by territorial contexts, relational positioning, and uneven power structures across space. In doing so, it speaks directly to how future-oriented innovation policies are formed, legitimised, and operationalised in practice, and why their outcomes vary significantly across regions and sectors.</w:t>
      </w:r>
    </w:p>
    <w:p w14:paraId="3225F12C" w14:textId="77777777" w:rsidR="00CE1F6A" w:rsidRPr="00CD05A8" w:rsidRDefault="00CE1F6A" w:rsidP="00CE1F6A">
      <w:pPr>
        <w:pStyle w:val="AbstractBookBaseParagraph"/>
        <w:rPr>
          <w:rFonts w:ascii="Noto Serif Light" w:hAnsi="Noto Serif Light" w:cs="Noto Serif Light"/>
        </w:rPr>
      </w:pPr>
    </w:p>
    <w:p w14:paraId="74A1E100"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To develop this argument, the paper introduces the notion of a geography of expectations (GoE) and proposes four analytical vantage points: (1) the territorial embeddedness of expectations; (2) the uneven distribution of promissory power; (3) the circulation and translation of expectations across scales; and (4) the role of expectations in structuring territorial competition and collaboration across clusters, global production networks, and geopolitical arenas. These dimensions provide a framework for analysing how policy-relevant futures are selectively constructed and stabilised, often privileging certain actors, places, and technological pathways over others.</w:t>
      </w:r>
    </w:p>
    <w:p w14:paraId="0141A9CD" w14:textId="77777777" w:rsidR="00CE1F6A" w:rsidRPr="00CD05A8" w:rsidRDefault="00CE1F6A" w:rsidP="00CE1F6A">
      <w:pPr>
        <w:pStyle w:val="AbstractBookBaseParagraph"/>
        <w:rPr>
          <w:rFonts w:ascii="Noto Serif Light" w:hAnsi="Noto Serif Light" w:cs="Noto Serif Light"/>
        </w:rPr>
      </w:pPr>
    </w:p>
    <w:p w14:paraId="4F1BC70F"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By foregrounding these spatial mechanisms, the paper contributes to debates on future-oriented innovation policies by moving beyond technocratic accounts of policy design and highlighting their inherently political and geographically uneven nature. It argues that policy interventions need to engage more explicitly with the spatial production and contestation of expectations, recognising that futures are not neutral targets but strategic instruments that shape development trajectories and power relations.</w:t>
      </w:r>
    </w:p>
    <w:p w14:paraId="77B05D05" w14:textId="77777777" w:rsidR="00CE1F6A" w:rsidRPr="00CD05A8" w:rsidRDefault="00CE1F6A" w:rsidP="00CE1F6A">
      <w:pPr>
        <w:pStyle w:val="AbstractBookBaseParagraph"/>
        <w:rPr>
          <w:rFonts w:ascii="Noto Serif Light" w:hAnsi="Noto Serif Light" w:cs="Noto Serif Light"/>
        </w:rPr>
      </w:pPr>
    </w:p>
    <w:p w14:paraId="43ED7490" w14:textId="77777777" w:rsidR="00CE1F6A" w:rsidRPr="00CD05A8" w:rsidRDefault="00CE1F6A" w:rsidP="00CE1F6A">
      <w:pPr>
        <w:pStyle w:val="AbstractBookBaseParagraph"/>
        <w:rPr>
          <w:rFonts w:ascii="Noto Serif Light" w:hAnsi="Noto Serif Light" w:cs="Noto Serif Light"/>
        </w:rPr>
      </w:pPr>
    </w:p>
    <w:p w14:paraId="079D99F3"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br w:type="page"/>
      </w:r>
    </w:p>
    <w:p w14:paraId="6F5B979B" w14:textId="7E2358DA" w:rsidR="00CE1F6A" w:rsidRDefault="00D43043" w:rsidP="00CE1F6A">
      <w:pPr>
        <w:pStyle w:val="ABSubhead"/>
      </w:pPr>
      <w:r>
        <w:lastRenderedPageBreak/>
        <w:t xml:space="preserve">O4. </w:t>
      </w:r>
      <w:r w:rsidR="00CE1F6A" w:rsidRPr="00CD05A8">
        <w:t xml:space="preserve">Adaptive Capacity, Regional Innovation and Future-Focussed Policies: Lessons from Communities in Transition </w:t>
      </w:r>
    </w:p>
    <w:p w14:paraId="27D4167D" w14:textId="77777777" w:rsidR="00CE1F6A" w:rsidRPr="00220128" w:rsidRDefault="00CE1F6A" w:rsidP="00CE1F6A">
      <w:pPr>
        <w:pStyle w:val="ABParagraph"/>
      </w:pPr>
    </w:p>
    <w:p w14:paraId="0E6F7295" w14:textId="77777777" w:rsidR="00CE1F6A" w:rsidRPr="00CD05A8" w:rsidRDefault="00CE1F6A" w:rsidP="00CE1F6A">
      <w:pPr>
        <w:pStyle w:val="AbstractBookAuthors"/>
        <w:rPr>
          <w:rFonts w:ascii="Noto Serif Light" w:hAnsi="Noto Serif Light" w:cs="Noto Serif Light"/>
        </w:rPr>
      </w:pPr>
      <w:r w:rsidRPr="00CD05A8">
        <w:rPr>
          <w:rStyle w:val="AbstractBookPresentingAuthor"/>
          <w:rFonts w:ascii="Noto Serif Light" w:hAnsi="Noto Serif Light" w:cs="Noto Serif Light"/>
        </w:rPr>
        <w:t>Prof</w:t>
      </w:r>
      <w:r>
        <w:rPr>
          <w:rStyle w:val="AbstractBookPresentingAuthor"/>
          <w:rFonts w:ascii="Noto Serif Light" w:hAnsi="Noto Serif Light" w:cs="Noto Serif Light"/>
        </w:rPr>
        <w:t xml:space="preserve">essor </w:t>
      </w:r>
      <w:r w:rsidRPr="00CD05A8">
        <w:rPr>
          <w:rStyle w:val="AbstractBookPresentingAuthor"/>
          <w:rFonts w:ascii="Noto Serif Light" w:hAnsi="Noto Serif Light" w:cs="Noto Serif Light"/>
        </w:rPr>
        <w:t>Andrew Beer</w:t>
      </w:r>
      <w:r w:rsidRPr="00CD05A8">
        <w:rPr>
          <w:rFonts w:ascii="Noto Serif Light" w:hAnsi="Noto Serif Light" w:cs="Noto Serif Light"/>
          <w:vertAlign w:val="superscript"/>
        </w:rPr>
        <w:t>1</w:t>
      </w:r>
    </w:p>
    <w:p w14:paraId="648B884E" w14:textId="77777777" w:rsidR="00CE1F6A" w:rsidRDefault="00CE1F6A" w:rsidP="00CE1F6A">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Adelaide University, Lower Mitcham, Australia</w:t>
      </w:r>
    </w:p>
    <w:p w14:paraId="57F911CB" w14:textId="77777777" w:rsidR="00CE1F6A" w:rsidRDefault="00CE1F6A" w:rsidP="00CE1F6A">
      <w:pPr>
        <w:pStyle w:val="AbstractBookBaseParagraph"/>
        <w:rPr>
          <w:rStyle w:val="AbstractBookBaseCharacterStyle"/>
          <w:rFonts w:ascii="Noto Serif Light" w:hAnsi="Noto Serif Light" w:cs="Noto Serif Light"/>
        </w:rPr>
      </w:pPr>
    </w:p>
    <w:p w14:paraId="092C8373" w14:textId="77777777" w:rsidR="00CE1F6A" w:rsidRPr="00220128" w:rsidRDefault="00CE1F6A" w:rsidP="00CE1F6A">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3220540C" w14:textId="35C5EFE8"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Across the globe communities focussed on fossil fuels are confronted by the ever quickening pace of transformation as new energy forms emerge and existing industries are confronted by the prospect of closure.  Many regions struggle to identify new economic futures, or are burdened by wider governmental frameworks that limit their ability to act.  In some instances change is impeded by populism, which both challenges the need for an energy transition and generates barriers to transformation.  This presentation examines the role of innovation policies and strategies in communities undergoing substantial economic transformation in Australia.  Drawing upon case studies in both New South Wales and South Australia it argues that innovation has become a more prominent theme in economic development policies and their implementation.  In a number of instances the focus on innovation has been coupled to emerging industry policies at the national and sub national scales, while also influenced by labour organisations and politics, strategies for skills acquisition and a changing political landscape. </w:t>
      </w:r>
      <w:r w:rsidRPr="00CD05A8">
        <w:rPr>
          <w:rFonts w:ascii="Noto Serif Light" w:hAnsi="Noto Serif Light" w:cs="Noto Serif Light"/>
        </w:rPr>
        <w:br w:type="page"/>
      </w:r>
    </w:p>
    <w:p w14:paraId="32BD89EE" w14:textId="59223316" w:rsidR="00CE1F6A" w:rsidRPr="00D047BB" w:rsidRDefault="00D43043" w:rsidP="00D047BB">
      <w:pPr>
        <w:pStyle w:val="ABSubhead"/>
      </w:pPr>
      <w:r w:rsidRPr="00D047BB">
        <w:lastRenderedPageBreak/>
        <w:t xml:space="preserve">O5. </w:t>
      </w:r>
      <w:r w:rsidR="00D047BB" w:rsidRPr="00D047BB">
        <w:t>Overcoming Peripherality: How Government-backed Venture Capital Funds Shape Network Dynamics in Entrepreneurial Ecosystems in Peripheral Places</w:t>
      </w:r>
    </w:p>
    <w:p w14:paraId="2C613047" w14:textId="77777777" w:rsidR="00CE1F6A" w:rsidRPr="00723181" w:rsidRDefault="00CE1F6A" w:rsidP="00CE1F6A">
      <w:pPr>
        <w:pStyle w:val="ABParagraph"/>
      </w:pPr>
    </w:p>
    <w:p w14:paraId="2785CBD7" w14:textId="77777777" w:rsidR="00CE1F6A" w:rsidRPr="00723181" w:rsidRDefault="00CE1F6A" w:rsidP="00CE1F6A">
      <w:pPr>
        <w:pStyle w:val="AbstractBookAuthors"/>
        <w:rPr>
          <w:rFonts w:ascii="Noto Serif Light" w:hAnsi="Noto Serif Light" w:cs="Noto Serif Light"/>
        </w:rPr>
      </w:pPr>
      <w:r w:rsidRPr="00723181">
        <w:rPr>
          <w:rStyle w:val="AbstractBookPresentingAuthor"/>
          <w:rFonts w:ascii="Noto Serif Light" w:hAnsi="Noto Serif Light" w:cs="Noto Serif Light"/>
        </w:rPr>
        <w:t>Jaun Hwang</w:t>
      </w:r>
      <w:r w:rsidRPr="00723181">
        <w:rPr>
          <w:rFonts w:ascii="Noto Serif Light" w:hAnsi="Noto Serif Light" w:cs="Noto Serif Light"/>
          <w:vertAlign w:val="superscript"/>
        </w:rPr>
        <w:t>1</w:t>
      </w:r>
    </w:p>
    <w:p w14:paraId="52E9CBD9" w14:textId="77777777" w:rsidR="00CE1F6A" w:rsidRPr="00723181" w:rsidRDefault="00CE1F6A" w:rsidP="00CE1F6A">
      <w:pPr>
        <w:pStyle w:val="AbstractBookBaseParagraph"/>
        <w:rPr>
          <w:rStyle w:val="AbstractBookBaseCharacterStyle"/>
          <w:rFonts w:ascii="Noto Serif Light" w:hAnsi="Noto Serif Light" w:cs="Noto Serif Light"/>
        </w:rPr>
      </w:pPr>
      <w:r w:rsidRPr="00723181">
        <w:rPr>
          <w:rFonts w:ascii="Noto Serif Light" w:hAnsi="Noto Serif Light" w:cs="Noto Serif Light"/>
          <w:vertAlign w:val="superscript"/>
        </w:rPr>
        <w:t>1</w:t>
      </w:r>
      <w:r w:rsidRPr="00723181">
        <w:rPr>
          <w:rStyle w:val="AbstractBookBaseCharacterStyle"/>
          <w:rFonts w:ascii="Noto Serif Light" w:hAnsi="Noto Serif Light" w:cs="Noto Serif Light"/>
        </w:rPr>
        <w:t>Newcastle University, Newcastle upon Tyne, United Kingdom</w:t>
      </w:r>
    </w:p>
    <w:p w14:paraId="6E3E2E61" w14:textId="77777777" w:rsidR="00CE1F6A" w:rsidRPr="00723181" w:rsidRDefault="00CE1F6A" w:rsidP="00CE1F6A">
      <w:pPr>
        <w:pStyle w:val="AbstractBookBaseParagraph"/>
        <w:rPr>
          <w:rStyle w:val="AbstractBookBaseCharacterStyle"/>
          <w:rFonts w:ascii="Noto Serif Light" w:hAnsi="Noto Serif Light" w:cs="Noto Serif Light"/>
        </w:rPr>
      </w:pPr>
    </w:p>
    <w:p w14:paraId="62862451" w14:textId="77777777" w:rsidR="00CE1F6A" w:rsidRPr="00723181" w:rsidRDefault="00CE1F6A" w:rsidP="00CE1F6A">
      <w:pPr>
        <w:pStyle w:val="AbstractBookBaseParagraph"/>
        <w:rPr>
          <w:rFonts w:ascii="Noto Serif Light" w:hAnsi="Noto Serif Light" w:cs="Noto Serif Light"/>
          <w:b/>
          <w:bCs/>
        </w:rPr>
      </w:pPr>
      <w:r w:rsidRPr="00723181">
        <w:rPr>
          <w:rStyle w:val="AbstractBookBaseCharacterStyle"/>
          <w:rFonts w:ascii="Noto Serif Light" w:hAnsi="Noto Serif Light" w:cs="Noto Serif Light"/>
          <w:b/>
          <w:bCs/>
        </w:rPr>
        <w:t>Abstract:</w:t>
      </w:r>
    </w:p>
    <w:p w14:paraId="4F2C129D" w14:textId="77777777" w:rsidR="00CE1F6A" w:rsidRDefault="00CE1F6A" w:rsidP="00CE1F6A">
      <w:pPr>
        <w:pStyle w:val="ABParagraph"/>
      </w:pPr>
    </w:p>
    <w:p w14:paraId="68D2ED0C" w14:textId="77777777" w:rsidR="00CE1F6A" w:rsidRPr="00723181" w:rsidRDefault="00CE1F6A" w:rsidP="00CE1F6A">
      <w:pPr>
        <w:pStyle w:val="ABParagraph"/>
        <w:rPr>
          <w:b/>
          <w:bCs/>
        </w:rPr>
      </w:pPr>
      <w:r w:rsidRPr="00723181">
        <w:rPr>
          <w:b/>
          <w:bCs/>
        </w:rPr>
        <w:t>Research Objective</w:t>
      </w:r>
    </w:p>
    <w:p w14:paraId="7EDCC14B" w14:textId="77777777" w:rsidR="00CE1F6A" w:rsidRDefault="00CE1F6A" w:rsidP="00CE1F6A">
      <w:pPr>
        <w:pStyle w:val="ABParagraph"/>
      </w:pPr>
      <w:r>
        <w:t>The study investigates how EEs in peripheral places build external connections with other EEs to tackle the challenges of peripherality and examines the government's role in this process.</w:t>
      </w:r>
    </w:p>
    <w:p w14:paraId="75F05593" w14:textId="77777777" w:rsidR="00CE1F6A" w:rsidRDefault="00CE1F6A" w:rsidP="00CE1F6A">
      <w:pPr>
        <w:pStyle w:val="ABParagraph"/>
      </w:pPr>
    </w:p>
    <w:p w14:paraId="200FE802" w14:textId="77777777" w:rsidR="00CE1F6A" w:rsidRPr="00723181" w:rsidRDefault="00CE1F6A" w:rsidP="00CE1F6A">
      <w:pPr>
        <w:pStyle w:val="ABParagraph"/>
        <w:rPr>
          <w:b/>
          <w:bCs/>
        </w:rPr>
      </w:pPr>
      <w:r w:rsidRPr="00723181">
        <w:rPr>
          <w:b/>
          <w:bCs/>
        </w:rPr>
        <w:t>Theoretical Approach</w:t>
      </w:r>
    </w:p>
    <w:p w14:paraId="1D445518" w14:textId="77777777" w:rsidR="00CE1F6A" w:rsidRDefault="00CE1F6A" w:rsidP="00CE1F6A">
      <w:pPr>
        <w:pStyle w:val="ABParagraph"/>
      </w:pPr>
      <w:r>
        <w:t>Although the concept of EE has gained increasing popularity among academics and policymakers, EEs in the periphery still remain overlooked. Focusing on EEs in small, peripheral areas opens an important new research avenue, such as how their limited local resources shape distinctive development pathways that rely heavily on accessing knowledge and capital from external EEs. Also, the perspective highlights the critical role of governments in bridging economic actors in small, peripheral areas with those in large, core areas.</w:t>
      </w:r>
    </w:p>
    <w:p w14:paraId="61812E51" w14:textId="77777777" w:rsidR="00CE1F6A" w:rsidRDefault="00CE1F6A" w:rsidP="00CE1F6A">
      <w:pPr>
        <w:pStyle w:val="ABParagraph"/>
      </w:pPr>
    </w:p>
    <w:p w14:paraId="33DAC6E6" w14:textId="77777777" w:rsidR="00CE1F6A" w:rsidRDefault="00CE1F6A" w:rsidP="00CE1F6A">
      <w:pPr>
        <w:pStyle w:val="ABParagraph"/>
      </w:pPr>
      <w:r>
        <w:t>An essential foundation supporting the government’s role in fostering cross-ecosystem connections and networks is government-backed venture capital funding. Public funding can diminish uncertainty and mistrust between entrepreneurs and investors across cities, helping to bridge the equity gap that more severely impacts startups in peripheral EEs. Especially when government-backed venture capital programs operate as hybrid funds that systematically co-invest with private venture capitalists and rely on private-sector fund management, they create multi-directional networks involving the government, private investors, and startups, rather than a bilateral relationship between the government and startups or a single monetary injection. Through these joint investment structures, government-backed venture capital funds facilitate broader and more complex network formation among actors in different EEs. In particular, government-backed venture capital funds may play a more significant role in peripheral areas that lack local anchor investors and are less appealing to external investors. The signalling effect alleviates private venture capitalists’ information asymmetry about startups in the periphery, thereby attracting more investors.</w:t>
      </w:r>
    </w:p>
    <w:p w14:paraId="6B0D277D" w14:textId="77777777" w:rsidR="00CE1F6A" w:rsidRDefault="00CE1F6A" w:rsidP="00CE1F6A">
      <w:pPr>
        <w:pStyle w:val="ABParagraph"/>
      </w:pPr>
    </w:p>
    <w:p w14:paraId="72B0E09E" w14:textId="77777777" w:rsidR="00CE1F6A" w:rsidRDefault="00CE1F6A" w:rsidP="00CE1F6A">
      <w:pPr>
        <w:pStyle w:val="ABParagraph"/>
      </w:pPr>
      <w:r>
        <w:t>Building on this perspective, the paper explores how government-backed venture capital funds facilitate and influence network dynamics of EEs in peripheral places.</w:t>
      </w:r>
    </w:p>
    <w:p w14:paraId="06A5F122" w14:textId="77777777" w:rsidR="00CE1F6A" w:rsidRDefault="00CE1F6A" w:rsidP="00CE1F6A">
      <w:pPr>
        <w:pStyle w:val="ABParagraph"/>
      </w:pPr>
    </w:p>
    <w:p w14:paraId="27204FD6" w14:textId="77777777" w:rsidR="00CE1F6A" w:rsidRPr="00723181" w:rsidRDefault="00CE1F6A" w:rsidP="00CE1F6A">
      <w:pPr>
        <w:pStyle w:val="ABParagraph"/>
        <w:rPr>
          <w:b/>
          <w:bCs/>
        </w:rPr>
      </w:pPr>
      <w:r w:rsidRPr="00723181">
        <w:rPr>
          <w:b/>
          <w:bCs/>
        </w:rPr>
        <w:t>Methodology</w:t>
      </w:r>
    </w:p>
    <w:p w14:paraId="1DA39E36" w14:textId="77777777" w:rsidR="00CE1F6A" w:rsidRDefault="00CE1F6A" w:rsidP="00CE1F6A">
      <w:pPr>
        <w:pStyle w:val="ABParagraph"/>
      </w:pPr>
      <w:r>
        <w:t xml:space="preserve">This study conducted a case study of Pohang, a small, former industrial city in South Korea. Under the developmental state, the city has specialised in steel manufacturing since the 1960s, but since the Korean government implemented entrepreneurship policies in the late 1990s, the university-centred EE has begun to emerge and develop in the place. </w:t>
      </w:r>
    </w:p>
    <w:p w14:paraId="28F92C73" w14:textId="77777777" w:rsidR="00CE1F6A" w:rsidRDefault="00CE1F6A" w:rsidP="00CE1F6A">
      <w:pPr>
        <w:pStyle w:val="ABParagraph"/>
      </w:pPr>
    </w:p>
    <w:p w14:paraId="7A2AFF68" w14:textId="77777777" w:rsidR="00CE1F6A" w:rsidRDefault="00CE1F6A" w:rsidP="00CE1F6A">
      <w:pPr>
        <w:pStyle w:val="ABParagraph"/>
      </w:pPr>
      <w:r>
        <w:t>The study utilises mixed methods for data collection and analysis. Firstly, using longitudinal firm-level venture capital investment data in Pohang from 2014 to 2024, the study applied a network analysis approach to map the in- and out-flows of venture capital in the local EE. By analysing and visualising relationships and centralities within the venture capital landscape, the analysis can reveal how the city evolves its network relationship with other cities and key actors. Secondly, interview data were collected and analysed to understand the underlying drivers of the network; for instance, interviewees, including venture capitalists, helped clarify how government-backed venture capital funds affected external investors’ perceptions of local entrepreneurs and their investment decisions.</w:t>
      </w:r>
    </w:p>
    <w:p w14:paraId="5E952B7F" w14:textId="77777777" w:rsidR="00CE1F6A" w:rsidRDefault="00CE1F6A" w:rsidP="00CE1F6A">
      <w:pPr>
        <w:pStyle w:val="ABParagraph"/>
      </w:pPr>
    </w:p>
    <w:p w14:paraId="1BB28493" w14:textId="77777777" w:rsidR="00CE1F6A" w:rsidRPr="00723181" w:rsidRDefault="00CE1F6A" w:rsidP="00CE1F6A">
      <w:pPr>
        <w:pStyle w:val="ABParagraph"/>
        <w:rPr>
          <w:b/>
          <w:bCs/>
        </w:rPr>
      </w:pPr>
      <w:r w:rsidRPr="00723181">
        <w:rPr>
          <w:b/>
          <w:bCs/>
        </w:rPr>
        <w:t>Findings</w:t>
      </w:r>
    </w:p>
    <w:p w14:paraId="2A94C249" w14:textId="77777777" w:rsidR="00CE1F6A" w:rsidRDefault="00CE1F6A" w:rsidP="00CE1F6A">
      <w:pPr>
        <w:pStyle w:val="ABParagraph"/>
      </w:pPr>
      <w:r>
        <w:t xml:space="preserve">The network analysis results show that the government-backed venture capital fund (e.g., Tech Incubator Program for Startups (TIPS)) is the primary source of finance in Pohang’s EE, reflecting the city's underdeveloped private venture capital market. Also, external investors have become increasingly influential within the local EE, contributing a larger share of investments in both number and scale, and leading larger, late-stage funding rounds. Most of these investors co-invest with TIPS in local startups; thus, the program serves as an important intermediary connecting them. As most external investors are based in larger, more advanced EEs (e.g., the Seoul Metropolitan Area), a clear pattern of network development emerges—stronger, more frequent linkages between the local EE and advanced EEs. </w:t>
      </w:r>
    </w:p>
    <w:p w14:paraId="27EE3DEB" w14:textId="77777777" w:rsidR="00CE1F6A" w:rsidRDefault="00CE1F6A" w:rsidP="00CE1F6A">
      <w:pPr>
        <w:pStyle w:val="ABParagraph"/>
      </w:pPr>
    </w:p>
    <w:p w14:paraId="79CA1A36" w14:textId="77777777" w:rsidR="00CE1F6A" w:rsidRDefault="00CE1F6A" w:rsidP="00CE1F6A">
      <w:pPr>
        <w:pStyle w:val="ABParagraph"/>
      </w:pPr>
      <w:r>
        <w:t>Furthermore, the analysis of the interview highlights the crucial role of government-backed venture capital funds in attracting external investors to local EE. Since the government introduced TIPS, which allocates public funds to match private investments once a private investor makes an initial commitment to startups, it has lowered the financial burden and risks associated with investing in startups in the periphery. It also improves local startups’ access to broader investor networks, thereby increasing the chances of securing follow-on investment.</w:t>
      </w:r>
    </w:p>
    <w:p w14:paraId="595C9283" w14:textId="77777777" w:rsidR="00CE1F6A" w:rsidRPr="00723181" w:rsidRDefault="00CE1F6A" w:rsidP="00CE1F6A">
      <w:pPr>
        <w:pStyle w:val="ABParagraph"/>
        <w:rPr>
          <w:b/>
          <w:bCs/>
        </w:rPr>
      </w:pPr>
    </w:p>
    <w:p w14:paraId="4F6D8009" w14:textId="77777777" w:rsidR="00CE1F6A" w:rsidRPr="00723181" w:rsidRDefault="00CE1F6A" w:rsidP="00CE1F6A">
      <w:pPr>
        <w:pStyle w:val="ABParagraph"/>
        <w:rPr>
          <w:b/>
          <w:bCs/>
        </w:rPr>
      </w:pPr>
      <w:r w:rsidRPr="00723181">
        <w:rPr>
          <w:b/>
          <w:bCs/>
        </w:rPr>
        <w:t>Contributions and Implications</w:t>
      </w:r>
    </w:p>
    <w:p w14:paraId="36D5A7F2" w14:textId="77777777" w:rsidR="00CE1F6A" w:rsidRDefault="00CE1F6A" w:rsidP="00CE1F6A">
      <w:pPr>
        <w:pStyle w:val="ABParagraph"/>
      </w:pPr>
      <w:r>
        <w:t xml:space="preserve">The study contributes to a recent and highly debated discussion on the geographical boundaries of EEs by analysing how inter-city investment networks play a crucial role in shaping the financial capabilities of the local EE in peripheral areas. In addition, this research advances the understanding of governments’ roles in EEs by examining how government-backed venture capital funds influence the network dynamics of the EE in the periphery. Amid the increasing focus on the supportive role of government-backed venture capital funds in entrepreneurship, the impact has mainly been analysed at the firm and sectoral levels. This study highlights their role in providing network resources and explores their relational influence on EE dynamics. </w:t>
      </w:r>
    </w:p>
    <w:p w14:paraId="3D98BE1D" w14:textId="77777777" w:rsidR="00CE1F6A" w:rsidRDefault="00CE1F6A" w:rsidP="00CE1F6A">
      <w:pPr>
        <w:pStyle w:val="ABParagraph"/>
      </w:pPr>
    </w:p>
    <w:p w14:paraId="27C23827" w14:textId="77777777" w:rsidR="00CE1F6A" w:rsidRDefault="00CE1F6A" w:rsidP="00CE1F6A">
      <w:pPr>
        <w:pStyle w:val="ABParagraph"/>
      </w:pPr>
      <w:r>
        <w:t>Finally, the empirical findings suggest policy implications for overcoming the disadvantages of developing EEs in peripheral areas. The study emphasises a more proactive role for governments and the importance of private-sector participation in policy development.</w:t>
      </w:r>
    </w:p>
    <w:p w14:paraId="60F0ECEF" w14:textId="77777777" w:rsidR="00CE1F6A" w:rsidRDefault="00CE1F6A" w:rsidP="00CE1F6A">
      <w:pPr>
        <w:pStyle w:val="ABParagraph"/>
      </w:pPr>
    </w:p>
    <w:p w14:paraId="15BE7294" w14:textId="77777777" w:rsidR="00CE1F6A" w:rsidRPr="00723181" w:rsidRDefault="00CE1F6A" w:rsidP="00CE1F6A">
      <w:pPr>
        <w:pStyle w:val="ABParagraph"/>
        <w:rPr>
          <w:b/>
          <w:bCs/>
        </w:rPr>
      </w:pPr>
      <w:r w:rsidRPr="00723181">
        <w:rPr>
          <w:b/>
          <w:bCs/>
        </w:rPr>
        <w:t>References</w:t>
      </w:r>
    </w:p>
    <w:p w14:paraId="463E64DE" w14:textId="77777777" w:rsidR="00CE1F6A" w:rsidRDefault="00CE1F6A" w:rsidP="00CE1F6A">
      <w:pPr>
        <w:pStyle w:val="ABParagraph"/>
        <w:numPr>
          <w:ilvl w:val="0"/>
          <w:numId w:val="13"/>
        </w:numPr>
      </w:pPr>
      <w:r>
        <w:lastRenderedPageBreak/>
        <w:t>Alperovych, Y., Groh, A., &amp; Quas, A. (2020). Bridging the equity gap for young innovative companies: The design of effective government venture capital fund programs. Research Policy, 49(10), 104051.</w:t>
      </w:r>
    </w:p>
    <w:p w14:paraId="62B06EF7" w14:textId="77777777" w:rsidR="00CE1F6A" w:rsidRDefault="00CE1F6A" w:rsidP="00CE1F6A">
      <w:pPr>
        <w:pStyle w:val="ABParagraph"/>
        <w:numPr>
          <w:ilvl w:val="0"/>
          <w:numId w:val="13"/>
        </w:numPr>
      </w:pPr>
      <w:r>
        <w:t>Brown, R., &amp; Mason, C. (2017). Looking inside the spiky bits: a critical review and conceptualisation of entrepreneurial ecosystems. Small Business Economics, 49(1), 11-30.</w:t>
      </w:r>
    </w:p>
    <w:p w14:paraId="259DDD2A" w14:textId="77777777" w:rsidR="00CE1F6A" w:rsidRDefault="00CE1F6A" w:rsidP="00CE1F6A">
      <w:pPr>
        <w:pStyle w:val="ABParagraph"/>
        <w:numPr>
          <w:ilvl w:val="0"/>
          <w:numId w:val="13"/>
        </w:numPr>
      </w:pPr>
      <w:r>
        <w:t>Pierrakis, Y., &amp; Saridakis, G. (2019). The role of venture capitalists in the regional innovation ecosystem: A comparison of networking patterns between private and publicly backed venture capital funds. The Journal of Technology Transfer, 44(3), 850-873.</w:t>
      </w:r>
    </w:p>
    <w:p w14:paraId="343A4929" w14:textId="77777777" w:rsidR="00CE1F6A" w:rsidRDefault="00CE1F6A" w:rsidP="00CE1F6A">
      <w:pPr>
        <w:pStyle w:val="ABParagraph"/>
        <w:numPr>
          <w:ilvl w:val="0"/>
          <w:numId w:val="13"/>
        </w:numPr>
      </w:pPr>
      <w:r>
        <w:t>Schäfer, S., Fischer, B., Schaeffer, P. R., &amp; Balestrin, A. (2024). Beyond local boundaries: Unraveling the spatiality of entrepreneurial ecosystems. Journal of Business Venturing Insights, 22, e00478.</w:t>
      </w:r>
    </w:p>
    <w:p w14:paraId="3B156683" w14:textId="77777777" w:rsidR="00CE1F6A" w:rsidRDefault="00CE1F6A" w:rsidP="00CE1F6A">
      <w:pPr>
        <w:pStyle w:val="ABParagraph"/>
        <w:numPr>
          <w:ilvl w:val="0"/>
          <w:numId w:val="13"/>
        </w:numPr>
      </w:pPr>
      <w:r>
        <w:t>Xu, Z., &amp; Dobson, S. (2019). Challenges of building entrepreneurial ecosystems in peripheral places. Journal of Entrepreneurship and Public Policy, 8(3), 408-430.</w:t>
      </w:r>
    </w:p>
    <w:p w14:paraId="3F0A8768" w14:textId="77777777" w:rsidR="00CE1F6A" w:rsidRDefault="00CE1F6A" w:rsidP="00CE1F6A">
      <w:pPr>
        <w:pStyle w:val="AbstractBookBaseParagraph"/>
      </w:pPr>
    </w:p>
    <w:p w14:paraId="11F97621" w14:textId="77777777" w:rsidR="00CE1F6A" w:rsidRDefault="00CE1F6A" w:rsidP="00CE1F6A">
      <w:pPr>
        <w:pStyle w:val="AbstractBookBaseParagraph"/>
      </w:pPr>
      <w:r>
        <w:br w:type="page"/>
      </w:r>
    </w:p>
    <w:p w14:paraId="177B08E3" w14:textId="5D610304" w:rsidR="00CE1F6A" w:rsidRDefault="00D43043" w:rsidP="00CE1F6A">
      <w:pPr>
        <w:pStyle w:val="ABSubhead"/>
      </w:pPr>
      <w:r>
        <w:lastRenderedPageBreak/>
        <w:t xml:space="preserve">O6. </w:t>
      </w:r>
      <w:r w:rsidR="00CE1F6A" w:rsidRPr="00CD05A8">
        <w:t xml:space="preserve">The Driving Role of Entrepreneurial Support Organisations in Student Venture University Entrepreneurial Ecosystems  </w:t>
      </w:r>
    </w:p>
    <w:p w14:paraId="66109932" w14:textId="77777777" w:rsidR="00CE1F6A" w:rsidRPr="00220128" w:rsidRDefault="00CE1F6A" w:rsidP="00CE1F6A">
      <w:pPr>
        <w:pStyle w:val="ABParagraph"/>
      </w:pPr>
    </w:p>
    <w:p w14:paraId="25D1FDDD" w14:textId="77777777" w:rsidR="00CE1F6A" w:rsidRPr="00CD05A8" w:rsidRDefault="00CE1F6A" w:rsidP="00CE1F6A">
      <w:pPr>
        <w:pStyle w:val="AbstractBookAuthors"/>
        <w:rPr>
          <w:rFonts w:ascii="Noto Serif Light" w:hAnsi="Noto Serif Light" w:cs="Noto Serif Light"/>
        </w:rPr>
      </w:pPr>
      <w:r w:rsidRPr="00CD05A8">
        <w:rPr>
          <w:rStyle w:val="AbstractBookPresentingAuthor"/>
          <w:rFonts w:ascii="Noto Serif Light" w:hAnsi="Noto Serif Light" w:cs="Noto Serif Light"/>
        </w:rPr>
        <w:t>Valentina Forrer</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Simon Mosey</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Einar Rasmussen</w:t>
      </w:r>
      <w:r w:rsidRPr="00CD05A8">
        <w:rPr>
          <w:rFonts w:ascii="Noto Serif Light" w:hAnsi="Noto Serif Light" w:cs="Noto Serif Light"/>
          <w:vertAlign w:val="superscript"/>
        </w:rPr>
        <w:t>2</w:t>
      </w:r>
    </w:p>
    <w:p w14:paraId="0404D3F1" w14:textId="77777777" w:rsidR="00CE1F6A" w:rsidRDefault="00CE1F6A" w:rsidP="00CE1F6A">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University of Nottingham, Nottingham, United Kingdom, </w:t>
      </w:r>
      <w:r w:rsidRPr="00CD05A8">
        <w:rPr>
          <w:rFonts w:ascii="Noto Serif Light" w:hAnsi="Noto Serif Light" w:cs="Noto Serif Light"/>
          <w:vertAlign w:val="superscript"/>
        </w:rPr>
        <w:t>2</w:t>
      </w:r>
      <w:r w:rsidRPr="00CD05A8">
        <w:rPr>
          <w:rStyle w:val="AbstractBookBaseCharacterStyle"/>
          <w:rFonts w:ascii="Noto Serif Light" w:hAnsi="Noto Serif Light" w:cs="Noto Serif Light"/>
        </w:rPr>
        <w:t>Nord University Business School, Norway</w:t>
      </w:r>
    </w:p>
    <w:p w14:paraId="4843710F" w14:textId="77777777" w:rsidR="00CE1F6A" w:rsidRDefault="00CE1F6A" w:rsidP="00CE1F6A">
      <w:pPr>
        <w:pStyle w:val="AbstractBookBaseParagraph"/>
        <w:rPr>
          <w:rStyle w:val="AbstractBookBaseCharacterStyle"/>
          <w:rFonts w:ascii="Noto Serif Light" w:hAnsi="Noto Serif Light" w:cs="Noto Serif Light"/>
        </w:rPr>
      </w:pPr>
    </w:p>
    <w:p w14:paraId="5E55223E" w14:textId="77777777" w:rsidR="00CE1F6A" w:rsidRPr="00220128" w:rsidRDefault="00CE1F6A" w:rsidP="00CE1F6A">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030F7D8B"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University entrepreneurship ecosystems (UEEs) play a pivotal role in bridging academia, industry, and government — widely regarded as "the most important and efficient mechanism of business community engagement and knowledge transfer within university-industry-government framework creating value to society and regional economy" (Belitski &amp; Heron, 2017, p. 163). In the UK, the English Devolution White Paper (Ministry of Housing, Communities &amp; Local Government, 2024) intensifies this expectation by transferring decision-making powers in skills, employment, and innovation to combined authorities — sub-national statutory bodies grouping neighbouring councils — explicitly designating universities as key actors for regional growth. Yet how universities organise themselves to deliver place-based value, and how their internal organisational units mediate between students, ventures, and the regional ecosystem, remains overlooked.</w:t>
      </w:r>
    </w:p>
    <w:p w14:paraId="044FE8E2" w14:textId="77777777" w:rsidR="00CE1F6A" w:rsidRPr="00CD05A8" w:rsidRDefault="00CE1F6A" w:rsidP="00CE1F6A">
      <w:pPr>
        <w:pStyle w:val="AbstractBookBaseParagraph"/>
        <w:rPr>
          <w:rFonts w:ascii="Noto Serif Light" w:hAnsi="Noto Serif Light" w:cs="Noto Serif Light"/>
        </w:rPr>
      </w:pPr>
    </w:p>
    <w:p w14:paraId="08A5E01A"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Universities serve as anchor entities within UEEs, providing not only educational programmes and research capabilities but also functioning as innovation hubs that connect academic knowledge with practical business applications (Guerrero et al., 2016). To support this role, universities establish a range of entrepreneurship support organisations (ESOs) — including incubators, accelerators, and science and technology parks — that offer physical and virtual spaces for knowledge transfer and collaboration (Guerrero et al., 2024; Phan et al., 2005). These organisational units occupy a pivotal intermediary position, sitting at the interface between the university, its students, and the wider regional ecosystem.</w:t>
      </w:r>
    </w:p>
    <w:p w14:paraId="5E93002E" w14:textId="77777777" w:rsidR="00CE1F6A" w:rsidRPr="00CD05A8" w:rsidRDefault="00CE1F6A" w:rsidP="00CE1F6A">
      <w:pPr>
        <w:pStyle w:val="AbstractBookBaseParagraph"/>
        <w:rPr>
          <w:rFonts w:ascii="Noto Serif Light" w:hAnsi="Noto Serif Light" w:cs="Noto Serif Light"/>
        </w:rPr>
      </w:pPr>
    </w:p>
    <w:p w14:paraId="487ABEE1"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Students, with their entrepreneurial intentions and capabilities, represent the human capital at the core of UEEs (Wright et al., 2017). They may choose to found student ventures — defined as "start-ups created by individuals who are currently studying at the university" (Rasmussen et al., 2024, p. 1). Such ventures typically draw on personal experiences and hobbies, serving as vehicles for experimentation and learning, and often functioning as stepping stones in students' broader career trajectories (Rasmussen et al., 2024).</w:t>
      </w:r>
    </w:p>
    <w:p w14:paraId="27F98C57" w14:textId="77777777" w:rsidR="00CE1F6A" w:rsidRPr="00CD05A8" w:rsidRDefault="00CE1F6A" w:rsidP="00CE1F6A">
      <w:pPr>
        <w:pStyle w:val="AbstractBookBaseParagraph"/>
        <w:rPr>
          <w:rFonts w:ascii="Noto Serif Light" w:hAnsi="Noto Serif Light" w:cs="Noto Serif Light"/>
        </w:rPr>
      </w:pPr>
    </w:p>
    <w:p w14:paraId="2B89ADD7"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Despite their relevance, student ventures remain a fragmented and underexplored area of research. Existing studies tend to be either highly theoretical (Wright et al., 2017) or narrowly focused on single university accelerators (Breznitz &amp; Zhang, 2019) or isolated programmes (Mele et al., 2022), leaving the broader institutional contexts in which student ventures operate largely unexamined. This gap is compounded by persistent methodological challenges: comprehensive student-level microdata are typically restricted by universities, leaving the systemic dynamics of student venturing within UEEs largely uncharted.</w:t>
      </w:r>
    </w:p>
    <w:p w14:paraId="5BDEC87A" w14:textId="77777777" w:rsidR="00CE1F6A" w:rsidRPr="00CD05A8" w:rsidRDefault="00CE1F6A" w:rsidP="00CE1F6A">
      <w:pPr>
        <w:pStyle w:val="AbstractBookBaseParagraph"/>
        <w:rPr>
          <w:rFonts w:ascii="Noto Serif Light" w:hAnsi="Noto Serif Light" w:cs="Noto Serif Light"/>
        </w:rPr>
      </w:pPr>
    </w:p>
    <w:p w14:paraId="0CBDD314"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Against this backdrop, this paper asks: (1) How can a UEE for student ventures be developed? (2) How do university-based ESOs support student venture creation and connect student ventures to the broader regional ecosystem?</w:t>
      </w:r>
    </w:p>
    <w:p w14:paraId="6957692D"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Empirically, we present an in-depth single case study of the Ingenuity Lab, the University of Nottingham's incubator and accelerator, which supported the second-highest-turnover student venture cohort in the UK in 2022/23 — ranking just behind the University of Cambridge (HESA, 2024). The Ingenuity Lab is located within the newly constituted East Midlands Combined County Authority (EMCCA), covering Nottinghamshire and Derbyshire, which combines low industrial intensity with a high density of leading universities — namely the University of Nottingham, Nottingham Trent University (NTU), and the University of Derby. Sitting within the EMCCA, the Lab provides a particularly informative setting for examining how university-based intermediaries operate at the interface between universities, students, and devolved authorities. Applying the Gioia method, we triangulate nine semi-structured interviews with Lab staff, current student ventures, and alumni ventures; non-participant observation of the co-working space, public events, and the STEPS accelerator programme; six years of annual Lab member surveys (589 observations, 2018–2023); and internal and external documentation.</w:t>
      </w:r>
    </w:p>
    <w:p w14:paraId="596AC50E" w14:textId="77777777" w:rsidR="00CE1F6A" w:rsidRPr="00CD05A8" w:rsidRDefault="00CE1F6A" w:rsidP="00CE1F6A">
      <w:pPr>
        <w:pStyle w:val="AbstractBookBaseParagraph"/>
        <w:rPr>
          <w:rFonts w:ascii="Noto Serif Light" w:hAnsi="Noto Serif Light" w:cs="Noto Serif Light"/>
        </w:rPr>
      </w:pPr>
    </w:p>
    <w:p w14:paraId="70167E87"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The preliminary results suggest the following. First, ESOs configured for student ventures operate entrepreneurially themselves. The Ingenuity Lab adopts what we conceptualise as a "design thinking approach" (Brown, 2008), iteratively surfacing student needs and refining services, programmes, and entrepreneurship education. This sets up a self-reinforcing dynamic in which student ventures shape the ESO's evolutionary trajectory, and substantiates the claim that student ventures constitute a distinct organisational form requiring tailored support — distinct from academic spin-offs or alumni ventures. Second, we propose a conceptual framework characterising student venture-centred UEEs through three attributes (Spigel, 2017). The cultural attribute manifests as an entrepreneurial sense of belonging — an informal institutional dynamic central to ecosystem function (Porras-Paez, 2023) — cultivated through open-door policies, mentorship, reciprocal commitment from alumni, and word-of-mouth recruitment. The material attribute combines spatial affordance for current students with digital affordance that sustains alumni connection beyond regional boundaries (Autio et al., 2018). The social attribute is twofold: dense intra-university networks coexist with limited connectivity to the regional ecosystem, with bridging responsibility devolved to other UEE actors. The Ingenuity Lab thus functions as a relatively closed system — a protected environment that lowers experimentation risk for resource-constrained student entrepreneurs but constrains their integration into the local ecosystem. This boundedness is double-edged: it explains the success of student venturing within universities while revealing why institutional success does not automatically translate into regional impact.</w:t>
      </w:r>
    </w:p>
    <w:p w14:paraId="2A00F615" w14:textId="77777777" w:rsidR="00CE1F6A" w:rsidRPr="00CD05A8" w:rsidRDefault="00CE1F6A" w:rsidP="00CE1F6A">
      <w:pPr>
        <w:pStyle w:val="AbstractBookBaseParagraph"/>
        <w:rPr>
          <w:rFonts w:ascii="Noto Serif Light" w:hAnsi="Noto Serif Light" w:cs="Noto Serif Light"/>
        </w:rPr>
      </w:pPr>
    </w:p>
    <w:p w14:paraId="01ED52FB"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The findings make three sets of contributions. Theoretically, we demonstrate that ESOs supporting student ventures operate entrepreneurially, adopting a design thinking approach to identify and respond to students' distinctive needs — establishing a self-reinforcing dynamic between ventures and ESO evolution. Drawing on Spigel's (2017) ecosystem framework, we map the cultural, material, and social attributes of student venture-centred UEEs, showing that these ecosystems combine spatial and digital </w:t>
      </w:r>
      <w:r w:rsidRPr="00CD05A8">
        <w:rPr>
          <w:rFonts w:ascii="Noto Serif Light" w:hAnsi="Noto Serif Light" w:cs="Noto Serif Light"/>
        </w:rPr>
        <w:lastRenderedPageBreak/>
        <w:t>community formations that can extend beyond regional boundaries through alumni networks. We further argue that the bounded nature of student venture UEEs, while limiting external connectivity, may offer a protected environment conducive to experimental entrepreneurship. For practitioners, the findings highlight the importance of ESO managers cultivating outward-facing linkages with industry, investors, and entrepreneurial networks. For policymakers, the study informs the design of funding schemes and governance arrangements that connect universities with the broader entrepreneurial landscape.</w:t>
      </w:r>
    </w:p>
    <w:p w14:paraId="08952860" w14:textId="77777777" w:rsidR="00CE1F6A" w:rsidRPr="00CD05A8" w:rsidRDefault="00CE1F6A" w:rsidP="00CE1F6A">
      <w:pPr>
        <w:pStyle w:val="AbstractBookBaseParagraph"/>
        <w:rPr>
          <w:rFonts w:ascii="Noto Serif Light" w:hAnsi="Noto Serif Light" w:cs="Noto Serif Light"/>
        </w:rPr>
      </w:pPr>
    </w:p>
    <w:p w14:paraId="5D3A9F67" w14:textId="77777777" w:rsidR="00CE1F6A" w:rsidRPr="00220128" w:rsidRDefault="00CE1F6A" w:rsidP="00CE1F6A">
      <w:pPr>
        <w:pStyle w:val="AbstractBookBaseParagraph"/>
        <w:rPr>
          <w:rFonts w:ascii="Noto Serif Light" w:hAnsi="Noto Serif Light" w:cs="Noto Serif Light"/>
          <w:b/>
          <w:bCs/>
        </w:rPr>
      </w:pPr>
      <w:r w:rsidRPr="00220128">
        <w:rPr>
          <w:rFonts w:ascii="Noto Serif Light" w:hAnsi="Noto Serif Light" w:cs="Noto Serif Light"/>
          <w:b/>
          <w:bCs/>
        </w:rPr>
        <w:t>References</w:t>
      </w:r>
    </w:p>
    <w:p w14:paraId="2D02098D" w14:textId="77777777" w:rsidR="00CE1F6A" w:rsidRPr="00CD05A8" w:rsidRDefault="00CE1F6A" w:rsidP="00CE1F6A">
      <w:pPr>
        <w:pStyle w:val="AbstractBookBaseParagraph"/>
        <w:numPr>
          <w:ilvl w:val="0"/>
          <w:numId w:val="25"/>
        </w:numPr>
        <w:rPr>
          <w:rFonts w:ascii="Noto Serif Light" w:hAnsi="Noto Serif Light" w:cs="Noto Serif Light"/>
        </w:rPr>
      </w:pPr>
      <w:r w:rsidRPr="00CD05A8">
        <w:rPr>
          <w:rFonts w:ascii="Noto Serif Light" w:hAnsi="Noto Serif Light" w:cs="Noto Serif Light"/>
        </w:rPr>
        <w:t>Autio, E., Nambisan, S., Thomas, L.D. and Wright, M. (2018) 'Digital affordances, spatial affordances, and the genesis of entrepreneurial ecosystems', Strategic Entrepreneurship Journal, 12(1), pp. 72–95.</w:t>
      </w:r>
    </w:p>
    <w:p w14:paraId="42353A4B" w14:textId="77777777" w:rsidR="00CE1F6A" w:rsidRPr="00CD05A8" w:rsidRDefault="00CE1F6A" w:rsidP="00CE1F6A">
      <w:pPr>
        <w:pStyle w:val="AbstractBookBaseParagraph"/>
        <w:numPr>
          <w:ilvl w:val="0"/>
          <w:numId w:val="25"/>
        </w:numPr>
        <w:rPr>
          <w:rFonts w:ascii="Noto Serif Light" w:hAnsi="Noto Serif Light" w:cs="Noto Serif Light"/>
        </w:rPr>
      </w:pPr>
      <w:r w:rsidRPr="00CD05A8">
        <w:rPr>
          <w:rFonts w:ascii="Noto Serif Light" w:hAnsi="Noto Serif Light" w:cs="Noto Serif Light"/>
        </w:rPr>
        <w:t>Belitski, M. and Heron, K. (2017) 'Expanding entrepreneurship education ecosystems', Journal of Management Development, 36(2), pp. 163–177.</w:t>
      </w:r>
    </w:p>
    <w:p w14:paraId="0F0A2172" w14:textId="77777777" w:rsidR="00CE1F6A" w:rsidRPr="00CD05A8" w:rsidRDefault="00CE1F6A" w:rsidP="00CE1F6A">
      <w:pPr>
        <w:pStyle w:val="AbstractBookBaseParagraph"/>
        <w:numPr>
          <w:ilvl w:val="0"/>
          <w:numId w:val="25"/>
        </w:numPr>
        <w:rPr>
          <w:rFonts w:ascii="Noto Serif Light" w:hAnsi="Noto Serif Light" w:cs="Noto Serif Light"/>
        </w:rPr>
      </w:pPr>
      <w:r w:rsidRPr="00CD05A8">
        <w:rPr>
          <w:rFonts w:ascii="Noto Serif Light" w:hAnsi="Noto Serif Light" w:cs="Noto Serif Light"/>
        </w:rPr>
        <w:t>Breznitz, S.M. and Zhang, Q. (2019) 'Fostering the growth of student start-ups from university accelerators: An entrepreneurial ecosystem perspective', Industrial and Corporate Change, 28(4), pp. 855–873.</w:t>
      </w:r>
    </w:p>
    <w:p w14:paraId="12B1CFDC" w14:textId="77777777" w:rsidR="00CE1F6A" w:rsidRPr="00CD05A8" w:rsidRDefault="00CE1F6A" w:rsidP="00CE1F6A">
      <w:pPr>
        <w:pStyle w:val="AbstractBookBaseParagraph"/>
        <w:numPr>
          <w:ilvl w:val="0"/>
          <w:numId w:val="25"/>
        </w:numPr>
        <w:rPr>
          <w:rFonts w:ascii="Noto Serif Light" w:hAnsi="Noto Serif Light" w:cs="Noto Serif Light"/>
        </w:rPr>
      </w:pPr>
      <w:r w:rsidRPr="00CD05A8">
        <w:rPr>
          <w:rFonts w:ascii="Noto Serif Light" w:hAnsi="Noto Serif Light" w:cs="Noto Serif Light"/>
        </w:rPr>
        <w:t>Brown, T. (2008) 'Design thinking', Harvard Business Review, 86(6), pp. 84–92.</w:t>
      </w:r>
    </w:p>
    <w:p w14:paraId="4A7FDC4D" w14:textId="77777777" w:rsidR="00CE1F6A" w:rsidRPr="00CD05A8" w:rsidRDefault="00CE1F6A" w:rsidP="00CE1F6A">
      <w:pPr>
        <w:pStyle w:val="AbstractBookBaseParagraph"/>
        <w:numPr>
          <w:ilvl w:val="0"/>
          <w:numId w:val="25"/>
        </w:numPr>
        <w:rPr>
          <w:rFonts w:ascii="Noto Serif Light" w:hAnsi="Noto Serif Light" w:cs="Noto Serif Light"/>
        </w:rPr>
      </w:pPr>
      <w:r w:rsidRPr="00CD05A8">
        <w:rPr>
          <w:rFonts w:ascii="Noto Serif Light" w:hAnsi="Noto Serif Light" w:cs="Noto Serif Light"/>
        </w:rPr>
        <w:t>Guerrero, M., Siegel, D., Terjesen, S., Feldman, M. and Lockett, A. (2024) 'Assessing the impact of university innovation and entrepreneurial ecosystems: Managerial and policy implications', Academy of Management Perspectives, 38(4), pp. 441–452.</w:t>
      </w:r>
    </w:p>
    <w:p w14:paraId="26334459" w14:textId="77777777" w:rsidR="00CE1F6A" w:rsidRPr="00CD05A8" w:rsidRDefault="00CE1F6A" w:rsidP="00CE1F6A">
      <w:pPr>
        <w:pStyle w:val="AbstractBookBaseParagraph"/>
        <w:numPr>
          <w:ilvl w:val="0"/>
          <w:numId w:val="25"/>
        </w:numPr>
        <w:rPr>
          <w:rFonts w:ascii="Noto Serif Light" w:hAnsi="Noto Serif Light" w:cs="Noto Serif Light"/>
        </w:rPr>
      </w:pPr>
      <w:r w:rsidRPr="00CD05A8">
        <w:rPr>
          <w:rFonts w:ascii="Noto Serif Light" w:hAnsi="Noto Serif Light" w:cs="Noto Serif Light"/>
        </w:rPr>
        <w:t>Guerrero, M., Urbano, D., Fayolle, A., Klofsten, M. and Mian, S. (2016) 'Entrepreneurial universities: emerging models in the new social and economic landscape', Small Business Economics, 47(3), pp. 551–563.</w:t>
      </w:r>
    </w:p>
    <w:p w14:paraId="17D1E406" w14:textId="77777777" w:rsidR="00CE1F6A" w:rsidRPr="00CD05A8" w:rsidRDefault="00CE1F6A" w:rsidP="00CE1F6A">
      <w:pPr>
        <w:pStyle w:val="AbstractBookBaseParagraph"/>
        <w:numPr>
          <w:ilvl w:val="0"/>
          <w:numId w:val="25"/>
        </w:numPr>
        <w:rPr>
          <w:rFonts w:ascii="Noto Serif Light" w:hAnsi="Noto Serif Light" w:cs="Noto Serif Light"/>
        </w:rPr>
      </w:pPr>
      <w:r w:rsidRPr="00CD05A8">
        <w:rPr>
          <w:rFonts w:ascii="Noto Serif Light" w:hAnsi="Noto Serif Light" w:cs="Noto Serif Light"/>
        </w:rPr>
        <w:t>HESA (2024). Higher Education – Business and Community Interaction Survey 2022/23. Cheltenham: Higher Education Statistics Agency. Available at: https://www.hesa.ac.uk/data-and-analysis/business-community.</w:t>
      </w:r>
    </w:p>
    <w:p w14:paraId="6A257DEA" w14:textId="77777777" w:rsidR="00CE1F6A" w:rsidRPr="00CD05A8" w:rsidRDefault="00CE1F6A" w:rsidP="00CE1F6A">
      <w:pPr>
        <w:pStyle w:val="AbstractBookBaseParagraph"/>
        <w:numPr>
          <w:ilvl w:val="0"/>
          <w:numId w:val="25"/>
        </w:numPr>
        <w:rPr>
          <w:rFonts w:ascii="Noto Serif Light" w:hAnsi="Noto Serif Light" w:cs="Noto Serif Light"/>
        </w:rPr>
      </w:pPr>
      <w:r w:rsidRPr="00CD05A8">
        <w:rPr>
          <w:rFonts w:ascii="Noto Serif Light" w:hAnsi="Noto Serif Light" w:cs="Noto Serif Light"/>
        </w:rPr>
        <w:t>Mele, G., Sansone, G., Secundo, G. and Paolucci, E. (2022) 'Speeding up student entrepreneurship: The role of university business idea incubators', IEEE Transactions on Engineering Management, 71, pp. 2364–2378.</w:t>
      </w:r>
    </w:p>
    <w:p w14:paraId="3B5C5BA4" w14:textId="77777777" w:rsidR="00CE1F6A" w:rsidRPr="00CD05A8" w:rsidRDefault="00CE1F6A" w:rsidP="00CE1F6A">
      <w:pPr>
        <w:pStyle w:val="AbstractBookBaseParagraph"/>
        <w:numPr>
          <w:ilvl w:val="0"/>
          <w:numId w:val="25"/>
        </w:numPr>
        <w:rPr>
          <w:rFonts w:ascii="Noto Serif Light" w:hAnsi="Noto Serif Light" w:cs="Noto Serif Light"/>
        </w:rPr>
      </w:pPr>
      <w:r w:rsidRPr="00CD05A8">
        <w:rPr>
          <w:rFonts w:ascii="Noto Serif Light" w:hAnsi="Noto Serif Light" w:cs="Noto Serif Light"/>
        </w:rPr>
        <w:t>Ministry of Housing, Communities &amp; Local Government (2024) English Devolution White Paper: Power and Partnership – Foundations for Growth. London: HM Government. Available at: https://www.gov.uk/government/publications/english-devolution-white-paper-power-and-partnership-foundations-for-growth.</w:t>
      </w:r>
    </w:p>
    <w:p w14:paraId="6134700D" w14:textId="77777777" w:rsidR="00CE1F6A" w:rsidRPr="00CD05A8" w:rsidRDefault="00CE1F6A" w:rsidP="00CE1F6A">
      <w:pPr>
        <w:pStyle w:val="AbstractBookBaseParagraph"/>
        <w:numPr>
          <w:ilvl w:val="0"/>
          <w:numId w:val="25"/>
        </w:numPr>
        <w:rPr>
          <w:rFonts w:ascii="Noto Serif Light" w:hAnsi="Noto Serif Light" w:cs="Noto Serif Light"/>
        </w:rPr>
      </w:pPr>
      <w:r w:rsidRPr="00CD05A8">
        <w:rPr>
          <w:rFonts w:ascii="Noto Serif Light" w:hAnsi="Noto Serif Light" w:cs="Noto Serif Light"/>
        </w:rPr>
        <w:t>Phan, P.H., Siegel, D.S. and Wright, M. (2005) 'Science parks and incubators: observations, synthesis and future research', Journal of Business Venturing, 20(2), pp. 165–182.</w:t>
      </w:r>
    </w:p>
    <w:p w14:paraId="33BB9BE2" w14:textId="77777777" w:rsidR="00CE1F6A" w:rsidRPr="00CD05A8" w:rsidRDefault="00CE1F6A" w:rsidP="00CE1F6A">
      <w:pPr>
        <w:pStyle w:val="AbstractBookBaseParagraph"/>
        <w:numPr>
          <w:ilvl w:val="0"/>
          <w:numId w:val="25"/>
        </w:numPr>
        <w:rPr>
          <w:rFonts w:ascii="Noto Serif Light" w:hAnsi="Noto Serif Light" w:cs="Noto Serif Light"/>
        </w:rPr>
      </w:pPr>
      <w:r w:rsidRPr="00CD05A8">
        <w:rPr>
          <w:rFonts w:ascii="Noto Serif Light" w:hAnsi="Noto Serif Light" w:cs="Noto Serif Light"/>
        </w:rPr>
        <w:t>Porras-Paez, A. (2023) '"Take it easy": how informal institutions shape an emerging economy Entrepreneurial Ecosystem', Regional Studies, Regional Science, 10(1), pp. 581–591.</w:t>
      </w:r>
    </w:p>
    <w:p w14:paraId="3F57FBED" w14:textId="77777777" w:rsidR="00CE1F6A" w:rsidRPr="00CD05A8" w:rsidRDefault="00CE1F6A" w:rsidP="00CE1F6A">
      <w:pPr>
        <w:pStyle w:val="AbstractBookBaseParagraph"/>
        <w:numPr>
          <w:ilvl w:val="0"/>
          <w:numId w:val="25"/>
        </w:numPr>
        <w:rPr>
          <w:rFonts w:ascii="Noto Serif Light" w:hAnsi="Noto Serif Light" w:cs="Noto Serif Light"/>
        </w:rPr>
      </w:pPr>
      <w:r w:rsidRPr="00CD05A8">
        <w:rPr>
          <w:rFonts w:ascii="Noto Serif Light" w:hAnsi="Noto Serif Light" w:cs="Noto Serif Light"/>
        </w:rPr>
        <w:t>Rasmussen, E., Andries, P. and Knockaert, M. (2024) 'Student ventures: A new organizational form in the university entrepreneurial ecosystem', Academy of Management Perspectives, 38(4), pp. 473–491.</w:t>
      </w:r>
    </w:p>
    <w:p w14:paraId="2D68903C" w14:textId="77777777" w:rsidR="00CE1F6A" w:rsidRPr="00CD05A8" w:rsidRDefault="00CE1F6A" w:rsidP="00CE1F6A">
      <w:pPr>
        <w:pStyle w:val="AbstractBookBaseParagraph"/>
        <w:numPr>
          <w:ilvl w:val="0"/>
          <w:numId w:val="25"/>
        </w:numPr>
        <w:rPr>
          <w:rFonts w:ascii="Noto Serif Light" w:hAnsi="Noto Serif Light" w:cs="Noto Serif Light"/>
        </w:rPr>
      </w:pPr>
      <w:r w:rsidRPr="00CD05A8">
        <w:rPr>
          <w:rFonts w:ascii="Noto Serif Light" w:hAnsi="Noto Serif Light" w:cs="Noto Serif Light"/>
        </w:rPr>
        <w:t>Spigel, B. (2017) 'The relational organization of entrepreneurial ecosystems', Entrepreneurship Theory and Practice, 41(1), pp. 49–72.</w:t>
      </w:r>
    </w:p>
    <w:p w14:paraId="1F721F2C" w14:textId="77777777" w:rsidR="00CE1F6A" w:rsidRPr="00CD05A8" w:rsidRDefault="00CE1F6A" w:rsidP="00CE1F6A">
      <w:pPr>
        <w:pStyle w:val="AbstractBookBaseParagraph"/>
        <w:numPr>
          <w:ilvl w:val="0"/>
          <w:numId w:val="25"/>
        </w:numPr>
        <w:rPr>
          <w:rFonts w:ascii="Noto Serif Light" w:hAnsi="Noto Serif Light" w:cs="Noto Serif Light"/>
        </w:rPr>
      </w:pPr>
      <w:r w:rsidRPr="00CD05A8">
        <w:rPr>
          <w:rFonts w:ascii="Noto Serif Light" w:hAnsi="Noto Serif Light" w:cs="Noto Serif Light"/>
        </w:rPr>
        <w:lastRenderedPageBreak/>
        <w:t>Wright, M., Siegel, D.S. and Mustar, P. (2017) 'An emerging ecosystem for student start-ups', The Journal of Technology Transfer, 42(4), pp. 909–922.</w:t>
      </w:r>
    </w:p>
    <w:p w14:paraId="7822987F"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br w:type="page"/>
      </w:r>
    </w:p>
    <w:p w14:paraId="34267263" w14:textId="39D04E8A" w:rsidR="00CE1F6A" w:rsidRDefault="00D43043" w:rsidP="00CE1F6A">
      <w:pPr>
        <w:pStyle w:val="ABSubhead"/>
      </w:pPr>
      <w:r>
        <w:lastRenderedPageBreak/>
        <w:t xml:space="preserve">O7. </w:t>
      </w:r>
      <w:r w:rsidR="00CE1F6A">
        <w:t>Corporate Strategy Externalities and Entrepreneurial Ecosystem Emergence</w:t>
      </w:r>
    </w:p>
    <w:p w14:paraId="41FF0653" w14:textId="77777777" w:rsidR="00CE1F6A" w:rsidRPr="00D34255" w:rsidRDefault="00CE1F6A" w:rsidP="00CE1F6A">
      <w:pPr>
        <w:pStyle w:val="ABParagraph"/>
      </w:pPr>
    </w:p>
    <w:p w14:paraId="6FA26721" w14:textId="77777777" w:rsidR="00CE1F6A" w:rsidRPr="00D34255" w:rsidRDefault="00CE1F6A" w:rsidP="00CE1F6A">
      <w:pPr>
        <w:pStyle w:val="AbstractBookAuthors"/>
        <w:rPr>
          <w:rFonts w:ascii="Noto Serif Light" w:hAnsi="Noto Serif Light" w:cs="Noto Serif Light"/>
        </w:rPr>
      </w:pPr>
      <w:r w:rsidRPr="00D34255">
        <w:rPr>
          <w:rStyle w:val="AbstractBookBaseCharacterStyle"/>
          <w:rFonts w:ascii="Noto Serif Light" w:hAnsi="Noto Serif Light" w:cs="Noto Serif Light"/>
        </w:rPr>
        <w:t>Maryann Feldman</w:t>
      </w:r>
      <w:r w:rsidRPr="00D34255">
        <w:rPr>
          <w:rFonts w:ascii="Noto Serif Light" w:hAnsi="Noto Serif Light" w:cs="Noto Serif Light"/>
          <w:vertAlign w:val="superscript"/>
        </w:rPr>
        <w:t>2</w:t>
      </w:r>
      <w:r w:rsidRPr="00D34255">
        <w:rPr>
          <w:rStyle w:val="AbstractBookBaseCharacterStyle"/>
          <w:rFonts w:ascii="Noto Serif Light" w:hAnsi="Noto Serif Light" w:cs="Noto Serif Light"/>
        </w:rPr>
        <w:t xml:space="preserve">, </w:t>
      </w:r>
      <w:r w:rsidRPr="00D34255">
        <w:rPr>
          <w:rStyle w:val="AbstractBookPresentingAuthor"/>
          <w:rFonts w:ascii="Noto Serif Light" w:hAnsi="Noto Serif Light" w:cs="Noto Serif Light"/>
        </w:rPr>
        <w:t>Paige Clayton</w:t>
      </w:r>
      <w:r w:rsidRPr="006B5927">
        <w:rPr>
          <w:rFonts w:ascii="Noto Serif Light" w:hAnsi="Noto Serif Light" w:cs="Noto Serif Light"/>
          <w:vertAlign w:val="superscript"/>
        </w:rPr>
        <w:t>1</w:t>
      </w:r>
    </w:p>
    <w:p w14:paraId="445B5A0B" w14:textId="77777777" w:rsidR="00CE1F6A" w:rsidRPr="00D34255" w:rsidRDefault="00CE1F6A" w:rsidP="00CE1F6A">
      <w:pPr>
        <w:pStyle w:val="AbstractBookBaseParagraph"/>
        <w:rPr>
          <w:rStyle w:val="AbstractBookBaseCharacterStyle"/>
          <w:rFonts w:ascii="Noto Serif Light" w:hAnsi="Noto Serif Light" w:cs="Noto Serif Light"/>
        </w:rPr>
      </w:pPr>
      <w:r w:rsidRPr="00D34255">
        <w:rPr>
          <w:rFonts w:ascii="Noto Serif Light" w:hAnsi="Noto Serif Light" w:cs="Noto Serif Light"/>
          <w:vertAlign w:val="superscript"/>
        </w:rPr>
        <w:t>1</w:t>
      </w:r>
      <w:r w:rsidRPr="00D34255">
        <w:rPr>
          <w:rStyle w:val="AbstractBookBaseCharacterStyle"/>
          <w:rFonts w:ascii="Noto Serif Light" w:hAnsi="Noto Serif Light" w:cs="Noto Serif Light"/>
        </w:rPr>
        <w:t xml:space="preserve">Georgia Institute </w:t>
      </w:r>
      <w:r>
        <w:rPr>
          <w:rStyle w:val="AbstractBookBaseCharacterStyle"/>
          <w:rFonts w:ascii="Noto Serif Light" w:hAnsi="Noto Serif Light" w:cs="Noto Serif Light"/>
        </w:rPr>
        <w:t>o</w:t>
      </w:r>
      <w:r w:rsidRPr="00D34255">
        <w:rPr>
          <w:rStyle w:val="AbstractBookBaseCharacterStyle"/>
          <w:rFonts w:ascii="Noto Serif Light" w:hAnsi="Noto Serif Light" w:cs="Noto Serif Light"/>
        </w:rPr>
        <w:t xml:space="preserve">f Technology, Atlanta, United States, </w:t>
      </w:r>
      <w:r w:rsidRPr="00D34255">
        <w:rPr>
          <w:rFonts w:ascii="Noto Serif Light" w:hAnsi="Noto Serif Light" w:cs="Noto Serif Light"/>
          <w:vertAlign w:val="superscript"/>
        </w:rPr>
        <w:t>2</w:t>
      </w:r>
      <w:r w:rsidRPr="00D34255">
        <w:rPr>
          <w:rStyle w:val="AbstractBookBaseCharacterStyle"/>
          <w:rFonts w:ascii="Noto Serif Light" w:hAnsi="Noto Serif Light" w:cs="Noto Serif Light"/>
        </w:rPr>
        <w:t>Arizona State University, Phoenix, United States</w:t>
      </w:r>
    </w:p>
    <w:p w14:paraId="7F9A37FA" w14:textId="77777777" w:rsidR="00CE1F6A" w:rsidRDefault="00CE1F6A" w:rsidP="00CE1F6A">
      <w:pPr>
        <w:pStyle w:val="ABParagraph"/>
      </w:pPr>
    </w:p>
    <w:p w14:paraId="5A6265CF" w14:textId="77777777" w:rsidR="00CE1F6A" w:rsidRPr="00D34255" w:rsidRDefault="00CE1F6A" w:rsidP="00CE1F6A">
      <w:pPr>
        <w:pStyle w:val="ABParagraph"/>
        <w:rPr>
          <w:b/>
          <w:bCs/>
        </w:rPr>
      </w:pPr>
      <w:r>
        <w:rPr>
          <w:b/>
          <w:bCs/>
        </w:rPr>
        <w:t>Abstract:</w:t>
      </w:r>
    </w:p>
    <w:p w14:paraId="0BE896EF" w14:textId="77777777" w:rsidR="00CE1F6A" w:rsidRDefault="00CE1F6A" w:rsidP="00CE1F6A">
      <w:pPr>
        <w:pStyle w:val="ABParagraph"/>
      </w:pPr>
      <w:r>
        <w:t xml:space="preserve">Large incumbent firms are prominent in regional economies yet remain surprisingly peripheral in theories of entrepreneurial ecosystems. Although entrepreneurship research has long treated regional and institutional contexts as inherited or exogenous settings rather than as dynamic, endogenous elements of entrepreneurial processes (Welter, 2011; Zahra et al., 2014; Autio et al., 2014), more recent work emphasizes the enactment and co-evolution of context and entrepreneurial action (Audretsch et al., 2021; Welter, 2011; Ben-Hafaïedh et al., 2023). From an ecosystem perspective, incumbent firms are powerful system-level actors whose strategies shape resource flows, opportunity structures, and coordination dynamics within local entrepreneurial environments (Brown &amp; Mason, 2017; Ryan et al., 2021). Yet existing theory offers limited insight into the mechanisms through which incumbents’ strategic actions endogenously configure entrepreneurial ecosystems over time. </w:t>
      </w:r>
    </w:p>
    <w:p w14:paraId="74F31567" w14:textId="77777777" w:rsidR="00CE1F6A" w:rsidRDefault="00CE1F6A" w:rsidP="00CE1F6A">
      <w:pPr>
        <w:pStyle w:val="ABParagraph"/>
      </w:pPr>
    </w:p>
    <w:p w14:paraId="2C8914AB" w14:textId="77777777" w:rsidR="00CE1F6A" w:rsidRDefault="00CE1F6A" w:rsidP="00CE1F6A">
      <w:pPr>
        <w:pStyle w:val="ABParagraph"/>
      </w:pPr>
      <w:r>
        <w:t>We begin from the observation that corporate decisions governing employment, technology regimes, supply chains, and capital allocation generate localized effects that extend well beyond firm boundaries and condition entrepreneurial feasibility at the regional level. We ask whether and through what mechanisms such decisions create externalities that influence broader-level entrepreneurial ecosystem emergence. Entrepreneurial ecosystems emerge through processes of self-organization, feedback, and co-evolution among heterogeneous actors, institutions, and resource flows, producing nonlinear and path-dependent dynamics (Roundy et al., 2018; Spigel &amp; Harrison, 2018; Stam &amp; Van de Ven, 2021). Consistent with this view, and based on the external enablement framework, we posit that corporate strategy externalities – which we conceptualize as unintended place-specific consequences of incumbent firms’ strategic actions – operate as a form of external enabler that endogenously shapes entrepreneurial ecosystem emergence. While not designed to foster ecosystems, such externalities can materially reconfigure the feasibility and expected returns of local entrepreneurial action as well as ecosystem culture and institutional support, thereby influencing whether, how, and by whom new ventures emerge within a region. Firm strategy may generate negative externalities for some entrepreneurs while unintentionally enabling others (Davidsson, 2015; Gawer &amp; Cusumano, 2014; Teece, 1986). In addition, large firms may also engage in explicit strategies that adversely affect entrepreneurial firms (Salop &amp; Scheffman, 1983; Teece, 1986; Parker et al., 2016).</w:t>
      </w:r>
    </w:p>
    <w:p w14:paraId="21EAAE87" w14:textId="77777777" w:rsidR="00CE1F6A" w:rsidRDefault="00CE1F6A" w:rsidP="00CE1F6A">
      <w:pPr>
        <w:pStyle w:val="ABParagraph"/>
      </w:pPr>
    </w:p>
    <w:p w14:paraId="433632AE" w14:textId="77777777" w:rsidR="00CE1F6A" w:rsidRDefault="00CE1F6A" w:rsidP="00CE1F6A">
      <w:pPr>
        <w:pStyle w:val="ABParagraph"/>
      </w:pPr>
      <w:r>
        <w:t xml:space="preserve">Since the externalities of corporate strategic actions are unintentional, we draw on the external enablement framework to theorize the mechanisms by which corporate strategy externalities influence ecosystem emergence. We characterize corporate strategy externalities as a distinct category of external enabler generated by incumbent firms’ strategic decisions, which systematically alter the feasibility, costs, and expected returns of entrepreneurial action independent of entrepreneurs’ own behavior </w:t>
      </w:r>
      <w:r>
        <w:lastRenderedPageBreak/>
        <w:t>(Davidsson, 2015; Davidsson et al., 2020, 2025). When corporate strategies shift—through changes in labor mobility practices, intellectual property enforcement, market governance, corporate venturing, or asset redeployment—they restructure the opportunity landscape for entrepreneurs. When sufficiently broad in scope or sustained over time, such shifts can disrupt existing regional equilibria and reposition a region’s entrepreneurial ecosystem on a higher growth trajectory depending on the coherence of the corporate strategies and the absorptive capacity of the regional context (Bhawe &amp; Zahra, 2019).</w:t>
      </w:r>
    </w:p>
    <w:p w14:paraId="11431B8D" w14:textId="77777777" w:rsidR="00CE1F6A" w:rsidRDefault="00CE1F6A" w:rsidP="00CE1F6A">
      <w:pPr>
        <w:pStyle w:val="ABParagraph"/>
      </w:pPr>
    </w:p>
    <w:p w14:paraId="568497A2" w14:textId="77777777" w:rsidR="00CE1F6A" w:rsidRDefault="00CE1F6A" w:rsidP="00CE1F6A">
      <w:pPr>
        <w:pStyle w:val="ABParagraph"/>
      </w:pPr>
      <w:r>
        <w:t xml:space="preserve">We address our research question with the case of GlaxoSmithKline (GSK) and its antecedents in the Research Triangle (RT) region of North Carolina over the period 1990-2012, a time of critical advancement in the region’s entrepreneurial ecosystem. The setting is shaped by company-wide layoffs at GSK that were driven by corporate restructuring rather than local performance, rendering their effects on the focal subsidiary largely exogenous and helping clarify the role of corporate strategic externalities. We advance the literature on the microfoundations of entrepreneurial ecosystems by conceptualizing large corporate actors as active generators of entrepreneurial ecosystems whose strategic actions may unintentionally reconfigure resource distributions, coordination mechanisms, and opportunity structures over time, rather than as background conditions or dominant but static actors. We contribute to ecosystem theory by repositioning corporate strategy decisions as dynamic external enablers of ecosystem emergence, rather than as static attributes of place. From this perspective, ecosystem emergence is not solely the product of centralized design but arises from the aggregation of micro-level actions that, over time, stabilize into system-level structures, shared norms, and recurrent patterns of entrepreneurial activity. </w:t>
      </w:r>
    </w:p>
    <w:p w14:paraId="37BA1085" w14:textId="77777777" w:rsidR="00CE1F6A" w:rsidRDefault="00CE1F6A" w:rsidP="00CE1F6A">
      <w:pPr>
        <w:pStyle w:val="ABParagraph"/>
      </w:pPr>
    </w:p>
    <w:p w14:paraId="7818A304" w14:textId="77777777" w:rsidR="00CE1F6A" w:rsidRDefault="00CE1F6A" w:rsidP="00CE1F6A">
      <w:pPr>
        <w:pStyle w:val="ABParagraph"/>
      </w:pPr>
      <w:r>
        <w:t>The remainder of the paper is organized as follows. Section 2 develops the theoretical framework by situating large incumbent firms within the entrepreneurial ecosystem literature and introducing corporate strategy externalities as a form of external enablement. This section elaborates four mechanisms through which corporate strategy externalities act as a microfoundation of ecosystem emergence. Section 3 describes the research design, data sources, and analytical approach used to examine these mechanisms. Section 4 presents the empirical findings, tracing three waves of ecosystem external enablement from GSK and illustrating how corporate strategy externalities influenced productive entrepreneurship. Section 5 discusses the findings, positioning within the external enablement mechanisms. Section 6 concludes by outlining the study’s contributions and directions for future research.</w:t>
      </w:r>
    </w:p>
    <w:p w14:paraId="6432D573" w14:textId="77777777" w:rsidR="00CE1F6A" w:rsidRDefault="00CE1F6A" w:rsidP="00CE1F6A">
      <w:pPr>
        <w:pStyle w:val="AbstractBookBaseParagraph"/>
      </w:pPr>
      <w:r>
        <w:br w:type="page"/>
      </w:r>
    </w:p>
    <w:p w14:paraId="7460B8B0" w14:textId="06D728DC" w:rsidR="00CE1F6A" w:rsidRDefault="00D43043" w:rsidP="00CE1F6A">
      <w:pPr>
        <w:pStyle w:val="ABSubhead"/>
      </w:pPr>
      <w:r>
        <w:lastRenderedPageBreak/>
        <w:t xml:space="preserve">O8. </w:t>
      </w:r>
      <w:r w:rsidR="00CE1F6A">
        <w:t>Mapping the Tirana Start-up Ecosystem: A Social Network Analysis of Structure, Governance and Collaborations</w:t>
      </w:r>
    </w:p>
    <w:p w14:paraId="3D9A3CF0" w14:textId="77777777" w:rsidR="00CE1F6A" w:rsidRPr="00CD05A8" w:rsidRDefault="00CE1F6A" w:rsidP="00CE1F6A">
      <w:pPr>
        <w:pStyle w:val="ABParagraph"/>
      </w:pPr>
    </w:p>
    <w:p w14:paraId="6120868C" w14:textId="77777777" w:rsidR="00CE1F6A" w:rsidRPr="00CD05A8" w:rsidRDefault="00CE1F6A" w:rsidP="00CE1F6A">
      <w:pPr>
        <w:pStyle w:val="AbstractBookAuthors"/>
        <w:rPr>
          <w:rFonts w:ascii="Noto Serif Light" w:hAnsi="Noto Serif Light" w:cs="Noto Serif Light"/>
        </w:rPr>
      </w:pPr>
      <w:r w:rsidRPr="00CD05A8">
        <w:rPr>
          <w:rStyle w:val="AbstractBookPresentingAuthor"/>
          <w:rFonts w:ascii="Noto Serif Light" w:hAnsi="Noto Serif Light" w:cs="Noto Serif Light"/>
        </w:rPr>
        <w:t>Klevisa Kapo</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PhD Francesco Capone</w:t>
      </w:r>
      <w:r w:rsidRPr="00CD05A8">
        <w:rPr>
          <w:rFonts w:ascii="Noto Serif Light" w:hAnsi="Noto Serif Light" w:cs="Noto Serif Light"/>
          <w:vertAlign w:val="superscript"/>
        </w:rPr>
        <w:t>1</w:t>
      </w:r>
    </w:p>
    <w:p w14:paraId="37D68E03" w14:textId="77777777" w:rsidR="00CE1F6A" w:rsidRPr="00CD05A8" w:rsidRDefault="00CE1F6A" w:rsidP="00CE1F6A">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University of Florence, Florence, Italy</w:t>
      </w:r>
    </w:p>
    <w:p w14:paraId="3D12EB2C" w14:textId="77777777" w:rsidR="00CE1F6A" w:rsidRPr="00CD05A8" w:rsidRDefault="00CE1F6A" w:rsidP="00CE1F6A">
      <w:pPr>
        <w:pStyle w:val="AbstractBookBaseParagraph"/>
        <w:rPr>
          <w:rStyle w:val="AbstractBookBaseCharacterStyle"/>
          <w:rFonts w:ascii="Noto Serif Light" w:hAnsi="Noto Serif Light" w:cs="Noto Serif Light"/>
        </w:rPr>
      </w:pPr>
    </w:p>
    <w:p w14:paraId="19D4C7E9" w14:textId="77777777" w:rsidR="00CE1F6A" w:rsidRPr="00CD05A8" w:rsidRDefault="00CE1F6A" w:rsidP="00CE1F6A">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1305EFB8" w14:textId="77777777" w:rsidR="00CE1F6A" w:rsidRDefault="00CE1F6A" w:rsidP="00CE1F6A">
      <w:pPr>
        <w:pStyle w:val="ABParagraph"/>
      </w:pPr>
      <w:r>
        <w:t>The study responds to growing scholarly calls for context-sensitive analyses of entrepreneurial ecosystems beyond well-established innovation hubs, particularly in semi-peripheral and institutionally thin regions. While much of the ecosystem literature has focused on mature, resource-rich settings, this research contributes to understanding how entrepreneurial ecosystems emerge, function, and evolve under conditions of structural transition, fragmented governance, and limited institutional capacity. The Tirana case is especially relevant given Albania’s positioning as a potential future EU member state and the increasing policy and foreign donors’ interest in its innovation landscape.</w:t>
      </w:r>
    </w:p>
    <w:p w14:paraId="65CA108D" w14:textId="77777777" w:rsidR="00CE1F6A" w:rsidRDefault="00CE1F6A" w:rsidP="00CE1F6A">
      <w:pPr>
        <w:pStyle w:val="ABParagraph"/>
      </w:pPr>
    </w:p>
    <w:p w14:paraId="13E9DF98" w14:textId="77777777" w:rsidR="00CE1F6A" w:rsidRDefault="00CE1F6A" w:rsidP="00CE1F6A">
      <w:pPr>
        <w:pStyle w:val="ABParagraph"/>
      </w:pPr>
      <w:r>
        <w:t>In recent years, entrepreneurial support initiatives in Tirana have intensified through the emergence of incubators, acceleration programmes, donor-funded projects, public innovation schemes, and university-led entrepreneurship activities. However, despite this growing institutional visibility, limited empirical evidence exists regarding how these actors are structurally connected, how collaboration actually takes place, and whether a coherent ecosystem logic is emerging at the city level. This creates an important research gap, particularly for place-based innovation policy debates, where understanding actor interdependence and coordination mechanisms is crucial for designing effective territorial interventions.</w:t>
      </w:r>
    </w:p>
    <w:p w14:paraId="0E33930D" w14:textId="77777777" w:rsidR="00CE1F6A" w:rsidRDefault="00CE1F6A" w:rsidP="00CE1F6A">
      <w:pPr>
        <w:pStyle w:val="ABParagraph"/>
      </w:pPr>
    </w:p>
    <w:p w14:paraId="6B9D227A" w14:textId="77777777" w:rsidR="00CE1F6A" w:rsidRDefault="00CE1F6A" w:rsidP="00CE1F6A">
      <w:pPr>
        <w:pStyle w:val="ABParagraph"/>
      </w:pPr>
      <w:r>
        <w:t>Methodologically, the paper adopts an exploratory single-case study design (Yin, 2018), with organizational relationships within the Tirana Start-up Ecosystem as the unit of analysis. Data collection is structured in two complementary components. First, a relational survey, partially inspired by the Community Innovation Survey (CIS), is administered to a broad set of ecosystem actors, including start-ups, incubators, accelerators, universities, public agencies, investors, and intermediaries. This survey captures collaboration patterns, resource exchanges, knowledge flows, and governance mechanisms. Second, Social Network Analysis (SNA) is employed to visualize and analyze the structural properties of the ecosystem, identifying central actors, fragmentation, clustering, and connectivity across the network.</w:t>
      </w:r>
    </w:p>
    <w:p w14:paraId="06408A79" w14:textId="77777777" w:rsidR="00CE1F6A" w:rsidRDefault="00CE1F6A" w:rsidP="00CE1F6A">
      <w:pPr>
        <w:pStyle w:val="ABParagraph"/>
      </w:pPr>
    </w:p>
    <w:p w14:paraId="750D0A03" w14:textId="77777777" w:rsidR="00CE1F6A" w:rsidRDefault="00CE1F6A" w:rsidP="00CE1F6A">
      <w:pPr>
        <w:pStyle w:val="ABParagraph"/>
      </w:pPr>
      <w:r>
        <w:t>The relational survey is specifically designed to capture multiple forms of inter-organizational interaction, including formal partnerships, informal collaboration, mentoring relations, project-based cooperation, innovation transfer, and knowledge-sharing exchanges. By combining survey evidence with network metrics such as degree centrality, betweenness centrality, density, and clustering, the study aims to move beyond descriptive ecosystem narratives and provide a measurable representation of how entrepreneurial support structures operate in practice. This methodological approach is particularly relevant for emerging ecosystems where institutional boundaries remain fluid and governance arrangements are often hybrid.</w:t>
      </w:r>
    </w:p>
    <w:p w14:paraId="10460EED" w14:textId="77777777" w:rsidR="00CE1F6A" w:rsidRDefault="00CE1F6A" w:rsidP="00CE1F6A">
      <w:pPr>
        <w:pStyle w:val="ABParagraph"/>
      </w:pPr>
    </w:p>
    <w:p w14:paraId="6AB75B0F" w14:textId="77777777" w:rsidR="00CE1F6A" w:rsidRDefault="00CE1F6A" w:rsidP="00CE1F6A">
      <w:pPr>
        <w:pStyle w:val="ABParagraph"/>
      </w:pPr>
      <w:r>
        <w:lastRenderedPageBreak/>
        <w:t>Preliminary insights indicate that the Tirana Start-up Ecosystem tends toward a medium-density network structure, with some fragmentation and reliance on a small number of highly leading connected hubs. Rather than exhibiting a clearly orchestrated governance model, the ecosystem appears to operate through informal, trust-based relationships. Over the last three years, there is emerging evidence of the public agency “Startup Albania” acting as a more visible coordinating actor within the ecosystem. Moreover, early indications point to a gradual shift from an internationally donor-driven ecosystem toward increasing involvement of local public and private facilitators, though this transition remains uneven and institutionally fragile.</w:t>
      </w:r>
    </w:p>
    <w:p w14:paraId="172D3ACC" w14:textId="77777777" w:rsidR="00CE1F6A" w:rsidRDefault="00CE1F6A" w:rsidP="00CE1F6A">
      <w:pPr>
        <w:pStyle w:val="ABParagraph"/>
      </w:pPr>
    </w:p>
    <w:p w14:paraId="3D35709D" w14:textId="77777777" w:rsidR="00CE1F6A" w:rsidRDefault="00CE1F6A" w:rsidP="00CE1F6A">
      <w:pPr>
        <w:pStyle w:val="ABParagraph"/>
      </w:pPr>
      <w:r>
        <w:t>These early patterns also suggest the coexistence of localized collaboration dynamics and selective external linkages, where a limited number of actors function as bridges between local entrepreneurial initiatives and international funding, policy, or mentoring channels. In this sense, the Tirana ecosystem offers an interesting setting to explore how place-based innovation ecosystems in transition economies combine local relational density with externally induced development pathways.</w:t>
      </w:r>
    </w:p>
    <w:p w14:paraId="462DFBF8" w14:textId="77777777" w:rsidR="00CE1F6A" w:rsidRDefault="00CE1F6A" w:rsidP="00CE1F6A">
      <w:pPr>
        <w:pStyle w:val="ABParagraph"/>
      </w:pPr>
    </w:p>
    <w:p w14:paraId="6D283720" w14:textId="77777777" w:rsidR="00CE1F6A" w:rsidRDefault="00CE1F6A" w:rsidP="00CE1F6A">
      <w:pPr>
        <w:pStyle w:val="ABParagraph"/>
      </w:pPr>
      <w:r>
        <w:t xml:space="preserve">Theoretically, this study contributes to the entrepreneurial ecosystem and regional innovation literature by integrating governance perspectives with a network-based approach in a semi-peripheral context. It extends existing frameworks on ecosystem governance (Panetti et al., 2021; Almeida &amp; Daniel, 2023) by empirically demonstrating how hybrid governance arrangements manifest in practice, particularly in a semi-peripheral, transition economy context, where formal institutions remain relatively weak. </w:t>
      </w:r>
    </w:p>
    <w:p w14:paraId="3AD7C541" w14:textId="77777777" w:rsidR="00CE1F6A" w:rsidRDefault="00CE1F6A" w:rsidP="00CE1F6A">
      <w:pPr>
        <w:pStyle w:val="ABParagraph"/>
      </w:pPr>
    </w:p>
    <w:p w14:paraId="02B7278F" w14:textId="77777777" w:rsidR="00CE1F6A" w:rsidRDefault="00CE1F6A" w:rsidP="00CE1F6A">
      <w:pPr>
        <w:pStyle w:val="ABParagraph"/>
      </w:pPr>
      <w:r>
        <w:t>The paper also contributes to current debates on ecosystem intermediation by examining how intermediary organizations mediate access to resources, legitimacy, and collaboration opportunities within a relatively small and evolving urban ecosystem. In this regard, the findings help explain how specific actors acquire centrality not only through formal mandates, but also through repeated brokerage roles across multiple domains of ecosystem activity.</w:t>
      </w:r>
    </w:p>
    <w:p w14:paraId="47753D5D" w14:textId="77777777" w:rsidR="00CE1F6A" w:rsidRDefault="00CE1F6A" w:rsidP="00CE1F6A">
      <w:pPr>
        <w:pStyle w:val="ABParagraph"/>
      </w:pPr>
    </w:p>
    <w:p w14:paraId="77BFFD43" w14:textId="77777777" w:rsidR="00CE1F6A" w:rsidRDefault="00CE1F6A" w:rsidP="00CE1F6A">
      <w:pPr>
        <w:pStyle w:val="ABParagraph"/>
      </w:pPr>
      <w:r>
        <w:t>Overall, the paper provides both theoretical and policy-relevant insights into how entrepreneurial ecosystems in transitional economies are structured, governed, and embedded within broader socio-economic and institutional dynamics. It also offers a replicable methodological framework for ecosystem mapping in comparable contexts across the Western Balkans and beyond. Lastly, it provides useful implications for future enlargement of Albania within the European Union through the lens of innovation, smart specialization and entrepreneurship support.</w:t>
      </w:r>
    </w:p>
    <w:p w14:paraId="1B63FA70" w14:textId="77777777" w:rsidR="00CE1F6A" w:rsidRDefault="00CE1F6A" w:rsidP="00CE1F6A">
      <w:pPr>
        <w:pStyle w:val="AbstractBookBaseParagraph"/>
      </w:pPr>
      <w:r>
        <w:br w:type="page"/>
      </w:r>
    </w:p>
    <w:p w14:paraId="1D799562" w14:textId="549DB6D1" w:rsidR="00CE1F6A" w:rsidRDefault="00D43043" w:rsidP="00CE1F6A">
      <w:pPr>
        <w:pStyle w:val="ABSubhead"/>
      </w:pPr>
      <w:r>
        <w:lastRenderedPageBreak/>
        <w:t xml:space="preserve">O10. </w:t>
      </w:r>
      <w:r w:rsidR="00CE1F6A">
        <w:t>Creative Industries and Coastal Regions - New Drivers of Growth?</w:t>
      </w:r>
    </w:p>
    <w:p w14:paraId="5C64A259" w14:textId="77777777" w:rsidR="00CE1F6A" w:rsidRPr="00D34255" w:rsidRDefault="00CE1F6A" w:rsidP="00CE1F6A">
      <w:pPr>
        <w:pStyle w:val="ABParagraph"/>
      </w:pPr>
    </w:p>
    <w:p w14:paraId="1BB510B1" w14:textId="77777777" w:rsidR="00CE1F6A" w:rsidRPr="00D34255" w:rsidRDefault="00CE1F6A" w:rsidP="00CE1F6A">
      <w:pPr>
        <w:pStyle w:val="AbstractBookAuthors"/>
        <w:rPr>
          <w:rFonts w:ascii="Noto Serif Light" w:hAnsi="Noto Serif Light" w:cs="Noto Serif Light"/>
        </w:rPr>
      </w:pPr>
      <w:r w:rsidRPr="00D34255">
        <w:rPr>
          <w:rStyle w:val="AbstractBookPresentingAuthor"/>
          <w:rFonts w:ascii="Noto Serif Light" w:hAnsi="Noto Serif Light" w:cs="Noto Serif Light"/>
        </w:rPr>
        <w:t>Katharine Willis</w:t>
      </w:r>
      <w:r w:rsidRPr="00D34255">
        <w:rPr>
          <w:rFonts w:ascii="Noto Serif Light" w:hAnsi="Noto Serif Light" w:cs="Noto Serif Light"/>
          <w:vertAlign w:val="superscript"/>
        </w:rPr>
        <w:t>1</w:t>
      </w:r>
    </w:p>
    <w:p w14:paraId="0C4E2069" w14:textId="77777777" w:rsidR="00CE1F6A" w:rsidRPr="00D34255" w:rsidRDefault="00CE1F6A" w:rsidP="00CE1F6A">
      <w:pPr>
        <w:pStyle w:val="AbstractBookBaseParagraph"/>
        <w:rPr>
          <w:rStyle w:val="AbstractBookBaseCharacterStyle"/>
          <w:rFonts w:ascii="Noto Serif Light" w:hAnsi="Noto Serif Light" w:cs="Noto Serif Light"/>
        </w:rPr>
      </w:pPr>
      <w:r w:rsidRPr="00D34255">
        <w:rPr>
          <w:rFonts w:ascii="Noto Serif Light" w:hAnsi="Noto Serif Light" w:cs="Noto Serif Light"/>
          <w:vertAlign w:val="superscript"/>
        </w:rPr>
        <w:t>1</w:t>
      </w:r>
      <w:r w:rsidRPr="00D34255">
        <w:rPr>
          <w:rStyle w:val="AbstractBookBaseCharacterStyle"/>
          <w:rFonts w:ascii="Noto Serif Light" w:hAnsi="Noto Serif Light" w:cs="Noto Serif Light"/>
        </w:rPr>
        <w:t>University of Plymouth, Plymouth, United Kingdom</w:t>
      </w:r>
    </w:p>
    <w:p w14:paraId="2C3E01E9" w14:textId="77777777" w:rsidR="00CE1F6A" w:rsidRDefault="00CE1F6A" w:rsidP="00CE1F6A">
      <w:pPr>
        <w:pStyle w:val="AbstractBookBaseParagraph"/>
      </w:pPr>
    </w:p>
    <w:p w14:paraId="61DC1019" w14:textId="77777777" w:rsidR="00CE1F6A" w:rsidRDefault="00CE1F6A" w:rsidP="00CE1F6A">
      <w:pPr>
        <w:pStyle w:val="ABParagraph"/>
        <w:rPr>
          <w:b/>
          <w:bCs/>
        </w:rPr>
      </w:pPr>
      <w:r>
        <w:rPr>
          <w:b/>
          <w:bCs/>
        </w:rPr>
        <w:t>Abstract:</w:t>
      </w:r>
    </w:p>
    <w:p w14:paraId="526281B9" w14:textId="77777777" w:rsidR="00CE1F6A" w:rsidRPr="00D34255" w:rsidRDefault="00CE1F6A" w:rsidP="00CE1F6A">
      <w:pPr>
        <w:pStyle w:val="ABParagraph"/>
      </w:pPr>
    </w:p>
    <w:p w14:paraId="28176C9A" w14:textId="77777777" w:rsidR="00CE1F6A" w:rsidRPr="00D34255" w:rsidRDefault="00CE1F6A" w:rsidP="00CE1F6A">
      <w:pPr>
        <w:pStyle w:val="ABParagraph"/>
        <w:rPr>
          <w:b/>
          <w:bCs/>
        </w:rPr>
      </w:pPr>
      <w:r w:rsidRPr="00D34255">
        <w:rPr>
          <w:b/>
          <w:bCs/>
        </w:rPr>
        <w:t>Overview</w:t>
      </w:r>
    </w:p>
    <w:p w14:paraId="25AE13FB" w14:textId="77777777" w:rsidR="00CE1F6A" w:rsidRDefault="00CE1F6A" w:rsidP="00CE1F6A">
      <w:pPr>
        <w:pStyle w:val="ABParagraph"/>
      </w:pPr>
      <w:r>
        <w:t xml:space="preserve">Our coasts are a rich source of natural and cultural assets replete with places people value, visit and choose to live in. Yet our coastal communities are some of the most overlooked, challenged and deprived in the country. Creative industries and cultural investment have the potential to create a step change for coastal communities, to diversify their economies and enhance their cultural assets. They also present an opportunity for innovation in imagining, designing and creating new futures. This requires the development of new skills, workforces and ways to engage  communities such as storytelling, placemaking and immersive. </w:t>
      </w:r>
    </w:p>
    <w:p w14:paraId="22415B54" w14:textId="77777777" w:rsidR="00CE1F6A" w:rsidRDefault="00CE1F6A" w:rsidP="00CE1F6A">
      <w:pPr>
        <w:pStyle w:val="ABParagraph"/>
      </w:pPr>
      <w:r>
        <w:t>The paper explores the underdeveloped role of creative industries in catalysing this transition. Creative practice can contribute not only to cultural regeneration and placemaking, but also to innovation, storytelling, immersive experiences, skills development and the imagining of alternative coastal futures. By connecting creative industries with marine, environmental, technological and community-based innovation, coastal regions can develop new narratives, capabilities and economic opportunities beyond traditional tourism.</w:t>
      </w:r>
    </w:p>
    <w:p w14:paraId="40596282" w14:textId="77777777" w:rsidR="00CE1F6A" w:rsidRDefault="00CE1F6A" w:rsidP="00CE1F6A">
      <w:pPr>
        <w:pStyle w:val="ABParagraph"/>
      </w:pPr>
    </w:p>
    <w:p w14:paraId="4024E985" w14:textId="77777777" w:rsidR="00CE1F6A" w:rsidRDefault="00CE1F6A" w:rsidP="00CE1F6A">
      <w:pPr>
        <w:pStyle w:val="ABParagraph"/>
      </w:pPr>
      <w:r>
        <w:t>The paper asks: How can creative industries connect and catalyse change in coastal regions? It proposes that creative industries should be understood as active agents of coastal transformation—helping communities imagine, design and participate in more diverse, resilient and inclusive blue-green futures.</w:t>
      </w:r>
    </w:p>
    <w:p w14:paraId="631F7A6A" w14:textId="77777777" w:rsidR="00CE1F6A" w:rsidRDefault="00CE1F6A" w:rsidP="00CE1F6A">
      <w:pPr>
        <w:pStyle w:val="ABParagraph"/>
      </w:pPr>
    </w:p>
    <w:p w14:paraId="49A83250" w14:textId="77777777" w:rsidR="00CE1F6A" w:rsidRPr="00D34255" w:rsidRDefault="00CE1F6A" w:rsidP="00CE1F6A">
      <w:pPr>
        <w:pStyle w:val="ABParagraph"/>
        <w:rPr>
          <w:b/>
          <w:bCs/>
        </w:rPr>
      </w:pPr>
      <w:r w:rsidRPr="00D34255">
        <w:rPr>
          <w:b/>
          <w:bCs/>
        </w:rPr>
        <w:t xml:space="preserve">Research Context: </w:t>
      </w:r>
    </w:p>
    <w:p w14:paraId="549EFFED" w14:textId="77777777" w:rsidR="00CE1F6A" w:rsidRDefault="00CE1F6A" w:rsidP="00CE1F6A">
      <w:pPr>
        <w:pStyle w:val="ABParagraph"/>
      </w:pPr>
      <w:r>
        <w:t xml:space="preserve">Coasts have distinctive and high value assets as places; both to live in and to visit. But the place-based assets of coasts have tended to be seen only in terms of their health and wellbeing benefits or in stimulating narrow economic sectors such as tourism. For example, research shows that living close to the coast has positive health and well-being benefits and living less than 5 km from the coast improves mental health (Acott et al 2023, Bell et al 2015, Wheeler et al 2012, Gascon et al 2015). But the focus of much research and government investment (e.g. the UK Government’s Coastal Communities Fund (DLUHC 2022)) has been on addressing the recognised problems, rather than focusing on how their assets, resources and capacity could be catalysed to achieve more inclusive growth. </w:t>
      </w:r>
    </w:p>
    <w:p w14:paraId="72CD1145" w14:textId="77777777" w:rsidR="00CE1F6A" w:rsidRDefault="00CE1F6A" w:rsidP="00CE1F6A">
      <w:pPr>
        <w:pStyle w:val="ABParagraph"/>
      </w:pPr>
    </w:p>
    <w:p w14:paraId="401C6CAB" w14:textId="77777777" w:rsidR="00CE1F6A" w:rsidRDefault="00CE1F6A" w:rsidP="00CE1F6A">
      <w:pPr>
        <w:pStyle w:val="ABParagraph"/>
      </w:pPr>
      <w:r>
        <w:t xml:space="preserve">We propose that transforming coastal communities through innovation requires inclusive growth to be a strategic driver. According to the OECD (n.d.), this is “economic growth that creates opportunities for all segments of the population and distributes the dividends of increased prosperity, both in monetary and non-monetary terms, fairly across society”. Creative industries and digital innovation can play a key role in this process. </w:t>
      </w:r>
    </w:p>
    <w:p w14:paraId="1D81A57A" w14:textId="77777777" w:rsidR="00CE1F6A" w:rsidRDefault="00CE1F6A" w:rsidP="00CE1F6A">
      <w:pPr>
        <w:pStyle w:val="ABParagraph"/>
      </w:pPr>
    </w:p>
    <w:p w14:paraId="11B60C7E" w14:textId="77777777" w:rsidR="00CE1F6A" w:rsidRPr="00D34255" w:rsidRDefault="00CE1F6A" w:rsidP="00CE1F6A">
      <w:pPr>
        <w:pStyle w:val="ABParagraph"/>
        <w:rPr>
          <w:b/>
          <w:bCs/>
        </w:rPr>
      </w:pPr>
      <w:r w:rsidRPr="00D34255">
        <w:rPr>
          <w:b/>
          <w:bCs/>
        </w:rPr>
        <w:t>Research problem: Over-Reliance on Tourism and Failure to Diversify Local Economies</w:t>
      </w:r>
    </w:p>
    <w:p w14:paraId="100A0914" w14:textId="77777777" w:rsidR="00CE1F6A" w:rsidRDefault="00CE1F6A" w:rsidP="00CE1F6A">
      <w:pPr>
        <w:pStyle w:val="ABParagraph"/>
      </w:pPr>
      <w:r>
        <w:t>Coastal regeneration strategies have focused on reviving or modernising seaside tourism, often without recognising the limited capacity of tourism to generate year-round employment or high-value jobs. As early as the 2000s, researchers observed the structural decline of traditional holidaymaking following international travel liberalisation, but policy responses remained rooted in nostalgia-driven attempts to “restore the seaside economy” (Bailey, 2021). This narrow economic focus has left many coastal towns vulnerable to seasonal cycles, low-wage service jobs, fluctuating visitor markets and vulnerability to climate impacts on coastal assets. Fiorentino et al  warn that future coastal resilience requires diversified economic ecosystems, including marine industries, green skills, R&amp;D hubs, creative sectors, and nature-based tourism, not solely traditional leisure models (Fiorentino et al., 2024; McDonagh et al., 2025).</w:t>
      </w:r>
    </w:p>
    <w:p w14:paraId="6C0B0CCB" w14:textId="77777777" w:rsidR="00CE1F6A" w:rsidRDefault="00CE1F6A" w:rsidP="00CE1F6A">
      <w:pPr>
        <w:pStyle w:val="ABParagraph"/>
      </w:pPr>
    </w:p>
    <w:p w14:paraId="7EF6C15A" w14:textId="77777777" w:rsidR="00CE1F6A" w:rsidRPr="00D34255" w:rsidRDefault="00CE1F6A" w:rsidP="00CE1F6A">
      <w:pPr>
        <w:pStyle w:val="ABParagraph"/>
        <w:rPr>
          <w:b/>
          <w:bCs/>
        </w:rPr>
      </w:pPr>
      <w:r w:rsidRPr="00D34255">
        <w:rPr>
          <w:b/>
          <w:bCs/>
        </w:rPr>
        <w:t>New opprtunies for coastal regions:  The ‘blue economy’ and blue/green innovation</w:t>
      </w:r>
    </w:p>
    <w:p w14:paraId="5B649267" w14:textId="77777777" w:rsidR="00CE1F6A" w:rsidRDefault="00CE1F6A" w:rsidP="00CE1F6A">
      <w:pPr>
        <w:pStyle w:val="ABParagraph"/>
      </w:pPr>
      <w:r>
        <w:t xml:space="preserve">Coastal spaces have distinctive and high value assets as places. But the place-based assets of coastal communities have tended to be seen only in terms of their health and wellbeing benefits, or in stimulating narrow economic sectors such as tourism. The concept of the ‘Blue Economy’ or ‘Oceans Economy’ originated from the United Nations (UN) Conference on Sustainable Development at Rio de Janeiro in 2012 (Lee et al 2020). It has many definitions, but in the broadest sense it is “all economic activities related to oceans, seas and coasts” (Kontovas et al 2022). In economic terms this has referred to industries such as ports, offshore wind and shipbuilding, but tourism is also one of the key income generators.  </w:t>
      </w:r>
    </w:p>
    <w:p w14:paraId="3C516B3C" w14:textId="77777777" w:rsidR="00CE1F6A" w:rsidRDefault="00CE1F6A" w:rsidP="00CE1F6A">
      <w:pPr>
        <w:pStyle w:val="ABParagraph"/>
      </w:pPr>
    </w:p>
    <w:p w14:paraId="1A8BB344" w14:textId="77777777" w:rsidR="00CE1F6A" w:rsidRDefault="00CE1F6A" w:rsidP="00CE1F6A">
      <w:pPr>
        <w:pStyle w:val="ABParagraph"/>
      </w:pPr>
      <w:r>
        <w:t>A relatively undeveloped potential for growth in coastal areas is represented by the spillover benefits and assets from the blue economy which have the opportunity to innovate and lead the reinvention of their coastal places. The blue economy is said to offer indirect opportunities to coastal communities through national (blue) economic development trickling down to coastal citizens in the form of new jobs and financial opportunities (Evans et al 2023, New Economics Foundation 2016). The coastal innovation imperative outlined by Glavovic (2013) highlights the vital need for coastal areas to innovate in order to address the challenges of climate change that uniquely challenge the future of the coast and marine environments.</w:t>
      </w:r>
    </w:p>
    <w:p w14:paraId="7C6902B4" w14:textId="77777777" w:rsidR="00CE1F6A" w:rsidRDefault="00CE1F6A" w:rsidP="00CE1F6A">
      <w:pPr>
        <w:pStyle w:val="ABParagraph"/>
      </w:pPr>
    </w:p>
    <w:p w14:paraId="6399ACC6" w14:textId="77777777" w:rsidR="00CE1F6A" w:rsidRDefault="00CE1F6A" w:rsidP="00CE1F6A">
      <w:pPr>
        <w:pStyle w:val="ABParagraph"/>
      </w:pPr>
      <w:r>
        <w:t>Growth industries such as offshore wind and net zero initiatives create the impetus for change and also attract large-scale investment. For example, over half of our energy needs are met by energy that comes from UK seas; the potential for offshore and marine renewable energy in the UK is more than six times our national current annual electricity demand (Balata and Williams 2014). The challenge of transforming coastal communities requires creative and methodological approaches for how communities and skillsets adapt and change to new resilient models. As NEF highlights, the way to achieve healthy coastal and marine environments is to be innovative and creative and through strengthening cross-sectoral cooperation (New Economics Foundation 2016, p.30). But the role of creative industries in these areas of growth is currently underexplored.</w:t>
      </w:r>
    </w:p>
    <w:p w14:paraId="19860BA9" w14:textId="77777777" w:rsidR="00CE1F6A" w:rsidRDefault="00CE1F6A" w:rsidP="00CE1F6A">
      <w:pPr>
        <w:pStyle w:val="ABParagraph"/>
      </w:pPr>
    </w:p>
    <w:p w14:paraId="467A232B" w14:textId="77777777" w:rsidR="00CE1F6A" w:rsidRPr="00D34255" w:rsidRDefault="00CE1F6A" w:rsidP="00CE1F6A">
      <w:pPr>
        <w:pStyle w:val="ABParagraph"/>
        <w:rPr>
          <w:b/>
          <w:bCs/>
        </w:rPr>
      </w:pPr>
      <w:r w:rsidRPr="00D34255">
        <w:rPr>
          <w:b/>
          <w:bCs/>
        </w:rPr>
        <w:lastRenderedPageBreak/>
        <w:t>Summary</w:t>
      </w:r>
    </w:p>
    <w:p w14:paraId="56A3FB1E" w14:textId="77777777" w:rsidR="00CE1F6A" w:rsidRDefault="00CE1F6A" w:rsidP="00CE1F6A">
      <w:pPr>
        <w:pStyle w:val="ABParagraph"/>
      </w:pPr>
      <w:r>
        <w:t>The paper argues that coastal communities need to move beyond tourism-led regeneration towards more diverse, resilient and inclusive economies. The blue and green economies—including marine industries, renewable energy, environmental innovation and net zero—offer significant new opportunities, but communities need new skills, ideas and ways of engaging with these changes.</w:t>
      </w:r>
    </w:p>
    <w:p w14:paraId="6BE58736" w14:textId="77777777" w:rsidR="00CE1F6A" w:rsidRDefault="00CE1F6A" w:rsidP="00CE1F6A">
      <w:pPr>
        <w:pStyle w:val="ABParagraph"/>
      </w:pPr>
      <w:r>
        <w:t>The paper highlights the underexplored role of creative industries in this transition. Creative practice can support innovation through innovation, storytelling, placemaking, immersive experiences, design and future-making, helping industries communities imagine and shape more resilient coastal regions.</w:t>
      </w:r>
    </w:p>
    <w:p w14:paraId="5F81103C" w14:textId="77777777" w:rsidR="00CE1F6A" w:rsidRDefault="00CE1F6A" w:rsidP="00CE1F6A">
      <w:pPr>
        <w:pStyle w:val="ABParagraph"/>
      </w:pPr>
    </w:p>
    <w:p w14:paraId="7558C41B" w14:textId="77777777" w:rsidR="00CE1F6A" w:rsidRPr="00D34255" w:rsidRDefault="00CE1F6A" w:rsidP="00CE1F6A">
      <w:pPr>
        <w:pStyle w:val="ABParagraph"/>
        <w:rPr>
          <w:b/>
          <w:bCs/>
        </w:rPr>
      </w:pPr>
      <w:r w:rsidRPr="00D34255">
        <w:rPr>
          <w:b/>
          <w:bCs/>
        </w:rPr>
        <w:t>Key References</w:t>
      </w:r>
    </w:p>
    <w:p w14:paraId="696838BE" w14:textId="77777777" w:rsidR="00CE1F6A" w:rsidRDefault="00CE1F6A" w:rsidP="00CE1F6A">
      <w:pPr>
        <w:pStyle w:val="ABParagraph"/>
        <w:numPr>
          <w:ilvl w:val="0"/>
          <w:numId w:val="5"/>
        </w:numPr>
      </w:pPr>
      <w:r>
        <w:t xml:space="preserve">Willis, K., Bennewith, C., &amp; de Graaf, K. (2025). Creative Coastal Futures: Developing cultural and creative industries. In Culture, Place and Development (2 ed., Vol. Urban Innovation , pp. 47-70). Key Cities Innovation Network. </w:t>
      </w:r>
    </w:p>
    <w:p w14:paraId="5E55B174" w14:textId="77777777" w:rsidR="00CE1F6A" w:rsidRDefault="00CE1F6A" w:rsidP="00CE1F6A">
      <w:pPr>
        <w:pStyle w:val="ABParagraph"/>
        <w:numPr>
          <w:ilvl w:val="0"/>
          <w:numId w:val="5"/>
        </w:numPr>
      </w:pPr>
      <w:r>
        <w:t>‘On the waterfront’, a Key Cities policy report on coastal communities, calls for a comprehensive strategy to tackle disadvantage in the UK’s coastal communities.  https://keycities.uk/2025/03/10/on-the-waterfront-report-on-coastal-communities/</w:t>
      </w:r>
    </w:p>
    <w:p w14:paraId="1885A694" w14:textId="77777777" w:rsidR="00CE1F6A" w:rsidRDefault="00CE1F6A" w:rsidP="00CE1F6A">
      <w:pPr>
        <w:pStyle w:val="ABParagraph"/>
        <w:numPr>
          <w:ilvl w:val="0"/>
          <w:numId w:val="5"/>
        </w:numPr>
      </w:pPr>
      <w:r>
        <w:t>Madgin, R. and Howcroft, M. (2024) Advancing People-Centred, Place-Based Approaches, University of Glasgow. DOI:10.36399/gla.pubs.342111. https://eprints.gla.ac.uk/342111/1/342111.pdf</w:t>
      </w:r>
    </w:p>
    <w:p w14:paraId="5A5443C5" w14:textId="77777777" w:rsidR="00CE1F6A" w:rsidRDefault="00CE1F6A" w:rsidP="00CE1F6A">
      <w:pPr>
        <w:pStyle w:val="ABParagraph"/>
      </w:pPr>
    </w:p>
    <w:p w14:paraId="6DB8CBC2" w14:textId="77777777" w:rsidR="00CE1F6A" w:rsidRPr="00D34255" w:rsidRDefault="00CE1F6A" w:rsidP="00CE1F6A">
      <w:pPr>
        <w:pStyle w:val="ABParagraph"/>
        <w:rPr>
          <w:b/>
          <w:bCs/>
        </w:rPr>
      </w:pPr>
      <w:r w:rsidRPr="00D34255">
        <w:rPr>
          <w:b/>
          <w:bCs/>
        </w:rPr>
        <w:t xml:space="preserve">Wider </w:t>
      </w:r>
      <w:r>
        <w:rPr>
          <w:b/>
          <w:bCs/>
        </w:rPr>
        <w:t>R</w:t>
      </w:r>
      <w:r w:rsidRPr="00D34255">
        <w:rPr>
          <w:b/>
          <w:bCs/>
        </w:rPr>
        <w:t>eferences</w:t>
      </w:r>
    </w:p>
    <w:p w14:paraId="656DC098" w14:textId="77777777" w:rsidR="00CE1F6A" w:rsidRDefault="00CE1F6A" w:rsidP="00CE1F6A">
      <w:pPr>
        <w:pStyle w:val="ABParagraph"/>
        <w:numPr>
          <w:ilvl w:val="0"/>
          <w:numId w:val="6"/>
        </w:numPr>
      </w:pPr>
      <w:r>
        <w:t>Acott, T. G., Willis, C., Ranger, S., Cumming, G., Richardson, P., O'Neill, R., &amp; Ford, A. (2023). Coastal transformations and connections: Revealing values through the community voice method. People and Nature, 5(2), 403-414.</w:t>
      </w:r>
    </w:p>
    <w:p w14:paraId="3E826F72" w14:textId="77777777" w:rsidR="00CE1F6A" w:rsidRDefault="00CE1F6A" w:rsidP="00CE1F6A">
      <w:pPr>
        <w:pStyle w:val="ABParagraph"/>
        <w:numPr>
          <w:ilvl w:val="0"/>
          <w:numId w:val="6"/>
        </w:numPr>
      </w:pPr>
      <w:r>
        <w:t>Bell, S. L., Phoenix, C., Lovell, R., &amp; Wheeler, B. W. (2015). Seeking everyday wellbeing: The coast as a therapeutic landscape. Social Science &amp; Medicine, 142, p56–p67.</w:t>
      </w:r>
    </w:p>
    <w:p w14:paraId="2CFA354B" w14:textId="77777777" w:rsidR="00CE1F6A" w:rsidRDefault="00CE1F6A" w:rsidP="00CE1F6A">
      <w:pPr>
        <w:pStyle w:val="ABParagraph"/>
        <w:numPr>
          <w:ilvl w:val="0"/>
          <w:numId w:val="6"/>
        </w:numPr>
      </w:pPr>
      <w:r>
        <w:t>Centre for Entrepreneurship (2015). How Entrepreneurs can turn the tide of seaside towns. https://www.centreforentrepreneurs.org/research/report/ebb-flow/r/recjgC6RntASu1nqb</w:t>
      </w:r>
    </w:p>
    <w:p w14:paraId="15DB3FA9" w14:textId="77777777" w:rsidR="00CE1F6A" w:rsidRDefault="00CE1F6A" w:rsidP="00CE1F6A">
      <w:pPr>
        <w:pStyle w:val="ABParagraph"/>
        <w:numPr>
          <w:ilvl w:val="0"/>
          <w:numId w:val="6"/>
        </w:numPr>
      </w:pPr>
      <w:r>
        <w:t>Corfe, S. (2019). Falling off a cliff. London: Social Market Foundation. Available at: https://bit.ly/3f5W2mX</w:t>
      </w:r>
    </w:p>
    <w:p w14:paraId="1725FFD4" w14:textId="77777777" w:rsidR="00CE1F6A" w:rsidRDefault="00CE1F6A" w:rsidP="00CE1F6A">
      <w:pPr>
        <w:pStyle w:val="ABParagraph"/>
        <w:numPr>
          <w:ilvl w:val="0"/>
          <w:numId w:val="6"/>
        </w:numPr>
      </w:pPr>
      <w:r>
        <w:t>DLUHC (2022). Collection Coastal communities: How government is helping coastal communities flourish as places to live, work and visit.https://www.gov.uk/government/collections/coastal-communities</w:t>
      </w:r>
    </w:p>
    <w:p w14:paraId="27D41BCB" w14:textId="77777777" w:rsidR="00CE1F6A" w:rsidRDefault="00CE1F6A" w:rsidP="00CE1F6A">
      <w:pPr>
        <w:pStyle w:val="ABParagraph"/>
        <w:numPr>
          <w:ilvl w:val="0"/>
          <w:numId w:val="6"/>
        </w:numPr>
      </w:pPr>
      <w:r>
        <w:t>Elrick-Barr, C. E., Thomsen, D. C., &amp; Smith, T. F. (2024). Governance innovations in the coastal zone: Towards social-ecological resilience. Environmental Science &amp; Policy, 153, 103687.</w:t>
      </w:r>
    </w:p>
    <w:p w14:paraId="0F3B01EE" w14:textId="77777777" w:rsidR="00CE1F6A" w:rsidRDefault="00CE1F6A" w:rsidP="00CE1F6A">
      <w:pPr>
        <w:pStyle w:val="ABParagraph"/>
        <w:numPr>
          <w:ilvl w:val="0"/>
          <w:numId w:val="6"/>
        </w:numPr>
      </w:pPr>
      <w:r>
        <w:t>English Heritage (2007). An Asset and a Challenge; Heritage and Regeneration in Coastal Towns in England. https://www.coastalcommunities.co.uk/knowledge_hub_files/An_Assest_and_a_Challenge_Heritage_and_Regeneration_in_Coastal_Towns_in_England_R8SQ.pdf</w:t>
      </w:r>
    </w:p>
    <w:p w14:paraId="65C5D05D" w14:textId="77777777" w:rsidR="00CE1F6A" w:rsidRDefault="00CE1F6A" w:rsidP="00CE1F6A">
      <w:pPr>
        <w:pStyle w:val="ABParagraph"/>
        <w:numPr>
          <w:ilvl w:val="0"/>
          <w:numId w:val="6"/>
        </w:numPr>
      </w:pPr>
      <w:r>
        <w:t>Evans, J. (2024). Creativity at the Edge - Innovation and growth in the Creative Industries in the Great South West’. Great South West Board (University of Falmouth, University of Plymouth, Arts University Plymouth, University of Exeter and Bournemouth University).</w:t>
      </w:r>
    </w:p>
    <w:p w14:paraId="70D775DF" w14:textId="77777777" w:rsidR="00CE1F6A" w:rsidRDefault="00CE1F6A" w:rsidP="00CE1F6A">
      <w:pPr>
        <w:pStyle w:val="ABParagraph"/>
        <w:numPr>
          <w:ilvl w:val="0"/>
          <w:numId w:val="6"/>
        </w:numPr>
      </w:pPr>
      <w:r>
        <w:lastRenderedPageBreak/>
        <w:t>Fiorentino, S., Sielker, F., Tomaney, J. (2024). Coastal towns as ‘left-behind places’: economy, environment and planning, Cambridge Journal of Regions, Economy and Society, Volume 17, Issue 1, March 2024, Pages 103–116, https://doi.org/10.1093/cjres/rsad045</w:t>
      </w:r>
    </w:p>
    <w:p w14:paraId="14D1D00B" w14:textId="77777777" w:rsidR="00CE1F6A" w:rsidRDefault="00CE1F6A" w:rsidP="00CE1F6A">
      <w:pPr>
        <w:pStyle w:val="ABParagraph"/>
        <w:numPr>
          <w:ilvl w:val="0"/>
          <w:numId w:val="6"/>
        </w:numPr>
      </w:pPr>
      <w:r>
        <w:t>Glavovic, B. C. (2013). Coastal innovation imperative. Sustainability, 5(3), 934-954.</w:t>
      </w:r>
    </w:p>
    <w:p w14:paraId="5026FC5A" w14:textId="77777777" w:rsidR="00CE1F6A" w:rsidRDefault="00CE1F6A" w:rsidP="00CE1F6A">
      <w:pPr>
        <w:pStyle w:val="ABParagraph"/>
        <w:numPr>
          <w:ilvl w:val="0"/>
          <w:numId w:val="6"/>
        </w:numPr>
      </w:pPr>
      <w:r>
        <w:t>House of Commons (2022). The future of coastal communities. https://researchbriefings.files.parliament.uk/documents/CDP-2022-0153/CDP-2022-0153.pdf</w:t>
      </w:r>
    </w:p>
    <w:p w14:paraId="02ABF80B" w14:textId="77777777" w:rsidR="00CE1F6A" w:rsidRDefault="00CE1F6A" w:rsidP="00CE1F6A">
      <w:pPr>
        <w:pStyle w:val="ABParagraph"/>
        <w:numPr>
          <w:ilvl w:val="0"/>
          <w:numId w:val="6"/>
        </w:numPr>
      </w:pPr>
      <w:r>
        <w:t>House of Lords (2019). House of Lords Select Committee on Regenerating Seaside Towns and Communities: The future of seaside towns. HL Paper 320 , Report of Session 2017–19.</w:t>
      </w:r>
    </w:p>
    <w:p w14:paraId="1A576E54" w14:textId="77777777" w:rsidR="00CE1F6A" w:rsidRDefault="00CE1F6A" w:rsidP="00CE1F6A">
      <w:pPr>
        <w:pStyle w:val="ABParagraph"/>
        <w:numPr>
          <w:ilvl w:val="0"/>
          <w:numId w:val="6"/>
        </w:numPr>
      </w:pPr>
      <w:r>
        <w:t>House of Lords (2023). House of Lords Liaison Committee: The Future of Seaside Towns Follow-Up Report. 5th Report of Session 2022-23. Available online at: https://publications.parliament.uk/pa/ld5803/ldselect/ldliaison/235/235.pdf</w:t>
      </w:r>
    </w:p>
    <w:p w14:paraId="27304611" w14:textId="77777777" w:rsidR="00CE1F6A" w:rsidRDefault="00CE1F6A" w:rsidP="00CE1F6A">
      <w:pPr>
        <w:pStyle w:val="ABParagraph"/>
        <w:numPr>
          <w:ilvl w:val="0"/>
          <w:numId w:val="6"/>
        </w:numPr>
      </w:pPr>
      <w:r>
        <w:t>New Economic Foundation (2016). Turning Back to the Sea: A Blue New Deal to revitalise coastal communities. https://neweconomics.org/uploads/files/NEF-Blue-New-Deal-AP-HighRes.pdf</w:t>
      </w:r>
    </w:p>
    <w:p w14:paraId="01FCB17A" w14:textId="77777777" w:rsidR="00CE1F6A" w:rsidRDefault="00CE1F6A" w:rsidP="00CE1F6A">
      <w:pPr>
        <w:pStyle w:val="ABParagraph"/>
        <w:numPr>
          <w:ilvl w:val="0"/>
          <w:numId w:val="6"/>
        </w:numPr>
      </w:pPr>
      <w:r>
        <w:t>Ward, J. (2018). Down by the sea: visual arts, artists and coastal regeneration, International Journal of Cultural Policy, 24:1, 121-138.</w:t>
      </w:r>
    </w:p>
    <w:p w14:paraId="56314ABE" w14:textId="77777777" w:rsidR="00CE1F6A" w:rsidRDefault="00CE1F6A" w:rsidP="00CE1F6A">
      <w:pPr>
        <w:pStyle w:val="ABParagraph"/>
      </w:pPr>
    </w:p>
    <w:p w14:paraId="3C0D486C" w14:textId="77777777" w:rsidR="00CE1F6A" w:rsidRDefault="00CE1F6A" w:rsidP="00CE1F6A">
      <w:pPr>
        <w:pStyle w:val="ABParagraph"/>
      </w:pPr>
      <w:r>
        <w:br w:type="page"/>
      </w:r>
    </w:p>
    <w:p w14:paraId="6462B86E" w14:textId="2F496BB1" w:rsidR="00CE1F6A" w:rsidRDefault="00D43043" w:rsidP="00CE1F6A">
      <w:pPr>
        <w:pStyle w:val="ABSubhead"/>
      </w:pPr>
      <w:r>
        <w:lastRenderedPageBreak/>
        <w:t xml:space="preserve">O11. </w:t>
      </w:r>
      <w:r w:rsidR="00CE1F6A" w:rsidRPr="00CD05A8">
        <w:t>‘Two Cornwalls’: Exploring Innovative Solutions to Tackle Rural Housing Poverty Among Low‑Income Cornish Communities Through Affordable, Low‑Carbon Homes</w:t>
      </w:r>
    </w:p>
    <w:p w14:paraId="3A4A44CE" w14:textId="77777777" w:rsidR="00CE1F6A" w:rsidRPr="006C77A6" w:rsidRDefault="00CE1F6A" w:rsidP="00CE1F6A">
      <w:pPr>
        <w:pStyle w:val="ABParagraph"/>
      </w:pPr>
    </w:p>
    <w:p w14:paraId="4E3E5B71" w14:textId="77777777" w:rsidR="00CE1F6A" w:rsidRPr="00CD05A8" w:rsidRDefault="00CE1F6A" w:rsidP="00CE1F6A">
      <w:pPr>
        <w:pStyle w:val="AbstractBookAuthors"/>
        <w:rPr>
          <w:rFonts w:ascii="Noto Serif Light" w:hAnsi="Noto Serif Light" w:cs="Noto Serif Light"/>
        </w:rPr>
      </w:pPr>
      <w:r w:rsidRPr="00CD05A8">
        <w:rPr>
          <w:rStyle w:val="AbstractBookPresentingAuthor"/>
          <w:rFonts w:ascii="Noto Serif Light" w:hAnsi="Noto Serif Light" w:cs="Noto Serif Light"/>
        </w:rPr>
        <w:t xml:space="preserve">Dr </w:t>
      </w:r>
      <w:r>
        <w:rPr>
          <w:rStyle w:val="AbstractBookPresentingAuthor"/>
          <w:rFonts w:ascii="Noto Serif Light" w:hAnsi="Noto Serif Light" w:cs="Noto Serif Light"/>
        </w:rPr>
        <w:t>C</w:t>
      </w:r>
      <w:r w:rsidRPr="00CD05A8">
        <w:rPr>
          <w:rStyle w:val="AbstractBookPresentingAuthor"/>
          <w:rFonts w:ascii="Noto Serif Light" w:hAnsi="Noto Serif Light" w:cs="Noto Serif Light"/>
        </w:rPr>
        <w:t>hienling Lo</w:t>
      </w:r>
      <w:r w:rsidRPr="00CD05A8">
        <w:rPr>
          <w:rFonts w:ascii="Noto Serif Light" w:hAnsi="Noto Serif Light" w:cs="Noto Serif Light"/>
          <w:vertAlign w:val="superscript"/>
        </w:rPr>
        <w:t>1</w:t>
      </w:r>
    </w:p>
    <w:p w14:paraId="4946D844" w14:textId="77777777" w:rsidR="00CE1F6A" w:rsidRDefault="00CE1F6A" w:rsidP="00CE1F6A">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Birmingham City University, Birmingham, United Kingdom</w:t>
      </w:r>
    </w:p>
    <w:p w14:paraId="3DE376DB" w14:textId="77777777" w:rsidR="00CE1F6A" w:rsidRDefault="00CE1F6A" w:rsidP="00CE1F6A">
      <w:pPr>
        <w:pStyle w:val="AbstractBookBaseParagraph"/>
        <w:rPr>
          <w:rStyle w:val="AbstractBookBaseCharacterStyle"/>
          <w:rFonts w:ascii="Noto Serif Light" w:hAnsi="Noto Serif Light" w:cs="Noto Serif Light"/>
        </w:rPr>
      </w:pPr>
    </w:p>
    <w:p w14:paraId="5A537457" w14:textId="77777777" w:rsidR="00CE1F6A" w:rsidRPr="006C77A6" w:rsidRDefault="00CE1F6A" w:rsidP="00CE1F6A">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4EA32411"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Low‑income residents in Cornwall face increasingly severe pressures in securing quality housing—particularly low‑carbon homes—due to escalating property prices driven by second‑home ownership, tourism, and the expansion of short‑term rentals such as Airbnb. Drawing on a place‑based rural development perspective, this paper documents an exploratory process aimed at identifying innovative mechanisms to incentivise housing developers to deliver more affordable low‑carbon homes. The study responds to the acute challenges experienced by low‑income Cornish communities, especially the barriers to homeownership embedded within rural housing poverty and nested deprivation.</w:t>
      </w:r>
    </w:p>
    <w:p w14:paraId="63AB80AE" w14:textId="77777777" w:rsidR="00CE1F6A" w:rsidRDefault="00CE1F6A" w:rsidP="00CE1F6A">
      <w:pPr>
        <w:pStyle w:val="AbstractBookBaseParagraph"/>
        <w:rPr>
          <w:rFonts w:ascii="Noto Serif Light" w:hAnsi="Noto Serif Light" w:cs="Noto Serif Light"/>
        </w:rPr>
      </w:pPr>
    </w:p>
    <w:p w14:paraId="4574919D"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This research proposes an Innovative Planning‑Led Sustainability Model, developed through a project funded by the Cal Henderson Foundation. Drawing on the expertise of our interdisciplinary team, the project integrates the latest technologies and sustainable home‑design practices to enhance energy efficiency and demonstrate a replicable approach to future housing development. With the primary aim of incentivising housing developers to deliver more affordable low‑carbon homes, the model also investigates how local planning authorities can leverage their powers to request that developers commit to incorporating environmentally sustainable materials and design principles as conditions for granting planning permission. It provides a valuable tool for local planning authorities seeking to address the overheated rural housing market—particularly the growing influx of second‑home buyers. Centred on the case of Cornwall, the model aims to promote the delivery of low‑energy affordable housing while strengthening environmental priorities within local communities, thereby supporting progress toward net‑zero policy targets in rural England.</w:t>
      </w:r>
    </w:p>
    <w:p w14:paraId="24031E49" w14:textId="77777777" w:rsidR="00CE1F6A" w:rsidRDefault="00CE1F6A" w:rsidP="00CE1F6A">
      <w:pPr>
        <w:pStyle w:val="AbstractBookBaseParagraph"/>
        <w:rPr>
          <w:rFonts w:ascii="Noto Serif Light" w:hAnsi="Noto Serif Light" w:cs="Noto Serif Light"/>
        </w:rPr>
      </w:pPr>
    </w:p>
    <w:p w14:paraId="26AD9FBA"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The model was developed through a two‑stage research design. The first stage involved extensive secondary analysis of academic literature, government policy, and industry reports to construct an initial conceptual framework. This framework was subsequently refined through two focus‑group workshops employing thematic brainstorming and grounded theory. Insights generated through these workshops were analysed and integrated into the final model.</w:t>
      </w:r>
    </w:p>
    <w:p w14:paraId="6DD567CD" w14:textId="77777777" w:rsidR="00CE1F6A" w:rsidRPr="00CD05A8" w:rsidRDefault="00CE1F6A" w:rsidP="00CE1F6A">
      <w:pPr>
        <w:pStyle w:val="AbstractBookBaseParagraph"/>
        <w:rPr>
          <w:rFonts w:ascii="Noto Serif Light" w:hAnsi="Noto Serif Light" w:cs="Noto Serif Light"/>
        </w:rPr>
      </w:pPr>
    </w:p>
    <w:p w14:paraId="0BB031C5" w14:textId="318D168E" w:rsidR="00CE1F6A" w:rsidRDefault="00D43043" w:rsidP="00CE1F6A">
      <w:pPr>
        <w:pStyle w:val="ABSubhead"/>
      </w:pPr>
      <w:r>
        <w:t xml:space="preserve">O12. </w:t>
      </w:r>
      <w:r w:rsidR="00CE1F6A" w:rsidRPr="00CD05A8">
        <w:t>Building Resilient Regions Through Entrepreneurial Embeddedness: An Analysis of Social Enterprises as Key Drivers of Rural Ecosystems</w:t>
      </w:r>
    </w:p>
    <w:p w14:paraId="017205F9" w14:textId="77777777" w:rsidR="00CE1F6A" w:rsidRPr="00CD05A8" w:rsidRDefault="00CE1F6A" w:rsidP="00CE1F6A">
      <w:pPr>
        <w:pStyle w:val="ABParagraph"/>
      </w:pPr>
    </w:p>
    <w:p w14:paraId="0E5BC5CD" w14:textId="77777777" w:rsidR="00CE1F6A" w:rsidRPr="00CD05A8" w:rsidRDefault="00CE1F6A" w:rsidP="00CE1F6A">
      <w:pPr>
        <w:pStyle w:val="AbstractBookAuthors"/>
        <w:rPr>
          <w:rFonts w:ascii="Noto Serif Light" w:hAnsi="Noto Serif Light" w:cs="Noto Serif Light"/>
        </w:rPr>
      </w:pPr>
      <w:r w:rsidRPr="00CD05A8">
        <w:rPr>
          <w:rStyle w:val="AbstractBookPresentingAuthor"/>
          <w:rFonts w:ascii="Noto Serif Light" w:hAnsi="Noto Serif Light" w:cs="Noto Serif Light"/>
        </w:rPr>
        <w:t>Chiara Marzocchi</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 </w:t>
      </w:r>
      <w:r w:rsidRPr="00CD05A8">
        <w:rPr>
          <w:rStyle w:val="AbstractBookPresentingAuthor"/>
          <w:rFonts w:ascii="Noto Serif Light" w:hAnsi="Noto Serif Light" w:cs="Noto Serif Light"/>
        </w:rPr>
        <w:t>Anna Petra Ruoso</w:t>
      </w:r>
      <w:r w:rsidRPr="00CD05A8">
        <w:rPr>
          <w:rFonts w:ascii="Noto Serif Light" w:hAnsi="Noto Serif Light" w:cs="Noto Serif Light"/>
          <w:vertAlign w:val="superscript"/>
        </w:rPr>
        <w:t>2</w:t>
      </w:r>
    </w:p>
    <w:p w14:paraId="71C0009E" w14:textId="77777777" w:rsidR="00CE1F6A" w:rsidRDefault="00CE1F6A" w:rsidP="00CE1F6A">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University of Padova, Padova, Italy, </w:t>
      </w:r>
      <w:r w:rsidRPr="00CD05A8">
        <w:rPr>
          <w:rFonts w:ascii="Noto Serif Light" w:hAnsi="Noto Serif Light" w:cs="Noto Serif Light"/>
          <w:vertAlign w:val="superscript"/>
        </w:rPr>
        <w:t>2</w:t>
      </w:r>
      <w:r w:rsidRPr="00CD05A8">
        <w:rPr>
          <w:rStyle w:val="AbstractBookBaseCharacterStyle"/>
          <w:rFonts w:ascii="Noto Serif Light" w:hAnsi="Noto Serif Light" w:cs="Noto Serif Light"/>
        </w:rPr>
        <w:t>University of Southern Denmark, Odense, Denmark</w:t>
      </w:r>
    </w:p>
    <w:p w14:paraId="6DE4AD1C" w14:textId="77777777" w:rsidR="00CE1F6A" w:rsidRDefault="00CE1F6A" w:rsidP="00CE1F6A">
      <w:pPr>
        <w:pStyle w:val="AbstractBookBaseParagraph"/>
        <w:rPr>
          <w:rStyle w:val="AbstractBookBaseCharacterStyle"/>
          <w:rFonts w:ascii="Noto Serif Light" w:hAnsi="Noto Serif Light" w:cs="Noto Serif Light"/>
        </w:rPr>
      </w:pPr>
    </w:p>
    <w:p w14:paraId="78D20F91" w14:textId="77777777" w:rsidR="00CE1F6A" w:rsidRPr="00CD05A8" w:rsidRDefault="00CE1F6A" w:rsidP="00CE1F6A">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2DAC2C62"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This work investigates the contribution of Social Enterprises (SE) in sustaining territorial resilience and the place-based characteristics enabling them to become a focal actor in this process. We examine the role of SE in promoting inclusive and sustainable growth in areas with social and structural challenges, such as mountain areas, which present a unique set of constraints linked to declining economic and population dynamics. Building on a growing literature, we define social enterprises as companies whose primary purpose is the creation of social value through the fulfilment of market-oriented activities (Saebi et al., 2019; Roundy &amp; Bonnal, 2020). Managing peripheral and mountainous areas requires context-specific strategies that differ markedly from those designed for urban environments (Li &amp; Bosma, 2024). Social Enterprises are rooted in community, purpose, and adaptability (Richter, 2019) and embody a hybrid organisational logic combining entrepreneurial practices with social missions, participatory governance, and strong territorial embeddedness. However, such hybrid setting might introduce tensions in the selection and operationalisation of their mission, which can ultimately hamper their effectiveness and capability to drive inclusive growth.  This study therefore aims to investigate three broad research questions:</w:t>
      </w:r>
    </w:p>
    <w:p w14:paraId="412F6512" w14:textId="77777777" w:rsidR="00CE1F6A" w:rsidRPr="00CD05A8" w:rsidRDefault="00CE1F6A" w:rsidP="00CE1F6A">
      <w:pPr>
        <w:pStyle w:val="AbstractBookBaseParagraph"/>
        <w:rPr>
          <w:rFonts w:ascii="Noto Serif Light" w:hAnsi="Noto Serif Light" w:cs="Noto Serif Light"/>
        </w:rPr>
      </w:pPr>
    </w:p>
    <w:p w14:paraId="52454997"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RQ1. How do Social Enterprises navigate and balance their hybrid mission in the context of rural and mountain-specific socio-economic challenges?</w:t>
      </w:r>
    </w:p>
    <w:p w14:paraId="47250ED4" w14:textId="77777777" w:rsidR="00CE1F6A" w:rsidRPr="00CD05A8" w:rsidRDefault="00CE1F6A" w:rsidP="00CE1F6A">
      <w:pPr>
        <w:pStyle w:val="AbstractBookBaseParagraph"/>
        <w:rPr>
          <w:rFonts w:ascii="Noto Serif Light" w:hAnsi="Noto Serif Light" w:cs="Noto Serif Light"/>
        </w:rPr>
      </w:pPr>
    </w:p>
    <w:p w14:paraId="73B6C736"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RQ2. What institutional and territorial factors influence the operations and strategic direction of Social Enterprises?</w:t>
      </w:r>
    </w:p>
    <w:p w14:paraId="4605478C" w14:textId="77777777" w:rsidR="00CE1F6A" w:rsidRPr="00CD05A8" w:rsidRDefault="00CE1F6A" w:rsidP="00CE1F6A">
      <w:pPr>
        <w:pStyle w:val="AbstractBookBaseParagraph"/>
        <w:rPr>
          <w:rFonts w:ascii="Noto Serif Light" w:hAnsi="Noto Serif Light" w:cs="Noto Serif Light"/>
        </w:rPr>
      </w:pPr>
    </w:p>
    <w:p w14:paraId="5396931C"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RQ3. In what ways do Social Enterprises contribute to the social, economic, and environmental resilience of the communities they serve?</w:t>
      </w:r>
    </w:p>
    <w:p w14:paraId="52967D6D" w14:textId="77777777" w:rsidR="00CE1F6A" w:rsidRPr="00CD05A8" w:rsidRDefault="00CE1F6A" w:rsidP="00CE1F6A">
      <w:pPr>
        <w:pStyle w:val="AbstractBookBaseParagraph"/>
        <w:rPr>
          <w:rFonts w:ascii="Noto Serif Light" w:hAnsi="Noto Serif Light" w:cs="Noto Serif Light"/>
        </w:rPr>
      </w:pPr>
    </w:p>
    <w:p w14:paraId="725699C8"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We collect data from ten in-depth interviews with social enterprises in the area of Belluno (Italy) which is spread across the Italian Alps. Interviews focus on issues relating to mission and governance, relations with the local community and institutions, financial sustainability, and perceived territorial impact. By applying the Gioia methodology (Gioia el al., 2013), this work highlights three complex and evolving dimensions challenging social enterprises contribution to local growth and their capacity to provide sustainable pathways for local communities: territorial embeddedness and place-based resilience, social mission, participation and legitimacy, and institutional sustainability and adaptive capacity. </w:t>
      </w:r>
    </w:p>
    <w:p w14:paraId="7F569007"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Emerging policy implications from the analysis suggest social enterprises have an active and relevant role for their communities. First, they can be community sensors and intermediaries of local innovation. Rather than marginal actors, they are strategic partners in co-designing the future of peripheral and rural territories. Territorial policies should therefore systematically include social enterprises in decision-making processes related to local development, welfare planning, and regeneration initiatives. Second, policies should actively support inter-municipal cooperation and integrated territorial planning, with the direct involvement of social enterprises. Given the fragmentation of local governments in mountain areas and their limited administrative capacity, joint planning and service delivery models are essential. This could take the </w:t>
      </w:r>
      <w:r w:rsidRPr="00CD05A8">
        <w:rPr>
          <w:rFonts w:ascii="Noto Serif Light" w:hAnsi="Noto Serif Light" w:cs="Noto Serif Light"/>
        </w:rPr>
        <w:lastRenderedPageBreak/>
        <w:t>form of shared service consortia or inter-municipal agreements co-designed with social enterprises (e.g. for eldercare, cultural services, or mobility in remote villages).</w:t>
      </w:r>
    </w:p>
    <w:p w14:paraId="36E05ED8" w14:textId="77777777" w:rsidR="00CE1F6A" w:rsidRPr="00CD05A8" w:rsidRDefault="00CE1F6A" w:rsidP="00CE1F6A">
      <w:pPr>
        <w:pStyle w:val="AbstractBookBaseParagraph"/>
        <w:rPr>
          <w:rFonts w:ascii="Noto Serif Light" w:hAnsi="Noto Serif Light" w:cs="Noto Serif Light"/>
        </w:rPr>
      </w:pPr>
    </w:p>
    <w:p w14:paraId="58A35983"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In sum, territorial policy should converge towards enabling rural social enterprises to become key drivers of place-based regeneration. Through stronger internal practices (organisation, training, fair employment, networking) and supportive institutional frameworks (clear regulation, collaboration platforms, fiscal incentives), these organisations can consolidate their embeddedness and increase their adaptive capacity. Accordingly, social enterprises should be seen not as marginal actors, but as essential allies in building territorial resilience and driving regenerative transitions.</w:t>
      </w:r>
    </w:p>
    <w:p w14:paraId="0DADD6A7" w14:textId="77777777" w:rsidR="00CE1F6A" w:rsidRPr="00CD05A8" w:rsidRDefault="00CE1F6A" w:rsidP="00CE1F6A">
      <w:pPr>
        <w:pStyle w:val="AbstractBookBaseParagraph"/>
        <w:rPr>
          <w:rFonts w:ascii="Noto Serif Light" w:hAnsi="Noto Serif Light" w:cs="Noto Serif Light"/>
        </w:rPr>
      </w:pPr>
    </w:p>
    <w:p w14:paraId="611072E6" w14:textId="77777777" w:rsidR="00CE1F6A" w:rsidRPr="00CD05A8" w:rsidRDefault="00CE1F6A" w:rsidP="00CE1F6A">
      <w:pPr>
        <w:pStyle w:val="AbstractBookBaseParagraph"/>
        <w:rPr>
          <w:rFonts w:ascii="Noto Serif Light" w:hAnsi="Noto Serif Light" w:cs="Noto Serif Light"/>
          <w:b/>
          <w:bCs/>
        </w:rPr>
      </w:pPr>
      <w:r w:rsidRPr="00CD05A8">
        <w:rPr>
          <w:rFonts w:ascii="Noto Serif Light" w:hAnsi="Noto Serif Light" w:cs="Noto Serif Light"/>
          <w:b/>
          <w:bCs/>
        </w:rPr>
        <w:t>References</w:t>
      </w:r>
    </w:p>
    <w:p w14:paraId="4F14BE2A" w14:textId="77777777" w:rsidR="00CE1F6A" w:rsidRPr="00CD05A8" w:rsidRDefault="00CE1F6A" w:rsidP="00CE1F6A">
      <w:pPr>
        <w:pStyle w:val="AbstractBookBaseParagraph"/>
        <w:numPr>
          <w:ilvl w:val="0"/>
          <w:numId w:val="15"/>
        </w:numPr>
        <w:rPr>
          <w:rFonts w:ascii="Noto Serif Light" w:hAnsi="Noto Serif Light" w:cs="Noto Serif Light"/>
        </w:rPr>
      </w:pPr>
      <w:r w:rsidRPr="00CD05A8">
        <w:rPr>
          <w:rFonts w:ascii="Noto Serif Light" w:hAnsi="Noto Serif Light" w:cs="Noto Serif Light"/>
        </w:rPr>
        <w:t xml:space="preserve">Gioia, D. A., Corley, K. G., &amp; Hamilton, A. L. (2013). Seeking Qualitative Rigor in Inductive Research: Notes on the Gioia Methodology. Organizational Research Methods, 16(1), 15–31. https://doi.org/10.1177/1094428112452151. </w:t>
      </w:r>
    </w:p>
    <w:p w14:paraId="69D03E93" w14:textId="77777777" w:rsidR="00CE1F6A" w:rsidRPr="00CD05A8" w:rsidRDefault="00CE1F6A" w:rsidP="00CE1F6A">
      <w:pPr>
        <w:pStyle w:val="AbstractBookBaseParagraph"/>
        <w:numPr>
          <w:ilvl w:val="0"/>
          <w:numId w:val="15"/>
        </w:numPr>
        <w:rPr>
          <w:rFonts w:ascii="Noto Serif Light" w:hAnsi="Noto Serif Light" w:cs="Noto Serif Light"/>
        </w:rPr>
      </w:pPr>
      <w:r w:rsidRPr="00CD05A8">
        <w:rPr>
          <w:rFonts w:ascii="Noto Serif Light" w:hAnsi="Noto Serif Light" w:cs="Noto Serif Light"/>
        </w:rPr>
        <w:t xml:space="preserve">Li, X., &amp; Bosma, N. (2024). Institutional Theory in Social Entrepreneurship: A Review and Consideration of Ethics. Journal of Business Ethics. https://doi.org/10.1007/s10551-024-05882-x. </w:t>
      </w:r>
    </w:p>
    <w:p w14:paraId="74FD8E20" w14:textId="77777777" w:rsidR="00CE1F6A" w:rsidRPr="00CD05A8" w:rsidRDefault="00CE1F6A" w:rsidP="00CE1F6A">
      <w:pPr>
        <w:pStyle w:val="AbstractBookBaseParagraph"/>
        <w:numPr>
          <w:ilvl w:val="0"/>
          <w:numId w:val="15"/>
        </w:numPr>
        <w:rPr>
          <w:rFonts w:ascii="Noto Serif Light" w:hAnsi="Noto Serif Light" w:cs="Noto Serif Light"/>
        </w:rPr>
      </w:pPr>
      <w:r w:rsidRPr="00CD05A8">
        <w:rPr>
          <w:rFonts w:ascii="Noto Serif Light" w:hAnsi="Noto Serif Light" w:cs="Noto Serif Light"/>
        </w:rPr>
        <w:t xml:space="preserve">Richter, R. (2019). Rural social enterprises as embedded intermediaries: The innovative power of connecting rural communities with supra-regional networks. Journal of Rural Studies, 70, 179–187. https://doi.org/10.1016/j.jrurstud.2017.12.005. </w:t>
      </w:r>
    </w:p>
    <w:p w14:paraId="3E426413" w14:textId="77777777" w:rsidR="00CE1F6A" w:rsidRPr="00CD05A8" w:rsidRDefault="00CE1F6A" w:rsidP="00CE1F6A">
      <w:pPr>
        <w:pStyle w:val="AbstractBookBaseParagraph"/>
        <w:numPr>
          <w:ilvl w:val="0"/>
          <w:numId w:val="15"/>
        </w:numPr>
        <w:rPr>
          <w:rFonts w:ascii="Noto Serif Light" w:hAnsi="Noto Serif Light" w:cs="Noto Serif Light"/>
        </w:rPr>
      </w:pPr>
      <w:r w:rsidRPr="00CD05A8">
        <w:rPr>
          <w:rFonts w:ascii="Noto Serif Light" w:hAnsi="Noto Serif Light" w:cs="Noto Serif Light"/>
        </w:rPr>
        <w:t xml:space="preserve">Roundy, P. T., &amp; Bonnal, M. (2020). Social entrepreneurship and economic thought: A path to rapprochement. Global Business and Economics Review, 23(3), 280–301. https://doi.org/10.1504/GBER.2020.110014. </w:t>
      </w:r>
    </w:p>
    <w:p w14:paraId="14060FE3" w14:textId="77777777" w:rsidR="00CE1F6A" w:rsidRPr="00CD05A8" w:rsidRDefault="00CE1F6A" w:rsidP="00CE1F6A">
      <w:pPr>
        <w:pStyle w:val="AbstractBookBaseParagraph"/>
        <w:numPr>
          <w:ilvl w:val="0"/>
          <w:numId w:val="15"/>
        </w:numPr>
        <w:rPr>
          <w:rFonts w:ascii="Noto Serif Light" w:hAnsi="Noto Serif Light" w:cs="Noto Serif Light"/>
        </w:rPr>
      </w:pPr>
      <w:r w:rsidRPr="00CD05A8">
        <w:rPr>
          <w:rFonts w:ascii="Noto Serif Light" w:hAnsi="Noto Serif Light" w:cs="Noto Serif Light"/>
        </w:rPr>
        <w:t xml:space="preserve">Saebi, T., Foss, N. J., &amp; Linder, S. (2019). Social Entrepreneurship Research: Past Achievements and Future Promises. Journal of Management, 45(1), 70–95. https://doi.org/10.1177/0149206318793196. </w:t>
      </w:r>
    </w:p>
    <w:p w14:paraId="479C28EB" w14:textId="77777777" w:rsidR="00CE1F6A" w:rsidRPr="00CD05A8" w:rsidRDefault="00CE1F6A" w:rsidP="00CE1F6A">
      <w:pPr>
        <w:pStyle w:val="AbstractBookBaseParagraph"/>
        <w:rPr>
          <w:rFonts w:ascii="Noto Serif Light" w:hAnsi="Noto Serif Light" w:cs="Noto Serif Light"/>
        </w:rPr>
      </w:pPr>
    </w:p>
    <w:p w14:paraId="4CDA94B7"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br w:type="page"/>
      </w:r>
    </w:p>
    <w:p w14:paraId="30FD66BF" w14:textId="5516AEE5" w:rsidR="006457E8" w:rsidRDefault="006457E8" w:rsidP="006457E8">
      <w:pPr>
        <w:pStyle w:val="ABSubhead"/>
      </w:pPr>
      <w:r>
        <w:lastRenderedPageBreak/>
        <w:t xml:space="preserve">O13. </w:t>
      </w:r>
      <w:r w:rsidR="00405FF8" w:rsidRPr="00405FF8">
        <w:t xml:space="preserve">Old </w:t>
      </w:r>
      <w:r w:rsidR="00405FF8">
        <w:t>R</w:t>
      </w:r>
      <w:r w:rsidR="00405FF8" w:rsidRPr="00405FF8">
        <w:t xml:space="preserve">oots, New Routes: A Revaluation Perspective </w:t>
      </w:r>
      <w:r w:rsidR="00405FF8">
        <w:t>o</w:t>
      </w:r>
      <w:r w:rsidR="00405FF8" w:rsidRPr="00405FF8">
        <w:t xml:space="preserve">n </w:t>
      </w:r>
      <w:r w:rsidR="00405FF8">
        <w:t>t</w:t>
      </w:r>
      <w:r w:rsidR="00405FF8" w:rsidRPr="00405FF8">
        <w:t xml:space="preserve">he Geographies </w:t>
      </w:r>
      <w:r w:rsidR="00405FF8">
        <w:t>o</w:t>
      </w:r>
      <w:r w:rsidR="00405FF8" w:rsidRPr="00405FF8">
        <w:t>f Innovation</w:t>
      </w:r>
    </w:p>
    <w:p w14:paraId="045B86B5" w14:textId="77777777" w:rsidR="006457E8" w:rsidRPr="00167939" w:rsidRDefault="006457E8" w:rsidP="006457E8">
      <w:pPr>
        <w:pStyle w:val="ABParagraph"/>
      </w:pPr>
    </w:p>
    <w:p w14:paraId="464B6EA6" w14:textId="77777777" w:rsidR="006457E8" w:rsidRPr="00167939" w:rsidRDefault="006457E8" w:rsidP="006457E8">
      <w:pPr>
        <w:pStyle w:val="AbstractBookAuthors"/>
        <w:rPr>
          <w:rFonts w:ascii="Noto Serif Light" w:hAnsi="Noto Serif Light" w:cs="Noto Serif Light"/>
        </w:rPr>
      </w:pPr>
      <w:r w:rsidRPr="00167939">
        <w:rPr>
          <w:rStyle w:val="AbstractBookPresentingAuthor"/>
          <w:rFonts w:ascii="Noto Serif Light" w:hAnsi="Noto Serif Light" w:cs="Noto Serif Light"/>
        </w:rPr>
        <w:t>Sebastian Losacker</w:t>
      </w:r>
      <w:r w:rsidRPr="00167939">
        <w:rPr>
          <w:rFonts w:ascii="Noto Serif Light" w:hAnsi="Noto Serif Light" w:cs="Noto Serif Light"/>
          <w:vertAlign w:val="superscript"/>
        </w:rPr>
        <w:t>1</w:t>
      </w:r>
      <w:r w:rsidRPr="00167939">
        <w:rPr>
          <w:rStyle w:val="AbstractBookBaseCharacterStyle"/>
          <w:rFonts w:ascii="Noto Serif Light" w:hAnsi="Noto Serif Light" w:cs="Noto Serif Light"/>
        </w:rPr>
        <w:t>, Linda Luetkes</w:t>
      </w:r>
      <w:r w:rsidRPr="00167939">
        <w:rPr>
          <w:rFonts w:ascii="Noto Serif Light" w:hAnsi="Noto Serif Light" w:cs="Noto Serif Light"/>
          <w:vertAlign w:val="superscript"/>
        </w:rPr>
        <w:t>1</w:t>
      </w:r>
    </w:p>
    <w:p w14:paraId="56E0A62D" w14:textId="77777777" w:rsidR="006457E8" w:rsidRPr="00167939" w:rsidRDefault="006457E8" w:rsidP="006457E8">
      <w:pPr>
        <w:pStyle w:val="AbstractBookBaseParagraph"/>
        <w:rPr>
          <w:rStyle w:val="AbstractBookBaseCharacterStyle"/>
          <w:rFonts w:ascii="Noto Serif Light" w:hAnsi="Noto Serif Light" w:cs="Noto Serif Light"/>
        </w:rPr>
      </w:pPr>
      <w:r w:rsidRPr="00167939">
        <w:rPr>
          <w:rFonts w:ascii="Noto Serif Light" w:hAnsi="Noto Serif Light" w:cs="Noto Serif Light"/>
          <w:vertAlign w:val="superscript"/>
        </w:rPr>
        <w:t>1</w:t>
      </w:r>
      <w:r w:rsidRPr="00167939">
        <w:rPr>
          <w:rStyle w:val="AbstractBookBaseCharacterStyle"/>
          <w:rFonts w:ascii="Noto Serif Light" w:hAnsi="Noto Serif Light" w:cs="Noto Serif Light"/>
        </w:rPr>
        <w:t>Justus Liebig University Giessen,</w:t>
      </w:r>
      <w:r>
        <w:rPr>
          <w:rStyle w:val="AbstractBookBaseCharacterStyle"/>
          <w:rFonts w:ascii="Noto Serif Light" w:hAnsi="Noto Serif Light" w:cs="Noto Serif Light"/>
        </w:rPr>
        <w:t xml:space="preserve"> </w:t>
      </w:r>
      <w:r w:rsidRPr="00167939">
        <w:rPr>
          <w:rStyle w:val="AbstractBookBaseCharacterStyle"/>
          <w:rFonts w:ascii="Noto Serif Light" w:hAnsi="Noto Serif Light" w:cs="Noto Serif Light"/>
        </w:rPr>
        <w:t>Germany</w:t>
      </w:r>
    </w:p>
    <w:p w14:paraId="0353FE51" w14:textId="77777777" w:rsidR="006457E8" w:rsidRDefault="006457E8" w:rsidP="006457E8">
      <w:pPr>
        <w:pStyle w:val="AbstractBookBaseParagraph"/>
        <w:rPr>
          <w:rStyle w:val="AbstractBookBaseCharacterStyle"/>
        </w:rPr>
      </w:pPr>
    </w:p>
    <w:p w14:paraId="48502777" w14:textId="77777777" w:rsidR="006457E8" w:rsidRPr="00167939" w:rsidRDefault="006457E8" w:rsidP="006457E8">
      <w:pPr>
        <w:pStyle w:val="ABParagraph"/>
      </w:pPr>
      <w:r w:rsidRPr="00167939">
        <w:rPr>
          <w:rStyle w:val="AbstractBookBaseCharacterStyle"/>
          <w:rFonts w:ascii="Noto Serif Light" w:hAnsi="Noto Serif Light" w:cs="Noto Serif Light"/>
          <w:b/>
          <w:bCs/>
        </w:rPr>
        <w:t>Abstract:</w:t>
      </w:r>
    </w:p>
    <w:p w14:paraId="4606E95B" w14:textId="77777777" w:rsidR="006457E8" w:rsidRDefault="006457E8" w:rsidP="006457E8">
      <w:pPr>
        <w:pStyle w:val="ABParagraph"/>
      </w:pPr>
      <w:r>
        <w:t xml:space="preserve">In current debates on sustainability transitions, innovation and the creation of new knowledge are emphasised as key to addressing global ecological and societal challenges (Binz &amp; Castaldi, 2024; Coenen &amp; Morgan, 2020). However, technologically optimistic visions and dominant understandings of progress often overlook that many traditional practices and alternative knowledge systems were already sustainable in the past. In many cases, these have been replaced by modern, supposedly more efficient alternatives that are in fact associated with higher resource consumption, rising emissions, and environmental degradation (Boschma et al., 2025; Struiver, 2006). Alongside the creation of new knowledge, processes of remembering, reinterpreting, and revitalising past and seemingly obsolete practices can therefore offer valuable contributions to addressing contemporary challenges and fostering sustainable change (Zagata et al., 2020). </w:t>
      </w:r>
    </w:p>
    <w:p w14:paraId="123332D6" w14:textId="77777777" w:rsidR="006457E8" w:rsidRDefault="006457E8" w:rsidP="006457E8">
      <w:pPr>
        <w:pStyle w:val="ABParagraph"/>
      </w:pPr>
    </w:p>
    <w:p w14:paraId="5131E900" w14:textId="77777777" w:rsidR="006457E8" w:rsidRDefault="006457E8" w:rsidP="006457E8">
      <w:pPr>
        <w:pStyle w:val="ABParagraph"/>
      </w:pPr>
      <w:r>
        <w:t>To better understand how traditional knowledge can be integrated into contemporary innovation processes, we introduce the notion of Geographies of Revaluation. Rather than focusing solely on the production of new technological knowledge, this perspective conceptualises innovation as a dynamic process through which traditional knowledge is recognised, strategically mobilised, and adapted to new contexts (Sedita, 2024). The framework explicitly integrates temporal and spatial dimensions into the analysis of innovation and value formation. Structured as a three-phase process, it highlights how the (re)creation of knowledge and processes of (re)valuation shift over time between local practices and the circulation of ideas through global networks and institutional arenas (Binz &amp; Truffer, 2017; Heinich, 2020). In line with recent calls to decolonise transition research and rethink prevailing Eurocentric frameworks, this approach recognises the plurality of knowledge systems and the situatedness of sustainability transitions (Ghosh et al., 2021).</w:t>
      </w:r>
    </w:p>
    <w:p w14:paraId="02C473C1" w14:textId="77777777" w:rsidR="006457E8" w:rsidRDefault="006457E8" w:rsidP="006457E8">
      <w:pPr>
        <w:pStyle w:val="ABParagraph"/>
      </w:pPr>
    </w:p>
    <w:p w14:paraId="459962EB" w14:textId="77777777" w:rsidR="006457E8" w:rsidRDefault="006457E8" w:rsidP="006457E8">
      <w:pPr>
        <w:pStyle w:val="ABParagraph"/>
      </w:pPr>
      <w:r>
        <w:t>Empirically, the framework is illustrated through a case study on the revaluation of bamboo in the Indian construction sector. Bamboo has long served as a traditional building material in India, valued for its climatic adaptability and affordability. However, under the influence of Western notions of progress and modernity, it has gradually been replaced by materials such as glass, steel, and concrete, and is now largely associated with rural and low-income contexts (Adebowale &amp; Agumba, 2024). In recent years, however, growing awareness of climate change and rising temperatures has prompted a critical reassessment of Western construction paradigms and a revaluation of traditional, more sustainable, and locally adapted approaches.</w:t>
      </w:r>
    </w:p>
    <w:p w14:paraId="2874A6DE" w14:textId="77777777" w:rsidR="006457E8" w:rsidRDefault="006457E8" w:rsidP="006457E8">
      <w:pPr>
        <w:pStyle w:val="ABParagraph"/>
      </w:pPr>
    </w:p>
    <w:p w14:paraId="1E3266CC" w14:textId="77777777" w:rsidR="006457E8" w:rsidRDefault="006457E8" w:rsidP="006457E8">
      <w:pPr>
        <w:pStyle w:val="ABParagraph"/>
      </w:pPr>
      <w:r>
        <w:t xml:space="preserve">This process of revaluation unfolds across multiple scales: locally, through the revival of traditional knowledge and renewed appreciation of attributes such as availability, affordability, and climate adaptability; and globally, through emerging sustainability narratives, evolving aesthetic and design discourses, technical improvements of the </w:t>
      </w:r>
      <w:r>
        <w:lastRenderedPageBreak/>
        <w:t>material and institutional frameworks that reassign value to bamboo. The findings demonstrate how the value of knowledge, materials, and practices shifts across time and space, as processes of remembering, reinterpretation, and institutionalisation transform the status of the ‘old’ into something newly relevant. Recognising these dynamics, the concept of Geographies of Revaluation contributes to the theorisation of sustainability transitions by challenging dominant Western paradigms of innovation and progress, and by highlighting that socio-technical change is not a linear, forward-moving process but involves cyclical patterns of reinterpretation and renewal.</w:t>
      </w:r>
    </w:p>
    <w:p w14:paraId="0E9E52EA" w14:textId="77777777" w:rsidR="006457E8" w:rsidRDefault="006457E8" w:rsidP="006457E8">
      <w:pPr>
        <w:pStyle w:val="ABParagraph"/>
      </w:pPr>
    </w:p>
    <w:p w14:paraId="6ADF9453" w14:textId="77777777" w:rsidR="006457E8" w:rsidRPr="00167939" w:rsidRDefault="006457E8" w:rsidP="006457E8">
      <w:pPr>
        <w:pStyle w:val="ABParagraph"/>
        <w:rPr>
          <w:b/>
          <w:bCs/>
        </w:rPr>
      </w:pPr>
      <w:r w:rsidRPr="00167939">
        <w:rPr>
          <w:b/>
          <w:bCs/>
        </w:rPr>
        <w:t>References</w:t>
      </w:r>
    </w:p>
    <w:p w14:paraId="1E4A32A2" w14:textId="77777777" w:rsidR="006457E8" w:rsidRDefault="006457E8" w:rsidP="006457E8">
      <w:pPr>
        <w:pStyle w:val="ABParagraph"/>
        <w:numPr>
          <w:ilvl w:val="0"/>
          <w:numId w:val="8"/>
        </w:numPr>
      </w:pPr>
      <w:r>
        <w:t>Adebowale, O. J., &amp; Agumba, J. N. (2024). Bamboo in sustainable construction: effects on productivity and safety. International Journal of Productivity and Performance Management, 74(11), 1–20. https://doi.org/10.1108/IJPPM-06-2023-0307</w:t>
      </w:r>
    </w:p>
    <w:p w14:paraId="1F853BB5" w14:textId="77777777" w:rsidR="006457E8" w:rsidRDefault="006457E8" w:rsidP="006457E8">
      <w:pPr>
        <w:pStyle w:val="ABParagraph"/>
        <w:numPr>
          <w:ilvl w:val="0"/>
          <w:numId w:val="8"/>
        </w:numPr>
      </w:pPr>
      <w:r>
        <w:t>Binz, C., &amp; Castaldi, C. (2024). Toward a normative turn in research on the geography of innovation? Evolving perspectives on innovation, institutions, and human well-being. Progress in Economic Geography, 2(2), 100018. https://doi.org/10.1016/j.peg.2024.100018</w:t>
      </w:r>
    </w:p>
    <w:p w14:paraId="555053D6" w14:textId="77777777" w:rsidR="006457E8" w:rsidRDefault="006457E8" w:rsidP="006457E8">
      <w:pPr>
        <w:pStyle w:val="ABParagraph"/>
        <w:numPr>
          <w:ilvl w:val="0"/>
          <w:numId w:val="8"/>
        </w:numPr>
      </w:pPr>
      <w:r>
        <w:t>Binz, C., &amp; Truffer, B. (2017). Global Innovation Systems—A conceptual framework for innovation dynamics in transnational contexts. Research Policy, 46(7), 1284–1298. https://doi.org/10.1016/j.respol.2017.05.012</w:t>
      </w:r>
    </w:p>
    <w:p w14:paraId="05AD24B8" w14:textId="77777777" w:rsidR="006457E8" w:rsidRDefault="006457E8" w:rsidP="006457E8">
      <w:pPr>
        <w:pStyle w:val="ABParagraph"/>
        <w:numPr>
          <w:ilvl w:val="0"/>
          <w:numId w:val="8"/>
        </w:numPr>
      </w:pPr>
      <w:r>
        <w:t>Boschma, R., Fitjar, R. D., Giuliani, E., &amp; Iammarino, S. (2025). Unseen costs: the inequities of the geography of innovation. Regional Studies, Article 2445594. Advance online publication. https://doi.org/10.1080/00343404.2024.2445594</w:t>
      </w:r>
    </w:p>
    <w:p w14:paraId="5E665081" w14:textId="77777777" w:rsidR="006457E8" w:rsidRDefault="006457E8" w:rsidP="006457E8">
      <w:pPr>
        <w:pStyle w:val="ABParagraph"/>
        <w:numPr>
          <w:ilvl w:val="0"/>
          <w:numId w:val="8"/>
        </w:numPr>
      </w:pPr>
      <w:r>
        <w:t>Coenen, L., &amp; Morgan, K. (2020). Evolving geographies of innovation: existing paradigms, critiques and possible alternatives. Norsk Geografisk Tidsskrift - Norwegian Journal of Geography, 74(1), 13–24. https://doi.org/10.1080/00291951.2019.1692065</w:t>
      </w:r>
    </w:p>
    <w:p w14:paraId="162B3E68" w14:textId="77777777" w:rsidR="006457E8" w:rsidRDefault="006457E8" w:rsidP="006457E8">
      <w:pPr>
        <w:pStyle w:val="ABParagraph"/>
        <w:numPr>
          <w:ilvl w:val="0"/>
          <w:numId w:val="8"/>
        </w:numPr>
      </w:pPr>
      <w:r>
        <w:t>Ghosh, B., Ramos-Mejía, M., Machado, R. C., Yuana, S. L., &amp; Schiller, K. (2021). Decolonising transitions in the Global South: Towards more epistemic diversity in transitions research. Environmental Innovation and Societal Transitions, 41, 106–109. https://doi.org/10.1016/j.eist.2021.10.029</w:t>
      </w:r>
    </w:p>
    <w:p w14:paraId="1405D195" w14:textId="77777777" w:rsidR="006457E8" w:rsidRDefault="006457E8" w:rsidP="006457E8">
      <w:pPr>
        <w:pStyle w:val="ABParagraph"/>
        <w:numPr>
          <w:ilvl w:val="0"/>
          <w:numId w:val="8"/>
        </w:numPr>
      </w:pPr>
      <w:r>
        <w:t>Heinich, N. (2020). A Pragmatic Redefinition of Value(s): Toward a General Model of Valuation. Theory, Culture &amp; Society, 37(5), 75–94. https://doi.org/10.1177/0263276420915993</w:t>
      </w:r>
    </w:p>
    <w:p w14:paraId="3E4604A4" w14:textId="77777777" w:rsidR="006457E8" w:rsidRDefault="006457E8" w:rsidP="006457E8">
      <w:pPr>
        <w:pStyle w:val="ABParagraph"/>
        <w:numPr>
          <w:ilvl w:val="0"/>
          <w:numId w:val="8"/>
        </w:numPr>
      </w:pPr>
      <w:r>
        <w:t>Sedita, S. R. (2024). Responsible innovation for addressing grand societal challenges: the role of social innovation, exaptation, and retrovation. European Planning Studies, 32(9), 1885–1907. https://doi.org/10.1080/09654313.2024.2351167</w:t>
      </w:r>
    </w:p>
    <w:p w14:paraId="1F2CD44F" w14:textId="77777777" w:rsidR="006457E8" w:rsidRDefault="006457E8" w:rsidP="006457E8">
      <w:pPr>
        <w:pStyle w:val="ABParagraph"/>
        <w:numPr>
          <w:ilvl w:val="0"/>
          <w:numId w:val="8"/>
        </w:numPr>
      </w:pPr>
      <w:r>
        <w:t>Struiver, M. (2006). Highlighting the Retro Side of Innovation and its Potential for Regime Change in Agriculture. Research in Rural Sociology and Development, 12, 147–173. https://doi.org/10.1016/S1057-1922(06)12007-7</w:t>
      </w:r>
    </w:p>
    <w:p w14:paraId="15D98E2E" w14:textId="77777777" w:rsidR="006457E8" w:rsidRDefault="006457E8" w:rsidP="006457E8">
      <w:pPr>
        <w:pStyle w:val="ABParagraph"/>
        <w:numPr>
          <w:ilvl w:val="0"/>
          <w:numId w:val="8"/>
        </w:numPr>
      </w:pPr>
      <w:r>
        <w:t>Zagata, L., Sutherland, L.</w:t>
      </w:r>
      <w:r>
        <w:rPr>
          <w:rFonts w:ascii="Cambria Math" w:hAnsi="Cambria Math" w:cs="Cambria Math"/>
        </w:rPr>
        <w:t>‑</w:t>
      </w:r>
      <w:r>
        <w:t>A., Hrab</w:t>
      </w:r>
      <w:r>
        <w:rPr>
          <w:rFonts w:ascii="Calibri" w:hAnsi="Calibri" w:cs="Calibri"/>
        </w:rPr>
        <w:t>á</w:t>
      </w:r>
      <w:r>
        <w:t>k, J., &amp; Lostak, M. (2020). Mobilising the Past: Towards a Conceptualisation of Retro</w:t>
      </w:r>
      <w:r>
        <w:rPr>
          <w:rFonts w:ascii="Calibri" w:hAnsi="Calibri" w:cs="Calibri"/>
        </w:rPr>
        <w:t>‐</w:t>
      </w:r>
      <w:r>
        <w:t>Innovation. Sociologia Ruralis, 60(3), 639</w:t>
      </w:r>
      <w:r>
        <w:rPr>
          <w:rFonts w:ascii="Calibri" w:hAnsi="Calibri" w:cs="Calibri"/>
        </w:rPr>
        <w:t>–</w:t>
      </w:r>
      <w:r>
        <w:t>660. https://doi.org/10.1111/soru.12310</w:t>
      </w:r>
    </w:p>
    <w:p w14:paraId="56302605" w14:textId="77777777" w:rsidR="006457E8" w:rsidRDefault="006457E8" w:rsidP="006457E8">
      <w:pPr>
        <w:pStyle w:val="AbstractBookBaseParagraph"/>
      </w:pPr>
    </w:p>
    <w:p w14:paraId="102F6736" w14:textId="77777777" w:rsidR="006457E8" w:rsidRDefault="006457E8" w:rsidP="006457E8">
      <w:pPr>
        <w:pStyle w:val="AbstractBookBaseParagraph"/>
      </w:pPr>
      <w:r>
        <w:br w:type="page"/>
      </w:r>
    </w:p>
    <w:p w14:paraId="092E3D3C" w14:textId="2D657BC4" w:rsidR="00CE1F6A" w:rsidRDefault="00D43043" w:rsidP="00CE1F6A">
      <w:pPr>
        <w:pStyle w:val="ABSubhead"/>
      </w:pPr>
      <w:r>
        <w:lastRenderedPageBreak/>
        <w:t xml:space="preserve">O14. </w:t>
      </w:r>
      <w:r w:rsidR="00CE1F6A" w:rsidRPr="00CD05A8">
        <w:t>Retrovation for Sustainability: Linking Past Knowledge, Innovation Reconfiguration, and Sustainability Outcomes</w:t>
      </w:r>
    </w:p>
    <w:p w14:paraId="4DEFD7F3" w14:textId="77777777" w:rsidR="00CE1F6A" w:rsidRPr="00103F5E" w:rsidRDefault="00CE1F6A" w:rsidP="00CE1F6A">
      <w:pPr>
        <w:pStyle w:val="ABParagraph"/>
      </w:pPr>
    </w:p>
    <w:p w14:paraId="053C651D" w14:textId="77777777" w:rsidR="00CE1F6A" w:rsidRPr="00CD05A8" w:rsidRDefault="00CE1F6A" w:rsidP="00CE1F6A">
      <w:pPr>
        <w:pStyle w:val="AbstractBookAuthors"/>
        <w:rPr>
          <w:rFonts w:ascii="Noto Serif Light" w:hAnsi="Noto Serif Light" w:cs="Noto Serif Light"/>
        </w:rPr>
      </w:pPr>
      <w:r w:rsidRPr="00CD05A8">
        <w:rPr>
          <w:rStyle w:val="AbstractBookPresentingAuthor"/>
          <w:rFonts w:ascii="Noto Serif Light" w:hAnsi="Noto Serif Light" w:cs="Noto Serif Light"/>
        </w:rPr>
        <w:t>Silvia Rita Sedita</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 </w:t>
      </w:r>
      <w:commentRangeStart w:id="23"/>
      <w:r w:rsidRPr="00CD05A8">
        <w:rPr>
          <w:rStyle w:val="AbstractBookBaseCharacterStyle"/>
          <w:rFonts w:ascii="Noto Serif Light" w:hAnsi="Noto Serif Light" w:cs="Noto Serif Light"/>
        </w:rPr>
        <w:t>Amir Maghssudipour, Lorenzo Guerrini</w:t>
      </w:r>
      <w:commentRangeEnd w:id="23"/>
      <w:r w:rsidRPr="00CD05A8">
        <w:rPr>
          <w:rStyle w:val="CommentReference"/>
          <w:rFonts w:ascii="Noto Serif Light" w:hAnsi="Noto Serif Light" w:cs="Noto Serif Light"/>
          <w:sz w:val="24"/>
          <w:szCs w:val="24"/>
        </w:rPr>
        <w:commentReference w:id="23"/>
      </w:r>
    </w:p>
    <w:p w14:paraId="78FFC939" w14:textId="77777777" w:rsidR="00CE1F6A" w:rsidRDefault="00CE1F6A" w:rsidP="00CE1F6A">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University of Padova, Padova, Italy</w:t>
      </w:r>
    </w:p>
    <w:p w14:paraId="07D778AF" w14:textId="77777777" w:rsidR="00CE1F6A" w:rsidRDefault="00CE1F6A" w:rsidP="00CE1F6A">
      <w:pPr>
        <w:pStyle w:val="AbstractBookBaseParagraph"/>
        <w:rPr>
          <w:rStyle w:val="AbstractBookBaseCharacterStyle"/>
          <w:rFonts w:ascii="Noto Serif Light" w:hAnsi="Noto Serif Light" w:cs="Noto Serif Light"/>
        </w:rPr>
      </w:pPr>
    </w:p>
    <w:p w14:paraId="703D977B" w14:textId="77777777" w:rsidR="00CE1F6A" w:rsidRPr="00103F5E" w:rsidRDefault="00CE1F6A" w:rsidP="00CE1F6A">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05E93596"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Retrovation denotes an innovation process that deliberately retrieves past knowledge, practices, or artefacts that have undergone temporal discontinuity and reconfigures them to address contemporary challenges. We develop a process model and three testable propositions that connect backward- looking retrieval to translation/hybridization, legitimation and scaling choices, and sustainability outcomes. Building on recent work that clarifies the concept and proposes a typology of retrovation based on market motivations and knowledge reconfiguration, this paper develops a specific framework of how retrovative initiatives generate sustainability outcomes and trade-offs. First, we propose an operational definition and boundaries that distinguish retrovation from adjacent phenomena like heritage marketing, mere replication, and tradition-based incremental change. Second, we design a process model that links antecedents, mechanisms (retrieval, translation/hybridization, and legitimation-scaling), and outcomes. Finally, we offer an impact matrix that connects different retrovation forms to environmental, social, and economic dimensions of sustainability. The framework is illustrated through a purposeful set of cases from the agrofood sector. </w:t>
      </w:r>
    </w:p>
    <w:p w14:paraId="5EB95E2F"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br w:type="page"/>
      </w:r>
    </w:p>
    <w:p w14:paraId="7F81132D" w14:textId="08C0A994" w:rsidR="00CE1F6A" w:rsidRDefault="00D43043" w:rsidP="00CE1F6A">
      <w:pPr>
        <w:pStyle w:val="ABSubhead"/>
      </w:pPr>
      <w:r>
        <w:lastRenderedPageBreak/>
        <w:t xml:space="preserve">O15. </w:t>
      </w:r>
      <w:r w:rsidR="00CE1F6A" w:rsidRPr="00CD05A8">
        <w:t xml:space="preserve">Promise You </w:t>
      </w:r>
      <w:r w:rsidR="00CE1F6A">
        <w:t>a</w:t>
      </w:r>
      <w:r w:rsidR="00CE1F6A" w:rsidRPr="00CD05A8">
        <w:t xml:space="preserve"> Miracle? The Evolution </w:t>
      </w:r>
      <w:r w:rsidR="00CE1F6A">
        <w:t>o</w:t>
      </w:r>
      <w:r w:rsidR="00CE1F6A" w:rsidRPr="00CD05A8">
        <w:t xml:space="preserve">f Norwegian Cod Farming </w:t>
      </w:r>
    </w:p>
    <w:p w14:paraId="15C99837" w14:textId="77777777" w:rsidR="00CE1F6A" w:rsidRPr="006F57EB" w:rsidRDefault="00CE1F6A" w:rsidP="00CE1F6A">
      <w:pPr>
        <w:pStyle w:val="ABParagraph"/>
      </w:pPr>
    </w:p>
    <w:p w14:paraId="71E13AFD" w14:textId="77777777" w:rsidR="00CE1F6A" w:rsidRPr="00E30F49" w:rsidRDefault="00CE1F6A" w:rsidP="00CE1F6A">
      <w:pPr>
        <w:pStyle w:val="AbstractBookAuthors"/>
        <w:rPr>
          <w:rFonts w:ascii="Noto Serif Light" w:hAnsi="Noto Serif Light" w:cs="Noto Serif Light"/>
          <w:vertAlign w:val="superscript"/>
        </w:rPr>
      </w:pPr>
      <w:r w:rsidRPr="00CD05A8">
        <w:rPr>
          <w:rStyle w:val="AbstractBookPresentingAuthor"/>
          <w:rFonts w:ascii="Noto Serif Light" w:hAnsi="Noto Serif Light" w:cs="Noto Serif Light"/>
        </w:rPr>
        <w:t>Stig-Erik Jakobsen</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Svein Gunnar Sjøtun</w:t>
      </w:r>
      <w:r>
        <w:rPr>
          <w:rStyle w:val="AbstractBookBaseCharacterStyle"/>
          <w:rFonts w:ascii="Noto Serif Light" w:hAnsi="Noto Serif Light" w:cs="Noto Serif Light"/>
          <w:vertAlign w:val="superscript"/>
        </w:rPr>
        <w:t>1</w:t>
      </w:r>
      <w:r w:rsidRPr="00CD05A8">
        <w:rPr>
          <w:rStyle w:val="AbstractBookBaseCharacterStyle"/>
          <w:rFonts w:ascii="Noto Serif Light" w:hAnsi="Noto Serif Light" w:cs="Noto Serif Light"/>
        </w:rPr>
        <w:t>, Nanthini Nagarajah</w:t>
      </w:r>
      <w:r>
        <w:rPr>
          <w:rStyle w:val="AbstractBookBaseCharacterStyle"/>
          <w:rFonts w:ascii="Noto Serif Light" w:hAnsi="Noto Serif Light" w:cs="Noto Serif Light"/>
          <w:vertAlign w:val="superscript"/>
        </w:rPr>
        <w:t>1</w:t>
      </w:r>
      <w:r w:rsidRPr="00CD05A8">
        <w:rPr>
          <w:rStyle w:val="AbstractBookBaseCharacterStyle"/>
          <w:rFonts w:ascii="Noto Serif Light" w:hAnsi="Noto Serif Light" w:cs="Noto Serif Light"/>
        </w:rPr>
        <w:t>, Bernt Aarset</w:t>
      </w:r>
      <w:r>
        <w:rPr>
          <w:rStyle w:val="AbstractBookBaseCharacterStyle"/>
          <w:rFonts w:ascii="Noto Serif Light" w:hAnsi="Noto Serif Light" w:cs="Noto Serif Light"/>
          <w:vertAlign w:val="superscript"/>
        </w:rPr>
        <w:t>2</w:t>
      </w:r>
    </w:p>
    <w:p w14:paraId="68A0E0E9" w14:textId="77777777" w:rsidR="00CE1F6A" w:rsidRPr="00E30F49" w:rsidRDefault="00CE1F6A" w:rsidP="00CE1F6A">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Western Norway University of Applied Sciences, Norway</w:t>
      </w:r>
      <w:r>
        <w:rPr>
          <w:rStyle w:val="AbstractBookBaseCharacterStyle"/>
          <w:rFonts w:ascii="Noto Serif Light" w:hAnsi="Noto Serif Light" w:cs="Noto Serif Light"/>
        </w:rPr>
        <w:t xml:space="preserve">, </w:t>
      </w:r>
      <w:r>
        <w:rPr>
          <w:rStyle w:val="AbstractBookBaseCharacterStyle"/>
          <w:rFonts w:ascii="Noto Serif Light" w:hAnsi="Noto Serif Light" w:cs="Noto Serif Light"/>
          <w:vertAlign w:val="superscript"/>
        </w:rPr>
        <w:t>2</w:t>
      </w:r>
      <w:r>
        <w:rPr>
          <w:rStyle w:val="AbstractBookBaseCharacterStyle"/>
          <w:rFonts w:ascii="Noto Serif Light" w:hAnsi="Noto Serif Light" w:cs="Noto Serif Light"/>
        </w:rPr>
        <w:t xml:space="preserve">Norway University of Life Sciences, </w:t>
      </w:r>
      <w:r w:rsidRPr="00E30F49">
        <w:rPr>
          <w:rFonts w:ascii="Noto Serif Light" w:hAnsi="Noto Serif Light" w:cs="Noto Serif Light"/>
          <w:lang w:val="en-GB"/>
        </w:rPr>
        <w:t>Ås</w:t>
      </w:r>
      <w:r>
        <w:rPr>
          <w:rFonts w:ascii="Noto Serif Light" w:hAnsi="Noto Serif Light" w:cs="Noto Serif Light"/>
          <w:lang w:val="en-GB"/>
        </w:rPr>
        <w:t>, Norway</w:t>
      </w:r>
    </w:p>
    <w:p w14:paraId="7EE14526" w14:textId="77777777" w:rsidR="00CE1F6A" w:rsidRDefault="00CE1F6A" w:rsidP="00CE1F6A">
      <w:pPr>
        <w:pStyle w:val="AbstractBookBaseParagraph"/>
        <w:rPr>
          <w:rStyle w:val="AbstractBookBaseCharacterStyle"/>
          <w:rFonts w:ascii="Noto Serif Light" w:hAnsi="Noto Serif Light" w:cs="Noto Serif Light"/>
        </w:rPr>
      </w:pPr>
    </w:p>
    <w:p w14:paraId="2326C256" w14:textId="77777777" w:rsidR="00CE1F6A" w:rsidRPr="006F57EB" w:rsidRDefault="00CE1F6A" w:rsidP="00CE1F6A">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20FA16B7"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This paper intends to explore the ups and downs of an emerging industry path, using the Norwegian cod-farming sector as an empirical example. The spectacular success of salmon farming since its introduction in the 1970s raised expectations that other species would follow, generating a portfolio of profitable aquaculture ventures in Norway (Aarset &amp; Jakobsen, 2015). Among these new species, cod farming has attracted the most attention, yet its history since the late 1980s has resembled a roller coaster. Ambitious plans and strategies have repeatedly been followed by production declines and recessions. Nevertheless, optimism persists, and production has recently begun to recover.</w:t>
      </w:r>
    </w:p>
    <w:p w14:paraId="35462A2C" w14:textId="77777777" w:rsidR="00CE1F6A" w:rsidRPr="00CD05A8" w:rsidRDefault="00CE1F6A" w:rsidP="00CE1F6A">
      <w:pPr>
        <w:pStyle w:val="AbstractBookBaseParagraph"/>
        <w:rPr>
          <w:rFonts w:ascii="Noto Serif Light" w:hAnsi="Noto Serif Light" w:cs="Noto Serif Light"/>
        </w:rPr>
      </w:pPr>
    </w:p>
    <w:p w14:paraId="5FCC9C98"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We analyse the evolution of the cod-farming industry through the lens of evolutionary economic geography (EEG). While EEG is well suited to examining the emergence and development of new industry paths (MacKinnon et al., 2019; Njøs et al., 2020), it has been criticised for neglecting history to the extent one might not expect (Martin &amp; Sunley, 2022; Jakobsen &amp; Fløysand, 2025). Any discipline that labels itself ‘evolutionary’ should, by definition, investigate how its subject changes over time (Henning, 2019). Consequently, EEG research should adopt history-informed strategies and causal investigations that illuminate an industry’s trajectory. Martin and Sunley (2022) call for EEG and path-dependence theory to embrace historical cognisance (Kipping &amp; Üsdiken, 2014), an approach that ‘examines the specific features of economic change in particular times and places and explains conditional sequences and conjunctures of processes’ (Martin &amp; Sunley, 2022, p. 10). Implementing historical cognisance requires analysts to consider period effects and historical contingencies as integral to their explanations. It also demands an understanding of how pivotal events are embedded in time- and place-specific contexts, and how the evolving interplay between actors and structures has shaped industry development. Furthermore, studies should theorise the links between context and outcome by unpacking the mechanisms of change (Martin &amp; Sunley, 2022).</w:t>
      </w:r>
    </w:p>
    <w:p w14:paraId="47A05F6A" w14:textId="77777777" w:rsidR="00CE1F6A" w:rsidRPr="00CD05A8" w:rsidRDefault="00CE1F6A" w:rsidP="00CE1F6A">
      <w:pPr>
        <w:pStyle w:val="AbstractBookBaseParagraph"/>
        <w:rPr>
          <w:rFonts w:ascii="Noto Serif Light" w:hAnsi="Noto Serif Light" w:cs="Noto Serif Light"/>
        </w:rPr>
      </w:pPr>
    </w:p>
    <w:p w14:paraId="6E794A6F"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To explain the roller-coaster history of cod farming, we combine a historically oriented EEG analysis with the concept of hype cycles. Hype cycles describe recurrent patterns of enthusiasm and disillusionment associated with new technologies or innovations, potentially unfolding in emerging industry paths. They feature perceived opportunities for extraordinary profits that trigger price spikes and stimulate investment in new technologies, products and market opportunities (Blosch &amp; Fenn, 2018; Moore et al., 2022). However, such industries often fails to fulfil the promises. </w:t>
      </w:r>
    </w:p>
    <w:p w14:paraId="3E2977DD" w14:textId="77777777" w:rsidR="00CE1F6A" w:rsidRPr="00CD05A8" w:rsidRDefault="00CE1F6A" w:rsidP="00CE1F6A">
      <w:pPr>
        <w:pStyle w:val="AbstractBookBaseParagraph"/>
        <w:rPr>
          <w:rFonts w:ascii="Noto Serif Light" w:hAnsi="Noto Serif Light" w:cs="Noto Serif Light"/>
        </w:rPr>
      </w:pPr>
    </w:p>
    <w:p w14:paraId="57E836B8"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Methodologically, the article employs path tracing, an extension of process tracing (Ermakoff, 2019) that broadens the analytical focus to include technological and social dimensions. Path tracing has recently been proposed as a suitable method for EEG and </w:t>
      </w:r>
      <w:r w:rsidRPr="00CD05A8">
        <w:rPr>
          <w:rFonts w:ascii="Noto Serif Light" w:hAnsi="Noto Serif Light" w:cs="Noto Serif Light"/>
        </w:rPr>
        <w:lastRenderedPageBreak/>
        <w:t xml:space="preserve">studies of industry development (Sotarauta &amp; Grillitsch, 2023). Its goal is to explain why and how an industry path evolves, and how actors shape and modify it. Key events and critical junctures are central to the analysis. A key event is an occurrence capable of altering or redirecting established practices. The analysis may begin with the incident that sparked the industry’s initial formation or with a transformational event that changed its trajectory. Subsequent key events are then examined to determine whether they diverted development or reinforced the existing path. Some events may contribute only to gradual, ‘creeping’ change, whereas others converge into a critical juncture, or they may trigger a setback for the industry. </w:t>
      </w:r>
    </w:p>
    <w:p w14:paraId="02881E18" w14:textId="77777777" w:rsidR="00CE1F6A" w:rsidRPr="00CD05A8" w:rsidRDefault="00CE1F6A" w:rsidP="00CE1F6A">
      <w:pPr>
        <w:pStyle w:val="AbstractBookBaseParagraph"/>
        <w:rPr>
          <w:rFonts w:ascii="Noto Serif Light" w:hAnsi="Noto Serif Light" w:cs="Noto Serif Light"/>
        </w:rPr>
      </w:pPr>
    </w:p>
    <w:p w14:paraId="3AF72BC0"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Our analysis draws on several data sources:</w:t>
      </w:r>
    </w:p>
    <w:p w14:paraId="375644F6" w14:textId="77777777" w:rsidR="00CE1F6A" w:rsidRPr="00CD05A8" w:rsidRDefault="00CE1F6A" w:rsidP="00CE1F6A">
      <w:pPr>
        <w:pStyle w:val="AbstractBookBaseParagraph"/>
        <w:numPr>
          <w:ilvl w:val="0"/>
          <w:numId w:val="17"/>
        </w:numPr>
        <w:rPr>
          <w:rFonts w:ascii="Noto Serif Light" w:hAnsi="Noto Serif Light" w:cs="Noto Serif Light"/>
        </w:rPr>
      </w:pPr>
      <w:r w:rsidRPr="00CD05A8">
        <w:rPr>
          <w:rFonts w:ascii="Noto Serif Light" w:hAnsi="Noto Serif Light" w:cs="Noto Serif Light"/>
        </w:rPr>
        <w:t>Annual counts of newspaper articles containing the term “cod farming”</w:t>
      </w:r>
      <w:r>
        <w:rPr>
          <w:rFonts w:ascii="Noto Serif Light" w:hAnsi="Noto Serif Light" w:cs="Noto Serif Light"/>
        </w:rPr>
        <w:t xml:space="preserve"> </w:t>
      </w:r>
      <w:r w:rsidRPr="00CD05A8">
        <w:rPr>
          <w:rFonts w:ascii="Noto Serif Light" w:hAnsi="Noto Serif Light" w:cs="Noto Serif Light"/>
        </w:rPr>
        <w:t>(1980–2025)</w:t>
      </w:r>
    </w:p>
    <w:p w14:paraId="03A0648B" w14:textId="77777777" w:rsidR="00CE1F6A" w:rsidRPr="00CD05A8" w:rsidRDefault="00CE1F6A" w:rsidP="00CE1F6A">
      <w:pPr>
        <w:pStyle w:val="AbstractBookBaseParagraph"/>
        <w:numPr>
          <w:ilvl w:val="0"/>
          <w:numId w:val="17"/>
        </w:numPr>
        <w:rPr>
          <w:rFonts w:ascii="Noto Serif Light" w:hAnsi="Noto Serif Light" w:cs="Noto Serif Light"/>
        </w:rPr>
      </w:pPr>
      <w:r w:rsidRPr="00CD05A8">
        <w:rPr>
          <w:rFonts w:ascii="Noto Serif Light" w:hAnsi="Noto Serif Light" w:cs="Noto Serif Light"/>
        </w:rPr>
        <w:t>Register data on licences, production volumes and the geographical distribution of cod farms (1980–2024)</w:t>
      </w:r>
    </w:p>
    <w:p w14:paraId="3B3DCD70" w14:textId="77777777" w:rsidR="00CE1F6A" w:rsidRPr="00CD05A8" w:rsidRDefault="00CE1F6A" w:rsidP="00CE1F6A">
      <w:pPr>
        <w:pStyle w:val="AbstractBookBaseParagraph"/>
        <w:numPr>
          <w:ilvl w:val="0"/>
          <w:numId w:val="17"/>
        </w:numPr>
        <w:rPr>
          <w:rFonts w:ascii="Noto Serif Light" w:hAnsi="Noto Serif Light" w:cs="Noto Serif Light"/>
        </w:rPr>
      </w:pPr>
      <w:r w:rsidRPr="00CD05A8">
        <w:rPr>
          <w:rFonts w:ascii="Noto Serif Light" w:hAnsi="Noto Serif Light" w:cs="Noto Serif Light"/>
        </w:rPr>
        <w:t>Previous research on industry development, including our own studies, policy documents and industry reports</w:t>
      </w:r>
    </w:p>
    <w:p w14:paraId="4CFF0A38" w14:textId="77777777" w:rsidR="00CE1F6A" w:rsidRDefault="00CE1F6A" w:rsidP="00CE1F6A">
      <w:pPr>
        <w:pStyle w:val="AbstractBookBaseParagraph"/>
        <w:numPr>
          <w:ilvl w:val="0"/>
          <w:numId w:val="17"/>
        </w:numPr>
        <w:rPr>
          <w:rFonts w:ascii="Noto Serif Light" w:hAnsi="Noto Serif Light" w:cs="Noto Serif Light"/>
        </w:rPr>
      </w:pPr>
      <w:r w:rsidRPr="00CD05A8">
        <w:rPr>
          <w:rFonts w:ascii="Noto Serif Light" w:hAnsi="Noto Serif Light" w:cs="Noto Serif Light"/>
        </w:rPr>
        <w:t>Semi-structured interviews with representatives of the cod-farming industry</w:t>
      </w:r>
    </w:p>
    <w:p w14:paraId="6F37D996" w14:textId="77777777" w:rsidR="00CE1F6A" w:rsidRPr="00CD05A8" w:rsidRDefault="00CE1F6A" w:rsidP="00CE1F6A">
      <w:pPr>
        <w:pStyle w:val="AbstractBookBaseParagraph"/>
        <w:rPr>
          <w:rFonts w:ascii="Noto Serif Light" w:hAnsi="Noto Serif Light" w:cs="Noto Serif Light"/>
        </w:rPr>
      </w:pPr>
    </w:p>
    <w:p w14:paraId="4CA34820" w14:textId="77777777" w:rsidR="00CE1F6A" w:rsidRPr="006F57EB" w:rsidRDefault="00CE1F6A" w:rsidP="00CE1F6A">
      <w:pPr>
        <w:pStyle w:val="AbstractBookBaseParagraph"/>
        <w:rPr>
          <w:rFonts w:ascii="Noto Serif Light" w:hAnsi="Noto Serif Light" w:cs="Noto Serif Light"/>
          <w:b/>
          <w:bCs/>
        </w:rPr>
      </w:pPr>
      <w:r w:rsidRPr="006F57EB">
        <w:rPr>
          <w:rFonts w:ascii="Noto Serif Light" w:hAnsi="Noto Serif Light" w:cs="Noto Serif Light"/>
          <w:b/>
          <w:bCs/>
        </w:rPr>
        <w:t xml:space="preserve">References </w:t>
      </w:r>
    </w:p>
    <w:p w14:paraId="2F12DE8D" w14:textId="77777777" w:rsidR="00CE1F6A" w:rsidRPr="00AB325A" w:rsidRDefault="00CE1F6A" w:rsidP="00CE1F6A">
      <w:pPr>
        <w:pStyle w:val="AbstractBookBaseParagraph"/>
        <w:numPr>
          <w:ilvl w:val="0"/>
          <w:numId w:val="18"/>
        </w:numPr>
        <w:rPr>
          <w:rFonts w:ascii="Noto Serif Light" w:hAnsi="Noto Serif Light" w:cs="Noto Serif Light"/>
        </w:rPr>
      </w:pPr>
      <w:r w:rsidRPr="00CD05A8">
        <w:rPr>
          <w:rFonts w:ascii="Noto Serif Light" w:hAnsi="Noto Serif Light" w:cs="Noto Serif Light"/>
        </w:rPr>
        <w:t xml:space="preserve">Aarset, B. and Jakobsen, S-E. (2015): Path dependency, institutionalization, and co-evolution: The missing diffusion of the blue revolution in Norwegian aquaculture. Journal of Rural Studies, 41, 37-46. </w:t>
      </w:r>
    </w:p>
    <w:p w14:paraId="01F0826C" w14:textId="77777777" w:rsidR="00CE1F6A" w:rsidRPr="00AB325A" w:rsidRDefault="00CE1F6A" w:rsidP="00CE1F6A">
      <w:pPr>
        <w:pStyle w:val="AbstractBookBaseParagraph"/>
        <w:numPr>
          <w:ilvl w:val="0"/>
          <w:numId w:val="18"/>
        </w:numPr>
        <w:rPr>
          <w:rFonts w:ascii="Noto Serif Light" w:hAnsi="Noto Serif Light" w:cs="Noto Serif Light"/>
        </w:rPr>
      </w:pPr>
      <w:r w:rsidRPr="00CD05A8">
        <w:rPr>
          <w:rFonts w:ascii="Noto Serif Light" w:hAnsi="Noto Serif Light" w:cs="Noto Serif Light"/>
        </w:rPr>
        <w:t xml:space="preserve">Blosch, M., Fenn, J., 2018. Understanding Gartner’s Hype Cycles (https://www.gartner.com/resources/370100/370163/Understanding_Ga rtne_370163_ndx.pdf) </w:t>
      </w:r>
    </w:p>
    <w:p w14:paraId="02C80962" w14:textId="77777777" w:rsidR="00CE1F6A" w:rsidRPr="00AB325A" w:rsidRDefault="00CE1F6A" w:rsidP="00CE1F6A">
      <w:pPr>
        <w:pStyle w:val="AbstractBookBaseParagraph"/>
        <w:numPr>
          <w:ilvl w:val="0"/>
          <w:numId w:val="18"/>
        </w:numPr>
        <w:rPr>
          <w:rFonts w:ascii="Noto Serif Light" w:hAnsi="Noto Serif Light" w:cs="Noto Serif Light"/>
        </w:rPr>
      </w:pPr>
      <w:r w:rsidRPr="00CD05A8">
        <w:rPr>
          <w:rFonts w:ascii="Noto Serif Light" w:hAnsi="Noto Serif Light" w:cs="Noto Serif Light"/>
        </w:rPr>
        <w:t xml:space="preserve">Henning, M. (2019). Time should tell (more): Evolutionary economic geography and the challenge of history. Regional Studies, 53(4), 602–613. </w:t>
      </w:r>
    </w:p>
    <w:p w14:paraId="4F1CA528" w14:textId="77777777" w:rsidR="00CE1F6A" w:rsidRPr="00AB325A" w:rsidRDefault="00CE1F6A" w:rsidP="00CE1F6A">
      <w:pPr>
        <w:pStyle w:val="AbstractBookBaseParagraph"/>
        <w:numPr>
          <w:ilvl w:val="0"/>
          <w:numId w:val="18"/>
        </w:numPr>
        <w:rPr>
          <w:rFonts w:ascii="Noto Serif Light" w:hAnsi="Noto Serif Light" w:cs="Noto Serif Light"/>
        </w:rPr>
      </w:pPr>
      <w:r w:rsidRPr="00CD05A8">
        <w:rPr>
          <w:rFonts w:ascii="Noto Serif Light" w:hAnsi="Noto Serif Light" w:cs="Noto Serif Light"/>
        </w:rPr>
        <w:t>Jakobsen and Fløysand (2025): The role of agency for the shifting balance of economic, environmental, and social sustainability in the history of the Norwegian salmon farming industry. In: Karlsen, J; Rypestøl, J O; Trippl, M. (eds) Sustainable regional restructuring: Insights from economic geography and regional innovation studies. Ch.8. Edward Elgar Publishing</w:t>
      </w:r>
    </w:p>
    <w:p w14:paraId="18F8D4FB" w14:textId="77777777" w:rsidR="00CE1F6A" w:rsidRPr="00AB325A" w:rsidRDefault="00CE1F6A" w:rsidP="00CE1F6A">
      <w:pPr>
        <w:pStyle w:val="AbstractBookBaseParagraph"/>
        <w:numPr>
          <w:ilvl w:val="0"/>
          <w:numId w:val="18"/>
        </w:numPr>
        <w:rPr>
          <w:rFonts w:ascii="Noto Serif Light" w:hAnsi="Noto Serif Light" w:cs="Noto Serif Light"/>
        </w:rPr>
      </w:pPr>
      <w:r w:rsidRPr="00CD05A8">
        <w:rPr>
          <w:rFonts w:ascii="Noto Serif Light" w:hAnsi="Noto Serif Light" w:cs="Noto Serif Light"/>
        </w:rPr>
        <w:t xml:space="preserve">Kipping, M., &amp; Üsdiken, B. (2014). History in Organization and Management Theory: More Than Meets the Eye. Academy of Management Annals, 8(1), 535–588. </w:t>
      </w:r>
    </w:p>
    <w:p w14:paraId="1D0F7122" w14:textId="77777777" w:rsidR="00CE1F6A" w:rsidRPr="00AB325A" w:rsidRDefault="00CE1F6A" w:rsidP="00CE1F6A">
      <w:pPr>
        <w:pStyle w:val="AbstractBookBaseParagraph"/>
        <w:numPr>
          <w:ilvl w:val="0"/>
          <w:numId w:val="18"/>
        </w:numPr>
        <w:rPr>
          <w:rFonts w:ascii="Noto Serif Light" w:hAnsi="Noto Serif Light" w:cs="Noto Serif Light"/>
        </w:rPr>
      </w:pPr>
      <w:r w:rsidRPr="00CD05A8">
        <w:rPr>
          <w:rFonts w:ascii="Noto Serif Light" w:hAnsi="Noto Serif Light" w:cs="Noto Serif Light"/>
        </w:rPr>
        <w:t>MacKinnon, D., Dawley, S., Pike, A., and Cumbers, A. 2019. Rethinking Path Creation: A Geographical</w:t>
      </w:r>
      <w:r>
        <w:rPr>
          <w:rFonts w:ascii="Noto Serif Light" w:hAnsi="Noto Serif Light" w:cs="Noto Serif Light"/>
        </w:rPr>
        <w:t xml:space="preserve"> </w:t>
      </w:r>
      <w:r w:rsidRPr="00AB325A">
        <w:rPr>
          <w:rFonts w:ascii="Noto Serif Light" w:hAnsi="Noto Serif Light" w:cs="Noto Serif Light"/>
        </w:rPr>
        <w:t>Political Economy Approach. Economic Geography 95(2): 113–135.</w:t>
      </w:r>
    </w:p>
    <w:p w14:paraId="7473F7EB" w14:textId="77777777" w:rsidR="00CE1F6A" w:rsidRPr="00AB325A" w:rsidRDefault="00CE1F6A" w:rsidP="00CE1F6A">
      <w:pPr>
        <w:pStyle w:val="AbstractBookBaseParagraph"/>
        <w:numPr>
          <w:ilvl w:val="0"/>
          <w:numId w:val="18"/>
        </w:numPr>
        <w:rPr>
          <w:rFonts w:ascii="Noto Serif Light" w:hAnsi="Noto Serif Light" w:cs="Noto Serif Light"/>
        </w:rPr>
      </w:pPr>
      <w:r w:rsidRPr="00CD05A8">
        <w:rPr>
          <w:rFonts w:ascii="Noto Serif Light" w:hAnsi="Noto Serif Light" w:cs="Noto Serif Light"/>
        </w:rPr>
        <w:t xml:space="preserve">Martin, R., &amp; Sunley, P. (2022). Making history matter more in evolutionary economic geography. ZFW – Advances in Economic Geography, 66(2), 65–80. </w:t>
      </w:r>
    </w:p>
    <w:p w14:paraId="1FFAF905" w14:textId="77777777" w:rsidR="00CE1F6A" w:rsidRPr="00AB325A" w:rsidRDefault="00CE1F6A" w:rsidP="00CE1F6A">
      <w:pPr>
        <w:pStyle w:val="AbstractBookBaseParagraph"/>
        <w:numPr>
          <w:ilvl w:val="0"/>
          <w:numId w:val="18"/>
        </w:numPr>
        <w:rPr>
          <w:rFonts w:ascii="Noto Serif Light" w:hAnsi="Noto Serif Light" w:cs="Noto Serif Light"/>
        </w:rPr>
      </w:pPr>
      <w:r w:rsidRPr="00CD05A8">
        <w:rPr>
          <w:rFonts w:ascii="Noto Serif Light" w:hAnsi="Noto Serif Light" w:cs="Noto Serif Light"/>
        </w:rPr>
        <w:t>Moore. K.R. et al. (2022):  The out-of-this-world hype cycle: Progression towards sustainable terrestrial resource production. Resources, Conservation &amp; Recycling 186 (2022) 106519</w:t>
      </w:r>
      <w:r>
        <w:rPr>
          <w:rFonts w:ascii="Noto Serif Light" w:hAnsi="Noto Serif Light" w:cs="Noto Serif Light"/>
        </w:rPr>
        <w:t xml:space="preserve"> </w:t>
      </w:r>
      <w:r w:rsidRPr="00AB325A">
        <w:rPr>
          <w:rFonts w:ascii="Noto Serif Light" w:hAnsi="Noto Serif Light" w:cs="Noto Serif Light"/>
        </w:rPr>
        <w:t xml:space="preserve">et al. 2022). </w:t>
      </w:r>
    </w:p>
    <w:p w14:paraId="7A2FF806" w14:textId="77777777" w:rsidR="00CE1F6A" w:rsidRPr="00AB325A" w:rsidRDefault="00CE1F6A" w:rsidP="00CE1F6A">
      <w:pPr>
        <w:pStyle w:val="AbstractBookBaseParagraph"/>
        <w:numPr>
          <w:ilvl w:val="0"/>
          <w:numId w:val="18"/>
        </w:numPr>
        <w:rPr>
          <w:rFonts w:ascii="Noto Serif Light" w:hAnsi="Noto Serif Light" w:cs="Noto Serif Light"/>
        </w:rPr>
      </w:pPr>
      <w:r w:rsidRPr="00CD05A8">
        <w:rPr>
          <w:rFonts w:ascii="Noto Serif Light" w:hAnsi="Noto Serif Light" w:cs="Noto Serif Light"/>
        </w:rPr>
        <w:t xml:space="preserve">Njøs, R., Sjøtun, S., Jakobsen, S.E. &amp; Fløysand, A. (2020). Expanding path creation analyses: Interconnections between territory and technology. Economic Geography 96:3,  266-288 </w:t>
      </w:r>
    </w:p>
    <w:p w14:paraId="1D4AFBC3" w14:textId="77777777" w:rsidR="00CE1F6A" w:rsidRPr="00CD05A8" w:rsidRDefault="00CE1F6A" w:rsidP="00CE1F6A">
      <w:pPr>
        <w:pStyle w:val="AbstractBookBaseParagraph"/>
        <w:numPr>
          <w:ilvl w:val="0"/>
          <w:numId w:val="18"/>
        </w:numPr>
        <w:rPr>
          <w:rFonts w:ascii="Noto Serif Light" w:hAnsi="Noto Serif Light" w:cs="Noto Serif Light"/>
        </w:rPr>
      </w:pPr>
      <w:r w:rsidRPr="00CD05A8">
        <w:rPr>
          <w:rFonts w:ascii="Noto Serif Light" w:hAnsi="Noto Serif Light" w:cs="Noto Serif Light"/>
        </w:rPr>
        <w:lastRenderedPageBreak/>
        <w:t xml:space="preserve">Sotarauta, M., &amp; Grillitsch, M. (2023). Path tracing in the study of agency and structures: Methodological considerations. Progress in Human Geography, 47(1), 85–102. </w:t>
      </w:r>
    </w:p>
    <w:p w14:paraId="60A92BCC" w14:textId="77777777" w:rsidR="00CE1F6A" w:rsidRPr="00CD05A8" w:rsidRDefault="00CE1F6A" w:rsidP="00CE1F6A">
      <w:pPr>
        <w:pStyle w:val="AbstractBookBaseParagraph"/>
        <w:rPr>
          <w:rFonts w:ascii="Noto Serif Light" w:hAnsi="Noto Serif Light" w:cs="Noto Serif Light"/>
        </w:rPr>
      </w:pPr>
    </w:p>
    <w:p w14:paraId="550227A5"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br w:type="page"/>
      </w:r>
    </w:p>
    <w:p w14:paraId="3AAFF4A7" w14:textId="4B734FDC" w:rsidR="00CE1F6A" w:rsidRDefault="00D43043" w:rsidP="00CE1F6A">
      <w:pPr>
        <w:pStyle w:val="ABSubhead"/>
      </w:pPr>
      <w:r>
        <w:lastRenderedPageBreak/>
        <w:t xml:space="preserve">O16. </w:t>
      </w:r>
      <w:r w:rsidR="00CE1F6A" w:rsidRPr="00CD05A8">
        <w:t>Micro-Level Foundations of Relatedness and Innovation: The Re-alignment of Automotive and Bicycle Industries</w:t>
      </w:r>
    </w:p>
    <w:p w14:paraId="0B497586" w14:textId="77777777" w:rsidR="00CE1F6A" w:rsidRPr="00AB325A" w:rsidRDefault="00CE1F6A" w:rsidP="00CE1F6A">
      <w:pPr>
        <w:pStyle w:val="ABParagraph"/>
      </w:pPr>
    </w:p>
    <w:p w14:paraId="1C2E5AC4" w14:textId="77777777" w:rsidR="00CE1F6A" w:rsidRPr="00CD05A8" w:rsidRDefault="00CE1F6A" w:rsidP="00CE1F6A">
      <w:pPr>
        <w:pStyle w:val="AbstractBookAuthors"/>
        <w:rPr>
          <w:rFonts w:ascii="Noto Serif Light" w:hAnsi="Noto Serif Light" w:cs="Noto Serif Light"/>
        </w:rPr>
      </w:pPr>
      <w:r w:rsidRPr="00CD05A8">
        <w:rPr>
          <w:rStyle w:val="AbstractBookPresentingAuthor"/>
          <w:rFonts w:ascii="Noto Serif Light" w:hAnsi="Noto Serif Light" w:cs="Noto Serif Light"/>
        </w:rPr>
        <w:t>Dr Anna Butzin</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Martina Fuchs</w:t>
      </w:r>
      <w:r w:rsidRPr="00CD05A8">
        <w:rPr>
          <w:rFonts w:ascii="Noto Serif Light" w:hAnsi="Noto Serif Light" w:cs="Noto Serif Light"/>
          <w:vertAlign w:val="superscript"/>
        </w:rPr>
        <w:t>2</w:t>
      </w:r>
    </w:p>
    <w:p w14:paraId="395CD6D0" w14:textId="77777777" w:rsidR="00CE1F6A" w:rsidRDefault="00CE1F6A" w:rsidP="00CE1F6A">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Westphalian University </w:t>
      </w:r>
      <w:r>
        <w:rPr>
          <w:rStyle w:val="AbstractBookBaseCharacterStyle"/>
          <w:rFonts w:ascii="Noto Serif Light" w:hAnsi="Noto Serif Light" w:cs="Noto Serif Light"/>
        </w:rPr>
        <w:t>o</w:t>
      </w:r>
      <w:r w:rsidRPr="00CD05A8">
        <w:rPr>
          <w:rStyle w:val="AbstractBookBaseCharacterStyle"/>
          <w:rFonts w:ascii="Noto Serif Light" w:hAnsi="Noto Serif Light" w:cs="Noto Serif Light"/>
        </w:rPr>
        <w:t xml:space="preserve">f Applied Sciences, Institute </w:t>
      </w:r>
      <w:r>
        <w:rPr>
          <w:rStyle w:val="AbstractBookBaseCharacterStyle"/>
          <w:rFonts w:ascii="Noto Serif Light" w:hAnsi="Noto Serif Light" w:cs="Noto Serif Light"/>
        </w:rPr>
        <w:t>f</w:t>
      </w:r>
      <w:r w:rsidRPr="00CD05A8">
        <w:rPr>
          <w:rStyle w:val="AbstractBookBaseCharacterStyle"/>
          <w:rFonts w:ascii="Noto Serif Light" w:hAnsi="Noto Serif Light" w:cs="Noto Serif Light"/>
        </w:rPr>
        <w:t xml:space="preserve">or Work </w:t>
      </w:r>
      <w:r>
        <w:rPr>
          <w:rStyle w:val="AbstractBookBaseCharacterStyle"/>
          <w:rFonts w:ascii="Noto Serif Light" w:hAnsi="Noto Serif Light" w:cs="Noto Serif Light"/>
        </w:rPr>
        <w:t>a</w:t>
      </w:r>
      <w:r w:rsidRPr="00CD05A8">
        <w:rPr>
          <w:rStyle w:val="AbstractBookBaseCharacterStyle"/>
          <w:rFonts w:ascii="Noto Serif Light" w:hAnsi="Noto Serif Light" w:cs="Noto Serif Light"/>
        </w:rPr>
        <w:t xml:space="preserve">nd Technology, Gelsenkirchen, Germany, </w:t>
      </w:r>
      <w:r w:rsidRPr="00CD05A8">
        <w:rPr>
          <w:rFonts w:ascii="Noto Serif Light" w:hAnsi="Noto Serif Light" w:cs="Noto Serif Light"/>
          <w:vertAlign w:val="superscript"/>
        </w:rPr>
        <w:t>2</w:t>
      </w:r>
      <w:r w:rsidRPr="00CD05A8">
        <w:rPr>
          <w:rStyle w:val="AbstractBookBaseCharacterStyle"/>
          <w:rFonts w:ascii="Noto Serif Light" w:hAnsi="Noto Serif Light" w:cs="Noto Serif Light"/>
        </w:rPr>
        <w:t>University of Cologne, Cologne, Germany</w:t>
      </w:r>
    </w:p>
    <w:p w14:paraId="39A9B996" w14:textId="77777777" w:rsidR="00CE1F6A" w:rsidRDefault="00CE1F6A" w:rsidP="00CE1F6A">
      <w:pPr>
        <w:pStyle w:val="AbstractBookBaseParagraph"/>
        <w:rPr>
          <w:rStyle w:val="AbstractBookBaseCharacterStyle"/>
          <w:rFonts w:ascii="Noto Serif Light" w:hAnsi="Noto Serif Light" w:cs="Noto Serif Light"/>
        </w:rPr>
      </w:pPr>
    </w:p>
    <w:p w14:paraId="3F418908" w14:textId="77777777" w:rsidR="00CE1F6A" w:rsidRPr="00AB325A" w:rsidRDefault="00CE1F6A" w:rsidP="00CE1F6A">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5032D411"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The relatedness of industries has become a cornerstone in economic geography for explaining regional growth. While most studies analyse macro‑level structures, micro‑foundations of relatedness that drive firm‑level innovation are less focussed. This study addresses this gap by analysing the re‑alignment of the German automotive and bicycle industries at the firm-level. Both sectors are historically intertwined, diverged during the 20th century and have recently converged again. Drawing on an explorative, qualitative research design that combines document analysis with 23 expert interviews conducted between 2024 and 2025, we examine why and how this re‑alignment occurs and how it shapes both product and process innovation at the firm level. Re-alignment is understood as a specific, long-term pattern of inter-path dynamics, in which sectors with a shared past, having diverged into sectoral distance through processes of specialisation, re-converge under new technological and institutional conditions.</w:t>
      </w:r>
    </w:p>
    <w:p w14:paraId="48FE7A0D" w14:textId="77777777" w:rsidR="00CE1F6A" w:rsidRPr="00CD05A8" w:rsidRDefault="00CE1F6A" w:rsidP="00CE1F6A">
      <w:pPr>
        <w:pStyle w:val="AbstractBookBaseParagraph"/>
        <w:rPr>
          <w:rFonts w:ascii="Noto Serif Light" w:hAnsi="Noto Serif Light" w:cs="Noto Serif Light"/>
        </w:rPr>
      </w:pPr>
    </w:p>
    <w:p w14:paraId="659D1172"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Our findings reveal a broad spectrum of innovations emerging at the intersection of the two industries. Brand‑name automotive manufacturers (OEMs) increasingly offer bicycles as product extensions that reinforce a sporty brand image and position firms as sustainability‑oriented mobility providers. Symbolic revalorisation leverages historic reminiscences (e.g., Mercedes’ “Silver Arrow” bike) while the underlying knowledge recombination enables rapid entry into the bicycle market through collaborations with specialist bike makers such as 3T, Fazua, and Pon Holdings. At the same time, automotive component suppliers (e.g., Bosch, ZF Friedrichshafen) expand their technology domains into electric‑drive systems, thereby blurring sectoral boundaries and generating innovation.</w:t>
      </w:r>
    </w:p>
    <w:p w14:paraId="55B3429E"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The bicycle sector benefits from process innovations from the automotive world. Firms adopt lean‑management and build‑to‑order production models, echoing the routine‑based practices that have long characterised car manufacturing. Moreover, the adoption of supplier‑approval procedures like in the automotive industry, and after‑sales feedback loops shall enhance reliability and support the emergence of a premium bicycle segment.</w:t>
      </w:r>
    </w:p>
    <w:p w14:paraId="590F7912" w14:textId="77777777" w:rsidR="00CE1F6A" w:rsidRPr="00CD05A8" w:rsidRDefault="00CE1F6A" w:rsidP="00CE1F6A">
      <w:pPr>
        <w:pStyle w:val="AbstractBookBaseParagraph"/>
        <w:rPr>
          <w:rFonts w:ascii="Noto Serif Light" w:hAnsi="Noto Serif Light" w:cs="Noto Serif Light"/>
        </w:rPr>
      </w:pPr>
    </w:p>
    <w:p w14:paraId="41A480EE"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The re‑alignment is driven by several interrelated mechanisms. For example, symbolic revalorisation and knowledge recombination provide OEMs with a heritage‑based narrative that aligns with sustainability agendas while allowing rapid market entry. Platform and service expansion transforms traditional product‑centric business models into mobility‑as‑a‑service systems. An example is Volkswagen Financial Services’ bicycle‑leasing partnership with Pon Holdings, which repurposes automotive financing expertise for the growing corporate‑fleet e‑bike market. Internal restructuring and technological relatedness within component suppliers enable the reuse of existing engineering talent and facilities, facilitating the development and production of e‑bike components that are closely related to automotive technologies.</w:t>
      </w:r>
    </w:p>
    <w:p w14:paraId="5EF2F8AF" w14:textId="77777777" w:rsidR="00CE1F6A" w:rsidRPr="00CD05A8" w:rsidRDefault="00CE1F6A" w:rsidP="00CE1F6A">
      <w:pPr>
        <w:pStyle w:val="AbstractBookBaseParagraph"/>
        <w:rPr>
          <w:rFonts w:ascii="Noto Serif Light" w:hAnsi="Noto Serif Light" w:cs="Noto Serif Light"/>
        </w:rPr>
      </w:pPr>
    </w:p>
    <w:p w14:paraId="2A3B43B1"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These mechanisms generate a win‑win situation: automotive firms secure new revenue streams and diversify their mobility portfolio, while bicycle firms gain access to improved process standards. Nevertheless, the re‑alignment also confronts structural challenges. The automotive sector is characterised by large, capital‑intensive organisations with entrenched routines, whereas the bicycle sector is fragmented, ranging from mass‑production firms to craft‑based specialists. This clash of worlds generates frictions in coordination, cultural alignment, and governance.</w:t>
      </w:r>
    </w:p>
    <w:p w14:paraId="3EA0A947" w14:textId="77777777" w:rsidR="00CE1F6A" w:rsidRPr="00CD05A8" w:rsidRDefault="00CE1F6A" w:rsidP="00CE1F6A">
      <w:pPr>
        <w:pStyle w:val="AbstractBookBaseParagraph"/>
        <w:rPr>
          <w:rFonts w:ascii="Noto Serif Light" w:hAnsi="Noto Serif Light" w:cs="Noto Serif Light"/>
        </w:rPr>
      </w:pPr>
    </w:p>
    <w:p w14:paraId="348AE9AD"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Our analysis situates the re‑alignment within the broader literature on inter‑path dynamics. The concept of re‑alignment extends existing frameworks by explicitly incorporating long‑term historical trajectories, showing that past linkages can be re‑activated under contemporary circumstances such as the sustainability‑driven e‑mobility transition and tightening emissions regulations. This temporal dimension highlights the importance of historical cognizance in the relatedness of industries. </w:t>
      </w:r>
    </w:p>
    <w:p w14:paraId="5033665E" w14:textId="77777777" w:rsidR="00CE1F6A" w:rsidRPr="00CD05A8" w:rsidRDefault="00CE1F6A" w:rsidP="00CE1F6A">
      <w:pPr>
        <w:pStyle w:val="AbstractBookBaseParagraph"/>
        <w:rPr>
          <w:rFonts w:ascii="Noto Serif Light" w:hAnsi="Noto Serif Light" w:cs="Noto Serif Light"/>
        </w:rPr>
      </w:pPr>
    </w:p>
    <w:p w14:paraId="5EEAF9CA"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The implications of this research are threefold. It contributes to the discourse on relatedness by demonstrating how micro‑level, inter‑industry interactions can generate novel innovation pathways, spurred by a shared past. It also shows how firms in mature sectors can leverage historic competencies and contemporary sustainability mandates to diversify their product portfolios and unlock new service‑based business models. Lastly, it shows how smaller, fragmented industries can accelerate learning by importing proven routines from larger sectors.</w:t>
      </w:r>
    </w:p>
    <w:p w14:paraId="777DABD2" w14:textId="77777777" w:rsidR="00CE1F6A" w:rsidRPr="00CD05A8" w:rsidRDefault="00CE1F6A" w:rsidP="00CE1F6A">
      <w:pPr>
        <w:pStyle w:val="AbstractBookBaseParagraph"/>
        <w:rPr>
          <w:rFonts w:ascii="Noto Serif Light" w:hAnsi="Noto Serif Light" w:cs="Noto Serif Light"/>
        </w:rPr>
      </w:pPr>
    </w:p>
    <w:p w14:paraId="2B3597A5"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Finally, we acknowledge limitations. The focus on Germany’s automotive and bicycle sectors limits the generalisability of results to regions with different industrial histories or policy environments, and the reliance on interview data constrains the ability to verify the depth of process‑innovation implementation. Future research could extend the re‑alignment framework to other industry pairings and employ longitudinal quantitative measures to assess the durability of the observed innovation gains. Nonetheless, by foregrounding micro‑level dynamics, this paper demonstrates that the revival of historical relatedness—re‑alignment—is an engine for contemporary innovation and sectoral transformation.</w:t>
      </w:r>
    </w:p>
    <w:p w14:paraId="42074E43" w14:textId="77777777" w:rsidR="00CE1F6A" w:rsidRPr="00CD05A8" w:rsidRDefault="00CE1F6A" w:rsidP="00CE1F6A">
      <w:pPr>
        <w:pStyle w:val="AbstractBookBaseParagraph"/>
        <w:rPr>
          <w:rFonts w:ascii="Noto Serif Light" w:hAnsi="Noto Serif Light" w:cs="Noto Serif Light"/>
        </w:rPr>
      </w:pPr>
    </w:p>
    <w:p w14:paraId="2D523875"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br w:type="page"/>
      </w:r>
    </w:p>
    <w:p w14:paraId="19EEA401" w14:textId="6DBFBFBB" w:rsidR="00CE1F6A" w:rsidRDefault="00390C9C" w:rsidP="00CE1F6A">
      <w:pPr>
        <w:pStyle w:val="ABSubhead"/>
      </w:pPr>
      <w:r>
        <w:lastRenderedPageBreak/>
        <w:t xml:space="preserve">O17. </w:t>
      </w:r>
      <w:r w:rsidR="00CE1F6A" w:rsidRPr="00CD05A8">
        <w:t>RIS3 and Productive Transformation in Spanish Regions: Evaluating the Effects of Smart Specialisation on Economic Activity in Priority Sectors (2014–2020)</w:t>
      </w:r>
    </w:p>
    <w:p w14:paraId="73168344" w14:textId="77777777" w:rsidR="00CE1F6A" w:rsidRPr="006C77A6" w:rsidRDefault="00CE1F6A" w:rsidP="00CE1F6A">
      <w:pPr>
        <w:pStyle w:val="ABParagraph"/>
      </w:pPr>
    </w:p>
    <w:p w14:paraId="41B6BDCA" w14:textId="77777777" w:rsidR="00CE1F6A" w:rsidRPr="00CD05A8" w:rsidRDefault="00CE1F6A" w:rsidP="00CE1F6A">
      <w:pPr>
        <w:pStyle w:val="AbstractBookAuthors"/>
        <w:rPr>
          <w:rFonts w:ascii="Noto Serif Light" w:hAnsi="Noto Serif Light" w:cs="Noto Serif Light"/>
        </w:rPr>
      </w:pPr>
      <w:r w:rsidRPr="00CD05A8">
        <w:rPr>
          <w:rStyle w:val="AbstractBookPresentingAuthor"/>
          <w:rFonts w:ascii="Noto Serif Light" w:hAnsi="Noto Serif Light" w:cs="Noto Serif Light"/>
        </w:rPr>
        <w:t>Manuel González-López</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Dr José Blanco-Álvarez</w:t>
      </w:r>
      <w:r w:rsidRPr="00CD05A8">
        <w:rPr>
          <w:rFonts w:ascii="Noto Serif Light" w:hAnsi="Noto Serif Light" w:cs="Noto Serif Light"/>
          <w:vertAlign w:val="superscript"/>
        </w:rPr>
        <w:t>1</w:t>
      </w:r>
    </w:p>
    <w:p w14:paraId="1A9BD26A" w14:textId="77777777" w:rsidR="00CE1F6A" w:rsidRDefault="00CE1F6A" w:rsidP="00CE1F6A">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Universidade De Santiago De Compostela, Spain</w:t>
      </w:r>
    </w:p>
    <w:p w14:paraId="66E3F2CA" w14:textId="77777777" w:rsidR="00CE1F6A" w:rsidRDefault="00CE1F6A" w:rsidP="00CE1F6A">
      <w:pPr>
        <w:pStyle w:val="AbstractBookBaseParagraph"/>
        <w:rPr>
          <w:rStyle w:val="AbstractBookBaseCharacterStyle"/>
          <w:rFonts w:ascii="Noto Serif Light" w:hAnsi="Noto Serif Light" w:cs="Noto Serif Light"/>
        </w:rPr>
      </w:pPr>
    </w:p>
    <w:p w14:paraId="51E617C2" w14:textId="77777777" w:rsidR="00CE1F6A" w:rsidRPr="006C77A6" w:rsidRDefault="00CE1F6A" w:rsidP="00CE1F6A">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032A484B"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Smart Specialisation Strategies (RIS3) emerged as a cornerstone of EU Cohesion Policy for the 2014–2020 programming period, requiring Member States and regions to identify and prioritise a limited number of innovation domains in which to concentrate public investment. The underlying logic is one of place-based productive transformation: by channelling resources towards activities aligned with each region's existing capabilities and opportunities, RIS3 is expected to stimulate structural change, diversify productive structures, and foster the growth of sectors with higher knowledge content and innovation intensity. However, despite the widespread adoption of this policy framework and the considerable public resources involved, empirical evidence on the actual effects of RIS3 on regional economic structures remains limited, particularly at the sub-national level and in the context of Southern European economies.</w:t>
      </w:r>
    </w:p>
    <w:p w14:paraId="08241E6C"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This paper addresses this gap by examining whether the implementation of RIS3 during the first programming period (2014–2020) has been associated with differential growth in economic activities related to the sectors and domains prioritised in each regional strategy across the seventeen Spanish Autonomous Communities (Comunidades Autónomas, CCAA). Spain constitutes a particularly suitable case study for this analysis. Its highly decentralised institutional architecture assigns autonomous governments a central role in the design and governance of regional innovation policy, leading to seventeen distinct RIS3 documents with heterogeneous sectoral priorities. This variation in prioritisation across regions, combined with the availability of harmonised regional economic statistics, creates a valuable quasi-experimental setting for evaluating policy-induced structural change.</w:t>
      </w:r>
    </w:p>
    <w:p w14:paraId="6CAFB90D" w14:textId="77777777" w:rsidR="00CE1F6A" w:rsidRPr="00CD05A8" w:rsidRDefault="00CE1F6A" w:rsidP="00CE1F6A">
      <w:pPr>
        <w:pStyle w:val="AbstractBookBaseParagraph"/>
        <w:rPr>
          <w:rFonts w:ascii="Noto Serif Light" w:hAnsi="Noto Serif Light" w:cs="Noto Serif Light"/>
        </w:rPr>
      </w:pPr>
    </w:p>
    <w:p w14:paraId="2C5B11D0"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The study develops a systematic mapping between the sectoral and thematic domains defined in each regional RIS3 and standard industrial classifications (CNAE-2009), allowing for the identification of the economic activities that each strategy sought to promote. This mapping draws on the official RIS3 documents published by the regional governments, as well as on the information compiled by the Joint Research Centre of the European Commission. The resulting correspondence between policy priorities and statistical categories is used to construct region-specific indicators of alignment between a given economic activity and the regional RIS3 framework.</w:t>
      </w:r>
    </w:p>
    <w:p w14:paraId="3CC72B0F" w14:textId="77777777" w:rsidR="00CE1F6A" w:rsidRPr="00CD05A8" w:rsidRDefault="00CE1F6A" w:rsidP="00CE1F6A">
      <w:pPr>
        <w:pStyle w:val="AbstractBookBaseParagraph"/>
        <w:rPr>
          <w:rFonts w:ascii="Noto Serif Light" w:hAnsi="Noto Serif Light" w:cs="Noto Serif Light"/>
        </w:rPr>
      </w:pPr>
    </w:p>
    <w:p w14:paraId="3FCBB7C4"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The empirical analysis proceeds in two stages. First, a descriptive statistical analysis compares the evolution of relevant indicators — including value added, employment, productivity, and the number of enterprises — in RIS3-aligned versus non-aligned activities within each region over the 2014–2020 period. Data sources include the Spanish Regional Accounts (Contabilidad Regional de España, INE), the Social Security affiliation records (Seguridad Social), and the Central Business Directory (DIRCE). This descriptive stage is complemented by visualisations of the structural composition of </w:t>
      </w:r>
      <w:r w:rsidRPr="00CD05A8">
        <w:rPr>
          <w:rFonts w:ascii="Noto Serif Light" w:hAnsi="Noto Serif Light" w:cs="Noto Serif Light"/>
        </w:rPr>
        <w:lastRenderedPageBreak/>
        <w:t>regional economies at the beginning and end of the period, allowing for an assessment of whether shifts in sectoral weight are consistent with the directions set by each regional strategy.</w:t>
      </w:r>
    </w:p>
    <w:p w14:paraId="0555A177"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Second, an econometric analysis is conducted to test whether RIS3-aligned activities exhibit statistically significant differential growth relative to non-aligned activities, controlling for a range of confounding factors. The baseline specification adopts a difference-in-differences framework, exploiting both cross-regional variation in sectoral prioritisation and within-region variation across sectors classified as aligned or non-aligned. </w:t>
      </w:r>
    </w:p>
    <w:p w14:paraId="411FFBBE" w14:textId="77777777" w:rsidR="00CE1F6A" w:rsidRPr="00CD05A8" w:rsidRDefault="00CE1F6A" w:rsidP="00CE1F6A">
      <w:pPr>
        <w:pStyle w:val="AbstractBookBaseParagraph"/>
        <w:rPr>
          <w:rFonts w:ascii="Noto Serif Light" w:hAnsi="Noto Serif Light" w:cs="Noto Serif Light"/>
        </w:rPr>
      </w:pPr>
    </w:p>
    <w:p w14:paraId="030973A1"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The paper contributes to several strands of the literature. It engages with the ongoing debate on the evaluability and additionality of smart specialisation, responding to calls for more rigorous empirical assessments of the policy's structural effects. It also contributes to the comparative analysis of RIS3 implementation in decentralised states, a dimension that has received comparatively less attention than the European-level governance framework. Finally, it adds to the body of evidence on place-based industrial policies in Southern Europe, where productive transformation challenges are particularly acute and where the interaction between Cohesion Policy and regional development dynamics deserves careful scrutiny.</w:t>
      </w:r>
    </w:p>
    <w:p w14:paraId="1CA5A588" w14:textId="77777777" w:rsidR="00CE1F6A" w:rsidRPr="00CD05A8" w:rsidRDefault="00CE1F6A" w:rsidP="00CE1F6A">
      <w:pPr>
        <w:pStyle w:val="AbstractBookBaseParagraph"/>
        <w:rPr>
          <w:rFonts w:ascii="Noto Serif Light" w:hAnsi="Noto Serif Light" w:cs="Noto Serif Light"/>
        </w:rPr>
      </w:pPr>
    </w:p>
    <w:p w14:paraId="19CC152C"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br w:type="page"/>
      </w:r>
    </w:p>
    <w:p w14:paraId="7127E71E" w14:textId="45E3262A" w:rsidR="00CE1F6A" w:rsidRDefault="00390C9C" w:rsidP="00CE1F6A">
      <w:pPr>
        <w:pStyle w:val="ABSubhead"/>
      </w:pPr>
      <w:r>
        <w:lastRenderedPageBreak/>
        <w:t xml:space="preserve">O18. </w:t>
      </w:r>
      <w:r w:rsidR="00CE1F6A" w:rsidRPr="00CD05A8">
        <w:t>Recovering Internal Structures of Regional Innovation Systems:</w:t>
      </w:r>
      <w:r w:rsidR="00CE1F6A">
        <w:t xml:space="preserve"> </w:t>
      </w:r>
      <w:r w:rsidR="00CE1F6A" w:rsidRPr="00CD05A8">
        <w:t>OECD Regions' Patenting Networks</w:t>
      </w:r>
    </w:p>
    <w:p w14:paraId="22DA4BC2" w14:textId="77777777" w:rsidR="00CE1F6A" w:rsidRPr="00CD05A8" w:rsidRDefault="00CE1F6A" w:rsidP="00CE1F6A">
      <w:pPr>
        <w:pStyle w:val="ABParagraph"/>
      </w:pPr>
    </w:p>
    <w:p w14:paraId="2B990DA5" w14:textId="77777777" w:rsidR="00CE1F6A" w:rsidRPr="00CD05A8" w:rsidRDefault="00CE1F6A" w:rsidP="00CE1F6A">
      <w:pPr>
        <w:pStyle w:val="AbstractBookAuthors"/>
        <w:rPr>
          <w:rFonts w:ascii="Noto Serif Light" w:hAnsi="Noto Serif Light" w:cs="Noto Serif Light"/>
        </w:rPr>
      </w:pPr>
      <w:r w:rsidRPr="00CD05A8">
        <w:rPr>
          <w:rStyle w:val="AbstractBookPresentingAuthor"/>
          <w:rFonts w:ascii="Noto Serif Light" w:hAnsi="Noto Serif Light" w:cs="Noto Serif Light"/>
        </w:rPr>
        <w:t>Nicholas Sweeney</w:t>
      </w:r>
      <w:r w:rsidRPr="00CD05A8">
        <w:rPr>
          <w:rFonts w:ascii="Noto Serif Light" w:hAnsi="Noto Serif Light" w:cs="Noto Serif Light"/>
          <w:vertAlign w:val="superscript"/>
        </w:rPr>
        <w:t>1</w:t>
      </w:r>
    </w:p>
    <w:p w14:paraId="29AD4750" w14:textId="77777777" w:rsidR="00CE1F6A" w:rsidRDefault="00CE1F6A" w:rsidP="00CE1F6A">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University </w:t>
      </w:r>
      <w:r>
        <w:rPr>
          <w:rStyle w:val="AbstractBookBaseCharacterStyle"/>
          <w:rFonts w:ascii="Noto Serif Light" w:hAnsi="Noto Serif Light" w:cs="Noto Serif Light"/>
        </w:rPr>
        <w:t>o</w:t>
      </w:r>
      <w:r w:rsidRPr="00CD05A8">
        <w:rPr>
          <w:rStyle w:val="AbstractBookBaseCharacterStyle"/>
          <w:rFonts w:ascii="Noto Serif Light" w:hAnsi="Noto Serif Light" w:cs="Noto Serif Light"/>
        </w:rPr>
        <w:t>f Manchester, Manchester, United Kingdom</w:t>
      </w:r>
    </w:p>
    <w:p w14:paraId="77958FC4" w14:textId="77777777" w:rsidR="00CE1F6A" w:rsidRDefault="00CE1F6A" w:rsidP="00CE1F6A">
      <w:pPr>
        <w:pStyle w:val="AbstractBookBaseParagraph"/>
        <w:rPr>
          <w:rStyle w:val="AbstractBookBaseCharacterStyle"/>
          <w:rFonts w:ascii="Noto Serif Light" w:hAnsi="Noto Serif Light" w:cs="Noto Serif Light"/>
        </w:rPr>
      </w:pPr>
    </w:p>
    <w:p w14:paraId="3FB94BE3" w14:textId="77777777" w:rsidR="00CE1F6A" w:rsidRPr="00CD05A8" w:rsidRDefault="00CE1F6A" w:rsidP="00CE1F6A">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42A11CB4"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Place-based innovation policy needs evidence about how regional innovation systems work from</w:t>
      </w:r>
      <w:r>
        <w:rPr>
          <w:rFonts w:ascii="Noto Serif Light" w:hAnsi="Noto Serif Light" w:cs="Noto Serif Light"/>
        </w:rPr>
        <w:t xml:space="preserve"> </w:t>
      </w:r>
      <w:r w:rsidRPr="00CD05A8">
        <w:rPr>
          <w:rFonts w:ascii="Noto Serif Light" w:hAnsi="Noto Serif Light" w:cs="Noto Serif Light"/>
        </w:rPr>
        <w:t>within, not only how many patents, firms or research assets a region contains. RIS theory has</w:t>
      </w:r>
      <w:r>
        <w:rPr>
          <w:rFonts w:ascii="Noto Serif Light" w:hAnsi="Noto Serif Light" w:cs="Noto Serif Light"/>
        </w:rPr>
        <w:t xml:space="preserve"> </w:t>
      </w:r>
      <w:r w:rsidRPr="00CD05A8">
        <w:rPr>
          <w:rFonts w:ascii="Noto Serif Light" w:hAnsi="Noto Serif Light" w:cs="Noto Serif Light"/>
        </w:rPr>
        <w:t>always been relational: innovation depends on interaction among firms, universities, intermediaries and public institutions (Cooke et al., 1997; Asheim and Isaksen, 2002; Boschma, 2005).</w:t>
      </w:r>
    </w:p>
    <w:p w14:paraId="39D70C0B" w14:textId="77777777" w:rsidR="00CE1F6A" w:rsidRDefault="00CE1F6A" w:rsidP="00CE1F6A">
      <w:pPr>
        <w:pStyle w:val="AbstractBookBaseParagraph"/>
        <w:rPr>
          <w:rFonts w:ascii="Noto Serif Light" w:hAnsi="Noto Serif Light" w:cs="Noto Serif Light"/>
        </w:rPr>
      </w:pPr>
    </w:p>
    <w:p w14:paraId="09F5D5FF"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Differentiated regional policy and smart specialisation make the same demand in policy terms: interventions should respond to the actual structure of regional capabilities rather than apply</w:t>
      </w:r>
      <w:r>
        <w:rPr>
          <w:rFonts w:ascii="Noto Serif Light" w:hAnsi="Noto Serif Light" w:cs="Noto Serif Light"/>
        </w:rPr>
        <w:t xml:space="preserve"> </w:t>
      </w:r>
      <w:r w:rsidRPr="00CD05A8">
        <w:rPr>
          <w:rFonts w:ascii="Noto Serif Light" w:hAnsi="Noto Serif Light" w:cs="Noto Serif Light"/>
        </w:rPr>
        <w:t>one model everywhere (Todtling and Trippl, 2005; Foray, 2015; McCann and Ortega-Argiles,</w:t>
      </w:r>
      <w:r>
        <w:rPr>
          <w:rFonts w:ascii="Noto Serif Light" w:hAnsi="Noto Serif Light" w:cs="Noto Serif Light"/>
        </w:rPr>
        <w:t xml:space="preserve"> </w:t>
      </w:r>
      <w:r w:rsidRPr="00CD05A8">
        <w:rPr>
          <w:rFonts w:ascii="Noto Serif Light" w:hAnsi="Noto Serif Light" w:cs="Noto Serif Light"/>
        </w:rPr>
        <w:t>2015; Balland et al., 2019). Yet</w:t>
      </w:r>
      <w:r>
        <w:rPr>
          <w:rFonts w:ascii="Noto Serif Light" w:hAnsi="Noto Serif Light" w:cs="Noto Serif Light"/>
        </w:rPr>
        <w:t xml:space="preserve"> </w:t>
      </w:r>
      <w:r w:rsidRPr="00CD05A8">
        <w:rPr>
          <w:rFonts w:ascii="Noto Serif Light" w:hAnsi="Noto Serif Light" w:cs="Noto Serif Light"/>
        </w:rPr>
        <w:t>comparative evidence often remains aggregate. It rarely shows</w:t>
      </w:r>
      <w:r>
        <w:rPr>
          <w:rFonts w:ascii="Noto Serif Light" w:hAnsi="Noto Serif Light" w:cs="Noto Serif Light"/>
        </w:rPr>
        <w:t xml:space="preserve"> </w:t>
      </w:r>
      <w:r w:rsidRPr="00CD05A8">
        <w:rPr>
          <w:rFonts w:ascii="Noto Serif Light" w:hAnsi="Noto Serif Light" w:cs="Noto Serif Light"/>
        </w:rPr>
        <w:t>whether a region’s inventive capacity is broad-based, hub-dominated, weakly connected, externally dependent, or held together by smaller broker places.</w:t>
      </w:r>
    </w:p>
    <w:p w14:paraId="371F3C81" w14:textId="77777777" w:rsidR="00CE1F6A" w:rsidRDefault="00CE1F6A" w:rsidP="00CE1F6A">
      <w:pPr>
        <w:pStyle w:val="AbstractBookBaseParagraph"/>
        <w:rPr>
          <w:rFonts w:ascii="Noto Serif Light" w:hAnsi="Noto Serif Light" w:cs="Noto Serif Light"/>
        </w:rPr>
      </w:pPr>
    </w:p>
    <w:p w14:paraId="4460E26D"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This paper addresses that gap by opening OECD TL2 regions, hereafter regions, into microgeographic patenting networks. It asks whether the places that produce the most patenting also</w:t>
      </w:r>
      <w:r>
        <w:rPr>
          <w:rFonts w:ascii="Noto Serif Light" w:hAnsi="Noto Serif Light" w:cs="Noto Serif Light"/>
        </w:rPr>
        <w:t xml:space="preserve"> </w:t>
      </w:r>
      <w:r w:rsidRPr="00CD05A8">
        <w:rPr>
          <w:rFonts w:ascii="Noto Serif Light" w:hAnsi="Noto Serif Light" w:cs="Noto Serif Light"/>
        </w:rPr>
        <w:t>occupy key positions in co-inventor networks, or whether inventive mass and network brokerage</w:t>
      </w:r>
      <w:r>
        <w:rPr>
          <w:rFonts w:ascii="Noto Serif Light" w:hAnsi="Noto Serif Light" w:cs="Noto Serif Light"/>
        </w:rPr>
        <w:t xml:space="preserve"> </w:t>
      </w:r>
      <w:r w:rsidRPr="00CD05A8">
        <w:rPr>
          <w:rFonts w:ascii="Noto Serif Light" w:hAnsi="Noto Serif Light" w:cs="Noto Serif Light"/>
        </w:rPr>
        <w:t>point to different microgeographies. The question connects to work arguing that innovation is territorial, relational and multi-scalar. Cross-border RIS research shows that innovation systems can stretch across administrative boundaries (Derudder and Liu, 2024). Bathelt et al. (2004) show that local embeddedness and extra-local knowledge channels are complementary, not alternative, sources of learning. Fitjar and Rodriguez-Pose (2013) likewise show that extra-regional collaboration can be especially important for innovation. Recent co-inventor network evidence links collaboration structures to diversification (Qiao and Wu, 2024), while Xue et al. (2025) argue that innovation in polycentric urban regions (PURs) is better understood through anchoring and mobility than through fixed containers alone. This paper provides an OECD-wide way to observe those anchoring, mobility and pipeline problems inside administrative regions.</w:t>
      </w:r>
    </w:p>
    <w:p w14:paraId="53DB46F7" w14:textId="77777777" w:rsidR="00CE1F6A" w:rsidRDefault="00CE1F6A" w:rsidP="00CE1F6A">
      <w:pPr>
        <w:pStyle w:val="AbstractBookBaseParagraph"/>
        <w:rPr>
          <w:rFonts w:ascii="Noto Serif Light" w:hAnsi="Noto Serif Light" w:cs="Noto Serif Light"/>
        </w:rPr>
      </w:pPr>
    </w:p>
    <w:p w14:paraId="1E3E43A1"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The contribution is threefold. Conceptually, the paper operationalises Stuck et al. (2016)’s</w:t>
      </w:r>
      <w:r>
        <w:rPr>
          <w:rFonts w:ascii="Noto Serif Light" w:hAnsi="Noto Serif Light" w:cs="Noto Serif Light"/>
        </w:rPr>
        <w:t xml:space="preserve"> </w:t>
      </w:r>
      <w:r w:rsidRPr="00CD05A8">
        <w:rPr>
          <w:rFonts w:ascii="Noto Serif Light" w:hAnsi="Noto Serif Light" w:cs="Noto Serif Light"/>
        </w:rPr>
        <w:t>network reading of Cooke’s RIS typology. Stuck, Broekel and Revilla Diez distinguish interactive network, localist grassroots and globalised dirigiste systems through expectations about</w:t>
      </w:r>
      <w:r>
        <w:rPr>
          <w:rFonts w:ascii="Noto Serif Light" w:hAnsi="Noto Serif Light" w:cs="Noto Serif Light"/>
        </w:rPr>
        <w:t xml:space="preserve"> </w:t>
      </w:r>
      <w:r w:rsidRPr="00CD05A8">
        <w:rPr>
          <w:rFonts w:ascii="Noto Serif Light" w:hAnsi="Noto Serif Light" w:cs="Noto Serif Light"/>
        </w:rPr>
        <w:t>network size, density, hierarchy, brokerage and extra-regional orientation. This paper translates those expectations into observable patent-cell measures without claiming to observe governance regimes directly. Empirically, it creates a reproducible OECD regional benchmark linking 1km-equivalent inventor cells to weighted co-inventor ties. Policy-wise, it offers a diagnostic language for separating four objects that are too often conflated: inventive scale, spatial concentration, internal embeddedness and brokerage. This matters because the same patent total can describe a distributed interactive system, a single dominant inventive anchor, a fragmented</w:t>
      </w:r>
      <w:r>
        <w:rPr>
          <w:rFonts w:ascii="Noto Serif Light" w:hAnsi="Noto Serif Light" w:cs="Noto Serif Light"/>
        </w:rPr>
        <w:t xml:space="preserve"> </w:t>
      </w:r>
      <w:r w:rsidRPr="00CD05A8">
        <w:rPr>
          <w:rFonts w:ascii="Noto Serif Light" w:hAnsi="Noto Serif Light" w:cs="Noto Serif Light"/>
        </w:rPr>
        <w:lastRenderedPageBreak/>
        <w:t xml:space="preserve">system with weak internal circulation, or a brokered system in which smaller places connect otherwise separated knowledge pools. </w:t>
      </w:r>
    </w:p>
    <w:p w14:paraId="55B53F6B" w14:textId="77777777" w:rsidR="00CE1F6A" w:rsidRDefault="00CE1F6A" w:rsidP="00CE1F6A">
      <w:pPr>
        <w:pStyle w:val="AbstractBookBaseParagraph"/>
        <w:rPr>
          <w:rFonts w:ascii="Noto Serif Light" w:hAnsi="Noto Serif Light" w:cs="Noto Serif Light"/>
        </w:rPr>
      </w:pPr>
    </w:p>
    <w:p w14:paraId="254ED419"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The analysis uses a 2022 DGMPD/OPS patent extract from the Dynamic Global Microgeographic Patent Database (Sweeney, 2026), geocoded inventor-party records and OECD Regions</w:t>
      </w:r>
      <w:r>
        <w:rPr>
          <w:rFonts w:ascii="Noto Serif Light" w:hAnsi="Noto Serif Light" w:cs="Noto Serif Light"/>
        </w:rPr>
        <w:t xml:space="preserve"> </w:t>
      </w:r>
      <w:r w:rsidRPr="00CD05A8">
        <w:rPr>
          <w:rFonts w:ascii="Noto Serif Light" w:hAnsi="Noto Serif Light" w:cs="Noto Serif Light"/>
        </w:rPr>
        <w:t>and Cities Atlas geometries. Patent-family activity is assigned fractionally to inventor cells, and co-inventor ties are constructed between cells appearing on the same patent family. The imple-mentation covers all 38 OECD members in the geocoded inventor data and observes 374 regions, 224,231 patent families, 46,365 occupied inventor cells, 91,674 internal cell-cell edges, 143,296 external national tie events and 72,960 international tie events. Sparse graphs are interpreted</w:t>
      </w:r>
      <w:r>
        <w:rPr>
          <w:rFonts w:ascii="Noto Serif Light" w:hAnsi="Noto Serif Light" w:cs="Noto Serif Light"/>
        </w:rPr>
        <w:t xml:space="preserve"> </w:t>
      </w:r>
      <w:r w:rsidRPr="00CD05A8">
        <w:rPr>
          <w:rFonts w:ascii="Noto Serif Light" w:hAnsi="Noto Serif Light" w:cs="Noto Serif Light"/>
        </w:rPr>
        <w:t>cautiously, but the full observed regional universe remains the object of analysis.</w:t>
      </w:r>
    </w:p>
    <w:p w14:paraId="5C2B8FF5" w14:textId="77777777" w:rsidR="00CE1F6A" w:rsidRDefault="00CE1F6A" w:rsidP="00CE1F6A">
      <w:pPr>
        <w:pStyle w:val="AbstractBookBaseParagraph"/>
        <w:rPr>
          <w:rFonts w:ascii="Noto Serif Light" w:hAnsi="Noto Serif Light" w:cs="Noto Serif Light"/>
        </w:rPr>
      </w:pPr>
    </w:p>
    <w:p w14:paraId="0E3E91C8"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Three findings stand out. First, microgeographic concentration is widespread but uneven. Across the observed regions, the median top-1km2 cell share is 17.8%, while the upper quartile reaches 40.0%. Some large patenting regions distribute inventive activity across many cells; others depend heavily on one or a few dominant sites. This supports the RIS point that regional capability cannot be inferred from aggregate output alone, and the PUR point that anchor places do not exhaust regional innovation capacity (Cooke et al., 1997; Xue et al., 2025). Second, internal connectedness and external openness vary independently. The median connected-cell share is 49.2%, the median largest-component share is 33.3%, and the median external openness index is 77.1%. Regional embeddedness and external openness are therefore not opposites;</w:t>
      </w:r>
      <w:r>
        <w:rPr>
          <w:rFonts w:ascii="Noto Serif Light" w:hAnsi="Noto Serif Light" w:cs="Noto Serif Light"/>
        </w:rPr>
        <w:t xml:space="preserve"> </w:t>
      </w:r>
      <w:r w:rsidRPr="00CD05A8">
        <w:rPr>
          <w:rFonts w:ascii="Noto Serif Light" w:hAnsi="Noto Serif Light" w:cs="Noto Serif Light"/>
        </w:rPr>
        <w:t>the evidence is closer to the buzz–pipeline logic of Bathelt et al. (2004) and the extra-regional collaboration emphasis in Fitjar and Rodriguez-Pose (2013) than to a closed local-system model.</w:t>
      </w:r>
    </w:p>
    <w:p w14:paraId="116B6F17"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Third, inventive mass and brokerage only partly coincide. The median top-decile overlap is 42.9% between activity and collaboration strength and 41.2% between activity and betweenness brokerage; in 59.4% of regions, most top-betweenness cells are not top-activity cells. This</w:t>
      </w:r>
      <w:r>
        <w:rPr>
          <w:rFonts w:ascii="Noto Serif Light" w:hAnsi="Noto Serif Light" w:cs="Noto Serif Light"/>
        </w:rPr>
        <w:t xml:space="preserve"> </w:t>
      </w:r>
      <w:r w:rsidRPr="00CD05A8">
        <w:rPr>
          <w:rFonts w:ascii="Noto Serif Light" w:hAnsi="Noto Serif Light" w:cs="Noto Serif Light"/>
        </w:rPr>
        <w:t>extends Stuck et al. (2016): brokerage is not just a property of more innovative regions, but a spatially specific role performed by particular microplaces. The main insight is that regional innovation systems have an internal division of labour.</w:t>
      </w:r>
    </w:p>
    <w:p w14:paraId="61917921" w14:textId="77777777" w:rsidR="00CE1F6A" w:rsidRDefault="00CE1F6A" w:rsidP="00CE1F6A">
      <w:pPr>
        <w:pStyle w:val="AbstractBookBaseParagraph"/>
        <w:rPr>
          <w:rFonts w:ascii="Noto Serif Light" w:hAnsi="Noto Serif Light" w:cs="Noto Serif Light"/>
        </w:rPr>
      </w:pPr>
    </w:p>
    <w:p w14:paraId="24E0D489"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Some microplaces anchor inventive production, some accumulate direct collaboration strength, and some broker between otherwise disconnected parts of the system. These roles may overlap, but often do not. The paper therefore shifts attention from asking whether a region is innovative</w:t>
      </w:r>
      <w:r>
        <w:rPr>
          <w:rFonts w:ascii="Noto Serif Light" w:hAnsi="Noto Serif Light" w:cs="Noto Serif Light"/>
        </w:rPr>
        <w:t xml:space="preserve"> </w:t>
      </w:r>
      <w:r w:rsidRPr="00CD05A8">
        <w:rPr>
          <w:rFonts w:ascii="Noto Serif Light" w:hAnsi="Noto Serif Light" w:cs="Noto Serif Light"/>
        </w:rPr>
        <w:t>to asking how innovation is spatially organised and relationally mediated within it. That shift clarifies why regional rankings can mislead: they flatten systems with different policy problems.</w:t>
      </w:r>
    </w:p>
    <w:p w14:paraId="604654AC" w14:textId="77777777" w:rsidR="00CE1F6A" w:rsidRDefault="00CE1F6A" w:rsidP="00CE1F6A">
      <w:pPr>
        <w:pStyle w:val="AbstractBookBaseParagraph"/>
        <w:rPr>
          <w:rFonts w:ascii="Noto Serif Light" w:hAnsi="Noto Serif Light" w:cs="Noto Serif Light"/>
        </w:rPr>
      </w:pPr>
    </w:p>
    <w:p w14:paraId="052B4093"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A high-patenting region may still be internally fragmented; a smaller region may contain important broker sites; a globally connected hub may be productive without being regionally cohesive; and a broad internal network may still require external pipelines. By operationalising Stuck’s</w:t>
      </w:r>
      <w:r>
        <w:rPr>
          <w:rFonts w:ascii="Noto Serif Light" w:hAnsi="Noto Serif Light" w:cs="Noto Serif Light"/>
        </w:rPr>
        <w:t xml:space="preserve"> </w:t>
      </w:r>
      <w:r w:rsidRPr="00CD05A8">
        <w:rPr>
          <w:rFonts w:ascii="Noto Serif Light" w:hAnsi="Noto Serif Light" w:cs="Noto Serif Light"/>
        </w:rPr>
        <w:t>RIS network typology and linking it to PURs, local buzz/global pipelines and extra-regionalcollaboration, the paper shows how administrative regions can be read as spatial-relational in-</w:t>
      </w:r>
    </w:p>
    <w:p w14:paraId="67590511"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novation systems. Before deciding what policy a region needs, policymakers should ask what kind of internal innovation geography it actually contains.</w:t>
      </w:r>
    </w:p>
    <w:p w14:paraId="5D2449D2" w14:textId="77777777" w:rsidR="00CE1F6A" w:rsidRPr="00CD05A8" w:rsidRDefault="00CE1F6A" w:rsidP="00CE1F6A">
      <w:pPr>
        <w:pStyle w:val="AbstractBookBaseParagraph"/>
        <w:rPr>
          <w:rFonts w:ascii="Noto Serif Light" w:hAnsi="Noto Serif Light" w:cs="Noto Serif Light"/>
        </w:rPr>
      </w:pPr>
    </w:p>
    <w:p w14:paraId="5430E5AA" w14:textId="77777777" w:rsidR="00CE1F6A" w:rsidRPr="006F57EB" w:rsidRDefault="00CE1F6A" w:rsidP="00CE1F6A">
      <w:pPr>
        <w:pStyle w:val="AbstractBookBaseParagraph"/>
        <w:rPr>
          <w:rFonts w:ascii="Noto Serif Light" w:hAnsi="Noto Serif Light" w:cs="Noto Serif Light"/>
          <w:b/>
          <w:bCs/>
        </w:rPr>
      </w:pPr>
      <w:r w:rsidRPr="006F57EB">
        <w:rPr>
          <w:rFonts w:ascii="Noto Serif Light" w:hAnsi="Noto Serif Light" w:cs="Noto Serif Light"/>
          <w:b/>
          <w:bCs/>
        </w:rPr>
        <w:t>References</w:t>
      </w:r>
    </w:p>
    <w:p w14:paraId="72E78591" w14:textId="77777777" w:rsidR="00CE1F6A" w:rsidRPr="006F57EB"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Asheim, B. T. and Isaksen, A. (2002). Regional innovation systems: The integration of local</w:t>
      </w:r>
      <w:r>
        <w:rPr>
          <w:rFonts w:ascii="Noto Serif Light" w:hAnsi="Noto Serif Light" w:cs="Noto Serif Light"/>
        </w:rPr>
        <w:t xml:space="preserve"> </w:t>
      </w:r>
      <w:r w:rsidRPr="006F57EB">
        <w:rPr>
          <w:rFonts w:ascii="Noto Serif Light" w:hAnsi="Noto Serif Light" w:cs="Noto Serif Light"/>
        </w:rPr>
        <w:t>sticky and global ubiquitous knowledge. Journal of Technology Transfer, 27(1):77–86.</w:t>
      </w:r>
    </w:p>
    <w:p w14:paraId="36FC1193" w14:textId="77777777" w:rsidR="00CE1F6A" w:rsidRPr="006F57EB"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Balland, P.-A., Boschma, R., Crespo, J., and Rigby, D. L. (2019). Smart specialization policy in</w:t>
      </w:r>
      <w:r>
        <w:rPr>
          <w:rFonts w:ascii="Noto Serif Light" w:hAnsi="Noto Serif Light" w:cs="Noto Serif Light"/>
        </w:rPr>
        <w:t xml:space="preserve"> </w:t>
      </w:r>
      <w:r w:rsidRPr="006F57EB">
        <w:rPr>
          <w:rFonts w:ascii="Noto Serif Light" w:hAnsi="Noto Serif Light" w:cs="Noto Serif Light"/>
        </w:rPr>
        <w:t>the european union: Relatedness, knowledge complexity and regional diversification. Regional</w:t>
      </w:r>
      <w:r>
        <w:rPr>
          <w:rFonts w:ascii="Noto Serif Light" w:hAnsi="Noto Serif Light" w:cs="Noto Serif Light"/>
        </w:rPr>
        <w:t xml:space="preserve"> </w:t>
      </w:r>
      <w:r w:rsidRPr="006F57EB">
        <w:rPr>
          <w:rFonts w:ascii="Noto Serif Light" w:hAnsi="Noto Serif Light" w:cs="Noto Serif Light"/>
        </w:rPr>
        <w:t>Studies, 53(9):1252–1268.</w:t>
      </w:r>
    </w:p>
    <w:p w14:paraId="7F3AFEA7" w14:textId="77777777" w:rsidR="00CE1F6A" w:rsidRPr="006F57EB"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Bathelt, H., Malmberg, A., and Maskell, P. (2004). Clusters and knowledge: Local buzz, globa</w:t>
      </w:r>
      <w:r>
        <w:rPr>
          <w:rFonts w:ascii="Noto Serif Light" w:hAnsi="Noto Serif Light" w:cs="Noto Serif Light"/>
        </w:rPr>
        <w:t xml:space="preserve">l </w:t>
      </w:r>
      <w:r w:rsidRPr="006F57EB">
        <w:rPr>
          <w:rFonts w:ascii="Noto Serif Light" w:hAnsi="Noto Serif Light" w:cs="Noto Serif Light"/>
        </w:rPr>
        <w:t>pipelines and the process of knowledge creation. Progress in Human Geography, 28(1):31–56.</w:t>
      </w:r>
    </w:p>
    <w:p w14:paraId="15484D19" w14:textId="77777777" w:rsidR="00CE1F6A" w:rsidRPr="006F57EB"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Boschma, R. (2005). Proximity and innovation: A critical assessment. Regional Studies,</w:t>
      </w:r>
      <w:r>
        <w:rPr>
          <w:rFonts w:ascii="Noto Serif Light" w:hAnsi="Noto Serif Light" w:cs="Noto Serif Light"/>
        </w:rPr>
        <w:t xml:space="preserve"> </w:t>
      </w:r>
      <w:r w:rsidRPr="006F57EB">
        <w:rPr>
          <w:rFonts w:ascii="Noto Serif Light" w:hAnsi="Noto Serif Light" w:cs="Noto Serif Light"/>
        </w:rPr>
        <w:t>39(1):61–74.</w:t>
      </w:r>
    </w:p>
    <w:p w14:paraId="11C27873" w14:textId="77777777" w:rsidR="00CE1F6A" w:rsidRPr="006F57EB"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Cooke, P., Uranga, M. G., and Etxebarria, G. (1997). Regional innovation systems: Institutional</w:t>
      </w:r>
      <w:r>
        <w:rPr>
          <w:rFonts w:ascii="Noto Serif Light" w:hAnsi="Noto Serif Light" w:cs="Noto Serif Light"/>
        </w:rPr>
        <w:t xml:space="preserve"> </w:t>
      </w:r>
      <w:r w:rsidRPr="006F57EB">
        <w:rPr>
          <w:rFonts w:ascii="Noto Serif Light" w:hAnsi="Noto Serif Light" w:cs="Noto Serif Light"/>
        </w:rPr>
        <w:t>and organisational dimensions. Research Policy, 26(4–5):475–491.</w:t>
      </w:r>
    </w:p>
    <w:p w14:paraId="6C938860" w14:textId="77777777" w:rsidR="00CE1F6A" w:rsidRPr="00CD05A8"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Derudder, B. and Liu, X. (2024). Cross-border regional innovation systems: Concepts, ap-</w:t>
      </w:r>
    </w:p>
    <w:p w14:paraId="72E3B858" w14:textId="77777777" w:rsidR="00CE1F6A" w:rsidRPr="00CD05A8"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proaches and perspectives. Regional Studies. Published online 26 November 2024.</w:t>
      </w:r>
    </w:p>
    <w:p w14:paraId="2523F059" w14:textId="77777777" w:rsidR="00CE1F6A" w:rsidRPr="00CD05A8"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Fitjar, R. D. and Rodriguez-Pose, A. (2013). Firm collaboration and modes of innovation in</w:t>
      </w:r>
    </w:p>
    <w:p w14:paraId="6EC83ADB" w14:textId="77777777" w:rsidR="00CE1F6A" w:rsidRPr="00CD05A8"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norway. Research Policy, 42(1):128–138.</w:t>
      </w:r>
    </w:p>
    <w:p w14:paraId="1286CA10" w14:textId="77777777" w:rsidR="00CE1F6A" w:rsidRPr="00CD05A8"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Foray, D. (2015). Smart Specialisation: Opportunities and Challenges for Regional Innovation</w:t>
      </w:r>
    </w:p>
    <w:p w14:paraId="58028DDF" w14:textId="77777777" w:rsidR="00CE1F6A" w:rsidRPr="00CD05A8"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Policy. Routledge, London.</w:t>
      </w:r>
    </w:p>
    <w:p w14:paraId="7509777B" w14:textId="77777777" w:rsidR="00CE1F6A" w:rsidRPr="00CD05A8"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McCann, P. and Ortega-Argiles, R. (2015). Smart specialization, regional growth and applica-</w:t>
      </w:r>
    </w:p>
    <w:p w14:paraId="073990DD" w14:textId="77777777" w:rsidR="00CE1F6A" w:rsidRPr="00CD05A8"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tions to european union cohesion policy. Regional Studies, 49(8):1291–1302.</w:t>
      </w:r>
    </w:p>
    <w:p w14:paraId="46772668" w14:textId="77777777" w:rsidR="00CE1F6A" w:rsidRPr="00CD05A8"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Qiao, Y. and Wu, D. (2024). Relatedness, complexity and regional diversification in the european</w:t>
      </w:r>
    </w:p>
    <w:p w14:paraId="64093F7E" w14:textId="77777777" w:rsidR="00CE1F6A" w:rsidRPr="00CD05A8"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union: The role of co-inventor networks. Tijdschrift voor Economische en Sociale Geografie,</w:t>
      </w:r>
    </w:p>
    <w:p w14:paraId="51D5AB33" w14:textId="77777777" w:rsidR="00CE1F6A" w:rsidRPr="00CD05A8"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115(4):537–553.</w:t>
      </w:r>
    </w:p>
    <w:p w14:paraId="0D15A8FC" w14:textId="77777777" w:rsidR="00CE1F6A" w:rsidRPr="00CD05A8"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Stuck, J., Broekel, T., and Revilla Diez, J. (2016). Network structures in regional innovation</w:t>
      </w:r>
    </w:p>
    <w:p w14:paraId="13007CC7" w14:textId="77777777" w:rsidR="00CE1F6A" w:rsidRPr="00CD05A8"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systems. European Planning Studies, 24(3):423–442.</w:t>
      </w:r>
    </w:p>
    <w:p w14:paraId="14BF9EBC" w14:textId="77777777" w:rsidR="00CE1F6A" w:rsidRPr="00CD05A8"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Sweeney, N. P. (2026). A method, data, and quality note introducing the dynamic global</w:t>
      </w:r>
    </w:p>
    <w:p w14:paraId="16394DDE" w14:textId="77777777" w:rsidR="00CE1F6A" w:rsidRPr="00CD05A8"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microgeographic patent database. SSRN Working Paper 6593058, Social Science Research</w:t>
      </w:r>
    </w:p>
    <w:p w14:paraId="2F6D00A3" w14:textId="77777777" w:rsidR="00CE1F6A" w:rsidRPr="00CD05A8"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Network. Posted April 20, 2026.</w:t>
      </w:r>
    </w:p>
    <w:p w14:paraId="03BE2F88" w14:textId="77777777" w:rsidR="00CE1F6A" w:rsidRPr="00CD05A8"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Todtling, F. and Trippl, M. (2005). One size fits all? towards a differentiated regional innovation</w:t>
      </w:r>
    </w:p>
    <w:p w14:paraId="32321E5E" w14:textId="77777777" w:rsidR="00CE1F6A" w:rsidRPr="00CD05A8"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policy approach. Research Policy, 34(8):1203–1219.</w:t>
      </w:r>
    </w:p>
    <w:p w14:paraId="47C3CB33" w14:textId="77777777" w:rsidR="00CE1F6A" w:rsidRPr="00CD05A8"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Xue, J., Hoyler, M., and Harrison, J. (2025). Connecting geographies of innovation and poly-</w:t>
      </w:r>
    </w:p>
    <w:p w14:paraId="3D572F35" w14:textId="77777777" w:rsidR="00CE1F6A" w:rsidRPr="00CD05A8" w:rsidRDefault="00CE1F6A" w:rsidP="00CE1F6A">
      <w:pPr>
        <w:pStyle w:val="AbstractBookBaseParagraph"/>
        <w:numPr>
          <w:ilvl w:val="0"/>
          <w:numId w:val="16"/>
        </w:numPr>
        <w:rPr>
          <w:rFonts w:ascii="Noto Serif Light" w:hAnsi="Noto Serif Light" w:cs="Noto Serif Light"/>
        </w:rPr>
      </w:pPr>
      <w:r w:rsidRPr="00CD05A8">
        <w:rPr>
          <w:rFonts w:ascii="Noto Serif Light" w:hAnsi="Noto Serif Light" w:cs="Noto Serif Light"/>
        </w:rPr>
        <w:t>centric urban regions through anchoring and mobility. Regional Studies, 59(1):2525987</w:t>
      </w:r>
    </w:p>
    <w:p w14:paraId="54BAC943"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lastRenderedPageBreak/>
        <w:br w:type="page"/>
      </w:r>
    </w:p>
    <w:p w14:paraId="3D6B1A9C" w14:textId="77777777" w:rsidR="00D779A2" w:rsidRDefault="00D779A2" w:rsidP="00D779A2">
      <w:pPr>
        <w:pStyle w:val="ABSubhead"/>
      </w:pPr>
      <w:r>
        <w:lastRenderedPageBreak/>
        <w:t xml:space="preserve">O19. </w:t>
      </w:r>
      <w:r w:rsidRPr="00CD05A8">
        <w:t>Innovation Districts and the Limits of Place-Based Skills Policy: Comparative Evidence from Two London Life Sciences Clusters</w:t>
      </w:r>
    </w:p>
    <w:p w14:paraId="50E897AE" w14:textId="77777777" w:rsidR="00D779A2" w:rsidRPr="00CD05A8" w:rsidRDefault="00D779A2" w:rsidP="00D779A2">
      <w:pPr>
        <w:pStyle w:val="ABParagraph"/>
      </w:pPr>
    </w:p>
    <w:p w14:paraId="060FD338" w14:textId="77777777" w:rsidR="00D779A2" w:rsidRPr="00CD05A8" w:rsidRDefault="00D779A2" w:rsidP="00D779A2">
      <w:pPr>
        <w:pStyle w:val="AbstractBookAuthors"/>
        <w:rPr>
          <w:rFonts w:ascii="Noto Serif Light" w:hAnsi="Noto Serif Light" w:cs="Noto Serif Light"/>
        </w:rPr>
      </w:pPr>
      <w:r w:rsidRPr="00CD05A8">
        <w:rPr>
          <w:rStyle w:val="AbstractBookPresentingAuthor"/>
          <w:rFonts w:ascii="Noto Serif Light" w:hAnsi="Noto Serif Light" w:cs="Noto Serif Light"/>
        </w:rPr>
        <w:t>Paul Marshall</w:t>
      </w:r>
      <w:r w:rsidRPr="00CD05A8">
        <w:rPr>
          <w:rFonts w:ascii="Noto Serif Light" w:hAnsi="Noto Serif Light" w:cs="Noto Serif Light"/>
          <w:vertAlign w:val="superscript"/>
        </w:rPr>
        <w:t>1</w:t>
      </w:r>
    </w:p>
    <w:p w14:paraId="2826B920" w14:textId="77777777" w:rsidR="00D779A2" w:rsidRDefault="00D779A2" w:rsidP="00D779A2">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Pragmatix Advisory Ltd</w:t>
      </w:r>
      <w:r>
        <w:rPr>
          <w:rStyle w:val="AbstractBookBaseCharacterStyle"/>
          <w:rFonts w:ascii="Noto Serif Light" w:hAnsi="Noto Serif Light" w:cs="Noto Serif Light"/>
        </w:rPr>
        <w:t xml:space="preserve">, </w:t>
      </w:r>
      <w:r w:rsidRPr="00CD05A8">
        <w:rPr>
          <w:rStyle w:val="AbstractBookBaseCharacterStyle"/>
          <w:rFonts w:ascii="Noto Serif Light" w:hAnsi="Noto Serif Light" w:cs="Noto Serif Light"/>
        </w:rPr>
        <w:t>United Kingdom</w:t>
      </w:r>
    </w:p>
    <w:p w14:paraId="7098D9C9" w14:textId="77777777" w:rsidR="00D779A2" w:rsidRDefault="00D779A2" w:rsidP="00D779A2">
      <w:pPr>
        <w:pStyle w:val="AbstractBookBaseParagraph"/>
        <w:rPr>
          <w:rStyle w:val="AbstractBookBaseCharacterStyle"/>
          <w:rFonts w:ascii="Noto Serif Light" w:hAnsi="Noto Serif Light" w:cs="Noto Serif Light"/>
        </w:rPr>
      </w:pPr>
    </w:p>
    <w:p w14:paraId="32E7FA11" w14:textId="77777777" w:rsidR="00D779A2" w:rsidRPr="00CD05A8" w:rsidRDefault="00D779A2" w:rsidP="00D779A2">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0871365F" w14:textId="77777777" w:rsidR="00D779A2" w:rsidRPr="00CD05A8" w:rsidRDefault="00D779A2" w:rsidP="00D779A2">
      <w:pPr>
        <w:pStyle w:val="AbstractBookBaseParagraph"/>
        <w:rPr>
          <w:rFonts w:ascii="Noto Serif Light" w:hAnsi="Noto Serif Light" w:cs="Noto Serif Light"/>
        </w:rPr>
      </w:pPr>
      <w:r w:rsidRPr="00CD05A8">
        <w:rPr>
          <w:rFonts w:ascii="Noto Serif Light" w:hAnsi="Noto Serif Light" w:cs="Noto Serif Light"/>
        </w:rPr>
        <w:t>Urban innovation districts have become a prominent vehicle for place-based industrial strategies in the United Kingdom, with life sciences clusters in particular attracting sustained public and private investment on the premise that they will generate employment and skills opportunities for host communities.</w:t>
      </w:r>
    </w:p>
    <w:p w14:paraId="7A3F85F8" w14:textId="77777777" w:rsidR="00D779A2" w:rsidRPr="00CD05A8" w:rsidRDefault="00D779A2" w:rsidP="00D779A2">
      <w:pPr>
        <w:pStyle w:val="AbstractBookBaseParagraph"/>
        <w:rPr>
          <w:rFonts w:ascii="Noto Serif Light" w:hAnsi="Noto Serif Light" w:cs="Noto Serif Light"/>
        </w:rPr>
      </w:pPr>
    </w:p>
    <w:p w14:paraId="7203626B" w14:textId="77777777" w:rsidR="00D779A2" w:rsidRPr="00CD05A8" w:rsidRDefault="00D779A2" w:rsidP="00D779A2">
      <w:pPr>
        <w:pStyle w:val="AbstractBookBaseParagraph"/>
        <w:rPr>
          <w:rFonts w:ascii="Noto Serif Light" w:hAnsi="Noto Serif Light" w:cs="Noto Serif Light"/>
        </w:rPr>
      </w:pPr>
      <w:r w:rsidRPr="00CD05A8">
        <w:rPr>
          <w:rFonts w:ascii="Noto Serif Light" w:hAnsi="Noto Serif Light" w:cs="Noto Serif Light"/>
        </w:rPr>
        <w:t>Life science-focused innovation districts and innovation clusters are related but analytically distinct concepts that are increasingly combined within place-based economic development strategies, often without sufficient attention to the different mechanisms through which each is expected to generate economic and social outcomes. Innovation districts are physically defined urban areas, deliberately designed to concentrate anchor institutions, firms, and intermediaries in ways that generate agglomeration economies, knowledge spillovers, and in more ambitious formulations benefits for surrounding communities through employment creation, supply chain development, and improved public services. Life science innovation clusters, by contrast, are primarily sectoral phenomena in the form of geographical concentrations of firms, talent, and knowledge in pharmaceuticals, biotechnology, medtech, and related fields. Their spatial organisation may or may not align with formally designated district boundaries, and their growth dynamics are shaped as much by global investment flows, regulatory environments, and international talent markets as by local institutional design.</w:t>
      </w:r>
    </w:p>
    <w:p w14:paraId="06E38F4C" w14:textId="77777777" w:rsidR="00D779A2" w:rsidRPr="00CD05A8" w:rsidRDefault="00D779A2" w:rsidP="00D779A2">
      <w:pPr>
        <w:pStyle w:val="AbstractBookBaseParagraph"/>
        <w:rPr>
          <w:rFonts w:ascii="Noto Serif Light" w:hAnsi="Noto Serif Light" w:cs="Noto Serif Light"/>
        </w:rPr>
      </w:pPr>
    </w:p>
    <w:p w14:paraId="62FD03CA" w14:textId="77777777" w:rsidR="00D779A2" w:rsidRPr="00CD05A8" w:rsidRDefault="00D779A2" w:rsidP="00D779A2">
      <w:pPr>
        <w:pStyle w:val="AbstractBookBaseParagraph"/>
        <w:rPr>
          <w:rFonts w:ascii="Noto Serif Light" w:hAnsi="Noto Serif Light" w:cs="Noto Serif Light"/>
        </w:rPr>
      </w:pPr>
      <w:r w:rsidRPr="00CD05A8">
        <w:rPr>
          <w:rFonts w:ascii="Noto Serif Light" w:hAnsi="Noto Serif Light" w:cs="Noto Serif Light"/>
        </w:rPr>
        <w:t>When policymakers combine these two concepts within a single place-based strategy, as they have done with increasing frequency in the United Kingdom since the Life Sciences Vision of 2021 and the subsequent 2024 Modern Industrial Strategy, they embed a layered set of assumptions: that physical proximity between anchor institutions and innovative firms will generate employment opportunity; that local skills ecosystems will adapt organically or with targeted support to meet sectoral demand; that disadvantaged communities in the district's hinterland will be positioned to access the resulting jobs; and that the combined effect will constitute inclusive growth in any meaningful sense of that contested term.</w:t>
      </w:r>
    </w:p>
    <w:p w14:paraId="1F874A88" w14:textId="77777777" w:rsidR="00D779A2" w:rsidRPr="00CD05A8" w:rsidRDefault="00D779A2" w:rsidP="00D779A2">
      <w:pPr>
        <w:pStyle w:val="AbstractBookBaseParagraph"/>
        <w:rPr>
          <w:rFonts w:ascii="Noto Serif Light" w:hAnsi="Noto Serif Light" w:cs="Noto Serif Light"/>
        </w:rPr>
      </w:pPr>
    </w:p>
    <w:p w14:paraId="2442F755" w14:textId="77777777" w:rsidR="00D779A2" w:rsidRPr="00CD05A8" w:rsidRDefault="00D779A2" w:rsidP="00D779A2">
      <w:pPr>
        <w:pStyle w:val="AbstractBookBaseParagraph"/>
        <w:rPr>
          <w:rFonts w:ascii="Noto Serif Light" w:hAnsi="Noto Serif Light" w:cs="Noto Serif Light"/>
        </w:rPr>
      </w:pPr>
      <w:r w:rsidRPr="00CD05A8">
        <w:rPr>
          <w:rFonts w:ascii="Noto Serif Light" w:hAnsi="Noto Serif Light" w:cs="Noto Serif Light"/>
        </w:rPr>
        <w:t>This paper interrogates those assumptions systematically through comparative analysis of two commissioned research projects in London, undertaken three years apart, each of which confronted the gap between these expectations and the structural realities of the local labour markets in question.</w:t>
      </w:r>
    </w:p>
    <w:p w14:paraId="38174D00" w14:textId="77777777" w:rsidR="00D779A2" w:rsidRPr="00CD05A8" w:rsidRDefault="00D779A2" w:rsidP="00D779A2">
      <w:pPr>
        <w:pStyle w:val="AbstractBookBaseParagraph"/>
        <w:rPr>
          <w:rFonts w:ascii="Noto Serif Light" w:hAnsi="Noto Serif Light" w:cs="Noto Serif Light"/>
        </w:rPr>
      </w:pPr>
    </w:p>
    <w:p w14:paraId="70F1B9A9" w14:textId="77777777" w:rsidR="00D779A2" w:rsidRPr="00CD05A8" w:rsidRDefault="00D779A2" w:rsidP="00D779A2">
      <w:pPr>
        <w:pStyle w:val="AbstractBookBaseParagraph"/>
        <w:rPr>
          <w:rFonts w:ascii="Noto Serif Light" w:hAnsi="Noto Serif Light" w:cs="Noto Serif Light"/>
        </w:rPr>
      </w:pPr>
      <w:r w:rsidRPr="00CD05A8">
        <w:rPr>
          <w:rFonts w:ascii="Noto Serif Light" w:hAnsi="Noto Serif Light" w:cs="Noto Serif Light"/>
        </w:rPr>
        <w:t xml:space="preserve">The first study, conducted in 2023 for the SC1 Life Sciences Innovation District in Lambeth and Southwark, examined the scale and nature of employment and skills opportunities likely to arise from a formally constituted innovation district with a well-established life sciences specialism, anchored by King's College London, London South </w:t>
      </w:r>
      <w:r w:rsidRPr="00CD05A8">
        <w:rPr>
          <w:rFonts w:ascii="Noto Serif Light" w:hAnsi="Noto Serif Light" w:cs="Noto Serif Light"/>
        </w:rPr>
        <w:lastRenderedPageBreak/>
        <w:t>Bank University, and three major NHS Foundation Trusts. SC1 represents a relatively mature configuration: the district boundaries are defined, the anchor institutions are embedded, and the cluster has significant depth in clinical research, biopharma, and medtech. The research was commissioned to understand how the young and ethnically diverse communities of Lambeth and Southwark that are marked by persistent pockets of deprivation despite relatively strong aggregate economic performance could be supported to access the employment opportunities that SC1's continued development was projected to generate.</w:t>
      </w:r>
    </w:p>
    <w:p w14:paraId="046C7F3C" w14:textId="77777777" w:rsidR="00D779A2" w:rsidRPr="00CD05A8" w:rsidRDefault="00D779A2" w:rsidP="00D779A2">
      <w:pPr>
        <w:pStyle w:val="AbstractBookBaseParagraph"/>
        <w:rPr>
          <w:rFonts w:ascii="Noto Serif Light" w:hAnsi="Noto Serif Light" w:cs="Noto Serif Light"/>
        </w:rPr>
      </w:pPr>
    </w:p>
    <w:p w14:paraId="5159D792" w14:textId="77777777" w:rsidR="00D779A2" w:rsidRPr="00CD05A8" w:rsidRDefault="00D779A2" w:rsidP="00D779A2">
      <w:pPr>
        <w:pStyle w:val="AbstractBookBaseParagraph"/>
        <w:rPr>
          <w:rFonts w:ascii="Noto Serif Light" w:hAnsi="Noto Serif Light" w:cs="Noto Serif Light"/>
        </w:rPr>
      </w:pPr>
      <w:r w:rsidRPr="00CD05A8">
        <w:rPr>
          <w:rFonts w:ascii="Noto Serif Light" w:hAnsi="Noto Serif Light" w:cs="Noto Serif Light"/>
        </w:rPr>
        <w:t>The second study, completed in 2026 for a partnership of the London Borough of Ealing, Imperial College London, and the Old Oak and Park Royal Development Corporation, assessed the feasibility and strategic design of a new life sciences and frontier innovation skills hub at One Portal Way, North Acton, intended to serve the emergent WestTech London innovation corridor. WestTech London spans multiple nascent clusters, at White City, Paddington, Old Oak, and beyond, all of which are at markedly different stages of institutional and commercial maturity, and does not yet constitute a coherent district in the established sense. The two cases therefore represent not only different local geographies, communities, and commissioning contexts, but fundamentally different configurations of the relationship between district formation and cluster development, with materially different implications for the mechanisms through which inclusive growth might plausibly be achieved.</w:t>
      </w:r>
    </w:p>
    <w:p w14:paraId="7EAFCD68" w14:textId="77777777" w:rsidR="00D779A2" w:rsidRPr="00CD05A8" w:rsidRDefault="00D779A2" w:rsidP="00D779A2">
      <w:pPr>
        <w:pStyle w:val="AbstractBookBaseParagraph"/>
        <w:rPr>
          <w:rFonts w:ascii="Noto Serif Light" w:hAnsi="Noto Serif Light" w:cs="Noto Serif Light"/>
        </w:rPr>
      </w:pPr>
    </w:p>
    <w:p w14:paraId="39681906" w14:textId="77777777" w:rsidR="00D779A2" w:rsidRPr="00CD05A8" w:rsidRDefault="00D779A2" w:rsidP="00D779A2">
      <w:pPr>
        <w:pStyle w:val="AbstractBookBaseParagraph"/>
        <w:rPr>
          <w:rFonts w:ascii="Noto Serif Light" w:hAnsi="Noto Serif Light" w:cs="Noto Serif Light"/>
        </w:rPr>
      </w:pPr>
      <w:r w:rsidRPr="00CD05A8">
        <w:rPr>
          <w:rFonts w:ascii="Noto Serif Light" w:hAnsi="Noto Serif Light" w:cs="Noto Serif Light"/>
        </w:rPr>
        <w:t>Both studies surface a structurally similar and sobering finding: despite the assumptions embedded in their commissioning briefs and in the broader policy frameworks within which they sit, high-productivity life sciences clusters in both contexts systematically fail to generate accessible entry-level pathways for the diverse, multiply deprived communities in their immediate hinterlands.</w:t>
      </w:r>
    </w:p>
    <w:p w14:paraId="6994D9F6" w14:textId="77777777" w:rsidR="00D779A2" w:rsidRPr="00CD05A8" w:rsidRDefault="00D779A2" w:rsidP="00D779A2">
      <w:pPr>
        <w:pStyle w:val="AbstractBookBaseParagraph"/>
        <w:rPr>
          <w:rFonts w:ascii="Noto Serif Light" w:hAnsi="Noto Serif Light" w:cs="Noto Serif Light"/>
        </w:rPr>
      </w:pPr>
    </w:p>
    <w:p w14:paraId="0E7AA9F5" w14:textId="77777777" w:rsidR="00D779A2" w:rsidRPr="00CD05A8" w:rsidRDefault="00D779A2" w:rsidP="00D779A2">
      <w:pPr>
        <w:pStyle w:val="AbstractBookBaseParagraph"/>
        <w:rPr>
          <w:rFonts w:ascii="Noto Serif Light" w:hAnsi="Noto Serif Light" w:cs="Noto Serif Light"/>
        </w:rPr>
      </w:pPr>
      <w:r w:rsidRPr="00CD05A8">
        <w:rPr>
          <w:rFonts w:ascii="Noto Serif Light" w:hAnsi="Noto Serif Light" w:cs="Noto Serif Light"/>
        </w:rPr>
        <w:t>Three mechanisms of failure recur across both cases:</w:t>
      </w:r>
    </w:p>
    <w:p w14:paraId="12D6CB96" w14:textId="77777777" w:rsidR="00D779A2" w:rsidRPr="00CD05A8" w:rsidRDefault="00D779A2" w:rsidP="00D779A2">
      <w:pPr>
        <w:pStyle w:val="AbstractBookBaseParagraph"/>
        <w:rPr>
          <w:rFonts w:ascii="Noto Serif Light" w:hAnsi="Noto Serif Light" w:cs="Noto Serif Light"/>
        </w:rPr>
      </w:pPr>
      <w:r w:rsidRPr="00CD05A8">
        <w:rPr>
          <w:rFonts w:ascii="Noto Serif Light" w:hAnsi="Noto Serif Light" w:cs="Noto Serif Light"/>
        </w:rPr>
        <w:t>•</w:t>
      </w:r>
      <w:r w:rsidRPr="00CD05A8">
        <w:rPr>
          <w:rFonts w:ascii="Noto Serif Light" w:hAnsi="Noto Serif Light" w:cs="Noto Serif Light"/>
        </w:rPr>
        <w:tab/>
        <w:t>the entrenched cultural preference within the sector for graduate and postgraduate recruitment, which functions as a durable barrier to sub-degree entry even in occupations where that credential requirement is arguably unnecessary;</w:t>
      </w:r>
    </w:p>
    <w:p w14:paraId="554CFA14" w14:textId="77777777" w:rsidR="00D779A2" w:rsidRPr="00CD05A8" w:rsidRDefault="00D779A2" w:rsidP="00D779A2">
      <w:pPr>
        <w:pStyle w:val="AbstractBookBaseParagraph"/>
        <w:rPr>
          <w:rFonts w:ascii="Noto Serif Light" w:hAnsi="Noto Serif Light" w:cs="Noto Serif Light"/>
        </w:rPr>
      </w:pPr>
      <w:r w:rsidRPr="00CD05A8">
        <w:rPr>
          <w:rFonts w:ascii="Noto Serif Light" w:hAnsi="Noto Serif Light" w:cs="Noto Serif Light"/>
        </w:rPr>
        <w:t>•</w:t>
      </w:r>
      <w:r w:rsidRPr="00CD05A8">
        <w:rPr>
          <w:rFonts w:ascii="Noto Serif Light" w:hAnsi="Noto Serif Light" w:cs="Noto Serif Light"/>
        </w:rPr>
        <w:tab/>
        <w:t>the globally competitive market for specialist life sciences talent, which incentivises employers to default to international recruitment before investing in local pipeline development; and</w:t>
      </w:r>
    </w:p>
    <w:p w14:paraId="0522C123" w14:textId="77777777" w:rsidR="00D779A2" w:rsidRPr="00CD05A8" w:rsidRDefault="00D779A2" w:rsidP="00D779A2">
      <w:pPr>
        <w:pStyle w:val="AbstractBookBaseParagraph"/>
        <w:rPr>
          <w:rFonts w:ascii="Noto Serif Light" w:hAnsi="Noto Serif Light" w:cs="Noto Serif Light"/>
        </w:rPr>
      </w:pPr>
      <w:r w:rsidRPr="00CD05A8">
        <w:rPr>
          <w:rFonts w:ascii="Noto Serif Light" w:hAnsi="Noto Serif Light" w:cs="Noto Serif Light"/>
        </w:rPr>
        <w:t>•</w:t>
      </w:r>
      <w:r w:rsidRPr="00CD05A8">
        <w:rPr>
          <w:rFonts w:ascii="Noto Serif Light" w:hAnsi="Noto Serif Light" w:cs="Noto Serif Light"/>
        </w:rPr>
        <w:tab/>
        <w:t xml:space="preserve">the fundamental mismatch between national skills infrastructure, including apprenticeship standards, further education provision, and vocational qualification frameworks, and the occupational profiles that emerging life sciences roles actually require. </w:t>
      </w:r>
    </w:p>
    <w:p w14:paraId="21581676" w14:textId="77777777" w:rsidR="00D779A2" w:rsidRPr="00CD05A8" w:rsidRDefault="00D779A2" w:rsidP="00D779A2">
      <w:pPr>
        <w:pStyle w:val="AbstractBookBaseParagraph"/>
        <w:rPr>
          <w:rFonts w:ascii="Noto Serif Light" w:hAnsi="Noto Serif Light" w:cs="Noto Serif Light"/>
        </w:rPr>
      </w:pPr>
    </w:p>
    <w:p w14:paraId="4B626FED" w14:textId="77777777" w:rsidR="00D779A2" w:rsidRPr="00CD05A8" w:rsidRDefault="00D779A2" w:rsidP="00D779A2">
      <w:pPr>
        <w:pStyle w:val="AbstractBookBaseParagraph"/>
        <w:rPr>
          <w:rFonts w:ascii="Noto Serif Light" w:hAnsi="Noto Serif Light" w:cs="Noto Serif Light"/>
        </w:rPr>
      </w:pPr>
      <w:r w:rsidRPr="00CD05A8">
        <w:rPr>
          <w:rFonts w:ascii="Noto Serif Light" w:hAnsi="Noto Serif Light" w:cs="Noto Serif Light"/>
        </w:rPr>
        <w:t xml:space="preserve">The mechanisms of failure are shared; but their relative weight, and crucially the policy responses they imply, differ significantly between the two cases. In SC1, where the district is institutionally mature and the cluster well-established, the dominant problem is one of coordination failure — considerable assets exist across the further and higher education ecosystem, the NHS trusts, and local government, but they are insufficiently aligned around a shared inclusive growth agenda oriented toward the life sciences. The appropriate response is therefore primarily integrative: connecting, activating, and directing existing capacity rather than building from scratch. In the WestTech London case, where the cluster is emergent, the business base is dominated by startups and </w:t>
      </w:r>
      <w:r w:rsidRPr="00CD05A8">
        <w:rPr>
          <w:rFonts w:ascii="Noto Serif Light" w:hAnsi="Noto Serif Light" w:cs="Noto Serif Light"/>
        </w:rPr>
        <w:lastRenderedPageBreak/>
        <w:t>micro-businesses structurally incompatible with conventional apprenticeship models, and where a national skills infrastructure has been shown to cover fewer than half the capabilities required for emerging entry-level roles, the constraints are more structurally intractable and the required response more fundamentally compensatory and infrastructural.</w:t>
      </w:r>
    </w:p>
    <w:p w14:paraId="1A6CC6BE" w14:textId="77777777" w:rsidR="00D779A2" w:rsidRPr="00CD05A8" w:rsidRDefault="00D779A2" w:rsidP="00D779A2">
      <w:pPr>
        <w:pStyle w:val="AbstractBookBaseParagraph"/>
        <w:rPr>
          <w:rFonts w:ascii="Noto Serif Light" w:hAnsi="Noto Serif Light" w:cs="Noto Serif Light"/>
        </w:rPr>
      </w:pPr>
    </w:p>
    <w:p w14:paraId="5A113339" w14:textId="77777777" w:rsidR="00D779A2" w:rsidRPr="00CD05A8" w:rsidRDefault="00D779A2" w:rsidP="00D779A2">
      <w:pPr>
        <w:pStyle w:val="AbstractBookBaseParagraph"/>
        <w:rPr>
          <w:rFonts w:ascii="Noto Serif Light" w:hAnsi="Noto Serif Light" w:cs="Noto Serif Light"/>
        </w:rPr>
      </w:pPr>
      <w:r w:rsidRPr="00CD05A8">
        <w:rPr>
          <w:rFonts w:ascii="Noto Serif Light" w:hAnsi="Noto Serif Light" w:cs="Noto Serif Light"/>
        </w:rPr>
        <w:t>Taken together, the two cases illuminate a broader tension in place-based skills policy between the aspiration to anchor inclusive growth within innovation districts and the structural realities of high-technology labour markets that systematically reward credentials, networks, and prior experience that disadvantaged residents are least likely to possess. The paper concludes by drawing out implications for the design of future skills interventions in innovation district contexts, with particular attention to the conditions under which supply-side skills provision alone is unlikely to close the gap without concurrent demand-side behaviour change among employers.</w:t>
      </w:r>
    </w:p>
    <w:p w14:paraId="60E7077E" w14:textId="77777777" w:rsidR="00D779A2" w:rsidRPr="00CD05A8" w:rsidRDefault="00D779A2" w:rsidP="00D779A2">
      <w:pPr>
        <w:pStyle w:val="AbstractBookBaseParagraph"/>
        <w:rPr>
          <w:rFonts w:ascii="Noto Serif Light" w:hAnsi="Noto Serif Light" w:cs="Noto Serif Light"/>
        </w:rPr>
      </w:pPr>
      <w:r w:rsidRPr="00CD05A8">
        <w:rPr>
          <w:rFonts w:ascii="Noto Serif Light" w:hAnsi="Noto Serif Light" w:cs="Noto Serif Light"/>
        </w:rPr>
        <w:br w:type="page"/>
      </w:r>
    </w:p>
    <w:p w14:paraId="2338FB44" w14:textId="659BBA91" w:rsidR="006457E8" w:rsidRDefault="006457E8" w:rsidP="006457E8">
      <w:pPr>
        <w:pStyle w:val="ABSubhead"/>
      </w:pPr>
      <w:r>
        <w:lastRenderedPageBreak/>
        <w:t xml:space="preserve">O20. </w:t>
      </w:r>
      <w:r w:rsidR="00D047BB" w:rsidRPr="00D047BB">
        <w:t>Enhancing Regional Circular Economy Innovation: A Triple Helix Approach to Supporting SME Innovation Through Public Seed Funding</w:t>
      </w:r>
    </w:p>
    <w:p w14:paraId="5C0C12E1" w14:textId="77777777" w:rsidR="006457E8" w:rsidRPr="00220128" w:rsidRDefault="006457E8" w:rsidP="006457E8">
      <w:pPr>
        <w:pStyle w:val="ABParagraph"/>
      </w:pPr>
    </w:p>
    <w:p w14:paraId="563D1DE6" w14:textId="77777777" w:rsidR="006457E8" w:rsidRPr="00CD05A8" w:rsidRDefault="006457E8" w:rsidP="006457E8">
      <w:pPr>
        <w:pStyle w:val="AbstractBookAuthors"/>
        <w:rPr>
          <w:rFonts w:ascii="Noto Serif Light" w:hAnsi="Noto Serif Light" w:cs="Noto Serif Light"/>
        </w:rPr>
      </w:pPr>
      <w:r w:rsidRPr="00CD05A8">
        <w:rPr>
          <w:rStyle w:val="AbstractBookPresentingAuthor"/>
          <w:rFonts w:ascii="Noto Serif Light" w:hAnsi="Noto Serif Light" w:cs="Noto Serif Light"/>
        </w:rPr>
        <w:t>Dr Gary W</w:t>
      </w:r>
      <w:r>
        <w:rPr>
          <w:rStyle w:val="AbstractBookPresentingAuthor"/>
          <w:rFonts w:ascii="Noto Serif Light" w:hAnsi="Noto Serif Light" w:cs="Noto Serif Light"/>
        </w:rPr>
        <w:t>alpole</w:t>
      </w:r>
      <w:r w:rsidRPr="00CD05A8">
        <w:rPr>
          <w:rFonts w:ascii="Noto Serif Light" w:hAnsi="Noto Serif Light" w:cs="Noto Serif Light"/>
          <w:vertAlign w:val="superscript"/>
        </w:rPr>
        <w:t>1</w:t>
      </w:r>
    </w:p>
    <w:p w14:paraId="01B0EA6F" w14:textId="77777777" w:rsidR="006457E8" w:rsidRDefault="006457E8" w:rsidP="006457E8">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Cardiff Metropolitan University, United Kingdom</w:t>
      </w:r>
    </w:p>
    <w:p w14:paraId="7B1E4AAF" w14:textId="77777777" w:rsidR="006457E8" w:rsidRDefault="006457E8" w:rsidP="006457E8">
      <w:pPr>
        <w:pStyle w:val="AbstractBookBaseParagraph"/>
        <w:rPr>
          <w:rStyle w:val="AbstractBookBaseCharacterStyle"/>
          <w:rFonts w:ascii="Noto Serif Light" w:hAnsi="Noto Serif Light" w:cs="Noto Serif Light"/>
        </w:rPr>
      </w:pPr>
    </w:p>
    <w:p w14:paraId="54241BC7" w14:textId="77777777" w:rsidR="006457E8" w:rsidRDefault="006457E8" w:rsidP="006457E8">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084A89F9" w14:textId="77777777" w:rsidR="006457E8" w:rsidRPr="00220128" w:rsidRDefault="006457E8" w:rsidP="006457E8">
      <w:pPr>
        <w:pStyle w:val="AbstractBookBaseParagraph"/>
        <w:rPr>
          <w:rFonts w:ascii="Noto Serif Light" w:hAnsi="Noto Serif Light" w:cs="Noto Serif Light"/>
          <w:b/>
          <w:bCs/>
        </w:rPr>
      </w:pPr>
    </w:p>
    <w:p w14:paraId="2E9BBF6B" w14:textId="77777777" w:rsidR="006457E8" w:rsidRPr="00220128" w:rsidRDefault="006457E8" w:rsidP="006457E8">
      <w:pPr>
        <w:pStyle w:val="AbstractBookBaseParagraph"/>
        <w:rPr>
          <w:rFonts w:ascii="Noto Serif Light" w:hAnsi="Noto Serif Light" w:cs="Noto Serif Light"/>
          <w:b/>
          <w:bCs/>
        </w:rPr>
      </w:pPr>
      <w:r w:rsidRPr="00220128">
        <w:rPr>
          <w:rFonts w:ascii="Noto Serif Light" w:hAnsi="Noto Serif Light" w:cs="Noto Serif Light"/>
          <w:b/>
          <w:bCs/>
        </w:rPr>
        <w:t>1.</w:t>
      </w:r>
      <w:r>
        <w:rPr>
          <w:rFonts w:ascii="Noto Serif Light" w:hAnsi="Noto Serif Light" w:cs="Noto Serif Light"/>
          <w:b/>
          <w:bCs/>
        </w:rPr>
        <w:t xml:space="preserve"> </w:t>
      </w:r>
      <w:r w:rsidRPr="00220128">
        <w:rPr>
          <w:rFonts w:ascii="Noto Serif Light" w:hAnsi="Noto Serif Light" w:cs="Noto Serif Light"/>
          <w:b/>
          <w:bCs/>
        </w:rPr>
        <w:t xml:space="preserve">Introduction </w:t>
      </w:r>
    </w:p>
    <w:p w14:paraId="280B3AEC"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 xml:space="preserve">In Wales, SMEs account for 99% of all enterprises, of which micro enterprises account for 95% and 63% of private sector employment in Wales is within SMEs (Welsh Government, 2022).  In Wales, output per hour worked was 17% below the UK average in 2023 (Jones, 2025).  A recent UK Government report (UKIS, 2022) stated: “Evidence shows a positive and statistically significant link between innovation and organisational growth” (p.6). Moreover, the Well-being of Future Generations Act (Welsh Government, 2015) established the “Percentage of businesses which are innovation-active” (p.3) as an indicator of national progress.  The most recent Welsh Government innovation strategy promised to deliver a ‘Stronger, Farier and Greener Wales’ (Welsh Government, 2023), by supporting SMEs to innovate and explicitly encouraging circular economy innovation.   </w:t>
      </w:r>
    </w:p>
    <w:p w14:paraId="51E03B69" w14:textId="77777777" w:rsidR="006457E8" w:rsidRPr="00CD05A8" w:rsidRDefault="006457E8" w:rsidP="006457E8">
      <w:pPr>
        <w:pStyle w:val="AbstractBookBaseParagraph"/>
        <w:rPr>
          <w:rFonts w:ascii="Noto Serif Light" w:hAnsi="Noto Serif Light" w:cs="Noto Serif Light"/>
        </w:rPr>
      </w:pPr>
    </w:p>
    <w:p w14:paraId="22541685" w14:textId="77777777" w:rsidR="006457E8" w:rsidRPr="00CD05A8" w:rsidRDefault="006457E8" w:rsidP="006457E8">
      <w:pPr>
        <w:pStyle w:val="AbstractBookBaseParagraph"/>
        <w:rPr>
          <w:rFonts w:ascii="Noto Serif Light" w:hAnsi="Noto Serif Light" w:cs="Noto Serif Light"/>
        </w:rPr>
      </w:pPr>
    </w:p>
    <w:p w14:paraId="0EF0AAF6" w14:textId="77777777" w:rsidR="006457E8" w:rsidRPr="00220128" w:rsidRDefault="006457E8" w:rsidP="006457E8">
      <w:pPr>
        <w:pStyle w:val="AbstractBookBaseParagraph"/>
        <w:rPr>
          <w:rFonts w:ascii="Noto Serif Light" w:hAnsi="Noto Serif Light" w:cs="Noto Serif Light"/>
          <w:b/>
          <w:bCs/>
        </w:rPr>
      </w:pPr>
      <w:r w:rsidRPr="00220128">
        <w:rPr>
          <w:rFonts w:ascii="Noto Serif Light" w:hAnsi="Noto Serif Light" w:cs="Noto Serif Light"/>
          <w:b/>
          <w:bCs/>
        </w:rPr>
        <w:t>2.</w:t>
      </w:r>
      <w:r>
        <w:rPr>
          <w:rFonts w:ascii="Noto Serif Light" w:hAnsi="Noto Serif Light" w:cs="Noto Serif Light"/>
          <w:b/>
          <w:bCs/>
        </w:rPr>
        <w:t xml:space="preserve"> </w:t>
      </w:r>
      <w:r w:rsidRPr="00220128">
        <w:rPr>
          <w:rFonts w:ascii="Noto Serif Light" w:hAnsi="Noto Serif Light" w:cs="Noto Serif Light"/>
          <w:b/>
          <w:bCs/>
        </w:rPr>
        <w:t>Literature review</w:t>
      </w:r>
    </w:p>
    <w:p w14:paraId="41DB4D26" w14:textId="77777777" w:rsidR="006457E8" w:rsidRPr="00220128" w:rsidRDefault="006457E8" w:rsidP="006457E8">
      <w:pPr>
        <w:pStyle w:val="AbstractBookBaseParagraph"/>
        <w:rPr>
          <w:rFonts w:ascii="Noto Serif Light" w:hAnsi="Noto Serif Light" w:cs="Noto Serif Light"/>
          <w:b/>
          <w:bCs/>
        </w:rPr>
      </w:pPr>
      <w:r w:rsidRPr="00220128">
        <w:rPr>
          <w:rFonts w:ascii="Noto Serif Light" w:hAnsi="Noto Serif Light" w:cs="Noto Serif Light"/>
          <w:b/>
          <w:bCs/>
        </w:rPr>
        <w:t>2.1 Importance of innovation</w:t>
      </w:r>
    </w:p>
    <w:p w14:paraId="152B83F9"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The importance of supporting SMEs to develop their innovation capabilities cannot be overstated, the most recent UK Government Innovation Survey (UKIS, 2023) stated that only 31% of SMEs in Wales were ‘innovation-active’, compared to 37% in England, within the ‘wider innovation’ category.  The multiple challenges that businesses face in developing new products and enhancing their innovation capabilities was detailed in the UK Government report on innovation that revealed that only 8% of all businesses are engaged in product and process innovation in the UK (UKIS, 2023).  The UKIS identified urgent barriers to innovation and highlighted the innovation challenges that businesses face to suggested this ‘market failure’ presents policy makers in the UK, and particularly Wales, with a productivity challenge as highlighted by recent authors (Jones, 2025). The main constraining factors idenitfied:</w:t>
      </w:r>
    </w:p>
    <w:p w14:paraId="4172A0C7"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w:t>
      </w:r>
      <w:r w:rsidRPr="00CD05A8">
        <w:rPr>
          <w:rFonts w:ascii="Noto Serif Light" w:hAnsi="Noto Serif Light" w:cs="Noto Serif Light"/>
        </w:rPr>
        <w:tab/>
        <w:t xml:space="preserve">Cost factors </w:t>
      </w:r>
    </w:p>
    <w:p w14:paraId="658ECA68"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w:t>
      </w:r>
      <w:r w:rsidRPr="00CD05A8">
        <w:rPr>
          <w:rFonts w:ascii="Noto Serif Light" w:hAnsi="Noto Serif Light" w:cs="Noto Serif Light"/>
        </w:rPr>
        <w:tab/>
        <w:t xml:space="preserve">Knowledge factors </w:t>
      </w:r>
    </w:p>
    <w:p w14:paraId="31F7E900"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w:t>
      </w:r>
      <w:r w:rsidRPr="00CD05A8">
        <w:rPr>
          <w:rFonts w:ascii="Noto Serif Light" w:hAnsi="Noto Serif Light" w:cs="Noto Serif Light"/>
        </w:rPr>
        <w:tab/>
        <w:t xml:space="preserve">Market factors </w:t>
      </w:r>
    </w:p>
    <w:p w14:paraId="0EB26A16"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w:t>
      </w:r>
      <w:r w:rsidRPr="00CD05A8">
        <w:rPr>
          <w:rFonts w:ascii="Noto Serif Light" w:hAnsi="Noto Serif Light" w:cs="Noto Serif Light"/>
        </w:rPr>
        <w:tab/>
        <w:t xml:space="preserve">Other factors. </w:t>
      </w:r>
    </w:p>
    <w:p w14:paraId="6D9C9399" w14:textId="77777777" w:rsidR="006457E8" w:rsidRDefault="006457E8" w:rsidP="006457E8">
      <w:pPr>
        <w:pStyle w:val="AbstractBookBaseParagraph"/>
        <w:rPr>
          <w:rFonts w:ascii="Noto Serif Light" w:hAnsi="Noto Serif Light" w:cs="Noto Serif Light"/>
        </w:rPr>
      </w:pPr>
      <w:r w:rsidRPr="00CD05A8">
        <w:rPr>
          <w:rFonts w:ascii="Noto Serif Light" w:hAnsi="Noto Serif Light" w:cs="Noto Serif Light"/>
        </w:rPr>
        <w:t xml:space="preserve"> (UKIS, 2024).  </w:t>
      </w:r>
    </w:p>
    <w:p w14:paraId="2AD74AF8" w14:textId="77777777" w:rsidR="006457E8" w:rsidRPr="00CD05A8" w:rsidRDefault="006457E8" w:rsidP="006457E8">
      <w:pPr>
        <w:pStyle w:val="AbstractBookBaseParagraph"/>
        <w:rPr>
          <w:rFonts w:ascii="Noto Serif Light" w:hAnsi="Noto Serif Light" w:cs="Noto Serif Light"/>
        </w:rPr>
      </w:pPr>
    </w:p>
    <w:p w14:paraId="2063E5A3"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 xml:space="preserve">A small grant (seed funding) that has a commensurate application process to fund the development feasibility studies should mitigate the first three of the four ‘factors’ outlined above.  Targeted support is needed to help SMEs develop effective innovation capabilities and access resources, to increase innovation activeness in low innovation level regions and increase the number of new products and services that incorporate CE principles.  </w:t>
      </w:r>
    </w:p>
    <w:p w14:paraId="336D5404" w14:textId="77777777" w:rsidR="006457E8" w:rsidRPr="00CD05A8" w:rsidRDefault="006457E8" w:rsidP="006457E8">
      <w:pPr>
        <w:pStyle w:val="AbstractBookBaseParagraph"/>
        <w:rPr>
          <w:rFonts w:ascii="Noto Serif Light" w:hAnsi="Noto Serif Light" w:cs="Noto Serif Light"/>
        </w:rPr>
      </w:pPr>
    </w:p>
    <w:p w14:paraId="043CE0F8" w14:textId="77777777" w:rsidR="006457E8" w:rsidRPr="00220128" w:rsidRDefault="006457E8" w:rsidP="006457E8">
      <w:pPr>
        <w:pStyle w:val="AbstractBookBaseParagraph"/>
        <w:rPr>
          <w:rFonts w:ascii="Noto Serif Light" w:hAnsi="Noto Serif Light" w:cs="Noto Serif Light"/>
          <w:b/>
          <w:bCs/>
        </w:rPr>
      </w:pPr>
      <w:r w:rsidRPr="00220128">
        <w:rPr>
          <w:rFonts w:ascii="Noto Serif Light" w:hAnsi="Noto Serif Light" w:cs="Noto Serif Light"/>
          <w:b/>
          <w:bCs/>
        </w:rPr>
        <w:t>2.2 Seed funding</w:t>
      </w:r>
    </w:p>
    <w:p w14:paraId="2E8F3075"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Innovation projects are inherently characterised by technological and market uncertainty, which can deter private investors and internal firm decision makers (Hall &amp; Lerner, 2010). Seed funding plays a critical role in reducing such uncertainties by enabling early experimentation, validation, and learning. The literature argues that small initial investments create valuable information that can expand the scope of future R&amp;D (McGrath, 1997). Additonally, signalling theory suggests that seed funding, especially from credible public sources, provides external validation that can attract subsequent investors (Lerner, 2000). Thus, small early grants do more than fund activity, they shape perceptions of a project’s potential and reduce information asymmetry between innovators and financiers.</w:t>
      </w:r>
    </w:p>
    <w:p w14:paraId="4642D258" w14:textId="77777777" w:rsidR="006457E8" w:rsidRPr="00CD05A8" w:rsidRDefault="006457E8" w:rsidP="006457E8">
      <w:pPr>
        <w:pStyle w:val="AbstractBookBaseParagraph"/>
        <w:rPr>
          <w:rFonts w:ascii="Noto Serif Light" w:hAnsi="Noto Serif Light" w:cs="Noto Serif Light"/>
        </w:rPr>
      </w:pPr>
    </w:p>
    <w:p w14:paraId="0C8C4BA5"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Another theme within the research focuses on ‘additionality’, the extent to which seed funding stimulates, rather than substitutes, further investment (Mukherjee et al, 2024). Numerous studies indicate that seed R&amp;D grants generate substantial input additionality by enabling firms to commit greater internal and external resources to follow-on innovation projects. Meuleman and De Maeseneire (2012) found that early government-backed R&amp;D grants reduce investor uncertainty and increase venture capital inflows to young technology firms. Howell (2017), in an empirical evaluation of U.S. Small Business Innovation Research (SBIR) awards, showed that seed stage public grants substantially raise the probability of securing later stage equity funding, particularly for projects with high technological novelty. This is complemented by evidence from Lerner (2000), who argues that early public support acts as a ‘certification effect’, allowing investors to differentiate high quality firms from similar competitors.</w:t>
      </w:r>
    </w:p>
    <w:p w14:paraId="7D3EABF7" w14:textId="77777777" w:rsidR="006457E8" w:rsidRPr="00CD05A8" w:rsidRDefault="006457E8" w:rsidP="006457E8">
      <w:pPr>
        <w:pStyle w:val="AbstractBookBaseParagraph"/>
        <w:rPr>
          <w:rFonts w:ascii="Noto Serif Light" w:hAnsi="Noto Serif Light" w:cs="Noto Serif Light"/>
        </w:rPr>
      </w:pPr>
    </w:p>
    <w:p w14:paraId="68581751"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Beyond investment attraction, seed funding has been consistently linked to output additionality which improves innovation outcomes such as patenting, prototyping, product launch, and market success. Audretsch, Link, and Scott (2019) find that SBIR-funded firms are more likely to innovate successfully, exhibit greater technological reach, and achieve higher survival rates than matched unfunded firms. Howell (2017) demonstrates that SBIR awards increase the probability of first commercial sales, even among firms that fail to attract subsequent venture capital. Meanwhile, González, Jaumandreu, and Pazó (2005) show that small subsidies to Spanish SMEs lead to higher innovation outputs relative to their size, indicating strong multiplier effects.</w:t>
      </w:r>
    </w:p>
    <w:p w14:paraId="1683708B" w14:textId="77777777" w:rsidR="006457E8" w:rsidRPr="00CD05A8" w:rsidRDefault="006457E8" w:rsidP="006457E8">
      <w:pPr>
        <w:pStyle w:val="AbstractBookBaseParagraph"/>
        <w:rPr>
          <w:rFonts w:ascii="Noto Serif Light" w:hAnsi="Noto Serif Light" w:cs="Noto Serif Light"/>
        </w:rPr>
      </w:pPr>
    </w:p>
    <w:p w14:paraId="4B815079"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The effectiveness of seed funding is influenced by contextual factors. Smaller and younger firms appear to benefit disproportionately due to greater initial financial constraints and higher uncertainty (Czarnitzki &amp; Hottenrott, 2011). High tech and science-based sectors, including biotechnology, advanced materials, and digital technologies demonstrate particularly strong amplification of early funding (Howell, 2017). Funding programme design can also enhace success, with clear evaluation criteria, phased funding structures, and linkages to business support services shown to enhance the catalytic effect (Lerner, 2012).</w:t>
      </w:r>
    </w:p>
    <w:p w14:paraId="3AF912D7" w14:textId="77777777" w:rsidR="006457E8" w:rsidRPr="00CD05A8" w:rsidRDefault="006457E8" w:rsidP="006457E8">
      <w:pPr>
        <w:pStyle w:val="AbstractBookBaseParagraph"/>
        <w:rPr>
          <w:rFonts w:ascii="Noto Serif Light" w:hAnsi="Noto Serif Light" w:cs="Noto Serif Light"/>
        </w:rPr>
      </w:pPr>
    </w:p>
    <w:p w14:paraId="005496A1" w14:textId="77777777" w:rsidR="006457E8" w:rsidRPr="00220128" w:rsidRDefault="006457E8" w:rsidP="006457E8">
      <w:pPr>
        <w:pStyle w:val="AbstractBookBaseParagraph"/>
        <w:rPr>
          <w:rFonts w:ascii="Noto Serif Light" w:hAnsi="Noto Serif Light" w:cs="Noto Serif Light"/>
          <w:b/>
          <w:bCs/>
        </w:rPr>
      </w:pPr>
      <w:r w:rsidRPr="00220128">
        <w:rPr>
          <w:rFonts w:ascii="Noto Serif Light" w:hAnsi="Noto Serif Light" w:cs="Noto Serif Light"/>
          <w:b/>
          <w:bCs/>
        </w:rPr>
        <w:t xml:space="preserve">3.1 Research context </w:t>
      </w:r>
    </w:p>
    <w:p w14:paraId="48234DC5"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 xml:space="preserve">With an appreciation of the link between innovation and economic growth, the Welsh Government identified ‘the percentage of businesses that are innovation active’ as a </w:t>
      </w:r>
      <w:r w:rsidRPr="00CD05A8">
        <w:rPr>
          <w:rFonts w:ascii="Noto Serif Light" w:hAnsi="Noto Serif Light" w:cs="Noto Serif Light"/>
        </w:rPr>
        <w:lastRenderedPageBreak/>
        <w:t xml:space="preserve">national prosperity indicator in the Well-Being for Future Generations Act (Welsh Government, 2015). Welsh Government (WG) launched a pilot new seed fund for organisations looking to develop CE innovation projects in June 2025.  The pilot New to Circular Economy fund offered organisations up to £10,000 in grant as part of a £15,000 scoping or feasibility phase of a prospective Circular Economy innovation project.  The pilot incorporated an appropriate streamlined application process as well as pro-forma and scoring rubric, co-produced by WG innovation team and the CEIC Wales team (Cardiff Metropolitan &amp; Swansea University).  The CEIC Wales team offered support to organisations interested in developing a proposal. Most of the applicants were CEIC Wales alumni and therefore predominantly based in South Wales.  The pilot was marketed from June  to November 2025 and closed on the 5 December 2025.  </w:t>
      </w:r>
    </w:p>
    <w:p w14:paraId="0D6B49A6" w14:textId="77777777" w:rsidR="006457E8" w:rsidRPr="00CD05A8" w:rsidRDefault="006457E8" w:rsidP="006457E8">
      <w:pPr>
        <w:pStyle w:val="AbstractBookBaseParagraph"/>
        <w:rPr>
          <w:rFonts w:ascii="Noto Serif Light" w:hAnsi="Noto Serif Light" w:cs="Noto Serif Light"/>
        </w:rPr>
      </w:pPr>
    </w:p>
    <w:p w14:paraId="67F52750" w14:textId="77777777" w:rsidR="006457E8" w:rsidRPr="00CD05A8" w:rsidRDefault="006457E8" w:rsidP="006457E8">
      <w:pPr>
        <w:pStyle w:val="AbstractBookBaseParagraph"/>
        <w:rPr>
          <w:rFonts w:ascii="Noto Serif Light" w:hAnsi="Noto Serif Light" w:cs="Noto Serif Light"/>
        </w:rPr>
      </w:pPr>
    </w:p>
    <w:p w14:paraId="42F2293D" w14:textId="77777777" w:rsidR="006457E8" w:rsidRPr="00220128" w:rsidRDefault="006457E8" w:rsidP="006457E8">
      <w:pPr>
        <w:pStyle w:val="AbstractBookBaseParagraph"/>
        <w:rPr>
          <w:rFonts w:ascii="Noto Serif Light" w:hAnsi="Noto Serif Light" w:cs="Noto Serif Light"/>
          <w:b/>
          <w:bCs/>
        </w:rPr>
      </w:pPr>
      <w:r w:rsidRPr="00220128">
        <w:rPr>
          <w:rFonts w:ascii="Noto Serif Light" w:hAnsi="Noto Serif Light" w:cs="Noto Serif Light"/>
          <w:b/>
          <w:bCs/>
        </w:rPr>
        <w:t>3.2 Methodology</w:t>
      </w:r>
    </w:p>
    <w:p w14:paraId="5F24E8B1"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To address the research questions a multi-stage methodology was developed and the data analysed with the theoretical framework of Interpretative Phenomenological Analysis (IPA). Quantitative data was obtained via a survey issued to organisations that applied for funding.  The progress of organisations was tracked using an online database through a series of short meetings between the applying organisation and the CEIC Wales team.   Whilst there is an inevitable danger in verifying the ‘truth’ of such virtual feedback to on-line survey questioning, Hookway suggests the replies “tell us something about the manner in which specific social and cultural ideas are constructed” (Hookway, 2008, p78). Semi-structured interviews were then conducted, at the end of the pilot, by interviewing nine SME applicants, three CEIC Wales staff members and three WG innovation team staff.  The interviews were transcribed for thematic analysis.  The participating organisations varied in their size, structure, and core purpose. The study adopted Systems Theory (Katz and Khan, 1978) as the background theory as it suggests private, public and third sector organizations are part of a system which is subject to statutory, regulatory, economic and social forces. It also suggests that organisations should treat natural resources and materials like natural systems where materials are not wasted, and symbiotic relationships can be developed (Raworth, 2018).</w:t>
      </w:r>
    </w:p>
    <w:p w14:paraId="25FFBED8" w14:textId="77777777" w:rsidR="006457E8" w:rsidRPr="00CD05A8" w:rsidRDefault="006457E8" w:rsidP="006457E8">
      <w:pPr>
        <w:pStyle w:val="AbstractBookBaseParagraph"/>
        <w:rPr>
          <w:rFonts w:ascii="Noto Serif Light" w:hAnsi="Noto Serif Light" w:cs="Noto Serif Light"/>
        </w:rPr>
      </w:pPr>
    </w:p>
    <w:p w14:paraId="5F493790" w14:textId="77777777" w:rsidR="006457E8" w:rsidRPr="00220128" w:rsidRDefault="006457E8" w:rsidP="006457E8">
      <w:pPr>
        <w:pStyle w:val="AbstractBookBaseParagraph"/>
        <w:rPr>
          <w:rFonts w:ascii="Noto Serif Light" w:hAnsi="Noto Serif Light" w:cs="Noto Serif Light"/>
          <w:b/>
          <w:bCs/>
        </w:rPr>
      </w:pPr>
      <w:r w:rsidRPr="00220128">
        <w:rPr>
          <w:rFonts w:ascii="Noto Serif Light" w:hAnsi="Noto Serif Light" w:cs="Noto Serif Light"/>
          <w:b/>
          <w:bCs/>
        </w:rPr>
        <w:t>4.</w:t>
      </w:r>
      <w:r>
        <w:rPr>
          <w:rFonts w:ascii="Noto Serif Light" w:hAnsi="Noto Serif Light" w:cs="Noto Serif Light"/>
          <w:b/>
          <w:bCs/>
        </w:rPr>
        <w:t xml:space="preserve"> </w:t>
      </w:r>
      <w:r w:rsidRPr="00220128">
        <w:rPr>
          <w:rFonts w:ascii="Noto Serif Light" w:hAnsi="Noto Serif Light" w:cs="Noto Serif Light"/>
          <w:b/>
          <w:bCs/>
        </w:rPr>
        <w:t>Findings</w:t>
      </w:r>
    </w:p>
    <w:p w14:paraId="16E57A03"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 xml:space="preserve">The quantitative findings, outlined below, detail the value of the pilot based on the outputs articulated by the WG at project inception.  The outputs set by Welsh Government were derived from policy documents that govern their approach to economic development in Wales; The Future Generations Act Wales (2015), Beyond Recycling (2021) and Wales Innovates (2023).  The quantitative findings suggest the pilot delivered against desired outcomes for both Welsh Government and organisaitons that applied for funding.  </w:t>
      </w:r>
    </w:p>
    <w:p w14:paraId="7C8691BD" w14:textId="77777777" w:rsidR="006457E8" w:rsidRPr="00CD05A8" w:rsidRDefault="006457E8" w:rsidP="006457E8">
      <w:pPr>
        <w:pStyle w:val="AbstractBookBaseParagraph"/>
        <w:rPr>
          <w:rFonts w:ascii="Noto Serif Light" w:hAnsi="Noto Serif Light" w:cs="Noto Serif Light"/>
        </w:rPr>
      </w:pPr>
    </w:p>
    <w:p w14:paraId="5191F8E5"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 xml:space="preserve">The Welsh Government have stated that a number of ‘soft targets’ were also achieved, including the development of a pipeline of SMEs who were previously unknown to them.  Approximatley 85% of the SMEs that engaged with the pilot, were new applicants, which has created a pipeline of organisations that could apply to larger funding schemes.  Another useful outcome was the nine organisations that had previously withdrawn an application to Smart Flexible Innovation Support (£50,000) fund applied for the seed funding.  The awarding of seed funding was also viewed as a </w:t>
      </w:r>
      <w:r w:rsidRPr="00CD05A8">
        <w:rPr>
          <w:rFonts w:ascii="Noto Serif Light" w:hAnsi="Noto Serif Light" w:cs="Noto Serif Light"/>
        </w:rPr>
        <w:lastRenderedPageBreak/>
        <w:t xml:space="preserve">‘de-risking stage gate’ as it reduced financial risk to WG, for applications from small and micro organisations.  </w:t>
      </w:r>
    </w:p>
    <w:p w14:paraId="68063F22" w14:textId="77777777" w:rsidR="006457E8" w:rsidRPr="00CD05A8" w:rsidRDefault="006457E8" w:rsidP="006457E8">
      <w:pPr>
        <w:pStyle w:val="AbstractBookBaseParagraph"/>
        <w:rPr>
          <w:rFonts w:ascii="Noto Serif Light" w:hAnsi="Noto Serif Light" w:cs="Noto Serif Light"/>
        </w:rPr>
      </w:pPr>
    </w:p>
    <w:p w14:paraId="52B0E24D" w14:textId="77777777" w:rsidR="006457E8" w:rsidRPr="00220128" w:rsidRDefault="006457E8" w:rsidP="006457E8">
      <w:pPr>
        <w:pStyle w:val="AbstractBookBaseParagraph"/>
        <w:rPr>
          <w:rFonts w:ascii="Noto Serif Light" w:hAnsi="Noto Serif Light" w:cs="Noto Serif Light"/>
          <w:b/>
          <w:bCs/>
        </w:rPr>
      </w:pPr>
      <w:r w:rsidRPr="00220128">
        <w:rPr>
          <w:rFonts w:ascii="Noto Serif Light" w:hAnsi="Noto Serif Light" w:cs="Noto Serif Light"/>
          <w:b/>
          <w:bCs/>
        </w:rPr>
        <w:t>Discussion</w:t>
      </w:r>
    </w:p>
    <w:p w14:paraId="66E693D7"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 xml:space="preserve">If policymakers and practitioners are to heed the stark warnings of the IPCC (2022) and transition to a CE, this study is of value. Initial findings from the data collected provide some interesting insights for policymakers, academics and practitioners. The pilot seed fund appears to have increased the number of innovation projects within SME's, therefore fulfilling some Welsh Government policy aims. The relatively small grant and the commensurate application process have catalyzed reluctant SME's to begin innovation projects as Howell (2017) suggests. The data also supports Lerner’s (2012) suggestion that seed funding can be a strategically important mechanism for fostering innovation driven growth.  The data supports the contentions of Clifton and Walpole (2025 ) that triple helix mechanisms can facilitate the development of a circular economy innovation ecosystem, within a region.  It also adds to the literature on how CE innovation is diffused and how organisations effectively develop CE understanding and implementation capability (Goyal et al, 2021).   </w:t>
      </w:r>
    </w:p>
    <w:p w14:paraId="70F54747" w14:textId="5C1C5BF5" w:rsidR="00CE1F6A" w:rsidRDefault="00390C9C" w:rsidP="00CE1F6A">
      <w:pPr>
        <w:pStyle w:val="ABSubhead"/>
      </w:pPr>
      <w:r>
        <w:t xml:space="preserve">O21. </w:t>
      </w:r>
      <w:r w:rsidR="00CE1F6A" w:rsidRPr="00CD05A8">
        <w:t>How Can Peripheral S</w:t>
      </w:r>
      <w:r w:rsidR="00CE1F6A">
        <w:t>ME</w:t>
      </w:r>
      <w:r w:rsidR="00CE1F6A" w:rsidRPr="00CD05A8">
        <w:t xml:space="preserve">s Bypass Thin Locations </w:t>
      </w:r>
      <w:r w:rsidR="00CE1F6A">
        <w:t>f</w:t>
      </w:r>
      <w:r w:rsidR="00CE1F6A" w:rsidRPr="00CD05A8">
        <w:t xml:space="preserve">or Innovation? </w:t>
      </w:r>
    </w:p>
    <w:p w14:paraId="0CBC59F2" w14:textId="77777777" w:rsidR="00CE1F6A" w:rsidRPr="00220128" w:rsidRDefault="00CE1F6A" w:rsidP="00CE1F6A">
      <w:pPr>
        <w:pStyle w:val="ABParagraph"/>
      </w:pPr>
    </w:p>
    <w:p w14:paraId="30D342CD" w14:textId="77777777" w:rsidR="00CE1F6A" w:rsidRPr="00CD05A8" w:rsidRDefault="00CE1F6A" w:rsidP="00CE1F6A">
      <w:pPr>
        <w:pStyle w:val="AbstractBookAuthors"/>
        <w:rPr>
          <w:rFonts w:ascii="Noto Serif Light" w:hAnsi="Noto Serif Light" w:cs="Noto Serif Light"/>
        </w:rPr>
      </w:pPr>
      <w:r w:rsidRPr="00CD05A8">
        <w:rPr>
          <w:rStyle w:val="AbstractBookPresentingAuthor"/>
          <w:rFonts w:ascii="Noto Serif Light" w:hAnsi="Noto Serif Light" w:cs="Noto Serif Light"/>
        </w:rPr>
        <w:t>Jose Hervas</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Dr Ann Hipp</w:t>
      </w:r>
      <w:r w:rsidRPr="00CD05A8">
        <w:rPr>
          <w:rFonts w:ascii="Noto Serif Light" w:hAnsi="Noto Serif Light" w:cs="Noto Serif Light"/>
          <w:vertAlign w:val="superscript"/>
        </w:rPr>
        <w:t>2</w:t>
      </w:r>
      <w:r w:rsidRPr="00CD05A8">
        <w:rPr>
          <w:rStyle w:val="AbstractBookBaseCharacterStyle"/>
          <w:rFonts w:ascii="Noto Serif Light" w:hAnsi="Noto Serif Light" w:cs="Noto Serif Light"/>
        </w:rPr>
        <w:t>, D</w:t>
      </w:r>
      <w:r>
        <w:rPr>
          <w:rStyle w:val="AbstractBookBaseCharacterStyle"/>
          <w:rFonts w:ascii="Noto Serif Light" w:hAnsi="Noto Serif Light" w:cs="Noto Serif Light"/>
        </w:rPr>
        <w:t>r</w:t>
      </w:r>
      <w:r w:rsidRPr="00CD05A8">
        <w:rPr>
          <w:rStyle w:val="AbstractBookBaseCharacterStyle"/>
          <w:rFonts w:ascii="Noto Serif Light" w:hAnsi="Noto Serif Light" w:cs="Noto Serif Light"/>
        </w:rPr>
        <w:t xml:space="preserve"> Petrik Runst</w:t>
      </w:r>
      <w:r w:rsidRPr="00CD05A8">
        <w:rPr>
          <w:rFonts w:ascii="Noto Serif Light" w:hAnsi="Noto Serif Light" w:cs="Noto Serif Light"/>
          <w:vertAlign w:val="superscript"/>
        </w:rPr>
        <w:t>2</w:t>
      </w:r>
    </w:p>
    <w:p w14:paraId="33B67A8E" w14:textId="77777777" w:rsidR="00CE1F6A" w:rsidRDefault="00CE1F6A" w:rsidP="00CE1F6A">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Universitat Politecnica de Valencia, Valencia, Spain, </w:t>
      </w:r>
      <w:r w:rsidRPr="00CD05A8">
        <w:rPr>
          <w:rFonts w:ascii="Noto Serif Light" w:hAnsi="Noto Serif Light" w:cs="Noto Serif Light"/>
          <w:vertAlign w:val="superscript"/>
        </w:rPr>
        <w:t>2</w:t>
      </w:r>
      <w:r w:rsidRPr="00CD05A8">
        <w:rPr>
          <w:rStyle w:val="AbstractBookBaseCharacterStyle"/>
          <w:rFonts w:ascii="Noto Serif Light" w:hAnsi="Noto Serif Light" w:cs="Noto Serif Light"/>
        </w:rPr>
        <w:t>Thuenen Institute, Braunschweig, Germany</w:t>
      </w:r>
    </w:p>
    <w:p w14:paraId="7A886962" w14:textId="77777777" w:rsidR="00CE1F6A" w:rsidRDefault="00CE1F6A" w:rsidP="00CE1F6A">
      <w:pPr>
        <w:pStyle w:val="AbstractBookBaseParagraph"/>
        <w:rPr>
          <w:rStyle w:val="AbstractBookBaseCharacterStyle"/>
          <w:rFonts w:ascii="Noto Serif Light" w:hAnsi="Noto Serif Light" w:cs="Noto Serif Light"/>
        </w:rPr>
      </w:pPr>
    </w:p>
    <w:p w14:paraId="5E3FBF99" w14:textId="77777777" w:rsidR="00CE1F6A" w:rsidRPr="00220128" w:rsidRDefault="00CE1F6A" w:rsidP="00CE1F6A">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4EA6391B"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While one strand of the innovation literature emphasizes the central role of research and development (R&amp;D; e.g., Mowery &amp; Rosenberg, 1989; Schot &amp; Steinmüller, 2018; Belitski et al., 2023), an alternative perspective underscores the significance of non-R&amp;D innovators, particularly highlighting the importance of external actors, collaboration, and networking (e.g., Rammer et al., 2009; Hervas-Oliver et al., 2011; Thomä, 2017; Haus-Reve et al., 2023). The latter view emphasizes innovation systems rooted in practical processes, such as learning-by-doing, trial and error, social interactions, and inter-firm producer–user knowledge exchange (e.g., Lundvall, 1992; Cooke, 1996; Trippl, 2011; Jensen et al., 2007). The innovation systems literature further emphasizes that R&amp;D is not the primary driver of innovation in SMEs, whose processes are typically less formalized, rely on non-R&amp;D activities, and are frequently shaped by collaborative relationships (e.g., Hervas-Oliver et al., 2021a). This mode of knowledge generation with little or no R&amp;D is often referred to as “doing-using-interacting” (DUI; Jensen et al., 2007).</w:t>
      </w:r>
    </w:p>
    <w:p w14:paraId="59E9A98F" w14:textId="77777777" w:rsidR="00CE1F6A" w:rsidRPr="00CD05A8" w:rsidRDefault="00CE1F6A" w:rsidP="00CE1F6A">
      <w:pPr>
        <w:pStyle w:val="AbstractBookBaseParagraph"/>
        <w:rPr>
          <w:rFonts w:ascii="Noto Serif Light" w:hAnsi="Noto Serif Light" w:cs="Noto Serif Light"/>
        </w:rPr>
      </w:pPr>
    </w:p>
    <w:p w14:paraId="741AAA3D"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We examine collaborative firm networks that extend across space. Our framework brings together the literature on non-R&amp;D innovation in SMEs (e.g. Santamaría et al., 2009; Rammer et al., 2009; Hervas-Oliver et al., 2011) with the innovation modes literature (science, technology, and innovation; STI and DUI), some strands of which incorporate spatial dimensions (e.g. Parrilli et al., 2020; Piercey et al., 2025), while others do not (e.g. Alhusen et al., 2021; Thomä &amp; Zimmermann, 2020). Both strands of literature share a focus on SMEs and emphasize the need to measure innovation beyond R&amp;D. While not always made explicit, the two frameworks are implicitly tied to </w:t>
      </w:r>
      <w:r w:rsidRPr="00CD05A8">
        <w:rPr>
          <w:rFonts w:ascii="Noto Serif Light" w:hAnsi="Noto Serif Light" w:cs="Noto Serif Light"/>
        </w:rPr>
        <w:lastRenderedPageBreak/>
        <w:t xml:space="preserve">differences in economic activity across geographic space, converging on the fact that SMEs are more prominent in peripheral regions compared to urban core regions (Bischoff et al., 2023b) and that SMEs are not intensive in R&amp;D, which makes DUI highly relevant. </w:t>
      </w:r>
    </w:p>
    <w:p w14:paraId="3E01D774"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This study concentrates on firm-internal and firm-external (i.e., via inter-firm collaborations) DUI dimensions of SMEs in peripheral areas (hereafter peripheral SMEs). How SMEs innovate using the DUI mode holds utmost importance (Haus-Reve et al., 2023), especially in peripheral settings (Glückler et al., 2023; Filippopoulos &amp; Fotopoulos, 2022; Rodríguez-Pose &amp; Wilkie, 2019) where DUI-driven SMEs are often the only ones to innovate at all. By peripheral areas, we refer to those lower-density population settings that frequently possess a thin resource base, most importantly knowledge. These regions do not benefit from the agglomeration effects found in urban contexts (Greenstone et al., 2010; Broekel et al., 2023), lacking local knowledge spillovers and opportunities to access knowledge (e.g., Tödtling &amp; Trippl, 2005; Tödtling et al., 2012). The scarcity of knowledge in these peripheral areas might motivate local firms to seek non-regional learning, incentivizing the development of collaborations at distant geographical scales. This complex and intertwined phenomenon, intersecting peripheral regions and different geographical scales of collaboration, has received insufficient attention from scholars (e.g., Piercey et al., 2025) and warrants further investigation. </w:t>
      </w:r>
    </w:p>
    <w:p w14:paraId="67B34931" w14:textId="77777777" w:rsidR="00CE1F6A" w:rsidRPr="00CD05A8" w:rsidRDefault="00CE1F6A" w:rsidP="00CE1F6A">
      <w:pPr>
        <w:pStyle w:val="AbstractBookBaseParagraph"/>
        <w:rPr>
          <w:rFonts w:ascii="Noto Serif Light" w:hAnsi="Noto Serif Light" w:cs="Noto Serif Light"/>
        </w:rPr>
      </w:pPr>
    </w:p>
    <w:p w14:paraId="640BC4A6"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While cities are commonly assumed to be innovation powerhouses (Broekel et al., 2023), peripheral areas are often disregarded due to their lower density and lack of R&amp;D spillovers, fewer input markets, and lower talent and knowledge levels, especially in the form of employees with a tertiary degree (Florida et al., 2017). The lack of scientific resources is postulated to result in fewer and less valuable opportunities for innovation (Bjerke &amp; Johansson, 2015; Trippl et al., 2015; Tödtling &amp; Trippl, 2005). However, emerging evidence suggests that extra-regional collaborations can compensate for the limited availability of local or regional spillovers (e.g., Fitjar &amp; Rodríguez-Pose, 2013; Grillitsch &amp; Nilsson, 2015; Tödtling et al., 2012; De Noni et al., 2018). We therefore ask whether and how peripheral SMEs leverage longer-distance collaboration to overcome the lack of local resources. </w:t>
      </w:r>
    </w:p>
    <w:p w14:paraId="32840B11" w14:textId="77777777" w:rsidR="00CE1F6A" w:rsidRPr="00CD05A8" w:rsidRDefault="00CE1F6A" w:rsidP="00CE1F6A">
      <w:pPr>
        <w:pStyle w:val="AbstractBookBaseParagraph"/>
        <w:rPr>
          <w:rFonts w:ascii="Noto Serif Light" w:hAnsi="Noto Serif Light" w:cs="Noto Serif Light"/>
        </w:rPr>
      </w:pPr>
    </w:p>
    <w:p w14:paraId="0EA96132"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In developing our argument, we first address the geographies of collaboration. It is not yet well understood how firms in peripheral regions overcome their locational disadvantages, namely the unfavorable geography that constrains local collaboration and innovation. Some initial evidence suggests that collaboration is particularly important in economically lagging regions (Filippopoulos &amp; Fotopoulos, 2022; Hervas-Oliver et al., 2021b; De Noni et al., 2018), in which firms more strongly benefit from cooperation in dense social networks (Bischoff et al., 2023a, b). At the same time, peripheral areas offer limited opportunities and fewer potential collaborators for meaningful local networking due to lower densities of other firms, skilled employees, etc. Therefore, it is important to understand how successful collaboration works in this context. Extant literature on regional innovation suggests that extra-regional collaborations might compensate for a lack of local resources; for example, by providing cross-sectional evidence for peripheral regions in Sweden (e.g., Grillitsch &amp; Nilsson, 2015), less innovative regions in Europe (De Noni et al., 2018), and peripheral regions in Norway (Fitjar &amp; Rodríguez-Pose, 2011). However, it remains underexplored how different geographies of collaboration distinctively influence product and process </w:t>
      </w:r>
      <w:r w:rsidRPr="00CD05A8">
        <w:rPr>
          <w:rFonts w:ascii="Noto Serif Light" w:hAnsi="Noto Serif Light" w:cs="Noto Serif Light"/>
        </w:rPr>
        <w:lastRenderedPageBreak/>
        <w:t xml:space="preserve">innovation for firms in peripheral settings, which warrants further investigation as evidence only exists for firms in well-developed metropolitan regions (e.g., Fitjar &amp; Rodríguez-Pose, 2013). </w:t>
      </w:r>
    </w:p>
    <w:p w14:paraId="130282B9" w14:textId="77777777" w:rsidR="00CE1F6A" w:rsidRPr="00CD05A8" w:rsidRDefault="00CE1F6A" w:rsidP="00CE1F6A">
      <w:pPr>
        <w:pStyle w:val="AbstractBookBaseParagraph"/>
        <w:rPr>
          <w:rFonts w:ascii="Noto Serif Light" w:hAnsi="Noto Serif Light" w:cs="Noto Serif Light"/>
        </w:rPr>
      </w:pPr>
    </w:p>
    <w:p w14:paraId="625DB897"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Second, we highlight internal DUI activities that remain underexplored in the literature. Peripheral SMEs primarily rely on the DUI innovation mode, but papers on peripheral and lagging regions mostly consider external DUI only (e.g., Hervas-Oliver et al., 2021b; Filippopoulos &amp; Fotopoulos, 2022) or do not distinguish between external and internal DUI, often combining internal and external activities into a single measure (e.g., Parrilli et al., 2020). As only a few papers have explored the role of internal DUI activities  (see Piercey et al., 2025; Haus-Reve et al., 2023; Alhusen et al., 2021), we therefore contribute to the literature by studying how peripheral SMEs innovate by exploring both internal and external dimensions of the DUI mode of innovation and considering the geographical scales of SME collaboration to innovate.  </w:t>
      </w:r>
    </w:p>
    <w:p w14:paraId="407F5A56" w14:textId="77777777" w:rsidR="00CE1F6A" w:rsidRPr="00CD05A8" w:rsidRDefault="00CE1F6A" w:rsidP="00CE1F6A">
      <w:pPr>
        <w:pStyle w:val="AbstractBookBaseParagraph"/>
        <w:rPr>
          <w:rFonts w:ascii="Noto Serif Light" w:hAnsi="Noto Serif Light" w:cs="Noto Serif Light"/>
        </w:rPr>
      </w:pPr>
    </w:p>
    <w:p w14:paraId="70B97B24" w14:textId="77777777" w:rsidR="00CE1F6A"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Drawing on a large-scale Community Innovation Survey (CIS) dataset of German SMEs (2011–2022) accounting for a total of 25,574 firm-year observations, our study focuses on the DUI-like peripheral SMEs that do not perform R&amp;D activities, studying their collaboration activities at different geographical scales, how internal and external DUI can compensate for the lack of intra-regional knowledge resources, and how this mechanism distinctively influences product and process development. By focusing on low-density areas in general, our definition of peripheral areas extends beyond regional prosperity indicators (e.g. Hervas-Oliver et al., 2021a). At the same time, low-density regions are often—but not always —less prosperous. The German context is particularly interesting for studying innovation in peripheral SMEs due to the country’s relatively large share of innovative firms in peripheral areas and the importance of its non-R&amp;D SMEs from the ‘German Mittelstand’ (Fritsch &amp; Wyrwich, 2021b; Pahnke &amp; Welter, 2019; Rammer &amp; Spielkamp, 2015). In particular, a high share of Germany’s ‘hidden champions’ are disproportionately located in peripheral areas (Fritsch &amp; Wyrwich, 2021a). These SMEs often refrain from engaging in R&amp;D, instead relying on the DUI innovation mode (Alhusen et al., 2021) and management practices to achieve innovation outcomes comparable to those of R&amp;D firms (Rammer et al., 2009, Runst &amp; Thomä, 2025). Moreover, they rely more on collaboration than on in-house R&amp;D to enhance their innovative performance (Moilanen et al., 2014). Therefore, Germany is a suitable national setting for understanding the DUI mode of innovation and the collaboration patterns of peripheral firms. </w:t>
      </w:r>
    </w:p>
    <w:p w14:paraId="16B6157B" w14:textId="77777777" w:rsidR="00CE1F6A" w:rsidRPr="00CD05A8" w:rsidRDefault="00CE1F6A" w:rsidP="00CE1F6A">
      <w:pPr>
        <w:pStyle w:val="AbstractBookBaseParagraph"/>
        <w:rPr>
          <w:rFonts w:ascii="Noto Serif Light" w:hAnsi="Noto Serif Light" w:cs="Noto Serif Light"/>
        </w:rPr>
      </w:pPr>
    </w:p>
    <w:p w14:paraId="6262DDD5"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This study responds directly to Piercey et al.’s (2025) demand for research on testing “[…] for specific combinations of innovation mode activities to ascertain whether distance is more or less influential on their use” (10–11). Our study’s results contribute to the geography of collaborations (e.g., Grillitsch &amp; Nilsson, 2015; Fitjar &amp; Rodríguez-Pose, 2013; De Noni et al., 2018) and the non-R&amp;D/business modes of innovation literature (e.g., Piercey et al., 2025; Haus-Reve et al., 2023; Parrilli et al., 2020). Put briefly, our results extend the understanding of the DUI-like construct in four ways: working specifically on DUI-like SMEs (non-R&amp;D innovators) in peripheral areas, highlighting the importance of internal DUI components, testing the diverse multi-scalar geographies of collaboration of the external DUI component, and differentiating the DUI patterns of innovation and the geography of collaborations that distinctively work in product and process innovation.</w:t>
      </w:r>
    </w:p>
    <w:p w14:paraId="05E51F88" w14:textId="77777777" w:rsidR="00CE1F6A" w:rsidRPr="00CD05A8" w:rsidRDefault="00CE1F6A" w:rsidP="00CE1F6A">
      <w:pPr>
        <w:pStyle w:val="AbstractBookBaseParagraph"/>
        <w:rPr>
          <w:rFonts w:ascii="Noto Serif Light" w:hAnsi="Noto Serif Light" w:cs="Noto Serif Light"/>
        </w:rPr>
      </w:pPr>
    </w:p>
    <w:p w14:paraId="41F74E24"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br w:type="page"/>
      </w:r>
    </w:p>
    <w:p w14:paraId="21185615" w14:textId="5CD6F3E1" w:rsidR="00CE1F6A" w:rsidRDefault="00390C9C" w:rsidP="00CE1F6A">
      <w:pPr>
        <w:pStyle w:val="ABSubhead"/>
      </w:pPr>
      <w:r>
        <w:lastRenderedPageBreak/>
        <w:t xml:space="preserve">O22. </w:t>
      </w:r>
      <w:r w:rsidR="00CE1F6A" w:rsidRPr="00CD05A8">
        <w:t xml:space="preserve">VET Centres in Supporting Innovation </w:t>
      </w:r>
      <w:r w:rsidR="00CE1F6A">
        <w:t>i</w:t>
      </w:r>
      <w:r w:rsidR="00CE1F6A" w:rsidRPr="00CD05A8">
        <w:t xml:space="preserve">n Smes: Beyond </w:t>
      </w:r>
      <w:r w:rsidR="00CE1F6A">
        <w:t>t</w:t>
      </w:r>
      <w:r w:rsidR="00CE1F6A" w:rsidRPr="00CD05A8">
        <w:t>he Traditional Mandate</w:t>
      </w:r>
    </w:p>
    <w:p w14:paraId="3DAB1FA6" w14:textId="77777777" w:rsidR="00CE1F6A" w:rsidRPr="006F57EB" w:rsidRDefault="00CE1F6A" w:rsidP="00CE1F6A">
      <w:pPr>
        <w:pStyle w:val="ABParagraph"/>
      </w:pPr>
    </w:p>
    <w:p w14:paraId="68E9E9BC" w14:textId="77777777" w:rsidR="00CE1F6A" w:rsidRPr="006F57EB" w:rsidRDefault="00CE1F6A" w:rsidP="00CE1F6A">
      <w:pPr>
        <w:pStyle w:val="AbstractBookAuthors"/>
        <w:rPr>
          <w:rFonts w:ascii="Noto Serif Light" w:hAnsi="Noto Serif Light" w:cs="Noto Serif Light"/>
          <w:vertAlign w:val="superscript"/>
        </w:rPr>
      </w:pPr>
      <w:r w:rsidRPr="00CD05A8">
        <w:rPr>
          <w:rStyle w:val="AbstractBookPresentingAuthor"/>
          <w:rFonts w:ascii="Noto Serif Light" w:hAnsi="Noto Serif Light" w:cs="Noto Serif Light"/>
        </w:rPr>
        <w:t>Maddalen Alkorta Elzo</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Susana Franco</w:t>
      </w:r>
      <w:r>
        <w:rPr>
          <w:rStyle w:val="AbstractBookBaseCharacterStyle"/>
          <w:rFonts w:ascii="Noto Serif Light" w:hAnsi="Noto Serif Light" w:cs="Noto Serif Light"/>
          <w:vertAlign w:val="superscript"/>
        </w:rPr>
        <w:t>1</w:t>
      </w:r>
      <w:r w:rsidRPr="00CD05A8">
        <w:rPr>
          <w:rStyle w:val="AbstractBookBaseCharacterStyle"/>
          <w:rFonts w:ascii="Noto Serif Light" w:hAnsi="Noto Serif Light" w:cs="Noto Serif Light"/>
        </w:rPr>
        <w:t>, Mikel Albizu</w:t>
      </w:r>
      <w:r>
        <w:rPr>
          <w:rStyle w:val="AbstractBookBaseCharacterStyle"/>
          <w:rFonts w:ascii="Noto Serif Light" w:hAnsi="Noto Serif Light" w:cs="Noto Serif Light"/>
          <w:vertAlign w:val="superscript"/>
        </w:rPr>
        <w:t>1</w:t>
      </w:r>
    </w:p>
    <w:p w14:paraId="70B8C79B"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Orkestra - Basque Institute of Competitiveness, Spain</w:t>
      </w:r>
    </w:p>
    <w:p w14:paraId="7BCE7E3D" w14:textId="77777777" w:rsidR="00CE1F6A" w:rsidRDefault="00CE1F6A" w:rsidP="00CE1F6A">
      <w:pPr>
        <w:pStyle w:val="AbstractBookBaseParagraph"/>
        <w:rPr>
          <w:rFonts w:ascii="Noto Serif Light" w:hAnsi="Noto Serif Light" w:cs="Noto Serif Light"/>
        </w:rPr>
      </w:pPr>
    </w:p>
    <w:p w14:paraId="3BCDF0F5" w14:textId="77777777" w:rsidR="00CE1F6A" w:rsidRDefault="00CE1F6A" w:rsidP="00CE1F6A">
      <w:pPr>
        <w:pStyle w:val="AbstractBookBaseParagraph"/>
        <w:rPr>
          <w:rStyle w:val="AbstractBookBaseCharacterStyle"/>
          <w:rFonts w:ascii="Noto Serif Light" w:hAnsi="Noto Serif Light" w:cs="Noto Serif Light"/>
          <w:b/>
          <w:bCs/>
        </w:rPr>
      </w:pPr>
      <w:r w:rsidRPr="00CD05A8">
        <w:rPr>
          <w:rStyle w:val="AbstractBookBaseCharacterStyle"/>
          <w:rFonts w:ascii="Noto Serif Light" w:hAnsi="Noto Serif Light" w:cs="Noto Serif Light"/>
          <w:b/>
          <w:bCs/>
        </w:rPr>
        <w:t>Abstract</w:t>
      </w:r>
      <w:r>
        <w:rPr>
          <w:rStyle w:val="AbstractBookBaseCharacterStyle"/>
          <w:rFonts w:ascii="Noto Serif Light" w:hAnsi="Noto Serif Light" w:cs="Noto Serif Light"/>
          <w:b/>
          <w:bCs/>
        </w:rPr>
        <w:t>:</w:t>
      </w:r>
    </w:p>
    <w:p w14:paraId="66A1B826" w14:textId="77777777" w:rsidR="00CE1F6A" w:rsidRPr="006F57EB" w:rsidRDefault="00CE1F6A" w:rsidP="00CE1F6A">
      <w:pPr>
        <w:pStyle w:val="AbstractBookBaseParagraph"/>
        <w:rPr>
          <w:rFonts w:ascii="Noto Serif Light" w:hAnsi="Noto Serif Light" w:cs="Noto Serif Light"/>
          <w:b/>
          <w:bCs/>
        </w:rPr>
      </w:pPr>
    </w:p>
    <w:p w14:paraId="65227F24" w14:textId="77777777" w:rsidR="00CE1F6A" w:rsidRPr="006F57EB" w:rsidRDefault="00CE1F6A" w:rsidP="00CE1F6A">
      <w:pPr>
        <w:pStyle w:val="AbstractBookBaseParagraph"/>
        <w:rPr>
          <w:rFonts w:ascii="Noto Serif Light" w:hAnsi="Noto Serif Light" w:cs="Noto Serif Light"/>
          <w:b/>
          <w:bCs/>
        </w:rPr>
      </w:pPr>
      <w:r w:rsidRPr="006F57EB">
        <w:rPr>
          <w:rFonts w:ascii="Noto Serif Light" w:hAnsi="Noto Serif Light" w:cs="Noto Serif Light"/>
          <w:b/>
          <w:bCs/>
        </w:rPr>
        <w:t xml:space="preserve">Introduction and Literature Review </w:t>
      </w:r>
    </w:p>
    <w:p w14:paraId="77747326"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Although traditionally left in the shadows of university, VETCs have gained momentum within RIS literature as regional innovation catalysts (Lund &amp; Karlsen, 2020). As increasingly central secondary and tertiary education providers, their territorial embeddedness, and capabilities on both knowledge exploration and exploitation provide them a privileged position to collaborate with local industries (CEDEFOP, 2008). Their close link to tacit knowledge and  incremental innovation (Lavía et al., 2021), which is essential for industries where practical skills and hands-on expertise drive innovation (Mathies, 2023), provides them the potential to bridge the gap between education and industry, while nurturing a dynamic regional knowledge ecosystem (Rodríguez-Soler &amp; Brunet Icart, 2018). </w:t>
      </w:r>
    </w:p>
    <w:p w14:paraId="4972684C" w14:textId="77777777" w:rsidR="00CE1F6A" w:rsidRPr="00CD05A8" w:rsidRDefault="00CE1F6A" w:rsidP="00CE1F6A">
      <w:pPr>
        <w:pStyle w:val="AbstractBookBaseParagraph"/>
        <w:rPr>
          <w:rFonts w:ascii="Noto Serif Light" w:hAnsi="Noto Serif Light" w:cs="Noto Serif Light"/>
        </w:rPr>
      </w:pPr>
    </w:p>
    <w:p w14:paraId="4518103D"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Indeed, VETCs are increasingly turning into multifunctional centres (Navarro, 2018), meaning that they fulfil a variety of mandates in the territory, expanding their role beyond education, and taking on activities towards regional development. Applied research is one of such practices that conducts innovation based on close interaction with industry geared towards solving real-world problems in industry while upscaling technical knowledge within VETCs (Simon &amp; Beddie, 2017).This practice, termed VET applied research, facilitates collaboration between VETCs and SMEs while confronting the innovation challenges faced by SMEs. This is the reason why it is considered to have great potential to foster innovation in SMEs. Nevertheless, despite its acknowledged potential, little is known about specificities in VET applied research (Simon &amp; Beddie, 2017)</w:t>
      </w:r>
    </w:p>
    <w:p w14:paraId="4733CBD3" w14:textId="77777777" w:rsidR="00CE1F6A" w:rsidRPr="00CD05A8" w:rsidRDefault="00CE1F6A" w:rsidP="00CE1F6A">
      <w:pPr>
        <w:pStyle w:val="AbstractBookBaseParagraph"/>
        <w:rPr>
          <w:rFonts w:ascii="Noto Serif Light" w:hAnsi="Noto Serif Light" w:cs="Noto Serif Light"/>
        </w:rPr>
      </w:pPr>
    </w:p>
    <w:p w14:paraId="291F4B6D" w14:textId="77777777" w:rsidR="00CE1F6A" w:rsidRPr="006F57EB" w:rsidRDefault="00CE1F6A" w:rsidP="00CE1F6A">
      <w:pPr>
        <w:pStyle w:val="AbstractBookBaseParagraph"/>
        <w:rPr>
          <w:rFonts w:ascii="Noto Serif Light" w:hAnsi="Noto Serif Light" w:cs="Noto Serif Light"/>
          <w:b/>
          <w:bCs/>
        </w:rPr>
      </w:pPr>
      <w:r w:rsidRPr="006F57EB">
        <w:rPr>
          <w:rFonts w:ascii="Noto Serif Light" w:hAnsi="Noto Serif Light" w:cs="Noto Serif Light"/>
          <w:b/>
          <w:bCs/>
        </w:rPr>
        <w:t>Research Focus</w:t>
      </w:r>
    </w:p>
    <w:p w14:paraId="309D4C0C"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This study posits that VETCs serve as a critical conduit for addressing the innovation needs of SMEs) through applied research. The primary research question wonders how does VET applied research support innovation in SMEs?. To answer this, the research pursues two objectives: first, to provide empirical evidence on how this particular form of collaboration between VETCs and SMEs channel the specific innovation needs of local SMEs; second, to challenge the assumption that firms with certain innovation activity and ability to identify their specific shortcomings are the ones engaged in VET applied research. </w:t>
      </w:r>
    </w:p>
    <w:p w14:paraId="1D7B2BB9" w14:textId="77777777" w:rsidR="00CE1F6A" w:rsidRPr="00CD05A8" w:rsidRDefault="00CE1F6A" w:rsidP="00CE1F6A">
      <w:pPr>
        <w:pStyle w:val="AbstractBookBaseParagraph"/>
        <w:rPr>
          <w:rFonts w:ascii="Noto Serif Light" w:hAnsi="Noto Serif Light" w:cs="Noto Serif Light"/>
        </w:rPr>
      </w:pPr>
    </w:p>
    <w:p w14:paraId="19491700" w14:textId="77777777" w:rsidR="00CE1F6A" w:rsidRPr="006F57EB" w:rsidRDefault="00CE1F6A" w:rsidP="00CE1F6A">
      <w:pPr>
        <w:pStyle w:val="AbstractBookBaseParagraph"/>
        <w:rPr>
          <w:rFonts w:ascii="Noto Serif Light" w:hAnsi="Noto Serif Light" w:cs="Noto Serif Light"/>
          <w:b/>
          <w:bCs/>
        </w:rPr>
      </w:pPr>
      <w:r w:rsidRPr="006F57EB">
        <w:rPr>
          <w:rFonts w:ascii="Noto Serif Light" w:hAnsi="Noto Serif Light" w:cs="Noto Serif Light"/>
          <w:b/>
          <w:bCs/>
        </w:rPr>
        <w:t>Methodology</w:t>
      </w:r>
    </w:p>
    <w:p w14:paraId="240416B8"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This research employs a mixed-methods case study approach centered on Tkgune programme, which is a publicly-funded programme settled in the Basque Country which provides the facilities for VET applied research to be conducted. The main data source in the case study is the Euskadi Innovation Survey, by the Basque Institute of Statistics. Through a Propensity Score Matching, rich data of firms engaged in the programme is </w:t>
      </w:r>
      <w:r w:rsidRPr="00CD05A8">
        <w:rPr>
          <w:rFonts w:ascii="Noto Serif Light" w:hAnsi="Noto Serif Light" w:cs="Noto Serif Light"/>
        </w:rPr>
        <w:lastRenderedPageBreak/>
        <w:t>compared to similar organisations. This analysis is complemented by primary data obtained through surveys and semi-structured interviews with participating firms.</w:t>
      </w:r>
    </w:p>
    <w:p w14:paraId="4BE861C4" w14:textId="77777777" w:rsidR="00CE1F6A" w:rsidRPr="00CD05A8" w:rsidRDefault="00CE1F6A" w:rsidP="00CE1F6A">
      <w:pPr>
        <w:pStyle w:val="AbstractBookBaseParagraph"/>
        <w:rPr>
          <w:rFonts w:ascii="Noto Serif Light" w:hAnsi="Noto Serif Light" w:cs="Noto Serif Light"/>
        </w:rPr>
      </w:pPr>
    </w:p>
    <w:p w14:paraId="2CFB7CA3" w14:textId="77777777" w:rsidR="00CE1F6A" w:rsidRPr="006F57EB" w:rsidRDefault="00CE1F6A" w:rsidP="00CE1F6A">
      <w:pPr>
        <w:pStyle w:val="AbstractBookBaseParagraph"/>
        <w:rPr>
          <w:rFonts w:ascii="Noto Serif Light" w:hAnsi="Noto Serif Light" w:cs="Noto Serif Light"/>
          <w:b/>
          <w:bCs/>
        </w:rPr>
      </w:pPr>
      <w:r w:rsidRPr="006F57EB">
        <w:rPr>
          <w:rFonts w:ascii="Noto Serif Light" w:hAnsi="Noto Serif Light" w:cs="Noto Serif Light"/>
          <w:b/>
          <w:bCs/>
        </w:rPr>
        <w:t>Empirical Findings</w:t>
      </w:r>
    </w:p>
    <w:p w14:paraId="46E94A4A"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The analysis reveals that VETCs occupy a strategic niche within the regional fabric, characterised by the following dimensions. </w:t>
      </w:r>
    </w:p>
    <w:p w14:paraId="7ED3C0E3" w14:textId="77777777" w:rsidR="00CE1F6A" w:rsidRPr="00CD05A8" w:rsidRDefault="00CE1F6A" w:rsidP="00CE1F6A">
      <w:pPr>
        <w:pStyle w:val="AbstractBookBaseParagraph"/>
        <w:rPr>
          <w:rFonts w:ascii="Noto Serif Light" w:hAnsi="Noto Serif Light" w:cs="Noto Serif Light"/>
        </w:rPr>
      </w:pPr>
    </w:p>
    <w:p w14:paraId="1C9BB3A9"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 Strategic Positioning and Proximity. While they also collaborate with technology centres or other firms, it is believed that their relationship with VETCs is unique. This uniqueness is largely attributable to their cognitive, cultural, and geographical proximity (Navarro, 2018). This is of particular pertinence given that such proximity engenders a synergistic relationship, whereby each project fortifies the long-term bond between the centre and the SME (Lavía et al., 2024). Consequently, VETCs occupy a distinctive position that facilitates interaction with SMEs, thereby enabling the dissemination of VET applied research to foster innovation within SMEs.</w:t>
      </w:r>
    </w:p>
    <w:p w14:paraId="1C482327" w14:textId="77777777" w:rsidR="00CE1F6A" w:rsidRPr="00CD05A8" w:rsidRDefault="00CE1F6A" w:rsidP="00CE1F6A">
      <w:pPr>
        <w:pStyle w:val="AbstractBookBaseParagraph"/>
        <w:rPr>
          <w:rFonts w:ascii="Noto Serif Light" w:hAnsi="Noto Serif Light" w:cs="Noto Serif Light"/>
        </w:rPr>
      </w:pPr>
    </w:p>
    <w:p w14:paraId="167950F5"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 Alleviation of innovation barriers. SMEs engaged in VET applied research are characterised for a high perception of cost, knowledge and market as barriers to innovation; to a lesser extent emerges (lack) of prioritisation of innovation as a barrier. This aligns with the statement of Albizu et al. (2012) in that they would be expected to hold a certain innovation activity and ability to identify their specific shortcomings. In this regard, VET applied research is well equipped to alleviate such barriers, which strengthens its rationale in addressing specific challenges in the territory (Navarro, 2018). It should however be noted that not all barriers are alleviated to the same extent. As first suggested by Culpepper (2003) and Lavía et al. (2024) for other forms of collaboration, the most immediate implications of this VET applied research appear to be the strengthening of relationships between SMEs and VETCs, as well as the promotion of a culture of innovation within SMEs. These effects manifest in the short term, aiding in the surmounting of obstacles most intimately associated with knowledge and the prioritisation of innovation. Conversely, the implications of VET applied research for the firm's market position are not instantaneous, but rather evolve over the medium and long term. In addition to being subject to extended timeframes, its effect may also be more subtle, requiring thorough monitoring and refined metrics to demonstrate its influence.</w:t>
      </w:r>
    </w:p>
    <w:p w14:paraId="47238CE9" w14:textId="77777777" w:rsidR="00CE1F6A" w:rsidRPr="00CD05A8" w:rsidRDefault="00CE1F6A" w:rsidP="00CE1F6A">
      <w:pPr>
        <w:pStyle w:val="AbstractBookBaseParagraph"/>
        <w:rPr>
          <w:rFonts w:ascii="Noto Serif Light" w:hAnsi="Noto Serif Light" w:cs="Noto Serif Light"/>
        </w:rPr>
      </w:pPr>
    </w:p>
    <w:p w14:paraId="39E1B28B"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 xml:space="preserve">- Innovation patterns. SMEs engaged in VET applied research are distinguished by their active engagement in product and process innovation. It has been demonstrated that VETCs leverage their expertise to address a wide range of innovation requirements (Toner &amp; Woolley, 2016). A more thorough examination of this phenomenon reveals that the sector of activity and firm size influence the extent to which SMEs engaged in VET applied research are characterised for their innovation activity. Specifically, industrial firms demonstrate a high degree of similarity to the general innovation patterns, while service firms exhibit significantly more distinct characteristics. This phenomenon may be explained by the theory proposed by d'Iribarne and Jolivet (2016), which suggests that initial collaboration occurs with the most prominent actors and, once established, gradually extends to more conventional actors. This notion suggests that the long-standing tradition of collaboration between VETCs and industrial SMEs has facilitated the establishment of robust relationships. Initially engaging with the most active and promising firms, and subsequently extending this interaction to all </w:t>
      </w:r>
      <w:r w:rsidRPr="00CD05A8">
        <w:rPr>
          <w:rFonts w:ascii="Noto Serif Light" w:hAnsi="Noto Serif Light" w:cs="Noto Serif Light"/>
        </w:rPr>
        <w:lastRenderedPageBreak/>
        <w:t>SMEs, has enabled VETCs to consolidate their role as an actor of collaboration between firms with divergent innovative profiles. In the context of service firms, the relationship with VETCs represents a more recent development. It is therefore anticipated that the most dynamic and distinguished SMEs are the ones engaging in VET applied research. Consequently, should such relationships be maintained and strengthened, it is probable that they will expand to encompass a greater share and range of firms within this sector.</w:t>
      </w:r>
    </w:p>
    <w:p w14:paraId="228B478E" w14:textId="77777777" w:rsidR="00CE1F6A" w:rsidRPr="00CD05A8" w:rsidRDefault="00CE1F6A" w:rsidP="00CE1F6A">
      <w:pPr>
        <w:pStyle w:val="AbstractBookBaseParagraph"/>
        <w:rPr>
          <w:rFonts w:ascii="Noto Serif Light" w:hAnsi="Noto Serif Light" w:cs="Noto Serif Light"/>
        </w:rPr>
      </w:pPr>
    </w:p>
    <w:p w14:paraId="5444C9E2" w14:textId="77777777" w:rsidR="00CE1F6A" w:rsidRPr="006F57EB" w:rsidRDefault="00CE1F6A" w:rsidP="00CE1F6A">
      <w:pPr>
        <w:pStyle w:val="AbstractBookBaseParagraph"/>
        <w:rPr>
          <w:rFonts w:ascii="Noto Serif Light" w:hAnsi="Noto Serif Light" w:cs="Noto Serif Light"/>
          <w:b/>
          <w:bCs/>
        </w:rPr>
      </w:pPr>
      <w:r w:rsidRPr="006F57EB">
        <w:rPr>
          <w:rFonts w:ascii="Noto Serif Light" w:hAnsi="Noto Serif Light" w:cs="Noto Serif Light"/>
          <w:b/>
          <w:bCs/>
        </w:rPr>
        <w:t>Conclusions</w:t>
      </w:r>
    </w:p>
    <w:p w14:paraId="6E01BEE3"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t>The study concludes that VETCs are key actors in addressing the diverse innovation needs of regional SMEs, hence supporting them during the innovation activity. By connecting specific VET functions to territorial challenges, VET applied research demonstrates to be a powerful lever for regional competitiveness and SME resilience.</w:t>
      </w:r>
    </w:p>
    <w:p w14:paraId="5404F7DC" w14:textId="77777777" w:rsidR="00CE1F6A" w:rsidRPr="00CD05A8" w:rsidRDefault="00CE1F6A" w:rsidP="00CE1F6A">
      <w:pPr>
        <w:pStyle w:val="AbstractBookBaseParagraph"/>
        <w:rPr>
          <w:rFonts w:ascii="Noto Serif Light" w:hAnsi="Noto Serif Light" w:cs="Noto Serif Light"/>
        </w:rPr>
      </w:pPr>
      <w:r w:rsidRPr="00CD05A8">
        <w:rPr>
          <w:rFonts w:ascii="Noto Serif Light" w:hAnsi="Noto Serif Light" w:cs="Noto Serif Light"/>
        </w:rPr>
        <w:br w:type="page"/>
      </w:r>
    </w:p>
    <w:p w14:paraId="2D38D126" w14:textId="5F3F97F8" w:rsidR="006457E8" w:rsidRPr="009C3317" w:rsidRDefault="006457E8" w:rsidP="006457E8">
      <w:pPr>
        <w:pStyle w:val="ABSubhead"/>
        <w:rPr>
          <w:b w:val="0"/>
          <w:bCs w:val="0"/>
        </w:rPr>
      </w:pPr>
      <w:r>
        <w:lastRenderedPageBreak/>
        <w:t xml:space="preserve">O23. </w:t>
      </w:r>
      <w:r w:rsidR="009C3317" w:rsidRPr="009C3317">
        <w:t>No Need to Reinvent the Wheel? Recurring Principles in Regional Innovation Support Infrastructures Over Time</w:t>
      </w:r>
    </w:p>
    <w:p w14:paraId="77BC799D" w14:textId="77777777" w:rsidR="006457E8" w:rsidRPr="006C77A6" w:rsidRDefault="006457E8" w:rsidP="006457E8">
      <w:pPr>
        <w:pStyle w:val="ABParagraph"/>
      </w:pPr>
    </w:p>
    <w:p w14:paraId="149281EF" w14:textId="77777777" w:rsidR="006457E8" w:rsidRPr="00CD05A8" w:rsidRDefault="006457E8" w:rsidP="006457E8">
      <w:pPr>
        <w:pStyle w:val="AbstractBookAuthors"/>
        <w:rPr>
          <w:rFonts w:ascii="Noto Serif Light" w:hAnsi="Noto Serif Light" w:cs="Noto Serif Light"/>
        </w:rPr>
      </w:pPr>
      <w:r w:rsidRPr="00CD05A8">
        <w:rPr>
          <w:rStyle w:val="AbstractBookPresentingAuthor"/>
          <w:rFonts w:ascii="Noto Serif Light" w:hAnsi="Noto Serif Light" w:cs="Noto Serif Light"/>
        </w:rPr>
        <w:t>Lukas Zaghow</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Prof</w:t>
      </w:r>
      <w:r>
        <w:rPr>
          <w:rStyle w:val="AbstractBookBaseCharacterStyle"/>
          <w:rFonts w:ascii="Noto Serif Light" w:hAnsi="Noto Serif Light" w:cs="Noto Serif Light"/>
        </w:rPr>
        <w:t>essor</w:t>
      </w:r>
      <w:r w:rsidRPr="00CD05A8">
        <w:rPr>
          <w:rStyle w:val="AbstractBookBaseCharacterStyle"/>
          <w:rFonts w:ascii="Noto Serif Light" w:hAnsi="Noto Serif Light" w:cs="Noto Serif Light"/>
        </w:rPr>
        <w:t xml:space="preserve"> Dr Lech Suwala</w:t>
      </w:r>
      <w:r w:rsidRPr="00CD05A8">
        <w:rPr>
          <w:rFonts w:ascii="Noto Serif Light" w:hAnsi="Noto Serif Light" w:cs="Noto Serif Light"/>
          <w:vertAlign w:val="superscript"/>
        </w:rPr>
        <w:t>1</w:t>
      </w:r>
    </w:p>
    <w:p w14:paraId="538F7814" w14:textId="77777777" w:rsidR="006457E8" w:rsidRDefault="006457E8" w:rsidP="006457E8">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Technical University of Berlin, Berlin, Germany</w:t>
      </w:r>
    </w:p>
    <w:p w14:paraId="41FE7154" w14:textId="77777777" w:rsidR="006457E8" w:rsidRDefault="006457E8" w:rsidP="006457E8">
      <w:pPr>
        <w:pStyle w:val="AbstractBookBaseParagraph"/>
        <w:rPr>
          <w:rStyle w:val="AbstractBookBaseCharacterStyle"/>
          <w:rFonts w:ascii="Noto Serif Light" w:hAnsi="Noto Serif Light" w:cs="Noto Serif Light"/>
        </w:rPr>
      </w:pPr>
    </w:p>
    <w:p w14:paraId="594E8A17" w14:textId="77777777" w:rsidR="006457E8" w:rsidRDefault="006457E8" w:rsidP="006457E8">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351487BF" w14:textId="77777777" w:rsidR="006457E8" w:rsidRPr="006C77A6" w:rsidRDefault="006457E8" w:rsidP="006457E8">
      <w:pPr>
        <w:pStyle w:val="AbstractBookBaseParagraph"/>
        <w:rPr>
          <w:rFonts w:ascii="Noto Serif Light" w:hAnsi="Noto Serif Light" w:cs="Noto Serif Light"/>
          <w:b/>
          <w:bCs/>
        </w:rPr>
      </w:pPr>
    </w:p>
    <w:p w14:paraId="6FA879BC" w14:textId="77777777" w:rsidR="006457E8" w:rsidRPr="006C77A6" w:rsidRDefault="006457E8" w:rsidP="006457E8">
      <w:pPr>
        <w:pStyle w:val="AbstractBookBaseParagraph"/>
        <w:rPr>
          <w:rFonts w:ascii="Noto Serif Light" w:hAnsi="Noto Serif Light" w:cs="Noto Serif Light"/>
          <w:b/>
          <w:bCs/>
        </w:rPr>
      </w:pPr>
      <w:r w:rsidRPr="006C77A6">
        <w:rPr>
          <w:rFonts w:ascii="Noto Serif Light" w:hAnsi="Noto Serif Light" w:cs="Noto Serif Light"/>
          <w:b/>
          <w:bCs/>
        </w:rPr>
        <w:t>1. Framing, puzzle and empirical object</w:t>
      </w:r>
    </w:p>
    <w:p w14:paraId="2D5308D9"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Regional innovation and path development are often analysed through regional innovation systems, entrepreneurial ecosystems, clusters, branching trajectories, or smart-specialisation strategies (Asheim &amp; Gertler, 2005; Boschma, 2005; Cooke et al., 1997; Martin &amp; Sunley, 2006; Stam, 2015). Yet innovative activity ultimately unfolds among concrete individuals, organisations, and infrastructures “on the ground”: universities, firms, research institutes, intermediaries, chambers, financiers, incubators, science parks, and public agencies. These actors do not innovate in isolation, but within historically evolved systems of interdependence, exchange, proximity and institutionalised learning. Instead, systems-oriented concepts for understanding regional innovation implicitly point toward a deeper question that remains comparatively underexplored: how do regions (learn to) support innovative activity across longer temporal horizons over time?</w:t>
      </w:r>
    </w:p>
    <w:p w14:paraId="658747DE" w14:textId="77777777" w:rsidR="006457E8" w:rsidRPr="00CD05A8" w:rsidRDefault="006457E8" w:rsidP="006457E8">
      <w:pPr>
        <w:pStyle w:val="AbstractBookBaseParagraph"/>
        <w:rPr>
          <w:rFonts w:ascii="Noto Serif Light" w:hAnsi="Noto Serif Light" w:cs="Noto Serif Light"/>
        </w:rPr>
      </w:pPr>
    </w:p>
    <w:p w14:paraId="11DD0417"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The paper addresses this question by investigating the institutional and spatial trajectories of innovation support infrastructures in Berlin since the 1970s. Rather than examining innovation or technology directly, the study focuses on the historically sedimented environments through which innovative activity became organised, coordinated and enabled. The empirical object is therefore the “machine room” of Berlin as a knowledge, technology, and entrepreneurship location: the actors, resources and processes shaping the interplay of Berlin’s knowledge producers and exploiters across different historical periods. Berlin is a particularly revealing case because its innovation support landscape developed across deep ruptures. A linear account would expect each rupture to generate fundamentally new support models. We find instead that Berlin’s innovation support infrastructures evolved through recursive stabilisation, selective reactivation, and recombination of older institutional, spatial, relational, and policy-learning principles.</w:t>
      </w:r>
    </w:p>
    <w:p w14:paraId="66F2A42B" w14:textId="77777777" w:rsidR="006457E8" w:rsidRPr="00CD05A8" w:rsidRDefault="006457E8" w:rsidP="006457E8">
      <w:pPr>
        <w:pStyle w:val="AbstractBookBaseParagraph"/>
        <w:rPr>
          <w:rFonts w:ascii="Noto Serif Light" w:hAnsi="Noto Serif Light" w:cs="Noto Serif Light"/>
        </w:rPr>
      </w:pPr>
    </w:p>
    <w:p w14:paraId="05910035" w14:textId="77777777" w:rsidR="006457E8" w:rsidRPr="006C77A6" w:rsidRDefault="006457E8" w:rsidP="006457E8">
      <w:pPr>
        <w:pStyle w:val="AbstractBookBaseParagraph"/>
        <w:rPr>
          <w:rFonts w:ascii="Noto Serif Light" w:hAnsi="Noto Serif Light" w:cs="Noto Serif Light"/>
          <w:b/>
          <w:bCs/>
        </w:rPr>
      </w:pPr>
      <w:r w:rsidRPr="006C77A6">
        <w:rPr>
          <w:rFonts w:ascii="Noto Serif Light" w:hAnsi="Noto Serif Light" w:cs="Noto Serif Light"/>
          <w:b/>
          <w:bCs/>
        </w:rPr>
        <w:t>2. Theoretical framing: temporalities of innovation (support)</w:t>
      </w:r>
    </w:p>
    <w:p w14:paraId="26C1AB07"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 xml:space="preserve">The paper employs and contributes to evolutionary economic geography and systems-oriented, context-sensitive lenses to regional innovative activity – pursuing the notion of temporalities of innovation support. Innovation is not only temporal because technologies, firms, or sectors change. It is also temporal because the conditions and mechanisms enabling innovation (Cooke et al., 1997; Kitagawa 2004; Edquist, 2004; Lundvall, 1992) – the whether, where and how of the interplay of transfer offices, incubators, technology centres, science parks, intermediary roles, business services, operating companies – accumulate, sediment, disappear, and reappear over time. The contribution’s point of origination therefore rests in the notion that support infrastructures may develop throughout historical ruptures neither via static continuity nor holistic reinvention – but through gradual and cyclical reinterpretation, relabelling, </w:t>
      </w:r>
      <w:r w:rsidRPr="00CD05A8">
        <w:rPr>
          <w:rFonts w:ascii="Noto Serif Light" w:hAnsi="Noto Serif Light" w:cs="Noto Serif Light"/>
        </w:rPr>
        <w:lastRenderedPageBreak/>
        <w:t>and recombination under changing conditions. This aligns with institutionalist perspectives emphasising gradual institutional transformation through layering, drift, conversion, and recombination rather than abrupt replacement alone (Mahoney &amp; Thelen, 2010; Thelen, 2004). It also resonates with work on regional learning paradigms suggesting that regions remain anchored in historically accumulated modes of knowledge creation, coordination, and institutional interaction (Capello &amp; Lenzi, 2016).</w:t>
      </w:r>
    </w:p>
    <w:p w14:paraId="6ECAE0BD" w14:textId="77777777" w:rsidR="006457E8" w:rsidRPr="00CD05A8" w:rsidRDefault="006457E8" w:rsidP="006457E8">
      <w:pPr>
        <w:pStyle w:val="AbstractBookBaseParagraph"/>
        <w:rPr>
          <w:rFonts w:ascii="Noto Serif Light" w:hAnsi="Noto Serif Light" w:cs="Noto Serif Light"/>
        </w:rPr>
      </w:pPr>
    </w:p>
    <w:p w14:paraId="781CB183"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We conceptualise innovation support infrastructures as past-referential and recursively adaptive complex environments. They are not built anew for each technological wave, but mobilise institutional memory, earlier experiments, inherited heuristics, spatial/built environment affordances, and embodied experiential knowledge. This extends a growing base of research countering additive or disruptive notions of progress – positions (re-)discovery of history and retrovation beyond products, technologies, or craft practices toward the infrastructures enabling innovation themselves. Older organisational principles, intermediary practices, and spatial arrangements may become valuable again under new socio-technical conditions over time. This framing challenges disruption-centred innovation narratives, focalizing recombination of historically accumulated actors, resources and processes.</w:t>
      </w:r>
    </w:p>
    <w:p w14:paraId="7FD2DC5B" w14:textId="77777777" w:rsidR="006457E8" w:rsidRPr="00CD05A8" w:rsidRDefault="006457E8" w:rsidP="006457E8">
      <w:pPr>
        <w:pStyle w:val="AbstractBookBaseParagraph"/>
        <w:rPr>
          <w:rFonts w:ascii="Noto Serif Light" w:hAnsi="Noto Serif Light" w:cs="Noto Serif Light"/>
        </w:rPr>
      </w:pPr>
    </w:p>
    <w:p w14:paraId="575C934E" w14:textId="77777777" w:rsidR="006457E8" w:rsidRPr="006C77A6" w:rsidRDefault="006457E8" w:rsidP="006457E8">
      <w:pPr>
        <w:pStyle w:val="AbstractBookBaseParagraph"/>
        <w:rPr>
          <w:rFonts w:ascii="Noto Serif Light" w:hAnsi="Noto Serif Light" w:cs="Noto Serif Light"/>
          <w:b/>
          <w:bCs/>
        </w:rPr>
      </w:pPr>
      <w:r w:rsidRPr="006C77A6">
        <w:rPr>
          <w:rFonts w:ascii="Noto Serif Light" w:hAnsi="Noto Serif Light" w:cs="Noto Serif Light"/>
          <w:b/>
          <w:bCs/>
        </w:rPr>
        <w:t>3. Methods and analytical strategy</w:t>
      </w:r>
    </w:p>
    <w:p w14:paraId="158C081B"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The paper is based on a qualitative, historically informed single-case study of Berlin’s innovation-support infrastructures. The empirical material combines 15 in-depth expert and contemporary witness interviews with historical documents, organisational reports, policy material, secondary literature, and website archive data. The interview corpus includes actors from different age cohorts and institutional positions across the quadruple helix. Respondents were not merely observers of their eras, but key deciders. Their accounts reveal tacit routines, informal coordination mechanisms, attempts and failures, trust relations, imported policy blueprints, and inherited organisational repertoires that formal documents rarely capture.</w:t>
      </w:r>
    </w:p>
    <w:p w14:paraId="381FB572" w14:textId="77777777" w:rsidR="006457E8" w:rsidRPr="00CD05A8" w:rsidRDefault="006457E8" w:rsidP="006457E8">
      <w:pPr>
        <w:pStyle w:val="AbstractBookBaseParagraph"/>
        <w:rPr>
          <w:rFonts w:ascii="Noto Serif Light" w:hAnsi="Noto Serif Light" w:cs="Noto Serif Light"/>
        </w:rPr>
      </w:pPr>
    </w:p>
    <w:p w14:paraId="3380B4C0"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Exploratory interviews originated from a reconstruction of developments concerning technology transfer, entrepreneurship support and innovation-promising infrastructures. Data suggested that over time old concepts returned under new labels, spatial formats were reused, intermediary functions persisted, and key actors carried knowledge across organisations. We therefore applied a Gioia-inspired coding strategy (Gioia et al., 2013). Third-order codes stayed close to respondent language – e.g., “not copying, but adapting what others did right,” and “old ideas under new names.” These were condensed into second-order themes and then grouped into four aggregate first-order domains or ‘principles’ (P) evident over time: recurring (1) institutional, (2) spatial, (3) personnel/relational, and (4) policy-learning principles.</w:t>
      </w:r>
    </w:p>
    <w:p w14:paraId="6BA2F786" w14:textId="77777777" w:rsidR="006457E8" w:rsidRPr="00CD05A8" w:rsidRDefault="006457E8" w:rsidP="006457E8">
      <w:pPr>
        <w:pStyle w:val="AbstractBookBaseParagraph"/>
        <w:rPr>
          <w:rFonts w:ascii="Noto Serif Light" w:hAnsi="Noto Serif Light" w:cs="Noto Serif Light"/>
        </w:rPr>
      </w:pPr>
    </w:p>
    <w:p w14:paraId="65FEBE59" w14:textId="77777777" w:rsidR="006457E8" w:rsidRPr="006C77A6" w:rsidRDefault="006457E8" w:rsidP="006457E8">
      <w:pPr>
        <w:pStyle w:val="AbstractBookBaseParagraph"/>
        <w:rPr>
          <w:rFonts w:ascii="Noto Serif Light" w:hAnsi="Noto Serif Light" w:cs="Noto Serif Light"/>
          <w:b/>
          <w:bCs/>
        </w:rPr>
      </w:pPr>
      <w:r w:rsidRPr="006C77A6">
        <w:rPr>
          <w:rFonts w:ascii="Noto Serif Light" w:hAnsi="Noto Serif Light" w:cs="Noto Serif Light"/>
          <w:b/>
          <w:bCs/>
        </w:rPr>
        <w:t xml:space="preserve">4. Findings </w:t>
      </w:r>
    </w:p>
    <w:p w14:paraId="78D9411C" w14:textId="77777777" w:rsidR="006457E8" w:rsidRPr="00CD05A8" w:rsidRDefault="006457E8" w:rsidP="006457E8">
      <w:pPr>
        <w:pStyle w:val="AbstractBookBaseParagraph"/>
        <w:rPr>
          <w:rFonts w:ascii="Noto Serif Light" w:hAnsi="Noto Serif Light" w:cs="Noto Serif Light"/>
        </w:rPr>
      </w:pPr>
      <w:r>
        <w:rPr>
          <w:rFonts w:ascii="Noto Serif Light" w:hAnsi="Noto Serif Light" w:cs="Noto Serif Light"/>
        </w:rPr>
        <w:t>Fo</w:t>
      </w:r>
      <w:r w:rsidRPr="00CD05A8">
        <w:rPr>
          <w:rFonts w:ascii="Noto Serif Light" w:hAnsi="Noto Serif Light" w:cs="Noto Serif Light"/>
        </w:rPr>
        <w:t>ur recurring principles in Berlin’s innovation support over time</w:t>
      </w:r>
    </w:p>
    <w:p w14:paraId="41A3B4C6"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 xml:space="preserve">P1. Recurring institutional principles. Berlin’s innovation support repeatedly relied on intermediation as sedimented support logic. Transfer offices, technology centres, incubators, cluster organisations, operating companies, and later ecosystem formats differed institutionally, but reproduced a stable function: bridging universities, firms, public administration, finance, and entrepreneurs. The data further show institutional </w:t>
      </w:r>
      <w:r w:rsidRPr="00CD05A8">
        <w:rPr>
          <w:rFonts w:ascii="Noto Serif Light" w:hAnsi="Noto Serif Light" w:cs="Noto Serif Light"/>
        </w:rPr>
        <w:lastRenderedPageBreak/>
        <w:t>layering rather than replacement: organisations were renamed, folded into one another, professionalised, or reactivated under new policy regimes. A related second-order theme concerns the shift from invention protection toward valorisation, quality selection, and active deal-making. Support infrastructures also functioned as risk buffers, providing addresses, laboratories, flexible leases, legitimacy, coaching, and shared services.</w:t>
      </w:r>
    </w:p>
    <w:p w14:paraId="405AF575" w14:textId="77777777" w:rsidR="006457E8" w:rsidRPr="00CD05A8" w:rsidRDefault="006457E8" w:rsidP="006457E8">
      <w:pPr>
        <w:pStyle w:val="AbstractBookBaseParagraph"/>
        <w:rPr>
          <w:rFonts w:ascii="Noto Serif Light" w:hAnsi="Noto Serif Light" w:cs="Noto Serif Light"/>
        </w:rPr>
      </w:pPr>
    </w:p>
    <w:p w14:paraId="7C87680F"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P2. Recurring personnel and relational principles. In close relation to P1 – as institutional principles across time and organizations were enacted by a limited number of deciders in Berlin – interviews strongly underline that innovation support was carried through people. Senators, transfer-office heads, foundation leaders, incubator managers, financiers, chamber representatives, and university actors acted as institutional carriers across ruptures. Trust, informal brokerage, repeated exchange and sensitivity to innovators’ needs, a ‘can do’ attitude and knowing ‘whom to call’ were repeatedly described as decisive interpersonal markers of successful support endeavors. Boundary-spanning competence also emerged as a key theme: effective actors translated between science, technology, administration, finance, and market needs. Innovation support in Berlin thus particularly depended on relational labour – mentoring, persuading, brokering, legitimising, and translating – as much as on formal programmes.</w:t>
      </w:r>
    </w:p>
    <w:p w14:paraId="71B0107E" w14:textId="77777777" w:rsidR="006457E8" w:rsidRPr="00CD05A8" w:rsidRDefault="006457E8" w:rsidP="006457E8">
      <w:pPr>
        <w:pStyle w:val="AbstractBookBaseParagraph"/>
        <w:rPr>
          <w:rFonts w:ascii="Noto Serif Light" w:hAnsi="Noto Serif Light" w:cs="Noto Serif Light"/>
        </w:rPr>
      </w:pPr>
    </w:p>
    <w:p w14:paraId="0A759428"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P3. Recurring policy-learning principles. Berlin’s key actors repeatedly learned through comparison, selective imitation, and tans-local adoption of best practices. Silicon Valley, Boston/Route 128, Baden-Württemberg, Dortmund, Munich, Israel, the UK, and Asian imitation logics served as blueprints, mental models, benchmarks and legitimising (policy) imaginaries. Policy learning was also experimental and bricolage-like. Actors described provisional designs, contested interpretations, trial-and-error, and adaptive improvisation ‘on the spot’ during short timeslines or when no blueprint existed (e.g., unifying the West and East Berlin academic landscapes). Finally, recurring policy technologies – competence fields, clusters, masterplans, Zukunftsorte – served as instruments for naming, prioritising, and mobilising fields, while often repackaging older support logics under new vocabularies.</w:t>
      </w:r>
    </w:p>
    <w:p w14:paraId="5BC1890A" w14:textId="77777777" w:rsidR="006457E8" w:rsidRPr="00CD05A8" w:rsidRDefault="006457E8" w:rsidP="006457E8">
      <w:pPr>
        <w:pStyle w:val="AbstractBookBaseParagraph"/>
        <w:rPr>
          <w:rFonts w:ascii="Noto Serif Light" w:hAnsi="Noto Serif Light" w:cs="Noto Serif Light"/>
        </w:rPr>
      </w:pPr>
    </w:p>
    <w:p w14:paraId="2AB31B8D"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P4. Recurring spatial principles. Data outlines that Berlin’s built environments were designed and re-configured over time to support innovators’ needs. Co-location, university proximity, incubators, modular laboratories, science parks, and Zukunftsorte served to make knowledge circulation more probable. However, the findings do not support a naïve proximity argument. Spatial support worked only where sites were embedded in research anchors, industrial users, sectoral fit, and relational density. Adaptive reuse was crucial.</w:t>
      </w:r>
    </w:p>
    <w:p w14:paraId="3434BEAC" w14:textId="77777777" w:rsidR="006457E8" w:rsidRPr="00CD05A8" w:rsidRDefault="006457E8" w:rsidP="006457E8">
      <w:pPr>
        <w:pStyle w:val="AbstractBookBaseParagraph"/>
        <w:rPr>
          <w:rFonts w:ascii="Noto Serif Light" w:hAnsi="Noto Serif Light" w:cs="Noto Serif Light"/>
        </w:rPr>
      </w:pPr>
    </w:p>
    <w:p w14:paraId="6683AD24" w14:textId="77777777" w:rsidR="006457E8" w:rsidRPr="006C77A6" w:rsidRDefault="006457E8" w:rsidP="006457E8">
      <w:pPr>
        <w:pStyle w:val="AbstractBookBaseParagraph"/>
        <w:rPr>
          <w:rFonts w:ascii="Noto Serif Light" w:hAnsi="Noto Serif Light" w:cs="Noto Serif Light"/>
          <w:b/>
          <w:bCs/>
        </w:rPr>
      </w:pPr>
      <w:r w:rsidRPr="006C77A6">
        <w:rPr>
          <w:rFonts w:ascii="Noto Serif Light" w:hAnsi="Noto Serif Light" w:cs="Noto Serif Light"/>
          <w:b/>
          <w:bCs/>
        </w:rPr>
        <w:t>5. Contribution</w:t>
      </w:r>
    </w:p>
    <w:p w14:paraId="6496240E"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 xml:space="preserve">The paper makes three contributions. Conceptually, it introduces temporalities of innovation support to show that support infrastructures have histories that matter. Innovation support is not merely a sequence of consecutive, contemporary responses to current technologies; they are historically layered arrangements shaped by prior decisions, spatial investments, organisational learning, and embodied memory of people. This complements work on regional learning, knowledge dynamics, and path development by showing that not only technologies and industries, but also support </w:t>
      </w:r>
      <w:r w:rsidRPr="00CD05A8">
        <w:rPr>
          <w:rFonts w:ascii="Noto Serif Light" w:hAnsi="Noto Serif Light" w:cs="Noto Serif Light"/>
        </w:rPr>
        <w:lastRenderedPageBreak/>
        <w:t>systems, have histories that matter (Capello &amp; Lenzi, 2016; Strambach &amp; Klement, 2012). Empirically, the paper reconstructs Berlin’s long-term innovation support genealogy and shows that many of today’s innovation support principles – intermediation, proximity, incubation, networking, brokerage, and field prioritisation – were present decades before current, e.g., start-up, vocabulary became dominant. Methodologically, it demonstrates the value of combining contemporary witness interviews, institutional genealogy, historical document analysis, and website archive analysis for studying hidden infrastructures of regional learning.</w:t>
      </w:r>
    </w:p>
    <w:p w14:paraId="6EF20F17" w14:textId="77777777" w:rsidR="006457E8" w:rsidRPr="00CD05A8" w:rsidRDefault="006457E8" w:rsidP="006457E8">
      <w:pPr>
        <w:pStyle w:val="AbstractBookBaseParagraph"/>
        <w:rPr>
          <w:rFonts w:ascii="Noto Serif Light" w:hAnsi="Noto Serif Light" w:cs="Noto Serif Light"/>
        </w:rPr>
      </w:pPr>
    </w:p>
    <w:p w14:paraId="5739D5AC" w14:textId="77777777" w:rsidR="006457E8" w:rsidRPr="006C77A6" w:rsidRDefault="006457E8" w:rsidP="006457E8">
      <w:pPr>
        <w:pStyle w:val="AbstractBookBaseParagraph"/>
        <w:rPr>
          <w:rFonts w:ascii="Noto Serif Light" w:hAnsi="Noto Serif Light" w:cs="Noto Serif Light"/>
          <w:b/>
          <w:bCs/>
        </w:rPr>
      </w:pPr>
      <w:r w:rsidRPr="006C77A6">
        <w:rPr>
          <w:rFonts w:ascii="Noto Serif Light" w:hAnsi="Noto Serif Light" w:cs="Noto Serif Light"/>
          <w:b/>
          <w:bCs/>
        </w:rPr>
        <w:t>6. Implications</w:t>
      </w:r>
    </w:p>
    <w:p w14:paraId="60C70C1D"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For regional innovation policy, the findings caution against repeatedly reinventing support architectures for each new technology hype or firm-level fashion. New innovation patterns certainly carry novel requirements, but these should be evaluated against historically accumulated infrastructures, actor competences, spatial affordances, institutional memories, and relational capacities. This does not imply nostalgia or resistance to transformation. It implies a more reflexive policy stance: identify which inherited support principles remain productive, which require adaptation, which should be recombined, and which have become obsolete.</w:t>
      </w:r>
    </w:p>
    <w:p w14:paraId="4F288C33" w14:textId="77777777" w:rsidR="006457E8" w:rsidRPr="00CD05A8" w:rsidRDefault="006457E8" w:rsidP="006457E8">
      <w:pPr>
        <w:pStyle w:val="AbstractBookBaseParagraph"/>
        <w:rPr>
          <w:rFonts w:ascii="Noto Serif Light" w:hAnsi="Noto Serif Light" w:cs="Noto Serif Light"/>
        </w:rPr>
      </w:pPr>
    </w:p>
    <w:p w14:paraId="61976E4C"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Berlin’s case therefore contributes to a growing body of work concerned with rediscovering the value of past knowledges, place-based achievements, and historically embedded capabilities. Regions may move forward not only by adopting new models, but by learning and realizing how they have already learned. Innovation support, we argue, rests in the recursive ability to remember, test, adapt, revive, and recombine historically grown principles. In this sense, there may indeed be no need to reinvent the wheel – provided regions know which wheels they already built, why they worked, and how they can be reassembled for new conditions.</w:t>
      </w:r>
    </w:p>
    <w:p w14:paraId="096F376C" w14:textId="77777777" w:rsidR="006457E8" w:rsidRPr="00CD05A8" w:rsidRDefault="006457E8" w:rsidP="006457E8">
      <w:pPr>
        <w:pStyle w:val="AbstractBookBaseParagraph"/>
        <w:rPr>
          <w:rFonts w:ascii="Noto Serif Light" w:hAnsi="Noto Serif Light" w:cs="Noto Serif Light"/>
        </w:rPr>
      </w:pPr>
    </w:p>
    <w:p w14:paraId="0AADED99"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br w:type="page"/>
      </w:r>
    </w:p>
    <w:p w14:paraId="176F0170" w14:textId="414F371A" w:rsidR="002D52B2" w:rsidRDefault="00390C9C" w:rsidP="002D52B2">
      <w:pPr>
        <w:pStyle w:val="ABSubhead"/>
      </w:pPr>
      <w:r>
        <w:lastRenderedPageBreak/>
        <w:t xml:space="preserve">O24. </w:t>
      </w:r>
      <w:r w:rsidR="002D52B2" w:rsidRPr="00CD05A8">
        <w:t>SMART PUEBLOS: Retrovation and Regenerative Rural Innovation in Depopulated Territories</w:t>
      </w:r>
    </w:p>
    <w:p w14:paraId="1896E707" w14:textId="77777777" w:rsidR="002D52B2" w:rsidRPr="00103F5E" w:rsidRDefault="002D52B2" w:rsidP="002D52B2">
      <w:pPr>
        <w:pStyle w:val="ABParagraph"/>
      </w:pPr>
    </w:p>
    <w:p w14:paraId="7029BA00" w14:textId="77777777" w:rsidR="002D52B2" w:rsidRPr="00B41E13" w:rsidRDefault="002D52B2" w:rsidP="002D52B2">
      <w:pPr>
        <w:pStyle w:val="AbstractBookAuthors"/>
        <w:rPr>
          <w:rFonts w:ascii="Noto Serif Light" w:hAnsi="Noto Serif Light" w:cs="Noto Serif Light"/>
          <w:vertAlign w:val="superscript"/>
        </w:rPr>
      </w:pPr>
      <w:r w:rsidRPr="00CD05A8">
        <w:rPr>
          <w:rStyle w:val="AbstractBookPresentingAuthor"/>
          <w:rFonts w:ascii="Noto Serif Light" w:hAnsi="Noto Serif Light" w:cs="Noto Serif Light"/>
        </w:rPr>
        <w:t>Silvia Rita Sedita</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Giacomo Sbalchiero</w:t>
      </w:r>
      <w:r>
        <w:rPr>
          <w:rStyle w:val="AbstractBookBaseCharacterStyle"/>
          <w:rFonts w:ascii="Noto Serif Light" w:hAnsi="Noto Serif Light" w:cs="Noto Serif Light"/>
          <w:vertAlign w:val="superscript"/>
        </w:rPr>
        <w:t>1</w:t>
      </w:r>
    </w:p>
    <w:p w14:paraId="0BD196A0" w14:textId="77777777" w:rsidR="002D52B2" w:rsidRDefault="002D52B2" w:rsidP="002D52B2">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University of Padova, Padova, Italy</w:t>
      </w:r>
    </w:p>
    <w:p w14:paraId="028C3F16" w14:textId="77777777" w:rsidR="002D52B2" w:rsidRDefault="002D52B2" w:rsidP="002D52B2">
      <w:pPr>
        <w:pStyle w:val="AbstractBookBaseParagraph"/>
        <w:rPr>
          <w:rStyle w:val="AbstractBookBaseCharacterStyle"/>
          <w:rFonts w:ascii="Noto Serif Light" w:hAnsi="Noto Serif Light" w:cs="Noto Serif Light"/>
        </w:rPr>
      </w:pPr>
    </w:p>
    <w:p w14:paraId="595CE2FE" w14:textId="77777777" w:rsidR="002D52B2" w:rsidRPr="00103F5E" w:rsidRDefault="002D52B2" w:rsidP="002D52B2">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5B7D065C" w14:textId="77777777" w:rsidR="002D52B2" w:rsidRDefault="002D52B2" w:rsidP="002D52B2">
      <w:pPr>
        <w:pStyle w:val="AbstractBookBaseParagraph"/>
        <w:rPr>
          <w:rFonts w:ascii="Noto Serif Light" w:hAnsi="Noto Serif Light" w:cs="Noto Serif Light"/>
        </w:rPr>
      </w:pPr>
      <w:r w:rsidRPr="00CD05A8">
        <w:rPr>
          <w:rFonts w:ascii="Noto Serif Light" w:hAnsi="Noto Serif Light" w:cs="Noto Serif Light"/>
        </w:rPr>
        <w:t>The dominant paradigm of “smart territories” has long been associated with digital infrastructures, data-driven governance, and technological optimization. Yet, in many rural regions where such infrastructures are weak or absent, new forms of territorial innovation are already emerging through community-led regeneration, agroecological practices, and hybrid social networks. This paper introduces the concept of SMART PUEBLOS as an alternative model of territorial intelligence grounded not primarily in technology, but in social, ecological, and cultural regeneration.</w:t>
      </w:r>
    </w:p>
    <w:p w14:paraId="6669F154" w14:textId="77777777" w:rsidR="002D52B2" w:rsidRPr="00CD05A8" w:rsidRDefault="002D52B2" w:rsidP="002D52B2">
      <w:pPr>
        <w:pStyle w:val="AbstractBookBaseParagraph"/>
        <w:rPr>
          <w:rFonts w:ascii="Noto Serif Light" w:hAnsi="Noto Serif Light" w:cs="Noto Serif Light"/>
        </w:rPr>
      </w:pPr>
    </w:p>
    <w:p w14:paraId="095C11AA" w14:textId="77777777" w:rsidR="002D52B2"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The research focuses on rural territories in Spain affected by long-term depopulation—particularly Cervera del Maestre (Valencian Community) and Almócita (Andalusia)—where processes commonly associated with the “Empty Spain” phenomenon are being partially reversed. These cases reveal the emergence of resilient rural ecosystems characterized by: (1) hybrid communities composed of local residents and international newcomers; (2) recovery of abandoned agricultural land and fincas; (3) diffusion of agroecological and permaculture practices; and (4) forms of local governance based on collaborative and enabling institutions. </w:t>
      </w:r>
    </w:p>
    <w:p w14:paraId="2C1E5AAF" w14:textId="77777777" w:rsidR="002D52B2" w:rsidRPr="00CD05A8" w:rsidRDefault="002D52B2" w:rsidP="002D52B2">
      <w:pPr>
        <w:pStyle w:val="AbstractBookBaseParagraph"/>
        <w:rPr>
          <w:rFonts w:ascii="Noto Serif Light" w:hAnsi="Noto Serif Light" w:cs="Noto Serif Light"/>
        </w:rPr>
      </w:pPr>
    </w:p>
    <w:p w14:paraId="2389C0B2" w14:textId="77777777" w:rsidR="002D52B2" w:rsidRDefault="002D52B2" w:rsidP="002D52B2">
      <w:pPr>
        <w:pStyle w:val="AbstractBookBaseParagraph"/>
        <w:rPr>
          <w:rFonts w:ascii="Noto Serif Light" w:hAnsi="Noto Serif Light" w:cs="Noto Serif Light"/>
        </w:rPr>
      </w:pPr>
      <w:r w:rsidRPr="00CD05A8">
        <w:rPr>
          <w:rFonts w:ascii="Noto Serif Light" w:hAnsi="Noto Serif Light" w:cs="Noto Serif Light"/>
        </w:rPr>
        <w:t>The paper frames these dynamics within the perspective of retrovation: innovation generated through the reinterpretation and reactivation of traditional territorial knowledge, vernacular practices, and rural ways of living. Rather than representing a nostalgic return to the past, these initiatives combine ancestral ecological knowledge with contemporary social innovation, creating new models of sustainable habitation and distributed development.</w:t>
      </w:r>
    </w:p>
    <w:p w14:paraId="76B22D53" w14:textId="77777777" w:rsidR="002D52B2" w:rsidRPr="00CD05A8" w:rsidRDefault="002D52B2" w:rsidP="002D52B2">
      <w:pPr>
        <w:pStyle w:val="AbstractBookBaseParagraph"/>
        <w:rPr>
          <w:rFonts w:ascii="Noto Serif Light" w:hAnsi="Noto Serif Light" w:cs="Noto Serif Light"/>
        </w:rPr>
      </w:pPr>
    </w:p>
    <w:p w14:paraId="2C81BFFD" w14:textId="77777777" w:rsidR="002D52B2" w:rsidRDefault="002D52B2" w:rsidP="002D52B2">
      <w:pPr>
        <w:pStyle w:val="AbstractBookBaseParagraph"/>
        <w:rPr>
          <w:rFonts w:ascii="Noto Serif Light" w:hAnsi="Noto Serif Light" w:cs="Noto Serif Light"/>
        </w:rPr>
      </w:pPr>
      <w:r w:rsidRPr="00CD05A8">
        <w:rPr>
          <w:rFonts w:ascii="Noto Serif Light" w:hAnsi="Noto Serif Light" w:cs="Noto Serif Light"/>
        </w:rPr>
        <w:t>Methodologically, the research adopts an interdisciplinary and practice-based approach combining ethnographic fieldwork, participant observation, socio-economic analysis, and systemic design. The project aims to identify the key factors enabling these regenerative transitions and to develop a replicable “Smart Pueblo” framework applicable to other European rural regions.</w:t>
      </w:r>
    </w:p>
    <w:p w14:paraId="08AF2A0D" w14:textId="77777777" w:rsidR="002D52B2" w:rsidRPr="00CD05A8" w:rsidRDefault="002D52B2" w:rsidP="002D52B2">
      <w:pPr>
        <w:pStyle w:val="AbstractBookBaseParagraph"/>
        <w:rPr>
          <w:rFonts w:ascii="Noto Serif Light" w:hAnsi="Noto Serif Light" w:cs="Noto Serif Light"/>
        </w:rPr>
      </w:pPr>
    </w:p>
    <w:p w14:paraId="42ECDFBB" w14:textId="77777777" w:rsidR="002D52B2" w:rsidRDefault="002D52B2" w:rsidP="002D52B2">
      <w:pPr>
        <w:pStyle w:val="AbstractBookBaseParagraph"/>
        <w:rPr>
          <w:rFonts w:ascii="Noto Serif Light" w:hAnsi="Noto Serif Light" w:cs="Noto Serif Light"/>
        </w:rPr>
      </w:pPr>
      <w:r w:rsidRPr="00CD05A8">
        <w:rPr>
          <w:rFonts w:ascii="Noto Serif Light" w:hAnsi="Noto Serif Light" w:cs="Noto Serif Light"/>
        </w:rPr>
        <w:t>The contribution to the Retrovation track lies in showing how rural innovation can emerge through the recombination of historical practices, social infrastructures, and ecological stewardship, generating new imaginaries of development beyond techno-centric smart city models. The paper also discusses implications for regional innovation policies, particularly regarding rural repopulation, regenerative economies, and place-based governance aligned with European Green Deal priorities.</w:t>
      </w:r>
    </w:p>
    <w:p w14:paraId="144FECD1" w14:textId="77777777" w:rsidR="002D52B2" w:rsidRPr="00CD05A8" w:rsidRDefault="002D52B2" w:rsidP="002D52B2">
      <w:pPr>
        <w:pStyle w:val="AbstractBookBaseParagraph"/>
        <w:rPr>
          <w:rFonts w:ascii="Noto Serif Light" w:hAnsi="Noto Serif Light" w:cs="Noto Serif Light"/>
        </w:rPr>
      </w:pPr>
    </w:p>
    <w:p w14:paraId="593CC645"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By analyzing these emerging rural laboratories, the study argues that the future of territorial innovation may depend less on technological sophistication and more on the capacity of communities to reactivate local knowledge, rebuild social cohesion, and cultivate regenerative relationships with land and resources.</w:t>
      </w:r>
    </w:p>
    <w:p w14:paraId="0B8F35B0"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lastRenderedPageBreak/>
        <w:br w:type="page"/>
      </w:r>
    </w:p>
    <w:p w14:paraId="0A9CC25F" w14:textId="1EE9F069" w:rsidR="002D52B2" w:rsidRDefault="00390C9C" w:rsidP="002D52B2">
      <w:pPr>
        <w:pStyle w:val="ABSubhead"/>
      </w:pPr>
      <w:r>
        <w:lastRenderedPageBreak/>
        <w:t xml:space="preserve">O25. </w:t>
      </w:r>
      <w:r w:rsidR="002D52B2">
        <w:t>Building on the Past: Challenge-Oriented Innovation in Bangalore’s Construction Sector</w:t>
      </w:r>
    </w:p>
    <w:p w14:paraId="3AD97082" w14:textId="77777777" w:rsidR="002D52B2" w:rsidRPr="00723181" w:rsidRDefault="002D52B2" w:rsidP="002D52B2">
      <w:pPr>
        <w:pStyle w:val="ABParagraph"/>
      </w:pPr>
    </w:p>
    <w:p w14:paraId="42BDF555" w14:textId="77777777" w:rsidR="002D52B2" w:rsidRPr="00723181" w:rsidRDefault="002D52B2" w:rsidP="002D52B2">
      <w:pPr>
        <w:pStyle w:val="AbstractBookAuthors"/>
        <w:rPr>
          <w:rFonts w:ascii="Noto Serif Light" w:hAnsi="Noto Serif Light" w:cs="Noto Serif Light"/>
        </w:rPr>
      </w:pPr>
      <w:r w:rsidRPr="00723181">
        <w:rPr>
          <w:rStyle w:val="AbstractBookPresentingAuthor"/>
          <w:rFonts w:ascii="Noto Serif Light" w:hAnsi="Noto Serif Light" w:cs="Noto Serif Light"/>
        </w:rPr>
        <w:t>Linda Lütkes</w:t>
      </w:r>
      <w:r w:rsidRPr="00723181">
        <w:rPr>
          <w:rFonts w:ascii="Noto Serif Light" w:hAnsi="Noto Serif Light" w:cs="Noto Serif Light"/>
          <w:vertAlign w:val="superscript"/>
        </w:rPr>
        <w:t>1</w:t>
      </w:r>
      <w:r w:rsidRPr="00723181">
        <w:rPr>
          <w:rStyle w:val="AbstractBookBaseCharacterStyle"/>
          <w:rFonts w:ascii="Noto Serif Light" w:hAnsi="Noto Serif Light" w:cs="Noto Serif Light"/>
        </w:rPr>
        <w:t>, Dr</w:t>
      </w:r>
      <w:r>
        <w:rPr>
          <w:rStyle w:val="AbstractBookBaseCharacterStyle"/>
          <w:rFonts w:ascii="Noto Serif Light" w:hAnsi="Noto Serif Light" w:cs="Noto Serif Light"/>
        </w:rPr>
        <w:t xml:space="preserve"> </w:t>
      </w:r>
      <w:r w:rsidRPr="00723181">
        <w:rPr>
          <w:rStyle w:val="AbstractBookBaseCharacterStyle"/>
          <w:rFonts w:ascii="Noto Serif Light" w:hAnsi="Noto Serif Light" w:cs="Noto Serif Light"/>
        </w:rPr>
        <w:t>Sebastian Losacker</w:t>
      </w:r>
      <w:r w:rsidRPr="00723181">
        <w:rPr>
          <w:rFonts w:ascii="Noto Serif Light" w:hAnsi="Noto Serif Light" w:cs="Noto Serif Light"/>
          <w:vertAlign w:val="superscript"/>
        </w:rPr>
        <w:t>1,2</w:t>
      </w:r>
    </w:p>
    <w:p w14:paraId="0C798A02" w14:textId="77777777" w:rsidR="002D52B2" w:rsidRPr="00723181" w:rsidRDefault="002D52B2" w:rsidP="002D52B2">
      <w:pPr>
        <w:pStyle w:val="AbstractBookBaseParagraph"/>
        <w:rPr>
          <w:rStyle w:val="AbstractBookBaseCharacterStyle"/>
          <w:rFonts w:ascii="Noto Serif Light" w:hAnsi="Noto Serif Light" w:cs="Noto Serif Light"/>
        </w:rPr>
      </w:pPr>
      <w:r w:rsidRPr="00723181">
        <w:rPr>
          <w:rFonts w:ascii="Noto Serif Light" w:hAnsi="Noto Serif Light" w:cs="Noto Serif Light"/>
          <w:vertAlign w:val="superscript"/>
        </w:rPr>
        <w:t>1</w:t>
      </w:r>
      <w:r w:rsidRPr="00723181">
        <w:rPr>
          <w:rStyle w:val="AbstractBookBaseCharacterStyle"/>
          <w:rFonts w:ascii="Noto Serif Light" w:hAnsi="Noto Serif Light" w:cs="Noto Serif Light"/>
        </w:rPr>
        <w:t xml:space="preserve">Justus Liebig University Giessen, Giessen, Germany, </w:t>
      </w:r>
      <w:r w:rsidRPr="00723181">
        <w:rPr>
          <w:rFonts w:ascii="Noto Serif Light" w:hAnsi="Noto Serif Light" w:cs="Noto Serif Light"/>
          <w:vertAlign w:val="superscript"/>
        </w:rPr>
        <w:t>2</w:t>
      </w:r>
      <w:r w:rsidRPr="00723181">
        <w:rPr>
          <w:rStyle w:val="AbstractBookBaseCharacterStyle"/>
          <w:rFonts w:ascii="Noto Serif Light" w:hAnsi="Noto Serif Light" w:cs="Noto Serif Light"/>
        </w:rPr>
        <w:t xml:space="preserve">CIRCLE - Centre for Innovation Research, Lund University, Lund, Sweden </w:t>
      </w:r>
    </w:p>
    <w:p w14:paraId="2DB0372F" w14:textId="77777777" w:rsidR="002D52B2" w:rsidRPr="00723181" w:rsidRDefault="002D52B2" w:rsidP="002D52B2">
      <w:pPr>
        <w:pStyle w:val="AbstractBookBaseParagraph"/>
        <w:rPr>
          <w:rStyle w:val="AbstractBookBaseCharacterStyle"/>
          <w:rFonts w:ascii="Noto Serif Light" w:hAnsi="Noto Serif Light" w:cs="Noto Serif Light"/>
        </w:rPr>
      </w:pPr>
    </w:p>
    <w:p w14:paraId="5C41D25A" w14:textId="77777777" w:rsidR="002D52B2" w:rsidRPr="00723181" w:rsidRDefault="002D52B2" w:rsidP="002D52B2">
      <w:pPr>
        <w:pStyle w:val="AbstractBookBaseParagraph"/>
        <w:rPr>
          <w:rFonts w:ascii="Noto Serif Light" w:hAnsi="Noto Serif Light" w:cs="Noto Serif Light"/>
          <w:b/>
          <w:bCs/>
        </w:rPr>
      </w:pPr>
      <w:r w:rsidRPr="00723181">
        <w:rPr>
          <w:rStyle w:val="AbstractBookBaseCharacterStyle"/>
          <w:rFonts w:ascii="Noto Serif Light" w:hAnsi="Noto Serif Light" w:cs="Noto Serif Light"/>
          <w:b/>
          <w:bCs/>
        </w:rPr>
        <w:t>Abstract:</w:t>
      </w:r>
    </w:p>
    <w:p w14:paraId="642F9D16" w14:textId="77777777" w:rsidR="002D52B2" w:rsidRDefault="002D52B2" w:rsidP="002D52B2">
      <w:pPr>
        <w:pStyle w:val="ABParagraph"/>
      </w:pPr>
      <w:r>
        <w:t xml:space="preserve">The global construction industry is facing a profound transition as climate mitigation demands, resource constraints and far-reaching socio-technical shifts increasingly challenge established production and consumption patterns. As one of the largest contributors to global CO2 emissions and a major consumer of mineral-based materials, the sector has emerged as a key arena for sustainability transitions (Zhong et al., 2021). While these multiple challenges are global in nature, driven by climate change, resource scarcity and geopolitical disruptions, their manifestation vary significantly between regions, shaped by local socio-economic, institutional and ecological conditions. Importantly, regional varieties do not only affect the nature and intensity of the challenges, but also influences the capacities available to respond and steer transition processes (Benner, 2025; Trippl et al., 2024). </w:t>
      </w:r>
    </w:p>
    <w:p w14:paraId="11AA3F65" w14:textId="77777777" w:rsidR="002D52B2" w:rsidRDefault="002D52B2" w:rsidP="002D52B2">
      <w:pPr>
        <w:pStyle w:val="ABParagraph"/>
      </w:pPr>
    </w:p>
    <w:p w14:paraId="4B4EB678" w14:textId="77777777" w:rsidR="002D52B2" w:rsidRDefault="002D52B2" w:rsidP="002D52B2">
      <w:pPr>
        <w:pStyle w:val="ABParagraph"/>
      </w:pPr>
      <w:r>
        <w:t>Especially regions in the Global South face multiple, intertwined challenges of rapid urbanisation, infrastructure and housing deficits, land constraints, and increasing urban poverty, while simultaneously pursuing economic catch-up and seeking to avoid carbon lock-ins and unsustainable development trajectories (Arku and Marais, 2021). At the same time, these regions are often disproportionately exposed to the impacts of climate change despite having contributed comparatively little to global emissions. Such asymmetries are rooted in divergent historical development trajectories, industrialisation pathways, and modes of production, closely intertwined with colonial legacies and persistent global inequalities (Koch, 2021). As a result, these challenges do not unfold uniformly but manifest in context-specific ways across regions. Consequently, effectively addressing global urban development challenges requires place-based strategies that are sensitive to local contexts and capable of mobilising diverse knowledge bases.</w:t>
      </w:r>
    </w:p>
    <w:p w14:paraId="25BAFCF3" w14:textId="77777777" w:rsidR="002D52B2" w:rsidRDefault="002D52B2" w:rsidP="002D52B2">
      <w:pPr>
        <w:pStyle w:val="ABParagraph"/>
      </w:pPr>
    </w:p>
    <w:p w14:paraId="1186CA93" w14:textId="77777777" w:rsidR="002D52B2" w:rsidRDefault="002D52B2" w:rsidP="002D52B2">
      <w:pPr>
        <w:pStyle w:val="ABParagraph"/>
      </w:pPr>
      <w:r>
        <w:t xml:space="preserve">Recent geographical research highlights the need for a stronger focus on regions’ problem endowments, vulnerabilities and existing capacities and resources in order to better align innovation and transformation activities with place-based challenges (Cappellano et al., 2024; Ulmanen et al., 2022). Regional innovation systems (RIS) have long been conceptualised as a key approach for fostering innovation, learning and economic development at the regional level  (Tödtling et al., 2022). However, traditional RIS approaches often conceptualise innovation mainly as a vehicle for stimulating economic growth and enhancing competitiveness rather than as a lever for driving transformative solutions to societal challenges. The concept of challenge-oriented regional innovation systems (CoRIS) seeks to address this limitation by placing territorial sustainability challenges and regional needs at the centre of innovation activities, highlighting the directionality of innovation toward societal desirable outcomes. From this perspective, innovation extends beyond technological progress to encompass a broad spectrum of social, institutional and non-technological innovations </w:t>
      </w:r>
      <w:r>
        <w:lastRenderedPageBreak/>
        <w:t>and includes previously overlooked innovation actors like civil society and NGOs (Isaksen et al., 2022; Trippl et al., 2024). Importantly, such a perspective also opens space for recognising alternative knowledge systems, including traditional and vernacular knowledge, as integral components of innovation processes.</w:t>
      </w:r>
    </w:p>
    <w:p w14:paraId="7B162A23" w14:textId="77777777" w:rsidR="002D52B2" w:rsidRDefault="002D52B2" w:rsidP="002D52B2">
      <w:pPr>
        <w:pStyle w:val="ABParagraph"/>
      </w:pPr>
    </w:p>
    <w:p w14:paraId="1C5B7E86" w14:textId="77777777" w:rsidR="002D52B2" w:rsidRDefault="002D52B2" w:rsidP="002D52B2">
      <w:pPr>
        <w:pStyle w:val="ABParagraph"/>
      </w:pPr>
      <w:r>
        <w:t>Despite its conceptual potential for fostering a place-sensitive understanding of innovation activities in the context of grand challenges, CoRIS has so far been predominantly applied in Western contexts und not yet in regions in the Global South (Hassink et al., 2022; Hug et al., 2025; Tödtling et al., 2022). Similar to much of existing research to innovation systems and capacities, the RIS approach as well as the CoRIS adaptation emerged from a Western research perspective and is therefore implicitly aligned with prevailing institutional and governance structures in Western regions (Dutrénit et al., 2026; Padilla-Pérez et al., 2009). In the Global South however, institutional capacities are often lower, resources limited, governance systems more fragmented and development challenges more complex (Niazi, 2025). This raises critical questions about how innovation is conceptualised, mobilised, and embedded in contexts where informal practices and alternative knowledge systems play a more central role.</w:t>
      </w:r>
    </w:p>
    <w:p w14:paraId="7D118D41" w14:textId="77777777" w:rsidR="002D52B2" w:rsidRDefault="002D52B2" w:rsidP="002D52B2">
      <w:pPr>
        <w:pStyle w:val="ABParagraph"/>
      </w:pPr>
    </w:p>
    <w:p w14:paraId="2564E7C2" w14:textId="77777777" w:rsidR="002D52B2" w:rsidRDefault="002D52B2" w:rsidP="002D52B2">
      <w:pPr>
        <w:pStyle w:val="ABParagraph"/>
      </w:pPr>
      <w:r>
        <w:t xml:space="preserve">Against this background, the paper examines how innovation processes unfold in response to place-specific sustainability challenges in a Global South context, using the CoRIS approach as a conceptual starting point. Analyzing the construction sector in Bangalore, India, as a case study, it investigates how challenges are perceived and framed, which solutions are developed, and whether these dynamics can foster transformative innovation pathways. </w:t>
      </w:r>
    </w:p>
    <w:p w14:paraId="2B1BBBBE" w14:textId="77777777" w:rsidR="002D52B2" w:rsidRDefault="002D52B2" w:rsidP="002D52B2">
      <w:pPr>
        <w:pStyle w:val="ABParagraph"/>
      </w:pPr>
    </w:p>
    <w:p w14:paraId="61FE3FB0" w14:textId="77777777" w:rsidR="002D52B2" w:rsidRDefault="002D52B2" w:rsidP="002D52B2">
      <w:pPr>
        <w:pStyle w:val="ABParagraph"/>
      </w:pPr>
      <w:r>
        <w:t>The findings show that Bangalore’s urban development is shaped by multiple, interconnected challenges, including rapid construction, water scarcity, waste and sewage management, mobility constraints, and increasing climate extremes. Although these challenges are widely recognised, responses often remain fragmented, resulting in isolated niche solutions rather than systemic change. Importantly, addressing these interlinked challenges requires systemic approaches that go beyond technological innovation to include organisational, institutional, and policy transformations. The analysis further shows that innovation processes are not solely forward-looking. Instead, local actors increasingly draw on traditional and vernacular knowledge that had been marginalised through modernisation and industrialisation. This includes the renewed use of natural building materials such as earth or mud, passive climatic design strategies, and community-based practices of resource management. These practices are not simply revived but are reinterpreted and combined with contemporary technologies and knowledge systems. This recombination of knowledge across temporal scales enables context-sensitive, resource-efficient, and socially embedded solutions, particularly suited to regions facing complex and interdependent sustainability challenges.</w:t>
      </w:r>
    </w:p>
    <w:p w14:paraId="71DE30B4" w14:textId="77777777" w:rsidR="002D52B2" w:rsidRDefault="002D52B2" w:rsidP="002D52B2">
      <w:pPr>
        <w:pStyle w:val="ABParagraph"/>
      </w:pPr>
    </w:p>
    <w:p w14:paraId="73FF6D90" w14:textId="77777777" w:rsidR="002D52B2" w:rsidRDefault="002D52B2" w:rsidP="002D52B2">
      <w:pPr>
        <w:pStyle w:val="ABParagraph"/>
      </w:pPr>
      <w:r>
        <w:t xml:space="preserve">By highlighting the active reintegration of past knowledge into present-day innovation dynamics, the paper argues for a broader understanding of innovation in geographical innovation research. It further demonstrates that frameworks such as CoRIS cannot be directly transferred from Western contexts to the Global South without adaptation, as challenges, solutions, and institutional conditions differ fundamentally. In doing so, the </w:t>
      </w:r>
      <w:r>
        <w:lastRenderedPageBreak/>
        <w:t>paper contributes to ongoing efforts to refine and contextualise innovation theories for diverse regional settings.</w:t>
      </w:r>
    </w:p>
    <w:p w14:paraId="291B170A" w14:textId="77777777" w:rsidR="002D52B2" w:rsidRDefault="002D52B2" w:rsidP="002D52B2">
      <w:pPr>
        <w:pStyle w:val="ABParagraph"/>
      </w:pPr>
    </w:p>
    <w:p w14:paraId="0F4F9980" w14:textId="77777777" w:rsidR="002D52B2" w:rsidRPr="00723181" w:rsidRDefault="002D52B2" w:rsidP="002D52B2">
      <w:pPr>
        <w:pStyle w:val="ABParagraph"/>
        <w:rPr>
          <w:b/>
          <w:bCs/>
        </w:rPr>
      </w:pPr>
      <w:r w:rsidRPr="00723181">
        <w:rPr>
          <w:b/>
          <w:bCs/>
        </w:rPr>
        <w:t>References</w:t>
      </w:r>
    </w:p>
    <w:p w14:paraId="7BC0862F" w14:textId="77777777" w:rsidR="002D52B2" w:rsidRDefault="002D52B2" w:rsidP="002D52B2">
      <w:pPr>
        <w:pStyle w:val="ABParagraph"/>
        <w:numPr>
          <w:ilvl w:val="0"/>
          <w:numId w:val="11"/>
        </w:numPr>
      </w:pPr>
      <w:r>
        <w:t>Arku G and Marais L (2021) Global South Urbanisms and Urban Sustainability—Challenges and the Way Forward. Frontiers in Sustainable Cities 3.</w:t>
      </w:r>
    </w:p>
    <w:p w14:paraId="23E8AC3E" w14:textId="77777777" w:rsidR="002D52B2" w:rsidRDefault="002D52B2" w:rsidP="002D52B2">
      <w:pPr>
        <w:pStyle w:val="ABParagraph"/>
        <w:numPr>
          <w:ilvl w:val="0"/>
          <w:numId w:val="11"/>
        </w:numPr>
      </w:pPr>
      <w:r>
        <w:t>Benner M (2025) Multiple-challenge regional industrial transitions: The example of chemical regions. Environmental Innovation and Societal Transitions 55: 100971.</w:t>
      </w:r>
    </w:p>
    <w:p w14:paraId="3024810B" w14:textId="77777777" w:rsidR="002D52B2" w:rsidRDefault="002D52B2" w:rsidP="002D52B2">
      <w:pPr>
        <w:pStyle w:val="ABParagraph"/>
        <w:numPr>
          <w:ilvl w:val="0"/>
          <w:numId w:val="11"/>
        </w:numPr>
      </w:pPr>
      <w:r>
        <w:t>Cappellano F, Santos AM and Dotti NF (2024) Regional R&amp;I ventures to tackle climate change: A new geography of challenge-oriented innovation landscape. Papers of the Regional Science Association 103(5): 100052.</w:t>
      </w:r>
    </w:p>
    <w:p w14:paraId="03775785" w14:textId="77777777" w:rsidR="002D52B2" w:rsidRDefault="002D52B2" w:rsidP="002D52B2">
      <w:pPr>
        <w:pStyle w:val="ABParagraph"/>
        <w:numPr>
          <w:ilvl w:val="0"/>
          <w:numId w:val="11"/>
        </w:numPr>
      </w:pPr>
      <w:r>
        <w:t>Dutrénit G, Joseph KJ, Lee K, et al. (2026) Editorial ‘Innovation-driven knowledge economies and transformation in the Global South’. Science and Public Policy 53(1): 1–6.</w:t>
      </w:r>
    </w:p>
    <w:p w14:paraId="14653899" w14:textId="77777777" w:rsidR="002D52B2" w:rsidRDefault="002D52B2" w:rsidP="002D52B2">
      <w:pPr>
        <w:pStyle w:val="ABParagraph"/>
        <w:numPr>
          <w:ilvl w:val="0"/>
          <w:numId w:val="11"/>
        </w:numPr>
      </w:pPr>
      <w:r>
        <w:t>Hassink R, Gong H, Fröhlich K, et al. (2022) Exploring the scope of regions in challenge-oriented innovation policy: the case of Schleswig-Holstein, Germany. European Planning Studies 30(11): 2293–2311.</w:t>
      </w:r>
    </w:p>
    <w:p w14:paraId="0A3910AA" w14:textId="77777777" w:rsidR="002D52B2" w:rsidRDefault="002D52B2" w:rsidP="002D52B2">
      <w:pPr>
        <w:pStyle w:val="ABParagraph"/>
        <w:numPr>
          <w:ilvl w:val="0"/>
          <w:numId w:val="11"/>
        </w:numPr>
      </w:pPr>
      <w:r>
        <w:t>Hug M, Seidl I and Mayer H (2025) Challenge-oriented regional innovation systems (CORIS): sustainability transformations in the timber sector. Regional Studies, Regional Science 12(1): 772–789.</w:t>
      </w:r>
    </w:p>
    <w:p w14:paraId="4A40FD62" w14:textId="77777777" w:rsidR="002D52B2" w:rsidRDefault="002D52B2" w:rsidP="002D52B2">
      <w:pPr>
        <w:pStyle w:val="ABParagraph"/>
        <w:numPr>
          <w:ilvl w:val="0"/>
          <w:numId w:val="11"/>
        </w:numPr>
      </w:pPr>
      <w:r>
        <w:t>Isaksen A, Trippl M and Mayer H (2022) Regional innovation systems in an era of grand societal challenges: reorientation versus transformation. European Planning Studies 30(11): 2125–2138.</w:t>
      </w:r>
    </w:p>
    <w:p w14:paraId="3A457836" w14:textId="77777777" w:rsidR="002D52B2" w:rsidRDefault="002D52B2" w:rsidP="002D52B2">
      <w:pPr>
        <w:pStyle w:val="ABParagraph"/>
        <w:numPr>
          <w:ilvl w:val="0"/>
          <w:numId w:val="11"/>
        </w:numPr>
      </w:pPr>
      <w:r>
        <w:t>Koch F (2021) Cities as transnational climate change actors: applying a Global South perspective. Third World Quarterly 42(9): 2055–2073.</w:t>
      </w:r>
    </w:p>
    <w:p w14:paraId="162180C4" w14:textId="77777777" w:rsidR="002D52B2" w:rsidRDefault="002D52B2" w:rsidP="002D52B2">
      <w:pPr>
        <w:pStyle w:val="ABParagraph"/>
        <w:numPr>
          <w:ilvl w:val="0"/>
          <w:numId w:val="11"/>
        </w:numPr>
      </w:pPr>
      <w:r>
        <w:t>Niazi SK (2025) A cross-country analysis of the factors driving innovation performance in the Global South. Policy Studies 46(2): 221–251.</w:t>
      </w:r>
    </w:p>
    <w:p w14:paraId="1E55AE2E" w14:textId="77777777" w:rsidR="002D52B2" w:rsidRDefault="002D52B2" w:rsidP="002D52B2">
      <w:pPr>
        <w:pStyle w:val="ABParagraph"/>
        <w:numPr>
          <w:ilvl w:val="0"/>
          <w:numId w:val="11"/>
        </w:numPr>
      </w:pPr>
      <w:r>
        <w:t>Padilla-Pérez R, Vang J and Chaminade C (2009) Regional Innovation Systems in Developing Countries: Integrating Micro and Meso-level Capabilities. In: Lundvall B-Å, Joseph KJ, Chaminade C and Vang J (eds) Handbook of Innovation Systems and Developing Countries: Edward Elgar Publishing.</w:t>
      </w:r>
    </w:p>
    <w:p w14:paraId="5807DF6B" w14:textId="77777777" w:rsidR="002D52B2" w:rsidRDefault="002D52B2" w:rsidP="002D52B2">
      <w:pPr>
        <w:pStyle w:val="ABParagraph"/>
        <w:numPr>
          <w:ilvl w:val="0"/>
          <w:numId w:val="11"/>
        </w:numPr>
      </w:pPr>
      <w:r>
        <w:t>Tödtling F, Trippl M and Desch V (2022) New directions for RIS studies and policies in the face of grand societal challenges. European Planning Studies 30(11): 2139–2156.</w:t>
      </w:r>
    </w:p>
    <w:p w14:paraId="4112FB5D" w14:textId="77777777" w:rsidR="002D52B2" w:rsidRDefault="002D52B2" w:rsidP="002D52B2">
      <w:pPr>
        <w:pStyle w:val="ABParagraph"/>
        <w:numPr>
          <w:ilvl w:val="0"/>
          <w:numId w:val="11"/>
        </w:numPr>
      </w:pPr>
      <w:r>
        <w:t>Trippl M, Baumgartinger-Seiringer S and Kastrup J (2024) Challenge-oriented regional innovation systems. Investigaciones Regionales - Journal of Regional Research 60: 105–116.</w:t>
      </w:r>
    </w:p>
    <w:p w14:paraId="1042036B" w14:textId="77777777" w:rsidR="002D52B2" w:rsidRDefault="002D52B2" w:rsidP="002D52B2">
      <w:pPr>
        <w:pStyle w:val="ABParagraph"/>
        <w:numPr>
          <w:ilvl w:val="0"/>
          <w:numId w:val="11"/>
        </w:numPr>
      </w:pPr>
      <w:r>
        <w:t>Ulmanen J, Bergek A and Hellsmark H (2022) Lost in translation: Challenges in creating new transformative innovation policy practices. PLOS Sustainability and Transformation 1(10): e0000031.</w:t>
      </w:r>
    </w:p>
    <w:p w14:paraId="4F89D12C" w14:textId="77777777" w:rsidR="002D52B2" w:rsidRDefault="002D52B2" w:rsidP="002D52B2">
      <w:pPr>
        <w:pStyle w:val="ABParagraph"/>
        <w:numPr>
          <w:ilvl w:val="0"/>
          <w:numId w:val="11"/>
        </w:numPr>
      </w:pPr>
      <w:r>
        <w:t>Zhong X, Hu M, Deetman S, et al. (2021) Global greenhouse gas emissions from residential and commercial building materials and mitigation strategies to 2060. Nature communications 12(1): 6126.</w:t>
      </w:r>
    </w:p>
    <w:p w14:paraId="752A72C0" w14:textId="77777777" w:rsidR="002D52B2" w:rsidRDefault="002D52B2" w:rsidP="002D52B2">
      <w:pPr>
        <w:pStyle w:val="AbstractBookBaseParagraph"/>
      </w:pPr>
    </w:p>
    <w:p w14:paraId="788133EC" w14:textId="77777777" w:rsidR="002D52B2" w:rsidRDefault="002D52B2" w:rsidP="002D52B2">
      <w:pPr>
        <w:pStyle w:val="AbstractBookBaseParagraph"/>
      </w:pPr>
      <w:r>
        <w:br w:type="page"/>
      </w:r>
    </w:p>
    <w:p w14:paraId="455ADCAC" w14:textId="1D07D98C" w:rsidR="006457E8" w:rsidRDefault="006457E8" w:rsidP="006457E8">
      <w:pPr>
        <w:pStyle w:val="ABSubhead"/>
      </w:pPr>
      <w:r>
        <w:lastRenderedPageBreak/>
        <w:t xml:space="preserve">O26. </w:t>
      </w:r>
      <w:r w:rsidR="00E72072" w:rsidRPr="00E72072">
        <w:t>From Innovation Systems to Intelligence Systems: Rethinking Data-Driven Regional Policy</w:t>
      </w:r>
    </w:p>
    <w:p w14:paraId="49D0838E" w14:textId="77777777" w:rsidR="006457E8" w:rsidRPr="00CD05A8" w:rsidRDefault="006457E8" w:rsidP="006457E8">
      <w:pPr>
        <w:pStyle w:val="ABParagraph"/>
      </w:pPr>
    </w:p>
    <w:p w14:paraId="5F53CCF4" w14:textId="77777777" w:rsidR="006457E8" w:rsidRPr="00546301" w:rsidRDefault="006457E8" w:rsidP="006457E8">
      <w:pPr>
        <w:pStyle w:val="AbstractBookAuthors"/>
        <w:rPr>
          <w:rFonts w:ascii="Noto Serif Light" w:hAnsi="Noto Serif Light" w:cs="Noto Serif Light"/>
          <w:bCs/>
          <w:vertAlign w:val="superscript"/>
        </w:rPr>
      </w:pPr>
      <w:r>
        <w:rPr>
          <w:rStyle w:val="AbstractBookPresentingAuthor"/>
          <w:rFonts w:ascii="Noto Serif Light" w:hAnsi="Noto Serif Light" w:cs="Noto Serif Light"/>
        </w:rPr>
        <w:t xml:space="preserve">Dr </w:t>
      </w:r>
      <w:r w:rsidRPr="00CD05A8">
        <w:rPr>
          <w:rStyle w:val="AbstractBookPresentingAuthor"/>
          <w:rFonts w:ascii="Noto Serif Light" w:hAnsi="Noto Serif Light" w:cs="Noto Serif Light"/>
        </w:rPr>
        <w:t>María Begoña Peña-Lang</w:t>
      </w:r>
      <w:r>
        <w:rPr>
          <w:rStyle w:val="AbstractBookPresentingAuthor"/>
          <w:rFonts w:ascii="Noto Serif Light" w:hAnsi="Noto Serif Light" w:cs="Noto Serif Light"/>
          <w:b w:val="0"/>
          <w:bCs/>
          <w:u w:val="none"/>
          <w:vertAlign w:val="superscript"/>
        </w:rPr>
        <w:t>1</w:t>
      </w:r>
    </w:p>
    <w:p w14:paraId="2CEA9BD6" w14:textId="77777777" w:rsidR="006457E8" w:rsidRDefault="006457E8" w:rsidP="006457E8">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University of the Basque Country - EHU, Spain</w:t>
      </w:r>
    </w:p>
    <w:p w14:paraId="3F69297F" w14:textId="77777777" w:rsidR="006457E8" w:rsidRDefault="006457E8" w:rsidP="006457E8">
      <w:pPr>
        <w:pStyle w:val="AbstractBookBaseParagraph"/>
        <w:rPr>
          <w:rStyle w:val="AbstractBookBaseCharacterStyle"/>
          <w:rFonts w:ascii="Noto Serif Light" w:hAnsi="Noto Serif Light" w:cs="Noto Serif Light"/>
        </w:rPr>
      </w:pPr>
    </w:p>
    <w:p w14:paraId="4069D54A" w14:textId="77777777" w:rsidR="006457E8" w:rsidRPr="00CD05A8" w:rsidRDefault="006457E8" w:rsidP="006457E8">
      <w:pPr>
        <w:pStyle w:val="AbstractBookBaseParagraph"/>
        <w:rPr>
          <w:rFonts w:ascii="Noto Serif Light" w:hAnsi="Noto Serif Light" w:cs="Noto Serif Light"/>
          <w:b/>
          <w:bCs/>
        </w:rPr>
      </w:pPr>
      <w:r>
        <w:rPr>
          <w:rStyle w:val="AbstractBookBaseCharacterStyle"/>
          <w:rFonts w:ascii="Noto Serif Light" w:hAnsi="Noto Serif Light" w:cs="Noto Serif Light"/>
          <w:b/>
          <w:bCs/>
        </w:rPr>
        <w:t>Abstract:</w:t>
      </w:r>
    </w:p>
    <w:p w14:paraId="37283DCB"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Despite unprecedented advances in data availability and policy evaluation frameworks across Europe, decision-making in regional innovation policy remains largely disconnected from the dynamics it seeks to govern. Initiatives such as Smart Specialisation (S3) and the European Data Strategy have significantly improved measurement capacities, yet they have not resolved a critical structural gap: the translation of data into actionable, system-level intelligence.</w:t>
      </w:r>
    </w:p>
    <w:p w14:paraId="1DD75A48" w14:textId="77777777" w:rsidR="006457E8" w:rsidRPr="00CD05A8" w:rsidRDefault="006457E8" w:rsidP="006457E8">
      <w:pPr>
        <w:pStyle w:val="AbstractBookBaseParagraph"/>
        <w:rPr>
          <w:rFonts w:ascii="Noto Serif Light" w:hAnsi="Noto Serif Light" w:cs="Noto Serif Light"/>
        </w:rPr>
      </w:pPr>
    </w:p>
    <w:p w14:paraId="69AF4536"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This gap reflects a broader limitation in current approaches to evidence-based policymaking. While significant progress has been made in developing indicators, monitoring systems, and evaluation methodologies, these tools remain predominantly focused on ex-post analysis. As a result, they struggle to capture the dynamic interactions that shape territorial innovation processes and provide limited support for real-time and forward-looking decision-making.</w:t>
      </w:r>
    </w:p>
    <w:p w14:paraId="03FF0648" w14:textId="77777777" w:rsidR="006457E8" w:rsidRPr="00CD05A8" w:rsidRDefault="006457E8" w:rsidP="006457E8">
      <w:pPr>
        <w:pStyle w:val="AbstractBookBaseParagraph"/>
        <w:rPr>
          <w:rFonts w:ascii="Noto Serif Light" w:hAnsi="Noto Serif Light" w:cs="Noto Serif Light"/>
        </w:rPr>
      </w:pPr>
    </w:p>
    <w:p w14:paraId="69A0AD94"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The limitation is particularly visible in the role of higher education institutions (HEIs), which are typically assessed through isolated organisational indicators. Although such evaluations provide valuable insights into institutional performance, they fail to capture the systemic interactions between education, labour markets, and industrial transformation. This fragmentation restricts policymakers’ capacity to understand how knowledge production, skills development, and sectoral evolution co-evolve within territories.</w:t>
      </w:r>
    </w:p>
    <w:p w14:paraId="542FF429" w14:textId="77777777" w:rsidR="006457E8" w:rsidRPr="00CD05A8" w:rsidRDefault="006457E8" w:rsidP="006457E8">
      <w:pPr>
        <w:pStyle w:val="AbstractBookBaseParagraph"/>
        <w:rPr>
          <w:rFonts w:ascii="Noto Serif Light" w:hAnsi="Noto Serif Light" w:cs="Noto Serif Light"/>
        </w:rPr>
      </w:pPr>
    </w:p>
    <w:p w14:paraId="4EB6AA3A"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This paper argues that the challenge is no longer to measure innovation, but to operationalise intelligence. In doing so, it explicitly challenges current evaluation paradigms in regional innovation policy and calls for a shift towards more integrated and anticipatory approaches.</w:t>
      </w:r>
    </w:p>
    <w:p w14:paraId="50AD4B09" w14:textId="77777777" w:rsidR="006457E8" w:rsidRPr="00CD05A8" w:rsidRDefault="006457E8" w:rsidP="006457E8">
      <w:pPr>
        <w:pStyle w:val="AbstractBookBaseParagraph"/>
        <w:rPr>
          <w:rFonts w:ascii="Noto Serif Light" w:hAnsi="Noto Serif Light" w:cs="Noto Serif Light"/>
        </w:rPr>
      </w:pPr>
    </w:p>
    <w:p w14:paraId="23247B8D"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Methodologically, the paper adopts a conceptual and analytical research design. It builds on an existing framework for assessing organisational innovation in higher education institutions and extends it through a systemic lens. This involves the integration of multi-level indicators and multi-source data, including organisational, labour market, and sectoral dimensions. The approach combines conceptual model development with the structured articulation of relationships across subsystems, enabling a more comprehensive representation of territorial innovation dynamics.</w:t>
      </w:r>
    </w:p>
    <w:p w14:paraId="49A49D8C" w14:textId="77777777" w:rsidR="006457E8" w:rsidRPr="00CD05A8" w:rsidRDefault="006457E8" w:rsidP="006457E8">
      <w:pPr>
        <w:pStyle w:val="AbstractBookBaseParagraph"/>
        <w:rPr>
          <w:rFonts w:ascii="Noto Serif Light" w:hAnsi="Noto Serif Light" w:cs="Noto Serif Light"/>
        </w:rPr>
      </w:pPr>
    </w:p>
    <w:p w14:paraId="4B3CEF15"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 xml:space="preserve">Building on this foundation, the paper proposes a transition towards Strategic Intelligence Systems. These systems are conceptualised as integrated architectures capable of combining heterogeneous data sources, capturing interactions across territorial subsystems, and supporting decision-making processes in real time. Rather than treating data as static inputs for retrospective analysis, Strategic Intelligence </w:t>
      </w:r>
      <w:r w:rsidRPr="00CD05A8">
        <w:rPr>
          <w:rFonts w:ascii="Noto Serif Light" w:hAnsi="Noto Serif Light" w:cs="Noto Serif Light"/>
        </w:rPr>
        <w:lastRenderedPageBreak/>
        <w:t>Systems enable continuous interpretation of evolving patterns within complex socio-economic environments.</w:t>
      </w:r>
    </w:p>
    <w:p w14:paraId="7BACCFB1" w14:textId="77777777" w:rsidR="006457E8" w:rsidRPr="00CD05A8" w:rsidRDefault="006457E8" w:rsidP="006457E8">
      <w:pPr>
        <w:pStyle w:val="AbstractBookBaseParagraph"/>
        <w:rPr>
          <w:rFonts w:ascii="Noto Serif Light" w:hAnsi="Noto Serif Light" w:cs="Noto Serif Light"/>
        </w:rPr>
      </w:pPr>
    </w:p>
    <w:p w14:paraId="2FA8BC0D"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The proposed approach connects organisational-level indicators with broader territorial dimensions, including skills development, labour market dynamics, and sectoral transformation. By integrating these layers, it becomes possible to move beyond fragmented analyses and develop a more coherent understanding of how innovation unfolds across systems.</w:t>
      </w:r>
    </w:p>
    <w:p w14:paraId="77431736" w14:textId="77777777" w:rsidR="006457E8" w:rsidRPr="00CD05A8" w:rsidRDefault="006457E8" w:rsidP="006457E8">
      <w:pPr>
        <w:pStyle w:val="AbstractBookBaseParagraph"/>
        <w:rPr>
          <w:rFonts w:ascii="Noto Serif Light" w:hAnsi="Noto Serif Light" w:cs="Noto Serif Light"/>
        </w:rPr>
      </w:pPr>
    </w:p>
    <w:p w14:paraId="63DE604F"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A key contribution of this work lies in its emphasis on anticipatory intelligence. Moving beyond static, ex-post evaluation, the proposed framework enables policymakers to identify emerging trends, detect structural bottlenecks, and anticipate future needs. This shift is particularly relevant in a context characterised by rapid technological change, global uncertainty, and increasing complexity in regional development processes.</w:t>
      </w:r>
    </w:p>
    <w:p w14:paraId="6521B3E7" w14:textId="77777777" w:rsidR="006457E8" w:rsidRPr="00CD05A8" w:rsidRDefault="006457E8" w:rsidP="006457E8">
      <w:pPr>
        <w:pStyle w:val="AbstractBookBaseParagraph"/>
        <w:rPr>
          <w:rFonts w:ascii="Noto Serif Light" w:hAnsi="Noto Serif Light" w:cs="Noto Serif Light"/>
        </w:rPr>
      </w:pPr>
    </w:p>
    <w:p w14:paraId="58FF92C3"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By bridging organisational innovation assessment with territorial intelligence, this paper contributes to the redesign of evidence-based policymaking. It positions Strategic Intelligence Systems as a critical infrastructure for enhancing regional competitiveness, supporting resilience, and enabling more inclusive and adaptive growth strategies across European regions.</w:t>
      </w:r>
    </w:p>
    <w:p w14:paraId="5FAE279E" w14:textId="77777777" w:rsidR="006457E8" w:rsidRPr="00CD05A8" w:rsidRDefault="006457E8" w:rsidP="006457E8">
      <w:pPr>
        <w:pStyle w:val="AbstractBookBaseParagraph"/>
        <w:rPr>
          <w:rFonts w:ascii="Noto Serif Light" w:hAnsi="Noto Serif Light" w:cs="Noto Serif Light"/>
        </w:rPr>
      </w:pPr>
    </w:p>
    <w:p w14:paraId="3732BE01"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Ultimately, the paper suggests that the future of regional innovation policy does not lie in further improving measurement tools alone, but in developing the intelligence capabilities required to translate data into strategic action.</w:t>
      </w:r>
    </w:p>
    <w:p w14:paraId="30AFEB87"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br w:type="page"/>
      </w:r>
    </w:p>
    <w:p w14:paraId="1A8CCAF6" w14:textId="49182415" w:rsidR="002D52B2" w:rsidRDefault="00390C9C" w:rsidP="002D52B2">
      <w:pPr>
        <w:pStyle w:val="ABSubhead"/>
      </w:pPr>
      <w:r>
        <w:lastRenderedPageBreak/>
        <w:t xml:space="preserve">O27. </w:t>
      </w:r>
      <w:r w:rsidR="002D52B2" w:rsidRPr="00CD05A8">
        <w:t>The Contribution of Japanese National Universities to Regional Productivity: Identifying the Impact of Higher Education Using Historical Natural Experiments</w:t>
      </w:r>
    </w:p>
    <w:p w14:paraId="26530940" w14:textId="77777777" w:rsidR="002D52B2" w:rsidRPr="00AB325A" w:rsidRDefault="002D52B2" w:rsidP="002D52B2">
      <w:pPr>
        <w:pStyle w:val="ABParagraph"/>
      </w:pPr>
    </w:p>
    <w:p w14:paraId="5A969379" w14:textId="77777777" w:rsidR="002D52B2" w:rsidRPr="00CD05A8" w:rsidRDefault="002D52B2" w:rsidP="002D52B2">
      <w:pPr>
        <w:pStyle w:val="AbstractBookAuthors"/>
        <w:rPr>
          <w:rFonts w:ascii="Noto Serif Light" w:hAnsi="Noto Serif Light" w:cs="Noto Serif Light"/>
        </w:rPr>
      </w:pPr>
      <w:r w:rsidRPr="00CD05A8">
        <w:rPr>
          <w:rStyle w:val="AbstractBookPresentingAuthor"/>
          <w:rFonts w:ascii="Noto Serif Light" w:hAnsi="Noto Serif Light" w:cs="Noto Serif Light"/>
        </w:rPr>
        <w:t>Prof</w:t>
      </w:r>
      <w:r>
        <w:rPr>
          <w:rStyle w:val="AbstractBookPresentingAuthor"/>
          <w:rFonts w:ascii="Noto Serif Light" w:hAnsi="Noto Serif Light" w:cs="Noto Serif Light"/>
        </w:rPr>
        <w:t>essor</w:t>
      </w:r>
      <w:r w:rsidRPr="00CD05A8">
        <w:rPr>
          <w:rStyle w:val="AbstractBookPresentingAuthor"/>
          <w:rFonts w:ascii="Noto Serif Light" w:hAnsi="Noto Serif Light" w:cs="Noto Serif Light"/>
        </w:rPr>
        <w:t xml:space="preserve"> Dr Hiroyuki Okamuro</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Junichi Nishimura</w:t>
      </w:r>
      <w:r w:rsidRPr="00CD05A8">
        <w:rPr>
          <w:rFonts w:ascii="Noto Serif Light" w:hAnsi="Noto Serif Light" w:cs="Noto Serif Light"/>
          <w:vertAlign w:val="superscript"/>
        </w:rPr>
        <w:t>2</w:t>
      </w:r>
    </w:p>
    <w:p w14:paraId="5DA45DC6" w14:textId="77777777" w:rsidR="002D52B2" w:rsidRDefault="002D52B2" w:rsidP="002D52B2">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Komazawa University, Setagaya, Japan, </w:t>
      </w:r>
      <w:r w:rsidRPr="00CD05A8">
        <w:rPr>
          <w:rFonts w:ascii="Noto Serif Light" w:hAnsi="Noto Serif Light" w:cs="Noto Serif Light"/>
          <w:vertAlign w:val="superscript"/>
        </w:rPr>
        <w:t>2</w:t>
      </w:r>
      <w:r w:rsidRPr="00CD05A8">
        <w:rPr>
          <w:rStyle w:val="AbstractBookBaseCharacterStyle"/>
          <w:rFonts w:ascii="Noto Serif Light" w:hAnsi="Noto Serif Light" w:cs="Noto Serif Light"/>
        </w:rPr>
        <w:t>Gakushuin University, Toshima, Japan</w:t>
      </w:r>
    </w:p>
    <w:p w14:paraId="05AE6673" w14:textId="77777777" w:rsidR="002D52B2" w:rsidRDefault="002D52B2" w:rsidP="002D52B2">
      <w:pPr>
        <w:pStyle w:val="AbstractBookBaseParagraph"/>
        <w:rPr>
          <w:rStyle w:val="AbstractBookBaseCharacterStyle"/>
          <w:rFonts w:ascii="Noto Serif Light" w:hAnsi="Noto Serif Light" w:cs="Noto Serif Light"/>
        </w:rPr>
      </w:pPr>
    </w:p>
    <w:p w14:paraId="0E9D0460" w14:textId="77777777" w:rsidR="002D52B2" w:rsidRPr="00AB325A" w:rsidRDefault="002D52B2" w:rsidP="002D52B2">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38BD8C00"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Universities have been regarded as the centers of regional innovation systems. Universities can contribute to regional economic development through the following four channels (Valero and Van Reenen 2019): human capital supply, innovation through academic research, pro-growth democratic values, and positive demand shock from university operation. Among them, previous studies have concentrated on the impact of academic research, without clearly distinguishing them from the other channels, especially from human capital supply, and without considering causal inference appropriately. We fill this research gap and estimate the impact of university education on regional productivity by using natural experiments in historical trajectories of the Japanese university systems. </w:t>
      </w:r>
    </w:p>
    <w:p w14:paraId="5AB0AD85" w14:textId="77777777" w:rsidR="002D52B2" w:rsidRPr="00CD05A8" w:rsidRDefault="002D52B2" w:rsidP="002D52B2">
      <w:pPr>
        <w:pStyle w:val="AbstractBookBaseParagraph"/>
        <w:rPr>
          <w:rFonts w:ascii="Noto Serif Light" w:hAnsi="Noto Serif Light" w:cs="Noto Serif Light"/>
        </w:rPr>
      </w:pPr>
    </w:p>
    <w:p w14:paraId="46FDB922"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After WWII, in 1949, the Japanese government established dozens of new national universities, at least one in each prefecture, in the democratization process under the control of the Allied Army. The major purpose was to provide equal opportunity of higher education with low tuition to regional youth. Before that, outside of Tokyo, the capital, there were only some (mostly imperial) universities in selected prefectures. Thus, for most prefectures in Japan, the establishment of national universities was an exogenous shock. The number of national universities did not change much since then, while the department composition was quite different from the beginning according to historical backgrounds and changed over time. The first graduate schools started in 1951 (for the new universities in 1953), which gradually extended with much regional variety to cover various disciplines since then. </w:t>
      </w:r>
    </w:p>
    <w:p w14:paraId="0EB423D2" w14:textId="77777777" w:rsidR="002D52B2" w:rsidRPr="00CD05A8" w:rsidRDefault="002D52B2" w:rsidP="002D52B2">
      <w:pPr>
        <w:pStyle w:val="AbstractBookBaseParagraph"/>
        <w:rPr>
          <w:rFonts w:ascii="Noto Serif Light" w:hAnsi="Noto Serif Light" w:cs="Noto Serif Light"/>
        </w:rPr>
      </w:pPr>
    </w:p>
    <w:p w14:paraId="2FCEFA4B"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Another exogenous shock to the Japanese university system was a general ban of any research collaboration with industry after WWII to prevent the development of military technology. This ban existed for decades until 1982. Thus, by focusing on the period of formal prohibition of university-industry research collaboration (from the 1950s to the 1970s), we may identify the impact of university education through human capital supply on the regional economy. </w:t>
      </w:r>
    </w:p>
    <w:p w14:paraId="3264E245" w14:textId="77777777" w:rsidR="002D52B2" w:rsidRPr="00CD05A8" w:rsidRDefault="002D52B2" w:rsidP="002D52B2">
      <w:pPr>
        <w:pStyle w:val="AbstractBookBaseParagraph"/>
        <w:rPr>
          <w:rFonts w:ascii="Noto Serif Light" w:hAnsi="Noto Serif Light" w:cs="Noto Serif Light"/>
        </w:rPr>
      </w:pPr>
    </w:p>
    <w:p w14:paraId="63492E6E"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Previous studies examine the impact of the number of universities in the region on the per capita GDP growth (Valero and Van Reenen 2019) or compare the roles of private and public universities using the number of universities per capita (Yanagiura and Tateishi 2024) or address the impact of new life science programs on the number of joint research in biotechnology (Kato and Odagiri 2012), but no extant empirical studies directly examine the contribution of university education to regional economy, considering causal inference and distinguishing between different fields. Our study compares the effects of national universities between undergraduate and graduate courses and across different fields: natural sciences and engineering (STEM), human and social sciences, and other fields. We assume the following mechanism: Regional </w:t>
      </w:r>
      <w:r w:rsidRPr="00CD05A8">
        <w:rPr>
          <w:rFonts w:ascii="Noto Serif Light" w:hAnsi="Noto Serif Light" w:cs="Noto Serif Light"/>
        </w:rPr>
        <w:lastRenderedPageBreak/>
        <w:t xml:space="preserve">national universities provide higher education in different fields; and graduates in STEM fields bring the state-of-the-art knowledge to regional manufacturing firms that employ them and increases labor productivity of these firms. </w:t>
      </w:r>
    </w:p>
    <w:p w14:paraId="0987291A" w14:textId="77777777" w:rsidR="002D52B2" w:rsidRPr="00CD05A8" w:rsidRDefault="002D52B2" w:rsidP="002D52B2">
      <w:pPr>
        <w:pStyle w:val="AbstractBookBaseParagraph"/>
        <w:rPr>
          <w:rFonts w:ascii="Noto Serif Light" w:hAnsi="Noto Serif Light" w:cs="Noto Serif Light"/>
        </w:rPr>
      </w:pPr>
    </w:p>
    <w:p w14:paraId="21407695"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The dependent variable in our estimations is the manufacturing value-added per employee (labor productivity) in natural logarithm in each year and prefecture, and the main independent variables are the log number of student enrollment in undergraduate (bachelor) and graduate (master) course programs in all departments and schools. To cope with potential reverse causality, we use also IV estimation using lagged annual high-school and university attendance ratio in each prefecture as the instrumental variables. We use also some control variables of regional factors including the log number of manufacturing plants, average plant size and the share of manufacturing workers to the labor force. In this sense, we compare the effects on small (less than 300 employees) and large (more than 300 employees) firms considering that the regional elites from national universities tend to be hired by larger firms with higher wages and better employment conditions. </w:t>
      </w:r>
    </w:p>
    <w:p w14:paraId="4111E515" w14:textId="77777777" w:rsidR="002D52B2" w:rsidRPr="00CD05A8" w:rsidRDefault="002D52B2" w:rsidP="002D52B2">
      <w:pPr>
        <w:pStyle w:val="AbstractBookBaseParagraph"/>
        <w:rPr>
          <w:rFonts w:ascii="Noto Serif Light" w:hAnsi="Noto Serif Light" w:cs="Noto Serif Light"/>
        </w:rPr>
      </w:pPr>
    </w:p>
    <w:p w14:paraId="668E1DE2"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We constructed and analyzed a longitudinal panel dataset of national university graduates and manufacturing productivity in all Japanese prefectures (except for Tokyo and Okinawa) for the period from 1957 to 1980, for which we can calculate annual labor productivity for all manufacturing plants. We collected our data from the archived data of Zenkoku Daigaku Ichiran (ZDI: The List of Universities in the Whole Country) from the National Diet Library and from the Census of Manufactures via e-Stat. ZDI documents only the annual number of student enrollment in each department and school of each university, but not the number of graduates, so we take a four-year and a two-year lags for undergraduate and graduate courses, respectively, according to the standard number of years enrolled at Japanese universities. </w:t>
      </w:r>
    </w:p>
    <w:p w14:paraId="751D5D56" w14:textId="77777777" w:rsidR="002D52B2" w:rsidRPr="00CD05A8" w:rsidRDefault="002D52B2" w:rsidP="002D52B2">
      <w:pPr>
        <w:pStyle w:val="AbstractBookBaseParagraph"/>
        <w:rPr>
          <w:rFonts w:ascii="Noto Serif Light" w:hAnsi="Noto Serif Light" w:cs="Noto Serif Light"/>
        </w:rPr>
      </w:pPr>
    </w:p>
    <w:p w14:paraId="02929E36"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Our estimation results using two-way fixed-effect models with IV demonstrate that the numbers of both undergraduate and graduate course students have positive and significant effects on regional manufacturing productivity after graduation, but interestingly, the effects are larger for undergraduate course students. Comparisons of estimations with and without IV method show strong positive shifts of estimation results, suggesting a negative reverse causality in general. These effects appear immediately after graduation, getting larger with more time lags. Comparing the effects across study fields and between large and small plants, we find positive and significant effects of undergraduate STEM study only for large firms, which is consistent with our assumption of the mechanism, and of human and social science study for graduate course study. </w:t>
      </w:r>
    </w:p>
    <w:p w14:paraId="4DCC3BBB" w14:textId="77777777" w:rsidR="002D52B2" w:rsidRPr="00CD05A8" w:rsidRDefault="002D52B2" w:rsidP="002D52B2">
      <w:pPr>
        <w:pStyle w:val="AbstractBookBaseParagraph"/>
        <w:rPr>
          <w:rFonts w:ascii="Noto Serif Light" w:hAnsi="Noto Serif Light" w:cs="Noto Serif Light"/>
        </w:rPr>
      </w:pPr>
    </w:p>
    <w:p w14:paraId="2F1C6508"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An important limitation of our study is that we do not directly consider the students’ inter-regional mobility after graduation; yet preliminary results weighted by the number of students with the ratio of students who come to the national university from regional high schools (a proxy for those who remain in the same region after graduation) are not significantly different from the basic results. In sum, our estimation provides robust results with alternative sampling and some other checks. </w:t>
      </w:r>
    </w:p>
    <w:p w14:paraId="6F5CA431"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br w:type="page"/>
      </w:r>
    </w:p>
    <w:p w14:paraId="09682E1E" w14:textId="28EED16A" w:rsidR="002D52B2" w:rsidRDefault="00390C9C" w:rsidP="002D52B2">
      <w:pPr>
        <w:pStyle w:val="ABSubhead"/>
      </w:pPr>
      <w:r>
        <w:lastRenderedPageBreak/>
        <w:t xml:space="preserve">O28. </w:t>
      </w:r>
      <w:r w:rsidR="002D52B2">
        <w:t>From Policy Expectations to Economic Outcomes: A Comparison from the Spanish Spin-Offs and Similar Firms</w:t>
      </w:r>
    </w:p>
    <w:p w14:paraId="7CBDD963" w14:textId="77777777" w:rsidR="002D52B2" w:rsidRPr="00723181" w:rsidRDefault="002D52B2" w:rsidP="002D52B2">
      <w:pPr>
        <w:pStyle w:val="ABParagraph"/>
      </w:pPr>
    </w:p>
    <w:p w14:paraId="1A49966A" w14:textId="77777777" w:rsidR="002D52B2" w:rsidRPr="00723181" w:rsidRDefault="002D52B2" w:rsidP="002D52B2">
      <w:pPr>
        <w:pStyle w:val="AbstractBookAuthors"/>
        <w:rPr>
          <w:rFonts w:ascii="Noto Serif Light" w:hAnsi="Noto Serif Light" w:cs="Noto Serif Light"/>
        </w:rPr>
      </w:pPr>
      <w:r w:rsidRPr="00723181">
        <w:rPr>
          <w:rStyle w:val="AbstractBookPresentingAuthor"/>
          <w:rFonts w:ascii="Noto Serif Light" w:hAnsi="Noto Serif Light" w:cs="Noto Serif Light"/>
        </w:rPr>
        <w:t>Ferran Jordi Portilla-Salas</w:t>
      </w:r>
      <w:r w:rsidRPr="00723181">
        <w:rPr>
          <w:rFonts w:ascii="Noto Serif Light" w:hAnsi="Noto Serif Light" w:cs="Noto Serif Light"/>
          <w:vertAlign w:val="superscript"/>
        </w:rPr>
        <w:t>1</w:t>
      </w:r>
      <w:r w:rsidRPr="00723181">
        <w:rPr>
          <w:rStyle w:val="AbstractBookBaseCharacterStyle"/>
          <w:rFonts w:ascii="Noto Serif Light" w:hAnsi="Noto Serif Light" w:cs="Noto Serif Light"/>
        </w:rPr>
        <w:t>, Nuria Chaparro-Banegas</w:t>
      </w:r>
      <w:r w:rsidRPr="00723181">
        <w:rPr>
          <w:rFonts w:ascii="Noto Serif Light" w:hAnsi="Noto Serif Light" w:cs="Noto Serif Light"/>
          <w:vertAlign w:val="superscript"/>
        </w:rPr>
        <w:t>1</w:t>
      </w:r>
      <w:r w:rsidRPr="00723181">
        <w:rPr>
          <w:rStyle w:val="AbstractBookBaseCharacterStyle"/>
          <w:rFonts w:ascii="Noto Serif Light" w:hAnsi="Noto Serif Light" w:cs="Noto Serif Light"/>
        </w:rPr>
        <w:t>, Francisco Mas-Verdú</w:t>
      </w:r>
      <w:r w:rsidRPr="00723181">
        <w:rPr>
          <w:rFonts w:ascii="Noto Serif Light" w:hAnsi="Noto Serif Light" w:cs="Noto Serif Light"/>
          <w:vertAlign w:val="superscript"/>
        </w:rPr>
        <w:t>1</w:t>
      </w:r>
      <w:r w:rsidRPr="00723181">
        <w:rPr>
          <w:rStyle w:val="AbstractBookBaseCharacterStyle"/>
          <w:rFonts w:ascii="Noto Serif Light" w:hAnsi="Noto Serif Light" w:cs="Noto Serif Light"/>
        </w:rPr>
        <w:t>, Norat Roig-Tierno</w:t>
      </w:r>
      <w:r w:rsidRPr="00723181">
        <w:rPr>
          <w:rFonts w:ascii="Noto Serif Light" w:hAnsi="Noto Serif Light" w:cs="Noto Serif Light"/>
          <w:vertAlign w:val="superscript"/>
        </w:rPr>
        <w:t>1</w:t>
      </w:r>
    </w:p>
    <w:p w14:paraId="141C2645" w14:textId="77777777" w:rsidR="002D52B2" w:rsidRPr="00723181" w:rsidRDefault="002D52B2" w:rsidP="002D52B2">
      <w:pPr>
        <w:pStyle w:val="AbstractBookBaseParagraph"/>
        <w:rPr>
          <w:rStyle w:val="AbstractBookBaseCharacterStyle"/>
          <w:rFonts w:ascii="Noto Serif Light" w:hAnsi="Noto Serif Light" w:cs="Noto Serif Light"/>
        </w:rPr>
      </w:pPr>
      <w:r w:rsidRPr="00723181">
        <w:rPr>
          <w:rFonts w:ascii="Noto Serif Light" w:hAnsi="Noto Serif Light" w:cs="Noto Serif Light"/>
          <w:vertAlign w:val="superscript"/>
        </w:rPr>
        <w:t>1</w:t>
      </w:r>
      <w:r w:rsidRPr="00723181">
        <w:rPr>
          <w:rStyle w:val="AbstractBookBaseCharacterStyle"/>
          <w:rFonts w:ascii="Noto Serif Light" w:hAnsi="Noto Serif Light" w:cs="Noto Serif Light"/>
        </w:rPr>
        <w:t>Universitat Politècnica de València, Valencia, Spain</w:t>
      </w:r>
    </w:p>
    <w:p w14:paraId="16F4DCAB" w14:textId="77777777" w:rsidR="002D52B2" w:rsidRPr="00723181" w:rsidRDefault="002D52B2" w:rsidP="002D52B2">
      <w:pPr>
        <w:pStyle w:val="AbstractBookBaseParagraph"/>
        <w:rPr>
          <w:rStyle w:val="AbstractBookBaseCharacterStyle"/>
          <w:rFonts w:ascii="Noto Serif Light" w:hAnsi="Noto Serif Light" w:cs="Noto Serif Light"/>
        </w:rPr>
      </w:pPr>
    </w:p>
    <w:p w14:paraId="4AC2370E" w14:textId="77777777" w:rsidR="002D52B2" w:rsidRPr="00723181" w:rsidRDefault="002D52B2" w:rsidP="002D52B2">
      <w:pPr>
        <w:pStyle w:val="AbstractBookBaseParagraph"/>
        <w:rPr>
          <w:rFonts w:ascii="Noto Serif Light" w:hAnsi="Noto Serif Light" w:cs="Noto Serif Light"/>
          <w:b/>
          <w:bCs/>
        </w:rPr>
      </w:pPr>
      <w:r w:rsidRPr="00723181">
        <w:rPr>
          <w:rStyle w:val="AbstractBookBaseCharacterStyle"/>
          <w:rFonts w:ascii="Noto Serif Light" w:hAnsi="Noto Serif Light" w:cs="Noto Serif Light"/>
          <w:b/>
          <w:bCs/>
        </w:rPr>
        <w:t>Abstract:</w:t>
      </w:r>
    </w:p>
    <w:p w14:paraId="17C6F100" w14:textId="77777777" w:rsidR="002D52B2" w:rsidRDefault="002D52B2" w:rsidP="002D52B2">
      <w:pPr>
        <w:pStyle w:val="ABParagraph"/>
      </w:pPr>
      <w:r>
        <w:t>University spin-offs (USOs) have become a central pillar of contemporary innovation policy and university strategy, often portrayed as privileged mechanisms for transforming academic research into economic and societal value. Within regional development agendas, these ventures are expected to strengthen competitiveness by commercializing scientific knowledge, fostering technological upgrading, and generating high-quality employment. This vision has encouraged the expansion of institutional support structures, including incubators, technology transfer offices, public funding programs, and policies aimed at stimulating academic entrepreneurship. As a consequence, USOs are frequently treated as strategic outputs of the knowledge economy, assumed to embody a direct pathway from research excellence to market impact.</w:t>
      </w:r>
    </w:p>
    <w:p w14:paraId="46184978" w14:textId="77777777" w:rsidR="002D52B2" w:rsidRDefault="002D52B2" w:rsidP="002D52B2">
      <w:pPr>
        <w:pStyle w:val="ABParagraph"/>
      </w:pPr>
    </w:p>
    <w:p w14:paraId="2CC74A79" w14:textId="77777777" w:rsidR="002D52B2" w:rsidRDefault="002D52B2" w:rsidP="002D52B2">
      <w:pPr>
        <w:pStyle w:val="ABParagraph"/>
      </w:pPr>
      <w:r>
        <w:t>However, the extent to which the university origin of USOs translates into superior firm performance remains theoretically and empirically contested. On the one hand, USOs may benefit from distinctive advantages derived from their academic embeddedness. Access to specialized research infrastructure, cutting-edge knowledge, highly skilled human capital, and institutional legitimacy may reduce early-stage uncertainty and improve innovative potential. From this perspective, USOs may be expected to exhibit stronger productivity, greater value creation, and superior growth prospects compared to other young firms operating in similar sectors. Their association with universities could also enhance credibility in external markets and facilitate collaboration networks, potentially reinforcing long-term competitive advantage.</w:t>
      </w:r>
    </w:p>
    <w:p w14:paraId="7480E18A" w14:textId="77777777" w:rsidR="002D52B2" w:rsidRDefault="002D52B2" w:rsidP="002D52B2">
      <w:pPr>
        <w:pStyle w:val="ABParagraph"/>
      </w:pPr>
    </w:p>
    <w:p w14:paraId="0F596651" w14:textId="77777777" w:rsidR="002D52B2" w:rsidRDefault="002D52B2" w:rsidP="002D52B2">
      <w:pPr>
        <w:pStyle w:val="ABParagraph"/>
      </w:pPr>
      <w:r>
        <w:t>On the other hand, a contrasting interpretation emphasizes the structural constraints that often characterize university-based entrepreneurship. USOs frequently emerge from research-driven environments where incentives prioritize scientific outcomes rather than market scalability. As a result, these firms may face commercialization barriers, including limited managerial experience, weak market orientation, restricted access to private investment, and strong dependence on public R&amp;D support. Such conditions may inhibit their ability to scale, reducing their capacity to translate technological assets into sustained economic performance. In this view, the university environment may provide knowledge resources but may not necessarily generate the organizational and strategic capabilities required for competitive market expansion.</w:t>
      </w:r>
    </w:p>
    <w:p w14:paraId="73B6FC93" w14:textId="77777777" w:rsidR="002D52B2" w:rsidRDefault="002D52B2" w:rsidP="002D52B2">
      <w:pPr>
        <w:pStyle w:val="ABParagraph"/>
      </w:pPr>
    </w:p>
    <w:p w14:paraId="4E049AB9" w14:textId="77777777" w:rsidR="002D52B2" w:rsidRDefault="002D52B2" w:rsidP="002D52B2">
      <w:pPr>
        <w:pStyle w:val="ABParagraph"/>
      </w:pPr>
      <w:r>
        <w:t xml:space="preserve">This duality has produced mixed evidence in previous comparative studies, with results varying across contexts and performance indicators. One of the main reasons behind this inconsistency lies in the pronounced heterogeneity of USOs, which differ widely in sectoral specialization, technological maturity, institutional conditions, and strategic intent. This heterogeneity complicates benchmarking and weakens causal interpretation, as USOs may snot be directly comparable to the average entrepreneurial </w:t>
      </w:r>
      <w:r>
        <w:lastRenderedPageBreak/>
        <w:t>firm. Consequently, understanding whether USOs display performance premium requires research designs capable of constructing reliable comparisons and reducing bias derived from structural differences between firms.</w:t>
      </w:r>
    </w:p>
    <w:p w14:paraId="21B086D9" w14:textId="77777777" w:rsidR="002D52B2" w:rsidRDefault="002D52B2" w:rsidP="002D52B2">
      <w:pPr>
        <w:pStyle w:val="ABParagraph"/>
      </w:pPr>
    </w:p>
    <w:p w14:paraId="0C31EBEE" w14:textId="77777777" w:rsidR="002D52B2" w:rsidRDefault="002D52B2" w:rsidP="002D52B2">
      <w:pPr>
        <w:pStyle w:val="ABParagraph"/>
      </w:pPr>
      <w:r>
        <w:t>To address this challenge, this study evaluates the economic performance of 366 Spanish university spin-offs using an approach based on Propensity Score Matching. By balancing treated and non-treated firms on observable characteristics, the methodology improves comparability between groups and allows a rigorous estimation of the effect of university affiliation. The analysis compares a sample of active Spanish USOs with a matched set of structurally similar non-university firms, assessing both current performance levels and medium-term growth trajectories. Performance is captured through revenue, value added, and labor efficiency, measured as value added per employee. In addition, an evolutionary perspective is incorporated through five-year growth rates in these variables, complemented by employment growth as an indicator of job creation capacity.</w:t>
      </w:r>
    </w:p>
    <w:p w14:paraId="7234CCAB" w14:textId="77777777" w:rsidR="002D52B2" w:rsidRDefault="002D52B2" w:rsidP="002D52B2">
      <w:pPr>
        <w:pStyle w:val="ABParagraph"/>
      </w:pPr>
    </w:p>
    <w:p w14:paraId="6E9CB9B3" w14:textId="77777777" w:rsidR="002D52B2" w:rsidRDefault="002D52B2" w:rsidP="002D52B2">
      <w:pPr>
        <w:pStyle w:val="ABParagraph"/>
      </w:pPr>
      <w:r>
        <w:t>Results indicate that university spin-offs perform significantly worse than their matched counterparts in terms of current economic scale and productivity. USOs display lower revenues, lower value added, and weaker efficiency levels, suggesting that university affiliation does not confer an immediate performance advantage. From a dynamic perspective, USOs do not exhibit significantly stronger growth in revenue or value creation over a five-year horizon. The only consistent advantage is observed in employment growth, as USOs expand their workforce at higher rates than comparable firms. However, this employment expansion is not accompanied by proportional productivity gains, implying a trade-off between job creation and efficiency.</w:t>
      </w:r>
    </w:p>
    <w:p w14:paraId="0D8CF25B" w14:textId="77777777" w:rsidR="002D52B2" w:rsidRDefault="002D52B2" w:rsidP="002D52B2">
      <w:pPr>
        <w:pStyle w:val="ABParagraph"/>
      </w:pPr>
    </w:p>
    <w:p w14:paraId="733A36F1" w14:textId="77777777" w:rsidR="002D52B2" w:rsidRDefault="002D52B2" w:rsidP="002D52B2">
      <w:pPr>
        <w:pStyle w:val="ABParagraph"/>
      </w:pPr>
      <w:r>
        <w:t>These findings contribute to a more nuanced interpretation of university-based entrepreneurship. Rather than functioning as inherently superior vehicles of knowledge commercialization, USOs appear to face persistent structural limitations that constrain their economic and value-added outcomes. While they may contribute to employment generation and formal technology transfer, their limited advantage in value creation challenges the effectiveness of policies that prioritize spin-off formation as a key indicator of innovation success. The evidence suggests that support frameworks should move beyond emphasizing firm creation and employment expansion, and instead focus on mechanisms that strengthen commercialization capabilities, managerial capacity, efficiency improvements, and scalable growth. Ultimately, assessing the societal contribution of USOs requires shifting attention from symbolic outputs to measurable economic impact and long-term sustainability.</w:t>
      </w:r>
    </w:p>
    <w:p w14:paraId="1B5AA9FF" w14:textId="77777777" w:rsidR="002D52B2" w:rsidRDefault="002D52B2" w:rsidP="002D52B2">
      <w:pPr>
        <w:pStyle w:val="ABParagraph"/>
      </w:pPr>
    </w:p>
    <w:p w14:paraId="00386B97" w14:textId="77777777" w:rsidR="002D52B2" w:rsidRPr="00723181" w:rsidRDefault="002D52B2" w:rsidP="002D52B2">
      <w:pPr>
        <w:pStyle w:val="ABParagraph"/>
        <w:rPr>
          <w:b/>
          <w:bCs/>
        </w:rPr>
      </w:pPr>
      <w:r w:rsidRPr="00723181">
        <w:rPr>
          <w:b/>
          <w:bCs/>
        </w:rPr>
        <w:t>Acknowledgements</w:t>
      </w:r>
    </w:p>
    <w:p w14:paraId="0F842C11" w14:textId="77777777" w:rsidR="002D52B2" w:rsidRDefault="002D52B2" w:rsidP="002D52B2">
      <w:pPr>
        <w:pStyle w:val="ABParagraph"/>
      </w:pPr>
      <w:r>
        <w:t>This work was supported by Dirección General de Ciencia e Investigación, Generalitat Valenciana, Spain through the grant for consolidated research groups AICO 2024 [CIAICO/2023/201].</w:t>
      </w:r>
    </w:p>
    <w:p w14:paraId="5C9B4218" w14:textId="77777777" w:rsidR="002D52B2" w:rsidRDefault="002D52B2" w:rsidP="002D52B2">
      <w:pPr>
        <w:pStyle w:val="AbstractBookBaseParagraph"/>
      </w:pPr>
    </w:p>
    <w:p w14:paraId="4B438A96" w14:textId="77777777" w:rsidR="002D52B2" w:rsidRDefault="002D52B2" w:rsidP="002D52B2">
      <w:pPr>
        <w:pStyle w:val="AbstractBookBaseParagraph"/>
      </w:pPr>
      <w:r>
        <w:br w:type="page"/>
      </w:r>
    </w:p>
    <w:p w14:paraId="7ABD5CF3" w14:textId="5FB5A6DF" w:rsidR="00B6118D" w:rsidRDefault="00B6118D" w:rsidP="00B6118D">
      <w:pPr>
        <w:pStyle w:val="ABSubhead"/>
      </w:pPr>
      <w:r>
        <w:lastRenderedPageBreak/>
        <w:t xml:space="preserve">O29. </w:t>
      </w:r>
      <w:r w:rsidR="00D047BB" w:rsidRPr="00D047BB">
        <w:t>Universities’ Role in Driving Regional Creative and Cultural Industry Ecosystems: Lessons Learnt from Tampere</w:t>
      </w:r>
    </w:p>
    <w:p w14:paraId="4DA3C40C" w14:textId="77777777" w:rsidR="00B6118D" w:rsidRPr="006C77A6" w:rsidRDefault="00B6118D" w:rsidP="00B6118D">
      <w:pPr>
        <w:pStyle w:val="ABParagraph"/>
      </w:pPr>
    </w:p>
    <w:p w14:paraId="1EA4DE3F" w14:textId="77777777" w:rsidR="00B6118D" w:rsidRPr="0082220D" w:rsidRDefault="00B6118D" w:rsidP="00B6118D">
      <w:pPr>
        <w:pStyle w:val="AbstractBookAuthors"/>
        <w:rPr>
          <w:rFonts w:ascii="Noto Serif Light" w:hAnsi="Noto Serif Light" w:cs="Noto Serif Light"/>
        </w:rPr>
      </w:pPr>
      <w:r w:rsidRPr="00CD05A8">
        <w:rPr>
          <w:rStyle w:val="AbstractBookPresentingAuthor"/>
          <w:rFonts w:ascii="Noto Serif Light" w:hAnsi="Noto Serif Light" w:cs="Noto Serif Light"/>
        </w:rPr>
        <w:t>Dr Maria Salomaa</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Susanna Ihanus</w:t>
      </w:r>
      <w:r>
        <w:rPr>
          <w:rStyle w:val="AbstractBookBaseCharacterStyle"/>
          <w:rFonts w:ascii="Noto Serif Light" w:hAnsi="Noto Serif Light" w:cs="Noto Serif Light"/>
          <w:vertAlign w:val="superscript"/>
        </w:rPr>
        <w:t>1</w:t>
      </w:r>
    </w:p>
    <w:p w14:paraId="35EEE137" w14:textId="77777777" w:rsidR="00B6118D" w:rsidRDefault="00B6118D" w:rsidP="00B6118D">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Tampere University </w:t>
      </w:r>
      <w:r>
        <w:rPr>
          <w:rStyle w:val="AbstractBookBaseCharacterStyle"/>
          <w:rFonts w:ascii="Noto Serif Light" w:hAnsi="Noto Serif Light" w:cs="Noto Serif Light"/>
        </w:rPr>
        <w:t>o</w:t>
      </w:r>
      <w:r w:rsidRPr="00CD05A8">
        <w:rPr>
          <w:rStyle w:val="AbstractBookBaseCharacterStyle"/>
          <w:rFonts w:ascii="Noto Serif Light" w:hAnsi="Noto Serif Light" w:cs="Noto Serif Light"/>
        </w:rPr>
        <w:t>f Applied Sciences, Tampere, Finland</w:t>
      </w:r>
    </w:p>
    <w:p w14:paraId="2842DC04" w14:textId="77777777" w:rsidR="00B6118D" w:rsidRDefault="00B6118D" w:rsidP="00B6118D">
      <w:pPr>
        <w:pStyle w:val="AbstractBookBaseParagraph"/>
        <w:rPr>
          <w:rStyle w:val="AbstractBookBaseCharacterStyle"/>
          <w:rFonts w:ascii="Noto Serif Light" w:hAnsi="Noto Serif Light" w:cs="Noto Serif Light"/>
        </w:rPr>
      </w:pPr>
    </w:p>
    <w:p w14:paraId="27FF418C" w14:textId="77777777" w:rsidR="00B6118D" w:rsidRPr="006C77A6" w:rsidRDefault="00B6118D" w:rsidP="00B6118D">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06826544" w14:textId="77777777" w:rsidR="00B6118D" w:rsidRPr="00CD05A8" w:rsidRDefault="00B6118D" w:rsidP="00B6118D">
      <w:pPr>
        <w:pStyle w:val="AbstractBookBaseParagraph"/>
        <w:rPr>
          <w:rFonts w:ascii="Noto Serif Light" w:hAnsi="Noto Serif Light" w:cs="Noto Serif Light"/>
        </w:rPr>
      </w:pPr>
      <w:r w:rsidRPr="00CD05A8">
        <w:rPr>
          <w:rFonts w:ascii="Noto Serif Light" w:hAnsi="Noto Serif Light" w:cs="Noto Serif Light"/>
        </w:rPr>
        <w:t>Universities are increasingly positioned as central actors in the development of regional creative and cultural industry (CCI) ecosystems as part of their third mission, reflecting broader shifts toward place-based innovation, Quadruple Helix collaboration, and socially embedded knowledge production. While the potential contribution of higher education institutions (HEIs) to regional creative economies is widely recognised, the literature consistently identifies a range of persistent and interrelated challenges that complicate universities’ capacity to act as effective ecosystem drivers rather than marginal or episodic contributors.</w:t>
      </w:r>
    </w:p>
    <w:p w14:paraId="5373872B" w14:textId="77777777" w:rsidR="00B6118D" w:rsidRDefault="00B6118D" w:rsidP="00B6118D">
      <w:pPr>
        <w:pStyle w:val="AbstractBookBaseParagraph"/>
        <w:rPr>
          <w:rFonts w:ascii="Noto Serif Light" w:hAnsi="Noto Serif Light" w:cs="Noto Serif Light"/>
        </w:rPr>
      </w:pPr>
      <w:r w:rsidRPr="00CD05A8">
        <w:rPr>
          <w:rFonts w:ascii="Noto Serif Light" w:hAnsi="Noto Serif Light" w:cs="Noto Serif Light"/>
        </w:rPr>
        <w:t>One of the most widely documented challenges concerns the misalignment between academic institutional logics and the structural characteristics of CCIs. CCIs are typically dominated by small, micro, and freelance-based organisations operating through project-based, short-term, and often precarious modes of production, supported by symbolic, cultural, and aesthetic forms of value creation (Comunian, Taylor, &amp; Smith, 2014; Cruz et al., 2019). In contrast, universities are structured around more stable organisational forms, long planning cycles, and formalised research and education systems. This structural mismatch complicates collaboration, as CCIs frequently lack the time, resources, and incentives to engage with academic partners on universities’ terms, while universities struggle to accommodate the informality and fluidity of creative practices.</w:t>
      </w:r>
    </w:p>
    <w:p w14:paraId="12154F92" w14:textId="77777777" w:rsidR="00B6118D" w:rsidRPr="00CD05A8" w:rsidRDefault="00B6118D" w:rsidP="00B6118D">
      <w:pPr>
        <w:pStyle w:val="AbstractBookBaseParagraph"/>
        <w:rPr>
          <w:rFonts w:ascii="Noto Serif Light" w:hAnsi="Noto Serif Light" w:cs="Noto Serif Light"/>
        </w:rPr>
      </w:pPr>
    </w:p>
    <w:p w14:paraId="569A4A70" w14:textId="77777777" w:rsidR="00B6118D" w:rsidRDefault="00B6118D" w:rsidP="00B6118D">
      <w:pPr>
        <w:pStyle w:val="AbstractBookBaseParagraph"/>
        <w:rPr>
          <w:rFonts w:ascii="Noto Serif Light" w:hAnsi="Noto Serif Light" w:cs="Noto Serif Light"/>
        </w:rPr>
      </w:pPr>
      <w:r w:rsidRPr="00CD05A8">
        <w:rPr>
          <w:rFonts w:ascii="Noto Serif Light" w:hAnsi="Noto Serif Light" w:cs="Noto Serif Light"/>
        </w:rPr>
        <w:t>Closely related to this structural disconnect are cognitive-cultural barriers rooted in differing knowledge bases. Hauge, Pinheiro, and Zyzak (2018) demonstrate that HEIs and CCIs often operate with fundamentally different understandings of what constitutes relevant knowledge, innovation, and expertise. While universities tend to privilege codified, analytical, and disciplinary knowledge, CCIs rely heavily on tacit, experiential, and practice-based knowledge embedded in social networks and creative processes. The absence of a shared language and mutual understanding of expertise may even lead to friction, misunderstanding, and underutilisation of complementary capabilities. These differences contribute to a form of “lock-in,” where collaboration remains limited to superficial or transactional interactions rather than evolving into long-term, mutually beneficial relationships.</w:t>
      </w:r>
    </w:p>
    <w:p w14:paraId="78267F94" w14:textId="77777777" w:rsidR="00B6118D" w:rsidRPr="00CD05A8" w:rsidRDefault="00B6118D" w:rsidP="00B6118D">
      <w:pPr>
        <w:pStyle w:val="AbstractBookBaseParagraph"/>
        <w:rPr>
          <w:rFonts w:ascii="Noto Serif Light" w:hAnsi="Noto Serif Light" w:cs="Noto Serif Light"/>
        </w:rPr>
      </w:pPr>
    </w:p>
    <w:p w14:paraId="77F9493F" w14:textId="77777777" w:rsidR="00B6118D" w:rsidRDefault="00B6118D" w:rsidP="00B6118D">
      <w:pPr>
        <w:pStyle w:val="AbstractBookBaseParagraph"/>
        <w:rPr>
          <w:rFonts w:ascii="Noto Serif Light" w:hAnsi="Noto Serif Light" w:cs="Noto Serif Light"/>
        </w:rPr>
      </w:pPr>
      <w:r w:rsidRPr="00CD05A8">
        <w:rPr>
          <w:rFonts w:ascii="Noto Serif Light" w:hAnsi="Noto Serif Light" w:cs="Noto Serif Light"/>
        </w:rPr>
        <w:t xml:space="preserve">A further challenge arises from the limited suitability of dominant knowledge transfer models. Much of the institutional infrastructure supporting universities’ third mission has been designed around linear models of technology transfer, commercialisation, and intellectual property exploitation, which are better aligned with high-technology and science-based sectors than with CCIs (Comunian, Gilmore, &amp; Jacobi, 2015; Cruz et al., 2019). In cultural ecosystems, innovation rarely follows linear trajectories from research to market but instead emerges through iterative, relational, and co-creative processes involving multiple stakeholders. As a result, traditional transfer mechanisms </w:t>
      </w:r>
      <w:r w:rsidRPr="00CD05A8">
        <w:rPr>
          <w:rFonts w:ascii="Noto Serif Light" w:hAnsi="Noto Serif Light" w:cs="Noto Serif Light"/>
        </w:rPr>
        <w:lastRenderedPageBreak/>
        <w:t>often fail to resonate with creative actors, reinforcing perceptions that universities are distant or irrelevant to the everyday realities of cultural production.</w:t>
      </w:r>
    </w:p>
    <w:p w14:paraId="317BF916" w14:textId="77777777" w:rsidR="00B6118D" w:rsidRPr="00CD05A8" w:rsidRDefault="00B6118D" w:rsidP="00B6118D">
      <w:pPr>
        <w:pStyle w:val="AbstractBookBaseParagraph"/>
        <w:rPr>
          <w:rFonts w:ascii="Noto Serif Light" w:hAnsi="Noto Serif Light" w:cs="Noto Serif Light"/>
        </w:rPr>
      </w:pPr>
    </w:p>
    <w:p w14:paraId="7C0F9CED" w14:textId="77777777" w:rsidR="00B6118D" w:rsidRPr="00CD05A8" w:rsidRDefault="00B6118D" w:rsidP="00B6118D">
      <w:pPr>
        <w:pStyle w:val="AbstractBookBaseParagraph"/>
        <w:rPr>
          <w:rFonts w:ascii="Noto Serif Light" w:hAnsi="Noto Serif Light" w:cs="Noto Serif Light"/>
        </w:rPr>
      </w:pPr>
      <w:r w:rsidRPr="00CD05A8">
        <w:rPr>
          <w:rFonts w:ascii="Noto Serif Light" w:hAnsi="Noto Serif Light" w:cs="Noto Serif Light"/>
        </w:rPr>
        <w:t>The literature also highlights internal institutional constraints within universities that hinder sustained ecosystem engagement. These include rigid incentive and evaluation systems that prioritise academic outputs over relational engagement, limited intermediary capacity dedicated to cultural sectors, and dependence on short-term, project-based funding (Cruz et al., 2019; Hauge et al., 2018). Such constraints make it difficult for universities to maintain continuity in partnerships, invest in trust-building processes, and respond flexibly to changing regional conditions. Consequently, engagement with CCIs is often fragmented, individual-driven, and vulnerable to staff turnover or funding discontinuities.</w:t>
      </w:r>
    </w:p>
    <w:p w14:paraId="7E042B6D" w14:textId="77777777" w:rsidR="00B6118D" w:rsidRDefault="00B6118D" w:rsidP="00B6118D">
      <w:pPr>
        <w:pStyle w:val="AbstractBookBaseParagraph"/>
        <w:rPr>
          <w:rFonts w:ascii="Noto Serif Light" w:hAnsi="Noto Serif Light" w:cs="Noto Serif Light"/>
        </w:rPr>
      </w:pPr>
      <w:r w:rsidRPr="00CD05A8">
        <w:rPr>
          <w:rFonts w:ascii="Noto Serif Light" w:hAnsi="Noto Serif Light" w:cs="Noto Serif Light"/>
        </w:rPr>
        <w:t>As universities seek to move beyond marginal involvement toward more active roles as ecosystem facilitators, governance and role-related tensions become increasingly pronounced. Comunian et al. (2014) describe universities as “hidden protagonists” whose contributions to creative economies are frequently informal and unacknowledged, raising questions about how and whether these roles should be made explicit. More recent work suggests that universities are increasingly expected to act as scene-setters, matchmakers, or co-creators within CCI ecosystems, orchestrating relationships among industry, public authorities, civil society, and communities (Pohjola et al., 2023). However, assuming such roles introduces tensions around leadership, power, and inclusivity. Universities must balance their capacity to convene and legitimise collaboration with the risk of overreach or dominance in culturally embedded systems where autonomy, identity, and local ownership are highly valued.</w:t>
      </w:r>
    </w:p>
    <w:p w14:paraId="0102F434" w14:textId="77777777" w:rsidR="00B6118D" w:rsidRPr="00CD05A8" w:rsidRDefault="00B6118D" w:rsidP="00B6118D">
      <w:pPr>
        <w:pStyle w:val="AbstractBookBaseParagraph"/>
        <w:rPr>
          <w:rFonts w:ascii="Noto Serif Light" w:hAnsi="Noto Serif Light" w:cs="Noto Serif Light"/>
        </w:rPr>
      </w:pPr>
    </w:p>
    <w:p w14:paraId="695F2F40" w14:textId="77777777" w:rsidR="00B6118D" w:rsidRPr="00CD05A8" w:rsidRDefault="00B6118D" w:rsidP="00B6118D">
      <w:pPr>
        <w:pStyle w:val="AbstractBookBaseParagraph"/>
        <w:rPr>
          <w:rFonts w:ascii="Noto Serif Light" w:hAnsi="Noto Serif Light" w:cs="Noto Serif Light"/>
        </w:rPr>
      </w:pPr>
      <w:r w:rsidRPr="00CD05A8">
        <w:rPr>
          <w:rFonts w:ascii="Noto Serif Light" w:hAnsi="Noto Serif Light" w:cs="Noto Serif Light"/>
        </w:rPr>
        <w:t>Place-based engagement further intensifies these challenges. CCI ecosystems are deeply embedded in local histories, identities, and socio-cultural contexts, meaning that externally imposed strategies or generic policy models often fail to gain traction (Dent, England, &amp; Comunian, 2023; Pohjola et al., 2023). Universities operating across regional, national, and international scales must therefore navigate competing expectations, aligning global academic agendas with local cultural priorities. This tension is particularly visible in place branding and regional development agendas, where universities are increasingly implicated in co-creating narratives of place but must do so without instrumentalising culture or marginalising local voices.</w:t>
      </w:r>
    </w:p>
    <w:p w14:paraId="03A4AB95" w14:textId="77777777" w:rsidR="00B6118D" w:rsidRDefault="00B6118D" w:rsidP="00B6118D">
      <w:pPr>
        <w:pStyle w:val="AbstractBookBaseParagraph"/>
        <w:rPr>
          <w:rFonts w:ascii="Noto Serif Light" w:hAnsi="Noto Serif Light" w:cs="Noto Serif Light"/>
        </w:rPr>
      </w:pPr>
      <w:r w:rsidRPr="00CD05A8">
        <w:rPr>
          <w:rFonts w:ascii="Noto Serif Light" w:hAnsi="Noto Serif Light" w:cs="Noto Serif Light"/>
        </w:rPr>
        <w:t>At the policy level, the literature points to a persistent disconnect between public policy frameworks, institutional strategies, and the lived realities of CCIs. Cruz et al. (2019) show that while the importance of HEI–CCI collaboration is widely acknowledged at the rhetorical level, explicit and targeted policy instruments remain underdeveloped. Knowledge transfer policies frequently fail to account for sector-specific needs, resulting in limited uptake and low perceived relevance among cultural practitioners. This disconnect is compounded by evaluation and performance measurement systems that struggle to capture the social, cultural, and place-based value generated through ecosystem engagement, reinforcing the marginal status of CCIs within innovation and higher education policy.</w:t>
      </w:r>
    </w:p>
    <w:p w14:paraId="5F571F56" w14:textId="77777777" w:rsidR="00B6118D" w:rsidRPr="00CD05A8" w:rsidRDefault="00B6118D" w:rsidP="00B6118D">
      <w:pPr>
        <w:pStyle w:val="AbstractBookBaseParagraph"/>
        <w:rPr>
          <w:rFonts w:ascii="Noto Serif Light" w:hAnsi="Noto Serif Light" w:cs="Noto Serif Light"/>
        </w:rPr>
      </w:pPr>
    </w:p>
    <w:p w14:paraId="2C5A0687" w14:textId="77777777" w:rsidR="00B6118D" w:rsidRDefault="00B6118D" w:rsidP="00B6118D">
      <w:pPr>
        <w:pStyle w:val="AbstractBookBaseParagraph"/>
        <w:rPr>
          <w:rFonts w:ascii="Noto Serif Light" w:hAnsi="Noto Serif Light" w:cs="Noto Serif Light"/>
        </w:rPr>
      </w:pPr>
      <w:r w:rsidRPr="00CD05A8">
        <w:rPr>
          <w:rFonts w:ascii="Noto Serif Light" w:hAnsi="Noto Serif Light" w:cs="Noto Serif Light"/>
        </w:rPr>
        <w:t xml:space="preserve">Taken together, these challenges suggest that the difficulty faced by universities in driving regional CCI ecosystems does not stem from a lack of potential or commitment but from deeply embedded structural institutional, governance, and policy constraints. The literature converges on the need for more flexible and differentiated policy </w:t>
      </w:r>
      <w:r w:rsidRPr="00CD05A8">
        <w:rPr>
          <w:rFonts w:ascii="Noto Serif Light" w:hAnsi="Noto Serif Light" w:cs="Noto Serif Light"/>
        </w:rPr>
        <w:lastRenderedPageBreak/>
        <w:t>instruments, adaptive institutional practices, and a relational understanding of value creation that recognises CCIs as distinctive knowledge environments. Rather than acting as external drivers of innovation, universities are increasingly conceptualised as embedded actors whose impact emerges through long-term co-evolution with regional ecosystems, grounded in mutual learning, trust, and contextual sensitivity.</w:t>
      </w:r>
    </w:p>
    <w:p w14:paraId="14B92C2F" w14:textId="77777777" w:rsidR="00B6118D" w:rsidRPr="00CD05A8" w:rsidRDefault="00B6118D" w:rsidP="00B6118D">
      <w:pPr>
        <w:pStyle w:val="AbstractBookBaseParagraph"/>
        <w:rPr>
          <w:rFonts w:ascii="Noto Serif Light" w:hAnsi="Noto Serif Light" w:cs="Noto Serif Light"/>
        </w:rPr>
      </w:pPr>
    </w:p>
    <w:p w14:paraId="1EE0B0F6" w14:textId="77777777" w:rsidR="00B6118D" w:rsidRPr="00CD05A8" w:rsidRDefault="00B6118D" w:rsidP="00B6118D">
      <w:pPr>
        <w:pStyle w:val="AbstractBookBaseParagraph"/>
        <w:rPr>
          <w:rFonts w:ascii="Noto Serif Light" w:hAnsi="Noto Serif Light" w:cs="Noto Serif Light"/>
        </w:rPr>
      </w:pPr>
      <w:r w:rsidRPr="00CD05A8">
        <w:rPr>
          <w:rFonts w:ascii="Noto Serif Light" w:hAnsi="Noto Serif Light" w:cs="Noto Serif Light"/>
        </w:rPr>
        <w:t>This paper focuses on a case study from the Tampere region in Finland, where significant efforts have been made over the past decade—and continue at present—to identify the regional impact of the creative and cultural industries (CCIs) and to develop a shared (policy) framework for their future development. Tampere represents a mature yet evolving CCI ecosystem, characterised by a strong cultural identity, a diverse base of creative actors, and the presence of multiple higher education institutions actively engaged in regional research, development, and innovation (RDI) activities. Within this context, universities are increasingly expected to contribute to ecosystem coordination, capacity building, and knowledge production that supports the growth and resilience of CCIs.</w:t>
      </w:r>
    </w:p>
    <w:p w14:paraId="2CF19573" w14:textId="77777777" w:rsidR="00B6118D" w:rsidRDefault="00B6118D" w:rsidP="00B6118D">
      <w:pPr>
        <w:pStyle w:val="AbstractBookBaseParagraph"/>
        <w:rPr>
          <w:rFonts w:ascii="Noto Serif Light" w:hAnsi="Noto Serif Light" w:cs="Noto Serif Light"/>
        </w:rPr>
      </w:pPr>
      <w:r w:rsidRPr="00CD05A8">
        <w:rPr>
          <w:rFonts w:ascii="Noto Serif Light" w:hAnsi="Noto Serif Light" w:cs="Noto Serif Light"/>
        </w:rPr>
        <w:t>Empirical data for this study were collected through a questionnaire administered to local CCI actors in spring 2026 (N = 29). The results indicate a clear and widely shared motivation among creative practitioners and organisations to strengthen the RDI capacity of the regional CCI ecosystem. Respondents expressed strong interest in collaboration with higher education institutions, particularly in relation to applied research, skills development, innovation support, and access to broader regional and national innovation networks. This finding resonates with earlier research suggesting that CCIs increasingly recognise universities as potential partners in enhancing innovation and long-term sustainability at the regional level (Comunian, Taylor, &amp; Smith, 2014; Pohjola et al., 2023).</w:t>
      </w:r>
    </w:p>
    <w:p w14:paraId="4AFF2C93" w14:textId="77777777" w:rsidR="00B6118D" w:rsidRPr="00CD05A8" w:rsidRDefault="00B6118D" w:rsidP="00B6118D">
      <w:pPr>
        <w:pStyle w:val="AbstractBookBaseParagraph"/>
        <w:rPr>
          <w:rFonts w:ascii="Noto Serif Light" w:hAnsi="Noto Serif Light" w:cs="Noto Serif Light"/>
        </w:rPr>
      </w:pPr>
    </w:p>
    <w:p w14:paraId="3A5DEE67" w14:textId="77777777" w:rsidR="00B6118D" w:rsidRDefault="00B6118D" w:rsidP="00B6118D">
      <w:pPr>
        <w:pStyle w:val="AbstractBookBaseParagraph"/>
        <w:rPr>
          <w:rFonts w:ascii="Noto Serif Light" w:hAnsi="Noto Serif Light" w:cs="Noto Serif Light"/>
        </w:rPr>
      </w:pPr>
      <w:r w:rsidRPr="00CD05A8">
        <w:rPr>
          <w:rFonts w:ascii="Noto Serif Light" w:hAnsi="Noto Serif Light" w:cs="Noto Serif Light"/>
        </w:rPr>
        <w:t>The results reveal a strong shared belief in the strategic importance of the CCI for regional development: 93.1% of respondents recognise the significant role of CCIs in the development of innovation ecosystem of the Tampere region, positioning the sector as a relevant and legitimate contributor to regional RDI agendas. Moreover, over 79% of respondents perceive RDI activities as beneficial to their own field and express a clear willingness to strengthen their RDI-related competences. This reflects earlier arguments that, while CCIs have often remained marginal in formal knowledge transfer systems, there exists substantial latent demand for collaboration when engagement mechanisms are perceived as relevant and accessible (Cruz et al., 2019; Comunian et al., 2014).</w:t>
      </w:r>
    </w:p>
    <w:p w14:paraId="408FA794" w14:textId="77777777" w:rsidR="00B6118D" w:rsidRPr="00CD05A8" w:rsidRDefault="00B6118D" w:rsidP="00B6118D">
      <w:pPr>
        <w:pStyle w:val="AbstractBookBaseParagraph"/>
        <w:rPr>
          <w:rFonts w:ascii="Noto Serif Light" w:hAnsi="Noto Serif Light" w:cs="Noto Serif Light"/>
        </w:rPr>
      </w:pPr>
    </w:p>
    <w:p w14:paraId="621CC183" w14:textId="77777777" w:rsidR="00B6118D" w:rsidRPr="00CD05A8" w:rsidRDefault="00B6118D" w:rsidP="00B6118D">
      <w:pPr>
        <w:pStyle w:val="AbstractBookBaseParagraph"/>
        <w:rPr>
          <w:rFonts w:ascii="Noto Serif Light" w:hAnsi="Noto Serif Light" w:cs="Noto Serif Light"/>
        </w:rPr>
      </w:pPr>
      <w:r w:rsidRPr="00CD05A8">
        <w:rPr>
          <w:rFonts w:ascii="Noto Serif Light" w:hAnsi="Noto Serif Light" w:cs="Noto Serif Light"/>
        </w:rPr>
        <w:t xml:space="preserve">The questionnaire also reveals that several persistent constraints continue to limit effective collaboration between CCIs and higher education institutions. These constraints closely mirror the structural and barriers identified in previous studies. Respondents highlighted difficulties arising from differences in knowledge bases and working cultures, where academic research practices and timelines are perceived as poorly aligned with the fast-paced, project-oriented, and resource-constrained realities of creative work. In addition, respondents pointed to limited institutional accessibility and fragmentation of engagement mechanisms, noting that collaboration opportunities with universities are often mediated through short-term projects or individual contacts rather than stable, ecosystem-level structures. This aligns with Cruz et al. (2019), study, arguing that the cultural and creative sector remains marginally integrated into higher </w:t>
      </w:r>
      <w:r w:rsidRPr="00CD05A8">
        <w:rPr>
          <w:rFonts w:ascii="Noto Serif Light" w:hAnsi="Noto Serif Light" w:cs="Noto Serif Light"/>
        </w:rPr>
        <w:lastRenderedPageBreak/>
        <w:t>education knowledge transfer systems due to insufficiently tailored policy instruments and institutional frameworks. In Tampere, this manifests as uncertainty about entry points for collaboration, uneven awareness of universities’ competences, and limited continuity beyond project funding cycles.</w:t>
      </w:r>
    </w:p>
    <w:p w14:paraId="0438BC40" w14:textId="77777777" w:rsidR="00B6118D" w:rsidRDefault="00B6118D" w:rsidP="00B6118D">
      <w:pPr>
        <w:pStyle w:val="AbstractBookBaseParagraph"/>
        <w:rPr>
          <w:rFonts w:ascii="Noto Serif Light" w:hAnsi="Noto Serif Light" w:cs="Noto Serif Light"/>
        </w:rPr>
      </w:pPr>
      <w:r w:rsidRPr="00CD05A8">
        <w:rPr>
          <w:rFonts w:ascii="Noto Serif Light" w:hAnsi="Noto Serif Light" w:cs="Noto Serif Light"/>
        </w:rPr>
        <w:t>Based on the findings, universities role remains two-fold; supportive but relatively ‘hidden’ contributor to the creative economy and aspiring ecosystem enablers whose role remains institutionally and politically underdefined (Comunian et al., 2014). This tension highlights the need for more relational, flexible, and place-sensitive engagement models that move beyond linear knowledge transfer toward long-term co-creation, shared learning arenas, and ecosystem-level coordination (Pohjola et al., 2023). The Tampere case thus provides valuable empirical grounding for examining how universities can navigate these challenges while strengthening their role in regional CCI ecosystems.</w:t>
      </w:r>
    </w:p>
    <w:p w14:paraId="0F9A87D1" w14:textId="77777777" w:rsidR="00B6118D" w:rsidRPr="00CD05A8" w:rsidRDefault="00B6118D" w:rsidP="00B6118D">
      <w:pPr>
        <w:pStyle w:val="AbstractBookBaseParagraph"/>
        <w:rPr>
          <w:rFonts w:ascii="Noto Serif Light" w:hAnsi="Noto Serif Light" w:cs="Noto Serif Light"/>
        </w:rPr>
      </w:pPr>
    </w:p>
    <w:p w14:paraId="365928FB" w14:textId="77777777" w:rsidR="00B6118D" w:rsidRPr="00CD05A8" w:rsidRDefault="00B6118D" w:rsidP="00B6118D">
      <w:pPr>
        <w:pStyle w:val="AbstractBookBaseParagraph"/>
        <w:rPr>
          <w:rFonts w:ascii="Noto Serif Light" w:hAnsi="Noto Serif Light" w:cs="Noto Serif Light"/>
        </w:rPr>
      </w:pPr>
      <w:r w:rsidRPr="00CD05A8">
        <w:rPr>
          <w:rFonts w:ascii="Noto Serif Light" w:hAnsi="Noto Serif Light" w:cs="Noto Serif Light"/>
        </w:rPr>
        <w:br w:type="page"/>
      </w:r>
    </w:p>
    <w:p w14:paraId="7E630D03" w14:textId="078BC7F9" w:rsidR="00D34255" w:rsidRDefault="00390C9C" w:rsidP="00D34255">
      <w:pPr>
        <w:pStyle w:val="ABSubhead"/>
      </w:pPr>
      <w:r>
        <w:lastRenderedPageBreak/>
        <w:t xml:space="preserve">O30. </w:t>
      </w:r>
      <w:r w:rsidR="00D34255">
        <w:t>Civic Universities as Cultural Innovation Intermediaries: Building Place-Based Creative Ecosystems through Quadruple Helix Collaboration</w:t>
      </w:r>
    </w:p>
    <w:p w14:paraId="5D31B77C" w14:textId="77777777" w:rsidR="00D34255" w:rsidRPr="00D34255" w:rsidRDefault="00D34255" w:rsidP="00D34255">
      <w:pPr>
        <w:pStyle w:val="ABParagraph"/>
      </w:pPr>
    </w:p>
    <w:p w14:paraId="38F738E2" w14:textId="77777777" w:rsidR="00D34255" w:rsidRPr="00D34255" w:rsidRDefault="00D34255" w:rsidP="00D34255">
      <w:pPr>
        <w:pStyle w:val="AbstractBookAuthors"/>
        <w:rPr>
          <w:rFonts w:ascii="Noto Serif Light" w:hAnsi="Noto Serif Light" w:cs="Noto Serif Light"/>
        </w:rPr>
      </w:pPr>
      <w:r w:rsidRPr="00D34255">
        <w:rPr>
          <w:rStyle w:val="AbstractBookPresentingAuthor"/>
          <w:rFonts w:ascii="Noto Serif Light" w:hAnsi="Noto Serif Light" w:cs="Noto Serif Light"/>
        </w:rPr>
        <w:t>Professor Katy Shaw</w:t>
      </w:r>
      <w:r w:rsidRPr="00D34255">
        <w:rPr>
          <w:rFonts w:ascii="Noto Serif Light" w:hAnsi="Noto Serif Light" w:cs="Noto Serif Light"/>
          <w:vertAlign w:val="superscript"/>
        </w:rPr>
        <w:t>1</w:t>
      </w:r>
      <w:r w:rsidRPr="00D34255">
        <w:rPr>
          <w:rStyle w:val="AbstractBookBaseCharacterStyle"/>
          <w:rFonts w:ascii="Noto Serif Light" w:hAnsi="Noto Serif Light" w:cs="Noto Serif Light"/>
        </w:rPr>
        <w:t>, Sara Hassan</w:t>
      </w:r>
      <w:r w:rsidRPr="00D34255">
        <w:rPr>
          <w:rFonts w:ascii="Noto Serif Light" w:hAnsi="Noto Serif Light" w:cs="Noto Serif Light"/>
          <w:vertAlign w:val="superscript"/>
        </w:rPr>
        <w:t>2</w:t>
      </w:r>
    </w:p>
    <w:p w14:paraId="7F4DF543" w14:textId="77777777" w:rsidR="00D34255" w:rsidRPr="00D34255" w:rsidRDefault="00D34255" w:rsidP="00D34255">
      <w:pPr>
        <w:pStyle w:val="AbstractBookBaseParagraph"/>
        <w:rPr>
          <w:rStyle w:val="AbstractBookBaseCharacterStyle"/>
          <w:rFonts w:ascii="Noto Serif Light" w:hAnsi="Noto Serif Light" w:cs="Noto Serif Light"/>
        </w:rPr>
      </w:pPr>
      <w:r w:rsidRPr="00D34255">
        <w:rPr>
          <w:rFonts w:ascii="Noto Serif Light" w:hAnsi="Noto Serif Light" w:cs="Noto Serif Light"/>
          <w:vertAlign w:val="superscript"/>
        </w:rPr>
        <w:t>1</w:t>
      </w:r>
      <w:r w:rsidRPr="00D34255">
        <w:rPr>
          <w:rStyle w:val="AbstractBookBaseCharacterStyle"/>
          <w:rFonts w:ascii="Noto Serif Light" w:hAnsi="Noto Serif Light" w:cs="Noto Serif Light"/>
        </w:rPr>
        <w:t xml:space="preserve">Northumbria University, Newcastle, United Kingdom, </w:t>
      </w:r>
      <w:r w:rsidRPr="00D34255">
        <w:rPr>
          <w:rFonts w:ascii="Noto Serif Light" w:hAnsi="Noto Serif Light" w:cs="Noto Serif Light"/>
          <w:vertAlign w:val="superscript"/>
        </w:rPr>
        <w:t>2</w:t>
      </w:r>
      <w:r w:rsidRPr="00D34255">
        <w:rPr>
          <w:rStyle w:val="AbstractBookBaseCharacterStyle"/>
          <w:rFonts w:ascii="Noto Serif Light" w:hAnsi="Noto Serif Light" w:cs="Noto Serif Light"/>
        </w:rPr>
        <w:t>City-REDI, Birmingham, United Kingdom</w:t>
      </w:r>
    </w:p>
    <w:p w14:paraId="77819189" w14:textId="77777777" w:rsidR="00D34255" w:rsidRDefault="00D34255" w:rsidP="00D34255">
      <w:pPr>
        <w:pStyle w:val="ABParagraph"/>
      </w:pPr>
    </w:p>
    <w:p w14:paraId="3544785C" w14:textId="69462450" w:rsidR="00D34255" w:rsidRPr="00D34255" w:rsidRDefault="00D34255" w:rsidP="00D34255">
      <w:pPr>
        <w:pStyle w:val="ABParagraph"/>
        <w:rPr>
          <w:b/>
          <w:bCs/>
        </w:rPr>
      </w:pPr>
      <w:r>
        <w:rPr>
          <w:b/>
          <w:bCs/>
        </w:rPr>
        <w:t>Abstract:</w:t>
      </w:r>
    </w:p>
    <w:p w14:paraId="6CC71043" w14:textId="77777777" w:rsidR="00D34255" w:rsidRDefault="00D34255" w:rsidP="00D34255">
      <w:pPr>
        <w:pStyle w:val="ABParagraph"/>
      </w:pPr>
      <w:r>
        <w:t>This paper examines how civic universities can act as cultural innovation intermediaries within place-based innovation ecosystems. It does so through the lens of the AHRC Creative Communities programme and an empirical case of Creative Futures in Regeneration, a Community Innovation Practitioner project focused on Digbeth, Birmingham. The paper responds to growing policy and academic interest in how regions can build more inclusive, resilient and future-oriented innovation ecosystems, particularly where culture, creativity and regeneration intersect. While regional innovation policy has often privileged firms, technology, universities and formal institutional partnerships, this paper argues that creative communities reveal a wider and more relational innovation system, one shaped by cultural actors, civic institutions, local government, creative businesses, grassroots organisations and communities whose knowledge is often informal, situated and place-sensitive.</w:t>
      </w:r>
    </w:p>
    <w:p w14:paraId="511D0631" w14:textId="77777777" w:rsidR="00D34255" w:rsidRDefault="00D34255" w:rsidP="00D34255">
      <w:pPr>
        <w:pStyle w:val="ABParagraph"/>
      </w:pPr>
    </w:p>
    <w:p w14:paraId="2BC7BD2C" w14:textId="77777777" w:rsidR="00D34255" w:rsidRDefault="00D34255" w:rsidP="00D34255">
      <w:pPr>
        <w:pStyle w:val="ABParagraph"/>
      </w:pPr>
      <w:r>
        <w:t>The paper develops a quadruple helix interpretation of creative place-based innovation, positioning universities, government, industry and civil society as interconnected actors in the production of cultural, social and economic value. However, rather than treating the quadruple helix as a static model of actor categories, the paper focuses on the relational work required to make such ecosystems function. It asks: how do civic universities mediate between policy ambitions, cultural-sector priorities, community knowledge and regeneration pressures? What forms of intermediation are needed to connect actors across different scales, languages, timescales and accountabilities? And how can cultural R&amp;D make visible the hidden infrastructures, tensions and dependencies that shape place-based innovation ecosystems?</w:t>
      </w:r>
    </w:p>
    <w:p w14:paraId="09D0530B" w14:textId="77777777" w:rsidR="00D34255" w:rsidRDefault="00D34255" w:rsidP="00D34255">
      <w:pPr>
        <w:pStyle w:val="ABParagraph"/>
      </w:pPr>
    </w:p>
    <w:p w14:paraId="28B10AF1" w14:textId="77777777" w:rsidR="00D34255" w:rsidRDefault="00D34255" w:rsidP="00D34255">
      <w:pPr>
        <w:pStyle w:val="ABParagraph"/>
      </w:pPr>
      <w:r>
        <w:t>The paper draws on the Creative Futures in Regeneration project in Digbeth, a rapidly changing cultural district in Birmingham marked by major regeneration, creative-sector clustering, civic investment, infrastructure change and concerns around displacement, affordability and the preservation of local cultural identity. The project uses a mixed qualitative and participatory design, including stakeholder interviews, ecosystem mapping, partner workshops, reflective fieldwork and podcast-based knowledge exchange. These methods are used not only to collect data but also to perform an intermediary function by convening actors, surfacing different forms of knowledge and creating shared spaces for sense-making. In this sense, the research process itself becomes part of the innovation ecosystem, helping actors to articulate what is valued, what is at risk and what forms of collaboration are needed to sustain cultural life in transitional urban places.</w:t>
      </w:r>
    </w:p>
    <w:p w14:paraId="4ACDEA7D" w14:textId="77777777" w:rsidR="00DE527E" w:rsidRDefault="00DE527E" w:rsidP="00D34255">
      <w:pPr>
        <w:pStyle w:val="ABParagraph"/>
      </w:pPr>
    </w:p>
    <w:p w14:paraId="2AFD7DBE" w14:textId="77777777" w:rsidR="00D34255" w:rsidRDefault="00D34255" w:rsidP="00D34255">
      <w:pPr>
        <w:pStyle w:val="ABParagraph"/>
      </w:pPr>
      <w:r>
        <w:t xml:space="preserve">The paper makes three contributions. First, it extends the place-based innovation ecosystems literature by foregrounding culture as a form of innovation infrastructure. </w:t>
      </w:r>
      <w:r>
        <w:lastRenderedPageBreak/>
        <w:t>Cultural organisations, artists, creative businesses, community groups and informal networks do not simply animate places after economic development has occurred; they actively shape the meanings, relationships and capabilities through which places innovate. Second, it contributes to quadruple helix theory by showing that civic universities can operate as boundary-spanning intermediaries rather than only as knowledge producers. In the Digbeth case, the university role is not limited to research expertise or evaluation. It includes convening partners, translating between policy and lived experience, legitimising community knowledge, documenting ecosystem change and helping stakeholders navigate tensions between growth, inclusion, investment and displacement. Third, the paper contributes to policy debates on devolution and cultural regeneration by showing how creative communities can provide grounded evidence for more inclusive place-based policy. Rather than treating culture as a sectoral add-on to regeneration, the paper argues for cultural ecosystems to be understood as part of the core architecture of regional innovation.</w:t>
      </w:r>
    </w:p>
    <w:p w14:paraId="01859B10" w14:textId="77777777" w:rsidR="00D34255" w:rsidRDefault="00D34255" w:rsidP="00D34255">
      <w:pPr>
        <w:pStyle w:val="ABParagraph"/>
      </w:pPr>
    </w:p>
    <w:p w14:paraId="59CDB2B8" w14:textId="77777777" w:rsidR="00D34255" w:rsidRDefault="00D34255" w:rsidP="00D34255">
      <w:pPr>
        <w:pStyle w:val="ABParagraph"/>
      </w:pPr>
      <w:r>
        <w:t>The analysis identifies four intermediation functions performed by civic universities in creative place-based ecosystems. The first is connective intermediation: building relationships across fragmented actor groups and making visible the links between cultural organisations, local authorities, developers, universities, communities and funders. The second is interpretive intermediation: translating between different forms of evidence, including policy data, institutional strategies, cultural-sector experience and community narratives. The third is evaluative intermediation: supporting more nuanced accounts of impact that go beyond visitor numbers, investment metrics or economic outputs to include belonging, trust, identity, participation, voice and the risks of cultural displacement. The fourth is anticipatory intermediation: helping partners think collectively about future scenarios, unintended consequences and the long-term stewardship of cultural ecosystems.</w:t>
      </w:r>
    </w:p>
    <w:p w14:paraId="434E2EBC" w14:textId="77777777" w:rsidR="00D34255" w:rsidRDefault="00D34255" w:rsidP="00D34255">
      <w:pPr>
        <w:pStyle w:val="ABParagraph"/>
      </w:pPr>
      <w:r>
        <w:t>The paper concludes that building place-based innovation ecosystems requires more than assembling the right actors. It requires sustained intermediary work that can hold together different forms of value, different institutional logics and different temporalities of change. The AHRC Creative Communities programme offers an important model for this work because it positions arts and humanities research, co-created culture and cross-sector collaboration as mechanisms for inclusive innovation. For regional innovation policy, the implication is that civic universities should be recognised not only as anchor institutions but also as cultural innovation intermediaries: institutions capable of convening, translating, evidencing and sustaining the relationships through which resilient and inclusive regional futures are made.</w:t>
      </w:r>
    </w:p>
    <w:p w14:paraId="2963BFBC" w14:textId="77777777" w:rsidR="00D34255" w:rsidRDefault="00D34255" w:rsidP="00D34255">
      <w:pPr>
        <w:pStyle w:val="AbstractBookBaseParagraph"/>
      </w:pPr>
      <w:r>
        <w:br w:type="page"/>
      </w:r>
    </w:p>
    <w:p w14:paraId="27AF1282" w14:textId="75E25A05" w:rsidR="002D52B2" w:rsidRDefault="00390C9C" w:rsidP="002D52B2">
      <w:pPr>
        <w:pStyle w:val="ABSubhead"/>
      </w:pPr>
      <w:r>
        <w:lastRenderedPageBreak/>
        <w:t xml:space="preserve">O31. </w:t>
      </w:r>
      <w:r w:rsidR="002D52B2" w:rsidRPr="00CD05A8">
        <w:t>Creativity as Connective Infrastructure for Coastal Innovation: Evidence and Emerging Practice from Plymouth and the Great South West</w:t>
      </w:r>
    </w:p>
    <w:p w14:paraId="0265C359" w14:textId="77777777" w:rsidR="002D52B2" w:rsidRPr="003835DE" w:rsidRDefault="002D52B2" w:rsidP="002D52B2">
      <w:pPr>
        <w:pStyle w:val="ABParagraph"/>
      </w:pPr>
    </w:p>
    <w:p w14:paraId="1503D0B3" w14:textId="77777777" w:rsidR="002D52B2" w:rsidRPr="00CD05A8" w:rsidRDefault="002D52B2" w:rsidP="002D52B2">
      <w:pPr>
        <w:pStyle w:val="AbstractBookAuthors"/>
        <w:rPr>
          <w:rFonts w:ascii="Noto Serif Light" w:hAnsi="Noto Serif Light" w:cs="Noto Serif Light"/>
        </w:rPr>
      </w:pPr>
      <w:r w:rsidRPr="00CD05A8">
        <w:rPr>
          <w:rStyle w:val="AbstractBookPresentingAuthor"/>
          <w:rFonts w:ascii="Noto Serif Light" w:hAnsi="Noto Serif Light" w:cs="Noto Serif Light"/>
        </w:rPr>
        <w:t>Rupert Lorraine</w:t>
      </w:r>
      <w:r w:rsidRPr="00CD05A8">
        <w:rPr>
          <w:rFonts w:ascii="Noto Serif Light" w:hAnsi="Noto Serif Light" w:cs="Noto Serif Light"/>
          <w:vertAlign w:val="superscript"/>
        </w:rPr>
        <w:t>1</w:t>
      </w:r>
    </w:p>
    <w:p w14:paraId="4E6A32AE" w14:textId="77777777" w:rsidR="002D52B2" w:rsidRDefault="002D52B2" w:rsidP="002D52B2">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University </w:t>
      </w:r>
      <w:r>
        <w:rPr>
          <w:rStyle w:val="AbstractBookBaseCharacterStyle"/>
          <w:rFonts w:ascii="Noto Serif Light" w:hAnsi="Noto Serif Light" w:cs="Noto Serif Light"/>
        </w:rPr>
        <w:t>o</w:t>
      </w:r>
      <w:r w:rsidRPr="00CD05A8">
        <w:rPr>
          <w:rStyle w:val="AbstractBookBaseCharacterStyle"/>
          <w:rFonts w:ascii="Noto Serif Light" w:hAnsi="Noto Serif Light" w:cs="Noto Serif Light"/>
        </w:rPr>
        <w:t>f Plymouth, Plymouth, United Kingdom</w:t>
      </w:r>
    </w:p>
    <w:p w14:paraId="5B270AE9" w14:textId="77777777" w:rsidR="002D52B2" w:rsidRDefault="002D52B2" w:rsidP="002D52B2">
      <w:pPr>
        <w:pStyle w:val="AbstractBookBaseParagraph"/>
        <w:rPr>
          <w:rStyle w:val="AbstractBookBaseCharacterStyle"/>
          <w:rFonts w:ascii="Noto Serif Light" w:hAnsi="Noto Serif Light" w:cs="Noto Serif Light"/>
        </w:rPr>
      </w:pPr>
    </w:p>
    <w:p w14:paraId="03DA7459" w14:textId="77777777" w:rsidR="002D52B2" w:rsidRPr="003835DE" w:rsidRDefault="002D52B2" w:rsidP="002D52B2">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6EAE3CCA"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Plymouth and the wider Great South West sit at a convergence that few UK regions can match: a major coastal transition in marine autonomy, offshore energy, defence, clean maritime, environmental stewardship and civic regeneration, alongside a creative economy of real scale and ambition. The Great South West creative industries generate £2.7 billion in GVA annually, employ a workforce of around 75,000, and recorded job growth of 4.1% between 2019 and 2022, the joint-fastest of any UK region. Yet both sides of this equation face constraints. Coastal growth sectors need better ways to visualise complex systems, train workforces, build public confidence and bring communities with them. Creative businesses, many of them freelancers and micro-SMEs, need access to higher-value markets, stronger R&amp;D capacity, clearer commissioning routes and the kind of cross-sector opportunities that retain talent and create career pathways beyond the traditional cultural economy.</w:t>
      </w:r>
    </w:p>
    <w:p w14:paraId="2D5F1602" w14:textId="77777777" w:rsidR="002D52B2" w:rsidRPr="00CD05A8" w:rsidRDefault="002D52B2" w:rsidP="002D52B2">
      <w:pPr>
        <w:pStyle w:val="AbstractBookBaseParagraph"/>
        <w:rPr>
          <w:rFonts w:ascii="Noto Serif Light" w:hAnsi="Noto Serif Light" w:cs="Noto Serif Light"/>
        </w:rPr>
      </w:pPr>
    </w:p>
    <w:p w14:paraId="33DC11AF"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The problem is not that either side lacks ambition. It is that the routes between them are under-designed. Coastal innovation policy tends to privilege technology, infrastructure and sector growth; creative industries policy often concentrates on creative business support, talent and cultural infrastructure. What falls between them is the practical work of translation: turning creative capability into a usable part of adoption, assurance, public legitimacy, skills formation and investment readiness.</w:t>
      </w:r>
    </w:p>
    <w:p w14:paraId="1C9F40F1" w14:textId="77777777" w:rsidR="002D52B2" w:rsidRPr="00CD05A8" w:rsidRDefault="002D52B2" w:rsidP="002D52B2">
      <w:pPr>
        <w:pStyle w:val="AbstractBookBaseParagraph"/>
        <w:rPr>
          <w:rFonts w:ascii="Noto Serif Light" w:hAnsi="Noto Serif Light" w:cs="Noto Serif Light"/>
        </w:rPr>
      </w:pPr>
    </w:p>
    <w:p w14:paraId="248B1347"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This paper draws on Creative Coastal Futures, a strategic proposition being developed and tested at the University of Plymouth, to explore how creative practice can function as connective infrastructure within coastal innovation systems. The argument is that creative capability is not best understood as a vertical sector requiring independent support, but as a source of innovation that permeates and strengthens adjacent sectors, in this case helping complex coastal systems become easier to adopt and invest in. </w:t>
      </w:r>
    </w:p>
    <w:p w14:paraId="066F4757" w14:textId="77777777" w:rsidR="002D52B2" w:rsidRPr="00CD05A8" w:rsidRDefault="002D52B2" w:rsidP="002D52B2">
      <w:pPr>
        <w:pStyle w:val="AbstractBookBaseParagraph"/>
        <w:rPr>
          <w:rFonts w:ascii="Noto Serif Light" w:hAnsi="Noto Serif Light" w:cs="Noto Serif Light"/>
        </w:rPr>
      </w:pPr>
    </w:p>
    <w:p w14:paraId="76107F16"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The paper makes three linked contributions. Conceptually, it reframes creative capability as connective infrastructure within regional innovation systems. Empirically, it draws on emerging evidence from Plymouth and the Great South West to show where creative-industrial crossover is already being demanded, blocked and brokered. Practically, it asks what kinds of intermediation, commissioning routes and demonstrator pathways are needed if creative spillovers are to be designed for deliberately rather than hoped for retrospectively.</w:t>
      </w:r>
    </w:p>
    <w:p w14:paraId="71E86ED1" w14:textId="77777777" w:rsidR="002D52B2" w:rsidRPr="00CD05A8" w:rsidRDefault="002D52B2" w:rsidP="002D52B2">
      <w:pPr>
        <w:pStyle w:val="AbstractBookBaseParagraph"/>
        <w:rPr>
          <w:rFonts w:ascii="Noto Serif Light" w:hAnsi="Noto Serif Light" w:cs="Noto Serif Light"/>
        </w:rPr>
      </w:pPr>
    </w:p>
    <w:p w14:paraId="7CF043A1"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The distinction matters for regional innovation policy. National policy increasingly recognises the creative industries as a growth-driving sector and points to R&amp;D, clusters, creative places and cross-sector spillovers as mechanisms for growth. The harder regional policy question is how those spillovers are made operational: who </w:t>
      </w:r>
      <w:r w:rsidRPr="00CD05A8">
        <w:rPr>
          <w:rFonts w:ascii="Noto Serif Light" w:hAnsi="Noto Serif Light" w:cs="Noto Serif Light"/>
        </w:rPr>
        <w:lastRenderedPageBreak/>
        <w:t>brokers them, who pays for early experimentation, how demand is framed, and how micro-SMEs gain routes into complex industrial systems.</w:t>
      </w:r>
    </w:p>
    <w:p w14:paraId="285F737F" w14:textId="77777777" w:rsidR="002D52B2" w:rsidRPr="00CD05A8" w:rsidRDefault="002D52B2" w:rsidP="002D52B2">
      <w:pPr>
        <w:pStyle w:val="AbstractBookBaseParagraph"/>
        <w:rPr>
          <w:rFonts w:ascii="Noto Serif Light" w:hAnsi="Noto Serif Light" w:cs="Noto Serif Light"/>
        </w:rPr>
      </w:pPr>
    </w:p>
    <w:p w14:paraId="70DE9A4A"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Research by the Creative Industries Policy and Evidence Centre shows that every pound of creative industries GVA generates a further 50 pence in adjacent sectors, and each creative industries employee supports 1.9 jobs in the wider economy. Creative Coastal Futures tests what happens when these spillover dynamics are designed deliberately, in a coastal context where creative practice (immersive media, simulation, data visualisation, storytelling, design research and participatory engagement) can be connected to live industrial demand across marine autonomy, offshore energy, defence and environmental transition.</w:t>
      </w:r>
    </w:p>
    <w:p w14:paraId="26D1E9D8" w14:textId="77777777" w:rsidR="002D52B2" w:rsidRPr="00CD05A8" w:rsidRDefault="002D52B2" w:rsidP="002D52B2">
      <w:pPr>
        <w:pStyle w:val="AbstractBookBaseParagraph"/>
        <w:rPr>
          <w:rFonts w:ascii="Noto Serif Light" w:hAnsi="Noto Serif Light" w:cs="Noto Serif Light"/>
        </w:rPr>
      </w:pPr>
    </w:p>
    <w:p w14:paraId="5E04B8BE"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Methodologically, the paper draws on a practice-led synthesis of structured industry conversations, cross-sector roundtables including a Creative–Blue–Green dialogue convened with Creative UK, marine and environmental partnership engagement, public marine research dialogue through Sea for Yourself, and regional evidence gathering including the Leading from the Edge study of creative industries in the Great South West. Rather than presenting Creative Coastal Futures as a completed programme, it uses this material to examine an emerging proposition in formation: where the demand is visible, where the system is blocked, and what kinds of intermediary practice appear necessary. It also draws on Plymouth’s Culture Plan 2021–2030, which frames culture explicitly as a mechanism for civic change rather than simply cultural provision, and the city’s first Creative Industries Plan, which identifies a positive growth trajectory but makes clear that planned intervention is needed to connect creative sector growth with wider economic opportunity.</w:t>
      </w:r>
    </w:p>
    <w:p w14:paraId="7630307B" w14:textId="77777777" w:rsidR="002D52B2" w:rsidRPr="00CD05A8" w:rsidRDefault="002D52B2" w:rsidP="002D52B2">
      <w:pPr>
        <w:pStyle w:val="AbstractBookBaseParagraph"/>
        <w:rPr>
          <w:rFonts w:ascii="Noto Serif Light" w:hAnsi="Noto Serif Light" w:cs="Noto Serif Light"/>
        </w:rPr>
      </w:pPr>
    </w:p>
    <w:p w14:paraId="31C0C842"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Several findings with wider relevance emerge. Creative capability has most traction where it helps partners reduce uncertainty: making remote, hazardous, technically complex or socially sensitive systems easier to visualise, test, explain and trust. Both creative and industrial partners are asking for routes into real problems, not generic networking. And critically, creative-industrial crossover does not emerge organically at sufficient scale in dispersed coastal and rural regions. It requires deliberate intermediation: brokerage, shared language, challenge framing and low-friction commissioning routes. Individual demonstrators create proof points. Programmes create scale. But neither delivers lasting change unless the approach is embedded as a stable trajectory within the organisations and partnerships that carry it forward, not dependent on single funding cycles or isolated projects.</w:t>
      </w:r>
    </w:p>
    <w:p w14:paraId="4BCF6345" w14:textId="77777777" w:rsidR="002D52B2" w:rsidRPr="00CD05A8" w:rsidRDefault="002D52B2" w:rsidP="002D52B2">
      <w:pPr>
        <w:pStyle w:val="AbstractBookBaseParagraph"/>
        <w:rPr>
          <w:rFonts w:ascii="Noto Serif Light" w:hAnsi="Noto Serif Light" w:cs="Noto Serif Light"/>
        </w:rPr>
      </w:pPr>
    </w:p>
    <w:p w14:paraId="6E2018FE"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Plymouth is useful as a testbed precisely because the relevant assets are unusually proximate but not automatically integrated. Real-world marine testbeds (Smart Sound Plymouth, Sub Sea Connect), nationally designated defence and autonomy infrastructure, the UK’s first National Marine Park, immersive production facilities including Market Hall’s dome and the planned Devonport Createch Cluster (designed to co-locate creative technology firms alongside defence and marine employers), major cultural institutions including The Box and Theatre Royal Plymouth, three universities and Team Plymouth all sit within a single city-region. The policy opportunity is not simply to celebrate that asset base, but to test whether it can be organised as a functioning coastal innovation system.</w:t>
      </w:r>
    </w:p>
    <w:p w14:paraId="606BBAB0" w14:textId="77777777" w:rsidR="002D52B2" w:rsidRPr="00CD05A8" w:rsidRDefault="002D52B2" w:rsidP="002D52B2">
      <w:pPr>
        <w:pStyle w:val="AbstractBookBaseParagraph"/>
        <w:rPr>
          <w:rFonts w:ascii="Noto Serif Light" w:hAnsi="Noto Serif Light" w:cs="Noto Serif Light"/>
        </w:rPr>
      </w:pPr>
    </w:p>
    <w:p w14:paraId="1FE5D9DE"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lastRenderedPageBreak/>
        <w:t>But what makes this a credible testbed is not the asset list alone. It is the sustained track record of creative-industrial delivery that has been building here over more than a decade: iMayflower (£3.5 million Cultural Development Fund), the South West Creative Technology Network (£6.5 million Research England), Entrepreneurial Futures (£5.6 million Shared Prosperity Fund), and Sea for Yourself (£1.6 million Arts Council England). These are not isolated projects. They represent a pattern of cross-sector creative R&amp;D, grounded in real partnerships, that demonstrates how creative and coastal-industrial capability can generate outcomes neither could achieve alone. Plymouth’s creative industries currently account for only 2.1% of local employment, compared to 4.4% nationally, underlining that this is a region with both the infrastructure and the growth headroom to demonstrate what deliberate creative-industrial integration can deliver.</w:t>
      </w:r>
    </w:p>
    <w:p w14:paraId="4FE3CAA7" w14:textId="77777777" w:rsidR="002D52B2" w:rsidRPr="00CD05A8" w:rsidRDefault="002D52B2" w:rsidP="002D52B2">
      <w:pPr>
        <w:pStyle w:val="AbstractBookBaseParagraph"/>
        <w:rPr>
          <w:rFonts w:ascii="Noto Serif Light" w:hAnsi="Noto Serif Light" w:cs="Noto Serif Light"/>
        </w:rPr>
      </w:pPr>
    </w:p>
    <w:p w14:paraId="70E23A90"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What this emerging body of practice points towards is a model in which creative, industrial, civic and academic partners work on shared coastal challenges through demand-led pathways. For creative businesses and graduates, this opens access to higher-value markets, credible cross-sector partners and career pathways that do not currently exist in most coastal regions, helping retain early-career talent who would otherwise leave. For coastal growth sectors, creative capability strengthens the distinctiveness, scalability and investment-readiness of their innovation partnerships. For the places and institutions where this happens, it creates a pipeline of demonstrators, funded projects and cross-sector relationships that cut across research, skills, enterprise, civic engagement and reputation. The value is in the combination.</w:t>
      </w:r>
    </w:p>
    <w:p w14:paraId="31ED949C" w14:textId="77777777" w:rsidR="002D52B2" w:rsidRPr="00CD05A8" w:rsidRDefault="002D52B2" w:rsidP="002D52B2">
      <w:pPr>
        <w:pStyle w:val="AbstractBookBaseParagraph"/>
        <w:rPr>
          <w:rFonts w:ascii="Noto Serif Light" w:hAnsi="Noto Serif Light" w:cs="Noto Serif Light"/>
        </w:rPr>
      </w:pPr>
    </w:p>
    <w:p w14:paraId="026AE68A"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The Great South West already has a strongly emergent regional creative cluster, distributed across 22 identified cluster and microcluster locations, with growing connectivity between creative, marine, defence, energy and environmental partners. This is a working proposition, not a finished programme, and much remains to be tested through live partner engagement, demonstrator development and emerging cluster-level investment. But the direction of travel is clear, and the model has relevance well beyond this region. Coastal communities worldwide face comparable challenges of complexity, adoption and transition. The wider question is therefore not whether creative industries create spillovers. It is whether coastal regions can learn to design for them. Drawing on Plymouth’s emerging practice, the paper invites discussion of what happens when creative and industrial capability are treated not as parallel sectors, but as part of the same regional innovation architecture – and what is lost when the intermediation between them is left to chance.</w:t>
      </w:r>
    </w:p>
    <w:p w14:paraId="5A1AE2A5" w14:textId="77777777" w:rsidR="002D52B2" w:rsidRPr="00CD05A8" w:rsidRDefault="002D52B2" w:rsidP="002D52B2">
      <w:pPr>
        <w:pStyle w:val="AbstractBookBaseParagraph"/>
        <w:rPr>
          <w:rFonts w:ascii="Noto Serif Light" w:hAnsi="Noto Serif Light" w:cs="Noto Serif Light"/>
        </w:rPr>
      </w:pPr>
    </w:p>
    <w:p w14:paraId="5475BBB8"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br w:type="page"/>
      </w:r>
    </w:p>
    <w:p w14:paraId="5C8B5FF2" w14:textId="31B0D791" w:rsidR="006457E8" w:rsidRDefault="006457E8" w:rsidP="006457E8">
      <w:pPr>
        <w:pStyle w:val="ABSubhead"/>
      </w:pPr>
      <w:r>
        <w:lastRenderedPageBreak/>
        <w:t xml:space="preserve">O32. </w:t>
      </w:r>
      <w:r w:rsidR="00D047BB" w:rsidRPr="00D047BB">
        <w:t>Climbing the Collaborative Research and Innovation Policy Support Ladder</w:t>
      </w:r>
    </w:p>
    <w:p w14:paraId="69ECA3AC" w14:textId="77777777" w:rsidR="006457E8" w:rsidRPr="00220128" w:rsidRDefault="006457E8" w:rsidP="006457E8">
      <w:pPr>
        <w:pStyle w:val="ABParagraph"/>
      </w:pPr>
    </w:p>
    <w:p w14:paraId="364FF8BE" w14:textId="77777777" w:rsidR="006457E8" w:rsidRPr="00CD05A8" w:rsidRDefault="006457E8" w:rsidP="006457E8">
      <w:pPr>
        <w:pStyle w:val="AbstractBookAuthors"/>
        <w:rPr>
          <w:rFonts w:ascii="Noto Serif Light" w:hAnsi="Noto Serif Light" w:cs="Noto Serif Light"/>
        </w:rPr>
      </w:pPr>
      <w:r w:rsidRPr="00CD05A8">
        <w:rPr>
          <w:rStyle w:val="AbstractBookBaseCharacterStyle"/>
          <w:rFonts w:ascii="Noto Serif Light" w:hAnsi="Noto Serif Light" w:cs="Noto Serif Light"/>
        </w:rPr>
        <w:t>Helena Lenihan</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 </w:t>
      </w:r>
      <w:r w:rsidRPr="00CD05A8">
        <w:rPr>
          <w:rStyle w:val="AbstractBookPresentingAuthor"/>
          <w:rFonts w:ascii="Noto Serif Light" w:hAnsi="Noto Serif Light" w:cs="Noto Serif Light"/>
        </w:rPr>
        <w:t>Kevin Mulligan</w:t>
      </w:r>
      <w:r w:rsidRPr="00CD05A8">
        <w:rPr>
          <w:rFonts w:ascii="Noto Serif Light" w:hAnsi="Noto Serif Light" w:cs="Noto Serif Light"/>
          <w:vertAlign w:val="superscript"/>
        </w:rPr>
        <w:t>2</w:t>
      </w:r>
      <w:r w:rsidRPr="00CD05A8">
        <w:rPr>
          <w:rStyle w:val="AbstractBookBaseCharacterStyle"/>
          <w:rFonts w:ascii="Noto Serif Light" w:hAnsi="Noto Serif Light" w:cs="Noto Serif Light"/>
        </w:rPr>
        <w:t>, Mauricio Perez-Alaniz</w:t>
      </w:r>
      <w:r w:rsidRPr="00CD05A8">
        <w:rPr>
          <w:rFonts w:ascii="Noto Serif Light" w:hAnsi="Noto Serif Light" w:cs="Noto Serif Light"/>
          <w:vertAlign w:val="superscript"/>
        </w:rPr>
        <w:t>1</w:t>
      </w:r>
    </w:p>
    <w:p w14:paraId="35066325" w14:textId="77777777" w:rsidR="006457E8" w:rsidRDefault="006457E8" w:rsidP="006457E8">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University of Limerick,</w:t>
      </w:r>
      <w:r>
        <w:rPr>
          <w:rStyle w:val="AbstractBookBaseCharacterStyle"/>
          <w:rFonts w:ascii="Noto Serif Light" w:hAnsi="Noto Serif Light" w:cs="Noto Serif Light"/>
        </w:rPr>
        <w:t xml:space="preserve"> </w:t>
      </w:r>
      <w:r w:rsidRPr="00CD05A8">
        <w:rPr>
          <w:rStyle w:val="AbstractBookBaseCharacterStyle"/>
          <w:rFonts w:ascii="Noto Serif Light" w:hAnsi="Noto Serif Light" w:cs="Noto Serif Light"/>
        </w:rPr>
        <w:t xml:space="preserve">Ireland, </w:t>
      </w:r>
      <w:r w:rsidRPr="00CD05A8">
        <w:rPr>
          <w:rFonts w:ascii="Noto Serif Light" w:hAnsi="Noto Serif Light" w:cs="Noto Serif Light"/>
          <w:vertAlign w:val="superscript"/>
        </w:rPr>
        <w:t>2</w:t>
      </w:r>
      <w:r w:rsidRPr="00CD05A8">
        <w:rPr>
          <w:rStyle w:val="AbstractBookBaseCharacterStyle"/>
          <w:rFonts w:ascii="Noto Serif Light" w:hAnsi="Noto Serif Light" w:cs="Noto Serif Light"/>
        </w:rPr>
        <w:t>Queen’s University Belfast,</w:t>
      </w:r>
      <w:r>
        <w:rPr>
          <w:rStyle w:val="AbstractBookBaseCharacterStyle"/>
          <w:rFonts w:ascii="Noto Serif Light" w:hAnsi="Noto Serif Light" w:cs="Noto Serif Light"/>
        </w:rPr>
        <w:t xml:space="preserve"> </w:t>
      </w:r>
      <w:r w:rsidRPr="00CD05A8">
        <w:rPr>
          <w:rStyle w:val="AbstractBookBaseCharacterStyle"/>
          <w:rFonts w:ascii="Noto Serif Light" w:hAnsi="Noto Serif Light" w:cs="Noto Serif Light"/>
        </w:rPr>
        <w:t>United Kindgom</w:t>
      </w:r>
    </w:p>
    <w:p w14:paraId="51165F47" w14:textId="77777777" w:rsidR="006457E8" w:rsidRDefault="006457E8" w:rsidP="006457E8">
      <w:pPr>
        <w:pStyle w:val="AbstractBookBaseParagraph"/>
        <w:rPr>
          <w:rStyle w:val="AbstractBookBaseCharacterStyle"/>
          <w:rFonts w:ascii="Noto Serif Light" w:hAnsi="Noto Serif Light" w:cs="Noto Serif Light"/>
        </w:rPr>
      </w:pPr>
    </w:p>
    <w:p w14:paraId="625202A7" w14:textId="77777777" w:rsidR="006457E8" w:rsidRPr="00220128" w:rsidRDefault="006457E8" w:rsidP="006457E8">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7F3CB507"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Government financial support for collaborative research and innovation (R&amp;I) projects between Small and Medium-sized Enterprises (SMEs) and Higher Education Institutions (HEIs), plays an important role in many regions (Roper et al. 2024). Cultivating a pipeline of innovative SMEs at various growth stages is essential for resilient regional R&amp;I systems (OECD 2023). However, SMEs face significant knowledge and financial obstacles to start and sustain their pathway to innovation (Perez-Alaniz et al. 2025). Government-supported collaborations can provide an entry ticket for SMEs to engage in innovation, and access cutting-edge knowledge and infrastructure embedded in HEIs (Kleine et al. 2022). Within this context, the current study provides to our knowledge, the first evaluation of how firms engage with different types of collaborative R&amp;I support over time. Moreover, we examine how receiving a mix of different supports over time impacts SMEs’ R&amp;D, innovation and firm performance outcomes.</w:t>
      </w:r>
    </w:p>
    <w:p w14:paraId="56F9D11E" w14:textId="77777777" w:rsidR="006457E8" w:rsidRPr="00CD05A8" w:rsidRDefault="006457E8" w:rsidP="006457E8">
      <w:pPr>
        <w:pStyle w:val="AbstractBookBaseParagraph"/>
        <w:rPr>
          <w:rFonts w:ascii="Noto Serif Light" w:hAnsi="Noto Serif Light" w:cs="Noto Serif Light"/>
        </w:rPr>
      </w:pPr>
    </w:p>
    <w:p w14:paraId="48D8443D"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 xml:space="preserve">There are many different types of collaborative financial supports for firm-level R&amp;I, which vary in size and, consequently, the type and scale of projects they can support. However, policy documents across many countries highlight that these different funding support types should not be viewed as stand-alone programmes which exist in isolation. Instead, such supports are often understood as being sequential, helping firms develop at each stage of the innovation process over time. While small-scale collaborative R&amp;I supports tend to focus on small R&amp;I projects, the expectation is that they can build up SMEs’ innovation capacity. This, in turn,  prepares SMEs for future larger R&amp;I projects and R&amp;I funding applications. We term this process the ‘Collaborative R&amp;I Support Policy Ladder’, which SMEs climb as they grow along their pathway to innovation. Despite its acknowledged importance in many economies, how SMEs deal with the key ‘second rung on the ladder’, from small-scale to mid-scale collaborative funding support, has been ignored in previous research. </w:t>
      </w:r>
    </w:p>
    <w:p w14:paraId="2BBEB7EC" w14:textId="77777777" w:rsidR="006457E8" w:rsidRPr="00CD05A8" w:rsidRDefault="006457E8" w:rsidP="006457E8">
      <w:pPr>
        <w:pStyle w:val="AbstractBookBaseParagraph"/>
        <w:rPr>
          <w:rFonts w:ascii="Noto Serif Light" w:hAnsi="Noto Serif Light" w:cs="Noto Serif Light"/>
        </w:rPr>
      </w:pPr>
    </w:p>
    <w:p w14:paraId="4EA29174"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To fill this identified gap in the literature, this study addresses the following research questions:</w:t>
      </w:r>
    </w:p>
    <w:p w14:paraId="4DB2FC3C" w14:textId="77777777" w:rsidR="006457E8" w:rsidRPr="00CD05A8" w:rsidRDefault="006457E8" w:rsidP="006457E8">
      <w:pPr>
        <w:pStyle w:val="AbstractBookBaseParagraph"/>
        <w:rPr>
          <w:rFonts w:ascii="Noto Serif Light" w:hAnsi="Noto Serif Light" w:cs="Noto Serif Light"/>
        </w:rPr>
      </w:pPr>
    </w:p>
    <w:p w14:paraId="6683759E"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RQ1: Are SMEs that receive small-scale collaborative R&amp;I support better placed to receive follow-on mid-scale collaborative R&amp;I support?</w:t>
      </w:r>
    </w:p>
    <w:p w14:paraId="5C4416D9" w14:textId="77777777" w:rsidR="006457E8" w:rsidRPr="00CD05A8" w:rsidRDefault="006457E8" w:rsidP="006457E8">
      <w:pPr>
        <w:pStyle w:val="AbstractBookBaseParagraph"/>
        <w:rPr>
          <w:rFonts w:ascii="Noto Serif Light" w:hAnsi="Noto Serif Light" w:cs="Noto Serif Light"/>
        </w:rPr>
      </w:pPr>
    </w:p>
    <w:p w14:paraId="3B2D649D"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RQ2: What is the impact of receiving small-scale collaborative R&amp;I support, followed by mid-scale collaborative R&amp;I support, on SMEs’ R&amp;D, innovation and firm performance outcomes?</w:t>
      </w:r>
    </w:p>
    <w:p w14:paraId="5779B672" w14:textId="77777777" w:rsidR="006457E8" w:rsidRPr="00CD05A8" w:rsidRDefault="006457E8" w:rsidP="006457E8">
      <w:pPr>
        <w:pStyle w:val="AbstractBookBaseParagraph"/>
        <w:rPr>
          <w:rFonts w:ascii="Noto Serif Light" w:hAnsi="Noto Serif Light" w:cs="Noto Serif Light"/>
        </w:rPr>
      </w:pPr>
    </w:p>
    <w:p w14:paraId="73592454"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 xml:space="preserve">To address these research questions, we build a comprehensive and novel dataset which tracks the R&amp;I and business performance activity of SMEs based in Ireland from 2006-2021. The data captures SMEs that receive initial small-scale support through an Innovation Voucher, and then go on to receive additional mid-scale collaborative R&amp;I </w:t>
      </w:r>
      <w:r w:rsidRPr="00CD05A8">
        <w:rPr>
          <w:rFonts w:ascii="Noto Serif Light" w:hAnsi="Noto Serif Light" w:cs="Noto Serif Light"/>
        </w:rPr>
        <w:lastRenderedPageBreak/>
        <w:t xml:space="preserve">funding for more advanced innovation projects. Innovation Voucher programmes are common across many European countries (e.g. Austria, Finland,  Spain, the United Kingdom). They typically provide firms with a €5,000-€10,000 ‘voucher’ which they can use to facilitate knowledge exchange with a researcher or research team based at HEIs. For most firms, this type of support represents their earliest engagement with the public R&amp;I support system (Kleine et al. 2022). Applying for an Innovation Voucher also represents a key signal of intent for SMEs. This signals that they have an innovative idea, wish to develop it further, are open to external collaboration, but that they lack certain essential resources to set the idea in motion. </w:t>
      </w:r>
    </w:p>
    <w:p w14:paraId="3DD3A074" w14:textId="77777777" w:rsidR="006457E8" w:rsidRPr="00CD05A8" w:rsidRDefault="006457E8" w:rsidP="006457E8">
      <w:pPr>
        <w:pStyle w:val="AbstractBookBaseParagraph"/>
        <w:rPr>
          <w:rFonts w:ascii="Noto Serif Light" w:hAnsi="Noto Serif Light" w:cs="Noto Serif Light"/>
        </w:rPr>
      </w:pPr>
    </w:p>
    <w:p w14:paraId="7ABF5861"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Innovation Vouchers have been widely examined in prior research. Studies show that they often accelerate or broaden planned R&amp;I projects (Bakhshi et al. 2015; Kleine et al. 2022; Sala et al. 2016), a catalytic effect particularly valuable for SMEs building R&amp;I capacity. Chapman and Hewitt‑Dundas (2018) also find consistently positive short‑term innovation outcomes. Vouchers increase engagement with external knowledge providers and encourage improved innovation behaviours, including more collaborative and risk‑tolerant managerial attitudes. Additional evidence shows they promote new or deeper SME relationships with universities and technical or creative service providers (Rajalo &amp; Vadi 2021). However, some positive effects fade within one to two years, with limited evidence of lasting productivity or sales gains (Bakhshi et al. 2015; Kleine et al. 2022), and poor implementation can render vouchers ineffective (Dai &amp; Guo 2026). Importantly, Caloffi et al. (2022) show that positive outcomes strengthen when vouchers are combined with advisory services that help firms identify and use external knowledge. Our study builds on this research by examining how Innovation Vouchers serve as a ‘first rung on the ladder’ for SMEs developing R&amp;I capacity over time.</w:t>
      </w:r>
    </w:p>
    <w:p w14:paraId="19AE8411" w14:textId="77777777" w:rsidR="006457E8" w:rsidRPr="00CD05A8" w:rsidRDefault="006457E8" w:rsidP="006457E8">
      <w:pPr>
        <w:pStyle w:val="AbstractBookBaseParagraph"/>
        <w:rPr>
          <w:rFonts w:ascii="Noto Serif Light" w:hAnsi="Noto Serif Light" w:cs="Noto Serif Light"/>
        </w:rPr>
      </w:pPr>
    </w:p>
    <w:p w14:paraId="570D3958"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Turning to the ‘second rung on the ladder’, our study examines a mid‑scale collaborative R&amp;I scheme for Irish SMEs: the Innovation Partnership programme. These partnerships provide grants covering 40–80% of eligible academic–industry project costs, paid directly to HEIs, with project values typically between €20,000 and €200,000. In Ireland, policy documents consistently describe Innovation Vouchers and Innovation Partnerships as sequential instruments. A major review by the Department of Jobs, Enterprise and Innovation (Forfás 2014) identified them as “complementary supports” (p. 13), with Innovation Partnerships representing “the next step up [the] R&amp;D ladder” (p. 28). The report emphasised that this sequencing helps smaller firms gain experience collaborating with external partners, beginning with Innovation Vouchers (p. 267). More recent policy documents (e.g., DETE 2025) reiterate this view. Thus, the transition from Vouchers to Partnerships provides an ideal context for examining our research questions.</w:t>
      </w:r>
    </w:p>
    <w:p w14:paraId="315DD583" w14:textId="77777777" w:rsidR="006457E8" w:rsidRPr="00CD05A8" w:rsidRDefault="006457E8" w:rsidP="006457E8">
      <w:pPr>
        <w:pStyle w:val="AbstractBookBaseParagraph"/>
        <w:rPr>
          <w:rFonts w:ascii="Noto Serif Light" w:hAnsi="Noto Serif Light" w:cs="Noto Serif Light"/>
        </w:rPr>
      </w:pPr>
    </w:p>
    <w:p w14:paraId="77D4D5AF"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 xml:space="preserve">Several studies to date have highlighted that the sequence in which firms receive different government R&amp;I supports over time is crucial, in determining overall R&amp;I policy effectiveness (e.g. Lenihan et al. 2025). To capture sequencing over time, we construct a highly detailed panel dataset by merging two key sources of information: Administrative data which captures all firms who received R&amp;I supports in Ireland; and a government survey which, among other factors, captures firms’ R&amp;D, innovation and firm performance outcomes. Our final dataset is an unbalanced panel with a total of 5,128 firms from 2006-2022. 306 firms receive at least one Innovation Voucher, while 294 participate in at least one Innovation Partnership. Of these firms, 128 transition </w:t>
      </w:r>
      <w:r w:rsidRPr="00CD05A8">
        <w:rPr>
          <w:rFonts w:ascii="Noto Serif Light" w:hAnsi="Noto Serif Light" w:cs="Noto Serif Light"/>
        </w:rPr>
        <w:lastRenderedPageBreak/>
        <w:t>from receiving an initial Innovation Voucher, to participating in the Innovation Partnership programme in a subsequent period.</w:t>
      </w:r>
    </w:p>
    <w:p w14:paraId="3B168546"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 xml:space="preserve"> </w:t>
      </w:r>
    </w:p>
    <w:p w14:paraId="6A039B14"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 xml:space="preserve">Turning to methodology, our empirical analysis combines matching methods with a difference-in-differences framework. To achieve this, we distinguish between firms that receive a single Innovation Voucher or are part of an Innovation Partnership, and those that receive these policy supports in a sequence over time. We then construct separate matched control groups of observationally similar firms, which never receive either of these policy supports. We also directly compare firms in the Innovation Voucher-Innovation Partnership category, to matched firms that only received one or the other of these supports. Treatment effects are then estimated using a staggered difference-in-differences estimator. This approach mitigates endogeneity concerns arising from selection bias and allows us to study how impacts unfold over time. Our analysis suggests several important implications for regional innovation policy, focusing on the firm-level impacts associated with targeting policy supports to SMEs, at the crucial early-to-mid-stage along their pathway to innovation. </w:t>
      </w:r>
    </w:p>
    <w:p w14:paraId="27614780" w14:textId="77777777" w:rsidR="006457E8" w:rsidRPr="00CD05A8" w:rsidRDefault="006457E8" w:rsidP="006457E8">
      <w:pPr>
        <w:pStyle w:val="AbstractBookBaseParagraph"/>
        <w:rPr>
          <w:rFonts w:ascii="Noto Serif Light" w:hAnsi="Noto Serif Light" w:cs="Noto Serif Light"/>
        </w:rPr>
      </w:pPr>
    </w:p>
    <w:p w14:paraId="5A00CF4B" w14:textId="77777777" w:rsidR="006457E8" w:rsidRPr="00220128" w:rsidRDefault="006457E8" w:rsidP="006457E8">
      <w:pPr>
        <w:pStyle w:val="AbstractBookBaseParagraph"/>
        <w:rPr>
          <w:rFonts w:ascii="Noto Serif Light" w:hAnsi="Noto Serif Light" w:cs="Noto Serif Light"/>
          <w:b/>
          <w:bCs/>
        </w:rPr>
      </w:pPr>
      <w:r w:rsidRPr="00220128">
        <w:rPr>
          <w:rFonts w:ascii="Noto Serif Light" w:hAnsi="Noto Serif Light" w:cs="Noto Serif Light"/>
          <w:b/>
          <w:bCs/>
        </w:rPr>
        <w:t xml:space="preserve">References </w:t>
      </w:r>
    </w:p>
    <w:p w14:paraId="6C1D4942" w14:textId="77777777" w:rsidR="006457E8" w:rsidRPr="00CD05A8" w:rsidRDefault="006457E8" w:rsidP="006457E8">
      <w:pPr>
        <w:pStyle w:val="AbstractBookBaseParagraph"/>
        <w:numPr>
          <w:ilvl w:val="0"/>
          <w:numId w:val="29"/>
        </w:numPr>
        <w:rPr>
          <w:rFonts w:ascii="Noto Serif Light" w:hAnsi="Noto Serif Light" w:cs="Noto Serif Light"/>
        </w:rPr>
      </w:pPr>
      <w:r w:rsidRPr="00CD05A8">
        <w:rPr>
          <w:rFonts w:ascii="Noto Serif Light" w:hAnsi="Noto Serif Light" w:cs="Noto Serif Light"/>
        </w:rPr>
        <w:t xml:space="preserve">Bakhshi, H., Edwards, J. S., Roper, S., Scully, J., Shaw, D., Morley, L., &amp; Rathbone, N. (2015). Assessing an experimental approach to industrial policy evaluation: Applying RCT+ to the case of Creative Credits. Research Policy, 44(8), 1462–1472. https://doi.org/10.1016/j.respol.2015.04.004    </w:t>
      </w:r>
    </w:p>
    <w:p w14:paraId="3A906116" w14:textId="77777777" w:rsidR="006457E8" w:rsidRPr="00CD05A8" w:rsidRDefault="006457E8" w:rsidP="006457E8">
      <w:pPr>
        <w:pStyle w:val="AbstractBookBaseParagraph"/>
        <w:numPr>
          <w:ilvl w:val="0"/>
          <w:numId w:val="29"/>
        </w:numPr>
        <w:rPr>
          <w:rFonts w:ascii="Noto Serif Light" w:hAnsi="Noto Serif Light" w:cs="Noto Serif Light"/>
        </w:rPr>
      </w:pPr>
      <w:r w:rsidRPr="00CD05A8">
        <w:rPr>
          <w:rFonts w:ascii="Noto Serif Light" w:hAnsi="Noto Serif Light" w:cs="Noto Serif Light"/>
        </w:rPr>
        <w:t xml:space="preserve">Caloffi, A., Freo, M., Ghinoi, S., Mariani, M., &amp; Rossi, F. (2022). Assessing the effects of a deliberate policy mix: The case of technology and innovation advisory services and innovation vouchers. Research Policy, 51(6), 104535. https://doi.org/10.1016/j.respol.2022.104535   </w:t>
      </w:r>
    </w:p>
    <w:p w14:paraId="4FE9696D" w14:textId="77777777" w:rsidR="006457E8" w:rsidRPr="00CD05A8" w:rsidRDefault="006457E8" w:rsidP="006457E8">
      <w:pPr>
        <w:pStyle w:val="AbstractBookBaseParagraph"/>
        <w:numPr>
          <w:ilvl w:val="0"/>
          <w:numId w:val="29"/>
        </w:numPr>
        <w:rPr>
          <w:rFonts w:ascii="Noto Serif Light" w:hAnsi="Noto Serif Light" w:cs="Noto Serif Light"/>
        </w:rPr>
      </w:pPr>
      <w:r w:rsidRPr="00CD05A8">
        <w:rPr>
          <w:rFonts w:ascii="Noto Serif Light" w:hAnsi="Noto Serif Light" w:cs="Noto Serif Light"/>
        </w:rPr>
        <w:t xml:space="preserve">Chapman, G., &amp; Hewitt-Dundas, N. (2018). The effect of public support on senior manager attitudes to innovation. Technovation, 69, 28–39. https://doi.org/10.1016/j.technovation.2017.10.004   </w:t>
      </w:r>
    </w:p>
    <w:p w14:paraId="487E4BAB" w14:textId="77777777" w:rsidR="006457E8" w:rsidRPr="00CD05A8" w:rsidRDefault="006457E8" w:rsidP="006457E8">
      <w:pPr>
        <w:pStyle w:val="AbstractBookBaseParagraph"/>
        <w:numPr>
          <w:ilvl w:val="0"/>
          <w:numId w:val="29"/>
        </w:numPr>
        <w:rPr>
          <w:rFonts w:ascii="Noto Serif Light" w:hAnsi="Noto Serif Light" w:cs="Noto Serif Light"/>
        </w:rPr>
      </w:pPr>
      <w:r w:rsidRPr="00CD05A8">
        <w:rPr>
          <w:rFonts w:ascii="Noto Serif Light" w:hAnsi="Noto Serif Light" w:cs="Noto Serif Light"/>
        </w:rPr>
        <w:t xml:space="preserve">Dai, X., &amp; Guo, P. (2026). Policy failure in public support for small business innovation: the case of innovation vouchers in China. Small Business Economics, 1-29. https://doi.org/10.1007/s11187-025-01108-0 </w:t>
      </w:r>
    </w:p>
    <w:p w14:paraId="3029CD7E" w14:textId="77777777" w:rsidR="006457E8" w:rsidRPr="00CD05A8" w:rsidRDefault="006457E8" w:rsidP="006457E8">
      <w:pPr>
        <w:pStyle w:val="AbstractBookBaseParagraph"/>
        <w:numPr>
          <w:ilvl w:val="0"/>
          <w:numId w:val="29"/>
        </w:numPr>
        <w:rPr>
          <w:rFonts w:ascii="Noto Serif Light" w:hAnsi="Noto Serif Light" w:cs="Noto Serif Light"/>
        </w:rPr>
      </w:pPr>
      <w:r w:rsidRPr="00CD05A8">
        <w:rPr>
          <w:rFonts w:ascii="Noto Serif Light" w:hAnsi="Noto Serif Light" w:cs="Noto Serif Light"/>
        </w:rPr>
        <w:t xml:space="preserve">Department of Enterprise, Tourism and Employment. (DETE; 2025). National Smart Specialisation Strategy for Innovation 2022-2027. https://www.gov.ie/en/department-of-enterprise-tourism-and-employment/publications/national-smart-specialisation-strategy-for-innovation-2022-2027/ </w:t>
      </w:r>
    </w:p>
    <w:p w14:paraId="4EBD239A" w14:textId="77777777" w:rsidR="006457E8" w:rsidRPr="00CD05A8" w:rsidRDefault="006457E8" w:rsidP="006457E8">
      <w:pPr>
        <w:pStyle w:val="AbstractBookBaseParagraph"/>
        <w:numPr>
          <w:ilvl w:val="0"/>
          <w:numId w:val="29"/>
        </w:numPr>
        <w:rPr>
          <w:rFonts w:ascii="Noto Serif Light" w:hAnsi="Noto Serif Light" w:cs="Noto Serif Light"/>
        </w:rPr>
      </w:pPr>
      <w:r w:rsidRPr="00CD05A8">
        <w:rPr>
          <w:rFonts w:ascii="Noto Serif Light" w:hAnsi="Noto Serif Light" w:cs="Noto Serif Light"/>
        </w:rPr>
        <w:t xml:space="preserve">Forfás. (2014). Evaluation of Enterprise Supports for Research Development and Innovation. Department of Jobs, Enterprise and Innovation. https://enterprise.gov.ie/en/publications/evaluation-of-enterprise-supports-for-research-development-and-innovation.html </w:t>
      </w:r>
    </w:p>
    <w:p w14:paraId="490BBA10" w14:textId="77777777" w:rsidR="006457E8" w:rsidRPr="00CD05A8" w:rsidRDefault="006457E8" w:rsidP="006457E8">
      <w:pPr>
        <w:pStyle w:val="AbstractBookBaseParagraph"/>
        <w:numPr>
          <w:ilvl w:val="0"/>
          <w:numId w:val="29"/>
        </w:numPr>
        <w:rPr>
          <w:rFonts w:ascii="Noto Serif Light" w:hAnsi="Noto Serif Light" w:cs="Noto Serif Light"/>
        </w:rPr>
      </w:pPr>
      <w:r w:rsidRPr="00CD05A8">
        <w:rPr>
          <w:rFonts w:ascii="Noto Serif Light" w:hAnsi="Noto Serif Light" w:cs="Noto Serif Light"/>
        </w:rPr>
        <w:t xml:space="preserve">Kleine, M., Heite, J., &amp; Rosendahl Huber, L. (2022). Subsidized R&amp;D collaboration: The causal effect of innovation vouchers on innovation outcomes. Research Policy, 51(6), 104515. https://doi.org/10.1016/j.respol.2022.104515   </w:t>
      </w:r>
    </w:p>
    <w:p w14:paraId="61EDDFF6" w14:textId="77777777" w:rsidR="006457E8" w:rsidRPr="00CD05A8" w:rsidRDefault="006457E8" w:rsidP="006457E8">
      <w:pPr>
        <w:pStyle w:val="AbstractBookBaseParagraph"/>
        <w:numPr>
          <w:ilvl w:val="0"/>
          <w:numId w:val="29"/>
        </w:numPr>
        <w:rPr>
          <w:rFonts w:ascii="Noto Serif Light" w:hAnsi="Noto Serif Light" w:cs="Noto Serif Light"/>
        </w:rPr>
      </w:pPr>
      <w:r w:rsidRPr="00CD05A8">
        <w:rPr>
          <w:rFonts w:ascii="Noto Serif Light" w:hAnsi="Noto Serif Light" w:cs="Noto Serif Light"/>
        </w:rPr>
        <w:t xml:space="preserve">Lenihan, H., Mulligan, K., Perez-Alaniz, M., &amp; Rammer, C. (2025). R&amp;D policy instrument mix sequencing: evaluating the impact of receiving R&amp;D grants and R&amp;D tax credits over time on firm-level R&amp;D. Industry and Innovation, 32(5), 540-573. https://doi.org/10.1080/13662716.2024.2388650   </w:t>
      </w:r>
    </w:p>
    <w:p w14:paraId="7DB5CCA3" w14:textId="77777777" w:rsidR="006457E8" w:rsidRPr="00CD05A8" w:rsidRDefault="006457E8" w:rsidP="006457E8">
      <w:pPr>
        <w:pStyle w:val="AbstractBookBaseParagraph"/>
        <w:numPr>
          <w:ilvl w:val="0"/>
          <w:numId w:val="29"/>
        </w:numPr>
        <w:rPr>
          <w:rFonts w:ascii="Noto Serif Light" w:hAnsi="Noto Serif Light" w:cs="Noto Serif Light"/>
        </w:rPr>
      </w:pPr>
      <w:r w:rsidRPr="00CD05A8">
        <w:rPr>
          <w:rFonts w:ascii="Noto Serif Light" w:hAnsi="Noto Serif Light" w:cs="Noto Serif Light"/>
        </w:rPr>
        <w:lastRenderedPageBreak/>
        <w:t xml:space="preserve">OECD. (2023). OECD SME and Entrepreneurship Outlook 2023, OECD Publishing, Paris. https://doi.org/10.1787/342b8564-en </w:t>
      </w:r>
    </w:p>
    <w:p w14:paraId="4278751D" w14:textId="77777777" w:rsidR="006457E8" w:rsidRPr="00CD05A8" w:rsidRDefault="006457E8" w:rsidP="006457E8">
      <w:pPr>
        <w:pStyle w:val="AbstractBookBaseParagraph"/>
        <w:numPr>
          <w:ilvl w:val="0"/>
          <w:numId w:val="29"/>
        </w:numPr>
        <w:rPr>
          <w:rFonts w:ascii="Noto Serif Light" w:hAnsi="Noto Serif Light" w:cs="Noto Serif Light"/>
        </w:rPr>
      </w:pPr>
      <w:r w:rsidRPr="00CD05A8">
        <w:rPr>
          <w:rFonts w:ascii="Noto Serif Light" w:hAnsi="Noto Serif Light" w:cs="Noto Serif Light"/>
        </w:rPr>
        <w:t xml:space="preserve">Perez-Alaniz, M., Lenihan, H., Doran, J., &amp; Roper, S. (2025). Two birds with one stone: can public financial support help firms to address financial and non-financial obstacles to research and innovation?. Industry and Innovation, 32(3), 243-280. https://doi.org/10.1080/13662716.2024.2377702 </w:t>
      </w:r>
    </w:p>
    <w:p w14:paraId="2231A298" w14:textId="77777777" w:rsidR="006457E8" w:rsidRPr="00CD05A8" w:rsidRDefault="006457E8" w:rsidP="006457E8">
      <w:pPr>
        <w:pStyle w:val="AbstractBookBaseParagraph"/>
        <w:numPr>
          <w:ilvl w:val="0"/>
          <w:numId w:val="29"/>
        </w:numPr>
        <w:rPr>
          <w:rFonts w:ascii="Noto Serif Light" w:hAnsi="Noto Serif Light" w:cs="Noto Serif Light"/>
        </w:rPr>
      </w:pPr>
      <w:r w:rsidRPr="00CD05A8">
        <w:rPr>
          <w:rFonts w:ascii="Noto Serif Light" w:hAnsi="Noto Serif Light" w:cs="Noto Serif Light"/>
        </w:rPr>
        <w:t xml:space="preserve">Rajalo, S., &amp; Vadi, M. (2021). Collaboration potential between low-capacity SMEs and academic researchers determined by symmetry of motivation. Technovation, 106, Article 102304. https://doi.org/10.1016/j.technovation.2021.102304 </w:t>
      </w:r>
    </w:p>
    <w:p w14:paraId="65375884" w14:textId="77777777" w:rsidR="006457E8" w:rsidRPr="00CD05A8" w:rsidRDefault="006457E8" w:rsidP="006457E8">
      <w:pPr>
        <w:pStyle w:val="AbstractBookBaseParagraph"/>
        <w:numPr>
          <w:ilvl w:val="0"/>
          <w:numId w:val="29"/>
        </w:numPr>
        <w:rPr>
          <w:rFonts w:ascii="Noto Serif Light" w:hAnsi="Noto Serif Light" w:cs="Noto Serif Light"/>
        </w:rPr>
      </w:pPr>
      <w:r w:rsidRPr="00CD05A8">
        <w:rPr>
          <w:rFonts w:ascii="Noto Serif Light" w:hAnsi="Noto Serif Light" w:cs="Noto Serif Light"/>
        </w:rPr>
        <w:t xml:space="preserve">Roper, S., Bonner, K., Mulligan, K., &amp; Martin, G. (2024), R&amp;D and innovation support in Northern Ireland: Mapping the available support, developing international benchmarks, and identifying policy opportunities. Northern Ireland Department for the Economy. https://www.economy-ni.gov.uk/articles/research-and-development-rd-and-innovation-support-northern-ireland </w:t>
      </w:r>
    </w:p>
    <w:p w14:paraId="174B9BBE" w14:textId="77777777" w:rsidR="006457E8" w:rsidRPr="00CD05A8" w:rsidRDefault="006457E8" w:rsidP="006457E8">
      <w:pPr>
        <w:pStyle w:val="AbstractBookBaseParagraph"/>
        <w:numPr>
          <w:ilvl w:val="0"/>
          <w:numId w:val="29"/>
        </w:numPr>
        <w:rPr>
          <w:rFonts w:ascii="Noto Serif Light" w:hAnsi="Noto Serif Light" w:cs="Noto Serif Light"/>
        </w:rPr>
      </w:pPr>
      <w:r w:rsidRPr="00CD05A8">
        <w:rPr>
          <w:rFonts w:ascii="Noto Serif Light" w:hAnsi="Noto Serif Light" w:cs="Noto Serif Light"/>
        </w:rPr>
        <w:t xml:space="preserve">Sala, A., Landoni, P., &amp; Verganti, R. (2016). Small and medium enterprises collaborations with knowledge intensive services: An explorative analysis of the impact of innovation vouchers. R&amp;D Management, 46(S1), 291–302. https://doi.org/10.1111/radm.12196   </w:t>
      </w:r>
    </w:p>
    <w:p w14:paraId="4AA28F0E" w14:textId="77777777" w:rsidR="006457E8" w:rsidRPr="00CD05A8" w:rsidRDefault="006457E8" w:rsidP="006457E8">
      <w:pPr>
        <w:pStyle w:val="AbstractBookBaseParagraph"/>
        <w:rPr>
          <w:rFonts w:ascii="Noto Serif Light" w:hAnsi="Noto Serif Light" w:cs="Noto Serif Light"/>
        </w:rPr>
      </w:pPr>
    </w:p>
    <w:p w14:paraId="5956ED6B"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br w:type="page"/>
      </w:r>
    </w:p>
    <w:p w14:paraId="450F5588" w14:textId="29C8879B" w:rsidR="002D52B2" w:rsidRDefault="00390C9C" w:rsidP="002D52B2">
      <w:pPr>
        <w:pStyle w:val="ABSubhead"/>
      </w:pPr>
      <w:r>
        <w:lastRenderedPageBreak/>
        <w:t xml:space="preserve">O33. </w:t>
      </w:r>
      <w:r w:rsidR="002D52B2" w:rsidRPr="00CD05A8">
        <w:t xml:space="preserve">How Should Place-Based R&amp;D Support Be Designed </w:t>
      </w:r>
      <w:r w:rsidR="002D52B2">
        <w:t>a</w:t>
      </w:r>
      <w:r w:rsidR="002D52B2" w:rsidRPr="00CD05A8">
        <w:t xml:space="preserve">nd Implemented? Evidence From </w:t>
      </w:r>
      <w:r w:rsidR="002D52B2">
        <w:t>a</w:t>
      </w:r>
      <w:r w:rsidR="002D52B2" w:rsidRPr="00CD05A8">
        <w:t xml:space="preserve"> Firm Survey in Japan</w:t>
      </w:r>
    </w:p>
    <w:p w14:paraId="78512383" w14:textId="77777777" w:rsidR="002D52B2" w:rsidRPr="00AB325A" w:rsidRDefault="002D52B2" w:rsidP="002D52B2">
      <w:pPr>
        <w:pStyle w:val="ABParagraph"/>
      </w:pPr>
    </w:p>
    <w:p w14:paraId="5BCC4203" w14:textId="77777777" w:rsidR="002D52B2" w:rsidRPr="00CD05A8" w:rsidRDefault="002D52B2" w:rsidP="002D52B2">
      <w:pPr>
        <w:pStyle w:val="AbstractBookAuthors"/>
        <w:rPr>
          <w:rFonts w:ascii="Noto Serif Light" w:hAnsi="Noto Serif Light" w:cs="Noto Serif Light"/>
        </w:rPr>
      </w:pPr>
      <w:r w:rsidRPr="00CD05A8">
        <w:rPr>
          <w:rStyle w:val="AbstractBookPresentingAuthor"/>
          <w:rFonts w:ascii="Noto Serif Light" w:hAnsi="Noto Serif Light" w:cs="Noto Serif Light"/>
        </w:rPr>
        <w:t>Prof</w:t>
      </w:r>
      <w:r>
        <w:rPr>
          <w:rStyle w:val="AbstractBookPresentingAuthor"/>
          <w:rFonts w:ascii="Noto Serif Light" w:hAnsi="Noto Serif Light" w:cs="Noto Serif Light"/>
        </w:rPr>
        <w:t>essor</w:t>
      </w:r>
      <w:r w:rsidRPr="00CD05A8">
        <w:rPr>
          <w:rStyle w:val="AbstractBookPresentingAuthor"/>
          <w:rFonts w:ascii="Noto Serif Light" w:hAnsi="Noto Serif Light" w:cs="Noto Serif Light"/>
        </w:rPr>
        <w:t xml:space="preserve"> Dr</w:t>
      </w:r>
      <w:r>
        <w:rPr>
          <w:rStyle w:val="AbstractBookPresentingAuthor"/>
          <w:rFonts w:ascii="Noto Serif Light" w:hAnsi="Noto Serif Light" w:cs="Noto Serif Light"/>
        </w:rPr>
        <w:t xml:space="preserve"> </w:t>
      </w:r>
      <w:r w:rsidRPr="00CD05A8">
        <w:rPr>
          <w:rStyle w:val="AbstractBookPresentingAuthor"/>
          <w:rFonts w:ascii="Noto Serif Light" w:hAnsi="Noto Serif Light" w:cs="Noto Serif Light"/>
        </w:rPr>
        <w:t>Junichi Nishimura</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Hiroyuki Okamuro</w:t>
      </w:r>
      <w:r w:rsidRPr="00CD05A8">
        <w:rPr>
          <w:rFonts w:ascii="Noto Serif Light" w:hAnsi="Noto Serif Light" w:cs="Noto Serif Light"/>
          <w:vertAlign w:val="superscript"/>
        </w:rPr>
        <w:t>2</w:t>
      </w:r>
    </w:p>
    <w:p w14:paraId="460D5CCF" w14:textId="77777777" w:rsidR="002D52B2" w:rsidRDefault="002D52B2" w:rsidP="002D52B2">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Gakushuin University, Tokyo, Japan, </w:t>
      </w:r>
      <w:r w:rsidRPr="00CD05A8">
        <w:rPr>
          <w:rFonts w:ascii="Noto Serif Light" w:hAnsi="Noto Serif Light" w:cs="Noto Serif Light"/>
          <w:vertAlign w:val="superscript"/>
        </w:rPr>
        <w:t>2</w:t>
      </w:r>
      <w:r w:rsidRPr="00CD05A8">
        <w:rPr>
          <w:rStyle w:val="AbstractBookBaseCharacterStyle"/>
          <w:rFonts w:ascii="Noto Serif Light" w:hAnsi="Noto Serif Light" w:cs="Noto Serif Light"/>
        </w:rPr>
        <w:t>Komazawa University, Tokyo, Japan</w:t>
      </w:r>
    </w:p>
    <w:p w14:paraId="09AE4460" w14:textId="77777777" w:rsidR="002D52B2" w:rsidRDefault="002D52B2" w:rsidP="002D52B2">
      <w:pPr>
        <w:pStyle w:val="AbstractBookBaseParagraph"/>
        <w:rPr>
          <w:rStyle w:val="AbstractBookBaseCharacterStyle"/>
          <w:rFonts w:ascii="Noto Serif Light" w:hAnsi="Noto Serif Light" w:cs="Noto Serif Light"/>
        </w:rPr>
      </w:pPr>
    </w:p>
    <w:p w14:paraId="7D81BBD0" w14:textId="77777777" w:rsidR="002D52B2" w:rsidRPr="00AB325A" w:rsidRDefault="002D52B2" w:rsidP="002D52B2">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750F0974"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Investment in research and development (R&amp;D) is a primary driver of economic development, yet market failures—such as high uncertainty and spillovers—often lead to underinvestment. While national governments have traditionally led R&amp;D policy, the global trend toward decentralization has emphasized the role of "place-based policies" and local innovation ecosystems. </w:t>
      </w:r>
    </w:p>
    <w:p w14:paraId="5CEAA0BF" w14:textId="77777777" w:rsidR="002D52B2" w:rsidRPr="00CD05A8" w:rsidRDefault="002D52B2" w:rsidP="002D52B2">
      <w:pPr>
        <w:pStyle w:val="AbstractBookBaseParagraph"/>
        <w:rPr>
          <w:rFonts w:ascii="Noto Serif Light" w:hAnsi="Noto Serif Light" w:cs="Noto Serif Light"/>
        </w:rPr>
      </w:pPr>
    </w:p>
    <w:p w14:paraId="3025B819"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Literature suggests that different levels of government possess distinct strengths: national governments offer scale economy, while local governments benefit from geographical, economic, and administrative proximity to local firms. It is useful to examine whether complementarities are exerted through the simultaneous use of the supports (multilevel policy mix) reflecting each government's strengths.</w:t>
      </w:r>
    </w:p>
    <w:p w14:paraId="32146276" w14:textId="77777777" w:rsidR="002D52B2" w:rsidRPr="00CD05A8" w:rsidRDefault="002D52B2" w:rsidP="002D52B2">
      <w:pPr>
        <w:pStyle w:val="AbstractBookBaseParagraph"/>
        <w:rPr>
          <w:rFonts w:ascii="Noto Serif Light" w:hAnsi="Noto Serif Light" w:cs="Noto Serif Light"/>
        </w:rPr>
      </w:pPr>
    </w:p>
    <w:p w14:paraId="5312185E"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As the role of local governments facing severe budget constraints grows, not only the contribution of hard support (financing such as public subsidies and tax reduction) but also soft support (non-financing such as networking, advice and consultation) should be emphasized. In addition, market failure is not expected to occur only in capital markets but also in various markets. To address imperfections in the markets, hard support alone is insufficient; it is necessary to verify the effects of soft support as well (policy instrument mix).</w:t>
      </w:r>
    </w:p>
    <w:p w14:paraId="783D9D45" w14:textId="77777777" w:rsidR="002D52B2" w:rsidRPr="00CD05A8" w:rsidRDefault="002D52B2" w:rsidP="002D52B2">
      <w:pPr>
        <w:pStyle w:val="AbstractBookBaseParagraph"/>
        <w:rPr>
          <w:rFonts w:ascii="Noto Serif Light" w:hAnsi="Noto Serif Light" w:cs="Noto Serif Light"/>
        </w:rPr>
      </w:pPr>
    </w:p>
    <w:p w14:paraId="6EC75913"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While market failure is cited as justifying public policy, government failure in providing support is also indicated. With the progress of decentralization, the roles of local support organizations and businesses that engage in driving innovation within the framework of ecosystems have attracted attention. Place-based R&amp;D support from local supporters should be underlined because they would play a crucial role in mitigating such failures. Local supporters are required to engage in R&amp;D support in collaboration with governments (public-private R&amp;D support).</w:t>
      </w:r>
    </w:p>
    <w:p w14:paraId="70B1153A" w14:textId="77777777" w:rsidR="002D52B2" w:rsidRPr="00CD05A8" w:rsidRDefault="002D52B2" w:rsidP="002D52B2">
      <w:pPr>
        <w:pStyle w:val="AbstractBookBaseParagraph"/>
        <w:rPr>
          <w:rFonts w:ascii="Noto Serif Light" w:hAnsi="Noto Serif Light" w:cs="Noto Serif Light"/>
        </w:rPr>
      </w:pPr>
    </w:p>
    <w:p w14:paraId="54883E7E"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This study empirically examines whether R&amp;D support provided by diverse policy agents within a local ecosystem enhances firm innovation performance. In particular, we address a gap in existing literature by simultaneously investigating 1) a multilevel policy mix of national/prefectural and city governments, 2) a policy instrument mix of hard (financing) and soft (non-financing) support, and 3) a public-private partnership of governments and local supporters.</w:t>
      </w:r>
    </w:p>
    <w:p w14:paraId="09D23B52" w14:textId="77777777" w:rsidR="002D52B2" w:rsidRPr="00CD05A8" w:rsidRDefault="002D52B2" w:rsidP="002D52B2">
      <w:pPr>
        <w:pStyle w:val="AbstractBookBaseParagraph"/>
        <w:rPr>
          <w:rFonts w:ascii="Noto Serif Light" w:hAnsi="Noto Serif Light" w:cs="Noto Serif Light"/>
        </w:rPr>
      </w:pPr>
    </w:p>
    <w:p w14:paraId="613A8092"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Although prior research has partially verified these policy mixes through empirical analyses, none have simultaneously considered all of them to our knowledge. Especially, few studies have examined the effectiveness of public support at the city government level, and even fewer have assessed the impact of soft support compared to hard support. Furthermore, very few studies have examined the contribution of local supporters’ R&amp;D support and its complementarity with governments. The analysis from </w:t>
      </w:r>
      <w:r w:rsidRPr="00CD05A8">
        <w:rPr>
          <w:rFonts w:ascii="Noto Serif Light" w:hAnsi="Noto Serif Light" w:cs="Noto Serif Light"/>
        </w:rPr>
        <w:lastRenderedPageBreak/>
        <w:t>such perspectives would offer key insights into policy discussions where both market and government failures coexist, and how place-based R&amp;D support should be designed and implemented to achieve desirable performance.</w:t>
      </w:r>
    </w:p>
    <w:p w14:paraId="1C633B55" w14:textId="77777777" w:rsidR="002D52B2" w:rsidRPr="00CD05A8" w:rsidRDefault="002D52B2" w:rsidP="002D52B2">
      <w:pPr>
        <w:pStyle w:val="AbstractBookBaseParagraph"/>
        <w:rPr>
          <w:rFonts w:ascii="Noto Serif Light" w:hAnsi="Noto Serif Light" w:cs="Noto Serif Light"/>
        </w:rPr>
      </w:pPr>
    </w:p>
    <w:p w14:paraId="25E7DAA3"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Data was collected through an original online survey conducted between January and March 2022, targeting 8,424 firms in the manufacturing and software industries across 21 Japanese cities. The final sample included 516 firms, of which 504 were small and medium enterprises (SMEs). The survey gathered detailed information on the use of R&amp;D support from 2018–2020, as well as subjective and objective performance indicators. To ensure robustness, survey results were supplemented by financial data from the Orbis database and qualitative interviews with local government officials and firms.</w:t>
      </w:r>
    </w:p>
    <w:p w14:paraId="4ABB5FE1" w14:textId="77777777" w:rsidR="002D52B2" w:rsidRPr="00CD05A8" w:rsidRDefault="002D52B2" w:rsidP="002D52B2">
      <w:pPr>
        <w:pStyle w:val="AbstractBookBaseParagraph"/>
        <w:rPr>
          <w:rFonts w:ascii="Noto Serif Light" w:hAnsi="Noto Serif Light" w:cs="Noto Serif Light"/>
        </w:rPr>
      </w:pPr>
    </w:p>
    <w:p w14:paraId="115A0B37"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To address the endogeneity of R&amp;D support utilization (e.g., self-selection bias), the study employs Heckman’s two-stage estimation. The first stage estimates the probability of a firm using support based on policy interest, manager and firm attributes, while the second stage analyzes the impact of that support on firm innovation performance (sales, profits, employees, and new product development).</w:t>
      </w:r>
    </w:p>
    <w:p w14:paraId="466CF39A" w14:textId="77777777" w:rsidR="002D52B2" w:rsidRPr="00CD05A8" w:rsidRDefault="002D52B2" w:rsidP="002D52B2">
      <w:pPr>
        <w:pStyle w:val="AbstractBookBaseParagraph"/>
        <w:rPr>
          <w:rFonts w:ascii="Noto Serif Light" w:hAnsi="Noto Serif Light" w:cs="Noto Serif Light"/>
        </w:rPr>
      </w:pPr>
    </w:p>
    <w:p w14:paraId="5CCA44BE"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Our estimation results show that R&amp;D support from city governments, particularly soft support such as networking, advice and consultation, significantly contributes to firm innovation performance. Local supporters’ R&amp;D support also positively impacts performance. We find significant complementarity between R&amp;D support from city governments and local supporters. In contrast, national/prefectural R&amp;D support shows no significant effects, and we observe no significant complementarity regarding multilevel or policy instrument mixes. We confirm that the qualitative findings from our interviews with local government officials and firms are consistent with our quantitative findings.</w:t>
      </w:r>
    </w:p>
    <w:p w14:paraId="56BC1925" w14:textId="77777777" w:rsidR="002D52B2" w:rsidRPr="00CD05A8" w:rsidRDefault="002D52B2" w:rsidP="002D52B2">
      <w:pPr>
        <w:pStyle w:val="AbstractBookBaseParagraph"/>
        <w:rPr>
          <w:rFonts w:ascii="Noto Serif Light" w:hAnsi="Noto Serif Light" w:cs="Noto Serif Light"/>
        </w:rPr>
      </w:pPr>
    </w:p>
    <w:p w14:paraId="091D7E68"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We can derive several policy implications from our results. First, the role of government as an innovation intermediary should be emphasized in the implementation of R&amp;D support. Soft support, where governments intervene indirectly, is an effective measure for local innovation. Such support addresses various managerial challenges faced by local firms and contributes to establishing an environment that enhances innovation incentives. Thus, soft support is less likely to be exposed to government failure compared to direct hard support. As local governments face resource constraints, it is not desirable to rely solely on them for soft support. Rather, they should benefit from collaboration with local supporters that have sufficient expertise in such support and deep knowledge of local needs.</w:t>
      </w:r>
    </w:p>
    <w:p w14:paraId="4B8706B7" w14:textId="77777777" w:rsidR="002D52B2" w:rsidRPr="00CD05A8" w:rsidRDefault="002D52B2" w:rsidP="002D52B2">
      <w:pPr>
        <w:pStyle w:val="AbstractBookBaseParagraph"/>
        <w:rPr>
          <w:rFonts w:ascii="Noto Serif Light" w:hAnsi="Noto Serif Light" w:cs="Noto Serif Light"/>
        </w:rPr>
      </w:pPr>
    </w:p>
    <w:p w14:paraId="16197765"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Next, it is necessary to establish institutional coordination mechanisms between different levels of governments to realize an effective multilevel policy mix. In fact, the multilevel policy mix does not function effectively in Japan due to the absence of policy coordination between the national and local governments. The implementation of R&amp;D support by city governments heavily depends on resource availability and policy needs reflecting local economic potential. To promote the decentralization of innovation policy, the national government should consider local economic diversity when coordinating with lower-level government policies. Therefore, the mechanism for intentional and institutional information exchange and policy coordination across </w:t>
      </w:r>
      <w:r w:rsidRPr="00CD05A8">
        <w:rPr>
          <w:rFonts w:ascii="Noto Serif Light" w:hAnsi="Noto Serif Light" w:cs="Noto Serif Light"/>
        </w:rPr>
        <w:lastRenderedPageBreak/>
        <w:t>multilevel governments is useful for enhancing the effectiveness of the multilevel policy mix.</w:t>
      </w:r>
    </w:p>
    <w:p w14:paraId="6A061A28" w14:textId="77777777" w:rsidR="002D52B2" w:rsidRPr="00CD05A8" w:rsidRDefault="002D52B2" w:rsidP="002D52B2">
      <w:pPr>
        <w:pStyle w:val="AbstractBookBaseParagraph"/>
        <w:rPr>
          <w:rFonts w:ascii="Noto Serif Light" w:hAnsi="Noto Serif Light" w:cs="Noto Serif Light"/>
        </w:rPr>
      </w:pPr>
    </w:p>
    <w:p w14:paraId="072660C7"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Finally, to improve the effectiveness of a policy instrument mix, we need to attract firms’ interest in R&amp;D support and encourage them to use both hard and soft support simultaneously. Indeed, we found low awareness of R&amp;D policies among local firms. It is necessary to build a scheme for better information sharing that allows local firms to grasp the overall picture of the available R&amp;D policies. In particular, governments should design their policies to enhance local firms’ commitment. Policy objectives and institutional design should be aligned so that greater discretion might be given to firms in using the budgets for R&amp;D support. Such restructuring of policy design would attract more participation from motivated firms and enhance policy effectiveness.</w:t>
      </w:r>
    </w:p>
    <w:p w14:paraId="665B6983" w14:textId="77777777" w:rsidR="002D52B2" w:rsidRPr="00CD05A8" w:rsidRDefault="002D52B2" w:rsidP="002D52B2">
      <w:pPr>
        <w:pStyle w:val="AbstractBookBaseParagraph"/>
        <w:rPr>
          <w:rFonts w:ascii="Noto Serif Light" w:hAnsi="Noto Serif Light" w:cs="Noto Serif Light"/>
        </w:rPr>
      </w:pPr>
    </w:p>
    <w:p w14:paraId="5BEBC1C5"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Our analyses may have some limitations. First, since we use subjective evaluations (e.g., sales, profits, and emp) based on survey data, there is a concern about common method bias. Thus, we conducted robustness checks by employing objective indicators derived from a company database such as ROA. Second, the effect of hard support is possibly underestimated. For example, we cannot directly use the subsidy amount in our analyses due to data limitations, thereby measurement error in the variable cause attenuation bias. Finally, even after controlling for the endogeneity of receiving public R&amp;D support with the Heckman two-stage model, important firm attributes such as management quality and the specific technological knowledge are not observed in the model, which may cause omitted variable bias in the estimation. However, despite these limitations due to limited data availability, our survey provides valuable data which may sufficiently support original contributions and policy implications of this study.</w:t>
      </w:r>
    </w:p>
    <w:p w14:paraId="7E759414"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br w:type="page"/>
      </w:r>
    </w:p>
    <w:p w14:paraId="25E3A9E8" w14:textId="1EDA9490" w:rsidR="002D52B2" w:rsidRDefault="00390C9C" w:rsidP="002D52B2">
      <w:pPr>
        <w:pStyle w:val="ABSubhead"/>
      </w:pPr>
      <w:r>
        <w:lastRenderedPageBreak/>
        <w:t xml:space="preserve">O34. </w:t>
      </w:r>
      <w:r w:rsidR="002D52B2" w:rsidRPr="00CD05A8">
        <w:t xml:space="preserve">Ticket </w:t>
      </w:r>
      <w:r w:rsidR="002D52B2">
        <w:t>t</w:t>
      </w:r>
      <w:r w:rsidR="002D52B2" w:rsidRPr="00CD05A8">
        <w:t>o Impact: Estimating the Impact of Public Transport Infrastructure on Collaborative Research Projects</w:t>
      </w:r>
    </w:p>
    <w:p w14:paraId="29FA00E0" w14:textId="77777777" w:rsidR="002D52B2" w:rsidRPr="00220128" w:rsidRDefault="002D52B2" w:rsidP="002D52B2">
      <w:pPr>
        <w:pStyle w:val="ABParagraph"/>
      </w:pPr>
    </w:p>
    <w:p w14:paraId="770051CF" w14:textId="77777777" w:rsidR="002D52B2" w:rsidRPr="00CD05A8" w:rsidRDefault="002D52B2" w:rsidP="002D52B2">
      <w:pPr>
        <w:pStyle w:val="AbstractBookAuthors"/>
        <w:rPr>
          <w:rFonts w:ascii="Noto Serif Light" w:hAnsi="Noto Serif Light" w:cs="Noto Serif Light"/>
        </w:rPr>
      </w:pPr>
      <w:r w:rsidRPr="00CD05A8">
        <w:rPr>
          <w:rStyle w:val="AbstractBookPresentingAuthor"/>
          <w:rFonts w:ascii="Noto Serif Light" w:hAnsi="Noto Serif Light" w:cs="Noto Serif Light"/>
        </w:rPr>
        <w:t>Dr Carolin Ioramashvili</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Nicholas Sweeney</w:t>
      </w:r>
      <w:r w:rsidRPr="00CD05A8">
        <w:rPr>
          <w:rFonts w:ascii="Noto Serif Light" w:hAnsi="Noto Serif Light" w:cs="Noto Serif Light"/>
          <w:vertAlign w:val="superscript"/>
        </w:rPr>
        <w:t>2</w:t>
      </w:r>
    </w:p>
    <w:p w14:paraId="624F7A7E" w14:textId="77777777" w:rsidR="002D52B2" w:rsidRDefault="002D52B2" w:rsidP="002D52B2">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University </w:t>
      </w:r>
      <w:r>
        <w:rPr>
          <w:rStyle w:val="AbstractBookBaseCharacterStyle"/>
          <w:rFonts w:ascii="Noto Serif Light" w:hAnsi="Noto Serif Light" w:cs="Noto Serif Light"/>
        </w:rPr>
        <w:t>o</w:t>
      </w:r>
      <w:r w:rsidRPr="00CD05A8">
        <w:rPr>
          <w:rStyle w:val="AbstractBookBaseCharacterStyle"/>
          <w:rFonts w:ascii="Noto Serif Light" w:hAnsi="Noto Serif Light" w:cs="Noto Serif Light"/>
        </w:rPr>
        <w:t xml:space="preserve">f Sussex, Brighton, United Kingdom, </w:t>
      </w:r>
      <w:r w:rsidRPr="00CD05A8">
        <w:rPr>
          <w:rFonts w:ascii="Noto Serif Light" w:hAnsi="Noto Serif Light" w:cs="Noto Serif Light"/>
          <w:vertAlign w:val="superscript"/>
        </w:rPr>
        <w:t>2</w:t>
      </w:r>
      <w:r w:rsidRPr="00CD05A8">
        <w:rPr>
          <w:rStyle w:val="AbstractBookBaseCharacterStyle"/>
          <w:rFonts w:ascii="Noto Serif Light" w:hAnsi="Noto Serif Light" w:cs="Noto Serif Light"/>
        </w:rPr>
        <w:t>University of Manchester, Manchester, United Kingdom</w:t>
      </w:r>
    </w:p>
    <w:p w14:paraId="1E1B1D33" w14:textId="77777777" w:rsidR="002D52B2" w:rsidRDefault="002D52B2" w:rsidP="002D52B2">
      <w:pPr>
        <w:pStyle w:val="AbstractBookBaseParagraph"/>
        <w:rPr>
          <w:rStyle w:val="AbstractBookBaseCharacterStyle"/>
          <w:rFonts w:ascii="Noto Serif Light" w:hAnsi="Noto Serif Light" w:cs="Noto Serif Light"/>
        </w:rPr>
      </w:pPr>
    </w:p>
    <w:p w14:paraId="113BF6CF" w14:textId="77777777" w:rsidR="002D52B2" w:rsidRPr="00220128" w:rsidRDefault="002D52B2" w:rsidP="002D52B2">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44782F67"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This project provides evidence on whether connectivity drives impact of collaborative research projects, and on the value of rail infrastructure as an enabler of such impacts. </w:t>
      </w:r>
    </w:p>
    <w:p w14:paraId="51BF51D7" w14:textId="77777777" w:rsidR="002D52B2" w:rsidRPr="00CD05A8" w:rsidRDefault="002D52B2" w:rsidP="002D52B2">
      <w:pPr>
        <w:pStyle w:val="AbstractBookBaseParagraph"/>
        <w:rPr>
          <w:rFonts w:ascii="Noto Serif Light" w:hAnsi="Noto Serif Light" w:cs="Noto Serif Light"/>
        </w:rPr>
      </w:pPr>
    </w:p>
    <w:p w14:paraId="33B393A0"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It is well established that the germination, development and sharing of new ideas benefits from face-to-face interaction. New, particularly complex and contextual knowledge is described as tacit, or non-codifiable (Polanyi, 1966). This idea underpins theories of why dense cities are more innovative (Storper &amp; Venables, 2004). Empirically, it has been shown that knowledge is surprisingly geographically sticky (Storper &amp; Sonn, 2008; Van der Wouden &amp; Youn, 2023) and that breakthrough ideas are more likely to emerge from urban areas (Berkes &amp; Gaetani). Furthermore, face-to-face interaction including through conferences (Chai &amp; Freeman, 2019), non-stop flights (Bahar et al., 2023) and high-speed rail (Kang et al., 2023) increases the likelihood of collaboration. In this, vein, the research question for this project asks: What is the impact of transport connectivity on research productivity in collaborative research projects?</w:t>
      </w:r>
    </w:p>
    <w:p w14:paraId="0B3337E5" w14:textId="77777777" w:rsidR="002D52B2" w:rsidRPr="00CD05A8" w:rsidRDefault="002D52B2" w:rsidP="002D52B2">
      <w:pPr>
        <w:pStyle w:val="AbstractBookBaseParagraph"/>
        <w:rPr>
          <w:rFonts w:ascii="Noto Serif Light" w:hAnsi="Noto Serif Light" w:cs="Noto Serif Light"/>
        </w:rPr>
      </w:pPr>
    </w:p>
    <w:p w14:paraId="46F40CB4" w14:textId="77777777" w:rsidR="002D52B2"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To identify the impact of rail connectivity on outcomes of collaborative research projects, we rely on the unexpected nature of delays. A simple model could regress project impact on a measure of rail connectivity between collaborators. However, selection effects are likely at play, in that well-connected organisations are more likely to collaborate. Therefore, we derive a treatment variable based on a sudden deterioration in connectivity after the start of a project. Given that delays are often related to engineering problems or natural forces, these would not be anticipated by project partners before the start of a project. </w:t>
      </w:r>
    </w:p>
    <w:p w14:paraId="1B983E4B" w14:textId="77777777" w:rsidR="002D52B2" w:rsidRDefault="002D52B2" w:rsidP="002D52B2">
      <w:pPr>
        <w:pStyle w:val="AbstractBookBaseParagraph"/>
        <w:rPr>
          <w:rFonts w:ascii="Noto Serif Light" w:hAnsi="Noto Serif Light" w:cs="Noto Serif Light"/>
        </w:rPr>
      </w:pPr>
    </w:p>
    <w:p w14:paraId="3A9A821D"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Operationalising this approach, for each rail operator we develop a timeseries of delay times. Using econometric techniques to identify breaks in a series, we identify instances of a sudden deterioration in rail performance by an operator. Collaborative projects where the connection between partners was affected by a sudden service deterioration are considered as the treatment group, whereas projects with no change in rail connectivity are used as the control group. </w:t>
      </w:r>
    </w:p>
    <w:p w14:paraId="547E5538" w14:textId="77777777" w:rsidR="002D52B2" w:rsidRPr="00CD05A8" w:rsidRDefault="002D52B2" w:rsidP="002D52B2">
      <w:pPr>
        <w:pStyle w:val="AbstractBookBaseParagraph"/>
        <w:rPr>
          <w:rFonts w:ascii="Noto Serif Light" w:hAnsi="Noto Serif Light" w:cs="Noto Serif Light"/>
        </w:rPr>
      </w:pPr>
    </w:p>
    <w:p w14:paraId="0D983883"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Making use of the disambiguation and added variables on the GtR+ dataset, postcodes are used to geocode organisations. Using Geographical Information Systems (GIS) tools, participant location data will be linked with data from the ORR on train delays. The ORR publishes quarterly performance statistics by train operator and station, including the share of punctual trains and the share of cancelled trains. We will focus on the operator of the fastest rail link between two universities. </w:t>
      </w:r>
    </w:p>
    <w:p w14:paraId="23BCB409" w14:textId="77777777" w:rsidR="002D52B2" w:rsidRPr="00CD05A8" w:rsidRDefault="002D52B2" w:rsidP="002D52B2">
      <w:pPr>
        <w:pStyle w:val="AbstractBookBaseParagraph"/>
        <w:rPr>
          <w:rFonts w:ascii="Noto Serif Light" w:hAnsi="Noto Serif Light" w:cs="Noto Serif Light"/>
        </w:rPr>
      </w:pPr>
    </w:p>
    <w:p w14:paraId="19538AD3" w14:textId="77777777" w:rsidR="002D52B2" w:rsidRDefault="002D52B2" w:rsidP="002D52B2">
      <w:pPr>
        <w:pStyle w:val="AbstractBookBaseParagraph"/>
        <w:rPr>
          <w:rFonts w:ascii="Noto Serif Light" w:hAnsi="Noto Serif Light" w:cs="Noto Serif Light"/>
        </w:rPr>
      </w:pPr>
      <w:r w:rsidRPr="00CD05A8">
        <w:rPr>
          <w:rFonts w:ascii="Noto Serif Light" w:hAnsi="Noto Serif Light" w:cs="Noto Serif Light"/>
        </w:rPr>
        <w:lastRenderedPageBreak/>
        <w:t xml:space="preserve">We rely on the publication and patent data on the GtR+ dataset to measure project outcomes and impacts. Beyond sheer counts of outputs, we consider both indicators of quality, e.g. number of citations, but also more granular measures of collaboration. For example, collaborative projects could become atomised if interaction is hindered. We develop indicators of the intensity of collaboration, looking at whether participants from different organisations are listed among the first authors of a paper, rather than first authors representing one organisation only with collaborator organisations having made a less significant contribution to a publication. </w:t>
      </w:r>
    </w:p>
    <w:p w14:paraId="3501740E" w14:textId="77777777" w:rsidR="002D52B2" w:rsidRPr="00CD05A8" w:rsidRDefault="002D52B2" w:rsidP="002D52B2">
      <w:pPr>
        <w:pStyle w:val="AbstractBookBaseParagraph"/>
        <w:rPr>
          <w:rFonts w:ascii="Noto Serif Light" w:hAnsi="Noto Serif Light" w:cs="Noto Serif Light"/>
        </w:rPr>
      </w:pPr>
    </w:p>
    <w:p w14:paraId="13CE07CB"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With this basic set up, we can investigate heterogeneity by funder, programme type or subject and technology, making use of the enriched GtR+ data. Face-to-face interaction may be more important in certain kinds of projects. Furthermore, we will investigate heterogeneity by organisation type. For example, collaborations between universities and businesses might require more interaction to bridge cultural and institutional distances (Boschma, 2005). Given the availability of a long time series since 2013, we can also test whether there were any behaviour changes following the Covid-19 pandemic and a greater shift to working from home and virtual means of interacting. </w:t>
      </w:r>
    </w:p>
    <w:p w14:paraId="620DADE4" w14:textId="77777777" w:rsidR="002D52B2" w:rsidRPr="00CD05A8" w:rsidRDefault="002D52B2" w:rsidP="002D52B2">
      <w:pPr>
        <w:pStyle w:val="AbstractBookBaseParagraph"/>
        <w:rPr>
          <w:rFonts w:ascii="Noto Serif Light" w:hAnsi="Noto Serif Light" w:cs="Noto Serif Light"/>
        </w:rPr>
      </w:pPr>
    </w:p>
    <w:p w14:paraId="41D4F80B"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br w:type="page"/>
      </w:r>
    </w:p>
    <w:p w14:paraId="5FD84305" w14:textId="69021562" w:rsidR="00F44FCB" w:rsidRDefault="00F44FCB" w:rsidP="00F44FCB">
      <w:pPr>
        <w:pStyle w:val="ABSubhead"/>
      </w:pPr>
      <w:r>
        <w:lastRenderedPageBreak/>
        <w:t xml:space="preserve">O35. </w:t>
      </w:r>
      <w:r w:rsidR="00D047BB" w:rsidRPr="00D047BB">
        <w:t>The Camouflage Green Transition: Defence Restructuring and Path-Dependent Regional Development in Peripheral Regions</w:t>
      </w:r>
    </w:p>
    <w:p w14:paraId="068FF4B5" w14:textId="77777777" w:rsidR="00F44FCB" w:rsidRPr="00167939" w:rsidRDefault="00F44FCB" w:rsidP="00F44FCB">
      <w:pPr>
        <w:pStyle w:val="ABParagraph"/>
      </w:pPr>
    </w:p>
    <w:p w14:paraId="5BAB67B8" w14:textId="77777777" w:rsidR="00F44FCB" w:rsidRPr="00167939" w:rsidRDefault="00F44FCB" w:rsidP="00F44FCB">
      <w:pPr>
        <w:pStyle w:val="AbstractBookAuthors"/>
        <w:rPr>
          <w:rFonts w:ascii="Noto Serif Light" w:hAnsi="Noto Serif Light" w:cs="Noto Serif Light"/>
        </w:rPr>
      </w:pPr>
      <w:r w:rsidRPr="00167939">
        <w:rPr>
          <w:rStyle w:val="AbstractBookPresentingAuthor"/>
          <w:rFonts w:ascii="Noto Serif Light" w:hAnsi="Noto Serif Light" w:cs="Noto Serif Light"/>
        </w:rPr>
        <w:t>Professor Rune Fitjar</w:t>
      </w:r>
      <w:r w:rsidRPr="00167939">
        <w:rPr>
          <w:rFonts w:ascii="Noto Serif Light" w:hAnsi="Noto Serif Light" w:cs="Noto Serif Light"/>
          <w:vertAlign w:val="superscript"/>
        </w:rPr>
        <w:t>1</w:t>
      </w:r>
      <w:r w:rsidRPr="00167939">
        <w:rPr>
          <w:rStyle w:val="AbstractBookBaseCharacterStyle"/>
          <w:rFonts w:ascii="Noto Serif Light" w:hAnsi="Noto Serif Light" w:cs="Noto Serif Light"/>
        </w:rPr>
        <w:t>, Tom Broekel</w:t>
      </w:r>
      <w:r w:rsidRPr="00167939">
        <w:rPr>
          <w:rFonts w:ascii="Noto Serif Light" w:hAnsi="Noto Serif Light" w:cs="Noto Serif Light"/>
          <w:vertAlign w:val="superscript"/>
        </w:rPr>
        <w:t>1</w:t>
      </w:r>
    </w:p>
    <w:p w14:paraId="59B6DEE0" w14:textId="77777777" w:rsidR="00F44FCB" w:rsidRPr="00167939" w:rsidRDefault="00F44FCB" w:rsidP="00F44FCB">
      <w:pPr>
        <w:pStyle w:val="AbstractBookBaseParagraph"/>
        <w:rPr>
          <w:rStyle w:val="AbstractBookBaseCharacterStyle"/>
          <w:rFonts w:ascii="Noto Serif Light" w:hAnsi="Noto Serif Light" w:cs="Noto Serif Light"/>
        </w:rPr>
      </w:pPr>
      <w:r w:rsidRPr="00167939">
        <w:rPr>
          <w:rFonts w:ascii="Noto Serif Light" w:hAnsi="Noto Serif Light" w:cs="Noto Serif Light"/>
          <w:vertAlign w:val="superscript"/>
        </w:rPr>
        <w:t>1</w:t>
      </w:r>
      <w:r w:rsidRPr="00167939">
        <w:rPr>
          <w:rStyle w:val="AbstractBookBaseCharacterStyle"/>
          <w:rFonts w:ascii="Noto Serif Light" w:hAnsi="Noto Serif Light" w:cs="Noto Serif Light"/>
        </w:rPr>
        <w:t xml:space="preserve">University </w:t>
      </w:r>
      <w:r>
        <w:rPr>
          <w:rStyle w:val="AbstractBookBaseCharacterStyle"/>
          <w:rFonts w:ascii="Noto Serif Light" w:hAnsi="Noto Serif Light" w:cs="Noto Serif Light"/>
        </w:rPr>
        <w:t>o</w:t>
      </w:r>
      <w:r w:rsidRPr="00167939">
        <w:rPr>
          <w:rStyle w:val="AbstractBookBaseCharacterStyle"/>
          <w:rFonts w:ascii="Noto Serif Light" w:hAnsi="Noto Serif Light" w:cs="Noto Serif Light"/>
        </w:rPr>
        <w:t>f Stavanger, Stavanger, Norway</w:t>
      </w:r>
    </w:p>
    <w:p w14:paraId="579119D4" w14:textId="77777777" w:rsidR="00F44FCB" w:rsidRPr="00167939" w:rsidRDefault="00F44FCB" w:rsidP="00F44FCB">
      <w:pPr>
        <w:pStyle w:val="AbstractBookBaseParagraph"/>
        <w:rPr>
          <w:rFonts w:ascii="Noto Serif Light" w:hAnsi="Noto Serif Light" w:cs="Noto Serif Light"/>
        </w:rPr>
      </w:pPr>
    </w:p>
    <w:p w14:paraId="7498CDC7" w14:textId="77777777" w:rsidR="00F44FCB" w:rsidRPr="00167939" w:rsidRDefault="00F44FCB" w:rsidP="00F44FCB">
      <w:pPr>
        <w:pStyle w:val="AbstractBookBaseParagraph"/>
        <w:rPr>
          <w:rFonts w:ascii="Noto Serif Light" w:hAnsi="Noto Serif Light" w:cs="Noto Serif Light"/>
          <w:b/>
          <w:bCs/>
        </w:rPr>
      </w:pPr>
      <w:r w:rsidRPr="00167939">
        <w:rPr>
          <w:rFonts w:ascii="Noto Serif Light" w:hAnsi="Noto Serif Light" w:cs="Noto Serif Light"/>
          <w:b/>
          <w:bCs/>
        </w:rPr>
        <w:t>Abstract:</w:t>
      </w:r>
    </w:p>
    <w:p w14:paraId="251B3D7C" w14:textId="77777777" w:rsidR="00F44FCB" w:rsidRDefault="00F44FCB" w:rsidP="00F44FCB">
      <w:pPr>
        <w:pStyle w:val="ABParagraph"/>
      </w:pPr>
      <w:r>
        <w:t>The twin green and digital transitions have long structured European industrial and regional policy debates. Yet, escalating geopolitical tensions and renewed emphasis on strategic autonomy are increasingly giving rise to transition in a different direction - or what may be termed a camouflage green transition: a reorientation of public expenditure toward defence and military sectors, justified in part by technological upgrading, energy security, and resilience. This shift has potentially profound implications for the economic geography of production. Unlike many high-tech civilian industries, defence infrastructures and capabilities are often territorially distributed and strategically located in  peripheral and border regions to ensure national security. Despite this, we know little about how expanding or restructuring defence activities interact with existing regional capabilities and long-run development trajectories.</w:t>
      </w:r>
    </w:p>
    <w:p w14:paraId="211290FF" w14:textId="77777777" w:rsidR="00F44FCB" w:rsidRDefault="00F44FCB" w:rsidP="00F44FCB">
      <w:pPr>
        <w:pStyle w:val="ABParagraph"/>
      </w:pPr>
    </w:p>
    <w:p w14:paraId="60513D08" w14:textId="77777777" w:rsidR="00F44FCB" w:rsidRDefault="00F44FCB" w:rsidP="00F44FCB">
      <w:pPr>
        <w:pStyle w:val="ABParagraph"/>
      </w:pPr>
      <w:r>
        <w:t>Earlier research has documented the uneven regional distribution of defence expenditures and their role in shaping high-technology complexes (e.g., Markusen et al., 1991; Castells &amp; Hall, 1994; Sternberg, 1996). More recent debates highlight the resurgence of defence industrial policy and partial renationalization of strategic sectors in Europe (Giacomello &amp; Preka, 2023; Matthews et al., 2025). However, these strands remain weakly connected to evolutionary economic geography (EEG), which emphasizes path dependence, related diversification, and capability recombination as central mechanisms of regional development (Frenken, Van Oort &amp; Verburg, 2007; Boschma, 2017). EEG research has shown that regions tend to diversify into activities that are cognitively related to their existing industrial and occupational structures, with recent contributions specifying the role of skill- and occupation-relatedness in shaping job growth and structural change (Deegan et al., 2024; Broekel, Fitjar &amp; Haus-Reve, 2025).</w:t>
      </w:r>
    </w:p>
    <w:p w14:paraId="279F572A" w14:textId="77777777" w:rsidR="00F44FCB" w:rsidRDefault="00F44FCB" w:rsidP="00F44FCB">
      <w:pPr>
        <w:pStyle w:val="ABParagraph"/>
      </w:pPr>
    </w:p>
    <w:p w14:paraId="26DFB862" w14:textId="77777777" w:rsidR="00F44FCB" w:rsidRDefault="00F44FCB" w:rsidP="00F44FCB">
      <w:pPr>
        <w:pStyle w:val="ABParagraph"/>
      </w:pPr>
      <w:r>
        <w:t>Yet this literature typically abstracts from abrupt, politically induced shocks that reconfigure sectoral presence largely independent of regional capability endowments. We argue that defence restructuring provides a particularly suitable empirical setting to study such exogenous perturbations. Military base closures, relocations, and expansions are primarily driven by national security strategies and geopolitical considerations rather than regional economic logics. At the same time, they reallocate substantial public employment, procurement  demand, and supplier linkages. In Norway, major changes between 2008 and 2022, including base consolidation and relocation decisions, have significantly reshaped the spatial organization of defence activities. These developments combine elements of strategic autonomy and defence modernization with regionally uneven restructuring effects.</w:t>
      </w:r>
    </w:p>
    <w:p w14:paraId="6FB13E12" w14:textId="77777777" w:rsidR="00F44FCB" w:rsidRDefault="00F44FCB" w:rsidP="00F44FCB">
      <w:pPr>
        <w:pStyle w:val="ABParagraph"/>
      </w:pPr>
    </w:p>
    <w:p w14:paraId="7DA73AC3" w14:textId="77777777" w:rsidR="00F44FCB" w:rsidRDefault="00F44FCB" w:rsidP="00F44FCB">
      <w:pPr>
        <w:pStyle w:val="ABParagraph"/>
      </w:pPr>
      <w:r>
        <w:t xml:space="preserve">Conceptually, we frame defence restructuring as an exogenous shock to the relative locational importance of a sector within regional economies. From an EEG perspective, </w:t>
      </w:r>
      <w:r>
        <w:lastRenderedPageBreak/>
        <w:t>such shocks may reinforce path dependence where defence-related capabilities overlap with existing civilian industries, enabling related diversification and cumulative growth. Conversely, in regions lacking related capabilities, defence expansion may remain enclave-like, generate limited spillovers, or even crowd out alternative development paths. Peripheral regions are of particular interest: while they may benefit from new public investments and stable employment, their long-term development ecects depend on the degree of occupational and industrial relatedness between defence and civilian activities.</w:t>
      </w:r>
    </w:p>
    <w:p w14:paraId="13863F5B" w14:textId="77777777" w:rsidR="00F44FCB" w:rsidRDefault="00F44FCB" w:rsidP="00F44FCB">
      <w:pPr>
        <w:pStyle w:val="ABParagraph"/>
      </w:pPr>
    </w:p>
    <w:p w14:paraId="20394AEC" w14:textId="77777777" w:rsidR="00F44FCB" w:rsidRDefault="00F44FCB" w:rsidP="00F44FCB">
      <w:pPr>
        <w:pStyle w:val="ABParagraph"/>
      </w:pPr>
      <w:r>
        <w:t>Empirically, we draw on Norwegian linked employer–employee data covering 2008–2022. We construct measures of industrial and occupational relatedness based on labour flows and skill-profile similarity, following established approaches in related diversification research. We then estimate how expansions and contractions of regional defence employment influence (i) growth in related industries, (ii) diversification into related occupations, and (iii) potential path-creation into less related activities. By distinguishing between direct employment effects and indirect capability spillovers, we assess whether the camouflage green transition functions as a catalyst for broader regional transformation or primarily as a politically induced redistribution of public employment.</w:t>
      </w:r>
    </w:p>
    <w:p w14:paraId="50FBF070" w14:textId="77777777" w:rsidR="00F44FCB" w:rsidRDefault="00F44FCB" w:rsidP="00F44FCB">
      <w:pPr>
        <w:pStyle w:val="ABParagraph"/>
      </w:pPr>
    </w:p>
    <w:p w14:paraId="6C43D512" w14:textId="77777777" w:rsidR="00F44FCB" w:rsidRDefault="00F44FCB" w:rsidP="00F44FCB">
      <w:pPr>
        <w:pStyle w:val="ABParagraph"/>
      </w:pPr>
      <w:r>
        <w:t>The paper contributes to three debates. First, it integrates defence restructuring into EEG by explicitly modelling  politically induced, partly exogenous sectoral shifts within a path-dependent framework. Second, it advances understanding of how public-sector investments, often treated as external to regional capability dynamics, interact with existing industrial and occupational structures. Third, it provides evidence on the regional implications of contemporary defence reorganization in a small, open economy, offering insights relevant to peripheral and border regions across Europe. By foregrounding the defence sector as both a vehicle of strategic autonomy and a potential driver of regional diversification, the paper reframes the camouflage green transition not merely as a macro-fiscal phenomenon but as a spatially differentiated process of capability recombination and industrial evolution.</w:t>
      </w:r>
    </w:p>
    <w:p w14:paraId="01521252" w14:textId="77777777" w:rsidR="00F44FCB" w:rsidRDefault="00F44FCB" w:rsidP="00F44FCB">
      <w:pPr>
        <w:pStyle w:val="ABParagraph"/>
      </w:pPr>
    </w:p>
    <w:p w14:paraId="44959427" w14:textId="77777777" w:rsidR="00F44FCB" w:rsidRPr="00167939" w:rsidRDefault="00F44FCB" w:rsidP="00F44FCB">
      <w:pPr>
        <w:pStyle w:val="ABParagraph"/>
        <w:rPr>
          <w:b/>
          <w:bCs/>
        </w:rPr>
      </w:pPr>
      <w:r w:rsidRPr="00167939">
        <w:rPr>
          <w:b/>
          <w:bCs/>
        </w:rPr>
        <w:t>References</w:t>
      </w:r>
    </w:p>
    <w:p w14:paraId="39617722" w14:textId="77777777" w:rsidR="00F44FCB" w:rsidRDefault="00F44FCB" w:rsidP="00F44FCB">
      <w:pPr>
        <w:pStyle w:val="ABParagraph"/>
        <w:numPr>
          <w:ilvl w:val="0"/>
          <w:numId w:val="9"/>
        </w:numPr>
      </w:pPr>
      <w:r>
        <w:t>Boschma, R. (2017). Relatedness as driver of regional diversification: A research agenda. Regional Studies, 51(3), 351–364. https://doi.org/10.1080/00343404.2016.1254767</w:t>
      </w:r>
    </w:p>
    <w:p w14:paraId="6B2425EC" w14:textId="77777777" w:rsidR="00F44FCB" w:rsidRDefault="00F44FCB" w:rsidP="00F44FCB">
      <w:pPr>
        <w:pStyle w:val="ABParagraph"/>
        <w:numPr>
          <w:ilvl w:val="0"/>
          <w:numId w:val="9"/>
        </w:numPr>
      </w:pPr>
      <w:r>
        <w:t>Broekel, T., Fitjar, R. D., &amp; Haus-Reve, S. (2025). Diversity, complexity, or the relatedness of occupations. In M. Andersson, C. Karlsson, &amp; S. Wixe (Eds.), The Oxford handbook of spatial diversity and business economics (pp. 198–226). Oxford University Press. https://doi.org/10.1093/oxfordhb/9780198866190.013.0020</w:t>
      </w:r>
    </w:p>
    <w:p w14:paraId="64CFAF04" w14:textId="77777777" w:rsidR="00F44FCB" w:rsidRDefault="00F44FCB" w:rsidP="00F44FCB">
      <w:pPr>
        <w:pStyle w:val="ABParagraph"/>
        <w:numPr>
          <w:ilvl w:val="0"/>
          <w:numId w:val="9"/>
        </w:numPr>
      </w:pPr>
      <w:r>
        <w:t>Castells, M., &amp; Hall, P. (1994). Technopoles of the world: The making of twenty-first century industrial complexes. Routledge.</w:t>
      </w:r>
    </w:p>
    <w:p w14:paraId="0E7A1608" w14:textId="77777777" w:rsidR="00F44FCB" w:rsidRDefault="00F44FCB" w:rsidP="00F44FCB">
      <w:pPr>
        <w:pStyle w:val="ABParagraph"/>
        <w:numPr>
          <w:ilvl w:val="0"/>
          <w:numId w:val="9"/>
        </w:numPr>
      </w:pPr>
      <w:r>
        <w:t>Deegan, J., Broekel, T., Haus-Reve, S., &amp; Dahl Fitjar, R. (2024). How regions diversify into new jobs: From related industries or related occupations? Regional Studies, 1–16. https://doi.org/10.1080/00343404.2024.2335265</w:t>
      </w:r>
    </w:p>
    <w:p w14:paraId="7CABE1C2" w14:textId="77777777" w:rsidR="00F44FCB" w:rsidRDefault="00F44FCB" w:rsidP="00F44FCB">
      <w:pPr>
        <w:pStyle w:val="ABParagraph"/>
        <w:numPr>
          <w:ilvl w:val="0"/>
          <w:numId w:val="9"/>
        </w:numPr>
      </w:pPr>
      <w:r>
        <w:t>Frenken, K., Van Oort, F., &amp; Verburg, T. (2007). Related variety, unrelated variety and regional economic growth. Regional Studies, 41(5), 685–697. https://doi.org/10.1080/00343400601120296</w:t>
      </w:r>
    </w:p>
    <w:p w14:paraId="6900B9CC" w14:textId="77777777" w:rsidR="00F44FCB" w:rsidRDefault="00F44FCB" w:rsidP="00F44FCB">
      <w:pPr>
        <w:pStyle w:val="ABParagraph"/>
        <w:numPr>
          <w:ilvl w:val="0"/>
          <w:numId w:val="9"/>
        </w:numPr>
      </w:pPr>
      <w:r>
        <w:lastRenderedPageBreak/>
        <w:t>Giacomello, G., &amp; Preka, O. (2023). Sources of strength: Mapping the defence sector in Europe. Defence Studies, 23(4), 531–560.</w:t>
      </w:r>
    </w:p>
    <w:p w14:paraId="5BE4BDB8" w14:textId="77777777" w:rsidR="00F44FCB" w:rsidRDefault="00F44FCB" w:rsidP="00F44FCB">
      <w:pPr>
        <w:pStyle w:val="ABParagraph"/>
        <w:numPr>
          <w:ilvl w:val="0"/>
          <w:numId w:val="9"/>
        </w:numPr>
      </w:pPr>
      <w:r>
        <w:t>Hassink, R. (1999). Der Strukturwandel der Rüstungsindustrie und seine Bedeutung für die Wirtschaftsgeographie. Zeitschrift für Wirtschaftsgeographie, 43(1), 76–89.</w:t>
      </w:r>
    </w:p>
    <w:p w14:paraId="714F2A49" w14:textId="77777777" w:rsidR="00F44FCB" w:rsidRDefault="00F44FCB" w:rsidP="00F44FCB">
      <w:pPr>
        <w:pStyle w:val="ABParagraph"/>
        <w:numPr>
          <w:ilvl w:val="0"/>
          <w:numId w:val="9"/>
        </w:numPr>
      </w:pPr>
      <w:r>
        <w:t>Markusen, A., Hall, P., Campbell, S., &amp; Deitrick, S. (1991). The rise of the gunbelt: The military remapping of industrial America. Oxford University Press.</w:t>
      </w:r>
    </w:p>
    <w:p w14:paraId="051628AF" w14:textId="77777777" w:rsidR="00F44FCB" w:rsidRDefault="00F44FCB" w:rsidP="00F44FCB">
      <w:pPr>
        <w:pStyle w:val="ABParagraph"/>
        <w:numPr>
          <w:ilvl w:val="0"/>
          <w:numId w:val="9"/>
        </w:numPr>
      </w:pPr>
      <w:r>
        <w:t>Matthews, R., Vivoda, V., &amp; Leal, R. (2025). Deglobalization and the rehabilitation of Western defense industrial sovereignty. Comparative Strategy.</w:t>
      </w:r>
    </w:p>
    <w:p w14:paraId="3E238649" w14:textId="77777777" w:rsidR="00F44FCB" w:rsidRDefault="00F44FCB" w:rsidP="00F44FCB">
      <w:pPr>
        <w:pStyle w:val="ABParagraph"/>
        <w:numPr>
          <w:ilvl w:val="0"/>
          <w:numId w:val="9"/>
        </w:numPr>
      </w:pPr>
      <w:r>
        <w:t>Rossiter, A., Kurç, Ç., &amp; Novella, M. (2025). Defence industry policies of small and medium powers: An introduction to the challenges and prospects. Defence Studies,25(2), 247–257. https://doi.org/10.1080/14702436.2025.</w:t>
      </w:r>
    </w:p>
    <w:p w14:paraId="73E367A6" w14:textId="77777777" w:rsidR="00F44FCB" w:rsidRDefault="00F44FCB" w:rsidP="00F44FCB">
      <w:pPr>
        <w:pStyle w:val="ABParagraph"/>
        <w:numPr>
          <w:ilvl w:val="0"/>
          <w:numId w:val="9"/>
        </w:numPr>
      </w:pPr>
      <w:r>
        <w:t>Sternberg, R. (1996). Reasons for the genesis of high-tech regions, Theoretical explanation and empirical evidence. Geoforum, 27(2), 205–223. https://doi.org/10.1016/0016-7185(96)00005-9</w:t>
      </w:r>
    </w:p>
    <w:p w14:paraId="760C2FEE" w14:textId="77777777" w:rsidR="00F44FCB" w:rsidRDefault="00F44FCB" w:rsidP="00F44FCB">
      <w:pPr>
        <w:pStyle w:val="ABParagraph"/>
      </w:pPr>
      <w:r>
        <w:br w:type="page"/>
      </w:r>
    </w:p>
    <w:p w14:paraId="4FC8E960" w14:textId="77777777" w:rsidR="002E64EC" w:rsidRDefault="002E64EC" w:rsidP="002E64EC">
      <w:pPr>
        <w:pStyle w:val="ABSubhead"/>
      </w:pPr>
      <w:r>
        <w:lastRenderedPageBreak/>
        <w:t xml:space="preserve">O36. </w:t>
      </w:r>
      <w:r w:rsidRPr="00CD05A8">
        <w:t>The Economic Geography of the Twin Transformation: Detecting Digital and Green Innovation in Germany</w:t>
      </w:r>
    </w:p>
    <w:p w14:paraId="69ADE2FC" w14:textId="77777777" w:rsidR="002E64EC" w:rsidRPr="00103F5E" w:rsidRDefault="002E64EC" w:rsidP="002E64EC">
      <w:pPr>
        <w:pStyle w:val="ABParagraph"/>
      </w:pPr>
    </w:p>
    <w:p w14:paraId="4EE9D8F4" w14:textId="77777777" w:rsidR="002E64EC" w:rsidRPr="00CD05A8" w:rsidRDefault="002E64EC" w:rsidP="002E64EC">
      <w:pPr>
        <w:pStyle w:val="AbstractBookAuthors"/>
        <w:rPr>
          <w:rFonts w:ascii="Noto Serif Light" w:hAnsi="Noto Serif Light" w:cs="Noto Serif Light"/>
        </w:rPr>
      </w:pPr>
      <w:r w:rsidRPr="00CD05A8">
        <w:rPr>
          <w:rStyle w:val="AbstractBookPresentingAuthor"/>
          <w:rFonts w:ascii="Noto Serif Light" w:hAnsi="Noto Serif Light" w:cs="Noto Serif Light"/>
        </w:rPr>
        <w:t>Astrid Krenz</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Jammila Laaguidi</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Xenia Zhang</w:t>
      </w:r>
      <w:r w:rsidRPr="00CD05A8">
        <w:rPr>
          <w:rFonts w:ascii="Noto Serif Light" w:hAnsi="Noto Serif Light" w:cs="Noto Serif Light"/>
          <w:vertAlign w:val="superscript"/>
        </w:rPr>
        <w:t>1</w:t>
      </w:r>
    </w:p>
    <w:p w14:paraId="7C34E8B2" w14:textId="77777777" w:rsidR="002E64EC" w:rsidRDefault="002E64EC" w:rsidP="002E64EC">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Ruhr University Bochum, Germany</w:t>
      </w:r>
    </w:p>
    <w:p w14:paraId="14CFEFA0" w14:textId="77777777" w:rsidR="002E64EC" w:rsidRDefault="002E64EC" w:rsidP="002E64EC">
      <w:pPr>
        <w:pStyle w:val="AbstractBookBaseParagraph"/>
        <w:rPr>
          <w:rStyle w:val="AbstractBookBaseCharacterStyle"/>
          <w:rFonts w:ascii="Noto Serif Light" w:hAnsi="Noto Serif Light" w:cs="Noto Serif Light"/>
        </w:rPr>
      </w:pPr>
    </w:p>
    <w:p w14:paraId="08288374" w14:textId="77777777" w:rsidR="002E64EC" w:rsidRPr="00103F5E" w:rsidRDefault="002E64EC" w:rsidP="002E64EC">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1547A0B5" w14:textId="77777777" w:rsidR="002E64EC" w:rsidRDefault="002E64EC" w:rsidP="002E64EC">
      <w:pPr>
        <w:pStyle w:val="AbstractBookBaseParagraph"/>
        <w:rPr>
          <w:rFonts w:ascii="Noto Serif Light" w:hAnsi="Noto Serif Light" w:cs="Noto Serif Light"/>
        </w:rPr>
      </w:pPr>
      <w:r w:rsidRPr="00CD05A8">
        <w:rPr>
          <w:rFonts w:ascii="Noto Serif Light" w:hAnsi="Noto Serif Light" w:cs="Noto Serif Light"/>
        </w:rPr>
        <w:t>The simultaneous digital and green transformation of economies - often referred to as the “Twin Transformation” - has become a central objective of European industrial and regional policy. While digitalisation enables firms to improve efficiency, automation, and data-driven decision-making, sustainability transitions require firms to reduce emissions, optimise resource use, and develop environmentally friendly business models. Increasingly, these two transitions are understood as interconnected and mutually reinforcing processes. In light of the growing political and academic interest, empirical evidence on firms that actively combine both dimensions is emerging. However, more knowledge has to be gained about the spatial distribution, industrial composition, and skill requirements of firms operating at the intersection of digital and green innovation.</w:t>
      </w:r>
    </w:p>
    <w:p w14:paraId="77ECEFA1" w14:textId="77777777" w:rsidR="002E64EC" w:rsidRPr="00CD05A8" w:rsidRDefault="002E64EC" w:rsidP="002E64EC">
      <w:pPr>
        <w:pStyle w:val="AbstractBookBaseParagraph"/>
        <w:rPr>
          <w:rFonts w:ascii="Noto Serif Light" w:hAnsi="Noto Serif Light" w:cs="Noto Serif Light"/>
        </w:rPr>
      </w:pPr>
    </w:p>
    <w:p w14:paraId="57B1F650" w14:textId="77777777" w:rsidR="002E64EC" w:rsidRDefault="002E64EC" w:rsidP="002E64EC">
      <w:pPr>
        <w:pStyle w:val="AbstractBookBaseParagraph"/>
        <w:rPr>
          <w:rFonts w:ascii="Noto Serif Light" w:hAnsi="Noto Serif Light" w:cs="Noto Serif Light"/>
        </w:rPr>
      </w:pPr>
      <w:r w:rsidRPr="00CD05A8">
        <w:rPr>
          <w:rFonts w:ascii="Noto Serif Light" w:hAnsi="Noto Serif Light" w:cs="Noto Serif Light"/>
        </w:rPr>
        <w:t>This paper develops an empirical approach to identify and analyse so-called “Twin Firms” in Germany using large-scale online job vacancy data. Twin Firms are defined as firms that simultaneously exhibit substantial activities in both digital and sustainability-related domains. The study focuses especially on activities related to artificial intelligence, data science, and sustainability. By using job advertisements as a data source, the paper captures current labour market demand, emerging skill profiles, and firm-level transformation dynamics in near real time.</w:t>
      </w:r>
    </w:p>
    <w:p w14:paraId="61433A98" w14:textId="77777777" w:rsidR="002E64EC" w:rsidRPr="00CD05A8" w:rsidRDefault="002E64EC" w:rsidP="002E64EC">
      <w:pPr>
        <w:pStyle w:val="AbstractBookBaseParagraph"/>
        <w:rPr>
          <w:rFonts w:ascii="Noto Serif Light" w:hAnsi="Noto Serif Light" w:cs="Noto Serif Light"/>
        </w:rPr>
      </w:pPr>
    </w:p>
    <w:p w14:paraId="6B2BC9C2" w14:textId="77777777" w:rsidR="002E64EC" w:rsidRDefault="002E64EC" w:rsidP="002E64EC">
      <w:pPr>
        <w:pStyle w:val="AbstractBookBaseParagraph"/>
        <w:rPr>
          <w:rFonts w:ascii="Noto Serif Light" w:hAnsi="Noto Serif Light" w:cs="Noto Serif Light"/>
        </w:rPr>
      </w:pPr>
      <w:r w:rsidRPr="00CD05A8">
        <w:rPr>
          <w:rFonts w:ascii="Noto Serif Light" w:hAnsi="Noto Serif Light" w:cs="Noto Serif Light"/>
        </w:rPr>
        <w:t>The empirical analysis is based on a large corpus of job advertisements collected between 2024 and 2025. The dataset includes information on job titles, job descriptions, company names, firm size, revenue categories, industrial sectors, and regional locations across Germany. To identify Twin Firms, methods from Natural Language Processing and text mining are applied. The textual data are preprocessed through tokenisation, lemmatisation, and TF-IDF vectorisation. Subsequently, predefined lexicons for digital and green transformation - derived from academic literature and European Union policy documents - are used to detect and classify relevant activities within job postings.</w:t>
      </w:r>
    </w:p>
    <w:p w14:paraId="09E810F0" w14:textId="77777777" w:rsidR="002E64EC" w:rsidRPr="00CD05A8" w:rsidRDefault="002E64EC" w:rsidP="002E64EC">
      <w:pPr>
        <w:pStyle w:val="AbstractBookBaseParagraph"/>
        <w:rPr>
          <w:rFonts w:ascii="Noto Serif Light" w:hAnsi="Noto Serif Light" w:cs="Noto Serif Light"/>
        </w:rPr>
      </w:pPr>
    </w:p>
    <w:p w14:paraId="26DE8B99" w14:textId="77777777" w:rsidR="002E64EC" w:rsidRDefault="002E64EC" w:rsidP="002E64EC">
      <w:pPr>
        <w:pStyle w:val="AbstractBookBaseParagraph"/>
        <w:rPr>
          <w:rFonts w:ascii="Noto Serif Light" w:hAnsi="Noto Serif Light" w:cs="Noto Serif Light"/>
        </w:rPr>
      </w:pPr>
      <w:r w:rsidRPr="00CD05A8">
        <w:rPr>
          <w:rFonts w:ascii="Noto Serif Light" w:hAnsi="Noto Serif Light" w:cs="Noto Serif Light"/>
        </w:rPr>
        <w:t>The methodological framework combines keyword analysis, topic modelling, and skill extraction techniques. Topic modelling and word cloud visualisations reveal dominant themes and competencies associated with twin transformation activities. Particular attention is given to AI-related skills such as deep learning, natural language processing, data mining, reinforcement learning, semantic technologies, and prompt engineering. The analysis thereby contributes not only to regional economic research but also to the broader literature on technological change, labour markets, and innovation ecosystems.</w:t>
      </w:r>
    </w:p>
    <w:p w14:paraId="429E4034" w14:textId="77777777" w:rsidR="002E64EC" w:rsidRPr="00CD05A8" w:rsidRDefault="002E64EC" w:rsidP="002E64EC">
      <w:pPr>
        <w:pStyle w:val="AbstractBookBaseParagraph"/>
        <w:rPr>
          <w:rFonts w:ascii="Noto Serif Light" w:hAnsi="Noto Serif Light" w:cs="Noto Serif Light"/>
        </w:rPr>
      </w:pPr>
    </w:p>
    <w:p w14:paraId="4C11D9A4" w14:textId="77777777" w:rsidR="002E64EC" w:rsidRDefault="002E64EC" w:rsidP="002E64EC">
      <w:pPr>
        <w:pStyle w:val="AbstractBookBaseParagraph"/>
        <w:rPr>
          <w:rFonts w:ascii="Noto Serif Light" w:hAnsi="Noto Serif Light" w:cs="Noto Serif Light"/>
        </w:rPr>
      </w:pPr>
      <w:r w:rsidRPr="00CD05A8">
        <w:rPr>
          <w:rFonts w:ascii="Noto Serif Light" w:hAnsi="Noto Serif Light" w:cs="Noto Serif Light"/>
        </w:rPr>
        <w:t xml:space="preserve">The results indicate that Twin Firms in Germany are strongly concentrated in knowledge-intensive and technology-oriented sectors. The highest shares are found in information and communication technologies, professional and scientific services, </w:t>
      </w:r>
      <w:r w:rsidRPr="00CD05A8">
        <w:rPr>
          <w:rFonts w:ascii="Noto Serif Light" w:hAnsi="Noto Serif Light" w:cs="Noto Serif Light"/>
        </w:rPr>
        <w:lastRenderedPageBreak/>
        <w:t>manufacturing, and education-related activities. Large firms dominate the observed labour demand, with the vast majority of job advertisements originating from enterprises employing more than 1,000 workers. Similarly, firms with high annual revenues are disproportionately represented, suggesting that the twin transformation currently favours economically strong and resource-rich organisations.</w:t>
      </w:r>
    </w:p>
    <w:p w14:paraId="63D73EBE" w14:textId="77777777" w:rsidR="002E64EC" w:rsidRPr="00CD05A8" w:rsidRDefault="002E64EC" w:rsidP="002E64EC">
      <w:pPr>
        <w:pStyle w:val="AbstractBookBaseParagraph"/>
        <w:rPr>
          <w:rFonts w:ascii="Noto Serif Light" w:hAnsi="Noto Serif Light" w:cs="Noto Serif Light"/>
        </w:rPr>
      </w:pPr>
    </w:p>
    <w:p w14:paraId="538EFAE1" w14:textId="77777777" w:rsidR="002E64EC" w:rsidRDefault="002E64EC" w:rsidP="002E64EC">
      <w:pPr>
        <w:pStyle w:val="AbstractBookBaseParagraph"/>
        <w:rPr>
          <w:rFonts w:ascii="Noto Serif Light" w:hAnsi="Noto Serif Light" w:cs="Noto Serif Light"/>
        </w:rPr>
      </w:pPr>
      <w:r w:rsidRPr="00CD05A8">
        <w:rPr>
          <w:rFonts w:ascii="Noto Serif Light" w:hAnsi="Noto Serif Light" w:cs="Noto Serif Light"/>
        </w:rPr>
        <w:t>Spatially, the analysis reveals pronounced regional clustering patterns. Twin Firms are heavily concentrated in major metropolitan and economically dynamic regions such as Berlin, Munich, Frankfurt, Stuttgart, Hamburg, and the Ruhr area. Additional clusters emerge around established industrial and innovation hubs, particularly within the manufacturing sector. These findings point to the importance of regional innovation ecosystems, agglomeration economies, and existing technological infrastructures in supporting twin transformation activities. The observed geography also reflects broader regional disparities within Germany, indicating that the benefits of digital and green transitions may remain unevenly distributed across urban and peripheral regions.</w:t>
      </w:r>
    </w:p>
    <w:p w14:paraId="2F3B6D3F" w14:textId="77777777" w:rsidR="002E64EC" w:rsidRPr="00CD05A8" w:rsidRDefault="002E64EC" w:rsidP="002E64EC">
      <w:pPr>
        <w:pStyle w:val="AbstractBookBaseParagraph"/>
        <w:rPr>
          <w:rFonts w:ascii="Noto Serif Light" w:hAnsi="Noto Serif Light" w:cs="Noto Serif Light"/>
        </w:rPr>
      </w:pPr>
    </w:p>
    <w:p w14:paraId="15DAC5C2" w14:textId="77777777" w:rsidR="002E64EC" w:rsidRPr="00CD05A8" w:rsidRDefault="002E64EC" w:rsidP="002E64EC">
      <w:pPr>
        <w:pStyle w:val="AbstractBookBaseParagraph"/>
        <w:rPr>
          <w:rFonts w:ascii="Noto Serif Light" w:hAnsi="Noto Serif Light" w:cs="Noto Serif Light"/>
        </w:rPr>
      </w:pPr>
      <w:r w:rsidRPr="00CD05A8">
        <w:rPr>
          <w:rFonts w:ascii="Noto Serif Light" w:hAnsi="Noto Serif Light" w:cs="Noto Serif Light"/>
        </w:rPr>
        <w:t>The skill analysis further demonstrates that AI- and data-related competencies dominate the identified job advertisements, whereas explicitly sustainability-related terminology appears less frequently. This finding suggests that firms often frame sustainability transitions through the lens of digital optimisation and technological efficiency rather than environmental discourse alone. Consequently, AI and data science increasingly function as enabling technologies for green innovation processes, including predictive maintenance, energy optimisation, smart logistics, and resource-efficient production systems.</w:t>
      </w:r>
    </w:p>
    <w:p w14:paraId="04E15BFA" w14:textId="77777777" w:rsidR="002E64EC" w:rsidRPr="00CD05A8" w:rsidRDefault="002E64EC" w:rsidP="002E64EC">
      <w:pPr>
        <w:pStyle w:val="AbstractBookBaseParagraph"/>
        <w:rPr>
          <w:rFonts w:ascii="Noto Serif Light" w:hAnsi="Noto Serif Light" w:cs="Noto Serif Light"/>
        </w:rPr>
      </w:pPr>
      <w:r w:rsidRPr="00CD05A8">
        <w:rPr>
          <w:rFonts w:ascii="Noto Serif Light" w:hAnsi="Noto Serif Light" w:cs="Noto Serif Light"/>
        </w:rPr>
        <w:t>The paper contributes to the emerging literature on the twin transition by offering a novel empirical measurement strategy based on labour market data. Existing studies have frequently relied on patent statistics, publication data, or survey-based indicators. In contrast, job vacancy data provide a highly dynamic and forward-looking perspective on transformation processes, allowing researchers to identify emerging technological trends and regional specialisations at an early stage. The approach therefore offers valuable insights for policymakers, regional development agencies, and innovation strategists seeking to monitor transformation dynamics and design targeted support measures.</w:t>
      </w:r>
    </w:p>
    <w:p w14:paraId="549237A6" w14:textId="77777777" w:rsidR="002E64EC" w:rsidRDefault="002E64EC" w:rsidP="002E64EC">
      <w:pPr>
        <w:pStyle w:val="AbstractBookBaseParagraph"/>
        <w:rPr>
          <w:rFonts w:ascii="Noto Serif Light" w:hAnsi="Noto Serif Light" w:cs="Noto Serif Light"/>
        </w:rPr>
      </w:pPr>
      <w:r w:rsidRPr="00CD05A8">
        <w:rPr>
          <w:rFonts w:ascii="Noto Serif Light" w:hAnsi="Noto Serif Light" w:cs="Noto Serif Light"/>
        </w:rPr>
        <w:t>The findings have important policy implications. First, they highlight the need for integrated policy frameworks that jointly address digitalisation and sustainability rather than treating them as separate transformation agendas. Second, the strong concentration of Twin Firms in metropolitan regions suggests that targeted support may be necessary to avoid widening regional inequalities. Third, the identified skill demands underline the growing relevance of interdisciplinary competencies that combine AI expertise with sustainability-oriented knowledge. Educational institutions and labour market policies therefore would be advised to adapt training programmes and qualification systems accordingly.</w:t>
      </w:r>
    </w:p>
    <w:p w14:paraId="086DAD21" w14:textId="77777777" w:rsidR="002E64EC" w:rsidRPr="00CD05A8" w:rsidRDefault="002E64EC" w:rsidP="002E64EC">
      <w:pPr>
        <w:pStyle w:val="AbstractBookBaseParagraph"/>
        <w:rPr>
          <w:rFonts w:ascii="Noto Serif Light" w:hAnsi="Noto Serif Light" w:cs="Noto Serif Light"/>
        </w:rPr>
      </w:pPr>
    </w:p>
    <w:p w14:paraId="72978BF3" w14:textId="77777777" w:rsidR="002E64EC" w:rsidRPr="00CD05A8" w:rsidRDefault="002E64EC" w:rsidP="002E64EC">
      <w:pPr>
        <w:pStyle w:val="AbstractBookBaseParagraph"/>
        <w:rPr>
          <w:rFonts w:ascii="Noto Serif Light" w:hAnsi="Noto Serif Light" w:cs="Noto Serif Light"/>
        </w:rPr>
      </w:pPr>
      <w:r w:rsidRPr="00CD05A8">
        <w:rPr>
          <w:rFonts w:ascii="Noto Serif Light" w:hAnsi="Noto Serif Light" w:cs="Noto Serif Light"/>
        </w:rPr>
        <w:t xml:space="preserve">Overall, the paper demonstrates how job vacancy analytics and Natural Language Processing can be used to identify and map Twin Firms and their regional clusters. By combining labour market dynamics with spatial and technological analysis, the study contributes to a better understanding of the economic geography of the twin transformation in Germany. Future research may extend the dataset and integrate </w:t>
      </w:r>
      <w:r w:rsidRPr="00CD05A8">
        <w:rPr>
          <w:rFonts w:ascii="Noto Serif Light" w:hAnsi="Noto Serif Light" w:cs="Noto Serif Light"/>
        </w:rPr>
        <w:lastRenderedPageBreak/>
        <w:t>additional innovation indicators such as patent data or firm-level investment information to further explore the evolution of twin transformation ecosystems over time.</w:t>
      </w:r>
    </w:p>
    <w:p w14:paraId="3AE0D5A0" w14:textId="77777777" w:rsidR="002E64EC" w:rsidRPr="00CD05A8" w:rsidRDefault="002E64EC" w:rsidP="002E64EC">
      <w:pPr>
        <w:pStyle w:val="AbstractBookBaseParagraph"/>
        <w:rPr>
          <w:rFonts w:ascii="Noto Serif Light" w:hAnsi="Noto Serif Light" w:cs="Noto Serif Light"/>
        </w:rPr>
      </w:pPr>
    </w:p>
    <w:p w14:paraId="5E7027C6" w14:textId="77777777" w:rsidR="002E64EC" w:rsidRPr="00CD05A8" w:rsidRDefault="002E64EC" w:rsidP="002E64EC">
      <w:pPr>
        <w:pStyle w:val="AbstractBookBaseParagraph"/>
        <w:rPr>
          <w:rFonts w:ascii="Noto Serif Light" w:hAnsi="Noto Serif Light" w:cs="Noto Serif Light"/>
        </w:rPr>
      </w:pPr>
    </w:p>
    <w:p w14:paraId="0FB2D02B" w14:textId="77777777" w:rsidR="002E64EC" w:rsidRPr="00CD05A8" w:rsidRDefault="002E64EC" w:rsidP="002E64EC">
      <w:pPr>
        <w:pStyle w:val="AbstractBookBaseParagraph"/>
        <w:rPr>
          <w:rFonts w:ascii="Noto Serif Light" w:hAnsi="Noto Serif Light" w:cs="Noto Serif Light"/>
        </w:rPr>
      </w:pPr>
      <w:r w:rsidRPr="00CD05A8">
        <w:rPr>
          <w:rFonts w:ascii="Noto Serif Light" w:hAnsi="Noto Serif Light" w:cs="Noto Serif Light"/>
        </w:rPr>
        <w:br w:type="page"/>
      </w:r>
    </w:p>
    <w:p w14:paraId="5236D82A" w14:textId="3414D3A4" w:rsidR="002D52B2" w:rsidRDefault="00390C9C" w:rsidP="002D52B2">
      <w:pPr>
        <w:pStyle w:val="ABSubhead"/>
      </w:pPr>
      <w:r>
        <w:lastRenderedPageBreak/>
        <w:t xml:space="preserve">O37. </w:t>
      </w:r>
      <w:r w:rsidR="002D52B2" w:rsidRPr="00CD05A8">
        <w:t>Entrepreneurs with Disabilities in the Twin Transition: Exploratory Evidence from UK Regions</w:t>
      </w:r>
    </w:p>
    <w:p w14:paraId="1D0FAA5D" w14:textId="77777777" w:rsidR="002D52B2" w:rsidRPr="00CD05A8" w:rsidRDefault="002D52B2" w:rsidP="002D52B2">
      <w:pPr>
        <w:pStyle w:val="ABParagraph"/>
      </w:pPr>
    </w:p>
    <w:p w14:paraId="7D0762DC" w14:textId="77777777" w:rsidR="002D52B2" w:rsidRDefault="002D52B2" w:rsidP="002D52B2">
      <w:pPr>
        <w:pStyle w:val="AbstractBookAuthors"/>
        <w:rPr>
          <w:rStyle w:val="AbstractBookPresentingAuthor"/>
          <w:rFonts w:ascii="Noto Serif Light" w:hAnsi="Noto Serif Light" w:cs="Noto Serif Light"/>
          <w:b w:val="0"/>
          <w:bCs/>
          <w:u w:val="none"/>
          <w:vertAlign w:val="superscript"/>
        </w:rPr>
      </w:pPr>
      <w:r w:rsidRPr="009C758F">
        <w:rPr>
          <w:rStyle w:val="AbstractBookPresentingAuthor"/>
          <w:rFonts w:ascii="Noto Serif Light" w:hAnsi="Noto Serif Light" w:cs="Noto Serif Light"/>
        </w:rPr>
        <w:t>Dr Thanos Fragkandreas</w:t>
      </w:r>
      <w:r>
        <w:rPr>
          <w:rStyle w:val="AbstractBookPresentingAuthor"/>
          <w:rFonts w:ascii="Noto Serif Light" w:hAnsi="Noto Serif Light" w:cs="Noto Serif Light"/>
          <w:b w:val="0"/>
          <w:bCs/>
          <w:u w:val="none"/>
          <w:vertAlign w:val="superscript"/>
        </w:rPr>
        <w:t>1</w:t>
      </w:r>
    </w:p>
    <w:p w14:paraId="1F689127" w14:textId="77777777" w:rsidR="002D52B2" w:rsidRPr="009C758F" w:rsidRDefault="002D52B2" w:rsidP="002D52B2">
      <w:pPr>
        <w:pStyle w:val="AbstractBookAuthors"/>
        <w:rPr>
          <w:rFonts w:ascii="Noto Serif Light" w:hAnsi="Noto Serif Light" w:cs="Noto Serif Light"/>
          <w:bCs/>
        </w:rPr>
      </w:pPr>
      <w:r>
        <w:rPr>
          <w:rStyle w:val="AbstractBookPresentingAuthor"/>
          <w:rFonts w:ascii="Noto Serif Light" w:hAnsi="Noto Serif Light" w:cs="Noto Serif Light"/>
          <w:b w:val="0"/>
          <w:bCs/>
          <w:u w:val="none"/>
          <w:vertAlign w:val="superscript"/>
        </w:rPr>
        <w:t>1</w:t>
      </w:r>
      <w:r>
        <w:rPr>
          <w:rStyle w:val="AbstractBookPresentingAuthor"/>
          <w:rFonts w:ascii="Noto Serif Light" w:hAnsi="Noto Serif Light" w:cs="Noto Serif Light"/>
          <w:b w:val="0"/>
          <w:bCs/>
          <w:u w:val="none"/>
        </w:rPr>
        <w:t>University of Westminster, London, United Kingdom</w:t>
      </w:r>
    </w:p>
    <w:p w14:paraId="09954922" w14:textId="77777777" w:rsidR="002D52B2" w:rsidRDefault="002D52B2" w:rsidP="002D52B2">
      <w:pPr>
        <w:pStyle w:val="AbstractBookBaseParagraph"/>
        <w:rPr>
          <w:rFonts w:ascii="Noto Serif Light" w:hAnsi="Noto Serif Light" w:cs="Noto Serif Light"/>
        </w:rPr>
      </w:pPr>
    </w:p>
    <w:p w14:paraId="3F234729" w14:textId="77777777" w:rsidR="002D52B2" w:rsidRPr="00CD05A8" w:rsidRDefault="002D52B2" w:rsidP="002D52B2">
      <w:pPr>
        <w:pStyle w:val="AbstractBookBaseParagraph"/>
        <w:rPr>
          <w:rFonts w:ascii="Noto Serif Light" w:hAnsi="Noto Serif Light" w:cs="Noto Serif Light"/>
          <w:b/>
          <w:bCs/>
        </w:rPr>
      </w:pPr>
      <w:r>
        <w:rPr>
          <w:rFonts w:ascii="Noto Serif Light" w:hAnsi="Noto Serif Light" w:cs="Noto Serif Light"/>
          <w:b/>
          <w:bCs/>
        </w:rPr>
        <w:t>Abstract:</w:t>
      </w:r>
    </w:p>
    <w:p w14:paraId="476DD75F"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‘We can’t have an explanation until we know what is to be explained’</w:t>
      </w:r>
    </w:p>
    <w:p w14:paraId="5BEC2B6E"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(Collier, 1994, p.50)</w:t>
      </w:r>
    </w:p>
    <w:p w14:paraId="0E4B0596" w14:textId="77777777" w:rsidR="002D52B2" w:rsidRPr="00CD05A8" w:rsidRDefault="002D52B2" w:rsidP="002D52B2">
      <w:pPr>
        <w:pStyle w:val="AbstractBookBaseParagraph"/>
        <w:rPr>
          <w:rFonts w:ascii="Noto Serif Light" w:hAnsi="Noto Serif Light" w:cs="Noto Serif Light"/>
        </w:rPr>
      </w:pPr>
    </w:p>
    <w:p w14:paraId="6F22112C"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Originating as a ‘soft’ policy initiative in Europe and later expanding into a global policy agenda (Brueck et al., 2025, Gao, 2025), the concept of Twin Transition (TT) can be defined as the integration of green and digital innovation (including Artificial Intelligence) to promote sustainable growth, competitiveness, and employment (De Propris and Bailey, 2020, Diodato et al., 2023). Since the early 2020s, it has inspired ample research across various fields of science and has within a few years developed into a substantial body of literature (Diodato et al., 2023, Faggian et al., 2025, Antonietti et al., 2026).</w:t>
      </w:r>
    </w:p>
    <w:p w14:paraId="08F9C258" w14:textId="77777777" w:rsidR="002D52B2" w:rsidRPr="00CD05A8" w:rsidRDefault="002D52B2" w:rsidP="002D52B2">
      <w:pPr>
        <w:pStyle w:val="AbstractBookBaseParagraph"/>
        <w:rPr>
          <w:rFonts w:ascii="Noto Serif Light" w:hAnsi="Noto Serif Light" w:cs="Noto Serif Light"/>
        </w:rPr>
      </w:pPr>
    </w:p>
    <w:p w14:paraId="70A15919"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The present study is informed by recent research on the regional geography of TT (Cicerone et al., 2023, Hervas-Oliver and Capone, 2024, Damioli et al., 2025, Faggian et al., 2025, Antonietti et al., 2026), particularly by the fact that the capacity to engage with the TT varies significantly across regions.</w:t>
      </w:r>
    </w:p>
    <w:p w14:paraId="78E3F795" w14:textId="77777777" w:rsidR="002D52B2" w:rsidRPr="00CD05A8" w:rsidRDefault="002D52B2" w:rsidP="002D52B2">
      <w:pPr>
        <w:pStyle w:val="AbstractBookBaseParagraph"/>
        <w:rPr>
          <w:rFonts w:ascii="Noto Serif Light" w:hAnsi="Noto Serif Light" w:cs="Noto Serif Light"/>
        </w:rPr>
      </w:pPr>
    </w:p>
    <w:p w14:paraId="5C9E17B9"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Economic geographers have traditionally examined the uneven geography of innovation through the lens of territorial innovation models (TIMs) (Moulaert and Sekia, 2003), particularly the regional innovation systems (RISs) approach (Asheim et al., 2011, Doloreux and Porto Gomez, 2017, Doloreux et al., 2019). This approach conceptualises innovation as a collective learning process (Lawson and Lorenz, 1999) embedded in regional (as well as extra-regional) system-like interactions among innovative firms and support organisations (Braczyk et al., 1998, Asheim and Gertler, 2005).</w:t>
      </w:r>
    </w:p>
    <w:p w14:paraId="3800F324" w14:textId="77777777" w:rsidR="002D52B2" w:rsidRPr="00CD05A8" w:rsidRDefault="002D52B2" w:rsidP="002D52B2">
      <w:pPr>
        <w:pStyle w:val="AbstractBookBaseParagraph"/>
        <w:rPr>
          <w:rFonts w:ascii="Noto Serif Light" w:hAnsi="Noto Serif Light" w:cs="Noto Serif Light"/>
        </w:rPr>
      </w:pPr>
    </w:p>
    <w:p w14:paraId="177C8B3D"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Although widely adopted, the RIS approach has not yet been introduced to TT research (Antonietti et al., 2026). This has some important ramifications for research and policy. First, due to their composition, RISs provide innovative firms with a bundle of resources (e.g. knowledge bases) that can be either favourable or unfavourable for successfully navigating the TT (Asheim et al., 2011, Cohen et al., 2017). Second, radical technological change, such as the TT, often presupposes the formation of ‘new actor constellations’ (Cohen et al., 2016) in existing ‘historically grown’ RISs (ibid). However, how this process occurs and how it could be influenced by policy initiatives remain largely underexplored by TT scholars.</w:t>
      </w:r>
    </w:p>
    <w:p w14:paraId="1FF670DD" w14:textId="77777777" w:rsidR="002D52B2" w:rsidRPr="00CD05A8" w:rsidRDefault="002D52B2" w:rsidP="002D52B2">
      <w:pPr>
        <w:pStyle w:val="AbstractBookBaseParagraph"/>
        <w:rPr>
          <w:rFonts w:ascii="Noto Serif Light" w:hAnsi="Noto Serif Light" w:cs="Noto Serif Light"/>
        </w:rPr>
      </w:pPr>
    </w:p>
    <w:p w14:paraId="4C548F9F"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Undoubtedly, the Schumpeterian (innovative) entrepreneur is a key agent in driving structural change in RISs (Lawton Smith, 2018, 2021). In seeking to develop innovative products and services to secure a temporary market monopoly (Block et al., 2017), entrepreneurs either create new resources (e.g. knowledge bases) or recombine existing ones (Lawton Smith, 2018, 2021). In doing so, they serve as system-change agents (Benneworth et al., 2017), addressing systemic deficiencies in RISs such as </w:t>
      </w:r>
      <w:r w:rsidRPr="00CD05A8">
        <w:rPr>
          <w:rFonts w:ascii="Noto Serif Light" w:hAnsi="Noto Serif Light" w:cs="Noto Serif Light"/>
        </w:rPr>
        <w:lastRenderedPageBreak/>
        <w:t>network failures, technological lock-ins, and organisational thinness (Lawton Smith et al., 2014), thereby boosting regional growth and employment (Fritsch and Storey, 2014, Lawton Smith, 2018, Stuetzer et al., 2018, Kraus et al., 2021).</w:t>
      </w:r>
    </w:p>
    <w:p w14:paraId="6316AF96" w14:textId="77777777" w:rsidR="002D52B2" w:rsidRPr="00CD05A8" w:rsidRDefault="002D52B2" w:rsidP="002D52B2">
      <w:pPr>
        <w:pStyle w:val="AbstractBookBaseParagraph"/>
        <w:rPr>
          <w:rFonts w:ascii="Noto Serif Light" w:hAnsi="Noto Serif Light" w:cs="Noto Serif Light"/>
        </w:rPr>
      </w:pPr>
    </w:p>
    <w:p w14:paraId="785AEBC0"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However, the portrayal of the Schumpeterian entrepreneur as ‘the wealth creator’ or the ‘curer of evils’ in the context of neoliberal capitalist societies masks several structural inequalities -- our ‘Schumpeterian hero’ is often believed to be a young, ambitious, native, white, and physically able man (Tedmanson et al., 2012, Welter et al., 2017, Keim et al., 2024). As a result, the contribution of ‘everyday entrepreneur’ from underrepresented groups (e.g. Black women, refugees, ethnic minorities, and people with disabilities) remains largely underexplored (and potentially significantly misunderstood) by both TT scholars and policymakers.</w:t>
      </w:r>
    </w:p>
    <w:p w14:paraId="531311EB" w14:textId="77777777" w:rsidR="002D52B2" w:rsidRPr="00CD05A8" w:rsidRDefault="002D52B2" w:rsidP="002D52B2">
      <w:pPr>
        <w:pStyle w:val="AbstractBookBaseParagraph"/>
        <w:rPr>
          <w:rFonts w:ascii="Noto Serif Light" w:hAnsi="Noto Serif Light" w:cs="Noto Serif Light"/>
        </w:rPr>
      </w:pPr>
    </w:p>
    <w:p w14:paraId="1DA3573D"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The present study brings an inclusive entrepreneurship perspective to the TT literature. It does so by exploring how entrepreneurs with disabilities (EwDs) navigate the TT in their respective RISs. </w:t>
      </w:r>
    </w:p>
    <w:p w14:paraId="1E568419" w14:textId="77777777" w:rsidR="002D52B2" w:rsidRPr="00CD05A8" w:rsidRDefault="002D52B2" w:rsidP="002D52B2">
      <w:pPr>
        <w:pStyle w:val="AbstractBookBaseParagraph"/>
        <w:rPr>
          <w:rFonts w:ascii="Noto Serif Light" w:hAnsi="Noto Serif Light" w:cs="Noto Serif Light"/>
        </w:rPr>
      </w:pPr>
    </w:p>
    <w:p w14:paraId="78166AC0"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Empirically, this study employs primary data from a purpose-built, self-administered survey of EwDs (randomly selected, n=96) across 12 UK regions, and combines them with secondary data from the Regional Innovation Scoreboard 2025. Data analysis was conducted inductively to identify theoretically interesting empirical patterns (demi-regularities) which were, in turn, retroductively articulated as theoretical propositions (stepping stones) for future exploratory or explanatory research.</w:t>
      </w:r>
    </w:p>
    <w:p w14:paraId="0F0A4662" w14:textId="77777777" w:rsidR="002D52B2" w:rsidRPr="00CD05A8" w:rsidRDefault="002D52B2" w:rsidP="002D52B2">
      <w:pPr>
        <w:pStyle w:val="AbstractBookBaseParagraph"/>
        <w:rPr>
          <w:rFonts w:ascii="Noto Serif Light" w:hAnsi="Noto Serif Light" w:cs="Noto Serif Light"/>
        </w:rPr>
      </w:pPr>
    </w:p>
    <w:p w14:paraId="183AD02E"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The analysis yields three key findings:</w:t>
      </w:r>
    </w:p>
    <w:p w14:paraId="23513F7E" w14:textId="77777777" w:rsidR="002D52B2" w:rsidRPr="00CD05A8" w:rsidRDefault="002D52B2" w:rsidP="002D52B2">
      <w:pPr>
        <w:pStyle w:val="AbstractBookBaseParagraph"/>
        <w:rPr>
          <w:rFonts w:ascii="Noto Serif Light" w:hAnsi="Noto Serif Light" w:cs="Noto Serif Light"/>
        </w:rPr>
      </w:pPr>
    </w:p>
    <w:p w14:paraId="7EFD82E3"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1.</w:t>
      </w:r>
      <w:r w:rsidRPr="00CD05A8">
        <w:rPr>
          <w:rFonts w:ascii="Noto Serif Light" w:hAnsi="Noto Serif Light" w:cs="Noto Serif Light"/>
        </w:rPr>
        <w:tab/>
        <w:t xml:space="preserve">EwDs function as innovative (Schumpeterian), autonomy-seeking (Senian), and community-driven (Communitarian) agents in the TT. </w:t>
      </w:r>
    </w:p>
    <w:p w14:paraId="5E932E8E"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2.</w:t>
      </w:r>
      <w:r w:rsidRPr="00CD05A8">
        <w:rPr>
          <w:rFonts w:ascii="Noto Serif Light" w:hAnsi="Noto Serif Light" w:cs="Noto Serif Light"/>
        </w:rPr>
        <w:tab/>
        <w:t>The existence, survival, and economic contribution of disabled entrepreneurship is contingent on informal regional resources and structural arrangements, such as bonding social capital and grassroots governance, in RISs.</w:t>
      </w:r>
    </w:p>
    <w:p w14:paraId="4F6DF399"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3.</w:t>
      </w:r>
      <w:r w:rsidRPr="00CD05A8">
        <w:rPr>
          <w:rFonts w:ascii="Noto Serif Light" w:hAnsi="Noto Serif Light" w:cs="Noto Serif Light"/>
        </w:rPr>
        <w:tab/>
        <w:t>EwDs exhibit two main tendencies in regional path development: Path extension (Tendency 1) and niche path renewal (Tendency 2).</w:t>
      </w:r>
    </w:p>
    <w:p w14:paraId="482711A5" w14:textId="77777777" w:rsidR="002D52B2" w:rsidRPr="00CD05A8" w:rsidRDefault="002D52B2" w:rsidP="002D52B2">
      <w:pPr>
        <w:pStyle w:val="AbstractBookBaseParagraph"/>
        <w:rPr>
          <w:rFonts w:ascii="Noto Serif Light" w:hAnsi="Noto Serif Light" w:cs="Noto Serif Light"/>
        </w:rPr>
      </w:pPr>
    </w:p>
    <w:p w14:paraId="1DDCB159"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We situate the theoretical contribution of this study within the literature on regional geography of TT (Faggian et al., 2025, Antonietti et al., 2026); the literature on challenge-oriented RIS (Isaksen et al., 2022); and the literature on disabled entrepreneurship (Jammaers and Zanoni, 2020, Kasperova, 2021). </w:t>
      </w:r>
    </w:p>
    <w:p w14:paraId="368C64F8" w14:textId="77777777" w:rsidR="002D52B2" w:rsidRPr="00CD05A8" w:rsidRDefault="002D52B2" w:rsidP="002D52B2">
      <w:pPr>
        <w:pStyle w:val="AbstractBookBaseParagraph"/>
        <w:rPr>
          <w:rFonts w:ascii="Noto Serif Light" w:hAnsi="Noto Serif Light" w:cs="Noto Serif Light"/>
        </w:rPr>
      </w:pPr>
    </w:p>
    <w:p w14:paraId="430A5C6E" w14:textId="77777777" w:rsidR="002D52B2" w:rsidRPr="00CD05A8" w:rsidRDefault="002D52B2" w:rsidP="002D52B2">
      <w:pPr>
        <w:pStyle w:val="AbstractBookBaseParagraph"/>
        <w:rPr>
          <w:rFonts w:ascii="Noto Serif Light" w:hAnsi="Noto Serif Light" w:cs="Noto Serif Light"/>
        </w:rPr>
      </w:pPr>
    </w:p>
    <w:p w14:paraId="7F88B5BC"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br w:type="page"/>
      </w:r>
    </w:p>
    <w:p w14:paraId="54EDD288" w14:textId="10B487AB" w:rsidR="002D52B2" w:rsidRDefault="00390C9C" w:rsidP="002D52B2">
      <w:pPr>
        <w:pStyle w:val="ABSubhead"/>
      </w:pPr>
      <w:r>
        <w:lastRenderedPageBreak/>
        <w:t xml:space="preserve">O38. </w:t>
      </w:r>
      <w:r w:rsidR="002D52B2" w:rsidRPr="00CD05A8">
        <w:t xml:space="preserve">Knowledge Space </w:t>
      </w:r>
      <w:r w:rsidR="002D52B2">
        <w:t>a</w:t>
      </w:r>
      <w:r w:rsidR="002D52B2" w:rsidRPr="00CD05A8">
        <w:t>nd Inward Investment in UK Regions</w:t>
      </w:r>
    </w:p>
    <w:p w14:paraId="42B27EE0" w14:textId="77777777" w:rsidR="002D52B2" w:rsidRPr="00103F5E" w:rsidRDefault="002D52B2" w:rsidP="002D52B2">
      <w:pPr>
        <w:pStyle w:val="ABParagraph"/>
      </w:pPr>
    </w:p>
    <w:p w14:paraId="54BA3E8D" w14:textId="77777777" w:rsidR="002D52B2" w:rsidRPr="00CD05A8" w:rsidRDefault="002D52B2" w:rsidP="002D52B2">
      <w:pPr>
        <w:pStyle w:val="AbstractBookAuthors"/>
        <w:rPr>
          <w:rFonts w:ascii="Noto Serif Light" w:hAnsi="Noto Serif Light" w:cs="Noto Serif Light"/>
        </w:rPr>
      </w:pPr>
      <w:r w:rsidRPr="00CD05A8">
        <w:rPr>
          <w:rStyle w:val="AbstractBookPresentingAuthor"/>
          <w:rFonts w:ascii="Noto Serif Light" w:hAnsi="Noto Serif Light" w:cs="Noto Serif Light"/>
        </w:rPr>
        <w:t>Jun Du</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Nigel Driffield</w:t>
      </w:r>
      <w:r w:rsidRPr="00CD05A8">
        <w:rPr>
          <w:rFonts w:ascii="Noto Serif Light" w:hAnsi="Noto Serif Light" w:cs="Noto Serif Light"/>
          <w:vertAlign w:val="superscript"/>
        </w:rPr>
        <w:t>2</w:t>
      </w:r>
      <w:r w:rsidRPr="00CD05A8">
        <w:rPr>
          <w:rStyle w:val="AbstractBookBaseCharacterStyle"/>
          <w:rFonts w:ascii="Noto Serif Light" w:hAnsi="Noto Serif Light" w:cs="Noto Serif Light"/>
        </w:rPr>
        <w:t>, George Paily</w:t>
      </w:r>
      <w:r w:rsidRPr="00CD05A8">
        <w:rPr>
          <w:rFonts w:ascii="Noto Serif Light" w:hAnsi="Noto Serif Light" w:cs="Noto Serif Light"/>
          <w:vertAlign w:val="superscript"/>
        </w:rPr>
        <w:t>2</w:t>
      </w:r>
      <w:r w:rsidRPr="00CD05A8">
        <w:rPr>
          <w:rStyle w:val="AbstractBookBaseCharacterStyle"/>
          <w:rFonts w:ascii="Noto Serif Light" w:hAnsi="Noto Serif Light" w:cs="Noto Serif Light"/>
        </w:rPr>
        <w:t>, Anastasia Ri</w:t>
      </w:r>
      <w:r w:rsidRPr="00CD05A8">
        <w:rPr>
          <w:rFonts w:ascii="Noto Serif Light" w:hAnsi="Noto Serif Light" w:cs="Noto Serif Light"/>
          <w:vertAlign w:val="superscript"/>
        </w:rPr>
        <w:t>2</w:t>
      </w:r>
      <w:r w:rsidRPr="00CD05A8">
        <w:rPr>
          <w:rStyle w:val="AbstractBookBaseCharacterStyle"/>
          <w:rFonts w:ascii="Noto Serif Light" w:hAnsi="Noto Serif Light" w:cs="Noto Serif Light"/>
        </w:rPr>
        <w:t>, Xiaocan Yuan</w:t>
      </w:r>
      <w:r w:rsidRPr="00CD05A8">
        <w:rPr>
          <w:rFonts w:ascii="Noto Serif Light" w:hAnsi="Noto Serif Light" w:cs="Noto Serif Light"/>
          <w:vertAlign w:val="superscript"/>
        </w:rPr>
        <w:t>1</w:t>
      </w:r>
    </w:p>
    <w:p w14:paraId="07FE85A3" w14:textId="77777777" w:rsidR="002D52B2" w:rsidRDefault="002D52B2" w:rsidP="002D52B2">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Aston Business School, Birmingham, United Kingdom, </w:t>
      </w:r>
      <w:r w:rsidRPr="00CD05A8">
        <w:rPr>
          <w:rFonts w:ascii="Noto Serif Light" w:hAnsi="Noto Serif Light" w:cs="Noto Serif Light"/>
          <w:vertAlign w:val="superscript"/>
        </w:rPr>
        <w:t>2</w:t>
      </w:r>
      <w:r w:rsidRPr="00CD05A8">
        <w:rPr>
          <w:rStyle w:val="AbstractBookBaseCharacterStyle"/>
          <w:rFonts w:ascii="Noto Serif Light" w:hAnsi="Noto Serif Light" w:cs="Noto Serif Light"/>
        </w:rPr>
        <w:t>Warwick Business School, Coventry, United Kingdom</w:t>
      </w:r>
    </w:p>
    <w:p w14:paraId="4A596C98" w14:textId="77777777" w:rsidR="002D52B2" w:rsidRDefault="002D52B2" w:rsidP="002D52B2">
      <w:pPr>
        <w:pStyle w:val="AbstractBookBaseParagraph"/>
        <w:rPr>
          <w:rStyle w:val="AbstractBookBaseCharacterStyle"/>
          <w:rFonts w:ascii="Noto Serif Light" w:hAnsi="Noto Serif Light" w:cs="Noto Serif Light"/>
        </w:rPr>
      </w:pPr>
    </w:p>
    <w:p w14:paraId="63A7EDC4" w14:textId="77777777" w:rsidR="002D52B2" w:rsidRPr="00103F5E" w:rsidRDefault="002D52B2" w:rsidP="002D52B2">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3C595D48" w14:textId="77777777" w:rsidR="002D52B2" w:rsidRDefault="002D52B2" w:rsidP="002D52B2">
      <w:pPr>
        <w:pStyle w:val="AbstractBookBaseParagraph"/>
        <w:rPr>
          <w:rFonts w:ascii="Noto Serif Light" w:hAnsi="Noto Serif Light" w:cs="Noto Serif Light"/>
        </w:rPr>
      </w:pPr>
      <w:r w:rsidRPr="00CD05A8">
        <w:rPr>
          <w:rFonts w:ascii="Noto Serif Light" w:hAnsi="Noto Serif Light" w:cs="Noto Serif Light"/>
        </w:rPr>
        <w:t>Can knowledge space help us understand the uneven geography of foreign direct investment (FDIs)?  The premise of posing this question is three-fold. First, agglomeration increases the complexity of economic activities. Second, firms tend to choose to locate in places to seek access to capital, workers and knowledge. Hence, knowledge space matters for their location choice. Third, the same rationale articulated in a slightly different way applies to foreign investment, in terms of locational advantages of multinationals.</w:t>
      </w:r>
    </w:p>
    <w:p w14:paraId="4B5C6E45" w14:textId="77777777" w:rsidR="002D52B2" w:rsidRPr="00CD05A8" w:rsidRDefault="002D52B2" w:rsidP="002D52B2">
      <w:pPr>
        <w:pStyle w:val="AbstractBookBaseParagraph"/>
        <w:rPr>
          <w:rFonts w:ascii="Noto Serif Light" w:hAnsi="Noto Serif Light" w:cs="Noto Serif Light"/>
        </w:rPr>
      </w:pPr>
    </w:p>
    <w:p w14:paraId="33FF221C" w14:textId="77777777" w:rsidR="002D52B2"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In this paper, building on knowledge complexity (Balland &amp; Rigby, 2017; Balland et al., 2019; Hidalgo and Haussman, 2009) and relatedness literature (Boschma &amp; Iammarino, 2009; Frenken et al., 2007; Stein et al., 2023), we explore the importance of regional knowledge space in attracting foreign direct investment in the UK NUTS3 regions. </w:t>
      </w:r>
    </w:p>
    <w:p w14:paraId="5DCC6C3A" w14:textId="77777777" w:rsidR="002D52B2" w:rsidRPr="00CD05A8" w:rsidRDefault="002D52B2" w:rsidP="002D52B2">
      <w:pPr>
        <w:pStyle w:val="AbstractBookBaseParagraph"/>
        <w:rPr>
          <w:rFonts w:ascii="Noto Serif Light" w:hAnsi="Noto Serif Light" w:cs="Noto Serif Light"/>
        </w:rPr>
      </w:pPr>
    </w:p>
    <w:p w14:paraId="0660E808" w14:textId="77777777" w:rsidR="002D52B2"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We aim to build metrics to measure regional knowledge space using the state of art methodology, relying on two separately developed but increasingly integrated approach – patented knowledge space and occupational mix. The recent exit from the EU has altered UK’s locational advantages as an investment destination. This provides an interesting opportunity to examine how the identified relationship may have changed, and what it might mean for regional development strategy going forward. </w:t>
      </w:r>
    </w:p>
    <w:p w14:paraId="4EB23127" w14:textId="77777777" w:rsidR="002D52B2" w:rsidRPr="00CD05A8" w:rsidRDefault="002D52B2" w:rsidP="002D52B2">
      <w:pPr>
        <w:pStyle w:val="AbstractBookBaseParagraph"/>
        <w:rPr>
          <w:rFonts w:ascii="Noto Serif Light" w:hAnsi="Noto Serif Light" w:cs="Noto Serif Light"/>
        </w:rPr>
      </w:pPr>
    </w:p>
    <w:p w14:paraId="2514927E" w14:textId="77777777" w:rsidR="002D52B2"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We first map technological and occupational knowledge space geography in the UK using patent data from Patstat database and occupations data from ONS Annual Population Survey. Then, we use knowledge complexity and relatedness measures (by patents and by occupations) to estimate to what extent knowledge space of regions impacts their likelihood to attract FDIs. We perform analysis overall and by different types of FDIs using BVD Cross Border Investment database. </w:t>
      </w:r>
    </w:p>
    <w:p w14:paraId="21449FC7" w14:textId="77777777" w:rsidR="002D52B2" w:rsidRPr="00CD05A8" w:rsidRDefault="002D52B2" w:rsidP="002D52B2">
      <w:pPr>
        <w:pStyle w:val="AbstractBookBaseParagraph"/>
        <w:rPr>
          <w:rFonts w:ascii="Noto Serif Light" w:hAnsi="Noto Serif Light" w:cs="Noto Serif Light"/>
        </w:rPr>
      </w:pPr>
    </w:p>
    <w:p w14:paraId="60B24B04"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We find evidence that knowledge complexity, both patented and occupational) plays an important role in attracting FDIs, in particular strategic-asset seeking, efficiency-seeking and resource-seeking investments. Our results also indicate that regions with more specialised occupation mix and with high strength in one knowledge domain (core technological competence) attract more FDI overall. </w:t>
      </w:r>
    </w:p>
    <w:p w14:paraId="32F4BB5C"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Additionally, our results show that digital connectivity proves important especially in attracting resources-seeking and strategic-asset seeking investments. This research has important policy implications by providing a nuanced understanding of how knowledge space of regions shapes the choices of foreign investors. Specifically, it indicates that to attract high quality FDIs the focus should be on promoting specialised non-ubiquitous knowledge creation.  </w:t>
      </w:r>
    </w:p>
    <w:p w14:paraId="71C48944" w14:textId="77777777" w:rsidR="002D52B2" w:rsidRPr="00CD05A8" w:rsidRDefault="002D52B2" w:rsidP="002D52B2">
      <w:pPr>
        <w:pStyle w:val="AbstractBookBaseParagraph"/>
        <w:rPr>
          <w:rFonts w:ascii="Noto Serif Light" w:hAnsi="Noto Serif Light" w:cs="Noto Serif Light"/>
        </w:rPr>
      </w:pPr>
    </w:p>
    <w:p w14:paraId="1BD2F589" w14:textId="77777777" w:rsidR="002D52B2" w:rsidRPr="00CD05A8" w:rsidRDefault="002D52B2" w:rsidP="002D52B2">
      <w:pPr>
        <w:rPr>
          <w:rFonts w:ascii="Noto Serif Light" w:eastAsiaTheme="majorEastAsia" w:hAnsi="Noto Serif Light" w:cs="Noto Serif Light"/>
          <w:b/>
          <w:bCs/>
          <w:color w:val="690E0D"/>
          <w:sz w:val="48"/>
          <w:szCs w:val="48"/>
        </w:rPr>
      </w:pPr>
      <w:r w:rsidRPr="00CD05A8">
        <w:rPr>
          <w:rFonts w:ascii="Noto Serif Light" w:hAnsi="Noto Serif Light" w:cs="Noto Serif Light"/>
        </w:rPr>
        <w:br w:type="page"/>
      </w:r>
    </w:p>
    <w:p w14:paraId="4C8386B1" w14:textId="7877FF63" w:rsidR="002D52B2" w:rsidRDefault="00390C9C" w:rsidP="002D52B2">
      <w:pPr>
        <w:pStyle w:val="ABSubhead"/>
      </w:pPr>
      <w:r>
        <w:lastRenderedPageBreak/>
        <w:t xml:space="preserve">O39. </w:t>
      </w:r>
      <w:r w:rsidR="002D52B2" w:rsidRPr="00CD05A8">
        <w:t>Translating Industrial Strength into Strategic Advantage: Developing a Place-Based Advanced Manufacturing Investment Proposition for the West Midlands</w:t>
      </w:r>
    </w:p>
    <w:p w14:paraId="6CD322D1" w14:textId="77777777" w:rsidR="002D52B2" w:rsidRPr="00220128" w:rsidRDefault="002D52B2" w:rsidP="002D52B2">
      <w:pPr>
        <w:pStyle w:val="ABParagraph"/>
      </w:pPr>
    </w:p>
    <w:p w14:paraId="7AEBA90E" w14:textId="77777777" w:rsidR="002D52B2" w:rsidRPr="00CD05A8" w:rsidRDefault="002D52B2" w:rsidP="002D52B2">
      <w:pPr>
        <w:pStyle w:val="AbstractBookAuthors"/>
        <w:rPr>
          <w:rFonts w:ascii="Noto Serif Light" w:hAnsi="Noto Serif Light" w:cs="Noto Serif Light"/>
        </w:rPr>
      </w:pPr>
      <w:r w:rsidRPr="00CD05A8">
        <w:rPr>
          <w:rStyle w:val="AbstractBookPresentingAuthor"/>
          <w:rFonts w:ascii="Noto Serif Light" w:hAnsi="Noto Serif Light" w:cs="Noto Serif Light"/>
        </w:rPr>
        <w:t>Chloe Billing</w:t>
      </w:r>
      <w:r w:rsidRPr="00CD05A8">
        <w:rPr>
          <w:rFonts w:ascii="Noto Serif Light" w:hAnsi="Noto Serif Light" w:cs="Noto Serif Light"/>
          <w:vertAlign w:val="superscript"/>
        </w:rPr>
        <w:t>1</w:t>
      </w:r>
    </w:p>
    <w:p w14:paraId="3DC1651D" w14:textId="77777777" w:rsidR="002D52B2" w:rsidRDefault="002D52B2" w:rsidP="002D52B2">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City-</w:t>
      </w:r>
      <w:r>
        <w:rPr>
          <w:rStyle w:val="AbstractBookBaseCharacterStyle"/>
          <w:rFonts w:ascii="Noto Serif Light" w:hAnsi="Noto Serif Light" w:cs="Noto Serif Light"/>
        </w:rPr>
        <w:t>REDI</w:t>
      </w:r>
      <w:r w:rsidRPr="00CD05A8">
        <w:rPr>
          <w:rStyle w:val="AbstractBookBaseCharacterStyle"/>
          <w:rFonts w:ascii="Noto Serif Light" w:hAnsi="Noto Serif Light" w:cs="Noto Serif Light"/>
        </w:rPr>
        <w:t xml:space="preserve">, University </w:t>
      </w:r>
      <w:r>
        <w:rPr>
          <w:rStyle w:val="AbstractBookBaseCharacterStyle"/>
          <w:rFonts w:ascii="Noto Serif Light" w:hAnsi="Noto Serif Light" w:cs="Noto Serif Light"/>
        </w:rPr>
        <w:t>o</w:t>
      </w:r>
      <w:r w:rsidRPr="00CD05A8">
        <w:rPr>
          <w:rStyle w:val="AbstractBookBaseCharacterStyle"/>
          <w:rFonts w:ascii="Noto Serif Light" w:hAnsi="Noto Serif Light" w:cs="Noto Serif Light"/>
        </w:rPr>
        <w:t>f Birmingham, United Kingdom</w:t>
      </w:r>
    </w:p>
    <w:p w14:paraId="3F50DA15" w14:textId="77777777" w:rsidR="002D52B2" w:rsidRDefault="002D52B2" w:rsidP="002D52B2">
      <w:pPr>
        <w:pStyle w:val="AbstractBookBaseParagraph"/>
        <w:rPr>
          <w:rStyle w:val="AbstractBookBaseCharacterStyle"/>
          <w:rFonts w:ascii="Noto Serif Light" w:hAnsi="Noto Serif Light" w:cs="Noto Serif Light"/>
        </w:rPr>
      </w:pPr>
    </w:p>
    <w:p w14:paraId="1BCB3B96" w14:textId="77777777" w:rsidR="002D52B2" w:rsidRPr="00220128" w:rsidRDefault="002D52B2" w:rsidP="002D52B2">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5EB9A8CE" w14:textId="77777777" w:rsidR="002D52B2" w:rsidRDefault="002D52B2" w:rsidP="002D52B2">
      <w:pPr>
        <w:pStyle w:val="AbstractBookBaseParagraph"/>
        <w:rPr>
          <w:rFonts w:ascii="Noto Serif Light" w:hAnsi="Noto Serif Light" w:cs="Noto Serif Light"/>
        </w:rPr>
      </w:pPr>
      <w:r w:rsidRPr="00CD05A8">
        <w:rPr>
          <w:rFonts w:ascii="Noto Serif Light" w:hAnsi="Noto Serif Light" w:cs="Noto Serif Light"/>
        </w:rPr>
        <w:t>Despite internationally significant capabilities in advanced manufacturing, the West Midlands continues to underperform against its economic potential. This paper argues that the region's challenge is not a deficit of assets but a failure of coordination, strategic clarity, and narrative coherence. Rapid technological change, Net Zero transition pressures, and intensifying global competition are accelerating the cost of inaction, while policy interventions to date have remained fragmented — focused on individual sectors and programmes rather than manufacturing as a connected system of capabilities, technologies, skills, institutions, and markets.</w:t>
      </w:r>
    </w:p>
    <w:p w14:paraId="138DD356" w14:textId="77777777" w:rsidR="002D52B2" w:rsidRPr="00CD05A8" w:rsidRDefault="002D52B2" w:rsidP="002D52B2">
      <w:pPr>
        <w:pStyle w:val="AbstractBookBaseParagraph"/>
        <w:rPr>
          <w:rFonts w:ascii="Noto Serif Light" w:hAnsi="Noto Serif Light" w:cs="Noto Serif Light"/>
        </w:rPr>
      </w:pPr>
    </w:p>
    <w:p w14:paraId="42F13E51" w14:textId="77777777" w:rsidR="002D52B2" w:rsidRDefault="002D52B2" w:rsidP="002D52B2">
      <w:pPr>
        <w:pStyle w:val="AbstractBookBaseParagraph"/>
        <w:rPr>
          <w:rFonts w:ascii="Noto Serif Light" w:hAnsi="Noto Serif Light" w:cs="Noto Serif Light"/>
        </w:rPr>
      </w:pPr>
      <w:r w:rsidRPr="00CD05A8">
        <w:rPr>
          <w:rFonts w:ascii="Noto Serif Light" w:hAnsi="Noto Serif Light" w:cs="Noto Serif Light"/>
        </w:rPr>
        <w:t>Drawing on the University of Birmingham's Manufacturing Commission — a nine-month applied research programme co-developed with the West Midlands Growth Company (WMGC), the West Midlands Combined Authority (WMCA), and key national funders — this paper presents findings from a comprehensive place-based investment proposition development process for the West Midlands advanced manufacturing economy. The study combines stakeholder mapping, investor-facing interviews with OEMs and Tier 1 manufacturers, Green Book-structured opportunity assessment, and international comparative case study analysis drawing on the manufacturing regions of Eindhoven, Stuttgart, Gothenburg, and Lille.</w:t>
      </w:r>
    </w:p>
    <w:p w14:paraId="3BF08C7B" w14:textId="77777777" w:rsidR="002D52B2" w:rsidRPr="00CD05A8" w:rsidRDefault="002D52B2" w:rsidP="002D52B2">
      <w:pPr>
        <w:pStyle w:val="AbstractBookBaseParagraph"/>
        <w:rPr>
          <w:rFonts w:ascii="Noto Serif Light" w:hAnsi="Noto Serif Light" w:cs="Noto Serif Light"/>
        </w:rPr>
      </w:pPr>
    </w:p>
    <w:p w14:paraId="164A2979" w14:textId="77777777" w:rsidR="002D52B2" w:rsidRDefault="002D52B2" w:rsidP="002D52B2">
      <w:pPr>
        <w:pStyle w:val="AbstractBookBaseParagraph"/>
        <w:rPr>
          <w:rFonts w:ascii="Noto Serif Light" w:hAnsi="Noto Serif Light" w:cs="Noto Serif Light"/>
        </w:rPr>
      </w:pPr>
      <w:r w:rsidRPr="00CD05A8">
        <w:rPr>
          <w:rFonts w:ascii="Noto Serif Light" w:hAnsi="Noto Serif Light" w:cs="Noto Serif Light"/>
        </w:rPr>
        <w:t>The paper makes three contributions. First, it demonstrates how place-based investment propositions can be developed to translate a region's existing industrial assets and capabilities into a coherent, investor-ready offer — moving beyond fragmented, sector-by-sector advocacy towards a whole-system approach to regional competitiveness. Second, it demonstrates how international comparators can be deployed not for descriptive benchmarking but for extracting actionable lessons on strategic decision-making, proposition structuring, and delivery. Third, it identifies the conditions under which regional thought leadership can genuinely shift policy and investment behaviour, distinguishing leverage points for intervention from areas where public investment is unlikely to shift outcomes.</w:t>
      </w:r>
    </w:p>
    <w:p w14:paraId="3625B1D1" w14:textId="77777777" w:rsidR="002D52B2" w:rsidRPr="00CD05A8" w:rsidRDefault="002D52B2" w:rsidP="002D52B2">
      <w:pPr>
        <w:pStyle w:val="AbstractBookBaseParagraph"/>
        <w:rPr>
          <w:rFonts w:ascii="Noto Serif Light" w:hAnsi="Noto Serif Light" w:cs="Noto Serif Light"/>
        </w:rPr>
      </w:pPr>
    </w:p>
    <w:p w14:paraId="5F2374DE"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The paper contributes to debates on place-based industrial strategy, regional competitiveness, and the translation of innovation assets into sustained productivity growth. Its findings have direct implications for how sub-national governments, universities, and intermediaries work together to articulate and operationalise a regional investment case in an era of intensifying inter-regional and international competition.</w:t>
      </w:r>
    </w:p>
    <w:p w14:paraId="6E474F99" w14:textId="77777777" w:rsidR="002D52B2" w:rsidRPr="00CD05A8" w:rsidRDefault="002D52B2" w:rsidP="002D52B2">
      <w:pPr>
        <w:pStyle w:val="AbstractBookBaseParagraph"/>
        <w:rPr>
          <w:rFonts w:ascii="Noto Serif Light" w:hAnsi="Noto Serif Light" w:cs="Noto Serif Light"/>
        </w:rPr>
      </w:pPr>
    </w:p>
    <w:p w14:paraId="40C59073"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br w:type="page"/>
      </w:r>
    </w:p>
    <w:p w14:paraId="3F1A2833" w14:textId="219DF704" w:rsidR="006457E8" w:rsidRDefault="006457E8" w:rsidP="006457E8">
      <w:pPr>
        <w:pStyle w:val="ABSubhead"/>
      </w:pPr>
      <w:r>
        <w:lastRenderedPageBreak/>
        <w:t xml:space="preserve">O40. </w:t>
      </w:r>
      <w:r w:rsidR="00D047BB" w:rsidRPr="00D047BB">
        <w:t>Linking Mega-events to Place-based Innovation: Expo 2025 and Urban Innovation Strategies in Osaka, Japan</w:t>
      </w:r>
    </w:p>
    <w:p w14:paraId="69850DEF" w14:textId="77777777" w:rsidR="006457E8" w:rsidRPr="00167939" w:rsidRDefault="006457E8" w:rsidP="006457E8">
      <w:pPr>
        <w:pStyle w:val="ABParagraph"/>
      </w:pPr>
    </w:p>
    <w:p w14:paraId="307468C2" w14:textId="77777777" w:rsidR="006457E8" w:rsidRPr="00167939" w:rsidRDefault="006457E8" w:rsidP="006457E8">
      <w:pPr>
        <w:pStyle w:val="AbstractBookAuthors"/>
        <w:rPr>
          <w:rFonts w:ascii="Noto Serif Light" w:hAnsi="Noto Serif Light" w:cs="Noto Serif Light"/>
        </w:rPr>
      </w:pPr>
      <w:r w:rsidRPr="00167939">
        <w:rPr>
          <w:rStyle w:val="AbstractBookPresentingAuthor"/>
          <w:rFonts w:ascii="Noto Serif Light" w:hAnsi="Noto Serif Light" w:cs="Noto Serif Light"/>
        </w:rPr>
        <w:t>Naoki Fujiwara</w:t>
      </w:r>
      <w:r w:rsidRPr="00167939">
        <w:rPr>
          <w:rFonts w:ascii="Noto Serif Light" w:hAnsi="Noto Serif Light" w:cs="Noto Serif Light"/>
          <w:vertAlign w:val="superscript"/>
        </w:rPr>
        <w:t>1</w:t>
      </w:r>
    </w:p>
    <w:p w14:paraId="7CE3B9A2" w14:textId="77777777" w:rsidR="006457E8" w:rsidRPr="00167939" w:rsidRDefault="006457E8" w:rsidP="006457E8">
      <w:pPr>
        <w:pStyle w:val="AbstractBookBaseParagraph"/>
        <w:rPr>
          <w:rStyle w:val="AbstractBookBaseCharacterStyle"/>
          <w:rFonts w:ascii="Noto Serif Light" w:hAnsi="Noto Serif Light" w:cs="Noto Serif Light"/>
        </w:rPr>
      </w:pPr>
      <w:r w:rsidRPr="00167939">
        <w:rPr>
          <w:rFonts w:ascii="Noto Serif Light" w:hAnsi="Noto Serif Light" w:cs="Noto Serif Light"/>
          <w:vertAlign w:val="superscript"/>
        </w:rPr>
        <w:t>1</w:t>
      </w:r>
      <w:r w:rsidRPr="00167939">
        <w:rPr>
          <w:rStyle w:val="AbstractBookBaseCharacterStyle"/>
          <w:rFonts w:ascii="Noto Serif Light" w:hAnsi="Noto Serif Light" w:cs="Noto Serif Light"/>
        </w:rPr>
        <w:t>Otemon Gakuin University, Ibaraki, Japan</w:t>
      </w:r>
    </w:p>
    <w:p w14:paraId="47556FEA" w14:textId="77777777" w:rsidR="006457E8" w:rsidRDefault="006457E8" w:rsidP="006457E8">
      <w:pPr>
        <w:pStyle w:val="AbstractBookBaseParagraph"/>
      </w:pPr>
    </w:p>
    <w:p w14:paraId="33B34BC9" w14:textId="77777777" w:rsidR="006457E8" w:rsidRPr="003E205A" w:rsidRDefault="006457E8" w:rsidP="006457E8">
      <w:pPr>
        <w:pStyle w:val="AbstractBookBaseParagraph"/>
        <w:rPr>
          <w:rFonts w:ascii="Noto Serif Light" w:hAnsi="Noto Serif Light" w:cs="Noto Serif Light"/>
          <w:b/>
          <w:bCs/>
        </w:rPr>
      </w:pPr>
      <w:r w:rsidRPr="003E205A">
        <w:rPr>
          <w:rFonts w:ascii="Noto Serif Light" w:hAnsi="Noto Serif Light" w:cs="Noto Serif Light"/>
          <w:b/>
          <w:bCs/>
        </w:rPr>
        <w:t>Abstract:</w:t>
      </w:r>
    </w:p>
    <w:p w14:paraId="006F2774" w14:textId="77777777" w:rsidR="006457E8" w:rsidRDefault="006457E8" w:rsidP="006457E8">
      <w:pPr>
        <w:pStyle w:val="ABParagraph"/>
      </w:pPr>
      <w:r>
        <w:t xml:space="preserve">Cities across the world continue to invest heavily in mega-events as instruments of regional development. These events are no longer justified solely in terms of short-term economic returns or enhanced global visibility, but increasingly as catalysts for longer-term, innovation-led urban and regional transformation (Spilling, 1996). </w:t>
      </w:r>
    </w:p>
    <w:p w14:paraId="434940EB" w14:textId="77777777" w:rsidR="006457E8" w:rsidRDefault="006457E8" w:rsidP="006457E8">
      <w:pPr>
        <w:pStyle w:val="ABParagraph"/>
      </w:pPr>
    </w:p>
    <w:p w14:paraId="6C4C3E8D" w14:textId="77777777" w:rsidR="006457E8" w:rsidRDefault="006457E8" w:rsidP="006457E8">
      <w:pPr>
        <w:pStyle w:val="ABParagraph"/>
      </w:pPr>
      <w:r>
        <w:t xml:space="preserve">World expos, Olympic Games, and similar large-scale initiatives are now expected to contribute to a wide range of policy objectives, including innovation, sustainability, health, urban branding, and international competitiveness. </w:t>
      </w:r>
    </w:p>
    <w:p w14:paraId="4408A1F5" w14:textId="77777777" w:rsidR="006457E8" w:rsidRDefault="006457E8" w:rsidP="006457E8">
      <w:pPr>
        <w:pStyle w:val="ABParagraph"/>
      </w:pPr>
    </w:p>
    <w:p w14:paraId="1A39FBDD" w14:textId="77777777" w:rsidR="006457E8" w:rsidRDefault="006457E8" w:rsidP="006457E8">
      <w:pPr>
        <w:pStyle w:val="ABParagraph"/>
      </w:pPr>
      <w:r>
        <w:t>However, a substantial body of literature has challenged these expectations, highlighting the high-risk nature of mega-events, characterised by cost overruns, uncertain economic outcomes, and social contestation (Essex and Chalkley, 2004; Müller, 2015; Lauermann, 2022). This raises a fundamental question: why do cities continue to invest in mega-events, and how should their policy significance be interpreted (Evans, 2019)?</w:t>
      </w:r>
    </w:p>
    <w:p w14:paraId="3D80082E" w14:textId="77777777" w:rsidR="006457E8" w:rsidRDefault="006457E8" w:rsidP="006457E8">
      <w:pPr>
        <w:pStyle w:val="ABParagraph"/>
      </w:pPr>
    </w:p>
    <w:p w14:paraId="73C69DB5" w14:textId="77777777" w:rsidR="006457E8" w:rsidRDefault="006457E8" w:rsidP="006457E8">
      <w:pPr>
        <w:pStyle w:val="ABParagraph"/>
      </w:pPr>
      <w:r>
        <w:t xml:space="preserve">Recent research has begun to move beyond a narrow focus on economic impacts, re-evaluating mega-events as processes of policy learning, network formation, and organisational capacity building, as well as institutional mechanisms for land development, capital accumulation, and urban spatial restructuring (Cook and Ward, 2012; Chan and Li, 2017; Zhang, 2024). Yet, despite this shift, a critical gap remains. We still lack a clear understanding of how the temporary momentum generated by mega-events can be translated into sustained forms of place-based innovation. </w:t>
      </w:r>
    </w:p>
    <w:p w14:paraId="259D1028" w14:textId="77777777" w:rsidR="006457E8" w:rsidRDefault="006457E8" w:rsidP="006457E8">
      <w:pPr>
        <w:pStyle w:val="ABParagraph"/>
      </w:pPr>
    </w:p>
    <w:p w14:paraId="15819B7C" w14:textId="77777777" w:rsidR="006457E8" w:rsidRDefault="006457E8" w:rsidP="006457E8">
      <w:pPr>
        <w:pStyle w:val="ABParagraph"/>
      </w:pPr>
      <w:r>
        <w:t>Empirical evidence suggests that attempts to leverage mega-events for innovation development often fail due to institutional and industrial constraints (Diez, 2003; Deng, 2014; Ponzini, 2022). In this context, the conditions under which mega-events can support longer-term innovation processes remain poorly specified.</w:t>
      </w:r>
    </w:p>
    <w:p w14:paraId="2836AC6E" w14:textId="77777777" w:rsidR="006457E8" w:rsidRDefault="006457E8" w:rsidP="006457E8">
      <w:pPr>
        <w:pStyle w:val="ABParagraph"/>
      </w:pPr>
    </w:p>
    <w:p w14:paraId="5481BD45" w14:textId="77777777" w:rsidR="006457E8" w:rsidRDefault="006457E8" w:rsidP="006457E8">
      <w:pPr>
        <w:pStyle w:val="ABParagraph"/>
      </w:pPr>
      <w:r>
        <w:t xml:space="preserve">This paper addresses this gap through a qualitative case study of Expo 2025 Osaka, Japan. With participation from 158 countries and regions, approximately 29 million visitors and construction costs of around £1 billion, Expo 2025 represents one of the most prominent recent mega-events explicitly framed around themes of ‘future society’, experimentation, and innovation. </w:t>
      </w:r>
    </w:p>
    <w:p w14:paraId="1046DA95" w14:textId="77777777" w:rsidR="006457E8" w:rsidRDefault="006457E8" w:rsidP="006457E8">
      <w:pPr>
        <w:pStyle w:val="ABParagraph"/>
      </w:pPr>
    </w:p>
    <w:p w14:paraId="093C49CB" w14:textId="77777777" w:rsidR="006457E8" w:rsidRDefault="006457E8" w:rsidP="006457E8">
      <w:pPr>
        <w:pStyle w:val="ABParagraph"/>
      </w:pPr>
      <w:r>
        <w:t>Crucially, in the Osaka context, the Expo is not conceived as a stand-alone event, but as part of a broader urban development strategy. It is linked to multiple innovation-oriented urban districts, including the Umekita area, centred on start-ups, co-creation, and open innovation, and Nakanoshima Qross, a specialised hub for life sciences, regenerative medicine, and health innovation. These sites differ significantly in terms of their functional roles and institutional configurations, raising important questions about how mega-events may connect to heterogeneous urban innovation spaces.</w:t>
      </w:r>
    </w:p>
    <w:p w14:paraId="68E7A50B" w14:textId="77777777" w:rsidR="006457E8" w:rsidRDefault="006457E8" w:rsidP="006457E8">
      <w:pPr>
        <w:pStyle w:val="ABParagraph"/>
      </w:pPr>
    </w:p>
    <w:p w14:paraId="19B38EF5" w14:textId="77777777" w:rsidR="006457E8" w:rsidRDefault="006457E8" w:rsidP="006457E8">
      <w:pPr>
        <w:pStyle w:val="ABParagraph"/>
      </w:pPr>
      <w:r>
        <w:t xml:space="preserve">The study adopts a qualitative case study approach, drawing on policy documents, planning materials, programme-related sources, and interviews conducted in February 2026 with key actors involved in urban and innovation governance in Osaka. </w:t>
      </w:r>
    </w:p>
    <w:p w14:paraId="18801F6E" w14:textId="77777777" w:rsidR="006457E8" w:rsidRDefault="006457E8" w:rsidP="006457E8">
      <w:pPr>
        <w:pStyle w:val="ABParagraph"/>
      </w:pPr>
    </w:p>
    <w:p w14:paraId="06426AF3" w14:textId="77777777" w:rsidR="006457E8" w:rsidRDefault="006457E8" w:rsidP="006457E8">
      <w:pPr>
        <w:pStyle w:val="ABParagraph"/>
      </w:pPr>
      <w:r>
        <w:t>The analysis focuses on three interrelated questions: (1) how the Expo is positioned within narratives of urban transformation and innovation (Honório et al., 2025); (2) how it is embedded in relation to major urban innovation districts; and (3) what types of organisational and institutional arrangements underpin these relationships.</w:t>
      </w:r>
    </w:p>
    <w:p w14:paraId="3D0D914B" w14:textId="77777777" w:rsidR="006457E8" w:rsidRDefault="006457E8" w:rsidP="006457E8">
      <w:pPr>
        <w:pStyle w:val="ABParagraph"/>
      </w:pPr>
    </w:p>
    <w:p w14:paraId="4C8BB9BF" w14:textId="77777777" w:rsidR="006457E8" w:rsidRDefault="006457E8" w:rsidP="006457E8">
      <w:pPr>
        <w:pStyle w:val="ABParagraph"/>
      </w:pPr>
      <w:r>
        <w:t xml:space="preserve">The findings suggest that the policy significance of mega-events depends less on the event itself than on how it is embedded within broader urban development strategies, and critically on the presence of organisational capacities to coordinate, align, and sustain interactions across diverse innovation domains. By repositioning mega-events not as automatic drivers of place-based innovation, but as potentially significant yet highly conditional policy instruments, this paper contributes to current debates in innovation policy. </w:t>
      </w:r>
    </w:p>
    <w:p w14:paraId="2761A383" w14:textId="77777777" w:rsidR="006457E8" w:rsidRDefault="006457E8" w:rsidP="006457E8">
      <w:pPr>
        <w:pStyle w:val="ABParagraph"/>
      </w:pPr>
    </w:p>
    <w:p w14:paraId="67CAAB3C" w14:textId="77777777" w:rsidR="006457E8" w:rsidRDefault="006457E8" w:rsidP="006457E8">
      <w:pPr>
        <w:pStyle w:val="ABParagraph"/>
      </w:pPr>
      <w:r>
        <w:t>The key policy implication is how to design and support institutional arrangements capable of translating short-term visibility or temporary clusters (Bathelt and Li, 2025) into sustained innovation processes. These insights are particularly relevant for cities that are seeking to align large-scale urban projects with place-based innovation strategies, while addressing challenges of coordination, sustainability, and uneven development.</w:t>
      </w:r>
    </w:p>
    <w:p w14:paraId="6518040C" w14:textId="77777777" w:rsidR="006457E8" w:rsidRDefault="006457E8" w:rsidP="006457E8">
      <w:pPr>
        <w:pStyle w:val="AbstractBookBaseParagraph"/>
      </w:pPr>
      <w:r>
        <w:br w:type="page"/>
      </w:r>
    </w:p>
    <w:p w14:paraId="0A3316C6" w14:textId="0436BF95" w:rsidR="002D52B2" w:rsidRPr="002D52B2" w:rsidRDefault="00390C9C" w:rsidP="002D52B2">
      <w:pPr>
        <w:pStyle w:val="ABSubhead"/>
        <w:rPr>
          <w:lang w:val="en-US"/>
        </w:rPr>
      </w:pPr>
      <w:r>
        <w:rPr>
          <w:lang w:val="en-US"/>
        </w:rPr>
        <w:lastRenderedPageBreak/>
        <w:t xml:space="preserve">O41. </w:t>
      </w:r>
      <w:r w:rsidR="002D52B2" w:rsidRPr="002D52B2">
        <w:rPr>
          <w:lang w:val="en-US"/>
        </w:rPr>
        <w:t>Beyond the Helix: Institutional Design and Governance of University-Based Policy Institutes in Europe</w:t>
      </w:r>
    </w:p>
    <w:p w14:paraId="64FD5935" w14:textId="77777777" w:rsidR="002D52B2" w:rsidRPr="00220128" w:rsidRDefault="002D52B2" w:rsidP="002D52B2">
      <w:pPr>
        <w:pStyle w:val="ABParagraph"/>
      </w:pPr>
    </w:p>
    <w:p w14:paraId="665437B1" w14:textId="77777777" w:rsidR="002D52B2" w:rsidRPr="00CD05A8" w:rsidRDefault="002D52B2" w:rsidP="002D52B2">
      <w:pPr>
        <w:pStyle w:val="AbstractBookAuthors"/>
        <w:rPr>
          <w:rFonts w:ascii="Noto Serif Light" w:hAnsi="Noto Serif Light" w:cs="Noto Serif Light"/>
        </w:rPr>
      </w:pPr>
      <w:r w:rsidRPr="00CD05A8">
        <w:rPr>
          <w:rStyle w:val="AbstractBookPresentingAuthor"/>
          <w:rFonts w:ascii="Noto Serif Light" w:hAnsi="Noto Serif Light" w:cs="Noto Serif Light"/>
        </w:rPr>
        <w:t>Dr Abigail Taylor</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Associate Professor Massimiliano Nuccio</w:t>
      </w:r>
      <w:r w:rsidRPr="00CD05A8">
        <w:rPr>
          <w:rFonts w:ascii="Noto Serif Light" w:hAnsi="Noto Serif Light" w:cs="Noto Serif Light"/>
          <w:vertAlign w:val="superscript"/>
        </w:rPr>
        <w:t>1</w:t>
      </w:r>
    </w:p>
    <w:p w14:paraId="47E981A7" w14:textId="77777777" w:rsidR="002D52B2" w:rsidRDefault="002D52B2" w:rsidP="002D52B2">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City-R</w:t>
      </w:r>
      <w:r>
        <w:rPr>
          <w:rStyle w:val="AbstractBookBaseCharacterStyle"/>
          <w:rFonts w:ascii="Noto Serif Light" w:hAnsi="Noto Serif Light" w:cs="Noto Serif Light"/>
        </w:rPr>
        <w:t>EDI</w:t>
      </w:r>
      <w:r w:rsidRPr="00CD05A8">
        <w:rPr>
          <w:rStyle w:val="AbstractBookBaseCharacterStyle"/>
          <w:rFonts w:ascii="Noto Serif Light" w:hAnsi="Noto Serif Light" w:cs="Noto Serif Light"/>
        </w:rPr>
        <w:t xml:space="preserve">, University </w:t>
      </w:r>
      <w:r>
        <w:rPr>
          <w:rStyle w:val="AbstractBookBaseCharacterStyle"/>
          <w:rFonts w:ascii="Noto Serif Light" w:hAnsi="Noto Serif Light" w:cs="Noto Serif Light"/>
        </w:rPr>
        <w:t>o</w:t>
      </w:r>
      <w:r w:rsidRPr="00CD05A8">
        <w:rPr>
          <w:rStyle w:val="AbstractBookBaseCharacterStyle"/>
          <w:rFonts w:ascii="Noto Serif Light" w:hAnsi="Noto Serif Light" w:cs="Noto Serif Light"/>
        </w:rPr>
        <w:t>f Birmingham, United Kingdom</w:t>
      </w:r>
    </w:p>
    <w:p w14:paraId="641FC346" w14:textId="77777777" w:rsidR="002D52B2" w:rsidRDefault="002D52B2" w:rsidP="002D52B2">
      <w:pPr>
        <w:pStyle w:val="AbstractBookBaseParagraph"/>
        <w:rPr>
          <w:rStyle w:val="AbstractBookBaseCharacterStyle"/>
          <w:rFonts w:ascii="Noto Serif Light" w:hAnsi="Noto Serif Light" w:cs="Noto Serif Light"/>
        </w:rPr>
      </w:pPr>
    </w:p>
    <w:p w14:paraId="31934BF1" w14:textId="77777777" w:rsidR="002D52B2" w:rsidRPr="006C77A6" w:rsidRDefault="002D52B2" w:rsidP="002D52B2">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5EF39EC0" w14:textId="77777777" w:rsidR="002D52B2" w:rsidRPr="00CD05A8" w:rsidRDefault="002D52B2" w:rsidP="002D52B2">
      <w:pPr>
        <w:pStyle w:val="AbstractBookBaseParagraph"/>
        <w:rPr>
          <w:rFonts w:ascii="Noto Serif Light" w:hAnsi="Noto Serif Light" w:cs="Noto Serif Light"/>
        </w:rPr>
      </w:pPr>
    </w:p>
    <w:p w14:paraId="431E1B52"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University-based policy institutes have become increasingly important actors in regional development, place-based innovation and civic engagement across Europe. Governments now expect universities not only to generate research but to collaborate meaningfully with local partners to address societal challenges, contribute to economic growth and promote innovation. While the dominant conceptual frameworks in the literature remain the Triple Helix (university–government–industry) and Quadruple Helix (adding civil society), empirical studies show that collaboration mechanisms differ substantially across national and regional contexts. A recent cross-country study by Deirmentzoglou et al. (2025) demonstrates growing alignment between university initiatives and national sustainability agendas across six European jurisdictions, though the depth and maturity of these partnerships vary widely.</w:t>
      </w:r>
    </w:p>
    <w:p w14:paraId="750ADE05"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 </w:t>
      </w:r>
    </w:p>
    <w:p w14:paraId="3CF45FBA"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Local case studies offer more granular insight into how collaboration works in practice. Carroll and Crawford’s (2024) examination of the University of Leeds and Leeds City Council highlights the centrality of interpersonal relationships, trust and boundary spanning individuals that bridge organisational boundaries as often more influential than formal structures. Fonseca’s (2019) study of the University of Aveiro’s engagement with regional intermunicipal authorities extends insights into how universities, particularly in less-developed regions, can act as “animateurs,” activating networks and institutional agency, though misaligned expectations between universities and local authorities frequently pose challenges. Comparative work by Fonseca and Nieth (2021) further illustrates how regional context shapes universities’ roles in planning, consultation and mediation.</w:t>
      </w:r>
    </w:p>
    <w:p w14:paraId="06092A6E"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 </w:t>
      </w:r>
    </w:p>
    <w:p w14:paraId="28AD78DB"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Other models, such as Newcastle City Futures (Vallance et al., 2019), demonstrate how university-hosted platforms can mobilise interpretive and network power to broker long-term, cross-organisational projects outside formal governance structures, while remaining dependent on local legitimacy and resources. Evidence from southeastern Europe (Luca Sugawara et al., 2025) suggests that community–university partnerships can strengthen local development capacity, while also revealing a persistent Western bias in existing scholarship.</w:t>
      </w:r>
    </w:p>
    <w:p w14:paraId="22023A8F"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 </w:t>
      </w:r>
    </w:p>
    <w:p w14:paraId="4A8D40FD"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Despite these contributions, there is limited systematic comparative research on how university-based economic development and policy institutes organise collaboration internally. Key gaps include governance arrangements, use or not of advisory board structures, the balance between commissioned and independent research, funding sources and how institutes manage tensions between academic independence and partner accountability.</w:t>
      </w:r>
    </w:p>
    <w:p w14:paraId="2802F6DD"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 </w:t>
      </w:r>
    </w:p>
    <w:p w14:paraId="14C544AB"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lastRenderedPageBreak/>
        <w:t>This paper responds to this gap through comparative case studies of European university-based research institutes, drawing on multiple cases and interview-based evidence to identify patterns and context-specific variations in institutional design and practice.  It seeks to offer insights into governance, funding and leadership for university-industry collaboration and, in turn, develop policy recommendations to help universities and their partners to navigate collaborating to promote regional innovation in an increasingly complex environment. The paper has two major focuses. First, it examines how variation in governance, funding structures and leadership models within these institutes shapes the scope, durability, and impact of regional innovation partnerships;  Second, it highlights the compromises universities must navigate between academic autonomy, policy relevance and stakeholder expectations, raising questions about the ethical boundaries and societal roles of these institutes: to what extent can they engage in place-based innovation without diluting their critical and independent function?</w:t>
      </w:r>
    </w:p>
    <w:p w14:paraId="6EE8196D" w14:textId="77777777" w:rsidR="002D52B2" w:rsidRPr="00CD05A8" w:rsidRDefault="002D52B2" w:rsidP="002D52B2">
      <w:pPr>
        <w:pStyle w:val="AbstractBookBaseParagraph"/>
        <w:rPr>
          <w:rFonts w:ascii="Noto Serif Light" w:hAnsi="Noto Serif Light" w:cs="Noto Serif Light"/>
        </w:rPr>
      </w:pPr>
    </w:p>
    <w:p w14:paraId="59246B79"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br w:type="page"/>
      </w:r>
    </w:p>
    <w:p w14:paraId="02E32117" w14:textId="7B4C56C3" w:rsidR="002D52B2" w:rsidRDefault="00390C9C" w:rsidP="002D52B2">
      <w:pPr>
        <w:pStyle w:val="ABSubhead"/>
      </w:pPr>
      <w:r>
        <w:lastRenderedPageBreak/>
        <w:t xml:space="preserve">O42. </w:t>
      </w:r>
      <w:r w:rsidR="002D52B2" w:rsidRPr="00CD05A8">
        <w:t>The Role of Universities in Regions and European University Alliances</w:t>
      </w:r>
    </w:p>
    <w:p w14:paraId="5E79242E" w14:textId="77777777" w:rsidR="002D52B2" w:rsidRPr="00220128" w:rsidRDefault="002D52B2" w:rsidP="002D52B2">
      <w:pPr>
        <w:pStyle w:val="ABParagraph"/>
      </w:pPr>
    </w:p>
    <w:p w14:paraId="686DD4B9" w14:textId="77777777" w:rsidR="002D52B2" w:rsidRPr="00CD05A8" w:rsidRDefault="002D52B2" w:rsidP="002D52B2">
      <w:pPr>
        <w:pStyle w:val="AbstractBookAuthors"/>
        <w:rPr>
          <w:rFonts w:ascii="Noto Serif Light" w:hAnsi="Noto Serif Light" w:cs="Noto Serif Light"/>
        </w:rPr>
      </w:pPr>
      <w:r w:rsidRPr="00CD05A8">
        <w:rPr>
          <w:rStyle w:val="AbstractBookPresentingAuthor"/>
          <w:rFonts w:ascii="Noto Serif Light" w:hAnsi="Noto Serif Light" w:cs="Noto Serif Light"/>
        </w:rPr>
        <w:t>Sandrine Labory</w:t>
      </w:r>
      <w:r w:rsidRPr="00CD05A8">
        <w:rPr>
          <w:rFonts w:ascii="Noto Serif Light" w:hAnsi="Noto Serif Light" w:cs="Noto Serif Light"/>
          <w:vertAlign w:val="superscript"/>
        </w:rPr>
        <w:t>1</w:t>
      </w:r>
    </w:p>
    <w:p w14:paraId="5886B025" w14:textId="77777777" w:rsidR="002D52B2" w:rsidRDefault="002D52B2" w:rsidP="002D52B2">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University </w:t>
      </w:r>
      <w:r>
        <w:rPr>
          <w:rStyle w:val="AbstractBookBaseCharacterStyle"/>
          <w:rFonts w:ascii="Noto Serif Light" w:hAnsi="Noto Serif Light" w:cs="Noto Serif Light"/>
        </w:rPr>
        <w:t>o</w:t>
      </w:r>
      <w:r w:rsidRPr="00CD05A8">
        <w:rPr>
          <w:rStyle w:val="AbstractBookBaseCharacterStyle"/>
          <w:rFonts w:ascii="Noto Serif Light" w:hAnsi="Noto Serif Light" w:cs="Noto Serif Light"/>
        </w:rPr>
        <w:t>f Ferrara, Ferrara, Italy</w:t>
      </w:r>
    </w:p>
    <w:p w14:paraId="42206DB5" w14:textId="77777777" w:rsidR="002D52B2" w:rsidRDefault="002D52B2" w:rsidP="002D52B2">
      <w:pPr>
        <w:pStyle w:val="AbstractBookBaseParagraph"/>
        <w:rPr>
          <w:rStyle w:val="AbstractBookBaseCharacterStyle"/>
          <w:rFonts w:ascii="Noto Serif Light" w:hAnsi="Noto Serif Light" w:cs="Noto Serif Light"/>
        </w:rPr>
      </w:pPr>
    </w:p>
    <w:p w14:paraId="711D92AA" w14:textId="77777777" w:rsidR="002D52B2" w:rsidRPr="00220128" w:rsidRDefault="002D52B2" w:rsidP="002D52B2">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169082C4"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Universities play a central role in regional innovation ecosystems by generating knowledge, developing human capital, and fostering collaboration among public, private, and civic actors. The literature has shown their important roles as “entrepreneurial universities” (Etzkowitz, 2004) and “engaged universities” (Benneworth, 2018; Fonseca and Nieth, 2021). In fact, beyond their traditional missions of teaching and research, universities increasingly contribute to regional development through entrepreneurship, technology transfer, and engagement with local stakeholders. They help regions innovate by supporting start-ups, facilitating knowledge exchange, and participating in collaborative research projects. Universities also act as anchor institutions, connecting businesses, governments, and civil society through formal and informal networks. In peripheral or less-developed regions, they can be particularly important for retaining talent, stimulating innovation, and addressing local societal challenges. Students and academics contribute through internships, experiential learning, and co-creation activities with external partners. Universities often support regional resilience by helping regions adapt to economic, technological, and social change. Their impact depends not only on institutional strategies and policies but also on the everyday actions of individuals and long-term relationships with regional actors (Iakovleva et al., 2022). </w:t>
      </w:r>
    </w:p>
    <w:p w14:paraId="40F5482F" w14:textId="77777777" w:rsidR="002D52B2" w:rsidRPr="00CD05A8" w:rsidRDefault="002D52B2" w:rsidP="002D52B2">
      <w:pPr>
        <w:pStyle w:val="AbstractBookBaseParagraph"/>
        <w:rPr>
          <w:rFonts w:ascii="Noto Serif Light" w:hAnsi="Noto Serif Light" w:cs="Noto Serif Light"/>
        </w:rPr>
      </w:pPr>
    </w:p>
    <w:p w14:paraId="1CDF08A5"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Recently a new dimension has been added to this multi-faceted role of universities in regional innovation ecosystems. The European Commission has launched the European University Initiative in 2019, aiming at promoting the creation of alliances of universities across Europe, with very ambitious objectives. The aim is indeed to create deep, long-term cooperation between higher education institutions across Europe in order to strengthen the quality, competitiveness, and international attractiveness of European higher education. Through transnational alliances of universities, the initiative promotes integrated European campuses where students, researchers, and staff can collaborate, study, teach, and work across borders more easily. The alliances seek to foster innovation in teaching and learning, support interdisciplinary and challenge-based education, and develop joint programmes and European degrees. They also aim to reinforce the links between education, research, innovation, and society, contributing to regional development in the complex (digital, green and just) transitions. A key objective is to promote common European values, inclusion, and a stronger sense of European identity among students and staff. The initiative further encourages universities to cooperate closely with external stakeholders, including businesses, public authorities, and civil society, in order to address major societal challenges collectively.</w:t>
      </w:r>
    </w:p>
    <w:p w14:paraId="335B660D" w14:textId="77777777" w:rsidR="002D52B2" w:rsidRPr="00CD05A8" w:rsidRDefault="002D52B2" w:rsidP="002D52B2">
      <w:pPr>
        <w:pStyle w:val="AbstractBookBaseParagraph"/>
        <w:rPr>
          <w:rFonts w:ascii="Noto Serif Light" w:hAnsi="Noto Serif Light" w:cs="Noto Serif Light"/>
        </w:rPr>
      </w:pPr>
    </w:p>
    <w:p w14:paraId="5466DED5"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There are now 65 funded European University Alliances (EUAs), bringing together more than 570 higher education institutions from 35 European countries, and more than 2000 regional stakeholders. </w:t>
      </w:r>
    </w:p>
    <w:p w14:paraId="097F709E" w14:textId="77777777" w:rsidR="002D52B2" w:rsidRPr="00CD05A8" w:rsidRDefault="002D52B2" w:rsidP="002D52B2">
      <w:pPr>
        <w:pStyle w:val="AbstractBookBaseParagraph"/>
        <w:rPr>
          <w:rFonts w:ascii="Noto Serif Light" w:hAnsi="Noto Serif Light" w:cs="Noto Serif Light"/>
        </w:rPr>
      </w:pPr>
    </w:p>
    <w:p w14:paraId="79100BB3"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This paper aims to analyse the regional impact of European Universities Initiative, with particular attention to the ways in which European university alliances can foster much-needed extra-regional collaboration among quadruple helix actors across different European regions. Specifically, the paper explores how alliances facilitate cooperation between universities, public authorities, businesses, and civil society organisations beyond regional and national boundaries, thereby contributing to knowledge exchange, innovation capacity, and the co-creation of solutions to common societal challenges.</w:t>
      </w:r>
    </w:p>
    <w:p w14:paraId="779DDBF8" w14:textId="77777777" w:rsidR="002D52B2" w:rsidRPr="00CD05A8" w:rsidRDefault="002D52B2" w:rsidP="002D52B2">
      <w:pPr>
        <w:pStyle w:val="AbstractBookBaseParagraph"/>
        <w:rPr>
          <w:rFonts w:ascii="Noto Serif Light" w:hAnsi="Noto Serif Light" w:cs="Noto Serif Light"/>
        </w:rPr>
      </w:pPr>
    </w:p>
    <w:p w14:paraId="7E0CA25D"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For this purpose, the analysis is based on primary and secondary data collection from all 65 alliances.</w:t>
      </w:r>
    </w:p>
    <w:p w14:paraId="45BDD1EE" w14:textId="77777777" w:rsidR="002D52B2" w:rsidRPr="00CD05A8" w:rsidRDefault="002D52B2" w:rsidP="002D52B2">
      <w:pPr>
        <w:pStyle w:val="AbstractBookBaseParagraph"/>
        <w:rPr>
          <w:rFonts w:ascii="Noto Serif Light" w:hAnsi="Noto Serif Light" w:cs="Noto Serif Light"/>
        </w:rPr>
      </w:pPr>
    </w:p>
    <w:p w14:paraId="1E2B72F3"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The paper shows how European University Alliances have indeed started to created to create bridges between regional innovation ecosystems in Europe, in differentiated ways according to the type of alliance: EUAs indeed differ according to the type of universities as well as the characteristics of the regions involved.</w:t>
      </w:r>
    </w:p>
    <w:p w14:paraId="03E5A5CE" w14:textId="77777777" w:rsidR="002D52B2" w:rsidRPr="00CD05A8" w:rsidRDefault="002D52B2" w:rsidP="002D52B2">
      <w:pPr>
        <w:pStyle w:val="AbstractBookBaseParagraph"/>
        <w:rPr>
          <w:rFonts w:ascii="Noto Serif Light" w:hAnsi="Noto Serif Light" w:cs="Noto Serif Light"/>
        </w:rPr>
      </w:pPr>
    </w:p>
    <w:p w14:paraId="1C1674EE"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One particular reflection is that in recent years, universities have increasingly been expected to fulfil a wide range of strategic roles, contributing not only to excellence in education and research, but also to regional innovation ecosystems, the complex transitions, social inclusion, and European competitiveness. While these expanded missions reflect the growing recognition of universities as key societal actors, they also raise important questions regarding institutional capacity, sustainability, and prioritisation. There may therefore be a need to reflect more critically on the cumulative expectations placed upon universities and to consider whether higher education institutions are being asked to perform too many roles simultaneously, often without corresponding structural support and resources. Differentiated regional innovation (place-based) policies may help in this respect, with well-defined, coherent and consistent policies at the regional, national and supranational levels.</w:t>
      </w:r>
    </w:p>
    <w:p w14:paraId="24907E91"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br w:type="page"/>
      </w:r>
    </w:p>
    <w:p w14:paraId="6702B1C2" w14:textId="5690D8DD" w:rsidR="002D52B2" w:rsidRDefault="00390C9C" w:rsidP="002D52B2">
      <w:pPr>
        <w:pStyle w:val="ABSubhead"/>
      </w:pPr>
      <w:r>
        <w:lastRenderedPageBreak/>
        <w:t xml:space="preserve">O43. </w:t>
      </w:r>
      <w:r w:rsidR="002D52B2" w:rsidRPr="00CD05A8">
        <w:t>From Anchor Institutions to Governance Actors: Universities and the Institutional Architecture of Place-Based Innovation</w:t>
      </w:r>
    </w:p>
    <w:p w14:paraId="6D6A5E8D" w14:textId="77777777" w:rsidR="002D52B2" w:rsidRPr="003835DE" w:rsidRDefault="002D52B2" w:rsidP="002D52B2">
      <w:pPr>
        <w:pStyle w:val="ABParagraph"/>
      </w:pPr>
    </w:p>
    <w:p w14:paraId="24BA49D3" w14:textId="77777777" w:rsidR="002D52B2" w:rsidRPr="00CD05A8" w:rsidRDefault="002D52B2" w:rsidP="002D52B2">
      <w:pPr>
        <w:pStyle w:val="AbstractBookAuthors"/>
        <w:rPr>
          <w:rFonts w:ascii="Noto Serif Light" w:hAnsi="Noto Serif Light" w:cs="Noto Serif Light"/>
        </w:rPr>
      </w:pPr>
      <w:r w:rsidRPr="00CD05A8">
        <w:rPr>
          <w:rStyle w:val="AbstractBookPresentingAuthor"/>
          <w:rFonts w:ascii="Noto Serif Light" w:hAnsi="Noto Serif Light" w:cs="Noto Serif Light"/>
        </w:rPr>
        <w:t>Sara Hassan</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Johannes Read</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Des</w:t>
      </w:r>
      <w:r>
        <w:rPr>
          <w:rStyle w:val="AbstractBookBaseCharacterStyle"/>
          <w:rFonts w:ascii="Noto Serif Light" w:hAnsi="Noto Serif Light" w:cs="Noto Serif Light"/>
        </w:rPr>
        <w:t xml:space="preserve"> </w:t>
      </w:r>
      <w:r w:rsidRPr="00CD05A8">
        <w:rPr>
          <w:rStyle w:val="AbstractBookBaseCharacterStyle"/>
          <w:rFonts w:ascii="Noto Serif Light" w:hAnsi="Noto Serif Light" w:cs="Noto Serif Light"/>
        </w:rPr>
        <w:t>McNulty</w:t>
      </w:r>
      <w:r>
        <w:rPr>
          <w:rStyle w:val="AbstractBookBaseCharacterStyle"/>
          <w:rFonts w:ascii="Noto Serif Light" w:hAnsi="Noto Serif Light" w:cs="Noto Serif Light"/>
          <w:vertAlign w:val="superscript"/>
        </w:rPr>
        <w:t>2</w:t>
      </w:r>
      <w:r w:rsidRPr="00CD05A8">
        <w:rPr>
          <w:rStyle w:val="AbstractBookBaseCharacterStyle"/>
          <w:rFonts w:ascii="Noto Serif Light" w:hAnsi="Noto Serif Light" w:cs="Noto Serif Light"/>
        </w:rPr>
        <w:t>, Professor Anne Green</w:t>
      </w:r>
      <w:r w:rsidRPr="00CD05A8">
        <w:rPr>
          <w:rFonts w:ascii="Noto Serif Light" w:hAnsi="Noto Serif Light" w:cs="Noto Serif Light"/>
          <w:vertAlign w:val="superscript"/>
        </w:rPr>
        <w:t>1</w:t>
      </w:r>
    </w:p>
    <w:p w14:paraId="19AEEE35" w14:textId="77777777" w:rsidR="002D52B2" w:rsidRPr="000F6F39" w:rsidRDefault="002D52B2" w:rsidP="002D52B2">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City-REDI</w:t>
      </w:r>
      <w:r>
        <w:rPr>
          <w:rStyle w:val="AbstractBookBaseCharacterStyle"/>
          <w:rFonts w:ascii="Noto Serif Light" w:hAnsi="Noto Serif Light" w:cs="Noto Serif Light"/>
        </w:rPr>
        <w:t>,</w:t>
      </w:r>
      <w:r w:rsidRPr="00CD05A8">
        <w:rPr>
          <w:rStyle w:val="AbstractBookBaseCharacterStyle"/>
          <w:rFonts w:ascii="Noto Serif Light" w:hAnsi="Noto Serif Light" w:cs="Noto Serif Light"/>
        </w:rPr>
        <w:t xml:space="preserve"> University of Birmingham, Birmingham, United Kingdom</w:t>
      </w:r>
      <w:r>
        <w:rPr>
          <w:rStyle w:val="AbstractBookBaseCharacterStyle"/>
          <w:rFonts w:ascii="Noto Serif Light" w:hAnsi="Noto Serif Light" w:cs="Noto Serif Light"/>
        </w:rPr>
        <w:t xml:space="preserve">, </w:t>
      </w:r>
      <w:r>
        <w:rPr>
          <w:rStyle w:val="AbstractBookBaseCharacterStyle"/>
          <w:rFonts w:ascii="Noto Serif Light" w:hAnsi="Noto Serif Light" w:cs="Noto Serif Light"/>
          <w:vertAlign w:val="superscript"/>
        </w:rPr>
        <w:t>2</w:t>
      </w:r>
      <w:r>
        <w:rPr>
          <w:rStyle w:val="AbstractBookBaseCharacterStyle"/>
          <w:rFonts w:ascii="Noto Serif Light" w:hAnsi="Noto Serif Light" w:cs="Noto Serif Light"/>
        </w:rPr>
        <w:t>Glasgow Caledonian University, Glasgow, United Kingdom</w:t>
      </w:r>
    </w:p>
    <w:p w14:paraId="66F536D3" w14:textId="77777777" w:rsidR="002D52B2" w:rsidRDefault="002D52B2" w:rsidP="002D52B2">
      <w:pPr>
        <w:pStyle w:val="AbstractBookBaseParagraph"/>
        <w:rPr>
          <w:rStyle w:val="AbstractBookBaseCharacterStyle"/>
          <w:rFonts w:ascii="Noto Serif Light" w:hAnsi="Noto Serif Light" w:cs="Noto Serif Light"/>
        </w:rPr>
      </w:pPr>
    </w:p>
    <w:p w14:paraId="6845391B" w14:textId="77777777" w:rsidR="002D52B2" w:rsidRPr="003835DE" w:rsidRDefault="002D52B2" w:rsidP="002D52B2">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42ACB5B2" w14:textId="77777777" w:rsidR="002D52B2" w:rsidRDefault="002D52B2" w:rsidP="002D52B2">
      <w:pPr>
        <w:pStyle w:val="AbstractBookBaseParagraph"/>
        <w:rPr>
          <w:rFonts w:ascii="Noto Serif Light" w:hAnsi="Noto Serif Light" w:cs="Noto Serif Light"/>
        </w:rPr>
      </w:pPr>
      <w:r w:rsidRPr="00CD05A8">
        <w:rPr>
          <w:rFonts w:ascii="Noto Serif Light" w:hAnsi="Noto Serif Light" w:cs="Noto Serif Light"/>
        </w:rPr>
        <w:t>Universities are increasingly expected to contribute not only to knowledge production and economic growth, but also to the governance and coordination of place-based innovation and societal transformation. Yet despite growing policy interest in the civic university agenda, there remains limited understanding of how universities move beyond symbolic civic commitments to become embedded governance actors within regional innovation ecosystems.</w:t>
      </w:r>
    </w:p>
    <w:p w14:paraId="76C35549" w14:textId="77777777" w:rsidR="002D52B2" w:rsidRPr="00CD05A8" w:rsidRDefault="002D52B2" w:rsidP="002D52B2">
      <w:pPr>
        <w:pStyle w:val="AbstractBookBaseParagraph"/>
        <w:rPr>
          <w:rFonts w:ascii="Noto Serif Light" w:hAnsi="Noto Serif Light" w:cs="Noto Serif Light"/>
        </w:rPr>
      </w:pPr>
    </w:p>
    <w:p w14:paraId="3EABD9BD" w14:textId="77777777" w:rsidR="002D52B2" w:rsidRDefault="002D52B2" w:rsidP="002D52B2">
      <w:pPr>
        <w:pStyle w:val="AbstractBookBaseParagraph"/>
        <w:rPr>
          <w:rFonts w:ascii="Noto Serif Light" w:hAnsi="Noto Serif Light" w:cs="Noto Serif Light"/>
        </w:rPr>
      </w:pPr>
      <w:r w:rsidRPr="00CD05A8">
        <w:rPr>
          <w:rFonts w:ascii="Noto Serif Light" w:hAnsi="Noto Serif Light" w:cs="Noto Serif Light"/>
        </w:rPr>
        <w:t>This paper develops a conceptual framework explaining how universities evolve from traditional “anchor institutions” into active place-based governance partners. Drawing on comparative qualitative research across fourteen cases in the United Kingdom, United States, and north-western Europe, the paper identifies five interrelated mechanisms shaping this transformation: strategic integration of civic purpose within institutional missions; development of relational infrastructures of trust and accountability; investment in boundary-spanning capabilities; adaptive co-production between universities, policymakers, and civic actors; and contextual embedding of global learning within local systems.</w:t>
      </w:r>
    </w:p>
    <w:p w14:paraId="61CD0A30" w14:textId="77777777" w:rsidR="002D52B2" w:rsidRPr="00CD05A8" w:rsidRDefault="002D52B2" w:rsidP="002D52B2">
      <w:pPr>
        <w:pStyle w:val="AbstractBookBaseParagraph"/>
        <w:rPr>
          <w:rFonts w:ascii="Noto Serif Light" w:hAnsi="Noto Serif Light" w:cs="Noto Serif Light"/>
        </w:rPr>
      </w:pPr>
    </w:p>
    <w:p w14:paraId="120CCE2C"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The paper contributes to debates on regional innovation policy and place-based development in three ways. First, it moves beyond economic interpretations of universities as anchors by conceptualising universities as co-architects of collaborative governance and institutional capacity building. Second, it demonstrates how governance systems, policy environments, and institutional contexts shape the ways universities engage in regional innovation ecosystems. Third, it highlights the tensions universities face in balancing national research and funding priorities with local accountability and civic expectations.</w:t>
      </w:r>
    </w:p>
    <w:p w14:paraId="104E35B2" w14:textId="77777777" w:rsidR="002D52B2" w:rsidRDefault="002D52B2" w:rsidP="002D52B2">
      <w:pPr>
        <w:pStyle w:val="AbstractBookBaseParagraph"/>
        <w:rPr>
          <w:rFonts w:ascii="Noto Serif Light" w:hAnsi="Noto Serif Light" w:cs="Noto Serif Light"/>
        </w:rPr>
      </w:pPr>
      <w:r w:rsidRPr="00CD05A8">
        <w:rPr>
          <w:rFonts w:ascii="Noto Serif Light" w:hAnsi="Noto Serif Light" w:cs="Noto Serif Light"/>
        </w:rPr>
        <w:t>The study draws on empirical findings from interviews and document analysis with university leaders, policymakers, civic organisations, and intermediary actors across a range of metropolitan and post-industrial regions. Rather than presenting a universal model, the paper identifies recurring patterns and contextual differences across cases, offering insight into how universities operationalise civic and innovation agendas under different governance conditions.</w:t>
      </w:r>
    </w:p>
    <w:p w14:paraId="236E9AA0" w14:textId="77777777" w:rsidR="002D52B2" w:rsidRPr="00CD05A8" w:rsidRDefault="002D52B2" w:rsidP="002D52B2">
      <w:pPr>
        <w:pStyle w:val="AbstractBookBaseParagraph"/>
        <w:rPr>
          <w:rFonts w:ascii="Noto Serif Light" w:hAnsi="Noto Serif Light" w:cs="Noto Serif Light"/>
        </w:rPr>
      </w:pPr>
    </w:p>
    <w:p w14:paraId="652E9F00"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The findings have implications for regional innovation policy, higher education strategy, and the design of place-based partnerships. The paper argues that universities can play a more systemic role in regional transformation, but that doing so requires institutional redesign, long-term relational investment, and governance arrangements that support collaborative and demand-led forms of innovation.</w:t>
      </w:r>
    </w:p>
    <w:p w14:paraId="4896A9A7" w14:textId="77777777" w:rsidR="002D52B2" w:rsidRPr="00CD05A8" w:rsidRDefault="002D52B2" w:rsidP="002D52B2">
      <w:pPr>
        <w:pStyle w:val="AbstractBookBaseParagraph"/>
        <w:rPr>
          <w:rFonts w:ascii="Noto Serif Light" w:hAnsi="Noto Serif Light" w:cs="Noto Serif Light"/>
        </w:rPr>
      </w:pPr>
    </w:p>
    <w:p w14:paraId="56F73FA9"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br w:type="page"/>
      </w:r>
    </w:p>
    <w:p w14:paraId="746D6F13" w14:textId="1595C6F3" w:rsidR="006457E8" w:rsidRDefault="006457E8" w:rsidP="006457E8">
      <w:pPr>
        <w:pStyle w:val="ABSubhead"/>
      </w:pPr>
      <w:r>
        <w:lastRenderedPageBreak/>
        <w:t xml:space="preserve">O44. </w:t>
      </w:r>
      <w:r w:rsidR="009C3317" w:rsidRPr="009C3317">
        <w:t>Culture and the Legitimation of Green Industrial Path Development: Evidence from the Textile Industry in Western Sweden</w:t>
      </w:r>
    </w:p>
    <w:p w14:paraId="254B249D" w14:textId="77777777" w:rsidR="006457E8" w:rsidRPr="00CD05A8" w:rsidRDefault="006457E8" w:rsidP="006457E8">
      <w:pPr>
        <w:pStyle w:val="ABParagraph"/>
      </w:pPr>
    </w:p>
    <w:p w14:paraId="4EC8667D" w14:textId="77777777" w:rsidR="006457E8" w:rsidRPr="00CD05A8" w:rsidRDefault="006457E8" w:rsidP="006457E8">
      <w:pPr>
        <w:pStyle w:val="AbstractBookAuthors"/>
        <w:rPr>
          <w:rFonts w:ascii="Noto Serif Light" w:hAnsi="Noto Serif Light" w:cs="Noto Serif Light"/>
        </w:rPr>
      </w:pPr>
      <w:r w:rsidRPr="00CD05A8">
        <w:rPr>
          <w:rStyle w:val="AbstractBookPresentingAuthor"/>
          <w:rFonts w:ascii="Noto Serif Light" w:hAnsi="Noto Serif Light" w:cs="Noto Serif Light"/>
        </w:rPr>
        <w:t>Purushottam Adhikari</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Roman Martin</w:t>
      </w:r>
      <w:r w:rsidRPr="00CD05A8">
        <w:rPr>
          <w:rFonts w:ascii="Noto Serif Light" w:hAnsi="Noto Serif Light" w:cs="Noto Serif Light"/>
          <w:vertAlign w:val="superscript"/>
        </w:rPr>
        <w:t>1</w:t>
      </w:r>
    </w:p>
    <w:p w14:paraId="79109FE0" w14:textId="77777777" w:rsidR="006457E8" w:rsidRDefault="006457E8" w:rsidP="006457E8">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School of Business, Economics and Law, University of Gothenburg, Sweden, Gothenburg, Sweden</w:t>
      </w:r>
    </w:p>
    <w:p w14:paraId="0DD245BF" w14:textId="77777777" w:rsidR="006457E8" w:rsidRDefault="006457E8" w:rsidP="006457E8">
      <w:pPr>
        <w:pStyle w:val="AbstractBookBaseParagraph"/>
        <w:rPr>
          <w:rStyle w:val="AbstractBookBaseCharacterStyle"/>
          <w:rFonts w:ascii="Noto Serif Light" w:hAnsi="Noto Serif Light" w:cs="Noto Serif Light"/>
        </w:rPr>
      </w:pPr>
    </w:p>
    <w:p w14:paraId="56CA5D1E" w14:textId="77777777" w:rsidR="006457E8" w:rsidRPr="00CD05A8" w:rsidRDefault="006457E8" w:rsidP="006457E8">
      <w:pPr>
        <w:pStyle w:val="AbstractBookBaseParagraph"/>
        <w:rPr>
          <w:rFonts w:ascii="Noto Serif Light" w:hAnsi="Noto Serif Light" w:cs="Noto Serif Light"/>
          <w:b/>
          <w:bCs/>
        </w:rPr>
      </w:pPr>
      <w:r>
        <w:rPr>
          <w:rStyle w:val="AbstractBookBaseCharacterStyle"/>
          <w:rFonts w:ascii="Noto Serif Light" w:hAnsi="Noto Serif Light" w:cs="Noto Serif Light"/>
          <w:b/>
          <w:bCs/>
        </w:rPr>
        <w:t>Abstract:</w:t>
      </w:r>
    </w:p>
    <w:p w14:paraId="2C633299" w14:textId="77777777" w:rsidR="006457E8" w:rsidRDefault="006457E8" w:rsidP="006457E8">
      <w:pPr>
        <w:pStyle w:val="AbstractBookBaseParagraph"/>
        <w:rPr>
          <w:rFonts w:ascii="Noto Serif Light" w:hAnsi="Noto Serif Light" w:cs="Noto Serif Light"/>
        </w:rPr>
      </w:pPr>
      <w:r w:rsidRPr="00CD05A8">
        <w:rPr>
          <w:rFonts w:ascii="Noto Serif Light" w:hAnsi="Noto Serif Light" w:cs="Noto Serif Light"/>
        </w:rPr>
        <w:t>In recent years, a growing body of literature has engaged with the concept of regional industrial culture, a notion frequently used yet still underdeveloped within economic geography (Bole, 2021; Bole et al., 2024; Chlebna &amp; Hassink, 2025; Eriksen et al., 2023; Peng &amp; Hassink, 2025; Benner, 2025). While path development research has made significant progress in explaining industrial change, the role of cultural and other “soft” factors remains underexplored in analyses of regional transformation, which tend to overlook intangible and symbolic dimensions (Gong &amp; Truffer, 2024), and is often treated as a residual and difficult-to-measure aspect of regional development (Rodríguez-Pose, 2013; Chlebna &amp; Hassink, 2025). This raises the question of how culture influences the legitimation of emerging industrial paths. Addressing this, the paper examines how culture shapes the legitimation of green path development in the textile industry in Borås, Western Sweden, a historical textile region undergoing a transition toward sustainable materials, production processes, and circular business models.</w:t>
      </w:r>
    </w:p>
    <w:p w14:paraId="7498E43B" w14:textId="77777777" w:rsidR="006457E8" w:rsidRPr="00CD05A8" w:rsidRDefault="006457E8" w:rsidP="006457E8">
      <w:pPr>
        <w:pStyle w:val="AbstractBookBaseParagraph"/>
        <w:rPr>
          <w:rFonts w:ascii="Noto Serif Light" w:hAnsi="Noto Serif Light" w:cs="Noto Serif Light"/>
        </w:rPr>
      </w:pPr>
    </w:p>
    <w:p w14:paraId="2878A4AB"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Conceptually, the paper builds on Bole’s (2021) framework and recent extensions linking industrial culture to regional restructuring (Chlebna &amp; Hassink, 2025). Culture is understood as a configuration of values and identities, tacit skills, informal norms and routines, shared narratives, and material infrastructures through which meanings are produced and reproduced (Bole, 2021; Eriksen et al., 2023; Chlebna &amp; Hassink, 2025). From this perspective, culture constitutes an active, territorially embedded system of meaning-making process that shapes how actors interpret environmental challenges, construct visions of futures, and evaluate alternative development pathways. In doing so, culture plays a central role in processes of legitimation, influencing which practices and industrial directions are perceived as appropriate and desirable (Binz &amp; Gong, 2021).</w:t>
      </w:r>
    </w:p>
    <w:p w14:paraId="37520A11"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Empirically, the study draws on expert interviews and document analysis to explore how actors in the textile industry in Western Sweden make sense of environmental pressures, redefine industrial identities, and assess the legitimacy of emerging production models and strategies. Particular attention is paid to the role of narratives, identities, skills (Martin, 2025), and informal norms in shaping the legitimation of green path development.</w:t>
      </w:r>
    </w:p>
    <w:p w14:paraId="6158EEC3"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t xml:space="preserve">The findings show that green industrial transformation involves not only material and organizational changes, such as asset modification (Trippl et al., 2020; Firlus et al., 2023), but also cultural processes that shape how new industrial paths become legitimate and are reoriented over time. The paper contributes to research on green path development by showing how culture supports the legitimation of new industrial trajectories. In doing so, it speaks to debates on regional industrial restructuring (Chlebna &amp; Hassink, 2025) by highlighting the role of often overlooked intangible </w:t>
      </w:r>
      <w:r w:rsidRPr="00CD05A8">
        <w:rPr>
          <w:rFonts w:ascii="Noto Serif Light" w:hAnsi="Noto Serif Light" w:cs="Noto Serif Light"/>
        </w:rPr>
        <w:lastRenderedPageBreak/>
        <w:t>factors in shaping development trajectories (Rodríguez-Pose, 2013), and connects to recent work on culture and regional imaginaries (Gong &amp; Truffer, 2024), showing how green industrial futures come to be seen as meaningful, legitimate, and actionable in regional contexts</w:t>
      </w:r>
    </w:p>
    <w:p w14:paraId="2BCC9EB6" w14:textId="77777777" w:rsidR="006457E8" w:rsidRPr="00CD05A8" w:rsidRDefault="006457E8" w:rsidP="006457E8">
      <w:pPr>
        <w:pStyle w:val="AbstractBookBaseParagraph"/>
        <w:rPr>
          <w:rFonts w:ascii="Noto Serif Light" w:hAnsi="Noto Serif Light" w:cs="Noto Serif Light"/>
        </w:rPr>
      </w:pPr>
    </w:p>
    <w:p w14:paraId="63F166DC"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b/>
          <w:bCs/>
        </w:rPr>
        <w:t>Keywords:</w:t>
      </w:r>
      <w:r w:rsidRPr="00CD05A8">
        <w:rPr>
          <w:rFonts w:ascii="Noto Serif Light" w:hAnsi="Noto Serif Light" w:cs="Noto Serif Light"/>
        </w:rPr>
        <w:t xml:space="preserve"> Culture, green industrial transformation, green path development, legitimacy, green futures, textile industry</w:t>
      </w:r>
    </w:p>
    <w:p w14:paraId="3F03EF59" w14:textId="77777777" w:rsidR="006457E8" w:rsidRPr="00CD05A8" w:rsidRDefault="006457E8" w:rsidP="006457E8">
      <w:pPr>
        <w:pStyle w:val="AbstractBookBaseParagraph"/>
        <w:rPr>
          <w:rFonts w:ascii="Noto Serif Light" w:hAnsi="Noto Serif Light" w:cs="Noto Serif Light"/>
        </w:rPr>
      </w:pPr>
    </w:p>
    <w:p w14:paraId="1501F29D" w14:textId="77777777" w:rsidR="006457E8" w:rsidRPr="00CD05A8" w:rsidRDefault="006457E8" w:rsidP="006457E8">
      <w:pPr>
        <w:pStyle w:val="AbstractBookBaseParagraph"/>
        <w:rPr>
          <w:rFonts w:ascii="Noto Serif Light" w:hAnsi="Noto Serif Light" w:cs="Noto Serif Light"/>
        </w:rPr>
      </w:pPr>
      <w:r w:rsidRPr="00CD05A8">
        <w:rPr>
          <w:rFonts w:ascii="Noto Serif Light" w:hAnsi="Noto Serif Light" w:cs="Noto Serif Light"/>
        </w:rPr>
        <w:br w:type="page"/>
      </w:r>
    </w:p>
    <w:p w14:paraId="2B301BA5" w14:textId="3668B8D3" w:rsidR="002D52B2" w:rsidRDefault="00390C9C" w:rsidP="002D52B2">
      <w:pPr>
        <w:pStyle w:val="ABSubhead"/>
      </w:pPr>
      <w:r>
        <w:lastRenderedPageBreak/>
        <w:t xml:space="preserve">O45. </w:t>
      </w:r>
      <w:r w:rsidR="002D52B2" w:rsidRPr="00CD05A8">
        <w:t>Leveraging Artificial Intelligence for New Regional Path Creation in Peripheral Regions</w:t>
      </w:r>
    </w:p>
    <w:p w14:paraId="6FA149FB" w14:textId="77777777" w:rsidR="002D52B2" w:rsidRPr="006C77A6" w:rsidRDefault="002D52B2" w:rsidP="002D52B2">
      <w:pPr>
        <w:pStyle w:val="ABParagraph"/>
      </w:pPr>
    </w:p>
    <w:p w14:paraId="19A00624" w14:textId="77777777" w:rsidR="002D52B2" w:rsidRPr="00CD05A8" w:rsidRDefault="002D52B2" w:rsidP="002D52B2">
      <w:pPr>
        <w:pStyle w:val="AbstractBookAuthors"/>
        <w:rPr>
          <w:rFonts w:ascii="Noto Serif Light" w:hAnsi="Noto Serif Light" w:cs="Noto Serif Light"/>
        </w:rPr>
      </w:pPr>
      <w:r w:rsidRPr="00CD05A8">
        <w:rPr>
          <w:rStyle w:val="AbstractBookPresentingAuthor"/>
          <w:rFonts w:ascii="Noto Serif Light" w:hAnsi="Noto Serif Light" w:cs="Noto Serif Light"/>
        </w:rPr>
        <w:t>Prof</w:t>
      </w:r>
      <w:r>
        <w:rPr>
          <w:rStyle w:val="AbstractBookPresentingAuthor"/>
          <w:rFonts w:ascii="Noto Serif Light" w:hAnsi="Noto Serif Light" w:cs="Noto Serif Light"/>
        </w:rPr>
        <w:t>essor</w:t>
      </w:r>
      <w:r w:rsidRPr="00CD05A8">
        <w:rPr>
          <w:rStyle w:val="AbstractBookPresentingAuthor"/>
          <w:rFonts w:ascii="Noto Serif Light" w:hAnsi="Noto Serif Light" w:cs="Noto Serif Light"/>
        </w:rPr>
        <w:t xml:space="preserve"> Marina Candi</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Fumi Kitagawa</w:t>
      </w:r>
      <w:r w:rsidRPr="00CD05A8">
        <w:rPr>
          <w:rFonts w:ascii="Noto Serif Light" w:hAnsi="Noto Serif Light" w:cs="Noto Serif Light"/>
          <w:vertAlign w:val="superscript"/>
        </w:rPr>
        <w:t>2</w:t>
      </w:r>
    </w:p>
    <w:p w14:paraId="2B18528B" w14:textId="77777777" w:rsidR="002D52B2" w:rsidRDefault="002D52B2" w:rsidP="002D52B2">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Reykjavik University Center for Research on Innovation and Entrepreneurship, Department of Business and Economics, Reykjavik University, Reykjavik, Iceland, </w:t>
      </w:r>
      <w:r w:rsidRPr="00CD05A8">
        <w:rPr>
          <w:rFonts w:ascii="Noto Serif Light" w:hAnsi="Noto Serif Light" w:cs="Noto Serif Light"/>
          <w:vertAlign w:val="superscript"/>
        </w:rPr>
        <w:t>2</w:t>
      </w:r>
      <w:r w:rsidRPr="00CD05A8">
        <w:rPr>
          <w:rStyle w:val="AbstractBookBaseCharacterStyle"/>
          <w:rFonts w:ascii="Noto Serif Light" w:hAnsi="Noto Serif Light" w:cs="Noto Serif Light"/>
        </w:rPr>
        <w:t>City-REDI, Birmingham Business School, University of Birmingham., Birmingham, United Kingdom</w:t>
      </w:r>
    </w:p>
    <w:p w14:paraId="5F237290" w14:textId="77777777" w:rsidR="002D52B2" w:rsidRDefault="002D52B2" w:rsidP="002D52B2">
      <w:pPr>
        <w:pStyle w:val="AbstractBookBaseParagraph"/>
        <w:rPr>
          <w:rStyle w:val="AbstractBookBaseCharacterStyle"/>
          <w:rFonts w:ascii="Noto Serif Light" w:hAnsi="Noto Serif Light" w:cs="Noto Serif Light"/>
        </w:rPr>
      </w:pPr>
    </w:p>
    <w:p w14:paraId="6DEEF6DF" w14:textId="77777777" w:rsidR="002D52B2" w:rsidRPr="006C77A6" w:rsidRDefault="002D52B2" w:rsidP="002D52B2">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0381ACD2"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Recent advances in artificial intelligence (AI) are creating new possibilities for regional path creation, even in places that have traditionally been positioned at the periphery. Yet most research on AI and regional development continues to focus on urban ecosystems characterized by dense networks, concentrated expertise, and strong institutional infrastructures. This leaves insufficient understanding of how peripheral regions, which often contend with lock-in, dependence on natural resources, brain drain, and limited local innovation capacity, might harness AI to widen their opportunity space and pursue more resilient development trajectories. In this paper, we examine how a peripheral region can leverage AI not merely as an imported technology, but as a catalyst for redefining its development possibilities and moving toward more resilient regional path-creation archetypes.</w:t>
      </w:r>
    </w:p>
    <w:p w14:paraId="20CFA5AB" w14:textId="77777777" w:rsidR="002D52B2" w:rsidRPr="00CD05A8" w:rsidRDefault="002D52B2" w:rsidP="002D52B2">
      <w:pPr>
        <w:pStyle w:val="AbstractBookBaseParagraph"/>
        <w:rPr>
          <w:rFonts w:ascii="Noto Serif Light" w:hAnsi="Noto Serif Light" w:cs="Noto Serif Light"/>
        </w:rPr>
      </w:pPr>
    </w:p>
    <w:p w14:paraId="59135F7F"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Drawing on research on regional narratives, change agency, and path development, we argue that the developmental potential of AI in peripheral regions cannot be understood only in terms of technical access or infrastructure. Rather, it depends on how AI becomes embedded in locally meaningful narratives, institutional arrangements, and capability-building processes. We therefore ask: how can peripheral regions harness AI to redefine their opportunities and transition from being natural resource-based to more resilient regional archetypes? To address this question, we study the Faroe Islands, a small North Atlantic island economy historically dominated by fisheries and aquaculture, and broadly representative of a locked-in, vulnerable, resource-based peripheral region. At the same time, the Faroese case is especially revealing because it combines strong digital infrastructure, active public-sector digitalization, emerging AI experimentation, and a pronounced concern for native-language preservation.</w:t>
      </w:r>
    </w:p>
    <w:p w14:paraId="574364D3" w14:textId="77777777" w:rsidR="002D52B2" w:rsidRPr="00CD05A8" w:rsidRDefault="002D52B2" w:rsidP="002D52B2">
      <w:pPr>
        <w:pStyle w:val="AbstractBookBaseParagraph"/>
        <w:rPr>
          <w:rFonts w:ascii="Noto Serif Light" w:hAnsi="Noto Serif Light" w:cs="Noto Serif Light"/>
        </w:rPr>
      </w:pPr>
    </w:p>
    <w:p w14:paraId="4F7FDCC0"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Methodologically, the study adopts a novel combination of narrative inquiry and scenario analysis. We first construct an in-depth narrative of broad digitalization and, more specifically, AI developments in the Faroe Islands using multiple secondary sources, including policy documents, reports, media material, company accounts, and institutional publications, and refine this narrative through engagement with key local informants from academia, the public sector, and business. We then use the narrative as the foundation for a systematic morphological scenario analysis. This allows us to move beyond a descriptive case account and explore how different combinations of critical uncertainties may shape future regional trajectories. The analysis identifies two predetermined drivers: digital infrastructure and investment in innovation and education, and four key uncertainties: political commitment to AI, the capacity to build and retain local AI knowledge, societal acceptance of technology and diversification, and </w:t>
      </w:r>
      <w:r w:rsidRPr="00CD05A8">
        <w:rPr>
          <w:rFonts w:ascii="Noto Serif Light" w:hAnsi="Noto Serif Light" w:cs="Noto Serif Light"/>
        </w:rPr>
        <w:lastRenderedPageBreak/>
        <w:t>the availability of resources for localized AI applications, including Faroese-language resources.</w:t>
      </w:r>
    </w:p>
    <w:p w14:paraId="77449361" w14:textId="77777777" w:rsidR="002D52B2" w:rsidRPr="00CD05A8" w:rsidRDefault="002D52B2" w:rsidP="002D52B2">
      <w:pPr>
        <w:pStyle w:val="AbstractBookBaseParagraph"/>
        <w:rPr>
          <w:rFonts w:ascii="Noto Serif Light" w:hAnsi="Noto Serif Light" w:cs="Noto Serif Light"/>
        </w:rPr>
      </w:pPr>
    </w:p>
    <w:p w14:paraId="1CD6E414"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The scenario analysis generates sixteen plausible futures and highlights three especially salient trajectories through which the Faroe Islands could move away from persistent stagnation toward more desirable regional paths. These include a path based on institutional reinforcement, leading toward Faroese AI excellence; a path based on industry specialization, leading toward a technologically advanced but more uneven “elite” model; and a path based on grassroots mobilization, leading toward community-driven AI leadership. Across these trajectories, the findings show that AI’s transformative role in peripheral regions is not automatic. Rather, it is contingent on whether local actors can align political vision, institutional support, public legitimacy, and language resources in ways that make AI both usable and meaningful in context.</w:t>
      </w:r>
    </w:p>
    <w:p w14:paraId="7AF8A635" w14:textId="77777777" w:rsidR="002D52B2" w:rsidRPr="00CD05A8" w:rsidRDefault="002D52B2" w:rsidP="002D52B2">
      <w:pPr>
        <w:pStyle w:val="AbstractBookBaseParagraph"/>
        <w:rPr>
          <w:rFonts w:ascii="Noto Serif Light" w:hAnsi="Noto Serif Light" w:cs="Noto Serif Light"/>
        </w:rPr>
      </w:pPr>
    </w:p>
    <w:p w14:paraId="300D4261"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The paper contributes to our understanding that peripheral regions are not simply passive recipients of AI diffusion, but can actively shape new development paths when AI is embedded in place-based narratives and forms of change agency. It also extends work on narratives and opportunity spaces by showing how AI-centered narratives can mobilize entrepreneurship, place-based leadership, and institutional entrepreneurship in mutually reinforcing ways. Finally, the study offers practical implications for policymakers and regional leaders: peripheral regions seeking AI-driven transformation should build on locally specific strengths, invest in local knowledge capital, and treat native-language resources and societal legitimacy not as secondary concerns but as central conditions for the creation of inclusive and durable regional paths.</w:t>
      </w:r>
    </w:p>
    <w:p w14:paraId="07B85849" w14:textId="77777777" w:rsidR="002D52B2" w:rsidRPr="00CD05A8" w:rsidRDefault="002D52B2" w:rsidP="002D52B2">
      <w:pPr>
        <w:pStyle w:val="AbstractBookBaseParagraph"/>
        <w:rPr>
          <w:rFonts w:ascii="Noto Serif Light" w:hAnsi="Noto Serif Light" w:cs="Noto Serif Light"/>
        </w:rPr>
      </w:pPr>
    </w:p>
    <w:p w14:paraId="461FA237"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br w:type="page"/>
      </w:r>
    </w:p>
    <w:p w14:paraId="0B7FE5FA" w14:textId="5EB4144D" w:rsidR="002D52B2" w:rsidRDefault="00390C9C" w:rsidP="002D52B2">
      <w:pPr>
        <w:pStyle w:val="ABSubhead"/>
      </w:pPr>
      <w:r>
        <w:lastRenderedPageBreak/>
        <w:t xml:space="preserve">O46. </w:t>
      </w:r>
      <w:r w:rsidR="002D52B2" w:rsidRPr="00CD05A8">
        <w:t>Oil Wine, New Glasses? Regional Branding, Imaginaries and the Politics of Sustainability Transitions in Oil-Specialised Region of Stavanger</w:t>
      </w:r>
    </w:p>
    <w:p w14:paraId="44A65201" w14:textId="77777777" w:rsidR="002D52B2" w:rsidRPr="00220128" w:rsidRDefault="002D52B2" w:rsidP="002D52B2">
      <w:pPr>
        <w:pStyle w:val="ABParagraph"/>
      </w:pPr>
    </w:p>
    <w:p w14:paraId="3BA4D451" w14:textId="77777777" w:rsidR="002D52B2" w:rsidRPr="00CD05A8" w:rsidRDefault="002D52B2" w:rsidP="002D52B2">
      <w:pPr>
        <w:pStyle w:val="AbstractBookAuthors"/>
        <w:rPr>
          <w:rFonts w:ascii="Noto Serif Light" w:hAnsi="Noto Serif Light" w:cs="Noto Serif Light"/>
        </w:rPr>
      </w:pPr>
      <w:r w:rsidRPr="00CD05A8">
        <w:rPr>
          <w:rStyle w:val="AbstractBookPresentingAuthor"/>
          <w:rFonts w:ascii="Noto Serif Light" w:hAnsi="Noto Serif Light" w:cs="Noto Serif Light"/>
        </w:rPr>
        <w:t>Muzamil Farooq</w:t>
      </w:r>
    </w:p>
    <w:p w14:paraId="3D720D1B" w14:textId="77777777" w:rsidR="002D52B2" w:rsidRDefault="002D52B2" w:rsidP="002D52B2">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University of Stavanger, Stavanger, Norway</w:t>
      </w:r>
    </w:p>
    <w:p w14:paraId="5B6D8AF1" w14:textId="77777777" w:rsidR="002D52B2" w:rsidRDefault="002D52B2" w:rsidP="002D52B2">
      <w:pPr>
        <w:pStyle w:val="AbstractBookBaseParagraph"/>
        <w:rPr>
          <w:rStyle w:val="AbstractBookBaseCharacterStyle"/>
          <w:rFonts w:ascii="Noto Serif Light" w:hAnsi="Noto Serif Light" w:cs="Noto Serif Light"/>
        </w:rPr>
      </w:pPr>
    </w:p>
    <w:p w14:paraId="147819FE" w14:textId="77777777" w:rsidR="002D52B2" w:rsidRPr="00220128" w:rsidRDefault="002D52B2" w:rsidP="002D52B2">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5E89E1F7"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Regional branding helps create collective imaginaries and mobilize stakeholders for economic transformation, yet such processes do not automatically generate progressive futures. Power and politics are entangled in imaginary construction in ways that can produce non-progressive visions serving incumbent interests, leading to transition delay rather than genuine restructuring. This paper addresses how regional branding/rebranding mediates sustainability transitions through three undertheorized dimensions: causal mechanisms linking symbolic to material transformation, power dynamics in narrative construction, and temporal sequencing between discourse and economic change. Conceptualizing branding/rebranding as imaginary work, the construction, circulation, and contestation of collective visions of regional futures, the paper develops a "narrative-material coupling" framework applied to Stavanger, Norway's petroleum capital rebranding as "energy capital" since 2005. Critical discourse analysis of newspapers (2005–2025) combined with stakeholder interviews reveals three discursive phases culminating in elite consensus around an inclusive "energy capital" imaginary that maintains petroleum centrality while appearing sustainable. Despite saturating discourse, petroleum employment remains over 70% of the energy sector. Elite stakeholders advance continuity-plus-diversification visions while marginalizing worker displacement and radical transition alternatives. The paper theorizes how rebranding as imaginary work can enable political legitimation while obscuring structural lock-in, demonstrating that carbon-intensive regions may constitute old wine in new glasses rather than genuine transitions.</w:t>
      </w:r>
    </w:p>
    <w:p w14:paraId="6AAE9F83"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br w:type="page"/>
      </w:r>
    </w:p>
    <w:p w14:paraId="0062EA80" w14:textId="77777777" w:rsidR="006457E8" w:rsidRDefault="006457E8" w:rsidP="006457E8">
      <w:pPr>
        <w:pStyle w:val="ABSubhead"/>
      </w:pPr>
      <w:r>
        <w:lastRenderedPageBreak/>
        <w:t xml:space="preserve">O47. Co-production of Post-tourist Space in Urban China: Multi-dimensional Critical Potential of Baixiangju, Chongqing </w:t>
      </w:r>
    </w:p>
    <w:p w14:paraId="6DCAD4B0" w14:textId="77777777" w:rsidR="006457E8" w:rsidRDefault="006457E8" w:rsidP="006457E8">
      <w:pPr>
        <w:pStyle w:val="ABParagraph"/>
      </w:pPr>
    </w:p>
    <w:p w14:paraId="194E59E1" w14:textId="77777777" w:rsidR="006457E8" w:rsidRPr="00167939" w:rsidRDefault="006457E8" w:rsidP="006457E8">
      <w:pPr>
        <w:pStyle w:val="AbstractBookAuthors"/>
        <w:rPr>
          <w:rFonts w:ascii="Noto Serif Light" w:hAnsi="Noto Serif Light" w:cs="Noto Serif Light"/>
        </w:rPr>
      </w:pPr>
      <w:r w:rsidRPr="00167939">
        <w:rPr>
          <w:rStyle w:val="AbstractBookPresentingAuthor"/>
          <w:rFonts w:ascii="Noto Serif Light" w:hAnsi="Noto Serif Light" w:cs="Noto Serif Light"/>
        </w:rPr>
        <w:t>Dr Guanyu Wang</w:t>
      </w:r>
      <w:r w:rsidRPr="00167939">
        <w:rPr>
          <w:rFonts w:ascii="Noto Serif Light" w:hAnsi="Noto Serif Light" w:cs="Noto Serif Light"/>
          <w:vertAlign w:val="superscript"/>
        </w:rPr>
        <w:t>1</w:t>
      </w:r>
    </w:p>
    <w:p w14:paraId="6DDACADA" w14:textId="77777777" w:rsidR="006457E8" w:rsidRPr="00167939" w:rsidRDefault="006457E8" w:rsidP="006457E8">
      <w:pPr>
        <w:pStyle w:val="AbstractBookBaseParagraph"/>
        <w:rPr>
          <w:rStyle w:val="AbstractBookBaseCharacterStyle"/>
          <w:rFonts w:ascii="Noto Serif Light" w:hAnsi="Noto Serif Light" w:cs="Noto Serif Light"/>
        </w:rPr>
      </w:pPr>
      <w:r w:rsidRPr="00167939">
        <w:rPr>
          <w:rFonts w:ascii="Noto Serif Light" w:hAnsi="Noto Serif Light" w:cs="Noto Serif Light"/>
          <w:vertAlign w:val="superscript"/>
        </w:rPr>
        <w:t>1</w:t>
      </w:r>
      <w:r w:rsidRPr="00167939">
        <w:rPr>
          <w:rStyle w:val="AbstractBookBaseCharacterStyle"/>
          <w:rFonts w:ascii="Noto Serif Light" w:hAnsi="Noto Serif Light" w:cs="Noto Serif Light"/>
        </w:rPr>
        <w:t>Cardiff University, United Kingdom</w:t>
      </w:r>
    </w:p>
    <w:p w14:paraId="7DA4FD49" w14:textId="77777777" w:rsidR="006457E8" w:rsidRDefault="006457E8" w:rsidP="006457E8">
      <w:pPr>
        <w:pStyle w:val="AbstractBookBaseParagraph"/>
      </w:pPr>
    </w:p>
    <w:p w14:paraId="3D95CF88" w14:textId="77777777" w:rsidR="006457E8" w:rsidRPr="00167939" w:rsidRDefault="006457E8" w:rsidP="006457E8">
      <w:pPr>
        <w:pStyle w:val="AbstractBookBaseParagraph"/>
        <w:rPr>
          <w:rFonts w:ascii="Noto Serif Light" w:hAnsi="Noto Serif Light" w:cs="Noto Serif Light"/>
          <w:b/>
          <w:bCs/>
        </w:rPr>
      </w:pPr>
      <w:r w:rsidRPr="00167939">
        <w:rPr>
          <w:rFonts w:ascii="Noto Serif Light" w:hAnsi="Noto Serif Light" w:cs="Noto Serif Light"/>
          <w:b/>
          <w:bCs/>
        </w:rPr>
        <w:t>Abstract:</w:t>
      </w:r>
    </w:p>
    <w:p w14:paraId="3747718B" w14:textId="77777777" w:rsidR="006457E8" w:rsidRDefault="006457E8" w:rsidP="006457E8">
      <w:pPr>
        <w:pStyle w:val="ABParagraph"/>
      </w:pPr>
      <w:r>
        <w:t xml:space="preserve">The viral online discussion and subsequent regeneration of the inner-city residential building, Baixiangju, in Chongqing, highlights the co-production of post-tourist space through grassroots spatial imaginaries and state intervention amid the era of social media. </w:t>
      </w:r>
    </w:p>
    <w:p w14:paraId="4ADBB2DE" w14:textId="77777777" w:rsidR="006457E8" w:rsidRDefault="006457E8" w:rsidP="006457E8">
      <w:pPr>
        <w:pStyle w:val="ABParagraph"/>
      </w:pPr>
    </w:p>
    <w:p w14:paraId="6969D287" w14:textId="77777777" w:rsidR="006457E8" w:rsidRDefault="006457E8" w:rsidP="006457E8">
      <w:pPr>
        <w:pStyle w:val="ABParagraph"/>
      </w:pPr>
      <w:r>
        <w:t>Built in 1982, Baixiangju has only recently emerged as a prominent attraction, driven by a social media boom and the rising prosperity of grassroots pop culture in China. Tourists visit to discover its unique relationship with mountainous topography and to experience an "authentic" sense of everyday life in this low-income residence. This process has transformed a formerly deprived inner-city dwelling into a magnet for visitors and investment, producing spaces tailored for tourism—such as cafes, viewing platforms and souvenir stores. This shift resonates with the rise of post-tourism in the West, characterised by the de-differentiation between tourist activities and the broader domain of urban life. In Chongqing, while the post-touristification of Baixiangju derived from grassroots pop culture and bottom-up spatial practices, it later drew the state intervention and was turned into state-led community-building, tourism-incentivising and growth-driven spatial co-production empowered by post-tourist urban imaginaries, further leading to more formal planning policies and financial investment.</w:t>
      </w:r>
    </w:p>
    <w:p w14:paraId="1BBE63C1" w14:textId="77777777" w:rsidR="006457E8" w:rsidRDefault="006457E8" w:rsidP="006457E8">
      <w:pPr>
        <w:pStyle w:val="ABParagraph"/>
      </w:pPr>
    </w:p>
    <w:p w14:paraId="7205AD5D" w14:textId="77777777" w:rsidR="006457E8" w:rsidRDefault="006457E8" w:rsidP="006457E8">
      <w:pPr>
        <w:pStyle w:val="ABParagraph"/>
      </w:pPr>
      <w:r>
        <w:t>The co-production of post-tourist space in Baixiangju possesses multi-dimensional critical potential. On the one hand, it generates spatial critiques that intervene in Chinese urbanism while reflecting on global urban studies. On the other, Baixiangju serves as a critical arena for incubating policies and broader political practices.</w:t>
      </w:r>
    </w:p>
    <w:p w14:paraId="5ED8C936" w14:textId="77777777" w:rsidR="006457E8" w:rsidRDefault="006457E8" w:rsidP="006457E8">
      <w:pPr>
        <w:pStyle w:val="ABParagraph"/>
      </w:pPr>
    </w:p>
    <w:p w14:paraId="3DAC0358" w14:textId="77777777" w:rsidR="006457E8" w:rsidRDefault="006457E8" w:rsidP="006457E8">
      <w:pPr>
        <w:pStyle w:val="ABParagraph"/>
      </w:pPr>
      <w:r>
        <w:t>Firstly, the revaluation of everyday life, the quest for authenticity, and the "aesthetics of messiness" in Baixiangju’s spatial narratives challenge long-standing, state-dominated urban representations. Local authorities have embraced this grassroots redefinition, tailoring policies to promote non-official urban images to facilitate regeneration. This formalization by authorities and developers embodies a shift in power dynamics—from a conventional top-down model toward a new state-led, grassroots-initiated co-production of urban space.</w:t>
      </w:r>
    </w:p>
    <w:p w14:paraId="0B0921EF" w14:textId="77777777" w:rsidR="006457E8" w:rsidRDefault="006457E8" w:rsidP="006457E8">
      <w:pPr>
        <w:pStyle w:val="ABParagraph"/>
      </w:pPr>
      <w:r>
        <w:t>Secondly, using the lens of post-tourism to investigate Baixiangju reveals evidence of an emerging social-media and neo-bohemian influence that echoes Western cases, yet simultaneously critiques and expands the concept. It also demonstrates how neoliberal globalisation mutates within China’s socio-economic transformation and illustrates how spatial inequalities—such as gentrification, exclusion, and alienation—are reproduced through local institutional frameworks.</w:t>
      </w:r>
    </w:p>
    <w:p w14:paraId="786794EE" w14:textId="77777777" w:rsidR="006457E8" w:rsidRDefault="006457E8" w:rsidP="006457E8">
      <w:pPr>
        <w:pStyle w:val="ABParagraph"/>
      </w:pPr>
    </w:p>
    <w:p w14:paraId="38C956C3" w14:textId="77777777" w:rsidR="006457E8" w:rsidRDefault="006457E8" w:rsidP="006457E8">
      <w:pPr>
        <w:pStyle w:val="ABParagraph"/>
      </w:pPr>
      <w:r>
        <w:t xml:space="preserve">Finally, the production of Baixiangju as a post-tourist space has created an arena to diversify the existing top-down planning framework, thus helping various urban actors to practise their political agency. While the institutional democracy is limited in China, </w:t>
      </w:r>
      <w:r>
        <w:lastRenderedPageBreak/>
        <w:t>urban space has become particularly important as a strategic democratic space. For example, local communities have formed to fight against the over-tourism and gentrification, while the local authorities intervened in these struggles by regenerating policies of Baixiangju into a more tourism-oriented community to ameliorate the conflicts. These spatial imaginaries demonstrate how the authoritarian planning and urbanisation mutate and are sustained and reproduced while being challenged. The uneven spatialisation of grassroots power, the consumption of everydayness, along with the omnipresent state power, indicate the potential of critical engagement with more diversified and localised neoliberalism.</w:t>
      </w:r>
    </w:p>
    <w:p w14:paraId="1F124AB0" w14:textId="77777777" w:rsidR="006457E8" w:rsidRDefault="006457E8" w:rsidP="006457E8">
      <w:pPr>
        <w:pStyle w:val="ABParagraph"/>
      </w:pPr>
    </w:p>
    <w:p w14:paraId="1BC7FF3B" w14:textId="77777777" w:rsidR="006457E8" w:rsidRDefault="006457E8" w:rsidP="006457E8">
      <w:pPr>
        <w:pStyle w:val="ABParagraph"/>
      </w:pPr>
      <w:r>
        <w:t>In conclusion, this co-production reveals multi-dimensional critical potentials for both political practice and knowledge. It not only embodies a complex urban process contributing to critiques of authoritarianism and spatial inequality but also implies a way to envision a "hopeful tourism".</w:t>
      </w:r>
    </w:p>
    <w:p w14:paraId="6297443C" w14:textId="77777777" w:rsidR="006457E8" w:rsidRDefault="006457E8" w:rsidP="006457E8">
      <w:pPr>
        <w:pStyle w:val="AbstractBookBaseParagraph"/>
      </w:pPr>
    </w:p>
    <w:p w14:paraId="6021AEC7" w14:textId="77777777" w:rsidR="006457E8" w:rsidRDefault="006457E8" w:rsidP="006457E8">
      <w:pPr>
        <w:pStyle w:val="AbstractBookBaseParagraph"/>
      </w:pPr>
      <w:r>
        <w:br w:type="page"/>
      </w:r>
    </w:p>
    <w:p w14:paraId="39263032" w14:textId="0F505CFD" w:rsidR="002D52B2" w:rsidRDefault="00390C9C" w:rsidP="002D52B2">
      <w:pPr>
        <w:pStyle w:val="ABSubhead"/>
      </w:pPr>
      <w:r>
        <w:lastRenderedPageBreak/>
        <w:t xml:space="preserve">O48. </w:t>
      </w:r>
      <w:r w:rsidR="002D52B2" w:rsidRPr="00413169">
        <w:t>Creative Coastal Futures through Inclusive STEAM Skills Escalators: Education, Partnership and Cradle to Career Pathways</w:t>
      </w:r>
    </w:p>
    <w:p w14:paraId="0913B8B9" w14:textId="77777777" w:rsidR="002D52B2" w:rsidRPr="00413169" w:rsidRDefault="002D52B2" w:rsidP="002D52B2">
      <w:pPr>
        <w:pStyle w:val="ABParagraph"/>
      </w:pPr>
    </w:p>
    <w:p w14:paraId="54A23A6B" w14:textId="77777777" w:rsidR="002D52B2" w:rsidRPr="00CD05A8" w:rsidRDefault="002D52B2" w:rsidP="002D52B2">
      <w:pPr>
        <w:pStyle w:val="AbstractBookAuthors"/>
        <w:rPr>
          <w:rFonts w:ascii="Noto Serif Light" w:hAnsi="Noto Serif Light" w:cs="Noto Serif Light"/>
        </w:rPr>
      </w:pPr>
      <w:r w:rsidRPr="00CD05A8">
        <w:rPr>
          <w:rStyle w:val="AbstractBookPresentingAuthor"/>
          <w:rFonts w:ascii="Noto Serif Light" w:hAnsi="Noto Serif Light" w:cs="Noto Serif Light"/>
        </w:rPr>
        <w:t>Professor Verity Campbell-barr</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Dr Vicky Bamsey</w:t>
      </w:r>
      <w:r w:rsidRPr="00CD05A8">
        <w:rPr>
          <w:rFonts w:ascii="Noto Serif Light" w:hAnsi="Noto Serif Light" w:cs="Noto Serif Light"/>
          <w:vertAlign w:val="superscript"/>
        </w:rPr>
        <w:t>1</w:t>
      </w:r>
    </w:p>
    <w:p w14:paraId="6EA7F0F6" w14:textId="77777777" w:rsidR="002D52B2" w:rsidRDefault="002D52B2" w:rsidP="002D52B2">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University </w:t>
      </w:r>
      <w:r>
        <w:rPr>
          <w:rStyle w:val="AbstractBookBaseCharacterStyle"/>
          <w:rFonts w:ascii="Noto Serif Light" w:hAnsi="Noto Serif Light" w:cs="Noto Serif Light"/>
        </w:rPr>
        <w:t>o</w:t>
      </w:r>
      <w:r w:rsidRPr="00CD05A8">
        <w:rPr>
          <w:rStyle w:val="AbstractBookBaseCharacterStyle"/>
          <w:rFonts w:ascii="Noto Serif Light" w:hAnsi="Noto Serif Light" w:cs="Noto Serif Light"/>
        </w:rPr>
        <w:t>f Plymouth, Plymouth, United Kingdom</w:t>
      </w:r>
    </w:p>
    <w:p w14:paraId="3BD40242" w14:textId="77777777" w:rsidR="002D52B2" w:rsidRDefault="002D52B2" w:rsidP="002D52B2">
      <w:pPr>
        <w:pStyle w:val="AbstractBookBaseParagraph"/>
        <w:rPr>
          <w:rStyle w:val="AbstractBookBaseCharacterStyle"/>
          <w:rFonts w:ascii="Noto Serif Light" w:hAnsi="Noto Serif Light" w:cs="Noto Serif Light"/>
        </w:rPr>
      </w:pPr>
    </w:p>
    <w:p w14:paraId="4F675F3D" w14:textId="77777777" w:rsidR="002D52B2" w:rsidRPr="006C77A6" w:rsidRDefault="002D52B2" w:rsidP="002D52B2">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4BBD8904"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Coastal regions occupy a distinctive and often contradictory position within regional innovation and skills policy (Agarwal, Rahman, Page, &amp; Jakes, 2024). They are places of significant creative, cultural and environmental richness, yet they are also more likely to experience entrenched socio economic inequalities, fragile labour markets, and limited access to sustained educational opportunity. Within these contexts, creative industries are increasingly positioned as catalysts for coastal regeneration, contributing not only to economic diversification but also to placemaking, community identity and future focused imaginaries. However, the capacity of creative industries to deliver long term regional transformation is fundamentally shaped by the availability, accessibility and inclusivity of skills pathways that enable local people to participate in, and shape, these futures.</w:t>
      </w:r>
    </w:p>
    <w:p w14:paraId="413E40D6" w14:textId="77777777" w:rsidR="002D52B2" w:rsidRPr="00CD05A8" w:rsidRDefault="002D52B2" w:rsidP="002D52B2">
      <w:pPr>
        <w:pStyle w:val="AbstractBookBaseParagraph"/>
        <w:rPr>
          <w:rFonts w:ascii="Noto Serif Light" w:hAnsi="Noto Serif Light" w:cs="Noto Serif Light"/>
        </w:rPr>
      </w:pPr>
    </w:p>
    <w:p w14:paraId="0C4A182E"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This paper presents an emerging partnership based approach developed within the Team Plymouth agenda, situating creative industries at the heart of a cradle-to-career STEAM framework that responds to both regional skills demand and persistent educational inequality. Team Plymouth represents a government backed, cross sector coalition of regional collaboration, where “innovation, education and creativity drive economic growth” (University of Plymouth, 2025). Drawing on collaborative work between a civic university, further education (FE) colleges, local authorities, creative industry organisations and cultural partners, the paper explores how inclusive Skills Escalators can function as a mechanism for linking education, innovation and place based development in coastal city regions.</w:t>
      </w:r>
    </w:p>
    <w:p w14:paraId="118E464D" w14:textId="77777777" w:rsidR="002D52B2" w:rsidRPr="00CD05A8" w:rsidRDefault="002D52B2" w:rsidP="002D52B2">
      <w:pPr>
        <w:pStyle w:val="AbstractBookBaseParagraph"/>
        <w:rPr>
          <w:rFonts w:ascii="Noto Serif Light" w:hAnsi="Noto Serif Light" w:cs="Noto Serif Light"/>
        </w:rPr>
      </w:pPr>
    </w:p>
    <w:p w14:paraId="1A2BA42F"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Rather than treating skills development as a linear pipeline which progresses from compulsory schooling through FE and HE into employment, the Skills Escalator approach conceptualises learning as a life-long, life wide, dynamic, non linear infrastructure. It enables learners to enter, exit and re enter education at multiple points across the life course, recognising vocational expertise, creative practice, community based learning and work based experience alongside formal academic attainment. This is particularly significant in coastal contexts, where patterns of interrupted education, early labour market entry, caring responsibilities, and self employment are common (Ovenden-Hope, Brown and Achtaridou, 2025), and where traditional routes into high skill creative and STEAM professions have often been socially and structurally exclusionary.</w:t>
      </w:r>
    </w:p>
    <w:p w14:paraId="174658FF" w14:textId="77777777" w:rsidR="002D52B2" w:rsidRPr="00CD05A8" w:rsidRDefault="002D52B2" w:rsidP="002D52B2">
      <w:pPr>
        <w:pStyle w:val="AbstractBookBaseParagraph"/>
        <w:rPr>
          <w:rFonts w:ascii="Noto Serif Light" w:hAnsi="Noto Serif Light" w:cs="Noto Serif Light"/>
        </w:rPr>
      </w:pPr>
    </w:p>
    <w:p w14:paraId="00D0F1C7"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Central to the model is an expanded understanding of STEAM that foregrounds creativity, cultural value and civic purpose alongside science, technology and technical skills. Early engagement is treated as foundational, with early years education and primary age STEAM activity, including design play, making, storytelling, spatial awareness and environmental learning, positioned as the first step in long term skills </w:t>
      </w:r>
      <w:r w:rsidRPr="00CD05A8">
        <w:rPr>
          <w:rFonts w:ascii="Noto Serif Light" w:hAnsi="Noto Serif Light" w:cs="Noto Serif Light"/>
        </w:rPr>
        <w:lastRenderedPageBreak/>
        <w:t xml:space="preserve">formation (Temiz &amp; Çevik, 2024). These early experiences are not framed instrumentally as pipeline feeders, but as meaningful encounters with creativity, place and possibility that shape aspiration, confidence and belonging. With early years education being internationally recognised as laying the foundations to learning (OECD, 2021), there is an argument to be made that any skills accelerator needs to go from the earliest years of education, as reflected in Team Plymouth’s Cradle-to-Career framing (Reach Foundation, 2026). </w:t>
      </w:r>
    </w:p>
    <w:p w14:paraId="6AD8092D" w14:textId="77777777" w:rsidR="002D52B2" w:rsidRPr="00CD05A8" w:rsidRDefault="002D52B2" w:rsidP="002D52B2">
      <w:pPr>
        <w:pStyle w:val="AbstractBookBaseParagraph"/>
        <w:rPr>
          <w:rFonts w:ascii="Noto Serif Light" w:hAnsi="Noto Serif Light" w:cs="Noto Serif Light"/>
        </w:rPr>
      </w:pPr>
    </w:p>
    <w:p w14:paraId="7CE4F1CA"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As learners progress, the Skills Escalator incorporates a range of formal and informal pathways across Levels 1–8, including vocational qualifications, access to HE routes, apprenticeships, degrees, postgraduate study, micro credentials and practice led professional development. Importantly, it also creates lateral connections between levels, enabling, for example, experienced creative practitioners, construction workers or heritage specialists to access higher level learning without repeating or negating their existing expertise. In this sense, the escalator operates as both an educational framework and a social justice intervention, seeking to reduce the cumulative disadvantage produced by rigid progression structures.</w:t>
      </w:r>
    </w:p>
    <w:p w14:paraId="761CD415" w14:textId="77777777" w:rsidR="002D52B2" w:rsidRPr="00CD05A8" w:rsidRDefault="002D52B2" w:rsidP="002D52B2">
      <w:pPr>
        <w:pStyle w:val="AbstractBookBaseParagraph"/>
        <w:rPr>
          <w:rFonts w:ascii="Noto Serif Light" w:hAnsi="Noto Serif Light" w:cs="Noto Serif Light"/>
        </w:rPr>
      </w:pPr>
    </w:p>
    <w:p w14:paraId="4B0113A7"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Architecture and the built environment are used within the paper as a STEAM rich case study through which to explore the interaction between creative industries, skills development and coastal futures. In Plymouth and similar coastal city regions, the built environment sits at the intersection of pressing policy challenges and creative opportunity: housing shortages, retrofit and decarbonisation, climate adaptation, heritage conservation, public realm design and coastal resilience. Architecture, in this framing, is not treated solely as a professional endpoint accessible only through elite academic routes, but as a creative civic practice encompassing design, engineering, digital technologies, sustainability, storytelling and community engagement.</w:t>
      </w:r>
    </w:p>
    <w:p w14:paraId="035BC869" w14:textId="77777777" w:rsidR="002D52B2" w:rsidRPr="00CD05A8" w:rsidRDefault="002D52B2" w:rsidP="002D52B2">
      <w:pPr>
        <w:pStyle w:val="AbstractBookBaseParagraph"/>
        <w:rPr>
          <w:rFonts w:ascii="Noto Serif Light" w:hAnsi="Noto Serif Light" w:cs="Noto Serif Light"/>
        </w:rPr>
      </w:pPr>
    </w:p>
    <w:p w14:paraId="73241658"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Mapping an Architecture Skills Escalator reveals both the breadth of educational provision required and the importance of partnership in delivering it. Starting from early years education, STEAM curriculum frameworks need to value diversity and build foundational skills (OECD, 2025) and have an education workforce that is appropriately knowledgeable and skilled to achieve this (Magnusson &amp; Bäckman, 2023). As children and young people transition through the education system, the Government’s introduction of Mission Coastal (Department for Education, 2026), a place-focused approach to transforming the outcomes for all young people locally, emphasises not only inclusive approaches to curricula, but also the need to bring together schools and community leaders to innovate together in order to challenge the structural inequalities found in coastal communities. </w:t>
      </w:r>
    </w:p>
    <w:p w14:paraId="4A7A22A2" w14:textId="77777777" w:rsidR="002D52B2" w:rsidRPr="00CD05A8" w:rsidRDefault="002D52B2" w:rsidP="002D52B2">
      <w:pPr>
        <w:pStyle w:val="AbstractBookBaseParagraph"/>
        <w:rPr>
          <w:rFonts w:ascii="Noto Serif Light" w:hAnsi="Noto Serif Light" w:cs="Noto Serif Light"/>
        </w:rPr>
      </w:pPr>
    </w:p>
    <w:p w14:paraId="4A8F73A6"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Formal entry points onto the Skills Escalator range from introductory technical and creative qualifications at Levels 1–2, through foundation and access programmes at Level 3, to higher technical routes, apprenticeships and undergraduate degrees at Levels 4–6. Advanced professional practice at postgraduate level (Level 7) connects creative design leadership with regulation, low carbon innovation and digital construction, while doctoral research (Level 8) supports critical inquiry into architecture’s role in social justice, climate futures and placemaking. Throughout, creative industry partners contribute to curriculum design, studio projects, assessment </w:t>
      </w:r>
      <w:r w:rsidRPr="00CD05A8">
        <w:rPr>
          <w:rFonts w:ascii="Noto Serif Light" w:hAnsi="Noto Serif Light" w:cs="Noto Serif Light"/>
        </w:rPr>
        <w:lastRenderedPageBreak/>
        <w:t>and mentoring, ensuring that learning remains grounded in contemporary practice and regional need.</w:t>
      </w:r>
    </w:p>
    <w:p w14:paraId="7C547620" w14:textId="77777777" w:rsidR="002D52B2" w:rsidRPr="00CD05A8" w:rsidRDefault="002D52B2" w:rsidP="002D52B2">
      <w:pPr>
        <w:pStyle w:val="AbstractBookBaseParagraph"/>
        <w:rPr>
          <w:rFonts w:ascii="Noto Serif Light" w:hAnsi="Noto Serif Light" w:cs="Noto Serif Light"/>
        </w:rPr>
      </w:pPr>
    </w:p>
    <w:p w14:paraId="4F44AD20"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Crucially, the escalator also supports non traditional movement: experienced tradespeople engaging with digital design; creative practitioners building formal planning or sustainability expertise; or adults returning to education after long periods outside formal learning. These forms of mobility are essential if coastal regions are to retain talent, diversify their workforces and avoid reproducing patterns of exclusion under the banner of innovation.</w:t>
      </w:r>
    </w:p>
    <w:p w14:paraId="18B27613" w14:textId="77777777" w:rsidR="002D52B2" w:rsidRPr="00CD05A8" w:rsidRDefault="002D52B2" w:rsidP="002D52B2">
      <w:pPr>
        <w:pStyle w:val="AbstractBookBaseParagraph"/>
        <w:rPr>
          <w:rFonts w:ascii="Noto Serif Light" w:hAnsi="Noto Serif Light" w:cs="Noto Serif Light"/>
        </w:rPr>
      </w:pPr>
    </w:p>
    <w:p w14:paraId="11687B64"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The paper argues that such an approach reframes the role of education providers within regional innovation systems. Universities and FE colleges are positioned not merely as skills suppliers, but as anchors within place based ecosystems, sharing responsibility for inclusive growth, cultural vitality and community well-being. Creative industries, in turn, are understood not only as beneficiaries of skills pipelines, but as co producers of learning cultures, capable of engaging communities through alternative modes of knowledge exchange such as storytelling, immersive media, participatory design and live projects.</w:t>
      </w:r>
    </w:p>
    <w:p w14:paraId="70525F8D" w14:textId="77777777" w:rsidR="002D52B2" w:rsidRPr="00CD05A8" w:rsidRDefault="002D52B2" w:rsidP="002D52B2">
      <w:pPr>
        <w:pStyle w:val="AbstractBookBaseParagraph"/>
        <w:rPr>
          <w:rFonts w:ascii="Noto Serif Light" w:hAnsi="Noto Serif Light" w:cs="Noto Serif Light"/>
        </w:rPr>
      </w:pPr>
    </w:p>
    <w:p w14:paraId="23289537"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From a policy perspective, the Skills Escalator model speaks directly to the ambitions of education and skills reform while highlighting tensions in current implementation. Investment in creative industries and coastal regeneration often privileges short term economic outcomes, while under valuing the long term work required to build inclusive skills infrastructures. This paper demonstrates that early years STEAM education, community embedded learning, and flexible progression mechanisms are not peripheral add ons, but essential components of sustainable regional innovation.</w:t>
      </w:r>
    </w:p>
    <w:p w14:paraId="66F13585" w14:textId="77777777" w:rsidR="002D52B2" w:rsidRPr="00CD05A8" w:rsidRDefault="002D52B2" w:rsidP="002D52B2">
      <w:pPr>
        <w:pStyle w:val="AbstractBookBaseParagraph"/>
        <w:rPr>
          <w:rFonts w:ascii="Noto Serif Light" w:hAnsi="Noto Serif Light" w:cs="Noto Serif Light"/>
        </w:rPr>
      </w:pPr>
    </w:p>
    <w:p w14:paraId="4E9F27A7"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While grounded in the specific context of Plymouth and the wider Southwest, the approach outlined here is intentionally transferable. Many coastal regions and the Northeast share similar structural challenges and opportunities, and the principles of inclusive design, partnership led skills planning and creative industry engagement offer a scalable framework for rethinking skills development nationally. By embedding creativity across the life course and recognising diverse forms of expertise, Skills Escalators provide a means of aligning economic development, social inclusion and place based identity.</w:t>
      </w:r>
    </w:p>
    <w:p w14:paraId="4AC10091" w14:textId="77777777" w:rsidR="002D52B2" w:rsidRPr="00CD05A8" w:rsidRDefault="002D52B2" w:rsidP="002D52B2">
      <w:pPr>
        <w:pStyle w:val="AbstractBookBaseParagraph"/>
        <w:rPr>
          <w:rFonts w:ascii="Noto Serif Light" w:hAnsi="Noto Serif Light" w:cs="Noto Serif Light"/>
        </w:rPr>
      </w:pPr>
    </w:p>
    <w:p w14:paraId="693F9EC7"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In conclusion, this paper contributes to debates on creative coastal futures by foregrounding skills not simply as labour market instruments, but as vehicles for participation, imagination and agency. It argues that inclusive, cradle to career STEAM Skills Escalators—co produced by education providers, creative industries and civic partners—are critical to enabling coastal communities to design, rather than merely receive, their futures.</w:t>
      </w:r>
    </w:p>
    <w:p w14:paraId="48BB2BE8" w14:textId="77777777" w:rsidR="002D52B2" w:rsidRPr="006C77A6" w:rsidRDefault="002D52B2" w:rsidP="002D52B2">
      <w:pPr>
        <w:pStyle w:val="AbstractBookBaseParagraph"/>
        <w:rPr>
          <w:rFonts w:ascii="Noto Serif Light" w:hAnsi="Noto Serif Light" w:cs="Noto Serif Light"/>
          <w:b/>
          <w:bCs/>
        </w:rPr>
      </w:pPr>
    </w:p>
    <w:p w14:paraId="4F904789" w14:textId="77777777" w:rsidR="002D52B2" w:rsidRPr="006C77A6" w:rsidRDefault="002D52B2" w:rsidP="002D52B2">
      <w:pPr>
        <w:pStyle w:val="AbstractBookBaseParagraph"/>
        <w:rPr>
          <w:rFonts w:ascii="Noto Serif Light" w:hAnsi="Noto Serif Light" w:cs="Noto Serif Light"/>
          <w:b/>
          <w:bCs/>
        </w:rPr>
      </w:pPr>
      <w:r w:rsidRPr="006C77A6">
        <w:rPr>
          <w:rFonts w:ascii="Noto Serif Light" w:hAnsi="Noto Serif Light" w:cs="Noto Serif Light"/>
          <w:b/>
          <w:bCs/>
        </w:rPr>
        <w:t>References</w:t>
      </w:r>
    </w:p>
    <w:p w14:paraId="6D152DF4" w14:textId="77777777" w:rsidR="002D52B2" w:rsidRPr="00CD05A8" w:rsidRDefault="002D52B2" w:rsidP="002D52B2">
      <w:pPr>
        <w:pStyle w:val="AbstractBookBaseParagraph"/>
        <w:numPr>
          <w:ilvl w:val="0"/>
          <w:numId w:val="30"/>
        </w:numPr>
        <w:rPr>
          <w:rFonts w:ascii="Noto Serif Light" w:hAnsi="Noto Serif Light" w:cs="Noto Serif Light"/>
        </w:rPr>
      </w:pPr>
      <w:r w:rsidRPr="00CD05A8">
        <w:rPr>
          <w:rFonts w:ascii="Noto Serif Light" w:hAnsi="Noto Serif Light" w:cs="Noto Serif Light"/>
        </w:rPr>
        <w:t>Agarwal, S., Rahman, S., Page, S. J., &amp; Jakes, S. (2024). Economic performance amongst English seaside towns. Current Issues in Tourism, 27(16), 2631-2648. doi:10.1080/13683500.2023.2234070</w:t>
      </w:r>
    </w:p>
    <w:p w14:paraId="6090EC04" w14:textId="77777777" w:rsidR="002D52B2" w:rsidRPr="00CD05A8" w:rsidRDefault="002D52B2" w:rsidP="002D52B2">
      <w:pPr>
        <w:pStyle w:val="AbstractBookBaseParagraph"/>
        <w:numPr>
          <w:ilvl w:val="0"/>
          <w:numId w:val="30"/>
        </w:numPr>
        <w:rPr>
          <w:rFonts w:ascii="Noto Serif Light" w:hAnsi="Noto Serif Light" w:cs="Noto Serif Light"/>
        </w:rPr>
      </w:pPr>
      <w:r w:rsidRPr="00CD05A8">
        <w:rPr>
          <w:rFonts w:ascii="Noto Serif Light" w:hAnsi="Noto Serif Light" w:cs="Noto Serif Light"/>
        </w:rPr>
        <w:t xml:space="preserve">Department for Education. (2026). Every Child Achieving and Thriving. Available at: </w:t>
      </w:r>
      <w:r w:rsidRPr="00CD05A8">
        <w:rPr>
          <w:rFonts w:ascii="Noto Serif Light" w:hAnsi="Noto Serif Light" w:cs="Noto Serif Light"/>
        </w:rPr>
        <w:lastRenderedPageBreak/>
        <w:t xml:space="preserve">https://assets.publishing.service.gov.uk/media/69ef496808ecdb5c6f34afc2/Every_Child_Achieving_with_Correction_-_PRINT.pdf, accessed </w:t>
      </w:r>
    </w:p>
    <w:p w14:paraId="32BB3164" w14:textId="77777777" w:rsidR="002D52B2" w:rsidRPr="00CD05A8" w:rsidRDefault="002D52B2" w:rsidP="002D52B2">
      <w:pPr>
        <w:pStyle w:val="AbstractBookBaseParagraph"/>
        <w:numPr>
          <w:ilvl w:val="0"/>
          <w:numId w:val="30"/>
        </w:numPr>
        <w:rPr>
          <w:rFonts w:ascii="Noto Serif Light" w:hAnsi="Noto Serif Light" w:cs="Noto Serif Light"/>
        </w:rPr>
      </w:pPr>
      <w:r w:rsidRPr="00CD05A8">
        <w:rPr>
          <w:rFonts w:ascii="Noto Serif Light" w:hAnsi="Noto Serif Light" w:cs="Noto Serif Light"/>
        </w:rPr>
        <w:t>Magnusson, L. O., &amp; Bäckman, K. (2023). What is the capacity of A in the contexts of STEM? Early Years, 43(1), 123-136. doi:10.1080/09575146.2021.1914557</w:t>
      </w:r>
    </w:p>
    <w:p w14:paraId="52629E4C" w14:textId="77777777" w:rsidR="002D52B2" w:rsidRPr="00CD05A8" w:rsidRDefault="002D52B2" w:rsidP="002D52B2">
      <w:pPr>
        <w:pStyle w:val="AbstractBookBaseParagraph"/>
        <w:numPr>
          <w:ilvl w:val="0"/>
          <w:numId w:val="30"/>
        </w:numPr>
        <w:rPr>
          <w:rFonts w:ascii="Noto Serif Light" w:hAnsi="Noto Serif Light" w:cs="Noto Serif Light"/>
        </w:rPr>
      </w:pPr>
      <w:r w:rsidRPr="00CD05A8">
        <w:rPr>
          <w:rFonts w:ascii="Noto Serif Light" w:hAnsi="Noto Serif Light" w:cs="Noto Serif Light"/>
        </w:rPr>
        <w:t>OECD. (2021). Starting Strong VI Supporting Meaningful Interactions in Early Childhood Education and Care. Paris: OECD Publishing.</w:t>
      </w:r>
    </w:p>
    <w:p w14:paraId="2C5FA2B3" w14:textId="77777777" w:rsidR="002D52B2" w:rsidRPr="00CD05A8" w:rsidRDefault="002D52B2" w:rsidP="002D52B2">
      <w:pPr>
        <w:pStyle w:val="AbstractBookBaseParagraph"/>
        <w:numPr>
          <w:ilvl w:val="0"/>
          <w:numId w:val="30"/>
        </w:numPr>
        <w:rPr>
          <w:rFonts w:ascii="Noto Serif Light" w:hAnsi="Noto Serif Light" w:cs="Noto Serif Light"/>
        </w:rPr>
      </w:pPr>
      <w:r w:rsidRPr="00CD05A8">
        <w:rPr>
          <w:rFonts w:ascii="Noto Serif Light" w:hAnsi="Noto Serif Light" w:cs="Noto Serif Light"/>
        </w:rPr>
        <w:t>OECD. (2025). Reducing Inequalities by Investing in Early Childhood Education and Care: OECD Publishing.</w:t>
      </w:r>
    </w:p>
    <w:p w14:paraId="6BF185BD" w14:textId="77777777" w:rsidR="002D52B2" w:rsidRPr="00CD05A8" w:rsidRDefault="002D52B2" w:rsidP="002D52B2">
      <w:pPr>
        <w:pStyle w:val="AbstractBookBaseParagraph"/>
        <w:numPr>
          <w:ilvl w:val="0"/>
          <w:numId w:val="30"/>
        </w:numPr>
        <w:rPr>
          <w:rFonts w:ascii="Noto Serif Light" w:hAnsi="Noto Serif Light" w:cs="Noto Serif Light"/>
        </w:rPr>
      </w:pPr>
      <w:r w:rsidRPr="00CD05A8">
        <w:rPr>
          <w:rFonts w:ascii="Noto Serif Light" w:hAnsi="Noto Serif Light" w:cs="Noto Serif Light"/>
        </w:rPr>
        <w:t>Ovenden-Hope, T., Brown, V. and Achtaridou, E. (2025) Pretty Poverty. The Cornwall Rurality Matters Report. Plymouth: Plymouth Marjon University.</w:t>
      </w:r>
    </w:p>
    <w:p w14:paraId="2BA4A643" w14:textId="77777777" w:rsidR="002D52B2" w:rsidRPr="00CD05A8" w:rsidRDefault="002D52B2" w:rsidP="002D52B2">
      <w:pPr>
        <w:pStyle w:val="AbstractBookBaseParagraph"/>
        <w:numPr>
          <w:ilvl w:val="0"/>
          <w:numId w:val="30"/>
        </w:numPr>
        <w:rPr>
          <w:rFonts w:ascii="Noto Serif Light" w:hAnsi="Noto Serif Light" w:cs="Noto Serif Light"/>
        </w:rPr>
      </w:pPr>
      <w:r w:rsidRPr="00CD05A8">
        <w:rPr>
          <w:rFonts w:ascii="Noto Serif Light" w:hAnsi="Noto Serif Light" w:cs="Noto Serif Light"/>
        </w:rPr>
        <w:t>Reach Foundation (2026) Cradle-to-career — Insights — The Reach Foundation, available at: https://www.reachfoundation.uk/insights/tag/Cradle-to-career, accessed 5 May</w:t>
      </w:r>
    </w:p>
    <w:p w14:paraId="668B22E4" w14:textId="77777777" w:rsidR="002D52B2" w:rsidRPr="00CD05A8" w:rsidRDefault="002D52B2" w:rsidP="002D52B2">
      <w:pPr>
        <w:pStyle w:val="AbstractBookBaseParagraph"/>
        <w:numPr>
          <w:ilvl w:val="0"/>
          <w:numId w:val="30"/>
        </w:numPr>
        <w:rPr>
          <w:rFonts w:ascii="Noto Serif Light" w:hAnsi="Noto Serif Light" w:cs="Noto Serif Light"/>
        </w:rPr>
      </w:pPr>
      <w:r w:rsidRPr="00CD05A8">
        <w:rPr>
          <w:rFonts w:ascii="Noto Serif Light" w:hAnsi="Noto Serif Light" w:cs="Noto Serif Light"/>
        </w:rPr>
        <w:t>Zeynep, T &amp; Çevik, M. (2024). STEAM education with young learners: five different design processes. Early Years, 44(3-4), 918-933. :10.1080/09575146.2023.2274293</w:t>
      </w:r>
    </w:p>
    <w:p w14:paraId="02C67AC5" w14:textId="77777777" w:rsidR="002D52B2" w:rsidRPr="00CD05A8" w:rsidRDefault="002D52B2" w:rsidP="002D52B2">
      <w:pPr>
        <w:pStyle w:val="AbstractBookBaseParagraph"/>
        <w:numPr>
          <w:ilvl w:val="0"/>
          <w:numId w:val="30"/>
        </w:numPr>
        <w:rPr>
          <w:rFonts w:ascii="Noto Serif Light" w:hAnsi="Noto Serif Light" w:cs="Noto Serif Light"/>
        </w:rPr>
      </w:pPr>
      <w:r w:rsidRPr="00CD05A8">
        <w:rPr>
          <w:rFonts w:ascii="Noto Serif Light" w:hAnsi="Noto Serif Light" w:cs="Noto Serif Light"/>
        </w:rPr>
        <w:t>University of Plymouth (2025), Team Plymouth, available at https://www.plymouth.ac.uk/team-plymouth Accessed 28 April, 2026</w:t>
      </w:r>
    </w:p>
    <w:p w14:paraId="1360874C" w14:textId="77777777" w:rsidR="002D52B2" w:rsidRPr="00CD05A8" w:rsidRDefault="002D52B2" w:rsidP="002D52B2">
      <w:pPr>
        <w:pStyle w:val="AbstractBookBaseParagraph"/>
        <w:rPr>
          <w:rFonts w:ascii="Noto Serif Light" w:hAnsi="Noto Serif Light" w:cs="Noto Serif Light"/>
        </w:rPr>
      </w:pPr>
    </w:p>
    <w:p w14:paraId="79333D22" w14:textId="77777777" w:rsidR="002D52B2" w:rsidRPr="00CD05A8" w:rsidRDefault="002D52B2" w:rsidP="002D52B2">
      <w:pPr>
        <w:pStyle w:val="AbstractBookBaseParagraph"/>
        <w:rPr>
          <w:rFonts w:ascii="Noto Serif Light" w:hAnsi="Noto Serif Light" w:cs="Noto Serif Light"/>
        </w:rPr>
      </w:pPr>
    </w:p>
    <w:p w14:paraId="0D162304" w14:textId="77777777" w:rsidR="00D779A2" w:rsidRDefault="00D779A2">
      <w:pPr>
        <w:rPr>
          <w:rFonts w:ascii="Noto Serif Light" w:eastAsia="Calibri (Body)" w:hAnsi="Noto Serif Light" w:cs="Noto Serif Light"/>
          <w:kern w:val="0"/>
          <w:lang w:val="en-US" w:eastAsia="uk-UA"/>
          <w14:ligatures w14:val="none"/>
        </w:rPr>
      </w:pPr>
      <w:r>
        <w:rPr>
          <w:rFonts w:ascii="Noto Serif Light" w:hAnsi="Noto Serif Light" w:cs="Noto Serif Light"/>
        </w:rPr>
        <w:br w:type="page"/>
      </w:r>
    </w:p>
    <w:p w14:paraId="4DFF655D" w14:textId="421AB6C5" w:rsidR="00D779A2" w:rsidRDefault="00D779A2" w:rsidP="00D779A2">
      <w:pPr>
        <w:pStyle w:val="ABSubhead"/>
      </w:pPr>
      <w:r>
        <w:lastRenderedPageBreak/>
        <w:t xml:space="preserve">O49. </w:t>
      </w:r>
      <w:r w:rsidRPr="00D779A2">
        <w:t xml:space="preserve">Valorising New Paths? Exploring Anaerobic Digestion </w:t>
      </w:r>
      <w:r>
        <w:t>a</w:t>
      </w:r>
      <w:r w:rsidRPr="00D779A2">
        <w:t xml:space="preserve">nd Its Impact </w:t>
      </w:r>
      <w:r>
        <w:t>o</w:t>
      </w:r>
      <w:r w:rsidRPr="00D779A2">
        <w:t xml:space="preserve">n </w:t>
      </w:r>
      <w:r>
        <w:t>t</w:t>
      </w:r>
      <w:r w:rsidRPr="00D779A2">
        <w:t xml:space="preserve">he Rural Economy </w:t>
      </w:r>
      <w:r>
        <w:t>o</w:t>
      </w:r>
      <w:r w:rsidRPr="00D779A2">
        <w:t>f Bangladesh</w:t>
      </w:r>
    </w:p>
    <w:p w14:paraId="59E07A8C" w14:textId="77777777" w:rsidR="00D779A2" w:rsidRPr="00220128" w:rsidRDefault="00D779A2" w:rsidP="00D779A2">
      <w:pPr>
        <w:pStyle w:val="ABParagraph"/>
      </w:pPr>
    </w:p>
    <w:p w14:paraId="50B68A9C" w14:textId="50566A79" w:rsidR="00D779A2" w:rsidRPr="001A0039" w:rsidRDefault="00D779A2" w:rsidP="00D779A2">
      <w:pPr>
        <w:pStyle w:val="AbstractBookAuthors"/>
        <w:rPr>
          <w:rStyle w:val="AbstractBookBaseCharacterStyle"/>
          <w:rFonts w:ascii="Noto Serif Light" w:hAnsi="Noto Serif Light" w:cs="Noto Serif Light"/>
          <w:vertAlign w:val="superscript"/>
        </w:rPr>
      </w:pPr>
      <w:r w:rsidRPr="00D779A2">
        <w:rPr>
          <w:rStyle w:val="AbstractBookBaseCharacterStyle"/>
          <w:rFonts w:ascii="Noto Serif Light" w:hAnsi="Noto Serif Light" w:cs="Noto Serif Light"/>
          <w:b/>
          <w:bCs/>
          <w:u w:val="single"/>
        </w:rPr>
        <w:t>Thomas Hastings</w:t>
      </w:r>
      <w:r w:rsidRPr="00D779A2">
        <w:rPr>
          <w:rStyle w:val="AbstractBookBaseCharacterStyle"/>
          <w:rFonts w:ascii="Noto Serif Light" w:hAnsi="Noto Serif Light" w:cs="Noto Serif Light"/>
          <w:vertAlign w:val="superscript"/>
        </w:rPr>
        <w:t>1</w:t>
      </w:r>
      <w:r>
        <w:rPr>
          <w:rStyle w:val="AbstractBookBaseCharacterStyle"/>
          <w:rFonts w:ascii="Noto Serif Light" w:hAnsi="Noto Serif Light" w:cs="Noto Serif Light"/>
        </w:rPr>
        <w:t>, Dr Paul Williams</w:t>
      </w:r>
      <w:r>
        <w:rPr>
          <w:rStyle w:val="AbstractBookBaseCharacterStyle"/>
          <w:rFonts w:ascii="Noto Serif Light" w:hAnsi="Noto Serif Light" w:cs="Noto Serif Light"/>
          <w:vertAlign w:val="superscript"/>
        </w:rPr>
        <w:t>1</w:t>
      </w:r>
      <w:r>
        <w:rPr>
          <w:rStyle w:val="AbstractBookBaseCharacterStyle"/>
          <w:rFonts w:ascii="Noto Serif Light" w:hAnsi="Noto Serif Light" w:cs="Noto Serif Light"/>
        </w:rPr>
        <w:t>, Professor Mahmud Hossain Sumon</w:t>
      </w:r>
      <w:r>
        <w:rPr>
          <w:rStyle w:val="AbstractBookBaseCharacterStyle"/>
          <w:rFonts w:ascii="Noto Serif Light" w:hAnsi="Noto Serif Light" w:cs="Noto Serif Light"/>
          <w:vertAlign w:val="superscript"/>
        </w:rPr>
        <w:t>2</w:t>
      </w:r>
      <w:r>
        <w:rPr>
          <w:rStyle w:val="AbstractBookBaseCharacterStyle"/>
          <w:rFonts w:ascii="Noto Serif Light" w:hAnsi="Noto Serif Light" w:cs="Noto Serif Light"/>
        </w:rPr>
        <w:t>, Raju Ahmad, Jason Chin</w:t>
      </w:r>
      <w:r w:rsidR="001A0039">
        <w:rPr>
          <w:rStyle w:val="AbstractBookBaseCharacterStyle"/>
          <w:rFonts w:ascii="Noto Serif Light" w:hAnsi="Noto Serif Light" w:cs="Noto Serif Light"/>
          <w:vertAlign w:val="superscript"/>
        </w:rPr>
        <w:t>1</w:t>
      </w:r>
    </w:p>
    <w:p w14:paraId="20380D5F" w14:textId="35EB9BCD" w:rsidR="001A0039" w:rsidRDefault="00D779A2" w:rsidP="00D779A2">
      <w:pPr>
        <w:pStyle w:val="AbstractBookAuthors"/>
        <w:rPr>
          <w:rStyle w:val="AbstractBookBaseCharacterStyle"/>
          <w:rFonts w:ascii="Noto Serif Light" w:hAnsi="Noto Serif Light" w:cs="Noto Serif Light"/>
        </w:rPr>
      </w:pPr>
      <w:r>
        <w:rPr>
          <w:rStyle w:val="AbstractBookBaseCharacterStyle"/>
          <w:rFonts w:ascii="Noto Serif Light" w:hAnsi="Noto Serif Light" w:cs="Noto Serif Light"/>
          <w:vertAlign w:val="superscript"/>
        </w:rPr>
        <w:t>1</w:t>
      </w:r>
      <w:r>
        <w:rPr>
          <w:rStyle w:val="AbstractBookBaseCharacterStyle"/>
          <w:rFonts w:ascii="Noto Serif Light" w:hAnsi="Noto Serif Light" w:cs="Noto Serif Light"/>
        </w:rPr>
        <w:t xml:space="preserve">Queen’s University Belfast, Belfast, Northern Ireland, </w:t>
      </w:r>
      <w:r>
        <w:rPr>
          <w:rStyle w:val="AbstractBookBaseCharacterStyle"/>
          <w:rFonts w:ascii="Noto Serif Light" w:hAnsi="Noto Serif Light" w:cs="Noto Serif Light"/>
          <w:vertAlign w:val="superscript"/>
        </w:rPr>
        <w:t>2</w:t>
      </w:r>
      <w:r w:rsidRPr="00D779A2">
        <w:rPr>
          <w:rStyle w:val="AbstractBookBaseCharacterStyle"/>
          <w:rFonts w:ascii="Noto Serif Light" w:hAnsi="Noto Serif Light" w:cs="Noto Serif Light"/>
        </w:rPr>
        <w:t>Bangladesh Agricultural University</w:t>
      </w:r>
      <w:r>
        <w:rPr>
          <w:rStyle w:val="AbstractBookBaseCharacterStyle"/>
          <w:rFonts w:ascii="Noto Serif Light" w:hAnsi="Noto Serif Light" w:cs="Noto Serif Light"/>
        </w:rPr>
        <w:t>, Bangladesh</w:t>
      </w:r>
    </w:p>
    <w:p w14:paraId="5A97D32D" w14:textId="77777777" w:rsidR="001A0039" w:rsidRDefault="001A0039" w:rsidP="00D779A2">
      <w:pPr>
        <w:pStyle w:val="AbstractBookAuthors"/>
        <w:rPr>
          <w:rStyle w:val="AbstractBookBaseCharacterStyle"/>
          <w:rFonts w:ascii="Noto Serif Light" w:hAnsi="Noto Serif Light" w:cs="Noto Serif Light"/>
        </w:rPr>
      </w:pPr>
    </w:p>
    <w:p w14:paraId="03109453" w14:textId="5D267D1A" w:rsidR="001A0039" w:rsidRDefault="001A0039" w:rsidP="00D779A2">
      <w:pPr>
        <w:pStyle w:val="AbstractBookAuthors"/>
        <w:rPr>
          <w:rStyle w:val="AbstractBookBaseCharacterStyle"/>
          <w:rFonts w:ascii="Noto Serif Light" w:hAnsi="Noto Serif Light" w:cs="Noto Serif Light"/>
          <w:b/>
          <w:bCs/>
        </w:rPr>
      </w:pPr>
      <w:r>
        <w:rPr>
          <w:rStyle w:val="AbstractBookBaseCharacterStyle"/>
          <w:rFonts w:ascii="Noto Serif Light" w:hAnsi="Noto Serif Light" w:cs="Noto Serif Light"/>
          <w:b/>
          <w:bCs/>
        </w:rPr>
        <w:t>Abstract:</w:t>
      </w:r>
    </w:p>
    <w:p w14:paraId="2D28751A" w14:textId="77777777" w:rsidR="001A0039" w:rsidRPr="001A0039" w:rsidRDefault="001A0039" w:rsidP="001A0039">
      <w:pPr>
        <w:pStyle w:val="ABParagraph"/>
        <w:rPr>
          <w:lang w:val="en-US" w:eastAsia="uk-UA"/>
        </w:rPr>
      </w:pPr>
      <w:r w:rsidRPr="001A0039">
        <w:rPr>
          <w:lang w:val="en-US" w:eastAsia="uk-UA"/>
        </w:rPr>
        <w:t xml:space="preserve">While there is much evidence in the Global North of successful green technology transfer and new path development, less discussion has focussed on more mixed results and transfer struggles in the Global South. In this context the paper examines the role of anaerobic digestion (AD) and the use of valorisation techniques as a contributor to path development in the case of Bangladesh. By valorisation, we refer to the useful byproducts of the AD process, namely the creation of digestate and biogas from farm wastes which may be used to generate energy (e.g. heat, electricity) and drive efficiencies. In cases within Europe, for example, the valorisation process has been effectively used to generate circular economy benefits and new industry paths and services (as evidenced by the role of biofuels in fuelling bus fleets, e.g. in Malmo, Sweden). </w:t>
      </w:r>
    </w:p>
    <w:p w14:paraId="042140AA" w14:textId="77777777" w:rsidR="001A0039" w:rsidRPr="001A0039" w:rsidRDefault="001A0039" w:rsidP="001A0039">
      <w:pPr>
        <w:pStyle w:val="ABParagraph"/>
      </w:pPr>
    </w:p>
    <w:p w14:paraId="0ABA6D0D" w14:textId="77777777" w:rsidR="001A0039" w:rsidRPr="001A0039" w:rsidRDefault="001A0039" w:rsidP="001A0039">
      <w:pPr>
        <w:pStyle w:val="ABParagraph"/>
        <w:rPr>
          <w:lang w:val="en-US" w:eastAsia="uk-UA"/>
        </w:rPr>
      </w:pPr>
      <w:r w:rsidRPr="001A0039">
        <w:rPr>
          <w:lang w:val="en-US" w:eastAsia="uk-UA"/>
        </w:rPr>
        <w:t xml:space="preserve">Bangladesh faces acute pressures with respect to farming and food security, which have long made the adoption of green technologies an imperative. At the same time, in order to meet food needs the state has a long record of encouraging the uptake of chemical fertilisers, which, alongside the use of monocropping, have worked to damage the environment. To help address the challenge of producing enough food (sustainably), the state has developed a range of institutions  - development agencies, lenders and support groups (e.g. IDCOL, SREDA). These groups operate separate to/alongside the Department of Agricultural Extension, which works to support and educate farmers. These groups are complemented by charities, non-state development agencies and private associations which are variously geared to supporting entrepreneurs in the rural economy. There is, then, an extensive milieux of institutions which (in theory) play a role supporting actors to adopt green technology including AD. </w:t>
      </w:r>
    </w:p>
    <w:p w14:paraId="2CF638CB" w14:textId="77777777" w:rsidR="001A0039" w:rsidRPr="001A0039" w:rsidRDefault="001A0039" w:rsidP="001A0039">
      <w:pPr>
        <w:pStyle w:val="ABParagraph"/>
        <w:rPr>
          <w:lang w:val="en-US" w:eastAsia="uk-UA"/>
        </w:rPr>
      </w:pPr>
    </w:p>
    <w:p w14:paraId="7CED9441" w14:textId="77777777" w:rsidR="001A0039" w:rsidRPr="001A0039" w:rsidRDefault="001A0039" w:rsidP="001A0039">
      <w:pPr>
        <w:pStyle w:val="ABParagraph"/>
        <w:rPr>
          <w:lang w:val="en-US" w:eastAsia="uk-UA"/>
        </w:rPr>
      </w:pPr>
      <w:r w:rsidRPr="001A0039">
        <w:rPr>
          <w:lang w:val="en-US" w:eastAsia="uk-UA"/>
        </w:rPr>
        <w:t xml:space="preserve">A key objective of the paper is to explore the role and effectiveness of this institutional milieux in supporting economic actors to adopt AD or other technologies/techniques with a view to driving path development in the rural economy (renewal or other forms). </w:t>
      </w:r>
    </w:p>
    <w:p w14:paraId="415D7544" w14:textId="77777777" w:rsidR="001A0039" w:rsidRPr="001A0039" w:rsidRDefault="001A0039" w:rsidP="001A0039">
      <w:pPr>
        <w:pStyle w:val="ABParagraph"/>
        <w:rPr>
          <w:lang w:val="en-US" w:eastAsia="uk-UA"/>
        </w:rPr>
      </w:pPr>
    </w:p>
    <w:p w14:paraId="4048B5C7" w14:textId="77777777" w:rsidR="001A0039" w:rsidRDefault="001A0039" w:rsidP="001A0039">
      <w:pPr>
        <w:pStyle w:val="ABParagraph"/>
        <w:rPr>
          <w:b/>
          <w:bCs/>
          <w:lang w:val="en-US" w:eastAsia="uk-UA"/>
        </w:rPr>
      </w:pPr>
      <w:r w:rsidRPr="001A0039">
        <w:rPr>
          <w:lang w:val="en-US" w:eastAsia="uk-UA"/>
        </w:rPr>
        <w:t xml:space="preserve">The research builds primarily on qualitative interviews with farmers and aforementioned institutional actors, together with the use of surveys, to explore the uptake of AD in Bangladesh and whether/how it has informed path developments in a range of sectors. In one respect, and drawing in part on work from Evolutionary Economic Geography, the paper explores how and why institutional arrangements and cultural aspects of a political economy in Bangladesh have worked to stymie path creation and green technological uptake more generally. At the same time, we illustrate the agency of different actors – including entrepreneurs (home and abroad), state and non-state actors – and the capacity of some to overcome institutional barriers through agency. Our results suggest a continued role and relevance for valorisation in economic </w:t>
      </w:r>
      <w:r w:rsidRPr="001A0039">
        <w:rPr>
          <w:lang w:val="en-US" w:eastAsia="uk-UA"/>
        </w:rPr>
        <w:lastRenderedPageBreak/>
        <w:t xml:space="preserve">sectors in Bangladesh amid unintended impacts of state policies. The research focuses in particular on the rise of large-scale cow/dairy and chicken industries led by firms which have shown an increasing engagement with green technologies including AD. We also consider the role of AD and valorisation in the tea industry, while at the smaller scale we consider the role of this technology in supporting households/subsistence forms of agriculture. </w:t>
      </w:r>
    </w:p>
    <w:p w14:paraId="01A079B7" w14:textId="77777777" w:rsidR="001A0039" w:rsidRDefault="001A0039">
      <w:pPr>
        <w:rPr>
          <w:rFonts w:ascii="Noto Serif Light" w:eastAsia="Calibri (Body)" w:hAnsi="Noto Serif Light" w:cs="Noto Serif Light"/>
          <w:kern w:val="0"/>
          <w:lang w:val="en-US" w:eastAsia="uk-UA"/>
          <w14:ligatures w14:val="none"/>
        </w:rPr>
      </w:pPr>
      <w:r>
        <w:rPr>
          <w:rFonts w:eastAsia="Calibri (Body)"/>
          <w:b/>
          <w:bCs/>
          <w:kern w:val="0"/>
          <w:lang w:val="en-US" w:eastAsia="uk-UA"/>
          <w14:ligatures w14:val="none"/>
        </w:rPr>
        <w:br w:type="page"/>
      </w:r>
    </w:p>
    <w:p w14:paraId="10232566" w14:textId="40727287" w:rsidR="002D52B2" w:rsidRDefault="00390C9C" w:rsidP="001A0039">
      <w:pPr>
        <w:pStyle w:val="ABSubhead"/>
      </w:pPr>
      <w:r>
        <w:lastRenderedPageBreak/>
        <w:t xml:space="preserve">O50. </w:t>
      </w:r>
      <w:r w:rsidR="002D52B2" w:rsidRPr="00CD05A8">
        <w:t xml:space="preserve">Changing Demand for Management and Leadership Skills in </w:t>
      </w:r>
      <w:r w:rsidR="002D52B2">
        <w:t>t</w:t>
      </w:r>
      <w:r w:rsidR="002D52B2" w:rsidRPr="00CD05A8">
        <w:t xml:space="preserve">he Age Of AI: Evidence from Online Job Postings in </w:t>
      </w:r>
      <w:r w:rsidR="002D52B2">
        <w:t>t</w:t>
      </w:r>
      <w:r w:rsidR="002D52B2" w:rsidRPr="00CD05A8">
        <w:t>he West Midlands</w:t>
      </w:r>
    </w:p>
    <w:p w14:paraId="2F5E6E6E" w14:textId="77777777" w:rsidR="002D52B2" w:rsidRPr="00220128" w:rsidRDefault="002D52B2" w:rsidP="002D52B2">
      <w:pPr>
        <w:pStyle w:val="ABParagraph"/>
      </w:pPr>
    </w:p>
    <w:p w14:paraId="54BF4A86" w14:textId="77777777" w:rsidR="002D52B2" w:rsidRDefault="002D52B2" w:rsidP="002D52B2">
      <w:pPr>
        <w:pStyle w:val="AbstractBookAuthors"/>
        <w:rPr>
          <w:rStyle w:val="AbstractBookBaseCharacterStyle"/>
          <w:rFonts w:ascii="Noto Serif Light" w:hAnsi="Noto Serif Light" w:cs="Noto Serif Light"/>
          <w:vertAlign w:val="superscript"/>
        </w:rPr>
      </w:pPr>
      <w:r w:rsidRPr="00CD05A8">
        <w:rPr>
          <w:rStyle w:val="AbstractBookBaseCharacterStyle"/>
          <w:rFonts w:ascii="Noto Serif Light" w:hAnsi="Noto Serif Light" w:cs="Noto Serif Light"/>
        </w:rPr>
        <w:t>Fumi Kitagawa</w:t>
      </w:r>
      <w:r>
        <w:rPr>
          <w:rStyle w:val="AbstractBookBaseCharacterStyle"/>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 </w:t>
      </w:r>
      <w:r w:rsidRPr="00CD05A8">
        <w:rPr>
          <w:rStyle w:val="AbstractBookPresentingAuthor"/>
          <w:rFonts w:ascii="Noto Serif Light" w:hAnsi="Noto Serif Light" w:cs="Noto Serif Light"/>
        </w:rPr>
        <w:t>Konstantinos Kollydas</w:t>
      </w:r>
      <w:r>
        <w:rPr>
          <w:rStyle w:val="AbstractBookPresentingAuthor"/>
          <w:rFonts w:ascii="Noto Serif Light" w:hAnsi="Noto Serif Light" w:cs="Noto Serif Light"/>
          <w:b w:val="0"/>
          <w:bCs/>
          <w:u w:val="none"/>
          <w:vertAlign w:val="superscript"/>
        </w:rPr>
        <w:t>1</w:t>
      </w:r>
      <w:r w:rsidRPr="00CD05A8">
        <w:rPr>
          <w:rStyle w:val="AbstractBookBaseCharacterStyle"/>
          <w:rFonts w:ascii="Noto Serif Light" w:hAnsi="Noto Serif Light" w:cs="Noto Serif Light"/>
        </w:rPr>
        <w:t>, Huanjia Ma</w:t>
      </w:r>
      <w:r>
        <w:rPr>
          <w:rStyle w:val="AbstractBookBaseCharacterStyle"/>
          <w:rFonts w:ascii="Noto Serif Light" w:hAnsi="Noto Serif Light" w:cs="Noto Serif Light"/>
          <w:vertAlign w:val="superscript"/>
        </w:rPr>
        <w:t>1</w:t>
      </w:r>
      <w:r w:rsidRPr="00CD05A8">
        <w:rPr>
          <w:rStyle w:val="AbstractBookBaseCharacterStyle"/>
          <w:rFonts w:ascii="Noto Serif Light" w:hAnsi="Noto Serif Light" w:cs="Noto Serif Light"/>
        </w:rPr>
        <w:t>, Juliane Schwarz</w:t>
      </w:r>
      <w:r>
        <w:rPr>
          <w:rStyle w:val="AbstractBookBaseCharacterStyle"/>
          <w:rFonts w:ascii="Noto Serif Light" w:hAnsi="Noto Serif Light" w:cs="Noto Serif Light"/>
          <w:vertAlign w:val="superscript"/>
        </w:rPr>
        <w:t>1</w:t>
      </w:r>
    </w:p>
    <w:p w14:paraId="499AEB58" w14:textId="77777777" w:rsidR="002D52B2" w:rsidRPr="00B9304E" w:rsidRDefault="002D52B2" w:rsidP="002D52B2">
      <w:pPr>
        <w:pStyle w:val="AbstractBookAuthors"/>
        <w:rPr>
          <w:rFonts w:ascii="Noto Serif Light" w:hAnsi="Noto Serif Light" w:cs="Noto Serif Light"/>
        </w:rPr>
      </w:pPr>
      <w:r>
        <w:rPr>
          <w:rStyle w:val="AbstractBookBaseCharacterStyle"/>
          <w:rFonts w:ascii="Noto Serif Light" w:hAnsi="Noto Serif Light" w:cs="Noto Serif Light"/>
          <w:vertAlign w:val="superscript"/>
        </w:rPr>
        <w:t>1</w:t>
      </w:r>
      <w:r>
        <w:rPr>
          <w:rStyle w:val="AbstractBookBaseCharacterStyle"/>
          <w:rFonts w:ascii="Noto Serif Light" w:hAnsi="Noto Serif Light" w:cs="Noto Serif Light"/>
        </w:rPr>
        <w:t>City-REDI, University of Birmingham, Birmingham, United Kingdom</w:t>
      </w:r>
    </w:p>
    <w:p w14:paraId="574361B0" w14:textId="77777777" w:rsidR="002D52B2" w:rsidRDefault="002D52B2" w:rsidP="002D52B2">
      <w:pPr>
        <w:pStyle w:val="AbstractBookBaseParagraph"/>
        <w:rPr>
          <w:rFonts w:ascii="Noto Serif Light" w:hAnsi="Noto Serif Light" w:cs="Noto Serif Light"/>
        </w:rPr>
      </w:pPr>
    </w:p>
    <w:p w14:paraId="4F078B28" w14:textId="77777777" w:rsidR="002D52B2" w:rsidRPr="00220128" w:rsidRDefault="002D52B2" w:rsidP="002D52B2">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6F725EC9"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Businesses face rapid technological change, including the growing use of artificial intelligence (AI), alongside persistent economic uncertainty. Existing studies show that leadership quality is an important explanation for differences in the productivity performance between so-called ‘frontier’ and ‘laggard’ firms. Within the context of the regional innovation policies, this has increased interest in how management and leadership skills are changing, what key skills gaps exist, and what this may mean for business support and regional growth. Despite this, there is still limited evidence on how labour market demand for these skills is evolving and how this connects with business leadership in the age of AI.</w:t>
      </w:r>
    </w:p>
    <w:p w14:paraId="11AB3C62" w14:textId="77777777" w:rsidR="002D52B2" w:rsidRPr="00CD05A8" w:rsidRDefault="002D52B2" w:rsidP="002D52B2">
      <w:pPr>
        <w:pStyle w:val="AbstractBookBaseParagraph"/>
        <w:rPr>
          <w:rFonts w:ascii="Noto Serif Light" w:hAnsi="Noto Serif Light" w:cs="Noto Serif Light"/>
        </w:rPr>
      </w:pPr>
    </w:p>
    <w:p w14:paraId="71383CB6"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This paper forms part of a project developed jointly by City-REDI at the University of Birmingham and the West Midlands Combined Authority (WMCA). The project investigates leadership and management specifically focusing on small and medium-sized enterprises (SMEs) deploying mixed-methods, combining survey evidence, qualitative interviews with SME owners, managers and business support organisations, and quantitative analysis. SMEs play an important role in employment, innovation and economic growth in the UK. Nevertheless, many SMEs remain concentrated among lower-productivity businesses. In this vein, it is argued that performance gaps amongst SMEs have prompted substantial policy interest in the funding and provision of leadership development programmes (Henley, 2022).</w:t>
      </w:r>
    </w:p>
    <w:p w14:paraId="157E0C67" w14:textId="77777777" w:rsidR="002D52B2" w:rsidRPr="00CD05A8" w:rsidRDefault="002D52B2" w:rsidP="002D52B2">
      <w:pPr>
        <w:pStyle w:val="AbstractBookBaseParagraph"/>
        <w:rPr>
          <w:rFonts w:ascii="Noto Serif Light" w:hAnsi="Noto Serif Light" w:cs="Noto Serif Light"/>
        </w:rPr>
      </w:pPr>
    </w:p>
    <w:p w14:paraId="1FAE8FAE"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The project asks the following questions, set in the West Midlands region in the UK. </w:t>
      </w:r>
    </w:p>
    <w:p w14:paraId="06CACBE6"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1)</w:t>
      </w:r>
      <w:r w:rsidRPr="00CD05A8">
        <w:rPr>
          <w:rFonts w:ascii="Noto Serif Light" w:hAnsi="Noto Serif Light" w:cs="Noto Serif Light"/>
        </w:rPr>
        <w:tab/>
        <w:t xml:space="preserve">How does leadership and management capability associate with SME performance? </w:t>
      </w:r>
    </w:p>
    <w:p w14:paraId="2CFCE72F"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2)</w:t>
      </w:r>
      <w:r w:rsidRPr="00CD05A8">
        <w:rPr>
          <w:rFonts w:ascii="Noto Serif Light" w:hAnsi="Noto Serif Light" w:cs="Noto Serif Light"/>
        </w:rPr>
        <w:tab/>
        <w:t>How do small firms build leadership and management capability while navigating new technologies?</w:t>
      </w:r>
    </w:p>
    <w:p w14:paraId="7D3DCB7D"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3)</w:t>
      </w:r>
      <w:r w:rsidRPr="00CD05A8">
        <w:rPr>
          <w:rFonts w:ascii="Noto Serif Light" w:hAnsi="Noto Serif Light" w:cs="Noto Serif Light"/>
        </w:rPr>
        <w:tab/>
        <w:t xml:space="preserve">How can regional business support systems help strengthen strategic leadership and support business growth? </w:t>
      </w:r>
    </w:p>
    <w:p w14:paraId="46B47D4F" w14:textId="77777777" w:rsidR="002D52B2" w:rsidRPr="00CD05A8" w:rsidRDefault="002D52B2" w:rsidP="002D52B2">
      <w:pPr>
        <w:pStyle w:val="AbstractBookBaseParagraph"/>
        <w:rPr>
          <w:rFonts w:ascii="Noto Serif Light" w:hAnsi="Noto Serif Light" w:cs="Noto Serif Light"/>
        </w:rPr>
      </w:pPr>
    </w:p>
    <w:p w14:paraId="15382621"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Within this wider programme of work, the aim of the present analysis is to understand the trends of broader labour market demand across businesses of varying sizes - how employer demand for management, leadership and AI-related skills has changed over time in the region. Drawing on the quantitative findings, we discuss what this may indicate about the changing nature of managerial work and regional innovation and skills policies.</w:t>
      </w:r>
    </w:p>
    <w:p w14:paraId="261B7F14" w14:textId="77777777" w:rsidR="002D52B2" w:rsidRPr="00CD05A8" w:rsidRDefault="002D52B2" w:rsidP="002D52B2">
      <w:pPr>
        <w:pStyle w:val="AbstractBookBaseParagraph"/>
        <w:rPr>
          <w:rFonts w:ascii="Noto Serif Light" w:hAnsi="Noto Serif Light" w:cs="Noto Serif Light"/>
        </w:rPr>
      </w:pPr>
    </w:p>
    <w:p w14:paraId="07E6F9DC"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We use online job posting data from Adzuna, which compiles vacancies from employer websites, recruitment software providers and major job boards. Our data contain unique (deduplicated) job postings and cover the period from 2019 to the first half of 2026. Four measures are examined: total online job postings; management skills; </w:t>
      </w:r>
      <w:r w:rsidRPr="00CD05A8">
        <w:rPr>
          <w:rFonts w:ascii="Noto Serif Light" w:hAnsi="Noto Serif Light" w:cs="Noto Serif Light"/>
        </w:rPr>
        <w:lastRenderedPageBreak/>
        <w:t>leadership skills; and AI-related management roles. AI-related management roles refer to vacancies combining management skills with AI requirements. The analysis compares the period before the COVID-19 pandemic, the pandemic itself and the years afterwards. It is important to note that online vacancies measure stated employer demand rather than realised hiring, but they provide a useful indication of changing skills requirements. One limitation of our data is that they do not allow us to distinguish vacancies advertised by SMEs from those posted by larger firms. Consequently, the findings reflect labour demand across all employers rather than SMEs alone.</w:t>
      </w:r>
    </w:p>
    <w:p w14:paraId="430C2D5C" w14:textId="77777777" w:rsidR="002D52B2" w:rsidRPr="00CD05A8" w:rsidRDefault="002D52B2" w:rsidP="002D52B2">
      <w:pPr>
        <w:pStyle w:val="AbstractBookBaseParagraph"/>
        <w:rPr>
          <w:rFonts w:ascii="Noto Serif Light" w:hAnsi="Noto Serif Light" w:cs="Noto Serif Light"/>
        </w:rPr>
      </w:pPr>
    </w:p>
    <w:p w14:paraId="4535045A"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The results show that overall labour demand has weakened since its post-pandemic peak. Nevertheless, the relative importance of management and leadership skills has continued to grow. Specifically, management skills accounted for 55% of all online vacancies in the WMCA area in 2019, increasing to 64% during the first half of 2026. This increase occurred despite the overall decline in vacancies after 2022, suggesting that firms continue to place considerable weight on management functions during periods of weaker recruitment. The WMCA area also records a slightly higher share of management-related vacancies than the UK as a whole. </w:t>
      </w:r>
    </w:p>
    <w:p w14:paraId="1DF4DA0C" w14:textId="77777777" w:rsidR="002D52B2" w:rsidRPr="00CD05A8" w:rsidRDefault="002D52B2" w:rsidP="002D52B2">
      <w:pPr>
        <w:pStyle w:val="AbstractBookBaseParagraph"/>
        <w:rPr>
          <w:rFonts w:ascii="Noto Serif Light" w:hAnsi="Noto Serif Light" w:cs="Noto Serif Light"/>
        </w:rPr>
      </w:pPr>
    </w:p>
    <w:p w14:paraId="555DC0AC"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Leadership skills show an even stronger change. Their share of total online vacancies has more than doubled in the WMCA area, rising from 8.1% in 2019 to 19.4% in 2026. This pattern suggests that employers increasingly expect managers to provide leadership alongside operational management. Sectoral differences are also evident. Leadership-related vacancies are particularly concentrated in public administration &amp; social security, professional &amp; scientific activities, and health &amp; social work. Public administration has shown especially strong growth since 2019, while education has also increased its share substantially. Compared with the UK, the WMCA shows a stronger concentration of leadership demand in public administration, but relatively lower shares in finance &amp; insurance, information &amp; communication, and trade &amp; vehicle repair. These differences may reflect the industrial structure of the regional economy.</w:t>
      </w:r>
    </w:p>
    <w:p w14:paraId="08B556D0" w14:textId="77777777" w:rsidR="002D52B2" w:rsidRPr="00CD05A8" w:rsidRDefault="002D52B2" w:rsidP="002D52B2">
      <w:pPr>
        <w:pStyle w:val="AbstractBookBaseParagraph"/>
        <w:rPr>
          <w:rFonts w:ascii="Noto Serif Light" w:hAnsi="Noto Serif Light" w:cs="Noto Serif Light"/>
        </w:rPr>
      </w:pPr>
    </w:p>
    <w:p w14:paraId="2FD01240"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A different picture emerges for AI-related management roles. Although they still account for a relatively small share of overall vacancies, demand has increased rapidly over time. Their share has risen from 0.2% of vacancies in 2019 to 3.0% in 2026, representing a fifteen-fold increase over the period. This suggests that AI is becoming part of managerial work rather than remaining confined to specialist technical occupations. Employers appear to place greater value on managers who can combine traditional management responsibilities with digital and AI-related knowledge. This is consistent with broader evidence that AI is changing skills needs and the nature of work, while its effects are likely to differ across workers and firms (Al Naqbi et al., 2024; Salari et al., 2025).</w:t>
      </w:r>
    </w:p>
    <w:p w14:paraId="5C58ECED" w14:textId="77777777" w:rsidR="002D52B2" w:rsidRPr="00CD05A8" w:rsidRDefault="002D52B2" w:rsidP="002D52B2">
      <w:pPr>
        <w:pStyle w:val="AbstractBookBaseParagraph"/>
        <w:rPr>
          <w:rFonts w:ascii="Noto Serif Light" w:hAnsi="Noto Serif Light" w:cs="Noto Serif Light"/>
        </w:rPr>
      </w:pPr>
    </w:p>
    <w:p w14:paraId="5A862B78"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These findings indicate that labour demand is changing not only in scale but also in composition. Even as overall recruitment has slowed, employers continue to increase their demand for management, leadership and AI-related skills. This has implications for leadership development, workforce planning and business support. Recent OECD evidence also suggests that generative AI can help SMEs respond to skill shortages, but that more SMEs report increased rather than reduced skills needs following its use (OECD, 2025). This makes the development of management and leadership skills </w:t>
      </w:r>
      <w:r w:rsidRPr="00CD05A8">
        <w:rPr>
          <w:rFonts w:ascii="Noto Serif Light" w:hAnsi="Noto Serif Light" w:cs="Noto Serif Light"/>
        </w:rPr>
        <w:lastRenderedPageBreak/>
        <w:t xml:space="preserve">particularly relevant for regional innovation and skills policies as firms respond to technological change. </w:t>
      </w:r>
    </w:p>
    <w:p w14:paraId="683E7F98" w14:textId="77777777" w:rsidR="002D52B2" w:rsidRPr="00CD05A8" w:rsidRDefault="002D52B2" w:rsidP="002D52B2">
      <w:pPr>
        <w:pStyle w:val="AbstractBookBaseParagraph"/>
        <w:rPr>
          <w:rFonts w:ascii="Noto Serif Light" w:hAnsi="Noto Serif Light" w:cs="Noto Serif Light"/>
        </w:rPr>
      </w:pPr>
    </w:p>
    <w:p w14:paraId="40B1E4BA" w14:textId="77777777" w:rsidR="002D52B2" w:rsidRPr="00220128" w:rsidRDefault="002D52B2" w:rsidP="002D52B2">
      <w:pPr>
        <w:pStyle w:val="AbstractBookBaseParagraph"/>
        <w:rPr>
          <w:rFonts w:ascii="Noto Serif Light" w:hAnsi="Noto Serif Light" w:cs="Noto Serif Light"/>
          <w:b/>
          <w:bCs/>
        </w:rPr>
      </w:pPr>
      <w:r w:rsidRPr="00220128">
        <w:rPr>
          <w:rFonts w:ascii="Noto Serif Light" w:hAnsi="Noto Serif Light" w:cs="Noto Serif Light"/>
          <w:b/>
          <w:bCs/>
        </w:rPr>
        <w:t>References</w:t>
      </w:r>
    </w:p>
    <w:p w14:paraId="03A08CBD" w14:textId="77777777" w:rsidR="002D52B2" w:rsidRPr="00CD05A8" w:rsidRDefault="002D52B2" w:rsidP="002D52B2">
      <w:pPr>
        <w:pStyle w:val="AbstractBookBaseParagraph"/>
        <w:numPr>
          <w:ilvl w:val="0"/>
          <w:numId w:val="27"/>
        </w:numPr>
        <w:rPr>
          <w:rFonts w:ascii="Noto Serif Light" w:hAnsi="Noto Serif Light" w:cs="Noto Serif Light"/>
        </w:rPr>
      </w:pPr>
      <w:r w:rsidRPr="00CD05A8">
        <w:rPr>
          <w:rFonts w:ascii="Noto Serif Light" w:hAnsi="Noto Serif Light" w:cs="Noto Serif Light"/>
        </w:rPr>
        <w:t>Al Naqbi, H., Bahroun, Z. &amp; Ahmed, V. (2024). Enhancing Work Productivity through Generative Artificial Intelligence: A Comprehensive Literature Review. Sustainability, 16(3).</w:t>
      </w:r>
    </w:p>
    <w:p w14:paraId="4143E7FB" w14:textId="77777777" w:rsidR="002D52B2" w:rsidRPr="00CD05A8" w:rsidRDefault="002D52B2" w:rsidP="002D52B2">
      <w:pPr>
        <w:pStyle w:val="AbstractBookBaseParagraph"/>
        <w:numPr>
          <w:ilvl w:val="0"/>
          <w:numId w:val="27"/>
        </w:numPr>
        <w:rPr>
          <w:rFonts w:ascii="Noto Serif Light" w:hAnsi="Noto Serif Light" w:cs="Noto Serif Light"/>
        </w:rPr>
      </w:pPr>
      <w:r w:rsidRPr="00CD05A8">
        <w:rPr>
          <w:rFonts w:ascii="Noto Serif Light" w:hAnsi="Noto Serif Light" w:cs="Noto Serif Light"/>
        </w:rPr>
        <w:t>Henley, A. (2022). Is there a Link between Small Business Leadership and Productivity?  State of the Art Review - The Productivity Institute - Enterprise Research Centre. SOTA Review No 55. Available from https://www.productivity.ac.uk/wp-content/uploads/2022/09/SOTA55-Link-between-Small-Business-Leadership-and-Productivity.pdf.</w:t>
      </w:r>
    </w:p>
    <w:p w14:paraId="6527604C" w14:textId="77777777" w:rsidR="002D52B2" w:rsidRPr="00CD05A8" w:rsidRDefault="002D52B2" w:rsidP="002D52B2">
      <w:pPr>
        <w:pStyle w:val="AbstractBookBaseParagraph"/>
        <w:numPr>
          <w:ilvl w:val="0"/>
          <w:numId w:val="27"/>
        </w:numPr>
        <w:rPr>
          <w:rFonts w:ascii="Noto Serif Light" w:hAnsi="Noto Serif Light" w:cs="Noto Serif Light"/>
        </w:rPr>
      </w:pPr>
      <w:r w:rsidRPr="00CD05A8">
        <w:rPr>
          <w:rFonts w:ascii="Noto Serif Light" w:hAnsi="Noto Serif Light" w:cs="Noto Serif Light"/>
        </w:rPr>
        <w:t>OECD (2025). Generative AI and the SME Workforce: New Survey Evidence. Paris: OECD Publishing. Available from https://doi.org/10.1787/2d08b99d-en.</w:t>
      </w:r>
    </w:p>
    <w:p w14:paraId="32A634D4" w14:textId="77777777" w:rsidR="002D52B2" w:rsidRPr="00CD05A8" w:rsidRDefault="002D52B2" w:rsidP="002D52B2">
      <w:pPr>
        <w:pStyle w:val="AbstractBookBaseParagraph"/>
        <w:numPr>
          <w:ilvl w:val="0"/>
          <w:numId w:val="27"/>
        </w:numPr>
        <w:rPr>
          <w:rFonts w:ascii="Noto Serif Light" w:hAnsi="Noto Serif Light" w:cs="Noto Serif Light"/>
        </w:rPr>
      </w:pPr>
      <w:r w:rsidRPr="00CD05A8">
        <w:rPr>
          <w:rFonts w:ascii="Noto Serif Light" w:hAnsi="Noto Serif Light" w:cs="Noto Serif Light"/>
        </w:rPr>
        <w:t>Salari, N., Beiromvand, M., Hosseinian-Far, A., Habibi, J., Babajani, F. &amp; Mohammadi, M. (2025). Impacts of generative artificial intelligence on the future of labor market: A systematic review. Computers in Human Behavior Reports, 18.</w:t>
      </w:r>
    </w:p>
    <w:p w14:paraId="2D456E1A" w14:textId="77777777" w:rsidR="002D52B2" w:rsidRPr="00CD05A8" w:rsidRDefault="002D52B2" w:rsidP="002D52B2">
      <w:pPr>
        <w:pStyle w:val="AbstractBookBaseParagraph"/>
        <w:rPr>
          <w:rFonts w:ascii="Noto Serif Light" w:hAnsi="Noto Serif Light" w:cs="Noto Serif Light"/>
        </w:rPr>
      </w:pPr>
    </w:p>
    <w:p w14:paraId="5B9DA10D" w14:textId="77777777" w:rsidR="002D52B2" w:rsidRPr="00CD05A8" w:rsidRDefault="002D52B2" w:rsidP="002D52B2">
      <w:pPr>
        <w:pStyle w:val="AbstractBookBaseParagraph"/>
        <w:rPr>
          <w:rFonts w:ascii="Noto Serif Light" w:hAnsi="Noto Serif Light" w:cs="Noto Serif Light"/>
        </w:rPr>
      </w:pPr>
    </w:p>
    <w:p w14:paraId="4938661C"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br w:type="page"/>
      </w:r>
    </w:p>
    <w:p w14:paraId="53324766" w14:textId="77777777" w:rsidR="00390C9C" w:rsidRDefault="00390C9C" w:rsidP="00390C9C">
      <w:pPr>
        <w:pStyle w:val="ABSubhead"/>
      </w:pPr>
      <w:r>
        <w:lastRenderedPageBreak/>
        <w:t xml:space="preserve">O51. </w:t>
      </w:r>
      <w:r w:rsidRPr="00CD05A8">
        <w:t>From Skills Gaps to Capability Gaps: Inclusive Innovation, Regional Development and Poverty Alleviation in the West Midlands</w:t>
      </w:r>
    </w:p>
    <w:p w14:paraId="4AE9F2D7" w14:textId="77777777" w:rsidR="00390C9C" w:rsidRPr="00220128" w:rsidRDefault="00390C9C" w:rsidP="00390C9C">
      <w:pPr>
        <w:pStyle w:val="ABParagraph"/>
      </w:pPr>
    </w:p>
    <w:p w14:paraId="0C15F355" w14:textId="77777777" w:rsidR="00390C9C" w:rsidRPr="00CD05A8" w:rsidRDefault="00390C9C" w:rsidP="00390C9C">
      <w:pPr>
        <w:pStyle w:val="AbstractBookAuthors"/>
        <w:rPr>
          <w:rFonts w:ascii="Noto Serif Light" w:hAnsi="Noto Serif Light" w:cs="Noto Serif Light"/>
        </w:rPr>
      </w:pPr>
      <w:r w:rsidRPr="00CD05A8">
        <w:rPr>
          <w:rStyle w:val="AbstractBookPresentingAuthor"/>
          <w:rFonts w:ascii="Noto Serif Light" w:hAnsi="Noto Serif Light" w:cs="Noto Serif Light"/>
        </w:rPr>
        <w:t>Dr Gerardo Javier Arriaga-Garcia</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Dr Konstantinos Kollydas</w:t>
      </w:r>
      <w:r w:rsidRPr="00CD05A8">
        <w:rPr>
          <w:rFonts w:ascii="Noto Serif Light" w:hAnsi="Noto Serif Light" w:cs="Noto Serif Light"/>
          <w:vertAlign w:val="superscript"/>
        </w:rPr>
        <w:t>1</w:t>
      </w:r>
    </w:p>
    <w:p w14:paraId="4124B375" w14:textId="77777777" w:rsidR="00390C9C" w:rsidRDefault="00390C9C" w:rsidP="00390C9C">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University </w:t>
      </w:r>
      <w:r>
        <w:rPr>
          <w:rStyle w:val="AbstractBookBaseCharacterStyle"/>
          <w:rFonts w:ascii="Noto Serif Light" w:hAnsi="Noto Serif Light" w:cs="Noto Serif Light"/>
        </w:rPr>
        <w:t>o</w:t>
      </w:r>
      <w:r w:rsidRPr="00CD05A8">
        <w:rPr>
          <w:rStyle w:val="AbstractBookBaseCharacterStyle"/>
          <w:rFonts w:ascii="Noto Serif Light" w:hAnsi="Noto Serif Light" w:cs="Noto Serif Light"/>
        </w:rPr>
        <w:t>f Birmingham/City-REDI, Harborne, United Kingdom</w:t>
      </w:r>
    </w:p>
    <w:p w14:paraId="38057675" w14:textId="77777777" w:rsidR="00390C9C" w:rsidRDefault="00390C9C" w:rsidP="00390C9C">
      <w:pPr>
        <w:pStyle w:val="AbstractBookBaseParagraph"/>
        <w:rPr>
          <w:rStyle w:val="AbstractBookBaseCharacterStyle"/>
          <w:rFonts w:ascii="Noto Serif Light" w:hAnsi="Noto Serif Light" w:cs="Noto Serif Light"/>
        </w:rPr>
      </w:pPr>
    </w:p>
    <w:p w14:paraId="449E3002" w14:textId="77777777" w:rsidR="00390C9C" w:rsidRPr="00220128" w:rsidRDefault="00390C9C" w:rsidP="00390C9C">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03A49DD6" w14:textId="77777777" w:rsidR="00390C9C" w:rsidRDefault="00390C9C" w:rsidP="00390C9C">
      <w:pPr>
        <w:pStyle w:val="AbstractBookBaseParagraph"/>
        <w:rPr>
          <w:rFonts w:ascii="Noto Serif Light" w:hAnsi="Noto Serif Light" w:cs="Noto Serif Light"/>
        </w:rPr>
      </w:pPr>
      <w:r w:rsidRPr="00CD05A8">
        <w:rPr>
          <w:rFonts w:ascii="Noto Serif Light" w:hAnsi="Noto Serif Light" w:cs="Noto Serif Light"/>
        </w:rPr>
        <w:t>Across the UK and internationally, investment in skills is increasingly presented as a route to productivity, technological adoption, resilience and inclusive growth. Yet the relationship between skills, innovation and poverty alleviation remains often assumed rather than explained. Policy narratives frequently imply a linear pathway from increased skills supply to improved employability, which then attracts investment, and regional development will follow. This paper challenges that assumption. It argues that skills only become a pathway to inclusive innovation and poverty alleviation when they are embedded within place-based systems that also shape employer demand, job quality, commercialisation capacity, labour market participation, institutional coordination and the distribution of innovation benefits.</w:t>
      </w:r>
    </w:p>
    <w:p w14:paraId="5D47DDCD" w14:textId="77777777" w:rsidR="00390C9C" w:rsidRPr="00CD05A8" w:rsidRDefault="00390C9C" w:rsidP="00390C9C">
      <w:pPr>
        <w:pStyle w:val="AbstractBookBaseParagraph"/>
        <w:rPr>
          <w:rFonts w:ascii="Noto Serif Light" w:hAnsi="Noto Serif Light" w:cs="Noto Serif Light"/>
        </w:rPr>
      </w:pPr>
    </w:p>
    <w:p w14:paraId="2914F11E" w14:textId="77777777" w:rsidR="00390C9C" w:rsidRDefault="00390C9C" w:rsidP="00390C9C">
      <w:pPr>
        <w:pStyle w:val="AbstractBookBaseParagraph"/>
        <w:rPr>
          <w:rFonts w:ascii="Noto Serif Light" w:hAnsi="Noto Serif Light" w:cs="Noto Serif Light"/>
        </w:rPr>
      </w:pPr>
      <w:r w:rsidRPr="00CD05A8">
        <w:rPr>
          <w:rFonts w:ascii="Noto Serif Light" w:hAnsi="Noto Serif Light" w:cs="Noto Serif Light"/>
        </w:rPr>
        <w:t>The paper develops the argument through the West Midlands as a case study drawing insights from wider learning from the Local Policy Innovation Partnership (LPIP) project. The West Midlands provides a fruitful case because it combines substantial innovation assets with persistent socio-economic inequalities. The region has nationally significant strengths in advanced manufacturing, engineering, materials science, health and med-tech, clean technologies, mobility, creative and digital industries, and university-led innovation. It also has a young and diverse population, a substantial student and graduate pipeline, major science parks and innovation assets, and growing commercialisation infrastructure. At the same time, it faces persistent challenges around economic inactivity, skills mismatch, low pay, graduate retention, uneven access to opportunity, SME absorptive capacity, and the ability to anchor high-value jobs in places and communities that have not historically been benefited from innovation-led growth.</w:t>
      </w:r>
    </w:p>
    <w:p w14:paraId="2372D81A" w14:textId="77777777" w:rsidR="00390C9C" w:rsidRPr="00CD05A8" w:rsidRDefault="00390C9C" w:rsidP="00390C9C">
      <w:pPr>
        <w:pStyle w:val="AbstractBookBaseParagraph"/>
        <w:rPr>
          <w:rFonts w:ascii="Noto Serif Light" w:hAnsi="Noto Serif Light" w:cs="Noto Serif Light"/>
        </w:rPr>
      </w:pPr>
    </w:p>
    <w:p w14:paraId="07D92CE0"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Methodologically, the paper adopts a scoping evidence synthesis approach, bringing together recent LPIP research, regional policy analysis, labour market evidence and insights from knowledge exchange activities undertaken across the West Midlands. The paper therefore combines conceptual development with exploratory empirical evidence drawn from place-based policy work.</w:t>
      </w:r>
    </w:p>
    <w:p w14:paraId="319B2F2B" w14:textId="77777777" w:rsidR="00390C9C" w:rsidRDefault="00390C9C" w:rsidP="00390C9C">
      <w:pPr>
        <w:pStyle w:val="AbstractBookBaseParagraph"/>
        <w:rPr>
          <w:rFonts w:ascii="Noto Serif Light" w:hAnsi="Noto Serif Light" w:cs="Noto Serif Light"/>
        </w:rPr>
      </w:pPr>
      <w:r w:rsidRPr="00CD05A8">
        <w:rPr>
          <w:rFonts w:ascii="Noto Serif Light" w:hAnsi="Noto Serif Light" w:cs="Noto Serif Light"/>
        </w:rPr>
        <w:t>Empirically, the paper draws on four connected evidence sources. First, it uses recent LPIP analysis of demand for and supply of higher-skilled labour across England’s Local Skills Improvement Plan areas. This shows substantial variation in higher-level skills demand and supply across England. In particular, economically dynamic areas display both high demand and wide demand-supply gaps in higher-level qualifications and skills. On the other hand, some weaker local economies show narrower gaps linked to lower labour demand.</w:t>
      </w:r>
      <w:r>
        <w:rPr>
          <w:rFonts w:ascii="Noto Serif Light" w:hAnsi="Noto Serif Light" w:cs="Noto Serif Light"/>
        </w:rPr>
        <w:t xml:space="preserve"> </w:t>
      </w:r>
      <w:r w:rsidRPr="00CD05A8">
        <w:rPr>
          <w:rFonts w:ascii="Noto Serif Light" w:hAnsi="Noto Serif Light" w:cs="Noto Serif Light"/>
        </w:rPr>
        <w:t xml:space="preserve">Importantly, a narrow skills gap does not necessarily indicate success, since it may reflect weak employer demand rather than effective matching. The evidence also suggests that economic inactivity, sector composition and weaker local demand structures influence how skills translate into labour market outcomes. </w:t>
      </w:r>
    </w:p>
    <w:p w14:paraId="296D5B64" w14:textId="77777777" w:rsidR="00390C9C" w:rsidRDefault="00390C9C" w:rsidP="00390C9C">
      <w:pPr>
        <w:pStyle w:val="AbstractBookBaseParagraph"/>
        <w:rPr>
          <w:rFonts w:ascii="Noto Serif Light" w:hAnsi="Noto Serif Light" w:cs="Noto Serif Light"/>
        </w:rPr>
      </w:pPr>
    </w:p>
    <w:p w14:paraId="6357CBD7"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This points to the limits of skills strategies that focus narrowly on qualification supply without considering the broader conditions that shape skills utilisation and progression. Second, the paper draws on recent West Midlands analysis of emerging and future opportunities, which identifies priority areas such as Future Logistics, Defence, Land Remediation, Future Rail, Engineering Biology, Battery Supply Chain, Hydrogen, Cyber Security and Immersive Technologies. This evidence shows that the region’s future growth potential depends not only on sectoral strengths, but on the ability to connect business, innovation, investment and talent ecosystems. Third, the paper uses evidence on university innovation and commercialisation in the Midlands. The region’s universities have produced a substantial pipeline of IP-rich spinouts and research-led innovation, supported by programmes such as Forging Ahead, Midlands Mindforge, Minerva Business Angels and wider university-industry partnerships. Yet the evidence also points to persistent constraints around patient capital, commercialisation talent, scale-up support, founder diversity, and the retention of spinouts and high-value jobs within the region. Fourth, the paper draws on the LPIP Innovation Evidence Review  and associated LPIP knowledge mobilisation activities. This evidence reframes innovation as a multi-actor, multi-level and place-sensitive process, in which local leadership, community knowledge, institutional intermediation, evaluation and participation matter as much as frontier technologies.</w:t>
      </w:r>
    </w:p>
    <w:p w14:paraId="3A33E001" w14:textId="77777777" w:rsidR="00390C9C" w:rsidRDefault="00390C9C" w:rsidP="00390C9C">
      <w:pPr>
        <w:pStyle w:val="AbstractBookBaseParagraph"/>
        <w:rPr>
          <w:rFonts w:ascii="Noto Serif Light" w:hAnsi="Noto Serif Light" w:cs="Noto Serif Light"/>
        </w:rPr>
      </w:pPr>
    </w:p>
    <w:p w14:paraId="73256B97"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 xml:space="preserve">The paper’s conceptual contribution is to propose a “skills-to-inclusive-innovation” framework. The framework identifies five mechanisms through which skills policy may contribute to poverty alleviation in regional innovation systems. The first is demand creation. Specifically, skills policy is more likely to support inclusive growth where it is connected to local industrial strategy, business support, innovation investment and the creation of better-quality work. The second is inclusive access and progression. In other words, modular, flexible and higher-level pathways must be designed around the realities of residents facing barriers linked to income, health, caring responsibilities, transport, digital exclusion, confidence or prior educational disadvantage. The third is labour market re-engagement. This suggests that skills strategies should connect more directly with health, wellbeing and back-to-work initiatives, particularly in places with high levels of inactivity and long-term labour market detachment. The fourth is innovation intermediation. In other words, universities, colleges, employers, local authorities, civil society organisations and community actors need trusted intermediaries who can translate between research, commercialisation, employer demand and lived experience. The fifth is adaptive learning and evaluation. This refers to the need for place-sensitive evaluation systems that allow local actors to learn, adapt and respond to changing labour market and innovation conditions over time. </w:t>
      </w:r>
    </w:p>
    <w:p w14:paraId="7D9D68E7" w14:textId="77777777" w:rsidR="00390C9C" w:rsidRDefault="00390C9C" w:rsidP="00390C9C">
      <w:pPr>
        <w:pStyle w:val="AbstractBookBaseParagraph"/>
        <w:rPr>
          <w:rFonts w:ascii="Noto Serif Light" w:hAnsi="Noto Serif Light" w:cs="Noto Serif Light"/>
        </w:rPr>
      </w:pPr>
    </w:p>
    <w:p w14:paraId="1ACE593C"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 xml:space="preserve">This framework reframes the poverty alleviation challenge. Poverty is not addressed simply by moving individuals closer to existing labour market opportunities. It is addressed when regional innovation systems expand the range of valuable opportunities available in a place, improve the accessibility and quality of work, and enable communities to participate in shaping development trajectories. This requires moving beyond a narrow “skills gap” model towards a broader understanding of “capability gaps” in regional innovation ecosystems: gaps in employer absorptive capacity, commercialisation infrastructure, progression routes, institutional coordination, community voice, and the ability of residents to convert skills into secure, </w:t>
      </w:r>
      <w:r w:rsidRPr="00CD05A8">
        <w:rPr>
          <w:rFonts w:ascii="Noto Serif Light" w:hAnsi="Noto Serif Light" w:cs="Noto Serif Light"/>
        </w:rPr>
        <w:lastRenderedPageBreak/>
        <w:t>meaningful and better-paid work. The paper argues that these capability gaps help explain why skills investment alone often fails to reduce spatial inequalities or generate more inclusive forms of regional development.</w:t>
      </w:r>
    </w:p>
    <w:p w14:paraId="79421B40" w14:textId="77777777" w:rsidR="00390C9C" w:rsidRDefault="00390C9C" w:rsidP="00390C9C">
      <w:pPr>
        <w:pStyle w:val="AbstractBookBaseParagraph"/>
        <w:rPr>
          <w:rFonts w:ascii="Noto Serif Light" w:hAnsi="Noto Serif Light" w:cs="Noto Serif Light"/>
        </w:rPr>
      </w:pPr>
    </w:p>
    <w:p w14:paraId="781C58E3"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The significance of the West Midlands lies in this tension between strong innovation potential and socio-economic exclusion. The region provides an important case through which to examine whether place-based innovation and skills policies can generate more inclusive development trajectories in historically uneven local economies.</w:t>
      </w:r>
    </w:p>
    <w:p w14:paraId="728AF95E" w14:textId="77777777" w:rsidR="00390C9C" w:rsidRDefault="00390C9C" w:rsidP="00390C9C">
      <w:pPr>
        <w:pStyle w:val="AbstractBookBaseParagraph"/>
        <w:rPr>
          <w:rFonts w:ascii="Noto Serif Light" w:hAnsi="Noto Serif Light" w:cs="Noto Serif Light"/>
        </w:rPr>
      </w:pPr>
    </w:p>
    <w:p w14:paraId="588D838F"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 xml:space="preserve">The paper contributes to regional innovation policy debates in two ways. First, it brings together debates on skills, innovation and poverty alleviation that are often treated separately in regional policy literatures. Second, it argues that place-based skills and innovation strategies should be assessed not only in terms of productivity and growth, but also in relation to labour market participation, progression and the distribution of innovation benefits across communities and places. </w:t>
      </w:r>
    </w:p>
    <w:p w14:paraId="47FCDAE4" w14:textId="77777777" w:rsidR="00390C9C" w:rsidRDefault="00390C9C" w:rsidP="00390C9C">
      <w:pPr>
        <w:pStyle w:val="AbstractBookBaseParagraph"/>
        <w:rPr>
          <w:rFonts w:ascii="Noto Serif Light" w:hAnsi="Noto Serif Light" w:cs="Noto Serif Light"/>
        </w:rPr>
      </w:pPr>
    </w:p>
    <w:p w14:paraId="4A6643C7"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The paper concludes that future-oriented regional innovation policy must treat skills not as a standalone productivity lever, but as part of a wider inclusive development architecture. Resilient and resurgent regions will not be built only through technological adoption, university commercialisation or human capital investment alone. They will also depend on whether places can organise innovation systems that can create good jobs, widen participation, support progression, retain talent, strengthen local firms, and ensure that the benefits of regional development reach those most often excluded from them. This raises questions about how regional success should be measured. A region may generate strong innovation outputs and attract investment, while large sections of its population remain disconnected from the opportunities created. The paper highlights the importance of a stronger focus on the social reach and long-term embeddedness of innovation-led development.</w:t>
      </w:r>
    </w:p>
    <w:p w14:paraId="50431929" w14:textId="77777777" w:rsidR="00390C9C" w:rsidRPr="00CD05A8" w:rsidRDefault="00390C9C" w:rsidP="00390C9C">
      <w:pPr>
        <w:pStyle w:val="AbstractBookBaseParagraph"/>
        <w:rPr>
          <w:rFonts w:ascii="Noto Serif Light" w:hAnsi="Noto Serif Light" w:cs="Noto Serif Light"/>
        </w:rPr>
      </w:pPr>
    </w:p>
    <w:p w14:paraId="39291B01"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br w:type="page"/>
      </w:r>
    </w:p>
    <w:p w14:paraId="673F3A28" w14:textId="39CB88F4" w:rsidR="00390C9C" w:rsidRDefault="00390C9C" w:rsidP="00390C9C">
      <w:pPr>
        <w:pStyle w:val="ABSubhead"/>
      </w:pPr>
      <w:r>
        <w:lastRenderedPageBreak/>
        <w:t xml:space="preserve">O52. </w:t>
      </w:r>
      <w:r w:rsidR="00E72072" w:rsidRPr="00E72072">
        <w:t>Bridging Informal and Formal Support: Coworking Spaces as Intermediaries in Place-Based Innovation Ecosystems</w:t>
      </w:r>
    </w:p>
    <w:p w14:paraId="7FA70B56" w14:textId="77777777" w:rsidR="00390C9C" w:rsidRPr="00AB325A" w:rsidRDefault="00390C9C" w:rsidP="00390C9C">
      <w:pPr>
        <w:pStyle w:val="ABParagraph"/>
      </w:pPr>
    </w:p>
    <w:p w14:paraId="466AD748" w14:textId="77777777" w:rsidR="00390C9C" w:rsidRPr="000C19B3" w:rsidRDefault="00390C9C" w:rsidP="00390C9C">
      <w:pPr>
        <w:pStyle w:val="AbstractBookAuthors"/>
        <w:rPr>
          <w:rFonts w:ascii="Noto Serif Light" w:hAnsi="Noto Serif Light" w:cs="Noto Serif Light"/>
        </w:rPr>
      </w:pPr>
      <w:r w:rsidRPr="00CD05A8">
        <w:rPr>
          <w:rStyle w:val="AbstractBookPresentingAuthor"/>
          <w:rFonts w:ascii="Noto Serif Light" w:hAnsi="Noto Serif Light" w:cs="Noto Serif Light"/>
        </w:rPr>
        <w:t>Professor Felicia Fai</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Professor Philip Tomlinson</w:t>
      </w:r>
      <w:r>
        <w:rPr>
          <w:rStyle w:val="AbstractBookBaseCharacterStyle"/>
          <w:rFonts w:ascii="Noto Serif Light" w:hAnsi="Noto Serif Light" w:cs="Noto Serif Light"/>
          <w:vertAlign w:val="superscript"/>
        </w:rPr>
        <w:t>1</w:t>
      </w:r>
    </w:p>
    <w:p w14:paraId="0BD1B482" w14:textId="77777777" w:rsidR="00390C9C" w:rsidRDefault="00390C9C" w:rsidP="00390C9C">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University </w:t>
      </w:r>
      <w:r>
        <w:rPr>
          <w:rStyle w:val="AbstractBookBaseCharacterStyle"/>
          <w:rFonts w:ascii="Noto Serif Light" w:hAnsi="Noto Serif Light" w:cs="Noto Serif Light"/>
        </w:rPr>
        <w:t>o</w:t>
      </w:r>
      <w:r w:rsidRPr="00CD05A8">
        <w:rPr>
          <w:rStyle w:val="AbstractBookBaseCharacterStyle"/>
          <w:rFonts w:ascii="Noto Serif Light" w:hAnsi="Noto Serif Light" w:cs="Noto Serif Light"/>
        </w:rPr>
        <w:t xml:space="preserve">f Bath, School </w:t>
      </w:r>
      <w:r>
        <w:rPr>
          <w:rStyle w:val="AbstractBookBaseCharacterStyle"/>
          <w:rFonts w:ascii="Noto Serif Light" w:hAnsi="Noto Serif Light" w:cs="Noto Serif Light"/>
        </w:rPr>
        <w:t>o</w:t>
      </w:r>
      <w:r w:rsidRPr="00CD05A8">
        <w:rPr>
          <w:rStyle w:val="AbstractBookBaseCharacterStyle"/>
          <w:rFonts w:ascii="Noto Serif Light" w:hAnsi="Noto Serif Light" w:cs="Noto Serif Light"/>
        </w:rPr>
        <w:t>f Management, Bath, United Kingdom</w:t>
      </w:r>
    </w:p>
    <w:p w14:paraId="0706A06B" w14:textId="77777777" w:rsidR="00390C9C" w:rsidRDefault="00390C9C" w:rsidP="00390C9C">
      <w:pPr>
        <w:pStyle w:val="AbstractBookBaseParagraph"/>
        <w:rPr>
          <w:rStyle w:val="AbstractBookBaseCharacterStyle"/>
          <w:rFonts w:ascii="Noto Serif Light" w:hAnsi="Noto Serif Light" w:cs="Noto Serif Light"/>
        </w:rPr>
      </w:pPr>
    </w:p>
    <w:p w14:paraId="2444DD66" w14:textId="77777777" w:rsidR="00390C9C" w:rsidRPr="00AB325A" w:rsidRDefault="00390C9C" w:rsidP="00390C9C">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00EE5233"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We examine how place-based innovation ecosystems in England can be strengthened through improved integration between formal business support institutions and locally embedded forms of informal support. Focusing on the relationship between Local Growth Hubs (LGHs) and independent coworking spaces (CWSs), it addresses a persistent gap within business and innovation support services (BISS): the limited engagement of pre-seed and early-stage founders, particularly in peripheral and economically lagging regions.</w:t>
      </w:r>
    </w:p>
    <w:p w14:paraId="51D40E39" w14:textId="77777777" w:rsidR="00390C9C" w:rsidRPr="00CD05A8" w:rsidRDefault="00390C9C" w:rsidP="00390C9C">
      <w:pPr>
        <w:pStyle w:val="AbstractBookBaseParagraph"/>
        <w:rPr>
          <w:rFonts w:ascii="Noto Serif Light" w:hAnsi="Noto Serif Light" w:cs="Noto Serif Light"/>
        </w:rPr>
      </w:pPr>
    </w:p>
    <w:p w14:paraId="4F32742D"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Despite continued investment in business support infrastructure and recent efforts by the UK government to create a single online access point to as a starting point  - the Digital Business Growth Service , early-stage entrepreneurs remain underserved. Many founders either do not engage with formal support or encounter barriers related to language, relevance, and delivery format. This results in a “leaky” entrepreneurial pipeline in which potential ventures fail to progress beyond ideation. While LGHs are intended as first points of contact, they increasingly operate under constrained resources and rely on digital-first, reactive models of engagement. Although efficient in disseminating information, these approaches are less effective in fostering the trust, contextual understanding, and relational depth required by novice entrepreneurs.</w:t>
      </w:r>
    </w:p>
    <w:p w14:paraId="5D9FD4FD" w14:textId="77777777" w:rsidR="00390C9C" w:rsidRPr="00CD05A8" w:rsidRDefault="00390C9C" w:rsidP="00390C9C">
      <w:pPr>
        <w:pStyle w:val="AbstractBookBaseParagraph"/>
        <w:rPr>
          <w:rFonts w:ascii="Noto Serif Light" w:hAnsi="Noto Serif Light" w:cs="Noto Serif Light"/>
        </w:rPr>
      </w:pPr>
    </w:p>
    <w:p w14:paraId="57BAC44D"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Drawing on qualitative evidence from eleven independent coworking spaces across three English regions (North West, West Midlands and the South West), alongside interviews with LGH representatives and entrepreneurs, the report develops a relational perspective on innovation ecosystems. It demonstrates that independent, locally embedded coworking spaces frequently function as informal sites of entrepreneurial support. Through peer interaction, observational learning, and community-based knowledge exchange, CWSs enable founders to interpret business information, build confidence, and develop the language and identity associated with entrepreneurship.</w:t>
      </w:r>
    </w:p>
    <w:p w14:paraId="3309A85F" w14:textId="77777777" w:rsidR="00390C9C" w:rsidRPr="00CD05A8" w:rsidRDefault="00390C9C" w:rsidP="00390C9C">
      <w:pPr>
        <w:pStyle w:val="AbstractBookBaseParagraph"/>
        <w:rPr>
          <w:rFonts w:ascii="Noto Serif Light" w:hAnsi="Noto Serif Light" w:cs="Noto Serif Light"/>
        </w:rPr>
      </w:pPr>
    </w:p>
    <w:p w14:paraId="148D1BA8"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We conceptualise  coworking spaces as intermediary actors that bridge informal social networks and formal institutional provision. Unlike formal BISS providers, whose engagement is typically provided in the form of short courses of instruction, CWSs offer continuous, low-threshold support embedded within everyday working environments. As relational infrastructures, they facilitate repeated interaction among diverse actors both internally among entrepreneurs and in some cases, externally to other BISS advisors, and support organisations—thereby strengthening local networks and expanding access to social capital.</w:t>
      </w:r>
    </w:p>
    <w:p w14:paraId="046AB907" w14:textId="77777777" w:rsidR="00390C9C" w:rsidRPr="00CD05A8" w:rsidRDefault="00390C9C" w:rsidP="00390C9C">
      <w:pPr>
        <w:pStyle w:val="AbstractBookBaseParagraph"/>
        <w:rPr>
          <w:rFonts w:ascii="Noto Serif Light" w:hAnsi="Noto Serif Light" w:cs="Noto Serif Light"/>
        </w:rPr>
      </w:pPr>
    </w:p>
    <w:p w14:paraId="0D48EF7A"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 xml:space="preserve">However, the analysis identifies a significant disconnect between LGHs and CWSs within local innovation ecosystems. The two frequently operate in parallel rather than </w:t>
      </w:r>
      <w:r w:rsidRPr="00CD05A8">
        <w:rPr>
          <w:rFonts w:ascii="Noto Serif Light" w:hAnsi="Noto Serif Light" w:cs="Noto Serif Light"/>
        </w:rPr>
        <w:lastRenderedPageBreak/>
        <w:t>as complementary components of a coordinated system. LGHs often perceive coworking spaces primarily as commercial real estate, while CWSs tend to limit engagement with LGHs to passive signposting. This under-recognition constrains the effectiveness of existing support arrangements. Importantly, where more integrated relationships are observed—such as co-location of advisors or joint programme delivery—there is evidence of improved engagement and stronger pathways for early-stage founders into formal support.</w:t>
      </w:r>
    </w:p>
    <w:p w14:paraId="4217DC0F" w14:textId="77777777" w:rsidR="00390C9C" w:rsidRPr="00CD05A8" w:rsidRDefault="00390C9C" w:rsidP="00390C9C">
      <w:pPr>
        <w:pStyle w:val="AbstractBookBaseParagraph"/>
        <w:rPr>
          <w:rFonts w:ascii="Noto Serif Light" w:hAnsi="Noto Serif Light" w:cs="Noto Serif Light"/>
        </w:rPr>
      </w:pPr>
    </w:p>
    <w:p w14:paraId="286202E4"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The report contributes to debates on place-based innovation by highlighting the importance of intermediation and network connectivity across formal and informal domains. It argues that effective ecosystem development depends not only on institutional provision but also on embedded, relational mechanisms that support early-stage capability formation.</w:t>
      </w:r>
    </w:p>
    <w:p w14:paraId="5315BDB1"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Policy implications centre on the development of selective, place-sensitive partnerships between LGHs and coworking spaces. These include co-locating advisors within suitable CWSs, redesigning entry-level materials using accessible language, and piloting outcome-focused metrics to better capture entrepreneurial progression. The report emphasises that such measures can be implemented within existing institutional frameworks, without requiring major structural reform.</w:t>
      </w:r>
    </w:p>
    <w:p w14:paraId="041B197A" w14:textId="77777777" w:rsidR="00390C9C" w:rsidRPr="00CD05A8" w:rsidRDefault="00390C9C" w:rsidP="00390C9C">
      <w:pPr>
        <w:pStyle w:val="AbstractBookBaseParagraph"/>
        <w:rPr>
          <w:rFonts w:ascii="Noto Serif Light" w:hAnsi="Noto Serif Light" w:cs="Noto Serif Light"/>
        </w:rPr>
      </w:pPr>
    </w:p>
    <w:p w14:paraId="1EAD1F8F"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Overall, the study positions selected coworking spaces as strategically important intermediaries within local innovation ecosystems, offering a pragmatic pathway for improving the inclusiveness and effectiveness of business support in lagging regions.</w:t>
      </w:r>
    </w:p>
    <w:p w14:paraId="72A07A4D" w14:textId="77777777" w:rsidR="00390C9C" w:rsidRPr="00CD05A8" w:rsidRDefault="00390C9C" w:rsidP="00390C9C">
      <w:pPr>
        <w:pStyle w:val="AbstractBookBaseParagraph"/>
        <w:rPr>
          <w:rFonts w:ascii="Noto Serif Light" w:hAnsi="Noto Serif Light" w:cs="Noto Serif Light"/>
        </w:rPr>
      </w:pPr>
    </w:p>
    <w:p w14:paraId="1180D582"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br w:type="page"/>
      </w:r>
    </w:p>
    <w:p w14:paraId="17FAE240" w14:textId="77777777" w:rsidR="00390C9C" w:rsidRDefault="00390C9C" w:rsidP="00390C9C">
      <w:pPr>
        <w:pStyle w:val="ABSubhead"/>
      </w:pPr>
      <w:r>
        <w:lastRenderedPageBreak/>
        <w:t xml:space="preserve">O53. </w:t>
      </w:r>
      <w:r w:rsidRPr="00CD05A8">
        <w:t>Beyond Functional Intermediaries: Political Embeddedness, Equity, and Multi-Scalar Governance in California's iHub System</w:t>
      </w:r>
    </w:p>
    <w:p w14:paraId="0EC66E65" w14:textId="77777777" w:rsidR="00390C9C" w:rsidRPr="00CD05A8" w:rsidRDefault="00390C9C" w:rsidP="00390C9C">
      <w:pPr>
        <w:pStyle w:val="ABParagraph"/>
      </w:pPr>
    </w:p>
    <w:p w14:paraId="6D85D48F" w14:textId="77777777" w:rsidR="00390C9C" w:rsidRPr="00CD05A8" w:rsidRDefault="00390C9C" w:rsidP="00390C9C">
      <w:pPr>
        <w:pStyle w:val="AbstractBookAuthors"/>
        <w:rPr>
          <w:rFonts w:ascii="Noto Serif Light" w:hAnsi="Noto Serif Light" w:cs="Noto Serif Light"/>
        </w:rPr>
      </w:pPr>
      <w:r w:rsidRPr="00CD05A8">
        <w:rPr>
          <w:rStyle w:val="AbstractBookPresentingAuthor"/>
          <w:rFonts w:ascii="Noto Serif Light" w:hAnsi="Noto Serif Light" w:cs="Noto Serif Light"/>
        </w:rPr>
        <w:t>Dr James Wood</w:t>
      </w:r>
      <w:r w:rsidRPr="00CD05A8">
        <w:rPr>
          <w:rFonts w:ascii="Noto Serif Light" w:hAnsi="Noto Serif Light" w:cs="Noto Serif Light"/>
          <w:vertAlign w:val="superscript"/>
        </w:rPr>
        <w:t>1</w:t>
      </w:r>
    </w:p>
    <w:p w14:paraId="423850CF" w14:textId="77777777" w:rsidR="00390C9C" w:rsidRDefault="00390C9C" w:rsidP="00390C9C">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University </w:t>
      </w:r>
      <w:r>
        <w:rPr>
          <w:rStyle w:val="AbstractBookBaseCharacterStyle"/>
          <w:rFonts w:ascii="Noto Serif Light" w:hAnsi="Noto Serif Light" w:cs="Noto Serif Light"/>
        </w:rPr>
        <w:t>o</w:t>
      </w:r>
      <w:r w:rsidRPr="00CD05A8">
        <w:rPr>
          <w:rStyle w:val="AbstractBookBaseCharacterStyle"/>
          <w:rFonts w:ascii="Noto Serif Light" w:hAnsi="Noto Serif Light" w:cs="Noto Serif Light"/>
        </w:rPr>
        <w:t>f Cambridge, Cambridge, United Kingdom</w:t>
      </w:r>
    </w:p>
    <w:p w14:paraId="0580ED8B" w14:textId="77777777" w:rsidR="00390C9C" w:rsidRDefault="00390C9C" w:rsidP="00390C9C">
      <w:pPr>
        <w:pStyle w:val="AbstractBookBaseParagraph"/>
        <w:rPr>
          <w:rStyle w:val="AbstractBookBaseCharacterStyle"/>
          <w:rFonts w:ascii="Noto Serif Light" w:hAnsi="Noto Serif Light" w:cs="Noto Serif Light"/>
        </w:rPr>
      </w:pPr>
    </w:p>
    <w:p w14:paraId="3E25A6E4" w14:textId="77777777" w:rsidR="00390C9C" w:rsidRPr="00CD05A8" w:rsidRDefault="00390C9C" w:rsidP="00390C9C">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458057EA"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Existing frameworks largely conceptualise innovation intermediaries (IIs) as functional organisations, operating primarily as brokers, translators, and orchestrators of knowledge and innovation processes. Whilst political mandates and governance structures are acknowledged as contextual factors shaping II activity, their roles as instruments of regional governance shaped by political priorities, multi-level institutional pressures, and evolving social mandates are underconceptualised. This paper addresses this issue through an analysis of California's Innovation Hub (iHub) programme and its successor, iHub2, which are state-designed ecologies of heterogeneous IIs operating across diverse sectoral, organisational, and regional contexts. Drawing on programme documentation, policy analysis, and regional innovation indicators, the paper makes three key contributions. First, that understanding II function requires analysing the programmatic level, where state actors deliberately design and coordinate ecologies of heterogeneous IIs rather than individual organisations. Second, that political priorities can fundamentally shape II mandates, as evidenced by the iHub to iHub2 transition, which repositioned equity and inclusive growth as primary rather than secondary objectives. Third, that IIs are embedded in complex multi-scalar governance architectures, coordinating across federal, state, municipal levels, as well as public and private actors, developing distinctive functional repertoires that existing II typologies do not capture. Together, these findings advance II theory and offer policy lessons for designing programmatic II systems capable of balancing innovation, regional development, and equity objectives.</w:t>
      </w:r>
    </w:p>
    <w:p w14:paraId="67B972BD"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br w:type="page"/>
      </w:r>
    </w:p>
    <w:p w14:paraId="01A946F2" w14:textId="06F90A6D" w:rsidR="002D52B2" w:rsidRDefault="00390C9C" w:rsidP="002D52B2">
      <w:pPr>
        <w:pStyle w:val="ABSubhead"/>
      </w:pPr>
      <w:r>
        <w:lastRenderedPageBreak/>
        <w:t xml:space="preserve">O54. </w:t>
      </w:r>
      <w:r w:rsidR="002D52B2" w:rsidRPr="00CD05A8">
        <w:t>Reflections on West Midlands Health Technology Innovation Accelerator: Supporting Innovation Ecosystem Development and Commercialisation</w:t>
      </w:r>
    </w:p>
    <w:p w14:paraId="561368B0" w14:textId="77777777" w:rsidR="002D52B2" w:rsidRPr="003835DE" w:rsidRDefault="002D52B2" w:rsidP="002D52B2">
      <w:pPr>
        <w:pStyle w:val="ABParagraph"/>
      </w:pPr>
    </w:p>
    <w:p w14:paraId="41A3F950" w14:textId="77777777" w:rsidR="002D52B2" w:rsidRPr="00CD05A8" w:rsidRDefault="002D52B2" w:rsidP="002D52B2">
      <w:pPr>
        <w:pStyle w:val="AbstractBookAuthors"/>
        <w:rPr>
          <w:rFonts w:ascii="Noto Serif Light" w:hAnsi="Noto Serif Light" w:cs="Noto Serif Light"/>
        </w:rPr>
      </w:pPr>
      <w:r w:rsidRPr="00CD05A8">
        <w:rPr>
          <w:rStyle w:val="AbstractBookPresentingAuthor"/>
          <w:rFonts w:ascii="Noto Serif Light" w:hAnsi="Noto Serif Light" w:cs="Noto Serif Light"/>
        </w:rPr>
        <w:t>George Bramley</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 </w:t>
      </w:r>
      <w:commentRangeStart w:id="24"/>
      <w:r w:rsidRPr="00CD05A8">
        <w:rPr>
          <w:rStyle w:val="AbstractBookBaseCharacterStyle"/>
          <w:rFonts w:ascii="Noto Serif Light" w:hAnsi="Noto Serif Light" w:cs="Noto Serif Light"/>
        </w:rPr>
        <w:t>Thorsten Kampmann</w:t>
      </w:r>
      <w:commentRangeEnd w:id="24"/>
      <w:r w:rsidR="002E64EC" w:rsidRPr="00CD05A8">
        <w:rPr>
          <w:rStyle w:val="CommentReference"/>
          <w:rFonts w:ascii="Noto Serif Light" w:hAnsi="Noto Serif Light" w:cs="Noto Serif Light"/>
          <w:sz w:val="24"/>
          <w:szCs w:val="24"/>
        </w:rPr>
        <w:commentReference w:id="24"/>
      </w:r>
    </w:p>
    <w:p w14:paraId="4AA03B0B" w14:textId="77777777" w:rsidR="002D52B2" w:rsidRDefault="002D52B2" w:rsidP="002D52B2">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University of Birmingham, Birmingham, United Kingdom</w:t>
      </w:r>
    </w:p>
    <w:p w14:paraId="0005EBB1" w14:textId="77777777" w:rsidR="002D52B2" w:rsidRDefault="002D52B2" w:rsidP="002D52B2">
      <w:pPr>
        <w:pStyle w:val="AbstractBookBaseParagraph"/>
        <w:rPr>
          <w:rStyle w:val="AbstractBookBaseCharacterStyle"/>
          <w:rFonts w:ascii="Noto Serif Light" w:hAnsi="Noto Serif Light" w:cs="Noto Serif Light"/>
        </w:rPr>
      </w:pPr>
    </w:p>
    <w:p w14:paraId="7E2F9ED8" w14:textId="77777777" w:rsidR="002D52B2" w:rsidRDefault="002D52B2" w:rsidP="002D52B2">
      <w:pPr>
        <w:pStyle w:val="AbstractBookBaseParagraph"/>
        <w:rPr>
          <w:rStyle w:val="AbstractBookBaseCharacterStyle"/>
          <w:rFonts w:ascii="Noto Serif Light" w:hAnsi="Noto Serif Light" w:cs="Noto Serif Light"/>
          <w:b/>
          <w:bCs/>
        </w:rPr>
      </w:pPr>
      <w:r w:rsidRPr="00CD05A8">
        <w:rPr>
          <w:rStyle w:val="AbstractBookBaseCharacterStyle"/>
          <w:rFonts w:ascii="Noto Serif Light" w:hAnsi="Noto Serif Light" w:cs="Noto Serif Light"/>
          <w:b/>
          <w:bCs/>
        </w:rPr>
        <w:t>Abstract</w:t>
      </w:r>
      <w:r>
        <w:rPr>
          <w:rStyle w:val="AbstractBookBaseCharacterStyle"/>
          <w:rFonts w:ascii="Noto Serif Light" w:hAnsi="Noto Serif Light" w:cs="Noto Serif Light"/>
          <w:b/>
          <w:bCs/>
        </w:rPr>
        <w:t>:</w:t>
      </w:r>
    </w:p>
    <w:p w14:paraId="03EDB17F" w14:textId="77777777" w:rsidR="002D52B2" w:rsidRPr="003835DE" w:rsidRDefault="002D52B2" w:rsidP="002D52B2">
      <w:pPr>
        <w:pStyle w:val="AbstractBookBaseParagraph"/>
        <w:rPr>
          <w:rFonts w:ascii="Noto Serif Light" w:hAnsi="Noto Serif Light" w:cs="Noto Serif Light"/>
          <w:b/>
          <w:bCs/>
        </w:rPr>
      </w:pPr>
    </w:p>
    <w:p w14:paraId="50BEFB20" w14:textId="77777777" w:rsidR="002D52B2" w:rsidRPr="003835DE" w:rsidRDefault="002D52B2" w:rsidP="002D52B2">
      <w:pPr>
        <w:pStyle w:val="AbstractBookBaseParagraph"/>
        <w:rPr>
          <w:rFonts w:ascii="Noto Serif Light" w:hAnsi="Noto Serif Light" w:cs="Noto Serif Light"/>
          <w:b/>
          <w:bCs/>
        </w:rPr>
      </w:pPr>
      <w:r w:rsidRPr="003835DE">
        <w:rPr>
          <w:rFonts w:ascii="Noto Serif Light" w:hAnsi="Noto Serif Light" w:cs="Noto Serif Light"/>
          <w:b/>
          <w:bCs/>
        </w:rPr>
        <w:t>Background</w:t>
      </w:r>
    </w:p>
    <w:p w14:paraId="49B4D7FC"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We describe challenges and novel solutions around data in delivering a developmental, impact evaluation and business case development of a two-year pathfinder developing the West Midlands innovation support ecosystem for health technology businesses (HTBs). The pathfinder brought together 20 partners providing more accessible and joined up support for HTBs in the region.</w:t>
      </w:r>
    </w:p>
    <w:p w14:paraId="39CEC4D3"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 xml:space="preserve">Relevance: </w:t>
      </w:r>
    </w:p>
    <w:p w14:paraId="4C61AA2B"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w:t>
      </w:r>
      <w:r w:rsidRPr="00CD05A8">
        <w:rPr>
          <w:rFonts w:ascii="Noto Serif Light" w:hAnsi="Noto Serif Light" w:cs="Noto Serif Light"/>
        </w:rPr>
        <w:tab/>
        <w:t>How evaluation partners can be agile in co-producing data in large collaborations to support programme delivery.</w:t>
      </w:r>
    </w:p>
    <w:p w14:paraId="59CA1374" w14:textId="77777777" w:rsidR="002D52B2" w:rsidRDefault="002D52B2" w:rsidP="002D52B2">
      <w:pPr>
        <w:pStyle w:val="AbstractBookBaseParagraph"/>
        <w:rPr>
          <w:rFonts w:ascii="Noto Serif Light" w:hAnsi="Noto Serif Light" w:cs="Noto Serif Light"/>
        </w:rPr>
      </w:pPr>
      <w:r w:rsidRPr="00CD05A8">
        <w:rPr>
          <w:rFonts w:ascii="Noto Serif Light" w:hAnsi="Noto Serif Light" w:cs="Noto Serif Light"/>
        </w:rPr>
        <w:t>•</w:t>
      </w:r>
      <w:r w:rsidRPr="00CD05A8">
        <w:rPr>
          <w:rFonts w:ascii="Noto Serif Light" w:hAnsi="Noto Serif Light" w:cs="Noto Serif Light"/>
        </w:rPr>
        <w:tab/>
        <w:t>A new approach to presenting information on innovation support programmes and progress made by beneficiaries, including steeping stone outcomes to full economic impact.</w:t>
      </w:r>
    </w:p>
    <w:p w14:paraId="38592F32" w14:textId="77777777" w:rsidR="002D52B2" w:rsidRPr="00CD05A8" w:rsidRDefault="002D52B2" w:rsidP="002D52B2">
      <w:pPr>
        <w:pStyle w:val="AbstractBookBaseParagraph"/>
        <w:rPr>
          <w:rFonts w:ascii="Noto Serif Light" w:hAnsi="Noto Serif Light" w:cs="Noto Serif Light"/>
        </w:rPr>
      </w:pPr>
    </w:p>
    <w:p w14:paraId="507453C6" w14:textId="77777777" w:rsidR="002D52B2" w:rsidRPr="003835DE" w:rsidRDefault="002D52B2" w:rsidP="002D52B2">
      <w:pPr>
        <w:pStyle w:val="AbstractBookBaseParagraph"/>
        <w:rPr>
          <w:rFonts w:ascii="Noto Serif Light" w:hAnsi="Noto Serif Light" w:cs="Noto Serif Light"/>
          <w:b/>
          <w:bCs/>
        </w:rPr>
      </w:pPr>
      <w:r w:rsidRPr="003835DE">
        <w:rPr>
          <w:rFonts w:ascii="Noto Serif Light" w:hAnsi="Noto Serif Light" w:cs="Noto Serif Light"/>
          <w:b/>
          <w:bCs/>
        </w:rPr>
        <w:t xml:space="preserve">Objectives </w:t>
      </w:r>
    </w:p>
    <w:p w14:paraId="19BEBF21"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In the first part of our presentation we describe:</w:t>
      </w:r>
    </w:p>
    <w:p w14:paraId="45B7138E"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w:t>
      </w:r>
      <w:r w:rsidRPr="00CD05A8">
        <w:rPr>
          <w:rFonts w:ascii="Noto Serif Light" w:hAnsi="Noto Serif Light" w:cs="Noto Serif Light"/>
        </w:rPr>
        <w:tab/>
        <w:t>briefly the West Midlands Health Technology Innovation Accelerator including how the Demonstration Strand supported evaluation, continuous improvement and programme refinement through observations reflective workshops and check-ins with partners.</w:t>
      </w:r>
    </w:p>
    <w:p w14:paraId="1B75FBC4"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w:t>
      </w:r>
      <w:r w:rsidRPr="00CD05A8">
        <w:rPr>
          <w:rFonts w:ascii="Noto Serif Light" w:hAnsi="Noto Serif Light" w:cs="Noto Serif Light"/>
        </w:rPr>
        <w:tab/>
        <w:t>how we mitigated the impact of delays in signing underpinning legal agreements for data capture and sharing</w:t>
      </w:r>
    </w:p>
    <w:p w14:paraId="18484521"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w:t>
      </w:r>
      <w:r w:rsidRPr="00CD05A8">
        <w:rPr>
          <w:rFonts w:ascii="Noto Serif Light" w:hAnsi="Noto Serif Light" w:cs="Noto Serif Light"/>
        </w:rPr>
        <w:tab/>
        <w:t>approaches developed to support sharing of data between including safeguards to avoid disclosure of commercially sensitive data and the collection of sensitive data to assess EDI</w:t>
      </w:r>
    </w:p>
    <w:p w14:paraId="2790BBF0" w14:textId="77777777" w:rsidR="002D52B2" w:rsidRDefault="002D52B2" w:rsidP="002D52B2">
      <w:pPr>
        <w:pStyle w:val="AbstractBookBaseParagraph"/>
        <w:rPr>
          <w:rFonts w:ascii="Noto Serif Light" w:hAnsi="Noto Serif Light" w:cs="Noto Serif Light"/>
        </w:rPr>
      </w:pPr>
      <w:r w:rsidRPr="00CD05A8">
        <w:rPr>
          <w:rFonts w:ascii="Noto Serif Light" w:hAnsi="Noto Serif Light" w:cs="Noto Serif Light"/>
        </w:rPr>
        <w:t>•</w:t>
      </w:r>
      <w:r w:rsidRPr="00CD05A8">
        <w:rPr>
          <w:rFonts w:ascii="Noto Serif Light" w:hAnsi="Noto Serif Light" w:cs="Noto Serif Light"/>
        </w:rPr>
        <w:tab/>
        <w:t>minimising data collection burden on HTBs and partners through co-production of administrative data collection and collecting data for several purposes.</w:t>
      </w:r>
    </w:p>
    <w:p w14:paraId="76869B75" w14:textId="77777777" w:rsidR="002D52B2" w:rsidRPr="00CD05A8" w:rsidRDefault="002D52B2" w:rsidP="002D52B2">
      <w:pPr>
        <w:pStyle w:val="AbstractBookBaseParagraph"/>
        <w:rPr>
          <w:rFonts w:ascii="Noto Serif Light" w:hAnsi="Noto Serif Light" w:cs="Noto Serif Light"/>
        </w:rPr>
      </w:pPr>
    </w:p>
    <w:p w14:paraId="2506DD54"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In the second part we describe the swim-line approach we have developed to summarise data visually across a range of innovation readiness levels (e.g. technology, business, funding, manufacturing, customer, IPR, regulation) to:</w:t>
      </w:r>
    </w:p>
    <w:p w14:paraId="1365A2E1"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w:t>
      </w:r>
      <w:r w:rsidRPr="00CD05A8">
        <w:rPr>
          <w:rFonts w:ascii="Noto Serif Light" w:hAnsi="Noto Serif Light" w:cs="Noto Serif Light"/>
        </w:rPr>
        <w:tab/>
        <w:t>support diagnostic assessment of HTBs development needs</w:t>
      </w:r>
    </w:p>
    <w:p w14:paraId="3D265087"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w:t>
      </w:r>
      <w:r w:rsidRPr="00CD05A8">
        <w:rPr>
          <w:rFonts w:ascii="Noto Serif Light" w:hAnsi="Noto Serif Light" w:cs="Noto Serif Light"/>
        </w:rPr>
        <w:tab/>
        <w:t xml:space="preserve">describe support being provided by each partner and </w:t>
      </w:r>
    </w:p>
    <w:p w14:paraId="01EC2D21" w14:textId="77777777" w:rsidR="002D52B2" w:rsidRDefault="002D52B2" w:rsidP="002D52B2">
      <w:pPr>
        <w:pStyle w:val="AbstractBookBaseParagraph"/>
        <w:rPr>
          <w:rFonts w:ascii="Noto Serif Light" w:hAnsi="Noto Serif Light" w:cs="Noto Serif Light"/>
        </w:rPr>
      </w:pPr>
      <w:r w:rsidRPr="00CD05A8">
        <w:rPr>
          <w:rFonts w:ascii="Noto Serif Light" w:hAnsi="Noto Serif Light" w:cs="Noto Serif Light"/>
        </w:rPr>
        <w:t>•</w:t>
      </w:r>
      <w:r w:rsidRPr="00CD05A8">
        <w:rPr>
          <w:rFonts w:ascii="Noto Serif Light" w:hAnsi="Noto Serif Light" w:cs="Noto Serif Light"/>
        </w:rPr>
        <w:tab/>
        <w:t xml:space="preserve">plot progress made by HTBs for the commercialisation of their innovation. </w:t>
      </w:r>
    </w:p>
    <w:p w14:paraId="5C8BF58C" w14:textId="77777777" w:rsidR="002D52B2" w:rsidRPr="00CD05A8" w:rsidRDefault="002D52B2" w:rsidP="002D52B2">
      <w:pPr>
        <w:pStyle w:val="AbstractBookBaseParagraph"/>
        <w:rPr>
          <w:rFonts w:ascii="Noto Serif Light" w:hAnsi="Noto Serif Light" w:cs="Noto Serif Light"/>
        </w:rPr>
      </w:pPr>
    </w:p>
    <w:p w14:paraId="0057DC4C" w14:textId="77777777" w:rsidR="002D52B2" w:rsidRPr="003835DE" w:rsidRDefault="002D52B2" w:rsidP="002D52B2">
      <w:pPr>
        <w:pStyle w:val="AbstractBookBaseParagraph"/>
        <w:rPr>
          <w:rFonts w:ascii="Noto Serif Light" w:hAnsi="Noto Serif Light" w:cs="Noto Serif Light"/>
          <w:b/>
          <w:bCs/>
        </w:rPr>
      </w:pPr>
      <w:r w:rsidRPr="003835DE">
        <w:rPr>
          <w:rFonts w:ascii="Noto Serif Light" w:hAnsi="Noto Serif Light" w:cs="Noto Serif Light"/>
          <w:b/>
          <w:bCs/>
        </w:rPr>
        <w:t>Key Messages/Lessons</w:t>
      </w:r>
    </w:p>
    <w:p w14:paraId="45AB1152"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t>We will draw out key learning points around the using administrative data in evaluating pathfinders of complex interventions aiming to implement system changes and the lessons around data in developmental evaluation in innovation programmes.</w:t>
      </w:r>
    </w:p>
    <w:p w14:paraId="4EC45C18" w14:textId="77777777" w:rsidR="002D52B2" w:rsidRPr="00CD05A8" w:rsidRDefault="002D52B2" w:rsidP="002D52B2">
      <w:pPr>
        <w:pStyle w:val="AbstractBookBaseParagraph"/>
        <w:rPr>
          <w:rFonts w:ascii="Noto Serif Light" w:hAnsi="Noto Serif Light" w:cs="Noto Serif Light"/>
        </w:rPr>
      </w:pPr>
    </w:p>
    <w:p w14:paraId="5E0DDCC2" w14:textId="77777777" w:rsidR="002D52B2" w:rsidRPr="00CD05A8" w:rsidRDefault="002D52B2" w:rsidP="002D52B2">
      <w:pPr>
        <w:pStyle w:val="AbstractBookBaseParagraph"/>
        <w:rPr>
          <w:rFonts w:ascii="Noto Serif Light" w:hAnsi="Noto Serif Light" w:cs="Noto Serif Light"/>
        </w:rPr>
      </w:pPr>
      <w:r w:rsidRPr="00CD05A8">
        <w:rPr>
          <w:rFonts w:ascii="Noto Serif Light" w:hAnsi="Noto Serif Light" w:cs="Noto Serif Light"/>
        </w:rPr>
        <w:lastRenderedPageBreak/>
        <w:br w:type="page"/>
      </w:r>
    </w:p>
    <w:p w14:paraId="349FED57" w14:textId="77777777" w:rsidR="00390C9C" w:rsidRDefault="00390C9C" w:rsidP="00390C9C">
      <w:pPr>
        <w:pStyle w:val="ABSubhead"/>
      </w:pPr>
      <w:r>
        <w:lastRenderedPageBreak/>
        <w:t xml:space="preserve">O55. </w:t>
      </w:r>
      <w:r w:rsidRPr="00CD05A8">
        <w:t xml:space="preserve">Financial Ecologies Enhanced </w:t>
      </w:r>
      <w:r>
        <w:t>b</w:t>
      </w:r>
      <w:r w:rsidRPr="00CD05A8">
        <w:t xml:space="preserve">y Fintech </w:t>
      </w:r>
      <w:r>
        <w:t>f</w:t>
      </w:r>
      <w:r w:rsidRPr="00CD05A8">
        <w:t>or Inclusive Territorial Development: A Systematic Literature Review</w:t>
      </w:r>
    </w:p>
    <w:p w14:paraId="7660E6F0" w14:textId="77777777" w:rsidR="00390C9C" w:rsidRPr="00AB325A" w:rsidRDefault="00390C9C" w:rsidP="00390C9C">
      <w:pPr>
        <w:pStyle w:val="ABParagraph"/>
      </w:pPr>
    </w:p>
    <w:p w14:paraId="7E887833" w14:textId="77777777" w:rsidR="00390C9C" w:rsidRPr="00CD05A8" w:rsidRDefault="00390C9C" w:rsidP="00390C9C">
      <w:pPr>
        <w:pStyle w:val="AbstractBookAuthors"/>
        <w:rPr>
          <w:rFonts w:ascii="Noto Serif Light" w:hAnsi="Noto Serif Light" w:cs="Noto Serif Light"/>
        </w:rPr>
      </w:pPr>
      <w:r w:rsidRPr="00CD05A8">
        <w:rPr>
          <w:rStyle w:val="AbstractBookPresentingAuthor"/>
          <w:rFonts w:ascii="Noto Serif Light" w:hAnsi="Noto Serif Light" w:cs="Noto Serif Light"/>
        </w:rPr>
        <w:t>PhD</w:t>
      </w:r>
      <w:r>
        <w:rPr>
          <w:rStyle w:val="AbstractBookPresentingAuthor"/>
          <w:rFonts w:ascii="Noto Serif Light" w:hAnsi="Noto Serif Light" w:cs="Noto Serif Light"/>
        </w:rPr>
        <w:t xml:space="preserve"> </w:t>
      </w:r>
      <w:r w:rsidRPr="00CD05A8">
        <w:rPr>
          <w:rStyle w:val="AbstractBookPresentingAuthor"/>
          <w:rFonts w:ascii="Noto Serif Light" w:hAnsi="Noto Serif Light" w:cs="Noto Serif Light"/>
        </w:rPr>
        <w:t>Piotr Łasak</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 </w:t>
      </w:r>
      <w:commentRangeStart w:id="25"/>
      <w:r w:rsidRPr="00CD05A8">
        <w:rPr>
          <w:rStyle w:val="AbstractBookBaseCharacterStyle"/>
          <w:rFonts w:ascii="Noto Serif Light" w:hAnsi="Noto Serif Light" w:cs="Noto Serif Light"/>
        </w:rPr>
        <w:t>Marta Gancarczyk</w:t>
      </w:r>
      <w:commentRangeEnd w:id="25"/>
      <w:r w:rsidR="002E64EC" w:rsidRPr="00CD05A8">
        <w:rPr>
          <w:rStyle w:val="CommentReference"/>
          <w:rFonts w:ascii="Noto Serif Light" w:hAnsi="Noto Serif Light" w:cs="Noto Serif Light"/>
          <w:sz w:val="24"/>
          <w:szCs w:val="24"/>
        </w:rPr>
        <w:commentReference w:id="25"/>
      </w:r>
    </w:p>
    <w:p w14:paraId="547835D6" w14:textId="77777777" w:rsidR="00390C9C" w:rsidRDefault="00390C9C" w:rsidP="00390C9C">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Jagiellonian University, Kraków, Poland</w:t>
      </w:r>
    </w:p>
    <w:p w14:paraId="22B62F95" w14:textId="77777777" w:rsidR="00390C9C" w:rsidRDefault="00390C9C" w:rsidP="00390C9C">
      <w:pPr>
        <w:pStyle w:val="AbstractBookBaseParagraph"/>
        <w:rPr>
          <w:rStyle w:val="AbstractBookBaseCharacterStyle"/>
          <w:rFonts w:ascii="Noto Serif Light" w:hAnsi="Noto Serif Light" w:cs="Noto Serif Light"/>
        </w:rPr>
      </w:pPr>
    </w:p>
    <w:p w14:paraId="424C1CA1" w14:textId="77777777" w:rsidR="00390C9C" w:rsidRDefault="00390C9C" w:rsidP="00390C9C">
      <w:pPr>
        <w:pStyle w:val="AbstractBookBaseParagraph"/>
        <w:rPr>
          <w:rStyle w:val="AbstractBookBaseCharacterStyle"/>
          <w:rFonts w:ascii="Noto Serif Light" w:hAnsi="Noto Serif Light" w:cs="Noto Serif Light"/>
          <w:b/>
          <w:bCs/>
        </w:rPr>
      </w:pPr>
      <w:r w:rsidRPr="00CD05A8">
        <w:rPr>
          <w:rStyle w:val="AbstractBookBaseCharacterStyle"/>
          <w:rFonts w:ascii="Noto Serif Light" w:hAnsi="Noto Serif Light" w:cs="Noto Serif Light"/>
          <w:b/>
          <w:bCs/>
        </w:rPr>
        <w:t>Abstract:</w:t>
      </w:r>
    </w:p>
    <w:p w14:paraId="7CF31A7C" w14:textId="77777777" w:rsidR="00390C9C" w:rsidRPr="00AB325A" w:rsidRDefault="00390C9C" w:rsidP="00390C9C">
      <w:pPr>
        <w:pStyle w:val="AbstractBookBaseParagraph"/>
        <w:rPr>
          <w:rFonts w:ascii="Noto Serif Light" w:hAnsi="Noto Serif Light" w:cs="Noto Serif Light"/>
          <w:b/>
          <w:bCs/>
        </w:rPr>
      </w:pPr>
    </w:p>
    <w:p w14:paraId="154C0AA0" w14:textId="77777777" w:rsidR="00390C9C" w:rsidRPr="00AB325A" w:rsidRDefault="00390C9C" w:rsidP="00390C9C">
      <w:pPr>
        <w:pStyle w:val="AbstractBookBaseParagraph"/>
        <w:rPr>
          <w:rFonts w:ascii="Noto Serif Light" w:hAnsi="Noto Serif Light" w:cs="Noto Serif Light"/>
          <w:b/>
          <w:bCs/>
        </w:rPr>
      </w:pPr>
      <w:r w:rsidRPr="00AB325A">
        <w:rPr>
          <w:rFonts w:ascii="Noto Serif Light" w:hAnsi="Noto Serif Light" w:cs="Noto Serif Light"/>
          <w:b/>
          <w:bCs/>
        </w:rPr>
        <w:t xml:space="preserve">Background </w:t>
      </w:r>
      <w:r>
        <w:rPr>
          <w:rFonts w:ascii="Noto Serif Light" w:hAnsi="Noto Serif Light" w:cs="Noto Serif Light"/>
          <w:b/>
          <w:bCs/>
        </w:rPr>
        <w:t>a</w:t>
      </w:r>
      <w:r w:rsidRPr="00AB325A">
        <w:rPr>
          <w:rFonts w:ascii="Noto Serif Light" w:hAnsi="Noto Serif Light" w:cs="Noto Serif Light"/>
          <w:b/>
          <w:bCs/>
        </w:rPr>
        <w:t>nd Purpose</w:t>
      </w:r>
    </w:p>
    <w:p w14:paraId="21404E1B"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The ecosystem literature inspired a reconceptualization of territorial networks and resources to some thematic subsystems, such as financial ecologies (Cai, Polzin, &amp; Stam, 2024; Leyshon, 2020). Financial ecologies (FEs) can be perceived as the subunits of economic ecosystems (EEs) and place-based governance forms of financial services provision that are delimited by particular territories (Brown &amp; Mason, 2017; Stam, 2015; Stam &amp; Van de Ven, 2021; Coe, Lai, &amp; Wójcik, 2014; Lai, 2016; Leyshon et al., 2006; Langley &amp; Leyshon, 2020; Cai, Polzin, &amp; Stam, 2024). In this vein, regional financial ecosystems and ecologies (FEs) represent interrelated financial intermediaries and other economic agents focused on the provision of and access to financial services in particular territories (Beaverstock et al., 2013; Clayton et al., 2024; DawnBurton, 2020; Lai, 2016; Leyshon et al., 2004; Leyshon, 2020). As systemic phenomena, they comprise both actors and their relationships, in which actors form various configurations of private and public entities, such as banks, public agencies, enterprises, and customers. The actors and relationships are delimited by a given location, such as a region or city, acknowledging multiscalar contexts at different spatial levels (Langley, 2016; DawnBurton, 2020; Lai, 2020; Chen &amp; Hassink, 2021; Appleyard, 2020; Zhang et al., 2023). The ongoing advancement of digitalization in the financial sector is driving the emergence of digital platforms. It should be noted that such platforms do not always operate on a broad scale; in some cases, their activities are confined to a specific geographical area, thereby creating a highly constrained spatial set of conditions within a given territory, region, city, or country. In such contexts, the concept of FE becomes closely linked to the digital platform (Łasak &amp; Wyciślak, 2024). Considering the nature of FE, the main elements of this construct include actors, outcomes, contexts, and governance. Governance is a regulatory, institutional structure, including rules, norms, and behavior patterns, that affects the performance and dynamics of territorial units (Colombo et al., 2019; Colombelli, Paolucci, Ughetto, 2019; Gancarczyk &amp; Konopa, 2021).</w:t>
      </w:r>
    </w:p>
    <w:p w14:paraId="3B011B34" w14:textId="77777777" w:rsidR="00390C9C" w:rsidRDefault="00390C9C" w:rsidP="00390C9C">
      <w:pPr>
        <w:pStyle w:val="AbstractBookBaseParagraph"/>
        <w:rPr>
          <w:rFonts w:ascii="Noto Serif Light" w:hAnsi="Noto Serif Light" w:cs="Noto Serif Light"/>
        </w:rPr>
      </w:pPr>
    </w:p>
    <w:p w14:paraId="347D78FA"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 xml:space="preserve">The idea of FEs is socially and economically relevant, since they reach toward underserved or excluded market segments and intermediate for territorial development across industries and sectors of private and public entities (Gancarczyk, Łasak, Gancarczyk, 2022; Łasak &amp; Gancarczyk, 2021, 2022). At the same time, the FE remains at the early stage of conceptualization and enhanced by empirical corroborations, in particular regarding how Fintech affects its core elements and inclusive territorial development, and what policy implications can be derived (Cai, Polzin, &amp; Stam, 2024). In response to the theoretical and practical relevance, and early stage of theorizing the recent Fintech developments in the FE, this article aims to identify how the Fintech-based transformation, including the development of financial ecosystems, affects the </w:t>
      </w:r>
      <w:r w:rsidRPr="00CD05A8">
        <w:rPr>
          <w:rFonts w:ascii="Noto Serif Light" w:hAnsi="Noto Serif Light" w:cs="Noto Serif Light"/>
        </w:rPr>
        <w:lastRenderedPageBreak/>
        <w:t xml:space="preserve">core elements of financial ecologies, such as the configuration of actors, governance structures, and the input of FE to inclusive territorial development. </w:t>
      </w:r>
    </w:p>
    <w:p w14:paraId="4C96D58D" w14:textId="77777777" w:rsidR="00390C9C" w:rsidRPr="00AB325A" w:rsidRDefault="00390C9C" w:rsidP="00390C9C">
      <w:pPr>
        <w:pStyle w:val="AbstractBookBaseParagraph"/>
        <w:rPr>
          <w:rFonts w:ascii="Noto Serif Light" w:hAnsi="Noto Serif Light" w:cs="Noto Serif Light"/>
          <w:b/>
          <w:bCs/>
        </w:rPr>
      </w:pPr>
    </w:p>
    <w:p w14:paraId="518B6E0B" w14:textId="77777777" w:rsidR="00390C9C" w:rsidRPr="00AB325A" w:rsidRDefault="00390C9C" w:rsidP="00390C9C">
      <w:pPr>
        <w:pStyle w:val="AbstractBookBaseParagraph"/>
        <w:rPr>
          <w:rFonts w:ascii="Noto Serif Light" w:hAnsi="Noto Serif Light" w:cs="Noto Serif Light"/>
          <w:b/>
          <w:bCs/>
        </w:rPr>
      </w:pPr>
      <w:r w:rsidRPr="00AB325A">
        <w:rPr>
          <w:rFonts w:ascii="Noto Serif Light" w:hAnsi="Noto Serif Light" w:cs="Noto Serif Light"/>
          <w:b/>
          <w:bCs/>
        </w:rPr>
        <w:t xml:space="preserve">Design </w:t>
      </w:r>
      <w:r>
        <w:rPr>
          <w:rFonts w:ascii="Noto Serif Light" w:hAnsi="Noto Serif Light" w:cs="Noto Serif Light"/>
          <w:b/>
          <w:bCs/>
        </w:rPr>
        <w:t>a</w:t>
      </w:r>
      <w:r w:rsidRPr="00AB325A">
        <w:rPr>
          <w:rFonts w:ascii="Noto Serif Light" w:hAnsi="Noto Serif Light" w:cs="Noto Serif Light"/>
          <w:b/>
          <w:bCs/>
        </w:rPr>
        <w:t>nd Method</w:t>
      </w:r>
    </w:p>
    <w:p w14:paraId="6D098472"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The study employs a systematic literature review of 80 publications sourced from the Scopus and WoS databases, covering the period from 2000—when the first conceptualizations of digital financial ecosystems and financial ecologies emerged—up to the present (Lund et al., 2016; Tranfield, Denyer, &amp; Smart, 2003).</w:t>
      </w:r>
    </w:p>
    <w:p w14:paraId="212AEB33" w14:textId="77777777" w:rsidR="00390C9C" w:rsidRDefault="00390C9C" w:rsidP="00390C9C">
      <w:pPr>
        <w:pStyle w:val="AbstractBookBaseParagraph"/>
        <w:rPr>
          <w:rFonts w:ascii="Noto Serif Light" w:hAnsi="Noto Serif Light" w:cs="Noto Serif Light"/>
        </w:rPr>
      </w:pPr>
    </w:p>
    <w:p w14:paraId="068DB8A8" w14:textId="77777777" w:rsidR="00390C9C" w:rsidRPr="00AB325A" w:rsidRDefault="00390C9C" w:rsidP="00390C9C">
      <w:pPr>
        <w:pStyle w:val="AbstractBookBaseParagraph"/>
        <w:rPr>
          <w:rFonts w:ascii="Noto Serif Light" w:hAnsi="Noto Serif Light" w:cs="Noto Serif Light"/>
          <w:b/>
          <w:bCs/>
        </w:rPr>
      </w:pPr>
      <w:r w:rsidRPr="00AB325A">
        <w:rPr>
          <w:rFonts w:ascii="Noto Serif Light" w:hAnsi="Noto Serif Light" w:cs="Noto Serif Light"/>
          <w:b/>
          <w:bCs/>
        </w:rPr>
        <w:t>Findings</w:t>
      </w:r>
    </w:p>
    <w:p w14:paraId="05F1B032"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The review demonstrates that financial technologies influence all core components of financial ecosystems and financial ecologies: the actors, their relationships understood as governance, and the resulting outcomes, all within their spatial contexts. Technological progress has increased both the density and diversity of FE participant configurations. Notably, financing providers have expanded their reach to FEs located in various spatial settings, including peripheral regions and among unbanked or previously excluded groups. This expansion required the standardization of procedures such as credit assessment, for which Fintech has supplied effective tools. On the demand side, financing opportunities have broadened; however, the needs and financial capacities of recipients remain heterogeneous and less amenable to standardization through Fintech-driven algorithms. Consequently, the customer side remains embedded in spatial context, whereas financing providers increasingly operate in a decontextualized manner (Lai, 2020; Lyons et al., 2022; Wójcik, 2021b). Regardless of this, both sides remain under a very strong influence of digital platforms. Digital financial platforms are increasingly intertwined with local financial institutions and consumers residing in a given area (Ekpo et. al., 2022; Lu et al., 2022). At the same time, digital platforms most significantly modify the functioning of the local financial market.</w:t>
      </w:r>
    </w:p>
    <w:p w14:paraId="24011341" w14:textId="77777777" w:rsidR="00390C9C" w:rsidRDefault="00390C9C" w:rsidP="00390C9C">
      <w:pPr>
        <w:pStyle w:val="AbstractBookBaseParagraph"/>
        <w:rPr>
          <w:rFonts w:ascii="Noto Serif Light" w:hAnsi="Noto Serif Light" w:cs="Noto Serif Light"/>
        </w:rPr>
      </w:pPr>
    </w:p>
    <w:p w14:paraId="584C7B14"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The evolving composition and roles of FE actors, along with the widening gap between place based and decontextualized interests, generate significant implications for FE governance. This underscores the need for stronger public policy interventions to balance efficiency with social and territorial objectives. Beyond the broader socioeconomic environment, government involvement emerges as a key explanatory factor for FE outcomes. Public intervention should establish the rules and resources necessary for economic stability, technological infrastructure, collaboration among FE actors, and the protection of local interests. Policy design and implementation should follow an evolutionary logic shaped by interactions among FE actors and their adaptations to FE contexts (Chen &amp; Hassink, 2021; Gong &amp; Hassink, 2019; Gancarczyk, Najda-Janoszka, Gancarczyk, 2023). This proposed logic represents a novel perspective on government intervention, which is typically viewed as unidirectional and top down rather than as a process open to stakeholder interaction during both policy formulation and implementation (Gancarczyk, Marta Najda-Janoszka, Gancarczyk, Hassink, 2023).</w:t>
      </w:r>
    </w:p>
    <w:p w14:paraId="091A9FA3" w14:textId="77777777" w:rsidR="00390C9C" w:rsidRDefault="00390C9C" w:rsidP="00390C9C">
      <w:pPr>
        <w:pStyle w:val="AbstractBookBaseParagraph"/>
        <w:rPr>
          <w:rFonts w:ascii="Noto Serif Light" w:hAnsi="Noto Serif Light" w:cs="Noto Serif Light"/>
        </w:rPr>
      </w:pPr>
    </w:p>
    <w:p w14:paraId="5D6ADCDF" w14:textId="77777777" w:rsidR="00390C9C" w:rsidRPr="00AB325A" w:rsidRDefault="00390C9C" w:rsidP="00390C9C">
      <w:pPr>
        <w:pStyle w:val="AbstractBookBaseParagraph"/>
        <w:rPr>
          <w:rFonts w:ascii="Noto Serif Light" w:hAnsi="Noto Serif Light" w:cs="Noto Serif Light"/>
          <w:b/>
          <w:bCs/>
        </w:rPr>
      </w:pPr>
      <w:r w:rsidRPr="00AB325A">
        <w:rPr>
          <w:rFonts w:ascii="Noto Serif Light" w:hAnsi="Noto Serif Light" w:cs="Noto Serif Light"/>
          <w:b/>
          <w:bCs/>
        </w:rPr>
        <w:t>Contribution</w:t>
      </w:r>
    </w:p>
    <w:p w14:paraId="67A83ABD"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t xml:space="preserve">This study offers several contributions. First, it advances the conceptual understanding of FE as a form of financial services governance aimed at inclusive territorial development and strengthened by Fintech (Wójcik, 2021). Second, it presents the Fintech driven transformation of FE through its fundamental elements: actors, governance, and outcomes. Third, it proposes research directions and propositions for </w:t>
      </w:r>
      <w:r w:rsidRPr="00CD05A8">
        <w:rPr>
          <w:rFonts w:ascii="Noto Serif Light" w:hAnsi="Noto Serif Light" w:cs="Noto Serif Light"/>
        </w:rPr>
        <w:lastRenderedPageBreak/>
        <w:t>further inquiry. These propositions address the essential components of FEs and highlight their logical interconnections, resulting in a coherent conceptual framework. Moreover, they can be further developed into evidence based hypotheses (Breslin &amp; Gatrell, 2020; Silverman, 2015; Yin, 2018).</w:t>
      </w:r>
    </w:p>
    <w:p w14:paraId="3BE25BCC" w14:textId="77777777" w:rsidR="00390C9C" w:rsidRPr="00CD05A8" w:rsidRDefault="00390C9C" w:rsidP="00390C9C">
      <w:pPr>
        <w:pStyle w:val="AbstractBookBaseParagraph"/>
        <w:rPr>
          <w:rFonts w:ascii="Noto Serif Light" w:hAnsi="Noto Serif Light" w:cs="Noto Serif Light"/>
        </w:rPr>
      </w:pPr>
    </w:p>
    <w:p w14:paraId="75E8739A" w14:textId="77777777" w:rsidR="00390C9C" w:rsidRPr="00CD05A8" w:rsidRDefault="00390C9C" w:rsidP="00390C9C">
      <w:pPr>
        <w:pStyle w:val="AbstractBookBaseParagraph"/>
        <w:rPr>
          <w:rFonts w:ascii="Noto Serif Light" w:hAnsi="Noto Serif Light" w:cs="Noto Serif Light"/>
        </w:rPr>
      </w:pPr>
      <w:r w:rsidRPr="00CD05A8">
        <w:rPr>
          <w:rFonts w:ascii="Noto Serif Light" w:hAnsi="Noto Serif Light" w:cs="Noto Serif Light"/>
        </w:rPr>
        <w:br w:type="page"/>
      </w:r>
    </w:p>
    <w:p w14:paraId="482A936F" w14:textId="45E31363" w:rsidR="00F34977" w:rsidRDefault="00F34977" w:rsidP="00F34977">
      <w:pPr>
        <w:pStyle w:val="ABSubhead"/>
      </w:pPr>
      <w:r>
        <w:lastRenderedPageBreak/>
        <w:t xml:space="preserve">O56. </w:t>
      </w:r>
      <w:r w:rsidR="00D047BB" w:rsidRPr="00D047BB">
        <w:t>What Makes Regions Ready for Missions? A Framework Towards Regional Readiness</w:t>
      </w:r>
    </w:p>
    <w:p w14:paraId="2466DB00" w14:textId="77777777" w:rsidR="00F34977" w:rsidRPr="00220128" w:rsidRDefault="00F34977" w:rsidP="00F34977">
      <w:pPr>
        <w:pStyle w:val="ABParagraph"/>
      </w:pPr>
    </w:p>
    <w:p w14:paraId="18EC4207" w14:textId="77777777" w:rsidR="00F34977" w:rsidRPr="00CD05A8" w:rsidRDefault="00F34977" w:rsidP="00F34977">
      <w:pPr>
        <w:pStyle w:val="AbstractBookAuthors"/>
        <w:rPr>
          <w:rFonts w:ascii="Noto Serif Light" w:hAnsi="Noto Serif Light" w:cs="Noto Serif Light"/>
        </w:rPr>
      </w:pPr>
      <w:r w:rsidRPr="00CD05A8">
        <w:rPr>
          <w:rStyle w:val="AbstractBookPresentingAuthor"/>
          <w:rFonts w:ascii="Noto Serif Light" w:hAnsi="Noto Serif Light" w:cs="Noto Serif Light"/>
        </w:rPr>
        <w:t>Matt Ziembla</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James Evansb</w:t>
      </w:r>
      <w:r w:rsidRPr="00CD05A8">
        <w:rPr>
          <w:rFonts w:ascii="Noto Serif Light" w:hAnsi="Noto Serif Light" w:cs="Noto Serif Light"/>
          <w:vertAlign w:val="superscript"/>
        </w:rPr>
        <w:t>2</w:t>
      </w:r>
      <w:r w:rsidRPr="00CD05A8">
        <w:rPr>
          <w:rStyle w:val="AbstractBookBaseCharacterStyle"/>
          <w:rFonts w:ascii="Noto Serif Light" w:hAnsi="Noto Serif Light" w:cs="Noto Serif Light"/>
        </w:rPr>
        <w:t>, Mabel Sanchez Barrioluengo</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Elvira Uyarra</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Stephanie Daimer</w:t>
      </w:r>
      <w:r w:rsidRPr="00CD05A8">
        <w:rPr>
          <w:rFonts w:ascii="Noto Serif Light" w:hAnsi="Noto Serif Light" w:cs="Noto Serif Light"/>
          <w:vertAlign w:val="superscript"/>
        </w:rPr>
        <w:t>3</w:t>
      </w:r>
      <w:r w:rsidRPr="00CD05A8">
        <w:rPr>
          <w:rStyle w:val="AbstractBookBaseCharacterStyle"/>
          <w:rFonts w:ascii="Noto Serif Light" w:hAnsi="Noto Serif Light" w:cs="Noto Serif Light"/>
        </w:rPr>
        <w:t>, Henning Krol</w:t>
      </w:r>
      <w:r w:rsidRPr="00CD05A8">
        <w:rPr>
          <w:rFonts w:ascii="Noto Serif Light" w:hAnsi="Noto Serif Light" w:cs="Noto Serif Light"/>
          <w:vertAlign w:val="superscript"/>
        </w:rPr>
        <w:t>3</w:t>
      </w:r>
      <w:r w:rsidRPr="00CD05A8">
        <w:rPr>
          <w:rStyle w:val="AbstractBookBaseCharacterStyle"/>
          <w:rFonts w:ascii="Noto Serif Light" w:hAnsi="Noto Serif Light" w:cs="Noto Serif Light"/>
        </w:rPr>
        <w:t>, Gudrun Haindlmaier</w:t>
      </w:r>
      <w:r w:rsidRPr="00CD05A8">
        <w:rPr>
          <w:rFonts w:ascii="Noto Serif Light" w:hAnsi="Noto Serif Light" w:cs="Noto Serif Light"/>
          <w:vertAlign w:val="superscript"/>
        </w:rPr>
        <w:t>4</w:t>
      </w:r>
    </w:p>
    <w:p w14:paraId="3AADD4C5" w14:textId="77777777" w:rsidR="00F34977" w:rsidRDefault="00F34977" w:rsidP="00F34977">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Manchester Institute of Innovation Research, Manchester, United Kingdom, </w:t>
      </w:r>
      <w:r w:rsidRPr="00CD05A8">
        <w:rPr>
          <w:rFonts w:ascii="Noto Serif Light" w:hAnsi="Noto Serif Light" w:cs="Noto Serif Light"/>
          <w:vertAlign w:val="superscript"/>
        </w:rPr>
        <w:t>2</w:t>
      </w:r>
      <w:r w:rsidRPr="00CD05A8">
        <w:rPr>
          <w:rStyle w:val="AbstractBookBaseCharacterStyle"/>
          <w:rFonts w:ascii="Noto Serif Light" w:hAnsi="Noto Serif Light" w:cs="Noto Serif Light"/>
        </w:rPr>
        <w:t xml:space="preserve">Manchester Urban Institute, Manchester, United Kingdom, </w:t>
      </w:r>
      <w:r w:rsidRPr="00CD05A8">
        <w:rPr>
          <w:rFonts w:ascii="Noto Serif Light" w:hAnsi="Noto Serif Light" w:cs="Noto Serif Light"/>
          <w:vertAlign w:val="superscript"/>
        </w:rPr>
        <w:t>3</w:t>
      </w:r>
      <w:r w:rsidRPr="00CD05A8">
        <w:rPr>
          <w:rStyle w:val="AbstractBookBaseCharacterStyle"/>
          <w:rFonts w:ascii="Noto Serif Light" w:hAnsi="Noto Serif Light" w:cs="Noto Serif Light"/>
        </w:rPr>
        <w:t xml:space="preserve">Fraunhofer Institute for Systems and Innovation Research, Leipzig, Germany, </w:t>
      </w:r>
      <w:r w:rsidRPr="00CD05A8">
        <w:rPr>
          <w:rFonts w:ascii="Noto Serif Light" w:hAnsi="Noto Serif Light" w:cs="Noto Serif Light"/>
          <w:vertAlign w:val="superscript"/>
        </w:rPr>
        <w:t>4</w:t>
      </w:r>
      <w:r w:rsidRPr="00CD05A8">
        <w:rPr>
          <w:rStyle w:val="AbstractBookBaseCharacterStyle"/>
          <w:rFonts w:ascii="Noto Serif Light" w:hAnsi="Noto Serif Light" w:cs="Noto Serif Light"/>
        </w:rPr>
        <w:t>Austrian Institute of Technology, Vienna, Austria</w:t>
      </w:r>
    </w:p>
    <w:p w14:paraId="39C85552" w14:textId="77777777" w:rsidR="00F34977" w:rsidRDefault="00F34977" w:rsidP="00F34977">
      <w:pPr>
        <w:pStyle w:val="AbstractBookBaseParagraph"/>
        <w:rPr>
          <w:rStyle w:val="AbstractBookBaseCharacterStyle"/>
          <w:rFonts w:ascii="Noto Serif Light" w:hAnsi="Noto Serif Light" w:cs="Noto Serif Light"/>
        </w:rPr>
      </w:pPr>
    </w:p>
    <w:p w14:paraId="557DF6C4" w14:textId="77777777" w:rsidR="00F34977" w:rsidRPr="00220128" w:rsidRDefault="00F34977" w:rsidP="00F34977">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5C709E16"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Scholars and policy practitioners are paying increasing attention to how higher scale missions can be rendered relevant and actionable at lower spatial scales (for an overview, see: Feldman et al., 2025; Uyarra et al., 2025). This gave rise to multiple concepts, such as ‘micro’ missions (Henderson and Delbridge, 2025) achieved through the local problem framing processes (Ziembla et al., 2024), ‘localised directionality’ development (Molica et al., 2025) or other forms of ‘regioning’ (Priebe and Herberg, 2024) that support embedding of national or supranational mission directionality in local contexts. </w:t>
      </w:r>
    </w:p>
    <w:p w14:paraId="676D8682" w14:textId="77777777" w:rsidR="00F34977" w:rsidRPr="00CD05A8" w:rsidRDefault="00F34977" w:rsidP="00F34977">
      <w:pPr>
        <w:pStyle w:val="AbstractBookBaseParagraph"/>
        <w:rPr>
          <w:rFonts w:ascii="Noto Serif Light" w:hAnsi="Noto Serif Light" w:cs="Noto Serif Light"/>
        </w:rPr>
      </w:pPr>
    </w:p>
    <w:p w14:paraId="6FCE253B"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While increased attention is paid to how local policy design processes are orchestrated to achieve the alignment between local and national or supranational innovation priorities, a challenge remains with mission-oriented innovation policies (MOIP) in that they often underplay the complexity inherent in implementing solutions to the grand societal challenges they target. As mission implementation often entails system transformations that reorient local innovation potential towards resolution of grand societal challenges (Isaksen et al., 2022; Tödtling et al., 2022), mission policies are likely to face contestation, tensions and trade-offs in the implementation phase as well (Flanagan and Uyarra, 2016; Wittmann et al., 2021). Together with the need to account for local problems and existing industrial specialisations while designing place-based missions (Flanagan et al., 2022; Isaksen et al., 2022), important questions remain around what makes regions ready for mission design and implementation in the first place. </w:t>
      </w:r>
    </w:p>
    <w:p w14:paraId="527739E0" w14:textId="77777777" w:rsidR="00F34977" w:rsidRPr="00CD05A8" w:rsidRDefault="00F34977" w:rsidP="00F34977">
      <w:pPr>
        <w:pStyle w:val="AbstractBookBaseParagraph"/>
        <w:rPr>
          <w:rFonts w:ascii="Noto Serif Light" w:hAnsi="Noto Serif Light" w:cs="Noto Serif Light"/>
        </w:rPr>
      </w:pPr>
    </w:p>
    <w:p w14:paraId="42F42084"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Our contribution targets this question by proposing a conceptual framework to analyse regional readiness for MOIP, which we define as the regional capacity for designing and implementing place-based missions. Our framework captures multiple mechanisms linking grand societal challenges with local ‘wicked’ problems and translating that alignment into demand for locally and externally produced innovations. This approach responds to the critical importance of the local context, encouraging place-based innovations and policies that consider local needs and resources (Henderson et al. 2024, Coenen et al., 2015; Tödtling et al 2022). Geographically, our understanding of regions is linked to entities that are governed by municipal or regional authorities which have relevant jurisdictions to define and implement mission-oriented policies. </w:t>
      </w:r>
    </w:p>
    <w:p w14:paraId="2A902F23" w14:textId="77777777" w:rsidR="00F34977" w:rsidRPr="00CD05A8" w:rsidRDefault="00F34977" w:rsidP="00F34977">
      <w:pPr>
        <w:pStyle w:val="AbstractBookBaseParagraph"/>
        <w:rPr>
          <w:rFonts w:ascii="Noto Serif Light" w:hAnsi="Noto Serif Light" w:cs="Noto Serif Light"/>
        </w:rPr>
      </w:pPr>
    </w:p>
    <w:p w14:paraId="786D1A9E"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Our conceptual framework understands regional readiness as a dynamic attribute of regions and places, which unfolds across the two main and interconnected mission management tasks of mission design and mission implementation. Our framework </w:t>
      </w:r>
      <w:r w:rsidRPr="00CD05A8">
        <w:rPr>
          <w:rFonts w:ascii="Noto Serif Light" w:hAnsi="Noto Serif Light" w:cs="Noto Serif Light"/>
        </w:rPr>
        <w:lastRenderedPageBreak/>
        <w:t xml:space="preserve">captures the regional (distributed) governance capacity to design place-based missions (i.e. programmatic “readiness”; Elzinga et al., 2023; Janssen et al., 2023) as well as the regional capacity to implement them collaboratively (i.e. performance “readiness”; Elzinga et al., 2023; Janssen et al., 2023). We situate programmatic readiness within what has been termed the ‘programmatic arena’ where missions act as a shared vision of future regional developments (Janssen et al., 2023). Programmatic readiness captures the strategic and governance capacity of a region to define place-based missions and align diverse objectives of the local innovation ecosystem around the place-based mission (Priebe and Herberg, 2024). </w:t>
      </w:r>
    </w:p>
    <w:p w14:paraId="0CA3157D" w14:textId="77777777" w:rsidR="00F34977" w:rsidRPr="00CD05A8" w:rsidRDefault="00F34977" w:rsidP="00F34977">
      <w:pPr>
        <w:pStyle w:val="AbstractBookBaseParagraph"/>
        <w:rPr>
          <w:rFonts w:ascii="Noto Serif Light" w:hAnsi="Noto Serif Light" w:cs="Noto Serif Light"/>
        </w:rPr>
      </w:pPr>
    </w:p>
    <w:p w14:paraId="677C1A13"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The two key dimensions shaping the region’s programmatic readiness are directionality and coordination. In our framework, we define directionality not as a static top-down mandate, but a procedural and emergent property shaped by distributed interactions in shared visioning (Clifton et al., 2024; Priebe and Herberg, 2024). These collaborative visioning processes are essential to avoid spatial blindness by anchoring abstract global goals (e.g., climate action) into the local resolution pathways (Feldman et al., 2025; Janssen et al., 2023; Uyarra et al., 2025). </w:t>
      </w:r>
    </w:p>
    <w:p w14:paraId="1F01378D" w14:textId="77777777" w:rsidR="00F34977" w:rsidRPr="00CD05A8" w:rsidRDefault="00F34977" w:rsidP="00F34977">
      <w:pPr>
        <w:pStyle w:val="AbstractBookBaseParagraph"/>
        <w:rPr>
          <w:rFonts w:ascii="Noto Serif Light" w:hAnsi="Noto Serif Light" w:cs="Noto Serif Light"/>
        </w:rPr>
      </w:pPr>
    </w:p>
    <w:p w14:paraId="0CBCDE3D"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We also suggest that programmatic readiness depends on various forms of coordination to operate simultaneously. In terms of vertical coordination, readiness is defined by a region's ability to ‘region’ national or supranational missions into locally relevant actions while feeding local implementation successes back up to inform higher-level policy (Feldman et al., 2025; Henderson and Delbridge, 2025). Horizontal coordination involves whole-of-government approaches that break down departmental silos (Hofstad et al., 2026; Jeannerat and Lavanchy, 2024) as well as support for cross-sectoral collaboration (Henderson et al., 2024; Jeannerat and Crevoisier, 2022) to focus locally available resources around the place-based mission. Finally, we also suggest that coordination entails emergence of strong local leadership (e.g. presence of a “Public Animateur”: Morgan and Marques, 2019; place-based leaders; Ziembla et al., 2024), which act as a catalyst for participatory mission design processes.</w:t>
      </w:r>
    </w:p>
    <w:p w14:paraId="44A67E9C"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We define performance readiness as the region's ability to engage in production and diffusion of transformative solutions. As such, performance readiness concerns the ‘performing arena’ where actual problem-solving, experimentation, and innovation occur through distributed interactions of local actors (Janssen et al., 2023). Performance readiness depends on both the capacity for niche building as well as mainstreaming of extra-regional innovative solutions locally (Ghosh et al., 2021; Janssen et al., 2023; Molas-Gallart et al., 2021). These processes require brokers—locally embedded actors with global links—who bring in relevant knowledge and evaluate how to adapt it to the regional socio-economic context (Coenen et al., 2015). </w:t>
      </w:r>
    </w:p>
    <w:p w14:paraId="42540635" w14:textId="77777777" w:rsidR="00F34977" w:rsidRPr="00CD05A8" w:rsidRDefault="00F34977" w:rsidP="00F34977">
      <w:pPr>
        <w:pStyle w:val="AbstractBookBaseParagraph"/>
        <w:rPr>
          <w:rFonts w:ascii="Noto Serif Light" w:hAnsi="Noto Serif Light" w:cs="Noto Serif Light"/>
        </w:rPr>
      </w:pPr>
    </w:p>
    <w:p w14:paraId="2C7EE96F"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Programmatic and performance readiness are complemented by two capabilities of demand articulation , which bridges the gap between high-level strategies and tangible outcomes by translating the local ambitions into concrete demand for social and technological solutions (Pihlajamaa and Merisalo, 2021; Wanzenböck et al., 2020); and the capability of reflexivity, which supports continuous learning adaptive policy re-direction (Borrás et al., 2024; Wesseling and Meijerhof, 2023). We define demand articulation as the critical intermediate process that translates normative policy goals (programmatic readiness) into concrete, actionable requirements that drive local production and adoption of solutions (performance readiness; Pihlajamaa and Merisalo, </w:t>
      </w:r>
      <w:r w:rsidRPr="00CD05A8">
        <w:rPr>
          <w:rFonts w:ascii="Noto Serif Light" w:hAnsi="Noto Serif Light" w:cs="Noto Serif Light"/>
        </w:rPr>
        <w:lastRenderedPageBreak/>
        <w:t xml:space="preserve">2021). In a mission-oriented context, demand articulation serves as a focusing device that converts societal needs into structured market signals (Wanzenböck et al., 2020) by reducing uncertainty (Boon and Edler, 2018) and redefining what counts as value for local stakeholders. </w:t>
      </w:r>
    </w:p>
    <w:p w14:paraId="1BCE1A6C" w14:textId="77777777" w:rsidR="00F34977" w:rsidRPr="00CD05A8" w:rsidRDefault="00F34977" w:rsidP="00F34977">
      <w:pPr>
        <w:pStyle w:val="AbstractBookBaseParagraph"/>
        <w:rPr>
          <w:rFonts w:ascii="Noto Serif Light" w:hAnsi="Noto Serif Light" w:cs="Noto Serif Light"/>
        </w:rPr>
      </w:pPr>
    </w:p>
    <w:p w14:paraId="4CD86592"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Finally, our framework emphasises the importance of feedback loops that exist between the regional capacity to design and implement place-based missions. Reflexivity provides the analytical and forward-looking basis needed for adaptive policymaking (Borrás et al., 2024; Wesseling and Meijerhof, 2023). Reflexivity allows programmatic goals to be revisited and redefined (Janssen et al., 2021) or governance arrangements restructured to maintain momentum (Wesseling and Meijerhof, 2023) when contexts shift or new knowledge emerges. </w:t>
      </w:r>
    </w:p>
    <w:p w14:paraId="24BD5EB1" w14:textId="77777777" w:rsidR="00F34977" w:rsidRPr="00CD05A8" w:rsidRDefault="00F34977" w:rsidP="00F34977">
      <w:pPr>
        <w:pStyle w:val="AbstractBookBaseParagraph"/>
        <w:rPr>
          <w:rFonts w:ascii="Noto Serif Light" w:hAnsi="Noto Serif Light" w:cs="Noto Serif Light"/>
        </w:rPr>
      </w:pPr>
    </w:p>
    <w:p w14:paraId="0FE67F2D"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For each of the articulated dimensions, we suggest possible indicators that could assist in benchmarking regional mission readiness and assessing it against five maturity levels. At the emergent level, regional readiness is characterized as a static endowment of assets rather than an active governance ability and the regional innovation ecosystem is not coordination for transformative change. At the developing level, the region begins linking grand challenges to local problems without yet translating them into actionable, co-defined missions. The aligned level is when local priorities are aligned with external goals, though coalitions for implementation are still forming. A region reaches the operational level</w:t>
      </w:r>
    </w:p>
    <w:p w14:paraId="18A990C8"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when stable actor coalitions implement place-based missions, translating aligned local and global challenges into concrete demand for solutions. Finally, transformative level describes the region operating as a reflexive, adaptive system that continuously reinterprets and realigns missions to sustain collective agency and long-term societal transformation.</w:t>
      </w:r>
    </w:p>
    <w:p w14:paraId="3C23FB4F" w14:textId="77777777" w:rsidR="00F34977" w:rsidRPr="00CD05A8" w:rsidRDefault="00F34977" w:rsidP="00F34977">
      <w:pPr>
        <w:pStyle w:val="AbstractBookBaseParagraph"/>
        <w:rPr>
          <w:rFonts w:ascii="Noto Serif Light" w:hAnsi="Noto Serif Light" w:cs="Noto Serif Light"/>
        </w:rPr>
      </w:pPr>
    </w:p>
    <w:p w14:paraId="4B6CD772"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proposed maturity levels function as a composite indicator describing the regional capacity for articulation of place-based missions, their translation into tangible implementation plans as well as performance against stated mission goals. The maturity levels capture the key features of regional readiness as a dynamic attribute depending on an ongoing alignment between local problem framings, collective agency of diverse actors, and multi level mission environments.</w:t>
      </w:r>
    </w:p>
    <w:p w14:paraId="299210C6" w14:textId="77777777" w:rsidR="00F34977" w:rsidRPr="00CD05A8" w:rsidRDefault="00F34977" w:rsidP="00F34977">
      <w:pPr>
        <w:pStyle w:val="AbstractBookBaseParagraph"/>
        <w:rPr>
          <w:rFonts w:ascii="Noto Serif Light" w:hAnsi="Noto Serif Light" w:cs="Noto Serif Light"/>
        </w:rPr>
      </w:pPr>
    </w:p>
    <w:p w14:paraId="639A4608"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While this analytical framework seems to raise high expectations on regions’ abilities to define and implement place-based missions, it is meant to be understood as an approach to analyse a diversity of place-based approaches. Regions might take very different approaches to programming and performing, to demand articulation and learning, and we understand our rich framework to embrace that complexity and offer a structure to compare them. </w:t>
      </w:r>
    </w:p>
    <w:p w14:paraId="307D9366" w14:textId="77777777" w:rsidR="00F34977" w:rsidRPr="00CD05A8" w:rsidRDefault="00F34977" w:rsidP="00F34977">
      <w:pPr>
        <w:pStyle w:val="AbstractBookBaseParagraph"/>
        <w:rPr>
          <w:rFonts w:ascii="Noto Serif Light" w:hAnsi="Noto Serif Light" w:cs="Noto Serif Light"/>
        </w:rPr>
      </w:pPr>
    </w:p>
    <w:p w14:paraId="5C8C7882"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br w:type="page"/>
      </w:r>
    </w:p>
    <w:p w14:paraId="6AE85A61" w14:textId="02B527B8" w:rsidR="00EE6349" w:rsidRDefault="00F34977" w:rsidP="00EE6349">
      <w:pPr>
        <w:pStyle w:val="ABSubhead"/>
      </w:pPr>
      <w:r>
        <w:lastRenderedPageBreak/>
        <w:t xml:space="preserve">O57. </w:t>
      </w:r>
      <w:r w:rsidR="00EE6349" w:rsidRPr="00CD05A8">
        <w:t>The Finnish Innovation Policy Paradox in the Era of Transformative Ambitions</w:t>
      </w:r>
    </w:p>
    <w:p w14:paraId="6EE02FAD" w14:textId="77777777" w:rsidR="00EE6349" w:rsidRPr="00717EF1" w:rsidRDefault="00EE6349" w:rsidP="00EE6349">
      <w:pPr>
        <w:pStyle w:val="ABParagraph"/>
      </w:pPr>
    </w:p>
    <w:p w14:paraId="2991E42E" w14:textId="77777777" w:rsidR="00EE6349" w:rsidRPr="00637294" w:rsidRDefault="00EE6349" w:rsidP="00EE6349">
      <w:pPr>
        <w:pStyle w:val="AbstractBookAuthors"/>
        <w:rPr>
          <w:rFonts w:ascii="Noto Serif Light" w:hAnsi="Noto Serif Light" w:cs="Noto Serif Light"/>
          <w:vertAlign w:val="superscript"/>
        </w:rPr>
      </w:pPr>
      <w:r w:rsidRPr="00CD05A8">
        <w:rPr>
          <w:rStyle w:val="AbstractBookPresentingAuthor"/>
          <w:rFonts w:ascii="Noto Serif Light" w:hAnsi="Noto Serif Light" w:cs="Noto Serif Light"/>
        </w:rPr>
        <w:t>Kalle Tuomi</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 </w:t>
      </w:r>
      <w:r>
        <w:rPr>
          <w:rStyle w:val="AbstractBookBaseCharacterStyle"/>
          <w:rFonts w:ascii="Noto Serif Light" w:hAnsi="Noto Serif Light" w:cs="Noto Serif Light"/>
        </w:rPr>
        <w:t xml:space="preserve">Dr </w:t>
      </w:r>
      <w:r w:rsidRPr="00CD05A8">
        <w:rPr>
          <w:rStyle w:val="AbstractBookBaseCharacterStyle"/>
          <w:rFonts w:ascii="Noto Serif Light" w:hAnsi="Noto Serif Light" w:cs="Noto Serif Light"/>
        </w:rPr>
        <w:t>Heli Kurikka</w:t>
      </w:r>
      <w:r>
        <w:rPr>
          <w:rStyle w:val="AbstractBookBaseCharacterStyle"/>
          <w:rFonts w:ascii="Noto Serif Light" w:hAnsi="Noto Serif Light" w:cs="Noto Serif Light"/>
          <w:vertAlign w:val="superscript"/>
        </w:rPr>
        <w:t>1</w:t>
      </w:r>
    </w:p>
    <w:p w14:paraId="5CEB7494" w14:textId="77777777" w:rsidR="00EE6349" w:rsidRDefault="00EE6349" w:rsidP="00EE6349">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Tampere University, Tampere, Finland</w:t>
      </w:r>
    </w:p>
    <w:p w14:paraId="4FE430A0" w14:textId="77777777" w:rsidR="00EE6349" w:rsidRDefault="00EE6349" w:rsidP="00EE6349">
      <w:pPr>
        <w:pStyle w:val="AbstractBookBaseParagraph"/>
        <w:rPr>
          <w:rStyle w:val="AbstractBookBaseCharacterStyle"/>
          <w:rFonts w:ascii="Noto Serif Light" w:hAnsi="Noto Serif Light" w:cs="Noto Serif Light"/>
        </w:rPr>
      </w:pPr>
    </w:p>
    <w:p w14:paraId="002A4252" w14:textId="77777777" w:rsidR="00EE6349" w:rsidRPr="00717EF1" w:rsidRDefault="00EE6349" w:rsidP="00EE6349">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703EEF3F" w14:textId="77777777" w:rsidR="00EE6349" w:rsidRDefault="00EE6349" w:rsidP="00EE6349">
      <w:pPr>
        <w:pStyle w:val="AbstractBookBaseParagraph"/>
        <w:rPr>
          <w:rFonts w:ascii="Noto Serif Light" w:hAnsi="Noto Serif Light" w:cs="Noto Serif Light"/>
        </w:rPr>
      </w:pPr>
      <w:r w:rsidRPr="00CD05A8">
        <w:rPr>
          <w:rFonts w:ascii="Noto Serif Light" w:hAnsi="Noto Serif Light" w:cs="Noto Serif Light"/>
        </w:rPr>
        <w:t xml:space="preserve">Many advanced economies struggle to translate strong innovation capacity into productivity growth, a phenomenon discussed as the European, Swedish, or Nordic paradox. We contribute to this debate from a new, policy-centred angle by introducing the Finnish Innovation Policy Paradox (FIPP); despite increasing public R&amp;D investments, Finland has not achieved the expected economic growth and broader societal value amid its evolving transformative and mission-oriented ambitions. Rather than focusing on the volume of R&amp;D investment, we shift attention to its qualitative orientation by asking two questions: </w:t>
      </w:r>
    </w:p>
    <w:p w14:paraId="396D2B37" w14:textId="77777777" w:rsidR="00EE6349" w:rsidRPr="00CD05A8" w:rsidRDefault="00EE6349" w:rsidP="00EE6349">
      <w:pPr>
        <w:pStyle w:val="AbstractBookBaseParagraph"/>
        <w:rPr>
          <w:rFonts w:ascii="Noto Serif Light" w:hAnsi="Noto Serif Light" w:cs="Noto Serif Light"/>
        </w:rPr>
      </w:pPr>
    </w:p>
    <w:p w14:paraId="2C1FB16D" w14:textId="77777777" w:rsidR="00EE6349" w:rsidRDefault="00EE6349" w:rsidP="00EE6349">
      <w:pPr>
        <w:pStyle w:val="AbstractBookBaseParagraph"/>
        <w:rPr>
          <w:rFonts w:ascii="Noto Serif Light" w:hAnsi="Noto Serif Light" w:cs="Noto Serif Light"/>
        </w:rPr>
      </w:pPr>
      <w:r w:rsidRPr="00717EF1">
        <w:rPr>
          <w:rFonts w:ascii="Noto Serif Light" w:hAnsi="Noto Serif Light" w:cs="Noto Serif Light"/>
        </w:rPr>
        <w:t>(1</w:t>
      </w:r>
      <w:r>
        <w:rPr>
          <w:rFonts w:ascii="Noto Serif Light" w:hAnsi="Noto Serif Light" w:cs="Noto Serif Light"/>
        </w:rPr>
        <w:t xml:space="preserve">) </w:t>
      </w:r>
      <w:r w:rsidRPr="00CD05A8">
        <w:rPr>
          <w:rFonts w:ascii="Noto Serif Light" w:hAnsi="Noto Serif Light" w:cs="Noto Serif Light"/>
        </w:rPr>
        <w:t>What kind of interpretation of innovation does Finnish innovation policy promote? and (2) How does Finnish innovation policy reflect and operationalise transformative and mission-oriented criteria?</w:t>
      </w:r>
    </w:p>
    <w:p w14:paraId="56E67145" w14:textId="77777777" w:rsidR="00EE6349" w:rsidRPr="00717EF1" w:rsidRDefault="00EE6349" w:rsidP="00EE6349">
      <w:pPr>
        <w:pStyle w:val="AbstractBookBaseParagraph"/>
        <w:rPr>
          <w:rFonts w:ascii="Noto Serif Light" w:hAnsi="Noto Serif Light" w:cs="Noto Serif Light"/>
        </w:rPr>
      </w:pPr>
    </w:p>
    <w:p w14:paraId="619459A1" w14:textId="77777777" w:rsidR="00EE6349" w:rsidRDefault="00EE6349" w:rsidP="00EE6349">
      <w:pPr>
        <w:pStyle w:val="AbstractBookBaseParagraph"/>
        <w:rPr>
          <w:rFonts w:ascii="Noto Serif Light" w:hAnsi="Noto Serif Light" w:cs="Noto Serif Light"/>
        </w:rPr>
      </w:pPr>
      <w:r w:rsidRPr="00CD05A8">
        <w:rPr>
          <w:rFonts w:ascii="Noto Serif Light" w:hAnsi="Noto Serif Light" w:cs="Noto Serif Light"/>
        </w:rPr>
        <w:t>We treat mission-led rhetoric as a future-oriented policy imaginery and examine how it is translated into the steering protocol. We argue that the dominant STI-led steering and metric-centred governance can generate uneven development by privileging regions and actors best aligned with formal R&amp;D infrastructures, while under-supporting DUI-type of learning and societal embedding.</w:t>
      </w:r>
    </w:p>
    <w:p w14:paraId="133F4F1B" w14:textId="77777777" w:rsidR="00EE6349" w:rsidRPr="00CD05A8" w:rsidRDefault="00EE6349" w:rsidP="00EE6349">
      <w:pPr>
        <w:pStyle w:val="AbstractBookBaseParagraph"/>
        <w:rPr>
          <w:rFonts w:ascii="Noto Serif Light" w:hAnsi="Noto Serif Light" w:cs="Noto Serif Light"/>
        </w:rPr>
      </w:pPr>
    </w:p>
    <w:p w14:paraId="7ECA7B92" w14:textId="77777777" w:rsidR="00EE6349" w:rsidRDefault="00EE6349" w:rsidP="00EE6349">
      <w:pPr>
        <w:pStyle w:val="AbstractBookBaseParagraph"/>
        <w:rPr>
          <w:rFonts w:ascii="Noto Serif Light" w:hAnsi="Noto Serif Light" w:cs="Noto Serif Light"/>
        </w:rPr>
      </w:pPr>
      <w:r w:rsidRPr="00CD05A8">
        <w:rPr>
          <w:rFonts w:ascii="Noto Serif Light" w:hAnsi="Noto Serif Light" w:cs="Noto Serif Light"/>
        </w:rPr>
        <w:t>In our study, we draw on key TIP/MOIP criteria (including directionality, multi-level coordination, reflexivity/learning, and demand articulation), and interpret these through the lens of STI and DUI modes of innovation. In this framing STI is associated with formal R&amp;D, technological breakthroughs and codified metrics, whereas DUI represent experiential learning, organisational capabilities, user-driven innovation, and socially embedded interaction, all of which are harder to capture with conventional indicators.</w:t>
      </w:r>
    </w:p>
    <w:p w14:paraId="38F39C28" w14:textId="77777777" w:rsidR="00EE6349" w:rsidRPr="00CD05A8" w:rsidRDefault="00EE6349" w:rsidP="00EE6349">
      <w:pPr>
        <w:pStyle w:val="AbstractBookBaseParagraph"/>
        <w:rPr>
          <w:rFonts w:ascii="Noto Serif Light" w:hAnsi="Noto Serif Light" w:cs="Noto Serif Light"/>
        </w:rPr>
      </w:pPr>
    </w:p>
    <w:p w14:paraId="74BA77C8" w14:textId="77777777" w:rsidR="00EE6349" w:rsidRDefault="00EE6349" w:rsidP="00EE6349">
      <w:pPr>
        <w:pStyle w:val="AbstractBookBaseParagraph"/>
        <w:rPr>
          <w:rFonts w:ascii="Noto Serif Light" w:hAnsi="Noto Serif Light" w:cs="Noto Serif Light"/>
        </w:rPr>
      </w:pPr>
      <w:r w:rsidRPr="00CD05A8">
        <w:rPr>
          <w:rFonts w:ascii="Noto Serif Light" w:hAnsi="Noto Serif Light" w:cs="Noto Serif Light"/>
        </w:rPr>
        <w:t xml:space="preserve">Empirically, we employ qualitative document analysis to uncover how Finnish innovation policy is defined, steered and evaluated in the first half of the 2020s. Our data set consists of central Finnish innovation policy documents from 2021-2026 (N=30), including laws, programmes, strategies, evaluations and research reports. The set of documents is categorised into (1) official policy documents or laws (n=17), (2) independent policy meta-evaluations, discussions or recommendations (n=7), and (3) commissioned policy evaluations or self-evaluations (n=6). We use a theory-informed analytical framework, derive analytical criteria from the research questions and from STI/DUI and TIP/MOIP literatures, identify criterion-matching passages, summarise them into a case-theme matrix remaining open to emergent themes, and interpret patterns by comparing how different criteria are emphasised across documents. </w:t>
      </w:r>
    </w:p>
    <w:p w14:paraId="309217E9" w14:textId="77777777" w:rsidR="00EE6349" w:rsidRPr="00CD05A8" w:rsidRDefault="00EE6349" w:rsidP="00EE6349">
      <w:pPr>
        <w:pStyle w:val="AbstractBookBaseParagraph"/>
        <w:rPr>
          <w:rFonts w:ascii="Noto Serif Light" w:hAnsi="Noto Serif Light" w:cs="Noto Serif Light"/>
        </w:rPr>
      </w:pPr>
    </w:p>
    <w:p w14:paraId="6FAC20FB" w14:textId="77777777" w:rsidR="00EE6349" w:rsidRDefault="00EE6349" w:rsidP="00EE6349">
      <w:pPr>
        <w:pStyle w:val="AbstractBookBaseParagraph"/>
        <w:rPr>
          <w:rFonts w:ascii="Noto Serif Light" w:hAnsi="Noto Serif Light" w:cs="Noto Serif Light"/>
        </w:rPr>
      </w:pPr>
      <w:r w:rsidRPr="00CD05A8">
        <w:rPr>
          <w:rFonts w:ascii="Noto Serif Light" w:hAnsi="Noto Serif Light" w:cs="Noto Serif Light"/>
        </w:rPr>
        <w:t xml:space="preserve">Our findings indicate that Finnish innovation policy is selectively transformative and dominantly STI-led. First, we identify and R&amp;D emphasis over RDI. “R&amp;D” functions as </w:t>
      </w:r>
      <w:r w:rsidRPr="00CD05A8">
        <w:rPr>
          <w:rFonts w:ascii="Noto Serif Light" w:hAnsi="Noto Serif Light" w:cs="Noto Serif Light"/>
        </w:rPr>
        <w:lastRenderedPageBreak/>
        <w:t>an operational, measurable core, while “RDI” is frequently treated as a broader rhetorical umbrella at the system level rather than a strategic steering logic with comparable operational content. Second, innovation is framed predominantly through an STI lens across steering documents and evaluations: formal R&amp;D, research infrastructures, and aspirations for high-tech breakthroughs are prioritised, supported by input-output metrics such as R&amp;D expenditure, R&amp;D personnel, patents and related indicators. Third, DUI-based innovation is underemphasised: while elements such as interaction, capabilities, piloting and ecosystems appear in the documents, DUI does not emerge as a leading logic. Instead, it is often positioned as supportive mechanism for implementation and commercialisation after STI-led development has set the core direction. We summarise this imbalance as a “DUI gap” where leaning-oriented, demand-side, and societally embedded innovation receives limited strategic recognition.</w:t>
      </w:r>
    </w:p>
    <w:p w14:paraId="397A2722" w14:textId="77777777" w:rsidR="00EE6349" w:rsidRPr="00CD05A8" w:rsidRDefault="00EE6349" w:rsidP="00EE6349">
      <w:pPr>
        <w:pStyle w:val="AbstractBookBaseParagraph"/>
        <w:rPr>
          <w:rFonts w:ascii="Noto Serif Light" w:hAnsi="Noto Serif Light" w:cs="Noto Serif Light"/>
        </w:rPr>
      </w:pPr>
    </w:p>
    <w:p w14:paraId="1E3C1733" w14:textId="77777777" w:rsidR="00EE6349" w:rsidRDefault="00EE6349" w:rsidP="00EE6349">
      <w:pPr>
        <w:pStyle w:val="AbstractBookBaseParagraph"/>
        <w:rPr>
          <w:rFonts w:ascii="Noto Serif Light" w:hAnsi="Noto Serif Light" w:cs="Noto Serif Light"/>
        </w:rPr>
      </w:pPr>
      <w:r w:rsidRPr="00CD05A8">
        <w:rPr>
          <w:rFonts w:ascii="Noto Serif Light" w:hAnsi="Noto Serif Light" w:cs="Noto Serif Light"/>
        </w:rPr>
        <w:t>When evaluating the policy against TIP/MOIP criteria, we find that transformative directionality is articulated strongly at the strategic level but operationalised unevenly. Missions and challenge-led priorities are visible, yet implementation often remains anchored in earlier steering routines and technology-led interpretations. We also identify governance challenges: coordination tends to favour top-down mechanisms while addressing regional strengths, and the institutional capacity for reflexivity and learning is limited, relying heavily on self-evaluation and commissioned reports, with simple input/output metrics dominating the monitoring of progress. Demand shaping, citizen engagement and user-centricity are acknowledged but weakly operationalised or remain subordinated to STI-centred supply-side governance; demand-side instruments are not consistently treated as core steering levers.</w:t>
      </w:r>
    </w:p>
    <w:p w14:paraId="0252BCD3" w14:textId="77777777" w:rsidR="00EE6349" w:rsidRPr="00CD05A8" w:rsidRDefault="00EE6349" w:rsidP="00EE6349">
      <w:pPr>
        <w:pStyle w:val="AbstractBookBaseParagraph"/>
        <w:rPr>
          <w:rFonts w:ascii="Noto Serif Light" w:hAnsi="Noto Serif Light" w:cs="Noto Serif Light"/>
        </w:rPr>
      </w:pPr>
    </w:p>
    <w:p w14:paraId="3B228E18"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Overall, the Finnish case reveals a policy-steering mismatch that may help explain part of the paradox: innovation in its broader meaning, the “I” in RDI policy, is at risk of being treated as an automatic outcome of expanding R&amp;D investment. Our contribution is to make visible how transformative and mission-oriented ambitions can coexist with inherited measurement and steering logics, and how an STI-dominant orientation may constrain the socio-technical embedding and learning processes necessary for achieving mission-oriented public value.</w:t>
      </w:r>
    </w:p>
    <w:p w14:paraId="37B20557" w14:textId="77777777" w:rsidR="00EE6349" w:rsidRPr="00CD05A8" w:rsidRDefault="00EE6349" w:rsidP="00EE6349">
      <w:pPr>
        <w:pStyle w:val="AbstractBookBaseParagraph"/>
        <w:rPr>
          <w:rFonts w:ascii="Noto Serif Light" w:hAnsi="Noto Serif Light" w:cs="Noto Serif Light"/>
        </w:rPr>
      </w:pPr>
    </w:p>
    <w:p w14:paraId="4383A42F"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br w:type="page"/>
      </w:r>
    </w:p>
    <w:p w14:paraId="0707074F" w14:textId="7252F5A9" w:rsidR="00EE6349" w:rsidRDefault="00F34977" w:rsidP="00EE6349">
      <w:pPr>
        <w:pStyle w:val="ABSubhead"/>
      </w:pPr>
      <w:r>
        <w:lastRenderedPageBreak/>
        <w:t xml:space="preserve">O58. </w:t>
      </w:r>
      <w:r w:rsidR="00EE6349" w:rsidRPr="00CD05A8">
        <w:t>Innovation Ecosystems in Ukraine and Post War Reconstruction</w:t>
      </w:r>
    </w:p>
    <w:p w14:paraId="33B00464" w14:textId="77777777" w:rsidR="00EE6349" w:rsidRPr="00AB325A" w:rsidRDefault="00EE6349" w:rsidP="00EE6349">
      <w:pPr>
        <w:pStyle w:val="ABParagraph"/>
      </w:pPr>
    </w:p>
    <w:p w14:paraId="02A54DFE" w14:textId="77777777" w:rsidR="00EE6349" w:rsidRPr="00CD05A8" w:rsidRDefault="00EE6349" w:rsidP="00EE6349">
      <w:pPr>
        <w:pStyle w:val="AbstractBookAuthors"/>
        <w:rPr>
          <w:rFonts w:ascii="Noto Serif Light" w:hAnsi="Noto Serif Light" w:cs="Noto Serif Light"/>
        </w:rPr>
      </w:pPr>
      <w:r w:rsidRPr="00CD05A8">
        <w:rPr>
          <w:rStyle w:val="AbstractBookPresentingAuthor"/>
          <w:rFonts w:ascii="Noto Serif Light" w:hAnsi="Noto Serif Light" w:cs="Noto Serif Light"/>
        </w:rPr>
        <w:t>Des McNulty</w:t>
      </w:r>
      <w:r w:rsidRPr="00CD05A8">
        <w:rPr>
          <w:rFonts w:ascii="Noto Serif Light" w:hAnsi="Noto Serif Light" w:cs="Noto Serif Light"/>
          <w:vertAlign w:val="superscript"/>
        </w:rPr>
        <w:t>1</w:t>
      </w:r>
    </w:p>
    <w:p w14:paraId="1AADBEB3" w14:textId="77777777" w:rsidR="00EE6349" w:rsidRDefault="00EE6349" w:rsidP="00EE6349">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Glasgow Caledonian University, Glasgow, United Kingdom</w:t>
      </w:r>
    </w:p>
    <w:p w14:paraId="1679A011" w14:textId="77777777" w:rsidR="00EE6349" w:rsidRDefault="00EE6349" w:rsidP="00EE6349">
      <w:pPr>
        <w:pStyle w:val="AbstractBookBaseParagraph"/>
        <w:rPr>
          <w:rStyle w:val="AbstractBookBaseCharacterStyle"/>
          <w:rFonts w:ascii="Noto Serif Light" w:hAnsi="Noto Serif Light" w:cs="Noto Serif Light"/>
        </w:rPr>
      </w:pPr>
    </w:p>
    <w:p w14:paraId="52FE57C9" w14:textId="77777777" w:rsidR="00EE6349" w:rsidRPr="00AB325A" w:rsidRDefault="00EE6349" w:rsidP="00EE6349">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027A88EC"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 xml:space="preserve">Russia's invasion of Ukraine has generated an unprecedented acceleration of military-technological innovation, with Ukraine producing approximately 2 million drones in 2024 alone—96.2% of which are domestically manufactured. This paper examines Ukraine's innovation ecosystem through the theoretical frameworks of absorptive capacity, economic complexity, and adjacency theory, arguing that Ukraine's rapid technological adaptation represents a distinctive model of innovation driven by existential threat rather than market competition. Drawing on Hausmann and Hidalgo's concepts of productive knowledge, capability complementarities, and the 'adjacent possible,' we demonstrate how Ukraine has leveraged its scientific heritage and technical education infrastructure to rapidly develop and deploy advanced autonomous systems, electronic warfare capabilities, and AI-enhanced targeting. The analysis reveals critical lessons for post-war reconstruction: Ukraine's wartime innovation networks—characterised by shortened prototyping-to-deployment cycles, civilian-military integration, and grassroots technological mobilisation—represent valuable institutional capital that must be deliberately preserved and adapted for peacetime economic development. </w:t>
      </w:r>
    </w:p>
    <w:p w14:paraId="31E3837A" w14:textId="77777777" w:rsidR="00EE6349" w:rsidRPr="00CD05A8" w:rsidRDefault="00EE6349" w:rsidP="00EE6349">
      <w:pPr>
        <w:pStyle w:val="AbstractBookBaseParagraph"/>
        <w:rPr>
          <w:rFonts w:ascii="Noto Serif Light" w:hAnsi="Noto Serif Light" w:cs="Noto Serif Light"/>
        </w:rPr>
      </w:pPr>
    </w:p>
    <w:p w14:paraId="0037AC94"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Cohen and Levinthal (1990) introduced the concept of absorptive capacity to describe a firm's ability to recognise the value of new external information, assimilate it, and apply it to commercial ends. They argue that absorptive capacity is largely a function of the firm's level of prior related knowledge, which enables recognition of the value of new information and facilitates its assimilation and exploitation. This concept, while developed in the context of private sector innovation, provides powerful analytical leverage for understanding Ukraine's capacity to rapidly integrate allied military technologies, commercial systems, and frontier technologies into battlefield applications.</w:t>
      </w:r>
    </w:p>
    <w:p w14:paraId="72E4584B" w14:textId="77777777" w:rsidR="00EE6349" w:rsidRPr="00CD05A8" w:rsidRDefault="00EE6349" w:rsidP="00EE6349">
      <w:pPr>
        <w:pStyle w:val="AbstractBookBaseParagraph"/>
        <w:rPr>
          <w:rFonts w:ascii="Noto Serif Light" w:hAnsi="Noto Serif Light" w:cs="Noto Serif Light"/>
        </w:rPr>
      </w:pPr>
    </w:p>
    <w:p w14:paraId="3D1C2DBC"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Ukraine's absorptive capacity manifests in several dimensions. First, the ability to repurpose external technologies—adapting Starlink satellite communications for military use, converting commercial First-Person View (FPV) drones for kamikaze attacks, and integrating Western intelligence data into Ukrainian targeting systems. Second, the creative application of technologies to purposes only indirectly related to original design—exemplified by development of unmanned surface vessels that, despite Ukraine lacking an operational navy, successfully struck Russia's Black Sea fleet and forced relocation of major assets (Rickli and Mantellassi, 2024). Third, the grassroots mobilisation of scientific and technical networks enabling rapid innovation cycles from concept to battlefield deployment, often within weeks rather than the years typical of conventional military procurement.</w:t>
      </w:r>
    </w:p>
    <w:p w14:paraId="7D134A27" w14:textId="77777777" w:rsidR="00EE6349" w:rsidRPr="00CD05A8" w:rsidRDefault="00EE6349" w:rsidP="00EE6349">
      <w:pPr>
        <w:pStyle w:val="AbstractBookBaseParagraph"/>
        <w:rPr>
          <w:rFonts w:ascii="Noto Serif Light" w:hAnsi="Noto Serif Light" w:cs="Noto Serif Light"/>
        </w:rPr>
      </w:pPr>
    </w:p>
    <w:p w14:paraId="6810B799"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 xml:space="preserve">Zahra and George (2002) distinguish between potential absorptive capacity (acquisition and assimilation of external knowledge) and realised absorptive capacity </w:t>
      </w:r>
      <w:r w:rsidRPr="00CD05A8">
        <w:rPr>
          <w:rFonts w:ascii="Noto Serif Light" w:hAnsi="Noto Serif Light" w:cs="Noto Serif Light"/>
        </w:rPr>
        <w:lastRenderedPageBreak/>
        <w:t>(transformation and exploitation of that knowledge). Ukraine demonstrates exceptionally high realised absorptive capacity—not merely receiving Western technologies but rapidly transforming them for specific battlefield applications. This transformation capability reflects Ukraine's well-established scientific tradition and overt focus on technical education, generating large numbers of predominantly young, highly skilled engineers and computer scientists, and people with complementary practical, scientific or organisational skills who have been instrumental in quickly developing new offensive and defensive technologies, often trialling and testing them in the field within a few weeks.</w:t>
      </w:r>
    </w:p>
    <w:p w14:paraId="6460451E" w14:textId="77777777" w:rsidR="00EE6349" w:rsidRPr="00CD05A8" w:rsidRDefault="00EE6349" w:rsidP="00EE6349">
      <w:pPr>
        <w:pStyle w:val="AbstractBookBaseParagraph"/>
        <w:rPr>
          <w:rFonts w:ascii="Noto Serif Light" w:hAnsi="Noto Serif Light" w:cs="Noto Serif Light"/>
        </w:rPr>
      </w:pPr>
    </w:p>
    <w:p w14:paraId="5C487640"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Hidalgo and Hausmann (2009) develop a framework for understanding economic development centred on the concept of economic complexity—the diversity and sophistication of productive knowledge embedded in an economy. Their foundational insight is that countries accumulate productive knowledge by developing capacity to make a larger variety of increasingly complex products. This process is path-dependent: the products a country can feasibly make next (the 'adjacent possible') are determined by its current capabilities.</w:t>
      </w:r>
    </w:p>
    <w:p w14:paraId="62ED53BC" w14:textId="77777777" w:rsidR="00EE6349" w:rsidRPr="00CD05A8" w:rsidRDefault="00EE6349" w:rsidP="00EE6349">
      <w:pPr>
        <w:pStyle w:val="AbstractBookBaseParagraph"/>
        <w:rPr>
          <w:rFonts w:ascii="Noto Serif Light" w:hAnsi="Noto Serif Light" w:cs="Noto Serif Light"/>
        </w:rPr>
      </w:pPr>
    </w:p>
    <w:p w14:paraId="45B22F02"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The product space framework (Hidalgo et al., 2007) maps relationships between products based on the capabilities required to produce them. Products requiring similar capabilities cluster together in the network. Countries move through this space by accumulating new capabilities that allow production of nearby products—those sharing capability requirements with current production. The crucial insight is that capability acquisition exhibits complementarities: the return to accumulating a new capability increases exponentially with the number of capabilities already possessed (Hausmann and Hidalgo, 2011).</w:t>
      </w:r>
    </w:p>
    <w:p w14:paraId="5FC24627" w14:textId="77777777" w:rsidR="00EE6349" w:rsidRPr="00CD05A8" w:rsidRDefault="00EE6349" w:rsidP="00EE6349">
      <w:pPr>
        <w:pStyle w:val="AbstractBookBaseParagraph"/>
        <w:rPr>
          <w:rFonts w:ascii="Noto Serif Light" w:hAnsi="Noto Serif Light" w:cs="Noto Serif Light"/>
        </w:rPr>
      </w:pPr>
    </w:p>
    <w:p w14:paraId="3B0A2B9F"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 xml:space="preserve">Ukraine's pre-war position in the product space reflected its Soviet-era industrial heritage—capabilities in aerospace, metallurgy, heavy machinery, and military-industrial production. The country possessed substantial technological capabilities but faced challenges in translating these into diversified high-value exports. </w:t>
      </w:r>
    </w:p>
    <w:p w14:paraId="10384A5B" w14:textId="77777777" w:rsidR="00EE6349" w:rsidRPr="00CD05A8" w:rsidRDefault="00EE6349" w:rsidP="00EE6349">
      <w:pPr>
        <w:pStyle w:val="AbstractBookBaseParagraph"/>
        <w:rPr>
          <w:rFonts w:ascii="Noto Serif Light" w:hAnsi="Noto Serif Light" w:cs="Noto Serif Light"/>
        </w:rPr>
      </w:pPr>
    </w:p>
    <w:p w14:paraId="5A89457F"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The wartime innovation surge represents rapid capability accumulation in a specific direction: autonomous systems, electronic warfare, AI-enhanced targeting, cyber defence, and advanced materials. Critically, these capabilities exhibit strong complementarities with each other and with Ukraine's existing technical knowledge base. The development of autonomous drones, for example, draws on aerospace engineering, software development, materials science, electronics, and AI—capabilities Ukraine possessed in varying degrees but had not previously combined at scale for military purposes.</w:t>
      </w:r>
    </w:p>
    <w:p w14:paraId="5F3BFB11" w14:textId="77777777" w:rsidR="00EE6349" w:rsidRPr="00CD05A8" w:rsidRDefault="00EE6349" w:rsidP="00EE6349">
      <w:pPr>
        <w:pStyle w:val="AbstractBookBaseParagraph"/>
        <w:rPr>
          <w:rFonts w:ascii="Noto Serif Light" w:hAnsi="Noto Serif Light" w:cs="Noto Serif Light"/>
        </w:rPr>
      </w:pPr>
    </w:p>
    <w:p w14:paraId="1B1BA487"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The concept of adjacency in economic complexity theory has profound implications for skills development and innovation policy. Neffke et al. (2011) demonstrate that new industries are more likely to emerge in regions where related industries already exist, because the required capabilities are present locally. This 'regional branching' occurs along lines of relatedness—new activities tend to be (technologically and/or skill-wise) related to pre-existing activities.</w:t>
      </w:r>
    </w:p>
    <w:p w14:paraId="0E83915C" w14:textId="77777777" w:rsidR="00EE6349" w:rsidRPr="00CD05A8" w:rsidRDefault="00EE6349" w:rsidP="00EE6349">
      <w:pPr>
        <w:pStyle w:val="AbstractBookBaseParagraph"/>
        <w:rPr>
          <w:rFonts w:ascii="Noto Serif Light" w:hAnsi="Noto Serif Light" w:cs="Noto Serif Light"/>
        </w:rPr>
      </w:pPr>
    </w:p>
    <w:p w14:paraId="686C2061"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lastRenderedPageBreak/>
        <w:t>Ukraine's rapid drone industry development illustrates this adjacency principle. According to the Johns Hopkins Applied Physics Laboratory (2025), Ukraine went from seven drone manufacturers before the war to over 200 producing more than 300 types by 2024, with monthly production reaching 200,000 FPV drones. This explosive growth was possible because Ukraine possessed adjacent capabilities: aerospace engineering from its Soviet-era rocket industry, electronics manufacturing, software development, and mechanical engineering. The war created intense demand that activated latent capabilities and drove formation of new capability combinations.</w:t>
      </w:r>
    </w:p>
    <w:p w14:paraId="17231EA7" w14:textId="77777777" w:rsidR="00EE6349" w:rsidRPr="00CD05A8" w:rsidRDefault="00EE6349" w:rsidP="00EE6349">
      <w:pPr>
        <w:pStyle w:val="AbstractBookBaseParagraph"/>
        <w:rPr>
          <w:rFonts w:ascii="Noto Serif Light" w:hAnsi="Noto Serif Light" w:cs="Noto Serif Light"/>
        </w:rPr>
      </w:pPr>
    </w:p>
    <w:p w14:paraId="395BB859"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Skills complementarity—whereby the productivity of one skill increases with the presence of other skills—plays a crucial role in innovation ecosystems. Hartog et al. (2024) analyse how in the United States the assembling of specialists and coordination of interdependencies amongst team members accelerated innovation. Ukraine's innovation ecosystem exhibits similar dynamics: teams combining software engineers, materials scientists, mechanical engineers, military tacticians, and field operators enable rapid iterative development impossible within single disciplines.</w:t>
      </w:r>
    </w:p>
    <w:p w14:paraId="0EBBF358" w14:textId="77777777" w:rsidR="00EE6349" w:rsidRPr="00CD05A8" w:rsidRDefault="00EE6349" w:rsidP="00EE6349">
      <w:pPr>
        <w:pStyle w:val="AbstractBookBaseParagraph"/>
        <w:rPr>
          <w:rFonts w:ascii="Noto Serif Light" w:hAnsi="Noto Serif Light" w:cs="Noto Serif Light"/>
        </w:rPr>
      </w:pPr>
    </w:p>
    <w:p w14:paraId="5B73359C"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Ukraine's innovation ecosystem is characterized by extraordinarily compressed development cycles. Rickli and Mantellassi (2024) note that 'Ukraine successfully shortened the loop between prototyping, experimenting, testing, producing and fielding drones, as well as streamlining procedures to provide the armed forces with drone technologies.' This compression reflects several factors: existential threat creating intense demand-pull, elimination of peacetime bureaucratic processes, direct feedback from battlefield use to developers, and integration of end-users (soldiers) into development teams.</w:t>
      </w:r>
    </w:p>
    <w:p w14:paraId="6DDC75D0" w14:textId="77777777" w:rsidR="00EE6349" w:rsidRPr="00CD05A8" w:rsidRDefault="00EE6349" w:rsidP="00EE6349">
      <w:pPr>
        <w:pStyle w:val="AbstractBookBaseParagraph"/>
        <w:rPr>
          <w:rFonts w:ascii="Noto Serif Light" w:hAnsi="Noto Serif Light" w:cs="Noto Serif Light"/>
        </w:rPr>
      </w:pPr>
    </w:p>
    <w:p w14:paraId="3DA0AC17"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The adaptive capacity extends to electronic warfare countermeasures. The Johns Hopkins Applied Physics Laboratory (2025) describes how Ukrainian companies developed drone-targeting algorithms to identify targets at range based on size, shape, colour, or infrared heat signature, allowing drones to continue via autopilot when communication is jammed.</w:t>
      </w:r>
    </w:p>
    <w:p w14:paraId="57F6CE30" w14:textId="77777777" w:rsidR="00EE6349" w:rsidRPr="00CD05A8" w:rsidRDefault="00EE6349" w:rsidP="00EE6349">
      <w:pPr>
        <w:pStyle w:val="AbstractBookBaseParagraph"/>
        <w:rPr>
          <w:rFonts w:ascii="Noto Serif Light" w:hAnsi="Noto Serif Light" w:cs="Noto Serif Light"/>
        </w:rPr>
      </w:pPr>
    </w:p>
    <w:p w14:paraId="3250ED7E"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Ukraine's innovation model exhibits remarkable integration between civilian and military spheres. The Bloomsbury Intelligence and Security Institute (2025) predicts increased civil-military integration like Israel's military Research and Design ecosystem, involving formal collaboration between military, government, tech startups, and academic researchers to rapidly develop and deploy defence technologies. The country's battlefield innovation ecosystem, while born of necessity, creates competitive advantages that could be leveraged for post-war economic development. The ability to rapidly develop, test, and iterate technologies under extreme conditions represents a unique capability with potential commercial applications beyond military markets.</w:t>
      </w:r>
    </w:p>
    <w:p w14:paraId="65B3BD62" w14:textId="77777777" w:rsidR="00EE6349" w:rsidRPr="00CD05A8" w:rsidRDefault="00EE6349" w:rsidP="00EE6349">
      <w:pPr>
        <w:pStyle w:val="AbstractBookBaseParagraph"/>
        <w:rPr>
          <w:rFonts w:ascii="Noto Serif Light" w:hAnsi="Noto Serif Light" w:cs="Noto Serif Light"/>
        </w:rPr>
      </w:pPr>
    </w:p>
    <w:p w14:paraId="3B7544CC"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Post-war reconstruction presents both opportunities and risks for Ukraine's innovation ecosystem. The Bloomsbury Intelligence and Security Institute (2025) argues that 'should the war conclude, Ukraine will continue to prioritise technological innovation as a core pillar of its national security strategy, focusing on developing advanced capabilities such as drones, AI systems, and cyber tools to deter future threats.' This continuity of innovation focus could provide foundation for a wider economic transformation.</w:t>
      </w:r>
    </w:p>
    <w:p w14:paraId="1CDD2B0A" w14:textId="77777777" w:rsidR="00EE6349" w:rsidRPr="00CD05A8" w:rsidRDefault="00EE6349" w:rsidP="00EE6349">
      <w:pPr>
        <w:pStyle w:val="AbstractBookBaseParagraph"/>
        <w:rPr>
          <w:rFonts w:ascii="Noto Serif Light" w:hAnsi="Noto Serif Light" w:cs="Noto Serif Light"/>
        </w:rPr>
      </w:pPr>
    </w:p>
    <w:p w14:paraId="6BC8EBCE"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However, deliberate policy intervention is required to channel wartime innovation capabilities toward peacetime economic development. The core challenge is institutionalising and nurturing wartime innovation networks for long-term economic transformation. This requires: gathering international evidence on successful transitions from wartime to peacetime innovation; developing national skills intelligence systems to map capabilities and complementarities; identifying skills mismatches and working with vocational training providers to address gaps; and creating mechanisms to gather and preserve tacit knowledge embedded in practitioner networks.</w:t>
      </w:r>
    </w:p>
    <w:p w14:paraId="160B417D" w14:textId="77777777" w:rsidR="00EE6349" w:rsidRPr="00CD05A8" w:rsidRDefault="00EE6349" w:rsidP="00EE6349">
      <w:pPr>
        <w:pStyle w:val="AbstractBookBaseParagraph"/>
        <w:rPr>
          <w:rFonts w:ascii="Noto Serif Light" w:hAnsi="Noto Serif Light" w:cs="Noto Serif Light"/>
        </w:rPr>
      </w:pPr>
    </w:p>
    <w:p w14:paraId="48DC116E"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 xml:space="preserve">Ukraine's absorptive capacity, demonstrated through rapid integration and adaptation of external technologies, represents valuable institutional capital. Maintaining this capacity requires sustained investment in technical education, research infrastructure, and networks connecting researchers, developers, and users. </w:t>
      </w:r>
    </w:p>
    <w:p w14:paraId="3D958B91" w14:textId="77777777" w:rsidR="00EE6349" w:rsidRPr="00CD05A8" w:rsidRDefault="00EE6349" w:rsidP="00EE6349">
      <w:pPr>
        <w:pStyle w:val="AbstractBookBaseParagraph"/>
        <w:rPr>
          <w:rFonts w:ascii="Noto Serif Light" w:hAnsi="Noto Serif Light" w:cs="Noto Serif Light"/>
        </w:rPr>
      </w:pPr>
    </w:p>
    <w:p w14:paraId="2D181504"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Applying Hausmann and Hidalgo's framework, Ukraine's wartime capability accumulation has positioned it in new regions of the product space. Capabilities in autonomous systems, AI, advanced materials, electronic warfare, and systems integration open adjacent possibilities for civilian applications: autonomous agricultural equipment, logistics automation, civil defence systems, advanced manufacturing, and robotics for hazardous environments including demining.</w:t>
      </w:r>
    </w:p>
    <w:p w14:paraId="0FEAFE0B" w14:textId="77777777" w:rsidR="00EE6349" w:rsidRPr="00CD05A8" w:rsidRDefault="00EE6349" w:rsidP="00EE6349">
      <w:pPr>
        <w:pStyle w:val="AbstractBookBaseParagraph"/>
        <w:rPr>
          <w:rFonts w:ascii="Noto Serif Light" w:hAnsi="Noto Serif Light" w:cs="Noto Serif Light"/>
        </w:rPr>
      </w:pPr>
    </w:p>
    <w:p w14:paraId="45209954"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The principle of relatedness suggests these adjacent opportunities should be prioritised in reconstruction planning. Rather than attempting jumps to distant parts of the product space, Ukraine should leverage existing capabilities to develop related products and services. For example, drone manufacturing capabilities could extend to commercial UAV markets (delivery, inspection, mapping), agricultural robotics, or entertainment/media production. AI capabilities developed for targeting could adapt to medical imaging, agricultural monitoring, or infrastructure assessment.</w:t>
      </w:r>
    </w:p>
    <w:p w14:paraId="0EA7013D" w14:textId="77777777" w:rsidR="00EE6349" w:rsidRPr="00CD05A8" w:rsidRDefault="00EE6349" w:rsidP="00EE6349">
      <w:pPr>
        <w:pStyle w:val="AbstractBookBaseParagraph"/>
        <w:rPr>
          <w:rFonts w:ascii="Noto Serif Light" w:hAnsi="Noto Serif Light" w:cs="Noto Serif Light"/>
        </w:rPr>
      </w:pPr>
    </w:p>
    <w:p w14:paraId="37E72CD8"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Critically, the complementarities between capabilities mean that diversification into multiple related sectors can be mutually reinforcing. Electronics capabilities serve both military and civilian applications; software development supports defence and commercial markets; materials science advances have dual-use potential. This complementarity suggests cluster-based development strategies focusing on building ecosystems around related capabilities rather than isolated industrial policies supporting individual sectors.</w:t>
      </w:r>
    </w:p>
    <w:p w14:paraId="3AB03056" w14:textId="77777777" w:rsidR="00EE6349" w:rsidRPr="00CD05A8" w:rsidRDefault="00EE6349" w:rsidP="00EE6349">
      <w:pPr>
        <w:pStyle w:val="AbstractBookBaseParagraph"/>
        <w:rPr>
          <w:rFonts w:ascii="Noto Serif Light" w:hAnsi="Noto Serif Light" w:cs="Noto Serif Light"/>
        </w:rPr>
      </w:pPr>
    </w:p>
    <w:p w14:paraId="143B333A" w14:textId="77777777" w:rsidR="00EE6349" w:rsidRPr="00CD05A8" w:rsidRDefault="00EE6349" w:rsidP="00EE6349">
      <w:pPr>
        <w:pStyle w:val="AbstractBookBaseParagraph"/>
        <w:rPr>
          <w:rFonts w:ascii="Noto Serif Light" w:hAnsi="Noto Serif Light" w:cs="Noto Serif Light"/>
        </w:rPr>
      </w:pPr>
    </w:p>
    <w:p w14:paraId="3E2905B2" w14:textId="77777777" w:rsidR="00EE6349" w:rsidRPr="00CD05A8" w:rsidRDefault="00EE6349" w:rsidP="00EE6349">
      <w:pPr>
        <w:pStyle w:val="AbstractBookBaseParagraph"/>
        <w:rPr>
          <w:rFonts w:ascii="Noto Serif Light" w:hAnsi="Noto Serif Light" w:cs="Noto Serif Light"/>
        </w:rPr>
      </w:pPr>
    </w:p>
    <w:p w14:paraId="46CC5E65" w14:textId="77777777" w:rsidR="00EE6349" w:rsidRPr="00CD05A8" w:rsidRDefault="00EE6349" w:rsidP="00EE6349">
      <w:pPr>
        <w:pStyle w:val="AbstractBookBaseParagraph"/>
        <w:rPr>
          <w:rFonts w:ascii="Noto Serif Light" w:hAnsi="Noto Serif Light" w:cs="Noto Serif Light"/>
        </w:rPr>
      </w:pPr>
    </w:p>
    <w:p w14:paraId="294E35A4"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br w:type="page"/>
      </w:r>
    </w:p>
    <w:p w14:paraId="46BE0220" w14:textId="77777777" w:rsidR="00F34977" w:rsidRDefault="00F34977" w:rsidP="00F34977">
      <w:pPr>
        <w:pStyle w:val="ABSubhead"/>
      </w:pPr>
      <w:r>
        <w:lastRenderedPageBreak/>
        <w:t xml:space="preserve">O59. </w:t>
      </w:r>
      <w:r w:rsidRPr="00CD05A8">
        <w:t>Planning Cities that Work for Informal Workers in Indi</w:t>
      </w:r>
      <w:r>
        <w:t>a</w:t>
      </w:r>
    </w:p>
    <w:p w14:paraId="0264713A" w14:textId="77777777" w:rsidR="00F34977" w:rsidRPr="00CD05A8" w:rsidRDefault="00F34977" w:rsidP="00F34977">
      <w:pPr>
        <w:pStyle w:val="ABParagraph"/>
      </w:pPr>
    </w:p>
    <w:p w14:paraId="62586B40" w14:textId="77777777" w:rsidR="00F34977" w:rsidRPr="00CD05A8" w:rsidRDefault="00F34977" w:rsidP="00F34977">
      <w:pPr>
        <w:pStyle w:val="AbstractBookAuthors"/>
        <w:rPr>
          <w:rFonts w:ascii="Noto Serif Light" w:hAnsi="Noto Serif Light" w:cs="Noto Serif Light"/>
        </w:rPr>
      </w:pPr>
      <w:r w:rsidRPr="00CD05A8">
        <w:rPr>
          <w:rStyle w:val="AbstractBookPresentingAuthor"/>
          <w:rFonts w:ascii="Noto Serif Light" w:hAnsi="Noto Serif Light" w:cs="Noto Serif Light"/>
        </w:rPr>
        <w:t>Abhisikha Das</w:t>
      </w:r>
      <w:r>
        <w:rPr>
          <w:rStyle w:val="AbstractBookPresentingAuthor"/>
          <w:rFonts w:ascii="Noto Serif Light" w:hAnsi="Noto Serif Light" w:cs="Noto Serif Light"/>
          <w:b w:val="0"/>
          <w:bCs/>
          <w:u w:val="none"/>
          <w:vertAlign w:val="superscript"/>
        </w:rPr>
        <w:t>1</w:t>
      </w:r>
      <w:r w:rsidRPr="00CD05A8">
        <w:rPr>
          <w:rStyle w:val="AbstractBookBaseCharacterStyle"/>
          <w:rFonts w:ascii="Noto Serif Light" w:hAnsi="Noto Serif Light" w:cs="Noto Serif Light"/>
        </w:rPr>
        <w:t>, Sneha Maria Varghese</w:t>
      </w:r>
      <w:r w:rsidRPr="00CD05A8">
        <w:rPr>
          <w:rFonts w:ascii="Noto Serif Light" w:hAnsi="Noto Serif Light" w:cs="Noto Serif Light"/>
          <w:vertAlign w:val="superscript"/>
        </w:rPr>
        <w:t>1</w:t>
      </w:r>
    </w:p>
    <w:p w14:paraId="75176465"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Micro Save Consulting, New Delhi, India</w:t>
      </w:r>
    </w:p>
    <w:p w14:paraId="1D7367FC" w14:textId="77777777" w:rsidR="00F34977" w:rsidRDefault="00F34977" w:rsidP="00F34977">
      <w:pPr>
        <w:pStyle w:val="AbstractBookBaseParagraph"/>
        <w:rPr>
          <w:rFonts w:ascii="Noto Serif Light" w:hAnsi="Noto Serif Light" w:cs="Noto Serif Light"/>
        </w:rPr>
      </w:pPr>
    </w:p>
    <w:p w14:paraId="6F68FA99" w14:textId="77777777" w:rsidR="00F34977" w:rsidRDefault="00F34977" w:rsidP="00F34977">
      <w:pPr>
        <w:pStyle w:val="AbstractBookBaseParagraph"/>
        <w:rPr>
          <w:rFonts w:ascii="Noto Serif Light" w:hAnsi="Noto Serif Light" w:cs="Noto Serif Light"/>
          <w:b/>
          <w:bCs/>
        </w:rPr>
      </w:pPr>
      <w:r>
        <w:rPr>
          <w:rFonts w:ascii="Noto Serif Light" w:hAnsi="Noto Serif Light" w:cs="Noto Serif Light"/>
          <w:b/>
          <w:bCs/>
        </w:rPr>
        <w:t>Abstract:</w:t>
      </w:r>
    </w:p>
    <w:p w14:paraId="2962A76F" w14:textId="77777777" w:rsidR="00F34977" w:rsidRPr="00CD05A8" w:rsidRDefault="00F34977" w:rsidP="00F34977">
      <w:pPr>
        <w:pStyle w:val="AbstractBookBaseParagraph"/>
        <w:rPr>
          <w:rFonts w:ascii="Noto Serif Light" w:hAnsi="Noto Serif Light" w:cs="Noto Serif Light"/>
          <w:b/>
          <w:bCs/>
        </w:rPr>
      </w:pPr>
    </w:p>
    <w:p w14:paraId="48BE1DDF" w14:textId="77777777" w:rsidR="00F34977" w:rsidRPr="00CD05A8" w:rsidRDefault="00F34977" w:rsidP="00F34977">
      <w:pPr>
        <w:pStyle w:val="AbstractBookBaseParagraph"/>
        <w:rPr>
          <w:rFonts w:ascii="Noto Serif Light" w:hAnsi="Noto Serif Light" w:cs="Noto Serif Light"/>
          <w:b/>
          <w:bCs/>
        </w:rPr>
      </w:pPr>
      <w:r w:rsidRPr="00CD05A8">
        <w:rPr>
          <w:rFonts w:ascii="Noto Serif Light" w:hAnsi="Noto Serif Light" w:cs="Noto Serif Light"/>
          <w:b/>
          <w:bCs/>
        </w:rPr>
        <w:t xml:space="preserve">Introduction </w:t>
      </w:r>
    </w:p>
    <w:p w14:paraId="408CD7F7"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Informal workers make up the majority of the urban workforce, yet their needs, aspirations, and voices remain largely absent from urban planning policies and practices. This disconnect persists even as processes of de‑industrialization, jobless growth, and widespread sub‑contracting have enhanced both the scale and persistence of informality in urban labour markets. According to the PLFS 2017–18, India’s urban informal workforce comprises 119 million people, representing 79.2 percent of total urban employment. Although the informal workforce is highly diverse, it is consistently marked by low and irregular wages, poor working conditions, and the absence of labour protections. </w:t>
      </w:r>
    </w:p>
    <w:p w14:paraId="76460468" w14:textId="77777777" w:rsidR="00F34977" w:rsidRPr="00CD05A8" w:rsidRDefault="00F34977" w:rsidP="00F34977">
      <w:pPr>
        <w:pStyle w:val="AbstractBookBaseParagraph"/>
        <w:rPr>
          <w:rFonts w:ascii="Noto Serif Light" w:hAnsi="Noto Serif Light" w:cs="Noto Serif Light"/>
        </w:rPr>
      </w:pPr>
    </w:p>
    <w:p w14:paraId="7723F646"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Informal sector occupation groups such as domestic workers, home-based workers, sanitation workers, street vendors, gig workers, transport workers, and construction workers provide economic, social, and environmental value that sustains urban life. Amid state disinvestment and job scarcity, they generate employment and support vital household incomes . They also stimulate local economies by creating demand and supply for essential goods and services, and support sustainability through recycling and reuse. Home‑based workers supply low‑cost goods to domestic and global chains while absorbing hidden production costs. Street vendors enhance food security, activate public spaces, and foster cultural and tourist economies. Sanitation workers maintain cleanliness, divert waste from landfills, and process reclaimed materials. Despite the formal economy’s dependence on this value, planning systems often label the informal sector as dysfunctional, criminal, or expendable.</w:t>
      </w:r>
    </w:p>
    <w:p w14:paraId="39ABDC3B" w14:textId="77777777" w:rsidR="00F34977" w:rsidRPr="00CD05A8" w:rsidRDefault="00F34977" w:rsidP="00F34977">
      <w:pPr>
        <w:pStyle w:val="AbstractBookBaseParagraph"/>
        <w:rPr>
          <w:rFonts w:ascii="Noto Serif Light" w:hAnsi="Noto Serif Light" w:cs="Noto Serif Light"/>
        </w:rPr>
      </w:pPr>
    </w:p>
    <w:p w14:paraId="112CA691"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Urban planning policies, as the legal framework guiding city growth, shape how informal workers live, work and navigate the city. Unlike conventional urban planning logic that assumes distinction between public-private spaces,  their livelihoods span homes and public areas. Their productivity is hampered by single-use zoning schemes, poor housing quality, and gaps in basic services provision. Slum evictions and resettlement schemes that push the urban poor to peripheral locations, far from their existing markets, customers, and contractors, intensify their vulnerabilities. Planning practices that privatize, securitize, or commercialize public spaces restrict their access to sites that are essential for vending, storage, rest, transport, sorting, production, and rearing.  Transport policies also affect productivity, as public transit costs and availability directly shape commuting and goods movement.</w:t>
      </w:r>
    </w:p>
    <w:p w14:paraId="78FEC810" w14:textId="77777777" w:rsidR="00F34977" w:rsidRPr="00CD05A8" w:rsidRDefault="00F34977" w:rsidP="00F34977">
      <w:pPr>
        <w:pStyle w:val="AbstractBookBaseParagraph"/>
        <w:rPr>
          <w:rFonts w:ascii="Noto Serif Light" w:hAnsi="Noto Serif Light" w:cs="Noto Serif Light"/>
        </w:rPr>
      </w:pPr>
    </w:p>
    <w:p w14:paraId="614E0146"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Even in urban planning literature, there is limited focus on urban livelihoods. There is established criticism of existing urban planning systems in cities of the Global South, highlighting its colonial and Euro-centric roots and its operation as a top-down process with limited local level accountability.  There is also growing recognition that informality is the dominant mode of urbanization in the Global South, understood as both strategies of the urban poor operating in the gaps of formal rules and as strategies </w:t>
      </w:r>
      <w:r w:rsidRPr="00CD05A8">
        <w:rPr>
          <w:rFonts w:ascii="Noto Serif Light" w:hAnsi="Noto Serif Light" w:cs="Noto Serif Light"/>
        </w:rPr>
        <w:lastRenderedPageBreak/>
        <w:t>of the state promoting exceptions to their own rules to accumulate power and resources. However, the focus within this literature continues to be on informal settlements and less on informal livelihoods, even though various researchers have pointed out how the two are intimately connected. The location, nature, and design of housing among the income poor is primarily determined by access to and suitability for livelihoods and the lack of integration between housing, mobility, and livelihood networks in urban planning systems undermines their well-being.</w:t>
      </w:r>
    </w:p>
    <w:p w14:paraId="0893D730" w14:textId="77777777" w:rsidR="00F34977" w:rsidRPr="00CD05A8" w:rsidRDefault="00F34977" w:rsidP="00F34977">
      <w:pPr>
        <w:pStyle w:val="AbstractBookBaseParagraph"/>
        <w:rPr>
          <w:rFonts w:ascii="Noto Serif Light" w:hAnsi="Noto Serif Light" w:cs="Noto Serif Light"/>
        </w:rPr>
      </w:pPr>
    </w:p>
    <w:p w14:paraId="2AB31079"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Recognizing this gap in existing policies and practices, various researchers have put forward the call for a livelihood centric urban planning approach. This will involve challenging conventional notions regarding the mono-functionality of spaces, expanding the role of public spaces, and recognizing the knowledge and capacities of informal workers. It will involve reducing the ‘negatives’ by addressing the vulnerabilities, risks and costs associated with informal work, increasing the ‘positives’ through regulatory reform, infrastructure improvement, and representation in decision-making platforms. Livelihood‑centric planning not only advances urban equity but also fosters urban liveability and local economic development. The objective of this paper is to outline a livelihood centric urban planning framework, suited to Indian cities. The research objectives are as follows:</w:t>
      </w:r>
    </w:p>
    <w:p w14:paraId="328BC91A" w14:textId="77777777" w:rsidR="00F34977" w:rsidRPr="00CD05A8" w:rsidRDefault="00F34977" w:rsidP="00F34977">
      <w:pPr>
        <w:pStyle w:val="AbstractBookBaseParagraph"/>
        <w:rPr>
          <w:rFonts w:ascii="Noto Serif Light" w:hAnsi="Noto Serif Light" w:cs="Noto Serif Light"/>
        </w:rPr>
      </w:pPr>
    </w:p>
    <w:p w14:paraId="37AEA770"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A critical review of 6 existing planning frameworks from an informal livelihoods-centric lens to identify strengths, gaps and opportunities.</w:t>
      </w:r>
    </w:p>
    <w:p w14:paraId="425A47FB"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Developing a livelihood-centric urban planning framework that addresses the vulnerabilities of informal workers and promotes inclusive economic growth of cities</w:t>
      </w:r>
    </w:p>
    <w:p w14:paraId="1C884F4A" w14:textId="77777777" w:rsidR="00F34977" w:rsidRPr="00CD05A8" w:rsidRDefault="00F34977" w:rsidP="00F34977">
      <w:pPr>
        <w:pStyle w:val="AbstractBookBaseParagraph"/>
        <w:rPr>
          <w:rFonts w:ascii="Noto Serif Light" w:hAnsi="Noto Serif Light" w:cs="Noto Serif Light"/>
        </w:rPr>
      </w:pPr>
    </w:p>
    <w:p w14:paraId="34567AF6" w14:textId="77777777" w:rsidR="00F34977" w:rsidRPr="00CD05A8" w:rsidRDefault="00F34977" w:rsidP="00F34977">
      <w:pPr>
        <w:pStyle w:val="AbstractBookBaseParagraph"/>
        <w:rPr>
          <w:rFonts w:ascii="Noto Serif Light" w:hAnsi="Noto Serif Light" w:cs="Noto Serif Light"/>
          <w:b/>
          <w:bCs/>
        </w:rPr>
      </w:pPr>
      <w:r w:rsidRPr="00CD05A8">
        <w:rPr>
          <w:rFonts w:ascii="Noto Serif Light" w:hAnsi="Noto Serif Light" w:cs="Noto Serif Light"/>
          <w:b/>
          <w:bCs/>
        </w:rPr>
        <w:t>Comparative Analysis of Existing Planning Frameworks</w:t>
      </w:r>
    </w:p>
    <w:p w14:paraId="74B8083B"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The following section presents a critical narrative review of six urban planning frameworks. Each framework is examined through a livelihoods-centric lens, assessing how informal livelihoods are recognized and integrated within city-level solutions. The selection of frameworks was informed by desk research, with particular attention given to selecting frameworks that prioritized varying urban development objectives, including inclusivity, resilience, sustainability, economic growth, equity, and gender responsiveness. </w:t>
      </w:r>
    </w:p>
    <w:p w14:paraId="5320A99B" w14:textId="77777777" w:rsidR="00F34977" w:rsidRPr="00CD05A8" w:rsidRDefault="00F34977" w:rsidP="00F34977">
      <w:pPr>
        <w:pStyle w:val="AbstractBookBaseParagraph"/>
        <w:rPr>
          <w:rFonts w:ascii="Noto Serif Light" w:hAnsi="Noto Serif Light" w:cs="Noto Serif Light"/>
        </w:rPr>
      </w:pPr>
    </w:p>
    <w:p w14:paraId="271787FC"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Interlinkage between Livelihoods and City Systems</w:t>
      </w:r>
    </w:p>
    <w:p w14:paraId="4CC89EDF" w14:textId="77777777" w:rsidR="00F34977" w:rsidRPr="00CD05A8" w:rsidRDefault="00F34977" w:rsidP="00F34977">
      <w:pPr>
        <w:pStyle w:val="AbstractBookBaseParagraph"/>
        <w:rPr>
          <w:rFonts w:ascii="Noto Serif Light" w:hAnsi="Noto Serif Light" w:cs="Noto Serif Light"/>
        </w:rPr>
      </w:pPr>
    </w:p>
    <w:p w14:paraId="4783A010"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Approaching livelihoods through both growth and rights perspective</w:t>
      </w:r>
    </w:p>
    <w:p w14:paraId="1FA0517E"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Common blindspots- Gender, Social Infrastructure, Climate Resilience, and Gig Economy</w:t>
      </w:r>
    </w:p>
    <w:p w14:paraId="646313C8" w14:textId="77777777" w:rsidR="00F34977" w:rsidRPr="00CD05A8" w:rsidRDefault="00F34977" w:rsidP="00F34977">
      <w:pPr>
        <w:pStyle w:val="AbstractBookBaseParagraph"/>
        <w:rPr>
          <w:rFonts w:ascii="Noto Serif Light" w:hAnsi="Noto Serif Light" w:cs="Noto Serif Light"/>
        </w:rPr>
      </w:pPr>
    </w:p>
    <w:p w14:paraId="47FAC4A9"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Proposed Livelihood Centric Framework</w:t>
      </w:r>
    </w:p>
    <w:p w14:paraId="7A575B89" w14:textId="77777777" w:rsidR="00F34977" w:rsidRPr="00CD05A8" w:rsidRDefault="00F34977" w:rsidP="00F34977">
      <w:pPr>
        <w:pStyle w:val="AbstractBookBaseParagraph"/>
        <w:rPr>
          <w:rFonts w:ascii="Noto Serif Light" w:hAnsi="Noto Serif Light" w:cs="Noto Serif Light"/>
        </w:rPr>
      </w:pPr>
    </w:p>
    <w:p w14:paraId="045F964D"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A livelihood centric city is one in which the dignity, needs, and aspirations of informal workers are prioritized, with city systems including governance, infrastructure, services, and public spaces reoriented to strengthen and expand their livelihoods. It is a city that actively plans for shared prosperity by generating decent jobs, fostering productivity and innovation, and ensuring informal workers are integrated into transitions toward technology-driven and climate resilient economic pathways. It is a city that offers equal opportunities of participation for marginalized groups, including women, elderly, disabled, youth, children, by building foundational systems of care and </w:t>
      </w:r>
      <w:r w:rsidRPr="00CD05A8">
        <w:rPr>
          <w:rFonts w:ascii="Noto Serif Light" w:hAnsi="Noto Serif Light" w:cs="Noto Serif Light"/>
        </w:rPr>
        <w:lastRenderedPageBreak/>
        <w:t>well-being. In essence, a livelihood‑centric city is one that treats informal workers not as peripheral but as foundational to economic dynamism, environmental sustainability, and social inclusion.</w:t>
      </w:r>
    </w:p>
    <w:p w14:paraId="6215C171" w14:textId="77777777" w:rsidR="00F34977" w:rsidRPr="00CD05A8" w:rsidRDefault="00F34977" w:rsidP="00F34977">
      <w:pPr>
        <w:pStyle w:val="AbstractBookBaseParagraph"/>
        <w:rPr>
          <w:rFonts w:ascii="Noto Serif Light" w:hAnsi="Noto Serif Light" w:cs="Noto Serif Light"/>
        </w:rPr>
      </w:pPr>
    </w:p>
    <w:p w14:paraId="77AAF21A"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following principles have informed the development of the framework:</w:t>
      </w:r>
    </w:p>
    <w:p w14:paraId="7416B86B"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Shared yet Differentiated Vulnerabilities: The framework proceeds from the understanding that the vulnerabilities faced by different groups of informal workers are shared yet differentiated. As such actions taken to redress these vulnerabilities need to be both universal and targeted. For example, while public space design and management is integral to the livelihoods of both street vendors and gig workers, the specific priorities of both groups of workers are different. </w:t>
      </w:r>
    </w:p>
    <w:p w14:paraId="26ADCD25"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Intersectional Vulnerabilities: The framework acknowledges the intersectional nature of vulnerabilities experienced by informal workers, recognizing how gender, age, disability, caste, and tribal identity intersect to compound disadvantage. Addressing these layered inequities requires intentional interventions that move beyond equality to prioritize equity, ensuring that structural barriers are dismantled and the most marginalized are centered in policy design and implementation.</w:t>
      </w:r>
    </w:p>
    <w:p w14:paraId="74A3CA0C" w14:textId="77777777" w:rsidR="00F34977" w:rsidRPr="00CD05A8" w:rsidRDefault="00F34977" w:rsidP="00F34977">
      <w:pPr>
        <w:pStyle w:val="AbstractBookBaseParagraph"/>
        <w:rPr>
          <w:rFonts w:ascii="Noto Serif Light" w:hAnsi="Noto Serif Light" w:cs="Noto Serif Light"/>
        </w:rPr>
      </w:pPr>
    </w:p>
    <w:p w14:paraId="4A8B24BF"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Participatory Processes: The framework recognizes that structural transformation in the way cities are planned and governed requires disrupting entrenched power hierarchies and ensuring that informal workers and other marginalized groups gain meaningful representation and voice in decision‑making platforms. Advancing collective bargaining and embedding participatory processes are therefore central to the framework, as they create pathways for equity and accountability.</w:t>
      </w:r>
    </w:p>
    <w:p w14:paraId="570D8CED" w14:textId="77777777" w:rsidR="00F34977" w:rsidRPr="00CD05A8" w:rsidRDefault="00F34977" w:rsidP="00F34977">
      <w:pPr>
        <w:pStyle w:val="AbstractBookBaseParagraph"/>
        <w:rPr>
          <w:rFonts w:ascii="Noto Serif Light" w:hAnsi="Noto Serif Light" w:cs="Noto Serif Light"/>
        </w:rPr>
      </w:pPr>
    </w:p>
    <w:p w14:paraId="3DE43C43"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framework, termed UPLIFT, is structured into five verticals—each representing a distinct area of action with defined focus areas and recommended steps.</w:t>
      </w:r>
    </w:p>
    <w:p w14:paraId="77E899D9" w14:textId="77777777" w:rsidR="00F34977" w:rsidRPr="00CD05A8" w:rsidRDefault="00F34977" w:rsidP="00F34977">
      <w:pPr>
        <w:pStyle w:val="AbstractBookBaseParagraph"/>
        <w:rPr>
          <w:rFonts w:ascii="Noto Serif Light" w:hAnsi="Noto Serif Light" w:cs="Noto Serif Light"/>
        </w:rPr>
      </w:pPr>
    </w:p>
    <w:p w14:paraId="31630CEC"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U – Urban Planning &amp; Governance Reorienting city planning and governance systems to realities of informal workers</w:t>
      </w:r>
    </w:p>
    <w:p w14:paraId="3FF39393"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P – Provision of Housing &amp; Basic Services Ensuring equitable access to housing and basic services including water, sanitation, energy, and solid waste management for informal workers</w:t>
      </w:r>
    </w:p>
    <w:p w14:paraId="7E714012"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L – Liveable Public Spaces &amp; Transport Systems: Designing inclusive and worker-friendly public spaces and mobility networks</w:t>
      </w:r>
    </w:p>
    <w:p w14:paraId="59B3F24A"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I – Inclusive Livelihoods &amp; Local Economies Catalysing economic growth of cities and formalizing pathways to upward mobility for job seekers, informal workers and enterprises.</w:t>
      </w:r>
    </w:p>
    <w:p w14:paraId="6762F58B"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F – Foundational Care &amp; Wellbeing Strengthening care ecosystems and social infrastructure to build holistic well-being of informal workers</w:t>
      </w:r>
    </w:p>
    <w:p w14:paraId="5A72CE94"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 – Transition to Future Work &amp; Climate Resilience Catalyzing climate‑resilient, digital urban futures with informal workers at the core</w:t>
      </w:r>
    </w:p>
    <w:p w14:paraId="016BF1FD"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Conclusion </w:t>
      </w:r>
    </w:p>
    <w:p w14:paraId="252F31CE" w14:textId="77777777" w:rsidR="00F34977" w:rsidRPr="00CD05A8" w:rsidRDefault="00F34977" w:rsidP="00F34977">
      <w:pPr>
        <w:pStyle w:val="AbstractBookBaseParagraph"/>
        <w:rPr>
          <w:rFonts w:ascii="Noto Serif Light" w:hAnsi="Noto Serif Light" w:cs="Noto Serif Light"/>
        </w:rPr>
      </w:pPr>
    </w:p>
    <w:p w14:paraId="1E967CD6"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To conclude, this perspective piece  argued that the persistence and scale of informality in Indian cities is not an anomaly but a defining indicator of urbanisation. However, the informality or informal work is inadequately addressed within prevailing urban systems. Despite their  centrality to the functioning of cities through service delivery, contribution towards economic productivity, and conscious living- environmental </w:t>
      </w:r>
      <w:r w:rsidRPr="00CD05A8">
        <w:rPr>
          <w:rFonts w:ascii="Noto Serif Light" w:hAnsi="Noto Serif Light" w:cs="Noto Serif Light"/>
        </w:rPr>
        <w:lastRenderedPageBreak/>
        <w:t xml:space="preserve">sustainability, informal workers continue to be at the periphery of both policy and practice.  </w:t>
      </w:r>
    </w:p>
    <w:p w14:paraId="0E3FEA49" w14:textId="77777777" w:rsidR="00F34977" w:rsidRPr="00CD05A8" w:rsidRDefault="00F34977" w:rsidP="00F34977">
      <w:pPr>
        <w:pStyle w:val="AbstractBookBaseParagraph"/>
        <w:rPr>
          <w:rFonts w:ascii="Noto Serif Light" w:hAnsi="Noto Serif Light" w:cs="Noto Serif Light"/>
        </w:rPr>
      </w:pPr>
    </w:p>
    <w:p w14:paraId="450BA7C2"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analysis of existing planning frameworks highlights that there is a growing recognition of inclusivity, resilience, and economic growth as key urban priorities; informal livelihoods remain as limited integration within these agendas. The analysis also underscores key insights. First, informal livelihoods are deeply interlinked with core systems like basic services - housing, mobility , governance and public spaces- and cannot be addressed in isolation. Secondly, there is a need to refocus on vulnerability reduction through a dual approach that combines rights- based approaches with strategies for economic growth and productivity. Thirdly, it is critical to recognise the persistent blind spots- particularly around gender, social infrastructure, climate resilience, and the future of work- risk that reproduces existing inequalities if not addressed in the planning processes. To this end, the paper proposed the UPLIFT framework, presenting it as a comprehensive approach to bring focus on livelihoods and the informal sector taking the center stage of urban planning.  This framework brings  holistic actions for cities where informal workers are recognised as central economic actors rather than mere beneficiaries.  It foregrounds principles of intersectionalities, participatory approach in governance, and recognises vulnerabilities of workers, ensuring that planning responses are both inclusive and worker-sensitive.</w:t>
      </w:r>
    </w:p>
    <w:p w14:paraId="6B2F8644" w14:textId="77777777" w:rsidR="00F34977" w:rsidRPr="00CD05A8" w:rsidRDefault="00F34977" w:rsidP="00F34977">
      <w:pPr>
        <w:pStyle w:val="AbstractBookBaseParagraph"/>
        <w:rPr>
          <w:rFonts w:ascii="Noto Serif Light" w:hAnsi="Noto Serif Light" w:cs="Noto Serif Light"/>
        </w:rPr>
      </w:pPr>
    </w:p>
    <w:p w14:paraId="193EDD7C"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br w:type="page"/>
      </w:r>
    </w:p>
    <w:p w14:paraId="0D2891DD" w14:textId="725BBA90" w:rsidR="00EE6349" w:rsidRDefault="00F34977" w:rsidP="00EE6349">
      <w:pPr>
        <w:pStyle w:val="ABSubhead"/>
      </w:pPr>
      <w:r>
        <w:lastRenderedPageBreak/>
        <w:t xml:space="preserve">O60. </w:t>
      </w:r>
      <w:r w:rsidR="00EE6349" w:rsidRPr="00CD05A8">
        <w:t>Bridging the Coordination Gap: A Design-Science Approach to Digital Architectures for Sustainable Regional Agri-Food Transitions</w:t>
      </w:r>
    </w:p>
    <w:p w14:paraId="68707B89" w14:textId="77777777" w:rsidR="00EE6349" w:rsidRPr="006C77A6" w:rsidRDefault="00EE6349" w:rsidP="00EE6349">
      <w:pPr>
        <w:pStyle w:val="ABParagraph"/>
      </w:pPr>
    </w:p>
    <w:p w14:paraId="3E403613" w14:textId="77777777" w:rsidR="00EE6349" w:rsidRPr="00CD05A8" w:rsidRDefault="00EE6349" w:rsidP="00EE6349">
      <w:pPr>
        <w:pStyle w:val="AbstractBookAuthors"/>
        <w:rPr>
          <w:rFonts w:ascii="Noto Serif Light" w:hAnsi="Noto Serif Light" w:cs="Noto Serif Light"/>
        </w:rPr>
      </w:pPr>
      <w:r w:rsidRPr="00CD05A8">
        <w:rPr>
          <w:rStyle w:val="AbstractBookPresentingAuthor"/>
          <w:rFonts w:ascii="Noto Serif Light" w:hAnsi="Noto Serif Light" w:cs="Noto Serif Light"/>
        </w:rPr>
        <w:t>Vladi Finotto</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Prof</w:t>
      </w:r>
      <w:r>
        <w:rPr>
          <w:rStyle w:val="AbstractBookBaseCharacterStyle"/>
          <w:rFonts w:ascii="Noto Serif Light" w:hAnsi="Noto Serif Light" w:cs="Noto Serif Light"/>
        </w:rPr>
        <w:t>essor</w:t>
      </w:r>
      <w:r w:rsidRPr="00CD05A8">
        <w:rPr>
          <w:rStyle w:val="AbstractBookBaseCharacterStyle"/>
          <w:rFonts w:ascii="Noto Serif Light" w:hAnsi="Noto Serif Light" w:cs="Noto Serif Light"/>
        </w:rPr>
        <w:t xml:space="preserve"> Monica Plechero</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Prof</w:t>
      </w:r>
      <w:r>
        <w:rPr>
          <w:rStyle w:val="AbstractBookBaseCharacterStyle"/>
          <w:rFonts w:ascii="Noto Serif Light" w:hAnsi="Noto Serif Light" w:cs="Noto Serif Light"/>
        </w:rPr>
        <w:t xml:space="preserve">essor </w:t>
      </w:r>
      <w:r w:rsidRPr="00CD05A8">
        <w:rPr>
          <w:rStyle w:val="AbstractBookBaseCharacterStyle"/>
          <w:rFonts w:ascii="Noto Serif Light" w:hAnsi="Noto Serif Light" w:cs="Noto Serif Light"/>
        </w:rPr>
        <w:t>Christine Mauracher</w:t>
      </w:r>
      <w:r w:rsidRPr="00CD05A8">
        <w:rPr>
          <w:rFonts w:ascii="Noto Serif Light" w:hAnsi="Noto Serif Light" w:cs="Noto Serif Light"/>
          <w:vertAlign w:val="superscript"/>
        </w:rPr>
        <w:t>1</w:t>
      </w:r>
    </w:p>
    <w:p w14:paraId="406741AE" w14:textId="77777777" w:rsidR="00EE6349" w:rsidRDefault="00EE6349" w:rsidP="00EE6349">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Venice School </w:t>
      </w:r>
      <w:r>
        <w:rPr>
          <w:rStyle w:val="AbstractBookBaseCharacterStyle"/>
          <w:rFonts w:ascii="Noto Serif Light" w:hAnsi="Noto Serif Light" w:cs="Noto Serif Light"/>
        </w:rPr>
        <w:t>o</w:t>
      </w:r>
      <w:r w:rsidRPr="00CD05A8">
        <w:rPr>
          <w:rStyle w:val="AbstractBookBaseCharacterStyle"/>
          <w:rFonts w:ascii="Noto Serif Light" w:hAnsi="Noto Serif Light" w:cs="Noto Serif Light"/>
        </w:rPr>
        <w:t>f Management, Ca' Foscari University of Venice, Venice, Italy</w:t>
      </w:r>
    </w:p>
    <w:p w14:paraId="544F94B0" w14:textId="77777777" w:rsidR="00EE6349" w:rsidRDefault="00EE6349" w:rsidP="00EE6349">
      <w:pPr>
        <w:pStyle w:val="AbstractBookBaseParagraph"/>
        <w:rPr>
          <w:rStyle w:val="AbstractBookBaseCharacterStyle"/>
          <w:rFonts w:ascii="Noto Serif Light" w:hAnsi="Noto Serif Light" w:cs="Noto Serif Light"/>
        </w:rPr>
      </w:pPr>
    </w:p>
    <w:p w14:paraId="0C081409" w14:textId="77777777" w:rsidR="00EE6349" w:rsidRPr="00CD05A8" w:rsidRDefault="00EE6349" w:rsidP="00EE6349">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2CF5468E" w14:textId="77777777" w:rsidR="00EE6349" w:rsidRPr="00CD05A8" w:rsidRDefault="00EE6349" w:rsidP="00EE6349">
      <w:pPr>
        <w:pStyle w:val="AbstractBookBaseParagraph"/>
        <w:rPr>
          <w:rFonts w:ascii="Noto Serif Light" w:hAnsi="Noto Serif Light" w:cs="Noto Serif Light"/>
        </w:rPr>
      </w:pPr>
    </w:p>
    <w:p w14:paraId="58A092A5" w14:textId="77777777" w:rsidR="00EE6349" w:rsidRPr="006C77A6" w:rsidRDefault="00EE6349" w:rsidP="00EE6349">
      <w:pPr>
        <w:pStyle w:val="AbstractBookBaseParagraph"/>
        <w:rPr>
          <w:rFonts w:ascii="Noto Serif Light" w:hAnsi="Noto Serif Light" w:cs="Noto Serif Light"/>
          <w:b/>
          <w:bCs/>
        </w:rPr>
      </w:pPr>
      <w:r w:rsidRPr="006C77A6">
        <w:rPr>
          <w:rFonts w:ascii="Noto Serif Light" w:hAnsi="Noto Serif Light" w:cs="Noto Serif Light"/>
          <w:b/>
          <w:bCs/>
        </w:rPr>
        <w:t xml:space="preserve">Context </w:t>
      </w:r>
      <w:r>
        <w:rPr>
          <w:rFonts w:ascii="Noto Serif Light" w:hAnsi="Noto Serif Light" w:cs="Noto Serif Light"/>
          <w:b/>
          <w:bCs/>
        </w:rPr>
        <w:t>a</w:t>
      </w:r>
      <w:r w:rsidRPr="006C77A6">
        <w:rPr>
          <w:rFonts w:ascii="Noto Serif Light" w:hAnsi="Noto Serif Light" w:cs="Noto Serif Light"/>
          <w:b/>
          <w:bCs/>
        </w:rPr>
        <w:t>nd Problem</w:t>
      </w:r>
    </w:p>
    <w:p w14:paraId="2326B4B6" w14:textId="77777777" w:rsidR="00EE6349" w:rsidRDefault="00EE6349" w:rsidP="00EE6349">
      <w:pPr>
        <w:pStyle w:val="AbstractBookBaseParagraph"/>
        <w:rPr>
          <w:rFonts w:ascii="Noto Serif Light" w:hAnsi="Noto Serif Light" w:cs="Noto Serif Light"/>
        </w:rPr>
      </w:pPr>
      <w:r w:rsidRPr="00CD05A8">
        <w:rPr>
          <w:rFonts w:ascii="Noto Serif Light" w:hAnsi="Noto Serif Light" w:cs="Noto Serif Light"/>
        </w:rPr>
        <w:t xml:space="preserve">Regional agri-food systems face a coordination challenge when dealing with the twin transition.  European policy framed Agricultural Knowledge and Innovation Systems (AKIS) — territorial knoweldge transfer and innovation systems — as key instruments for sustainable transformation, for competitive upgrading and for digital modernization. Their effectiveness, nonetheless, is constrained by problematic contextual conditions — small and micro family-owned farms, weak innovation propensity, lack of skills, limited digital capabilities. Farmers and small agri-food operators are exposed to intensifying environmental pressures while being challenge by the misalignment with advisory infrastructures designed around generic innovation supply-push logics. The result is persistent resistance to change, a structural consequence of coordination systems that fail to make innovation tailored to, relevant, and actionable for the actors most exposed to the demands of increased competition and climate change. </w:t>
      </w:r>
    </w:p>
    <w:p w14:paraId="1EEF6BC2" w14:textId="77777777" w:rsidR="00EE6349" w:rsidRPr="00CD05A8" w:rsidRDefault="00EE6349" w:rsidP="00EE6349">
      <w:pPr>
        <w:pStyle w:val="AbstractBookBaseParagraph"/>
        <w:rPr>
          <w:rFonts w:ascii="Noto Serif Light" w:hAnsi="Noto Serif Light" w:cs="Noto Serif Light"/>
        </w:rPr>
      </w:pPr>
    </w:p>
    <w:p w14:paraId="6205A972" w14:textId="77777777" w:rsidR="00EE6349" w:rsidRPr="006C77A6" w:rsidRDefault="00EE6349" w:rsidP="00EE6349">
      <w:pPr>
        <w:pStyle w:val="AbstractBookBaseParagraph"/>
        <w:rPr>
          <w:rFonts w:ascii="Noto Serif Light" w:hAnsi="Noto Serif Light" w:cs="Noto Serif Light"/>
          <w:b/>
          <w:bCs/>
        </w:rPr>
      </w:pPr>
      <w:r w:rsidRPr="006C77A6">
        <w:rPr>
          <w:rFonts w:ascii="Noto Serif Light" w:hAnsi="Noto Serif Light" w:cs="Noto Serif Light"/>
          <w:b/>
          <w:bCs/>
        </w:rPr>
        <w:t xml:space="preserve">Theory </w:t>
      </w:r>
      <w:r>
        <w:rPr>
          <w:rFonts w:ascii="Noto Serif Light" w:hAnsi="Noto Serif Light" w:cs="Noto Serif Light"/>
          <w:b/>
          <w:bCs/>
        </w:rPr>
        <w:t>a</w:t>
      </w:r>
      <w:r w:rsidRPr="006C77A6">
        <w:rPr>
          <w:rFonts w:ascii="Noto Serif Light" w:hAnsi="Noto Serif Light" w:cs="Noto Serif Light"/>
          <w:b/>
          <w:bCs/>
        </w:rPr>
        <w:t>nd Methods</w:t>
      </w:r>
    </w:p>
    <w:p w14:paraId="0E426E8E" w14:textId="77777777" w:rsidR="00EE6349" w:rsidRDefault="00EE6349" w:rsidP="00EE6349">
      <w:pPr>
        <w:pStyle w:val="AbstractBookBaseParagraph"/>
        <w:rPr>
          <w:rFonts w:ascii="Noto Serif Light" w:hAnsi="Noto Serif Light" w:cs="Noto Serif Light"/>
        </w:rPr>
      </w:pPr>
      <w:r w:rsidRPr="00CD05A8">
        <w:rPr>
          <w:rFonts w:ascii="Noto Serif Light" w:hAnsi="Noto Serif Light" w:cs="Noto Serif Light"/>
        </w:rPr>
        <w:t>The paper conceptualises AKIS as territorial coordination infrastructures — sectoral arrangements through which regions organise learning, mediate competing priorities, and connect transition goals with local capabilities and needs. This framing speaks to debates on challenge-oriented regional innovation systems, which argue that addressing Grand Societal challenges requires context-sensitive, experimentally governed, and user-centred policy architectures (Isaksen, Trippl, &amp; Mayer, 2022).</w:t>
      </w:r>
    </w:p>
    <w:p w14:paraId="259805E5" w14:textId="77777777" w:rsidR="00EE6349" w:rsidRPr="00CD05A8" w:rsidRDefault="00EE6349" w:rsidP="00EE6349">
      <w:pPr>
        <w:pStyle w:val="AbstractBookBaseParagraph"/>
        <w:rPr>
          <w:rFonts w:ascii="Noto Serif Light" w:hAnsi="Noto Serif Light" w:cs="Noto Serif Light"/>
        </w:rPr>
      </w:pPr>
    </w:p>
    <w:p w14:paraId="5426E088"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The paper adopts a design-science epistemological posture (Romme &amp; Reymen, 2018). Rather than explaining existing arrangements retrospectively, it pursues prescriptive knowledge oriented to the construction of effective solutions: specifically, a socio-digital coordination architecture designed to be tested and refined across analogous regional contexts. In a domain where transition pressures are urgent and existing AKIS systematically underperform, design science offers a legitimate and complementary scientific register alongside explanatory theory.</w:t>
      </w:r>
    </w:p>
    <w:p w14:paraId="7280A00A" w14:textId="77777777" w:rsidR="00EE6349" w:rsidRPr="006C77A6" w:rsidRDefault="00EE6349" w:rsidP="00EE6349">
      <w:pPr>
        <w:pStyle w:val="AbstractBookBaseParagraph"/>
        <w:rPr>
          <w:rFonts w:ascii="Noto Serif Light" w:hAnsi="Noto Serif Light" w:cs="Noto Serif Light"/>
          <w:b/>
          <w:bCs/>
        </w:rPr>
      </w:pPr>
      <w:r w:rsidRPr="006C77A6">
        <w:rPr>
          <w:rFonts w:ascii="Noto Serif Light" w:hAnsi="Noto Serif Light" w:cs="Noto Serif Light"/>
          <w:b/>
          <w:bCs/>
        </w:rPr>
        <w:t xml:space="preserve">Research Design </w:t>
      </w:r>
      <w:r>
        <w:rPr>
          <w:rFonts w:ascii="Noto Serif Light" w:hAnsi="Noto Serif Light" w:cs="Noto Serif Light"/>
          <w:b/>
          <w:bCs/>
        </w:rPr>
        <w:t>a</w:t>
      </w:r>
      <w:r w:rsidRPr="006C77A6">
        <w:rPr>
          <w:rFonts w:ascii="Noto Serif Light" w:hAnsi="Noto Serif Light" w:cs="Noto Serif Light"/>
          <w:b/>
          <w:bCs/>
        </w:rPr>
        <w:t>nd Preliminary Results</w:t>
      </w:r>
    </w:p>
    <w:p w14:paraId="4B888948" w14:textId="77777777" w:rsidR="00EE6349" w:rsidRDefault="00EE6349" w:rsidP="00EE6349">
      <w:pPr>
        <w:pStyle w:val="AbstractBookBaseParagraph"/>
        <w:rPr>
          <w:rFonts w:ascii="Noto Serif Light" w:hAnsi="Noto Serif Light" w:cs="Noto Serif Light"/>
        </w:rPr>
      </w:pPr>
      <w:r w:rsidRPr="00CD05A8">
        <w:rPr>
          <w:rFonts w:ascii="Noto Serif Light" w:hAnsi="Noto Serif Light" w:cs="Noto Serif Light"/>
        </w:rPr>
        <w:t xml:space="preserve">The study is grounded in a design-oriented initiative in the Veneto Region (Italy), developed in collaboration with the local institutions. The Veneto case exemplifies European agricultural marginality: over 80,000 farm holdings averaging 11 hectares, two-thirds of farm owners over 55, intensifying climate risk, and persistent coordination failures between knowledge providers and small-scale operators. Empirical evidence was generated through six multi-stakeholder co-design workshops (November 2024 – March 2025) — three with advisers, consultants, and agronomists, and three with farmers. Each session combined discussion, problem-framing, and </w:t>
      </w:r>
      <w:r w:rsidRPr="00CD05A8">
        <w:rPr>
          <w:rFonts w:ascii="Noto Serif Light" w:hAnsi="Noto Serif Light" w:cs="Noto Serif Light"/>
        </w:rPr>
        <w:lastRenderedPageBreak/>
        <w:t>collective mapping. Findings were comparatively analysed to identify structural coordination bottlenecks and translate them into design requirements.</w:t>
      </w:r>
    </w:p>
    <w:p w14:paraId="50076D7E" w14:textId="77777777" w:rsidR="00EE6349" w:rsidRPr="00CD05A8" w:rsidRDefault="00EE6349" w:rsidP="00EE6349">
      <w:pPr>
        <w:pStyle w:val="AbstractBookBaseParagraph"/>
        <w:rPr>
          <w:rFonts w:ascii="Noto Serif Light" w:hAnsi="Noto Serif Light" w:cs="Noto Serif Light"/>
        </w:rPr>
      </w:pPr>
    </w:p>
    <w:p w14:paraId="4800488D" w14:textId="77777777" w:rsidR="00EE6349" w:rsidRPr="006C77A6" w:rsidRDefault="00EE6349" w:rsidP="00EE6349">
      <w:pPr>
        <w:pStyle w:val="AbstractBookBaseParagraph"/>
        <w:rPr>
          <w:rFonts w:ascii="Noto Serif Light" w:hAnsi="Noto Serif Light" w:cs="Noto Serif Light"/>
          <w:b/>
          <w:bCs/>
        </w:rPr>
      </w:pPr>
      <w:r w:rsidRPr="006C77A6">
        <w:rPr>
          <w:rFonts w:ascii="Noto Serif Light" w:hAnsi="Noto Serif Light" w:cs="Noto Serif Light"/>
          <w:b/>
          <w:bCs/>
        </w:rPr>
        <w:t>The Artefact/Result: A Socio-Digital Architecture</w:t>
      </w:r>
    </w:p>
    <w:p w14:paraId="4DEC1187" w14:textId="77777777" w:rsidR="00EE6349" w:rsidRDefault="00EE6349" w:rsidP="00EE6349">
      <w:pPr>
        <w:pStyle w:val="AbstractBookBaseParagraph"/>
        <w:rPr>
          <w:rFonts w:ascii="Noto Serif Light" w:hAnsi="Noto Serif Light" w:cs="Noto Serif Light"/>
        </w:rPr>
      </w:pPr>
      <w:r w:rsidRPr="00CD05A8">
        <w:rPr>
          <w:rFonts w:ascii="Noto Serif Light" w:hAnsi="Noto Serif Light" w:cs="Noto Serif Light"/>
        </w:rPr>
        <w:t>The central contribution is the design of an AKIS digital support system integrating two distinct and mutually reinforcing dimensions: an AI-enabled digital layer and a Community of Practice (CoP) social layer. These are not additive components but constitute an iterative cognitive circuit in which human and artificial intelligence reinforce each other.</w:t>
      </w:r>
    </w:p>
    <w:p w14:paraId="74694CBE" w14:textId="77777777" w:rsidR="00EE6349" w:rsidRPr="00CD05A8" w:rsidRDefault="00EE6349" w:rsidP="00EE6349">
      <w:pPr>
        <w:pStyle w:val="AbstractBookBaseParagraph"/>
        <w:rPr>
          <w:rFonts w:ascii="Noto Serif Light" w:hAnsi="Noto Serif Light" w:cs="Noto Serif Light"/>
        </w:rPr>
      </w:pPr>
    </w:p>
    <w:p w14:paraId="06B21A06" w14:textId="77777777" w:rsidR="00EE6349" w:rsidRDefault="00EE6349" w:rsidP="00EE6349">
      <w:pPr>
        <w:pStyle w:val="AbstractBookBaseParagraph"/>
        <w:rPr>
          <w:rFonts w:ascii="Noto Serif Light" w:hAnsi="Noto Serif Light" w:cs="Noto Serif Light"/>
        </w:rPr>
      </w:pPr>
      <w:r w:rsidRPr="00CD05A8">
        <w:rPr>
          <w:rFonts w:ascii="Noto Serif Light" w:hAnsi="Noto Serif Light" w:cs="Noto Serif Light"/>
        </w:rPr>
        <w:t>The digital layer is built around three elements. First, a shared semantic ontology that federates distributed knowledge bases without centralising them, making heterogeneous institutional repositories interoperable. Second, a digital identity solution aimed at profiling dynamically all the users as to enable them to navigate productively and meaningfully in the information and data space that will be built through the ontology. This dynamic profiling mechanism personalises the language, depth, and format of system outputs according to each actor's role (farmer, adviser, researcher) and his/her digital maturity, resolving the persistent mismatch between generic advisory communication and differentiated user needs. Third, a coordinated architecture of specialised AI agents — e.g. for weather monitoring, disease diagnosis, regulatory compliance, and research synthesis — delivering anticipatory decision support in real time. By automating routine retrieval and monitoring, the system enables cognitive offloading, freeing the attentional capacity of consultants and farmers for the situated judgements that require human expertise.</w:t>
      </w:r>
    </w:p>
    <w:p w14:paraId="799D1B89" w14:textId="77777777" w:rsidR="00EE6349" w:rsidRPr="00CD05A8" w:rsidRDefault="00EE6349" w:rsidP="00EE6349">
      <w:pPr>
        <w:pStyle w:val="AbstractBookBaseParagraph"/>
        <w:rPr>
          <w:rFonts w:ascii="Noto Serif Light" w:hAnsi="Noto Serif Light" w:cs="Noto Serif Light"/>
        </w:rPr>
      </w:pPr>
    </w:p>
    <w:p w14:paraId="1B36624A" w14:textId="77777777" w:rsidR="00EE6349" w:rsidRDefault="00EE6349" w:rsidP="00EE6349">
      <w:pPr>
        <w:pStyle w:val="AbstractBookBaseParagraph"/>
        <w:rPr>
          <w:rFonts w:ascii="Noto Serif Light" w:hAnsi="Noto Serif Light" w:cs="Noto Serif Light"/>
        </w:rPr>
      </w:pPr>
      <w:r w:rsidRPr="00CD05A8">
        <w:rPr>
          <w:rFonts w:ascii="Noto Serif Light" w:hAnsi="Noto Serif Light" w:cs="Noto Serif Light"/>
        </w:rPr>
        <w:t>The social layer is constituted by facilitated Communities of Practice (Wenger, McDermott, &amp; Snyder, 2002) organised along three relational vectors: professional bonding networks within the same domain; inter-professional bridging networks across farmers, consultants, and researchers; and linking networks connecting local actors to external knowledge sources. CoPs are animated by community managers and structured peer-validation mechanisms that ensure knowledge is collectively warranted, not merely shared. They generate and validate the tacit, situated knowledge that the digital layer cannot produce alone; they build the trust and social legitimacy without which information remains inert; and they transform training from top-down delivery into a practitioner-driven learning environment grounded in legitimate peripheral participation. The circuit closes when CoP-generated knowledge is formalised into the ontology and activates the AI agents, whose outputs feed back into the next cycle of collaborative inquiry and validation (Materia, Giare, &amp; Klerkx, 2014).</w:t>
      </w:r>
    </w:p>
    <w:p w14:paraId="10656CC1" w14:textId="77777777" w:rsidR="00EE6349" w:rsidRPr="00CD05A8" w:rsidRDefault="00EE6349" w:rsidP="00EE6349">
      <w:pPr>
        <w:pStyle w:val="AbstractBookBaseParagraph"/>
        <w:rPr>
          <w:rFonts w:ascii="Noto Serif Light" w:hAnsi="Noto Serif Light" w:cs="Noto Serif Light"/>
        </w:rPr>
      </w:pPr>
    </w:p>
    <w:p w14:paraId="1E09E09D" w14:textId="77777777" w:rsidR="00EE6349" w:rsidRPr="006C77A6" w:rsidRDefault="00EE6349" w:rsidP="00EE6349">
      <w:pPr>
        <w:pStyle w:val="AbstractBookBaseParagraph"/>
        <w:rPr>
          <w:rFonts w:ascii="Noto Serif Light" w:hAnsi="Noto Serif Light" w:cs="Noto Serif Light"/>
          <w:b/>
          <w:bCs/>
        </w:rPr>
      </w:pPr>
      <w:r w:rsidRPr="006C77A6">
        <w:rPr>
          <w:rFonts w:ascii="Noto Serif Light" w:hAnsi="Noto Serif Light" w:cs="Noto Serif Light"/>
          <w:b/>
          <w:bCs/>
        </w:rPr>
        <w:t xml:space="preserve">The Design-Analysis Interface: Empirical Results </w:t>
      </w:r>
      <w:r>
        <w:rPr>
          <w:rFonts w:ascii="Noto Serif Light" w:hAnsi="Noto Serif Light" w:cs="Noto Serif Light"/>
          <w:b/>
          <w:bCs/>
        </w:rPr>
        <w:t>a</w:t>
      </w:r>
      <w:r w:rsidRPr="006C77A6">
        <w:rPr>
          <w:rFonts w:ascii="Noto Serif Light" w:hAnsi="Noto Serif Light" w:cs="Noto Serif Light"/>
          <w:b/>
          <w:bCs/>
        </w:rPr>
        <w:t>nd Design Implications</w:t>
      </w:r>
    </w:p>
    <w:p w14:paraId="7BFA98DC" w14:textId="77777777" w:rsidR="00EE6349" w:rsidRDefault="00EE6349" w:rsidP="00EE6349">
      <w:pPr>
        <w:pStyle w:val="AbstractBookBaseParagraph"/>
        <w:rPr>
          <w:rFonts w:ascii="Noto Serif Light" w:hAnsi="Noto Serif Light" w:cs="Noto Serif Light"/>
        </w:rPr>
      </w:pPr>
      <w:r w:rsidRPr="00CD05A8">
        <w:rPr>
          <w:rFonts w:ascii="Noto Serif Light" w:hAnsi="Noto Serif Light" w:cs="Noto Serif Light"/>
        </w:rPr>
        <w:t xml:space="preserve">The co-design effort surfaced five structural needs, each translated into a design requirement. The fragmentation of knowledge sources — addressed by the ontology's semantic federation logic. The linguistic inaccessibility of research and regulatory knowledge — addressed by digital identity profiling, which delivers contextualised responses calibrated to each actor's role. The urgency of anticipatory climate and phytosanitary intelligence — addressed by the proactive AI agent architecture. The inadequacy of existing training formats for both farmers and advisers — addressed by modular, demand-responsive learning embedded in CoP dynamics. The near-total absence of a relational architecture for cross-professional knowledge exchange — </w:t>
      </w:r>
      <w:r w:rsidRPr="00CD05A8">
        <w:rPr>
          <w:rFonts w:ascii="Noto Serif Light" w:hAnsi="Noto Serif Light" w:cs="Noto Serif Light"/>
        </w:rPr>
        <w:lastRenderedPageBreak/>
        <w:t>addressed by the facilitated, multi-vector CoP network governed by Veneto Agricoltura in a meta-governance role that enables self-organisation without controlling knowledge content (Klerkx, Jakku, &amp; Labarthe, 2019).</w:t>
      </w:r>
    </w:p>
    <w:p w14:paraId="57C7281B" w14:textId="77777777" w:rsidR="00EE6349" w:rsidRPr="00CD05A8" w:rsidRDefault="00EE6349" w:rsidP="00EE6349">
      <w:pPr>
        <w:pStyle w:val="AbstractBookBaseParagraph"/>
        <w:rPr>
          <w:rFonts w:ascii="Noto Serif Light" w:hAnsi="Noto Serif Light" w:cs="Noto Serif Light"/>
        </w:rPr>
      </w:pPr>
    </w:p>
    <w:p w14:paraId="0E5A7B23" w14:textId="77777777" w:rsidR="00EE6349" w:rsidRPr="006C77A6" w:rsidRDefault="00EE6349" w:rsidP="00EE6349">
      <w:pPr>
        <w:pStyle w:val="AbstractBookBaseParagraph"/>
        <w:rPr>
          <w:rFonts w:ascii="Noto Serif Light" w:hAnsi="Noto Serif Light" w:cs="Noto Serif Light"/>
          <w:b/>
          <w:bCs/>
        </w:rPr>
      </w:pPr>
      <w:r w:rsidRPr="006C77A6">
        <w:rPr>
          <w:rFonts w:ascii="Noto Serif Light" w:hAnsi="Noto Serif Light" w:cs="Noto Serif Light"/>
          <w:b/>
          <w:bCs/>
        </w:rPr>
        <w:t xml:space="preserve">Contributions </w:t>
      </w:r>
    </w:p>
    <w:p w14:paraId="4032B3B3"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t>The paper makes three contributions. First, it advances a design-science framework for conceptualising and operationalising AKIS as socio-digital territorial coordination infrastructures — producing a replicable artefact rather than a retrospective explanation. In the spirit of design-science efforts, the knowledge generated in the form of artifacts and propositions is expressed in forms that make it testable and verifiable in other contexts that present the same conditions of the original one (agriculture lagging behind, fragmentation, low rate of generational transition, …). Second, it identifies design principles that make knowledge systems genuinely inclusive for marginal actors: semantic federation that lowers institutional adoption thresholds; profiled delivery that meets fragmented operators at their actual level of digital maturity; and relational architectures that make innovation socially actionable by building the peer validation and trust that small farmers and advisers require before acting on new knowledge. Third, it offers a generalisable design template: the dual-track logic — AI for scale and semantic coherence, CoPs for trust, tacit knowledge, and social legitimation — is transferable to any sector in which innovation depends on fragmented actors and the informal circulation of knowledge. The artifact is designed for cross-regional validation, with direct implications for how AKIS policy can be designed and evaluated across European regions</w:t>
      </w:r>
    </w:p>
    <w:p w14:paraId="7424A687" w14:textId="77777777" w:rsidR="00EE6349" w:rsidRPr="00CD05A8" w:rsidRDefault="00EE6349" w:rsidP="00EE6349">
      <w:pPr>
        <w:pStyle w:val="AbstractBookBaseParagraph"/>
        <w:rPr>
          <w:rFonts w:ascii="Noto Serif Light" w:hAnsi="Noto Serif Light" w:cs="Noto Serif Light"/>
        </w:rPr>
      </w:pPr>
    </w:p>
    <w:p w14:paraId="3D157457" w14:textId="77777777" w:rsidR="00EE6349" w:rsidRPr="00CC07F8" w:rsidRDefault="00EE6349" w:rsidP="00EE6349">
      <w:pPr>
        <w:pStyle w:val="AbstractBookBaseParagraph"/>
        <w:rPr>
          <w:rFonts w:ascii="Noto Serif Light" w:hAnsi="Noto Serif Light" w:cs="Noto Serif Light"/>
          <w:b/>
          <w:bCs/>
        </w:rPr>
      </w:pPr>
      <w:r w:rsidRPr="00CC07F8">
        <w:rPr>
          <w:rFonts w:ascii="Noto Serif Light" w:hAnsi="Noto Serif Light" w:cs="Noto Serif Light"/>
          <w:b/>
          <w:bCs/>
        </w:rPr>
        <w:t>Selected Key References</w:t>
      </w:r>
    </w:p>
    <w:p w14:paraId="7B1D0BA3" w14:textId="77777777" w:rsidR="00EE6349" w:rsidRPr="00CD05A8" w:rsidRDefault="00EE6349" w:rsidP="00EE6349">
      <w:pPr>
        <w:pStyle w:val="AbstractBookBaseParagraph"/>
        <w:numPr>
          <w:ilvl w:val="0"/>
          <w:numId w:val="31"/>
        </w:numPr>
        <w:rPr>
          <w:rFonts w:ascii="Noto Serif Light" w:hAnsi="Noto Serif Light" w:cs="Noto Serif Light"/>
        </w:rPr>
      </w:pPr>
      <w:r w:rsidRPr="00CD05A8">
        <w:rPr>
          <w:rFonts w:ascii="Noto Serif Light" w:hAnsi="Noto Serif Light" w:cs="Noto Serif Light"/>
        </w:rPr>
        <w:t>Isaksen, A., Trippl, M., &amp; Mayer, H. (2022). Regional innovation systems in an era of Grand Societal challenges: Reorientation versus transformation. European Planning Studies, 30(11), 2125–2138.</w:t>
      </w:r>
    </w:p>
    <w:p w14:paraId="24546AD8" w14:textId="77777777" w:rsidR="00EE6349" w:rsidRPr="00CD05A8" w:rsidRDefault="00EE6349" w:rsidP="00EE6349">
      <w:pPr>
        <w:pStyle w:val="AbstractBookBaseParagraph"/>
        <w:numPr>
          <w:ilvl w:val="0"/>
          <w:numId w:val="31"/>
        </w:numPr>
        <w:rPr>
          <w:rFonts w:ascii="Noto Serif Light" w:hAnsi="Noto Serif Light" w:cs="Noto Serif Light"/>
        </w:rPr>
      </w:pPr>
      <w:r w:rsidRPr="00CD05A8">
        <w:rPr>
          <w:rFonts w:ascii="Noto Serif Light" w:hAnsi="Noto Serif Light" w:cs="Noto Serif Light"/>
        </w:rPr>
        <w:t>Klerkx, L., Jakku, E., &amp; Labarthe, P. (2019). A review of social science on digital agriculture, smart farming and agriculture 4.0. NJAS: Wageningen Journal of Life Sciences, 90–91, 100315.</w:t>
      </w:r>
    </w:p>
    <w:p w14:paraId="5593B968" w14:textId="77777777" w:rsidR="00EE6349" w:rsidRPr="00CD05A8" w:rsidRDefault="00EE6349" w:rsidP="00EE6349">
      <w:pPr>
        <w:pStyle w:val="AbstractBookBaseParagraph"/>
        <w:numPr>
          <w:ilvl w:val="0"/>
          <w:numId w:val="31"/>
        </w:numPr>
        <w:rPr>
          <w:rFonts w:ascii="Noto Serif Light" w:hAnsi="Noto Serif Light" w:cs="Noto Serif Light"/>
        </w:rPr>
      </w:pPr>
      <w:r w:rsidRPr="00CD05A8">
        <w:rPr>
          <w:rFonts w:ascii="Noto Serif Light" w:hAnsi="Noto Serif Light" w:cs="Noto Serif Light"/>
        </w:rPr>
        <w:t>Materia, V. C., Giare, F., &amp; Klerkx, L. (2014). Increasing Knowledge Flows between the Agricultural Research and Advisory System in Italy: Combining Virtual and Non-virtual Interaction in Communities of Practice. The Journal of Agricultural Education and Extension, 21(3), 203–218.</w:t>
      </w:r>
    </w:p>
    <w:p w14:paraId="1F3CBBED" w14:textId="77777777" w:rsidR="00EE6349" w:rsidRPr="00CD05A8" w:rsidRDefault="00EE6349" w:rsidP="00EE6349">
      <w:pPr>
        <w:pStyle w:val="AbstractBookBaseParagraph"/>
        <w:numPr>
          <w:ilvl w:val="0"/>
          <w:numId w:val="31"/>
        </w:numPr>
        <w:rPr>
          <w:rFonts w:ascii="Noto Serif Light" w:hAnsi="Noto Serif Light" w:cs="Noto Serif Light"/>
        </w:rPr>
      </w:pPr>
      <w:r w:rsidRPr="00CD05A8">
        <w:rPr>
          <w:rFonts w:ascii="Noto Serif Light" w:hAnsi="Noto Serif Light" w:cs="Noto Serif Light"/>
        </w:rPr>
        <w:t>Romme, A. G. L., &amp; Reymen, I. M. M. J. (2018). Entrepreneurship at the interface of design and science: Toward an inclusive framework. Journal of Business Venturing Insights, 10, e00094.</w:t>
      </w:r>
    </w:p>
    <w:p w14:paraId="78023136" w14:textId="77777777" w:rsidR="00EE6349" w:rsidRPr="00CD05A8" w:rsidRDefault="00EE6349" w:rsidP="00EE6349">
      <w:pPr>
        <w:pStyle w:val="AbstractBookBaseParagraph"/>
        <w:numPr>
          <w:ilvl w:val="0"/>
          <w:numId w:val="31"/>
        </w:numPr>
        <w:rPr>
          <w:rFonts w:ascii="Noto Serif Light" w:hAnsi="Noto Serif Light" w:cs="Noto Serif Light"/>
        </w:rPr>
      </w:pPr>
      <w:r w:rsidRPr="00CD05A8">
        <w:rPr>
          <w:rFonts w:ascii="Noto Serif Light" w:hAnsi="Noto Serif Light" w:cs="Noto Serif Light"/>
        </w:rPr>
        <w:t>Wenger, E., McDermott, R., &amp; Snyder, W. M. (2002). Cultivating Communities of Practice: A Guide to Managing Knowledge. Harvard Business School Press.</w:t>
      </w:r>
    </w:p>
    <w:p w14:paraId="0726D4B7" w14:textId="77777777" w:rsidR="00EE6349" w:rsidRPr="00CD05A8" w:rsidRDefault="00EE6349" w:rsidP="00EE6349">
      <w:pPr>
        <w:pStyle w:val="AbstractBookBaseParagraph"/>
        <w:rPr>
          <w:rFonts w:ascii="Noto Serif Light" w:hAnsi="Noto Serif Light" w:cs="Noto Serif Light"/>
        </w:rPr>
      </w:pPr>
    </w:p>
    <w:p w14:paraId="77BB19C3" w14:textId="77777777" w:rsidR="00EE6349" w:rsidRPr="00CD05A8" w:rsidRDefault="00EE6349" w:rsidP="00EE6349">
      <w:pPr>
        <w:pStyle w:val="AbstractBookBaseParagraph"/>
        <w:rPr>
          <w:rFonts w:ascii="Noto Serif Light" w:hAnsi="Noto Serif Light" w:cs="Noto Serif Light"/>
        </w:rPr>
      </w:pPr>
      <w:r w:rsidRPr="00CD05A8">
        <w:rPr>
          <w:rFonts w:ascii="Noto Serif Light" w:hAnsi="Noto Serif Light" w:cs="Noto Serif Light"/>
        </w:rPr>
        <w:br w:type="page"/>
      </w:r>
    </w:p>
    <w:p w14:paraId="6124722F" w14:textId="41358152" w:rsidR="00F34977" w:rsidRDefault="00F34977" w:rsidP="00F34977">
      <w:pPr>
        <w:pStyle w:val="ABSubhead"/>
      </w:pPr>
      <w:r>
        <w:lastRenderedPageBreak/>
        <w:t xml:space="preserve">O61. </w:t>
      </w:r>
      <w:r w:rsidR="009726D7" w:rsidRPr="009726D7">
        <w:t>Innovating Policies Through Co-Production: Engaging Local Communities in Regional Food System Change</w:t>
      </w:r>
    </w:p>
    <w:p w14:paraId="4E3D4E3D" w14:textId="77777777" w:rsidR="00F34977" w:rsidRPr="006C77A6" w:rsidRDefault="00F34977" w:rsidP="00F34977">
      <w:pPr>
        <w:pStyle w:val="ABParagraph"/>
      </w:pPr>
    </w:p>
    <w:p w14:paraId="20EF59D9" w14:textId="77777777" w:rsidR="00F34977" w:rsidRPr="00CD05A8" w:rsidRDefault="00F34977" w:rsidP="00F34977">
      <w:pPr>
        <w:pStyle w:val="AbstractBookAuthors"/>
        <w:rPr>
          <w:rFonts w:ascii="Noto Serif Light" w:hAnsi="Noto Serif Light" w:cs="Noto Serif Light"/>
        </w:rPr>
      </w:pPr>
      <w:r w:rsidRPr="00CD05A8">
        <w:rPr>
          <w:rStyle w:val="AbstractBookPresentingAuthor"/>
          <w:rFonts w:ascii="Noto Serif Light" w:hAnsi="Noto Serif Light" w:cs="Noto Serif Light"/>
        </w:rPr>
        <w:t>Katerina Psarikidou</w:t>
      </w:r>
      <w:r w:rsidRPr="00CD05A8">
        <w:rPr>
          <w:rFonts w:ascii="Noto Serif Light" w:hAnsi="Noto Serif Light" w:cs="Noto Serif Light"/>
          <w:vertAlign w:val="superscript"/>
        </w:rPr>
        <w:t>1</w:t>
      </w:r>
    </w:p>
    <w:p w14:paraId="19568B96" w14:textId="77777777" w:rsidR="00F34977" w:rsidRDefault="00F34977" w:rsidP="00F34977">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Science Policy Research Unit, University of Sussex, Falmer, Brighton, United Kingdom</w:t>
      </w:r>
    </w:p>
    <w:p w14:paraId="2835C459" w14:textId="77777777" w:rsidR="00F34977" w:rsidRDefault="00F34977" w:rsidP="00F34977">
      <w:pPr>
        <w:pStyle w:val="AbstractBookBaseParagraph"/>
        <w:rPr>
          <w:rStyle w:val="AbstractBookBaseCharacterStyle"/>
          <w:rFonts w:ascii="Noto Serif Light" w:hAnsi="Noto Serif Light" w:cs="Noto Serif Light"/>
        </w:rPr>
      </w:pPr>
    </w:p>
    <w:p w14:paraId="31BA4F6B" w14:textId="77777777" w:rsidR="00F34977" w:rsidRPr="006C77A6" w:rsidRDefault="00F34977" w:rsidP="00F34977">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5385817B"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This paper argues that co-producing policies for and with communities experiencing food inequalities is key for transforming regional food systems in more sustainable directions for all. The paper draws on food policy research conducted as part of the £6M UKRI funded FoodSEqual project which, based on the principles of research co-production, as stated in its title, had the vision to ‘co-produce sustainable and healthy food systems for disadvantaged communities’. There is a growing literature on the study of ‘co-production’, both within academic and community development contexts (Durose et al, 2023; Lemos et al, 2018; Social Care Institute for Excellence, 2022). However, what does ‘co-production’ mean in the policy context, and how can research support process of ‘co-production’ for innovating food policy and food system change? </w:t>
      </w:r>
    </w:p>
    <w:p w14:paraId="43C51BB5" w14:textId="77777777" w:rsidR="00F34977" w:rsidRPr="00CD05A8" w:rsidRDefault="00F34977" w:rsidP="00F34977">
      <w:pPr>
        <w:pStyle w:val="AbstractBookBaseParagraph"/>
        <w:rPr>
          <w:rFonts w:ascii="Noto Serif Light" w:hAnsi="Noto Serif Light" w:cs="Noto Serif Light"/>
        </w:rPr>
      </w:pPr>
    </w:p>
    <w:p w14:paraId="7BC4C84A"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In this paper, I specifically draw on the way ‘co-production’ has been conceptualised and, most importantly, enacted in the food policy research for the FoodSEqual project.  I outline the different actors – from industry and government to civil society and local residents – as well as the different methods and processes through which I have not only engaged but also worked closely with different communities of actors, especially those who are usually marginalized from policy processes, to influence policy change. I specifically focus on the FoodSEqual policy work conducted in the region of Brighton and Hove. As part of the project, we worked closely with local community organisations and their community researchers to co-design methods for community policy workshops and co-produce policy recommendations (see Psarikidou et al, 2024); we delivered food policy training for local authorities and for our non-academic partners; we presented together at meetings and influenced the development of local food strategies (see Brighton and Hove Food Strategy Action Plan, 2025); we supported the development and evaluation of regional policy interventions (‘Bus Stop Advertising for Health Start Vouchers’; see Psarikidou et al, 2025), which led to the final implementation of a regional Bus Stop Advertising Junk Food Ban, while influencing increase in regional Healthy Start uptake.</w:t>
      </w:r>
    </w:p>
    <w:p w14:paraId="4744C168" w14:textId="77777777" w:rsidR="00F34977" w:rsidRPr="00CD05A8" w:rsidRDefault="00F34977" w:rsidP="00F34977">
      <w:pPr>
        <w:pStyle w:val="AbstractBookBaseParagraph"/>
        <w:rPr>
          <w:rFonts w:ascii="Noto Serif Light" w:hAnsi="Noto Serif Light" w:cs="Noto Serif Light"/>
        </w:rPr>
      </w:pPr>
    </w:p>
    <w:p w14:paraId="33BC9CCE"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Drawing on this case, I argue that co-production has been key for effectively influencing policy change at the regional level. Working with local communities has been central to not only develop the methodologies that would effectively engage local residents in conversations around food, but also to identify the policy changes that would have a meaningful positive impact on the lives of communities experiencing food inequality. The latter has also been a key factor for establishing a close collaboration with local government and influencing regional food policy development. Based on the above, I thus argue that co-production can be key for innovating regional policy for inclusive and impactful food system change: by de-siloing policy from its top-down policy cycle and circles, and re-embedding it in the community that it is intended to be serving.</w:t>
      </w:r>
    </w:p>
    <w:p w14:paraId="65D8657F" w14:textId="77777777" w:rsidR="00F34977" w:rsidRPr="00CD05A8" w:rsidRDefault="00F34977" w:rsidP="00F34977">
      <w:pPr>
        <w:pStyle w:val="AbstractBookBaseParagraph"/>
        <w:rPr>
          <w:rFonts w:ascii="Noto Serif Light" w:hAnsi="Noto Serif Light" w:cs="Noto Serif Light"/>
        </w:rPr>
      </w:pPr>
    </w:p>
    <w:p w14:paraId="39BAB119" w14:textId="77777777" w:rsidR="00F34977" w:rsidRPr="00CD05A8" w:rsidRDefault="00F34977" w:rsidP="00F34977">
      <w:pPr>
        <w:pStyle w:val="AbstractBookBaseParagraph"/>
        <w:rPr>
          <w:rFonts w:ascii="Noto Serif Light" w:hAnsi="Noto Serif Light" w:cs="Noto Serif Light"/>
        </w:rPr>
      </w:pPr>
    </w:p>
    <w:p w14:paraId="4A28DE81"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lastRenderedPageBreak/>
        <w:br w:type="page"/>
      </w:r>
    </w:p>
    <w:p w14:paraId="59528521" w14:textId="1D3C0AC8" w:rsidR="00F34977" w:rsidRDefault="00F34977" w:rsidP="00F34977">
      <w:pPr>
        <w:pStyle w:val="ABSubhead"/>
      </w:pPr>
      <w:r>
        <w:lastRenderedPageBreak/>
        <w:t xml:space="preserve">O62. </w:t>
      </w:r>
      <w:r w:rsidR="00E72072" w:rsidRPr="00E72072">
        <w:t xml:space="preserve">Of Shellfish, Oysters and Alien Crabs: Territorial Transitions, Narrative Reframing </w:t>
      </w:r>
      <w:r w:rsidR="00E72072">
        <w:t>a</w:t>
      </w:r>
      <w:r w:rsidR="00E72072" w:rsidRPr="00E72072">
        <w:t xml:space="preserve">nd Governance Arrangements in </w:t>
      </w:r>
      <w:r w:rsidR="00E72072">
        <w:t>a</w:t>
      </w:r>
      <w:r w:rsidR="00E72072" w:rsidRPr="00E72072">
        <w:t xml:space="preserve"> Marginal Coastal Area</w:t>
      </w:r>
    </w:p>
    <w:p w14:paraId="4DCA187B" w14:textId="77777777" w:rsidR="00F34977" w:rsidRPr="00CC07F8" w:rsidRDefault="00F34977" w:rsidP="00F34977">
      <w:pPr>
        <w:pStyle w:val="ABParagraph"/>
      </w:pPr>
    </w:p>
    <w:p w14:paraId="5D1A0A30" w14:textId="77777777" w:rsidR="00F34977" w:rsidRPr="00CD05A8" w:rsidRDefault="00F34977" w:rsidP="00F34977">
      <w:pPr>
        <w:pStyle w:val="AbstractBookAuthors"/>
        <w:rPr>
          <w:rFonts w:ascii="Noto Serif Light" w:hAnsi="Noto Serif Light" w:cs="Noto Serif Light"/>
        </w:rPr>
      </w:pPr>
      <w:r w:rsidRPr="00CD05A8">
        <w:rPr>
          <w:rStyle w:val="AbstractBookPresentingAuthor"/>
          <w:rFonts w:ascii="Noto Serif Light" w:hAnsi="Noto Serif Light" w:cs="Noto Serif Light"/>
        </w:rPr>
        <w:t>Vladi Finotto</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Prof</w:t>
      </w:r>
      <w:r>
        <w:rPr>
          <w:rStyle w:val="AbstractBookBaseCharacterStyle"/>
          <w:rFonts w:ascii="Noto Serif Light" w:hAnsi="Noto Serif Light" w:cs="Noto Serif Light"/>
        </w:rPr>
        <w:t xml:space="preserve">essor </w:t>
      </w:r>
      <w:r w:rsidRPr="00CD05A8">
        <w:rPr>
          <w:rStyle w:val="AbstractBookBaseCharacterStyle"/>
          <w:rFonts w:ascii="Noto Serif Light" w:hAnsi="Noto Serif Light" w:cs="Noto Serif Light"/>
        </w:rPr>
        <w:t>Christine Mauracher</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Prof</w:t>
      </w:r>
      <w:r>
        <w:rPr>
          <w:rStyle w:val="AbstractBookBaseCharacterStyle"/>
          <w:rFonts w:ascii="Noto Serif Light" w:hAnsi="Noto Serif Light" w:cs="Noto Serif Light"/>
        </w:rPr>
        <w:t>essor</w:t>
      </w:r>
      <w:r w:rsidRPr="00CD05A8">
        <w:rPr>
          <w:rStyle w:val="AbstractBookBaseCharacterStyle"/>
          <w:rFonts w:ascii="Noto Serif Light" w:hAnsi="Noto Serif Light" w:cs="Noto Serif Light"/>
        </w:rPr>
        <w:t xml:space="preserve"> Francesca Checchinato</w:t>
      </w:r>
      <w:r w:rsidRPr="00CD05A8">
        <w:rPr>
          <w:rFonts w:ascii="Noto Serif Light" w:hAnsi="Noto Serif Light" w:cs="Noto Serif Light"/>
          <w:vertAlign w:val="superscript"/>
        </w:rPr>
        <w:t>1</w:t>
      </w:r>
    </w:p>
    <w:p w14:paraId="4B05B5AB" w14:textId="77777777" w:rsidR="00F34977" w:rsidRDefault="00F34977" w:rsidP="00F34977">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Venice School </w:t>
      </w:r>
      <w:r>
        <w:rPr>
          <w:rStyle w:val="AbstractBookBaseCharacterStyle"/>
          <w:rFonts w:ascii="Noto Serif Light" w:hAnsi="Noto Serif Light" w:cs="Noto Serif Light"/>
        </w:rPr>
        <w:t>o</w:t>
      </w:r>
      <w:r w:rsidRPr="00CD05A8">
        <w:rPr>
          <w:rStyle w:val="AbstractBookBaseCharacterStyle"/>
          <w:rFonts w:ascii="Noto Serif Light" w:hAnsi="Noto Serif Light" w:cs="Noto Serif Light"/>
        </w:rPr>
        <w:t>f Management, Ca' Foscari University of Venice, Venice, Italy</w:t>
      </w:r>
    </w:p>
    <w:p w14:paraId="35173FFB" w14:textId="77777777" w:rsidR="00F34977" w:rsidRDefault="00F34977" w:rsidP="00F34977">
      <w:pPr>
        <w:pStyle w:val="AbstractBookBaseParagraph"/>
        <w:rPr>
          <w:rFonts w:ascii="Noto Serif Light" w:hAnsi="Noto Serif Light" w:cs="Noto Serif Light"/>
        </w:rPr>
      </w:pPr>
    </w:p>
    <w:p w14:paraId="57FE5860" w14:textId="77777777" w:rsidR="00F34977" w:rsidRPr="00CD05A8" w:rsidRDefault="00F34977" w:rsidP="00F34977">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53912CB2" w14:textId="77777777" w:rsidR="00F34977" w:rsidRPr="00CD05A8" w:rsidRDefault="00F34977" w:rsidP="00F34977">
      <w:pPr>
        <w:pStyle w:val="AbstractBookBaseParagraph"/>
        <w:rPr>
          <w:rFonts w:ascii="Noto Serif Light" w:hAnsi="Noto Serif Light" w:cs="Noto Serif Light"/>
        </w:rPr>
      </w:pPr>
    </w:p>
    <w:p w14:paraId="036C8FFF" w14:textId="77777777" w:rsidR="00F34977" w:rsidRPr="00CC07F8" w:rsidRDefault="00F34977" w:rsidP="00F34977">
      <w:pPr>
        <w:pStyle w:val="AbstractBookBaseParagraph"/>
        <w:rPr>
          <w:rFonts w:ascii="Noto Serif Light" w:hAnsi="Noto Serif Light" w:cs="Noto Serif Light"/>
          <w:b/>
          <w:bCs/>
        </w:rPr>
      </w:pPr>
      <w:r w:rsidRPr="00CC07F8">
        <w:rPr>
          <w:rFonts w:ascii="Noto Serif Light" w:hAnsi="Noto Serif Light" w:cs="Noto Serif Light"/>
          <w:b/>
          <w:bCs/>
        </w:rPr>
        <w:t xml:space="preserve">Context </w:t>
      </w:r>
      <w:r>
        <w:rPr>
          <w:rFonts w:ascii="Noto Serif Light" w:hAnsi="Noto Serif Light" w:cs="Noto Serif Light"/>
          <w:b/>
          <w:bCs/>
        </w:rPr>
        <w:t>a</w:t>
      </w:r>
      <w:r w:rsidRPr="00CC07F8">
        <w:rPr>
          <w:rFonts w:ascii="Noto Serif Light" w:hAnsi="Noto Serif Light" w:cs="Noto Serif Light"/>
          <w:b/>
          <w:bCs/>
        </w:rPr>
        <w:t>nd Research Question</w:t>
      </w:r>
    </w:p>
    <w:p w14:paraId="76DCC941"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Regions whose economy specialized in fishing and aquaculture face a structural challenge: how to initiate inclusive and durable transitions when the actors most exposed to ecological and economic disruptions — small-scale fishers, family enterprises, coastal communities — operate under resource scarcity, are embedded in deep-seated institutional configurations, and carry identities closely tied to practices that may no longer be economically or ecologically viable or even desirable. Understanding which social and institutional arrangements enable marginal territories to undertake durable transitions towards renewed economic and social arrangements — and which governance configurations and policy instruments make such transitions inclusive — is a relevant question for regional innovation and development policy.</w:t>
      </w:r>
    </w:p>
    <w:p w14:paraId="0F21B57B" w14:textId="77777777" w:rsidR="00F34977" w:rsidRPr="00CD05A8" w:rsidRDefault="00F34977" w:rsidP="00F34977">
      <w:pPr>
        <w:pStyle w:val="AbstractBookBaseParagraph"/>
        <w:rPr>
          <w:rFonts w:ascii="Noto Serif Light" w:hAnsi="Noto Serif Light" w:cs="Noto Serif Light"/>
        </w:rPr>
      </w:pPr>
    </w:p>
    <w:p w14:paraId="1B3BF4B2" w14:textId="77777777" w:rsidR="00F34977" w:rsidRPr="00CC07F8" w:rsidRDefault="00F34977" w:rsidP="00F34977">
      <w:pPr>
        <w:pStyle w:val="AbstractBookBaseParagraph"/>
        <w:rPr>
          <w:rFonts w:ascii="Noto Serif Light" w:hAnsi="Noto Serif Light" w:cs="Noto Serif Light"/>
          <w:b/>
          <w:bCs/>
        </w:rPr>
      </w:pPr>
      <w:r w:rsidRPr="00CC07F8">
        <w:rPr>
          <w:rFonts w:ascii="Noto Serif Light" w:hAnsi="Noto Serif Light" w:cs="Noto Serif Light"/>
          <w:b/>
          <w:bCs/>
        </w:rPr>
        <w:t>Case</w:t>
      </w:r>
    </w:p>
    <w:p w14:paraId="66270F4D"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paper presents the case of the Sacca di Scardovari, a lagoon within the UNESCO Biosphere Reserve of the Po Delta (in the Veneto Region in Italy), where the invasive blue crab (Callinectes sapidus) and the effects of climate change devastated the traditional shellfish economy between 2021 and 2023. Active fishers were reduced from approximately 1,500 to 980 in less than two years, families and communities suffered the backlash. The shock eliminated the primary source of livelihood for hundreds of fishing families and risked triggering a spiral of demographic decline and territorial marginalisation. Yet the crisis opened a window of opportunity for oyster aquaculture, which had existed at the margins of the local economy since 2016. Within three years, new enterprises entered the sector, institutional actors reconfigured their roles, and a distinctive territorial product — the “Ostrica Rosa del Delta” — began to crystallize around a new value proposition integrating premium food production, ecosystem services, and slow tourism. The paper investigates the conditions that made this beginning of a transition possible, the mechanisms that shaped its inclusiveness, and the potential steps forward.</w:t>
      </w:r>
    </w:p>
    <w:p w14:paraId="0382F77C" w14:textId="77777777" w:rsidR="00F34977" w:rsidRPr="00CC07F8" w:rsidRDefault="00F34977" w:rsidP="00F34977">
      <w:pPr>
        <w:pStyle w:val="AbstractBookBaseParagraph"/>
        <w:rPr>
          <w:rFonts w:ascii="Noto Serif Light" w:hAnsi="Noto Serif Light" w:cs="Noto Serif Light"/>
          <w:b/>
          <w:bCs/>
        </w:rPr>
      </w:pPr>
    </w:p>
    <w:p w14:paraId="525D02D9" w14:textId="77777777" w:rsidR="00F34977" w:rsidRPr="00CC07F8" w:rsidRDefault="00F34977" w:rsidP="00F34977">
      <w:pPr>
        <w:pStyle w:val="AbstractBookBaseParagraph"/>
        <w:rPr>
          <w:rFonts w:ascii="Noto Serif Light" w:hAnsi="Noto Serif Light" w:cs="Noto Serif Light"/>
          <w:b/>
          <w:bCs/>
        </w:rPr>
      </w:pPr>
      <w:r w:rsidRPr="00CC07F8">
        <w:rPr>
          <w:rFonts w:ascii="Noto Serif Light" w:hAnsi="Noto Serif Light" w:cs="Noto Serif Light"/>
          <w:b/>
          <w:bCs/>
        </w:rPr>
        <w:t>T</w:t>
      </w:r>
      <w:r>
        <w:rPr>
          <w:rFonts w:ascii="Noto Serif Light" w:hAnsi="Noto Serif Light" w:cs="Noto Serif Light"/>
          <w:b/>
          <w:bCs/>
        </w:rPr>
        <w:t>he Study</w:t>
      </w:r>
    </w:p>
    <w:p w14:paraId="55431E84"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We argue that transformation and rerouting processes in marginal regional contexts are shaped by two interrelated processes. The first is the narrative dimension, thanks to which new practices acquire cultural legitimacy, mobilize collective engagement, and restructure the meanings attributed to local products, places, and professions. In the case we analyze, the oyster underwent a progressive revaluation across multiple registers — from a non-native species to a premium territorial product; from a commercial commodity to a carrier of cultural heritage and identity; from a productive enterprise to a quantifiable provider of ecosystem services including water filtration and carbon capture. The second is the governance dimension: whether institutional </w:t>
      </w:r>
      <w:r w:rsidRPr="00CD05A8">
        <w:rPr>
          <w:rFonts w:ascii="Noto Serif Light" w:hAnsi="Noto Serif Light" w:cs="Noto Serif Light"/>
        </w:rPr>
        <w:lastRenderedPageBreak/>
        <w:t>arrangements capable of sustaining scale-up, regulating access, distributing benefits, and coordinating competing interests among marginal actors are actively co-constructed alongside the emerging economy.</w:t>
      </w:r>
    </w:p>
    <w:p w14:paraId="0AF68613" w14:textId="77777777" w:rsidR="00F34977" w:rsidRPr="00CD05A8" w:rsidRDefault="00F34977" w:rsidP="00F34977">
      <w:pPr>
        <w:pStyle w:val="AbstractBookBaseParagraph"/>
        <w:rPr>
          <w:rFonts w:ascii="Noto Serif Light" w:hAnsi="Noto Serif Light" w:cs="Noto Serif Light"/>
        </w:rPr>
      </w:pPr>
    </w:p>
    <w:p w14:paraId="2E822B65"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We propose that these two dimensions do not operate sequentially — governance first, then narratives, or vice versa — but in parallel, as mutually reinforcing processes. Without new narratives, governance institutions lack the cultural legitimacy to mobilize collective action among actors deeply attached to prior identities and ways of working. Without governance, new narratives remain fragile, their benefits remain concentrated among pioneer firms, and the broader community of marginal actors is excluded from the transition.</w:t>
      </w:r>
    </w:p>
    <w:p w14:paraId="52C786C6" w14:textId="77777777" w:rsidR="00F34977" w:rsidRPr="00CD05A8" w:rsidRDefault="00F34977" w:rsidP="00F34977">
      <w:pPr>
        <w:pStyle w:val="AbstractBookBaseParagraph"/>
        <w:rPr>
          <w:rFonts w:ascii="Noto Serif Light" w:hAnsi="Noto Serif Light" w:cs="Noto Serif Light"/>
        </w:rPr>
      </w:pPr>
    </w:p>
    <w:p w14:paraId="4B8A45E7" w14:textId="77777777" w:rsidR="00F34977" w:rsidRPr="00CC07F8" w:rsidRDefault="00F34977" w:rsidP="00F34977">
      <w:pPr>
        <w:pStyle w:val="AbstractBookBaseParagraph"/>
        <w:rPr>
          <w:rFonts w:ascii="Noto Serif Light" w:hAnsi="Noto Serif Light" w:cs="Noto Serif Light"/>
          <w:b/>
          <w:bCs/>
        </w:rPr>
      </w:pPr>
      <w:r w:rsidRPr="00CC07F8">
        <w:rPr>
          <w:rFonts w:ascii="Noto Serif Light" w:hAnsi="Noto Serif Light" w:cs="Noto Serif Light"/>
          <w:b/>
          <w:bCs/>
        </w:rPr>
        <w:t>Implications</w:t>
      </w:r>
    </w:p>
    <w:p w14:paraId="12A87EF2"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Our study talks to research efforts aimed at understanding resistance to change in regions that present similarities with the one we study (e.g. Resistance to transitions in European Agriculture vis-à-vis the proposed changes in the Green New Deal). Resistance is not simply a matter of path dependence, cognitive lock-in, or individual unwillingness to adapt. It is also a consequence of insufficient co-investment in narrative and governance capacity — and can be partially addressed by policies that act simultaneously on both dimensions. Regional policy frameworks that focus exclusively on financial instruments or technical assistance risk overlooking the institutional and cultural work required to mobilise marginal actors and translate local innovation into shared development trajectories. </w:t>
      </w:r>
    </w:p>
    <w:p w14:paraId="651ABD17" w14:textId="77777777" w:rsidR="00F34977" w:rsidRPr="00CD05A8" w:rsidRDefault="00F34977" w:rsidP="00F34977">
      <w:pPr>
        <w:pStyle w:val="AbstractBookBaseParagraph"/>
        <w:rPr>
          <w:rFonts w:ascii="Noto Serif Light" w:hAnsi="Noto Serif Light" w:cs="Noto Serif Light"/>
        </w:rPr>
      </w:pPr>
    </w:p>
    <w:p w14:paraId="4DD4F784" w14:textId="77777777" w:rsidR="00F34977" w:rsidRPr="00CC07F8" w:rsidRDefault="00F34977" w:rsidP="00F34977">
      <w:pPr>
        <w:pStyle w:val="AbstractBookBaseParagraph"/>
        <w:rPr>
          <w:rFonts w:ascii="Noto Serif Light" w:hAnsi="Noto Serif Light" w:cs="Noto Serif Light"/>
          <w:b/>
          <w:bCs/>
        </w:rPr>
      </w:pPr>
      <w:r w:rsidRPr="00CC07F8">
        <w:rPr>
          <w:rFonts w:ascii="Noto Serif Light" w:hAnsi="Noto Serif Light" w:cs="Noto Serif Light"/>
          <w:b/>
          <w:bCs/>
        </w:rPr>
        <w:t>Empirical Findings</w:t>
      </w:r>
    </w:p>
    <w:p w14:paraId="7E286CD3"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In the Scardovari case, the 2015 UNESCO Biosphere Reserve designation proved a critical institutional resource for narrative transformation, providing a globally legible frame for place-based storytelling that extended the local value proposition well beyond the community. Chef networks, national media exposure, and European project funding (Interreg RES-MAB) further accelerated the revaluation process, generating the cultural infrastructure within which new enterprises could position themselves and new entrants could envisage a viable pathway.</w:t>
      </w:r>
    </w:p>
    <w:p w14:paraId="6FE3CDBD" w14:textId="77777777" w:rsidR="00F34977" w:rsidRPr="00CD05A8" w:rsidRDefault="00F34977" w:rsidP="00F34977">
      <w:pPr>
        <w:pStyle w:val="AbstractBookBaseParagraph"/>
        <w:rPr>
          <w:rFonts w:ascii="Noto Serif Light" w:hAnsi="Noto Serif Light" w:cs="Noto Serif Light"/>
        </w:rPr>
      </w:pPr>
    </w:p>
    <w:p w14:paraId="1158CBDE"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At the governance level, the transition required the active reconfiguration of pre-existing institutional arrangements. The fishers’ consortium — originally mandated to govern shellfish concessions — progressively extended its role to try and encompass oyster aquaculture, providing legal access to lagoon concessions, collective representation, and a degree of quality governance. The Delta Park (Parco del Delta del Po) is emerging as a potential strategic intermediary, mobilizing European funding and providing the institutional legitimacy that attracted university partnerships, policy attention, and media visibility. Regional authorities contributed co-financing through the support to emerging proposals aiming for public funds. This multilevel governance configuration — combining enterprise-level innovation, consortium adaptation, and place-based institutional support — enabled the transition to reach beyond individual pioneer firms and begin constituting a genuine regional food system.</w:t>
      </w:r>
    </w:p>
    <w:p w14:paraId="1691AF09" w14:textId="77777777" w:rsidR="00F34977" w:rsidRPr="00CD05A8" w:rsidRDefault="00F34977" w:rsidP="00F34977">
      <w:pPr>
        <w:pStyle w:val="AbstractBookBaseParagraph"/>
        <w:rPr>
          <w:rFonts w:ascii="Noto Serif Light" w:hAnsi="Noto Serif Light" w:cs="Noto Serif Light"/>
        </w:rPr>
      </w:pPr>
    </w:p>
    <w:p w14:paraId="6DF4A643" w14:textId="77777777" w:rsidR="00F34977" w:rsidRPr="00CC07F8" w:rsidRDefault="00F34977" w:rsidP="00F34977">
      <w:pPr>
        <w:pStyle w:val="AbstractBookBaseParagraph"/>
        <w:rPr>
          <w:rFonts w:ascii="Noto Serif Light" w:hAnsi="Noto Serif Light" w:cs="Noto Serif Light"/>
          <w:b/>
          <w:bCs/>
        </w:rPr>
      </w:pPr>
      <w:r w:rsidRPr="00CC07F8">
        <w:rPr>
          <w:rFonts w:ascii="Noto Serif Light" w:hAnsi="Noto Serif Light" w:cs="Noto Serif Light"/>
          <w:b/>
          <w:bCs/>
        </w:rPr>
        <w:t>Methodology</w:t>
      </w:r>
    </w:p>
    <w:p w14:paraId="5D9B48CE"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The research combines semi-structured in-depth interviews with enterprise founders, institutional actors, and local food operators with analysis of policy documents, </w:t>
      </w:r>
      <w:r w:rsidRPr="00CD05A8">
        <w:rPr>
          <w:rFonts w:ascii="Noto Serif Light" w:hAnsi="Noto Serif Light" w:cs="Noto Serif Light"/>
        </w:rPr>
        <w:lastRenderedPageBreak/>
        <w:t>European project materials, media coverage, and secondary data on the oyster market in Italy and the EU. The analytical framework draws on literature on food value renegotiation, place-based regional governance, and transition policy in marginal territorial contexts.</w:t>
      </w:r>
    </w:p>
    <w:p w14:paraId="2944F967" w14:textId="77777777" w:rsidR="00F34977" w:rsidRPr="00CD05A8" w:rsidRDefault="00F34977" w:rsidP="00F34977">
      <w:pPr>
        <w:pStyle w:val="AbstractBookBaseParagraph"/>
        <w:rPr>
          <w:rFonts w:ascii="Noto Serif Light" w:hAnsi="Noto Serif Light" w:cs="Noto Serif Light"/>
        </w:rPr>
      </w:pPr>
    </w:p>
    <w:p w14:paraId="5620B3D7" w14:textId="77777777" w:rsidR="00F34977" w:rsidRPr="00CC07F8" w:rsidRDefault="00F34977" w:rsidP="00F34977">
      <w:pPr>
        <w:pStyle w:val="AbstractBookBaseParagraph"/>
        <w:rPr>
          <w:rFonts w:ascii="Noto Serif Light" w:hAnsi="Noto Serif Light" w:cs="Noto Serif Light"/>
          <w:b/>
          <w:bCs/>
        </w:rPr>
      </w:pPr>
      <w:r w:rsidRPr="00CC07F8">
        <w:rPr>
          <w:rFonts w:ascii="Noto Serif Light" w:hAnsi="Noto Serif Light" w:cs="Noto Serif Light"/>
          <w:b/>
          <w:bCs/>
        </w:rPr>
        <w:t>Expected Contributions</w:t>
      </w:r>
    </w:p>
    <w:p w14:paraId="3FA02DA0"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paper aims at making two contributions. First, it attempts at developing an empirically grounded framework for understanding crisis-induced system transitions that proffers the co-evolution of narrative and governance dimensions as an effective lens to set the stage for policy development. Second, it identifies specific mechanisms that support inclusive transitions in marginal regions or regions risking marginalization (similar coastal communities, rural areas and mountainous areas): cultural recognition schemes, collective territorial branding, institutional intermediaries capable of bridging enterprise-level activity and regional policy, and funding architectures that make the example of pioneering firms and entrepreneurs a desirable and legitimate model for other actors in the area.</w:t>
      </w:r>
    </w:p>
    <w:p w14:paraId="7F0329E3" w14:textId="77777777" w:rsidR="00F34977" w:rsidRPr="00CD05A8" w:rsidRDefault="00F34977" w:rsidP="00F34977">
      <w:pPr>
        <w:pStyle w:val="AbstractBookBaseParagraph"/>
        <w:rPr>
          <w:rFonts w:ascii="Noto Serif Light" w:hAnsi="Noto Serif Light" w:cs="Noto Serif Light"/>
        </w:rPr>
      </w:pPr>
    </w:p>
    <w:p w14:paraId="376AF6B5" w14:textId="77777777" w:rsidR="00F34977" w:rsidRPr="00CC07F8" w:rsidRDefault="00F34977" w:rsidP="00F34977">
      <w:pPr>
        <w:pStyle w:val="AbstractBookBaseParagraph"/>
        <w:rPr>
          <w:rFonts w:ascii="Noto Serif Light" w:hAnsi="Noto Serif Light" w:cs="Noto Serif Light"/>
          <w:b/>
          <w:bCs/>
        </w:rPr>
      </w:pPr>
      <w:r w:rsidRPr="00CC07F8">
        <w:rPr>
          <w:rFonts w:ascii="Noto Serif Light" w:hAnsi="Noto Serif Light" w:cs="Noto Serif Light"/>
          <w:b/>
          <w:bCs/>
        </w:rPr>
        <w:t>Relevant (Selected) References</w:t>
      </w:r>
    </w:p>
    <w:p w14:paraId="1D87405E" w14:textId="77777777" w:rsidR="00F34977" w:rsidRPr="00CD05A8" w:rsidRDefault="00F34977" w:rsidP="00F34977">
      <w:pPr>
        <w:pStyle w:val="AbstractBookBaseParagraph"/>
        <w:numPr>
          <w:ilvl w:val="0"/>
          <w:numId w:val="32"/>
        </w:numPr>
        <w:rPr>
          <w:rFonts w:ascii="Noto Serif Light" w:hAnsi="Noto Serif Light" w:cs="Noto Serif Light"/>
        </w:rPr>
      </w:pPr>
      <w:r w:rsidRPr="00CD05A8">
        <w:rPr>
          <w:rFonts w:ascii="Noto Serif Light" w:hAnsi="Noto Serif Light" w:cs="Noto Serif Light"/>
        </w:rPr>
        <w:t>Asheim, B. T., Boschma, R., &amp; Cooke, P. (2011). Constructing regional advantage: Platform policies based on related variety and differentiated knowledge bases. Regional studies, 45(7), 893-904.</w:t>
      </w:r>
    </w:p>
    <w:p w14:paraId="68BD1BFB" w14:textId="77777777" w:rsidR="00F34977" w:rsidRPr="00CD05A8" w:rsidRDefault="00F34977" w:rsidP="00F34977">
      <w:pPr>
        <w:pStyle w:val="AbstractBookBaseParagraph"/>
        <w:numPr>
          <w:ilvl w:val="0"/>
          <w:numId w:val="32"/>
        </w:numPr>
        <w:rPr>
          <w:rFonts w:ascii="Noto Serif Light" w:hAnsi="Noto Serif Light" w:cs="Noto Serif Light"/>
        </w:rPr>
      </w:pPr>
      <w:r w:rsidRPr="00CD05A8">
        <w:rPr>
          <w:rFonts w:ascii="Noto Serif Light" w:hAnsi="Noto Serif Light" w:cs="Noto Serif Light"/>
        </w:rPr>
        <w:t>Folke, C. (2006). Resilience: The emergence of a perspective for social–ecological systems analyses. Global Environmental Change, 16(3), 253–267.</w:t>
      </w:r>
    </w:p>
    <w:p w14:paraId="39E7511D" w14:textId="77777777" w:rsidR="00F34977" w:rsidRPr="00CD05A8" w:rsidRDefault="00F34977" w:rsidP="00F34977">
      <w:pPr>
        <w:pStyle w:val="AbstractBookBaseParagraph"/>
        <w:numPr>
          <w:ilvl w:val="0"/>
          <w:numId w:val="32"/>
        </w:numPr>
        <w:rPr>
          <w:rFonts w:ascii="Noto Serif Light" w:hAnsi="Noto Serif Light" w:cs="Noto Serif Light"/>
        </w:rPr>
      </w:pPr>
      <w:r w:rsidRPr="00CD05A8">
        <w:rPr>
          <w:rFonts w:ascii="Noto Serif Light" w:hAnsi="Noto Serif Light" w:cs="Noto Serif Light"/>
        </w:rPr>
        <w:t>Jennings, V., San Antonio, K. M., Brown, M. J., Choice, L., Simpson, Q., Ford, I., ... &amp; Robinson, D. M. (2024). Place-based conservation in coastal and marine ecosystems: the importance of engagement with underrepresented communities. Sustainability, 16(22), 9965.</w:t>
      </w:r>
    </w:p>
    <w:p w14:paraId="7A1F92B5" w14:textId="77777777" w:rsidR="00F34977" w:rsidRPr="00CD05A8" w:rsidRDefault="00F34977" w:rsidP="00F34977">
      <w:pPr>
        <w:pStyle w:val="AbstractBookBaseParagraph"/>
        <w:numPr>
          <w:ilvl w:val="0"/>
          <w:numId w:val="32"/>
        </w:numPr>
        <w:rPr>
          <w:rFonts w:ascii="Noto Serif Light" w:hAnsi="Noto Serif Light" w:cs="Noto Serif Light"/>
        </w:rPr>
      </w:pPr>
      <w:r w:rsidRPr="00CD05A8">
        <w:rPr>
          <w:rFonts w:ascii="Noto Serif Light" w:hAnsi="Noto Serif Light" w:cs="Noto Serif Light"/>
        </w:rPr>
        <w:t>McCann, P. (2023). Place-Based Policies for the Future. OECD Regional Development Papers.</w:t>
      </w:r>
    </w:p>
    <w:p w14:paraId="284C2D68" w14:textId="77777777" w:rsidR="00F34977" w:rsidRPr="00CD05A8" w:rsidRDefault="00F34977" w:rsidP="00F34977">
      <w:pPr>
        <w:pStyle w:val="AbstractBookBaseParagraph"/>
        <w:numPr>
          <w:ilvl w:val="0"/>
          <w:numId w:val="32"/>
        </w:numPr>
        <w:rPr>
          <w:rFonts w:ascii="Noto Serif Light" w:hAnsi="Noto Serif Light" w:cs="Noto Serif Light"/>
        </w:rPr>
      </w:pPr>
      <w:r w:rsidRPr="00CD05A8">
        <w:rPr>
          <w:rFonts w:ascii="Noto Serif Light" w:hAnsi="Noto Serif Light" w:cs="Noto Serif Light"/>
        </w:rPr>
        <w:t>Willett, J. (2023). Place-based rural development: A role for complex adaptive region assemblages?. Journal of Rural Studies, 97, 583-590.</w:t>
      </w:r>
    </w:p>
    <w:p w14:paraId="0D76A7CE" w14:textId="77777777" w:rsidR="00F34977" w:rsidRPr="00CD05A8" w:rsidRDefault="00F34977" w:rsidP="00F34977">
      <w:pPr>
        <w:pStyle w:val="AbstractBookBaseParagraph"/>
        <w:rPr>
          <w:rFonts w:ascii="Noto Serif Light" w:hAnsi="Noto Serif Light" w:cs="Noto Serif Light"/>
        </w:rPr>
      </w:pPr>
    </w:p>
    <w:p w14:paraId="1C104615" w14:textId="77777777" w:rsidR="00F34977" w:rsidRPr="00CD05A8" w:rsidRDefault="00F34977" w:rsidP="00F34977">
      <w:pPr>
        <w:pStyle w:val="AbstractBookBaseParagraph"/>
        <w:rPr>
          <w:rFonts w:ascii="Noto Serif Light" w:hAnsi="Noto Serif Light" w:cs="Noto Serif Light"/>
        </w:rPr>
      </w:pPr>
    </w:p>
    <w:p w14:paraId="375D489B"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br w:type="page"/>
      </w:r>
    </w:p>
    <w:p w14:paraId="789F966C" w14:textId="77777777" w:rsidR="00F34977" w:rsidRDefault="00F34977" w:rsidP="00F34977">
      <w:pPr>
        <w:pStyle w:val="ABSubhead"/>
      </w:pPr>
      <w:r>
        <w:lastRenderedPageBreak/>
        <w:t xml:space="preserve">O63. </w:t>
      </w:r>
      <w:r w:rsidRPr="00CD05A8">
        <w:t>Waste Not, Want Not! A Food Sector Triple Helix Case Study from Wale</w:t>
      </w:r>
      <w:r>
        <w:t>s</w:t>
      </w:r>
    </w:p>
    <w:p w14:paraId="1D5AABF1" w14:textId="77777777" w:rsidR="00F34977" w:rsidRPr="00220128" w:rsidRDefault="00F34977" w:rsidP="00F34977">
      <w:pPr>
        <w:pStyle w:val="ABParagraph"/>
      </w:pPr>
    </w:p>
    <w:p w14:paraId="3A82F605" w14:textId="77777777" w:rsidR="00F34977" w:rsidRPr="00D57789" w:rsidRDefault="00F34977" w:rsidP="00F34977">
      <w:pPr>
        <w:pStyle w:val="AbstractBookAuthors"/>
        <w:rPr>
          <w:rFonts w:ascii="Noto Serif Light" w:hAnsi="Noto Serif Light" w:cs="Noto Serif Light"/>
        </w:rPr>
      </w:pPr>
      <w:r w:rsidRPr="00CD05A8">
        <w:rPr>
          <w:rStyle w:val="AbstractBookPresentingAuthor"/>
          <w:rFonts w:ascii="Noto Serif Light" w:hAnsi="Noto Serif Light" w:cs="Noto Serif Light"/>
        </w:rPr>
        <w:t>Sharon Mayho</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Professor Nick Clifton</w:t>
      </w:r>
      <w:r>
        <w:rPr>
          <w:rStyle w:val="AbstractBookBaseCharacterStyle"/>
          <w:rFonts w:ascii="Noto Serif Light" w:hAnsi="Noto Serif Light" w:cs="Noto Serif Light"/>
          <w:vertAlign w:val="superscript"/>
        </w:rPr>
        <w:t>2</w:t>
      </w:r>
    </w:p>
    <w:p w14:paraId="4D2503DE" w14:textId="77777777" w:rsidR="00F34977" w:rsidRPr="00D57789" w:rsidRDefault="00F34977" w:rsidP="00F34977">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Pr>
          <w:rStyle w:val="AbstractBookBaseCharacterStyle"/>
          <w:rFonts w:ascii="Noto Serif Light" w:hAnsi="Noto Serif Light" w:cs="Noto Serif Light"/>
        </w:rPr>
        <w:t xml:space="preserve">ZERO2FIVE Food Industry Centre, Cardiff Metropolitan University, Cardiff, United Kingdom, </w:t>
      </w:r>
      <w:r>
        <w:rPr>
          <w:rStyle w:val="AbstractBookBaseCharacterStyle"/>
          <w:rFonts w:ascii="Noto Serif Light" w:hAnsi="Noto Serif Light" w:cs="Noto Serif Light"/>
          <w:vertAlign w:val="superscript"/>
        </w:rPr>
        <w:t>2</w:t>
      </w:r>
      <w:r>
        <w:rPr>
          <w:rStyle w:val="AbstractBookBaseCharacterStyle"/>
          <w:rFonts w:ascii="Noto Serif Light" w:hAnsi="Noto Serif Light" w:cs="Noto Serif Light"/>
        </w:rPr>
        <w:t>Cardiff School of Management, Cardiff Metropolitan University, Cardiff, United Kingdom</w:t>
      </w:r>
    </w:p>
    <w:p w14:paraId="201244A0" w14:textId="77777777" w:rsidR="00F34977" w:rsidRDefault="00F34977" w:rsidP="00F34977">
      <w:pPr>
        <w:pStyle w:val="AbstractBookBaseParagraph"/>
        <w:rPr>
          <w:rStyle w:val="AbstractBookBaseCharacterStyle"/>
          <w:rFonts w:ascii="Noto Serif Light" w:hAnsi="Noto Serif Light" w:cs="Noto Serif Light"/>
        </w:rPr>
      </w:pPr>
    </w:p>
    <w:p w14:paraId="77DF73F5" w14:textId="77777777" w:rsidR="00F34977" w:rsidRPr="00CD05A8" w:rsidRDefault="00F34977" w:rsidP="00F34977">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527062EE" w14:textId="77777777" w:rsidR="00F34977" w:rsidRPr="00CD05A8" w:rsidRDefault="00F34977" w:rsidP="00F34977">
      <w:pPr>
        <w:pStyle w:val="AbstractBookBaseParagraph"/>
        <w:rPr>
          <w:rFonts w:ascii="Noto Serif Light" w:hAnsi="Noto Serif Light" w:cs="Noto Serif Light"/>
        </w:rPr>
      </w:pPr>
    </w:p>
    <w:p w14:paraId="3C903813" w14:textId="77777777" w:rsidR="00F34977" w:rsidRPr="00220128" w:rsidRDefault="00F34977" w:rsidP="00F34977">
      <w:pPr>
        <w:pStyle w:val="AbstractBookBaseParagraph"/>
        <w:rPr>
          <w:rFonts w:ascii="Noto Serif Light" w:hAnsi="Noto Serif Light" w:cs="Noto Serif Light"/>
          <w:b/>
          <w:bCs/>
        </w:rPr>
      </w:pPr>
      <w:r w:rsidRPr="00220128">
        <w:rPr>
          <w:rFonts w:ascii="Noto Serif Light" w:hAnsi="Noto Serif Light" w:cs="Noto Serif Light"/>
          <w:b/>
          <w:bCs/>
        </w:rPr>
        <w:t>Introduction</w:t>
      </w:r>
    </w:p>
    <w:p w14:paraId="03C41529"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Peripheral regions face structural constraints, including limited R&amp;D intensity, fragmented knowledge networks, and weak institutional thickness, all of which hinder the adoption of incremental and process‑based innovations (Pappa et al., 2025; Asheim et al., 2019). This typically affects micro and small SME’s with limited resources, skills and knowledge deficits, production inefficiencies and lower absorptive capacity. Indeed, peripheral regions are often disproportionately reliant on food manufacturing and other foundational industries (Tödtling and Trippl, 2005). In these contexts, universities function as critical anchor institutions, not primarily as generators of frontier technologies, but as facilitators of applied research, skills development, and translational infrastructure that enhance firms’ absorptive capacity (Etzkowitz &amp; Zhou, 2017). The Triple Helix model of university–industry–government interaction has grown in interest to policymakers and researchers (Etzkowitz &amp; Leydesdorff, 2000) to become an explicit regional innovation policy strategy for knowledge transfer (Asheim et al., 2019). However, there is still a need to contribute to the debate on the practical effectiveness of this strategy.</w:t>
      </w:r>
    </w:p>
    <w:p w14:paraId="146C7AB9" w14:textId="77777777" w:rsidR="00F34977" w:rsidRPr="00CD05A8" w:rsidRDefault="00F34977" w:rsidP="00F34977">
      <w:pPr>
        <w:pStyle w:val="AbstractBookBaseParagraph"/>
        <w:rPr>
          <w:rFonts w:ascii="Noto Serif Light" w:hAnsi="Noto Serif Light" w:cs="Noto Serif Light"/>
        </w:rPr>
      </w:pPr>
    </w:p>
    <w:p w14:paraId="20ACC0DC"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In parallel, foundational economies built on sectors for “everyday life” are viewed as contributors to socio-ecological transformation (Bärnthaler et al., 2021) and, as such, the approach is more focused on the consequences of innovation than on developing new technical innovations. In terms of regional development, this equates to necessity sectors such as health and welfare services, education, transportation, utilities, and food processing and retailing (Hansen, 2020). Food manufacturing and production, although categorised as foundational to many economies, remains a persistently low‑productivity, low‑technology sector, with a comparatively weak innovation diffusion (OECD, 2025). It is also characterised as dominated by micro and small to medium (SME) businesses with technical production and processing skills shortages (Mayho, 2026), with high levels of unavoidable production‑stage waste. While food waste has been widely examined at the consumer and retail levels, the structural and systemic drivers of waste generation and reduction within food manufacturing environments remain under‑explored, particularly in small to medium enterprises (Packiyadhas, et al., 2025; Rai et al., 2025)</w:t>
      </w:r>
    </w:p>
    <w:p w14:paraId="1E6F6D7F" w14:textId="77777777" w:rsidR="00F34977" w:rsidRPr="00CD05A8" w:rsidRDefault="00F34977" w:rsidP="00F34977">
      <w:pPr>
        <w:pStyle w:val="AbstractBookBaseParagraph"/>
        <w:rPr>
          <w:rFonts w:ascii="Noto Serif Light" w:hAnsi="Noto Serif Light" w:cs="Noto Serif Light"/>
        </w:rPr>
      </w:pPr>
    </w:p>
    <w:p w14:paraId="33C8761B" w14:textId="77777777" w:rsidR="00F34977" w:rsidRPr="00220128" w:rsidRDefault="00F34977" w:rsidP="00F34977">
      <w:pPr>
        <w:pStyle w:val="AbstractBookBaseParagraph"/>
        <w:rPr>
          <w:rFonts w:ascii="Noto Serif Light" w:hAnsi="Noto Serif Light" w:cs="Noto Serif Light"/>
          <w:b/>
          <w:bCs/>
        </w:rPr>
      </w:pPr>
      <w:r w:rsidRPr="00220128">
        <w:rPr>
          <w:rFonts w:ascii="Noto Serif Light" w:hAnsi="Noto Serif Light" w:cs="Noto Serif Light"/>
          <w:b/>
          <w:bCs/>
        </w:rPr>
        <w:t>Background</w:t>
      </w:r>
    </w:p>
    <w:p w14:paraId="2C67C2E6"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In the UK, between 2020 and 2025, food and non-alcoholic beverage prices rose by 37%, compared to 28% overall UK inflation, outpacing comparable European countries. UK energy prices also remain higher than those of peer countries, with industrial energy </w:t>
      </w:r>
      <w:r w:rsidRPr="00CD05A8">
        <w:rPr>
          <w:rFonts w:ascii="Noto Serif Light" w:hAnsi="Noto Serif Light" w:cs="Noto Serif Light"/>
        </w:rPr>
        <w:lastRenderedPageBreak/>
        <w:t>being 45% higher than in France, 46% higher than in Germany and 93% higher than in Spain, putting British producers at a disadvantage (Danila, 2026).</w:t>
      </w:r>
    </w:p>
    <w:p w14:paraId="23ACCA46" w14:textId="77777777" w:rsidR="00F34977" w:rsidRPr="00CD05A8" w:rsidRDefault="00F34977" w:rsidP="00F34977">
      <w:pPr>
        <w:pStyle w:val="AbstractBookBaseParagraph"/>
        <w:rPr>
          <w:rFonts w:ascii="Noto Serif Light" w:hAnsi="Noto Serif Light" w:cs="Noto Serif Light"/>
        </w:rPr>
      </w:pPr>
    </w:p>
    <w:p w14:paraId="36D8954E"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Wales, a peripheral, devolved nation of the UK, retains old post-industrial urban areas with dense populations and diverse businesses, areas of rurality with now sparse populations (Mayho et al., 2024) and a lagging GVA% per head compared to the UK as a whole (Office for National Statistics, 2025). Food production and manufacturing are central to its foundational economy, and the Welsh Government provided continued support for its sustainability, including Triple Helix initiatives for food and drink manufacturing and production in the region (Welsh Parliament, 2026). Cardiff Metropolitan University ZERO2FIVE Food Industry Centre’s Project HELIX delivery included the 2022 development of a Waste team to assess manufacturing product and process waste in the South Wales region, whilst providing knowledge transfer for improvements. This study examines food manufacturing waste through the lens of the Triple Helix model (Etzkowitz &amp; Leydesdorff, 2000), situating waste reduction and productivity improvements within broader regional innovation systems.</w:t>
      </w:r>
    </w:p>
    <w:p w14:paraId="2DE49BD1" w14:textId="77777777" w:rsidR="00F34977" w:rsidRPr="00CD05A8" w:rsidRDefault="00F34977" w:rsidP="00F34977">
      <w:pPr>
        <w:pStyle w:val="AbstractBookBaseParagraph"/>
        <w:rPr>
          <w:rFonts w:ascii="Noto Serif Light" w:hAnsi="Noto Serif Light" w:cs="Noto Serif Light"/>
        </w:rPr>
      </w:pPr>
    </w:p>
    <w:p w14:paraId="363A6988" w14:textId="77777777" w:rsidR="00F34977" w:rsidRPr="00220128" w:rsidRDefault="00F34977" w:rsidP="00F34977">
      <w:pPr>
        <w:pStyle w:val="AbstractBookBaseParagraph"/>
        <w:rPr>
          <w:rFonts w:ascii="Noto Serif Light" w:hAnsi="Noto Serif Light" w:cs="Noto Serif Light"/>
          <w:b/>
          <w:bCs/>
        </w:rPr>
      </w:pPr>
      <w:r w:rsidRPr="00220128">
        <w:rPr>
          <w:rFonts w:ascii="Noto Serif Light" w:hAnsi="Noto Serif Light" w:cs="Noto Serif Light"/>
          <w:b/>
          <w:bCs/>
        </w:rPr>
        <w:t>Research approach</w:t>
      </w:r>
    </w:p>
    <w:p w14:paraId="79EF609E"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As an empirical case study, the enquiry was designed to identify the effectiveness of the Triple Helix Model in the context of foundational food-sector development. As such, to fulfil the objectives of the enquiry, the qualitative literature review identified Triple Helix, regional innovation systems and foundational economy narrative, to identify gaps and perspectives in existing subject knowledge. This was followed by a qualitative and quantitative, triangulated mixed-method analysis of a purposive sample of 12 firms. Qualitative assessments provided data for a thematic analysis utilising NVivo v12. </w:t>
      </w:r>
    </w:p>
    <w:p w14:paraId="6F5A81E9" w14:textId="77777777" w:rsidR="00F34977" w:rsidRPr="00CD05A8" w:rsidRDefault="00F34977" w:rsidP="00F34977">
      <w:pPr>
        <w:pStyle w:val="AbstractBookBaseParagraph"/>
        <w:rPr>
          <w:rFonts w:ascii="Noto Serif Light" w:hAnsi="Noto Serif Light" w:cs="Noto Serif Light"/>
        </w:rPr>
      </w:pPr>
    </w:p>
    <w:p w14:paraId="7E36B2DD" w14:textId="77777777" w:rsidR="00F34977" w:rsidRPr="00220128" w:rsidRDefault="00F34977" w:rsidP="00F34977">
      <w:pPr>
        <w:pStyle w:val="AbstractBookBaseParagraph"/>
        <w:rPr>
          <w:rFonts w:ascii="Noto Serif Light" w:hAnsi="Noto Serif Light" w:cs="Noto Serif Light"/>
          <w:b/>
          <w:bCs/>
        </w:rPr>
      </w:pPr>
      <w:r w:rsidRPr="00220128">
        <w:rPr>
          <w:rFonts w:ascii="Noto Serif Light" w:hAnsi="Noto Serif Light" w:cs="Noto Serif Light"/>
          <w:b/>
          <w:bCs/>
        </w:rPr>
        <w:t>Results</w:t>
      </w:r>
    </w:p>
    <w:p w14:paraId="1378C5CB"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The aggregated data of the companies selected for the study (n=12) highlighted the assessment of thirty-five product lines and three goods inwards and outwards operations. Weight tolerance level checks showed eight companies had products over tolerance (average 1.5%), resulting in product giveaway. Conversely, three firms had post-cooking underweight on some product lines, contravening regulatory compliance. For smaller artisan firms, hand finishing created an average of 1.7% giveaway or waste, and partial automation would release labour intensity by as much as one person per line. Several firms did not benchmark or segregate waste from production lines, which included floor waste and packaging damage. In the ready meals category, many products could be repackaged if they had been separated from waste. Others had over/under size or damaged products suitable for repurposing into other products, for example, confectionery products. A lack of equipment maintenance, optimisation, and adequate training was identified in 9 firms. </w:t>
      </w:r>
    </w:p>
    <w:p w14:paraId="1B48B9D1" w14:textId="77777777" w:rsidR="00F34977" w:rsidRPr="00CD05A8" w:rsidRDefault="00F34977" w:rsidP="00F34977">
      <w:pPr>
        <w:pStyle w:val="AbstractBookBaseParagraph"/>
        <w:rPr>
          <w:rFonts w:ascii="Noto Serif Light" w:hAnsi="Noto Serif Light" w:cs="Noto Serif Light"/>
        </w:rPr>
      </w:pPr>
    </w:p>
    <w:p w14:paraId="500D3BD3"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In goods inwards and outwards areas, excess waste generated in raw materials and shelf-ready products was identified as poor quality packaging, labelling and handling. A lack of stock rotation, realised near date or out-of-date products. Also, for goods inwards, residual waste inside raw goods packaging was observed, plus supplier underweight. </w:t>
      </w:r>
    </w:p>
    <w:p w14:paraId="26BCF0A2" w14:textId="77777777" w:rsidR="00F34977" w:rsidRPr="00CD05A8" w:rsidRDefault="00F34977" w:rsidP="00F34977">
      <w:pPr>
        <w:pStyle w:val="AbstractBookBaseParagraph"/>
        <w:rPr>
          <w:rFonts w:ascii="Noto Serif Light" w:hAnsi="Noto Serif Light" w:cs="Noto Serif Light"/>
        </w:rPr>
      </w:pPr>
    </w:p>
    <w:p w14:paraId="39684EAB"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Excess energy and water consumption were observed in running equipment, such as empty low stock freezers and cleaning processes, without benchmarking.</w:t>
      </w:r>
    </w:p>
    <w:p w14:paraId="719ECB76"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lastRenderedPageBreak/>
        <w:t xml:space="preserve">In summary, the diagnostics revealed that significant cost reduction and resource saving would be realised by firms from increasing investment in equipment updating/maintenance and training, better use of production space, developing raw ingredient cost data and waste benchmarking. Also, from operational and stock control training and role responsibility, product weight control and correct rejection. </w:t>
      </w:r>
    </w:p>
    <w:p w14:paraId="73F069CC" w14:textId="77777777" w:rsidR="00F34977" w:rsidRPr="00CD05A8" w:rsidRDefault="00F34977" w:rsidP="00F34977">
      <w:pPr>
        <w:pStyle w:val="AbstractBookBaseParagraph"/>
        <w:rPr>
          <w:rFonts w:ascii="Noto Serif Light" w:hAnsi="Noto Serif Light" w:cs="Noto Serif Light"/>
        </w:rPr>
      </w:pPr>
    </w:p>
    <w:p w14:paraId="6917A1BB" w14:textId="77777777" w:rsidR="00F34977" w:rsidRPr="00220128" w:rsidRDefault="00F34977" w:rsidP="00F34977">
      <w:pPr>
        <w:pStyle w:val="AbstractBookBaseParagraph"/>
        <w:rPr>
          <w:rFonts w:ascii="Noto Serif Light" w:hAnsi="Noto Serif Light" w:cs="Noto Serif Light"/>
          <w:b/>
          <w:bCs/>
        </w:rPr>
      </w:pPr>
      <w:r w:rsidRPr="00220128">
        <w:rPr>
          <w:rFonts w:ascii="Noto Serif Light" w:hAnsi="Noto Serif Light" w:cs="Noto Serif Light"/>
          <w:b/>
          <w:bCs/>
        </w:rPr>
        <w:t>Conclusion/implications</w:t>
      </w:r>
    </w:p>
    <w:p w14:paraId="4AA46F0E"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This study demonstrates that, within peripheral and foundational food manufacturing contexts, the Triple Helix model can operate as a pragmatic mechanism for productivity improvement and waste reduction when it is oriented toward applied, problem‑led engagement rather than frontier innovation. The findings illustrate that manufacturing waste in SMEs is not primarily a technological failure, but a systemic outcome of skills gaps, under‑maintained equipment, weak operational data, and limited absorptive capacity. University‑led diagnostic and translational interventions, working with government support, were shown to surface hidden inefficiencies, regulatory risks, and resource losses that firms themselves lacked the capacity to identify or address independently.</w:t>
      </w:r>
    </w:p>
    <w:p w14:paraId="21454A0C" w14:textId="77777777" w:rsidR="00F34977" w:rsidRPr="00CD05A8" w:rsidRDefault="00F34977" w:rsidP="00F34977">
      <w:pPr>
        <w:pStyle w:val="AbstractBookBaseParagraph"/>
        <w:rPr>
          <w:rFonts w:ascii="Noto Serif Light" w:hAnsi="Noto Serif Light" w:cs="Noto Serif Light"/>
        </w:rPr>
      </w:pPr>
    </w:p>
    <w:p w14:paraId="7A367FA7"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By situating waste reduction as a foundational‑economy challenge, this research reframes innovation as consequential, incremental, and socially embedded, rather than technologically disruptive. The evidence suggests that relatively modest investments in training, maintenance, measurement, and process optimisation can deliver significant economic and environmental returns, particularly in energy, labour, and material use. Crucially, the study contributes empirically to debates on the effectiveness of the Triple Helix in peripheral regions by showing how universities can function as anchor institutions that strengthen everyday production systems. For policymakers, the findings underline the value of sustained, place‑based Triple Helix programmes that prioritise diffusion, capability building, and resilience within foundational sectors, positioning food manufacturing waste reduction as both a regional development and socio‑ecological transition strategy.</w:t>
      </w:r>
    </w:p>
    <w:p w14:paraId="17CC2CF2" w14:textId="77777777" w:rsidR="00F34977" w:rsidRPr="00CD05A8" w:rsidRDefault="00F34977" w:rsidP="00F34977">
      <w:pPr>
        <w:pStyle w:val="AbstractBookBaseParagraph"/>
        <w:rPr>
          <w:rFonts w:ascii="Noto Serif Light" w:hAnsi="Noto Serif Light" w:cs="Noto Serif Light"/>
        </w:rPr>
      </w:pPr>
    </w:p>
    <w:p w14:paraId="0EE4FC62" w14:textId="77777777" w:rsidR="00F34977" w:rsidRPr="00220128" w:rsidRDefault="00F34977" w:rsidP="00F34977">
      <w:pPr>
        <w:pStyle w:val="AbstractBookBaseParagraph"/>
        <w:rPr>
          <w:rFonts w:ascii="Noto Serif Light" w:hAnsi="Noto Serif Light" w:cs="Noto Serif Light"/>
          <w:b/>
          <w:bCs/>
        </w:rPr>
      </w:pPr>
      <w:r w:rsidRPr="00220128">
        <w:rPr>
          <w:rFonts w:ascii="Noto Serif Light" w:hAnsi="Noto Serif Light" w:cs="Noto Serif Light"/>
          <w:b/>
          <w:bCs/>
        </w:rPr>
        <w:t>References</w:t>
      </w:r>
    </w:p>
    <w:p w14:paraId="01B3057C" w14:textId="77777777" w:rsidR="00F34977" w:rsidRPr="00CD05A8" w:rsidRDefault="00F34977" w:rsidP="00F34977">
      <w:pPr>
        <w:pStyle w:val="AbstractBookBaseParagraph"/>
        <w:numPr>
          <w:ilvl w:val="0"/>
          <w:numId w:val="28"/>
        </w:numPr>
        <w:rPr>
          <w:rFonts w:ascii="Noto Serif Light" w:hAnsi="Noto Serif Light" w:cs="Noto Serif Light"/>
        </w:rPr>
      </w:pPr>
      <w:r w:rsidRPr="00CD05A8">
        <w:rPr>
          <w:rFonts w:ascii="Noto Serif Light" w:hAnsi="Noto Serif Light" w:cs="Noto Serif Light"/>
        </w:rPr>
        <w:t>Asheim, B., Isaksen, A. and Trippl, M. 2019. Advanced Introduction to Regional Innovation Systems (p1-27). Edward Elgar, Cheltenham, UK and Northampton, MA, USA. 29-31. ISBN: 978-1-78536-196-8. ISBN 978 1 78471 076 7</w:t>
      </w:r>
    </w:p>
    <w:p w14:paraId="4BE61D45" w14:textId="77777777" w:rsidR="00F34977" w:rsidRPr="00CD05A8" w:rsidRDefault="00F34977" w:rsidP="00F34977">
      <w:pPr>
        <w:pStyle w:val="AbstractBookBaseParagraph"/>
        <w:numPr>
          <w:ilvl w:val="0"/>
          <w:numId w:val="28"/>
        </w:numPr>
        <w:rPr>
          <w:rFonts w:ascii="Noto Serif Light" w:hAnsi="Noto Serif Light" w:cs="Noto Serif Light"/>
        </w:rPr>
      </w:pPr>
      <w:r w:rsidRPr="00CD05A8">
        <w:rPr>
          <w:rFonts w:ascii="Noto Serif Light" w:hAnsi="Noto Serif Light" w:cs="Noto Serif Light"/>
        </w:rPr>
        <w:t>Bärnthaler, R., Novy, A. and Plank, L. (2021) “The Foundational Economy as a Cornerstone for a Social–Ecological Transformation,” Sustainability, 13(18), p. 10460. Available at: https://doi.org/10.3390/su131810460</w:t>
      </w:r>
    </w:p>
    <w:p w14:paraId="55FDB4E3" w14:textId="77777777" w:rsidR="00F34977" w:rsidRPr="00CD05A8" w:rsidRDefault="00F34977" w:rsidP="00F34977">
      <w:pPr>
        <w:pStyle w:val="AbstractBookBaseParagraph"/>
        <w:numPr>
          <w:ilvl w:val="0"/>
          <w:numId w:val="28"/>
        </w:numPr>
        <w:rPr>
          <w:rFonts w:ascii="Noto Serif Light" w:hAnsi="Noto Serif Light" w:cs="Noto Serif Light"/>
        </w:rPr>
      </w:pPr>
      <w:r w:rsidRPr="00CD05A8">
        <w:rPr>
          <w:rFonts w:ascii="Noto Serif Light" w:hAnsi="Noto Serif Light" w:cs="Noto Serif Light"/>
        </w:rPr>
        <w:t>Danila, L. (2026). Food and Drink Federation UK Food &amp; Drink Inflation 2025-26. https://www.fdf.org.uk/fdf/resources/publications/reports/uk-food--drink-inflation-2025-26-forecast/</w:t>
      </w:r>
    </w:p>
    <w:p w14:paraId="01114AA0" w14:textId="77777777" w:rsidR="00F34977" w:rsidRPr="00CD05A8" w:rsidRDefault="00F34977" w:rsidP="00F34977">
      <w:pPr>
        <w:pStyle w:val="AbstractBookBaseParagraph"/>
        <w:numPr>
          <w:ilvl w:val="0"/>
          <w:numId w:val="28"/>
        </w:numPr>
        <w:rPr>
          <w:rFonts w:ascii="Noto Serif Light" w:hAnsi="Noto Serif Light" w:cs="Noto Serif Light"/>
        </w:rPr>
      </w:pPr>
      <w:r w:rsidRPr="00CD05A8">
        <w:rPr>
          <w:rFonts w:ascii="Noto Serif Light" w:hAnsi="Noto Serif Light" w:cs="Noto Serif Light"/>
        </w:rPr>
        <w:t>Etzkowitz, H., &amp; Leydesdorff, L. (2000). The dynamics of innovation: From national systems and “Mode 2” to a Triple Helix of university–industry–government relations. Research Policy, 29(2), 109–123. http://dx.doi.org/10.1016/S0048-7333(99)00055-4</w:t>
      </w:r>
    </w:p>
    <w:p w14:paraId="0F688DA8" w14:textId="77777777" w:rsidR="00F34977" w:rsidRPr="00CD05A8" w:rsidRDefault="00F34977" w:rsidP="00F34977">
      <w:pPr>
        <w:pStyle w:val="AbstractBookBaseParagraph"/>
        <w:numPr>
          <w:ilvl w:val="0"/>
          <w:numId w:val="28"/>
        </w:numPr>
        <w:rPr>
          <w:rFonts w:ascii="Noto Serif Light" w:hAnsi="Noto Serif Light" w:cs="Noto Serif Light"/>
        </w:rPr>
      </w:pPr>
      <w:r w:rsidRPr="00CD05A8">
        <w:rPr>
          <w:rFonts w:ascii="Noto Serif Light" w:hAnsi="Noto Serif Light" w:cs="Noto Serif Light"/>
        </w:rPr>
        <w:t>Etzkowitz, H., &amp; Zhou, C. (2017). The Triple Helix: University–Industry–Government Innovation and Entrepreneurship (2nd ed.). Routledge. https://doi.org/10.4324/9781315620183</w:t>
      </w:r>
    </w:p>
    <w:p w14:paraId="390F1BFB" w14:textId="77777777" w:rsidR="00F34977" w:rsidRPr="00CD05A8" w:rsidRDefault="00F34977" w:rsidP="00F34977">
      <w:pPr>
        <w:pStyle w:val="AbstractBookBaseParagraph"/>
        <w:numPr>
          <w:ilvl w:val="0"/>
          <w:numId w:val="28"/>
        </w:numPr>
        <w:rPr>
          <w:rFonts w:ascii="Noto Serif Light" w:hAnsi="Noto Serif Light" w:cs="Noto Serif Light"/>
        </w:rPr>
      </w:pPr>
      <w:r w:rsidRPr="00CD05A8">
        <w:rPr>
          <w:rFonts w:ascii="Noto Serif Light" w:hAnsi="Noto Serif Light" w:cs="Noto Serif Light"/>
        </w:rPr>
        <w:lastRenderedPageBreak/>
        <w:t>Hansen, T. (2022). The foundational economy and regional development. Regional Studies, 56(6), 1033–1042. https://doi.org/10.1080/00343404.2021.1939860</w:t>
      </w:r>
    </w:p>
    <w:p w14:paraId="13B14923" w14:textId="77777777" w:rsidR="00F34977" w:rsidRPr="00CD05A8" w:rsidRDefault="00F34977" w:rsidP="00F34977">
      <w:pPr>
        <w:pStyle w:val="AbstractBookBaseParagraph"/>
        <w:numPr>
          <w:ilvl w:val="0"/>
          <w:numId w:val="28"/>
        </w:numPr>
        <w:rPr>
          <w:rFonts w:ascii="Noto Serif Light" w:hAnsi="Noto Serif Light" w:cs="Noto Serif Light"/>
        </w:rPr>
      </w:pPr>
      <w:r w:rsidRPr="00CD05A8">
        <w:rPr>
          <w:rFonts w:ascii="Noto Serif Light" w:hAnsi="Noto Serif Light" w:cs="Noto Serif Light"/>
        </w:rPr>
        <w:t>Kibler, K. M., Reinhart, D., Hawkins, C., Motlagh, A. M., &amp; Wright, J. (2018). Food waste and the food‑energy‑water nexus. Waste Management, 74, 52–62. https://doi.org/10.1016/j.wasman.2018.01.014</w:t>
      </w:r>
    </w:p>
    <w:p w14:paraId="134F7086" w14:textId="77777777" w:rsidR="00F34977" w:rsidRPr="00CD05A8" w:rsidRDefault="00F34977" w:rsidP="00F34977">
      <w:pPr>
        <w:pStyle w:val="AbstractBookBaseParagraph"/>
        <w:numPr>
          <w:ilvl w:val="0"/>
          <w:numId w:val="28"/>
        </w:numPr>
        <w:rPr>
          <w:rFonts w:ascii="Noto Serif Light" w:hAnsi="Noto Serif Light" w:cs="Noto Serif Light"/>
        </w:rPr>
      </w:pPr>
      <w:r w:rsidRPr="00CD05A8">
        <w:rPr>
          <w:rFonts w:ascii="Noto Serif Light" w:hAnsi="Noto Serif Light" w:cs="Noto Serif Light"/>
        </w:rPr>
        <w:t>Mayho, S., Mumford, D., Ellis, L., Lloyd, D. C., Redmond, E. C., &amp; Clifton, N. (2024). The evolution of regional triple helix food sector SME interventions: a longitudinal study, Wales, UK. European Planning Studies, 32(9), 2046-2069. https://doi.org/10.1080/09654313.2024.2325021</w:t>
      </w:r>
    </w:p>
    <w:p w14:paraId="699C8FFB" w14:textId="77777777" w:rsidR="00F34977" w:rsidRPr="00CD05A8" w:rsidRDefault="00F34977" w:rsidP="00F34977">
      <w:pPr>
        <w:pStyle w:val="AbstractBookBaseParagraph"/>
        <w:numPr>
          <w:ilvl w:val="0"/>
          <w:numId w:val="28"/>
        </w:numPr>
        <w:rPr>
          <w:rFonts w:ascii="Noto Serif Light" w:hAnsi="Noto Serif Light" w:cs="Noto Serif Light"/>
        </w:rPr>
      </w:pPr>
      <w:r w:rsidRPr="00CD05A8">
        <w:rPr>
          <w:rFonts w:ascii="Noto Serif Light" w:hAnsi="Noto Serif Light" w:cs="Noto Serif Light"/>
        </w:rPr>
        <w:t>Mayho, S. (2026). Development of food sector innovation capability: A Welsh regional case study exploration. International Journal on Food System Dynamics, 1(aop), 1-17. https://doi.org/10.1163/18696945-bja00030</w:t>
      </w:r>
    </w:p>
    <w:p w14:paraId="364C7F14" w14:textId="77777777" w:rsidR="00F34977" w:rsidRPr="00CD05A8" w:rsidRDefault="00F34977" w:rsidP="00F34977">
      <w:pPr>
        <w:pStyle w:val="AbstractBookBaseParagraph"/>
        <w:numPr>
          <w:ilvl w:val="0"/>
          <w:numId w:val="28"/>
        </w:numPr>
        <w:rPr>
          <w:rFonts w:ascii="Noto Serif Light" w:hAnsi="Noto Serif Light" w:cs="Noto Serif Light"/>
        </w:rPr>
      </w:pPr>
      <w:r w:rsidRPr="00CD05A8">
        <w:rPr>
          <w:rFonts w:ascii="Noto Serif Light" w:hAnsi="Noto Serif Light" w:cs="Noto Serif Light"/>
        </w:rPr>
        <w:t>OECD, 2016. OECD Taxonomy of Economic Activities Based on R&amp;D Intensity. OECD Taxonomy of Economic Activities Based on R&amp;D Intensity (EN)</w:t>
      </w:r>
    </w:p>
    <w:p w14:paraId="2FB3F583" w14:textId="77777777" w:rsidR="00F34977" w:rsidRPr="00CD05A8" w:rsidRDefault="00F34977" w:rsidP="00F34977">
      <w:pPr>
        <w:pStyle w:val="AbstractBookBaseParagraph"/>
        <w:numPr>
          <w:ilvl w:val="0"/>
          <w:numId w:val="28"/>
        </w:numPr>
        <w:rPr>
          <w:rFonts w:ascii="Noto Serif Light" w:hAnsi="Noto Serif Light" w:cs="Noto Serif Light"/>
        </w:rPr>
      </w:pPr>
      <w:r w:rsidRPr="00CD05A8">
        <w:rPr>
          <w:rFonts w:ascii="Noto Serif Light" w:hAnsi="Noto Serif Light" w:cs="Noto Serif Light"/>
        </w:rPr>
        <w:t>Pappa, G., Amato, S. and Lattanzi, N. (2025) Innovation in peripheral areas: Insights and future directions, Social Sciences &amp; Humanities Open, Volume 12, https://doi.org/10.1016/j.ssaho.2025.102097</w:t>
      </w:r>
    </w:p>
    <w:p w14:paraId="25DE74DD" w14:textId="77777777" w:rsidR="00F34977" w:rsidRPr="00CD05A8" w:rsidRDefault="00F34977" w:rsidP="00F34977">
      <w:pPr>
        <w:pStyle w:val="AbstractBookBaseParagraph"/>
        <w:numPr>
          <w:ilvl w:val="0"/>
          <w:numId w:val="28"/>
        </w:numPr>
        <w:rPr>
          <w:rFonts w:ascii="Noto Serif Light" w:hAnsi="Noto Serif Light" w:cs="Noto Serif Light"/>
        </w:rPr>
      </w:pPr>
      <w:r w:rsidRPr="00CD05A8">
        <w:rPr>
          <w:rFonts w:ascii="Noto Serif Light" w:hAnsi="Noto Serif Light" w:cs="Noto Serif Light"/>
        </w:rPr>
        <w:t>Packiyadhas, P., Sivaperumal, S. K., &amp; Murugesan, S. (2025). A comprehensive review of food waste: composition, management and valorisation. Journal of Material Cycles and Waste Management, 27, 777–795. https://link.springer.com/article/10.1007/s10163-024-02153-9</w:t>
      </w:r>
    </w:p>
    <w:p w14:paraId="623606B1" w14:textId="77777777" w:rsidR="00F34977" w:rsidRPr="00CD05A8" w:rsidRDefault="00F34977" w:rsidP="00F34977">
      <w:pPr>
        <w:pStyle w:val="AbstractBookBaseParagraph"/>
        <w:numPr>
          <w:ilvl w:val="0"/>
          <w:numId w:val="28"/>
        </w:numPr>
        <w:rPr>
          <w:rFonts w:ascii="Noto Serif Light" w:hAnsi="Noto Serif Light" w:cs="Noto Serif Light"/>
        </w:rPr>
      </w:pPr>
      <w:r w:rsidRPr="00CD05A8">
        <w:rPr>
          <w:rFonts w:ascii="Noto Serif Light" w:hAnsi="Noto Serif Light" w:cs="Noto Serif Light"/>
        </w:rPr>
        <w:t>Rai N., Pavankumar T. L., Ghotra B., Dhillon S., Juneja V., Amaly N. and Pandey P. (2025). Essential recycling and repurposing of food waste for sustainability. Frontiers in Sustainable Food Systems, 9. https://doi.org/10.3389/fsufs.2025.1575113</w:t>
      </w:r>
    </w:p>
    <w:p w14:paraId="4DABAE49" w14:textId="77777777" w:rsidR="00F34977" w:rsidRPr="00CD05A8" w:rsidRDefault="00F34977" w:rsidP="00F34977">
      <w:pPr>
        <w:pStyle w:val="AbstractBookBaseParagraph"/>
        <w:numPr>
          <w:ilvl w:val="0"/>
          <w:numId w:val="28"/>
        </w:numPr>
        <w:rPr>
          <w:rFonts w:ascii="Noto Serif Light" w:hAnsi="Noto Serif Light" w:cs="Noto Serif Light"/>
        </w:rPr>
      </w:pPr>
      <w:r w:rsidRPr="00CD05A8">
        <w:rPr>
          <w:rFonts w:ascii="Noto Serif Light" w:hAnsi="Noto Serif Light" w:cs="Noto Serif Light"/>
        </w:rPr>
        <w:t>Tödtling, F., &amp; Trippl, M. (2005). One size fits all? Towards a differentiated regional innovation policy approach. Research Policy, 34(8), 1203–1219. https://doi.org/10.1016/j.respol.2005.01.018</w:t>
      </w:r>
    </w:p>
    <w:p w14:paraId="4E49F545" w14:textId="77777777" w:rsidR="00F34977" w:rsidRPr="00CD05A8" w:rsidRDefault="00F34977" w:rsidP="00F34977">
      <w:pPr>
        <w:pStyle w:val="AbstractBookBaseParagraph"/>
        <w:numPr>
          <w:ilvl w:val="0"/>
          <w:numId w:val="28"/>
        </w:numPr>
        <w:rPr>
          <w:rFonts w:ascii="Noto Serif Light" w:hAnsi="Noto Serif Light" w:cs="Noto Serif Light"/>
        </w:rPr>
      </w:pPr>
      <w:r w:rsidRPr="00CD05A8">
        <w:rPr>
          <w:rFonts w:ascii="Noto Serif Light" w:hAnsi="Noto Serif Light" w:cs="Noto Serif Light"/>
        </w:rPr>
        <w:t>Welsh Parliament. (2026). Bringing home the harvest: Supporting the Welsh food processing industry Bringing home the harvest: Supporting the Welsh food processing industry</w:t>
      </w:r>
    </w:p>
    <w:p w14:paraId="06532E3D" w14:textId="77777777" w:rsidR="00F34977" w:rsidRPr="00CD05A8" w:rsidRDefault="00F34977" w:rsidP="00F34977">
      <w:pPr>
        <w:pStyle w:val="AbstractBookBaseParagraph"/>
        <w:rPr>
          <w:rFonts w:ascii="Noto Serif Light" w:hAnsi="Noto Serif Light" w:cs="Noto Serif Light"/>
        </w:rPr>
      </w:pPr>
    </w:p>
    <w:p w14:paraId="4021894A" w14:textId="77777777" w:rsidR="00F34977" w:rsidRPr="00CD05A8" w:rsidRDefault="00F34977" w:rsidP="00F34977">
      <w:pPr>
        <w:pStyle w:val="AbstractBookBaseParagraph"/>
        <w:rPr>
          <w:rFonts w:ascii="Noto Serif Light" w:hAnsi="Noto Serif Light" w:cs="Noto Serif Light"/>
        </w:rPr>
      </w:pPr>
    </w:p>
    <w:p w14:paraId="619CBF63"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br w:type="page"/>
      </w:r>
    </w:p>
    <w:p w14:paraId="08F2687D" w14:textId="0120DA47" w:rsidR="00F34977" w:rsidRDefault="00F34977" w:rsidP="00F34977">
      <w:pPr>
        <w:pStyle w:val="ABSubhead"/>
      </w:pPr>
      <w:r>
        <w:lastRenderedPageBreak/>
        <w:t xml:space="preserve">O64. </w:t>
      </w:r>
      <w:r w:rsidR="00E72072" w:rsidRPr="00E72072">
        <w:t>International Borders, Innovation, and Climate Change Adaptation: A Relational Perspective from the Danish/German Borderland</w:t>
      </w:r>
    </w:p>
    <w:p w14:paraId="569F2C2C" w14:textId="77777777" w:rsidR="00F34977" w:rsidRPr="00AB325A" w:rsidRDefault="00F34977" w:rsidP="00F34977">
      <w:pPr>
        <w:pStyle w:val="ABParagraph"/>
      </w:pPr>
    </w:p>
    <w:p w14:paraId="336E66A2" w14:textId="77777777" w:rsidR="00F34977" w:rsidRPr="00CD05A8" w:rsidRDefault="00F34977" w:rsidP="00F34977">
      <w:pPr>
        <w:pStyle w:val="AbstractBookAuthors"/>
        <w:rPr>
          <w:rFonts w:ascii="Noto Serif Light" w:hAnsi="Noto Serif Light" w:cs="Noto Serif Light"/>
        </w:rPr>
      </w:pPr>
      <w:r w:rsidRPr="00CD05A8">
        <w:rPr>
          <w:rStyle w:val="AbstractBookPresentingAuthor"/>
          <w:rFonts w:ascii="Noto Serif Light" w:hAnsi="Noto Serif Light" w:cs="Noto Serif Light"/>
        </w:rPr>
        <w:t>Francesco Cappellano</w:t>
      </w:r>
      <w:r w:rsidRPr="00CD05A8">
        <w:rPr>
          <w:rFonts w:ascii="Noto Serif Light" w:hAnsi="Noto Serif Light" w:cs="Noto Serif Light"/>
          <w:vertAlign w:val="superscript"/>
        </w:rPr>
        <w:t>1</w:t>
      </w:r>
      <w:r>
        <w:rPr>
          <w:rFonts w:ascii="Noto Serif Light" w:hAnsi="Noto Serif Light" w:cs="Noto Serif Light"/>
          <w:vertAlign w:val="superscript"/>
        </w:rPr>
        <w:t>, 2</w:t>
      </w:r>
    </w:p>
    <w:p w14:paraId="2D6415BE" w14:textId="77777777" w:rsidR="00F34977" w:rsidRPr="00771E24" w:rsidRDefault="00F34977" w:rsidP="00F34977">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Pr>
          <w:rStyle w:val="AbstractBookBaseCharacterStyle"/>
          <w:rFonts w:ascii="Noto Serif Light" w:hAnsi="Noto Serif Light" w:cs="Noto Serif Light"/>
        </w:rPr>
        <w:t>CAU University of Kiel</w:t>
      </w:r>
      <w:r w:rsidRPr="00CD05A8">
        <w:rPr>
          <w:rStyle w:val="AbstractBookBaseCharacterStyle"/>
          <w:rFonts w:ascii="Noto Serif Light" w:hAnsi="Noto Serif Light" w:cs="Noto Serif Light"/>
        </w:rPr>
        <w:t xml:space="preserve">, </w:t>
      </w:r>
      <w:r>
        <w:rPr>
          <w:rStyle w:val="AbstractBookBaseCharacterStyle"/>
          <w:rFonts w:ascii="Noto Serif Light" w:hAnsi="Noto Serif Light" w:cs="Noto Serif Light"/>
        </w:rPr>
        <w:t xml:space="preserve">Kiel, </w:t>
      </w:r>
      <w:r w:rsidRPr="00CD05A8">
        <w:rPr>
          <w:rStyle w:val="AbstractBookBaseCharacterStyle"/>
          <w:rFonts w:ascii="Noto Serif Light" w:hAnsi="Noto Serif Light" w:cs="Noto Serif Light"/>
        </w:rPr>
        <w:t>Germany</w:t>
      </w:r>
      <w:r>
        <w:rPr>
          <w:rStyle w:val="AbstractBookBaseCharacterStyle"/>
          <w:rFonts w:ascii="Noto Serif Light" w:hAnsi="Noto Serif Light" w:cs="Noto Serif Light"/>
        </w:rPr>
        <w:t xml:space="preserve">, </w:t>
      </w:r>
      <w:r>
        <w:rPr>
          <w:rStyle w:val="AbstractBookBaseCharacterStyle"/>
          <w:rFonts w:ascii="Noto Serif Light" w:hAnsi="Noto Serif Light" w:cs="Noto Serif Light"/>
          <w:vertAlign w:val="superscript"/>
        </w:rPr>
        <w:t>2</w:t>
      </w:r>
      <w:r>
        <w:rPr>
          <w:rStyle w:val="AbstractBookBaseCharacterStyle"/>
          <w:rFonts w:ascii="Noto Serif Light" w:hAnsi="Noto Serif Light" w:cs="Noto Serif Light"/>
        </w:rPr>
        <w:t xml:space="preserve">Saarland University, </w:t>
      </w:r>
      <w:r w:rsidRPr="00771E24">
        <w:rPr>
          <w:rFonts w:ascii="Noto Serif Light" w:hAnsi="Noto Serif Light" w:cs="Noto Serif Light"/>
          <w:lang w:val="en-GB"/>
        </w:rPr>
        <w:t>Saarbrücken</w:t>
      </w:r>
      <w:r>
        <w:rPr>
          <w:rFonts w:ascii="Noto Serif Light" w:hAnsi="Noto Serif Light" w:cs="Noto Serif Light"/>
          <w:lang w:val="en-GB"/>
        </w:rPr>
        <w:t>, Germany</w:t>
      </w:r>
    </w:p>
    <w:p w14:paraId="73A2D909" w14:textId="77777777" w:rsidR="00F34977" w:rsidRDefault="00F34977" w:rsidP="00F34977">
      <w:pPr>
        <w:pStyle w:val="AbstractBookBaseParagraph"/>
        <w:rPr>
          <w:rStyle w:val="AbstractBookBaseCharacterStyle"/>
          <w:rFonts w:ascii="Noto Serif Light" w:hAnsi="Noto Serif Light" w:cs="Noto Serif Light"/>
        </w:rPr>
      </w:pPr>
    </w:p>
    <w:p w14:paraId="496D2541" w14:textId="77777777" w:rsidR="00F34977" w:rsidRPr="00AB325A" w:rsidRDefault="00F34977" w:rsidP="00F34977">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7B3B1988"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Climate change represents one of the most pressing systemic challenges of contemporary societies, reshaping economic, social, environmental, and institutional dynamics across regions. Although climate-related impacts are global in scope, they are unevenly distributed and frequently become particularly complex in border regions, where distinct governance systems, regulatory regimes, policy frameworks, and socio-economic contexts intersect. Borderlands constitute unique territorial laboratories in which proximity and separation coexist, generating both constraints and opportunities for local and regional development. In this context, understanding how border regions respond to climate change requires an integrated perspective that moves beyond sectoral or single-domain approaches and considers the interrelations between international borders, innovation, and climate change adaptation.</w:t>
      </w:r>
    </w:p>
    <w:p w14:paraId="254F7E54" w14:textId="77777777" w:rsidR="00F34977" w:rsidRPr="00CD05A8" w:rsidRDefault="00F34977" w:rsidP="00F34977">
      <w:pPr>
        <w:pStyle w:val="AbstractBookBaseParagraph"/>
        <w:rPr>
          <w:rFonts w:ascii="Noto Serif Light" w:hAnsi="Noto Serif Light" w:cs="Noto Serif Light"/>
        </w:rPr>
      </w:pPr>
    </w:p>
    <w:p w14:paraId="75AE232C"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This paper seeks to disentangle the complex interplay between international borders, innovation, and climate change adaptation by developing a triangular analytical framework. Building on insights from border studies, innovation studies, and climate adaptation literature, the paper examines the bilateral relationships among these three dimensions in order to uncover how they mutually shape one another. Specifically, it asks how international borders influence innovation processes in response to climate change, and how climate change, in turn, reshapes the role, meaning, and functioning of borders within innovation dynamics. Empirically, the paper mobilizes data from the Danish/German borderland, a context in which climate-related challenges intersect with established cross-border cooperation mechanisms, institutional diversity, and socio-economic interdependencies. By adopting a relational perspective, the paper conceptualizes borders not merely as territorial lines or institutional barriers, but as multidimensional spaces that can simultaneously operate as barriers, interfaces, markers, and symbols.</w:t>
      </w:r>
    </w:p>
    <w:p w14:paraId="348833D7" w14:textId="77777777" w:rsidR="00F34977" w:rsidRPr="00CD05A8" w:rsidRDefault="00F34977" w:rsidP="00F34977">
      <w:pPr>
        <w:pStyle w:val="AbstractBookBaseParagraph"/>
        <w:rPr>
          <w:rFonts w:ascii="Noto Serif Light" w:hAnsi="Noto Serif Light" w:cs="Noto Serif Light"/>
        </w:rPr>
      </w:pPr>
    </w:p>
    <w:p w14:paraId="68398576"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paper argues that international borders structure innovation processes in borderlands by creating both frictions and opportunities. On the one hand, borders may hinder innovation through institutional discontinuities, regulatory asymmetries, cultural and linguistic barriers, and fragmented governance arrangements. On the other hand, they may stimulate innovation by enabling access to complementary knowledge bases, diverse markets, cross-border labour dynamics, and opportunities for knowledge recombination. Local and regional actors operating in border regions play a crucial role in navigating these trade-offs, exploiting cross-border differences while seeking to overcome the obstacles created by institutional and regulatory fragmentation.</w:t>
      </w:r>
    </w:p>
    <w:p w14:paraId="01C1EF37" w14:textId="77777777" w:rsidR="00F34977" w:rsidRPr="00CD05A8" w:rsidRDefault="00F34977" w:rsidP="00F34977">
      <w:pPr>
        <w:pStyle w:val="AbstractBookBaseParagraph"/>
        <w:rPr>
          <w:rFonts w:ascii="Noto Serif Light" w:hAnsi="Noto Serif Light" w:cs="Noto Serif Light"/>
        </w:rPr>
      </w:pPr>
    </w:p>
    <w:p w14:paraId="0802C150"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At the same time, innovation can reshape the functioning and meaning of international borders. Technological, organizational, and governance innovations increasingly contribute to the emergence of “smart borders” and new forms of technological </w:t>
      </w:r>
      <w:r w:rsidRPr="00CD05A8">
        <w:rPr>
          <w:rFonts w:ascii="Noto Serif Light" w:hAnsi="Noto Serif Light" w:cs="Noto Serif Light"/>
        </w:rPr>
        <w:lastRenderedPageBreak/>
        <w:t>bordering. Digital infrastructures, data-sharing platforms, automated procedures, and collaborative governance tools can reduce certain frictions traditionally associated with borders and facilitate cross-border coordination. However, innovation does not simply dissolve borders; it may also selectively reorganize them, producing differentiated regimes of mobility, access, and control. Thus, innovation has an ambivalent role: it can enhance connectivity and cooperation while simultaneously reinforcing new forms of inclusion and exclusion.</w:t>
      </w:r>
    </w:p>
    <w:p w14:paraId="6CBED39B" w14:textId="77777777" w:rsidR="00F34977" w:rsidRPr="00CD05A8" w:rsidRDefault="00F34977" w:rsidP="00F34977">
      <w:pPr>
        <w:pStyle w:val="AbstractBookBaseParagraph"/>
        <w:rPr>
          <w:rFonts w:ascii="Noto Serif Light" w:hAnsi="Noto Serif Light" w:cs="Noto Serif Light"/>
        </w:rPr>
      </w:pPr>
    </w:p>
    <w:p w14:paraId="6FC8E552"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paper further highlights that international borders shape climate change adaptation by influencing how climate risks are perceived, governed, and addressed. Climate impacts such as extreme weather events, biodiversity loss, and resource scarcity do not align with administrative boundaries, yet adaptation policies are often organized through nationally bounded institutional systems. This mismatch may generate fragmented responses, uneven protection levels, and spillover effects across borders. Nevertheless, borderlands can also become spaces of experimentation, policy learning, and joint problem-solving, particularly where cross-border cooperation mechanisms are already established.</w:t>
      </w:r>
    </w:p>
    <w:p w14:paraId="09126DCF"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Conversely, climate change can reconfigure borders by acting as a boundary object that motivates new forms of cross-border cooperation. Shared environmental threats may encourage actors on different sides of a border to negotiate common strategies, develop joint governance arrangements, and redefine borders as spaces of collective adaptation rather than separation.</w:t>
      </w:r>
      <w:r>
        <w:rPr>
          <w:rFonts w:ascii="Noto Serif Light" w:hAnsi="Noto Serif Light" w:cs="Noto Serif Light"/>
        </w:rPr>
        <w:t xml:space="preserve"> </w:t>
      </w:r>
      <w:r w:rsidRPr="00CD05A8">
        <w:rPr>
          <w:rFonts w:ascii="Noto Serif Light" w:hAnsi="Noto Serif Light" w:cs="Noto Serif Light"/>
        </w:rPr>
        <w:t>Climate change also acts as a driver of innovation by creating new pressures, uncertainties, and demands that require novel technological, organizational, institutional, and social responses. These innovation processes are often collaborative, context-specific, and oriented toward resilience and sustainability.</w:t>
      </w:r>
    </w:p>
    <w:p w14:paraId="230B4AC9"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Overall, the paper contributes to the literature in three main ways. First, it bridges border studies, innovation studies, and climate change adaptation research through an integrated conceptual framework. Second, it advances a conceptualization of borderlands as adaptive systems in which institutional diversity, spatial proximity, and environmental pressures generate specific innovation dynamics. Third, it emphasizes the agency of borderland actors, showing how they navigate, exploit, and transform cross-border differences in response to climate-related challenges. By framing border regions as laboratories for climate adaptation and innovation, and by grounding the analysis in the Danish/German borderland, the paper provides new insights for scholars and policymakers seeking to design more effective cross-border strategies in an era of growing environmental uncertainty</w:t>
      </w:r>
    </w:p>
    <w:p w14:paraId="0340B76C" w14:textId="77777777" w:rsidR="00F34977" w:rsidRPr="00CD05A8" w:rsidRDefault="00F34977" w:rsidP="00F34977">
      <w:pPr>
        <w:pStyle w:val="AbstractBookBaseParagraph"/>
        <w:rPr>
          <w:rFonts w:ascii="Noto Serif Light" w:hAnsi="Noto Serif Light" w:cs="Noto Serif Light"/>
        </w:rPr>
      </w:pPr>
    </w:p>
    <w:p w14:paraId="64C958C3"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br w:type="page"/>
      </w:r>
    </w:p>
    <w:p w14:paraId="1A8A413F" w14:textId="77777777" w:rsidR="00F34977" w:rsidRDefault="00F34977" w:rsidP="00F34977">
      <w:pPr>
        <w:pStyle w:val="ABSubhead"/>
      </w:pPr>
      <w:r>
        <w:lastRenderedPageBreak/>
        <w:t>O65. Sustainable Industrial Transformation in a Post-Industrial City from an Entrepreneurial Ecosystem Perspective: The Case of Krakow</w:t>
      </w:r>
    </w:p>
    <w:p w14:paraId="44F5DF09" w14:textId="77777777" w:rsidR="00F34977" w:rsidRPr="0028397C" w:rsidRDefault="00F34977" w:rsidP="00F34977">
      <w:pPr>
        <w:pStyle w:val="ABParagraph"/>
      </w:pPr>
    </w:p>
    <w:p w14:paraId="277A2B3F" w14:textId="77777777" w:rsidR="00F34977" w:rsidRPr="0028397C" w:rsidRDefault="00F34977" w:rsidP="00F34977">
      <w:pPr>
        <w:pStyle w:val="AbstractBookAuthors"/>
        <w:rPr>
          <w:rFonts w:ascii="Noto Serif Light" w:hAnsi="Noto Serif Light" w:cs="Noto Serif Light"/>
        </w:rPr>
      </w:pPr>
      <w:r w:rsidRPr="0028397C">
        <w:rPr>
          <w:rStyle w:val="AbstractBookPresentingAuthor"/>
          <w:rFonts w:ascii="Noto Serif Light" w:hAnsi="Noto Serif Light" w:cs="Noto Serif Light"/>
        </w:rPr>
        <w:t>Marta Gancarczyk</w:t>
      </w:r>
      <w:r w:rsidRPr="0028397C">
        <w:rPr>
          <w:rFonts w:ascii="Noto Serif Light" w:hAnsi="Noto Serif Light" w:cs="Noto Serif Light"/>
          <w:vertAlign w:val="superscript"/>
        </w:rPr>
        <w:t>1</w:t>
      </w:r>
      <w:r w:rsidRPr="0028397C">
        <w:rPr>
          <w:rStyle w:val="AbstractBookBaseCharacterStyle"/>
          <w:rFonts w:ascii="Noto Serif Light" w:hAnsi="Noto Serif Light" w:cs="Noto Serif Light"/>
        </w:rPr>
        <w:t>,</w:t>
      </w:r>
      <w:r>
        <w:rPr>
          <w:rStyle w:val="AbstractBookBaseCharacterStyle"/>
          <w:rFonts w:ascii="Noto Serif Light" w:hAnsi="Noto Serif Light" w:cs="Noto Serif Light"/>
        </w:rPr>
        <w:t xml:space="preserve"> </w:t>
      </w:r>
      <w:r w:rsidRPr="0028397C">
        <w:rPr>
          <w:rStyle w:val="AbstractBookPresentingAuthor"/>
          <w:rFonts w:ascii="Noto Serif Light" w:hAnsi="Noto Serif Light" w:cs="Noto Serif Light"/>
        </w:rPr>
        <w:t>Jacek Gancarczyk</w:t>
      </w:r>
      <w:r>
        <w:rPr>
          <w:rStyle w:val="AbstractBookPresentingAuthor"/>
          <w:rFonts w:ascii="Noto Serif Light" w:hAnsi="Noto Serif Light" w:cs="Noto Serif Light"/>
          <w:b w:val="0"/>
          <w:bCs/>
          <w:u w:val="none"/>
          <w:vertAlign w:val="superscript"/>
        </w:rPr>
        <w:t>1</w:t>
      </w:r>
      <w:r w:rsidRPr="0028397C">
        <w:rPr>
          <w:rStyle w:val="AbstractBookBaseCharacterStyle"/>
          <w:rFonts w:ascii="Noto Serif Light" w:hAnsi="Noto Serif Light" w:cs="Noto Serif Light"/>
        </w:rPr>
        <w:t>, Professor Vadim Grinevich</w:t>
      </w:r>
      <w:r w:rsidRPr="0028397C">
        <w:rPr>
          <w:rFonts w:ascii="Noto Serif Light" w:hAnsi="Noto Serif Light" w:cs="Noto Serif Light"/>
          <w:vertAlign w:val="superscript"/>
        </w:rPr>
        <w:t>2</w:t>
      </w:r>
    </w:p>
    <w:p w14:paraId="14D9D499" w14:textId="77777777" w:rsidR="00F34977" w:rsidRDefault="00F34977" w:rsidP="00F34977">
      <w:pPr>
        <w:pStyle w:val="AbstractBookBaseParagraph"/>
        <w:rPr>
          <w:rStyle w:val="AbstractBookBaseCharacterStyle"/>
          <w:rFonts w:ascii="Noto Serif Light" w:hAnsi="Noto Serif Light" w:cs="Noto Serif Light"/>
        </w:rPr>
      </w:pPr>
      <w:r w:rsidRPr="0028397C">
        <w:rPr>
          <w:rFonts w:ascii="Noto Serif Light" w:hAnsi="Noto Serif Light" w:cs="Noto Serif Light"/>
          <w:vertAlign w:val="superscript"/>
        </w:rPr>
        <w:t>1</w:t>
      </w:r>
      <w:r w:rsidRPr="0028397C">
        <w:rPr>
          <w:rStyle w:val="AbstractBookBaseCharacterStyle"/>
          <w:rFonts w:ascii="Noto Serif Light" w:hAnsi="Noto Serif Light" w:cs="Noto Serif Light"/>
        </w:rPr>
        <w:t>Jagiellonian University,</w:t>
      </w:r>
      <w:r>
        <w:rPr>
          <w:rStyle w:val="AbstractBookBaseCharacterStyle"/>
          <w:rFonts w:ascii="Noto Serif Light" w:hAnsi="Noto Serif Light" w:cs="Noto Serif Light"/>
        </w:rPr>
        <w:t xml:space="preserve"> </w:t>
      </w:r>
      <w:r w:rsidRPr="0028397C">
        <w:rPr>
          <w:rStyle w:val="AbstractBookBaseCharacterStyle"/>
          <w:rFonts w:ascii="Noto Serif Light" w:hAnsi="Noto Serif Light" w:cs="Noto Serif Light"/>
        </w:rPr>
        <w:t xml:space="preserve">Poland, </w:t>
      </w:r>
      <w:r w:rsidRPr="0028397C">
        <w:rPr>
          <w:rFonts w:ascii="Noto Serif Light" w:hAnsi="Noto Serif Light" w:cs="Noto Serif Light"/>
          <w:vertAlign w:val="superscript"/>
        </w:rPr>
        <w:t>2</w:t>
      </w:r>
      <w:r w:rsidRPr="0028397C">
        <w:rPr>
          <w:rStyle w:val="AbstractBookBaseCharacterStyle"/>
          <w:rFonts w:ascii="Noto Serif Light" w:hAnsi="Noto Serif Light" w:cs="Noto Serif Light"/>
        </w:rPr>
        <w:t>University of Bradford,</w:t>
      </w:r>
      <w:r>
        <w:rPr>
          <w:rStyle w:val="AbstractBookBaseCharacterStyle"/>
          <w:rFonts w:ascii="Noto Serif Light" w:hAnsi="Noto Serif Light" w:cs="Noto Serif Light"/>
        </w:rPr>
        <w:t xml:space="preserve"> </w:t>
      </w:r>
      <w:r w:rsidRPr="0028397C">
        <w:rPr>
          <w:rStyle w:val="AbstractBookBaseCharacterStyle"/>
          <w:rFonts w:ascii="Noto Serif Light" w:hAnsi="Noto Serif Light" w:cs="Noto Serif Light"/>
        </w:rPr>
        <w:t>UK</w:t>
      </w:r>
    </w:p>
    <w:p w14:paraId="03BDBAB7" w14:textId="77777777" w:rsidR="00F34977" w:rsidRDefault="00F34977" w:rsidP="00F34977">
      <w:pPr>
        <w:pStyle w:val="AbstractBookBaseParagraph"/>
        <w:rPr>
          <w:rStyle w:val="AbstractBookBaseCharacterStyle"/>
          <w:rFonts w:ascii="Noto Serif Light" w:hAnsi="Noto Serif Light" w:cs="Noto Serif Light"/>
        </w:rPr>
      </w:pPr>
    </w:p>
    <w:p w14:paraId="20B0BCC0" w14:textId="77777777" w:rsidR="00F34977" w:rsidRPr="0028397C" w:rsidRDefault="00F34977" w:rsidP="00F34977">
      <w:pPr>
        <w:pStyle w:val="ABParagraph"/>
        <w:rPr>
          <w:rStyle w:val="AbstractBookBaseCharacterStyle"/>
          <w:rFonts w:ascii="Noto Serif Light" w:hAnsi="Noto Serif Light" w:cs="Noto Serif Light"/>
          <w:b/>
          <w:bCs/>
        </w:rPr>
      </w:pPr>
      <w:r>
        <w:rPr>
          <w:rStyle w:val="AbstractBookBaseCharacterStyle"/>
          <w:rFonts w:ascii="Noto Serif Light" w:hAnsi="Noto Serif Light" w:cs="Noto Serif Light"/>
          <w:b/>
          <w:bCs/>
        </w:rPr>
        <w:t>Abstract:</w:t>
      </w:r>
    </w:p>
    <w:p w14:paraId="3745C30E" w14:textId="77777777" w:rsidR="00F34977" w:rsidRDefault="00F34977" w:rsidP="00F34977">
      <w:pPr>
        <w:pStyle w:val="ABParagraph"/>
      </w:pPr>
    </w:p>
    <w:p w14:paraId="0A58B77F" w14:textId="77777777" w:rsidR="00F34977" w:rsidRPr="0028397C" w:rsidRDefault="00F34977" w:rsidP="00F34977">
      <w:pPr>
        <w:pStyle w:val="ABParagraph"/>
        <w:rPr>
          <w:b/>
          <w:bCs/>
        </w:rPr>
      </w:pPr>
      <w:r w:rsidRPr="0028397C">
        <w:rPr>
          <w:b/>
          <w:bCs/>
        </w:rPr>
        <w:t>Background and purpose</w:t>
      </w:r>
    </w:p>
    <w:p w14:paraId="08843A96" w14:textId="77777777" w:rsidR="00F34977" w:rsidRDefault="00F34977" w:rsidP="00F34977">
      <w:pPr>
        <w:pStyle w:val="ABParagraph"/>
      </w:pPr>
      <w:r>
        <w:t xml:space="preserve">The entrepreneurial ecosystem (EE) concept has developed as one of the contemporary perspectives seeking to explain sustainable development of enterprises, regions, and cities (Acs et al., 2017; D. B. Audretsch et al., 2024; D. Audretsch &amp; Belitski, 2024; Khurana &amp; Dutta, 2024; Theodoraki et al., 2022). EEs represent outcome-oriented interrelations between private, public, and social actors and resources in a spatial context (Brown &amp; Mason, 2017; Spigel, 2022; Stam, 2015). As such, they form a relevant framework to identify and address systemic drawbacks and drivers of sustainable industrial transformation (SIT), that is, the change in industrial structure that reconciles economic, social, and environmental goals (Gancarczyk et al., 2025; Baumgartinger-Seiringer et al., 2021; Hassink et al., 2019; Pelegrini et al., 2025; Karlsen et al., 2025). The need to shift toward more sustainable urban entrepreneurial systems is especially pressing in post-industrial cities, where economic decline, social fragmentation, and environmental degradation frequently converge (Freudendal-Pedersen et al., 2025; Mayer &amp; Knox, 2006; Mont, 2025; Scheja &amp; Kim, 2024; Theurillat et al., 2025). </w:t>
      </w:r>
    </w:p>
    <w:p w14:paraId="53C84FDA" w14:textId="77777777" w:rsidR="00F34977" w:rsidRDefault="00F34977" w:rsidP="00F34977">
      <w:pPr>
        <w:pStyle w:val="ABParagraph"/>
      </w:pPr>
    </w:p>
    <w:p w14:paraId="46AC4359" w14:textId="77777777" w:rsidR="00F34977" w:rsidRDefault="00F34977" w:rsidP="00F34977">
      <w:pPr>
        <w:pStyle w:val="ABParagraph"/>
      </w:pPr>
      <w:r>
        <w:t xml:space="preserve">Although EEs and SIT have been intensely studied, these two perspectives and their interrelations reveal important research gaps that hinder our understanding of regional and urban development, as well as the formulation of adequate policy responses. Firstly, despite an increasing number of empirical studies that reveal historical processes and phases of industrial transformations toward sustainability, the mechanisms of this change are not fully explored (Gancarczyk et al., 2023; Wurth et al., 2023; Yeung, 2019). The literature provides plausible antecedents in terms of long-term processes, external shocks, firm strategies, and political decisions that stem from firm-level and system-level agency (Baumgartinger-Seiringer et al., 2021; Isaksen et al., 2019). However, these individual explanations call for a coherent theoretical underpinning to explain complex and varied causalities or patterns (Baumgartinger-Seiringer et al., 2021; Mack &amp; Mayer, 2016; Oinas et al., 2018). </w:t>
      </w:r>
    </w:p>
    <w:p w14:paraId="59A08F69" w14:textId="77777777" w:rsidR="00F34977" w:rsidRDefault="00F34977" w:rsidP="00F34977">
      <w:pPr>
        <w:pStyle w:val="ABParagraph"/>
      </w:pPr>
      <w:r>
        <w:t>Second, EEs oriented on sustainability transitions can form different configurations of actors, institutions, and resources, depending on the spatial context  (Fischer et al., 2024; Gancarczyk &amp; Konopa, 2021; Pelegrini et al., 2025; Roshan et al., 2025; Stam &amp; Van de Ven, 2021). Variety of these configurations and patterns remains under-researched and we need long-term and in-depth case studies in multi-level contexts for a comprehensive identification and classification of EE dynamics toward SIT.</w:t>
      </w:r>
    </w:p>
    <w:p w14:paraId="7FAAA66D" w14:textId="77777777" w:rsidR="00F34977" w:rsidRDefault="00F34977" w:rsidP="00F34977">
      <w:pPr>
        <w:pStyle w:val="ABParagraph"/>
      </w:pPr>
    </w:p>
    <w:p w14:paraId="50BFAA65" w14:textId="77777777" w:rsidR="00F34977" w:rsidRDefault="00F34977" w:rsidP="00F34977">
      <w:pPr>
        <w:pStyle w:val="ABParagraph"/>
      </w:pPr>
      <w:r>
        <w:t>Third, although sustainability transitions have received considerable attention in both policy and academic discourse, there is still limited understanding of how local EEs shape these complex transformations within post-industrial city contexts (Khurana &amp; Dutta, 2024).</w:t>
      </w:r>
    </w:p>
    <w:p w14:paraId="63F8B5D6" w14:textId="77777777" w:rsidR="00F34977" w:rsidRDefault="00F34977" w:rsidP="00F34977">
      <w:pPr>
        <w:pStyle w:val="ABParagraph"/>
      </w:pPr>
    </w:p>
    <w:p w14:paraId="5764C814" w14:textId="77777777" w:rsidR="00F34977" w:rsidRDefault="00F34977" w:rsidP="00F34977">
      <w:pPr>
        <w:pStyle w:val="ABParagraph"/>
      </w:pPr>
      <w:r>
        <w:t xml:space="preserve">Both EE and SIT represent evolutionary phenomena that should be studied as complex processes in particular territorial context and in a long-term perspective. Consequently, we will adopt a co-evolutionary theoretical background for explaining industrial and social dynamics in regions and cities (Breul et al., 2025; Grillitsch, 2015; Martin &amp; Sunley, 2017; Schwabe, 2024) and EEs (Fischer et al., 2024; Mack &amp; Mayer, 2016). Co-evolutionary perspective emphasizes that transformation is achieved through interactions among the groups of key actors that shape the path through a mixture of niche building, breakthrough events, and continuity (Hassink et al., 2019; Schwabe, 2024). </w:t>
      </w:r>
    </w:p>
    <w:p w14:paraId="505C9256" w14:textId="77777777" w:rsidR="00F34977" w:rsidRDefault="00F34977" w:rsidP="00F34977">
      <w:pPr>
        <w:pStyle w:val="ABParagraph"/>
      </w:pPr>
    </w:p>
    <w:p w14:paraId="0A66DCBD" w14:textId="77777777" w:rsidR="00F34977" w:rsidRDefault="00F34977" w:rsidP="00F34977">
      <w:pPr>
        <w:pStyle w:val="ABParagraph"/>
      </w:pPr>
      <w:r>
        <w:t>Against this background and research gaps, the aim of this study is to develop a research framework of the EE dynamics leading to SIT, using a coevolutionary approach, and to identify and explore the EE configurations and mechanisms in achieving SIT based on the case study of the Kraków city in Poland. Kraków is a post-industrial city undergoing sustainability transitions and challenges. It emerged from the fall of communism in Poland as one of the country’s most dynamic economic centers, transforming from a heavy industries’ base to a service-oriented economy led by knowledge-intensive business services (KIBS), biotechnology, leisure and creative industries. Kraków as the world’s sixth largest center of KIBS has been relatively successful in GDP and labor market growth. However, the city faces sustainability challenges, including excessive labor specialization towards FDI, air pollution, congestion, over-tourism, shortages of living spaces and decline in quality of life, raising questions about the resilience of its development path. While entrepreneurship has clearly contributed to economic transformation of Krakow, other sustainability challenges of environmental and social nature have been gradually addressed, but still remain unresolved. Understanding this incoherence in sustainability requires an examination of how entrepreneurial ecosystem of Krakow was configured and how it evolved, given the interrelations with its regional, country, and international contexts.</w:t>
      </w:r>
    </w:p>
    <w:p w14:paraId="272EFCED" w14:textId="77777777" w:rsidR="00F34977" w:rsidRDefault="00F34977" w:rsidP="00F34977">
      <w:pPr>
        <w:pStyle w:val="ABParagraph"/>
      </w:pPr>
    </w:p>
    <w:p w14:paraId="50A9E7C3" w14:textId="77777777" w:rsidR="00F34977" w:rsidRPr="0028397C" w:rsidRDefault="00F34977" w:rsidP="00F34977">
      <w:pPr>
        <w:pStyle w:val="ABParagraph"/>
        <w:rPr>
          <w:b/>
          <w:bCs/>
        </w:rPr>
      </w:pPr>
      <w:r w:rsidRPr="0028397C">
        <w:rPr>
          <w:b/>
          <w:bCs/>
        </w:rPr>
        <w:t xml:space="preserve">Design and </w:t>
      </w:r>
      <w:r>
        <w:rPr>
          <w:b/>
          <w:bCs/>
        </w:rPr>
        <w:t>M</w:t>
      </w:r>
      <w:r w:rsidRPr="0028397C">
        <w:rPr>
          <w:b/>
          <w:bCs/>
        </w:rPr>
        <w:t xml:space="preserve">ethodology </w:t>
      </w:r>
    </w:p>
    <w:p w14:paraId="212D119D" w14:textId="77777777" w:rsidR="00F34977" w:rsidRDefault="00F34977" w:rsidP="00F34977">
      <w:pPr>
        <w:pStyle w:val="ABParagraph"/>
      </w:pPr>
      <w:r>
        <w:t>Our framework builds on the EE and industrial path development models, including the stages of initiation, acceleration, and consolidation (Baumgartinger-Seiringer et al., 2021; Colombelli et al., 2019; Gancarczyk &amp; Konopa, 2021; Mason &amp; Brown, 2014). It expands the existing models by a direct articulation of sustainability dimensions, and by emphasizing the configurations of EEs at each stage (Amati &amp; Snijders, 2025; Jakob Sadeh et al., 2025; Lenney &amp; Easton, 2009). In our empirical analysis, we do not present a complete evolution path or attainment of sustainability in the city researched, but rather an evolutionary pattern toward sustainability - its antecedents and outcomes, from the perspective of interactions between the key actors in EE. The research questions were formulated as follows.</w:t>
      </w:r>
    </w:p>
    <w:p w14:paraId="59096B7B" w14:textId="77777777" w:rsidR="00F34977" w:rsidRDefault="00F34977" w:rsidP="00F34977">
      <w:pPr>
        <w:pStyle w:val="ABParagraph"/>
      </w:pPr>
    </w:p>
    <w:p w14:paraId="596D3768" w14:textId="77777777" w:rsidR="00F34977" w:rsidRDefault="00F34977" w:rsidP="00F34977">
      <w:pPr>
        <w:pStyle w:val="ABParagraph"/>
      </w:pPr>
      <w:r>
        <w:t>RQ.1. How does Kraków currently perform in terms of economic, social, and environmental sustainability?</w:t>
      </w:r>
    </w:p>
    <w:p w14:paraId="4DF375EF" w14:textId="77777777" w:rsidR="00F34977" w:rsidRDefault="00F34977" w:rsidP="00F34977">
      <w:pPr>
        <w:pStyle w:val="ABParagraph"/>
      </w:pPr>
    </w:p>
    <w:p w14:paraId="100033E9" w14:textId="77777777" w:rsidR="00F34977" w:rsidRDefault="00F34977" w:rsidP="00F34977">
      <w:pPr>
        <w:pStyle w:val="ABParagraph"/>
      </w:pPr>
      <w:r>
        <w:t>RQ.2. In what ways did the configurations of key actors and factors within the entrepreneurial ecosystem evolve over the course of the city's industrial transformation?</w:t>
      </w:r>
    </w:p>
    <w:p w14:paraId="72D41C33" w14:textId="77777777" w:rsidR="00F34977" w:rsidRDefault="00F34977" w:rsidP="00F34977">
      <w:pPr>
        <w:pStyle w:val="ABParagraph"/>
      </w:pPr>
    </w:p>
    <w:p w14:paraId="4E4AD753" w14:textId="77777777" w:rsidR="00F34977" w:rsidRDefault="00F34977" w:rsidP="00F34977">
      <w:pPr>
        <w:pStyle w:val="ABParagraph"/>
      </w:pPr>
      <w:r>
        <w:lastRenderedPageBreak/>
        <w:t xml:space="preserve">RQ3. What were the EE dynamics that led to the current phase of SIT in Kraków? What EE patterns can be revealed? </w:t>
      </w:r>
    </w:p>
    <w:p w14:paraId="28335C4D" w14:textId="77777777" w:rsidR="00F34977" w:rsidRDefault="00F34977" w:rsidP="00F34977">
      <w:pPr>
        <w:pStyle w:val="ABParagraph"/>
      </w:pPr>
    </w:p>
    <w:p w14:paraId="5568C4F2" w14:textId="77777777" w:rsidR="00F34977" w:rsidRDefault="00F34977" w:rsidP="00F34977">
      <w:pPr>
        <w:pStyle w:val="ABParagraph"/>
      </w:pPr>
      <w:r>
        <w:t>RQ4. What were the drivers and drawbacks of EE configurations and patterns throughout the sustainability transitions of the respective city?</w:t>
      </w:r>
    </w:p>
    <w:p w14:paraId="2F5862FD" w14:textId="77777777" w:rsidR="00F34977" w:rsidRDefault="00F34977" w:rsidP="00F34977">
      <w:pPr>
        <w:pStyle w:val="ABParagraph"/>
      </w:pPr>
    </w:p>
    <w:p w14:paraId="6CDA4D0A" w14:textId="77777777" w:rsidR="00F34977" w:rsidRDefault="00F34977" w:rsidP="00F34977">
      <w:pPr>
        <w:pStyle w:val="ABParagraph"/>
      </w:pPr>
      <w:r>
        <w:t xml:space="preserve">Our primary method is an in-depth and long-term case study of the city, developed using primarily a secondary data analysis, including official public statistics, policy documents, and big data analytics regarding the activities of key public, industry, and social actors available on the Internet, such as newsletters, discussion forums, and media coverage. The study period starts from Poland’s accession to the European Union in 2004 till the present, where the economic transformation of the city met the challenges of social and environmental sustainability. </w:t>
      </w:r>
    </w:p>
    <w:p w14:paraId="0DCA5D44" w14:textId="77777777" w:rsidR="00F34977" w:rsidRDefault="00F34977" w:rsidP="00F34977">
      <w:pPr>
        <w:pStyle w:val="ABParagraph"/>
      </w:pPr>
    </w:p>
    <w:p w14:paraId="2768AB15" w14:textId="77777777" w:rsidR="00F34977" w:rsidRDefault="00F34977" w:rsidP="00F34977">
      <w:pPr>
        <w:pStyle w:val="ABParagraph"/>
      </w:pPr>
      <w:r>
        <w:t>As analytical techniques to process the secondary material we applied a structured content analysis and social interaction analysis with the use of MAXQDA tools (Amati &amp; Snijders, 2025; Jakob Sadeh et al., 2025; Lenney &amp; Easton, 2009). This triangulated approach, taking a broad range of stakeholders’ views and their manifestations in secondary data, avoids respondents’ subjectivity and researchers’ double hermeneutics inherent in retrospective interviews (Barney &amp; Felin, 2013; Randolph-Seng et al., 2014).</w:t>
      </w:r>
    </w:p>
    <w:p w14:paraId="75781300" w14:textId="77777777" w:rsidR="00F34977" w:rsidRDefault="00F34977" w:rsidP="00F34977">
      <w:pPr>
        <w:pStyle w:val="ABParagraph"/>
      </w:pPr>
    </w:p>
    <w:p w14:paraId="1A7DE70E" w14:textId="77777777" w:rsidR="00F34977" w:rsidRPr="0028397C" w:rsidRDefault="00F34977" w:rsidP="00F34977">
      <w:pPr>
        <w:pStyle w:val="ABParagraph"/>
        <w:rPr>
          <w:b/>
          <w:bCs/>
        </w:rPr>
      </w:pPr>
      <w:r w:rsidRPr="0028397C">
        <w:rPr>
          <w:b/>
          <w:bCs/>
        </w:rPr>
        <w:t>Contribution</w:t>
      </w:r>
    </w:p>
    <w:p w14:paraId="6B15C7E5" w14:textId="77777777" w:rsidR="00F34977" w:rsidRDefault="00F34977" w:rsidP="00F34977">
      <w:pPr>
        <w:pStyle w:val="ABParagraph"/>
      </w:pPr>
      <w:r>
        <w:t xml:space="preserve">This research advances our knowledge of sustainability transitions in the local context of post-industrial cities. First, it advances the theory of SIT by proposing a coevolutionary analytical framework of EE dynamics towards reconciling economic, social, and environmental objectives (Alaassar et al., 2022; D. Audretsch et al., 2018; Pelegrini et al., 2025). Second, it identifies and explores the patterns of EE oriented at sustainability, pointing at the drivers and systemic drawbacks in achieving the sustainability objectives, stemming both from the internal urban context, as well as from regional, country, and international conditions (Brown &amp; Mason, 2017; Fischer et al., 2024; Schwabe, 2024). Third, it offers policy recommendations relevant for public decision-makers, industry, and social actors engaged in the local transformative endeavors.   </w:t>
      </w:r>
    </w:p>
    <w:p w14:paraId="3DA284CB" w14:textId="77777777" w:rsidR="00F34977" w:rsidRDefault="00F34977" w:rsidP="00F34977">
      <w:pPr>
        <w:pStyle w:val="ABParagraph"/>
      </w:pPr>
    </w:p>
    <w:p w14:paraId="1ECD291A" w14:textId="77777777" w:rsidR="00F34977" w:rsidRPr="0028397C" w:rsidRDefault="00F34977" w:rsidP="00F34977">
      <w:pPr>
        <w:pStyle w:val="ABParagraph"/>
        <w:rPr>
          <w:b/>
          <w:bCs/>
        </w:rPr>
      </w:pPr>
      <w:r w:rsidRPr="0028397C">
        <w:rPr>
          <w:b/>
          <w:bCs/>
        </w:rPr>
        <w:t xml:space="preserve">Research </w:t>
      </w:r>
      <w:r>
        <w:rPr>
          <w:b/>
          <w:bCs/>
        </w:rPr>
        <w:t>F</w:t>
      </w:r>
      <w:r w:rsidRPr="0028397C">
        <w:rPr>
          <w:b/>
          <w:bCs/>
        </w:rPr>
        <w:t xml:space="preserve">indings </w:t>
      </w:r>
    </w:p>
    <w:p w14:paraId="3FAE9D9E" w14:textId="77777777" w:rsidR="00F34977" w:rsidRDefault="00F34977" w:rsidP="00F34977">
      <w:pPr>
        <w:pStyle w:val="ABParagraph"/>
      </w:pPr>
      <w:r>
        <w:t>Our findings indicate that Kraków’s pathway toward sustainability from 2004 to the present can be characterized by three distinct phases in the development of its urban entrepreneurial ecosystem (EE). These are 1) a phase of economic growth largely detached from environmental and social considerations; 2) a phase of economic transformation marked by the emergence of environmental concerns and social movements, which gradually gained legitimacy in local development strategies; and 3) a phase of economic stability accompanied by growing challenges related to social cohesion and persistent environmental issues.</w:t>
      </w:r>
    </w:p>
    <w:p w14:paraId="28E181B4" w14:textId="77777777" w:rsidR="00F34977" w:rsidRDefault="00F34977" w:rsidP="00F34977">
      <w:pPr>
        <w:pStyle w:val="ABParagraph"/>
      </w:pPr>
    </w:p>
    <w:p w14:paraId="6E399EEB" w14:textId="77777777" w:rsidR="00F34977" w:rsidRDefault="00F34977" w:rsidP="00F34977">
      <w:pPr>
        <w:pStyle w:val="ABParagraph"/>
      </w:pPr>
      <w:r>
        <w:t xml:space="preserve">These phases correspond to evolving configurations of actors and resources within the local entrepreneurial ecosystem. They also reflect cause-effect dynamics arising from the interactions among EE actors within multilevel governance and institutional contexts. The identification of these configurations and their associated sustainability outcomes enabled us to uncover systemic gaps and failures, as well as the key drivers </w:t>
      </w:r>
      <w:r>
        <w:lastRenderedPageBreak/>
        <w:t>shaping Kraków’s urban EE. Furthermore, our analysis reveals that economic, environmental, and social dimensions of sustainability in a post-industrial city are not pursued in parallel but rather unfold sequentially and unevenly. We also identify the key actors and activities that give rise to transition niches—protected spaces where innovation and experimentation occur—which, over time, expand to influence dominant public policy agendas and patterns of resource allocation. We also shed light on the mechanisms of social interaction within the EE, including the presence (or absence) of institutional thickness, competition over resources, and processes of entrepreneurial experimentation and scaling. These mechanisms generate feedback loops that contribute to the ongoing evolution of the entrepreneurial ecosystem.</w:t>
      </w:r>
    </w:p>
    <w:p w14:paraId="339296FB" w14:textId="77777777" w:rsidR="00F34977" w:rsidRDefault="00F34977" w:rsidP="00F34977">
      <w:pPr>
        <w:pStyle w:val="AbstractBookBaseParagraph"/>
      </w:pPr>
    </w:p>
    <w:p w14:paraId="19B6ED88" w14:textId="77777777" w:rsidR="00F34977" w:rsidRDefault="00F34977" w:rsidP="00F34977">
      <w:pPr>
        <w:pStyle w:val="AbstractBookBaseParagraph"/>
      </w:pPr>
      <w:r>
        <w:br w:type="page"/>
      </w:r>
    </w:p>
    <w:p w14:paraId="356E9AB4" w14:textId="77777777" w:rsidR="00F34977" w:rsidRDefault="00F34977" w:rsidP="00F34977">
      <w:pPr>
        <w:pStyle w:val="ABSubhead"/>
      </w:pPr>
      <w:r>
        <w:lastRenderedPageBreak/>
        <w:t xml:space="preserve">O66. </w:t>
      </w:r>
      <w:r w:rsidRPr="00CD05A8">
        <w:t>Carbon Policy and Uneven Regional Transitions</w:t>
      </w:r>
    </w:p>
    <w:p w14:paraId="6F31B844" w14:textId="77777777" w:rsidR="00F34977" w:rsidRPr="006F57EB" w:rsidRDefault="00F34977" w:rsidP="00F34977">
      <w:pPr>
        <w:pStyle w:val="ABParagraph"/>
      </w:pPr>
    </w:p>
    <w:p w14:paraId="6177077B" w14:textId="77777777" w:rsidR="00F34977" w:rsidRPr="00CD05A8" w:rsidRDefault="00F34977" w:rsidP="00F34977">
      <w:pPr>
        <w:pStyle w:val="AbstractBookAuthors"/>
        <w:rPr>
          <w:rFonts w:ascii="Noto Serif Light" w:hAnsi="Noto Serif Light" w:cs="Noto Serif Light"/>
        </w:rPr>
      </w:pPr>
      <w:r w:rsidRPr="00CD05A8">
        <w:rPr>
          <w:rStyle w:val="AbstractBookPresentingAuthor"/>
          <w:rFonts w:ascii="Noto Serif Light" w:hAnsi="Noto Serif Light" w:cs="Noto Serif Light"/>
        </w:rPr>
        <w:t>Z</w:t>
      </w:r>
      <w:r>
        <w:rPr>
          <w:rStyle w:val="AbstractBookPresentingAuthor"/>
          <w:rFonts w:ascii="Noto Serif Light" w:hAnsi="Noto Serif Light" w:cs="Noto Serif Light"/>
        </w:rPr>
        <w:t>iqing Wang</w:t>
      </w:r>
      <w:r w:rsidRPr="00CD05A8">
        <w:rPr>
          <w:rFonts w:ascii="Noto Serif Light" w:hAnsi="Noto Serif Light" w:cs="Noto Serif Light"/>
          <w:vertAlign w:val="superscript"/>
        </w:rPr>
        <w:t>1</w:t>
      </w:r>
    </w:p>
    <w:p w14:paraId="2E66E069" w14:textId="77777777" w:rsidR="00F34977" w:rsidRDefault="00F34977" w:rsidP="00F34977">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Sheffield Hallam University, United Kingdom</w:t>
      </w:r>
    </w:p>
    <w:p w14:paraId="3BBBF71C" w14:textId="77777777" w:rsidR="00F34977" w:rsidRDefault="00F34977" w:rsidP="00F34977">
      <w:pPr>
        <w:pStyle w:val="AbstractBookBaseParagraph"/>
        <w:rPr>
          <w:rStyle w:val="AbstractBookBaseCharacterStyle"/>
          <w:rFonts w:ascii="Noto Serif Light" w:hAnsi="Noto Serif Light" w:cs="Noto Serif Light"/>
        </w:rPr>
      </w:pPr>
    </w:p>
    <w:p w14:paraId="3503B448" w14:textId="77777777" w:rsidR="00F34977" w:rsidRPr="006F57EB" w:rsidRDefault="00F34977" w:rsidP="00F34977">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6A27F017"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low-carbon transition is not arriving equally across regions. While carbon pricing through Emissions Trading Schemes (ETS) is increasingly promoted as a universal policy instrument for transport decarbonisation, its effects are profoundly uneven, structured by the underlying economic geography. For high-tourism regions where transport is the circulatory system of the entire regional economy, ETS delivers powerful and sustained decarbonisation. For more diversified, less tourism-dependent regions, it delivers less. Far from being a neutral, place-blind instrument, carbon pricing reproduces and potentially deepens existing patterns of regional uneven development. This paper provides the large-scale causal evidence of this regional divide, with direct implications for how place-based regional innovation policies should be designed, sustained, and evaluated across Europe's diverse regional economies.</w:t>
      </w:r>
    </w:p>
    <w:p w14:paraId="19329C91" w14:textId="77777777" w:rsidR="00F34977" w:rsidRPr="00CD05A8" w:rsidRDefault="00F34977" w:rsidP="00F34977">
      <w:pPr>
        <w:pStyle w:val="AbstractBookBaseParagraph"/>
        <w:rPr>
          <w:rFonts w:ascii="Noto Serif Light" w:hAnsi="Noto Serif Light" w:cs="Noto Serif Light"/>
        </w:rPr>
      </w:pPr>
    </w:p>
    <w:p w14:paraId="45AD23F8"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Using the staggered difference-in-differences estimator , applied to an unbalanced panel of global countries from 1997 to 2024, we provide robust causal evidence on the impact of ETS adoption on transport carbon dioxide emissions. The methodological design exploits variation in the timing of ETS adoption across seven cohorts spanning 2005 to 2023, using never-treated countries as the control group . The sample captures economies from small island developing states and Mediterranean coastal destinations to major industrialised nations, spanning the full view of tourism dependence. Tourism sector dependence is measured as tourism receipts divided by gross domestic product.</w:t>
      </w:r>
    </w:p>
    <w:p w14:paraId="1E49AAE7" w14:textId="77777777" w:rsidR="00F34977" w:rsidRPr="00CD05A8" w:rsidRDefault="00F34977" w:rsidP="00F34977">
      <w:pPr>
        <w:pStyle w:val="AbstractBookBaseParagraph"/>
        <w:rPr>
          <w:rFonts w:ascii="Noto Serif Light" w:hAnsi="Noto Serif Light" w:cs="Noto Serif Light"/>
        </w:rPr>
      </w:pPr>
    </w:p>
    <w:p w14:paraId="0B2E102D"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aggregate results indicate that ETS adoption reduces transport carbon dioxide emissions by approximately 11.7 percent on average. However, this aggregate figure conceals a profound and policy-consequential regional story. Disaggregating by regional economic structure reveals a stark divergence between two fundamentally different types of places. In tourism-dependent coastal and peripheral regional economies, ETS adoption reduces transport carbon dioxide by approximately 24 percent, a result significant at the one percent level and one of the strongest findings in the empirical carbon pricing literature. In low-tourism, more diversified regional economies where transport emissions are dispersed across a wider industrial base, the effect is statistically indistinguishable from zero. The carbon price signal reaches transport in tourism-intensive regional economies with an intensity and focus it simply cannot achieve where emissions are spread across manufacturing, energy, and other industrial sectors.</w:t>
      </w:r>
    </w:p>
    <w:p w14:paraId="012F40EE" w14:textId="77777777" w:rsidR="00F34977" w:rsidRPr="00CD05A8" w:rsidRDefault="00F34977" w:rsidP="00F34977">
      <w:pPr>
        <w:pStyle w:val="AbstractBookBaseParagraph"/>
        <w:rPr>
          <w:rFonts w:ascii="Noto Serif Light" w:hAnsi="Noto Serif Light" w:cs="Noto Serif Light"/>
        </w:rPr>
      </w:pPr>
    </w:p>
    <w:p w14:paraId="0CDA8EE1"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This divergence is not merely a technical finding, and it is a regional transition justice problem with significant implications for place-based innovation policy. Coastal and peripheral tourism regions, already among Europe's most economically exposed and structurally vulnerable places, face a dual and compounding pressure: decarbonising transport-intensive regional economies while simultaneously remaining competitive in global tourism markets. Paradoxically, tourism-dependent coastal and peripheral regional economies, which face the greatest climate risks and the most acute decarbonisation pressures, are also the places where carbon markets are most effective. </w:t>
      </w:r>
      <w:r w:rsidRPr="00CD05A8">
        <w:rPr>
          <w:rFonts w:ascii="Noto Serif Light" w:hAnsi="Noto Serif Light" w:cs="Noto Serif Light"/>
        </w:rPr>
        <w:lastRenderedPageBreak/>
        <w:t>A governance challenge that sits at the heart of place-based regional innovation policy design.</w:t>
      </w:r>
    </w:p>
    <w:p w14:paraId="37A80BDB" w14:textId="77777777" w:rsidR="00F34977" w:rsidRPr="00CD05A8" w:rsidRDefault="00F34977" w:rsidP="00F34977">
      <w:pPr>
        <w:pStyle w:val="AbstractBookBaseParagraph"/>
        <w:rPr>
          <w:rFonts w:ascii="Noto Serif Light" w:hAnsi="Noto Serif Light" w:cs="Noto Serif Light"/>
        </w:rPr>
      </w:pPr>
    </w:p>
    <w:p w14:paraId="44DBA5CA"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Heterogeneity by adoption era further confirms this delayed regional adjustment mechanism. Early adopters, comprising the European Union member states have accumulated fifteen to twenty years of ETS exposure by the end of the sample period and exhibit statistically significant transport emission reductions of approximately 12 percent. The joint result for high-tourism early adopters is a reduction of approximately 16 percent, confirming that tourism-driven regional economic structure and sufficient ETS exposure time are jointly necessary conditions for measurable transport decarbonisation. </w:t>
      </w:r>
    </w:p>
    <w:p w14:paraId="397414A5" w14:textId="77777777" w:rsidR="00F34977" w:rsidRPr="00CD05A8" w:rsidRDefault="00F34977" w:rsidP="00F34977">
      <w:pPr>
        <w:pStyle w:val="AbstractBookBaseParagraph"/>
        <w:rPr>
          <w:rFonts w:ascii="Noto Serif Light" w:hAnsi="Noto Serif Light" w:cs="Noto Serif Light"/>
        </w:rPr>
      </w:pPr>
    </w:p>
    <w:p w14:paraId="3548C4C0"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Building on these findings, we signal a planned extension examining policy spillover effects across Mediterranean coastal regional clusters. The central question is whether ETS adoption in one coastal tourism region propagates to neighbouring tourism-competitor regions through competitive market linkages and shared regional economic structures. </w:t>
      </w:r>
    </w:p>
    <w:p w14:paraId="43B0C62D" w14:textId="77777777" w:rsidR="00F34977" w:rsidRPr="00CD05A8" w:rsidRDefault="00F34977" w:rsidP="00F34977">
      <w:pPr>
        <w:pStyle w:val="AbstractBookBaseParagraph"/>
        <w:rPr>
          <w:rFonts w:ascii="Noto Serif Light" w:hAnsi="Noto Serif Light" w:cs="Noto Serif Light"/>
        </w:rPr>
      </w:pPr>
    </w:p>
    <w:p w14:paraId="6FAF90AD"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Our findings call for a fundamentally place-sensitive approach to carbon market design and evaluation. One that recognises regional economic structure as a first-order determinant of transition outcomes. Three implications stand out for place-based regional innovation policy. First, tourism-dependent regions should embrace carbon markets as a structural opportunity rather than a competitive threat: their regional economic geography makes them unusually well-positioned to benefit from sustained carbon pricing, and policymakers should advocate for strong, long-run price commitments accordingly. Second, evaluation frameworks for place-based carbon policies must be calibrated to long regional adjustment horizons: the eight-year lag documented here means that standard short-run policy evaluation will systematically misidentify effective regional instruments as failures, eroding political support at precisely the moment when policy stability matters most. Third, the uneven regional geography of ETS effectiveness demands complementary instruments for non-tourism regional economies, where the carbon price signal disperses across a broader industrial base and fails to reach transport with sufficient intensity: sector-specific standards, targeted investment incentives, and public procurement of low-carbon transport infrastructure are structurally necessary to achieve transport decarbonisation in these regional contexts. </w:t>
      </w:r>
    </w:p>
    <w:p w14:paraId="3D4E1F01" w14:textId="77777777" w:rsidR="00F34977" w:rsidRPr="00CD05A8" w:rsidRDefault="00F34977" w:rsidP="00F34977">
      <w:pPr>
        <w:pStyle w:val="AbstractBookBaseParagraph"/>
        <w:rPr>
          <w:rFonts w:ascii="Noto Serif Light" w:hAnsi="Noto Serif Light" w:cs="Noto Serif Light"/>
        </w:rPr>
      </w:pPr>
    </w:p>
    <w:p w14:paraId="79084167" w14:textId="77777777" w:rsidR="00F34977" w:rsidRPr="00CD05A8" w:rsidRDefault="00F34977" w:rsidP="00F34977">
      <w:pPr>
        <w:pStyle w:val="AbstractBookBaseParagraph"/>
        <w:rPr>
          <w:rFonts w:ascii="Noto Serif Light" w:hAnsi="Noto Serif Light" w:cs="Noto Serif Light"/>
        </w:rPr>
      </w:pPr>
    </w:p>
    <w:p w14:paraId="4CC1F6AA" w14:textId="77777777" w:rsidR="00F34977" w:rsidRPr="00CD05A8" w:rsidRDefault="00F34977" w:rsidP="00F34977">
      <w:pPr>
        <w:pStyle w:val="AbstractBookBaseParagraph"/>
        <w:rPr>
          <w:rFonts w:ascii="Noto Serif Light" w:hAnsi="Noto Serif Light" w:cs="Noto Serif Light"/>
        </w:rPr>
      </w:pPr>
    </w:p>
    <w:p w14:paraId="4820C77A"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br w:type="page"/>
      </w:r>
    </w:p>
    <w:p w14:paraId="140D4701" w14:textId="77777777" w:rsidR="00F34977" w:rsidRDefault="00F34977" w:rsidP="00F34977">
      <w:pPr>
        <w:pStyle w:val="ABSubhead"/>
      </w:pPr>
      <w:r>
        <w:lastRenderedPageBreak/>
        <w:t>O67. Eco-Innovation in Different Regional Innovation Contexts: The Impact of Business Innovation Modes Across Firms in Europe, Northern Africa and Central Asia</w:t>
      </w:r>
    </w:p>
    <w:p w14:paraId="5C69B9BE" w14:textId="77777777" w:rsidR="00F34977" w:rsidRPr="00723181" w:rsidRDefault="00F34977" w:rsidP="00F34977">
      <w:pPr>
        <w:pStyle w:val="ABParagraph"/>
      </w:pPr>
    </w:p>
    <w:p w14:paraId="5F0799B2" w14:textId="77777777" w:rsidR="00F34977" w:rsidRPr="00723181" w:rsidRDefault="00F34977" w:rsidP="00F34977">
      <w:pPr>
        <w:pStyle w:val="AbstractBookAuthors"/>
        <w:rPr>
          <w:rFonts w:ascii="Noto Serif Light" w:hAnsi="Noto Serif Light" w:cs="Noto Serif Light"/>
        </w:rPr>
      </w:pPr>
      <w:r w:rsidRPr="00723181">
        <w:rPr>
          <w:rStyle w:val="AbstractBookPresentingAuthor"/>
          <w:rFonts w:ascii="Noto Serif Light" w:hAnsi="Noto Serif Light" w:cs="Noto Serif Light"/>
        </w:rPr>
        <w:t>Prof</w:t>
      </w:r>
      <w:r>
        <w:rPr>
          <w:rStyle w:val="AbstractBookPresentingAuthor"/>
          <w:rFonts w:ascii="Noto Serif Light" w:hAnsi="Noto Serif Light" w:cs="Noto Serif Light"/>
        </w:rPr>
        <w:t>essor</w:t>
      </w:r>
      <w:r w:rsidRPr="00723181">
        <w:rPr>
          <w:rStyle w:val="AbstractBookPresentingAuthor"/>
          <w:rFonts w:ascii="Noto Serif Light" w:hAnsi="Noto Serif Light" w:cs="Noto Serif Light"/>
        </w:rPr>
        <w:t xml:space="preserve"> Mario-Davide Parrilli</w:t>
      </w:r>
      <w:r w:rsidRPr="00723181">
        <w:rPr>
          <w:rFonts w:ascii="Noto Serif Light" w:hAnsi="Noto Serif Light" w:cs="Noto Serif Light"/>
          <w:vertAlign w:val="superscript"/>
        </w:rPr>
        <w:t>1</w:t>
      </w:r>
      <w:r w:rsidRPr="00723181">
        <w:rPr>
          <w:rStyle w:val="AbstractBookBaseCharacterStyle"/>
          <w:rFonts w:ascii="Noto Serif Light" w:hAnsi="Noto Serif Light" w:cs="Noto Serif Light"/>
        </w:rPr>
        <w:t>, Dr Natalja Apanasovich</w:t>
      </w:r>
      <w:r w:rsidRPr="00723181">
        <w:rPr>
          <w:rFonts w:ascii="Noto Serif Light" w:hAnsi="Noto Serif Light" w:cs="Noto Serif Light"/>
          <w:vertAlign w:val="superscript"/>
        </w:rPr>
        <w:t>2</w:t>
      </w:r>
    </w:p>
    <w:p w14:paraId="41A01C2D" w14:textId="77777777" w:rsidR="00F34977" w:rsidRPr="00723181" w:rsidRDefault="00F34977" w:rsidP="00F34977">
      <w:pPr>
        <w:pStyle w:val="AbstractBookBaseParagraph"/>
        <w:rPr>
          <w:rFonts w:ascii="Noto Serif Light" w:hAnsi="Noto Serif Light" w:cs="Noto Serif Light"/>
        </w:rPr>
      </w:pPr>
      <w:r w:rsidRPr="00723181">
        <w:rPr>
          <w:rFonts w:ascii="Noto Serif Light" w:hAnsi="Noto Serif Light" w:cs="Noto Serif Light"/>
          <w:vertAlign w:val="superscript"/>
        </w:rPr>
        <w:t>1</w:t>
      </w:r>
      <w:r w:rsidRPr="00723181">
        <w:rPr>
          <w:rStyle w:val="AbstractBookBaseCharacterStyle"/>
          <w:rFonts w:ascii="Noto Serif Light" w:hAnsi="Noto Serif Light" w:cs="Noto Serif Light"/>
        </w:rPr>
        <w:t xml:space="preserve">Bournemouth University, Poole, United Kingdom, </w:t>
      </w:r>
      <w:r w:rsidRPr="00723181">
        <w:rPr>
          <w:rFonts w:ascii="Noto Serif Light" w:hAnsi="Noto Serif Light" w:cs="Noto Serif Light"/>
          <w:vertAlign w:val="superscript"/>
        </w:rPr>
        <w:t>2</w:t>
      </w:r>
      <w:r w:rsidRPr="00723181">
        <w:rPr>
          <w:rStyle w:val="AbstractBookBaseCharacterStyle"/>
          <w:rFonts w:ascii="Noto Serif Light" w:hAnsi="Noto Serif Light" w:cs="Noto Serif Light"/>
        </w:rPr>
        <w:t>BEROC Institute,</w:t>
      </w:r>
    </w:p>
    <w:p w14:paraId="3665D45F" w14:textId="77777777" w:rsidR="00F34977" w:rsidRPr="00723181" w:rsidRDefault="00F34977" w:rsidP="00F34977">
      <w:pPr>
        <w:pStyle w:val="AbstractBookBaseParagraph"/>
        <w:rPr>
          <w:rFonts w:ascii="Noto Serif Light" w:hAnsi="Noto Serif Light" w:cs="Noto Serif Light"/>
        </w:rPr>
      </w:pPr>
    </w:p>
    <w:p w14:paraId="7B911B2C" w14:textId="77777777" w:rsidR="00F34977" w:rsidRPr="00723181" w:rsidRDefault="00F34977" w:rsidP="00F34977">
      <w:pPr>
        <w:pStyle w:val="AbstractBookBaseParagraph"/>
        <w:rPr>
          <w:rFonts w:ascii="Noto Serif Light" w:hAnsi="Noto Serif Light" w:cs="Noto Serif Light"/>
          <w:b/>
          <w:bCs/>
        </w:rPr>
      </w:pPr>
      <w:r w:rsidRPr="00723181">
        <w:rPr>
          <w:rFonts w:ascii="Noto Serif Light" w:hAnsi="Noto Serif Light" w:cs="Noto Serif Light"/>
          <w:b/>
          <w:bCs/>
        </w:rPr>
        <w:t>Abstract:</w:t>
      </w:r>
    </w:p>
    <w:p w14:paraId="08CC5EF3" w14:textId="77777777" w:rsidR="00F34977" w:rsidRDefault="00F34977" w:rsidP="00F34977">
      <w:pPr>
        <w:pStyle w:val="ABParagraph"/>
      </w:pPr>
      <w:r>
        <w:t xml:space="preserve">Since the Kyoto (1997) and Paris agreements (2016), sustainability and eco-innovation are critical priorities in these challenging years of climate change. We study these aspects through the business innovation modes literature in a wider geographical context that entails not only the usual European macro-region but also Central Asia and Northern Africa. We study how firms produce eco-innovation through the science and technology-based mode (STI), the learning-by-doing, by-using and by-interacting mode (DUI), and the combination of these two (STI+DUI) (see Jensen et al., 2007; Fitjar and Rodriguez-Pose, 2013; Alhusen et al., 2021). These modes represent distinct bundles of practices adopted by firms based on their access to resources, skills and capabilities within and outside the firm (Parrilli et al., 2025). In this paper we focus not only on the differentiated impact of these modes across firms of medium and large size, but also the way in which the context specificity works in very distinctive geographies. Our argument is that historic, cultural, institutional and technological elements that are typical of the development trajectories of countries and regions have a direct impact on the way firms promote innovation and eco-innovation. In a way, this study aligns pretty well with the new literature on retro-vation/retro-innovation (Losacker et al., 2026, in RIPO Conference, Special Session F) and “how historical and contemporary knowledge elements interact in innovation processes” and the importance of “Place-based retro-vation through the revival of local practices, craft traditions, or locally embedded know-how” (see also Sedita et al., 2022). </w:t>
      </w:r>
    </w:p>
    <w:p w14:paraId="23633C6A" w14:textId="77777777" w:rsidR="00F34977" w:rsidRDefault="00F34977" w:rsidP="00F34977">
      <w:pPr>
        <w:pStyle w:val="ABParagraph"/>
      </w:pPr>
    </w:p>
    <w:p w14:paraId="31116176" w14:textId="77777777" w:rsidR="00F34977" w:rsidRDefault="00F34977" w:rsidP="00F34977">
      <w:pPr>
        <w:pStyle w:val="ABParagraph"/>
      </w:pPr>
      <w:r>
        <w:t xml:space="preserve">Our study is based on a sample of around 7,000 firms taken through the Business Environment and Enterprise Performance Survey (BEEPS, 2022) of the European Bank for Reconstruction and Development (EBRD) that includes important evidence of key factors of innovation and relevant eco-innovation outputs. Through the application of an ordered logit regression, the results show important similarities but also relevant divergences in the application of the innovation modes for eco-innovation in the selected macro-regions (e.g. the poor impact of the DUI mode in the Northern African region). These findings also indicate the importance of specific moderating variables (i.e. environmental certifications) and control variables (industry, size and internationalisation). Overall, this study points out the role of the institutional and technological context on firm EI practices in these macro-regions. Overall, this paper is a comprehensive study of the effectiveness of specific firm innovation modes in different geographic, cultural and institutional contexts, while the literature on innovation modes and innovation systems benefits by expanding its analysis to the field of eco-innovation. </w:t>
      </w:r>
    </w:p>
    <w:p w14:paraId="02D4B321" w14:textId="77777777" w:rsidR="00F34977" w:rsidRDefault="00F34977" w:rsidP="00F34977">
      <w:pPr>
        <w:pStyle w:val="ABParagraph"/>
      </w:pPr>
    </w:p>
    <w:p w14:paraId="34E8A280" w14:textId="77777777" w:rsidR="00F34977" w:rsidRDefault="00F34977" w:rsidP="00F34977">
      <w:pPr>
        <w:pStyle w:val="ABParagraph"/>
      </w:pPr>
      <w:r w:rsidRPr="00723181">
        <w:rPr>
          <w:b/>
          <w:bCs/>
        </w:rPr>
        <w:t>JEL Codes:</w:t>
      </w:r>
      <w:r>
        <w:t xml:space="preserve"> O32, O33, Q55, R11. </w:t>
      </w:r>
    </w:p>
    <w:p w14:paraId="5BAED41B" w14:textId="77777777" w:rsidR="00F34977" w:rsidRDefault="00F34977" w:rsidP="00F34977">
      <w:pPr>
        <w:pStyle w:val="ABParagraph"/>
      </w:pPr>
    </w:p>
    <w:p w14:paraId="5D0BE4DA" w14:textId="77777777" w:rsidR="00F34977" w:rsidRDefault="00F34977" w:rsidP="00F34977">
      <w:pPr>
        <w:pStyle w:val="ABParagraph"/>
      </w:pPr>
      <w:r w:rsidRPr="00723181">
        <w:rPr>
          <w:b/>
          <w:bCs/>
        </w:rPr>
        <w:t>Keywords:</w:t>
      </w:r>
      <w:r>
        <w:t xml:space="preserve"> Eco-Innovation, STI and DUI innovation modes, Central Asia, Europe, Central Africa.</w:t>
      </w:r>
    </w:p>
    <w:p w14:paraId="2C575F41" w14:textId="77777777" w:rsidR="00F34977" w:rsidRDefault="00F34977" w:rsidP="00F34977">
      <w:pPr>
        <w:pStyle w:val="ABParagraph"/>
      </w:pPr>
    </w:p>
    <w:p w14:paraId="2EEE1535" w14:textId="77777777" w:rsidR="00F34977" w:rsidRPr="00723181" w:rsidRDefault="00F34977" w:rsidP="00F34977">
      <w:pPr>
        <w:pStyle w:val="ABParagraph"/>
        <w:rPr>
          <w:b/>
          <w:bCs/>
        </w:rPr>
      </w:pPr>
      <w:r>
        <w:rPr>
          <w:b/>
          <w:bCs/>
        </w:rPr>
        <w:t>References</w:t>
      </w:r>
    </w:p>
    <w:p w14:paraId="7EB06EDD" w14:textId="77777777" w:rsidR="00F34977" w:rsidRDefault="00F34977" w:rsidP="00F34977">
      <w:pPr>
        <w:pStyle w:val="ABParagraph"/>
        <w:numPr>
          <w:ilvl w:val="0"/>
          <w:numId w:val="12"/>
        </w:numPr>
      </w:pPr>
      <w:r>
        <w:t xml:space="preserve">Alhusen, H., Bennat, T., Bizer, K., Cantner, U., Horstmann, E., Kalthaus, M.,Töpfer, S. (2021). A New Measurement Conception for the ‘Doing-Using-Interacting’ Mode of Innovation. Research Policy, 50: 1-15. https://doi.org/10.1016/j.respol.2021.104214 </w:t>
      </w:r>
    </w:p>
    <w:p w14:paraId="519A019B" w14:textId="77777777" w:rsidR="00F34977" w:rsidRDefault="00F34977" w:rsidP="00F34977">
      <w:pPr>
        <w:pStyle w:val="ABParagraph"/>
        <w:numPr>
          <w:ilvl w:val="0"/>
          <w:numId w:val="12"/>
        </w:numPr>
      </w:pPr>
      <w:r>
        <w:t>Jensen M, Johnson B. Lorenz E., and Lundvall B.A. (2007), Forms of knowledge and modes of innovation, Research Policy, 36: 680-693.</w:t>
      </w:r>
    </w:p>
    <w:p w14:paraId="1C3C71C0" w14:textId="77777777" w:rsidR="00F34977" w:rsidRDefault="00F34977" w:rsidP="00F34977">
      <w:pPr>
        <w:pStyle w:val="ABParagraph"/>
        <w:numPr>
          <w:ilvl w:val="0"/>
          <w:numId w:val="12"/>
        </w:numPr>
      </w:pPr>
      <w:r>
        <w:t>Fitjar R. and Rodriguez-Pose A. (2013), Firm collaboration and modes of innovation in Norway, Research Policy, 41: 128-138.</w:t>
      </w:r>
    </w:p>
    <w:p w14:paraId="55E48F71" w14:textId="77777777" w:rsidR="00F34977" w:rsidRDefault="00F34977" w:rsidP="00F34977">
      <w:pPr>
        <w:pStyle w:val="ABParagraph"/>
        <w:numPr>
          <w:ilvl w:val="0"/>
          <w:numId w:val="12"/>
        </w:numPr>
      </w:pPr>
      <w:r>
        <w:t>Losacker S., Luetkes L., Maghssudipour A. and Sedita S. (2026), History, retrovation and the temporalities of regional innovation, Special Session F, Regional Innovation Policy Conference, 17-18 September 2026.</w:t>
      </w:r>
    </w:p>
    <w:p w14:paraId="3C5FC0D6" w14:textId="77777777" w:rsidR="00F34977" w:rsidRDefault="00F34977" w:rsidP="00F34977">
      <w:pPr>
        <w:pStyle w:val="ABParagraph"/>
        <w:numPr>
          <w:ilvl w:val="0"/>
          <w:numId w:val="12"/>
        </w:numPr>
      </w:pPr>
      <w:r>
        <w:t>Parrilli MD, Balavac-Orlic M and Radicic D (2025), Eco-innovation practices across SMEs in European macro-regions, Journal of Cleaner Production, https://doi.org/10.1016/j.jclepro.2025.144964</w:t>
      </w:r>
    </w:p>
    <w:p w14:paraId="4075A2F7" w14:textId="77777777" w:rsidR="00F34977" w:rsidRDefault="00F34977" w:rsidP="00F34977">
      <w:pPr>
        <w:pStyle w:val="ABParagraph"/>
        <w:numPr>
          <w:ilvl w:val="0"/>
          <w:numId w:val="12"/>
        </w:numPr>
      </w:pPr>
      <w:r>
        <w:t>Sedita S. Blasi S and Yang J (2022), The cultural dimensions of sustainable development, Sustainable Development, 30: 1838-1849.</w:t>
      </w:r>
    </w:p>
    <w:p w14:paraId="7BF9B3AB" w14:textId="77777777" w:rsidR="00F34977" w:rsidRDefault="00F34977" w:rsidP="00F34977">
      <w:pPr>
        <w:pStyle w:val="AbstractBookBaseParagraph"/>
      </w:pPr>
    </w:p>
    <w:p w14:paraId="356EB470" w14:textId="77777777" w:rsidR="00F34977" w:rsidRDefault="00F34977" w:rsidP="00F34977">
      <w:pPr>
        <w:pStyle w:val="AbstractBookBaseParagraph"/>
      </w:pPr>
    </w:p>
    <w:p w14:paraId="730CF657" w14:textId="77777777" w:rsidR="00F34977" w:rsidRDefault="00F34977" w:rsidP="00F34977">
      <w:pPr>
        <w:pStyle w:val="AbstractBookBaseParagraph"/>
      </w:pPr>
      <w:r>
        <w:br w:type="page"/>
      </w:r>
    </w:p>
    <w:p w14:paraId="68DFE9A3" w14:textId="74E04AD9" w:rsidR="00F34977" w:rsidRDefault="00F34977" w:rsidP="00F34977">
      <w:pPr>
        <w:pStyle w:val="ABSubhead"/>
      </w:pPr>
      <w:r>
        <w:lastRenderedPageBreak/>
        <w:t xml:space="preserve">O68. </w:t>
      </w:r>
      <w:r w:rsidR="00E72072" w:rsidRPr="00E72072">
        <w:t>Unlocking Regional Innovation Potential: A Place-Sensitive Approach to Public Procurement</w:t>
      </w:r>
    </w:p>
    <w:p w14:paraId="71130899" w14:textId="77777777" w:rsidR="00F34977" w:rsidRPr="00220128" w:rsidRDefault="00F34977" w:rsidP="00F34977">
      <w:pPr>
        <w:pStyle w:val="ABParagraph"/>
      </w:pPr>
    </w:p>
    <w:p w14:paraId="023DD57D" w14:textId="77777777" w:rsidR="00F34977" w:rsidRPr="00CD05A8" w:rsidRDefault="00F34977" w:rsidP="00F34977">
      <w:pPr>
        <w:pStyle w:val="AbstractBookAuthors"/>
        <w:rPr>
          <w:rFonts w:ascii="Noto Serif Light" w:hAnsi="Noto Serif Light" w:cs="Noto Serif Light"/>
        </w:rPr>
      </w:pPr>
      <w:r w:rsidRPr="00CD05A8">
        <w:rPr>
          <w:rStyle w:val="AbstractBookPresentingAuthor"/>
          <w:rFonts w:ascii="Noto Serif Light" w:hAnsi="Noto Serif Light" w:cs="Noto Serif Light"/>
        </w:rPr>
        <w:t>Raquel Ortega-Argiles</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Elvira Uyarra</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Pei-Yu Yuan</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Xin Deng</w:t>
      </w:r>
      <w:r w:rsidRPr="00CD05A8">
        <w:rPr>
          <w:rFonts w:ascii="Noto Serif Light" w:hAnsi="Noto Serif Light" w:cs="Noto Serif Light"/>
          <w:vertAlign w:val="superscript"/>
        </w:rPr>
        <w:t>1</w:t>
      </w:r>
    </w:p>
    <w:p w14:paraId="1933D249" w14:textId="77777777" w:rsidR="00F34977" w:rsidRDefault="00F34977" w:rsidP="00F34977">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University </w:t>
      </w:r>
      <w:r>
        <w:rPr>
          <w:rStyle w:val="AbstractBookBaseCharacterStyle"/>
          <w:rFonts w:ascii="Noto Serif Light" w:hAnsi="Noto Serif Light" w:cs="Noto Serif Light"/>
        </w:rPr>
        <w:t>o</w:t>
      </w:r>
      <w:r w:rsidRPr="00CD05A8">
        <w:rPr>
          <w:rStyle w:val="AbstractBookBaseCharacterStyle"/>
          <w:rFonts w:ascii="Noto Serif Light" w:hAnsi="Noto Serif Light" w:cs="Noto Serif Light"/>
        </w:rPr>
        <w:t>f Manchester, United Kingdom</w:t>
      </w:r>
    </w:p>
    <w:p w14:paraId="741704FF" w14:textId="77777777" w:rsidR="00F34977" w:rsidRDefault="00F34977" w:rsidP="00F34977">
      <w:pPr>
        <w:pStyle w:val="AbstractBookBaseParagraph"/>
        <w:rPr>
          <w:rStyle w:val="AbstractBookBaseCharacterStyle"/>
          <w:rFonts w:ascii="Noto Serif Light" w:hAnsi="Noto Serif Light" w:cs="Noto Serif Light"/>
        </w:rPr>
      </w:pPr>
    </w:p>
    <w:p w14:paraId="3227B09C" w14:textId="77777777" w:rsidR="00F34977" w:rsidRDefault="00F34977" w:rsidP="00F34977">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37AF21D2" w14:textId="77777777" w:rsidR="00F34977" w:rsidRPr="00220128" w:rsidRDefault="00F34977" w:rsidP="00F34977">
      <w:pPr>
        <w:pStyle w:val="AbstractBookBaseParagraph"/>
        <w:rPr>
          <w:rFonts w:ascii="Noto Serif Light" w:hAnsi="Noto Serif Light" w:cs="Noto Serif Light"/>
          <w:b/>
          <w:bCs/>
        </w:rPr>
      </w:pPr>
    </w:p>
    <w:p w14:paraId="54B14443"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This paper investigates the landscape of public procurement across the UK and its impact on regional innovation outcomes, emphasising the potential for implementing place-sensitive approaches amidst a rapidly evolving policy context. With public procurement spending projected to reach £434 billion in 2024/25—approximately 15% of GDP—this area offers significant economic influence and a means to drive regional growth, support small and medium enterprises (SMEs), and foster innovation. </w:t>
      </w:r>
    </w:p>
    <w:p w14:paraId="2F94A96A" w14:textId="77777777" w:rsidR="00F34977" w:rsidRPr="00CD05A8" w:rsidRDefault="00F34977" w:rsidP="00F34977">
      <w:pPr>
        <w:pStyle w:val="AbstractBookBaseParagraph"/>
        <w:rPr>
          <w:rFonts w:ascii="Noto Serif Light" w:hAnsi="Noto Serif Light" w:cs="Noto Serif Light"/>
        </w:rPr>
      </w:pPr>
    </w:p>
    <w:p w14:paraId="753410A3"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Public procurement, accounting for approximately 12% of GDP in OECD countries, has increasingly been used as a policy tool to foster innovation and address societal challenges (Edquist et al., 2015; Edquist and Zabala-Iturriagagoitia, 2012; Mazzucato, 2018, 2020). Recent studies have also highlighted the potential of PPI to shape regional innovation ecosystems (Uyarra et al., 2020; McCann and Ortega-Argilés, 2022; Day and Merkert, 2023). However, these twin objectives of driving innovation and fostering balanced regional development may be in tension. This paper examines this potential conflict by analysing the spatial dimensions of public procurement and its impact on regional innovation outcomes in the UK. While previous UK research has explored the spatial patterns of procurement spend, particularly by local government (Cabras, 2011; Eckersley et al., 2023), there has been limited investigation into the broader direct and indirect effects (via supply chains) of public procurement and how these may contribute to regional innovation inequalities.</w:t>
      </w:r>
    </w:p>
    <w:p w14:paraId="696F21D7" w14:textId="77777777" w:rsidR="00F34977" w:rsidRPr="00CD05A8" w:rsidRDefault="00F34977" w:rsidP="00F34977">
      <w:pPr>
        <w:pStyle w:val="AbstractBookBaseParagraph"/>
        <w:rPr>
          <w:rFonts w:ascii="Noto Serif Light" w:hAnsi="Noto Serif Light" w:cs="Noto Serif Light"/>
        </w:rPr>
      </w:pPr>
    </w:p>
    <w:p w14:paraId="67723335"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We provide a comprehensive quantitative analysis of the association and potential causal relationship between public procurement spending and specific innovation outcomes across UK regions. We use metrics such as the number of patents filed, the number of new trademarks granted, and R&amp;D investment levels to demonstrate the direct impact of public procurement. </w:t>
      </w:r>
    </w:p>
    <w:p w14:paraId="23236CFF" w14:textId="77777777" w:rsidR="00F34977" w:rsidRPr="00CD05A8" w:rsidRDefault="00F34977" w:rsidP="00F34977">
      <w:pPr>
        <w:pStyle w:val="AbstractBookBaseParagraph"/>
        <w:rPr>
          <w:rFonts w:ascii="Noto Serif Light" w:hAnsi="Noto Serif Light" w:cs="Noto Serif Light"/>
        </w:rPr>
      </w:pPr>
    </w:p>
    <w:p w14:paraId="211925F7"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Our preliminary findings leverage Tussell spend data from 2016 to 2024 to map procurement expenditures across different UK regions, purchasing authorities, and industrial sectors, revealing substantial spatial and sectoral disparities. Key findings highlight a trend of centralisation, with central government procurement spending accounting for around 66% of total expenditures, overshadowing local government investments, which, despite their smaller scale, demonstrate steady growth. London is identified as an outlier in procurement spending, significantly outpacing other regions, particularly compared with Northern Ireland, Scotland, and Wales, which show comparatively low levels of procurement activity. Moreover, sectoral investment is notably concentrated in Professional and Business Services and Digital Technologies, leaving other sectors with less attention. These results add to recent evidence on differences in public support for innovation in the UK (Ortega-Argiles and Yuan, 2026; Ma et al., 2026). This strand of evidence points to the need to address UK regional </w:t>
      </w:r>
      <w:r w:rsidRPr="00CD05A8">
        <w:rPr>
          <w:rFonts w:ascii="Noto Serif Light" w:hAnsi="Noto Serif Light" w:cs="Noto Serif Light"/>
        </w:rPr>
        <w:lastRenderedPageBreak/>
        <w:t xml:space="preserve">imbalances by adopting innovation policy strategies, among them public procurement, that prioritise regional equality. </w:t>
      </w:r>
    </w:p>
    <w:p w14:paraId="5CD23877" w14:textId="77777777" w:rsidR="00F34977" w:rsidRPr="00CD05A8" w:rsidRDefault="00F34977" w:rsidP="00F34977">
      <w:pPr>
        <w:pStyle w:val="AbstractBookBaseParagraph"/>
        <w:rPr>
          <w:rFonts w:ascii="Noto Serif Light" w:hAnsi="Noto Serif Light" w:cs="Noto Serif Light"/>
        </w:rPr>
      </w:pPr>
    </w:p>
    <w:p w14:paraId="07CD0EDE"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Our preliminary evidence points to the need to set measurable regional procurement targets, enhance transparency in procurement spending, and leverage devolution arrangements to develop place-based strategies. The new policy framework, as outlined in the Procurement Act 2023, offers the flexibility needed to implement these changes, ensuring that procurement not only stimulates local economies but also aligns with regional smart growth aspirations. Ultimately, the findings show the importance of reshaping public procurement to enhance economic resilience in underrepresented areas of the UK.</w:t>
      </w:r>
    </w:p>
    <w:p w14:paraId="60C001C2"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This research contributes to the growing literature on mission-led industrial policies and regional innovation by highlighting the often-overlooked spatial dimensions of public procurement and their implications for inclusive smart growth. These spatial dynamics pose a challenge to the effective implementation of mission-led industrial policies (Mazzucato, 2018), adding to concerns about the potential contradictions and compatibilities between regional and national policymaking under mission-led approaches (Uyarra et al., 2025; Ortega-Argiles et al., 2026). The paper concludes by discussing potential policy interventions to better align public procurement with regional development goals, including targeted place-based procurement strategies and mechanisms to encourage broader geographic participation in government contracts.</w:t>
      </w:r>
    </w:p>
    <w:p w14:paraId="411068A3"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Keywords: Regional Innovation, Public Procurement, United Kingdom, Multilevel governance.</w:t>
      </w:r>
    </w:p>
    <w:p w14:paraId="2D8B040A" w14:textId="77777777" w:rsidR="00F34977" w:rsidRPr="00CD05A8" w:rsidRDefault="00F34977" w:rsidP="00F34977">
      <w:pPr>
        <w:pStyle w:val="AbstractBookBaseParagraph"/>
        <w:rPr>
          <w:rFonts w:ascii="Noto Serif Light" w:hAnsi="Noto Serif Light" w:cs="Noto Serif Light"/>
        </w:rPr>
      </w:pPr>
    </w:p>
    <w:p w14:paraId="4926D0C5" w14:textId="77777777" w:rsidR="00F34977" w:rsidRPr="00220128" w:rsidRDefault="00F34977" w:rsidP="00F34977">
      <w:pPr>
        <w:pStyle w:val="AbstractBookBaseParagraph"/>
        <w:rPr>
          <w:rFonts w:ascii="Noto Serif Light" w:hAnsi="Noto Serif Light" w:cs="Noto Serif Light"/>
          <w:b/>
          <w:bCs/>
        </w:rPr>
      </w:pPr>
      <w:r w:rsidRPr="00220128">
        <w:rPr>
          <w:rFonts w:ascii="Noto Serif Light" w:hAnsi="Noto Serif Light" w:cs="Noto Serif Light"/>
          <w:b/>
          <w:bCs/>
        </w:rPr>
        <w:t>References</w:t>
      </w:r>
    </w:p>
    <w:p w14:paraId="7123E6F0" w14:textId="77777777" w:rsidR="00F34977" w:rsidRPr="00CD05A8" w:rsidRDefault="00F34977" w:rsidP="00F34977">
      <w:pPr>
        <w:pStyle w:val="AbstractBookBaseParagraph"/>
        <w:numPr>
          <w:ilvl w:val="0"/>
          <w:numId w:val="26"/>
        </w:numPr>
        <w:rPr>
          <w:rFonts w:ascii="Noto Serif Light" w:hAnsi="Noto Serif Light" w:cs="Noto Serif Light"/>
        </w:rPr>
      </w:pPr>
      <w:r w:rsidRPr="00CD05A8">
        <w:rPr>
          <w:rFonts w:ascii="Noto Serif Light" w:hAnsi="Noto Serif Light" w:cs="Noto Serif Light"/>
        </w:rPr>
        <w:t>Cabras, I. (2011). Mapping the spatial patterns of public procurement: a case study from a peripheral local authority in Northern England. International Journal of Public Sector Management, 24(3), 187-205.</w:t>
      </w:r>
    </w:p>
    <w:p w14:paraId="095F6912" w14:textId="77777777" w:rsidR="00F34977" w:rsidRPr="00CD05A8" w:rsidRDefault="00F34977" w:rsidP="00F34977">
      <w:pPr>
        <w:pStyle w:val="AbstractBookBaseParagraph"/>
        <w:numPr>
          <w:ilvl w:val="0"/>
          <w:numId w:val="26"/>
        </w:numPr>
        <w:rPr>
          <w:rFonts w:ascii="Noto Serif Light" w:hAnsi="Noto Serif Light" w:cs="Noto Serif Light"/>
        </w:rPr>
      </w:pPr>
      <w:r w:rsidRPr="00CD05A8">
        <w:rPr>
          <w:rFonts w:ascii="Noto Serif Light" w:hAnsi="Noto Serif Light" w:cs="Noto Serif Light"/>
        </w:rPr>
        <w:t xml:space="preserve">Day, C. J., &amp; Merkert, R. (2023). Unlocking public procurement as a tool for place-based industrial strategy. Regional Studies, 57(6), 1029-1042. </w:t>
      </w:r>
    </w:p>
    <w:p w14:paraId="2C4E8FF6" w14:textId="77777777" w:rsidR="00F34977" w:rsidRPr="00CD05A8" w:rsidRDefault="00F34977" w:rsidP="00F34977">
      <w:pPr>
        <w:pStyle w:val="AbstractBookBaseParagraph"/>
        <w:numPr>
          <w:ilvl w:val="0"/>
          <w:numId w:val="26"/>
        </w:numPr>
        <w:rPr>
          <w:rFonts w:ascii="Noto Serif Light" w:hAnsi="Noto Serif Light" w:cs="Noto Serif Light"/>
        </w:rPr>
      </w:pPr>
      <w:r w:rsidRPr="00CD05A8">
        <w:rPr>
          <w:rFonts w:ascii="Noto Serif Light" w:hAnsi="Noto Serif Light" w:cs="Noto Serif Light"/>
        </w:rPr>
        <w:t xml:space="preserve">Eckersley, P., Flynn, A., Lakoma, K., &amp; Ferry, L. (2023). Public procurement as a policy tool: the territorial dimension. Regional Studies, 57(10), 2087-2101. </w:t>
      </w:r>
    </w:p>
    <w:p w14:paraId="5CF5A197" w14:textId="77777777" w:rsidR="00F34977" w:rsidRPr="00CD05A8" w:rsidRDefault="00F34977" w:rsidP="00F34977">
      <w:pPr>
        <w:pStyle w:val="AbstractBookBaseParagraph"/>
        <w:numPr>
          <w:ilvl w:val="0"/>
          <w:numId w:val="26"/>
        </w:numPr>
        <w:rPr>
          <w:rFonts w:ascii="Noto Serif Light" w:hAnsi="Noto Serif Light" w:cs="Noto Serif Light"/>
        </w:rPr>
      </w:pPr>
      <w:r w:rsidRPr="00CD05A8">
        <w:rPr>
          <w:rFonts w:ascii="Noto Serif Light" w:hAnsi="Noto Serif Light" w:cs="Noto Serif Light"/>
        </w:rPr>
        <w:t>Edquist, C., Vonortas, N. S., Zabala-Iturriagagoitia, J. M., &amp; Edler, J. (2015). Public Procurement for Innovation. Edward Elgar Publishing.</w:t>
      </w:r>
    </w:p>
    <w:p w14:paraId="5644F3CC" w14:textId="77777777" w:rsidR="00F34977" w:rsidRPr="00CD05A8" w:rsidRDefault="00F34977" w:rsidP="00F34977">
      <w:pPr>
        <w:pStyle w:val="AbstractBookBaseParagraph"/>
        <w:numPr>
          <w:ilvl w:val="0"/>
          <w:numId w:val="26"/>
        </w:numPr>
        <w:rPr>
          <w:rFonts w:ascii="Noto Serif Light" w:hAnsi="Noto Serif Light" w:cs="Noto Serif Light"/>
        </w:rPr>
      </w:pPr>
      <w:r w:rsidRPr="00CD05A8">
        <w:rPr>
          <w:rFonts w:ascii="Noto Serif Light" w:hAnsi="Noto Serif Light" w:cs="Noto Serif Light"/>
        </w:rPr>
        <w:t>Edquist, C., &amp; Zabala-Iturriagagoitia, J. M. (2012). Public Procurement for Innovation as mission-oriented innovation policy. Research Policy, 41(10), 1757-1769.</w:t>
      </w:r>
    </w:p>
    <w:p w14:paraId="2E49C010" w14:textId="77777777" w:rsidR="00F34977" w:rsidRPr="00CD05A8" w:rsidRDefault="00F34977" w:rsidP="00F34977">
      <w:pPr>
        <w:pStyle w:val="AbstractBookBaseParagraph"/>
        <w:numPr>
          <w:ilvl w:val="0"/>
          <w:numId w:val="26"/>
        </w:numPr>
        <w:rPr>
          <w:rFonts w:ascii="Noto Serif Light" w:hAnsi="Noto Serif Light" w:cs="Noto Serif Light"/>
        </w:rPr>
      </w:pPr>
      <w:r w:rsidRPr="00CD05A8">
        <w:rPr>
          <w:rFonts w:ascii="Noto Serif Light" w:hAnsi="Noto Serif Light" w:cs="Noto Serif Light"/>
        </w:rPr>
        <w:t>Ma, H., Ortega-Argilés, R., Lyons, M., &amp; Kratena, K. (2026). Regional R&amp;D spending, absorptive capacity and the regional innovation paradox. Spatial Economic Analysis, 1–21. https://doi.org/10.1080/17421772.2026.2635379</w:t>
      </w:r>
    </w:p>
    <w:p w14:paraId="5E59EF51" w14:textId="77777777" w:rsidR="00F34977" w:rsidRPr="00CD05A8" w:rsidRDefault="00F34977" w:rsidP="00F34977">
      <w:pPr>
        <w:pStyle w:val="AbstractBookBaseParagraph"/>
        <w:numPr>
          <w:ilvl w:val="0"/>
          <w:numId w:val="26"/>
        </w:numPr>
        <w:rPr>
          <w:rFonts w:ascii="Noto Serif Light" w:hAnsi="Noto Serif Light" w:cs="Noto Serif Light"/>
        </w:rPr>
      </w:pPr>
      <w:r w:rsidRPr="00CD05A8">
        <w:rPr>
          <w:rFonts w:ascii="Noto Serif Light" w:hAnsi="Noto Serif Light" w:cs="Noto Serif Light"/>
        </w:rPr>
        <w:t>McCann, P., &amp; Ortega-Argilés, R. (2022). Regional innovation, industrial policy and UK interregional challenges. Hacienda Publica Espanola, (243), 83-100.</w:t>
      </w:r>
    </w:p>
    <w:p w14:paraId="3B3ED789" w14:textId="77777777" w:rsidR="00F34977" w:rsidRPr="00CD05A8" w:rsidRDefault="00F34977" w:rsidP="00F34977">
      <w:pPr>
        <w:pStyle w:val="AbstractBookBaseParagraph"/>
        <w:numPr>
          <w:ilvl w:val="0"/>
          <w:numId w:val="26"/>
        </w:numPr>
        <w:rPr>
          <w:rFonts w:ascii="Noto Serif Light" w:hAnsi="Noto Serif Light" w:cs="Noto Serif Light"/>
        </w:rPr>
      </w:pPr>
      <w:r w:rsidRPr="00CD05A8">
        <w:rPr>
          <w:rFonts w:ascii="Noto Serif Light" w:hAnsi="Noto Serif Light" w:cs="Noto Serif Light"/>
        </w:rPr>
        <w:t>Mazzucato, M. (2018). Mission-oriented innovation policies: challenges and opportunities. Industrial and corporate change, 27(5), 803-815.</w:t>
      </w:r>
    </w:p>
    <w:p w14:paraId="74DF65D4" w14:textId="77777777" w:rsidR="00F34977" w:rsidRPr="00CD05A8" w:rsidRDefault="00F34977" w:rsidP="00F34977">
      <w:pPr>
        <w:pStyle w:val="AbstractBookBaseParagraph"/>
        <w:numPr>
          <w:ilvl w:val="0"/>
          <w:numId w:val="26"/>
        </w:numPr>
        <w:rPr>
          <w:rFonts w:ascii="Noto Serif Light" w:hAnsi="Noto Serif Light" w:cs="Noto Serif Light"/>
        </w:rPr>
      </w:pPr>
      <w:r w:rsidRPr="00CD05A8">
        <w:rPr>
          <w:rFonts w:ascii="Noto Serif Light" w:hAnsi="Noto Serif Light" w:cs="Noto Serif Light"/>
        </w:rPr>
        <w:t>Mazzucato, M. (2020). Mission-oriented public procurement: lessons from international examples. UCL Institute for Innovation and Public Purpose, Policy Report, (IIPP WP 2020-20). Available at: https://www.ucl.ac.uk/bartlett/public-purpose/wp2020-20</w:t>
      </w:r>
    </w:p>
    <w:p w14:paraId="395265A9" w14:textId="77777777" w:rsidR="00F34977" w:rsidRPr="00CD05A8" w:rsidRDefault="00F34977" w:rsidP="00F34977">
      <w:pPr>
        <w:pStyle w:val="AbstractBookBaseParagraph"/>
        <w:numPr>
          <w:ilvl w:val="0"/>
          <w:numId w:val="26"/>
        </w:numPr>
        <w:rPr>
          <w:rFonts w:ascii="Noto Serif Light" w:hAnsi="Noto Serif Light" w:cs="Noto Serif Light"/>
        </w:rPr>
      </w:pPr>
      <w:r w:rsidRPr="00CD05A8">
        <w:rPr>
          <w:rFonts w:ascii="Noto Serif Light" w:hAnsi="Noto Serif Light" w:cs="Noto Serif Light"/>
        </w:rPr>
        <w:lastRenderedPageBreak/>
        <w:t>Ortega-Argiles, R. and Yuan, P-Y. (2026) Do UK Research and Collaborations in R&amp;I Promote Economic Prosperity and Levelling Up? An analysis of UKRI funding between 2004-2021, Industrial and Corporate Change, https://doi.org/10.1093/icc/dtag007</w:t>
      </w:r>
    </w:p>
    <w:p w14:paraId="2912D0C0" w14:textId="77777777" w:rsidR="00F34977" w:rsidRPr="00CD05A8" w:rsidRDefault="00F34977" w:rsidP="00F34977">
      <w:pPr>
        <w:pStyle w:val="AbstractBookBaseParagraph"/>
        <w:numPr>
          <w:ilvl w:val="0"/>
          <w:numId w:val="26"/>
        </w:numPr>
        <w:rPr>
          <w:rFonts w:ascii="Noto Serif Light" w:hAnsi="Noto Serif Light" w:cs="Noto Serif Light"/>
        </w:rPr>
      </w:pPr>
      <w:r w:rsidRPr="00CD05A8">
        <w:rPr>
          <w:rFonts w:ascii="Noto Serif Light" w:hAnsi="Noto Serif Light" w:cs="Noto Serif Light"/>
        </w:rPr>
        <w:t xml:space="preserve">Ortega-Argiles, R., Yu, X., Yuan, P.-Y. and Roper, S. (2025) Industrial Strategy and Missions: An evaluation of the role of social sciences in the ISCF, IRC Innovation and Research Caucus Report, num 34, November 2025. Available at: IRC-Industrial-Strategy-and-Missions-Report-FINAL-Oct-2025.pdf </w:t>
      </w:r>
    </w:p>
    <w:p w14:paraId="51DF0CBF" w14:textId="77777777" w:rsidR="00F34977" w:rsidRPr="00CD05A8" w:rsidRDefault="00F34977" w:rsidP="00F34977">
      <w:pPr>
        <w:pStyle w:val="AbstractBookBaseParagraph"/>
        <w:numPr>
          <w:ilvl w:val="0"/>
          <w:numId w:val="26"/>
        </w:numPr>
        <w:rPr>
          <w:rFonts w:ascii="Noto Serif Light" w:hAnsi="Noto Serif Light" w:cs="Noto Serif Light"/>
        </w:rPr>
      </w:pPr>
      <w:r w:rsidRPr="00CD05A8">
        <w:rPr>
          <w:rFonts w:ascii="Noto Serif Light" w:hAnsi="Noto Serif Light" w:cs="Noto Serif Light"/>
        </w:rPr>
        <w:t>Uyarra, E., Zabala-Iturriagagoitia, J. M., Flanagan, K., &amp; Magro, E. (2020). Public procurement, innovation and industrial policy: Rationales, roles, capabilities and implementation. Research Policy, 49(1), 103844.</w:t>
      </w:r>
    </w:p>
    <w:p w14:paraId="74F8E1A9" w14:textId="77777777" w:rsidR="00F34977" w:rsidRPr="00CD05A8" w:rsidRDefault="00F34977" w:rsidP="00F34977">
      <w:pPr>
        <w:pStyle w:val="AbstractBookBaseParagraph"/>
        <w:numPr>
          <w:ilvl w:val="0"/>
          <w:numId w:val="26"/>
        </w:numPr>
        <w:rPr>
          <w:rFonts w:ascii="Noto Serif Light" w:hAnsi="Noto Serif Light" w:cs="Noto Serif Light"/>
        </w:rPr>
      </w:pPr>
      <w:r w:rsidRPr="00CD05A8">
        <w:rPr>
          <w:rFonts w:ascii="Noto Serif Light" w:hAnsi="Noto Serif Light" w:cs="Noto Serif Light"/>
        </w:rPr>
        <w:t>Uyarra, E., Coenen, L., Bugge, M., Flanagan, K. and Wanzenbock, I. (2025) Geographies of mission-oriented innovation policy. Environmental Innovation and Societal Transitions (in press.)</w:t>
      </w:r>
    </w:p>
    <w:p w14:paraId="0AF60E47" w14:textId="77777777" w:rsidR="00F34977" w:rsidRPr="00CD05A8" w:rsidRDefault="00F34977" w:rsidP="00F34977">
      <w:pPr>
        <w:pStyle w:val="AbstractBookBaseParagraph"/>
        <w:rPr>
          <w:rFonts w:ascii="Noto Serif Light" w:hAnsi="Noto Serif Light" w:cs="Noto Serif Light"/>
        </w:rPr>
      </w:pPr>
    </w:p>
    <w:p w14:paraId="1C8E7344"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br w:type="page"/>
      </w:r>
    </w:p>
    <w:p w14:paraId="17C5AFC3" w14:textId="77777777" w:rsidR="00F34977" w:rsidRDefault="00F34977" w:rsidP="00F34977">
      <w:pPr>
        <w:pStyle w:val="ABSubhead"/>
      </w:pPr>
      <w:r>
        <w:lastRenderedPageBreak/>
        <w:t xml:space="preserve">O69. </w:t>
      </w:r>
      <w:r w:rsidRPr="00CD05A8">
        <w:t>Public Procurement for Net Zero: Spatial, Functional, and Distributional Asymmetries</w:t>
      </w:r>
    </w:p>
    <w:p w14:paraId="15F48277" w14:textId="77777777" w:rsidR="00F34977" w:rsidRPr="003835DE" w:rsidRDefault="00F34977" w:rsidP="00F34977">
      <w:pPr>
        <w:pStyle w:val="ABParagraph"/>
      </w:pPr>
    </w:p>
    <w:p w14:paraId="603DD2AA" w14:textId="77777777" w:rsidR="00F34977" w:rsidRPr="00CD05A8" w:rsidRDefault="00F34977" w:rsidP="00F34977">
      <w:pPr>
        <w:pStyle w:val="AbstractBookAuthors"/>
        <w:rPr>
          <w:rFonts w:ascii="Noto Serif Light" w:hAnsi="Noto Serif Light" w:cs="Noto Serif Light"/>
        </w:rPr>
      </w:pPr>
      <w:r w:rsidRPr="00CD05A8">
        <w:rPr>
          <w:rStyle w:val="AbstractBookPresentingAuthor"/>
          <w:rFonts w:ascii="Noto Serif Light" w:hAnsi="Noto Serif Light" w:cs="Noto Serif Light"/>
        </w:rPr>
        <w:t>Dr Annum Rafique</w:t>
      </w:r>
      <w:r w:rsidRPr="00CD05A8">
        <w:rPr>
          <w:rFonts w:ascii="Noto Serif Light" w:hAnsi="Noto Serif Light" w:cs="Noto Serif Light"/>
          <w:vertAlign w:val="superscript"/>
        </w:rPr>
        <w:t>1</w:t>
      </w:r>
    </w:p>
    <w:p w14:paraId="3EC7AFE1" w14:textId="77777777" w:rsidR="00F34977" w:rsidRDefault="00F34977" w:rsidP="00F34977">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City-REDI</w:t>
      </w:r>
      <w:r>
        <w:rPr>
          <w:rStyle w:val="AbstractBookBaseCharacterStyle"/>
          <w:rFonts w:ascii="Noto Serif Light" w:hAnsi="Noto Serif Light" w:cs="Noto Serif Light"/>
        </w:rPr>
        <w:t>,</w:t>
      </w:r>
      <w:r w:rsidRPr="00CD05A8">
        <w:rPr>
          <w:rStyle w:val="AbstractBookBaseCharacterStyle"/>
          <w:rFonts w:ascii="Noto Serif Light" w:hAnsi="Noto Serif Light" w:cs="Noto Serif Light"/>
        </w:rPr>
        <w:t xml:space="preserve"> University </w:t>
      </w:r>
      <w:r>
        <w:rPr>
          <w:rStyle w:val="AbstractBookBaseCharacterStyle"/>
          <w:rFonts w:ascii="Noto Serif Light" w:hAnsi="Noto Serif Light" w:cs="Noto Serif Light"/>
        </w:rPr>
        <w:t>o</w:t>
      </w:r>
      <w:r w:rsidRPr="00CD05A8">
        <w:rPr>
          <w:rStyle w:val="AbstractBookBaseCharacterStyle"/>
          <w:rFonts w:ascii="Noto Serif Light" w:hAnsi="Noto Serif Light" w:cs="Noto Serif Light"/>
        </w:rPr>
        <w:t>f Birmingham, Birmingham, United Kingdom</w:t>
      </w:r>
    </w:p>
    <w:p w14:paraId="0DB328B4" w14:textId="77777777" w:rsidR="00F34977" w:rsidRDefault="00F34977" w:rsidP="00F34977">
      <w:pPr>
        <w:pStyle w:val="AbstractBookBaseParagraph"/>
        <w:rPr>
          <w:rStyle w:val="AbstractBookBaseCharacterStyle"/>
          <w:rFonts w:ascii="Noto Serif Light" w:hAnsi="Noto Serif Light" w:cs="Noto Serif Light"/>
        </w:rPr>
      </w:pPr>
    </w:p>
    <w:p w14:paraId="2D2D2C53" w14:textId="77777777" w:rsidR="00F34977" w:rsidRPr="003835DE" w:rsidRDefault="00F34977" w:rsidP="00F34977">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390A4910"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Public procurement accounts for nearly 15% of the United Kingdom’s GDP, positioning it as one of the most significant policy levers available to government for advancing Net Zero targets, stimulating innovation, and promoting regional economic development. Increasingly, procurement is expected to deliver not only value for money, but also wider environmental and social outcomes, including decarbonisation, local economic resilience, and inclusive growth. Despite these ambitions, there remains limited contract-level empirical evidence on the extent to which procurement in England explicitly supports Net Zero objectives, how such spending is distributed across firms and regions, and whether it contributes to local economic retention. Existing discussions on sustainable procurement have largely remained conceptual or policy-oriented, with comparatively little large-scale quantitative analysis examining procurement outcomes in practice.</w:t>
      </w:r>
    </w:p>
    <w:p w14:paraId="5AA1CDA4" w14:textId="77777777" w:rsidR="00F34977" w:rsidRPr="00CD05A8" w:rsidRDefault="00F34977" w:rsidP="00F34977">
      <w:pPr>
        <w:pStyle w:val="AbstractBookBaseParagraph"/>
        <w:rPr>
          <w:rFonts w:ascii="Noto Serif Light" w:hAnsi="Noto Serif Light" w:cs="Noto Serif Light"/>
        </w:rPr>
      </w:pPr>
    </w:p>
    <w:p w14:paraId="0C5AFCD3"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This research addresses these gaps through one of the first national-scale analyses of Net Zero-oriented procurement in England. Drawing on a dataset of 219,817 public-sector contracts awarded between 2015 and 2024, with a combined value of approximately £295 billion, the study examines the scale, distribution, and economic geography of sustainability-focused procurement. A refined keyword-based classification methodology with 99% precision was developed to identify contracts explicitly targeting Net Zero-related objectives, including low-carbon infrastructure, renewable energy, retrofit, energy efficiency, and wider environmental sustainability outcomes.</w:t>
      </w:r>
    </w:p>
    <w:p w14:paraId="19A1E1E1" w14:textId="77777777" w:rsidR="00F34977" w:rsidRPr="00CD05A8" w:rsidRDefault="00F34977" w:rsidP="00F34977">
      <w:pPr>
        <w:pStyle w:val="AbstractBookBaseParagraph"/>
        <w:rPr>
          <w:rFonts w:ascii="Noto Serif Light" w:hAnsi="Noto Serif Light" w:cs="Noto Serif Light"/>
        </w:rPr>
      </w:pPr>
    </w:p>
    <w:p w14:paraId="72632331"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findings reveal that Net Zero procurement remains limited within mainstream public procurement activity. Only 3.38% of all analysed contracts explicitly targeted Net Zero outcomes, representing 6.45% of total procurement expenditure. While the value share is proportionally larger than the contract share, suggesting that many sustainability-focused contracts are relatively high value, the overall proportion remains low given the scale of UK climate commitments. The research also identifies significant inequalities in supplier participation. Small and medium enterprises (SMEs) secured almost half of all contracts by number, demonstrating strong participation in procurement markets overall. However, SMEs captured less than 20% of total procurement value and only 19.95% of Net Zero-related procurement spend, indicating that larger firms continue to dominate higher-value sustainability contracts.</w:t>
      </w:r>
    </w:p>
    <w:p w14:paraId="604A0051" w14:textId="77777777" w:rsidR="00F34977" w:rsidRPr="00CD05A8" w:rsidRDefault="00F34977" w:rsidP="00F34977">
      <w:pPr>
        <w:pStyle w:val="AbstractBookBaseParagraph"/>
        <w:rPr>
          <w:rFonts w:ascii="Noto Serif Light" w:hAnsi="Noto Serif Light" w:cs="Noto Serif Light"/>
        </w:rPr>
      </w:pPr>
    </w:p>
    <w:p w14:paraId="11FB0476"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Substantial regional disparities are also evident. Place-based procurement retention rates ranged from 17.9% in the South West to 37.1% in Yorkshire, highlighting considerable economic leakage from local economies, particularly in regions with weaker procurement ecosystems and supply chain capacity. The findings reveal three interconnected asymmetries shaping the procurement landscape. First, spatial centralisation continues to concentrate procurement value in stronger economic </w:t>
      </w:r>
      <w:r w:rsidRPr="00CD05A8">
        <w:rPr>
          <w:rFonts w:ascii="Noto Serif Light" w:hAnsi="Noto Serif Light" w:cs="Noto Serif Light"/>
        </w:rPr>
        <w:lastRenderedPageBreak/>
        <w:t>regions such as London and the West Midlands. Second, functional imbalances persist, with investment heavily focused on delivery and implementation rather than long-term capacity building and supply chain development. Third, distributional inequities limit the participation of SMEs and local suppliers in higher-value procurement opportunities.</w:t>
      </w:r>
    </w:p>
    <w:p w14:paraId="65E6DEF5" w14:textId="77777777" w:rsidR="00F34977" w:rsidRPr="00CD05A8" w:rsidRDefault="00F34977" w:rsidP="00F34977">
      <w:pPr>
        <w:pStyle w:val="AbstractBookBaseParagraph"/>
        <w:rPr>
          <w:rFonts w:ascii="Noto Serif Light" w:hAnsi="Noto Serif Light" w:cs="Noto Serif Light"/>
        </w:rPr>
      </w:pPr>
    </w:p>
    <w:p w14:paraId="650450C4"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research demonstrates that procurement should be understood not only as a technical mechanism for acquiring goods and services, but also as a strategic policy instrument capable of shaping markets, influencing industrial development, and supporting regional resilience. The findings suggest that without targeted reforms, procurement systems risk reinforcing existing regional inequalities, economic leakage, and supply chain vulnerabilities. To address these challenges, the research recommends stronger integration of mandatory Green Public Procurement criteria, harmonised sustainability standards, increased investment in procurement and supplier capacity building, and place-sensitive procurement designs aimed at strengthening local economic retention and widening SME participation. By providing robust contract-level evidence, this research contributes to ongoing debates on sustainable procurement and offers a national empirical baseline for understanding the role of procurement in delivering the UK’s Net Zero transition.</w:t>
      </w:r>
    </w:p>
    <w:p w14:paraId="719B6164" w14:textId="77777777" w:rsidR="00F34977" w:rsidRPr="00CD05A8" w:rsidRDefault="00F34977" w:rsidP="00F34977">
      <w:pPr>
        <w:pStyle w:val="AbstractBookBaseParagraph"/>
        <w:rPr>
          <w:rFonts w:ascii="Noto Serif Light" w:hAnsi="Noto Serif Light" w:cs="Noto Serif Light"/>
        </w:rPr>
      </w:pPr>
    </w:p>
    <w:p w14:paraId="70F432A2"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br w:type="page"/>
      </w:r>
    </w:p>
    <w:p w14:paraId="441C02A2" w14:textId="77777777" w:rsidR="00F34977" w:rsidRDefault="00F34977" w:rsidP="00F34977">
      <w:pPr>
        <w:pStyle w:val="ABSubhead"/>
      </w:pPr>
      <w:r>
        <w:lastRenderedPageBreak/>
        <w:t xml:space="preserve">O70. </w:t>
      </w:r>
      <w:r w:rsidRPr="00CD05A8">
        <w:t>A Buyer Capabilities Framework: What Skills and Knowledge Do Buyers Need for Effective PPI Implementation?</w:t>
      </w:r>
    </w:p>
    <w:p w14:paraId="019DEAA8" w14:textId="77777777" w:rsidR="00F34977" w:rsidRPr="00DB4548" w:rsidRDefault="00F34977" w:rsidP="00F34977">
      <w:pPr>
        <w:pStyle w:val="ABParagraph"/>
      </w:pPr>
    </w:p>
    <w:p w14:paraId="223FCE6E" w14:textId="77777777" w:rsidR="00F34977" w:rsidRPr="00CD05A8" w:rsidRDefault="00F34977" w:rsidP="00F34977">
      <w:pPr>
        <w:pStyle w:val="AbstractBookAuthors"/>
        <w:rPr>
          <w:rFonts w:ascii="Noto Serif Light" w:hAnsi="Noto Serif Light" w:cs="Noto Serif Light"/>
        </w:rPr>
      </w:pPr>
      <w:r w:rsidRPr="00CD05A8">
        <w:rPr>
          <w:rStyle w:val="AbstractBookPresentingAuthor"/>
          <w:rFonts w:ascii="Noto Serif Light" w:hAnsi="Noto Serif Light" w:cs="Noto Serif Light"/>
        </w:rPr>
        <w:t>Professor Joe Sanderson</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Chris Lonsdale</w:t>
      </w:r>
      <w:r w:rsidRPr="00CD05A8">
        <w:rPr>
          <w:rFonts w:ascii="Noto Serif Light" w:hAnsi="Noto Serif Light" w:cs="Noto Serif Light"/>
          <w:vertAlign w:val="superscript"/>
        </w:rPr>
        <w:t>1</w:t>
      </w:r>
    </w:p>
    <w:p w14:paraId="04DF0990" w14:textId="77777777" w:rsidR="00F34977" w:rsidRDefault="00F34977" w:rsidP="00F34977">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University </w:t>
      </w:r>
      <w:r>
        <w:rPr>
          <w:rStyle w:val="AbstractBookBaseCharacterStyle"/>
          <w:rFonts w:ascii="Noto Serif Light" w:hAnsi="Noto Serif Light" w:cs="Noto Serif Light"/>
        </w:rPr>
        <w:t>o</w:t>
      </w:r>
      <w:r w:rsidRPr="00CD05A8">
        <w:rPr>
          <w:rStyle w:val="AbstractBookBaseCharacterStyle"/>
          <w:rFonts w:ascii="Noto Serif Light" w:hAnsi="Noto Serif Light" w:cs="Noto Serif Light"/>
        </w:rPr>
        <w:t>f Birmingham, Birmingham, United Kingdom</w:t>
      </w:r>
    </w:p>
    <w:p w14:paraId="7B7E8FBF" w14:textId="77777777" w:rsidR="00F34977" w:rsidRDefault="00F34977" w:rsidP="00F34977">
      <w:pPr>
        <w:pStyle w:val="AbstractBookBaseParagraph"/>
        <w:rPr>
          <w:rStyle w:val="AbstractBookBaseCharacterStyle"/>
          <w:rFonts w:ascii="Noto Serif Light" w:hAnsi="Noto Serif Light" w:cs="Noto Serif Light"/>
        </w:rPr>
      </w:pPr>
    </w:p>
    <w:p w14:paraId="415D7DF2" w14:textId="77777777" w:rsidR="00F34977" w:rsidRPr="00DB4548" w:rsidRDefault="00F34977" w:rsidP="00F34977">
      <w:pPr>
        <w:pStyle w:val="AbstractBookBaseParagraph"/>
        <w:rPr>
          <w:rFonts w:ascii="Noto Serif Light" w:hAnsi="Noto Serif Light" w:cs="Noto Serif Light"/>
          <w:b/>
          <w:bCs/>
        </w:rPr>
      </w:pPr>
      <w:r>
        <w:rPr>
          <w:rStyle w:val="AbstractBookBaseCharacterStyle"/>
          <w:rFonts w:ascii="Noto Serif Light" w:hAnsi="Noto Serif Light" w:cs="Noto Serif Light"/>
          <w:b/>
          <w:bCs/>
        </w:rPr>
        <w:t>Abstract:</w:t>
      </w:r>
    </w:p>
    <w:p w14:paraId="3AB59032"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Public procurement is widely acknowledged as an important ‘new industrial policy’ tool to incentivise innovation (Chiappinelli, Giuffrida and Spagnolo, 2025). Government bodies are often large-scale buyers in key industrial sectors (e.g. healthcare, transport, energy, IT, defence) and can use their procurement policies and decisions to drive innovation and support new market entrants. By demanding innovative products and services to meet public needs and by acting as early users of innovation, government buyers can both incentivise R&amp;D investments and share the risks associated with developing new technologies (Iossa, Biagi and Valbonesi, 2018). Moreover, by working with government buyers to develop innovative products and services, suppliers may be able to learn important lessons that help them to refine their offer in advance of wider commercialization. </w:t>
      </w:r>
    </w:p>
    <w:p w14:paraId="62699B7D" w14:textId="77777777" w:rsidR="00F34977" w:rsidRPr="00CD05A8" w:rsidRDefault="00F34977" w:rsidP="00F34977">
      <w:pPr>
        <w:pStyle w:val="AbstractBookBaseParagraph"/>
        <w:rPr>
          <w:rFonts w:ascii="Noto Serif Light" w:hAnsi="Noto Serif Light" w:cs="Noto Serif Light"/>
        </w:rPr>
      </w:pPr>
    </w:p>
    <w:p w14:paraId="087EF5A3"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While the potential of public procurement of innovation (PPI) to incentivise R&amp;D investments has long been recognised by scholars (Edquist and Hommen, 2000) and is now acknowledged by policymakers (see, for example, Draghi, 2024), it has been observed that there are still important gaps in our knowledge of PPI’s performance as an innovation driver and of how its effectiveness might be improved (Chiappinelli, Giuffrida and Spagnolo, 2025). There is an emerging empirical literature which suggests that public sector buyer capabilities are a key factor influencing PPI performance (Bruce, de Figueiredo and Silverman, 2019; Decarolis et al., 2021). Based on these studies, we suggest therefore that attention to developing and sustaining buyer capabilities is crucial to improving PPI effectiveness. </w:t>
      </w:r>
    </w:p>
    <w:p w14:paraId="09A21EEC" w14:textId="77777777" w:rsidR="00F34977" w:rsidRPr="00CD05A8" w:rsidRDefault="00F34977" w:rsidP="00F34977">
      <w:pPr>
        <w:pStyle w:val="AbstractBookBaseParagraph"/>
        <w:rPr>
          <w:rFonts w:ascii="Noto Serif Light" w:hAnsi="Noto Serif Light" w:cs="Noto Serif Light"/>
        </w:rPr>
      </w:pPr>
    </w:p>
    <w:p w14:paraId="2B88F9C2"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In this paper, we propose a basis on which public sector buyer capabilities might be developed by identifying the skills and knowledge needed to tackle innovation procurement. These are presented in a two-stage capabilities framework, which recognises the specific constraints of a regulated public sector context but also draws on insights and lessons from good procurement practice in the private sector. The framework is presented in a generic way on the basis that it advances procurement principles that can be applied in the full range of public sector organisations and to innovation procurement across different policy areas.</w:t>
      </w:r>
    </w:p>
    <w:p w14:paraId="40E25FE4" w14:textId="77777777" w:rsidR="00F34977" w:rsidRPr="00CD05A8" w:rsidRDefault="00F34977" w:rsidP="00F34977">
      <w:pPr>
        <w:pStyle w:val="AbstractBookBaseParagraph"/>
        <w:rPr>
          <w:rFonts w:ascii="Noto Serif Light" w:hAnsi="Noto Serif Light" w:cs="Noto Serif Light"/>
        </w:rPr>
      </w:pPr>
    </w:p>
    <w:p w14:paraId="4785948E"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Stage 1 is based on the dictum that the public sector buyer should ‘get its own house in order’ before engaging with suppliers/providers. Developing clearly articulated and agreed commissioning and procurement objectives and understanding how those objectives might be viewed by suppliers are crucial to the commercial attractiveness of the buying organisation’s innovation requirement and the willingness of suppliers to fulfil that requirement and deliver value for money. Conversely, poorly articulated and contested procurement objectives are likely to signal to suppliers that the buying organisation will be difficult to work with. There are five buyer capabilities in this stage: 1) identifying policy drivers of the innovation need, 2) defining the innovation need, 3) </w:t>
      </w:r>
      <w:r w:rsidRPr="00CD05A8">
        <w:rPr>
          <w:rFonts w:ascii="Noto Serif Light" w:hAnsi="Noto Serif Light" w:cs="Noto Serif Light"/>
        </w:rPr>
        <w:lastRenderedPageBreak/>
        <w:t>building internal stakeholder support for the strategy, 4) identifying drivers of supplier innovation, and 5) identifying the appropriate buyer role in the R&amp;D and commercialisation phases of innovation.</w:t>
      </w:r>
    </w:p>
    <w:p w14:paraId="6AA0E68C" w14:textId="77777777" w:rsidR="00F34977" w:rsidRPr="00CD05A8" w:rsidRDefault="00F34977" w:rsidP="00F34977">
      <w:pPr>
        <w:pStyle w:val="AbstractBookBaseParagraph"/>
        <w:rPr>
          <w:rFonts w:ascii="Noto Serif Light" w:hAnsi="Noto Serif Light" w:cs="Noto Serif Light"/>
        </w:rPr>
      </w:pPr>
    </w:p>
    <w:p w14:paraId="39B97655"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Having developed an agreed commissioning and procurement strategy in Stage 1 of the framework, in Stage 2 we turn to the buyer capabilities needed to implement the strategy. There are four capabilities in this stage: 1) designing an output-based specification of requirements, 2) supplier selection based on an appropriate trade-off between supplier capabilities and congruence with buyer needs and objectives, 3) designing a self-enforcing agreement with the supplier, and 4) in-contract governance of relationships with internal stakeholders and with the supplier.</w:t>
      </w:r>
    </w:p>
    <w:p w14:paraId="1AFD5CD2" w14:textId="77777777" w:rsidR="00F34977" w:rsidRPr="00CD05A8" w:rsidRDefault="00F34977" w:rsidP="00F34977">
      <w:pPr>
        <w:pStyle w:val="AbstractBookBaseParagraph"/>
        <w:rPr>
          <w:rFonts w:ascii="Noto Serif Light" w:hAnsi="Noto Serif Light" w:cs="Noto Serif Light"/>
        </w:rPr>
      </w:pPr>
    </w:p>
    <w:p w14:paraId="04DE91C6"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Acknowledgement: The buyer capabilities framework discussed in this paper was developed under the auspices of and with the financial support of CPC/IPEC </w:t>
      </w:r>
    </w:p>
    <w:p w14:paraId="698B1638" w14:textId="77777777" w:rsidR="00F34977" w:rsidRPr="00CD05A8" w:rsidRDefault="00F34977" w:rsidP="00F34977">
      <w:pPr>
        <w:pStyle w:val="AbstractBookBaseParagraph"/>
        <w:rPr>
          <w:rFonts w:ascii="Noto Serif Light" w:hAnsi="Noto Serif Light" w:cs="Noto Serif Light"/>
        </w:rPr>
      </w:pPr>
    </w:p>
    <w:p w14:paraId="17E05284" w14:textId="77777777" w:rsidR="00F34977" w:rsidRPr="003835DE" w:rsidRDefault="00F34977" w:rsidP="00F34977">
      <w:pPr>
        <w:pStyle w:val="AbstractBookBaseParagraph"/>
        <w:rPr>
          <w:rFonts w:ascii="Noto Serif Light" w:hAnsi="Noto Serif Light" w:cs="Noto Serif Light"/>
          <w:b/>
          <w:bCs/>
        </w:rPr>
      </w:pPr>
      <w:r w:rsidRPr="003835DE">
        <w:rPr>
          <w:rFonts w:ascii="Noto Serif Light" w:hAnsi="Noto Serif Light" w:cs="Noto Serif Light"/>
          <w:b/>
          <w:bCs/>
        </w:rPr>
        <w:t>References</w:t>
      </w:r>
    </w:p>
    <w:p w14:paraId="13CA4236" w14:textId="77777777" w:rsidR="00F34977" w:rsidRPr="003835DE" w:rsidRDefault="00F34977" w:rsidP="00F34977">
      <w:pPr>
        <w:pStyle w:val="AbstractBookBaseParagraph"/>
        <w:numPr>
          <w:ilvl w:val="0"/>
          <w:numId w:val="22"/>
        </w:numPr>
        <w:rPr>
          <w:rFonts w:ascii="Noto Serif Light" w:hAnsi="Noto Serif Light" w:cs="Noto Serif Light"/>
        </w:rPr>
      </w:pPr>
      <w:r w:rsidRPr="00CD05A8">
        <w:rPr>
          <w:rFonts w:ascii="Noto Serif Light" w:hAnsi="Noto Serif Light" w:cs="Noto Serif Light"/>
        </w:rPr>
        <w:t xml:space="preserve">Bruce, J.R., de Figueiredo, J.M. and Silverman, B.S. (2019), ‘Public contracting for private innovation: government capabilities, decision rights, and performance outcomes’, Strategic Management Journal, Vol. 40 No. 4, pp. 533-555 </w:t>
      </w:r>
    </w:p>
    <w:p w14:paraId="515AC431" w14:textId="77777777" w:rsidR="00F34977" w:rsidRPr="003835DE" w:rsidRDefault="00F34977" w:rsidP="00F34977">
      <w:pPr>
        <w:pStyle w:val="AbstractBookBaseParagraph"/>
        <w:numPr>
          <w:ilvl w:val="0"/>
          <w:numId w:val="22"/>
        </w:numPr>
        <w:rPr>
          <w:rFonts w:ascii="Noto Serif Light" w:hAnsi="Noto Serif Light" w:cs="Noto Serif Light"/>
        </w:rPr>
      </w:pPr>
      <w:r w:rsidRPr="00CD05A8">
        <w:rPr>
          <w:rFonts w:ascii="Noto Serif Light" w:hAnsi="Noto Serif Light" w:cs="Noto Serif Light"/>
        </w:rPr>
        <w:t>Chiappinelli, O., Giuffrida, L.M. and Spagnolo, G. (2025), ‘Public procurement as an innovation policy: where do we stand?’, International Journal of Industrial Organization, Vol. 100, online 5. March, https://doi.org/10.1016/ijindorg.2025.103157</w:t>
      </w:r>
    </w:p>
    <w:p w14:paraId="22257CF2" w14:textId="77777777" w:rsidR="00F34977" w:rsidRPr="003835DE" w:rsidRDefault="00F34977" w:rsidP="00F34977">
      <w:pPr>
        <w:pStyle w:val="AbstractBookBaseParagraph"/>
        <w:numPr>
          <w:ilvl w:val="0"/>
          <w:numId w:val="22"/>
        </w:numPr>
        <w:rPr>
          <w:rFonts w:ascii="Noto Serif Light" w:hAnsi="Noto Serif Light" w:cs="Noto Serif Light"/>
        </w:rPr>
      </w:pPr>
      <w:r w:rsidRPr="00CD05A8">
        <w:rPr>
          <w:rFonts w:ascii="Noto Serif Light" w:hAnsi="Noto Serif Light" w:cs="Noto Serif Light"/>
        </w:rPr>
        <w:t>Decarolis, F., de Rassenfosse, G., Giuffrida, L.M., Iossa, E., Mollisi, V., Raiteri, E. and Spagnolo, G. (2021), ‘Buyers’ role in innovation procurement: evidence from US military R&amp;D contracts’, Journal of Economics and Management Strategy, Vol. 30 No. 4, pp. 697-720</w:t>
      </w:r>
    </w:p>
    <w:p w14:paraId="13370E08" w14:textId="77777777" w:rsidR="00F34977" w:rsidRPr="003835DE" w:rsidRDefault="00F34977" w:rsidP="00F34977">
      <w:pPr>
        <w:pStyle w:val="AbstractBookBaseParagraph"/>
        <w:numPr>
          <w:ilvl w:val="0"/>
          <w:numId w:val="22"/>
        </w:numPr>
        <w:rPr>
          <w:rFonts w:ascii="Noto Serif Light" w:hAnsi="Noto Serif Light" w:cs="Noto Serif Light"/>
        </w:rPr>
      </w:pPr>
      <w:r w:rsidRPr="00CD05A8">
        <w:rPr>
          <w:rFonts w:ascii="Noto Serif Light" w:hAnsi="Noto Serif Light" w:cs="Noto Serif Light"/>
        </w:rPr>
        <w:t>Draghi, M. (2024), The Future of European Competitiveness, Technical Report</w:t>
      </w:r>
    </w:p>
    <w:p w14:paraId="422212A3" w14:textId="77777777" w:rsidR="00F34977" w:rsidRPr="00CD05A8" w:rsidRDefault="00F34977" w:rsidP="00F34977">
      <w:pPr>
        <w:pStyle w:val="AbstractBookBaseParagraph"/>
        <w:numPr>
          <w:ilvl w:val="0"/>
          <w:numId w:val="22"/>
        </w:numPr>
        <w:rPr>
          <w:rFonts w:ascii="Noto Serif Light" w:hAnsi="Noto Serif Light" w:cs="Noto Serif Light"/>
        </w:rPr>
      </w:pPr>
      <w:r w:rsidRPr="00CD05A8">
        <w:rPr>
          <w:rFonts w:ascii="Noto Serif Light" w:hAnsi="Noto Serif Light" w:cs="Noto Serif Light"/>
        </w:rPr>
        <w:t>Edquist, C. and Hommen, L. (2000), ‘Public technology procurement and innovation theory’, in Public Technology Procurement and Innovation, Springer</w:t>
      </w:r>
    </w:p>
    <w:p w14:paraId="3031C6DD" w14:textId="77777777" w:rsidR="00F34977" w:rsidRPr="00CD05A8" w:rsidRDefault="00F34977" w:rsidP="00F34977">
      <w:pPr>
        <w:pStyle w:val="AbstractBookBaseParagraph"/>
        <w:rPr>
          <w:rFonts w:ascii="Noto Serif Light" w:hAnsi="Noto Serif Light" w:cs="Noto Serif Light"/>
        </w:rPr>
      </w:pPr>
    </w:p>
    <w:p w14:paraId="00A6E95A" w14:textId="77777777" w:rsidR="00F34977" w:rsidRPr="00CD05A8" w:rsidRDefault="00F34977" w:rsidP="00F34977">
      <w:pPr>
        <w:pStyle w:val="AbstractBookBaseParagraph"/>
        <w:numPr>
          <w:ilvl w:val="0"/>
          <w:numId w:val="22"/>
        </w:numPr>
        <w:rPr>
          <w:rFonts w:ascii="Noto Serif Light" w:hAnsi="Noto Serif Light" w:cs="Noto Serif Light"/>
        </w:rPr>
      </w:pPr>
      <w:r w:rsidRPr="00CD05A8">
        <w:rPr>
          <w:rFonts w:ascii="Noto Serif Light" w:hAnsi="Noto Serif Light" w:cs="Noto Serif Light"/>
        </w:rPr>
        <w:t>Iossa, E., Biagi, F. and Valbonesi, P. (2018), ‘Pre-commercial procurement, procurement of innovative solutions and innovation partnerships in the EU: rationale and strategy’, Economics of Innovation and New Technology, Vol. 27 No. 8, pp. 730-749</w:t>
      </w:r>
    </w:p>
    <w:p w14:paraId="2A661A6C" w14:textId="77777777" w:rsidR="005C77CD" w:rsidRDefault="005C77CD">
      <w:pPr>
        <w:rPr>
          <w:rFonts w:ascii="Noto Serif Light" w:eastAsia="Calibri (Body)" w:hAnsi="Noto Serif Light" w:cs="Noto Serif Light"/>
          <w:kern w:val="0"/>
          <w:lang w:val="en-US" w:eastAsia="uk-UA"/>
          <w14:ligatures w14:val="none"/>
        </w:rPr>
      </w:pPr>
      <w:r>
        <w:rPr>
          <w:rFonts w:ascii="Noto Serif Light" w:hAnsi="Noto Serif Light" w:cs="Noto Serif Light"/>
        </w:rPr>
        <w:br w:type="page"/>
      </w:r>
    </w:p>
    <w:p w14:paraId="7F1E9959" w14:textId="279F6F69" w:rsidR="005C77CD" w:rsidRDefault="005C77CD" w:rsidP="005C77CD">
      <w:pPr>
        <w:pStyle w:val="ABSubhead"/>
      </w:pPr>
      <w:r>
        <w:lastRenderedPageBreak/>
        <w:t>O71. Scaling Through Public Demand: Public Procurement, Venture Capital and High-Growth Firms</w:t>
      </w:r>
    </w:p>
    <w:p w14:paraId="53EDD4D5" w14:textId="77777777" w:rsidR="005C77CD" w:rsidRPr="00AB325A" w:rsidRDefault="005C77CD" w:rsidP="005C77CD">
      <w:pPr>
        <w:pStyle w:val="ABParagraph"/>
      </w:pPr>
    </w:p>
    <w:p w14:paraId="660ABFA0" w14:textId="4314EA60" w:rsidR="005C77CD" w:rsidRPr="005C77CD" w:rsidRDefault="005C77CD" w:rsidP="005C77CD">
      <w:pPr>
        <w:pStyle w:val="AbstractBookAuthors"/>
        <w:rPr>
          <w:rFonts w:ascii="Noto Serif Light" w:hAnsi="Noto Serif Light" w:cs="Noto Serif Light"/>
          <w:bCs/>
          <w:vertAlign w:val="superscript"/>
        </w:rPr>
      </w:pPr>
      <w:r>
        <w:rPr>
          <w:rStyle w:val="AbstractBookPresentingAuthor"/>
          <w:rFonts w:ascii="Noto Serif Light" w:hAnsi="Noto Serif Light" w:cs="Noto Serif Light"/>
        </w:rPr>
        <w:t>Huanjia Ma</w:t>
      </w:r>
      <w:r>
        <w:rPr>
          <w:rStyle w:val="AbstractBookPresentingAuthor"/>
          <w:rFonts w:ascii="Noto Serif Light" w:hAnsi="Noto Serif Light" w:cs="Noto Serif Light"/>
          <w:b w:val="0"/>
          <w:bCs/>
          <w:u w:val="none"/>
          <w:vertAlign w:val="superscript"/>
        </w:rPr>
        <w:t>1</w:t>
      </w:r>
      <w:r>
        <w:rPr>
          <w:rStyle w:val="AbstractBookPresentingAuthor"/>
          <w:rFonts w:ascii="Noto Serif Light" w:hAnsi="Noto Serif Light" w:cs="Noto Serif Light"/>
          <w:b w:val="0"/>
          <w:bCs/>
          <w:u w:val="none"/>
        </w:rPr>
        <w:t>, Xin Deng</w:t>
      </w:r>
      <w:r>
        <w:rPr>
          <w:rStyle w:val="AbstractBookPresentingAuthor"/>
          <w:rFonts w:ascii="Noto Serif Light" w:hAnsi="Noto Serif Light" w:cs="Noto Serif Light"/>
          <w:b w:val="0"/>
          <w:bCs/>
          <w:u w:val="none"/>
          <w:vertAlign w:val="superscript"/>
        </w:rPr>
        <w:t>2</w:t>
      </w:r>
    </w:p>
    <w:p w14:paraId="45664B92" w14:textId="3B78197F" w:rsidR="005C77CD" w:rsidRDefault="005C77CD" w:rsidP="005C77CD">
      <w:pPr>
        <w:pStyle w:val="AbstractBookBaseParagraph"/>
        <w:rPr>
          <w:rFonts w:ascii="Noto Serif Light" w:hAnsi="Noto Serif Light" w:cs="Noto Serif Light"/>
        </w:rPr>
      </w:pPr>
      <w:r>
        <w:rPr>
          <w:rFonts w:ascii="Noto Serif Light" w:hAnsi="Noto Serif Light" w:cs="Noto Serif Light"/>
          <w:vertAlign w:val="superscript"/>
        </w:rPr>
        <w:t>1</w:t>
      </w:r>
      <w:r>
        <w:rPr>
          <w:rFonts w:ascii="Noto Serif Light" w:hAnsi="Noto Serif Light" w:cs="Noto Serif Light"/>
        </w:rPr>
        <w:t xml:space="preserve">City-REDI, </w:t>
      </w:r>
      <w:r w:rsidR="00F767EE">
        <w:rPr>
          <w:rFonts w:ascii="Noto Serif Light" w:hAnsi="Noto Serif Light" w:cs="Noto Serif Light"/>
        </w:rPr>
        <w:t xml:space="preserve">University of Birmingham, </w:t>
      </w:r>
      <w:r>
        <w:rPr>
          <w:rFonts w:ascii="Noto Serif Light" w:hAnsi="Noto Serif Light" w:cs="Noto Serif Light"/>
        </w:rPr>
        <w:t xml:space="preserve">Birmingham, United Kingdom, </w:t>
      </w:r>
      <w:r>
        <w:rPr>
          <w:rFonts w:ascii="Noto Serif Light" w:hAnsi="Noto Serif Light" w:cs="Noto Serif Light"/>
          <w:vertAlign w:val="superscript"/>
        </w:rPr>
        <w:t>2</w:t>
      </w:r>
      <w:r>
        <w:rPr>
          <w:rFonts w:ascii="Noto Serif Light" w:hAnsi="Noto Serif Light" w:cs="Noto Serif Light"/>
        </w:rPr>
        <w:t>The University of Manchester, Manchester, United Kingdom</w:t>
      </w:r>
    </w:p>
    <w:p w14:paraId="7EC7D250" w14:textId="77777777" w:rsidR="005C77CD" w:rsidRDefault="005C77CD" w:rsidP="005C77CD">
      <w:pPr>
        <w:pStyle w:val="AbstractBookBaseParagraph"/>
        <w:rPr>
          <w:rFonts w:ascii="Noto Serif Light" w:hAnsi="Noto Serif Light" w:cs="Noto Serif Light"/>
        </w:rPr>
      </w:pPr>
    </w:p>
    <w:p w14:paraId="3387C25A" w14:textId="77777777" w:rsidR="005C77CD" w:rsidRDefault="005C77CD" w:rsidP="005C77CD">
      <w:pPr>
        <w:pStyle w:val="AbstractBookBaseParagraph"/>
        <w:rPr>
          <w:rStyle w:val="AbstractBookBaseCharacterStyle"/>
          <w:rFonts w:ascii="Noto Serif Light" w:hAnsi="Noto Serif Light" w:cs="Noto Serif Light"/>
          <w:b/>
          <w:bCs/>
        </w:rPr>
      </w:pPr>
      <w:r>
        <w:rPr>
          <w:rStyle w:val="AbstractBookBaseCharacterStyle"/>
          <w:rFonts w:ascii="Noto Serif Light" w:hAnsi="Noto Serif Light" w:cs="Noto Serif Light"/>
          <w:b/>
          <w:bCs/>
        </w:rPr>
        <w:t>Abstract:</w:t>
      </w:r>
    </w:p>
    <w:p w14:paraId="7418F71A" w14:textId="2B09D6F2" w:rsidR="005C77CD" w:rsidRDefault="005C77CD" w:rsidP="005C77CD">
      <w:pPr>
        <w:pStyle w:val="AbstractBookBaseParagraph"/>
        <w:rPr>
          <w:rStyle w:val="AbstractBookBaseCharacterStyle"/>
          <w:rFonts w:ascii="Noto Serif Light" w:hAnsi="Noto Serif Light" w:cs="Noto Serif Light"/>
        </w:rPr>
      </w:pPr>
      <w:r w:rsidRPr="005C77CD">
        <w:rPr>
          <w:rStyle w:val="AbstractBookBaseCharacterStyle"/>
          <w:rFonts w:ascii="Noto Serif Light" w:hAnsi="Noto Serif Light" w:cs="Noto Serif Light"/>
        </w:rPr>
        <w:t>The UK’s difficulty in converting promising businesses into sustained scale-ups has become an important challenge for both innovation and regional policy. High-growth firms (HGFs) account for a disproportionate share of employment creation, innovation diffusion and productivity growth, yet their growth is difficult to sustain and access to growth finance remains spatially uneven. While regional innovation policy has increasingly recognized the importance of finance, entrepreneurial ecosystems and place-based support, less attention has been paid to the role of public procurement as a demand-side policy instrument that may help firms attract private investment.</w:t>
      </w:r>
    </w:p>
    <w:p w14:paraId="44AD81A1" w14:textId="77777777" w:rsidR="005C77CD" w:rsidRPr="005C77CD" w:rsidRDefault="005C77CD" w:rsidP="005C77CD">
      <w:pPr>
        <w:pStyle w:val="AbstractBookBaseParagraph"/>
        <w:rPr>
          <w:rStyle w:val="AbstractBookBaseCharacterStyle"/>
          <w:rFonts w:ascii="Noto Serif Light" w:hAnsi="Noto Serif Light" w:cs="Noto Serif Light"/>
        </w:rPr>
      </w:pPr>
    </w:p>
    <w:p w14:paraId="7CCCA0B8" w14:textId="77777777" w:rsidR="005C77CD" w:rsidRPr="005C77CD" w:rsidRDefault="005C77CD" w:rsidP="005C77CD">
      <w:pPr>
        <w:pStyle w:val="AbstractBookBaseParagraph"/>
        <w:rPr>
          <w:rStyle w:val="AbstractBookBaseCharacterStyle"/>
          <w:rFonts w:ascii="Noto Serif Light" w:hAnsi="Noto Serif Light" w:cs="Noto Serif Light"/>
        </w:rPr>
      </w:pPr>
      <w:r w:rsidRPr="005C77CD">
        <w:rPr>
          <w:rStyle w:val="AbstractBookBaseCharacterStyle"/>
          <w:rFonts w:ascii="Noto Serif Light" w:hAnsi="Noto Serif Light" w:cs="Noto Serif Light"/>
        </w:rPr>
        <w:t>This study examines whether public procurement facilitates subsequent venture capital (VC) investment in UK HGFs. We conceptualize procurement as state-generated market demand arising through a competitive buyer–supplier relationship. A public contract may provide firms with revenue and opportunities to develop their capabilities and signal market validation and delivery credibility to external investors. We therefore ask whether firms receiving public contracts are more likely subsequently to attract venture capital investment and whether the combination of procurement and VC shapes firms’ subsequent growth.</w:t>
      </w:r>
    </w:p>
    <w:p w14:paraId="513EB1D9" w14:textId="77777777" w:rsidR="005C77CD" w:rsidRDefault="005C77CD" w:rsidP="005C77CD">
      <w:pPr>
        <w:pStyle w:val="AbstractBookBaseParagraph"/>
        <w:rPr>
          <w:rStyle w:val="AbstractBookBaseCharacterStyle"/>
          <w:rFonts w:ascii="Noto Serif Light" w:hAnsi="Noto Serif Light" w:cs="Noto Serif Light"/>
        </w:rPr>
      </w:pPr>
      <w:r w:rsidRPr="005C77CD">
        <w:rPr>
          <w:rStyle w:val="AbstractBookBaseCharacterStyle"/>
          <w:rFonts w:ascii="Noto Serif Light" w:hAnsi="Noto Serif Light" w:cs="Noto Serif Light"/>
        </w:rPr>
        <w:t>We clarify the definition of HGFs in the UK context, following the previous literature, and identify four dynamic growth states: gazelles, scale-ups, mature HGFs and superstars. We identify HGFs using the OECD growth criterion, extended to capture small but rapidly expanding firms, and examine transitions into, between and out of the four growth states. We then construct a longitudinal firm-level dataset combining company accounts from FAME with public-contract information from Tussell dataset. The dataset includes around 118,000 HGF firm-year observations. We further match these firms with venture capital deals from PitchBook. The empirical strategy will combine descriptive transition analysis with matched comparisons and event-time analysis around firms’ first public contracts.</w:t>
      </w:r>
    </w:p>
    <w:p w14:paraId="3AD603C3" w14:textId="77777777" w:rsidR="005C77CD" w:rsidRPr="005C77CD" w:rsidRDefault="005C77CD" w:rsidP="005C77CD">
      <w:pPr>
        <w:pStyle w:val="AbstractBookBaseParagraph"/>
        <w:rPr>
          <w:rStyle w:val="AbstractBookBaseCharacterStyle"/>
          <w:rFonts w:ascii="Noto Serif Light" w:hAnsi="Noto Serif Light" w:cs="Noto Serif Light"/>
        </w:rPr>
      </w:pPr>
    </w:p>
    <w:p w14:paraId="6884236A" w14:textId="6D39A72C" w:rsidR="005C77CD" w:rsidRPr="005C77CD" w:rsidRDefault="005C77CD" w:rsidP="005C77CD">
      <w:pPr>
        <w:pStyle w:val="AbstractBookBaseParagraph"/>
        <w:rPr>
          <w:rStyle w:val="AbstractBookBaseCharacterStyle"/>
          <w:rFonts w:ascii="Noto Serif Light" w:hAnsi="Noto Serif Light" w:cs="Noto Serif Light"/>
        </w:rPr>
      </w:pPr>
      <w:r w:rsidRPr="005C77CD">
        <w:rPr>
          <w:rStyle w:val="AbstractBookBaseCharacterStyle"/>
          <w:rFonts w:ascii="Noto Serif Light" w:hAnsi="Noto Serif Light" w:cs="Noto Serif Light"/>
        </w:rPr>
        <w:t>More importantly, we examine the regional innovation policy implications of this relationship by distinguishing procurement undertaken by local government, central government and other public bodies, and by tracing the geography of public buyers and supplier firms. This allows us to test whether locally anchored public demand is particularly effective in connecting regional firms to external VC, and whether procurement can help broaden access to growth finance beyond established investment centres. By linking public demand to subsequent private investment, the study highlights public procurement as a potentially important mechanism through which innovation policy can support firm scaling while addressing the spatial unevenness of entrepreneurial finance.</w:t>
      </w:r>
    </w:p>
    <w:p w14:paraId="1E52C5BD" w14:textId="1CC771D1"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br w:type="page"/>
      </w:r>
    </w:p>
    <w:p w14:paraId="7A65C20B" w14:textId="0BEC5F6D" w:rsidR="00F34977" w:rsidRDefault="00F34977" w:rsidP="00F34977">
      <w:pPr>
        <w:pStyle w:val="ABSubhead"/>
      </w:pPr>
      <w:r>
        <w:lastRenderedPageBreak/>
        <w:t xml:space="preserve">O72. </w:t>
      </w:r>
      <w:r w:rsidR="00E72072" w:rsidRPr="00025964">
        <w:t>Civic Universities and Intelligent City Regions</w:t>
      </w:r>
    </w:p>
    <w:p w14:paraId="2CD21569" w14:textId="77777777" w:rsidR="00F34977" w:rsidRPr="00AB325A" w:rsidRDefault="00F34977" w:rsidP="00F34977">
      <w:pPr>
        <w:pStyle w:val="ABParagraph"/>
      </w:pPr>
    </w:p>
    <w:p w14:paraId="128C28E6" w14:textId="77777777" w:rsidR="00F34977" w:rsidRPr="00CD05A8" w:rsidRDefault="00F34977" w:rsidP="00F34977">
      <w:pPr>
        <w:pStyle w:val="AbstractBookAuthors"/>
        <w:rPr>
          <w:rFonts w:ascii="Noto Serif Light" w:hAnsi="Noto Serif Light" w:cs="Noto Serif Light"/>
        </w:rPr>
      </w:pPr>
      <w:r w:rsidRPr="00CD05A8">
        <w:rPr>
          <w:rStyle w:val="AbstractBookPresentingAuthor"/>
          <w:rFonts w:ascii="Noto Serif Light" w:hAnsi="Noto Serif Light" w:cs="Noto Serif Light"/>
        </w:rPr>
        <w:t>Des McNulty</w:t>
      </w:r>
      <w:r w:rsidRPr="00CD05A8">
        <w:rPr>
          <w:rFonts w:ascii="Noto Serif Light" w:hAnsi="Noto Serif Light" w:cs="Noto Serif Light"/>
          <w:vertAlign w:val="superscript"/>
        </w:rPr>
        <w:t>1</w:t>
      </w:r>
    </w:p>
    <w:p w14:paraId="2609CB89" w14:textId="77777777" w:rsidR="00F34977" w:rsidRDefault="00F34977" w:rsidP="00F34977">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Glasgow Caledonian University, Glasgow, United Kingdom</w:t>
      </w:r>
    </w:p>
    <w:p w14:paraId="60D20149" w14:textId="77777777" w:rsidR="00F34977" w:rsidRDefault="00F34977" w:rsidP="00F34977">
      <w:pPr>
        <w:pStyle w:val="AbstractBookBaseParagraph"/>
        <w:rPr>
          <w:rStyle w:val="AbstractBookBaseCharacterStyle"/>
          <w:rFonts w:ascii="Noto Serif Light" w:hAnsi="Noto Serif Light" w:cs="Noto Serif Light"/>
        </w:rPr>
      </w:pPr>
    </w:p>
    <w:p w14:paraId="73884866" w14:textId="77777777" w:rsidR="00F34977" w:rsidRPr="00AB325A" w:rsidRDefault="00F34977" w:rsidP="00F34977">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4E4E6D0F"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Universities across advanced economies are undergoing what has been described as a 'civic turn'—a renewed emphasis on their responsibilities to the cities and regions in which they are located (Goddard and Kempton, 2016; Dobson and Ferrari, 2023). This resurgence represents both a return to historical roots and a response to contemporary pressures. The 'redbrick' civic universities established in UK industrial cities during the nineteenth and early twentieth centuries were founded explicitly to serve local economic and social needs. </w:t>
      </w:r>
    </w:p>
    <w:p w14:paraId="31BAC9F7" w14:textId="77777777" w:rsidR="00F34977" w:rsidRPr="00CD05A8" w:rsidRDefault="00F34977" w:rsidP="00F34977">
      <w:pPr>
        <w:pStyle w:val="AbstractBookBaseParagraph"/>
        <w:rPr>
          <w:rFonts w:ascii="Noto Serif Light" w:hAnsi="Noto Serif Light" w:cs="Noto Serif Light"/>
        </w:rPr>
      </w:pPr>
    </w:p>
    <w:p w14:paraId="65E2E9B0"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Yet by the late twentieth century, competitive dynamics in higher education—intensified by performance-based funding and international league tables—had incentivised research-intensive universities to direct their attention upwards to government and funding bodies, and inwards to academic disciplines, rather than outwards to local and regional stakeholders (Breznitz and Feldman, 2012; Hazelkorn, 2015).</w:t>
      </w:r>
    </w:p>
    <w:p w14:paraId="4D2BE06D" w14:textId="77777777" w:rsidR="00F34977" w:rsidRPr="00CD05A8" w:rsidRDefault="00F34977" w:rsidP="00F34977">
      <w:pPr>
        <w:pStyle w:val="AbstractBookBaseParagraph"/>
        <w:rPr>
          <w:rFonts w:ascii="Noto Serif Light" w:hAnsi="Noto Serif Light" w:cs="Noto Serif Light"/>
        </w:rPr>
      </w:pPr>
    </w:p>
    <w:p w14:paraId="274D871F"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Several converging forces have since restored civic engagement as a strategic priority. Recognition of universities as critical drivers of regional economic growth—particularly within knowledge-based and innovation-led development frameworks—has elevated their status in place-based policy (OECD, 2007; Drucker and Goldstein, 2007; Uyarra, 2010). Cross-national evidence confirms that university presence is strongly associated with higher regional income and innovation output, with effects that are particularly pronounced in less-developed regions where higher education has historically been sparse (Valero and Van Reenen, 2019). </w:t>
      </w:r>
    </w:p>
    <w:p w14:paraId="64457BB6" w14:textId="77777777" w:rsidR="00F34977" w:rsidRPr="00CD05A8" w:rsidRDefault="00F34977" w:rsidP="00F34977">
      <w:pPr>
        <w:pStyle w:val="AbstractBookBaseParagraph"/>
        <w:rPr>
          <w:rFonts w:ascii="Noto Serif Light" w:hAnsi="Noto Serif Light" w:cs="Noto Serif Light"/>
        </w:rPr>
      </w:pPr>
    </w:p>
    <w:p w14:paraId="58A7F1F2"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Yet the relationship between universities and regional prosperity is neither automatic nor uniformly positive: universities can deepen inequalities as readily as they reduce them, concentrating opportunity in already advantaged locations or producing graduates who leave for metropolitan centres, thereby compounding the very divergences that regional policy seeks to address (Rodriguez-Pose, 2018). Simultaneously, universities face mounting pressure to demonstrate societal value amidst declining public funding, scepticism about returns to higher education investment, and eroded trust in expertise (Marginson, 2016). Policy makers increasingly expect universities to address 'grand challenges' spanning climate change, public health, economic inequality, and social cohesion (Schot and Steinmueller, 2018). These imperatives have created both incentive and opportunity for universities to re-engage with place as core, rather than peripheral, to their missions (Chatterton and Goddard, 2000).</w:t>
      </w:r>
    </w:p>
    <w:p w14:paraId="3DF9C248" w14:textId="77777777" w:rsidR="00F34977" w:rsidRPr="00CD05A8" w:rsidRDefault="00F34977" w:rsidP="00F34977">
      <w:pPr>
        <w:pStyle w:val="AbstractBookBaseParagraph"/>
        <w:rPr>
          <w:rFonts w:ascii="Noto Serif Light" w:hAnsi="Noto Serif Light" w:cs="Noto Serif Light"/>
        </w:rPr>
      </w:pPr>
    </w:p>
    <w:p w14:paraId="319F172E"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This presentation examines how engaged universities contribute to the development of intelligent city-regions—defined here as places that systematically mobilise the capabilities of universities and other civic partners to address shared priorities through evidence-informed, collaborative strategies. This concept is distinguished from narrower 'smart city' conceptions focused primarily on data analytics and digital </w:t>
      </w:r>
      <w:r w:rsidRPr="00CD05A8">
        <w:rPr>
          <w:rFonts w:ascii="Noto Serif Light" w:hAnsi="Noto Serif Light" w:cs="Noto Serif Light"/>
        </w:rPr>
        <w:lastRenderedPageBreak/>
        <w:t>infrastructure (Hollands, 2008; Vanolo, 2014). Whilst smart city initiatives leverage technology to optimise service delivery, intelligent city-regions draw on broader forms of expertise residing within universities—scientific, organisational, and social—to engage institutions and citizens in co-creating solutions to complex, place-specific challenges.</w:t>
      </w:r>
    </w:p>
    <w:p w14:paraId="3F48FD14" w14:textId="77777777" w:rsidR="00F34977" w:rsidRPr="00CD05A8" w:rsidRDefault="00F34977" w:rsidP="00F34977">
      <w:pPr>
        <w:pStyle w:val="AbstractBookBaseParagraph"/>
        <w:rPr>
          <w:rFonts w:ascii="Noto Serif Light" w:hAnsi="Noto Serif Light" w:cs="Noto Serif Light"/>
        </w:rPr>
      </w:pPr>
    </w:p>
    <w:p w14:paraId="6E21B909"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It examines the evolving civic role of universities in fostering intelligent city-regions through strategic place-based engagement. Drawing on comparative international evidence from the United Kingdom, United States, and Northern Europe, it analyses how universities are transitioning from peripheral civic actors to strategic anchor institutions embedded within regional innovation ecosystems. </w:t>
      </w:r>
    </w:p>
    <w:p w14:paraId="1EC48722" w14:textId="77777777" w:rsidR="00F34977" w:rsidRPr="00CD05A8" w:rsidRDefault="00F34977" w:rsidP="00F34977">
      <w:pPr>
        <w:pStyle w:val="AbstractBookBaseParagraph"/>
        <w:rPr>
          <w:rFonts w:ascii="Noto Serif Light" w:hAnsi="Noto Serif Light" w:cs="Noto Serif Light"/>
        </w:rPr>
      </w:pPr>
    </w:p>
    <w:p w14:paraId="7480D660"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It also traces the critical shift from 'science-push' knowledge transfer models towards collaborative 'demand-responsive' knowledge exchange and co-production approaches. It is argued that intelligent city-regions—defined as places that systematically harness the capabilities of engaged universities alongside other civic partners—represent a significant advance beyond narrower 'smart city' paradigms. Key enabling conditions, persistent barriers, and policy mechanisms are identified at national, institutional, and partnership levels. By integrating academic expertise with practitioner knowledge and embedding civic engagement within core institutional missions, universities can catalyse inclusive economic development, address complex societal challenges, and enhance regional competitiveness, whilst strengthening their own societal legitimacy and research quality.</w:t>
      </w:r>
    </w:p>
    <w:p w14:paraId="0DAD1578" w14:textId="77777777" w:rsidR="00F34977" w:rsidRPr="00CD05A8" w:rsidRDefault="00F34977" w:rsidP="00F34977">
      <w:pPr>
        <w:pStyle w:val="AbstractBookBaseParagraph"/>
        <w:rPr>
          <w:rFonts w:ascii="Noto Serif Light" w:hAnsi="Noto Serif Light" w:cs="Noto Serif Light"/>
        </w:rPr>
      </w:pPr>
    </w:p>
    <w:p w14:paraId="441D41FC"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These arguments carry concrete policy implications.</w:t>
      </w:r>
    </w:p>
    <w:p w14:paraId="31792C86"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For national government and funding bodies, research assessment exercises should recognise and reward co-produced scholarship and diverse forms of societal impact alongside traditional metrics. Dedicated funding streams for civic engagement—distinct from commercially oriented knowledge transfer funding—are needed to provide universities with a stable financial basis for long-term partnership working. Place-based innovation funding architectures should explicitly value foundational economy and social innovation alongside high-technology commercialisation.</w:t>
      </w:r>
    </w:p>
    <w:p w14:paraId="10ADF191" w14:textId="77777777" w:rsidR="00F34977" w:rsidRPr="00CD05A8" w:rsidRDefault="00F34977" w:rsidP="00F34977">
      <w:pPr>
        <w:pStyle w:val="AbstractBookBaseParagraph"/>
        <w:rPr>
          <w:rFonts w:ascii="Noto Serif Light" w:hAnsi="Noto Serif Light" w:cs="Noto Serif Light"/>
        </w:rPr>
      </w:pPr>
    </w:p>
    <w:p w14:paraId="7C18F5D4"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For universities themselves, civic mission must be operationalised through concrete institutional actions: appointing senior leaders with dedicated civic portfolios; allocating sustained core funding for engagement infrastructure; reforming promotion criteria and workload models to recognise collaborative scholarship; creating boundary-spanning roles linking academic units with external partners; developing institution-wide strategies to coordinate dispersed activities; and establishing transparent mechanisms for evidencing contribution and learning from experience.</w:t>
      </w:r>
    </w:p>
    <w:p w14:paraId="649BC205" w14:textId="77777777" w:rsidR="00F34977" w:rsidRPr="00CD05A8" w:rsidRDefault="00F34977" w:rsidP="00F34977">
      <w:pPr>
        <w:pStyle w:val="AbstractBookBaseParagraph"/>
        <w:rPr>
          <w:rFonts w:ascii="Noto Serif Light" w:hAnsi="Noto Serif Light" w:cs="Noto Serif Light"/>
        </w:rPr>
      </w:pPr>
    </w:p>
    <w:p w14:paraId="466F2B55"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For city-region and local governance bodies, investment in the capacity of local authorities and civic organisations to engage strategically with universities is as important as universities' own capability development. Governance platforms should be designed for the long term, with stable institutional support and clear mechanisms for shared decision-making. Multi-university compacts and shared civic commitments, where multiple institutions coordinate around shared regional priorities, can generate collective value that individual institutions cannot achieve independently.</w:t>
      </w:r>
    </w:p>
    <w:p w14:paraId="31DE3CD6" w14:textId="77777777" w:rsidR="00F34977" w:rsidRPr="00CD05A8" w:rsidRDefault="00F34977" w:rsidP="00F34977">
      <w:pPr>
        <w:pStyle w:val="AbstractBookBaseParagraph"/>
        <w:rPr>
          <w:rFonts w:ascii="Noto Serif Light" w:hAnsi="Noto Serif Light" w:cs="Noto Serif Light"/>
        </w:rPr>
      </w:pPr>
    </w:p>
    <w:p w14:paraId="35D0B93B"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lastRenderedPageBreak/>
        <w:t>Ultimately, the civic university movement represents not a retreat from academic excellence but its reconceptualisation to encompass societal relevance alongside scholarly rigour. Universities that are simultaneously excellent in research, committed to place, and effective partners—institutions that treat civic contribution as integral rather than additional to their fundamental purposes—are not only better for their regions. They are also, as the evidence increasingly suggests, better universities.</w:t>
      </w:r>
    </w:p>
    <w:p w14:paraId="235EDDF5" w14:textId="77777777" w:rsidR="00F34977" w:rsidRPr="00CD05A8" w:rsidRDefault="00F34977" w:rsidP="00F34977">
      <w:pPr>
        <w:pStyle w:val="AbstractBookBaseParagraph"/>
        <w:rPr>
          <w:rFonts w:ascii="Noto Serif Light" w:hAnsi="Noto Serif Light" w:cs="Noto Serif Light"/>
        </w:rPr>
      </w:pPr>
    </w:p>
    <w:p w14:paraId="0975CB76" w14:textId="77777777" w:rsidR="00F34977" w:rsidRPr="00CD05A8" w:rsidRDefault="00F34977" w:rsidP="00F34977">
      <w:pPr>
        <w:pStyle w:val="AbstractBookBaseParagraph"/>
        <w:rPr>
          <w:rFonts w:ascii="Noto Serif Light" w:hAnsi="Noto Serif Light" w:cs="Noto Serif Light"/>
        </w:rPr>
      </w:pPr>
    </w:p>
    <w:p w14:paraId="070B1DFA" w14:textId="77777777" w:rsidR="00F34977" w:rsidRPr="00CD05A8" w:rsidRDefault="00F34977" w:rsidP="00F34977">
      <w:pPr>
        <w:pStyle w:val="AbstractBookBaseParagraph"/>
        <w:rPr>
          <w:rFonts w:ascii="Noto Serif Light" w:hAnsi="Noto Serif Light" w:cs="Noto Serif Light"/>
        </w:rPr>
      </w:pPr>
    </w:p>
    <w:p w14:paraId="5089A476" w14:textId="77777777" w:rsidR="00F34977" w:rsidRPr="00CD05A8" w:rsidRDefault="00F34977" w:rsidP="00F34977">
      <w:pPr>
        <w:pStyle w:val="AbstractBookBaseParagraph"/>
        <w:rPr>
          <w:rFonts w:ascii="Noto Serif Light" w:hAnsi="Noto Serif Light" w:cs="Noto Serif Light"/>
        </w:rPr>
      </w:pPr>
    </w:p>
    <w:p w14:paraId="4B7715E3"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br w:type="page"/>
      </w:r>
    </w:p>
    <w:p w14:paraId="63938636" w14:textId="77777777" w:rsidR="00F34977" w:rsidRDefault="00F34977" w:rsidP="00F34977">
      <w:pPr>
        <w:pStyle w:val="ABSubhead"/>
      </w:pPr>
      <w:r>
        <w:lastRenderedPageBreak/>
        <w:t>O73. Knowledge Management and Local Development: The Role of Municipal University Centers in The Co-Construction of Public Policies and Social Innovation in Cuba</w:t>
      </w:r>
    </w:p>
    <w:p w14:paraId="2D90A0BB" w14:textId="77777777" w:rsidR="00F34977" w:rsidRPr="00723181" w:rsidRDefault="00F34977" w:rsidP="00F34977">
      <w:pPr>
        <w:pStyle w:val="ABParagraph"/>
      </w:pPr>
    </w:p>
    <w:p w14:paraId="2072FAFB" w14:textId="77777777" w:rsidR="00F34977" w:rsidRPr="00723181" w:rsidRDefault="00F34977" w:rsidP="00F34977">
      <w:pPr>
        <w:pStyle w:val="AbstractBookAuthors"/>
        <w:rPr>
          <w:rFonts w:ascii="Noto Serif Light" w:hAnsi="Noto Serif Light" w:cs="Noto Serif Light"/>
        </w:rPr>
      </w:pPr>
      <w:r w:rsidRPr="00723181">
        <w:rPr>
          <w:rStyle w:val="AbstractBookPresentingAuthor"/>
          <w:rFonts w:ascii="Noto Serif Light" w:hAnsi="Noto Serif Light" w:cs="Noto Serif Light"/>
        </w:rPr>
        <w:t>Professor Reynaldo Jiménez Guethon</w:t>
      </w:r>
      <w:r w:rsidRPr="00723181">
        <w:rPr>
          <w:rFonts w:ascii="Noto Serif Light" w:hAnsi="Noto Serif Light" w:cs="Noto Serif Light"/>
          <w:vertAlign w:val="superscript"/>
        </w:rPr>
        <w:t>1</w:t>
      </w:r>
    </w:p>
    <w:p w14:paraId="761328E0" w14:textId="77777777" w:rsidR="00F34977" w:rsidRPr="00723181" w:rsidRDefault="00F34977" w:rsidP="00F34977">
      <w:pPr>
        <w:pStyle w:val="AbstractBookBaseParagraph"/>
        <w:rPr>
          <w:rStyle w:val="AbstractBookBaseCharacterStyle"/>
          <w:rFonts w:ascii="Noto Serif Light" w:hAnsi="Noto Serif Light" w:cs="Noto Serif Light"/>
        </w:rPr>
      </w:pPr>
      <w:r w:rsidRPr="00723181">
        <w:rPr>
          <w:rFonts w:ascii="Noto Serif Light" w:hAnsi="Noto Serif Light" w:cs="Noto Serif Light"/>
          <w:vertAlign w:val="superscript"/>
        </w:rPr>
        <w:t>1</w:t>
      </w:r>
      <w:r w:rsidRPr="00723181">
        <w:rPr>
          <w:rStyle w:val="AbstractBookBaseCharacterStyle"/>
          <w:rFonts w:ascii="Noto Serif Light" w:hAnsi="Noto Serif Light" w:cs="Noto Serif Light"/>
        </w:rPr>
        <w:t xml:space="preserve">Latin American Faculty </w:t>
      </w:r>
      <w:r>
        <w:rPr>
          <w:rStyle w:val="AbstractBookBaseCharacterStyle"/>
          <w:rFonts w:ascii="Noto Serif Light" w:hAnsi="Noto Serif Light" w:cs="Noto Serif Light"/>
        </w:rPr>
        <w:t>o</w:t>
      </w:r>
      <w:r w:rsidRPr="00723181">
        <w:rPr>
          <w:rStyle w:val="AbstractBookBaseCharacterStyle"/>
          <w:rFonts w:ascii="Noto Serif Light" w:hAnsi="Noto Serif Light" w:cs="Noto Serif Light"/>
        </w:rPr>
        <w:t>f Social Sciences (FLACSO-Cuba), University of Havana, Havana, Cuba</w:t>
      </w:r>
    </w:p>
    <w:p w14:paraId="58141455" w14:textId="77777777" w:rsidR="00F34977" w:rsidRPr="00723181" w:rsidRDefault="00F34977" w:rsidP="00F34977">
      <w:pPr>
        <w:pStyle w:val="AbstractBookBaseParagraph"/>
        <w:rPr>
          <w:rFonts w:ascii="Noto Serif Light" w:hAnsi="Noto Serif Light" w:cs="Noto Serif Light"/>
        </w:rPr>
      </w:pPr>
    </w:p>
    <w:p w14:paraId="155CDD91" w14:textId="77777777" w:rsidR="00F34977" w:rsidRPr="00723181" w:rsidRDefault="00F34977" w:rsidP="00F34977">
      <w:pPr>
        <w:pStyle w:val="AbstractBookBaseParagraph"/>
        <w:rPr>
          <w:rFonts w:ascii="Noto Serif Light" w:hAnsi="Noto Serif Light" w:cs="Noto Serif Light"/>
          <w:b/>
          <w:bCs/>
        </w:rPr>
      </w:pPr>
      <w:r w:rsidRPr="00723181">
        <w:rPr>
          <w:rFonts w:ascii="Noto Serif Light" w:hAnsi="Noto Serif Light" w:cs="Noto Serif Light"/>
          <w:b/>
          <w:bCs/>
        </w:rPr>
        <w:t>Abstract:</w:t>
      </w:r>
    </w:p>
    <w:p w14:paraId="26ACD19A" w14:textId="77777777" w:rsidR="00F34977" w:rsidRDefault="00F34977" w:rsidP="00F34977">
      <w:pPr>
        <w:pStyle w:val="ABParagraph"/>
      </w:pPr>
      <w:r>
        <w:t>In 2002, Cuba undertook a process of profound transformation of its higher education, conceived with an essential purpose: to guarantee full access for the entire population to the substantive functions of the university—teaching, research, and extension—cultivating collective intelligence and gradually multiplying knowledge as a tool for human development. This project did not arise out of nowhere, but was built on the material and human foundations established over decades in the country: a network of institutions, resources, and, above all, human capital trained with a vocation for service.</w:t>
      </w:r>
    </w:p>
    <w:p w14:paraId="4EF1D730" w14:textId="77777777" w:rsidR="00F34977" w:rsidRDefault="00F34977" w:rsidP="00F34977">
      <w:pPr>
        <w:pStyle w:val="ABParagraph"/>
      </w:pPr>
    </w:p>
    <w:p w14:paraId="2ED928E6" w14:textId="77777777" w:rsidR="00F34977" w:rsidRDefault="00F34977" w:rsidP="00F34977">
      <w:pPr>
        <w:pStyle w:val="ABParagraph"/>
      </w:pPr>
      <w:r>
        <w:t>In response to these new demands for equity, territorial relevance, and cognitive justice, the Municipal University Centers (CUM) emerged. With them, a broad program for the Universalization of higher education was launched, which brought the university to every municipality in the country, transforming the institutional map of knowledge and placing science, culture and innovation at the service of local development from the territories themselves.</w:t>
      </w:r>
    </w:p>
    <w:p w14:paraId="5C02DEF0" w14:textId="77777777" w:rsidR="00F34977" w:rsidRDefault="00F34977" w:rsidP="00F34977">
      <w:pPr>
        <w:pStyle w:val="ABParagraph"/>
      </w:pPr>
    </w:p>
    <w:p w14:paraId="752F7FCA" w14:textId="77777777" w:rsidR="00F34977" w:rsidRDefault="00F34977" w:rsidP="00F34977">
      <w:pPr>
        <w:pStyle w:val="ABParagraph"/>
      </w:pPr>
      <w:r>
        <w:t>Knowledge management, from this perspective, takes on a participatory character. The CUMs function as nodes that articulate academic knowledge with the tacit knowledge of local actors—producers, public managers, cooperativists, and community leaders—generating synergies that enhance the social innovation capacity of the territory.</w:t>
      </w:r>
    </w:p>
    <w:p w14:paraId="3A466A16" w14:textId="77777777" w:rsidR="00F34977" w:rsidRDefault="00F34977" w:rsidP="00F34977">
      <w:pPr>
        <w:pStyle w:val="ABParagraph"/>
      </w:pPr>
    </w:p>
    <w:p w14:paraId="3A6091A7" w14:textId="77777777" w:rsidR="00F34977" w:rsidRDefault="00F34977" w:rsidP="00F34977">
      <w:pPr>
        <w:pStyle w:val="ABParagraph"/>
      </w:pPr>
      <w:r>
        <w:t>The production of knowledge at the local level faces structural challenges that require overcoming traditional disciplinary approaches. The problems inherent to territories often present a complexity that demands a multi- or interdisciplinary approach, where the integration of different branches of knowledge is indispensable for constructing relevant responses. In this process, the solution does not always require the generation of novel knowledge, but rather the intelligent and creative combination of existing knowledge, adapted to the particular conditions of each context.</w:t>
      </w:r>
    </w:p>
    <w:p w14:paraId="25C08E55" w14:textId="77777777" w:rsidR="00F34977" w:rsidRDefault="00F34977" w:rsidP="00F34977">
      <w:pPr>
        <w:pStyle w:val="ABParagraph"/>
      </w:pPr>
    </w:p>
    <w:p w14:paraId="67212479" w14:textId="77777777" w:rsidR="00F34977" w:rsidRDefault="00F34977" w:rsidP="00F34977">
      <w:pPr>
        <w:pStyle w:val="ABParagraph"/>
      </w:pPr>
      <w:r>
        <w:t>The incidence of the CUM in the co-construction of public policies is materialized through their active participation in the development of Municipal Development Strategies, guiding instruments of territorial planning. As specialized literature points out, the CUM have become an "indispensable duo" with municipal governments, providing technical capacities, training of staff and reserves, and scientific advice for decision-making. Social innovation then emerges as a result of this relational framework. Far from being limited to technological innovations, the CUM promote processes of organizational, methodological, and community innovation that strengthen the endogenous capacities of the territories.</w:t>
      </w:r>
    </w:p>
    <w:p w14:paraId="7D812EBD" w14:textId="77777777" w:rsidR="00F34977" w:rsidRDefault="00F34977" w:rsidP="00F34977">
      <w:pPr>
        <w:pStyle w:val="ABParagraph"/>
      </w:pPr>
      <w:r>
        <w:t xml:space="preserve">Social innovation thus emerges as a result of this relational framework. Far from being limited to technological innovations, the CUM promote processes of organizational, </w:t>
      </w:r>
      <w:r>
        <w:lastRenderedPageBreak/>
        <w:t>methodological, and community innovation that strengthen the endogenous capacities of the territories. The CUM represent an ethical and political commitment to place knowledge at the service of people, articulating academic and popular knowledge in a horizontal dialogue that strengthens collective intelligence. Their work as facilitators of participatory knowledge management processes and their influence in the co-construction of public policies, in close connection with municipal governments, positions them as key actors for social innovation.</w:t>
      </w:r>
    </w:p>
    <w:p w14:paraId="5FEB015E" w14:textId="77777777" w:rsidR="00F34977" w:rsidRDefault="00F34977" w:rsidP="00F34977">
      <w:pPr>
        <w:pStyle w:val="AbstractBookBaseParagraph"/>
      </w:pPr>
    </w:p>
    <w:p w14:paraId="55A064F7" w14:textId="77777777" w:rsidR="00F34977" w:rsidRDefault="00F34977" w:rsidP="00F34977">
      <w:pPr>
        <w:pStyle w:val="AbstractBookBaseParagraph"/>
      </w:pPr>
    </w:p>
    <w:p w14:paraId="054E2E34" w14:textId="77777777" w:rsidR="00F34977" w:rsidRDefault="00F34977" w:rsidP="00F34977">
      <w:pPr>
        <w:pStyle w:val="AbstractBookBaseParagraph"/>
      </w:pPr>
      <w:r>
        <w:br w:type="page"/>
      </w:r>
    </w:p>
    <w:p w14:paraId="2487ECEC" w14:textId="77777777" w:rsidR="00F34977" w:rsidRDefault="00F34977" w:rsidP="00F34977">
      <w:pPr>
        <w:pStyle w:val="ABSubhead"/>
      </w:pPr>
      <w:r>
        <w:lastRenderedPageBreak/>
        <w:t xml:space="preserve">O74. </w:t>
      </w:r>
      <w:r w:rsidRPr="00CD05A8">
        <w:t>Aligning Knowledge Supply and Policy Demand: A Behavioural Approach to Regional Engagement</w:t>
      </w:r>
    </w:p>
    <w:p w14:paraId="0D98E424" w14:textId="77777777" w:rsidR="00F34977" w:rsidRPr="00AB325A" w:rsidRDefault="00F34977" w:rsidP="00F34977">
      <w:pPr>
        <w:pStyle w:val="ABParagraph"/>
      </w:pPr>
    </w:p>
    <w:p w14:paraId="3D74FAB7" w14:textId="77777777" w:rsidR="00F34977" w:rsidRPr="00193B06" w:rsidRDefault="00F34977" w:rsidP="00F34977">
      <w:pPr>
        <w:pStyle w:val="AbstractBookAuthors"/>
        <w:rPr>
          <w:rFonts w:ascii="Noto Serif Light" w:hAnsi="Noto Serif Light" w:cs="Noto Serif Light"/>
          <w:vertAlign w:val="superscript"/>
        </w:rPr>
      </w:pPr>
      <w:r w:rsidRPr="00CD05A8">
        <w:rPr>
          <w:rStyle w:val="AbstractBookPresentingAuthor"/>
          <w:rFonts w:ascii="Noto Serif Light" w:hAnsi="Noto Serif Light" w:cs="Noto Serif Light"/>
        </w:rPr>
        <w:t>Magda Cepeda</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Professor Fumi Kitagawa</w:t>
      </w:r>
      <w:r>
        <w:rPr>
          <w:rStyle w:val="AbstractBookBaseCharacterStyle"/>
          <w:rFonts w:ascii="Noto Serif Light" w:hAnsi="Noto Serif Light" w:cs="Noto Serif Light"/>
          <w:vertAlign w:val="superscript"/>
        </w:rPr>
        <w:t>1</w:t>
      </w:r>
      <w:r w:rsidRPr="00CD05A8">
        <w:rPr>
          <w:rStyle w:val="AbstractBookBaseCharacterStyle"/>
          <w:rFonts w:ascii="Noto Serif Light" w:hAnsi="Noto Serif Light" w:cs="Noto Serif Light"/>
        </w:rPr>
        <w:t>, Professor Rebecc</w:t>
      </w:r>
      <w:r>
        <w:rPr>
          <w:rStyle w:val="AbstractBookBaseCharacterStyle"/>
          <w:rFonts w:ascii="Noto Serif Light" w:hAnsi="Noto Serif Light" w:cs="Noto Serif Light"/>
        </w:rPr>
        <w:t>a</w:t>
      </w:r>
      <w:r w:rsidRPr="00CD05A8">
        <w:rPr>
          <w:rStyle w:val="AbstractBookBaseCharacterStyle"/>
          <w:rFonts w:ascii="Noto Serif Light" w:hAnsi="Noto Serif Light" w:cs="Noto Serif Light"/>
        </w:rPr>
        <w:t xml:space="preserve"> Riley</w:t>
      </w:r>
      <w:r>
        <w:rPr>
          <w:rStyle w:val="AbstractBookBaseCharacterStyle"/>
          <w:rFonts w:ascii="Noto Serif Light" w:hAnsi="Noto Serif Light" w:cs="Noto Serif Light"/>
          <w:vertAlign w:val="superscript"/>
        </w:rPr>
        <w:t>1</w:t>
      </w:r>
    </w:p>
    <w:p w14:paraId="4BC31CD1" w14:textId="77777777" w:rsidR="00F34977" w:rsidRDefault="00F34977" w:rsidP="00F34977">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University </w:t>
      </w:r>
      <w:r>
        <w:rPr>
          <w:rStyle w:val="AbstractBookBaseCharacterStyle"/>
          <w:rFonts w:ascii="Noto Serif Light" w:hAnsi="Noto Serif Light" w:cs="Noto Serif Light"/>
        </w:rPr>
        <w:t>o</w:t>
      </w:r>
      <w:r w:rsidRPr="00CD05A8">
        <w:rPr>
          <w:rStyle w:val="AbstractBookBaseCharacterStyle"/>
          <w:rFonts w:ascii="Noto Serif Light" w:hAnsi="Noto Serif Light" w:cs="Noto Serif Light"/>
        </w:rPr>
        <w:t>f Birmingham, Birmingham City, United Kingdom</w:t>
      </w:r>
    </w:p>
    <w:p w14:paraId="17354BB4" w14:textId="77777777" w:rsidR="00F34977" w:rsidRDefault="00F34977" w:rsidP="00F34977">
      <w:pPr>
        <w:pStyle w:val="AbstractBookBaseParagraph"/>
        <w:rPr>
          <w:rStyle w:val="AbstractBookBaseCharacterStyle"/>
          <w:rFonts w:ascii="Noto Serif Light" w:hAnsi="Noto Serif Light" w:cs="Noto Serif Light"/>
        </w:rPr>
      </w:pPr>
    </w:p>
    <w:p w14:paraId="72A600B2" w14:textId="77777777" w:rsidR="00F34977" w:rsidRPr="00AB325A" w:rsidRDefault="00F34977" w:rsidP="00F34977">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6575915E"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In what ways does the academic knowledge generated by the university meet the needs of local governments? Such knowledge supply and demand relationships between universities and local policymakers are shaped and constrained by institutional, structural, and behavioural barriers (Carroll &amp; Crawford, 2024; van der Graaf et al., 2021). Local authorities often prioritise local intelligence, political feasibility, and experiential knowledge over academic evidence, which is frequently perceived as insufficiently timely or locally relevant (Homer et al., 2022; Kelly et al., 2017). Simultaneously, policymakers themselves may hold inconsistent understandings of what constitutes valid research evidence (Bell et al., 2025). Existing studies also demonstrate that evidence use is highly dependent on organisational context, political priorities, institutional capacity, and policy timing (Al Hallami &amp; Brown, 2014; Wesselink &amp; Gouldson, 2014).</w:t>
      </w:r>
    </w:p>
    <w:p w14:paraId="6A56A1C8" w14:textId="77777777" w:rsidR="00F34977" w:rsidRPr="00CD05A8" w:rsidRDefault="00F34977" w:rsidP="00F34977">
      <w:pPr>
        <w:pStyle w:val="AbstractBookBaseParagraph"/>
        <w:rPr>
          <w:rFonts w:ascii="Noto Serif Light" w:hAnsi="Noto Serif Light" w:cs="Noto Serif Light"/>
        </w:rPr>
      </w:pPr>
    </w:p>
    <w:p w14:paraId="18895F4F"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Additional barriers emerge from university systems themselves. Funding insecurity, fragmented engagement structures, and temporary knowledge brokerage roles often limit sustained collaboration and research impact (Lightowler &amp; Knight, 2013). Researchers also frequently lack understanding of policymaking processes and the practical requirements of policy engagement (Guerrero-Torres et al., 2025). While previous research has explored university-policy engagement, limited attention has been given to how universities should organise themselves internally to support engagement at system level, or how behavioural frameworks can be used to evaluate these interventions (Mäkelä et al., 2024).  In the light of this, the aim of this study is to investigate processes and conditions under which universities can act as coordinated systems rather than fragmented actors to work with policy partners. </w:t>
      </w:r>
    </w:p>
    <w:p w14:paraId="691A1185" w14:textId="77777777" w:rsidR="00F34977" w:rsidRPr="00CD05A8" w:rsidRDefault="00F34977" w:rsidP="00F34977">
      <w:pPr>
        <w:pStyle w:val="AbstractBookBaseParagraph"/>
        <w:rPr>
          <w:rFonts w:ascii="Noto Serif Light" w:hAnsi="Noto Serif Light" w:cs="Noto Serif Light"/>
        </w:rPr>
      </w:pPr>
    </w:p>
    <w:p w14:paraId="281F0185"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This paper uses the Capability, Opportunity, Motivation–Behaviour (COM-B) framework to analyse an ongoing organisational initiative between the university and local policy actors as a case study. The conceptual framework was applied in the case of Regional Academic Policy Network (RAP-Net) as an ongoing and exploratory initiative at the University of Birmingham. </w:t>
      </w:r>
    </w:p>
    <w:p w14:paraId="488A1BDD" w14:textId="77777777" w:rsidR="00F34977" w:rsidRPr="00CD05A8" w:rsidRDefault="00F34977" w:rsidP="00F34977">
      <w:pPr>
        <w:pStyle w:val="AbstractBookBaseParagraph"/>
        <w:rPr>
          <w:rFonts w:ascii="Noto Serif Light" w:hAnsi="Noto Serif Light" w:cs="Noto Serif Light"/>
        </w:rPr>
      </w:pPr>
    </w:p>
    <w:p w14:paraId="755BD13D"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study adopted a mixed-methods exploratory design. Initial interviews were conducted with university stakeholders involved in research support and public engagement activities. This was followed by a RAP-Net workshop involving more than forty academics from diverse areas of research and representatives from local policy actors. Then a theory-informed survey based on COM-B was used to identify barriers and facilitators associated with policy engagement.</w:t>
      </w:r>
    </w:p>
    <w:p w14:paraId="5E76F6D6" w14:textId="77777777" w:rsidR="00F34977" w:rsidRPr="00CD05A8" w:rsidRDefault="00F34977" w:rsidP="00F34977">
      <w:pPr>
        <w:pStyle w:val="AbstractBookBaseParagraph"/>
        <w:rPr>
          <w:rFonts w:ascii="Noto Serif Light" w:hAnsi="Noto Serif Light" w:cs="Noto Serif Light"/>
        </w:rPr>
      </w:pPr>
    </w:p>
    <w:p w14:paraId="14E85C51"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The study applies the Capability, Opportunity, Motivation–Behaviour (COM-B) as a conceptual framework to analyse barriers and enablers of academic-policy engagement. Within this framework, capability refers to the skills and knowledge required to engage </w:t>
      </w:r>
      <w:r w:rsidRPr="00CD05A8">
        <w:rPr>
          <w:rFonts w:ascii="Noto Serif Light" w:hAnsi="Noto Serif Light" w:cs="Noto Serif Light"/>
        </w:rPr>
        <w:lastRenderedPageBreak/>
        <w:t>effectively with policy systems, including translating research into policy-relevant outputs and understanding policymaking processes. Opportunity captures structural conditions such as funding, institutional support, time availability, and access to policymakers. Motivation refers to incentives, professional identity, and the perceived value of engagement activities.</w:t>
      </w:r>
    </w:p>
    <w:p w14:paraId="312A4A78"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Using COM-B shifts the analysis away from a simple “knowledge transfer” perspective and towards a behavioural understanding of engagement systems. The paper argues that engagement failure is driven less by lack of willingness and more by institutional and organisational conditions that constrain participation. Consequently, the focus shifts from encouraging collaboration to understanding the conditions that enable sustained engagement.</w:t>
      </w:r>
    </w:p>
    <w:p w14:paraId="3E77BC87" w14:textId="77777777" w:rsidR="00F34977" w:rsidRPr="00CD05A8" w:rsidRDefault="00F34977" w:rsidP="00F34977">
      <w:pPr>
        <w:pStyle w:val="AbstractBookBaseParagraph"/>
        <w:rPr>
          <w:rFonts w:ascii="Noto Serif Light" w:hAnsi="Noto Serif Light" w:cs="Noto Serif Light"/>
        </w:rPr>
      </w:pPr>
    </w:p>
    <w:p w14:paraId="12886634"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RAP-Net is set up as a regional coordination infrastructure developed at the University of Birmingham aiming to strengthen alignment between academic expertise and regional policy priorities in the West Midlands. It builds on the organisational model where university expertise is structured in twelve thematic research clusters aligned with the West Midlands Combined Authority (WMCA) Areas of Research Interest (ARIs) and the Birmingham City Council (BCC) mission’s framework. The clusters function as analytical and coordination tools rather than disciplinary silos, creating clearer entry points between academic expertise and policy demand.</w:t>
      </w:r>
    </w:p>
    <w:p w14:paraId="15C5A698" w14:textId="77777777" w:rsidR="00F34977" w:rsidRPr="00CD05A8" w:rsidRDefault="00F34977" w:rsidP="00F34977">
      <w:pPr>
        <w:pStyle w:val="AbstractBookBaseParagraph"/>
        <w:rPr>
          <w:rFonts w:ascii="Noto Serif Light" w:hAnsi="Noto Serif Light" w:cs="Noto Serif Light"/>
        </w:rPr>
      </w:pPr>
    </w:p>
    <w:p w14:paraId="5A94D68E"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RAP-Net was developed as an intermediate organisational model between fragmented academic engagement and fully institutionalised policy institutes. Its aim is to build cross-university academic networks that support collaborative policy engagement and place-based innovation aligned with regional priorities.</w:t>
      </w:r>
    </w:p>
    <w:p w14:paraId="1AF7EE6A"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initiative operates through workshops, policy labs, roundtables, and co-development sessions designed to facilitate structured interaction between academics and policymakers. Supported by the National Coordinating Centre for Public Engagement (NCCPE), RAP-Net also seeks to develop integrated cross-college workflows for policy engagement, stimulate collaborative policy-oriented funding applications, and create mechanisms for tracking engagement outputs and impacts.</w:t>
      </w:r>
    </w:p>
    <w:p w14:paraId="34821068" w14:textId="77777777" w:rsidR="00F34977" w:rsidRPr="00CD05A8" w:rsidRDefault="00F34977" w:rsidP="00F34977">
      <w:pPr>
        <w:pStyle w:val="AbstractBookBaseParagraph"/>
        <w:rPr>
          <w:rFonts w:ascii="Noto Serif Light" w:hAnsi="Noto Serif Light" w:cs="Noto Serif Light"/>
        </w:rPr>
      </w:pPr>
    </w:p>
    <w:p w14:paraId="7CBC2C96"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A key feature of the intervention is the mapping of university expertise against WMCA ARIs and BCC missions to identify areas of alignment and potential collaboration. Four major areas of overlap were identified: inclusive growth and labour markets; housing, regeneration and sustainability; health inequalities and inclusion; and transport and accessibility. These shared spaces provide the basis for interdisciplinary collaboration and place-based policy engagement. </w:t>
      </w:r>
    </w:p>
    <w:p w14:paraId="5A076948"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Two Policy Labs were subsequently developed to support collaborative agenda setting and test structured engagement mechanisms. The methodological approach therefore combined behavioural diagnostics with participatory policy engagement activities to evaluate both individual and systemic dimensions of engagement.</w:t>
      </w:r>
    </w:p>
    <w:p w14:paraId="695ED37C" w14:textId="77777777" w:rsidR="00F34977" w:rsidRPr="00CD05A8" w:rsidRDefault="00F34977" w:rsidP="00F34977">
      <w:pPr>
        <w:pStyle w:val="AbstractBookBaseParagraph"/>
        <w:rPr>
          <w:rFonts w:ascii="Noto Serif Light" w:hAnsi="Noto Serif Light" w:cs="Noto Serif Light"/>
        </w:rPr>
      </w:pPr>
    </w:p>
    <w:p w14:paraId="75E41E33"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Findings from the workshop and survey showed that academics are highly motivated to engage with policymakers but face substantial structural barriers. The most significant constraints related to lack of time, limited funding, fragmented institutional systems, and unclear pathways for engagement. Moderate capability gaps were also identified, particularly regarding understanding policymaking processes and translating research into actionable policy outputs.</w:t>
      </w:r>
    </w:p>
    <w:p w14:paraId="4B6788C8" w14:textId="77777777" w:rsidR="00F34977" w:rsidRPr="00CD05A8" w:rsidRDefault="00F34977" w:rsidP="00F34977">
      <w:pPr>
        <w:pStyle w:val="AbstractBookBaseParagraph"/>
        <w:rPr>
          <w:rFonts w:ascii="Noto Serif Light" w:hAnsi="Noto Serif Light" w:cs="Noto Serif Light"/>
        </w:rPr>
      </w:pPr>
    </w:p>
    <w:p w14:paraId="5DF73D0B"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Participants consistently highlighted the importance of direct access to policymakers, structured engagement opportunities such as policy labs, and stronger brokerage mechanisms. Existing engagement activities across universities were described as fragmented and dependent on individual initiative rather than coordinated institutional systems.</w:t>
      </w:r>
    </w:p>
    <w:p w14:paraId="70EDA769" w14:textId="77777777" w:rsidR="00F34977" w:rsidRPr="00CD05A8" w:rsidRDefault="00F34977" w:rsidP="00F34977">
      <w:pPr>
        <w:pStyle w:val="AbstractBookBaseParagraph"/>
        <w:rPr>
          <w:rFonts w:ascii="Noto Serif Light" w:hAnsi="Noto Serif Light" w:cs="Noto Serif Light"/>
        </w:rPr>
      </w:pPr>
    </w:p>
    <w:p w14:paraId="683C4DDE"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findings suggest that engagement challenges are primarily driven by opportunity constraints rather than lack of motivation. This indicates that universities should focus less on encouraging academics to engage and more on creating institutional structures that make engagement possible and sustainable.</w:t>
      </w:r>
    </w:p>
    <w:p w14:paraId="6C843F0C"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mapping exercise also revealed asymmetries between WMCA and BCC priorities. WMCA priorities placed greater emphasis on innovation ecosystems, R&amp;D investment, manufacturing transition, and business dynamics, while BCC priorities focused more explicitly on governance reform, safeguarding, violence against women and girls, waste transformation, and organisational recovery. These differences highlight the importance of understanding policy contexts when designing engagement mechanisms.</w:t>
      </w:r>
    </w:p>
    <w:p w14:paraId="2873A3CD" w14:textId="77777777" w:rsidR="00F34977" w:rsidRPr="00CD05A8" w:rsidRDefault="00F34977" w:rsidP="00F34977">
      <w:pPr>
        <w:pStyle w:val="AbstractBookBaseParagraph"/>
        <w:rPr>
          <w:rFonts w:ascii="Noto Serif Light" w:hAnsi="Noto Serif Light" w:cs="Noto Serif Light"/>
        </w:rPr>
      </w:pPr>
    </w:p>
    <w:p w14:paraId="775FAD6F"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This study contributes to debates on place-based innovation and university-policy partnerships in three ways. First, it provides empirical evidence on how regional coordination infrastructures can improve alignment between academic knowledge supply and policy demand. Second, it demonstrates the value of behavioural frameworks such as COM-B for evaluating innovation policy systems and engagement interventions. Third, it positions RAP-Net as a lightweight governance and brokerage model capable of supporting interdisciplinary collaboration and regional knowledge mobilisation.</w:t>
      </w:r>
    </w:p>
    <w:p w14:paraId="2C8D83D8" w14:textId="77777777" w:rsidR="00F34977" w:rsidRPr="00CD05A8" w:rsidRDefault="00F34977" w:rsidP="00F34977">
      <w:pPr>
        <w:pStyle w:val="AbstractBookBaseParagraph"/>
        <w:rPr>
          <w:rFonts w:ascii="Noto Serif Light" w:hAnsi="Noto Serif Light" w:cs="Noto Serif Light"/>
        </w:rPr>
      </w:pPr>
    </w:p>
    <w:p w14:paraId="4C07CD82"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RAP-Net demonstrates the value of structured engagement pathways, institutional brokerage, interdisciplinary coordination, and targeted capability-building mechanisms. As an intermediate organisational form between fragmented engagement and fully institutionalised policy institutes, RAP-Net offers a scalable model for strengthening university-policy collaboration and supporting place-based innovation within regional governance systems. The thematic cluster model provides a practical mechanism for overcoming institutional silos and creating more accessible interfaces between policymakers and academic expertise.</w:t>
      </w:r>
    </w:p>
    <w:p w14:paraId="6263DE79" w14:textId="77777777" w:rsidR="00F34977" w:rsidRPr="00CD05A8" w:rsidRDefault="00F34977" w:rsidP="00F34977">
      <w:pPr>
        <w:pStyle w:val="AbstractBookBaseParagraph"/>
        <w:rPr>
          <w:rFonts w:ascii="Noto Serif Light" w:hAnsi="Noto Serif Light" w:cs="Noto Serif Light"/>
        </w:rPr>
      </w:pPr>
    </w:p>
    <w:p w14:paraId="2C5AB787"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paper concludes that strengthening university contributions to regional innovation systems requires both behavioural insight and institutional design. Effective university-policy engagement depends not only on collaboration itself, but on the organisational conditions that enable sustained participation.</w:t>
      </w:r>
    </w:p>
    <w:p w14:paraId="2F3F7B47" w14:textId="77777777" w:rsidR="00F34977" w:rsidRPr="00CD05A8" w:rsidRDefault="00F34977" w:rsidP="00F34977">
      <w:pPr>
        <w:pStyle w:val="AbstractBookBaseParagraph"/>
        <w:rPr>
          <w:rFonts w:ascii="Noto Serif Light" w:hAnsi="Noto Serif Light" w:cs="Noto Serif Light"/>
        </w:rPr>
      </w:pPr>
    </w:p>
    <w:p w14:paraId="31692657" w14:textId="77777777" w:rsidR="00F34977" w:rsidRPr="00CD05A8" w:rsidRDefault="00F34977" w:rsidP="00F34977">
      <w:pPr>
        <w:pStyle w:val="AbstractBookBaseParagraph"/>
        <w:rPr>
          <w:rFonts w:ascii="Noto Serif Light" w:hAnsi="Noto Serif Light" w:cs="Noto Serif Light"/>
        </w:rPr>
      </w:pPr>
    </w:p>
    <w:p w14:paraId="29F09F63" w14:textId="77777777" w:rsidR="00F34977" w:rsidRPr="00CD05A8" w:rsidRDefault="00F34977" w:rsidP="00F34977">
      <w:pPr>
        <w:pStyle w:val="AbstractBookBaseParagraph"/>
        <w:rPr>
          <w:rFonts w:ascii="Noto Serif Light" w:hAnsi="Noto Serif Light" w:cs="Noto Serif Light"/>
        </w:rPr>
      </w:pPr>
    </w:p>
    <w:p w14:paraId="0F1F7342"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br w:type="page"/>
      </w:r>
    </w:p>
    <w:p w14:paraId="64C6EE92" w14:textId="77777777" w:rsidR="00F34977" w:rsidRDefault="00F34977" w:rsidP="00F34977">
      <w:pPr>
        <w:pStyle w:val="ABSubhead"/>
      </w:pPr>
      <w:r>
        <w:lastRenderedPageBreak/>
        <w:t xml:space="preserve">O75. </w:t>
      </w:r>
      <w:r w:rsidRPr="00CD05A8">
        <w:t xml:space="preserve">What And How Can We Learn from Cuba’s Hyperconnected Local University Centres? </w:t>
      </w:r>
    </w:p>
    <w:p w14:paraId="3EBB43FC" w14:textId="77777777" w:rsidR="00F34977" w:rsidRPr="00220128" w:rsidRDefault="00F34977" w:rsidP="00F34977">
      <w:pPr>
        <w:pStyle w:val="ABParagraph"/>
      </w:pPr>
    </w:p>
    <w:p w14:paraId="312BF86F" w14:textId="77777777" w:rsidR="00F34977" w:rsidRPr="00CD05A8" w:rsidRDefault="00F34977" w:rsidP="00F34977">
      <w:pPr>
        <w:pStyle w:val="AbstractBookAuthors"/>
        <w:rPr>
          <w:rFonts w:ascii="Noto Serif Light" w:hAnsi="Noto Serif Light" w:cs="Noto Serif Light"/>
        </w:rPr>
      </w:pPr>
      <w:r w:rsidRPr="00CD05A8">
        <w:rPr>
          <w:rStyle w:val="AbstractBookPresentingAuthor"/>
          <w:rFonts w:ascii="Noto Serif Light" w:hAnsi="Noto Serif Light" w:cs="Noto Serif Light"/>
        </w:rPr>
        <w:t>Dr Rosi Smith</w:t>
      </w:r>
      <w:r w:rsidRPr="00CD05A8">
        <w:rPr>
          <w:rFonts w:ascii="Noto Serif Light" w:hAnsi="Noto Serif Light" w:cs="Noto Serif Light"/>
          <w:vertAlign w:val="superscript"/>
        </w:rPr>
        <w:t>1</w:t>
      </w:r>
    </w:p>
    <w:p w14:paraId="7EE684A6" w14:textId="77777777" w:rsidR="00F34977" w:rsidRDefault="00F34977" w:rsidP="00F34977">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De Montfort University, Leicester, United Kingdom</w:t>
      </w:r>
    </w:p>
    <w:p w14:paraId="6C7BDBB3" w14:textId="77777777" w:rsidR="00F34977" w:rsidRDefault="00F34977" w:rsidP="00F34977">
      <w:pPr>
        <w:pStyle w:val="AbstractBookBaseParagraph"/>
        <w:rPr>
          <w:rStyle w:val="AbstractBookBaseCharacterStyle"/>
          <w:rFonts w:ascii="Noto Serif Light" w:hAnsi="Noto Serif Light" w:cs="Noto Serif Light"/>
        </w:rPr>
      </w:pPr>
    </w:p>
    <w:p w14:paraId="66A8448E" w14:textId="77777777" w:rsidR="00F34977" w:rsidRPr="00220128" w:rsidRDefault="00F34977" w:rsidP="00F34977">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605AF664"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As Cuba decentralises power and the municipality becomes the principal site of decision-making and action for local development, its local university centres have taken on key responsibilities. Local manifestations of the national government’s commitment to Science and Innovation-based Government, they work in partnership with local government to research, design, support implementation of and evaluate the Municipal Development Strategies that determine each municipality’s direction and identity. We are at the start of a three-year ESRC project to understand the impact of this civic role and the mechanisms and cultures that make it so successful, with a focus on underpinning interconnected human and institutional relationships. </w:t>
      </w:r>
    </w:p>
    <w:p w14:paraId="1CAB4F5E"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This paper will discuss the conditions that support this work, some of which are national, such as Cuba’s history of structured popular participation through mass organisations and its GUCID local university development network, or regional, such as the Latin American tradition of developmental universities. Those we are most interested in, however, are those that function locally – layered and interconnected webs of individuals and organisations in everything from agriculture to the arts and health to climate resilience. </w:t>
      </w:r>
    </w:p>
    <w:p w14:paraId="73109858" w14:textId="77777777" w:rsidR="00F34977" w:rsidRPr="00CD05A8" w:rsidRDefault="00F34977" w:rsidP="00F34977">
      <w:pPr>
        <w:pStyle w:val="AbstractBookBaseParagraph"/>
        <w:rPr>
          <w:rFonts w:ascii="Noto Serif Light" w:hAnsi="Noto Serif Light" w:cs="Noto Serif Light"/>
        </w:rPr>
      </w:pPr>
    </w:p>
    <w:p w14:paraId="5EB167F2"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Municipal University Centres entered these ecosystems in the early 2000s, when they were established in every one of Cuba’s 169 municipalities to offer part-time, local undergraduate study to hundreds of thousands of young people, returning mothers, redundant sugar workers and professionals in key sectors. To manage demand, these courses were delivered by existing local graduates, who continued to exercise their professions, often working directly alongside their students. Those students engaged in outreach and university extension alongside their lecturers, and their dissertations were required to address challenges from ‘banks of problems’ in their workplace or community. </w:t>
      </w:r>
    </w:p>
    <w:p w14:paraId="56ED920B" w14:textId="77777777" w:rsidR="00F34977" w:rsidRPr="00CD05A8" w:rsidRDefault="00F34977" w:rsidP="00F34977">
      <w:pPr>
        <w:pStyle w:val="AbstractBookBaseParagraph"/>
        <w:rPr>
          <w:rFonts w:ascii="Noto Serif Light" w:hAnsi="Noto Serif Light" w:cs="Noto Serif Light"/>
        </w:rPr>
      </w:pPr>
    </w:p>
    <w:p w14:paraId="730895BF"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The ‘workshop university’ model that developed out of these practices embedded collaboration for social impact into municipal higher education, providing the capacity to take on new functions as the century progressed, including post-graduate teaching, training of professionals in state and non-state sectors, research, methodological guidance for local enterprise, delivery of sociocultural programmes and, eventually, their now established role supporting research-based local governance. </w:t>
      </w:r>
    </w:p>
    <w:p w14:paraId="2B65B3DA"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We are interested in how this model enabled the university centres to become hyperconnected nodes, integrated into and often coordinating existing intersectoral webs of community and development actors. We will share the design and aspirations of our new study, which uses action research through capacity-building projects in sustainable agriculture, women’s economic empowerment and participatory budgeting in four very different rural municipalities to support, observe and analyse the processes and approaches that create and sustain these connections. Alongside development metrics, rich data will be generated from creative and participatory community </w:t>
      </w:r>
      <w:r w:rsidRPr="00CD05A8">
        <w:rPr>
          <w:rFonts w:ascii="Noto Serif Light" w:hAnsi="Noto Serif Light" w:cs="Noto Serif Light"/>
        </w:rPr>
        <w:lastRenderedPageBreak/>
        <w:t xml:space="preserve">engagement, structured and theorised through analytical autoethnography by local researchers. </w:t>
      </w:r>
    </w:p>
    <w:p w14:paraId="77B18896" w14:textId="77777777" w:rsidR="00F34977" w:rsidRPr="00CD05A8" w:rsidRDefault="00F34977" w:rsidP="00F34977">
      <w:pPr>
        <w:pStyle w:val="AbstractBookBaseParagraph"/>
        <w:rPr>
          <w:rFonts w:ascii="Noto Serif Light" w:hAnsi="Noto Serif Light" w:cs="Noto Serif Light"/>
        </w:rPr>
      </w:pPr>
    </w:p>
    <w:p w14:paraId="70D1CCE3"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As the project also seeks to share and learn lessons internationally, and will include a follow-up university-community project in Leicester to apply the ideas and practices found to be most transferable, we hope to use this paper as an early opportunity to engage with UK and European experts so that data collection, analysis and future dissemination can be effectively directed towards their priorities and challenges.  </w:t>
      </w:r>
    </w:p>
    <w:p w14:paraId="3BAE1DF8" w14:textId="77777777" w:rsidR="00F34977" w:rsidRPr="00CD05A8" w:rsidRDefault="00F34977" w:rsidP="00F34977">
      <w:pPr>
        <w:pStyle w:val="AbstractBookBaseParagraph"/>
        <w:rPr>
          <w:rFonts w:ascii="Noto Serif Light" w:hAnsi="Noto Serif Light" w:cs="Noto Serif Light"/>
        </w:rPr>
      </w:pPr>
    </w:p>
    <w:p w14:paraId="21C09687"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br w:type="page"/>
      </w:r>
    </w:p>
    <w:p w14:paraId="43E31A74" w14:textId="5AEF76DE" w:rsidR="00F34977" w:rsidRDefault="00F34977" w:rsidP="00F34977">
      <w:pPr>
        <w:pStyle w:val="ABSubhead"/>
      </w:pPr>
      <w:r>
        <w:lastRenderedPageBreak/>
        <w:t xml:space="preserve">O76. </w:t>
      </w:r>
      <w:r w:rsidR="00E72072" w:rsidRPr="00E72072">
        <w:t>Beyond Agglomeration: Understanding the Role of Economic Complexity, Clusters and Networks in Regional Economic Development</w:t>
      </w:r>
    </w:p>
    <w:p w14:paraId="7A7AAAE8" w14:textId="77777777" w:rsidR="00F34977" w:rsidRPr="00CD05A8" w:rsidRDefault="00F34977" w:rsidP="00F34977">
      <w:pPr>
        <w:pStyle w:val="ABParagraph"/>
      </w:pPr>
    </w:p>
    <w:p w14:paraId="4EFB6D28" w14:textId="77777777" w:rsidR="00F34977" w:rsidRPr="00546301" w:rsidRDefault="00F34977" w:rsidP="00F34977">
      <w:pPr>
        <w:pStyle w:val="AbstractBookAuthors"/>
        <w:rPr>
          <w:rFonts w:ascii="Noto Serif Light" w:hAnsi="Noto Serif Light" w:cs="Noto Serif Light"/>
          <w:vertAlign w:val="superscript"/>
        </w:rPr>
      </w:pPr>
      <w:r w:rsidRPr="00CD05A8">
        <w:rPr>
          <w:rStyle w:val="AbstractBookPresentingAuthor"/>
          <w:rFonts w:ascii="Noto Serif Light" w:hAnsi="Noto Serif Light" w:cs="Noto Serif Light"/>
        </w:rPr>
        <w:t>Dr Adam Brown</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Prof</w:t>
      </w:r>
      <w:r>
        <w:rPr>
          <w:rStyle w:val="AbstractBookBaseCharacterStyle"/>
          <w:rFonts w:ascii="Noto Serif Light" w:hAnsi="Noto Serif Light" w:cs="Noto Serif Light"/>
        </w:rPr>
        <w:t>essor</w:t>
      </w:r>
      <w:r w:rsidRPr="00CD05A8">
        <w:rPr>
          <w:rStyle w:val="AbstractBookBaseCharacterStyle"/>
          <w:rFonts w:ascii="Noto Serif Light" w:hAnsi="Noto Serif Light" w:cs="Noto Serif Light"/>
        </w:rPr>
        <w:t xml:space="preserve"> Jen Nelles</w:t>
      </w:r>
      <w:r>
        <w:rPr>
          <w:rStyle w:val="AbstractBookBaseCharacterStyle"/>
          <w:rFonts w:ascii="Noto Serif Light" w:hAnsi="Noto Serif Light" w:cs="Noto Serif Light"/>
          <w:vertAlign w:val="superscript"/>
        </w:rPr>
        <w:t>2</w:t>
      </w:r>
    </w:p>
    <w:p w14:paraId="1E978082" w14:textId="77777777" w:rsidR="00F34977" w:rsidRPr="00546301" w:rsidRDefault="00F34977" w:rsidP="00F34977">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Cambridge Econometrics, United Kingdom</w:t>
      </w:r>
      <w:r>
        <w:rPr>
          <w:rStyle w:val="AbstractBookBaseCharacterStyle"/>
          <w:rFonts w:ascii="Noto Serif Light" w:hAnsi="Noto Serif Light" w:cs="Noto Serif Light"/>
        </w:rPr>
        <w:t xml:space="preserve">, </w:t>
      </w:r>
      <w:r>
        <w:rPr>
          <w:rStyle w:val="AbstractBookBaseCharacterStyle"/>
          <w:rFonts w:ascii="Noto Serif Light" w:hAnsi="Noto Serif Light" w:cs="Noto Serif Light"/>
          <w:vertAlign w:val="superscript"/>
        </w:rPr>
        <w:t>2</w:t>
      </w:r>
      <w:r>
        <w:rPr>
          <w:rStyle w:val="AbstractBookBaseCharacterStyle"/>
          <w:rFonts w:ascii="Noto Serif Light" w:hAnsi="Noto Serif Light" w:cs="Noto Serif Light"/>
        </w:rPr>
        <w:t>Oxford Brookes University, Oxford, United Kingdom</w:t>
      </w:r>
    </w:p>
    <w:p w14:paraId="3529C110" w14:textId="77777777" w:rsidR="00F34977" w:rsidRDefault="00F34977" w:rsidP="00F34977">
      <w:pPr>
        <w:pStyle w:val="AbstractBookBaseParagraph"/>
        <w:rPr>
          <w:rStyle w:val="AbstractBookBaseCharacterStyle"/>
          <w:rFonts w:ascii="Noto Serif Light" w:hAnsi="Noto Serif Light" w:cs="Noto Serif Light"/>
        </w:rPr>
      </w:pPr>
    </w:p>
    <w:p w14:paraId="1DE04161" w14:textId="77777777" w:rsidR="00F34977" w:rsidRPr="00CD05A8" w:rsidRDefault="00F34977" w:rsidP="00F34977">
      <w:pPr>
        <w:pStyle w:val="AbstractBookBaseParagraph"/>
        <w:rPr>
          <w:rFonts w:ascii="Noto Serif Light" w:hAnsi="Noto Serif Light" w:cs="Noto Serif Light"/>
          <w:b/>
          <w:bCs/>
        </w:rPr>
      </w:pPr>
      <w:r>
        <w:rPr>
          <w:rStyle w:val="AbstractBookBaseCharacterStyle"/>
          <w:rFonts w:ascii="Noto Serif Light" w:hAnsi="Noto Serif Light" w:cs="Noto Serif Light"/>
          <w:b/>
          <w:bCs/>
        </w:rPr>
        <w:t>Abstract:</w:t>
      </w:r>
    </w:p>
    <w:p w14:paraId="3F38F36A"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Everyone understands the theoretical importance of fostering agglomeration benefits in driving local and regional economic growth, however too often the policy recommendations that emerge from a straightforward agglomeration lens are either too crude or too vague and ultimately end up being unhelpful. Furthermore, over the past decade the research community has moved beyond the simplistic interpretation of agglomeration and realised that "bigger is not always better”.</w:t>
      </w:r>
    </w:p>
    <w:p w14:paraId="06DF06CC"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 </w:t>
      </w:r>
    </w:p>
    <w:p w14:paraId="3514790E"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Research carried out by Cambridge Econometrics and the Innovation &amp; Research Caucus over a number of projects over the past 2-3 years has sought to unpick some of these assumptions, and apply alternative lens to better understand the way agglomeration benefits can be measured, analysed and stimulated through policy. We begin by building on the empirical work of Coyle and Mealy to explore how the now well-established concept of Economic Complexity represents an update on the more traditional lens of urbanisation agglomeration as understood through matching, sharing and learning processes, and investigate how it can help explain performance variations across UK City Regions. We present our own bespoke theoretical framework, and the results of a series of econometric regressions, with some worked examples of the potential Complexity and Agglomeration impacts of East West Rail. We then shift to a more pragmatic, microeconomic lens, exploring the evidence behind the complementary and reinforcing role of clusters vs networks in developing regional innovation systems, using a case study approach, and discuss the implications of our findings for the implementation of the UK Industrial Strategy, pulling examples from across the UK.</w:t>
      </w:r>
    </w:p>
    <w:p w14:paraId="6D74E9B9"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br w:type="page"/>
      </w:r>
    </w:p>
    <w:p w14:paraId="2CD8D063" w14:textId="77777777" w:rsidR="00F34977" w:rsidRDefault="00F34977" w:rsidP="00F34977">
      <w:pPr>
        <w:pStyle w:val="ABSubhead"/>
      </w:pPr>
      <w:r>
        <w:lastRenderedPageBreak/>
        <w:t>O77. Cluster Policy After the Boom: Institutionalization and Displacement in Norway and Denmark</w:t>
      </w:r>
    </w:p>
    <w:p w14:paraId="14BF2FC6" w14:textId="77777777" w:rsidR="00F34977" w:rsidRPr="00167939" w:rsidRDefault="00F34977" w:rsidP="00F34977">
      <w:pPr>
        <w:pStyle w:val="ABParagraph"/>
      </w:pPr>
    </w:p>
    <w:p w14:paraId="05986F30" w14:textId="77777777" w:rsidR="00F34977" w:rsidRPr="00167939" w:rsidRDefault="00F34977" w:rsidP="00F34977">
      <w:pPr>
        <w:pStyle w:val="AbstractBookAuthors"/>
        <w:rPr>
          <w:rFonts w:ascii="Noto Serif Light" w:hAnsi="Noto Serif Light" w:cs="Noto Serif Light"/>
        </w:rPr>
      </w:pPr>
      <w:r w:rsidRPr="00167939">
        <w:rPr>
          <w:rStyle w:val="AbstractBookBaseCharacterStyle"/>
          <w:rFonts w:ascii="Noto Serif Light" w:hAnsi="Noto Serif Light" w:cs="Noto Serif Light"/>
        </w:rPr>
        <w:t>Arnt Fløysand</w:t>
      </w:r>
      <w:r w:rsidRPr="00167939">
        <w:rPr>
          <w:rFonts w:ascii="Noto Serif Light" w:hAnsi="Noto Serif Light" w:cs="Noto Serif Light"/>
          <w:vertAlign w:val="superscript"/>
        </w:rPr>
        <w:t>2</w:t>
      </w:r>
      <w:r w:rsidRPr="00167939">
        <w:rPr>
          <w:rStyle w:val="AbstractBookBaseCharacterStyle"/>
          <w:rFonts w:ascii="Noto Serif Light" w:hAnsi="Noto Serif Light" w:cs="Noto Serif Light"/>
        </w:rPr>
        <w:t>, Jens Kristian Fosse</w:t>
      </w:r>
      <w:r w:rsidRPr="00167939">
        <w:rPr>
          <w:rFonts w:ascii="Noto Serif Light" w:hAnsi="Noto Serif Light" w:cs="Noto Serif Light"/>
          <w:vertAlign w:val="superscript"/>
        </w:rPr>
        <w:t>2</w:t>
      </w:r>
      <w:r w:rsidRPr="00167939">
        <w:rPr>
          <w:rStyle w:val="AbstractBookBaseCharacterStyle"/>
          <w:rFonts w:ascii="Noto Serif Light" w:hAnsi="Noto Serif Light" w:cs="Noto Serif Light"/>
        </w:rPr>
        <w:t>, Jeppe Nevers</w:t>
      </w:r>
      <w:r w:rsidRPr="00167939">
        <w:rPr>
          <w:rFonts w:ascii="Noto Serif Light" w:hAnsi="Noto Serif Light" w:cs="Noto Serif Light"/>
          <w:vertAlign w:val="superscript"/>
        </w:rPr>
        <w:t>3</w:t>
      </w:r>
      <w:r w:rsidRPr="00167939">
        <w:rPr>
          <w:rStyle w:val="AbstractBookBaseCharacterStyle"/>
          <w:rFonts w:ascii="Noto Serif Light" w:hAnsi="Noto Serif Light" w:cs="Noto Serif Light"/>
        </w:rPr>
        <w:t xml:space="preserve">, </w:t>
      </w:r>
      <w:r w:rsidRPr="00167939">
        <w:rPr>
          <w:rStyle w:val="AbstractBookPresentingAuthor"/>
          <w:rFonts w:ascii="Noto Serif Light" w:hAnsi="Noto Serif Light" w:cs="Noto Serif Light"/>
        </w:rPr>
        <w:t>Dr Mads Bruun Ingstrup</w:t>
      </w:r>
      <w:r w:rsidRPr="00167939">
        <w:rPr>
          <w:rFonts w:ascii="Noto Serif Light" w:hAnsi="Noto Serif Light" w:cs="Noto Serif Light"/>
          <w:vertAlign w:val="superscript"/>
        </w:rPr>
        <w:t>1</w:t>
      </w:r>
      <w:r w:rsidRPr="00167939">
        <w:rPr>
          <w:rStyle w:val="AbstractBookBaseCharacterStyle"/>
          <w:rFonts w:ascii="Noto Serif Light" w:hAnsi="Noto Serif Light" w:cs="Noto Serif Light"/>
        </w:rPr>
        <w:t>, Roger Normann</w:t>
      </w:r>
      <w:r w:rsidRPr="00167939">
        <w:rPr>
          <w:rFonts w:ascii="Noto Serif Light" w:hAnsi="Noto Serif Light" w:cs="Noto Serif Light"/>
          <w:vertAlign w:val="superscript"/>
        </w:rPr>
        <w:t>2</w:t>
      </w:r>
      <w:r w:rsidRPr="00167939">
        <w:rPr>
          <w:rStyle w:val="AbstractBookBaseCharacterStyle"/>
          <w:rFonts w:ascii="Noto Serif Light" w:hAnsi="Noto Serif Light" w:cs="Noto Serif Light"/>
        </w:rPr>
        <w:t>, Stig Erik Jakobsen</w:t>
      </w:r>
      <w:r w:rsidRPr="00167939">
        <w:rPr>
          <w:rFonts w:ascii="Noto Serif Light" w:hAnsi="Noto Serif Light" w:cs="Noto Serif Light"/>
          <w:vertAlign w:val="superscript"/>
        </w:rPr>
        <w:t>2</w:t>
      </w:r>
      <w:r w:rsidRPr="00167939">
        <w:rPr>
          <w:rStyle w:val="AbstractBookBaseCharacterStyle"/>
          <w:rFonts w:ascii="Noto Serif Light" w:hAnsi="Noto Serif Light" w:cs="Noto Serif Light"/>
        </w:rPr>
        <w:t>, Torben Munk Damgaard</w:t>
      </w:r>
      <w:r w:rsidRPr="00167939">
        <w:rPr>
          <w:rFonts w:ascii="Noto Serif Light" w:hAnsi="Noto Serif Light" w:cs="Noto Serif Light"/>
          <w:vertAlign w:val="superscript"/>
        </w:rPr>
        <w:t>1</w:t>
      </w:r>
    </w:p>
    <w:p w14:paraId="43EE3704" w14:textId="77777777" w:rsidR="00F34977" w:rsidRPr="00167939" w:rsidRDefault="00F34977" w:rsidP="00F34977">
      <w:pPr>
        <w:pStyle w:val="AbstractBookBaseParagraph"/>
        <w:rPr>
          <w:rStyle w:val="AbstractBookBaseCharacterStyle"/>
          <w:rFonts w:ascii="Noto Serif Light" w:hAnsi="Noto Serif Light" w:cs="Noto Serif Light"/>
        </w:rPr>
      </w:pPr>
      <w:r w:rsidRPr="00167939">
        <w:rPr>
          <w:rFonts w:ascii="Noto Serif Light" w:hAnsi="Noto Serif Light" w:cs="Noto Serif Light"/>
          <w:vertAlign w:val="superscript"/>
        </w:rPr>
        <w:t>1</w:t>
      </w:r>
      <w:r w:rsidRPr="00167939">
        <w:rPr>
          <w:rStyle w:val="AbstractBookBaseCharacterStyle"/>
          <w:rFonts w:ascii="Noto Serif Light" w:hAnsi="Noto Serif Light" w:cs="Noto Serif Light"/>
        </w:rPr>
        <w:t xml:space="preserve">University of Southern Denmark, Kolding, Denmark, </w:t>
      </w:r>
      <w:r w:rsidRPr="00167939">
        <w:rPr>
          <w:rFonts w:ascii="Noto Serif Light" w:hAnsi="Noto Serif Light" w:cs="Noto Serif Light"/>
          <w:vertAlign w:val="superscript"/>
        </w:rPr>
        <w:t>2</w:t>
      </w:r>
      <w:r w:rsidRPr="00167939">
        <w:rPr>
          <w:rStyle w:val="AbstractBookBaseCharacterStyle"/>
          <w:rFonts w:ascii="Noto Serif Light" w:hAnsi="Noto Serif Light" w:cs="Noto Serif Light"/>
        </w:rPr>
        <w:t xml:space="preserve">Western Norway University of Applied Sciences, Bergen, Norway, </w:t>
      </w:r>
      <w:r w:rsidRPr="00167939">
        <w:rPr>
          <w:rFonts w:ascii="Noto Serif Light" w:hAnsi="Noto Serif Light" w:cs="Noto Serif Light"/>
          <w:vertAlign w:val="superscript"/>
        </w:rPr>
        <w:t>3</w:t>
      </w:r>
      <w:r w:rsidRPr="00167939">
        <w:rPr>
          <w:rStyle w:val="AbstractBookBaseCharacterStyle"/>
          <w:rFonts w:ascii="Noto Serif Light" w:hAnsi="Noto Serif Light" w:cs="Noto Serif Light"/>
        </w:rPr>
        <w:t>University of Southern Denmark, Odense, Denmark</w:t>
      </w:r>
    </w:p>
    <w:p w14:paraId="24C15F3C" w14:textId="77777777" w:rsidR="00F34977" w:rsidRPr="00167939" w:rsidRDefault="00F34977" w:rsidP="00F34977">
      <w:pPr>
        <w:pStyle w:val="AbstractBookBaseParagraph"/>
        <w:rPr>
          <w:rStyle w:val="AbstractBookBaseCharacterStyle"/>
          <w:rFonts w:ascii="Noto Serif Light" w:hAnsi="Noto Serif Light" w:cs="Noto Serif Light"/>
        </w:rPr>
      </w:pPr>
    </w:p>
    <w:p w14:paraId="296F3EEA" w14:textId="77777777" w:rsidR="00F34977" w:rsidRPr="00167939" w:rsidRDefault="00F34977" w:rsidP="00F34977">
      <w:pPr>
        <w:pStyle w:val="AbstractBookBaseParagraph"/>
        <w:rPr>
          <w:rFonts w:ascii="Noto Serif Light" w:hAnsi="Noto Serif Light" w:cs="Noto Serif Light"/>
          <w:b/>
          <w:bCs/>
        </w:rPr>
      </w:pPr>
      <w:r w:rsidRPr="00167939">
        <w:rPr>
          <w:rStyle w:val="AbstractBookBaseCharacterStyle"/>
          <w:rFonts w:ascii="Noto Serif Light" w:hAnsi="Noto Serif Light" w:cs="Noto Serif Light"/>
          <w:b/>
          <w:bCs/>
        </w:rPr>
        <w:t>Abstract:</w:t>
      </w:r>
    </w:p>
    <w:p w14:paraId="2BCD60BD" w14:textId="77777777" w:rsidR="00F34977" w:rsidRDefault="00F34977" w:rsidP="00F34977">
      <w:pPr>
        <w:pStyle w:val="ABParagraph"/>
      </w:pPr>
      <w:r>
        <w:t>Since the early 2000s, cluster programmes have been a substantial and visible instrument in both Norwegian and Danish industrial and innovation policy. The instrument drew legitimacy from competitiveness-oriented cluster arguments, and it was scaled through successive programme generations and professionalized cluster organizations (Porter, 1990, 1998). Yet, while cluster programmes continue, their policy prominence appears to have weakened in terms of policy salience and instrument priority in the broader policy mix. This creates a timely puzzle for regional studies and innovation policy research: what happens to a policy instrument once it has matured, become widely deployed, and is no longer perceived as agenda setting?</w:t>
      </w:r>
    </w:p>
    <w:p w14:paraId="01050250" w14:textId="77777777" w:rsidR="00F34977" w:rsidRDefault="00F34977" w:rsidP="00F34977">
      <w:pPr>
        <w:pStyle w:val="ABParagraph"/>
      </w:pPr>
    </w:p>
    <w:p w14:paraId="38366DC3" w14:textId="77777777" w:rsidR="00F34977" w:rsidRDefault="00F34977" w:rsidP="00F34977">
      <w:pPr>
        <w:pStyle w:val="ABParagraph"/>
      </w:pPr>
      <w:r>
        <w:t>We present a comparative problem framing that places Norway and Denmark side by side and treats cluster programmes as evolving policy practice, including programme theory, governance arrangements, legitimacy narratives, and resource commitments, rather than as a set of individual cluster cases. Conceptually, the paper combines an institutional theory lens that distinguishes stages of habitualization, objectification and sedimentation (Berger &amp; Luckmann, 1966; Tolbert &amp; Zucker, 1999) with a late phase focus on how established instruments are repositioned in the policy mix as priorities change.</w:t>
      </w:r>
    </w:p>
    <w:p w14:paraId="1B1D9C3F" w14:textId="77777777" w:rsidR="00F34977" w:rsidRDefault="00F34977" w:rsidP="00F34977">
      <w:pPr>
        <w:pStyle w:val="ABParagraph"/>
      </w:pPr>
    </w:p>
    <w:p w14:paraId="59FFE9FD" w14:textId="77777777" w:rsidR="00F34977" w:rsidRDefault="00F34977" w:rsidP="00F34977">
      <w:pPr>
        <w:pStyle w:val="ABParagraph"/>
      </w:pPr>
      <w:r>
        <w:t>We conceptualize this late phase through three mechanisms. The first is hard constraints on continuation and renewal of public support. The second is agenda displacement, where political attention, legitimacy narratives, and resources shift towards other instruments and priorities. The third is institutional drift, where cluster programmes persist formally but change their practical role and effects over time as governance routines, performance expectations, and surrounding policy environments evolve (Mahoney &amp; Thelen, 2010).</w:t>
      </w:r>
    </w:p>
    <w:p w14:paraId="49C0653A" w14:textId="77777777" w:rsidR="00F34977" w:rsidRDefault="00F34977" w:rsidP="00F34977">
      <w:pPr>
        <w:pStyle w:val="ABParagraph"/>
      </w:pPr>
    </w:p>
    <w:p w14:paraId="74F8457F" w14:textId="77777777" w:rsidR="00F34977" w:rsidRDefault="00F34977" w:rsidP="00F34977">
      <w:pPr>
        <w:pStyle w:val="ABParagraph"/>
      </w:pPr>
      <w:r>
        <w:t>Methodologically, we structure the empirical analysis around critical events in the evolution of cluster programmes, including programme establishment, major revisions, shifts in objectives and governance, consolidation, and the introduction of renewal and exit logics. We compare how these events reconfigure programme theory, legitimacy narratives, and resource commitments over time in Norway and Denmark. In this paper we ask what mechanisms explain why cluster programmes in Norway and Denmark shift from agenda-setting instruments to instruments that lose policy priority, focusing on renewal constraints, agenda displacement, and institutional drift.</w:t>
      </w:r>
    </w:p>
    <w:p w14:paraId="738F1AC3" w14:textId="77777777" w:rsidR="00F34977" w:rsidRDefault="00F34977" w:rsidP="00F34977">
      <w:pPr>
        <w:pStyle w:val="ABParagraph"/>
      </w:pPr>
    </w:p>
    <w:p w14:paraId="54028DF8" w14:textId="77777777" w:rsidR="00F34977" w:rsidRPr="00167939" w:rsidRDefault="00F34977" w:rsidP="00F34977">
      <w:pPr>
        <w:pStyle w:val="ABParagraph"/>
        <w:rPr>
          <w:b/>
          <w:bCs/>
        </w:rPr>
      </w:pPr>
      <w:r w:rsidRPr="00167939">
        <w:rPr>
          <w:b/>
          <w:bCs/>
        </w:rPr>
        <w:t>Keywords</w:t>
      </w:r>
    </w:p>
    <w:p w14:paraId="010D48ED" w14:textId="77777777" w:rsidR="00F34977" w:rsidRDefault="00F34977" w:rsidP="00F34977">
      <w:pPr>
        <w:pStyle w:val="ABParagraph"/>
      </w:pPr>
      <w:r>
        <w:t>Cluster, Cluster policy, Policy mix, Institutionalization, Displacement.</w:t>
      </w:r>
    </w:p>
    <w:p w14:paraId="75B359CD" w14:textId="77777777" w:rsidR="00F34977" w:rsidRDefault="00F34977" w:rsidP="00F34977">
      <w:pPr>
        <w:pStyle w:val="ABParagraph"/>
      </w:pPr>
    </w:p>
    <w:p w14:paraId="7C890608" w14:textId="77777777" w:rsidR="00F34977" w:rsidRPr="00167939" w:rsidRDefault="00F34977" w:rsidP="00F34977">
      <w:pPr>
        <w:pStyle w:val="ABParagraph"/>
        <w:rPr>
          <w:b/>
          <w:bCs/>
        </w:rPr>
      </w:pPr>
      <w:r w:rsidRPr="00167939">
        <w:rPr>
          <w:b/>
          <w:bCs/>
        </w:rPr>
        <w:lastRenderedPageBreak/>
        <w:t>References</w:t>
      </w:r>
    </w:p>
    <w:p w14:paraId="2FB95053" w14:textId="77777777" w:rsidR="00F34977" w:rsidRDefault="00F34977" w:rsidP="00F34977">
      <w:pPr>
        <w:pStyle w:val="ABParagraph"/>
        <w:numPr>
          <w:ilvl w:val="0"/>
          <w:numId w:val="10"/>
        </w:numPr>
      </w:pPr>
      <w:r>
        <w:t>Berger, P. L., &amp; Luckmann, T. (1966). The Social Construction of Reality: A Treatise in the Sociology of Knowledge. Anchor Books.</w:t>
      </w:r>
    </w:p>
    <w:p w14:paraId="734B5DE3" w14:textId="77777777" w:rsidR="00F34977" w:rsidRDefault="00F34977" w:rsidP="00F34977">
      <w:pPr>
        <w:pStyle w:val="ABParagraph"/>
        <w:numPr>
          <w:ilvl w:val="0"/>
          <w:numId w:val="10"/>
        </w:numPr>
      </w:pPr>
      <w:r>
        <w:t>Mahoney, J., &amp; Thelen, K. (2010). A Theory of Gradual Institutional Change. In J. Mahoney &amp; K. Thelen (Eds.), Explaining Institutional Change: Ambiguity, Agency, and Power (pp. 1–37). Cambridge University Press.https://doi.org/10.1017/CBO9780511806414.003</w:t>
      </w:r>
    </w:p>
    <w:p w14:paraId="2D5DB039" w14:textId="77777777" w:rsidR="00F34977" w:rsidRDefault="00F34977" w:rsidP="00F34977">
      <w:pPr>
        <w:pStyle w:val="ABParagraph"/>
        <w:numPr>
          <w:ilvl w:val="0"/>
          <w:numId w:val="10"/>
        </w:numPr>
      </w:pPr>
      <w:r>
        <w:t>Porter, M. E. (1990). The competitive advantage of nations. Macmillan.</w:t>
      </w:r>
    </w:p>
    <w:p w14:paraId="7E3E3DC4" w14:textId="77777777" w:rsidR="00F34977" w:rsidRDefault="00F34977" w:rsidP="00F34977">
      <w:pPr>
        <w:pStyle w:val="ABParagraph"/>
        <w:numPr>
          <w:ilvl w:val="0"/>
          <w:numId w:val="10"/>
        </w:numPr>
      </w:pPr>
      <w:r>
        <w:t>Porter, M. E. (1998). Clusters and the new economics of competition. Harvard Business Review, 76(6), 77–90.</w:t>
      </w:r>
    </w:p>
    <w:p w14:paraId="34D477D9" w14:textId="77777777" w:rsidR="00F34977" w:rsidRDefault="00F34977" w:rsidP="00F34977">
      <w:pPr>
        <w:pStyle w:val="ABParagraph"/>
        <w:numPr>
          <w:ilvl w:val="0"/>
          <w:numId w:val="10"/>
        </w:numPr>
      </w:pPr>
      <w:r>
        <w:t>Tolbert, P. S., &amp; Zucker, L. G. (1999). The Institutionalization of Institutional Theory. In S. R. Clegg &amp; C. Hardy (Eds.), Studying Organization: Theory and Method (pp. 169–184). SAGE Publications Ltd. https://doi.org/10.4135/9781446218556.n6</w:t>
      </w:r>
    </w:p>
    <w:p w14:paraId="56068C2F" w14:textId="77777777" w:rsidR="00F34977" w:rsidRDefault="00F34977" w:rsidP="00F34977">
      <w:pPr>
        <w:pStyle w:val="ABParagraph"/>
        <w:numPr>
          <w:ilvl w:val="0"/>
          <w:numId w:val="10"/>
        </w:numPr>
      </w:pPr>
      <w:r>
        <w:br w:type="page"/>
      </w:r>
    </w:p>
    <w:p w14:paraId="15E7DF96" w14:textId="77777777" w:rsidR="00F34977" w:rsidRDefault="00F34977" w:rsidP="002E64EC">
      <w:pPr>
        <w:pStyle w:val="ABSubhead"/>
        <w:ind w:left="360"/>
      </w:pPr>
      <w:r>
        <w:lastRenderedPageBreak/>
        <w:t xml:space="preserve">O78. </w:t>
      </w:r>
      <w:r w:rsidRPr="00CD05A8">
        <w:t>Putting Place First: Towards a New Vision for UK Industrial Strategy</w:t>
      </w:r>
    </w:p>
    <w:p w14:paraId="7B792C82" w14:textId="77777777" w:rsidR="00F34977" w:rsidRPr="00220128" w:rsidRDefault="00F34977" w:rsidP="002E64EC">
      <w:pPr>
        <w:pStyle w:val="ABParagraph"/>
        <w:ind w:left="360"/>
      </w:pPr>
    </w:p>
    <w:p w14:paraId="72AD6375" w14:textId="77777777" w:rsidR="00F34977" w:rsidRPr="00CD05A8" w:rsidRDefault="00F34977" w:rsidP="002E64EC">
      <w:pPr>
        <w:pStyle w:val="AbstractBookAuthors"/>
        <w:ind w:left="360"/>
        <w:rPr>
          <w:rFonts w:ascii="Noto Serif Light" w:hAnsi="Noto Serif Light" w:cs="Noto Serif Light"/>
        </w:rPr>
      </w:pPr>
      <w:r w:rsidRPr="00CD05A8">
        <w:rPr>
          <w:rStyle w:val="AbstractBookPresentingAuthor"/>
          <w:rFonts w:ascii="Noto Serif Light" w:hAnsi="Noto Serif Light" w:cs="Noto Serif Light"/>
        </w:rPr>
        <w:t>David Bailey</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Dr Paul Hildreth</w:t>
      </w:r>
      <w:r w:rsidRPr="00CD05A8">
        <w:rPr>
          <w:rFonts w:ascii="Noto Serif Light" w:hAnsi="Noto Serif Light" w:cs="Noto Serif Light"/>
          <w:vertAlign w:val="superscript"/>
        </w:rPr>
        <w:t>2</w:t>
      </w:r>
    </w:p>
    <w:p w14:paraId="00CD7B37" w14:textId="77777777" w:rsidR="00F34977" w:rsidRDefault="00F34977" w:rsidP="002E64EC">
      <w:pPr>
        <w:pStyle w:val="AbstractBookBaseParagraph"/>
        <w:ind w:left="360"/>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Birmingham Business School, Birmingham, United Kingdom, </w:t>
      </w:r>
      <w:r w:rsidRPr="00CD05A8">
        <w:rPr>
          <w:rFonts w:ascii="Noto Serif Light" w:hAnsi="Noto Serif Light" w:cs="Noto Serif Light"/>
          <w:vertAlign w:val="superscript"/>
        </w:rPr>
        <w:t>2</w:t>
      </w:r>
      <w:r w:rsidRPr="00CD05A8">
        <w:rPr>
          <w:rStyle w:val="AbstractBookBaseCharacterStyle"/>
          <w:rFonts w:ascii="Noto Serif Light" w:hAnsi="Noto Serif Light" w:cs="Noto Serif Light"/>
        </w:rPr>
        <w:t>Bartlett School of Planning, London, United Kingdom</w:t>
      </w:r>
    </w:p>
    <w:p w14:paraId="65FC9C42" w14:textId="77777777" w:rsidR="00F34977" w:rsidRDefault="00F34977" w:rsidP="002E64EC">
      <w:pPr>
        <w:pStyle w:val="AbstractBookBaseParagraph"/>
        <w:ind w:left="360"/>
        <w:rPr>
          <w:rStyle w:val="AbstractBookBaseCharacterStyle"/>
          <w:rFonts w:ascii="Noto Serif Light" w:hAnsi="Noto Serif Light" w:cs="Noto Serif Light"/>
        </w:rPr>
      </w:pPr>
    </w:p>
    <w:p w14:paraId="2703816C" w14:textId="77777777" w:rsidR="00F34977" w:rsidRPr="00220128" w:rsidRDefault="00F34977" w:rsidP="002E64EC">
      <w:pPr>
        <w:pStyle w:val="AbstractBookBaseParagraph"/>
        <w:ind w:left="360"/>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4C88CB53" w14:textId="77777777" w:rsidR="00F34977" w:rsidRPr="00CD05A8"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t>This paper challenges the longstanding dominance of agglomeration theory in shaping the United Kingdom’s approach to industrial and regional strategy. While agglomeration thinking, rooted in urban economics, has played an influential role in government policy for more than two decades, persistent spatial inequalities, institutional fragmentation, and the underperformance of the UK’s largest cities raise serious questions about its suitability as a universal framework for national industrial policy. The paper argues that the UK economy is better understood as comprising three distinct types of firm-place relationships: agglomeration economies, industrial complex economies, and social network economies. Using this lens, the paper critiques Labour’s Industrial Strategy White Paper, demonstrating that although it claims to be “unashamedly place-based,” it remains largely anchored to an agglomeration-centric conceptual model. The result is a strategy that fails to reflect the diverse economic geographies that characterise the UK. The paper proposes a pluralist framework for industrial strategy that is spatially sensitive, multi-scalar, institutionally grounded, and better capable of supporting the wide range of firm behaviours and regional conditions present across the UK. It concludes with practical recommendations for policymakers seeking to design industrial strategies that better reflect the complex interrelationships among firms, institutions, and place.</w:t>
      </w:r>
    </w:p>
    <w:p w14:paraId="36ED06BF" w14:textId="77777777" w:rsidR="00F34977" w:rsidRPr="00CD05A8" w:rsidRDefault="00F34977" w:rsidP="00F34977">
      <w:pPr>
        <w:pStyle w:val="AbstractBookBaseParagraph"/>
        <w:numPr>
          <w:ilvl w:val="0"/>
          <w:numId w:val="10"/>
        </w:numPr>
        <w:rPr>
          <w:rFonts w:ascii="Noto Serif Light" w:hAnsi="Noto Serif Light" w:cs="Noto Serif Light"/>
        </w:rPr>
      </w:pPr>
      <w:r w:rsidRPr="00CD05A8">
        <w:rPr>
          <w:rFonts w:ascii="Noto Serif Light" w:hAnsi="Noto Serif Light" w:cs="Noto Serif Light"/>
        </w:rPr>
        <w:br w:type="page"/>
      </w:r>
    </w:p>
    <w:p w14:paraId="04705E89" w14:textId="77777777" w:rsidR="00F34977" w:rsidRDefault="00F34977" w:rsidP="002E64EC">
      <w:pPr>
        <w:pStyle w:val="ABSubhead"/>
        <w:ind w:left="360"/>
      </w:pPr>
      <w:r>
        <w:lastRenderedPageBreak/>
        <w:t xml:space="preserve">O79. </w:t>
      </w:r>
      <w:r w:rsidRPr="00CD05A8">
        <w:t>Decoupling from Global Value Chains in European Regions and Sectors: Implications for Innovation and Regional Ecosystem Policies</w:t>
      </w:r>
    </w:p>
    <w:p w14:paraId="65E76823" w14:textId="77777777" w:rsidR="00F34977" w:rsidRPr="00AB325A" w:rsidRDefault="00F34977" w:rsidP="002E64EC">
      <w:pPr>
        <w:pStyle w:val="ABParagraph"/>
        <w:ind w:left="360"/>
      </w:pPr>
    </w:p>
    <w:p w14:paraId="7992F3A8" w14:textId="77777777" w:rsidR="00F34977" w:rsidRPr="00CD05A8" w:rsidRDefault="00F34977" w:rsidP="002E64EC">
      <w:pPr>
        <w:pStyle w:val="AbstractBookAuthors"/>
        <w:ind w:left="360"/>
        <w:rPr>
          <w:rFonts w:ascii="Noto Serif Light" w:hAnsi="Noto Serif Light" w:cs="Noto Serif Light"/>
        </w:rPr>
      </w:pPr>
      <w:r w:rsidRPr="00CD05A8">
        <w:rPr>
          <w:rStyle w:val="AbstractBookPresentingAuthor"/>
          <w:rFonts w:ascii="Noto Serif Light" w:hAnsi="Noto Serif Light" w:cs="Noto Serif Light"/>
        </w:rPr>
        <w:t>Prof</w:t>
      </w:r>
      <w:r>
        <w:rPr>
          <w:rStyle w:val="AbstractBookPresentingAuthor"/>
          <w:rFonts w:ascii="Noto Serif Light" w:hAnsi="Noto Serif Light" w:cs="Noto Serif Light"/>
        </w:rPr>
        <w:t>essor</w:t>
      </w:r>
      <w:r w:rsidRPr="00CD05A8">
        <w:rPr>
          <w:rStyle w:val="AbstractBookPresentingAuthor"/>
          <w:rFonts w:ascii="Noto Serif Light" w:hAnsi="Noto Serif Light" w:cs="Noto Serif Light"/>
        </w:rPr>
        <w:t xml:space="preserve"> Frank Van Oort</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Mark Thissen</w:t>
      </w:r>
      <w:r w:rsidRPr="00CD05A8">
        <w:rPr>
          <w:rFonts w:ascii="Noto Serif Light" w:hAnsi="Noto Serif Light" w:cs="Noto Serif Light"/>
          <w:vertAlign w:val="superscript"/>
        </w:rPr>
        <w:t>2</w:t>
      </w:r>
    </w:p>
    <w:p w14:paraId="159A7848" w14:textId="77777777" w:rsidR="00F34977" w:rsidRDefault="00F34977" w:rsidP="002E64EC">
      <w:pPr>
        <w:pStyle w:val="AbstractBookBaseParagraph"/>
        <w:ind w:left="360"/>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xml:space="preserve">Erasmus University, Rotterdam, Netherlands, </w:t>
      </w:r>
      <w:r w:rsidRPr="00CD05A8">
        <w:rPr>
          <w:rFonts w:ascii="Noto Serif Light" w:hAnsi="Noto Serif Light" w:cs="Noto Serif Light"/>
          <w:vertAlign w:val="superscript"/>
        </w:rPr>
        <w:t>2</w:t>
      </w:r>
      <w:r w:rsidRPr="00CD05A8">
        <w:rPr>
          <w:rStyle w:val="AbstractBookBaseCharacterStyle"/>
          <w:rFonts w:ascii="Noto Serif Light" w:hAnsi="Noto Serif Light" w:cs="Noto Serif Light"/>
        </w:rPr>
        <w:t>VU University, Amsterdam, Netherlands</w:t>
      </w:r>
    </w:p>
    <w:p w14:paraId="62052C8F" w14:textId="77777777" w:rsidR="00F34977" w:rsidRDefault="00F34977" w:rsidP="002E64EC">
      <w:pPr>
        <w:pStyle w:val="AbstractBookBaseParagraph"/>
        <w:ind w:left="360"/>
        <w:rPr>
          <w:rStyle w:val="AbstractBookBaseCharacterStyle"/>
          <w:rFonts w:ascii="Noto Serif Light" w:hAnsi="Noto Serif Light" w:cs="Noto Serif Light"/>
        </w:rPr>
      </w:pPr>
    </w:p>
    <w:p w14:paraId="7B8B51F2" w14:textId="77777777" w:rsidR="00F34977" w:rsidRPr="00AB325A" w:rsidRDefault="00F34977" w:rsidP="002E64EC">
      <w:pPr>
        <w:pStyle w:val="AbstractBookBaseParagraph"/>
        <w:ind w:left="360"/>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2AD3B59D" w14:textId="77777777" w:rsidR="00F34977" w:rsidRPr="00CD05A8"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t xml:space="preserve">(Work together with Mark Thissen, Simone Salotti, Abian Garcia-Rodriguez &amp; Erwin Kalvelagen) </w:t>
      </w:r>
    </w:p>
    <w:p w14:paraId="16EB15E3" w14:textId="77777777" w:rsidR="00F34977" w:rsidRPr="00CD05A8" w:rsidRDefault="00F34977" w:rsidP="002E64EC">
      <w:pPr>
        <w:pStyle w:val="AbstractBookBaseParagraph"/>
        <w:ind w:left="360"/>
        <w:rPr>
          <w:rFonts w:ascii="Noto Serif Light" w:hAnsi="Noto Serif Light" w:cs="Noto Serif Light"/>
        </w:rPr>
      </w:pPr>
    </w:p>
    <w:p w14:paraId="53B374BD" w14:textId="77777777" w:rsidR="00F34977"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t>This paper presents a novel reverse-engineering methodology utilizing input-output analysis to assess the regional economic consequences of European decoupling from global value chains (GVCs), with a particular focus on regional innovation dynamics. In the absence of strict guidelines dictating targeted products and the magnitude of policies, we model a scenario featuring a 25% reduction in dependence on non-European inputs at European NUTS2-level, with percentage-wise scalable results. As the European Union navigates challenges stemming from increasing global uncertainties, the concept of open strategic autonomy has gained prominence. This approach aims to reconcile the benefits of global trade with the development of domestic capabilities in critical sectors such as pharmaceuticals, batteries, and semiconductors. It raises essential questions regarding the restructuring of global production networks, the economic implications of partial decoupling among major trading powers, and the associated policies of trade diversion and technological change (innovation) necessary for achieving decoupling.</w:t>
      </w:r>
    </w:p>
    <w:p w14:paraId="2692573F" w14:textId="77777777" w:rsidR="00F34977" w:rsidRPr="00CD05A8" w:rsidRDefault="00F34977" w:rsidP="002E64EC">
      <w:pPr>
        <w:pStyle w:val="AbstractBookBaseParagraph"/>
        <w:ind w:left="360"/>
        <w:rPr>
          <w:rFonts w:ascii="Noto Serif Light" w:hAnsi="Noto Serif Light" w:cs="Noto Serif Light"/>
        </w:rPr>
      </w:pPr>
    </w:p>
    <w:p w14:paraId="5729C488" w14:textId="77777777" w:rsidR="00F34977"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t xml:space="preserve">The methodology highlights the complex and multifaceted nature of decoupling, revealing significant regional and sectoral variations in impact. Large agglomerations with high exposure to GVCs are projected to face substantial challenges under European decoupling initiatives, while non-core regions, classified as second- and third-tier areas, demonstrate resilience and lower vulnerability. These regions may benefit from a national or European economic focus that mitigates potential losses from diminishing GVC participation. Our analyses show the necessity of understanding regional and industrial divergence within the context of decoupling strategies. While Europe as a whole may not experience severe aggregate impacts, distinct variations emerge at sectoral and regional levels due to the differing degrees of integration within global, European, and national economies via their respective value chains: Global Value Chains (GVCs), European Value Chains (EVCs), and National Value Chains (NVCs). </w:t>
      </w:r>
    </w:p>
    <w:p w14:paraId="4EDD18BD" w14:textId="77777777" w:rsidR="002E64EC" w:rsidRDefault="002E64EC" w:rsidP="002E64EC">
      <w:pPr>
        <w:pStyle w:val="AbstractBookBaseParagraph"/>
        <w:ind w:left="360"/>
        <w:rPr>
          <w:rFonts w:ascii="Noto Serif Light" w:hAnsi="Noto Serif Light" w:cs="Noto Serif Light"/>
        </w:rPr>
      </w:pPr>
    </w:p>
    <w:p w14:paraId="78657B88" w14:textId="77777777" w:rsidR="00F34977" w:rsidRPr="00CD05A8"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t>These findings reinforce the importance of targeted, place-based industrial policies that facilitate necessary trade diversions and induce technological changes and innovation essential for achieving strategic autonomy.</w:t>
      </w:r>
    </w:p>
    <w:p w14:paraId="68410059" w14:textId="77777777" w:rsidR="00F34977"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t xml:space="preserve">Empirical data illustrates complex outcomes across sectors following our 25% non-European decoupling scenario in European regions. The pharmaceutical sector faces uniformly negative implications, while the computer and electronics sectors demonstrate significant localized advantages. Other industries, including food, </w:t>
      </w:r>
      <w:r w:rsidRPr="00CD05A8">
        <w:rPr>
          <w:rFonts w:ascii="Noto Serif Light" w:hAnsi="Noto Serif Light" w:cs="Noto Serif Light"/>
        </w:rPr>
        <w:lastRenderedPageBreak/>
        <w:t>machinery, and motor vehicles, yield mixed results, impacting second- and third-tier regions variably. This nuanced understanding necessitates a region-specific policy approach to balance the objectives of decoupling with fostering innovation-driven regional growth and cohesion. To address the diverse regional impacts of reduced dependencies, regional customization in policy implementation is critical. Given the substantial variance in dependencies across regions and industry sectors, a one-size-fits-all national policy risks missing the mark on achieving greater autonomy. Specific industries in particular locations may require tailored support for either technological change or trade diversion. Therefore, an effective policy must align with local economic structures, necessitating detailed knowledge of regional contexts and requirements.</w:t>
      </w:r>
    </w:p>
    <w:p w14:paraId="22B66224" w14:textId="77777777" w:rsidR="002E64EC" w:rsidRPr="00CD05A8" w:rsidRDefault="002E64EC" w:rsidP="002E64EC">
      <w:pPr>
        <w:pStyle w:val="AbstractBookBaseParagraph"/>
        <w:ind w:left="360"/>
        <w:rPr>
          <w:rFonts w:ascii="Noto Serif Light" w:hAnsi="Noto Serif Light" w:cs="Noto Serif Light"/>
        </w:rPr>
      </w:pPr>
    </w:p>
    <w:p w14:paraId="20B73E8F" w14:textId="77777777" w:rsidR="00F34977"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t>Furthermore, effective policies require a cohesive spatial investment strategy tailored to identify critical products and the means by which dependencies can be reduced. Currently, there is a lack of regional specificity in strategic autonomy policies in the Netherlands. Reports such as those from Draghi in the EU and Wennink in the Netherlands propose areas of focus, including digitalization and AI, security, energy, and life sciences, yet a detailed industry-level focus at the regional level remains absent. Thus, an investment agenda must align with the autonomy agenda to strengthen local ecosystems and reduce regional bottlenecks.</w:t>
      </w:r>
    </w:p>
    <w:p w14:paraId="30E7C0D4" w14:textId="77777777" w:rsidR="00F34977" w:rsidRPr="00CD05A8" w:rsidRDefault="00F34977" w:rsidP="002E64EC">
      <w:pPr>
        <w:pStyle w:val="AbstractBookBaseParagraph"/>
        <w:ind w:left="360"/>
        <w:rPr>
          <w:rFonts w:ascii="Noto Serif Light" w:hAnsi="Noto Serif Light" w:cs="Noto Serif Light"/>
        </w:rPr>
      </w:pPr>
    </w:p>
    <w:p w14:paraId="45DD466E" w14:textId="77777777" w:rsidR="00F34977"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t>Policy recommendations based on our research are fourfold. First, there should be regional-specific strategic autonomy policy: existing policies tend to be uniform and nationally focused; however, achieving open strategic autonomy necessitates region-specific strategies. Strengthening the regional vision presented in reports like Draghi’s competitiveness report for Europe and linking it to the strategic autonomy agenda is vital. Second, policy should anticipate regional distribution effects: the economic consequences of policies aimed at strategic autonomy, while modest at the national level, conceal significant underlying disparities. Positive and negative effects may cancel each other out within national averages, but substantial inequalities can arise between regions and sectors. Integrating regional impact analyses into policy formulation can help address these issues, ensuring that any adverse distribution effects are countered through appropriate flank policies. Third, a European coordination for regional policy is needed: national policies around strategic autonomy should align with wider European policies, including regulations that help establish instruments such as the Industrial Accelerator Act. Reducing economic dependency requires careful coordination at the European level to ensure local adjustments can be made effectively, recognizing that actions solely within national economies may not achieve the desired autonomy. Fourth, independence should be operationalised: clarifying the goals and boundaries of strategic autonomy policies is essential so that specific measures, including innovation and ecosystem targeted policies, can be developed to achieve these objectives. Operationalizing this independence will require new instruments aligned with regional economic dynamics.</w:t>
      </w:r>
    </w:p>
    <w:p w14:paraId="54E3B364" w14:textId="77777777" w:rsidR="00F34977" w:rsidRPr="00CD05A8" w:rsidRDefault="00F34977" w:rsidP="002E64EC">
      <w:pPr>
        <w:pStyle w:val="AbstractBookBaseParagraph"/>
        <w:ind w:left="360"/>
        <w:rPr>
          <w:rFonts w:ascii="Noto Serif Light" w:hAnsi="Noto Serif Light" w:cs="Noto Serif Light"/>
        </w:rPr>
      </w:pPr>
    </w:p>
    <w:p w14:paraId="3E65DD78" w14:textId="77777777" w:rsidR="00F34977" w:rsidRPr="00CD05A8"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t xml:space="preserve">In conclusion, while the overarching narrative around decoupling emphasizes national objectives, it is crucial to maintain a focus on place-based cohesion policies. Targeted initiatives are essential for promoting innovation and ensuring that regional economies are equipped to navigate the complexities of a changing global </w:t>
      </w:r>
      <w:r w:rsidRPr="00CD05A8">
        <w:rPr>
          <w:rFonts w:ascii="Noto Serif Light" w:hAnsi="Noto Serif Light" w:cs="Noto Serif Light"/>
        </w:rPr>
        <w:lastRenderedPageBreak/>
        <w:t>economic landscape. Understanding the interconnections between regional and industrial policies is essential for crafting effective strategies that enhance economic resilience and innovation-driven growth in light of significant geopolitical shifts.</w:t>
      </w:r>
    </w:p>
    <w:p w14:paraId="64EE0BC6" w14:textId="77777777" w:rsidR="00F34977" w:rsidRPr="00CD05A8" w:rsidRDefault="00F34977" w:rsidP="002E64EC">
      <w:pPr>
        <w:pStyle w:val="AbstractBookBaseParagraph"/>
        <w:ind w:left="360"/>
        <w:rPr>
          <w:rFonts w:ascii="Noto Serif Light" w:hAnsi="Noto Serif Light" w:cs="Noto Serif Light"/>
        </w:rPr>
      </w:pPr>
    </w:p>
    <w:p w14:paraId="1B469A33" w14:textId="77777777" w:rsidR="00F34977" w:rsidRPr="00CD05A8" w:rsidRDefault="00F34977" w:rsidP="002E64EC">
      <w:pPr>
        <w:pStyle w:val="AbstractBookBaseParagraph"/>
        <w:ind w:left="360"/>
        <w:rPr>
          <w:rFonts w:ascii="Noto Serif Light" w:hAnsi="Noto Serif Light" w:cs="Noto Serif Light"/>
        </w:rPr>
      </w:pPr>
    </w:p>
    <w:p w14:paraId="7E96663F" w14:textId="77777777" w:rsidR="00F34977" w:rsidRPr="00CD05A8" w:rsidRDefault="00F34977" w:rsidP="002E64EC">
      <w:pPr>
        <w:pStyle w:val="AbstractBookBaseParagraph"/>
        <w:ind w:left="360"/>
        <w:rPr>
          <w:rFonts w:ascii="Noto Serif Light" w:hAnsi="Noto Serif Light" w:cs="Noto Serif Light"/>
        </w:rPr>
      </w:pPr>
    </w:p>
    <w:p w14:paraId="6ADD8947" w14:textId="77777777" w:rsidR="00F34977" w:rsidRPr="00CD05A8"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br w:type="page"/>
      </w:r>
    </w:p>
    <w:p w14:paraId="5E70B0E4" w14:textId="77777777" w:rsidR="00F34977" w:rsidRDefault="00F34977" w:rsidP="002E64EC">
      <w:pPr>
        <w:pStyle w:val="ABSubhead"/>
        <w:ind w:left="360"/>
      </w:pPr>
      <w:r>
        <w:lastRenderedPageBreak/>
        <w:t xml:space="preserve">O80. </w:t>
      </w:r>
      <w:r w:rsidRPr="00CD05A8">
        <w:t>Revisiting Regional Innovation Systems</w:t>
      </w:r>
    </w:p>
    <w:p w14:paraId="243F10C4" w14:textId="77777777" w:rsidR="00F34977" w:rsidRPr="00AB325A" w:rsidRDefault="00F34977" w:rsidP="002E64EC">
      <w:pPr>
        <w:pStyle w:val="ABParagraph"/>
        <w:ind w:left="360"/>
      </w:pPr>
    </w:p>
    <w:p w14:paraId="2273054C" w14:textId="77777777" w:rsidR="00F34977" w:rsidRPr="00CD05A8" w:rsidRDefault="00F34977" w:rsidP="002E64EC">
      <w:pPr>
        <w:pStyle w:val="AbstractBookAuthors"/>
        <w:ind w:left="360"/>
        <w:rPr>
          <w:rFonts w:ascii="Noto Serif Light" w:hAnsi="Noto Serif Light" w:cs="Noto Serif Light"/>
        </w:rPr>
      </w:pPr>
      <w:r w:rsidRPr="00CD05A8">
        <w:rPr>
          <w:rStyle w:val="AbstractBookPresentingAuthor"/>
          <w:rFonts w:ascii="Noto Serif Light" w:hAnsi="Noto Serif Light" w:cs="Noto Serif Light"/>
        </w:rPr>
        <w:t>Prof</w:t>
      </w:r>
      <w:r>
        <w:rPr>
          <w:rStyle w:val="AbstractBookPresentingAuthor"/>
          <w:rFonts w:ascii="Noto Serif Light" w:hAnsi="Noto Serif Light" w:cs="Noto Serif Light"/>
        </w:rPr>
        <w:t>essor</w:t>
      </w:r>
      <w:r w:rsidRPr="00CD05A8">
        <w:rPr>
          <w:rStyle w:val="AbstractBookPresentingAuthor"/>
          <w:rFonts w:ascii="Noto Serif Light" w:hAnsi="Noto Serif Light" w:cs="Noto Serif Light"/>
        </w:rPr>
        <w:t xml:space="preserve"> David Charles</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Dr Özge Dilaver</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Prof</w:t>
      </w:r>
      <w:r>
        <w:rPr>
          <w:rStyle w:val="AbstractBookBaseCharacterStyle"/>
          <w:rFonts w:ascii="Noto Serif Light" w:hAnsi="Noto Serif Light" w:cs="Noto Serif Light"/>
        </w:rPr>
        <w:t>essor</w:t>
      </w:r>
      <w:r w:rsidRPr="00CD05A8">
        <w:rPr>
          <w:rStyle w:val="AbstractBookBaseCharacterStyle"/>
          <w:rFonts w:ascii="Noto Serif Light" w:hAnsi="Noto Serif Light" w:cs="Noto Serif Light"/>
        </w:rPr>
        <w:t xml:space="preserve"> Gary Bosworth</w:t>
      </w:r>
      <w:r w:rsidRPr="00CD05A8">
        <w:rPr>
          <w:rFonts w:ascii="Noto Serif Light" w:hAnsi="Noto Serif Light" w:cs="Noto Serif Light"/>
          <w:vertAlign w:val="superscript"/>
        </w:rPr>
        <w:t>1</w:t>
      </w:r>
    </w:p>
    <w:p w14:paraId="319F0323" w14:textId="77777777" w:rsidR="00F34977" w:rsidRDefault="00F34977" w:rsidP="002E64EC">
      <w:pPr>
        <w:pStyle w:val="AbstractBookBaseParagraph"/>
        <w:ind w:left="360"/>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Northumbria University, Newcastle upon Tyne, United Kingdom</w:t>
      </w:r>
    </w:p>
    <w:p w14:paraId="3C4816FA" w14:textId="77777777" w:rsidR="00F34977" w:rsidRDefault="00F34977" w:rsidP="002E64EC">
      <w:pPr>
        <w:pStyle w:val="AbstractBookBaseParagraph"/>
        <w:ind w:left="360"/>
        <w:rPr>
          <w:rStyle w:val="AbstractBookBaseCharacterStyle"/>
          <w:rFonts w:ascii="Noto Serif Light" w:hAnsi="Noto Serif Light" w:cs="Noto Serif Light"/>
        </w:rPr>
      </w:pPr>
    </w:p>
    <w:p w14:paraId="34A656AD" w14:textId="77777777" w:rsidR="00F34977" w:rsidRPr="00AB325A" w:rsidRDefault="00F34977" w:rsidP="002E64EC">
      <w:pPr>
        <w:pStyle w:val="AbstractBookBaseParagraph"/>
        <w:ind w:left="360"/>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6C580D3A" w14:textId="77777777" w:rsidR="00F34977"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t>Regional innovation systems (RIS) have been extensively studied in core regions and successful industrial clusters. However, our understanding of innovation systems in (semi)peripheral areas and places that have experienced long term economic stagnation - due to, for example, deindustrialisation and weakened economic connections to the core - remains limited. While big cities remain focal points for agglomeration driven growth, policies such as the UK's Levelling Up and the EU's Cohesion Policy increasingly recognise spatial disparities as requiring place-based responses. This creates a critical tension: can place based policies tap into agglomeration dynamics at smaller scales, or do we need new understandings of innovation systems for places where RIS have not emerged or remain invisible?</w:t>
      </w:r>
    </w:p>
    <w:p w14:paraId="090056DF" w14:textId="77777777" w:rsidR="00F34977" w:rsidRPr="00CD05A8" w:rsidRDefault="00F34977" w:rsidP="002E64EC">
      <w:pPr>
        <w:pStyle w:val="AbstractBookBaseParagraph"/>
        <w:ind w:left="360"/>
        <w:rPr>
          <w:rFonts w:ascii="Noto Serif Light" w:hAnsi="Noto Serif Light" w:cs="Noto Serif Light"/>
        </w:rPr>
      </w:pPr>
    </w:p>
    <w:p w14:paraId="6D115298" w14:textId="77777777" w:rsidR="00F34977"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t xml:space="preserve">The key problem therefore is how can innovation-based policy assist in developing prosperity and economic inclusion in what we might define as peripheral areas within the peripheral or left-behind regions? </w:t>
      </w:r>
    </w:p>
    <w:p w14:paraId="4C9A8A27" w14:textId="77777777" w:rsidR="00F34977" w:rsidRPr="00CD05A8" w:rsidRDefault="00F34977" w:rsidP="002E64EC">
      <w:pPr>
        <w:pStyle w:val="AbstractBookBaseParagraph"/>
        <w:ind w:left="360"/>
        <w:rPr>
          <w:rFonts w:ascii="Noto Serif Light" w:hAnsi="Noto Serif Light" w:cs="Noto Serif Light"/>
        </w:rPr>
      </w:pPr>
    </w:p>
    <w:p w14:paraId="5FB2DA99" w14:textId="77777777" w:rsidR="00F34977"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t>The UK has a major problem with growth and productivity outside of the south east and especially in what has been termed the left behind areas – this is both at the scale of regions which are seriously lagging the national level of performance (heavily influenced by London and the South East) and also areas within the lagging regions which perform particularly poorly. Part of the problem is the concentration of innovation capability and activity in the core regions and a few nodes elsewhere. Given that the new Industrial Policy is targeted at high performance growth sectors and innovation, then how can such policy effectively reach out to the periphery, and is it possible to use innovation to stimulate development in the periphery?</w:t>
      </w:r>
    </w:p>
    <w:p w14:paraId="6B791704" w14:textId="77777777" w:rsidR="00F34977" w:rsidRPr="00CD05A8" w:rsidRDefault="00F34977" w:rsidP="002E64EC">
      <w:pPr>
        <w:pStyle w:val="AbstractBookBaseParagraph"/>
        <w:ind w:left="360"/>
        <w:rPr>
          <w:rFonts w:ascii="Noto Serif Light" w:hAnsi="Noto Serif Light" w:cs="Noto Serif Light"/>
        </w:rPr>
      </w:pPr>
    </w:p>
    <w:p w14:paraId="1F74E2D3" w14:textId="77777777" w:rsidR="00F34977"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t>The focus of the project is on three types of area within the North East and North West of England</w:t>
      </w:r>
    </w:p>
    <w:p w14:paraId="622E818E" w14:textId="77777777" w:rsidR="00F34977" w:rsidRPr="00CD05A8" w:rsidRDefault="00F34977" w:rsidP="002E64EC">
      <w:pPr>
        <w:pStyle w:val="AbstractBookBaseParagraph"/>
        <w:ind w:left="360"/>
        <w:rPr>
          <w:rFonts w:ascii="Noto Serif Light" w:hAnsi="Noto Serif Light" w:cs="Noto Serif Light"/>
        </w:rPr>
      </w:pPr>
    </w:p>
    <w:p w14:paraId="2D2D1AAD" w14:textId="77777777" w:rsidR="00F34977" w:rsidRPr="00CD05A8"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t>•</w:t>
      </w:r>
      <w:r w:rsidRPr="00CD05A8">
        <w:rPr>
          <w:rFonts w:ascii="Noto Serif Light" w:hAnsi="Noto Serif Light" w:cs="Noto Serif Light"/>
        </w:rPr>
        <w:tab/>
        <w:t>Rural areas with small towns and villages – also divided between prosperous rural areas near urban cores which might still be lacking in innovation, and the more sparsely populated and upland areas which suffer from isolation and poor access.</w:t>
      </w:r>
    </w:p>
    <w:p w14:paraId="36651C84" w14:textId="77777777" w:rsidR="00F34977"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t>•</w:t>
      </w:r>
      <w:r w:rsidRPr="00CD05A8">
        <w:rPr>
          <w:rFonts w:ascii="Noto Serif Light" w:hAnsi="Noto Serif Light" w:cs="Noto Serif Light"/>
        </w:rPr>
        <w:tab/>
        <w:t>Post-industrial towns (and small cities) – medium to large towns that in many cases grew on the basis of core industries which may have disappeared. Again, some are poorly accessed by transport infrastructure, have shrinking populations and poor skill levels (eg Workington). These may be contrasted with larger towns that have a university such as Lancaster or Lincoln which offers a source of dynamism.</w:t>
      </w:r>
    </w:p>
    <w:p w14:paraId="6003BA3C" w14:textId="77777777" w:rsidR="00F34977" w:rsidRPr="00CD05A8" w:rsidRDefault="00F34977" w:rsidP="002E64EC">
      <w:pPr>
        <w:pStyle w:val="AbstractBookBaseParagraph"/>
        <w:ind w:left="360"/>
        <w:rPr>
          <w:rFonts w:ascii="Noto Serif Light" w:hAnsi="Noto Serif Light" w:cs="Noto Serif Light"/>
        </w:rPr>
      </w:pPr>
    </w:p>
    <w:p w14:paraId="0A0C782D" w14:textId="77777777" w:rsidR="00F34977"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t>•</w:t>
      </w:r>
      <w:r w:rsidRPr="00CD05A8">
        <w:rPr>
          <w:rFonts w:ascii="Noto Serif Light" w:hAnsi="Noto Serif Light" w:cs="Noto Serif Light"/>
        </w:rPr>
        <w:tab/>
        <w:t>Non-core cities – whilst the core cities usually benefit from having multiple universities and are the focus of regional innovation strategies, there are a range of cities (or large towns) that though relatively large have more in common with the post-industrial towns, with perhaps only one university with low levels of research and weak innovation capabilities. Examples would include Sunderland, Middlesbrough, Preston, Blackburn.</w:t>
      </w:r>
    </w:p>
    <w:p w14:paraId="1B6B0ACD" w14:textId="77777777" w:rsidR="00F34977" w:rsidRPr="00CD05A8" w:rsidRDefault="00F34977" w:rsidP="002E64EC">
      <w:pPr>
        <w:pStyle w:val="AbstractBookBaseParagraph"/>
        <w:ind w:left="360"/>
        <w:rPr>
          <w:rFonts w:ascii="Noto Serif Light" w:hAnsi="Noto Serif Light" w:cs="Noto Serif Light"/>
        </w:rPr>
      </w:pPr>
    </w:p>
    <w:p w14:paraId="748A13A4" w14:textId="77777777" w:rsidR="00F34977"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t>This research investigates the inclusiveness of RIS in (semi)peripheral places through three angles. First, through interviews with key informants in North East and North West of England, we examine barriers to the emergence of innovation systems in less privileged UK regions. This examines the presence and activities of key regional clusters, as well as the regional policy initiatives and their penetration in the peripheral areas of the regions. There are some examples of innovative businesses in some of these areas and we examine the strategies pursued by these firms to overcome the disadvantages of location in accessing knowledge spillovers.</w:t>
      </w:r>
    </w:p>
    <w:p w14:paraId="70206B1E" w14:textId="77777777" w:rsidR="00F34977" w:rsidRPr="00CD05A8" w:rsidRDefault="00F34977" w:rsidP="002E64EC">
      <w:pPr>
        <w:pStyle w:val="AbstractBookBaseParagraph"/>
        <w:ind w:left="360"/>
        <w:rPr>
          <w:rFonts w:ascii="Noto Serif Light" w:hAnsi="Noto Serif Light" w:cs="Noto Serif Light"/>
        </w:rPr>
      </w:pPr>
    </w:p>
    <w:p w14:paraId="26BA5782" w14:textId="77777777" w:rsidR="00F34977"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t>Second, we focus on these RIS outside the UK's golden triangle, exploring the ways in which they include or exclude local communities, and impact upon local economies. The question here is whether the focus on frontier technologies in current  UK policy is likely to be restricted in spatial impact due to a lack of inclusiveness</w:t>
      </w:r>
    </w:p>
    <w:p w14:paraId="55BBE892" w14:textId="77777777" w:rsidR="00F34977" w:rsidRPr="00CD05A8" w:rsidRDefault="00F34977" w:rsidP="002E64EC">
      <w:pPr>
        <w:pStyle w:val="AbstractBookBaseParagraph"/>
        <w:ind w:left="360"/>
        <w:rPr>
          <w:rFonts w:ascii="Noto Serif Light" w:hAnsi="Noto Serif Light" w:cs="Noto Serif Light"/>
        </w:rPr>
      </w:pPr>
    </w:p>
    <w:p w14:paraId="24D61AC8" w14:textId="77777777" w:rsidR="00F34977"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t>Third, we examine inclusive innovations not captured by conventional definitions, exploring the nature of RIS that supports such innovations. Recognising the lower visibility of these innovation systems and alternative narratives in marginalised communities, we employ a broader, interdisciplinary outlook extending beyond the economic sphere.</w:t>
      </w:r>
    </w:p>
    <w:p w14:paraId="44CE3A28" w14:textId="77777777" w:rsidR="00F34977" w:rsidRPr="00CD05A8" w:rsidRDefault="00F34977" w:rsidP="002E64EC">
      <w:pPr>
        <w:pStyle w:val="AbstractBookBaseParagraph"/>
        <w:ind w:left="360"/>
        <w:rPr>
          <w:rFonts w:ascii="Noto Serif Light" w:hAnsi="Noto Serif Light" w:cs="Noto Serif Light"/>
        </w:rPr>
      </w:pPr>
    </w:p>
    <w:p w14:paraId="3699DFA8" w14:textId="77777777" w:rsidR="00F34977" w:rsidRPr="00CD05A8"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t>Our findings inform context sensitive regional innovation policies by revealing how institutional, structural, and social conditions shape innovation capacity. The research contributes to national policy agendas by demonstrating pathways to strengthen innovation ecosystems beyond core regions and informing evaluative approaches that acknowledge diverse social and spatial dimensions of innovation.</w:t>
      </w:r>
    </w:p>
    <w:p w14:paraId="482602AD" w14:textId="77777777" w:rsidR="00F34977" w:rsidRPr="00CD05A8" w:rsidRDefault="00F34977" w:rsidP="002E64EC">
      <w:pPr>
        <w:pStyle w:val="AbstractBookBaseParagraph"/>
        <w:ind w:left="360"/>
        <w:rPr>
          <w:rFonts w:ascii="Noto Serif Light" w:hAnsi="Noto Serif Light" w:cs="Noto Serif Light"/>
        </w:rPr>
      </w:pPr>
    </w:p>
    <w:p w14:paraId="75418E19" w14:textId="77777777" w:rsidR="00F34977" w:rsidRPr="00CD05A8" w:rsidRDefault="00F34977" w:rsidP="002E64EC">
      <w:pPr>
        <w:pStyle w:val="AbstractBookBaseParagraph"/>
        <w:ind w:left="360"/>
        <w:rPr>
          <w:rFonts w:ascii="Noto Serif Light" w:hAnsi="Noto Serif Light" w:cs="Noto Serif Light"/>
        </w:rPr>
      </w:pPr>
      <w:r w:rsidRPr="00CD05A8">
        <w:rPr>
          <w:rFonts w:ascii="Noto Serif Light" w:hAnsi="Noto Serif Light" w:cs="Noto Serif Light"/>
        </w:rPr>
        <w:br w:type="page"/>
      </w:r>
    </w:p>
    <w:p w14:paraId="3F76E7E0" w14:textId="77777777" w:rsidR="00F34977" w:rsidRDefault="00F34977" w:rsidP="00F34977">
      <w:pPr>
        <w:pStyle w:val="ABSubhead"/>
      </w:pPr>
      <w:r>
        <w:lastRenderedPageBreak/>
        <w:t xml:space="preserve">O81. </w:t>
      </w:r>
      <w:r w:rsidRPr="00CD05A8">
        <w:t>A Three-Pillar Framework for Methodological Rigor in Regional Inclusive Innovation</w:t>
      </w:r>
    </w:p>
    <w:p w14:paraId="4FAA5637" w14:textId="77777777" w:rsidR="00F34977" w:rsidRPr="00AB325A" w:rsidRDefault="00F34977" w:rsidP="00F34977">
      <w:pPr>
        <w:pStyle w:val="ABParagraph"/>
      </w:pPr>
    </w:p>
    <w:p w14:paraId="54BA4DA7" w14:textId="77777777" w:rsidR="00F34977" w:rsidRPr="00053AC6" w:rsidRDefault="00F34977" w:rsidP="00F34977">
      <w:pPr>
        <w:pStyle w:val="AbstractBookAuthors"/>
        <w:rPr>
          <w:rFonts w:ascii="Noto Serif Light" w:hAnsi="Noto Serif Light" w:cs="Noto Serif Light"/>
          <w:bCs/>
          <w:vertAlign w:val="superscript"/>
        </w:rPr>
      </w:pPr>
      <w:r w:rsidRPr="00CD05A8">
        <w:rPr>
          <w:rStyle w:val="AbstractBookPresentingAuthor"/>
          <w:rFonts w:ascii="Noto Serif Light" w:hAnsi="Noto Serif Light" w:cs="Noto Serif Light"/>
        </w:rPr>
        <w:t>Michi Ochiai</w:t>
      </w:r>
      <w:r>
        <w:rPr>
          <w:rStyle w:val="AbstractBookPresentingAuthor"/>
          <w:rFonts w:ascii="Noto Serif Light" w:hAnsi="Noto Serif Light" w:cs="Noto Serif Light"/>
          <w:b w:val="0"/>
          <w:bCs/>
          <w:u w:val="none"/>
          <w:vertAlign w:val="superscript"/>
        </w:rPr>
        <w:t>1</w:t>
      </w:r>
    </w:p>
    <w:p w14:paraId="0A41D910" w14:textId="77777777" w:rsidR="00F34977" w:rsidRDefault="00F34977" w:rsidP="00F34977">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University of Manchester, United Kingdom</w:t>
      </w:r>
    </w:p>
    <w:p w14:paraId="1B30E2AD" w14:textId="77777777" w:rsidR="00F34977" w:rsidRDefault="00F34977" w:rsidP="00F34977">
      <w:pPr>
        <w:pStyle w:val="AbstractBookBaseParagraph"/>
        <w:rPr>
          <w:rFonts w:ascii="Noto Serif Light" w:hAnsi="Noto Serif Light" w:cs="Noto Serif Light"/>
        </w:rPr>
      </w:pPr>
    </w:p>
    <w:p w14:paraId="3D74D29A" w14:textId="77777777" w:rsidR="00F34977" w:rsidRPr="00AB325A" w:rsidRDefault="00F34977" w:rsidP="00F34977">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45C029EC"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Evaluating inclusive innovation requires moving beyond traditional metrics. Oftentimes, frameworks remain tethered to conventional indicators such as patents, R&amp;D expenditure, and commercial sales. These metrics are fundamentally biased toward high-tech sectors and economic growth, failing to capture "hidden innovation" within services, the informal sector, or grassroots community efforts. Furthermore, traditional quantitative data often fail to reflect the non-economic dimensions of inclusion, such as participatory governance, equality of opportunity, and the fair distribution of benefits.</w:t>
      </w:r>
    </w:p>
    <w:p w14:paraId="7815239D" w14:textId="77777777" w:rsidR="00F34977" w:rsidRPr="00CD05A8" w:rsidRDefault="00F34977" w:rsidP="00F34977">
      <w:pPr>
        <w:pStyle w:val="AbstractBookBaseParagraph"/>
        <w:rPr>
          <w:rFonts w:ascii="Noto Serif Light" w:hAnsi="Noto Serif Light" w:cs="Noto Serif Light"/>
        </w:rPr>
      </w:pPr>
    </w:p>
    <w:p w14:paraId="5E0438EB"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Beyond metric bias, high-income countries face a "decoupling dilemma" where the policy language of inclusion becomes detached from its original focus on marginalised populations. Frameworks are sometimes instrumentalised to serve broader "impact agendas" or public relations needs rather than to solve the systemic issues affecting vulnerable groups. This risks fostering "ceremonial conformity" - or inclusive innovation washing - in which rhetoric masks a failure to enact genuine structural change or to redistribute the benefits of innovation.</w:t>
      </w:r>
    </w:p>
    <w:p w14:paraId="63086503" w14:textId="77777777" w:rsidR="00F34977" w:rsidRPr="00CD05A8" w:rsidRDefault="00F34977" w:rsidP="00F34977">
      <w:pPr>
        <w:pStyle w:val="AbstractBookBaseParagraph"/>
        <w:rPr>
          <w:rFonts w:ascii="Noto Serif Light" w:hAnsi="Noto Serif Light" w:cs="Noto Serif Light"/>
        </w:rPr>
      </w:pPr>
    </w:p>
    <w:p w14:paraId="54181588"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Recent academic efforts to measure inclusive innovation, such as those by Earl et al. (2023), Wilson-Nash et al. (2024), and Biswas (2025), utilise diverse disciplinary approaches ranging from management and health sciences to welfare economics. However, while these frameworks provide excellent academic rigour, they can be dense for practitioners and policymakers to operationalise quickly. Furthermore, they are difficult to utilise as immediate goals or incentives to initiate new projects, as they tend to evaluate the process and deliver a "jury's verdict" only once initiatives are well-developed or completed.</w:t>
      </w:r>
    </w:p>
    <w:p w14:paraId="3AFEDC65" w14:textId="77777777" w:rsidR="00F34977" w:rsidRPr="00CD05A8" w:rsidRDefault="00F34977" w:rsidP="00F34977">
      <w:pPr>
        <w:pStyle w:val="AbstractBookBaseParagraph"/>
        <w:rPr>
          <w:rFonts w:ascii="Noto Serif Light" w:hAnsi="Noto Serif Light" w:cs="Noto Serif Light"/>
        </w:rPr>
      </w:pPr>
    </w:p>
    <w:p w14:paraId="5E59EE4C"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In practice, regional initiatives often suffer from "technological solutionism" and "neophilia" (Lee, 2025), characterised by a bias toward novel, high-tech fixes for complex, deeply rooted social problems. This techno-optimism frequently overlooks whether these advanced technologies are actually wanted or needed by the target communities. Additionally, there is often a mismatch between the ambitious goals of inclusive innovation and the actual regulatory or financial powers held by local authorities. When inclusive growth is framed through a purely neoliberal lens, it risks treating growth itself as the only solution, potentially exacerbating the very inequalities it aims to resolve.</w:t>
      </w:r>
    </w:p>
    <w:p w14:paraId="3B17D11F" w14:textId="77777777" w:rsidR="00F34977" w:rsidRPr="00CD05A8" w:rsidRDefault="00F34977" w:rsidP="00F34977">
      <w:pPr>
        <w:pStyle w:val="AbstractBookBaseParagraph"/>
        <w:rPr>
          <w:rFonts w:ascii="Noto Serif Light" w:hAnsi="Noto Serif Light" w:cs="Noto Serif Light"/>
        </w:rPr>
      </w:pPr>
    </w:p>
    <w:p w14:paraId="1BBE613D"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To address these methodological gaps, this research proposes a Three-Pillar Framework designed to make the measurement of inclusive innovation more intuitive and actionable for public institutions and practitioners.</w:t>
      </w:r>
    </w:p>
    <w:p w14:paraId="71A525DE" w14:textId="77777777" w:rsidR="00F34977" w:rsidRPr="00CD05A8" w:rsidRDefault="00F34977" w:rsidP="00F34977">
      <w:pPr>
        <w:pStyle w:val="AbstractBookBaseParagraph"/>
        <w:rPr>
          <w:rFonts w:ascii="Noto Serif Light" w:hAnsi="Noto Serif Light" w:cs="Noto Serif Light"/>
        </w:rPr>
      </w:pPr>
    </w:p>
    <w:p w14:paraId="67AAA524"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1. Innovation For Whom (Intent and Outcomes)</w:t>
      </w:r>
    </w:p>
    <w:p w14:paraId="188E3AB6"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lastRenderedPageBreak/>
        <w:t xml:space="preserve">The first pillar shifts evaluation from pure economic growth toward the ultimate destination of the innovation. This requires tracking whether procurement initiatives deliberately target the needs of marginalised groups. Indicators must assess whether these groups benefit as consumers—through the provision of affordable essential services like healthcare or digital access—or as producers, through job creation and the support of local foundational economies. </w:t>
      </w:r>
    </w:p>
    <w:p w14:paraId="236F096C"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To capture this data, institutions should adopt multidimensional evaluation frameworks that evaluate against broader environmental and social goals, ensuring innovations address grand challenges rather than simply creating products for affluent markets.</w:t>
      </w:r>
    </w:p>
    <w:p w14:paraId="75C93BA3"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    </w:t>
      </w:r>
    </w:p>
    <w:p w14:paraId="4401E063"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2. Innovation How (Process, Governance, and Distribution)</w:t>
      </w:r>
    </w:p>
    <w:p w14:paraId="170A1FB1"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This pillar focuses on the mechanics of the innovation lifecycle, moving beyond just the final product to see if the underlying structures are fair. Learning from the "ladder of inclusive innovation", here, success is measured by whether marginalised groups are brought in as active co-creators rather than passive end-users. This requires surveying both the producing institutions and the target communities simultaneously to capture true social value and unintended negative consequences, through a dual-perspective evaluation.</w:t>
      </w:r>
    </w:p>
    <w:p w14:paraId="7A6E8816"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Furthermore, the mechanism and risks of collaborative governance in innovation procurement should be reviewed, including who holds decision-making power and ensure that both economic gains and potential risks (negative externalities) are distributed equitably.</w:t>
      </w:r>
    </w:p>
    <w:p w14:paraId="7D67BC6F" w14:textId="77777777" w:rsidR="00F34977" w:rsidRPr="00CD05A8" w:rsidRDefault="00F34977" w:rsidP="00F34977">
      <w:pPr>
        <w:pStyle w:val="AbstractBookBaseParagraph"/>
        <w:rPr>
          <w:rFonts w:ascii="Noto Serif Light" w:hAnsi="Noto Serif Light" w:cs="Noto Serif Light"/>
        </w:rPr>
      </w:pPr>
    </w:p>
    <w:p w14:paraId="0FB4E5B0"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3. Innovation By Whom (Actors and the Ecosystem)</w:t>
      </w:r>
    </w:p>
    <w:p w14:paraId="29DC520D"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third pillar introduces a network-centric view of analysis, moving away from a traditional firm-centric perspective of innovation. The traditional university-industry-government model should be expanded using the Quadruple/Quintruple Helix model to explicitly measure the integration of civil society and the natural environment as core actors in the innovation network.</w:t>
      </w:r>
    </w:p>
    <w:p w14:paraId="044490A5"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Furthermore, by evaluating the provision of “safe” learning spaces, validation of grassroots knowledge, and initiatives to bridge between marginalised groups and formal institutions, the efforts of "inclusive intermediaries" could be used as some of the guides to see the effectiveness of boundary-spanning actors (like universities or community agencies) in the local innovation ecosystem.</w:t>
      </w:r>
    </w:p>
    <w:p w14:paraId="556DCE33" w14:textId="77777777" w:rsidR="00F34977" w:rsidRPr="00CD05A8" w:rsidRDefault="00F34977" w:rsidP="00F34977">
      <w:pPr>
        <w:pStyle w:val="AbstractBookBaseParagraph"/>
        <w:rPr>
          <w:rFonts w:ascii="Noto Serif Light" w:hAnsi="Noto Serif Light" w:cs="Noto Serif Light"/>
        </w:rPr>
      </w:pPr>
    </w:p>
    <w:p w14:paraId="708C6692"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Moving from inclusive rhetoric to sustained practice requires universities and public administrators to recognise that inclusive innovation cannot remain a "fuzzy concept" used merely for institutional branding. By applying this Three-Pillar Framework—evaluating for whom, how, and by whom innovation is created—public institutions can move past post-hoc "verdicts" and instead use these dimensions as proactive goals and incentives throughout the lifecycle of a project.</w:t>
      </w:r>
    </w:p>
    <w:p w14:paraId="5547EC65" w14:textId="77777777" w:rsidR="00F34977" w:rsidRPr="00CD05A8" w:rsidRDefault="00F34977" w:rsidP="00F34977">
      <w:pPr>
        <w:pStyle w:val="AbstractBookBaseParagraph"/>
        <w:rPr>
          <w:rFonts w:ascii="Noto Serif Light" w:hAnsi="Noto Serif Light" w:cs="Noto Serif Light"/>
        </w:rPr>
      </w:pPr>
    </w:p>
    <w:p w14:paraId="4344B42F"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Strategic planning phases should utilise "participatory foresight" to shape the long-term direction of an initiative, ensuring target communities are involved in early agenda-setting before systemic lock-ins occur. By consistently applying these models from strategic foresight to impact assessment, administrators can ensure that procurement functions as a sustained, evolving commitment to structural change, ultimately reducing regional disparities and expanding the capabilities of disadvantaged groups.</w:t>
      </w:r>
    </w:p>
    <w:p w14:paraId="3DC15294" w14:textId="77777777" w:rsidR="00F34977" w:rsidRPr="00CD05A8" w:rsidRDefault="00F34977" w:rsidP="00F34977">
      <w:pPr>
        <w:pStyle w:val="AbstractBookBaseParagraph"/>
        <w:rPr>
          <w:rFonts w:ascii="Noto Serif Light" w:hAnsi="Noto Serif Light" w:cs="Noto Serif Light"/>
        </w:rPr>
      </w:pPr>
    </w:p>
    <w:p w14:paraId="3C89D9FF" w14:textId="77777777" w:rsidR="00F34977" w:rsidRPr="00AB325A" w:rsidRDefault="00F34977" w:rsidP="00F34977">
      <w:pPr>
        <w:pStyle w:val="AbstractBookBaseParagraph"/>
        <w:rPr>
          <w:rFonts w:ascii="Noto Serif Light" w:hAnsi="Noto Serif Light" w:cs="Noto Serif Light"/>
          <w:b/>
          <w:bCs/>
        </w:rPr>
      </w:pPr>
      <w:r w:rsidRPr="00AB325A">
        <w:rPr>
          <w:rFonts w:ascii="Noto Serif Light" w:hAnsi="Noto Serif Light" w:cs="Noto Serif Light"/>
          <w:b/>
          <w:bCs/>
        </w:rPr>
        <w:lastRenderedPageBreak/>
        <w:t>References</w:t>
      </w:r>
    </w:p>
    <w:p w14:paraId="0F7CEA80" w14:textId="77777777" w:rsidR="00F34977" w:rsidRPr="00CD05A8" w:rsidRDefault="00F34977" w:rsidP="00F34977">
      <w:pPr>
        <w:pStyle w:val="AbstractBookBaseParagraph"/>
        <w:numPr>
          <w:ilvl w:val="0"/>
          <w:numId w:val="19"/>
        </w:numPr>
        <w:rPr>
          <w:rFonts w:ascii="Noto Serif Light" w:hAnsi="Noto Serif Light" w:cs="Noto Serif Light"/>
        </w:rPr>
      </w:pPr>
      <w:r w:rsidRPr="00CD05A8">
        <w:rPr>
          <w:rFonts w:ascii="Noto Serif Light" w:hAnsi="Noto Serif Light" w:cs="Noto Serif Light"/>
        </w:rPr>
        <w:t>Biswas, A. (2025) ‘Developing a novel inclusive policy analysis framework based on capability approach and institutional analysis and development method’, Social Policy &amp; Administration, 59(1), pp. 101–118. Available at: [https://doi.org/10.1111/spol.13051].</w:t>
      </w:r>
    </w:p>
    <w:p w14:paraId="463CE254" w14:textId="77777777" w:rsidR="00F34977" w:rsidRPr="00AB325A" w:rsidRDefault="00F34977" w:rsidP="00F34977">
      <w:pPr>
        <w:pStyle w:val="AbstractBookBaseParagraph"/>
        <w:numPr>
          <w:ilvl w:val="0"/>
          <w:numId w:val="19"/>
        </w:numPr>
        <w:rPr>
          <w:rFonts w:ascii="Noto Serif Light" w:hAnsi="Noto Serif Light" w:cs="Noto Serif Light"/>
        </w:rPr>
      </w:pPr>
      <w:r w:rsidRPr="00CD05A8">
        <w:rPr>
          <w:rFonts w:ascii="Noto Serif Light" w:hAnsi="Noto Serif Light" w:cs="Noto Serif Light"/>
        </w:rPr>
        <w:t>Earl, E.L. et al. (2023) ‘Inclusive innovation and how it can be measured in developed and developing countries’, Handbook of Innovation Indicators and Measurement. Edward Elgar Publishing, pp. 297–322. Available at: [https://www.elgaronline.com/edcollchap/book/9781800883024/book-part-9781800883024-27.xml].</w:t>
      </w:r>
    </w:p>
    <w:p w14:paraId="28C38257" w14:textId="77777777" w:rsidR="00F34977" w:rsidRPr="00AB325A" w:rsidRDefault="00F34977" w:rsidP="00F34977">
      <w:pPr>
        <w:pStyle w:val="AbstractBookBaseParagraph"/>
        <w:numPr>
          <w:ilvl w:val="0"/>
          <w:numId w:val="19"/>
        </w:numPr>
        <w:rPr>
          <w:rFonts w:ascii="Noto Serif Light" w:hAnsi="Noto Serif Light" w:cs="Noto Serif Light"/>
        </w:rPr>
      </w:pPr>
      <w:r w:rsidRPr="00CD05A8">
        <w:rPr>
          <w:rFonts w:ascii="Noto Serif Light" w:hAnsi="Noto Serif Light" w:cs="Noto Serif Light"/>
        </w:rPr>
        <w:t>Lee, N. (2025) ‘Inclusive innovation in cities: from buzzword to policy’, Regional Studies, 59(1), p. 2168637. Available at: [https://doi.org/10.1080/00343404.2023.2168637].</w:t>
      </w:r>
    </w:p>
    <w:p w14:paraId="6F6C0491" w14:textId="77777777" w:rsidR="00F34977" w:rsidRPr="00CD05A8" w:rsidRDefault="00F34977" w:rsidP="00F34977">
      <w:pPr>
        <w:pStyle w:val="AbstractBookBaseParagraph"/>
        <w:numPr>
          <w:ilvl w:val="0"/>
          <w:numId w:val="19"/>
        </w:numPr>
        <w:rPr>
          <w:rFonts w:ascii="Noto Serif Light" w:hAnsi="Noto Serif Light" w:cs="Noto Serif Light"/>
        </w:rPr>
      </w:pPr>
      <w:r w:rsidRPr="00CD05A8">
        <w:rPr>
          <w:rFonts w:ascii="Noto Serif Light" w:hAnsi="Noto Serif Light" w:cs="Noto Serif Light"/>
        </w:rPr>
        <w:t>Wilson-Nash, C. et al. (2024) ‘Towards an evaluation framework for inclusive technological innovation in social and health care services’, Journal of Business Research, 179, p. 114704. Available at: [https://doi.org/10.1016/j.jbusres.2024.114704]</w:t>
      </w:r>
    </w:p>
    <w:p w14:paraId="1DF81B06"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br w:type="page"/>
      </w:r>
    </w:p>
    <w:p w14:paraId="5B6EBD2C" w14:textId="1E070496" w:rsidR="00F34977" w:rsidRDefault="00F34977" w:rsidP="00F34977">
      <w:pPr>
        <w:pStyle w:val="ABSubhead"/>
      </w:pPr>
      <w:r>
        <w:lastRenderedPageBreak/>
        <w:t xml:space="preserve">O82. </w:t>
      </w:r>
      <w:r w:rsidR="00E72072" w:rsidRPr="00E72072">
        <w:t>Measuring Reciprocal Innovativeness in Entrepreneurial Ecosystems: A Multi-level IOOI Framework for Inclu-sive Place-Based Innovation Policy</w:t>
      </w:r>
    </w:p>
    <w:p w14:paraId="425C302E" w14:textId="77777777" w:rsidR="00F34977" w:rsidRPr="00103F5E" w:rsidRDefault="00F34977" w:rsidP="00F34977">
      <w:pPr>
        <w:pStyle w:val="ABParagraph"/>
      </w:pPr>
    </w:p>
    <w:p w14:paraId="65B11D77" w14:textId="77777777" w:rsidR="00F34977" w:rsidRPr="00CD05A8" w:rsidRDefault="00F34977" w:rsidP="00F34977">
      <w:pPr>
        <w:pStyle w:val="AbstractBookAuthors"/>
        <w:rPr>
          <w:rFonts w:ascii="Noto Serif Light" w:hAnsi="Noto Serif Light" w:cs="Noto Serif Light"/>
        </w:rPr>
      </w:pPr>
      <w:r w:rsidRPr="00CD05A8">
        <w:rPr>
          <w:rStyle w:val="AbstractBookPresentingAuthor"/>
          <w:rFonts w:ascii="Noto Serif Light" w:hAnsi="Noto Serif Light" w:cs="Noto Serif Light"/>
        </w:rPr>
        <w:t>Dr Judith Terstriep</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Dr Alexandra David</w:t>
      </w:r>
      <w:r w:rsidRPr="00CD05A8">
        <w:rPr>
          <w:rFonts w:ascii="Noto Serif Light" w:hAnsi="Noto Serif Light" w:cs="Noto Serif Light"/>
          <w:vertAlign w:val="superscript"/>
        </w:rPr>
        <w:t>1</w:t>
      </w:r>
    </w:p>
    <w:p w14:paraId="56C44661" w14:textId="77777777" w:rsidR="00F34977" w:rsidRDefault="00F34977" w:rsidP="00F34977">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Westphalian University Gelsenkirchen, Institute for Work and Technology, Gelsenkirchen, Germany</w:t>
      </w:r>
    </w:p>
    <w:p w14:paraId="42CCE383" w14:textId="77777777" w:rsidR="00F34977" w:rsidRDefault="00F34977" w:rsidP="00F34977">
      <w:pPr>
        <w:pStyle w:val="AbstractBookBaseParagraph"/>
        <w:rPr>
          <w:rStyle w:val="AbstractBookBaseCharacterStyle"/>
          <w:rFonts w:ascii="Noto Serif Light" w:hAnsi="Noto Serif Light" w:cs="Noto Serif Light"/>
        </w:rPr>
      </w:pPr>
    </w:p>
    <w:p w14:paraId="4940DE20" w14:textId="77777777" w:rsidR="00F34977" w:rsidRPr="00103F5E" w:rsidRDefault="00F34977" w:rsidP="00F34977">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58963AAE"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growing emphasis on mission-oriented, place-based innovation policies has heightened the need for more nuanced approaches to impact measurement that move beyond linear input–output logics (EFI, 2024; Haddad et al., 2024). Contemporary innovation systems are characterised by multi-actor constellations, feedback loops and socio-cultural dynamics that challenge conventional evaluation frameworks (Rabelo Neto et al., 2026; Tabarés &amp; Boni, 2025; Trippl &amp; Tödtling, 2025). Addressing this limitation, the paper develops and empirically grounds an extended IOOI (Input–Output–Outcome–Impact) framework to capture “reciprocal innovativeness” within entrepreneurial ecosystems. Drawing on empirical work from the IMANI project, which examines the societal embedding of Afro-German migrant-led start-ups in the Hamburg ecosystem, innovation is conceptualised as a co-evolutionary process between actors and their ecosystem rather than a unidirectional outcome.</w:t>
      </w:r>
    </w:p>
    <w:p w14:paraId="165602E0" w14:textId="77777777" w:rsidR="00F34977" w:rsidRPr="00CD05A8" w:rsidRDefault="00F34977" w:rsidP="00F34977">
      <w:pPr>
        <w:pStyle w:val="AbstractBookBaseParagraph"/>
        <w:rPr>
          <w:rFonts w:ascii="Noto Serif Light" w:hAnsi="Noto Serif Light" w:cs="Noto Serif Light"/>
        </w:rPr>
      </w:pPr>
    </w:p>
    <w:p w14:paraId="7CB900CC"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point of departure is the observation that entrepreneurial and innovation ecosystems, while often portrayed as open and inclusive, are in practice shaped by persistent structural asymmetries, including unequal access to resources, networks, and institutional support (David et al., 2026; Reuther et al., 2026). These asymmetries are particularly visible for migrant entrepreneurs, who frequently operate at the intersection of transnational knowledge flows and local institutional constraints (Neumeyer et al., 2019). At the same time, such actors contribute significantly to innovation processes by acting as boundary spanners (Feser, 2022; Lepore, 2023), introducing new perspectives, markets and forms of knowledge into the ecosystem. Their activities feed into what has been conceptualised as “entrepreneurship capital” (Audretsch &amp; Keilbach, 2004), thereby compensating for path dependencies within established economic structures (David &amp; Terstriep, 2025). This dual role motivates an analytical framework that captures both the contributions of marginalised actors and adaptive responses of the ecosystem.</w:t>
      </w:r>
    </w:p>
    <w:p w14:paraId="60607F81" w14:textId="77777777" w:rsidR="00F34977" w:rsidRPr="00CD05A8" w:rsidRDefault="00F34977" w:rsidP="00F34977">
      <w:pPr>
        <w:pStyle w:val="AbstractBookBaseParagraph"/>
        <w:rPr>
          <w:rFonts w:ascii="Noto Serif Light" w:hAnsi="Noto Serif Light" w:cs="Noto Serif Light"/>
        </w:rPr>
      </w:pPr>
    </w:p>
    <w:p w14:paraId="71085931"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To address this, the paper advances a multi-level, ecosystem-based extension of the IOOI model that explicitly integrates micro (firm-level), meso (intermediary and network-level), macro (institutional and policy-level) perspectives. In contrast to linear IOOI applications, the proposed framework conceptualises causal relations as recursive and relational, embedding feedback loops as core analytical elements. This entails a shift towards combining attribution-based evaluation, which isolates causal effects, with a contribution-based logic that captures the role of interventions within complex systems, drawing on theory-based approaches and mixed-method designs.</w:t>
      </w:r>
    </w:p>
    <w:p w14:paraId="6852AB21" w14:textId="77777777" w:rsidR="00F34977" w:rsidRPr="00CD05A8" w:rsidRDefault="00F34977" w:rsidP="00F34977">
      <w:pPr>
        <w:pStyle w:val="AbstractBookBaseParagraph"/>
        <w:rPr>
          <w:rFonts w:ascii="Noto Serif Light" w:hAnsi="Noto Serif Light" w:cs="Noto Serif Light"/>
        </w:rPr>
      </w:pPr>
    </w:p>
    <w:p w14:paraId="467BF46B"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A central contribution of the paper is the operationalisation of new categories of impact that extend beyond economic performance metrics. The framework introduces </w:t>
      </w:r>
      <w:r w:rsidRPr="00CD05A8">
        <w:rPr>
          <w:rFonts w:ascii="Noto Serif Light" w:hAnsi="Noto Serif Light" w:cs="Noto Serif Light"/>
        </w:rPr>
        <w:lastRenderedPageBreak/>
        <w:t>‘ecosystem capabilities’ (e.g. network cohesion, adaptability, resource accessibility) and ‘belongingness’ as key analytical dimensions, describing a basic psychological need of every person. Belongingness, building parts of individuals’ identity (Maslow, 1954) is conceptualised not as a peripheral social outcome but as a core driver of innovation dynamics, shaping trust, collaboration and risk-taking (David et al., 2025). By emphasising the relational and socio-cultural factors in shaping innovation outcomes, this perspective aligns with recent work on innovation governance and ecosystem dynamics (Bramwell et al., 2019; Etzkowitz, 2018).</w:t>
      </w:r>
    </w:p>
    <w:p w14:paraId="1C5C8823" w14:textId="77777777" w:rsidR="00F34977" w:rsidRPr="00CD05A8" w:rsidRDefault="00F34977" w:rsidP="00F34977">
      <w:pPr>
        <w:pStyle w:val="AbstractBookBaseParagraph"/>
        <w:rPr>
          <w:rFonts w:ascii="Noto Serif Light" w:hAnsi="Noto Serif Light" w:cs="Noto Serif Light"/>
        </w:rPr>
      </w:pPr>
    </w:p>
    <w:p w14:paraId="24DF6355"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Empirically, the paper draws on an iterative, theory-informed qualitative and mixed-method research design conducted within the Hamburg ecosystem. The empirical analysis serves a dual purpose: it reconstructs IOOI chains across actor groups (migrant entrepreneurs, intermediaries, public institutions) and inductively informs the refinement of the framework. Rather than applying IOOI deductively, empirical observations were used to revise categories, incorporate relational dimensions and specify cross-level interactions.</w:t>
      </w:r>
    </w:p>
    <w:p w14:paraId="28F28BB2" w14:textId="77777777" w:rsidR="00F34977" w:rsidRPr="00CD05A8" w:rsidRDefault="00F34977" w:rsidP="00F34977">
      <w:pPr>
        <w:pStyle w:val="AbstractBookBaseParagraph"/>
        <w:rPr>
          <w:rFonts w:ascii="Noto Serif Light" w:hAnsi="Noto Serif Light" w:cs="Noto Serif Light"/>
        </w:rPr>
      </w:pPr>
    </w:p>
    <w:p w14:paraId="7BE60101"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analysis shows how inputs such as financial resources, networks and institutional frameworks are mobilised through targeted activities, including incubation programmes, matchmaking processes, co-creation spaces and policy experimentation. Importantly, the findings demonstrate that these activities are shaped by structural conditions (e.g. access barriers, governance practices), which condition both participation and outcomes. They generate outputs such as increased visibility of migrant entrepreneurs, new collaborations, and innovative business models, including hybrid forms that combine economic, cultural and social innovation.</w:t>
      </w:r>
    </w:p>
    <w:p w14:paraId="41C17F4B" w14:textId="77777777" w:rsidR="00F34977" w:rsidRPr="00CD05A8" w:rsidRDefault="00F34977" w:rsidP="00F34977">
      <w:pPr>
        <w:pStyle w:val="AbstractBookBaseParagraph"/>
        <w:rPr>
          <w:rFonts w:ascii="Noto Serif Light" w:hAnsi="Noto Serif Light" w:cs="Noto Serif Light"/>
        </w:rPr>
      </w:pPr>
    </w:p>
    <w:p w14:paraId="373D4ADF"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Three key empirical insights informed the extension of the IOOI framework:(1) conventional output indicators are insufficient to capture relational effects, leading to the inclusion of dimensions such as visibility, trust-building and bridging ties;(2) outcomes manifest as system-level changes, captured through the concept of ecosystem capabilities, rather than solely firm-level performance;(3) impacts emerge through cumulative and recursive interactions, necessitating a contribution-oriented evaluation logic.</w:t>
      </w:r>
    </w:p>
    <w:p w14:paraId="456E12B2" w14:textId="77777777" w:rsidR="00F34977" w:rsidRPr="00CD05A8" w:rsidRDefault="00F34977" w:rsidP="00F34977">
      <w:pPr>
        <w:pStyle w:val="AbstractBookBaseParagraph"/>
        <w:rPr>
          <w:rFonts w:ascii="Noto Serif Light" w:hAnsi="Noto Serif Light" w:cs="Noto Serif Light"/>
        </w:rPr>
      </w:pPr>
    </w:p>
    <w:p w14:paraId="2AD00DA8"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These outputs, in turn, ideally lead to a range of outcomes, including enhanced innovation diversity, strengthened network ties, increased institutional sensitivity to diversity, and improved access to resources for previously marginalised actors. The identification of these outcomes directly contributed to the conceptualisation of “ecosystem capabilities” as an intermediate analytical category capturing systemic changes beyond firm-level performance. Over time, these processes are expected to contribute to broader systemic impacts, such as more inclusive and resilient innovation ecosystems, shifts in cultural narratives around entrepreneurship, and improved socio-economic integration. The findings particularly highlight the role of intermediary organisations and “third places” as critical infrastructures for trust-building, knowledge exchange and reducing transaction costs (Coletto et al., 2024; Torres &amp; Steponavičius, 2022).</w:t>
      </w:r>
    </w:p>
    <w:p w14:paraId="0AA8BB74" w14:textId="77777777" w:rsidR="00F34977" w:rsidRPr="00CD05A8" w:rsidRDefault="00F34977" w:rsidP="00F34977">
      <w:pPr>
        <w:pStyle w:val="AbstractBookBaseParagraph"/>
        <w:rPr>
          <w:rFonts w:ascii="Noto Serif Light" w:hAnsi="Noto Serif Light" w:cs="Noto Serif Light"/>
        </w:rPr>
      </w:pPr>
    </w:p>
    <w:p w14:paraId="062C0751"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A key empirical contribution lies in identifying and systematising feedback loops as core mechanisms of ecosystem dynamics. For example, the visibility of successful migrant </w:t>
      </w:r>
      <w:r w:rsidRPr="00CD05A8">
        <w:rPr>
          <w:rFonts w:ascii="Noto Serif Light" w:hAnsi="Noto Serif Light" w:cs="Noto Serif Light"/>
        </w:rPr>
        <w:lastRenderedPageBreak/>
        <w:t>entrepreneurs generates role model effects, influencing aspirations and participation rates among other actors, while also informing policy design and institutional practices. Similarly, co-creation spaces and participatory formats foster trust and collective efficacy, which, in turn, enhance innovation capacity and reduce perceived risks associated with entrepreneurial activity. These feedback mechanisms were incorporated into the extended IOOI model as structural components, reinforcing its multi-level and dynamic character.</w:t>
      </w:r>
    </w:p>
    <w:p w14:paraId="62216E6A" w14:textId="77777777" w:rsidR="00F34977" w:rsidRPr="00CD05A8" w:rsidRDefault="00F34977" w:rsidP="00F34977">
      <w:pPr>
        <w:pStyle w:val="AbstractBookBaseParagraph"/>
        <w:rPr>
          <w:rFonts w:ascii="Noto Serif Light" w:hAnsi="Noto Serif Light" w:cs="Noto Serif Light"/>
        </w:rPr>
      </w:pPr>
    </w:p>
    <w:p w14:paraId="3795B6FE"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Overall, the empirical findings served as substantive evidence and as a heuristic device for refining and validating the framework. This corroborates the view of innovation ecosystems as polycentric governance systems (Ostrom, 2010), in which impacts arise from interactions across actors, levels and sectors.</w:t>
      </w:r>
    </w:p>
    <w:p w14:paraId="059A09FD" w14:textId="77777777" w:rsidR="00F34977" w:rsidRPr="00CD05A8" w:rsidRDefault="00F34977" w:rsidP="00F34977">
      <w:pPr>
        <w:pStyle w:val="AbstractBookBaseParagraph"/>
        <w:rPr>
          <w:rFonts w:ascii="Noto Serif Light" w:hAnsi="Noto Serif Light" w:cs="Noto Serif Light"/>
        </w:rPr>
      </w:pPr>
    </w:p>
    <w:p w14:paraId="017DEEFA"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paper also engages critically with methodological challenges in evaluating complex policy environments. It argues that traditional metrics centred on growth, employment or investment fail to capture the transformative potential of inclusive innovation policies. Instead, a combination of quantitative and qualitative indicators is required, supported by triangulation of data sources and sensitivity to contextual factors. In this sense, the extended IOOI framework functions both as an analytical model and as a governance tool for identifying leverage points within complex systems.</w:t>
      </w:r>
    </w:p>
    <w:p w14:paraId="5745ABE9" w14:textId="77777777" w:rsidR="00F34977" w:rsidRPr="00CD05A8" w:rsidRDefault="00F34977" w:rsidP="00F34977">
      <w:pPr>
        <w:pStyle w:val="AbstractBookBaseParagraph"/>
        <w:rPr>
          <w:rFonts w:ascii="Noto Serif Light" w:hAnsi="Noto Serif Light" w:cs="Noto Serif Light"/>
        </w:rPr>
      </w:pPr>
    </w:p>
    <w:p w14:paraId="26E0E13D"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In conclusion, the paper contributes to the literature on regional innovation policy by offering a novel framework for measuring impact in complex, place-based ecosystems. By integrating reciprocal innovativeness, belongingness and ecosystem capabilities, it provides a more comprehensive approach to understanding and measuring innovation in complex, place-based systems. For policymakers, the findings suggest that fostering inclusive and adaptive innovation systems requires moving beyond linear evaluation models towards approaches that explicitly account for interdependencies, feedback loops and co-evolutionary dynamics.</w:t>
      </w:r>
    </w:p>
    <w:p w14:paraId="1C2DAD11" w14:textId="77777777" w:rsidR="00F34977" w:rsidRPr="00CD05A8" w:rsidRDefault="00F34977" w:rsidP="00F34977">
      <w:pPr>
        <w:pStyle w:val="AbstractBookBaseParagraph"/>
        <w:rPr>
          <w:rFonts w:ascii="Noto Serif Light" w:hAnsi="Noto Serif Light" w:cs="Noto Serif Light"/>
        </w:rPr>
      </w:pPr>
    </w:p>
    <w:p w14:paraId="1F5518BB" w14:textId="77777777" w:rsidR="00F34977" w:rsidRPr="00103F5E" w:rsidRDefault="00F34977" w:rsidP="00F34977">
      <w:pPr>
        <w:pStyle w:val="AbstractBookBaseParagraph"/>
        <w:rPr>
          <w:rFonts w:ascii="Noto Serif Light" w:hAnsi="Noto Serif Light" w:cs="Noto Serif Light"/>
          <w:b/>
          <w:bCs/>
        </w:rPr>
      </w:pPr>
      <w:r w:rsidRPr="00103F5E">
        <w:rPr>
          <w:rFonts w:ascii="Noto Serif Light" w:hAnsi="Noto Serif Light" w:cs="Noto Serif Light"/>
          <w:b/>
          <w:bCs/>
        </w:rPr>
        <w:t>References</w:t>
      </w:r>
    </w:p>
    <w:p w14:paraId="1EA27036" w14:textId="77777777" w:rsidR="00F34977" w:rsidRPr="00CD05A8" w:rsidRDefault="00F34977" w:rsidP="00F34977">
      <w:pPr>
        <w:pStyle w:val="AbstractBookBaseParagraph"/>
        <w:numPr>
          <w:ilvl w:val="0"/>
          <w:numId w:val="33"/>
        </w:numPr>
        <w:rPr>
          <w:rFonts w:ascii="Noto Serif Light" w:hAnsi="Noto Serif Light" w:cs="Noto Serif Light"/>
        </w:rPr>
      </w:pPr>
      <w:r w:rsidRPr="00CD05A8">
        <w:rPr>
          <w:rFonts w:ascii="Noto Serif Light" w:hAnsi="Noto Serif Light" w:cs="Noto Serif Light"/>
        </w:rPr>
        <w:t xml:space="preserve">Audretsch, D., &amp; Keilbach, M. (2004). Entrepreneurship Capital and Economic Performance. Regional Studies, 38(8), 949–959. https://doi.org/10.1080/0034340042000280956 </w:t>
      </w:r>
    </w:p>
    <w:p w14:paraId="58B79CE2" w14:textId="77777777" w:rsidR="00F34977" w:rsidRPr="00CD05A8" w:rsidRDefault="00F34977" w:rsidP="00F34977">
      <w:pPr>
        <w:pStyle w:val="AbstractBookBaseParagraph"/>
        <w:numPr>
          <w:ilvl w:val="0"/>
          <w:numId w:val="33"/>
        </w:numPr>
        <w:rPr>
          <w:rFonts w:ascii="Noto Serif Light" w:hAnsi="Noto Serif Light" w:cs="Noto Serif Light"/>
        </w:rPr>
      </w:pPr>
      <w:r w:rsidRPr="00CD05A8">
        <w:rPr>
          <w:rFonts w:ascii="Noto Serif Light" w:hAnsi="Noto Serif Light" w:cs="Noto Serif Light"/>
        </w:rPr>
        <w:t xml:space="preserve">Bramwell, A., Hepburn, N., &amp; Wolfe, D. A. (2019). Growing entrepreneurial ecosystems. Journal of Entrepreneurship and Public Policy, 8(2), 272–292. https://doi.org/10.1108/jepp-04-2019-0034 </w:t>
      </w:r>
    </w:p>
    <w:p w14:paraId="170A7F11" w14:textId="77777777" w:rsidR="00F34977" w:rsidRPr="00CD05A8" w:rsidRDefault="00F34977" w:rsidP="00F34977">
      <w:pPr>
        <w:pStyle w:val="AbstractBookBaseParagraph"/>
        <w:numPr>
          <w:ilvl w:val="0"/>
          <w:numId w:val="33"/>
        </w:numPr>
        <w:rPr>
          <w:rFonts w:ascii="Noto Serif Light" w:hAnsi="Noto Serif Light" w:cs="Noto Serif Light"/>
        </w:rPr>
      </w:pPr>
      <w:r w:rsidRPr="00CD05A8">
        <w:rPr>
          <w:rFonts w:ascii="Noto Serif Light" w:hAnsi="Noto Serif Light" w:cs="Noto Serif Light"/>
        </w:rPr>
        <w:t xml:space="preserve">Coletto, C., Caliari, L., Bernardes-de-Souza, D., &amp; Callegaro-de-Menezes, D. (2024). Dynamics of actors in innovation ecosystems' analytical structures. Innovation &amp; Management Review, 21(4), 244–259. https://doi.org/10.1108/inmr-11-2022-0150 </w:t>
      </w:r>
    </w:p>
    <w:p w14:paraId="08B97769" w14:textId="77777777" w:rsidR="00F34977" w:rsidRPr="00CD05A8" w:rsidRDefault="00F34977" w:rsidP="00F34977">
      <w:pPr>
        <w:pStyle w:val="AbstractBookBaseParagraph"/>
        <w:numPr>
          <w:ilvl w:val="0"/>
          <w:numId w:val="33"/>
        </w:numPr>
        <w:rPr>
          <w:rFonts w:ascii="Noto Serif Light" w:hAnsi="Noto Serif Light" w:cs="Noto Serif Light"/>
        </w:rPr>
      </w:pPr>
      <w:r w:rsidRPr="00CD05A8">
        <w:rPr>
          <w:rFonts w:ascii="Noto Serif Light" w:hAnsi="Noto Serif Light" w:cs="Noto Serif Light"/>
        </w:rPr>
        <w:t xml:space="preserve">David, A., &amp; Terstriep, J. (2025). Against all odds – migrant entrepreneurs in entrepreneurial ecosystems with constraints. Journal of Enterprising Communities: People and Places in the Global Economy, 19(2), 248–275. https://doi.org/10.1108/JEC-03-2024-0052 </w:t>
      </w:r>
    </w:p>
    <w:p w14:paraId="4E26AE84" w14:textId="77777777" w:rsidR="00F34977" w:rsidRPr="00CD05A8" w:rsidRDefault="00F34977" w:rsidP="00F34977">
      <w:pPr>
        <w:pStyle w:val="AbstractBookBaseParagraph"/>
        <w:numPr>
          <w:ilvl w:val="0"/>
          <w:numId w:val="33"/>
        </w:numPr>
        <w:rPr>
          <w:rFonts w:ascii="Noto Serif Light" w:hAnsi="Noto Serif Light" w:cs="Noto Serif Light"/>
        </w:rPr>
      </w:pPr>
      <w:r w:rsidRPr="00CD05A8">
        <w:rPr>
          <w:rFonts w:ascii="Noto Serif Light" w:hAnsi="Noto Serif Light" w:cs="Noto Serif Light"/>
        </w:rPr>
        <w:t xml:space="preserve">David, A., Terstriep, J., &amp; Freiling, J. (2025). Understanding the nuances of (dis-)connectedness of migrant entrepreneurs within entrepreneurial ecosystems. International Small Business Journal, 43(9), 1030–1065. https://doi.org/10.1177/02662426251322080 </w:t>
      </w:r>
    </w:p>
    <w:p w14:paraId="3D01E0B6" w14:textId="77777777" w:rsidR="00F34977" w:rsidRPr="00CD05A8" w:rsidRDefault="00F34977" w:rsidP="00F34977">
      <w:pPr>
        <w:pStyle w:val="AbstractBookBaseParagraph"/>
        <w:numPr>
          <w:ilvl w:val="0"/>
          <w:numId w:val="33"/>
        </w:numPr>
        <w:rPr>
          <w:rFonts w:ascii="Noto Serif Light" w:hAnsi="Noto Serif Light" w:cs="Noto Serif Light"/>
        </w:rPr>
      </w:pPr>
      <w:r w:rsidRPr="00CD05A8">
        <w:rPr>
          <w:rFonts w:ascii="Noto Serif Light" w:hAnsi="Noto Serif Light" w:cs="Noto Serif Light"/>
        </w:rPr>
        <w:lastRenderedPageBreak/>
        <w:t xml:space="preserve">Etzkowitz, H. (2018). Innovation Governance: From the “Endless Frontier” to the Triple Helix. In P. Meuseburger, M. Heffernan, &amp; L. Suarsana (Eds.), Geographies of the University (pp. 291–311). Springer. https://doi.org/10.1007/978-3-319-75593-9_8 </w:t>
      </w:r>
    </w:p>
    <w:p w14:paraId="0C166908" w14:textId="77777777" w:rsidR="00F34977" w:rsidRPr="00CD05A8" w:rsidRDefault="00F34977" w:rsidP="00F34977">
      <w:pPr>
        <w:pStyle w:val="AbstractBookBaseParagraph"/>
        <w:numPr>
          <w:ilvl w:val="0"/>
          <w:numId w:val="33"/>
        </w:numPr>
        <w:rPr>
          <w:rFonts w:ascii="Noto Serif Light" w:hAnsi="Noto Serif Light" w:cs="Noto Serif Light"/>
        </w:rPr>
      </w:pPr>
      <w:r w:rsidRPr="00CD05A8">
        <w:rPr>
          <w:rFonts w:ascii="Noto Serif Light" w:hAnsi="Noto Serif Light" w:cs="Noto Serif Light"/>
        </w:rPr>
        <w:t xml:space="preserve">Feser, D. (2022). Innovation intermediaries revised: a systematic literature review on innovation intermediaries’ role for knowledge sharing. Review of Managerial Science, 17(5), 1827–1862. https://doi.org/10.1007/s11846-022-00593-x </w:t>
      </w:r>
    </w:p>
    <w:p w14:paraId="52C81340" w14:textId="77777777" w:rsidR="00F34977" w:rsidRPr="00CD05A8" w:rsidRDefault="00F34977" w:rsidP="00F34977">
      <w:pPr>
        <w:pStyle w:val="AbstractBookBaseParagraph"/>
        <w:numPr>
          <w:ilvl w:val="0"/>
          <w:numId w:val="33"/>
        </w:numPr>
        <w:rPr>
          <w:rFonts w:ascii="Noto Serif Light" w:hAnsi="Noto Serif Light" w:cs="Noto Serif Light"/>
        </w:rPr>
      </w:pPr>
      <w:r w:rsidRPr="00CD05A8">
        <w:rPr>
          <w:rFonts w:ascii="Noto Serif Light" w:hAnsi="Noto Serif Light" w:cs="Noto Serif Light"/>
        </w:rPr>
        <w:t xml:space="preserve">Haddad, C. R., Wise, E., &amp; Arnold, E. (2024). When theory meets practice in transformative innovation policy evaluation: experiences from Sweden. Research Evaluation, 33, 1–17. https://doi.org/10.1093/reseval/rvae059 Research </w:t>
      </w:r>
    </w:p>
    <w:p w14:paraId="609752B1" w14:textId="77777777" w:rsidR="00F34977" w:rsidRPr="00CD05A8" w:rsidRDefault="00F34977" w:rsidP="00F34977">
      <w:pPr>
        <w:pStyle w:val="AbstractBookBaseParagraph"/>
        <w:numPr>
          <w:ilvl w:val="0"/>
          <w:numId w:val="33"/>
        </w:numPr>
        <w:rPr>
          <w:rFonts w:ascii="Noto Serif Light" w:hAnsi="Noto Serif Light" w:cs="Noto Serif Light"/>
        </w:rPr>
      </w:pPr>
      <w:r w:rsidRPr="00CD05A8">
        <w:rPr>
          <w:rFonts w:ascii="Noto Serif Light" w:hAnsi="Noto Serif Light" w:cs="Noto Serif Light"/>
        </w:rPr>
        <w:t xml:space="preserve">Lepore, D. (2023). Intermediaries in Innovation Systems: Match or Mismatch? Journal of the Knowledge Economy, 15(3), 12678–12708. https://doi.org/10.1007/s13132-023-01566-5 </w:t>
      </w:r>
    </w:p>
    <w:p w14:paraId="284C4557" w14:textId="77777777" w:rsidR="00F34977" w:rsidRPr="00CD05A8" w:rsidRDefault="00F34977" w:rsidP="00F34977">
      <w:pPr>
        <w:pStyle w:val="AbstractBookBaseParagraph"/>
        <w:numPr>
          <w:ilvl w:val="0"/>
          <w:numId w:val="33"/>
        </w:numPr>
        <w:rPr>
          <w:rFonts w:ascii="Noto Serif Light" w:hAnsi="Noto Serif Light" w:cs="Noto Serif Light"/>
        </w:rPr>
      </w:pPr>
      <w:r w:rsidRPr="00CD05A8">
        <w:rPr>
          <w:rFonts w:ascii="Noto Serif Light" w:hAnsi="Noto Serif Light" w:cs="Noto Serif Light"/>
        </w:rPr>
        <w:t xml:space="preserve">Maslow, A. H. (1954). Motivation and Personality. Harper &amp; Row Publishers. </w:t>
      </w:r>
    </w:p>
    <w:p w14:paraId="110CE9CF" w14:textId="77777777" w:rsidR="00F34977" w:rsidRPr="00CD05A8" w:rsidRDefault="00F34977" w:rsidP="00F34977">
      <w:pPr>
        <w:pStyle w:val="AbstractBookBaseParagraph"/>
        <w:numPr>
          <w:ilvl w:val="0"/>
          <w:numId w:val="33"/>
        </w:numPr>
        <w:rPr>
          <w:rFonts w:ascii="Noto Serif Light" w:hAnsi="Noto Serif Light" w:cs="Noto Serif Light"/>
        </w:rPr>
      </w:pPr>
      <w:r w:rsidRPr="00CD05A8">
        <w:rPr>
          <w:rFonts w:ascii="Noto Serif Light" w:hAnsi="Noto Serif Light" w:cs="Noto Serif Light"/>
        </w:rPr>
        <w:t xml:space="preserve">Neumeyer, X., Santos, S. C., &amp; Morris, M. H. (2019). Who is left out: exploring social boundaries in entrepreneurial ecosystems. The Journal of Technology Transfer, 44(2), 462–484. https://doi.org/10.1007/s10961-018-9694-0 </w:t>
      </w:r>
    </w:p>
    <w:p w14:paraId="37725D73" w14:textId="77777777" w:rsidR="00F34977" w:rsidRPr="00CD05A8" w:rsidRDefault="00F34977" w:rsidP="00F34977">
      <w:pPr>
        <w:pStyle w:val="AbstractBookBaseParagraph"/>
        <w:numPr>
          <w:ilvl w:val="0"/>
          <w:numId w:val="33"/>
        </w:numPr>
        <w:rPr>
          <w:rFonts w:ascii="Noto Serif Light" w:hAnsi="Noto Serif Light" w:cs="Noto Serif Light"/>
        </w:rPr>
      </w:pPr>
      <w:r w:rsidRPr="00CD05A8">
        <w:rPr>
          <w:rFonts w:ascii="Noto Serif Light" w:hAnsi="Noto Serif Light" w:cs="Noto Serif Light"/>
        </w:rPr>
        <w:t xml:space="preserve">Ostrom, E. (2010). Beyond Markets and States: Polycentric Governance of Complex Economic Systems. American Economic Review, 100(3), 641–672. https://doi.org/10.1257/aer.100.3.641 </w:t>
      </w:r>
    </w:p>
    <w:p w14:paraId="3977E7E8" w14:textId="77777777" w:rsidR="00F34977" w:rsidRPr="00CD05A8" w:rsidRDefault="00F34977" w:rsidP="00F34977">
      <w:pPr>
        <w:pStyle w:val="AbstractBookBaseParagraph"/>
        <w:numPr>
          <w:ilvl w:val="0"/>
          <w:numId w:val="33"/>
        </w:numPr>
        <w:rPr>
          <w:rFonts w:ascii="Noto Serif Light" w:hAnsi="Noto Serif Light" w:cs="Noto Serif Light"/>
        </w:rPr>
      </w:pPr>
      <w:r w:rsidRPr="00CD05A8">
        <w:rPr>
          <w:rFonts w:ascii="Noto Serif Light" w:hAnsi="Noto Serif Light" w:cs="Noto Serif Light"/>
        </w:rPr>
        <w:t xml:space="preserve">Rabelo Neto, J. d. S., Coelho, B. F. C., Valente, R., &amp; Figueiredo, C. R. C. (2026). Metrics and indicators in assessing innovation and entrepreneurial ecosystems: a comparative analysis of GII and GEM. Journal of Science and Technology Policy Management, 17(11), 1–25. https://doi.org/10.1108/jstpm-06-2024-0225 </w:t>
      </w:r>
    </w:p>
    <w:p w14:paraId="48089509" w14:textId="77777777" w:rsidR="00F34977" w:rsidRPr="00CD05A8" w:rsidRDefault="00F34977" w:rsidP="00F34977">
      <w:pPr>
        <w:pStyle w:val="AbstractBookBaseParagraph"/>
        <w:numPr>
          <w:ilvl w:val="0"/>
          <w:numId w:val="33"/>
        </w:numPr>
        <w:rPr>
          <w:rFonts w:ascii="Noto Serif Light" w:hAnsi="Noto Serif Light" w:cs="Noto Serif Light"/>
        </w:rPr>
      </w:pPr>
      <w:r w:rsidRPr="00CD05A8">
        <w:rPr>
          <w:rFonts w:ascii="Noto Serif Light" w:hAnsi="Noto Serif Light" w:cs="Noto Serif Light"/>
        </w:rPr>
        <w:t xml:space="preserve">Reuther, K., Dahle, Y., &amp; Polychronopoulos, D. (2026). Migrant entrepreneurship support reconsidered: a configurational comparison of migrant and non-migrant entrepreneurs in Norway. Entrepreneurship &amp; Regional Development, 1–30. https://doi.org/10.1080/08985626.2026.2652884 </w:t>
      </w:r>
    </w:p>
    <w:p w14:paraId="0C4A4760" w14:textId="77777777" w:rsidR="00F34977" w:rsidRPr="00CD05A8" w:rsidRDefault="00F34977" w:rsidP="00F34977">
      <w:pPr>
        <w:pStyle w:val="AbstractBookBaseParagraph"/>
        <w:numPr>
          <w:ilvl w:val="0"/>
          <w:numId w:val="33"/>
        </w:numPr>
        <w:rPr>
          <w:rFonts w:ascii="Noto Serif Light" w:hAnsi="Noto Serif Light" w:cs="Noto Serif Light"/>
        </w:rPr>
      </w:pPr>
      <w:r w:rsidRPr="00CD05A8">
        <w:rPr>
          <w:rFonts w:ascii="Noto Serif Light" w:hAnsi="Noto Serif Light" w:cs="Noto Serif Light"/>
        </w:rPr>
        <w:t xml:space="preserve">Tabarés, R., &amp; Boni, A. (2025). Towards Responsible Innovation Ecosystems Through Social Labs: Lessons from the Field. https://doi.org/10.2139/ssrn.5262432 </w:t>
      </w:r>
    </w:p>
    <w:p w14:paraId="18A0DDD5" w14:textId="77777777" w:rsidR="00F34977" w:rsidRPr="00CD05A8" w:rsidRDefault="00F34977" w:rsidP="00F34977">
      <w:pPr>
        <w:pStyle w:val="AbstractBookBaseParagraph"/>
        <w:numPr>
          <w:ilvl w:val="0"/>
          <w:numId w:val="33"/>
        </w:numPr>
        <w:rPr>
          <w:rFonts w:ascii="Noto Serif Light" w:hAnsi="Noto Serif Light" w:cs="Noto Serif Light"/>
        </w:rPr>
      </w:pPr>
      <w:r w:rsidRPr="00CD05A8">
        <w:rPr>
          <w:rFonts w:ascii="Noto Serif Light" w:hAnsi="Noto Serif Light" w:cs="Noto Serif Light"/>
        </w:rPr>
        <w:t>Torres, J. M., &amp; Steponavičius, M. (2022). More than just a gobetween: The role of intermediaries in knowledge mobilisation. In (Vol. No. 285). Paris: OECD Publishing.</w:t>
      </w:r>
    </w:p>
    <w:p w14:paraId="6E6AF171" w14:textId="77777777" w:rsidR="00F34977" w:rsidRPr="00CD05A8" w:rsidRDefault="00F34977" w:rsidP="00F34977">
      <w:pPr>
        <w:pStyle w:val="AbstractBookBaseParagraph"/>
        <w:numPr>
          <w:ilvl w:val="0"/>
          <w:numId w:val="33"/>
        </w:numPr>
        <w:rPr>
          <w:rFonts w:ascii="Noto Serif Light" w:hAnsi="Noto Serif Light" w:cs="Noto Serif Light"/>
        </w:rPr>
      </w:pPr>
      <w:r w:rsidRPr="00CD05A8">
        <w:rPr>
          <w:rFonts w:ascii="Noto Serif Light" w:hAnsi="Noto Serif Light" w:cs="Noto Serif Light"/>
        </w:rPr>
        <w:t xml:space="preserve">Trippl, M., &amp; Tödtling, F. (2025). Place-based transformative innovation policies. In J. Karlsen, J. O. Rypestøl, &amp; M. Trippl (Eds.), Sustainable Regional Restructuring (pp. 11–26). Edward Elgar. https://doi.org/10.4337/9781035330799.00009 </w:t>
      </w:r>
    </w:p>
    <w:p w14:paraId="17BD7DAE"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br w:type="page"/>
      </w:r>
    </w:p>
    <w:p w14:paraId="47E1C4AC" w14:textId="77777777" w:rsidR="00F34977" w:rsidRDefault="00F34977" w:rsidP="00F34977">
      <w:pPr>
        <w:pStyle w:val="ABSubhead"/>
      </w:pPr>
      <w:r>
        <w:lastRenderedPageBreak/>
        <w:t xml:space="preserve">O83. </w:t>
      </w:r>
      <w:r w:rsidRPr="00CD05A8">
        <w:t xml:space="preserve">Beyond Gross Domestic Product: Assessing General Public Preferences for </w:t>
      </w:r>
      <w:r>
        <w:t>a</w:t>
      </w:r>
      <w:r w:rsidRPr="00CD05A8">
        <w:t xml:space="preserve"> Wellbeing Economy</w:t>
      </w:r>
    </w:p>
    <w:p w14:paraId="3B42E675" w14:textId="77777777" w:rsidR="00F34977" w:rsidRPr="00220128" w:rsidRDefault="00F34977" w:rsidP="00F34977">
      <w:pPr>
        <w:pStyle w:val="ABParagraph"/>
      </w:pPr>
    </w:p>
    <w:p w14:paraId="108FE688" w14:textId="77777777" w:rsidR="00F34977" w:rsidRPr="00CD05A8" w:rsidRDefault="00F34977" w:rsidP="00F34977">
      <w:pPr>
        <w:pStyle w:val="AbstractBookAuthors"/>
        <w:rPr>
          <w:rFonts w:ascii="Noto Serif Light" w:hAnsi="Noto Serif Light" w:cs="Noto Serif Light"/>
        </w:rPr>
      </w:pPr>
      <w:r w:rsidRPr="00CD05A8">
        <w:rPr>
          <w:rStyle w:val="AbstractBookPresentingAuthor"/>
          <w:rFonts w:ascii="Noto Serif Light" w:hAnsi="Noto Serif Light" w:cs="Noto Serif Light"/>
        </w:rPr>
        <w:t>Professor Julie Ratcliffe</w:t>
      </w: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 Rachel Milte</w:t>
      </w:r>
      <w:r w:rsidRPr="00CD05A8">
        <w:rPr>
          <w:rFonts w:ascii="Noto Serif Light" w:hAnsi="Noto Serif Light" w:cs="Noto Serif Light"/>
          <w:vertAlign w:val="superscript"/>
        </w:rPr>
        <w:t>1</w:t>
      </w:r>
    </w:p>
    <w:p w14:paraId="7B8BA294" w14:textId="77777777" w:rsidR="00F34977" w:rsidRDefault="00F34977" w:rsidP="00F34977">
      <w:pPr>
        <w:pStyle w:val="AbstractBookBaseParagraph"/>
        <w:rPr>
          <w:rStyle w:val="AbstractBookBaseCharacterStyle"/>
          <w:rFonts w:ascii="Noto Serif Light" w:hAnsi="Noto Serif Light" w:cs="Noto Serif Light"/>
        </w:rPr>
      </w:pPr>
      <w:r w:rsidRPr="00CD05A8">
        <w:rPr>
          <w:rFonts w:ascii="Noto Serif Light" w:hAnsi="Noto Serif Light" w:cs="Noto Serif Light"/>
          <w:vertAlign w:val="superscript"/>
        </w:rPr>
        <w:t>1</w:t>
      </w:r>
      <w:r w:rsidRPr="00CD05A8">
        <w:rPr>
          <w:rStyle w:val="AbstractBookBaseCharacterStyle"/>
          <w:rFonts w:ascii="Noto Serif Light" w:hAnsi="Noto Serif Light" w:cs="Noto Serif Light"/>
        </w:rPr>
        <w:t>Flinders University, Adelaide, Australia</w:t>
      </w:r>
    </w:p>
    <w:p w14:paraId="36E90A4B" w14:textId="77777777" w:rsidR="00F34977" w:rsidRDefault="00F34977" w:rsidP="00F34977">
      <w:pPr>
        <w:pStyle w:val="AbstractBookBaseParagraph"/>
        <w:rPr>
          <w:rStyle w:val="AbstractBookBaseCharacterStyle"/>
          <w:rFonts w:ascii="Noto Serif Light" w:hAnsi="Noto Serif Light" w:cs="Noto Serif Light"/>
        </w:rPr>
      </w:pPr>
    </w:p>
    <w:p w14:paraId="253CA2E9" w14:textId="77777777" w:rsidR="00F34977" w:rsidRPr="00220128" w:rsidRDefault="00F34977" w:rsidP="00F34977">
      <w:pPr>
        <w:pStyle w:val="AbstractBookBaseParagraph"/>
        <w:rPr>
          <w:rFonts w:ascii="Noto Serif Light" w:hAnsi="Noto Serif Light" w:cs="Noto Serif Light"/>
          <w:b/>
          <w:bCs/>
        </w:rPr>
      </w:pPr>
      <w:r w:rsidRPr="00CD05A8">
        <w:rPr>
          <w:rStyle w:val="AbstractBookBaseCharacterStyle"/>
          <w:rFonts w:ascii="Noto Serif Light" w:hAnsi="Noto Serif Light" w:cs="Noto Serif Light"/>
          <w:b/>
          <w:bCs/>
        </w:rPr>
        <w:t>Abstract:</w:t>
      </w:r>
    </w:p>
    <w:p w14:paraId="224278F2" w14:textId="77777777" w:rsidR="00F34977" w:rsidRDefault="00F34977" w:rsidP="00F34977">
      <w:pPr>
        <w:pStyle w:val="AbstractBookBaseParagraph"/>
        <w:rPr>
          <w:rFonts w:ascii="Noto Serif Light" w:hAnsi="Noto Serif Light" w:cs="Noto Serif Light"/>
        </w:rPr>
      </w:pPr>
    </w:p>
    <w:p w14:paraId="6B26AD82" w14:textId="77777777" w:rsidR="00F34977" w:rsidRPr="00220128" w:rsidRDefault="00F34977" w:rsidP="00F34977">
      <w:pPr>
        <w:pStyle w:val="AbstractBookBaseParagraph"/>
        <w:rPr>
          <w:rFonts w:ascii="Noto Serif Light" w:hAnsi="Noto Serif Light" w:cs="Noto Serif Light"/>
          <w:b/>
          <w:bCs/>
        </w:rPr>
      </w:pPr>
      <w:r w:rsidRPr="00220128">
        <w:rPr>
          <w:rFonts w:ascii="Noto Serif Light" w:hAnsi="Noto Serif Light" w:cs="Noto Serif Light"/>
          <w:b/>
          <w:bCs/>
        </w:rPr>
        <w:t>Objectives</w:t>
      </w:r>
    </w:p>
    <w:p w14:paraId="45DB4D03"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Government policy in Australia is currently shifting from a focus on economic growth at any cost towards the principles of a wellbeing economy, focused on achieving a more equitable distribution of wealth and wellbeing. This study aimed to assess the relative importance to the Australian general public of the key principles of a wellbeing economy and to investigate heterogeneity in preferences between  subgroups according to key demographic and regional characteristics.</w:t>
      </w:r>
    </w:p>
    <w:p w14:paraId="09263E71" w14:textId="77777777" w:rsidR="00F34977" w:rsidRPr="00CD05A8" w:rsidRDefault="00F34977" w:rsidP="00F34977">
      <w:pPr>
        <w:pStyle w:val="AbstractBookBaseParagraph"/>
        <w:rPr>
          <w:rFonts w:ascii="Noto Serif Light" w:hAnsi="Noto Serif Light" w:cs="Noto Serif Light"/>
        </w:rPr>
      </w:pPr>
    </w:p>
    <w:p w14:paraId="1B361A11" w14:textId="77777777" w:rsidR="00F34977" w:rsidRPr="00220128" w:rsidRDefault="00F34977" w:rsidP="00F34977">
      <w:pPr>
        <w:pStyle w:val="AbstractBookBaseParagraph"/>
        <w:rPr>
          <w:rFonts w:ascii="Noto Serif Light" w:hAnsi="Noto Serif Light" w:cs="Noto Serif Light"/>
          <w:b/>
          <w:bCs/>
        </w:rPr>
      </w:pPr>
      <w:r w:rsidRPr="00220128">
        <w:rPr>
          <w:rFonts w:ascii="Noto Serif Light" w:hAnsi="Noto Serif Light" w:cs="Noto Serif Light"/>
          <w:b/>
          <w:bCs/>
        </w:rPr>
        <w:t>Methods</w:t>
      </w:r>
    </w:p>
    <w:p w14:paraId="0592CDAE"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An online survey was developed and delivered to a general public sample of 2042 Australian adults (aged 18 years and above). Respondents were invited to rank the key principles of a wellbeing economy (dignity, nature and climate, social connection, fairness and participation) plus two additional traditional economic indicators of societal success (‘economic growth’ and ‘economic prosperity’) in order of their relative importance for informing future policy directions. Data analysis was conducted using simple summative scoring, which involved the use of a point system allocated to rankings as a dependent variable. In addition, a rank-ordered logit model was used to explore preferences for the entire sample and subgroups defined by key socio-demographic characteristics and regional areas.</w:t>
      </w:r>
    </w:p>
    <w:p w14:paraId="6BE934F8" w14:textId="77777777" w:rsidR="00F34977" w:rsidRDefault="00F34977" w:rsidP="00F34977">
      <w:pPr>
        <w:pStyle w:val="AbstractBookBaseParagraph"/>
        <w:rPr>
          <w:rFonts w:ascii="Noto Serif Light" w:hAnsi="Noto Serif Light" w:cs="Noto Serif Light"/>
        </w:rPr>
      </w:pPr>
    </w:p>
    <w:p w14:paraId="6CA2071A" w14:textId="77777777" w:rsidR="00F34977" w:rsidRPr="00220128" w:rsidRDefault="00F34977" w:rsidP="00F34977">
      <w:pPr>
        <w:pStyle w:val="AbstractBookBaseParagraph"/>
        <w:rPr>
          <w:rFonts w:ascii="Noto Serif Light" w:hAnsi="Noto Serif Light" w:cs="Noto Serif Light"/>
          <w:b/>
          <w:bCs/>
        </w:rPr>
      </w:pPr>
      <w:r w:rsidRPr="00220128">
        <w:rPr>
          <w:rFonts w:ascii="Noto Serif Light" w:hAnsi="Noto Serif Light" w:cs="Noto Serif Light"/>
          <w:b/>
          <w:bCs/>
        </w:rPr>
        <w:t xml:space="preserve">Results </w:t>
      </w:r>
    </w:p>
    <w:p w14:paraId="1EF757C6"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‘Dignity’ (people have enough to live in comfort, safety and happiness) and ‘fairness’ (equal opportunity for all Australians and the gap between richest and poorest greatly reduced) were ranked as the most important priorities for the</w:t>
      </w:r>
    </w:p>
    <w:p w14:paraId="11EF0CFE" w14:textId="77777777" w:rsidR="00F34977" w:rsidRDefault="00F34977" w:rsidP="00F34977">
      <w:pPr>
        <w:pStyle w:val="AbstractBookBaseParagraph"/>
        <w:rPr>
          <w:rFonts w:ascii="Noto Serif Light" w:hAnsi="Noto Serif Light" w:cs="Noto Serif Light"/>
        </w:rPr>
      </w:pPr>
      <w:r w:rsidRPr="00CD05A8">
        <w:rPr>
          <w:rFonts w:ascii="Noto Serif Light" w:hAnsi="Noto Serif Light" w:cs="Noto Serif Light"/>
        </w:rPr>
        <w:t xml:space="preserve">total sample and for key socio-demographic subgroups differentiated by age, level of education and level of socio-economic advantage. Traditional economic indicators of societal success including ‘economic prosperity’ and ‘economic growth’ were considered important but generally ranked below the principles of ‘dignity’ and ‘fairness’. These results were consistent regardless of the geographical location of respondents. </w:t>
      </w:r>
    </w:p>
    <w:p w14:paraId="1AD21962" w14:textId="77777777" w:rsidR="00F34977" w:rsidRPr="00CD05A8" w:rsidRDefault="00F34977" w:rsidP="00F34977">
      <w:pPr>
        <w:pStyle w:val="AbstractBookBaseParagraph"/>
        <w:rPr>
          <w:rFonts w:ascii="Noto Serif Light" w:hAnsi="Noto Serif Light" w:cs="Noto Serif Light"/>
        </w:rPr>
      </w:pPr>
    </w:p>
    <w:p w14:paraId="0924856B" w14:textId="77777777" w:rsidR="00F34977" w:rsidRPr="00220128" w:rsidRDefault="00F34977" w:rsidP="00F34977">
      <w:pPr>
        <w:pStyle w:val="AbstractBookBaseParagraph"/>
        <w:rPr>
          <w:rFonts w:ascii="Noto Serif Light" w:hAnsi="Noto Serif Light" w:cs="Noto Serif Light"/>
          <w:b/>
          <w:bCs/>
        </w:rPr>
      </w:pPr>
      <w:r w:rsidRPr="00220128">
        <w:rPr>
          <w:rFonts w:ascii="Noto Serif Light" w:hAnsi="Noto Serif Light" w:cs="Noto Serif Light"/>
          <w:b/>
          <w:bCs/>
        </w:rPr>
        <w:t>Conclusions</w:t>
      </w:r>
    </w:p>
    <w:p w14:paraId="591F11EB"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t>The findings indicate that government movements away from traditional economic indicators and towards new broader wellbeing economy measures of societal success are likely to be supported by the general public in all Australian states and territories.</w:t>
      </w:r>
    </w:p>
    <w:p w14:paraId="17FF391E" w14:textId="77777777" w:rsidR="00F34977" w:rsidRPr="00CD05A8" w:rsidRDefault="00F34977" w:rsidP="00F34977">
      <w:pPr>
        <w:pStyle w:val="AbstractBookBaseParagraph"/>
        <w:rPr>
          <w:rFonts w:ascii="Noto Serif Light" w:hAnsi="Noto Serif Light" w:cs="Noto Serif Light"/>
        </w:rPr>
      </w:pPr>
      <w:r w:rsidRPr="00CD05A8">
        <w:rPr>
          <w:rFonts w:ascii="Noto Serif Light" w:hAnsi="Noto Serif Light" w:cs="Noto Serif Light"/>
        </w:rPr>
        <w:br w:type="page"/>
      </w:r>
    </w:p>
    <w:p w14:paraId="50E0592F" w14:textId="1430A7E3" w:rsidR="00263DBC" w:rsidRDefault="00263DBC" w:rsidP="00263DBC">
      <w:pPr>
        <w:pStyle w:val="ABHeading"/>
      </w:pPr>
      <w:bookmarkStart w:id="26" w:name="_Toc238128009"/>
      <w:bookmarkStart w:id="27" w:name="_Toc238129286"/>
      <w:r>
        <w:lastRenderedPageBreak/>
        <w:t>Author Index</w:t>
      </w:r>
      <w:bookmarkEnd w:id="26"/>
      <w:bookmarkEnd w:id="27"/>
    </w:p>
    <w:p w14:paraId="79B40906" w14:textId="77777777" w:rsidR="00B27D8F" w:rsidRDefault="00B27D8F" w:rsidP="00015480">
      <w:pPr>
        <w:pStyle w:val="AbstractBookAuthorIndexLetterHeading"/>
        <w:rPr>
          <w:rFonts w:ascii="Noto Serif Light" w:hAnsi="Noto Serif Light" w:cs="Noto Serif Light"/>
        </w:rPr>
      </w:pPr>
    </w:p>
    <w:p w14:paraId="4798A502" w14:textId="24E76FA1"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A</w:t>
      </w:r>
    </w:p>
    <w:p w14:paraId="74472D0E" w14:textId="77777777" w:rsidR="006A1205" w:rsidRPr="00015480" w:rsidRDefault="006A1205" w:rsidP="00015480">
      <w:pPr>
        <w:pStyle w:val="AbstractBookAuthorIndexLetterHeading"/>
        <w:rPr>
          <w:rFonts w:ascii="Noto Serif Light" w:hAnsi="Noto Serif Light" w:cs="Noto Serif Light"/>
        </w:rPr>
      </w:pPr>
    </w:p>
    <w:tbl>
      <w:tblPr>
        <w:tblW w:w="5000" w:type="pct"/>
        <w:tblLook w:val="0600" w:firstRow="0" w:lastRow="0" w:firstColumn="0" w:lastColumn="0" w:noHBand="1" w:noVBand="1"/>
      </w:tblPr>
      <w:tblGrid>
        <w:gridCol w:w="3401"/>
        <w:gridCol w:w="852"/>
        <w:gridCol w:w="283"/>
        <w:gridCol w:w="3406"/>
        <w:gridCol w:w="1084"/>
      </w:tblGrid>
      <w:tr w:rsidR="00015480" w:rsidRPr="00015480" w14:paraId="17DD36A7" w14:textId="77777777" w:rsidTr="006A1205">
        <w:tc>
          <w:tcPr>
            <w:tcW w:w="3397" w:type="dxa"/>
          </w:tcPr>
          <w:p w14:paraId="45FF0F06" w14:textId="54BBFD33"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Aarset, Bernt</w:t>
            </w:r>
          </w:p>
        </w:tc>
        <w:tc>
          <w:tcPr>
            <w:tcW w:w="851" w:type="dxa"/>
          </w:tcPr>
          <w:p w14:paraId="64F03617"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O15</w:t>
            </w:r>
          </w:p>
        </w:tc>
        <w:tc>
          <w:tcPr>
            <w:tcW w:w="283" w:type="dxa"/>
          </w:tcPr>
          <w:p w14:paraId="6E57F32F" w14:textId="77777777" w:rsidR="00015480" w:rsidRPr="00015480" w:rsidRDefault="00015480" w:rsidP="00C96EB7">
            <w:pPr>
              <w:rPr>
                <w:rFonts w:ascii="Noto Serif Light" w:hAnsi="Noto Serif Light" w:cs="Noto Serif Light"/>
              </w:rPr>
            </w:pPr>
          </w:p>
        </w:tc>
        <w:tc>
          <w:tcPr>
            <w:tcW w:w="3402" w:type="dxa"/>
          </w:tcPr>
          <w:p w14:paraId="3F194251"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Alkorta Elzo, Maddalen</w:t>
            </w:r>
          </w:p>
        </w:tc>
        <w:tc>
          <w:tcPr>
            <w:tcW w:w="1083" w:type="dxa"/>
          </w:tcPr>
          <w:p w14:paraId="4711FB29"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O22</w:t>
            </w:r>
          </w:p>
        </w:tc>
      </w:tr>
      <w:tr w:rsidR="00015480" w:rsidRPr="00015480" w14:paraId="6D2CFBE0" w14:textId="77777777" w:rsidTr="006A1205">
        <w:tc>
          <w:tcPr>
            <w:tcW w:w="3397" w:type="dxa"/>
          </w:tcPr>
          <w:p w14:paraId="1C866795"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Adhikari, Purushottam</w:t>
            </w:r>
          </w:p>
        </w:tc>
        <w:tc>
          <w:tcPr>
            <w:tcW w:w="851" w:type="dxa"/>
          </w:tcPr>
          <w:p w14:paraId="6B407A78"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O44</w:t>
            </w:r>
          </w:p>
        </w:tc>
        <w:tc>
          <w:tcPr>
            <w:tcW w:w="283" w:type="dxa"/>
          </w:tcPr>
          <w:p w14:paraId="23A74867" w14:textId="77777777" w:rsidR="00015480" w:rsidRPr="00015480" w:rsidRDefault="00015480" w:rsidP="00C96EB7">
            <w:pPr>
              <w:rPr>
                <w:rFonts w:ascii="Noto Serif Light" w:hAnsi="Noto Serif Light" w:cs="Noto Serif Light"/>
              </w:rPr>
            </w:pPr>
          </w:p>
        </w:tc>
        <w:tc>
          <w:tcPr>
            <w:tcW w:w="3402" w:type="dxa"/>
          </w:tcPr>
          <w:p w14:paraId="6391662A"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Apanasovich, Natalja</w:t>
            </w:r>
          </w:p>
        </w:tc>
        <w:tc>
          <w:tcPr>
            <w:tcW w:w="1083" w:type="dxa"/>
          </w:tcPr>
          <w:p w14:paraId="5C0955CA"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O67</w:t>
            </w:r>
          </w:p>
        </w:tc>
      </w:tr>
      <w:tr w:rsidR="002D099C" w:rsidRPr="00015480" w14:paraId="3CE6A2BB" w14:textId="77777777" w:rsidTr="006A1205">
        <w:tc>
          <w:tcPr>
            <w:tcW w:w="3397" w:type="dxa"/>
          </w:tcPr>
          <w:p w14:paraId="6F65203B" w14:textId="2597848D" w:rsidR="002D099C" w:rsidRPr="00015480" w:rsidRDefault="002D099C" w:rsidP="002D099C">
            <w:pPr>
              <w:pStyle w:val="AbstractBookAuthorIndex"/>
              <w:rPr>
                <w:rFonts w:ascii="Noto Serif Light" w:hAnsi="Noto Serif Light" w:cs="Noto Serif Light"/>
              </w:rPr>
            </w:pPr>
            <w:r>
              <w:rPr>
                <w:rFonts w:ascii="Noto Serif Light" w:hAnsi="Noto Serif Light" w:cs="Noto Serif Light"/>
              </w:rPr>
              <w:t>Ahmed, Raju</w:t>
            </w:r>
          </w:p>
        </w:tc>
        <w:tc>
          <w:tcPr>
            <w:tcW w:w="851" w:type="dxa"/>
          </w:tcPr>
          <w:p w14:paraId="15925DA4" w14:textId="5A2B1E7C" w:rsidR="002D099C" w:rsidRPr="00015480" w:rsidRDefault="002D099C" w:rsidP="002D099C">
            <w:pPr>
              <w:pStyle w:val="AbstractBookAuthorIndex"/>
              <w:rPr>
                <w:rFonts w:ascii="Noto Serif Light" w:hAnsi="Noto Serif Light" w:cs="Noto Serif Light"/>
              </w:rPr>
            </w:pPr>
            <w:r>
              <w:rPr>
                <w:rFonts w:ascii="Noto Serif Light" w:hAnsi="Noto Serif Light" w:cs="Noto Serif Light"/>
              </w:rPr>
              <w:t>O49</w:t>
            </w:r>
          </w:p>
        </w:tc>
        <w:tc>
          <w:tcPr>
            <w:tcW w:w="283" w:type="dxa"/>
          </w:tcPr>
          <w:p w14:paraId="2B1F06C4" w14:textId="77777777" w:rsidR="002D099C" w:rsidRPr="00015480" w:rsidRDefault="002D099C" w:rsidP="002D099C">
            <w:pPr>
              <w:rPr>
                <w:rFonts w:ascii="Noto Serif Light" w:hAnsi="Noto Serif Light" w:cs="Noto Serif Light"/>
              </w:rPr>
            </w:pPr>
          </w:p>
        </w:tc>
        <w:tc>
          <w:tcPr>
            <w:tcW w:w="3402" w:type="dxa"/>
          </w:tcPr>
          <w:p w14:paraId="60534ACB" w14:textId="56B75DC3"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Arriaga-Garcia, Gerardo Javier</w:t>
            </w:r>
          </w:p>
        </w:tc>
        <w:tc>
          <w:tcPr>
            <w:tcW w:w="1083" w:type="dxa"/>
          </w:tcPr>
          <w:p w14:paraId="7669336C" w14:textId="5394F12F"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O51</w:t>
            </w:r>
          </w:p>
        </w:tc>
      </w:tr>
      <w:tr w:rsidR="00015480" w:rsidRPr="00015480" w14:paraId="0F9C250F" w14:textId="77777777" w:rsidTr="006A1205">
        <w:tc>
          <w:tcPr>
            <w:tcW w:w="3397" w:type="dxa"/>
          </w:tcPr>
          <w:p w14:paraId="71C7A3E1"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Albizu, Mikel</w:t>
            </w:r>
          </w:p>
        </w:tc>
        <w:tc>
          <w:tcPr>
            <w:tcW w:w="851" w:type="dxa"/>
          </w:tcPr>
          <w:p w14:paraId="12E6D0F9"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O22</w:t>
            </w:r>
          </w:p>
        </w:tc>
        <w:tc>
          <w:tcPr>
            <w:tcW w:w="283" w:type="dxa"/>
          </w:tcPr>
          <w:p w14:paraId="3BEB9907" w14:textId="77777777" w:rsidR="00015480" w:rsidRPr="00015480" w:rsidRDefault="00015480" w:rsidP="00C96EB7">
            <w:pPr>
              <w:rPr>
                <w:rFonts w:ascii="Noto Serif Light" w:hAnsi="Noto Serif Light" w:cs="Noto Serif Light"/>
              </w:rPr>
            </w:pPr>
          </w:p>
        </w:tc>
        <w:tc>
          <w:tcPr>
            <w:tcW w:w="3402" w:type="dxa"/>
          </w:tcPr>
          <w:p w14:paraId="585A80B3" w14:textId="1D53893F" w:rsidR="00015480" w:rsidRPr="00015480" w:rsidRDefault="00015480" w:rsidP="00C96EB7">
            <w:pPr>
              <w:pStyle w:val="AbstractBookAuthorIndex"/>
              <w:rPr>
                <w:rFonts w:ascii="Noto Serif Light" w:hAnsi="Noto Serif Light" w:cs="Noto Serif Light"/>
              </w:rPr>
            </w:pPr>
          </w:p>
        </w:tc>
        <w:tc>
          <w:tcPr>
            <w:tcW w:w="1083" w:type="dxa"/>
          </w:tcPr>
          <w:p w14:paraId="23084718" w14:textId="188E11F4" w:rsidR="00015480" w:rsidRPr="00015480" w:rsidRDefault="00015480" w:rsidP="00C96EB7">
            <w:pPr>
              <w:pStyle w:val="AbstractBookAuthorIndex"/>
              <w:rPr>
                <w:rFonts w:ascii="Noto Serif Light" w:hAnsi="Noto Serif Light" w:cs="Noto Serif Light"/>
              </w:rPr>
            </w:pPr>
          </w:p>
        </w:tc>
      </w:tr>
    </w:tbl>
    <w:p w14:paraId="75F771CF" w14:textId="77777777" w:rsidR="00B27D8F" w:rsidRDefault="00B27D8F" w:rsidP="00015480">
      <w:pPr>
        <w:pStyle w:val="AbstractBookAuthorIndexLetterHeading"/>
        <w:rPr>
          <w:rFonts w:ascii="Noto Serif Light" w:hAnsi="Noto Serif Light" w:cs="Noto Serif Light"/>
        </w:rPr>
      </w:pPr>
    </w:p>
    <w:p w14:paraId="744672E8" w14:textId="17FD92DA"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B</w:t>
      </w:r>
    </w:p>
    <w:p w14:paraId="146600AC" w14:textId="77777777" w:rsidR="006A1205" w:rsidRPr="00015480" w:rsidRDefault="006A1205" w:rsidP="00015480">
      <w:pPr>
        <w:pStyle w:val="AbstractBookAuthorIndexLetterHeading"/>
        <w:rPr>
          <w:rFonts w:ascii="Noto Serif Light" w:hAnsi="Noto Serif Light" w:cs="Noto Serif Light"/>
        </w:rPr>
      </w:pPr>
    </w:p>
    <w:tbl>
      <w:tblPr>
        <w:tblW w:w="5000" w:type="pct"/>
        <w:tblLayout w:type="fixed"/>
        <w:tblLook w:val="0600" w:firstRow="0" w:lastRow="0" w:firstColumn="0" w:lastColumn="0" w:noHBand="1" w:noVBand="1"/>
      </w:tblPr>
      <w:tblGrid>
        <w:gridCol w:w="3401"/>
        <w:gridCol w:w="852"/>
        <w:gridCol w:w="283"/>
        <w:gridCol w:w="3406"/>
        <w:gridCol w:w="1084"/>
      </w:tblGrid>
      <w:tr w:rsidR="00015480" w:rsidRPr="00015480" w14:paraId="1008FBCE" w14:textId="77777777" w:rsidTr="006A1205">
        <w:tc>
          <w:tcPr>
            <w:tcW w:w="3397" w:type="dxa"/>
          </w:tcPr>
          <w:p w14:paraId="4DB332E7"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Bailey, David</w:t>
            </w:r>
          </w:p>
        </w:tc>
        <w:tc>
          <w:tcPr>
            <w:tcW w:w="851" w:type="dxa"/>
          </w:tcPr>
          <w:p w14:paraId="6EB4B53C"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O78</w:t>
            </w:r>
          </w:p>
        </w:tc>
        <w:tc>
          <w:tcPr>
            <w:tcW w:w="283" w:type="dxa"/>
          </w:tcPr>
          <w:p w14:paraId="2599BF87" w14:textId="77777777" w:rsidR="00015480" w:rsidRPr="00015480" w:rsidRDefault="00015480" w:rsidP="00C96EB7">
            <w:pPr>
              <w:rPr>
                <w:rFonts w:ascii="Noto Serif Light" w:hAnsi="Noto Serif Light" w:cs="Noto Serif Light"/>
              </w:rPr>
            </w:pPr>
          </w:p>
        </w:tc>
        <w:tc>
          <w:tcPr>
            <w:tcW w:w="3402" w:type="dxa"/>
          </w:tcPr>
          <w:p w14:paraId="165553EB"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Bosworth, Gary</w:t>
            </w:r>
          </w:p>
        </w:tc>
        <w:tc>
          <w:tcPr>
            <w:tcW w:w="1083" w:type="dxa"/>
          </w:tcPr>
          <w:p w14:paraId="628128D9"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O80</w:t>
            </w:r>
          </w:p>
        </w:tc>
      </w:tr>
      <w:tr w:rsidR="00015480" w:rsidRPr="00015480" w14:paraId="50E4AE40" w14:textId="77777777" w:rsidTr="006A1205">
        <w:tc>
          <w:tcPr>
            <w:tcW w:w="3397" w:type="dxa"/>
          </w:tcPr>
          <w:p w14:paraId="43B0C1B0"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Bamsey, Vicky</w:t>
            </w:r>
          </w:p>
        </w:tc>
        <w:tc>
          <w:tcPr>
            <w:tcW w:w="851" w:type="dxa"/>
          </w:tcPr>
          <w:p w14:paraId="6F034B16"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O48</w:t>
            </w:r>
          </w:p>
        </w:tc>
        <w:tc>
          <w:tcPr>
            <w:tcW w:w="283" w:type="dxa"/>
          </w:tcPr>
          <w:p w14:paraId="6C647623" w14:textId="77777777" w:rsidR="00015480" w:rsidRPr="00015480" w:rsidRDefault="00015480" w:rsidP="00C96EB7">
            <w:pPr>
              <w:rPr>
                <w:rFonts w:ascii="Noto Serif Light" w:hAnsi="Noto Serif Light" w:cs="Noto Serif Light"/>
              </w:rPr>
            </w:pPr>
          </w:p>
        </w:tc>
        <w:tc>
          <w:tcPr>
            <w:tcW w:w="3402" w:type="dxa"/>
          </w:tcPr>
          <w:p w14:paraId="65151353"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Bramley, George</w:t>
            </w:r>
          </w:p>
        </w:tc>
        <w:tc>
          <w:tcPr>
            <w:tcW w:w="1083" w:type="dxa"/>
          </w:tcPr>
          <w:p w14:paraId="749345AB"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O54</w:t>
            </w:r>
          </w:p>
        </w:tc>
      </w:tr>
      <w:tr w:rsidR="00015480" w:rsidRPr="00015480" w14:paraId="75B672FF" w14:textId="77777777" w:rsidTr="006A1205">
        <w:tc>
          <w:tcPr>
            <w:tcW w:w="3397" w:type="dxa"/>
          </w:tcPr>
          <w:p w14:paraId="6FFDB446"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Beer, Andrew</w:t>
            </w:r>
          </w:p>
        </w:tc>
        <w:tc>
          <w:tcPr>
            <w:tcW w:w="851" w:type="dxa"/>
          </w:tcPr>
          <w:p w14:paraId="72F9D843"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O4</w:t>
            </w:r>
          </w:p>
        </w:tc>
        <w:tc>
          <w:tcPr>
            <w:tcW w:w="283" w:type="dxa"/>
          </w:tcPr>
          <w:p w14:paraId="75EA85D6" w14:textId="77777777" w:rsidR="00015480" w:rsidRPr="00015480" w:rsidRDefault="00015480" w:rsidP="00C96EB7">
            <w:pPr>
              <w:rPr>
                <w:rFonts w:ascii="Noto Serif Light" w:hAnsi="Noto Serif Light" w:cs="Noto Serif Light"/>
              </w:rPr>
            </w:pPr>
          </w:p>
        </w:tc>
        <w:tc>
          <w:tcPr>
            <w:tcW w:w="3402" w:type="dxa"/>
          </w:tcPr>
          <w:p w14:paraId="411D5A8E"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Broekel, Tom</w:t>
            </w:r>
          </w:p>
        </w:tc>
        <w:tc>
          <w:tcPr>
            <w:tcW w:w="1083" w:type="dxa"/>
          </w:tcPr>
          <w:p w14:paraId="1E27BE26"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O35</w:t>
            </w:r>
          </w:p>
        </w:tc>
      </w:tr>
      <w:tr w:rsidR="00015480" w:rsidRPr="00015480" w14:paraId="0D7C79C3" w14:textId="77777777" w:rsidTr="006A1205">
        <w:tc>
          <w:tcPr>
            <w:tcW w:w="3397" w:type="dxa"/>
          </w:tcPr>
          <w:p w14:paraId="73668D81"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Bellandi, Marco</w:t>
            </w:r>
          </w:p>
        </w:tc>
        <w:tc>
          <w:tcPr>
            <w:tcW w:w="851" w:type="dxa"/>
          </w:tcPr>
          <w:p w14:paraId="404F8B38"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O1</w:t>
            </w:r>
          </w:p>
        </w:tc>
        <w:tc>
          <w:tcPr>
            <w:tcW w:w="283" w:type="dxa"/>
          </w:tcPr>
          <w:p w14:paraId="469CB8D6" w14:textId="77777777" w:rsidR="00015480" w:rsidRPr="00015480" w:rsidRDefault="00015480" w:rsidP="00C96EB7">
            <w:pPr>
              <w:rPr>
                <w:rFonts w:ascii="Noto Serif Light" w:hAnsi="Noto Serif Light" w:cs="Noto Serif Light"/>
              </w:rPr>
            </w:pPr>
          </w:p>
        </w:tc>
        <w:tc>
          <w:tcPr>
            <w:tcW w:w="3402" w:type="dxa"/>
          </w:tcPr>
          <w:p w14:paraId="056BCD40"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Brown, Adam</w:t>
            </w:r>
          </w:p>
        </w:tc>
        <w:tc>
          <w:tcPr>
            <w:tcW w:w="1083" w:type="dxa"/>
          </w:tcPr>
          <w:p w14:paraId="13ADCC1F"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O76</w:t>
            </w:r>
          </w:p>
        </w:tc>
      </w:tr>
      <w:tr w:rsidR="00015480" w:rsidRPr="00015480" w14:paraId="02B9B2F2" w14:textId="77777777" w:rsidTr="006A1205">
        <w:tc>
          <w:tcPr>
            <w:tcW w:w="3397" w:type="dxa"/>
          </w:tcPr>
          <w:p w14:paraId="7B57DFAA"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Billing, Chloe</w:t>
            </w:r>
          </w:p>
        </w:tc>
        <w:tc>
          <w:tcPr>
            <w:tcW w:w="851" w:type="dxa"/>
          </w:tcPr>
          <w:p w14:paraId="752C74F1"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O39</w:t>
            </w:r>
          </w:p>
        </w:tc>
        <w:tc>
          <w:tcPr>
            <w:tcW w:w="283" w:type="dxa"/>
          </w:tcPr>
          <w:p w14:paraId="458F28E0" w14:textId="77777777" w:rsidR="00015480" w:rsidRPr="00015480" w:rsidRDefault="00015480" w:rsidP="00C96EB7">
            <w:pPr>
              <w:rPr>
                <w:rFonts w:ascii="Noto Serif Light" w:hAnsi="Noto Serif Light" w:cs="Noto Serif Light"/>
              </w:rPr>
            </w:pPr>
          </w:p>
        </w:tc>
        <w:tc>
          <w:tcPr>
            <w:tcW w:w="3402" w:type="dxa"/>
          </w:tcPr>
          <w:p w14:paraId="202005CC"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Butzin, Anna</w:t>
            </w:r>
          </w:p>
        </w:tc>
        <w:tc>
          <w:tcPr>
            <w:tcW w:w="1083" w:type="dxa"/>
          </w:tcPr>
          <w:p w14:paraId="078B3695"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O16</w:t>
            </w:r>
          </w:p>
        </w:tc>
      </w:tr>
      <w:tr w:rsidR="00015480" w:rsidRPr="00015480" w14:paraId="5CFAEE20" w14:textId="77777777" w:rsidTr="006A1205">
        <w:tc>
          <w:tcPr>
            <w:tcW w:w="3397" w:type="dxa"/>
          </w:tcPr>
          <w:p w14:paraId="2912A5F6"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Blanco-Álvarez, José</w:t>
            </w:r>
          </w:p>
        </w:tc>
        <w:tc>
          <w:tcPr>
            <w:tcW w:w="851" w:type="dxa"/>
          </w:tcPr>
          <w:p w14:paraId="4B75A31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O17</w:t>
            </w:r>
          </w:p>
        </w:tc>
        <w:tc>
          <w:tcPr>
            <w:tcW w:w="283" w:type="dxa"/>
          </w:tcPr>
          <w:p w14:paraId="7AFF6AB8" w14:textId="77777777" w:rsidR="00015480" w:rsidRPr="00015480" w:rsidRDefault="00015480" w:rsidP="00C96EB7">
            <w:pPr>
              <w:rPr>
                <w:rFonts w:ascii="Noto Serif Light" w:hAnsi="Noto Serif Light" w:cs="Noto Serif Light"/>
              </w:rPr>
            </w:pPr>
          </w:p>
        </w:tc>
        <w:tc>
          <w:tcPr>
            <w:tcW w:w="3402" w:type="dxa"/>
          </w:tcPr>
          <w:p w14:paraId="33AE1738" w14:textId="77777777" w:rsidR="00015480" w:rsidRPr="00015480" w:rsidRDefault="00015480" w:rsidP="00C96EB7">
            <w:pPr>
              <w:rPr>
                <w:rFonts w:ascii="Noto Serif Light" w:hAnsi="Noto Serif Light" w:cs="Noto Serif Light"/>
              </w:rPr>
            </w:pPr>
          </w:p>
        </w:tc>
        <w:tc>
          <w:tcPr>
            <w:tcW w:w="1083" w:type="dxa"/>
          </w:tcPr>
          <w:p w14:paraId="38BD9B48" w14:textId="77777777" w:rsidR="00015480" w:rsidRPr="00015480" w:rsidRDefault="00015480" w:rsidP="00C96EB7">
            <w:pPr>
              <w:rPr>
                <w:rFonts w:ascii="Noto Serif Light" w:hAnsi="Noto Serif Light" w:cs="Noto Serif Light"/>
              </w:rPr>
            </w:pPr>
          </w:p>
        </w:tc>
      </w:tr>
    </w:tbl>
    <w:p w14:paraId="50C7FC9B" w14:textId="77777777" w:rsidR="006A1205" w:rsidRDefault="006A1205" w:rsidP="00015480">
      <w:pPr>
        <w:pStyle w:val="AbstractBookAuthorIndexLetterHeading"/>
        <w:rPr>
          <w:rFonts w:ascii="Noto Serif Light" w:hAnsi="Noto Serif Light" w:cs="Noto Serif Light"/>
        </w:rPr>
      </w:pPr>
    </w:p>
    <w:p w14:paraId="218E1AB8" w14:textId="0A67F252"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C</w:t>
      </w:r>
    </w:p>
    <w:p w14:paraId="029628C1" w14:textId="77777777" w:rsidR="006A1205" w:rsidRPr="00015480" w:rsidRDefault="006A1205" w:rsidP="00015480">
      <w:pPr>
        <w:pStyle w:val="AbstractBookAuthorIndexLetterHeading"/>
        <w:rPr>
          <w:rFonts w:ascii="Noto Serif Light" w:hAnsi="Noto Serif Light" w:cs="Noto Serif Light"/>
        </w:rPr>
      </w:pPr>
    </w:p>
    <w:tbl>
      <w:tblPr>
        <w:tblW w:w="5000" w:type="pct"/>
        <w:tblLook w:val="0600" w:firstRow="0" w:lastRow="0" w:firstColumn="0" w:lastColumn="0" w:noHBand="1" w:noVBand="1"/>
      </w:tblPr>
      <w:tblGrid>
        <w:gridCol w:w="3401"/>
        <w:gridCol w:w="994"/>
        <w:gridCol w:w="320"/>
        <w:gridCol w:w="3227"/>
        <w:gridCol w:w="1084"/>
      </w:tblGrid>
      <w:tr w:rsidR="002D099C" w:rsidRPr="00015480" w14:paraId="3307E553" w14:textId="77777777" w:rsidTr="00D86DEA">
        <w:tc>
          <w:tcPr>
            <w:tcW w:w="3397" w:type="dxa"/>
          </w:tcPr>
          <w:p w14:paraId="63A3B732" w14:textId="461500F7"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Campbell-</w:t>
            </w:r>
            <w:r w:rsidR="006A1205">
              <w:rPr>
                <w:rFonts w:ascii="Noto Serif Light" w:hAnsi="Noto Serif Light" w:cs="Noto Serif Light"/>
              </w:rPr>
              <w:t>B</w:t>
            </w:r>
            <w:r w:rsidRPr="00015480">
              <w:rPr>
                <w:rFonts w:ascii="Noto Serif Light" w:hAnsi="Noto Serif Light" w:cs="Noto Serif Light"/>
              </w:rPr>
              <w:t>arr, Verity</w:t>
            </w:r>
          </w:p>
        </w:tc>
        <w:tc>
          <w:tcPr>
            <w:tcW w:w="993" w:type="dxa"/>
          </w:tcPr>
          <w:p w14:paraId="1AB7D567" w14:textId="04099EE5"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O48</w:t>
            </w:r>
          </w:p>
        </w:tc>
        <w:tc>
          <w:tcPr>
            <w:tcW w:w="320" w:type="dxa"/>
          </w:tcPr>
          <w:p w14:paraId="19829AE6" w14:textId="77777777" w:rsidR="002D099C" w:rsidRPr="00015480" w:rsidRDefault="002D099C" w:rsidP="002D099C">
            <w:pPr>
              <w:rPr>
                <w:rFonts w:ascii="Noto Serif Light" w:hAnsi="Noto Serif Light" w:cs="Noto Serif Light"/>
              </w:rPr>
            </w:pPr>
          </w:p>
        </w:tc>
        <w:tc>
          <w:tcPr>
            <w:tcW w:w="3223" w:type="dxa"/>
          </w:tcPr>
          <w:p w14:paraId="427D3229" w14:textId="1435D30C"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Charles, David</w:t>
            </w:r>
          </w:p>
        </w:tc>
        <w:tc>
          <w:tcPr>
            <w:tcW w:w="1083" w:type="dxa"/>
          </w:tcPr>
          <w:p w14:paraId="57FA291B" w14:textId="6FEE3A2A"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O80</w:t>
            </w:r>
          </w:p>
        </w:tc>
      </w:tr>
      <w:tr w:rsidR="002D099C" w:rsidRPr="00015480" w14:paraId="3555E972" w14:textId="77777777" w:rsidTr="00D86DEA">
        <w:tc>
          <w:tcPr>
            <w:tcW w:w="3397" w:type="dxa"/>
          </w:tcPr>
          <w:p w14:paraId="50F565F0" w14:textId="00217204"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Candi, Marina</w:t>
            </w:r>
          </w:p>
        </w:tc>
        <w:tc>
          <w:tcPr>
            <w:tcW w:w="993" w:type="dxa"/>
          </w:tcPr>
          <w:p w14:paraId="71547848" w14:textId="1E1FA71F"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O45</w:t>
            </w:r>
          </w:p>
        </w:tc>
        <w:tc>
          <w:tcPr>
            <w:tcW w:w="320" w:type="dxa"/>
          </w:tcPr>
          <w:p w14:paraId="50976907" w14:textId="77777777" w:rsidR="002D099C" w:rsidRPr="00015480" w:rsidRDefault="002D099C" w:rsidP="002D099C">
            <w:pPr>
              <w:rPr>
                <w:rFonts w:ascii="Noto Serif Light" w:hAnsi="Noto Serif Light" w:cs="Noto Serif Light"/>
              </w:rPr>
            </w:pPr>
          </w:p>
        </w:tc>
        <w:tc>
          <w:tcPr>
            <w:tcW w:w="3223" w:type="dxa"/>
          </w:tcPr>
          <w:p w14:paraId="5BA50995" w14:textId="213A500D"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Checchinato, Francesca</w:t>
            </w:r>
          </w:p>
        </w:tc>
        <w:tc>
          <w:tcPr>
            <w:tcW w:w="1083" w:type="dxa"/>
          </w:tcPr>
          <w:p w14:paraId="656D8360" w14:textId="551DC0B0"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O62</w:t>
            </w:r>
          </w:p>
        </w:tc>
      </w:tr>
      <w:tr w:rsidR="002D099C" w:rsidRPr="00015480" w14:paraId="5CCE11E8" w14:textId="77777777" w:rsidTr="00D86DEA">
        <w:tc>
          <w:tcPr>
            <w:tcW w:w="3397" w:type="dxa"/>
          </w:tcPr>
          <w:p w14:paraId="3BE97FA6" w14:textId="3F5B156C"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Capone, Francesco</w:t>
            </w:r>
          </w:p>
        </w:tc>
        <w:tc>
          <w:tcPr>
            <w:tcW w:w="993" w:type="dxa"/>
          </w:tcPr>
          <w:p w14:paraId="07D2D6DA" w14:textId="2451AB33"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O8</w:t>
            </w:r>
          </w:p>
        </w:tc>
        <w:tc>
          <w:tcPr>
            <w:tcW w:w="320" w:type="dxa"/>
          </w:tcPr>
          <w:p w14:paraId="3E8930FA" w14:textId="77777777" w:rsidR="002D099C" w:rsidRPr="00015480" w:rsidRDefault="002D099C" w:rsidP="002D099C">
            <w:pPr>
              <w:rPr>
                <w:rFonts w:ascii="Noto Serif Light" w:hAnsi="Noto Serif Light" w:cs="Noto Serif Light"/>
              </w:rPr>
            </w:pPr>
          </w:p>
        </w:tc>
        <w:tc>
          <w:tcPr>
            <w:tcW w:w="3223" w:type="dxa"/>
          </w:tcPr>
          <w:p w14:paraId="3028C11C" w14:textId="71760217" w:rsidR="002D099C" w:rsidRPr="00015480" w:rsidRDefault="002D099C" w:rsidP="002D099C">
            <w:pPr>
              <w:pStyle w:val="AbstractBookAuthorIndex"/>
              <w:rPr>
                <w:rFonts w:ascii="Noto Serif Light" w:hAnsi="Noto Serif Light" w:cs="Noto Serif Light"/>
              </w:rPr>
            </w:pPr>
            <w:r>
              <w:rPr>
                <w:rFonts w:ascii="Noto Serif Light" w:hAnsi="Noto Serif Light" w:cs="Noto Serif Light"/>
              </w:rPr>
              <w:t>Chin, Jason</w:t>
            </w:r>
          </w:p>
        </w:tc>
        <w:tc>
          <w:tcPr>
            <w:tcW w:w="1083" w:type="dxa"/>
          </w:tcPr>
          <w:p w14:paraId="2685244B" w14:textId="573B2A9C" w:rsidR="002D099C" w:rsidRPr="00015480" w:rsidRDefault="002D099C" w:rsidP="002D099C">
            <w:pPr>
              <w:pStyle w:val="AbstractBookAuthorIndex"/>
              <w:rPr>
                <w:rFonts w:ascii="Noto Serif Light" w:hAnsi="Noto Serif Light" w:cs="Noto Serif Light"/>
              </w:rPr>
            </w:pPr>
            <w:r>
              <w:rPr>
                <w:rFonts w:ascii="Noto Serif Light" w:hAnsi="Noto Serif Light" w:cs="Noto Serif Light"/>
              </w:rPr>
              <w:t>O49</w:t>
            </w:r>
          </w:p>
        </w:tc>
      </w:tr>
      <w:tr w:rsidR="002D099C" w:rsidRPr="00015480" w14:paraId="1E2BC95F" w14:textId="77777777" w:rsidTr="00D86DEA">
        <w:tc>
          <w:tcPr>
            <w:tcW w:w="3397" w:type="dxa"/>
          </w:tcPr>
          <w:p w14:paraId="6891E81E" w14:textId="6C218AA2"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Cappellano, Francesco</w:t>
            </w:r>
          </w:p>
        </w:tc>
        <w:tc>
          <w:tcPr>
            <w:tcW w:w="993" w:type="dxa"/>
          </w:tcPr>
          <w:p w14:paraId="4082A3E2" w14:textId="5DD05126"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O64</w:t>
            </w:r>
          </w:p>
        </w:tc>
        <w:tc>
          <w:tcPr>
            <w:tcW w:w="320" w:type="dxa"/>
          </w:tcPr>
          <w:p w14:paraId="6ED5FEE6" w14:textId="77777777" w:rsidR="002D099C" w:rsidRPr="00015480" w:rsidRDefault="002D099C" w:rsidP="002D099C">
            <w:pPr>
              <w:rPr>
                <w:rFonts w:ascii="Noto Serif Light" w:hAnsi="Noto Serif Light" w:cs="Noto Serif Light"/>
              </w:rPr>
            </w:pPr>
          </w:p>
        </w:tc>
        <w:tc>
          <w:tcPr>
            <w:tcW w:w="3223" w:type="dxa"/>
          </w:tcPr>
          <w:p w14:paraId="22A0A9AE" w14:textId="13DE7F10"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Clayton, Paige</w:t>
            </w:r>
          </w:p>
        </w:tc>
        <w:tc>
          <w:tcPr>
            <w:tcW w:w="1083" w:type="dxa"/>
          </w:tcPr>
          <w:p w14:paraId="089A2FE3" w14:textId="59BD3ADD"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O7</w:t>
            </w:r>
          </w:p>
        </w:tc>
      </w:tr>
      <w:tr w:rsidR="002D099C" w:rsidRPr="00015480" w14:paraId="03C8304D" w14:textId="77777777" w:rsidTr="00D86DEA">
        <w:trPr>
          <w:trHeight w:val="487"/>
        </w:trPr>
        <w:tc>
          <w:tcPr>
            <w:tcW w:w="3397" w:type="dxa"/>
          </w:tcPr>
          <w:p w14:paraId="10D8F3F1" w14:textId="1BC61904"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Cepeda, Magda</w:t>
            </w:r>
          </w:p>
        </w:tc>
        <w:tc>
          <w:tcPr>
            <w:tcW w:w="993" w:type="dxa"/>
          </w:tcPr>
          <w:p w14:paraId="6E132164" w14:textId="19BA6BBF"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O74</w:t>
            </w:r>
          </w:p>
        </w:tc>
        <w:tc>
          <w:tcPr>
            <w:tcW w:w="320" w:type="dxa"/>
          </w:tcPr>
          <w:p w14:paraId="6EF4E60C" w14:textId="77777777" w:rsidR="002D099C" w:rsidRPr="00015480" w:rsidRDefault="002D099C" w:rsidP="002D099C">
            <w:pPr>
              <w:rPr>
                <w:rFonts w:ascii="Noto Serif Light" w:hAnsi="Noto Serif Light" w:cs="Noto Serif Light"/>
              </w:rPr>
            </w:pPr>
          </w:p>
        </w:tc>
        <w:tc>
          <w:tcPr>
            <w:tcW w:w="3223" w:type="dxa"/>
          </w:tcPr>
          <w:p w14:paraId="442A49C7" w14:textId="4B881703"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Clifton, Nick</w:t>
            </w:r>
          </w:p>
        </w:tc>
        <w:tc>
          <w:tcPr>
            <w:tcW w:w="1083" w:type="dxa"/>
          </w:tcPr>
          <w:p w14:paraId="255D3508" w14:textId="49E453B5"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O63</w:t>
            </w:r>
          </w:p>
        </w:tc>
      </w:tr>
      <w:tr w:rsidR="002D099C" w:rsidRPr="00015480" w14:paraId="6EEDD332" w14:textId="77777777" w:rsidTr="00D86DEA">
        <w:tc>
          <w:tcPr>
            <w:tcW w:w="3397" w:type="dxa"/>
          </w:tcPr>
          <w:p w14:paraId="31F1BCE3" w14:textId="33E91FCE"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Chaparro-Banegas, Nuria</w:t>
            </w:r>
          </w:p>
        </w:tc>
        <w:tc>
          <w:tcPr>
            <w:tcW w:w="993" w:type="dxa"/>
          </w:tcPr>
          <w:p w14:paraId="21E80BCF" w14:textId="1175E832" w:rsidR="002D099C" w:rsidRPr="00015480" w:rsidRDefault="002D099C" w:rsidP="002D099C">
            <w:pPr>
              <w:pStyle w:val="AbstractBookAuthorIndex"/>
              <w:rPr>
                <w:rFonts w:ascii="Noto Serif Light" w:hAnsi="Noto Serif Light" w:cs="Noto Serif Light"/>
              </w:rPr>
            </w:pPr>
            <w:r w:rsidRPr="00015480">
              <w:rPr>
                <w:rFonts w:ascii="Noto Serif Light" w:hAnsi="Noto Serif Light" w:cs="Noto Serif Light"/>
              </w:rPr>
              <w:t>O28</w:t>
            </w:r>
          </w:p>
        </w:tc>
        <w:tc>
          <w:tcPr>
            <w:tcW w:w="320" w:type="dxa"/>
          </w:tcPr>
          <w:p w14:paraId="5E19D8A4" w14:textId="77777777" w:rsidR="002D099C" w:rsidRPr="00015480" w:rsidRDefault="002D099C" w:rsidP="002D099C">
            <w:pPr>
              <w:rPr>
                <w:rFonts w:ascii="Noto Serif Light" w:hAnsi="Noto Serif Light" w:cs="Noto Serif Light"/>
              </w:rPr>
            </w:pPr>
          </w:p>
        </w:tc>
        <w:tc>
          <w:tcPr>
            <w:tcW w:w="3223" w:type="dxa"/>
          </w:tcPr>
          <w:p w14:paraId="2099009E" w14:textId="0615B8FB" w:rsidR="002D099C" w:rsidRPr="00015480" w:rsidRDefault="002D099C" w:rsidP="002D099C">
            <w:pPr>
              <w:rPr>
                <w:rFonts w:ascii="Noto Serif Light" w:hAnsi="Noto Serif Light" w:cs="Noto Serif Light"/>
              </w:rPr>
            </w:pPr>
          </w:p>
        </w:tc>
        <w:tc>
          <w:tcPr>
            <w:tcW w:w="1083" w:type="dxa"/>
          </w:tcPr>
          <w:p w14:paraId="28B97C99" w14:textId="76ED3BA2" w:rsidR="002D099C" w:rsidRPr="00015480" w:rsidRDefault="002D099C" w:rsidP="002D099C">
            <w:pPr>
              <w:rPr>
                <w:rFonts w:ascii="Noto Serif Light" w:hAnsi="Noto Serif Light" w:cs="Noto Serif Light"/>
              </w:rPr>
            </w:pPr>
          </w:p>
        </w:tc>
      </w:tr>
    </w:tbl>
    <w:p w14:paraId="2E949A23" w14:textId="77777777" w:rsidR="00B27D8F" w:rsidRDefault="00B27D8F" w:rsidP="00015480">
      <w:pPr>
        <w:pStyle w:val="AbstractBookAuthorIndexLetterHeading"/>
        <w:rPr>
          <w:rFonts w:ascii="Noto Serif Light" w:hAnsi="Noto Serif Light" w:cs="Noto Serif Light"/>
        </w:rPr>
      </w:pPr>
    </w:p>
    <w:p w14:paraId="43073A3A" w14:textId="77777777" w:rsidR="00B27D8F" w:rsidRDefault="00B27D8F" w:rsidP="00015480">
      <w:pPr>
        <w:pStyle w:val="AbstractBookAuthorIndexLetterHeading"/>
        <w:rPr>
          <w:rFonts w:ascii="Noto Serif Light" w:hAnsi="Noto Serif Light" w:cs="Noto Serif Light"/>
        </w:rPr>
      </w:pPr>
    </w:p>
    <w:p w14:paraId="613125FD" w14:textId="77777777" w:rsidR="00B27D8F" w:rsidRDefault="00B27D8F" w:rsidP="00015480">
      <w:pPr>
        <w:pStyle w:val="AbstractBookAuthorIndexLetterHeading"/>
        <w:rPr>
          <w:rFonts w:ascii="Noto Serif Light" w:hAnsi="Noto Serif Light" w:cs="Noto Serif Light"/>
        </w:rPr>
      </w:pPr>
    </w:p>
    <w:p w14:paraId="38C3F7CD" w14:textId="77777777" w:rsidR="00B27D8F" w:rsidRDefault="00B27D8F" w:rsidP="00015480">
      <w:pPr>
        <w:pStyle w:val="AbstractBookAuthorIndexLetterHeading"/>
        <w:rPr>
          <w:rFonts w:ascii="Noto Serif Light" w:hAnsi="Noto Serif Light" w:cs="Noto Serif Light"/>
        </w:rPr>
      </w:pPr>
    </w:p>
    <w:p w14:paraId="34CC084C" w14:textId="55EADFB2"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D</w:t>
      </w:r>
    </w:p>
    <w:p w14:paraId="281B517E" w14:textId="77777777" w:rsidR="006A1205" w:rsidRPr="00015480" w:rsidRDefault="006A1205" w:rsidP="00015480">
      <w:pPr>
        <w:pStyle w:val="AbstractBookAuthorIndexLetterHeading"/>
        <w:rPr>
          <w:rFonts w:ascii="Noto Serif Light" w:hAnsi="Noto Serif Light" w:cs="Noto Serif Light"/>
        </w:rPr>
      </w:pPr>
    </w:p>
    <w:tbl>
      <w:tblPr>
        <w:tblW w:w="5000" w:type="pct"/>
        <w:tblLayout w:type="fixed"/>
        <w:tblLook w:val="0600" w:firstRow="0" w:lastRow="0" w:firstColumn="0" w:lastColumn="0" w:noHBand="1" w:noVBand="1"/>
      </w:tblPr>
      <w:tblGrid>
        <w:gridCol w:w="3261"/>
        <w:gridCol w:w="1276"/>
        <w:gridCol w:w="284"/>
        <w:gridCol w:w="2980"/>
        <w:gridCol w:w="1225"/>
      </w:tblGrid>
      <w:tr w:rsidR="00015480" w:rsidRPr="00015480" w14:paraId="40E81567" w14:textId="77777777" w:rsidTr="00D86DEA">
        <w:tc>
          <w:tcPr>
            <w:tcW w:w="3256" w:type="dxa"/>
          </w:tcPr>
          <w:p w14:paraId="12670B14"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Daimer, Stephanie</w:t>
            </w:r>
          </w:p>
        </w:tc>
        <w:tc>
          <w:tcPr>
            <w:tcW w:w="1275" w:type="dxa"/>
          </w:tcPr>
          <w:p w14:paraId="1620ABFA"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O56</w:t>
            </w:r>
          </w:p>
        </w:tc>
        <w:tc>
          <w:tcPr>
            <w:tcW w:w="284" w:type="dxa"/>
          </w:tcPr>
          <w:p w14:paraId="7E7241A6" w14:textId="77777777" w:rsidR="00015480" w:rsidRPr="00015480" w:rsidRDefault="00015480" w:rsidP="00C96EB7">
            <w:pPr>
              <w:rPr>
                <w:rFonts w:ascii="Noto Serif Light" w:hAnsi="Noto Serif Light" w:cs="Noto Serif Light"/>
              </w:rPr>
            </w:pPr>
          </w:p>
        </w:tc>
        <w:tc>
          <w:tcPr>
            <w:tcW w:w="2977" w:type="dxa"/>
          </w:tcPr>
          <w:p w14:paraId="004D877A"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Deng, Xin</w:t>
            </w:r>
          </w:p>
        </w:tc>
        <w:tc>
          <w:tcPr>
            <w:tcW w:w="1224" w:type="dxa"/>
          </w:tcPr>
          <w:p w14:paraId="395304B3" w14:textId="1D6C6769"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O68</w:t>
            </w:r>
            <w:r w:rsidR="00B47947">
              <w:rPr>
                <w:rFonts w:ascii="Noto Serif Light" w:hAnsi="Noto Serif Light" w:cs="Noto Serif Light"/>
              </w:rPr>
              <w:t>,</w:t>
            </w:r>
            <w:r w:rsidR="00B47947" w:rsidRPr="00B47947">
              <w:rPr>
                <w:rFonts w:ascii="Noto Serif Light" w:hAnsi="Noto Serif Light" w:cs="Noto Serif Light"/>
              </w:rPr>
              <w:t xml:space="preserve"> O71</w:t>
            </w:r>
          </w:p>
        </w:tc>
      </w:tr>
      <w:tr w:rsidR="00015480" w:rsidRPr="00015480" w14:paraId="55D3F454" w14:textId="77777777" w:rsidTr="00D86DEA">
        <w:tc>
          <w:tcPr>
            <w:tcW w:w="3256" w:type="dxa"/>
          </w:tcPr>
          <w:p w14:paraId="2289F87F"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Damgaard, Torben Munk</w:t>
            </w:r>
          </w:p>
        </w:tc>
        <w:tc>
          <w:tcPr>
            <w:tcW w:w="1275" w:type="dxa"/>
          </w:tcPr>
          <w:p w14:paraId="220EDF14"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O77</w:t>
            </w:r>
          </w:p>
        </w:tc>
        <w:tc>
          <w:tcPr>
            <w:tcW w:w="284" w:type="dxa"/>
          </w:tcPr>
          <w:p w14:paraId="2F90CBEC" w14:textId="77777777" w:rsidR="00015480" w:rsidRPr="00015480" w:rsidRDefault="00015480" w:rsidP="00C96EB7">
            <w:pPr>
              <w:rPr>
                <w:rFonts w:ascii="Noto Serif Light" w:hAnsi="Noto Serif Light" w:cs="Noto Serif Light"/>
              </w:rPr>
            </w:pPr>
          </w:p>
        </w:tc>
        <w:tc>
          <w:tcPr>
            <w:tcW w:w="2977" w:type="dxa"/>
          </w:tcPr>
          <w:p w14:paraId="60EBE56A"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Dilaver, Özge</w:t>
            </w:r>
          </w:p>
        </w:tc>
        <w:tc>
          <w:tcPr>
            <w:tcW w:w="1224" w:type="dxa"/>
          </w:tcPr>
          <w:p w14:paraId="54CCF4B0"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O80</w:t>
            </w:r>
          </w:p>
        </w:tc>
      </w:tr>
      <w:tr w:rsidR="00015480" w:rsidRPr="00015480" w14:paraId="357E4F2C" w14:textId="77777777" w:rsidTr="00D86DEA">
        <w:tc>
          <w:tcPr>
            <w:tcW w:w="3256" w:type="dxa"/>
          </w:tcPr>
          <w:p w14:paraId="3F51260A"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Das, Abhisikha</w:t>
            </w:r>
          </w:p>
        </w:tc>
        <w:tc>
          <w:tcPr>
            <w:tcW w:w="1275" w:type="dxa"/>
          </w:tcPr>
          <w:p w14:paraId="272D1A36"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O59</w:t>
            </w:r>
          </w:p>
        </w:tc>
        <w:tc>
          <w:tcPr>
            <w:tcW w:w="284" w:type="dxa"/>
          </w:tcPr>
          <w:p w14:paraId="08535586" w14:textId="77777777" w:rsidR="00015480" w:rsidRPr="00015480" w:rsidRDefault="00015480" w:rsidP="00C96EB7">
            <w:pPr>
              <w:rPr>
                <w:rFonts w:ascii="Noto Serif Light" w:hAnsi="Noto Serif Light" w:cs="Noto Serif Light"/>
              </w:rPr>
            </w:pPr>
          </w:p>
        </w:tc>
        <w:tc>
          <w:tcPr>
            <w:tcW w:w="2977" w:type="dxa"/>
          </w:tcPr>
          <w:p w14:paraId="0004A93C"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Driffield, Nigel</w:t>
            </w:r>
          </w:p>
        </w:tc>
        <w:tc>
          <w:tcPr>
            <w:tcW w:w="1224" w:type="dxa"/>
          </w:tcPr>
          <w:p w14:paraId="4DDD1513"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O38</w:t>
            </w:r>
          </w:p>
        </w:tc>
      </w:tr>
      <w:tr w:rsidR="00015480" w:rsidRPr="00015480" w14:paraId="70DE2611" w14:textId="77777777" w:rsidTr="00D86DEA">
        <w:tc>
          <w:tcPr>
            <w:tcW w:w="3256" w:type="dxa"/>
          </w:tcPr>
          <w:p w14:paraId="49B02772"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David, Alexandra</w:t>
            </w:r>
          </w:p>
        </w:tc>
        <w:tc>
          <w:tcPr>
            <w:tcW w:w="1275" w:type="dxa"/>
          </w:tcPr>
          <w:p w14:paraId="05E61FC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O82</w:t>
            </w:r>
          </w:p>
        </w:tc>
        <w:tc>
          <w:tcPr>
            <w:tcW w:w="284" w:type="dxa"/>
          </w:tcPr>
          <w:p w14:paraId="685EB7B6" w14:textId="77777777" w:rsidR="00015480" w:rsidRPr="00015480" w:rsidRDefault="00015480" w:rsidP="00C96EB7">
            <w:pPr>
              <w:rPr>
                <w:rFonts w:ascii="Noto Serif Light" w:hAnsi="Noto Serif Light" w:cs="Noto Serif Light"/>
              </w:rPr>
            </w:pPr>
          </w:p>
        </w:tc>
        <w:tc>
          <w:tcPr>
            <w:tcW w:w="2977" w:type="dxa"/>
          </w:tcPr>
          <w:p w14:paraId="14BAC2D2"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Du, Jun</w:t>
            </w:r>
          </w:p>
        </w:tc>
        <w:tc>
          <w:tcPr>
            <w:tcW w:w="1224" w:type="dxa"/>
          </w:tcPr>
          <w:p w14:paraId="5BD0B5DF"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O38</w:t>
            </w:r>
          </w:p>
        </w:tc>
      </w:tr>
    </w:tbl>
    <w:p w14:paraId="4F4793E3" w14:textId="77777777" w:rsidR="00B27D8F" w:rsidRDefault="00B27D8F" w:rsidP="00015480">
      <w:pPr>
        <w:pStyle w:val="AbstractBookAuthorIndexLetterHeading"/>
        <w:rPr>
          <w:rFonts w:ascii="Noto Serif Light" w:hAnsi="Noto Serif Light" w:cs="Noto Serif Light"/>
        </w:rPr>
      </w:pPr>
    </w:p>
    <w:p w14:paraId="15675643" w14:textId="15EA0ED4"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E</w:t>
      </w:r>
    </w:p>
    <w:p w14:paraId="40E6B524" w14:textId="77777777" w:rsidR="006A1205" w:rsidRPr="00015480" w:rsidRDefault="006A1205" w:rsidP="00015480">
      <w:pPr>
        <w:pStyle w:val="AbstractBookAuthorIndexLetterHeading"/>
        <w:rPr>
          <w:rFonts w:ascii="Noto Serif Light" w:hAnsi="Noto Serif Light" w:cs="Noto Serif Light"/>
        </w:rPr>
      </w:pPr>
    </w:p>
    <w:tbl>
      <w:tblPr>
        <w:tblW w:w="5000" w:type="pct"/>
        <w:tblLook w:val="0600" w:firstRow="0" w:lastRow="0" w:firstColumn="0" w:lastColumn="0" w:noHBand="1" w:noVBand="1"/>
      </w:tblPr>
      <w:tblGrid>
        <w:gridCol w:w="3260"/>
        <w:gridCol w:w="1276"/>
        <w:gridCol w:w="814"/>
        <w:gridCol w:w="2680"/>
        <w:gridCol w:w="996"/>
      </w:tblGrid>
      <w:tr w:rsidR="00015480" w:rsidRPr="00015480" w14:paraId="0B49633A" w14:textId="77777777" w:rsidTr="006A1205">
        <w:tc>
          <w:tcPr>
            <w:tcW w:w="3256" w:type="dxa"/>
          </w:tcPr>
          <w:p w14:paraId="3864F406"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Evansb, James</w:t>
            </w:r>
          </w:p>
        </w:tc>
        <w:tc>
          <w:tcPr>
            <w:tcW w:w="1275" w:type="dxa"/>
          </w:tcPr>
          <w:p w14:paraId="13F2600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O56</w:t>
            </w:r>
          </w:p>
        </w:tc>
        <w:tc>
          <w:tcPr>
            <w:tcW w:w="813" w:type="dxa"/>
          </w:tcPr>
          <w:p w14:paraId="545B8C57" w14:textId="77777777" w:rsidR="00015480" w:rsidRPr="00015480" w:rsidRDefault="00015480" w:rsidP="00C96EB7">
            <w:pPr>
              <w:rPr>
                <w:rFonts w:ascii="Noto Serif Light" w:hAnsi="Noto Serif Light" w:cs="Noto Serif Light"/>
              </w:rPr>
            </w:pPr>
          </w:p>
        </w:tc>
        <w:tc>
          <w:tcPr>
            <w:tcW w:w="2677" w:type="dxa"/>
          </w:tcPr>
          <w:p w14:paraId="5723D998" w14:textId="77777777" w:rsidR="00015480" w:rsidRPr="00015480" w:rsidRDefault="00015480" w:rsidP="00C96EB7">
            <w:pPr>
              <w:rPr>
                <w:rFonts w:ascii="Noto Serif Light" w:hAnsi="Noto Serif Light" w:cs="Noto Serif Light"/>
              </w:rPr>
            </w:pPr>
          </w:p>
        </w:tc>
        <w:tc>
          <w:tcPr>
            <w:tcW w:w="995" w:type="dxa"/>
          </w:tcPr>
          <w:p w14:paraId="155F7CF4" w14:textId="77777777" w:rsidR="00015480" w:rsidRPr="00015480" w:rsidRDefault="00015480" w:rsidP="00C96EB7">
            <w:pPr>
              <w:rPr>
                <w:rFonts w:ascii="Noto Serif Light" w:hAnsi="Noto Serif Light" w:cs="Noto Serif Light"/>
              </w:rPr>
            </w:pPr>
          </w:p>
        </w:tc>
      </w:tr>
    </w:tbl>
    <w:p w14:paraId="33063BEF" w14:textId="77777777" w:rsidR="00B27D8F" w:rsidRDefault="00B27D8F" w:rsidP="00015480">
      <w:pPr>
        <w:pStyle w:val="AbstractBookAuthorIndexLetterHeading"/>
        <w:rPr>
          <w:rFonts w:ascii="Noto Serif Light" w:hAnsi="Noto Serif Light" w:cs="Noto Serif Light"/>
        </w:rPr>
      </w:pPr>
    </w:p>
    <w:p w14:paraId="19705F98" w14:textId="08014023"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F</w:t>
      </w:r>
    </w:p>
    <w:p w14:paraId="79902EA0" w14:textId="77777777" w:rsidR="006A1205" w:rsidRPr="00015480" w:rsidRDefault="006A1205" w:rsidP="00015480">
      <w:pPr>
        <w:pStyle w:val="AbstractBookAuthorIndexLetterHeading"/>
        <w:rPr>
          <w:rFonts w:ascii="Noto Serif Light" w:hAnsi="Noto Serif Light" w:cs="Noto Serif Light"/>
        </w:rPr>
      </w:pPr>
    </w:p>
    <w:tbl>
      <w:tblPr>
        <w:tblW w:w="5000" w:type="pct"/>
        <w:tblLook w:val="0600" w:firstRow="0" w:lastRow="0" w:firstColumn="0" w:lastColumn="0" w:noHBand="1" w:noVBand="1"/>
      </w:tblPr>
      <w:tblGrid>
        <w:gridCol w:w="3260"/>
        <w:gridCol w:w="1276"/>
        <w:gridCol w:w="321"/>
        <w:gridCol w:w="3227"/>
        <w:gridCol w:w="942"/>
      </w:tblGrid>
      <w:tr w:rsidR="00015480" w:rsidRPr="00015480" w14:paraId="084A4143" w14:textId="77777777" w:rsidTr="006A1205">
        <w:tc>
          <w:tcPr>
            <w:tcW w:w="3256" w:type="dxa"/>
          </w:tcPr>
          <w:p w14:paraId="0710148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Fai, Felicia</w:t>
            </w:r>
          </w:p>
        </w:tc>
        <w:tc>
          <w:tcPr>
            <w:tcW w:w="1275" w:type="dxa"/>
          </w:tcPr>
          <w:p w14:paraId="0EF11FE5"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O52</w:t>
            </w:r>
          </w:p>
        </w:tc>
        <w:tc>
          <w:tcPr>
            <w:tcW w:w="321" w:type="dxa"/>
          </w:tcPr>
          <w:p w14:paraId="53615048" w14:textId="77777777" w:rsidR="00015480" w:rsidRPr="00015480" w:rsidRDefault="00015480" w:rsidP="00C96EB7">
            <w:pPr>
              <w:rPr>
                <w:rFonts w:ascii="Noto Serif Light" w:hAnsi="Noto Serif Light" w:cs="Noto Serif Light"/>
              </w:rPr>
            </w:pPr>
          </w:p>
        </w:tc>
        <w:tc>
          <w:tcPr>
            <w:tcW w:w="3223" w:type="dxa"/>
          </w:tcPr>
          <w:p w14:paraId="5751CDEB"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Forrer, Valentina</w:t>
            </w:r>
          </w:p>
        </w:tc>
        <w:tc>
          <w:tcPr>
            <w:tcW w:w="941" w:type="dxa"/>
          </w:tcPr>
          <w:p w14:paraId="7855A28F"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O6</w:t>
            </w:r>
          </w:p>
        </w:tc>
      </w:tr>
      <w:tr w:rsidR="00015480" w:rsidRPr="00015480" w14:paraId="72E7F8BF" w14:textId="77777777" w:rsidTr="006A1205">
        <w:tc>
          <w:tcPr>
            <w:tcW w:w="3256" w:type="dxa"/>
          </w:tcPr>
          <w:p w14:paraId="23B65DD1"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Farooq, Muzamil</w:t>
            </w:r>
          </w:p>
        </w:tc>
        <w:tc>
          <w:tcPr>
            <w:tcW w:w="1275" w:type="dxa"/>
          </w:tcPr>
          <w:p w14:paraId="2639D06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O46</w:t>
            </w:r>
          </w:p>
        </w:tc>
        <w:tc>
          <w:tcPr>
            <w:tcW w:w="321" w:type="dxa"/>
          </w:tcPr>
          <w:p w14:paraId="12FDB39A" w14:textId="77777777" w:rsidR="00015480" w:rsidRPr="00015480" w:rsidRDefault="00015480" w:rsidP="00C96EB7">
            <w:pPr>
              <w:rPr>
                <w:rFonts w:ascii="Noto Serif Light" w:hAnsi="Noto Serif Light" w:cs="Noto Serif Light"/>
              </w:rPr>
            </w:pPr>
          </w:p>
        </w:tc>
        <w:tc>
          <w:tcPr>
            <w:tcW w:w="3223" w:type="dxa"/>
          </w:tcPr>
          <w:p w14:paraId="29DFD1CB"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Fosse, Jens Kristian</w:t>
            </w:r>
          </w:p>
        </w:tc>
        <w:tc>
          <w:tcPr>
            <w:tcW w:w="941" w:type="dxa"/>
          </w:tcPr>
          <w:p w14:paraId="0A803117"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O77</w:t>
            </w:r>
          </w:p>
        </w:tc>
      </w:tr>
      <w:tr w:rsidR="00015480" w:rsidRPr="00015480" w14:paraId="407AD290" w14:textId="77777777" w:rsidTr="006A1205">
        <w:tc>
          <w:tcPr>
            <w:tcW w:w="3256" w:type="dxa"/>
          </w:tcPr>
          <w:p w14:paraId="483EBCD5"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Feldman, Maryann</w:t>
            </w:r>
          </w:p>
        </w:tc>
        <w:tc>
          <w:tcPr>
            <w:tcW w:w="1275" w:type="dxa"/>
          </w:tcPr>
          <w:p w14:paraId="29DF248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O7</w:t>
            </w:r>
          </w:p>
        </w:tc>
        <w:tc>
          <w:tcPr>
            <w:tcW w:w="321" w:type="dxa"/>
          </w:tcPr>
          <w:p w14:paraId="708A01A6" w14:textId="77777777" w:rsidR="00015480" w:rsidRPr="00015480" w:rsidRDefault="00015480" w:rsidP="00C96EB7">
            <w:pPr>
              <w:rPr>
                <w:rFonts w:ascii="Noto Serif Light" w:hAnsi="Noto Serif Light" w:cs="Noto Serif Light"/>
              </w:rPr>
            </w:pPr>
          </w:p>
        </w:tc>
        <w:tc>
          <w:tcPr>
            <w:tcW w:w="3223" w:type="dxa"/>
          </w:tcPr>
          <w:p w14:paraId="796E21A1"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Fragkandreas, Dr Thanos</w:t>
            </w:r>
          </w:p>
        </w:tc>
        <w:tc>
          <w:tcPr>
            <w:tcW w:w="941" w:type="dxa"/>
          </w:tcPr>
          <w:p w14:paraId="110D2616"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O37</w:t>
            </w:r>
          </w:p>
        </w:tc>
      </w:tr>
      <w:tr w:rsidR="00015480" w:rsidRPr="00015480" w14:paraId="4F9DA377" w14:textId="77777777" w:rsidTr="006A1205">
        <w:tc>
          <w:tcPr>
            <w:tcW w:w="3256" w:type="dxa"/>
          </w:tcPr>
          <w:p w14:paraId="42ECBD79"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Finotto, Vladi</w:t>
            </w:r>
          </w:p>
        </w:tc>
        <w:tc>
          <w:tcPr>
            <w:tcW w:w="1275" w:type="dxa"/>
          </w:tcPr>
          <w:p w14:paraId="0F2D98A9"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O60, O62</w:t>
            </w:r>
          </w:p>
        </w:tc>
        <w:tc>
          <w:tcPr>
            <w:tcW w:w="321" w:type="dxa"/>
          </w:tcPr>
          <w:p w14:paraId="63464CBB" w14:textId="77777777" w:rsidR="00015480" w:rsidRPr="00015480" w:rsidRDefault="00015480" w:rsidP="00C96EB7">
            <w:pPr>
              <w:rPr>
                <w:rFonts w:ascii="Noto Serif Light" w:hAnsi="Noto Serif Light" w:cs="Noto Serif Light"/>
              </w:rPr>
            </w:pPr>
          </w:p>
        </w:tc>
        <w:tc>
          <w:tcPr>
            <w:tcW w:w="3223" w:type="dxa"/>
          </w:tcPr>
          <w:p w14:paraId="1AFA8AC3"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Franco, Susana</w:t>
            </w:r>
          </w:p>
        </w:tc>
        <w:tc>
          <w:tcPr>
            <w:tcW w:w="941" w:type="dxa"/>
          </w:tcPr>
          <w:p w14:paraId="18AA12B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O22</w:t>
            </w:r>
          </w:p>
        </w:tc>
      </w:tr>
      <w:tr w:rsidR="00015480" w:rsidRPr="00015480" w14:paraId="4BB783B7" w14:textId="77777777" w:rsidTr="006A1205">
        <w:tc>
          <w:tcPr>
            <w:tcW w:w="3256" w:type="dxa"/>
          </w:tcPr>
          <w:p w14:paraId="6D94FF05"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Fitjar, Rune</w:t>
            </w:r>
          </w:p>
        </w:tc>
        <w:tc>
          <w:tcPr>
            <w:tcW w:w="1275" w:type="dxa"/>
          </w:tcPr>
          <w:p w14:paraId="08084726"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O35</w:t>
            </w:r>
          </w:p>
        </w:tc>
        <w:tc>
          <w:tcPr>
            <w:tcW w:w="321" w:type="dxa"/>
          </w:tcPr>
          <w:p w14:paraId="409E38AC" w14:textId="77777777" w:rsidR="00015480" w:rsidRPr="00015480" w:rsidRDefault="00015480" w:rsidP="00C96EB7">
            <w:pPr>
              <w:rPr>
                <w:rFonts w:ascii="Noto Serif Light" w:hAnsi="Noto Serif Light" w:cs="Noto Serif Light"/>
              </w:rPr>
            </w:pPr>
          </w:p>
        </w:tc>
        <w:tc>
          <w:tcPr>
            <w:tcW w:w="3223" w:type="dxa"/>
          </w:tcPr>
          <w:p w14:paraId="10F0FD59"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Fuchs, Martina</w:t>
            </w:r>
          </w:p>
        </w:tc>
        <w:tc>
          <w:tcPr>
            <w:tcW w:w="941" w:type="dxa"/>
          </w:tcPr>
          <w:p w14:paraId="0833F12A"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O16</w:t>
            </w:r>
          </w:p>
        </w:tc>
      </w:tr>
      <w:tr w:rsidR="00015480" w:rsidRPr="00015480" w14:paraId="29481D28" w14:textId="77777777" w:rsidTr="006A1205">
        <w:tc>
          <w:tcPr>
            <w:tcW w:w="3256" w:type="dxa"/>
          </w:tcPr>
          <w:p w14:paraId="5A44EACE"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Fløysand, Arnt</w:t>
            </w:r>
          </w:p>
        </w:tc>
        <w:tc>
          <w:tcPr>
            <w:tcW w:w="1275" w:type="dxa"/>
          </w:tcPr>
          <w:p w14:paraId="20F0CD2F"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O77</w:t>
            </w:r>
          </w:p>
        </w:tc>
        <w:tc>
          <w:tcPr>
            <w:tcW w:w="321" w:type="dxa"/>
          </w:tcPr>
          <w:p w14:paraId="50FC5093" w14:textId="77777777" w:rsidR="00015480" w:rsidRPr="00015480" w:rsidRDefault="00015480" w:rsidP="00C96EB7">
            <w:pPr>
              <w:rPr>
                <w:rFonts w:ascii="Noto Serif Light" w:hAnsi="Noto Serif Light" w:cs="Noto Serif Light"/>
              </w:rPr>
            </w:pPr>
          </w:p>
        </w:tc>
        <w:tc>
          <w:tcPr>
            <w:tcW w:w="3223" w:type="dxa"/>
          </w:tcPr>
          <w:p w14:paraId="7AAC02B2"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Fujiwara, Naoki</w:t>
            </w:r>
          </w:p>
        </w:tc>
        <w:tc>
          <w:tcPr>
            <w:tcW w:w="941" w:type="dxa"/>
          </w:tcPr>
          <w:p w14:paraId="33F06B10"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O40</w:t>
            </w:r>
          </w:p>
        </w:tc>
      </w:tr>
    </w:tbl>
    <w:p w14:paraId="6010E822" w14:textId="77777777" w:rsidR="00B27D8F" w:rsidRDefault="00B27D8F" w:rsidP="00015480">
      <w:pPr>
        <w:pStyle w:val="AbstractBookAuthorIndexLetterHeading"/>
        <w:rPr>
          <w:rFonts w:ascii="Noto Serif Light" w:hAnsi="Noto Serif Light" w:cs="Noto Serif Light"/>
        </w:rPr>
      </w:pPr>
    </w:p>
    <w:p w14:paraId="248DA229" w14:textId="77777777" w:rsidR="006A1205" w:rsidRDefault="006A1205" w:rsidP="00015480">
      <w:pPr>
        <w:pStyle w:val="AbstractBookAuthorIndexLetterHeading"/>
        <w:rPr>
          <w:rFonts w:ascii="Noto Serif Light" w:hAnsi="Noto Serif Light" w:cs="Noto Serif Light"/>
        </w:rPr>
      </w:pPr>
    </w:p>
    <w:p w14:paraId="604D271C" w14:textId="77777777" w:rsidR="006A1205" w:rsidRDefault="006A1205" w:rsidP="00015480">
      <w:pPr>
        <w:pStyle w:val="AbstractBookAuthorIndexLetterHeading"/>
        <w:rPr>
          <w:rFonts w:ascii="Noto Serif Light" w:hAnsi="Noto Serif Light" w:cs="Noto Serif Light"/>
        </w:rPr>
      </w:pPr>
    </w:p>
    <w:p w14:paraId="280B4A39" w14:textId="77777777" w:rsidR="006A1205" w:rsidRDefault="006A1205" w:rsidP="00015480">
      <w:pPr>
        <w:pStyle w:val="AbstractBookAuthorIndexLetterHeading"/>
        <w:rPr>
          <w:rFonts w:ascii="Noto Serif Light" w:hAnsi="Noto Serif Light" w:cs="Noto Serif Light"/>
        </w:rPr>
      </w:pPr>
    </w:p>
    <w:p w14:paraId="18755A9B" w14:textId="77777777" w:rsidR="006A1205" w:rsidRDefault="006A1205" w:rsidP="00015480">
      <w:pPr>
        <w:pStyle w:val="AbstractBookAuthorIndexLetterHeading"/>
        <w:rPr>
          <w:rFonts w:ascii="Noto Serif Light" w:hAnsi="Noto Serif Light" w:cs="Noto Serif Light"/>
        </w:rPr>
      </w:pPr>
    </w:p>
    <w:p w14:paraId="4D994A0C" w14:textId="77777777" w:rsidR="006A1205" w:rsidRDefault="006A1205" w:rsidP="00015480">
      <w:pPr>
        <w:pStyle w:val="AbstractBookAuthorIndexLetterHeading"/>
        <w:rPr>
          <w:rFonts w:ascii="Noto Serif Light" w:hAnsi="Noto Serif Light" w:cs="Noto Serif Light"/>
        </w:rPr>
      </w:pPr>
    </w:p>
    <w:p w14:paraId="6D5243D0" w14:textId="77777777" w:rsidR="006A1205" w:rsidRDefault="006A1205" w:rsidP="00015480">
      <w:pPr>
        <w:pStyle w:val="AbstractBookAuthorIndexLetterHeading"/>
        <w:rPr>
          <w:rFonts w:ascii="Noto Serif Light" w:hAnsi="Noto Serif Light" w:cs="Noto Serif Light"/>
        </w:rPr>
      </w:pPr>
    </w:p>
    <w:p w14:paraId="1712A60A" w14:textId="77777777" w:rsidR="006A1205" w:rsidRDefault="006A1205" w:rsidP="00015480">
      <w:pPr>
        <w:pStyle w:val="AbstractBookAuthorIndexLetterHeading"/>
        <w:rPr>
          <w:rFonts w:ascii="Noto Serif Light" w:hAnsi="Noto Serif Light" w:cs="Noto Serif Light"/>
        </w:rPr>
      </w:pPr>
    </w:p>
    <w:p w14:paraId="4E9340ED" w14:textId="0800859E"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lastRenderedPageBreak/>
        <w:t>G</w:t>
      </w:r>
    </w:p>
    <w:p w14:paraId="2B9D4EF4" w14:textId="77777777" w:rsidR="006A1205" w:rsidRPr="00015480" w:rsidRDefault="006A1205" w:rsidP="00015480">
      <w:pPr>
        <w:pStyle w:val="AbstractBookAuthorIndexLetterHeading"/>
        <w:rPr>
          <w:rFonts w:ascii="Noto Serif Light" w:hAnsi="Noto Serif Light" w:cs="Noto Serif Light"/>
        </w:rPr>
      </w:pPr>
    </w:p>
    <w:tbl>
      <w:tblPr>
        <w:tblW w:w="5000" w:type="pct"/>
        <w:tblLayout w:type="fixed"/>
        <w:tblLook w:val="0600" w:firstRow="0" w:lastRow="0" w:firstColumn="0" w:lastColumn="0" w:noHBand="1" w:noVBand="1"/>
      </w:tblPr>
      <w:tblGrid>
        <w:gridCol w:w="3261"/>
        <w:gridCol w:w="1276"/>
        <w:gridCol w:w="284"/>
        <w:gridCol w:w="2980"/>
        <w:gridCol w:w="1225"/>
      </w:tblGrid>
      <w:tr w:rsidR="00015480" w:rsidRPr="00015480" w14:paraId="7207B413" w14:textId="77777777" w:rsidTr="00CA0630">
        <w:tc>
          <w:tcPr>
            <w:tcW w:w="3256" w:type="dxa"/>
          </w:tcPr>
          <w:p w14:paraId="022EA330"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Gancarczyk, Jacek</w:t>
            </w:r>
          </w:p>
        </w:tc>
        <w:tc>
          <w:tcPr>
            <w:tcW w:w="1275" w:type="dxa"/>
          </w:tcPr>
          <w:p w14:paraId="523708CE"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O65</w:t>
            </w:r>
          </w:p>
        </w:tc>
        <w:tc>
          <w:tcPr>
            <w:tcW w:w="284" w:type="dxa"/>
          </w:tcPr>
          <w:p w14:paraId="2459B2A9" w14:textId="77777777" w:rsidR="00015480" w:rsidRPr="00015480" w:rsidRDefault="00015480" w:rsidP="00C96EB7">
            <w:pPr>
              <w:rPr>
                <w:rFonts w:ascii="Noto Serif Light" w:hAnsi="Noto Serif Light" w:cs="Noto Serif Light"/>
              </w:rPr>
            </w:pPr>
          </w:p>
        </w:tc>
        <w:tc>
          <w:tcPr>
            <w:tcW w:w="2977" w:type="dxa"/>
          </w:tcPr>
          <w:p w14:paraId="2027D67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Green, Anne</w:t>
            </w:r>
          </w:p>
        </w:tc>
        <w:tc>
          <w:tcPr>
            <w:tcW w:w="1224" w:type="dxa"/>
          </w:tcPr>
          <w:p w14:paraId="335C2BC3"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O43</w:t>
            </w:r>
          </w:p>
        </w:tc>
      </w:tr>
      <w:tr w:rsidR="00015480" w:rsidRPr="00015480" w14:paraId="763075EA" w14:textId="77777777" w:rsidTr="00CA0630">
        <w:tc>
          <w:tcPr>
            <w:tcW w:w="3256" w:type="dxa"/>
          </w:tcPr>
          <w:p w14:paraId="2C942DBF"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Gancarczyk, Marta</w:t>
            </w:r>
          </w:p>
        </w:tc>
        <w:tc>
          <w:tcPr>
            <w:tcW w:w="1275" w:type="dxa"/>
          </w:tcPr>
          <w:p w14:paraId="4BABC124"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O65, O55</w:t>
            </w:r>
          </w:p>
        </w:tc>
        <w:tc>
          <w:tcPr>
            <w:tcW w:w="284" w:type="dxa"/>
          </w:tcPr>
          <w:p w14:paraId="171D6A3B" w14:textId="77777777" w:rsidR="00015480" w:rsidRPr="00015480" w:rsidRDefault="00015480" w:rsidP="00C96EB7">
            <w:pPr>
              <w:rPr>
                <w:rFonts w:ascii="Noto Serif Light" w:hAnsi="Noto Serif Light" w:cs="Noto Serif Light"/>
              </w:rPr>
            </w:pPr>
          </w:p>
        </w:tc>
        <w:tc>
          <w:tcPr>
            <w:tcW w:w="2977" w:type="dxa"/>
          </w:tcPr>
          <w:p w14:paraId="5E811F57"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Grindheim Onsøyen, Ola</w:t>
            </w:r>
          </w:p>
        </w:tc>
        <w:tc>
          <w:tcPr>
            <w:tcW w:w="1224" w:type="dxa"/>
          </w:tcPr>
          <w:p w14:paraId="1A9C3881"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O2</w:t>
            </w:r>
          </w:p>
        </w:tc>
      </w:tr>
      <w:tr w:rsidR="00015480" w:rsidRPr="00015480" w14:paraId="472CCFBF" w14:textId="77777777" w:rsidTr="00CA0630">
        <w:tc>
          <w:tcPr>
            <w:tcW w:w="3256" w:type="dxa"/>
          </w:tcPr>
          <w:p w14:paraId="3C289608"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Gong, Huiwen</w:t>
            </w:r>
          </w:p>
        </w:tc>
        <w:tc>
          <w:tcPr>
            <w:tcW w:w="1275" w:type="dxa"/>
          </w:tcPr>
          <w:p w14:paraId="7C108CD7"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O3</w:t>
            </w:r>
          </w:p>
        </w:tc>
        <w:tc>
          <w:tcPr>
            <w:tcW w:w="284" w:type="dxa"/>
          </w:tcPr>
          <w:p w14:paraId="21F80F71" w14:textId="77777777" w:rsidR="00015480" w:rsidRPr="00015480" w:rsidRDefault="00015480" w:rsidP="00C96EB7">
            <w:pPr>
              <w:rPr>
                <w:rFonts w:ascii="Noto Serif Light" w:hAnsi="Noto Serif Light" w:cs="Noto Serif Light"/>
              </w:rPr>
            </w:pPr>
          </w:p>
        </w:tc>
        <w:tc>
          <w:tcPr>
            <w:tcW w:w="2977" w:type="dxa"/>
          </w:tcPr>
          <w:p w14:paraId="447514E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Grinevich, Vadim</w:t>
            </w:r>
          </w:p>
        </w:tc>
        <w:tc>
          <w:tcPr>
            <w:tcW w:w="1224" w:type="dxa"/>
          </w:tcPr>
          <w:p w14:paraId="5AB0AEC0"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O65</w:t>
            </w:r>
          </w:p>
        </w:tc>
      </w:tr>
      <w:tr w:rsidR="00015480" w:rsidRPr="00015480" w14:paraId="57DF07F1" w14:textId="77777777" w:rsidTr="00CA0630">
        <w:tc>
          <w:tcPr>
            <w:tcW w:w="3256" w:type="dxa"/>
          </w:tcPr>
          <w:p w14:paraId="1D2A9D9E"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González-López, Manuel</w:t>
            </w:r>
          </w:p>
        </w:tc>
        <w:tc>
          <w:tcPr>
            <w:tcW w:w="1275" w:type="dxa"/>
          </w:tcPr>
          <w:p w14:paraId="06ED77F7"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O17</w:t>
            </w:r>
          </w:p>
        </w:tc>
        <w:tc>
          <w:tcPr>
            <w:tcW w:w="284" w:type="dxa"/>
          </w:tcPr>
          <w:p w14:paraId="5F1FEFBB" w14:textId="77777777" w:rsidR="00015480" w:rsidRPr="00015480" w:rsidRDefault="00015480" w:rsidP="00C96EB7">
            <w:pPr>
              <w:rPr>
                <w:rFonts w:ascii="Noto Serif Light" w:hAnsi="Noto Serif Light" w:cs="Noto Serif Light"/>
              </w:rPr>
            </w:pPr>
          </w:p>
        </w:tc>
        <w:tc>
          <w:tcPr>
            <w:tcW w:w="2977" w:type="dxa"/>
          </w:tcPr>
          <w:p w14:paraId="673CD131"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Guerrini, Lorenzo</w:t>
            </w:r>
          </w:p>
        </w:tc>
        <w:tc>
          <w:tcPr>
            <w:tcW w:w="1224" w:type="dxa"/>
          </w:tcPr>
          <w:p w14:paraId="23323319" w14:textId="77777777" w:rsidR="00015480" w:rsidRPr="00015480" w:rsidRDefault="00015480" w:rsidP="00C96EB7">
            <w:pPr>
              <w:pStyle w:val="AbstractBookAuthorIndex"/>
              <w:rPr>
                <w:rFonts w:ascii="Noto Serif Light" w:hAnsi="Noto Serif Light" w:cs="Noto Serif Light"/>
              </w:rPr>
            </w:pPr>
          </w:p>
        </w:tc>
      </w:tr>
    </w:tbl>
    <w:p w14:paraId="25B0FF72" w14:textId="77777777" w:rsidR="002D099C" w:rsidRDefault="002D099C" w:rsidP="00015480">
      <w:pPr>
        <w:pStyle w:val="AbstractBookAuthorIndexLetterHeading"/>
        <w:rPr>
          <w:rFonts w:ascii="Noto Serif Light" w:hAnsi="Noto Serif Light" w:cs="Noto Serif Light"/>
        </w:rPr>
      </w:pPr>
    </w:p>
    <w:p w14:paraId="22409BCB" w14:textId="5EFCDCD7"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H</w:t>
      </w:r>
    </w:p>
    <w:p w14:paraId="477F3B06" w14:textId="77777777" w:rsidR="006A1205" w:rsidRPr="00015480" w:rsidRDefault="006A1205" w:rsidP="00015480">
      <w:pPr>
        <w:pStyle w:val="AbstractBookAuthorIndexLetterHeading"/>
        <w:rPr>
          <w:rFonts w:ascii="Noto Serif Light" w:hAnsi="Noto Serif Light" w:cs="Noto Serif Light"/>
        </w:rPr>
      </w:pPr>
    </w:p>
    <w:tbl>
      <w:tblPr>
        <w:tblW w:w="5000" w:type="pct"/>
        <w:tblLook w:val="0600" w:firstRow="0" w:lastRow="0" w:firstColumn="0" w:lastColumn="0" w:noHBand="1" w:noVBand="1"/>
      </w:tblPr>
      <w:tblGrid>
        <w:gridCol w:w="3261"/>
        <w:gridCol w:w="1276"/>
        <w:gridCol w:w="284"/>
        <w:gridCol w:w="2980"/>
        <w:gridCol w:w="1225"/>
      </w:tblGrid>
      <w:tr w:rsidR="00015480" w:rsidRPr="00015480" w14:paraId="5885381D" w14:textId="77777777" w:rsidTr="00CA0630">
        <w:tc>
          <w:tcPr>
            <w:tcW w:w="3256" w:type="dxa"/>
          </w:tcPr>
          <w:p w14:paraId="23A57C29"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Haindlmaier, Gudrun</w:t>
            </w:r>
          </w:p>
        </w:tc>
        <w:tc>
          <w:tcPr>
            <w:tcW w:w="1275" w:type="dxa"/>
          </w:tcPr>
          <w:p w14:paraId="1E98FA54"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O56</w:t>
            </w:r>
          </w:p>
        </w:tc>
        <w:tc>
          <w:tcPr>
            <w:tcW w:w="284" w:type="dxa"/>
          </w:tcPr>
          <w:p w14:paraId="6DC81C4A" w14:textId="77777777" w:rsidR="00015480" w:rsidRPr="00015480" w:rsidRDefault="00015480" w:rsidP="00C96EB7">
            <w:pPr>
              <w:rPr>
                <w:rFonts w:ascii="Noto Serif Light" w:hAnsi="Noto Serif Light" w:cs="Noto Serif Light"/>
              </w:rPr>
            </w:pPr>
          </w:p>
        </w:tc>
        <w:tc>
          <w:tcPr>
            <w:tcW w:w="2977" w:type="dxa"/>
          </w:tcPr>
          <w:p w14:paraId="30F2306E"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Hildreth, Paul</w:t>
            </w:r>
          </w:p>
        </w:tc>
        <w:tc>
          <w:tcPr>
            <w:tcW w:w="1224" w:type="dxa"/>
          </w:tcPr>
          <w:p w14:paraId="5638B504"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O78</w:t>
            </w:r>
          </w:p>
        </w:tc>
      </w:tr>
      <w:tr w:rsidR="00015480" w:rsidRPr="00015480" w14:paraId="7F6B5B72" w14:textId="77777777" w:rsidTr="00CA0630">
        <w:tc>
          <w:tcPr>
            <w:tcW w:w="3256" w:type="dxa"/>
          </w:tcPr>
          <w:p w14:paraId="09C68C53"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Hassan, Sara</w:t>
            </w:r>
          </w:p>
        </w:tc>
        <w:tc>
          <w:tcPr>
            <w:tcW w:w="1275" w:type="dxa"/>
          </w:tcPr>
          <w:p w14:paraId="21021330"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O30, O43</w:t>
            </w:r>
          </w:p>
        </w:tc>
        <w:tc>
          <w:tcPr>
            <w:tcW w:w="284" w:type="dxa"/>
          </w:tcPr>
          <w:p w14:paraId="67A6D367" w14:textId="77777777" w:rsidR="00015480" w:rsidRPr="00015480" w:rsidRDefault="00015480" w:rsidP="00C96EB7">
            <w:pPr>
              <w:rPr>
                <w:rFonts w:ascii="Noto Serif Light" w:hAnsi="Noto Serif Light" w:cs="Noto Serif Light"/>
              </w:rPr>
            </w:pPr>
          </w:p>
        </w:tc>
        <w:tc>
          <w:tcPr>
            <w:tcW w:w="2977" w:type="dxa"/>
          </w:tcPr>
          <w:p w14:paraId="060914C0"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Hipp, Ann</w:t>
            </w:r>
          </w:p>
        </w:tc>
        <w:tc>
          <w:tcPr>
            <w:tcW w:w="1224" w:type="dxa"/>
          </w:tcPr>
          <w:p w14:paraId="256DC6AB"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O21</w:t>
            </w:r>
          </w:p>
        </w:tc>
      </w:tr>
      <w:tr w:rsidR="001A0039" w:rsidRPr="00015480" w14:paraId="494C6F22" w14:textId="77777777" w:rsidTr="00CA0630">
        <w:tc>
          <w:tcPr>
            <w:tcW w:w="3256" w:type="dxa"/>
          </w:tcPr>
          <w:p w14:paraId="50AEE895" w14:textId="7F372222" w:rsidR="001A0039" w:rsidRPr="00015480" w:rsidRDefault="001A0039" w:rsidP="001A0039">
            <w:pPr>
              <w:pStyle w:val="AbstractBookAuthorIndex"/>
              <w:rPr>
                <w:rFonts w:ascii="Noto Serif Light" w:hAnsi="Noto Serif Light" w:cs="Noto Serif Light"/>
              </w:rPr>
            </w:pPr>
            <w:r w:rsidRPr="00015480">
              <w:rPr>
                <w:rFonts w:ascii="Noto Serif Light" w:hAnsi="Noto Serif Light" w:cs="Noto Serif Light"/>
              </w:rPr>
              <w:t>Ha</w:t>
            </w:r>
            <w:r>
              <w:rPr>
                <w:rFonts w:ascii="Noto Serif Light" w:hAnsi="Noto Serif Light" w:cs="Noto Serif Light"/>
              </w:rPr>
              <w:t>s</w:t>
            </w:r>
            <w:r w:rsidRPr="001A0039">
              <w:rPr>
                <w:rFonts w:ascii="Noto Serif Light" w:hAnsi="Noto Serif Light" w:cs="Noto Serif Light"/>
              </w:rPr>
              <w:t>tings, Thomas</w:t>
            </w:r>
          </w:p>
        </w:tc>
        <w:tc>
          <w:tcPr>
            <w:tcW w:w="1275" w:type="dxa"/>
          </w:tcPr>
          <w:p w14:paraId="611D8600" w14:textId="1827A3FC" w:rsidR="001A0039" w:rsidRPr="00015480" w:rsidRDefault="001A0039" w:rsidP="001A0039">
            <w:pPr>
              <w:pStyle w:val="AbstractBookAuthorIndex"/>
              <w:rPr>
                <w:rFonts w:ascii="Noto Serif Light" w:hAnsi="Noto Serif Light" w:cs="Noto Serif Light"/>
              </w:rPr>
            </w:pPr>
            <w:r>
              <w:rPr>
                <w:rFonts w:ascii="Noto Serif Light" w:hAnsi="Noto Serif Light" w:cs="Noto Serif Light"/>
              </w:rPr>
              <w:t>O4</w:t>
            </w:r>
            <w:r w:rsidRPr="001A0039">
              <w:rPr>
                <w:rFonts w:ascii="Noto Serif Light" w:hAnsi="Noto Serif Light" w:cs="Noto Serif Light"/>
              </w:rPr>
              <w:t>9</w:t>
            </w:r>
          </w:p>
        </w:tc>
        <w:tc>
          <w:tcPr>
            <w:tcW w:w="284" w:type="dxa"/>
          </w:tcPr>
          <w:p w14:paraId="44AAA117" w14:textId="77777777" w:rsidR="001A0039" w:rsidRPr="00015480" w:rsidRDefault="001A0039" w:rsidP="001A0039">
            <w:pPr>
              <w:rPr>
                <w:rFonts w:ascii="Noto Serif Light" w:hAnsi="Noto Serif Light" w:cs="Noto Serif Light"/>
              </w:rPr>
            </w:pPr>
          </w:p>
        </w:tc>
        <w:tc>
          <w:tcPr>
            <w:tcW w:w="2977" w:type="dxa"/>
          </w:tcPr>
          <w:p w14:paraId="60F2C931" w14:textId="6381899A" w:rsidR="001A0039" w:rsidRPr="00015480" w:rsidRDefault="001A0039" w:rsidP="001A0039">
            <w:pPr>
              <w:pStyle w:val="AbstractBookAuthorIndex"/>
              <w:rPr>
                <w:rFonts w:ascii="Noto Serif Light" w:hAnsi="Noto Serif Light" w:cs="Noto Serif Light"/>
              </w:rPr>
            </w:pPr>
            <w:r w:rsidRPr="00015480">
              <w:rPr>
                <w:rFonts w:ascii="Noto Serif Light" w:hAnsi="Noto Serif Light" w:cs="Noto Serif Light"/>
              </w:rPr>
              <w:t>Hwang, Jaun</w:t>
            </w:r>
          </w:p>
        </w:tc>
        <w:tc>
          <w:tcPr>
            <w:tcW w:w="1224" w:type="dxa"/>
          </w:tcPr>
          <w:p w14:paraId="5D1D54D6" w14:textId="7B88D21A" w:rsidR="001A0039" w:rsidRPr="00015480" w:rsidRDefault="001A0039" w:rsidP="001A0039">
            <w:pPr>
              <w:pStyle w:val="AbstractBookAuthorIndex"/>
              <w:rPr>
                <w:rFonts w:ascii="Noto Serif Light" w:hAnsi="Noto Serif Light" w:cs="Noto Serif Light"/>
              </w:rPr>
            </w:pPr>
            <w:r w:rsidRPr="00015480">
              <w:rPr>
                <w:rFonts w:ascii="Noto Serif Light" w:hAnsi="Noto Serif Light" w:cs="Noto Serif Light"/>
              </w:rPr>
              <w:t>O5</w:t>
            </w:r>
          </w:p>
        </w:tc>
      </w:tr>
      <w:tr w:rsidR="00015480" w:rsidRPr="00015480" w14:paraId="28AD8CD9" w14:textId="77777777" w:rsidTr="00CA0630">
        <w:tc>
          <w:tcPr>
            <w:tcW w:w="3256" w:type="dxa"/>
          </w:tcPr>
          <w:p w14:paraId="54A00FA3"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Hervas, Jose</w:t>
            </w:r>
          </w:p>
        </w:tc>
        <w:tc>
          <w:tcPr>
            <w:tcW w:w="1275" w:type="dxa"/>
          </w:tcPr>
          <w:p w14:paraId="1B84B75C"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O21</w:t>
            </w:r>
          </w:p>
        </w:tc>
        <w:tc>
          <w:tcPr>
            <w:tcW w:w="284" w:type="dxa"/>
          </w:tcPr>
          <w:p w14:paraId="4D7B016A" w14:textId="77777777" w:rsidR="00015480" w:rsidRPr="00015480" w:rsidRDefault="00015480" w:rsidP="00C96EB7">
            <w:pPr>
              <w:rPr>
                <w:rFonts w:ascii="Noto Serif Light" w:hAnsi="Noto Serif Light" w:cs="Noto Serif Light"/>
              </w:rPr>
            </w:pPr>
          </w:p>
        </w:tc>
        <w:tc>
          <w:tcPr>
            <w:tcW w:w="2977" w:type="dxa"/>
          </w:tcPr>
          <w:p w14:paraId="02F213CE" w14:textId="58C64217" w:rsidR="00015480" w:rsidRPr="00015480" w:rsidRDefault="00015480" w:rsidP="00C96EB7">
            <w:pPr>
              <w:pStyle w:val="AbstractBookAuthorIndex"/>
              <w:rPr>
                <w:rFonts w:ascii="Noto Serif Light" w:hAnsi="Noto Serif Light" w:cs="Noto Serif Light"/>
              </w:rPr>
            </w:pPr>
          </w:p>
        </w:tc>
        <w:tc>
          <w:tcPr>
            <w:tcW w:w="1224" w:type="dxa"/>
          </w:tcPr>
          <w:p w14:paraId="1BEE8694" w14:textId="40DF7CDF" w:rsidR="00015480" w:rsidRPr="00015480" w:rsidRDefault="00015480" w:rsidP="00C96EB7">
            <w:pPr>
              <w:pStyle w:val="AbstractBookAuthorIndex"/>
              <w:rPr>
                <w:rFonts w:ascii="Noto Serif Light" w:hAnsi="Noto Serif Light" w:cs="Noto Serif Light"/>
              </w:rPr>
            </w:pPr>
          </w:p>
        </w:tc>
      </w:tr>
    </w:tbl>
    <w:p w14:paraId="423BED7C" w14:textId="77777777" w:rsidR="006A1205" w:rsidRDefault="006A1205" w:rsidP="00015480">
      <w:pPr>
        <w:pStyle w:val="AbstractBookAuthorIndexLetterHeading"/>
        <w:rPr>
          <w:rFonts w:ascii="Noto Serif Light" w:hAnsi="Noto Serif Light" w:cs="Noto Serif Light"/>
        </w:rPr>
      </w:pPr>
    </w:p>
    <w:p w14:paraId="25012A57" w14:textId="01B2C4FE"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I</w:t>
      </w:r>
    </w:p>
    <w:p w14:paraId="31643E9B" w14:textId="77777777" w:rsidR="006A1205" w:rsidRPr="00015480" w:rsidRDefault="006A1205" w:rsidP="00015480">
      <w:pPr>
        <w:pStyle w:val="AbstractBookAuthorIndexLetterHeading"/>
        <w:rPr>
          <w:rFonts w:ascii="Noto Serif Light" w:hAnsi="Noto Serif Light" w:cs="Noto Serif Light"/>
        </w:rPr>
      </w:pPr>
    </w:p>
    <w:tbl>
      <w:tblPr>
        <w:tblW w:w="5000" w:type="pct"/>
        <w:tblLook w:val="0600" w:firstRow="0" w:lastRow="0" w:firstColumn="0" w:lastColumn="0" w:noHBand="1" w:noVBand="1"/>
      </w:tblPr>
      <w:tblGrid>
        <w:gridCol w:w="3261"/>
        <w:gridCol w:w="1276"/>
        <w:gridCol w:w="284"/>
        <w:gridCol w:w="3121"/>
        <w:gridCol w:w="1084"/>
      </w:tblGrid>
      <w:tr w:rsidR="00015480" w:rsidRPr="00015480" w14:paraId="044DE160" w14:textId="77777777" w:rsidTr="00CA0630">
        <w:tc>
          <w:tcPr>
            <w:tcW w:w="3256" w:type="dxa"/>
          </w:tcPr>
          <w:p w14:paraId="38C2065A"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Ihanus, Susanna</w:t>
            </w:r>
          </w:p>
        </w:tc>
        <w:tc>
          <w:tcPr>
            <w:tcW w:w="1275" w:type="dxa"/>
          </w:tcPr>
          <w:p w14:paraId="067A6DC3"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O29</w:t>
            </w:r>
          </w:p>
        </w:tc>
        <w:tc>
          <w:tcPr>
            <w:tcW w:w="284" w:type="dxa"/>
          </w:tcPr>
          <w:p w14:paraId="21D174C2" w14:textId="77777777" w:rsidR="00015480" w:rsidRPr="00015480" w:rsidRDefault="00015480" w:rsidP="00C96EB7">
            <w:pPr>
              <w:rPr>
                <w:rFonts w:ascii="Noto Serif Light" w:hAnsi="Noto Serif Light" w:cs="Noto Serif Light"/>
              </w:rPr>
            </w:pPr>
          </w:p>
        </w:tc>
        <w:tc>
          <w:tcPr>
            <w:tcW w:w="3118" w:type="dxa"/>
          </w:tcPr>
          <w:p w14:paraId="7B7902A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Ioramashvili, Carolin</w:t>
            </w:r>
          </w:p>
        </w:tc>
        <w:tc>
          <w:tcPr>
            <w:tcW w:w="1083" w:type="dxa"/>
          </w:tcPr>
          <w:p w14:paraId="6C689CA2"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O34</w:t>
            </w:r>
          </w:p>
        </w:tc>
      </w:tr>
      <w:tr w:rsidR="00015480" w:rsidRPr="00015480" w14:paraId="2C764312" w14:textId="77777777" w:rsidTr="00CA0630">
        <w:tc>
          <w:tcPr>
            <w:tcW w:w="3256" w:type="dxa"/>
          </w:tcPr>
          <w:p w14:paraId="3ACBD05B"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Ingstrup, Mads Bruun</w:t>
            </w:r>
          </w:p>
        </w:tc>
        <w:tc>
          <w:tcPr>
            <w:tcW w:w="1275" w:type="dxa"/>
          </w:tcPr>
          <w:p w14:paraId="3804FA8A"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O77</w:t>
            </w:r>
          </w:p>
        </w:tc>
        <w:tc>
          <w:tcPr>
            <w:tcW w:w="284" w:type="dxa"/>
          </w:tcPr>
          <w:p w14:paraId="320C64EA" w14:textId="77777777" w:rsidR="00015480" w:rsidRPr="00015480" w:rsidRDefault="00015480" w:rsidP="00C96EB7">
            <w:pPr>
              <w:rPr>
                <w:rFonts w:ascii="Noto Serif Light" w:hAnsi="Noto Serif Light" w:cs="Noto Serif Light"/>
              </w:rPr>
            </w:pPr>
          </w:p>
        </w:tc>
        <w:tc>
          <w:tcPr>
            <w:tcW w:w="3118" w:type="dxa"/>
          </w:tcPr>
          <w:p w14:paraId="20882440" w14:textId="77777777" w:rsidR="00015480" w:rsidRPr="00015480" w:rsidRDefault="00015480" w:rsidP="00C96EB7">
            <w:pPr>
              <w:rPr>
                <w:rFonts w:ascii="Noto Serif Light" w:hAnsi="Noto Serif Light" w:cs="Noto Serif Light"/>
              </w:rPr>
            </w:pPr>
          </w:p>
        </w:tc>
        <w:tc>
          <w:tcPr>
            <w:tcW w:w="1083" w:type="dxa"/>
          </w:tcPr>
          <w:p w14:paraId="21E36A6B" w14:textId="77777777" w:rsidR="00015480" w:rsidRPr="00015480" w:rsidRDefault="00015480" w:rsidP="00C96EB7">
            <w:pPr>
              <w:rPr>
                <w:rFonts w:ascii="Noto Serif Light" w:hAnsi="Noto Serif Light" w:cs="Noto Serif Light"/>
              </w:rPr>
            </w:pPr>
          </w:p>
        </w:tc>
      </w:tr>
    </w:tbl>
    <w:p w14:paraId="5E558D54" w14:textId="77777777" w:rsidR="006A1205" w:rsidRDefault="006A1205" w:rsidP="00015480">
      <w:pPr>
        <w:pStyle w:val="AbstractBookAuthorIndexLetterHeading"/>
        <w:rPr>
          <w:rFonts w:ascii="Noto Serif Light" w:hAnsi="Noto Serif Light" w:cs="Noto Serif Light"/>
        </w:rPr>
      </w:pPr>
    </w:p>
    <w:p w14:paraId="4FF7C5DB" w14:textId="6DC29EDE"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J</w:t>
      </w:r>
    </w:p>
    <w:p w14:paraId="28848AFD" w14:textId="77777777" w:rsidR="006A1205" w:rsidRPr="00015480" w:rsidRDefault="006A1205" w:rsidP="00015480">
      <w:pPr>
        <w:pStyle w:val="AbstractBookAuthorIndexLetterHeading"/>
        <w:rPr>
          <w:rFonts w:ascii="Noto Serif Light" w:hAnsi="Noto Serif Light" w:cs="Noto Serif Light"/>
        </w:rPr>
      </w:pPr>
    </w:p>
    <w:tbl>
      <w:tblPr>
        <w:tblW w:w="5000" w:type="pct"/>
        <w:tblLayout w:type="fixed"/>
        <w:tblLook w:val="0600" w:firstRow="0" w:lastRow="0" w:firstColumn="0" w:lastColumn="0" w:noHBand="1" w:noVBand="1"/>
      </w:tblPr>
      <w:tblGrid>
        <w:gridCol w:w="3261"/>
        <w:gridCol w:w="1276"/>
        <w:gridCol w:w="284"/>
        <w:gridCol w:w="3121"/>
        <w:gridCol w:w="1084"/>
      </w:tblGrid>
      <w:tr w:rsidR="00015480" w:rsidRPr="00015480" w14:paraId="54D1E9D3" w14:textId="77777777" w:rsidTr="00CA0630">
        <w:tc>
          <w:tcPr>
            <w:tcW w:w="3256" w:type="dxa"/>
          </w:tcPr>
          <w:p w14:paraId="6F6E44D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Jakobsen, Stig Erik</w:t>
            </w:r>
          </w:p>
        </w:tc>
        <w:tc>
          <w:tcPr>
            <w:tcW w:w="1275" w:type="dxa"/>
          </w:tcPr>
          <w:p w14:paraId="7454B81C" w14:textId="7C69E601" w:rsidR="00015480" w:rsidRPr="00015480" w:rsidRDefault="00D86DEA" w:rsidP="00C96EB7">
            <w:pPr>
              <w:pStyle w:val="AbstractBookAuthorIndex"/>
              <w:rPr>
                <w:rFonts w:ascii="Noto Serif Light" w:hAnsi="Noto Serif Light" w:cs="Noto Serif Light"/>
              </w:rPr>
            </w:pPr>
            <w:r>
              <w:rPr>
                <w:rFonts w:ascii="Noto Serif Light" w:hAnsi="Noto Serif Light" w:cs="Noto Serif Light"/>
              </w:rPr>
              <w:t>O15, O</w:t>
            </w:r>
            <w:r w:rsidR="00015480" w:rsidRPr="00015480">
              <w:rPr>
                <w:rFonts w:ascii="Noto Serif Light" w:hAnsi="Noto Serif Light" w:cs="Noto Serif Light"/>
              </w:rPr>
              <w:t>77</w:t>
            </w:r>
          </w:p>
        </w:tc>
        <w:tc>
          <w:tcPr>
            <w:tcW w:w="284" w:type="dxa"/>
          </w:tcPr>
          <w:p w14:paraId="712804AD" w14:textId="77777777" w:rsidR="00015480" w:rsidRPr="00015480" w:rsidRDefault="00015480" w:rsidP="00C96EB7">
            <w:pPr>
              <w:rPr>
                <w:rFonts w:ascii="Noto Serif Light" w:hAnsi="Noto Serif Light" w:cs="Noto Serif Light"/>
              </w:rPr>
            </w:pPr>
          </w:p>
        </w:tc>
        <w:tc>
          <w:tcPr>
            <w:tcW w:w="3118" w:type="dxa"/>
          </w:tcPr>
          <w:p w14:paraId="27486074"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Jiménez Guethon, Reynaldo</w:t>
            </w:r>
          </w:p>
        </w:tc>
        <w:tc>
          <w:tcPr>
            <w:tcW w:w="1083" w:type="dxa"/>
          </w:tcPr>
          <w:p w14:paraId="1EA90282"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O73</w:t>
            </w:r>
          </w:p>
        </w:tc>
      </w:tr>
    </w:tbl>
    <w:p w14:paraId="2403597F" w14:textId="77777777" w:rsidR="006A1205" w:rsidRDefault="006A1205" w:rsidP="00015480">
      <w:pPr>
        <w:pStyle w:val="AbstractBookAuthorIndexLetterHeading"/>
        <w:rPr>
          <w:rFonts w:ascii="Noto Serif Light" w:hAnsi="Noto Serif Light" w:cs="Noto Serif Light"/>
        </w:rPr>
      </w:pPr>
    </w:p>
    <w:p w14:paraId="61997319" w14:textId="77777777" w:rsidR="00CA0630" w:rsidRDefault="00CA0630" w:rsidP="00015480">
      <w:pPr>
        <w:pStyle w:val="AbstractBookAuthorIndexLetterHeading"/>
        <w:rPr>
          <w:rFonts w:ascii="Noto Serif Light" w:hAnsi="Noto Serif Light" w:cs="Noto Serif Light"/>
        </w:rPr>
      </w:pPr>
    </w:p>
    <w:p w14:paraId="215D190F" w14:textId="77777777" w:rsidR="00CA0630" w:rsidRDefault="00CA0630" w:rsidP="00015480">
      <w:pPr>
        <w:pStyle w:val="AbstractBookAuthorIndexLetterHeading"/>
        <w:rPr>
          <w:rFonts w:ascii="Noto Serif Light" w:hAnsi="Noto Serif Light" w:cs="Noto Serif Light"/>
        </w:rPr>
      </w:pPr>
    </w:p>
    <w:p w14:paraId="4175E2F4" w14:textId="77777777" w:rsidR="00CA0630" w:rsidRDefault="00CA0630" w:rsidP="00015480">
      <w:pPr>
        <w:pStyle w:val="AbstractBookAuthorIndexLetterHeading"/>
        <w:rPr>
          <w:rFonts w:ascii="Noto Serif Light" w:hAnsi="Noto Serif Light" w:cs="Noto Serif Light"/>
        </w:rPr>
      </w:pPr>
    </w:p>
    <w:p w14:paraId="5B264C26" w14:textId="77777777" w:rsidR="00CA0630" w:rsidRDefault="00CA0630" w:rsidP="00015480">
      <w:pPr>
        <w:pStyle w:val="AbstractBookAuthorIndexLetterHeading"/>
        <w:rPr>
          <w:rFonts w:ascii="Noto Serif Light" w:hAnsi="Noto Serif Light" w:cs="Noto Serif Light"/>
        </w:rPr>
      </w:pPr>
    </w:p>
    <w:p w14:paraId="410744B2" w14:textId="77777777" w:rsidR="00CA0630" w:rsidRDefault="00CA0630" w:rsidP="00015480">
      <w:pPr>
        <w:pStyle w:val="AbstractBookAuthorIndexLetterHeading"/>
        <w:rPr>
          <w:rFonts w:ascii="Noto Serif Light" w:hAnsi="Noto Serif Light" w:cs="Noto Serif Light"/>
        </w:rPr>
      </w:pPr>
    </w:p>
    <w:p w14:paraId="7B8AD816" w14:textId="77777777" w:rsidR="00CA0630" w:rsidRDefault="00CA0630" w:rsidP="00015480">
      <w:pPr>
        <w:pStyle w:val="AbstractBookAuthorIndexLetterHeading"/>
        <w:rPr>
          <w:rFonts w:ascii="Noto Serif Light" w:hAnsi="Noto Serif Light" w:cs="Noto Serif Light"/>
        </w:rPr>
      </w:pPr>
    </w:p>
    <w:p w14:paraId="2D2F4239" w14:textId="4EE32838"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lastRenderedPageBreak/>
        <w:t>K</w:t>
      </w:r>
    </w:p>
    <w:p w14:paraId="1F6F5AF3" w14:textId="77777777" w:rsidR="00CA0630" w:rsidRDefault="00CA0630" w:rsidP="00015480">
      <w:pPr>
        <w:pStyle w:val="AbstractBookAuthorIndexLetterHeading"/>
        <w:rPr>
          <w:rFonts w:ascii="Noto Serif Light" w:hAnsi="Noto Serif Light" w:cs="Noto Serif Light"/>
        </w:rPr>
      </w:pPr>
    </w:p>
    <w:tbl>
      <w:tblPr>
        <w:tblStyle w:val="TableGrid"/>
        <w:tblW w:w="9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1701"/>
        <w:gridCol w:w="284"/>
        <w:gridCol w:w="2977"/>
        <w:gridCol w:w="1301"/>
      </w:tblGrid>
      <w:tr w:rsidR="004C6BC4" w:rsidRPr="004C6BC4" w14:paraId="1665F7B0" w14:textId="77777777" w:rsidTr="00CA0630">
        <w:trPr>
          <w:trHeight w:val="482"/>
        </w:trPr>
        <w:tc>
          <w:tcPr>
            <w:tcW w:w="2830" w:type="dxa"/>
          </w:tcPr>
          <w:p w14:paraId="4B9D2027" w14:textId="0896BBDC" w:rsidR="004C6BC4" w:rsidRPr="004C6BC4" w:rsidRDefault="004C6BC4" w:rsidP="00015480">
            <w:pPr>
              <w:pStyle w:val="AbstractBookAuthorIndexLetterHeading"/>
              <w:rPr>
                <w:rFonts w:ascii="Noto Serif Light" w:hAnsi="Noto Serif Light" w:cs="Noto Serif Light"/>
                <w:b w:val="0"/>
                <w:bCs/>
                <w:sz w:val="24"/>
              </w:rPr>
            </w:pPr>
            <w:r w:rsidRPr="004C6BC4">
              <w:rPr>
                <w:rFonts w:ascii="Noto Serif Light" w:hAnsi="Noto Serif Light" w:cs="Noto Serif Light"/>
                <w:b w:val="0"/>
                <w:bCs/>
                <w:sz w:val="24"/>
              </w:rPr>
              <w:t>Kampmann, Thorsten</w:t>
            </w:r>
          </w:p>
        </w:tc>
        <w:tc>
          <w:tcPr>
            <w:tcW w:w="1701" w:type="dxa"/>
          </w:tcPr>
          <w:p w14:paraId="65E745B7" w14:textId="7EE223F4" w:rsidR="004C6BC4" w:rsidRPr="004C6BC4" w:rsidRDefault="004C6BC4" w:rsidP="00015480">
            <w:pPr>
              <w:pStyle w:val="AbstractBookAuthorIndexLetterHeading"/>
              <w:rPr>
                <w:rFonts w:ascii="Noto Serif Light" w:hAnsi="Noto Serif Light" w:cs="Noto Serif Light"/>
                <w:b w:val="0"/>
                <w:bCs/>
                <w:sz w:val="24"/>
              </w:rPr>
            </w:pPr>
            <w:r>
              <w:rPr>
                <w:rFonts w:ascii="Noto Serif Light" w:hAnsi="Noto Serif Light" w:cs="Noto Serif Light"/>
                <w:b w:val="0"/>
                <w:bCs/>
                <w:sz w:val="24"/>
              </w:rPr>
              <w:t>O54</w:t>
            </w:r>
          </w:p>
        </w:tc>
        <w:tc>
          <w:tcPr>
            <w:tcW w:w="284" w:type="dxa"/>
          </w:tcPr>
          <w:p w14:paraId="746A7D9B" w14:textId="77777777" w:rsidR="004C6BC4" w:rsidRPr="004C6BC4" w:rsidRDefault="004C6BC4" w:rsidP="00015480">
            <w:pPr>
              <w:pStyle w:val="AbstractBookAuthorIndexLetterHeading"/>
              <w:rPr>
                <w:rFonts w:ascii="Noto Serif Light" w:hAnsi="Noto Serif Light" w:cs="Noto Serif Light"/>
                <w:b w:val="0"/>
                <w:bCs/>
                <w:sz w:val="24"/>
              </w:rPr>
            </w:pPr>
          </w:p>
        </w:tc>
        <w:tc>
          <w:tcPr>
            <w:tcW w:w="2977" w:type="dxa"/>
          </w:tcPr>
          <w:p w14:paraId="34619460" w14:textId="1DEC644B" w:rsidR="004C6BC4" w:rsidRPr="004C6BC4" w:rsidRDefault="004C6BC4" w:rsidP="00015480">
            <w:pPr>
              <w:pStyle w:val="AbstractBookAuthorIndexLetterHeading"/>
              <w:rPr>
                <w:rFonts w:ascii="Noto Serif Light" w:hAnsi="Noto Serif Light" w:cs="Noto Serif Light"/>
                <w:b w:val="0"/>
                <w:bCs/>
                <w:sz w:val="24"/>
              </w:rPr>
            </w:pPr>
            <w:r w:rsidRPr="004C6BC4">
              <w:rPr>
                <w:rFonts w:ascii="Noto Serif Light" w:hAnsi="Noto Serif Light" w:cs="Noto Serif Light"/>
                <w:b w:val="0"/>
                <w:bCs/>
                <w:sz w:val="24"/>
              </w:rPr>
              <w:t>Krenz, Astrid</w:t>
            </w:r>
          </w:p>
        </w:tc>
        <w:tc>
          <w:tcPr>
            <w:tcW w:w="1301" w:type="dxa"/>
          </w:tcPr>
          <w:p w14:paraId="1E860476" w14:textId="4FEFB0A4" w:rsidR="004C6BC4" w:rsidRPr="004C6BC4" w:rsidRDefault="004C6BC4" w:rsidP="00015480">
            <w:pPr>
              <w:pStyle w:val="AbstractBookAuthorIndexLetterHeading"/>
              <w:rPr>
                <w:rFonts w:ascii="Noto Serif Light" w:hAnsi="Noto Serif Light" w:cs="Noto Serif Light"/>
                <w:b w:val="0"/>
                <w:bCs/>
                <w:sz w:val="24"/>
              </w:rPr>
            </w:pPr>
            <w:r>
              <w:rPr>
                <w:rFonts w:ascii="Noto Serif Light" w:hAnsi="Noto Serif Light" w:cs="Noto Serif Light"/>
                <w:b w:val="0"/>
                <w:bCs/>
                <w:sz w:val="24"/>
              </w:rPr>
              <w:t>O36</w:t>
            </w:r>
          </w:p>
        </w:tc>
      </w:tr>
      <w:tr w:rsidR="004C6BC4" w:rsidRPr="004C6BC4" w14:paraId="76FCE576" w14:textId="77777777" w:rsidTr="00CA0630">
        <w:trPr>
          <w:trHeight w:val="416"/>
        </w:trPr>
        <w:tc>
          <w:tcPr>
            <w:tcW w:w="2830" w:type="dxa"/>
          </w:tcPr>
          <w:p w14:paraId="60DBE617" w14:textId="3C5A0369" w:rsidR="004C6BC4" w:rsidRPr="004C6BC4" w:rsidRDefault="004C6BC4" w:rsidP="00015480">
            <w:pPr>
              <w:pStyle w:val="AbstractBookAuthorIndexLetterHeading"/>
              <w:rPr>
                <w:rFonts w:ascii="Noto Serif Light" w:hAnsi="Noto Serif Light" w:cs="Noto Serif Light"/>
                <w:b w:val="0"/>
                <w:bCs/>
                <w:sz w:val="24"/>
              </w:rPr>
            </w:pPr>
            <w:r w:rsidRPr="004C6BC4">
              <w:rPr>
                <w:rFonts w:ascii="Noto Serif Light" w:hAnsi="Noto Serif Light" w:cs="Noto Serif Light"/>
                <w:b w:val="0"/>
                <w:bCs/>
                <w:sz w:val="24"/>
              </w:rPr>
              <w:t>Kapo, Klevisa</w:t>
            </w:r>
          </w:p>
        </w:tc>
        <w:tc>
          <w:tcPr>
            <w:tcW w:w="1701" w:type="dxa"/>
          </w:tcPr>
          <w:p w14:paraId="6F16E14F" w14:textId="07800064" w:rsidR="004C6BC4" w:rsidRPr="004C6BC4" w:rsidRDefault="004C6BC4" w:rsidP="00015480">
            <w:pPr>
              <w:pStyle w:val="AbstractBookAuthorIndexLetterHeading"/>
              <w:rPr>
                <w:rFonts w:ascii="Noto Serif Light" w:hAnsi="Noto Serif Light" w:cs="Noto Serif Light"/>
                <w:b w:val="0"/>
                <w:bCs/>
                <w:sz w:val="24"/>
              </w:rPr>
            </w:pPr>
            <w:r>
              <w:rPr>
                <w:rFonts w:ascii="Noto Serif Light" w:hAnsi="Noto Serif Light" w:cs="Noto Serif Light"/>
                <w:b w:val="0"/>
                <w:bCs/>
                <w:sz w:val="24"/>
              </w:rPr>
              <w:t>O8</w:t>
            </w:r>
          </w:p>
        </w:tc>
        <w:tc>
          <w:tcPr>
            <w:tcW w:w="284" w:type="dxa"/>
          </w:tcPr>
          <w:p w14:paraId="5BCE958C" w14:textId="77777777" w:rsidR="004C6BC4" w:rsidRPr="004C6BC4" w:rsidRDefault="004C6BC4" w:rsidP="00015480">
            <w:pPr>
              <w:pStyle w:val="AbstractBookAuthorIndexLetterHeading"/>
              <w:rPr>
                <w:rFonts w:ascii="Noto Serif Light" w:hAnsi="Noto Serif Light" w:cs="Noto Serif Light"/>
                <w:b w:val="0"/>
                <w:bCs/>
                <w:sz w:val="24"/>
              </w:rPr>
            </w:pPr>
          </w:p>
        </w:tc>
        <w:tc>
          <w:tcPr>
            <w:tcW w:w="2977" w:type="dxa"/>
          </w:tcPr>
          <w:p w14:paraId="1F4C13D2" w14:textId="55145013" w:rsidR="004C6BC4" w:rsidRPr="004C6BC4" w:rsidRDefault="004C6BC4" w:rsidP="00015480">
            <w:pPr>
              <w:pStyle w:val="AbstractBookAuthorIndexLetterHeading"/>
              <w:rPr>
                <w:rFonts w:ascii="Noto Serif Light" w:hAnsi="Noto Serif Light" w:cs="Noto Serif Light"/>
                <w:b w:val="0"/>
                <w:bCs/>
                <w:sz w:val="24"/>
              </w:rPr>
            </w:pPr>
            <w:r w:rsidRPr="004C6BC4">
              <w:rPr>
                <w:rFonts w:ascii="Noto Serif Light" w:hAnsi="Noto Serif Light" w:cs="Noto Serif Light"/>
                <w:b w:val="0"/>
                <w:bCs/>
                <w:sz w:val="24"/>
              </w:rPr>
              <w:t>Krol, Henning</w:t>
            </w:r>
          </w:p>
        </w:tc>
        <w:tc>
          <w:tcPr>
            <w:tcW w:w="1301" w:type="dxa"/>
          </w:tcPr>
          <w:p w14:paraId="44A131B6" w14:textId="3EEAD70D" w:rsidR="004C6BC4" w:rsidRPr="004C6BC4" w:rsidRDefault="004C6BC4" w:rsidP="00015480">
            <w:pPr>
              <w:pStyle w:val="AbstractBookAuthorIndexLetterHeading"/>
              <w:rPr>
                <w:rFonts w:ascii="Noto Serif Light" w:hAnsi="Noto Serif Light" w:cs="Noto Serif Light"/>
                <w:b w:val="0"/>
                <w:bCs/>
                <w:sz w:val="24"/>
              </w:rPr>
            </w:pPr>
            <w:r>
              <w:rPr>
                <w:rFonts w:ascii="Noto Serif Light" w:hAnsi="Noto Serif Light" w:cs="Noto Serif Light"/>
                <w:b w:val="0"/>
                <w:bCs/>
                <w:sz w:val="24"/>
              </w:rPr>
              <w:t>O56</w:t>
            </w:r>
          </w:p>
        </w:tc>
      </w:tr>
      <w:tr w:rsidR="004C6BC4" w:rsidRPr="004C6BC4" w14:paraId="7809AF3E" w14:textId="77777777" w:rsidTr="00CA0630">
        <w:trPr>
          <w:trHeight w:val="435"/>
        </w:trPr>
        <w:tc>
          <w:tcPr>
            <w:tcW w:w="2830" w:type="dxa"/>
          </w:tcPr>
          <w:p w14:paraId="5EFBD19B" w14:textId="77AEC728" w:rsidR="004C6BC4" w:rsidRPr="004C6BC4" w:rsidRDefault="004C6BC4" w:rsidP="00015480">
            <w:pPr>
              <w:pStyle w:val="AbstractBookAuthorIndexLetterHeading"/>
              <w:rPr>
                <w:rFonts w:ascii="Noto Serif Light" w:hAnsi="Noto Serif Light" w:cs="Noto Serif Light"/>
                <w:b w:val="0"/>
                <w:bCs/>
                <w:sz w:val="24"/>
              </w:rPr>
            </w:pPr>
            <w:r w:rsidRPr="004C6BC4">
              <w:rPr>
                <w:rFonts w:ascii="Noto Serif Light" w:hAnsi="Noto Serif Light" w:cs="Noto Serif Light"/>
                <w:b w:val="0"/>
                <w:bCs/>
                <w:sz w:val="24"/>
              </w:rPr>
              <w:t>Kitagawa, Fumi</w:t>
            </w:r>
          </w:p>
        </w:tc>
        <w:tc>
          <w:tcPr>
            <w:tcW w:w="1701" w:type="dxa"/>
          </w:tcPr>
          <w:p w14:paraId="7DA51D51" w14:textId="52A53D2C" w:rsidR="004C6BC4" w:rsidRPr="004C6BC4" w:rsidRDefault="004C6BC4" w:rsidP="00015480">
            <w:pPr>
              <w:pStyle w:val="AbstractBookAuthorIndexLetterHeading"/>
              <w:rPr>
                <w:rFonts w:ascii="Noto Serif Light" w:hAnsi="Noto Serif Light" w:cs="Noto Serif Light"/>
                <w:b w:val="0"/>
                <w:bCs/>
                <w:sz w:val="24"/>
              </w:rPr>
            </w:pPr>
            <w:r>
              <w:rPr>
                <w:rFonts w:ascii="Noto Serif Light" w:hAnsi="Noto Serif Light" w:cs="Noto Serif Light"/>
                <w:b w:val="0"/>
                <w:bCs/>
                <w:sz w:val="24"/>
              </w:rPr>
              <w:t>O45, O50, O74</w:t>
            </w:r>
          </w:p>
        </w:tc>
        <w:tc>
          <w:tcPr>
            <w:tcW w:w="284" w:type="dxa"/>
          </w:tcPr>
          <w:p w14:paraId="4262AFDA" w14:textId="77777777" w:rsidR="004C6BC4" w:rsidRPr="004C6BC4" w:rsidRDefault="004C6BC4" w:rsidP="00015480">
            <w:pPr>
              <w:pStyle w:val="AbstractBookAuthorIndexLetterHeading"/>
              <w:rPr>
                <w:rFonts w:ascii="Noto Serif Light" w:hAnsi="Noto Serif Light" w:cs="Noto Serif Light"/>
                <w:b w:val="0"/>
                <w:bCs/>
                <w:sz w:val="24"/>
              </w:rPr>
            </w:pPr>
          </w:p>
        </w:tc>
        <w:tc>
          <w:tcPr>
            <w:tcW w:w="2977" w:type="dxa"/>
          </w:tcPr>
          <w:p w14:paraId="5F0108BF" w14:textId="5AEAFE17" w:rsidR="004C6BC4" w:rsidRPr="004C6BC4" w:rsidRDefault="004C6BC4" w:rsidP="00015480">
            <w:pPr>
              <w:pStyle w:val="AbstractBookAuthorIndexLetterHeading"/>
              <w:rPr>
                <w:rFonts w:ascii="Noto Serif Light" w:hAnsi="Noto Serif Light" w:cs="Noto Serif Light"/>
                <w:b w:val="0"/>
                <w:bCs/>
                <w:sz w:val="24"/>
              </w:rPr>
            </w:pPr>
            <w:r w:rsidRPr="004C6BC4">
              <w:rPr>
                <w:rFonts w:ascii="Noto Serif Light" w:hAnsi="Noto Serif Light" w:cs="Noto Serif Light"/>
                <w:b w:val="0"/>
                <w:bCs/>
                <w:sz w:val="24"/>
              </w:rPr>
              <w:t>Kurikka, Heli</w:t>
            </w:r>
          </w:p>
        </w:tc>
        <w:tc>
          <w:tcPr>
            <w:tcW w:w="1301" w:type="dxa"/>
          </w:tcPr>
          <w:p w14:paraId="45B97D53" w14:textId="5CC770EC" w:rsidR="004C6BC4" w:rsidRPr="004C6BC4" w:rsidRDefault="004C6BC4" w:rsidP="00015480">
            <w:pPr>
              <w:pStyle w:val="AbstractBookAuthorIndexLetterHeading"/>
              <w:rPr>
                <w:rFonts w:ascii="Noto Serif Light" w:hAnsi="Noto Serif Light" w:cs="Noto Serif Light"/>
                <w:b w:val="0"/>
                <w:bCs/>
                <w:sz w:val="24"/>
              </w:rPr>
            </w:pPr>
            <w:r>
              <w:rPr>
                <w:rFonts w:ascii="Noto Serif Light" w:hAnsi="Noto Serif Light" w:cs="Noto Serif Light"/>
                <w:b w:val="0"/>
                <w:bCs/>
                <w:sz w:val="24"/>
              </w:rPr>
              <w:t>O57</w:t>
            </w:r>
          </w:p>
        </w:tc>
      </w:tr>
      <w:tr w:rsidR="004C6BC4" w:rsidRPr="004C6BC4" w14:paraId="221C5B54" w14:textId="77777777" w:rsidTr="00CA0630">
        <w:tc>
          <w:tcPr>
            <w:tcW w:w="2830" w:type="dxa"/>
          </w:tcPr>
          <w:p w14:paraId="2694D26A" w14:textId="2623D5C2" w:rsidR="004C6BC4" w:rsidRPr="004C6BC4" w:rsidRDefault="004C6BC4" w:rsidP="00015480">
            <w:pPr>
              <w:pStyle w:val="AbstractBookAuthorIndexLetterHeading"/>
              <w:rPr>
                <w:rFonts w:ascii="Noto Serif Light" w:hAnsi="Noto Serif Light" w:cs="Noto Serif Light"/>
                <w:b w:val="0"/>
                <w:bCs/>
                <w:sz w:val="24"/>
              </w:rPr>
            </w:pPr>
            <w:r w:rsidRPr="004C6BC4">
              <w:rPr>
                <w:rFonts w:ascii="Noto Serif Light" w:hAnsi="Noto Serif Light" w:cs="Noto Serif Light"/>
                <w:b w:val="0"/>
                <w:bCs/>
                <w:sz w:val="24"/>
              </w:rPr>
              <w:t>Kollydas, Konstantinos</w:t>
            </w:r>
          </w:p>
        </w:tc>
        <w:tc>
          <w:tcPr>
            <w:tcW w:w="1701" w:type="dxa"/>
          </w:tcPr>
          <w:p w14:paraId="3658EDC5" w14:textId="7CF2767B" w:rsidR="004C6BC4" w:rsidRPr="004C6BC4" w:rsidRDefault="004C6BC4" w:rsidP="00015480">
            <w:pPr>
              <w:pStyle w:val="AbstractBookAuthorIndexLetterHeading"/>
              <w:rPr>
                <w:rFonts w:ascii="Noto Serif Light" w:hAnsi="Noto Serif Light" w:cs="Noto Serif Light"/>
                <w:b w:val="0"/>
                <w:bCs/>
                <w:sz w:val="24"/>
              </w:rPr>
            </w:pPr>
            <w:r>
              <w:rPr>
                <w:rFonts w:ascii="Noto Serif Light" w:hAnsi="Noto Serif Light" w:cs="Noto Serif Light"/>
                <w:b w:val="0"/>
                <w:bCs/>
                <w:sz w:val="24"/>
              </w:rPr>
              <w:t>O50, O51</w:t>
            </w:r>
          </w:p>
        </w:tc>
        <w:tc>
          <w:tcPr>
            <w:tcW w:w="284" w:type="dxa"/>
          </w:tcPr>
          <w:p w14:paraId="0CA6806D" w14:textId="77777777" w:rsidR="004C6BC4" w:rsidRPr="004C6BC4" w:rsidRDefault="004C6BC4" w:rsidP="00015480">
            <w:pPr>
              <w:pStyle w:val="AbstractBookAuthorIndexLetterHeading"/>
              <w:rPr>
                <w:rFonts w:ascii="Noto Serif Light" w:hAnsi="Noto Serif Light" w:cs="Noto Serif Light"/>
                <w:b w:val="0"/>
                <w:bCs/>
                <w:sz w:val="24"/>
              </w:rPr>
            </w:pPr>
          </w:p>
        </w:tc>
        <w:tc>
          <w:tcPr>
            <w:tcW w:w="2977" w:type="dxa"/>
          </w:tcPr>
          <w:p w14:paraId="6A99919D" w14:textId="77777777" w:rsidR="004C6BC4" w:rsidRPr="004C6BC4" w:rsidRDefault="004C6BC4" w:rsidP="00015480">
            <w:pPr>
              <w:pStyle w:val="AbstractBookAuthorIndexLetterHeading"/>
              <w:rPr>
                <w:rFonts w:ascii="Noto Serif Light" w:hAnsi="Noto Serif Light" w:cs="Noto Serif Light"/>
                <w:b w:val="0"/>
                <w:bCs/>
                <w:sz w:val="24"/>
              </w:rPr>
            </w:pPr>
          </w:p>
        </w:tc>
        <w:tc>
          <w:tcPr>
            <w:tcW w:w="1301" w:type="dxa"/>
          </w:tcPr>
          <w:p w14:paraId="207420D5" w14:textId="77777777" w:rsidR="004C6BC4" w:rsidRPr="004C6BC4" w:rsidRDefault="004C6BC4" w:rsidP="00015480">
            <w:pPr>
              <w:pStyle w:val="AbstractBookAuthorIndexLetterHeading"/>
              <w:rPr>
                <w:rFonts w:ascii="Noto Serif Light" w:hAnsi="Noto Serif Light" w:cs="Noto Serif Light"/>
                <w:b w:val="0"/>
                <w:bCs/>
                <w:sz w:val="24"/>
              </w:rPr>
            </w:pPr>
          </w:p>
        </w:tc>
      </w:tr>
    </w:tbl>
    <w:p w14:paraId="786ABDB1" w14:textId="77777777" w:rsidR="00CA0630" w:rsidRDefault="00CA0630" w:rsidP="00015480">
      <w:pPr>
        <w:pStyle w:val="AbstractBookAuthorIndexLetterHeading"/>
        <w:rPr>
          <w:rFonts w:ascii="Noto Serif Light" w:hAnsi="Noto Serif Light" w:cs="Noto Serif Light"/>
        </w:rPr>
      </w:pPr>
    </w:p>
    <w:p w14:paraId="5066FC69" w14:textId="2BC67B08"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L</w:t>
      </w:r>
    </w:p>
    <w:p w14:paraId="41C191D9" w14:textId="77777777" w:rsidR="00CA0630" w:rsidRPr="00015480" w:rsidRDefault="00CA0630" w:rsidP="00015480">
      <w:pPr>
        <w:pStyle w:val="AbstractBookAuthorIndexLetterHeading"/>
        <w:rPr>
          <w:rFonts w:ascii="Noto Serif Light" w:hAnsi="Noto Serif Light" w:cs="Noto Serif Light"/>
        </w:rPr>
      </w:pPr>
    </w:p>
    <w:tbl>
      <w:tblPr>
        <w:tblW w:w="5000" w:type="pct"/>
        <w:tblLook w:val="0600" w:firstRow="0" w:lastRow="0" w:firstColumn="0" w:lastColumn="0" w:noHBand="1" w:noVBand="1"/>
      </w:tblPr>
      <w:tblGrid>
        <w:gridCol w:w="3118"/>
        <w:gridCol w:w="1561"/>
        <w:gridCol w:w="284"/>
        <w:gridCol w:w="2838"/>
        <w:gridCol w:w="1225"/>
      </w:tblGrid>
      <w:tr w:rsidR="00015480" w:rsidRPr="00015480" w14:paraId="31600C2D" w14:textId="77777777" w:rsidTr="00CA0630">
        <w:tc>
          <w:tcPr>
            <w:tcW w:w="3114" w:type="dxa"/>
          </w:tcPr>
          <w:p w14:paraId="19EE2EC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Laaguidi, Jammila</w:t>
            </w:r>
          </w:p>
        </w:tc>
        <w:tc>
          <w:tcPr>
            <w:tcW w:w="1559" w:type="dxa"/>
          </w:tcPr>
          <w:p w14:paraId="61861C1A"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O36</w:t>
            </w:r>
          </w:p>
        </w:tc>
        <w:tc>
          <w:tcPr>
            <w:tcW w:w="284" w:type="dxa"/>
          </w:tcPr>
          <w:p w14:paraId="70F10309" w14:textId="77777777" w:rsidR="00015480" w:rsidRPr="00015480" w:rsidRDefault="00015480" w:rsidP="00C96EB7">
            <w:pPr>
              <w:rPr>
                <w:rFonts w:ascii="Noto Serif Light" w:hAnsi="Noto Serif Light" w:cs="Noto Serif Light"/>
              </w:rPr>
            </w:pPr>
          </w:p>
        </w:tc>
        <w:tc>
          <w:tcPr>
            <w:tcW w:w="2835" w:type="dxa"/>
          </w:tcPr>
          <w:p w14:paraId="690E5831" w14:textId="790EA0F7" w:rsidR="00015480" w:rsidRPr="00015480" w:rsidRDefault="00CA0630" w:rsidP="00C96EB7">
            <w:pPr>
              <w:pStyle w:val="AbstractBookAuthorIndex"/>
              <w:rPr>
                <w:rFonts w:ascii="Noto Serif Light" w:hAnsi="Noto Serif Light" w:cs="Noto Serif Light"/>
              </w:rPr>
            </w:pPr>
            <w:r w:rsidRPr="00CA0630">
              <w:rPr>
                <w:rFonts w:ascii="Noto Serif Light" w:hAnsi="Noto Serif Light" w:cs="Noto Serif Light"/>
              </w:rPr>
              <w:t>Lonsdale, Chris</w:t>
            </w:r>
          </w:p>
        </w:tc>
        <w:tc>
          <w:tcPr>
            <w:tcW w:w="1224" w:type="dxa"/>
          </w:tcPr>
          <w:p w14:paraId="665A4D9A" w14:textId="4A67D17A" w:rsidR="00015480" w:rsidRPr="00015480" w:rsidRDefault="00CA0630" w:rsidP="00C96EB7">
            <w:pPr>
              <w:pStyle w:val="AbstractBookAuthorIndex"/>
              <w:rPr>
                <w:rFonts w:ascii="Noto Serif Light" w:hAnsi="Noto Serif Light" w:cs="Noto Serif Light"/>
              </w:rPr>
            </w:pPr>
            <w:r w:rsidRPr="00CA0630">
              <w:rPr>
                <w:rFonts w:ascii="Noto Serif Light" w:hAnsi="Noto Serif Light" w:cs="Noto Serif Light"/>
              </w:rPr>
              <w:t>O70</w:t>
            </w:r>
          </w:p>
        </w:tc>
      </w:tr>
      <w:tr w:rsidR="00015480" w:rsidRPr="00015480" w14:paraId="53D9D8D7" w14:textId="77777777" w:rsidTr="00CA0630">
        <w:tc>
          <w:tcPr>
            <w:tcW w:w="3114" w:type="dxa"/>
          </w:tcPr>
          <w:p w14:paraId="4CBFDE28"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Labory, Sandrine</w:t>
            </w:r>
          </w:p>
        </w:tc>
        <w:tc>
          <w:tcPr>
            <w:tcW w:w="1559" w:type="dxa"/>
          </w:tcPr>
          <w:p w14:paraId="77BA8D21"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O42</w:t>
            </w:r>
          </w:p>
        </w:tc>
        <w:tc>
          <w:tcPr>
            <w:tcW w:w="284" w:type="dxa"/>
          </w:tcPr>
          <w:p w14:paraId="4AC51AB5" w14:textId="77777777" w:rsidR="00015480" w:rsidRPr="00015480" w:rsidRDefault="00015480" w:rsidP="00C96EB7">
            <w:pPr>
              <w:rPr>
                <w:rFonts w:ascii="Noto Serif Light" w:hAnsi="Noto Serif Light" w:cs="Noto Serif Light"/>
              </w:rPr>
            </w:pPr>
          </w:p>
        </w:tc>
        <w:tc>
          <w:tcPr>
            <w:tcW w:w="2835" w:type="dxa"/>
          </w:tcPr>
          <w:p w14:paraId="069E6501" w14:textId="48A1DDEB" w:rsidR="00015480" w:rsidRPr="00015480" w:rsidRDefault="00CA0630" w:rsidP="00C96EB7">
            <w:pPr>
              <w:pStyle w:val="AbstractBookAuthorIndex"/>
              <w:rPr>
                <w:rFonts w:ascii="Noto Serif Light" w:hAnsi="Noto Serif Light" w:cs="Noto Serif Light"/>
              </w:rPr>
            </w:pPr>
            <w:r w:rsidRPr="00CA0630">
              <w:rPr>
                <w:rFonts w:ascii="Noto Serif Light" w:hAnsi="Noto Serif Light" w:cs="Noto Serif Light"/>
              </w:rPr>
              <w:t>Lorraine, Rupert</w:t>
            </w:r>
          </w:p>
        </w:tc>
        <w:tc>
          <w:tcPr>
            <w:tcW w:w="1224" w:type="dxa"/>
          </w:tcPr>
          <w:p w14:paraId="05958346" w14:textId="56E4856E" w:rsidR="00015480" w:rsidRPr="00015480" w:rsidRDefault="00CA0630" w:rsidP="00C96EB7">
            <w:pPr>
              <w:pStyle w:val="AbstractBookAuthorIndex"/>
              <w:rPr>
                <w:rFonts w:ascii="Noto Serif Light" w:hAnsi="Noto Serif Light" w:cs="Noto Serif Light"/>
              </w:rPr>
            </w:pPr>
            <w:r w:rsidRPr="00CA0630">
              <w:rPr>
                <w:rFonts w:ascii="Noto Serif Light" w:hAnsi="Noto Serif Light" w:cs="Noto Serif Light"/>
              </w:rPr>
              <w:t>O31</w:t>
            </w:r>
          </w:p>
        </w:tc>
      </w:tr>
      <w:tr w:rsidR="00015480" w:rsidRPr="00015480" w14:paraId="0EEA8498" w14:textId="77777777" w:rsidTr="00CA0630">
        <w:tc>
          <w:tcPr>
            <w:tcW w:w="3114" w:type="dxa"/>
          </w:tcPr>
          <w:p w14:paraId="676083B9"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Lenihan, Helena</w:t>
            </w:r>
          </w:p>
        </w:tc>
        <w:tc>
          <w:tcPr>
            <w:tcW w:w="1559" w:type="dxa"/>
          </w:tcPr>
          <w:p w14:paraId="7CAA4551"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O32</w:t>
            </w:r>
          </w:p>
        </w:tc>
        <w:tc>
          <w:tcPr>
            <w:tcW w:w="284" w:type="dxa"/>
          </w:tcPr>
          <w:p w14:paraId="2B3230F5" w14:textId="77777777" w:rsidR="00015480" w:rsidRPr="00015480" w:rsidRDefault="00015480" w:rsidP="00C96EB7">
            <w:pPr>
              <w:rPr>
                <w:rFonts w:ascii="Noto Serif Light" w:hAnsi="Noto Serif Light" w:cs="Noto Serif Light"/>
              </w:rPr>
            </w:pPr>
          </w:p>
        </w:tc>
        <w:tc>
          <w:tcPr>
            <w:tcW w:w="2835" w:type="dxa"/>
          </w:tcPr>
          <w:p w14:paraId="3F8CFCA6" w14:textId="2697028D" w:rsidR="00015480" w:rsidRPr="00015480" w:rsidRDefault="00CA0630" w:rsidP="00C96EB7">
            <w:pPr>
              <w:pStyle w:val="AbstractBookAuthorIndex"/>
              <w:rPr>
                <w:rFonts w:ascii="Noto Serif Light" w:hAnsi="Noto Serif Light" w:cs="Noto Serif Light"/>
              </w:rPr>
            </w:pPr>
            <w:r w:rsidRPr="00CA0630">
              <w:rPr>
                <w:rFonts w:ascii="Noto Serif Light" w:hAnsi="Noto Serif Light" w:cs="Noto Serif Light"/>
              </w:rPr>
              <w:t>Losacker, Sebastian</w:t>
            </w:r>
          </w:p>
        </w:tc>
        <w:tc>
          <w:tcPr>
            <w:tcW w:w="1224" w:type="dxa"/>
          </w:tcPr>
          <w:p w14:paraId="1EC53763" w14:textId="262517A2" w:rsidR="00015480" w:rsidRPr="00015480" w:rsidRDefault="00CA0630" w:rsidP="00C96EB7">
            <w:pPr>
              <w:pStyle w:val="AbstractBookAuthorIndex"/>
              <w:rPr>
                <w:rFonts w:ascii="Noto Serif Light" w:hAnsi="Noto Serif Light" w:cs="Noto Serif Light"/>
              </w:rPr>
            </w:pPr>
            <w:r w:rsidRPr="00CA0630">
              <w:rPr>
                <w:rFonts w:ascii="Noto Serif Light" w:hAnsi="Noto Serif Light" w:cs="Noto Serif Light"/>
              </w:rPr>
              <w:t>O13, O25</w:t>
            </w:r>
          </w:p>
        </w:tc>
      </w:tr>
      <w:tr w:rsidR="00015480" w:rsidRPr="00015480" w14:paraId="7D344796" w14:textId="77777777" w:rsidTr="00CA0630">
        <w:tc>
          <w:tcPr>
            <w:tcW w:w="3114" w:type="dxa"/>
          </w:tcPr>
          <w:p w14:paraId="55ED7477"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Lo, Chienling</w:t>
            </w:r>
          </w:p>
        </w:tc>
        <w:tc>
          <w:tcPr>
            <w:tcW w:w="1559" w:type="dxa"/>
          </w:tcPr>
          <w:p w14:paraId="1199CA62"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O11</w:t>
            </w:r>
          </w:p>
        </w:tc>
        <w:tc>
          <w:tcPr>
            <w:tcW w:w="284" w:type="dxa"/>
          </w:tcPr>
          <w:p w14:paraId="53F5BA36" w14:textId="77777777" w:rsidR="00015480" w:rsidRPr="00015480" w:rsidRDefault="00015480" w:rsidP="00C96EB7">
            <w:pPr>
              <w:rPr>
                <w:rFonts w:ascii="Noto Serif Light" w:hAnsi="Noto Serif Light" w:cs="Noto Serif Light"/>
              </w:rPr>
            </w:pPr>
          </w:p>
        </w:tc>
        <w:tc>
          <w:tcPr>
            <w:tcW w:w="2835" w:type="dxa"/>
          </w:tcPr>
          <w:p w14:paraId="14F594B1"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Lütkes, Linda</w:t>
            </w:r>
          </w:p>
        </w:tc>
        <w:tc>
          <w:tcPr>
            <w:tcW w:w="1224" w:type="dxa"/>
          </w:tcPr>
          <w:p w14:paraId="2C56136F" w14:textId="3822800A" w:rsidR="00015480" w:rsidRPr="00015480" w:rsidRDefault="00CA0630" w:rsidP="00C96EB7">
            <w:pPr>
              <w:pStyle w:val="AbstractBookAuthorIndex"/>
              <w:rPr>
                <w:rFonts w:ascii="Noto Serif Light" w:hAnsi="Noto Serif Light" w:cs="Noto Serif Light"/>
              </w:rPr>
            </w:pPr>
            <w:r w:rsidRPr="00CA0630">
              <w:rPr>
                <w:rFonts w:ascii="Noto Serif Light" w:hAnsi="Noto Serif Light" w:cs="Noto Serif Light"/>
              </w:rPr>
              <w:t>O13, O25</w:t>
            </w:r>
          </w:p>
        </w:tc>
      </w:tr>
    </w:tbl>
    <w:p w14:paraId="6BEE9610" w14:textId="77777777" w:rsidR="00CA0630" w:rsidRDefault="00CA0630" w:rsidP="00015480">
      <w:pPr>
        <w:pStyle w:val="AbstractBookAuthorIndexLetterHeading"/>
        <w:rPr>
          <w:rFonts w:ascii="Noto Serif Light" w:hAnsi="Noto Serif Light" w:cs="Noto Serif Light"/>
        </w:rPr>
      </w:pPr>
    </w:p>
    <w:p w14:paraId="431A37F6" w14:textId="3A04F9C4"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Ł</w:t>
      </w:r>
    </w:p>
    <w:p w14:paraId="03E9F5A7" w14:textId="77777777" w:rsidR="00CA0630" w:rsidRPr="00015480" w:rsidRDefault="00CA0630" w:rsidP="00015480">
      <w:pPr>
        <w:pStyle w:val="AbstractBookAuthorIndexLetterHeading"/>
        <w:rPr>
          <w:rFonts w:ascii="Noto Serif Light" w:hAnsi="Noto Serif Light" w:cs="Noto Serif Light"/>
        </w:rPr>
      </w:pPr>
    </w:p>
    <w:tbl>
      <w:tblPr>
        <w:tblW w:w="5000" w:type="pct"/>
        <w:tblLook w:val="0600" w:firstRow="0" w:lastRow="0" w:firstColumn="0" w:lastColumn="0" w:noHBand="1" w:noVBand="1"/>
      </w:tblPr>
      <w:tblGrid>
        <w:gridCol w:w="3260"/>
        <w:gridCol w:w="1135"/>
        <w:gridCol w:w="1069"/>
        <w:gridCol w:w="2337"/>
        <w:gridCol w:w="1225"/>
      </w:tblGrid>
      <w:tr w:rsidR="00015480" w:rsidRPr="00015480" w14:paraId="6A99570C" w14:textId="77777777" w:rsidTr="00CA0630">
        <w:tc>
          <w:tcPr>
            <w:tcW w:w="3256" w:type="dxa"/>
          </w:tcPr>
          <w:p w14:paraId="5FE1BC8B"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Łasak, Piotr</w:t>
            </w:r>
          </w:p>
        </w:tc>
        <w:tc>
          <w:tcPr>
            <w:tcW w:w="1134" w:type="dxa"/>
          </w:tcPr>
          <w:p w14:paraId="720B1B13"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O55</w:t>
            </w:r>
          </w:p>
        </w:tc>
        <w:tc>
          <w:tcPr>
            <w:tcW w:w="1068" w:type="dxa"/>
          </w:tcPr>
          <w:p w14:paraId="2F1AAE66" w14:textId="77777777" w:rsidR="00015480" w:rsidRPr="00015480" w:rsidRDefault="00015480" w:rsidP="00C96EB7">
            <w:pPr>
              <w:rPr>
                <w:rFonts w:ascii="Noto Serif Light" w:hAnsi="Noto Serif Light" w:cs="Noto Serif Light"/>
              </w:rPr>
            </w:pPr>
          </w:p>
        </w:tc>
        <w:tc>
          <w:tcPr>
            <w:tcW w:w="2334" w:type="dxa"/>
          </w:tcPr>
          <w:p w14:paraId="2DA15AB2" w14:textId="77777777" w:rsidR="00015480" w:rsidRPr="00015480" w:rsidRDefault="00015480" w:rsidP="00C96EB7">
            <w:pPr>
              <w:rPr>
                <w:rFonts w:ascii="Noto Serif Light" w:hAnsi="Noto Serif Light" w:cs="Noto Serif Light"/>
              </w:rPr>
            </w:pPr>
          </w:p>
        </w:tc>
        <w:tc>
          <w:tcPr>
            <w:tcW w:w="1224" w:type="dxa"/>
          </w:tcPr>
          <w:p w14:paraId="222117C3" w14:textId="77777777" w:rsidR="00015480" w:rsidRPr="00015480" w:rsidRDefault="00015480" w:rsidP="00C96EB7">
            <w:pPr>
              <w:rPr>
                <w:rFonts w:ascii="Noto Serif Light" w:hAnsi="Noto Serif Light" w:cs="Noto Serif Light"/>
              </w:rPr>
            </w:pPr>
          </w:p>
        </w:tc>
      </w:tr>
    </w:tbl>
    <w:p w14:paraId="28967062" w14:textId="77777777" w:rsidR="00CA0630" w:rsidRDefault="00CA0630" w:rsidP="00015480">
      <w:pPr>
        <w:pStyle w:val="AbstractBookAuthorIndexLetterHeading"/>
        <w:rPr>
          <w:rFonts w:ascii="Noto Serif Light" w:hAnsi="Noto Serif Light" w:cs="Noto Serif Light"/>
        </w:rPr>
      </w:pPr>
    </w:p>
    <w:p w14:paraId="17AD64F1" w14:textId="1794A3BB"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M</w:t>
      </w:r>
    </w:p>
    <w:p w14:paraId="069374A3" w14:textId="77777777" w:rsidR="00CA0630" w:rsidRPr="00015480" w:rsidRDefault="00CA0630" w:rsidP="00015480">
      <w:pPr>
        <w:pStyle w:val="AbstractBookAuthorIndexLetterHeading"/>
        <w:rPr>
          <w:rFonts w:ascii="Noto Serif Light" w:hAnsi="Noto Serif Light" w:cs="Noto Serif Light"/>
        </w:rPr>
      </w:pPr>
    </w:p>
    <w:tbl>
      <w:tblPr>
        <w:tblW w:w="5421" w:type="pct"/>
        <w:tblLook w:val="0600" w:firstRow="0" w:lastRow="0" w:firstColumn="0" w:lastColumn="0" w:noHBand="1" w:noVBand="1"/>
      </w:tblPr>
      <w:tblGrid>
        <w:gridCol w:w="3259"/>
        <w:gridCol w:w="1276"/>
        <w:gridCol w:w="284"/>
        <w:gridCol w:w="3123"/>
        <w:gridCol w:w="1844"/>
      </w:tblGrid>
      <w:tr w:rsidR="00015480" w:rsidRPr="00015480" w14:paraId="0EC2CA12" w14:textId="77777777" w:rsidTr="00CA0630">
        <w:tc>
          <w:tcPr>
            <w:tcW w:w="3255" w:type="dxa"/>
          </w:tcPr>
          <w:p w14:paraId="72063582"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Ma, Huanjia</w:t>
            </w:r>
          </w:p>
        </w:tc>
        <w:tc>
          <w:tcPr>
            <w:tcW w:w="1275" w:type="dxa"/>
          </w:tcPr>
          <w:p w14:paraId="733FB2C3" w14:textId="62A90AEA"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O50</w:t>
            </w:r>
            <w:r w:rsidR="00B47947">
              <w:rPr>
                <w:rFonts w:ascii="Noto Serif Light" w:hAnsi="Noto Serif Light" w:cs="Noto Serif Light"/>
              </w:rPr>
              <w:t>,</w:t>
            </w:r>
            <w:r w:rsidR="00B47947" w:rsidRPr="00B47947">
              <w:rPr>
                <w:rFonts w:ascii="Noto Serif Light" w:hAnsi="Noto Serif Light" w:cs="Noto Serif Light"/>
              </w:rPr>
              <w:t xml:space="preserve"> O71</w:t>
            </w:r>
          </w:p>
        </w:tc>
        <w:tc>
          <w:tcPr>
            <w:tcW w:w="284" w:type="dxa"/>
          </w:tcPr>
          <w:p w14:paraId="6DB9CA77" w14:textId="77777777" w:rsidR="00015480" w:rsidRPr="00015480" w:rsidRDefault="00015480" w:rsidP="00C96EB7">
            <w:pPr>
              <w:rPr>
                <w:rFonts w:ascii="Noto Serif Light" w:hAnsi="Noto Serif Light" w:cs="Noto Serif Light"/>
              </w:rPr>
            </w:pPr>
          </w:p>
        </w:tc>
        <w:tc>
          <w:tcPr>
            <w:tcW w:w="3119" w:type="dxa"/>
          </w:tcPr>
          <w:p w14:paraId="0B99192A"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Mauracher, Christine</w:t>
            </w:r>
          </w:p>
        </w:tc>
        <w:tc>
          <w:tcPr>
            <w:tcW w:w="1842" w:type="dxa"/>
          </w:tcPr>
          <w:p w14:paraId="0B672352"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O60, O62</w:t>
            </w:r>
          </w:p>
        </w:tc>
      </w:tr>
      <w:tr w:rsidR="00015480" w:rsidRPr="00015480" w14:paraId="0F384FD6" w14:textId="77777777" w:rsidTr="00CA0630">
        <w:tc>
          <w:tcPr>
            <w:tcW w:w="3255" w:type="dxa"/>
          </w:tcPr>
          <w:p w14:paraId="61CEE0B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Maghssudipour, Amir</w:t>
            </w:r>
          </w:p>
        </w:tc>
        <w:tc>
          <w:tcPr>
            <w:tcW w:w="1275" w:type="dxa"/>
          </w:tcPr>
          <w:p w14:paraId="5890A872" w14:textId="77777777" w:rsidR="00015480" w:rsidRPr="00015480" w:rsidRDefault="00015480" w:rsidP="00C96EB7">
            <w:pPr>
              <w:pStyle w:val="AbstractBookAuthorIndex"/>
              <w:rPr>
                <w:rFonts w:ascii="Noto Serif Light" w:hAnsi="Noto Serif Light" w:cs="Noto Serif Light"/>
              </w:rPr>
            </w:pPr>
          </w:p>
        </w:tc>
        <w:tc>
          <w:tcPr>
            <w:tcW w:w="284" w:type="dxa"/>
          </w:tcPr>
          <w:p w14:paraId="409B0BEF" w14:textId="77777777" w:rsidR="00015480" w:rsidRPr="00015480" w:rsidRDefault="00015480" w:rsidP="00C96EB7">
            <w:pPr>
              <w:rPr>
                <w:rFonts w:ascii="Noto Serif Light" w:hAnsi="Noto Serif Light" w:cs="Noto Serif Light"/>
              </w:rPr>
            </w:pPr>
          </w:p>
        </w:tc>
        <w:tc>
          <w:tcPr>
            <w:tcW w:w="3119" w:type="dxa"/>
          </w:tcPr>
          <w:p w14:paraId="1725A698"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Mayho, Sharon</w:t>
            </w:r>
          </w:p>
        </w:tc>
        <w:tc>
          <w:tcPr>
            <w:tcW w:w="1842" w:type="dxa"/>
          </w:tcPr>
          <w:p w14:paraId="1A74D5BC"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O63</w:t>
            </w:r>
          </w:p>
        </w:tc>
      </w:tr>
      <w:tr w:rsidR="00015480" w:rsidRPr="00015480" w14:paraId="75B3BB1B" w14:textId="77777777" w:rsidTr="00CA0630">
        <w:tc>
          <w:tcPr>
            <w:tcW w:w="3255" w:type="dxa"/>
          </w:tcPr>
          <w:p w14:paraId="7E5B839B"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Marshall, Paul</w:t>
            </w:r>
          </w:p>
        </w:tc>
        <w:tc>
          <w:tcPr>
            <w:tcW w:w="1275" w:type="dxa"/>
          </w:tcPr>
          <w:p w14:paraId="17D4BA5C" w14:textId="5831C889"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w:t>
            </w:r>
            <w:r w:rsidR="002D099C">
              <w:rPr>
                <w:rFonts w:ascii="Noto Serif Light" w:hAnsi="Noto Serif Light" w:cs="Noto Serif Light"/>
              </w:rPr>
              <w:t>19</w:t>
            </w:r>
          </w:p>
        </w:tc>
        <w:tc>
          <w:tcPr>
            <w:tcW w:w="284" w:type="dxa"/>
          </w:tcPr>
          <w:p w14:paraId="56FE285F" w14:textId="77777777" w:rsidR="00015480" w:rsidRPr="00015480" w:rsidRDefault="00015480" w:rsidP="00C96EB7">
            <w:pPr>
              <w:rPr>
                <w:rFonts w:ascii="Noto Serif Light" w:hAnsi="Noto Serif Light" w:cs="Noto Serif Light"/>
              </w:rPr>
            </w:pPr>
          </w:p>
        </w:tc>
        <w:tc>
          <w:tcPr>
            <w:tcW w:w="3119" w:type="dxa"/>
          </w:tcPr>
          <w:p w14:paraId="6F5FB341"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McNulty, Des</w:t>
            </w:r>
          </w:p>
        </w:tc>
        <w:tc>
          <w:tcPr>
            <w:tcW w:w="1842" w:type="dxa"/>
          </w:tcPr>
          <w:p w14:paraId="456CB049"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O58, O72, O43</w:t>
            </w:r>
          </w:p>
        </w:tc>
      </w:tr>
      <w:tr w:rsidR="00015480" w:rsidRPr="00015480" w14:paraId="22667CC7" w14:textId="77777777" w:rsidTr="00CA0630">
        <w:tc>
          <w:tcPr>
            <w:tcW w:w="3255" w:type="dxa"/>
          </w:tcPr>
          <w:p w14:paraId="0B1DEBCE"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Martin, Roman</w:t>
            </w:r>
          </w:p>
        </w:tc>
        <w:tc>
          <w:tcPr>
            <w:tcW w:w="1275" w:type="dxa"/>
          </w:tcPr>
          <w:p w14:paraId="15EBEE05"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O44</w:t>
            </w:r>
          </w:p>
        </w:tc>
        <w:tc>
          <w:tcPr>
            <w:tcW w:w="284" w:type="dxa"/>
          </w:tcPr>
          <w:p w14:paraId="1716E16D" w14:textId="77777777" w:rsidR="00015480" w:rsidRPr="00015480" w:rsidRDefault="00015480" w:rsidP="00C96EB7">
            <w:pPr>
              <w:rPr>
                <w:rFonts w:ascii="Noto Serif Light" w:hAnsi="Noto Serif Light" w:cs="Noto Serif Light"/>
              </w:rPr>
            </w:pPr>
          </w:p>
        </w:tc>
        <w:tc>
          <w:tcPr>
            <w:tcW w:w="3119" w:type="dxa"/>
          </w:tcPr>
          <w:p w14:paraId="63D2E17F"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Milte, Rachel</w:t>
            </w:r>
          </w:p>
        </w:tc>
        <w:tc>
          <w:tcPr>
            <w:tcW w:w="1842" w:type="dxa"/>
          </w:tcPr>
          <w:p w14:paraId="2C21A93E"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O83</w:t>
            </w:r>
          </w:p>
        </w:tc>
      </w:tr>
      <w:tr w:rsidR="00015480" w:rsidRPr="00015480" w14:paraId="0B24E862" w14:textId="77777777" w:rsidTr="00CA0630">
        <w:tc>
          <w:tcPr>
            <w:tcW w:w="3255" w:type="dxa"/>
          </w:tcPr>
          <w:p w14:paraId="50CD9C2F"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Marzocchi, Chiara</w:t>
            </w:r>
          </w:p>
        </w:tc>
        <w:tc>
          <w:tcPr>
            <w:tcW w:w="1275" w:type="dxa"/>
          </w:tcPr>
          <w:p w14:paraId="7AED9242"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O12</w:t>
            </w:r>
          </w:p>
        </w:tc>
        <w:tc>
          <w:tcPr>
            <w:tcW w:w="284" w:type="dxa"/>
          </w:tcPr>
          <w:p w14:paraId="0710F05B" w14:textId="77777777" w:rsidR="00015480" w:rsidRPr="00015480" w:rsidRDefault="00015480" w:rsidP="00C96EB7">
            <w:pPr>
              <w:rPr>
                <w:rFonts w:ascii="Noto Serif Light" w:hAnsi="Noto Serif Light" w:cs="Noto Serif Light"/>
              </w:rPr>
            </w:pPr>
          </w:p>
        </w:tc>
        <w:tc>
          <w:tcPr>
            <w:tcW w:w="3119" w:type="dxa"/>
          </w:tcPr>
          <w:p w14:paraId="2FE188A2"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Mosey, Simon</w:t>
            </w:r>
          </w:p>
        </w:tc>
        <w:tc>
          <w:tcPr>
            <w:tcW w:w="1842" w:type="dxa"/>
          </w:tcPr>
          <w:p w14:paraId="7A4383D1"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O6</w:t>
            </w:r>
          </w:p>
        </w:tc>
      </w:tr>
      <w:tr w:rsidR="00015480" w:rsidRPr="00015480" w14:paraId="23945DD5" w14:textId="77777777" w:rsidTr="00CA0630">
        <w:tc>
          <w:tcPr>
            <w:tcW w:w="3255" w:type="dxa"/>
          </w:tcPr>
          <w:p w14:paraId="21F3AA08"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Mas-Verdú, Francisco</w:t>
            </w:r>
          </w:p>
        </w:tc>
        <w:tc>
          <w:tcPr>
            <w:tcW w:w="1275" w:type="dxa"/>
          </w:tcPr>
          <w:p w14:paraId="1BCEB1C0"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O28</w:t>
            </w:r>
          </w:p>
        </w:tc>
        <w:tc>
          <w:tcPr>
            <w:tcW w:w="284" w:type="dxa"/>
          </w:tcPr>
          <w:p w14:paraId="6385D91B" w14:textId="77777777" w:rsidR="00015480" w:rsidRPr="00015480" w:rsidRDefault="00015480" w:rsidP="00C96EB7">
            <w:pPr>
              <w:rPr>
                <w:rFonts w:ascii="Noto Serif Light" w:hAnsi="Noto Serif Light" w:cs="Noto Serif Light"/>
              </w:rPr>
            </w:pPr>
          </w:p>
        </w:tc>
        <w:tc>
          <w:tcPr>
            <w:tcW w:w="3119" w:type="dxa"/>
          </w:tcPr>
          <w:p w14:paraId="20E6D027"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Mulligan, Kevin</w:t>
            </w:r>
          </w:p>
        </w:tc>
        <w:tc>
          <w:tcPr>
            <w:tcW w:w="1842" w:type="dxa"/>
          </w:tcPr>
          <w:p w14:paraId="51CC3EDC"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O32</w:t>
            </w:r>
          </w:p>
        </w:tc>
      </w:tr>
    </w:tbl>
    <w:p w14:paraId="0ADCC259" w14:textId="77777777" w:rsidR="00CA0630" w:rsidRDefault="00CA0630" w:rsidP="00015480">
      <w:pPr>
        <w:pStyle w:val="AbstractBookAuthorIndexLetterHeading"/>
        <w:rPr>
          <w:rFonts w:ascii="Noto Serif Light" w:hAnsi="Noto Serif Light" w:cs="Noto Serif Light"/>
        </w:rPr>
      </w:pPr>
    </w:p>
    <w:p w14:paraId="10703326" w14:textId="77777777" w:rsidR="00CA0630" w:rsidRDefault="00CA0630" w:rsidP="00015480">
      <w:pPr>
        <w:pStyle w:val="AbstractBookAuthorIndexLetterHeading"/>
        <w:rPr>
          <w:rFonts w:ascii="Noto Serif Light" w:hAnsi="Noto Serif Light" w:cs="Noto Serif Light"/>
        </w:rPr>
      </w:pPr>
    </w:p>
    <w:p w14:paraId="76B155C2" w14:textId="77777777" w:rsidR="00CA0630" w:rsidRDefault="00CA0630" w:rsidP="00015480">
      <w:pPr>
        <w:pStyle w:val="AbstractBookAuthorIndexLetterHeading"/>
        <w:rPr>
          <w:rFonts w:ascii="Noto Serif Light" w:hAnsi="Noto Serif Light" w:cs="Noto Serif Light"/>
        </w:rPr>
      </w:pPr>
    </w:p>
    <w:p w14:paraId="3BE51C53" w14:textId="77777777" w:rsidR="00CA0630" w:rsidRDefault="00CA0630" w:rsidP="00015480">
      <w:pPr>
        <w:pStyle w:val="AbstractBookAuthorIndexLetterHeading"/>
        <w:rPr>
          <w:rFonts w:ascii="Noto Serif Light" w:hAnsi="Noto Serif Light" w:cs="Noto Serif Light"/>
        </w:rPr>
      </w:pPr>
    </w:p>
    <w:p w14:paraId="0DE07B0A" w14:textId="0C33D7A9"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N</w:t>
      </w:r>
    </w:p>
    <w:p w14:paraId="14CFA7FB" w14:textId="77777777" w:rsidR="00CA0630" w:rsidRPr="00015480" w:rsidRDefault="00CA0630" w:rsidP="00015480">
      <w:pPr>
        <w:pStyle w:val="AbstractBookAuthorIndexLetterHeading"/>
        <w:rPr>
          <w:rFonts w:ascii="Noto Serif Light" w:hAnsi="Noto Serif Light" w:cs="Noto Serif Light"/>
        </w:rPr>
      </w:pPr>
    </w:p>
    <w:tbl>
      <w:tblPr>
        <w:tblW w:w="5265" w:type="pct"/>
        <w:tblLook w:val="0600" w:firstRow="0" w:lastRow="0" w:firstColumn="0" w:lastColumn="0" w:noHBand="1" w:noVBand="1"/>
      </w:tblPr>
      <w:tblGrid>
        <w:gridCol w:w="3402"/>
        <w:gridCol w:w="1277"/>
        <w:gridCol w:w="284"/>
        <w:gridCol w:w="2978"/>
        <w:gridCol w:w="1563"/>
      </w:tblGrid>
      <w:tr w:rsidR="00015480" w:rsidRPr="00015480" w14:paraId="5A38FE44" w14:textId="77777777" w:rsidTr="00CA0630">
        <w:tc>
          <w:tcPr>
            <w:tcW w:w="3398" w:type="dxa"/>
          </w:tcPr>
          <w:p w14:paraId="77DCED1F"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Nagarajah, Nanthini</w:t>
            </w:r>
          </w:p>
        </w:tc>
        <w:tc>
          <w:tcPr>
            <w:tcW w:w="1276" w:type="dxa"/>
          </w:tcPr>
          <w:p w14:paraId="7181AAD5"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O15</w:t>
            </w:r>
          </w:p>
        </w:tc>
        <w:tc>
          <w:tcPr>
            <w:tcW w:w="284" w:type="dxa"/>
          </w:tcPr>
          <w:p w14:paraId="16838EDD" w14:textId="77777777" w:rsidR="00015480" w:rsidRPr="00015480" w:rsidRDefault="00015480" w:rsidP="00C96EB7">
            <w:pPr>
              <w:rPr>
                <w:rFonts w:ascii="Noto Serif Light" w:hAnsi="Noto Serif Light" w:cs="Noto Serif Light"/>
              </w:rPr>
            </w:pPr>
          </w:p>
        </w:tc>
        <w:tc>
          <w:tcPr>
            <w:tcW w:w="2975" w:type="dxa"/>
          </w:tcPr>
          <w:p w14:paraId="500C73E6"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Nishimura, Junichi</w:t>
            </w:r>
          </w:p>
        </w:tc>
        <w:tc>
          <w:tcPr>
            <w:tcW w:w="1561" w:type="dxa"/>
          </w:tcPr>
          <w:p w14:paraId="08C72091"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O33, O27</w:t>
            </w:r>
          </w:p>
        </w:tc>
      </w:tr>
      <w:tr w:rsidR="00015480" w:rsidRPr="00015480" w14:paraId="57FBD92E" w14:textId="77777777" w:rsidTr="00CA0630">
        <w:tc>
          <w:tcPr>
            <w:tcW w:w="3398" w:type="dxa"/>
          </w:tcPr>
          <w:p w14:paraId="577F5B41"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Nelles, Jen</w:t>
            </w:r>
          </w:p>
        </w:tc>
        <w:tc>
          <w:tcPr>
            <w:tcW w:w="1276" w:type="dxa"/>
          </w:tcPr>
          <w:p w14:paraId="4BDCC3A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O76</w:t>
            </w:r>
          </w:p>
        </w:tc>
        <w:tc>
          <w:tcPr>
            <w:tcW w:w="284" w:type="dxa"/>
          </w:tcPr>
          <w:p w14:paraId="6F4B8F5F" w14:textId="77777777" w:rsidR="00015480" w:rsidRPr="00015480" w:rsidRDefault="00015480" w:rsidP="00C96EB7">
            <w:pPr>
              <w:rPr>
                <w:rFonts w:ascii="Noto Serif Light" w:hAnsi="Noto Serif Light" w:cs="Noto Serif Light"/>
              </w:rPr>
            </w:pPr>
          </w:p>
        </w:tc>
        <w:tc>
          <w:tcPr>
            <w:tcW w:w="2975" w:type="dxa"/>
          </w:tcPr>
          <w:p w14:paraId="40C83350"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Normann, Roger</w:t>
            </w:r>
          </w:p>
        </w:tc>
        <w:tc>
          <w:tcPr>
            <w:tcW w:w="1561" w:type="dxa"/>
          </w:tcPr>
          <w:p w14:paraId="5B654B05"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O77</w:t>
            </w:r>
          </w:p>
        </w:tc>
      </w:tr>
      <w:tr w:rsidR="00015480" w:rsidRPr="00015480" w14:paraId="304CF1BC" w14:textId="77777777" w:rsidTr="00CA0630">
        <w:tc>
          <w:tcPr>
            <w:tcW w:w="3398" w:type="dxa"/>
          </w:tcPr>
          <w:p w14:paraId="73C795CC"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Nevers, Jeppe</w:t>
            </w:r>
          </w:p>
        </w:tc>
        <w:tc>
          <w:tcPr>
            <w:tcW w:w="1276" w:type="dxa"/>
          </w:tcPr>
          <w:p w14:paraId="4ACA9604"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O77</w:t>
            </w:r>
          </w:p>
        </w:tc>
        <w:tc>
          <w:tcPr>
            <w:tcW w:w="284" w:type="dxa"/>
          </w:tcPr>
          <w:p w14:paraId="58E9E84D" w14:textId="77777777" w:rsidR="00015480" w:rsidRPr="00015480" w:rsidRDefault="00015480" w:rsidP="00C96EB7">
            <w:pPr>
              <w:rPr>
                <w:rFonts w:ascii="Noto Serif Light" w:hAnsi="Noto Serif Light" w:cs="Noto Serif Light"/>
              </w:rPr>
            </w:pPr>
          </w:p>
        </w:tc>
        <w:tc>
          <w:tcPr>
            <w:tcW w:w="2975" w:type="dxa"/>
          </w:tcPr>
          <w:p w14:paraId="2081AB70"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Nuccio, Massimiliano</w:t>
            </w:r>
          </w:p>
        </w:tc>
        <w:tc>
          <w:tcPr>
            <w:tcW w:w="1561" w:type="dxa"/>
          </w:tcPr>
          <w:p w14:paraId="299ABCE2"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O41</w:t>
            </w:r>
          </w:p>
        </w:tc>
      </w:tr>
    </w:tbl>
    <w:p w14:paraId="3596520E" w14:textId="77777777" w:rsidR="00CA0630" w:rsidRDefault="00CA0630" w:rsidP="00015480">
      <w:pPr>
        <w:pStyle w:val="AbstractBookAuthorIndexLetterHeading"/>
        <w:rPr>
          <w:rFonts w:ascii="Noto Serif Light" w:hAnsi="Noto Serif Light" w:cs="Noto Serif Light"/>
        </w:rPr>
      </w:pPr>
    </w:p>
    <w:p w14:paraId="12E285A7" w14:textId="7D6C0F5D"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O</w:t>
      </w:r>
    </w:p>
    <w:p w14:paraId="764C890C" w14:textId="77777777" w:rsidR="00CA0630" w:rsidRPr="00015480" w:rsidRDefault="00CA0630" w:rsidP="00015480">
      <w:pPr>
        <w:pStyle w:val="AbstractBookAuthorIndexLetterHeading"/>
        <w:rPr>
          <w:rFonts w:ascii="Noto Serif Light" w:hAnsi="Noto Serif Light" w:cs="Noto Serif Light"/>
        </w:rPr>
      </w:pPr>
    </w:p>
    <w:tbl>
      <w:tblPr>
        <w:tblW w:w="5265" w:type="pct"/>
        <w:tblLook w:val="0600" w:firstRow="0" w:lastRow="0" w:firstColumn="0" w:lastColumn="0" w:noHBand="1" w:noVBand="1"/>
      </w:tblPr>
      <w:tblGrid>
        <w:gridCol w:w="3402"/>
        <w:gridCol w:w="1277"/>
        <w:gridCol w:w="284"/>
        <w:gridCol w:w="2978"/>
        <w:gridCol w:w="1563"/>
      </w:tblGrid>
      <w:tr w:rsidR="00015480" w:rsidRPr="00015480" w14:paraId="6617BADC" w14:textId="77777777" w:rsidTr="00CA0630">
        <w:tc>
          <w:tcPr>
            <w:tcW w:w="3398" w:type="dxa"/>
          </w:tcPr>
          <w:p w14:paraId="172E0EAB"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Ochiai, Michi</w:t>
            </w:r>
          </w:p>
        </w:tc>
        <w:tc>
          <w:tcPr>
            <w:tcW w:w="1276" w:type="dxa"/>
          </w:tcPr>
          <w:p w14:paraId="5CF57609"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O81</w:t>
            </w:r>
          </w:p>
        </w:tc>
        <w:tc>
          <w:tcPr>
            <w:tcW w:w="284" w:type="dxa"/>
          </w:tcPr>
          <w:p w14:paraId="4FBE0EC9" w14:textId="77777777" w:rsidR="00015480" w:rsidRPr="00015480" w:rsidRDefault="00015480" w:rsidP="00C96EB7">
            <w:pPr>
              <w:rPr>
                <w:rFonts w:ascii="Noto Serif Light" w:hAnsi="Noto Serif Light" w:cs="Noto Serif Light"/>
              </w:rPr>
            </w:pPr>
          </w:p>
        </w:tc>
        <w:tc>
          <w:tcPr>
            <w:tcW w:w="2975" w:type="dxa"/>
          </w:tcPr>
          <w:p w14:paraId="494A14DA"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Ortega-Argiles, Raquel</w:t>
            </w:r>
          </w:p>
        </w:tc>
        <w:tc>
          <w:tcPr>
            <w:tcW w:w="1561" w:type="dxa"/>
          </w:tcPr>
          <w:p w14:paraId="3A0ED540"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O68</w:t>
            </w:r>
          </w:p>
        </w:tc>
      </w:tr>
      <w:tr w:rsidR="00015480" w:rsidRPr="00015480" w14:paraId="6DAB8C9C" w14:textId="77777777" w:rsidTr="00CA0630">
        <w:tc>
          <w:tcPr>
            <w:tcW w:w="3398" w:type="dxa"/>
          </w:tcPr>
          <w:p w14:paraId="3768761F"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Okamuro, Hiroyuki</w:t>
            </w:r>
          </w:p>
        </w:tc>
        <w:tc>
          <w:tcPr>
            <w:tcW w:w="1276" w:type="dxa"/>
          </w:tcPr>
          <w:p w14:paraId="3D8841D4"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O33, O27</w:t>
            </w:r>
          </w:p>
        </w:tc>
        <w:tc>
          <w:tcPr>
            <w:tcW w:w="284" w:type="dxa"/>
          </w:tcPr>
          <w:p w14:paraId="2F522F31" w14:textId="77777777" w:rsidR="00015480" w:rsidRPr="00015480" w:rsidRDefault="00015480" w:rsidP="00C96EB7">
            <w:pPr>
              <w:rPr>
                <w:rFonts w:ascii="Noto Serif Light" w:hAnsi="Noto Serif Light" w:cs="Noto Serif Light"/>
              </w:rPr>
            </w:pPr>
          </w:p>
        </w:tc>
        <w:tc>
          <w:tcPr>
            <w:tcW w:w="2975" w:type="dxa"/>
          </w:tcPr>
          <w:p w14:paraId="7EE94815" w14:textId="77777777" w:rsidR="00015480" w:rsidRPr="00015480" w:rsidRDefault="00015480" w:rsidP="00C96EB7">
            <w:pPr>
              <w:rPr>
                <w:rFonts w:ascii="Noto Serif Light" w:hAnsi="Noto Serif Light" w:cs="Noto Serif Light"/>
              </w:rPr>
            </w:pPr>
          </w:p>
        </w:tc>
        <w:tc>
          <w:tcPr>
            <w:tcW w:w="1561" w:type="dxa"/>
          </w:tcPr>
          <w:p w14:paraId="567F534D" w14:textId="77777777" w:rsidR="00015480" w:rsidRPr="00015480" w:rsidRDefault="00015480" w:rsidP="00C96EB7">
            <w:pPr>
              <w:rPr>
                <w:rFonts w:ascii="Noto Serif Light" w:hAnsi="Noto Serif Light" w:cs="Noto Serif Light"/>
              </w:rPr>
            </w:pPr>
          </w:p>
        </w:tc>
      </w:tr>
    </w:tbl>
    <w:p w14:paraId="4EFDEEFB" w14:textId="77777777" w:rsidR="00CA0630" w:rsidRDefault="00CA0630" w:rsidP="00015480">
      <w:pPr>
        <w:pStyle w:val="AbstractBookAuthorIndexLetterHeading"/>
        <w:rPr>
          <w:rFonts w:ascii="Noto Serif Light" w:hAnsi="Noto Serif Light" w:cs="Noto Serif Light"/>
        </w:rPr>
      </w:pPr>
    </w:p>
    <w:p w14:paraId="693E1C21" w14:textId="4F321289"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P</w:t>
      </w:r>
    </w:p>
    <w:p w14:paraId="3B3DDC1D" w14:textId="77777777" w:rsidR="00CA0630" w:rsidRPr="00015480" w:rsidRDefault="00CA0630" w:rsidP="00015480">
      <w:pPr>
        <w:pStyle w:val="AbstractBookAuthorIndexLetterHeading"/>
        <w:rPr>
          <w:rFonts w:ascii="Noto Serif Light" w:hAnsi="Noto Serif Light" w:cs="Noto Serif Light"/>
        </w:rPr>
      </w:pPr>
    </w:p>
    <w:tbl>
      <w:tblPr>
        <w:tblW w:w="5265" w:type="pct"/>
        <w:tblLook w:val="0600" w:firstRow="0" w:lastRow="0" w:firstColumn="0" w:lastColumn="0" w:noHBand="1" w:noVBand="1"/>
      </w:tblPr>
      <w:tblGrid>
        <w:gridCol w:w="3402"/>
        <w:gridCol w:w="1277"/>
        <w:gridCol w:w="284"/>
        <w:gridCol w:w="2978"/>
        <w:gridCol w:w="1563"/>
      </w:tblGrid>
      <w:tr w:rsidR="00015480" w:rsidRPr="00015480" w14:paraId="0966C633" w14:textId="77777777" w:rsidTr="00CA0630">
        <w:tc>
          <w:tcPr>
            <w:tcW w:w="3398" w:type="dxa"/>
          </w:tcPr>
          <w:p w14:paraId="0ECA07B7"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Paily, George</w:t>
            </w:r>
          </w:p>
        </w:tc>
        <w:tc>
          <w:tcPr>
            <w:tcW w:w="1276" w:type="dxa"/>
          </w:tcPr>
          <w:p w14:paraId="7796B644"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O38</w:t>
            </w:r>
          </w:p>
        </w:tc>
        <w:tc>
          <w:tcPr>
            <w:tcW w:w="284" w:type="dxa"/>
          </w:tcPr>
          <w:p w14:paraId="6BDB5725" w14:textId="77777777" w:rsidR="00015480" w:rsidRPr="00015480" w:rsidRDefault="00015480" w:rsidP="00C96EB7">
            <w:pPr>
              <w:rPr>
                <w:rFonts w:ascii="Noto Serif Light" w:hAnsi="Noto Serif Light" w:cs="Noto Serif Light"/>
              </w:rPr>
            </w:pPr>
          </w:p>
        </w:tc>
        <w:tc>
          <w:tcPr>
            <w:tcW w:w="2975" w:type="dxa"/>
          </w:tcPr>
          <w:p w14:paraId="58AB1DC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Plechero, Monica</w:t>
            </w:r>
          </w:p>
        </w:tc>
        <w:tc>
          <w:tcPr>
            <w:tcW w:w="1561" w:type="dxa"/>
          </w:tcPr>
          <w:p w14:paraId="37A328F3"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O60</w:t>
            </w:r>
          </w:p>
        </w:tc>
      </w:tr>
      <w:tr w:rsidR="00015480" w:rsidRPr="00015480" w14:paraId="032D54BD" w14:textId="77777777" w:rsidTr="00CA0630">
        <w:tc>
          <w:tcPr>
            <w:tcW w:w="3398" w:type="dxa"/>
          </w:tcPr>
          <w:p w14:paraId="46CE56C9"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Parrilli, Mario-Davide</w:t>
            </w:r>
          </w:p>
        </w:tc>
        <w:tc>
          <w:tcPr>
            <w:tcW w:w="1276" w:type="dxa"/>
          </w:tcPr>
          <w:p w14:paraId="74E44910"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O67</w:t>
            </w:r>
          </w:p>
        </w:tc>
        <w:tc>
          <w:tcPr>
            <w:tcW w:w="284" w:type="dxa"/>
          </w:tcPr>
          <w:p w14:paraId="74D3E82A" w14:textId="77777777" w:rsidR="00015480" w:rsidRPr="00015480" w:rsidRDefault="00015480" w:rsidP="00C96EB7">
            <w:pPr>
              <w:rPr>
                <w:rFonts w:ascii="Noto Serif Light" w:hAnsi="Noto Serif Light" w:cs="Noto Serif Light"/>
              </w:rPr>
            </w:pPr>
          </w:p>
        </w:tc>
        <w:tc>
          <w:tcPr>
            <w:tcW w:w="2975" w:type="dxa"/>
          </w:tcPr>
          <w:p w14:paraId="007E8F1E"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Portilla-Salas, Ferran Jordi</w:t>
            </w:r>
          </w:p>
        </w:tc>
        <w:tc>
          <w:tcPr>
            <w:tcW w:w="1561" w:type="dxa"/>
          </w:tcPr>
          <w:p w14:paraId="12452F1E"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O28</w:t>
            </w:r>
          </w:p>
        </w:tc>
      </w:tr>
      <w:tr w:rsidR="00015480" w:rsidRPr="00015480" w14:paraId="00E272FB" w14:textId="77777777" w:rsidTr="00CA0630">
        <w:tc>
          <w:tcPr>
            <w:tcW w:w="3398" w:type="dxa"/>
          </w:tcPr>
          <w:p w14:paraId="7D189688"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Peña-Lang, María Begoña</w:t>
            </w:r>
          </w:p>
        </w:tc>
        <w:tc>
          <w:tcPr>
            <w:tcW w:w="1276" w:type="dxa"/>
          </w:tcPr>
          <w:p w14:paraId="3353ECF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O26</w:t>
            </w:r>
          </w:p>
        </w:tc>
        <w:tc>
          <w:tcPr>
            <w:tcW w:w="284" w:type="dxa"/>
          </w:tcPr>
          <w:p w14:paraId="35B76560" w14:textId="77777777" w:rsidR="00015480" w:rsidRPr="00015480" w:rsidRDefault="00015480" w:rsidP="00C96EB7">
            <w:pPr>
              <w:rPr>
                <w:rFonts w:ascii="Noto Serif Light" w:hAnsi="Noto Serif Light" w:cs="Noto Serif Light"/>
              </w:rPr>
            </w:pPr>
          </w:p>
        </w:tc>
        <w:tc>
          <w:tcPr>
            <w:tcW w:w="2975" w:type="dxa"/>
          </w:tcPr>
          <w:p w14:paraId="57B8E7F2"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Psarikidou, Katerina</w:t>
            </w:r>
          </w:p>
        </w:tc>
        <w:tc>
          <w:tcPr>
            <w:tcW w:w="1561" w:type="dxa"/>
          </w:tcPr>
          <w:p w14:paraId="6BA7011C"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O61</w:t>
            </w:r>
          </w:p>
        </w:tc>
      </w:tr>
      <w:tr w:rsidR="00015480" w:rsidRPr="00015480" w14:paraId="0CFDDA28" w14:textId="77777777" w:rsidTr="00CA0630">
        <w:tc>
          <w:tcPr>
            <w:tcW w:w="3398" w:type="dxa"/>
          </w:tcPr>
          <w:p w14:paraId="0A61B891"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Perez-Alaniz, Mauricio</w:t>
            </w:r>
          </w:p>
        </w:tc>
        <w:tc>
          <w:tcPr>
            <w:tcW w:w="1276" w:type="dxa"/>
          </w:tcPr>
          <w:p w14:paraId="61F23AB0"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O32</w:t>
            </w:r>
          </w:p>
        </w:tc>
        <w:tc>
          <w:tcPr>
            <w:tcW w:w="284" w:type="dxa"/>
          </w:tcPr>
          <w:p w14:paraId="24C25721" w14:textId="77777777" w:rsidR="00015480" w:rsidRPr="00015480" w:rsidRDefault="00015480" w:rsidP="00C96EB7">
            <w:pPr>
              <w:rPr>
                <w:rFonts w:ascii="Noto Serif Light" w:hAnsi="Noto Serif Light" w:cs="Noto Serif Light"/>
              </w:rPr>
            </w:pPr>
          </w:p>
        </w:tc>
        <w:tc>
          <w:tcPr>
            <w:tcW w:w="2975" w:type="dxa"/>
          </w:tcPr>
          <w:p w14:paraId="4E955F69" w14:textId="77777777" w:rsidR="00015480" w:rsidRPr="00015480" w:rsidRDefault="00015480" w:rsidP="00C96EB7">
            <w:pPr>
              <w:rPr>
                <w:rFonts w:ascii="Noto Serif Light" w:hAnsi="Noto Serif Light" w:cs="Noto Serif Light"/>
              </w:rPr>
            </w:pPr>
          </w:p>
        </w:tc>
        <w:tc>
          <w:tcPr>
            <w:tcW w:w="1561" w:type="dxa"/>
          </w:tcPr>
          <w:p w14:paraId="537A117D" w14:textId="77777777" w:rsidR="00015480" w:rsidRPr="00015480" w:rsidRDefault="00015480" w:rsidP="00C96EB7">
            <w:pPr>
              <w:rPr>
                <w:rFonts w:ascii="Noto Serif Light" w:hAnsi="Noto Serif Light" w:cs="Noto Serif Light"/>
              </w:rPr>
            </w:pPr>
          </w:p>
        </w:tc>
      </w:tr>
    </w:tbl>
    <w:p w14:paraId="7C3EB17A" w14:textId="77777777" w:rsidR="00D06CF9" w:rsidRDefault="00D06CF9" w:rsidP="00015480">
      <w:pPr>
        <w:pStyle w:val="AbstractBookAuthorIndexLetterHeading"/>
        <w:rPr>
          <w:rFonts w:ascii="Noto Serif Light" w:hAnsi="Noto Serif Light" w:cs="Noto Serif Light"/>
        </w:rPr>
      </w:pPr>
    </w:p>
    <w:p w14:paraId="01A6D9AC" w14:textId="5DBB79DB"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R</w:t>
      </w:r>
    </w:p>
    <w:p w14:paraId="09E95371" w14:textId="77777777" w:rsidR="00CA0630" w:rsidRPr="00015480" w:rsidRDefault="00CA0630" w:rsidP="00015480">
      <w:pPr>
        <w:pStyle w:val="AbstractBookAuthorIndexLetterHeading"/>
        <w:rPr>
          <w:rFonts w:ascii="Noto Serif Light" w:hAnsi="Noto Serif Light" w:cs="Noto Serif Light"/>
        </w:rPr>
      </w:pPr>
    </w:p>
    <w:tbl>
      <w:tblPr>
        <w:tblW w:w="5343" w:type="pct"/>
        <w:tblLook w:val="0600" w:firstRow="0" w:lastRow="0" w:firstColumn="0" w:lastColumn="0" w:noHBand="1" w:noVBand="1"/>
      </w:tblPr>
      <w:tblGrid>
        <w:gridCol w:w="3401"/>
        <w:gridCol w:w="1277"/>
        <w:gridCol w:w="284"/>
        <w:gridCol w:w="3179"/>
        <w:gridCol w:w="1504"/>
      </w:tblGrid>
      <w:tr w:rsidR="00015480" w:rsidRPr="00015480" w14:paraId="216FE68F" w14:textId="77777777" w:rsidTr="00D06CF9">
        <w:tc>
          <w:tcPr>
            <w:tcW w:w="3397" w:type="dxa"/>
          </w:tcPr>
          <w:p w14:paraId="78F9443E"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Rafique, Annum</w:t>
            </w:r>
          </w:p>
        </w:tc>
        <w:tc>
          <w:tcPr>
            <w:tcW w:w="1276" w:type="dxa"/>
          </w:tcPr>
          <w:p w14:paraId="0DBBF78A"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O69</w:t>
            </w:r>
          </w:p>
        </w:tc>
        <w:tc>
          <w:tcPr>
            <w:tcW w:w="284" w:type="dxa"/>
          </w:tcPr>
          <w:p w14:paraId="7F140F45" w14:textId="77777777" w:rsidR="00015480" w:rsidRPr="00015480" w:rsidRDefault="00015480" w:rsidP="00C96EB7">
            <w:pPr>
              <w:rPr>
                <w:rFonts w:ascii="Noto Serif Light" w:hAnsi="Noto Serif Light" w:cs="Noto Serif Light"/>
              </w:rPr>
            </w:pPr>
          </w:p>
        </w:tc>
        <w:tc>
          <w:tcPr>
            <w:tcW w:w="3175" w:type="dxa"/>
          </w:tcPr>
          <w:p w14:paraId="3F9AB55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Ri, Anastasia</w:t>
            </w:r>
          </w:p>
        </w:tc>
        <w:tc>
          <w:tcPr>
            <w:tcW w:w="1502" w:type="dxa"/>
          </w:tcPr>
          <w:p w14:paraId="2D2C8ED2"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O38</w:t>
            </w:r>
          </w:p>
        </w:tc>
      </w:tr>
      <w:tr w:rsidR="00015480" w:rsidRPr="00015480" w14:paraId="17132A1E" w14:textId="77777777" w:rsidTr="00D06CF9">
        <w:tc>
          <w:tcPr>
            <w:tcW w:w="3397" w:type="dxa"/>
          </w:tcPr>
          <w:p w14:paraId="5CECAE60"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Rasmussen, Einar</w:t>
            </w:r>
          </w:p>
        </w:tc>
        <w:tc>
          <w:tcPr>
            <w:tcW w:w="1276" w:type="dxa"/>
          </w:tcPr>
          <w:p w14:paraId="7EEA7C14"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O6</w:t>
            </w:r>
          </w:p>
        </w:tc>
        <w:tc>
          <w:tcPr>
            <w:tcW w:w="284" w:type="dxa"/>
          </w:tcPr>
          <w:p w14:paraId="04A6F7FE" w14:textId="77777777" w:rsidR="00015480" w:rsidRPr="00015480" w:rsidRDefault="00015480" w:rsidP="00C96EB7">
            <w:pPr>
              <w:rPr>
                <w:rFonts w:ascii="Noto Serif Light" w:hAnsi="Noto Serif Light" w:cs="Noto Serif Light"/>
              </w:rPr>
            </w:pPr>
          </w:p>
        </w:tc>
        <w:tc>
          <w:tcPr>
            <w:tcW w:w="3175" w:type="dxa"/>
          </w:tcPr>
          <w:p w14:paraId="14846DF8"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Riley, Rebecca</w:t>
            </w:r>
          </w:p>
        </w:tc>
        <w:tc>
          <w:tcPr>
            <w:tcW w:w="1502" w:type="dxa"/>
          </w:tcPr>
          <w:p w14:paraId="377B7A64"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O74</w:t>
            </w:r>
          </w:p>
        </w:tc>
      </w:tr>
      <w:tr w:rsidR="00015480" w:rsidRPr="00015480" w14:paraId="1FC76877" w14:textId="77777777" w:rsidTr="00D06CF9">
        <w:tc>
          <w:tcPr>
            <w:tcW w:w="3397" w:type="dxa"/>
          </w:tcPr>
          <w:p w14:paraId="554387EE"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Ratcliffe, Julie</w:t>
            </w:r>
          </w:p>
        </w:tc>
        <w:tc>
          <w:tcPr>
            <w:tcW w:w="1276" w:type="dxa"/>
          </w:tcPr>
          <w:p w14:paraId="1AC296CC"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O83</w:t>
            </w:r>
          </w:p>
        </w:tc>
        <w:tc>
          <w:tcPr>
            <w:tcW w:w="284" w:type="dxa"/>
          </w:tcPr>
          <w:p w14:paraId="361FC1B6" w14:textId="77777777" w:rsidR="00015480" w:rsidRPr="00015480" w:rsidRDefault="00015480" w:rsidP="00C96EB7">
            <w:pPr>
              <w:rPr>
                <w:rFonts w:ascii="Noto Serif Light" w:hAnsi="Noto Serif Light" w:cs="Noto Serif Light"/>
              </w:rPr>
            </w:pPr>
          </w:p>
        </w:tc>
        <w:tc>
          <w:tcPr>
            <w:tcW w:w="3175" w:type="dxa"/>
          </w:tcPr>
          <w:p w14:paraId="7B574665"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Roig-Tierno, Norat</w:t>
            </w:r>
          </w:p>
        </w:tc>
        <w:tc>
          <w:tcPr>
            <w:tcW w:w="1502" w:type="dxa"/>
          </w:tcPr>
          <w:p w14:paraId="5E348461"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O28</w:t>
            </w:r>
          </w:p>
        </w:tc>
      </w:tr>
      <w:tr w:rsidR="00015480" w:rsidRPr="00015480" w14:paraId="753CED08" w14:textId="77777777" w:rsidTr="00D06CF9">
        <w:tc>
          <w:tcPr>
            <w:tcW w:w="3397" w:type="dxa"/>
          </w:tcPr>
          <w:p w14:paraId="3FFF4DEF"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Read, Johannes</w:t>
            </w:r>
          </w:p>
        </w:tc>
        <w:tc>
          <w:tcPr>
            <w:tcW w:w="1276" w:type="dxa"/>
          </w:tcPr>
          <w:p w14:paraId="405DA636"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O43</w:t>
            </w:r>
          </w:p>
        </w:tc>
        <w:tc>
          <w:tcPr>
            <w:tcW w:w="284" w:type="dxa"/>
          </w:tcPr>
          <w:p w14:paraId="63BE3E08" w14:textId="77777777" w:rsidR="00015480" w:rsidRPr="00015480" w:rsidRDefault="00015480" w:rsidP="00C96EB7">
            <w:pPr>
              <w:rPr>
                <w:rFonts w:ascii="Noto Serif Light" w:hAnsi="Noto Serif Light" w:cs="Noto Serif Light"/>
              </w:rPr>
            </w:pPr>
          </w:p>
        </w:tc>
        <w:tc>
          <w:tcPr>
            <w:tcW w:w="3175" w:type="dxa"/>
          </w:tcPr>
          <w:p w14:paraId="145E9FA3"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Runst, Petrik</w:t>
            </w:r>
          </w:p>
        </w:tc>
        <w:tc>
          <w:tcPr>
            <w:tcW w:w="1502" w:type="dxa"/>
          </w:tcPr>
          <w:p w14:paraId="0D1EE4D1"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O21</w:t>
            </w:r>
          </w:p>
        </w:tc>
      </w:tr>
      <w:tr w:rsidR="00015480" w:rsidRPr="00015480" w14:paraId="0D279BC6" w14:textId="77777777" w:rsidTr="00D06CF9">
        <w:tc>
          <w:tcPr>
            <w:tcW w:w="3397" w:type="dxa"/>
          </w:tcPr>
          <w:p w14:paraId="3D5E3435"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Reuschke, Darja</w:t>
            </w:r>
          </w:p>
        </w:tc>
        <w:tc>
          <w:tcPr>
            <w:tcW w:w="1276" w:type="dxa"/>
          </w:tcPr>
          <w:p w14:paraId="6205A919"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O9</w:t>
            </w:r>
          </w:p>
        </w:tc>
        <w:tc>
          <w:tcPr>
            <w:tcW w:w="284" w:type="dxa"/>
          </w:tcPr>
          <w:p w14:paraId="0E3507BD" w14:textId="77777777" w:rsidR="00015480" w:rsidRPr="00015480" w:rsidRDefault="00015480" w:rsidP="00C96EB7">
            <w:pPr>
              <w:rPr>
                <w:rFonts w:ascii="Noto Serif Light" w:hAnsi="Noto Serif Light" w:cs="Noto Serif Light"/>
              </w:rPr>
            </w:pPr>
          </w:p>
        </w:tc>
        <w:tc>
          <w:tcPr>
            <w:tcW w:w="3175" w:type="dxa"/>
          </w:tcPr>
          <w:p w14:paraId="2376A777"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Ruoso , Anna Petra</w:t>
            </w:r>
          </w:p>
        </w:tc>
        <w:tc>
          <w:tcPr>
            <w:tcW w:w="1502" w:type="dxa"/>
          </w:tcPr>
          <w:p w14:paraId="1A0356DA"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O12</w:t>
            </w:r>
          </w:p>
        </w:tc>
      </w:tr>
    </w:tbl>
    <w:p w14:paraId="53390867" w14:textId="77777777" w:rsidR="00CA0630" w:rsidRDefault="00CA0630" w:rsidP="00015480">
      <w:pPr>
        <w:pStyle w:val="AbstractBookAuthorIndexLetterHeading"/>
        <w:rPr>
          <w:rFonts w:ascii="Noto Serif Light" w:hAnsi="Noto Serif Light" w:cs="Noto Serif Light"/>
        </w:rPr>
      </w:pPr>
    </w:p>
    <w:p w14:paraId="135831D7" w14:textId="77777777" w:rsidR="00CA0630" w:rsidRDefault="00CA0630" w:rsidP="00015480">
      <w:pPr>
        <w:pStyle w:val="AbstractBookAuthorIndexLetterHeading"/>
        <w:rPr>
          <w:rFonts w:ascii="Noto Serif Light" w:hAnsi="Noto Serif Light" w:cs="Noto Serif Light"/>
        </w:rPr>
      </w:pPr>
    </w:p>
    <w:p w14:paraId="6924BF9E" w14:textId="77777777" w:rsidR="00CA0630" w:rsidRDefault="00CA0630" w:rsidP="00015480">
      <w:pPr>
        <w:pStyle w:val="AbstractBookAuthorIndexLetterHeading"/>
        <w:rPr>
          <w:rFonts w:ascii="Noto Serif Light" w:hAnsi="Noto Serif Light" w:cs="Noto Serif Light"/>
        </w:rPr>
      </w:pPr>
    </w:p>
    <w:p w14:paraId="438FC5B5" w14:textId="0DA40A1D"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lastRenderedPageBreak/>
        <w:t>S</w:t>
      </w:r>
    </w:p>
    <w:p w14:paraId="40EBCCB8" w14:textId="77777777" w:rsidR="00D06CF9" w:rsidRPr="00015480" w:rsidRDefault="00D06CF9" w:rsidP="00015480">
      <w:pPr>
        <w:pStyle w:val="AbstractBookAuthorIndexLetterHeading"/>
        <w:rPr>
          <w:rFonts w:ascii="Noto Serif Light" w:hAnsi="Noto Serif Light" w:cs="Noto Serif Light"/>
        </w:rPr>
      </w:pPr>
    </w:p>
    <w:tbl>
      <w:tblPr>
        <w:tblW w:w="5343" w:type="pct"/>
        <w:tblLook w:val="0600" w:firstRow="0" w:lastRow="0" w:firstColumn="0" w:lastColumn="0" w:noHBand="1" w:noVBand="1"/>
      </w:tblPr>
      <w:tblGrid>
        <w:gridCol w:w="3543"/>
        <w:gridCol w:w="1277"/>
        <w:gridCol w:w="283"/>
        <w:gridCol w:w="3123"/>
        <w:gridCol w:w="1419"/>
      </w:tblGrid>
      <w:tr w:rsidR="00015480" w:rsidRPr="00015480" w14:paraId="04CD0071" w14:textId="77777777" w:rsidTr="00D06CF9">
        <w:tc>
          <w:tcPr>
            <w:tcW w:w="3539" w:type="dxa"/>
          </w:tcPr>
          <w:p w14:paraId="7DA0953B"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Salomaa, Maria</w:t>
            </w:r>
          </w:p>
        </w:tc>
        <w:tc>
          <w:tcPr>
            <w:tcW w:w="1276" w:type="dxa"/>
          </w:tcPr>
          <w:p w14:paraId="1489E887"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O29</w:t>
            </w:r>
          </w:p>
        </w:tc>
        <w:tc>
          <w:tcPr>
            <w:tcW w:w="283" w:type="dxa"/>
          </w:tcPr>
          <w:p w14:paraId="09AA52B2" w14:textId="77777777" w:rsidR="00015480" w:rsidRPr="00015480" w:rsidRDefault="00015480" w:rsidP="00C96EB7">
            <w:pPr>
              <w:rPr>
                <w:rFonts w:ascii="Noto Serif Light" w:hAnsi="Noto Serif Light" w:cs="Noto Serif Light"/>
              </w:rPr>
            </w:pPr>
          </w:p>
        </w:tc>
        <w:tc>
          <w:tcPr>
            <w:tcW w:w="3119" w:type="dxa"/>
          </w:tcPr>
          <w:p w14:paraId="66332D5C" w14:textId="4990262D" w:rsidR="00015480" w:rsidRPr="00015480" w:rsidRDefault="00015480" w:rsidP="00C96EB7">
            <w:pPr>
              <w:pStyle w:val="AbstractBookAuthorIndex"/>
              <w:rPr>
                <w:rFonts w:ascii="Noto Serif Light" w:hAnsi="Noto Serif Light" w:cs="Noto Serif Light"/>
              </w:rPr>
            </w:pPr>
          </w:p>
        </w:tc>
        <w:tc>
          <w:tcPr>
            <w:tcW w:w="1417" w:type="dxa"/>
          </w:tcPr>
          <w:p w14:paraId="54601330" w14:textId="0E2F59AE" w:rsidR="00015480" w:rsidRPr="00015480" w:rsidRDefault="00015480" w:rsidP="00C96EB7">
            <w:pPr>
              <w:pStyle w:val="AbstractBookAuthorIndex"/>
              <w:rPr>
                <w:rFonts w:ascii="Noto Serif Light" w:hAnsi="Noto Serif Light" w:cs="Noto Serif Light"/>
              </w:rPr>
            </w:pPr>
          </w:p>
        </w:tc>
      </w:tr>
      <w:tr w:rsidR="00015480" w:rsidRPr="00015480" w14:paraId="682E8835" w14:textId="77777777" w:rsidTr="00D06CF9">
        <w:tc>
          <w:tcPr>
            <w:tcW w:w="3539" w:type="dxa"/>
          </w:tcPr>
          <w:p w14:paraId="4796A706"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Sanchez Barrioluengo, Mabel</w:t>
            </w:r>
          </w:p>
        </w:tc>
        <w:tc>
          <w:tcPr>
            <w:tcW w:w="1276" w:type="dxa"/>
          </w:tcPr>
          <w:p w14:paraId="79925EF4"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O56</w:t>
            </w:r>
          </w:p>
        </w:tc>
        <w:tc>
          <w:tcPr>
            <w:tcW w:w="283" w:type="dxa"/>
          </w:tcPr>
          <w:p w14:paraId="7F51A54E" w14:textId="77777777" w:rsidR="00015480" w:rsidRPr="00015480" w:rsidRDefault="00015480" w:rsidP="00C96EB7">
            <w:pPr>
              <w:rPr>
                <w:rFonts w:ascii="Noto Serif Light" w:hAnsi="Noto Serif Light" w:cs="Noto Serif Light"/>
              </w:rPr>
            </w:pPr>
          </w:p>
        </w:tc>
        <w:tc>
          <w:tcPr>
            <w:tcW w:w="3119" w:type="dxa"/>
          </w:tcPr>
          <w:p w14:paraId="7A3FAC79"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Shaw, Katy</w:t>
            </w:r>
          </w:p>
        </w:tc>
        <w:tc>
          <w:tcPr>
            <w:tcW w:w="1417" w:type="dxa"/>
          </w:tcPr>
          <w:p w14:paraId="77C8A9FF"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O30</w:t>
            </w:r>
          </w:p>
        </w:tc>
      </w:tr>
      <w:tr w:rsidR="00015480" w:rsidRPr="00015480" w14:paraId="52DB8AAE" w14:textId="77777777" w:rsidTr="00D06CF9">
        <w:tc>
          <w:tcPr>
            <w:tcW w:w="3539" w:type="dxa"/>
          </w:tcPr>
          <w:p w14:paraId="5C2C3ABC"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Sanderson, Joe</w:t>
            </w:r>
          </w:p>
        </w:tc>
        <w:tc>
          <w:tcPr>
            <w:tcW w:w="1276" w:type="dxa"/>
          </w:tcPr>
          <w:p w14:paraId="27D62433"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O70</w:t>
            </w:r>
          </w:p>
        </w:tc>
        <w:tc>
          <w:tcPr>
            <w:tcW w:w="283" w:type="dxa"/>
          </w:tcPr>
          <w:p w14:paraId="5D379390" w14:textId="77777777" w:rsidR="00015480" w:rsidRPr="00015480" w:rsidRDefault="00015480" w:rsidP="00C96EB7">
            <w:pPr>
              <w:rPr>
                <w:rFonts w:ascii="Noto Serif Light" w:hAnsi="Noto Serif Light" w:cs="Noto Serif Light"/>
              </w:rPr>
            </w:pPr>
          </w:p>
        </w:tc>
        <w:tc>
          <w:tcPr>
            <w:tcW w:w="3119" w:type="dxa"/>
          </w:tcPr>
          <w:p w14:paraId="3824EFC0"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Sjøtun , Svein Gunnar</w:t>
            </w:r>
          </w:p>
        </w:tc>
        <w:tc>
          <w:tcPr>
            <w:tcW w:w="1417" w:type="dxa"/>
          </w:tcPr>
          <w:p w14:paraId="7C0E7CE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O15</w:t>
            </w:r>
          </w:p>
        </w:tc>
      </w:tr>
      <w:tr w:rsidR="00015480" w:rsidRPr="00015480" w14:paraId="6D6F642E" w14:textId="77777777" w:rsidTr="00D06CF9">
        <w:tc>
          <w:tcPr>
            <w:tcW w:w="3539" w:type="dxa"/>
          </w:tcPr>
          <w:p w14:paraId="4B641558"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Santini, Erica</w:t>
            </w:r>
          </w:p>
        </w:tc>
        <w:tc>
          <w:tcPr>
            <w:tcW w:w="1276" w:type="dxa"/>
          </w:tcPr>
          <w:p w14:paraId="5993AC88"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O1</w:t>
            </w:r>
          </w:p>
        </w:tc>
        <w:tc>
          <w:tcPr>
            <w:tcW w:w="283" w:type="dxa"/>
          </w:tcPr>
          <w:p w14:paraId="114EB5E6" w14:textId="77777777" w:rsidR="00015480" w:rsidRPr="00015480" w:rsidRDefault="00015480" w:rsidP="00C96EB7">
            <w:pPr>
              <w:rPr>
                <w:rFonts w:ascii="Noto Serif Light" w:hAnsi="Noto Serif Light" w:cs="Noto Serif Light"/>
              </w:rPr>
            </w:pPr>
          </w:p>
        </w:tc>
        <w:tc>
          <w:tcPr>
            <w:tcW w:w="3119" w:type="dxa"/>
          </w:tcPr>
          <w:p w14:paraId="13A4FFE4"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Smith, Rosi</w:t>
            </w:r>
          </w:p>
        </w:tc>
        <w:tc>
          <w:tcPr>
            <w:tcW w:w="1417" w:type="dxa"/>
          </w:tcPr>
          <w:p w14:paraId="3BF97E4F"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O75</w:t>
            </w:r>
          </w:p>
        </w:tc>
      </w:tr>
      <w:tr w:rsidR="00015480" w:rsidRPr="00015480" w14:paraId="357CAD66" w14:textId="77777777" w:rsidTr="00D06CF9">
        <w:tc>
          <w:tcPr>
            <w:tcW w:w="3539" w:type="dxa"/>
          </w:tcPr>
          <w:p w14:paraId="65631D7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Sbalchiero, Giacomo</w:t>
            </w:r>
          </w:p>
        </w:tc>
        <w:tc>
          <w:tcPr>
            <w:tcW w:w="1276" w:type="dxa"/>
          </w:tcPr>
          <w:p w14:paraId="266F2A17"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O24</w:t>
            </w:r>
          </w:p>
        </w:tc>
        <w:tc>
          <w:tcPr>
            <w:tcW w:w="283" w:type="dxa"/>
          </w:tcPr>
          <w:p w14:paraId="11AE7A7E" w14:textId="77777777" w:rsidR="00015480" w:rsidRPr="00015480" w:rsidRDefault="00015480" w:rsidP="00C96EB7">
            <w:pPr>
              <w:rPr>
                <w:rFonts w:ascii="Noto Serif Light" w:hAnsi="Noto Serif Light" w:cs="Noto Serif Light"/>
              </w:rPr>
            </w:pPr>
          </w:p>
        </w:tc>
        <w:tc>
          <w:tcPr>
            <w:tcW w:w="3119" w:type="dxa"/>
          </w:tcPr>
          <w:p w14:paraId="6D9DE7D9" w14:textId="5718017E" w:rsidR="00015480" w:rsidRPr="00015480" w:rsidRDefault="001A0039" w:rsidP="00C96EB7">
            <w:pPr>
              <w:pStyle w:val="AbstractBookAuthorIndex"/>
              <w:rPr>
                <w:rFonts w:ascii="Noto Serif Light" w:hAnsi="Noto Serif Light" w:cs="Noto Serif Light"/>
              </w:rPr>
            </w:pPr>
            <w:r>
              <w:rPr>
                <w:rFonts w:ascii="Noto Serif Light" w:hAnsi="Noto Serif Light" w:cs="Noto Serif Light"/>
              </w:rPr>
              <w:t>S</w:t>
            </w:r>
            <w:r w:rsidRPr="002D099C">
              <w:rPr>
                <w:rFonts w:ascii="Noto Serif Light" w:hAnsi="Noto Serif Light" w:cs="Noto Serif Light"/>
              </w:rPr>
              <w:t>umon, Mahmud Hossain</w:t>
            </w:r>
          </w:p>
        </w:tc>
        <w:tc>
          <w:tcPr>
            <w:tcW w:w="1417" w:type="dxa"/>
          </w:tcPr>
          <w:p w14:paraId="5DD452E3" w14:textId="2DC35959" w:rsidR="00015480" w:rsidRPr="00015480" w:rsidRDefault="001A0039" w:rsidP="00C96EB7">
            <w:pPr>
              <w:pStyle w:val="AbstractBookAuthorIndex"/>
              <w:rPr>
                <w:rFonts w:ascii="Noto Serif Light" w:hAnsi="Noto Serif Light" w:cs="Noto Serif Light"/>
              </w:rPr>
            </w:pPr>
            <w:r>
              <w:rPr>
                <w:rFonts w:ascii="Noto Serif Light" w:hAnsi="Noto Serif Light" w:cs="Noto Serif Light"/>
              </w:rPr>
              <w:t>O49</w:t>
            </w:r>
          </w:p>
        </w:tc>
      </w:tr>
      <w:tr w:rsidR="001A0039" w:rsidRPr="00015480" w14:paraId="77C7E25D" w14:textId="77777777" w:rsidTr="00D06CF9">
        <w:tc>
          <w:tcPr>
            <w:tcW w:w="3539" w:type="dxa"/>
          </w:tcPr>
          <w:p w14:paraId="0B150138" w14:textId="77777777" w:rsidR="001A0039" w:rsidRPr="00015480" w:rsidRDefault="001A0039" w:rsidP="001A0039">
            <w:pPr>
              <w:pStyle w:val="AbstractBookAuthorIndex"/>
              <w:rPr>
                <w:rFonts w:ascii="Noto Serif Light" w:hAnsi="Noto Serif Light" w:cs="Noto Serif Light"/>
              </w:rPr>
            </w:pPr>
            <w:r w:rsidRPr="00015480">
              <w:rPr>
                <w:rFonts w:ascii="Noto Serif Light" w:hAnsi="Noto Serif Light" w:cs="Noto Serif Light"/>
              </w:rPr>
              <w:t>Schwarz, Juliane</w:t>
            </w:r>
          </w:p>
        </w:tc>
        <w:tc>
          <w:tcPr>
            <w:tcW w:w="1276" w:type="dxa"/>
          </w:tcPr>
          <w:p w14:paraId="3FDC68AE" w14:textId="77777777" w:rsidR="001A0039" w:rsidRPr="00015480" w:rsidRDefault="001A0039" w:rsidP="001A0039">
            <w:pPr>
              <w:pStyle w:val="AbstractBookAuthorIndex"/>
              <w:rPr>
                <w:rFonts w:ascii="Noto Serif Light" w:hAnsi="Noto Serif Light" w:cs="Noto Serif Light"/>
              </w:rPr>
            </w:pPr>
            <w:r w:rsidRPr="00015480">
              <w:rPr>
                <w:rFonts w:ascii="Noto Serif Light" w:hAnsi="Noto Serif Light" w:cs="Noto Serif Light"/>
              </w:rPr>
              <w:t>O50</w:t>
            </w:r>
          </w:p>
        </w:tc>
        <w:tc>
          <w:tcPr>
            <w:tcW w:w="283" w:type="dxa"/>
          </w:tcPr>
          <w:p w14:paraId="05A8C2EA" w14:textId="77777777" w:rsidR="001A0039" w:rsidRPr="00015480" w:rsidRDefault="001A0039" w:rsidP="001A0039">
            <w:pPr>
              <w:rPr>
                <w:rFonts w:ascii="Noto Serif Light" w:hAnsi="Noto Serif Light" w:cs="Noto Serif Light"/>
              </w:rPr>
            </w:pPr>
          </w:p>
        </w:tc>
        <w:tc>
          <w:tcPr>
            <w:tcW w:w="3119" w:type="dxa"/>
          </w:tcPr>
          <w:p w14:paraId="364A4D78" w14:textId="04D17023" w:rsidR="001A0039" w:rsidRPr="00015480" w:rsidRDefault="001A0039" w:rsidP="001A0039">
            <w:pPr>
              <w:pStyle w:val="AbstractBookAuthorIndex"/>
              <w:rPr>
                <w:rFonts w:ascii="Noto Serif Light" w:hAnsi="Noto Serif Light" w:cs="Noto Serif Light"/>
              </w:rPr>
            </w:pPr>
            <w:r w:rsidRPr="00015480">
              <w:rPr>
                <w:rFonts w:ascii="Noto Serif Light" w:hAnsi="Noto Serif Light" w:cs="Noto Serif Light"/>
              </w:rPr>
              <w:t>Suwala, Lech</w:t>
            </w:r>
          </w:p>
        </w:tc>
        <w:tc>
          <w:tcPr>
            <w:tcW w:w="1417" w:type="dxa"/>
          </w:tcPr>
          <w:p w14:paraId="5B8AD2DA" w14:textId="71C79E5E" w:rsidR="001A0039" w:rsidRPr="00015480" w:rsidRDefault="001A0039" w:rsidP="001A0039">
            <w:pPr>
              <w:pStyle w:val="AbstractBookAuthorIndex"/>
              <w:rPr>
                <w:rFonts w:ascii="Noto Serif Light" w:hAnsi="Noto Serif Light" w:cs="Noto Serif Light"/>
              </w:rPr>
            </w:pPr>
            <w:r w:rsidRPr="00015480">
              <w:rPr>
                <w:rFonts w:ascii="Noto Serif Light" w:hAnsi="Noto Serif Light" w:cs="Noto Serif Light"/>
              </w:rPr>
              <w:t>O23</w:t>
            </w:r>
          </w:p>
        </w:tc>
      </w:tr>
      <w:tr w:rsidR="001A0039" w:rsidRPr="00015480" w14:paraId="7308B0F0" w14:textId="77777777" w:rsidTr="00D06CF9">
        <w:tc>
          <w:tcPr>
            <w:tcW w:w="3539" w:type="dxa"/>
          </w:tcPr>
          <w:p w14:paraId="736EBA0E" w14:textId="6407527C" w:rsidR="001A0039" w:rsidRPr="00015480" w:rsidRDefault="001A0039" w:rsidP="001A0039">
            <w:pPr>
              <w:pStyle w:val="AbstractBookAuthorIndex"/>
              <w:rPr>
                <w:rFonts w:ascii="Noto Serif Light" w:hAnsi="Noto Serif Light" w:cs="Noto Serif Light"/>
              </w:rPr>
            </w:pPr>
            <w:r w:rsidRPr="00015480">
              <w:rPr>
                <w:rFonts w:ascii="Noto Serif Light" w:hAnsi="Noto Serif Light" w:cs="Noto Serif Light"/>
              </w:rPr>
              <w:t>Sedita, Silvia Rita</w:t>
            </w:r>
          </w:p>
        </w:tc>
        <w:tc>
          <w:tcPr>
            <w:tcW w:w="1276" w:type="dxa"/>
          </w:tcPr>
          <w:p w14:paraId="79E48F69" w14:textId="07F44BFF" w:rsidR="001A0039" w:rsidRPr="00015480" w:rsidRDefault="001A0039" w:rsidP="001A0039">
            <w:pPr>
              <w:pStyle w:val="AbstractBookAuthorIndex"/>
              <w:rPr>
                <w:rFonts w:ascii="Noto Serif Light" w:hAnsi="Noto Serif Light" w:cs="Noto Serif Light"/>
              </w:rPr>
            </w:pPr>
            <w:r w:rsidRPr="00015480">
              <w:rPr>
                <w:rFonts w:ascii="Noto Serif Light" w:hAnsi="Noto Serif Light" w:cs="Noto Serif Light"/>
              </w:rPr>
              <w:t xml:space="preserve">O24, </w:t>
            </w:r>
          </w:p>
        </w:tc>
        <w:tc>
          <w:tcPr>
            <w:tcW w:w="283" w:type="dxa"/>
          </w:tcPr>
          <w:p w14:paraId="505EB7BD" w14:textId="77777777" w:rsidR="001A0039" w:rsidRPr="00015480" w:rsidRDefault="001A0039" w:rsidP="001A0039">
            <w:pPr>
              <w:rPr>
                <w:rFonts w:ascii="Noto Serif Light" w:hAnsi="Noto Serif Light" w:cs="Noto Serif Light"/>
              </w:rPr>
            </w:pPr>
          </w:p>
        </w:tc>
        <w:tc>
          <w:tcPr>
            <w:tcW w:w="3119" w:type="dxa"/>
          </w:tcPr>
          <w:p w14:paraId="5CBBAC98" w14:textId="12136A12" w:rsidR="001A0039" w:rsidRPr="00015480" w:rsidRDefault="001A0039" w:rsidP="001A0039">
            <w:pPr>
              <w:pStyle w:val="AbstractBookAuthorIndex"/>
              <w:rPr>
                <w:rFonts w:ascii="Noto Serif Light" w:hAnsi="Noto Serif Light" w:cs="Noto Serif Light"/>
              </w:rPr>
            </w:pPr>
            <w:r w:rsidRPr="00015480">
              <w:rPr>
                <w:rFonts w:ascii="Noto Serif Light" w:hAnsi="Noto Serif Light" w:cs="Noto Serif Light"/>
              </w:rPr>
              <w:t>Sweeney, Nicholas</w:t>
            </w:r>
          </w:p>
        </w:tc>
        <w:tc>
          <w:tcPr>
            <w:tcW w:w="1417" w:type="dxa"/>
          </w:tcPr>
          <w:p w14:paraId="26D92261" w14:textId="0DD8FA00" w:rsidR="001A0039" w:rsidRPr="00015480" w:rsidRDefault="001A0039" w:rsidP="001A0039">
            <w:pPr>
              <w:pStyle w:val="AbstractBookAuthorIndex"/>
              <w:rPr>
                <w:rFonts w:ascii="Noto Serif Light" w:hAnsi="Noto Serif Light" w:cs="Noto Serif Light"/>
              </w:rPr>
            </w:pPr>
            <w:r w:rsidRPr="00015480">
              <w:rPr>
                <w:rFonts w:ascii="Noto Serif Light" w:hAnsi="Noto Serif Light" w:cs="Noto Serif Light"/>
              </w:rPr>
              <w:t>O18, O34</w:t>
            </w:r>
          </w:p>
        </w:tc>
      </w:tr>
    </w:tbl>
    <w:p w14:paraId="14F06CEF" w14:textId="77777777" w:rsidR="00D06CF9" w:rsidRDefault="00D06CF9" w:rsidP="00015480">
      <w:pPr>
        <w:pStyle w:val="AbstractBookAuthorIndexLetterHeading"/>
        <w:rPr>
          <w:rFonts w:ascii="Noto Serif Light" w:hAnsi="Noto Serif Light" w:cs="Noto Serif Light"/>
        </w:rPr>
      </w:pPr>
    </w:p>
    <w:p w14:paraId="4A43FC93" w14:textId="6DF61780"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T</w:t>
      </w:r>
    </w:p>
    <w:p w14:paraId="340A990F" w14:textId="77777777" w:rsidR="00D06CF9" w:rsidRPr="00015480" w:rsidRDefault="00D06CF9" w:rsidP="00015480">
      <w:pPr>
        <w:pStyle w:val="AbstractBookAuthorIndexLetterHeading"/>
        <w:rPr>
          <w:rFonts w:ascii="Noto Serif Light" w:hAnsi="Noto Serif Light" w:cs="Noto Serif Light"/>
        </w:rPr>
      </w:pPr>
    </w:p>
    <w:tbl>
      <w:tblPr>
        <w:tblW w:w="5343" w:type="pct"/>
        <w:tblLook w:val="0600" w:firstRow="0" w:lastRow="0" w:firstColumn="0" w:lastColumn="0" w:noHBand="1" w:noVBand="1"/>
      </w:tblPr>
      <w:tblGrid>
        <w:gridCol w:w="3543"/>
        <w:gridCol w:w="1277"/>
        <w:gridCol w:w="283"/>
        <w:gridCol w:w="3216"/>
        <w:gridCol w:w="1326"/>
      </w:tblGrid>
      <w:tr w:rsidR="00015480" w:rsidRPr="00015480" w14:paraId="71843661" w14:textId="77777777" w:rsidTr="00D06CF9">
        <w:tc>
          <w:tcPr>
            <w:tcW w:w="3539" w:type="dxa"/>
          </w:tcPr>
          <w:p w14:paraId="2D3D77BC"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Taylor, Abigail</w:t>
            </w:r>
          </w:p>
        </w:tc>
        <w:tc>
          <w:tcPr>
            <w:tcW w:w="1276" w:type="dxa"/>
          </w:tcPr>
          <w:p w14:paraId="2A272317"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O41</w:t>
            </w:r>
          </w:p>
        </w:tc>
        <w:tc>
          <w:tcPr>
            <w:tcW w:w="283" w:type="dxa"/>
          </w:tcPr>
          <w:p w14:paraId="3A7A013F" w14:textId="77777777" w:rsidR="00015480" w:rsidRPr="00015480" w:rsidRDefault="00015480" w:rsidP="00C96EB7">
            <w:pPr>
              <w:rPr>
                <w:rFonts w:ascii="Noto Serif Light" w:hAnsi="Noto Serif Light" w:cs="Noto Serif Light"/>
              </w:rPr>
            </w:pPr>
          </w:p>
        </w:tc>
        <w:tc>
          <w:tcPr>
            <w:tcW w:w="3212" w:type="dxa"/>
          </w:tcPr>
          <w:p w14:paraId="758EAA32"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Tomlinson, Philip</w:t>
            </w:r>
          </w:p>
        </w:tc>
        <w:tc>
          <w:tcPr>
            <w:tcW w:w="1324" w:type="dxa"/>
          </w:tcPr>
          <w:p w14:paraId="7D2437F9"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O52</w:t>
            </w:r>
          </w:p>
        </w:tc>
      </w:tr>
      <w:tr w:rsidR="00015480" w:rsidRPr="00015480" w14:paraId="0158BA1B" w14:textId="77777777" w:rsidTr="00D06CF9">
        <w:tc>
          <w:tcPr>
            <w:tcW w:w="3539" w:type="dxa"/>
          </w:tcPr>
          <w:p w14:paraId="782708DE"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Terstriep, Judith</w:t>
            </w:r>
          </w:p>
        </w:tc>
        <w:tc>
          <w:tcPr>
            <w:tcW w:w="1276" w:type="dxa"/>
          </w:tcPr>
          <w:p w14:paraId="0C8C2091"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O82</w:t>
            </w:r>
          </w:p>
        </w:tc>
        <w:tc>
          <w:tcPr>
            <w:tcW w:w="283" w:type="dxa"/>
          </w:tcPr>
          <w:p w14:paraId="76CA0E26" w14:textId="77777777" w:rsidR="00015480" w:rsidRPr="00015480" w:rsidRDefault="00015480" w:rsidP="00C96EB7">
            <w:pPr>
              <w:rPr>
                <w:rFonts w:ascii="Noto Serif Light" w:hAnsi="Noto Serif Light" w:cs="Noto Serif Light"/>
              </w:rPr>
            </w:pPr>
          </w:p>
        </w:tc>
        <w:tc>
          <w:tcPr>
            <w:tcW w:w="3212" w:type="dxa"/>
          </w:tcPr>
          <w:p w14:paraId="408DBFD7"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Tuomi, Kalle</w:t>
            </w:r>
          </w:p>
        </w:tc>
        <w:tc>
          <w:tcPr>
            <w:tcW w:w="1324" w:type="dxa"/>
          </w:tcPr>
          <w:p w14:paraId="190574A6"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O57</w:t>
            </w:r>
          </w:p>
        </w:tc>
      </w:tr>
      <w:tr w:rsidR="00015480" w:rsidRPr="00015480" w14:paraId="1DD98E76" w14:textId="77777777" w:rsidTr="00D06CF9">
        <w:tc>
          <w:tcPr>
            <w:tcW w:w="3539" w:type="dxa"/>
          </w:tcPr>
          <w:p w14:paraId="43E86152"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Thissen, Mark</w:t>
            </w:r>
          </w:p>
        </w:tc>
        <w:tc>
          <w:tcPr>
            <w:tcW w:w="1276" w:type="dxa"/>
          </w:tcPr>
          <w:p w14:paraId="44EA5384"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O79</w:t>
            </w:r>
          </w:p>
        </w:tc>
        <w:tc>
          <w:tcPr>
            <w:tcW w:w="283" w:type="dxa"/>
          </w:tcPr>
          <w:p w14:paraId="6C92D441" w14:textId="77777777" w:rsidR="00015480" w:rsidRPr="00015480" w:rsidRDefault="00015480" w:rsidP="00C96EB7">
            <w:pPr>
              <w:rPr>
                <w:rFonts w:ascii="Noto Serif Light" w:hAnsi="Noto Serif Light" w:cs="Noto Serif Light"/>
              </w:rPr>
            </w:pPr>
          </w:p>
        </w:tc>
        <w:tc>
          <w:tcPr>
            <w:tcW w:w="3212" w:type="dxa"/>
          </w:tcPr>
          <w:p w14:paraId="57E5B1A1" w14:textId="77777777" w:rsidR="00015480" w:rsidRPr="00015480" w:rsidRDefault="00015480" w:rsidP="00C96EB7">
            <w:pPr>
              <w:rPr>
                <w:rFonts w:ascii="Noto Serif Light" w:hAnsi="Noto Serif Light" w:cs="Noto Serif Light"/>
              </w:rPr>
            </w:pPr>
          </w:p>
        </w:tc>
        <w:tc>
          <w:tcPr>
            <w:tcW w:w="1324" w:type="dxa"/>
          </w:tcPr>
          <w:p w14:paraId="21DC5C9C" w14:textId="77777777" w:rsidR="00015480" w:rsidRPr="00015480" w:rsidRDefault="00015480" w:rsidP="00C96EB7">
            <w:pPr>
              <w:rPr>
                <w:rFonts w:ascii="Noto Serif Light" w:hAnsi="Noto Serif Light" w:cs="Noto Serif Light"/>
              </w:rPr>
            </w:pPr>
          </w:p>
        </w:tc>
      </w:tr>
    </w:tbl>
    <w:p w14:paraId="02A5692A" w14:textId="77777777" w:rsidR="00D06CF9" w:rsidRDefault="00D06CF9" w:rsidP="00015480">
      <w:pPr>
        <w:pStyle w:val="AbstractBookAuthorIndexLetterHeading"/>
        <w:rPr>
          <w:rFonts w:ascii="Noto Serif Light" w:hAnsi="Noto Serif Light" w:cs="Noto Serif Light"/>
        </w:rPr>
      </w:pPr>
    </w:p>
    <w:p w14:paraId="3E3B0AC7" w14:textId="159EA826"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U</w:t>
      </w:r>
    </w:p>
    <w:p w14:paraId="4AFCC26C" w14:textId="77777777" w:rsidR="00D06CF9" w:rsidRPr="00015480" w:rsidRDefault="00D06CF9" w:rsidP="00015480">
      <w:pPr>
        <w:pStyle w:val="AbstractBookAuthorIndexLetterHeading"/>
        <w:rPr>
          <w:rFonts w:ascii="Noto Serif Light" w:hAnsi="Noto Serif Light" w:cs="Noto Serif Light"/>
        </w:rPr>
      </w:pPr>
    </w:p>
    <w:tbl>
      <w:tblPr>
        <w:tblW w:w="5000" w:type="pct"/>
        <w:tblLook w:val="0600" w:firstRow="0" w:lastRow="0" w:firstColumn="0" w:lastColumn="0" w:noHBand="1" w:noVBand="1"/>
      </w:tblPr>
      <w:tblGrid>
        <w:gridCol w:w="3542"/>
        <w:gridCol w:w="1420"/>
        <w:gridCol w:w="510"/>
        <w:gridCol w:w="1777"/>
        <w:gridCol w:w="1777"/>
      </w:tblGrid>
      <w:tr w:rsidR="00015480" w:rsidRPr="00015480" w14:paraId="1851BF1E" w14:textId="77777777" w:rsidTr="00D06CF9">
        <w:tc>
          <w:tcPr>
            <w:tcW w:w="3539" w:type="dxa"/>
          </w:tcPr>
          <w:p w14:paraId="7A1939D3"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Uyarra, Elvira</w:t>
            </w:r>
          </w:p>
        </w:tc>
        <w:tc>
          <w:tcPr>
            <w:tcW w:w="1418" w:type="dxa"/>
          </w:tcPr>
          <w:p w14:paraId="34CC4312"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O68, O56</w:t>
            </w:r>
          </w:p>
        </w:tc>
        <w:tc>
          <w:tcPr>
            <w:tcW w:w="509" w:type="dxa"/>
          </w:tcPr>
          <w:p w14:paraId="1B35E747" w14:textId="77777777" w:rsidR="00015480" w:rsidRPr="00015480" w:rsidRDefault="00015480" w:rsidP="00C96EB7">
            <w:pPr>
              <w:rPr>
                <w:rFonts w:ascii="Noto Serif Light" w:hAnsi="Noto Serif Light" w:cs="Noto Serif Light"/>
              </w:rPr>
            </w:pPr>
          </w:p>
        </w:tc>
        <w:tc>
          <w:tcPr>
            <w:tcW w:w="1775" w:type="dxa"/>
          </w:tcPr>
          <w:p w14:paraId="7DF64B2F" w14:textId="77777777" w:rsidR="00015480" w:rsidRPr="00015480" w:rsidRDefault="00015480" w:rsidP="00C96EB7">
            <w:pPr>
              <w:rPr>
                <w:rFonts w:ascii="Noto Serif Light" w:hAnsi="Noto Serif Light" w:cs="Noto Serif Light"/>
              </w:rPr>
            </w:pPr>
          </w:p>
        </w:tc>
        <w:tc>
          <w:tcPr>
            <w:tcW w:w="1775" w:type="dxa"/>
          </w:tcPr>
          <w:p w14:paraId="6CAF3359" w14:textId="77777777" w:rsidR="00015480" w:rsidRPr="00015480" w:rsidRDefault="00015480" w:rsidP="00C96EB7">
            <w:pPr>
              <w:rPr>
                <w:rFonts w:ascii="Noto Serif Light" w:hAnsi="Noto Serif Light" w:cs="Noto Serif Light"/>
              </w:rPr>
            </w:pPr>
          </w:p>
        </w:tc>
      </w:tr>
    </w:tbl>
    <w:p w14:paraId="3D846069" w14:textId="77777777" w:rsidR="00D06CF9" w:rsidRDefault="00D06CF9" w:rsidP="00015480">
      <w:pPr>
        <w:pStyle w:val="AbstractBookAuthorIndexLetterHeading"/>
        <w:rPr>
          <w:rFonts w:ascii="Noto Serif Light" w:hAnsi="Noto Serif Light" w:cs="Noto Serif Light"/>
        </w:rPr>
      </w:pPr>
    </w:p>
    <w:p w14:paraId="131D9707" w14:textId="001B9734"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V</w:t>
      </w:r>
    </w:p>
    <w:p w14:paraId="59B60DC9" w14:textId="77777777" w:rsidR="00D06CF9" w:rsidRPr="00015480" w:rsidRDefault="00D06CF9" w:rsidP="00015480">
      <w:pPr>
        <w:pStyle w:val="AbstractBookAuthorIndexLetterHeading"/>
        <w:rPr>
          <w:rFonts w:ascii="Noto Serif Light" w:hAnsi="Noto Serif Light" w:cs="Noto Serif Light"/>
        </w:rPr>
      </w:pPr>
    </w:p>
    <w:tbl>
      <w:tblPr>
        <w:tblW w:w="5421" w:type="pct"/>
        <w:tblLook w:val="0600" w:firstRow="0" w:lastRow="0" w:firstColumn="0" w:lastColumn="0" w:noHBand="1" w:noVBand="1"/>
      </w:tblPr>
      <w:tblGrid>
        <w:gridCol w:w="3731"/>
        <w:gridCol w:w="639"/>
        <w:gridCol w:w="1008"/>
        <w:gridCol w:w="2977"/>
        <w:gridCol w:w="1431"/>
      </w:tblGrid>
      <w:tr w:rsidR="00015480" w:rsidRPr="00015480" w14:paraId="334FDC1D" w14:textId="77777777" w:rsidTr="00D06CF9">
        <w:tc>
          <w:tcPr>
            <w:tcW w:w="3823" w:type="dxa"/>
          </w:tcPr>
          <w:p w14:paraId="713792B3"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Van Oort, Frank</w:t>
            </w:r>
          </w:p>
        </w:tc>
        <w:tc>
          <w:tcPr>
            <w:tcW w:w="430" w:type="dxa"/>
          </w:tcPr>
          <w:p w14:paraId="7C03CED7"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O79</w:t>
            </w:r>
          </w:p>
        </w:tc>
        <w:tc>
          <w:tcPr>
            <w:tcW w:w="1033" w:type="dxa"/>
          </w:tcPr>
          <w:p w14:paraId="39230B03" w14:textId="77777777" w:rsidR="00015480" w:rsidRPr="00015480" w:rsidRDefault="00015480" w:rsidP="00C96EB7">
            <w:pPr>
              <w:rPr>
                <w:rFonts w:ascii="Noto Serif Light" w:hAnsi="Noto Serif Light" w:cs="Noto Serif Light"/>
              </w:rPr>
            </w:pPr>
          </w:p>
        </w:tc>
        <w:tc>
          <w:tcPr>
            <w:tcW w:w="3033" w:type="dxa"/>
          </w:tcPr>
          <w:p w14:paraId="106A4424"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Varghese, Sneha Maria</w:t>
            </w:r>
          </w:p>
        </w:tc>
        <w:tc>
          <w:tcPr>
            <w:tcW w:w="1456" w:type="dxa"/>
          </w:tcPr>
          <w:p w14:paraId="57C4C895"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O59</w:t>
            </w:r>
          </w:p>
        </w:tc>
      </w:tr>
    </w:tbl>
    <w:p w14:paraId="67F49621" w14:textId="77777777" w:rsidR="00D06CF9" w:rsidRDefault="00D06CF9" w:rsidP="00015480">
      <w:pPr>
        <w:pStyle w:val="AbstractBookAuthorIndexLetterHeading"/>
        <w:rPr>
          <w:rFonts w:ascii="Noto Serif Light" w:hAnsi="Noto Serif Light" w:cs="Noto Serif Light"/>
        </w:rPr>
      </w:pPr>
    </w:p>
    <w:p w14:paraId="42CB3192" w14:textId="77777777" w:rsidR="00D06CF9" w:rsidRDefault="00D06CF9" w:rsidP="00015480">
      <w:pPr>
        <w:pStyle w:val="AbstractBookAuthorIndexLetterHeading"/>
        <w:rPr>
          <w:rFonts w:ascii="Noto Serif Light" w:hAnsi="Noto Serif Light" w:cs="Noto Serif Light"/>
        </w:rPr>
      </w:pPr>
    </w:p>
    <w:p w14:paraId="24941817" w14:textId="77777777" w:rsidR="00D06CF9" w:rsidRDefault="00D06CF9" w:rsidP="00015480">
      <w:pPr>
        <w:pStyle w:val="AbstractBookAuthorIndexLetterHeading"/>
        <w:rPr>
          <w:rFonts w:ascii="Noto Serif Light" w:hAnsi="Noto Serif Light" w:cs="Noto Serif Light"/>
        </w:rPr>
      </w:pPr>
    </w:p>
    <w:p w14:paraId="4E304766" w14:textId="77777777" w:rsidR="00D06CF9" w:rsidRDefault="00D06CF9" w:rsidP="00015480">
      <w:pPr>
        <w:pStyle w:val="AbstractBookAuthorIndexLetterHeading"/>
        <w:rPr>
          <w:rFonts w:ascii="Noto Serif Light" w:hAnsi="Noto Serif Light" w:cs="Noto Serif Light"/>
        </w:rPr>
      </w:pPr>
    </w:p>
    <w:p w14:paraId="25D138D1" w14:textId="77777777" w:rsidR="00D06CF9" w:rsidRDefault="00D06CF9" w:rsidP="00015480">
      <w:pPr>
        <w:pStyle w:val="AbstractBookAuthorIndexLetterHeading"/>
        <w:rPr>
          <w:rFonts w:ascii="Noto Serif Light" w:hAnsi="Noto Serif Light" w:cs="Noto Serif Light"/>
        </w:rPr>
      </w:pPr>
    </w:p>
    <w:p w14:paraId="777FB005" w14:textId="77777777" w:rsidR="00D06CF9" w:rsidRDefault="00D06CF9" w:rsidP="00015480">
      <w:pPr>
        <w:pStyle w:val="AbstractBookAuthorIndexLetterHeading"/>
        <w:rPr>
          <w:rFonts w:ascii="Noto Serif Light" w:hAnsi="Noto Serif Light" w:cs="Noto Serif Light"/>
        </w:rPr>
      </w:pPr>
    </w:p>
    <w:p w14:paraId="19BC122A" w14:textId="667D7F0B"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lastRenderedPageBreak/>
        <w:t>W</w:t>
      </w:r>
    </w:p>
    <w:p w14:paraId="76C2A9EE" w14:textId="77777777" w:rsidR="00D06CF9" w:rsidRDefault="00D06CF9" w:rsidP="00015480">
      <w:pPr>
        <w:pStyle w:val="AbstractBookAuthorIndexLetterHeading"/>
        <w:rPr>
          <w:rFonts w:ascii="Noto Serif Light" w:hAnsi="Noto Serif Light" w:cs="Noto Serif Light"/>
        </w:rPr>
      </w:pPr>
    </w:p>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1276"/>
        <w:gridCol w:w="452"/>
        <w:gridCol w:w="2950"/>
        <w:gridCol w:w="1417"/>
      </w:tblGrid>
      <w:tr w:rsidR="00D06CF9" w:rsidRPr="00D06CF9" w14:paraId="102EE68D" w14:textId="77777777" w:rsidTr="00D06CF9">
        <w:trPr>
          <w:trHeight w:val="482"/>
        </w:trPr>
        <w:tc>
          <w:tcPr>
            <w:tcW w:w="3681" w:type="dxa"/>
          </w:tcPr>
          <w:p w14:paraId="21ABAA34" w14:textId="0059FBBD" w:rsidR="00D06CF9" w:rsidRPr="00D06CF9" w:rsidRDefault="00D06CF9" w:rsidP="00015480">
            <w:pPr>
              <w:pStyle w:val="AbstractBookAuthorIndexLetterHeading"/>
              <w:rPr>
                <w:rFonts w:ascii="Noto Serif Light" w:hAnsi="Noto Serif Light" w:cs="Noto Serif Light"/>
                <w:b w:val="0"/>
                <w:bCs/>
                <w:sz w:val="26"/>
                <w:szCs w:val="10"/>
              </w:rPr>
            </w:pPr>
            <w:r w:rsidRPr="00D06CF9">
              <w:rPr>
                <w:rFonts w:ascii="Noto Serif Light" w:hAnsi="Noto Serif Light" w:cs="Noto Serif Light"/>
                <w:b w:val="0"/>
                <w:bCs/>
                <w:sz w:val="26"/>
                <w:szCs w:val="10"/>
              </w:rPr>
              <w:t>Walpole, Gary</w:t>
            </w:r>
          </w:p>
        </w:tc>
        <w:tc>
          <w:tcPr>
            <w:tcW w:w="1276" w:type="dxa"/>
          </w:tcPr>
          <w:p w14:paraId="51AD51C0" w14:textId="6BA547AD" w:rsidR="00D06CF9" w:rsidRPr="00D06CF9" w:rsidRDefault="00D06CF9" w:rsidP="00015480">
            <w:pPr>
              <w:pStyle w:val="AbstractBookAuthorIndexLetterHeading"/>
              <w:rPr>
                <w:rFonts w:ascii="Noto Serif Light" w:hAnsi="Noto Serif Light" w:cs="Noto Serif Light"/>
                <w:b w:val="0"/>
                <w:bCs/>
                <w:sz w:val="26"/>
                <w:szCs w:val="10"/>
              </w:rPr>
            </w:pPr>
            <w:r w:rsidRPr="00D06CF9">
              <w:rPr>
                <w:rFonts w:ascii="Noto Serif Light" w:hAnsi="Noto Serif Light" w:cs="Noto Serif Light"/>
                <w:b w:val="0"/>
                <w:bCs/>
                <w:sz w:val="26"/>
                <w:szCs w:val="10"/>
              </w:rPr>
              <w:t>O20</w:t>
            </w:r>
          </w:p>
        </w:tc>
        <w:tc>
          <w:tcPr>
            <w:tcW w:w="452" w:type="dxa"/>
          </w:tcPr>
          <w:p w14:paraId="012609D2" w14:textId="77777777" w:rsidR="00D06CF9" w:rsidRPr="00D06CF9" w:rsidRDefault="00D06CF9" w:rsidP="00015480">
            <w:pPr>
              <w:pStyle w:val="AbstractBookAuthorIndexLetterHeading"/>
              <w:rPr>
                <w:rFonts w:ascii="Noto Serif Light" w:hAnsi="Noto Serif Light" w:cs="Noto Serif Light"/>
                <w:b w:val="0"/>
                <w:bCs/>
                <w:sz w:val="26"/>
                <w:szCs w:val="10"/>
              </w:rPr>
            </w:pPr>
          </w:p>
        </w:tc>
        <w:tc>
          <w:tcPr>
            <w:tcW w:w="2950" w:type="dxa"/>
          </w:tcPr>
          <w:p w14:paraId="2B537350" w14:textId="56D8DF74" w:rsidR="00D06CF9" w:rsidRPr="00D06CF9" w:rsidRDefault="00D06CF9" w:rsidP="00015480">
            <w:pPr>
              <w:pStyle w:val="AbstractBookAuthorIndexLetterHeading"/>
              <w:rPr>
                <w:rFonts w:ascii="Noto Serif Light" w:hAnsi="Noto Serif Light" w:cs="Noto Serif Light"/>
                <w:b w:val="0"/>
                <w:bCs/>
                <w:sz w:val="26"/>
                <w:szCs w:val="10"/>
              </w:rPr>
            </w:pPr>
            <w:r w:rsidRPr="00D06CF9">
              <w:rPr>
                <w:rFonts w:ascii="Noto Serif Light" w:hAnsi="Noto Serif Light" w:cs="Noto Serif Light"/>
                <w:b w:val="0"/>
                <w:bCs/>
                <w:sz w:val="26"/>
                <w:szCs w:val="10"/>
              </w:rPr>
              <w:t>Williams, Paul</w:t>
            </w:r>
          </w:p>
        </w:tc>
        <w:tc>
          <w:tcPr>
            <w:tcW w:w="1417" w:type="dxa"/>
          </w:tcPr>
          <w:p w14:paraId="3B7B9C7B" w14:textId="6AA1B39E" w:rsidR="00D06CF9" w:rsidRPr="00D06CF9" w:rsidRDefault="00D06CF9" w:rsidP="00015480">
            <w:pPr>
              <w:pStyle w:val="AbstractBookAuthorIndexLetterHeading"/>
              <w:rPr>
                <w:rFonts w:ascii="Noto Serif Light" w:hAnsi="Noto Serif Light" w:cs="Noto Serif Light"/>
                <w:b w:val="0"/>
                <w:bCs/>
                <w:sz w:val="26"/>
                <w:szCs w:val="10"/>
              </w:rPr>
            </w:pPr>
            <w:r w:rsidRPr="00D06CF9">
              <w:rPr>
                <w:rFonts w:ascii="Noto Serif Light" w:hAnsi="Noto Serif Light" w:cs="Noto Serif Light"/>
                <w:b w:val="0"/>
                <w:bCs/>
                <w:sz w:val="26"/>
                <w:szCs w:val="10"/>
              </w:rPr>
              <w:t>O49</w:t>
            </w:r>
          </w:p>
        </w:tc>
      </w:tr>
      <w:tr w:rsidR="00D06CF9" w:rsidRPr="00D06CF9" w14:paraId="23DBA813" w14:textId="77777777" w:rsidTr="00D06CF9">
        <w:trPr>
          <w:trHeight w:val="431"/>
        </w:trPr>
        <w:tc>
          <w:tcPr>
            <w:tcW w:w="3681" w:type="dxa"/>
          </w:tcPr>
          <w:p w14:paraId="724F7281" w14:textId="15940D91" w:rsidR="00D06CF9" w:rsidRPr="00D06CF9" w:rsidRDefault="00D06CF9" w:rsidP="00015480">
            <w:pPr>
              <w:pStyle w:val="AbstractBookAuthorIndexLetterHeading"/>
              <w:rPr>
                <w:rFonts w:ascii="Noto Serif Light" w:hAnsi="Noto Serif Light" w:cs="Noto Serif Light"/>
                <w:b w:val="0"/>
                <w:bCs/>
                <w:sz w:val="26"/>
                <w:szCs w:val="10"/>
              </w:rPr>
            </w:pPr>
            <w:r w:rsidRPr="00D06CF9">
              <w:rPr>
                <w:rFonts w:ascii="Noto Serif Light" w:hAnsi="Noto Serif Light" w:cs="Noto Serif Light"/>
                <w:b w:val="0"/>
                <w:bCs/>
                <w:sz w:val="26"/>
                <w:szCs w:val="10"/>
              </w:rPr>
              <w:t>Wang, Guanyu</w:t>
            </w:r>
          </w:p>
        </w:tc>
        <w:tc>
          <w:tcPr>
            <w:tcW w:w="1276" w:type="dxa"/>
          </w:tcPr>
          <w:p w14:paraId="6CE8C369" w14:textId="1A6767CA" w:rsidR="00D06CF9" w:rsidRPr="00D06CF9" w:rsidRDefault="00D06CF9" w:rsidP="00015480">
            <w:pPr>
              <w:pStyle w:val="AbstractBookAuthorIndexLetterHeading"/>
              <w:rPr>
                <w:rFonts w:ascii="Noto Serif Light" w:hAnsi="Noto Serif Light" w:cs="Noto Serif Light"/>
                <w:b w:val="0"/>
                <w:bCs/>
                <w:sz w:val="26"/>
                <w:szCs w:val="10"/>
              </w:rPr>
            </w:pPr>
            <w:r w:rsidRPr="00D06CF9">
              <w:rPr>
                <w:rFonts w:ascii="Noto Serif Light" w:hAnsi="Noto Serif Light" w:cs="Noto Serif Light"/>
                <w:b w:val="0"/>
                <w:bCs/>
                <w:sz w:val="26"/>
                <w:szCs w:val="10"/>
              </w:rPr>
              <w:t>O47</w:t>
            </w:r>
          </w:p>
        </w:tc>
        <w:tc>
          <w:tcPr>
            <w:tcW w:w="452" w:type="dxa"/>
          </w:tcPr>
          <w:p w14:paraId="389D796C" w14:textId="77777777" w:rsidR="00D06CF9" w:rsidRPr="00D06CF9" w:rsidRDefault="00D06CF9" w:rsidP="00015480">
            <w:pPr>
              <w:pStyle w:val="AbstractBookAuthorIndexLetterHeading"/>
              <w:rPr>
                <w:rFonts w:ascii="Noto Serif Light" w:hAnsi="Noto Serif Light" w:cs="Noto Serif Light"/>
                <w:b w:val="0"/>
                <w:bCs/>
                <w:sz w:val="26"/>
                <w:szCs w:val="10"/>
              </w:rPr>
            </w:pPr>
          </w:p>
        </w:tc>
        <w:tc>
          <w:tcPr>
            <w:tcW w:w="2950" w:type="dxa"/>
          </w:tcPr>
          <w:p w14:paraId="0C47FBD4" w14:textId="036C57B1" w:rsidR="00D06CF9" w:rsidRPr="00D06CF9" w:rsidRDefault="00D06CF9" w:rsidP="00015480">
            <w:pPr>
              <w:pStyle w:val="AbstractBookAuthorIndexLetterHeading"/>
              <w:rPr>
                <w:rFonts w:ascii="Noto Serif Light" w:hAnsi="Noto Serif Light" w:cs="Noto Serif Light"/>
                <w:b w:val="0"/>
                <w:bCs/>
                <w:sz w:val="26"/>
                <w:szCs w:val="10"/>
              </w:rPr>
            </w:pPr>
            <w:r w:rsidRPr="00D06CF9">
              <w:rPr>
                <w:rFonts w:ascii="Noto Serif Light" w:hAnsi="Noto Serif Light" w:cs="Noto Serif Light"/>
                <w:b w:val="0"/>
                <w:bCs/>
                <w:sz w:val="26"/>
                <w:szCs w:val="10"/>
              </w:rPr>
              <w:t>Willis, Katharine</w:t>
            </w:r>
          </w:p>
        </w:tc>
        <w:tc>
          <w:tcPr>
            <w:tcW w:w="1417" w:type="dxa"/>
          </w:tcPr>
          <w:p w14:paraId="4094B474" w14:textId="10D89AA7" w:rsidR="00D06CF9" w:rsidRPr="00D06CF9" w:rsidRDefault="00D06CF9" w:rsidP="00015480">
            <w:pPr>
              <w:pStyle w:val="AbstractBookAuthorIndexLetterHeading"/>
              <w:rPr>
                <w:rFonts w:ascii="Noto Serif Light" w:hAnsi="Noto Serif Light" w:cs="Noto Serif Light"/>
                <w:b w:val="0"/>
                <w:bCs/>
                <w:sz w:val="26"/>
                <w:szCs w:val="10"/>
              </w:rPr>
            </w:pPr>
            <w:r>
              <w:rPr>
                <w:rFonts w:ascii="Noto Serif Light" w:hAnsi="Noto Serif Light" w:cs="Noto Serif Light"/>
                <w:b w:val="0"/>
                <w:bCs/>
                <w:sz w:val="26"/>
                <w:szCs w:val="10"/>
              </w:rPr>
              <w:t>O10</w:t>
            </w:r>
          </w:p>
        </w:tc>
      </w:tr>
      <w:tr w:rsidR="00D06CF9" w:rsidRPr="00D06CF9" w14:paraId="2C69A871" w14:textId="77777777" w:rsidTr="00D06CF9">
        <w:trPr>
          <w:trHeight w:val="543"/>
        </w:trPr>
        <w:tc>
          <w:tcPr>
            <w:tcW w:w="3681" w:type="dxa"/>
          </w:tcPr>
          <w:p w14:paraId="3CCBA3E4" w14:textId="0CB87F64" w:rsidR="00D06CF9" w:rsidRPr="00D06CF9" w:rsidRDefault="00D06CF9" w:rsidP="00015480">
            <w:pPr>
              <w:pStyle w:val="AbstractBookAuthorIndexLetterHeading"/>
              <w:rPr>
                <w:rFonts w:ascii="Noto Serif Light" w:hAnsi="Noto Serif Light" w:cs="Noto Serif Light"/>
                <w:b w:val="0"/>
                <w:bCs/>
                <w:sz w:val="26"/>
                <w:szCs w:val="10"/>
              </w:rPr>
            </w:pPr>
            <w:r w:rsidRPr="00D06CF9">
              <w:rPr>
                <w:rFonts w:ascii="Noto Serif Light" w:hAnsi="Noto Serif Light" w:cs="Noto Serif Light"/>
                <w:b w:val="0"/>
                <w:bCs/>
                <w:sz w:val="26"/>
                <w:szCs w:val="10"/>
              </w:rPr>
              <w:t>Wang, Ziqing</w:t>
            </w:r>
          </w:p>
        </w:tc>
        <w:tc>
          <w:tcPr>
            <w:tcW w:w="1276" w:type="dxa"/>
          </w:tcPr>
          <w:p w14:paraId="6B5B2423" w14:textId="61B11754" w:rsidR="00D06CF9" w:rsidRPr="00D06CF9" w:rsidRDefault="00D06CF9" w:rsidP="00015480">
            <w:pPr>
              <w:pStyle w:val="AbstractBookAuthorIndexLetterHeading"/>
              <w:rPr>
                <w:rFonts w:ascii="Noto Serif Light" w:hAnsi="Noto Serif Light" w:cs="Noto Serif Light"/>
                <w:b w:val="0"/>
                <w:bCs/>
                <w:sz w:val="26"/>
                <w:szCs w:val="10"/>
              </w:rPr>
            </w:pPr>
            <w:r w:rsidRPr="00D06CF9">
              <w:rPr>
                <w:rFonts w:ascii="Noto Serif Light" w:hAnsi="Noto Serif Light" w:cs="Noto Serif Light"/>
                <w:b w:val="0"/>
                <w:bCs/>
                <w:sz w:val="26"/>
                <w:szCs w:val="10"/>
              </w:rPr>
              <w:t>O66</w:t>
            </w:r>
          </w:p>
        </w:tc>
        <w:tc>
          <w:tcPr>
            <w:tcW w:w="452" w:type="dxa"/>
          </w:tcPr>
          <w:p w14:paraId="22864967" w14:textId="77777777" w:rsidR="00D06CF9" w:rsidRPr="00D06CF9" w:rsidRDefault="00D06CF9" w:rsidP="00015480">
            <w:pPr>
              <w:pStyle w:val="AbstractBookAuthorIndexLetterHeading"/>
              <w:rPr>
                <w:rFonts w:ascii="Noto Serif Light" w:hAnsi="Noto Serif Light" w:cs="Noto Serif Light"/>
                <w:b w:val="0"/>
                <w:bCs/>
                <w:sz w:val="26"/>
                <w:szCs w:val="10"/>
              </w:rPr>
            </w:pPr>
          </w:p>
        </w:tc>
        <w:tc>
          <w:tcPr>
            <w:tcW w:w="2950" w:type="dxa"/>
          </w:tcPr>
          <w:p w14:paraId="14BAC378" w14:textId="06CFEEF1" w:rsidR="00D06CF9" w:rsidRPr="00D06CF9" w:rsidRDefault="00D06CF9" w:rsidP="00015480">
            <w:pPr>
              <w:pStyle w:val="AbstractBookAuthorIndexLetterHeading"/>
              <w:rPr>
                <w:rFonts w:ascii="Noto Serif Light" w:hAnsi="Noto Serif Light" w:cs="Noto Serif Light"/>
                <w:b w:val="0"/>
                <w:bCs/>
                <w:sz w:val="26"/>
                <w:szCs w:val="10"/>
              </w:rPr>
            </w:pPr>
            <w:r w:rsidRPr="00D06CF9">
              <w:rPr>
                <w:rFonts w:ascii="Noto Serif Light" w:hAnsi="Noto Serif Light" w:cs="Noto Serif Light"/>
                <w:b w:val="0"/>
                <w:bCs/>
                <w:sz w:val="26"/>
                <w:szCs w:val="10"/>
              </w:rPr>
              <w:t>Wood, James</w:t>
            </w:r>
          </w:p>
        </w:tc>
        <w:tc>
          <w:tcPr>
            <w:tcW w:w="1417" w:type="dxa"/>
          </w:tcPr>
          <w:p w14:paraId="5BE99E45" w14:textId="68F24947" w:rsidR="00D06CF9" w:rsidRPr="00D06CF9" w:rsidRDefault="00D06CF9" w:rsidP="00015480">
            <w:pPr>
              <w:pStyle w:val="AbstractBookAuthorIndexLetterHeading"/>
              <w:rPr>
                <w:rFonts w:ascii="Noto Serif Light" w:hAnsi="Noto Serif Light" w:cs="Noto Serif Light"/>
                <w:b w:val="0"/>
                <w:bCs/>
                <w:sz w:val="26"/>
                <w:szCs w:val="10"/>
              </w:rPr>
            </w:pPr>
            <w:r>
              <w:rPr>
                <w:rFonts w:ascii="Noto Serif Light" w:hAnsi="Noto Serif Light" w:cs="Noto Serif Light"/>
                <w:b w:val="0"/>
                <w:bCs/>
                <w:sz w:val="26"/>
                <w:szCs w:val="10"/>
              </w:rPr>
              <w:t>O53</w:t>
            </w:r>
          </w:p>
        </w:tc>
      </w:tr>
    </w:tbl>
    <w:p w14:paraId="367237CB" w14:textId="77777777" w:rsidR="00D06CF9" w:rsidRPr="00015480" w:rsidRDefault="00D06CF9" w:rsidP="00015480">
      <w:pPr>
        <w:pStyle w:val="AbstractBookAuthorIndexLetterHeading"/>
        <w:rPr>
          <w:rFonts w:ascii="Noto Serif Light" w:hAnsi="Noto Serif Light" w:cs="Noto Serif Light"/>
        </w:rPr>
      </w:pPr>
    </w:p>
    <w:p w14:paraId="389CA19A" w14:textId="77777777"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Y</w:t>
      </w:r>
    </w:p>
    <w:p w14:paraId="42567D9D" w14:textId="77777777" w:rsidR="00D06CF9" w:rsidRPr="00015480" w:rsidRDefault="00D06CF9" w:rsidP="00015480">
      <w:pPr>
        <w:pStyle w:val="AbstractBookAuthorIndexLetterHeading"/>
        <w:rPr>
          <w:rFonts w:ascii="Noto Serif Light" w:hAnsi="Noto Serif Light" w:cs="Noto Serif Light"/>
        </w:rPr>
      </w:pPr>
    </w:p>
    <w:tbl>
      <w:tblPr>
        <w:tblW w:w="5421" w:type="pct"/>
        <w:tblLook w:val="0600" w:firstRow="0" w:lastRow="0" w:firstColumn="0" w:lastColumn="0" w:noHBand="1" w:noVBand="1"/>
      </w:tblPr>
      <w:tblGrid>
        <w:gridCol w:w="3686"/>
        <w:gridCol w:w="1277"/>
        <w:gridCol w:w="406"/>
        <w:gridCol w:w="2999"/>
        <w:gridCol w:w="1418"/>
      </w:tblGrid>
      <w:tr w:rsidR="00015480" w:rsidRPr="00015480" w14:paraId="2DD581CE" w14:textId="77777777" w:rsidTr="00D06CF9">
        <w:tc>
          <w:tcPr>
            <w:tcW w:w="3681" w:type="dxa"/>
          </w:tcPr>
          <w:p w14:paraId="6BF05E45"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Yuan, Pei-Yu</w:t>
            </w:r>
          </w:p>
        </w:tc>
        <w:tc>
          <w:tcPr>
            <w:tcW w:w="1276" w:type="dxa"/>
          </w:tcPr>
          <w:p w14:paraId="7F5D6849"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O68</w:t>
            </w:r>
          </w:p>
        </w:tc>
        <w:tc>
          <w:tcPr>
            <w:tcW w:w="406" w:type="dxa"/>
          </w:tcPr>
          <w:p w14:paraId="3D76B606" w14:textId="77777777" w:rsidR="00015480" w:rsidRPr="00015480" w:rsidRDefault="00015480" w:rsidP="00C96EB7">
            <w:pPr>
              <w:rPr>
                <w:rFonts w:ascii="Noto Serif Light" w:hAnsi="Noto Serif Light" w:cs="Noto Serif Light"/>
              </w:rPr>
            </w:pPr>
          </w:p>
        </w:tc>
        <w:tc>
          <w:tcPr>
            <w:tcW w:w="2996" w:type="dxa"/>
          </w:tcPr>
          <w:p w14:paraId="0E31E79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Yuan, Xiaocan</w:t>
            </w:r>
          </w:p>
        </w:tc>
        <w:tc>
          <w:tcPr>
            <w:tcW w:w="1416" w:type="dxa"/>
          </w:tcPr>
          <w:p w14:paraId="2B8F26F0"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O38</w:t>
            </w:r>
          </w:p>
        </w:tc>
      </w:tr>
    </w:tbl>
    <w:p w14:paraId="0FC55456" w14:textId="77777777" w:rsidR="00D06CF9" w:rsidRDefault="00D06CF9" w:rsidP="00015480">
      <w:pPr>
        <w:pStyle w:val="AbstractBookAuthorIndexLetterHeading"/>
        <w:rPr>
          <w:rFonts w:ascii="Noto Serif Light" w:hAnsi="Noto Serif Light" w:cs="Noto Serif Light"/>
        </w:rPr>
      </w:pPr>
    </w:p>
    <w:p w14:paraId="72E193A6" w14:textId="0B1DC2C2" w:rsidR="00015480" w:rsidRDefault="00015480" w:rsidP="00015480">
      <w:pPr>
        <w:pStyle w:val="AbstractBookAuthorIndexLetterHeading"/>
        <w:rPr>
          <w:rFonts w:ascii="Noto Serif Light" w:hAnsi="Noto Serif Light" w:cs="Noto Serif Light"/>
        </w:rPr>
      </w:pPr>
      <w:r w:rsidRPr="00015480">
        <w:rPr>
          <w:rFonts w:ascii="Noto Serif Light" w:hAnsi="Noto Serif Light" w:cs="Noto Serif Light"/>
        </w:rPr>
        <w:t>Z</w:t>
      </w:r>
    </w:p>
    <w:p w14:paraId="7DC769B5" w14:textId="77777777" w:rsidR="00D06CF9" w:rsidRPr="00015480" w:rsidRDefault="00D06CF9" w:rsidP="00015480">
      <w:pPr>
        <w:pStyle w:val="AbstractBookAuthorIndexLetterHeading"/>
        <w:rPr>
          <w:rFonts w:ascii="Noto Serif Light" w:hAnsi="Noto Serif Light" w:cs="Noto Serif Light"/>
        </w:rPr>
      </w:pPr>
    </w:p>
    <w:tbl>
      <w:tblPr>
        <w:tblW w:w="5343" w:type="pct"/>
        <w:tblLook w:val="0600" w:firstRow="0" w:lastRow="0" w:firstColumn="0" w:lastColumn="0" w:noHBand="1" w:noVBand="1"/>
      </w:tblPr>
      <w:tblGrid>
        <w:gridCol w:w="3828"/>
        <w:gridCol w:w="1277"/>
        <w:gridCol w:w="274"/>
        <w:gridCol w:w="2990"/>
        <w:gridCol w:w="1276"/>
      </w:tblGrid>
      <w:tr w:rsidR="00015480" w:rsidRPr="00015480" w14:paraId="59D6D1AC" w14:textId="77777777" w:rsidTr="00D06CF9">
        <w:tc>
          <w:tcPr>
            <w:tcW w:w="3823" w:type="dxa"/>
          </w:tcPr>
          <w:p w14:paraId="52EA4303"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Zaghow, Lukas</w:t>
            </w:r>
          </w:p>
        </w:tc>
        <w:tc>
          <w:tcPr>
            <w:tcW w:w="1275" w:type="dxa"/>
          </w:tcPr>
          <w:p w14:paraId="00199FBD"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O23</w:t>
            </w:r>
          </w:p>
        </w:tc>
        <w:tc>
          <w:tcPr>
            <w:tcW w:w="274" w:type="dxa"/>
          </w:tcPr>
          <w:p w14:paraId="7211BA5F" w14:textId="77777777" w:rsidR="00015480" w:rsidRPr="00015480" w:rsidRDefault="00015480" w:rsidP="00C96EB7">
            <w:pPr>
              <w:rPr>
                <w:rFonts w:ascii="Noto Serif Light" w:hAnsi="Noto Serif Light" w:cs="Noto Serif Light"/>
              </w:rPr>
            </w:pPr>
          </w:p>
        </w:tc>
        <w:tc>
          <w:tcPr>
            <w:tcW w:w="2987" w:type="dxa"/>
          </w:tcPr>
          <w:p w14:paraId="2D27CEDE"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Ziembla, Matt</w:t>
            </w:r>
          </w:p>
        </w:tc>
        <w:tc>
          <w:tcPr>
            <w:tcW w:w="1275" w:type="dxa"/>
          </w:tcPr>
          <w:p w14:paraId="6B37E19A"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O56</w:t>
            </w:r>
          </w:p>
        </w:tc>
      </w:tr>
      <w:tr w:rsidR="00015480" w:rsidRPr="00015480" w14:paraId="5AD81BD9" w14:textId="77777777" w:rsidTr="00D06CF9">
        <w:tc>
          <w:tcPr>
            <w:tcW w:w="3823" w:type="dxa"/>
          </w:tcPr>
          <w:p w14:paraId="21368FB9"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Zhang, Xenia</w:t>
            </w:r>
          </w:p>
        </w:tc>
        <w:tc>
          <w:tcPr>
            <w:tcW w:w="1275" w:type="dxa"/>
          </w:tcPr>
          <w:p w14:paraId="453476B0" w14:textId="77777777" w:rsidR="00015480" w:rsidRPr="00015480" w:rsidRDefault="00015480" w:rsidP="00C96EB7">
            <w:pPr>
              <w:pStyle w:val="AbstractBookAuthorIndex"/>
              <w:rPr>
                <w:rFonts w:ascii="Noto Serif Light" w:hAnsi="Noto Serif Light" w:cs="Noto Serif Light"/>
              </w:rPr>
            </w:pPr>
            <w:r w:rsidRPr="00015480">
              <w:rPr>
                <w:rFonts w:ascii="Noto Serif Light" w:hAnsi="Noto Serif Light" w:cs="Noto Serif Light"/>
              </w:rPr>
              <w:t>O36</w:t>
            </w:r>
          </w:p>
        </w:tc>
        <w:tc>
          <w:tcPr>
            <w:tcW w:w="274" w:type="dxa"/>
          </w:tcPr>
          <w:p w14:paraId="08BA068C" w14:textId="77777777" w:rsidR="00015480" w:rsidRPr="00015480" w:rsidRDefault="00015480" w:rsidP="00C96EB7">
            <w:pPr>
              <w:rPr>
                <w:rFonts w:ascii="Noto Serif Light" w:hAnsi="Noto Serif Light" w:cs="Noto Serif Light"/>
              </w:rPr>
            </w:pPr>
          </w:p>
        </w:tc>
        <w:tc>
          <w:tcPr>
            <w:tcW w:w="2987" w:type="dxa"/>
          </w:tcPr>
          <w:p w14:paraId="6399DCB5" w14:textId="77777777" w:rsidR="00015480" w:rsidRPr="00015480" w:rsidRDefault="00015480" w:rsidP="00C96EB7">
            <w:pPr>
              <w:rPr>
                <w:rFonts w:ascii="Noto Serif Light" w:hAnsi="Noto Serif Light" w:cs="Noto Serif Light"/>
              </w:rPr>
            </w:pPr>
          </w:p>
        </w:tc>
        <w:tc>
          <w:tcPr>
            <w:tcW w:w="1275" w:type="dxa"/>
          </w:tcPr>
          <w:p w14:paraId="20B50045" w14:textId="77777777" w:rsidR="00015480" w:rsidRPr="00015480" w:rsidRDefault="00015480" w:rsidP="00C96EB7">
            <w:pPr>
              <w:rPr>
                <w:rFonts w:ascii="Noto Serif Light" w:hAnsi="Noto Serif Light" w:cs="Noto Serif Light"/>
              </w:rPr>
            </w:pPr>
          </w:p>
        </w:tc>
      </w:tr>
    </w:tbl>
    <w:p w14:paraId="37F48B50" w14:textId="77777777" w:rsidR="00015480" w:rsidRPr="00015480" w:rsidRDefault="00015480" w:rsidP="00015480">
      <w:pPr>
        <w:pStyle w:val="ABParagraph"/>
      </w:pPr>
    </w:p>
    <w:sectPr w:rsidR="00015480" w:rsidRPr="00015480" w:rsidSect="006B592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3" w:author="Elise Blakemore (Conferences and Events)" w:date="2026-08-21T14:44:00Z" w:initials="EB">
    <w:p w14:paraId="085F0EBD" w14:textId="77777777" w:rsidR="00CE1F6A" w:rsidRDefault="00CE1F6A" w:rsidP="004B794E">
      <w:pPr>
        <w:pStyle w:val="CommentText"/>
      </w:pPr>
      <w:r>
        <w:rPr>
          <w:rStyle w:val="CommentReference"/>
        </w:rPr>
        <w:annotationRef/>
      </w:r>
      <w:r>
        <w:t>Needs affiliations - emailed 21/08</w:t>
      </w:r>
    </w:p>
  </w:comment>
  <w:comment w:id="24" w:author="Elise Blakemore (Conferences and Events)" w:date="2026-08-21T14:16:00Z" w:initials="EB">
    <w:p w14:paraId="54DAE8B9" w14:textId="77777777" w:rsidR="002D52B2" w:rsidRDefault="002D52B2" w:rsidP="000F6F39">
      <w:pPr>
        <w:pStyle w:val="CommentText"/>
      </w:pPr>
      <w:r>
        <w:rPr>
          <w:rStyle w:val="CommentReference"/>
        </w:rPr>
        <w:annotationRef/>
      </w:r>
      <w:r>
        <w:t>Needs affiliation - emailed 21/08</w:t>
      </w:r>
    </w:p>
  </w:comment>
  <w:comment w:id="25" w:author="Elise Blakemore (Conferences and Events)" w:date="2026-08-21T13:14:00Z" w:initials="EB">
    <w:p w14:paraId="71A7DA9F" w14:textId="77777777" w:rsidR="00390C9C" w:rsidRDefault="00390C9C" w:rsidP="00053AC6">
      <w:pPr>
        <w:pStyle w:val="CommentText"/>
      </w:pPr>
      <w:r>
        <w:rPr>
          <w:rStyle w:val="CommentReference"/>
        </w:rPr>
        <w:annotationRef/>
      </w:r>
      <w:r>
        <w:t>Needs affiliation - emailed 21/08</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85F0EBD" w15:done="0"/>
  <w15:commentEx w15:paraId="54DAE8B9" w15:done="0"/>
  <w15:commentEx w15:paraId="71A7DA9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BFD8B6" w16cex:dateUtc="2026-08-21T13:44:00Z"/>
  <w16cex:commentExtensible w16cex:durableId="3C8083D6" w16cex:dateUtc="2026-08-21T13:16:00Z"/>
  <w16cex:commentExtensible w16cex:durableId="3A062058" w16cex:dateUtc="2026-08-21T12: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85F0EBD" w16cid:durableId="16BFD8B6"/>
  <w16cid:commentId w16cid:paraId="54DAE8B9" w16cid:durableId="3C8083D6"/>
  <w16cid:commentId w16cid:paraId="71A7DA9F" w16cid:durableId="3A0620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E92FF" w14:textId="77777777" w:rsidR="00786AAA" w:rsidRDefault="00786AAA" w:rsidP="00263DBC">
      <w:pPr>
        <w:spacing w:after="0" w:line="240" w:lineRule="auto"/>
      </w:pPr>
      <w:r>
        <w:separator/>
      </w:r>
    </w:p>
  </w:endnote>
  <w:endnote w:type="continuationSeparator" w:id="0">
    <w:p w14:paraId="5CB30A62" w14:textId="77777777" w:rsidR="00786AAA" w:rsidRDefault="00786AAA" w:rsidP="00263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erif Light">
    <w:altName w:val="Cambria"/>
    <w:charset w:val="00"/>
    <w:family w:val="roman"/>
    <w:pitch w:val="variable"/>
    <w:sig w:usb0="E00002FF" w:usb1="4000201F" w:usb2="08000029" w:usb3="00000000" w:csb0="0000019F" w:csb1="00000000"/>
  </w:font>
  <w:font w:name="Calibri (Body)">
    <w:altName w:val="Calibr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Heading)">
    <w:altName w:val="Calibri Light"/>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anrope">
    <w:altName w:val="Calibri"/>
    <w:charset w:val="00"/>
    <w:family w:val="auto"/>
    <w:pitch w:val="variable"/>
    <w:sig w:usb0="A00002BF" w:usb1="5000206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9065084"/>
      <w:docPartObj>
        <w:docPartGallery w:val="Page Numbers (Bottom of Page)"/>
        <w:docPartUnique/>
      </w:docPartObj>
    </w:sdtPr>
    <w:sdtEndPr>
      <w:rPr>
        <w:rFonts w:ascii="Noto Serif Light" w:hAnsi="Noto Serif Light" w:cs="Noto Serif Light"/>
        <w:color w:val="808080" w:themeColor="background1" w:themeShade="80"/>
        <w:spacing w:val="60"/>
      </w:rPr>
    </w:sdtEndPr>
    <w:sdtContent>
      <w:p w14:paraId="4A7052E6" w14:textId="25BB40DA" w:rsidR="00263DBC" w:rsidRPr="00BC21C0" w:rsidRDefault="00263DBC">
        <w:pPr>
          <w:pStyle w:val="Footer"/>
          <w:pBdr>
            <w:top w:val="single" w:sz="4" w:space="1" w:color="D9D9D9" w:themeColor="background1" w:themeShade="D9"/>
          </w:pBdr>
          <w:rPr>
            <w:rFonts w:ascii="Noto Serif Light" w:hAnsi="Noto Serif Light" w:cs="Noto Serif Light"/>
            <w:color w:val="808080" w:themeColor="background1" w:themeShade="80"/>
          </w:rPr>
        </w:pPr>
        <w:r w:rsidRPr="00263DBC">
          <w:rPr>
            <w:rFonts w:ascii="Noto Serif Light" w:hAnsi="Noto Serif Light" w:cs="Noto Serif Light"/>
            <w:b/>
            <w:bCs/>
            <w:color w:val="690E0D"/>
          </w:rPr>
          <w:fldChar w:fldCharType="begin"/>
        </w:r>
        <w:r w:rsidRPr="00263DBC">
          <w:rPr>
            <w:rFonts w:ascii="Noto Serif Light" w:hAnsi="Noto Serif Light" w:cs="Noto Serif Light"/>
            <w:b/>
            <w:bCs/>
            <w:color w:val="690E0D"/>
          </w:rPr>
          <w:instrText>PAGE   \* MERGEFORMAT</w:instrText>
        </w:r>
        <w:r w:rsidRPr="00263DBC">
          <w:rPr>
            <w:rFonts w:ascii="Noto Serif Light" w:hAnsi="Noto Serif Light" w:cs="Noto Serif Light"/>
            <w:b/>
            <w:bCs/>
            <w:color w:val="690E0D"/>
          </w:rPr>
          <w:fldChar w:fldCharType="separate"/>
        </w:r>
        <w:r w:rsidRPr="00263DBC">
          <w:rPr>
            <w:rFonts w:ascii="Noto Serif Light" w:hAnsi="Noto Serif Light" w:cs="Noto Serif Light"/>
            <w:b/>
            <w:bCs/>
            <w:color w:val="690E0D"/>
          </w:rPr>
          <w:t>2</w:t>
        </w:r>
        <w:r w:rsidRPr="00263DBC">
          <w:rPr>
            <w:rFonts w:ascii="Noto Serif Light" w:hAnsi="Noto Serif Light" w:cs="Noto Serif Light"/>
            <w:b/>
            <w:bCs/>
            <w:color w:val="690E0D"/>
          </w:rPr>
          <w:fldChar w:fldCharType="end"/>
        </w:r>
        <w:r w:rsidRPr="00263DBC">
          <w:rPr>
            <w:rFonts w:ascii="Noto Serif Light" w:hAnsi="Noto Serif Light" w:cs="Noto Serif Light"/>
            <w:b/>
            <w:bCs/>
            <w:color w:val="690E0D"/>
          </w:rPr>
          <w:t xml:space="preserve">  </w:t>
        </w:r>
        <w:r w:rsidRPr="00CC5C3F">
          <w:rPr>
            <w:rFonts w:ascii="Noto Serif Light" w:hAnsi="Noto Serif Light" w:cs="Noto Serif Light"/>
            <w:color w:val="808080" w:themeColor="background1" w:themeShade="80"/>
          </w:rPr>
          <w:t xml:space="preserve">| </w:t>
        </w:r>
        <w:r w:rsidRPr="00BC21C0">
          <w:rPr>
            <w:rFonts w:ascii="Noto Serif Light" w:hAnsi="Noto Serif Light" w:cs="Noto Serif Light"/>
            <w:color w:val="808080" w:themeColor="background1" w:themeShade="80"/>
          </w:rPr>
          <w:t xml:space="preserve"> 20</w:t>
        </w:r>
        <w:r w:rsidRPr="00BC21C0">
          <w:rPr>
            <w:rFonts w:ascii="Noto Serif Light" w:hAnsi="Noto Serif Light" w:cs="Noto Serif Light"/>
            <w:color w:val="808080" w:themeColor="background1" w:themeShade="80"/>
            <w:vertAlign w:val="superscript"/>
          </w:rPr>
          <w:t>th</w:t>
        </w:r>
        <w:r w:rsidRPr="00BC21C0">
          <w:rPr>
            <w:rFonts w:ascii="Noto Serif Light" w:hAnsi="Noto Serif Light" w:cs="Noto Serif Light"/>
            <w:color w:val="808080" w:themeColor="background1" w:themeShade="80"/>
          </w:rPr>
          <w:t xml:space="preserve"> Regional Innovation Policies Conference 2026</w:t>
        </w:r>
      </w:p>
    </w:sdtContent>
  </w:sdt>
  <w:p w14:paraId="6B149E4A" w14:textId="77777777" w:rsidR="00263DBC" w:rsidRDefault="00263D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24E6F" w14:textId="77777777" w:rsidR="00786AAA" w:rsidRDefault="00786AAA" w:rsidP="00263DBC">
      <w:pPr>
        <w:spacing w:after="0" w:line="240" w:lineRule="auto"/>
      </w:pPr>
      <w:r>
        <w:separator/>
      </w:r>
    </w:p>
  </w:footnote>
  <w:footnote w:type="continuationSeparator" w:id="0">
    <w:p w14:paraId="02C89EEA" w14:textId="77777777" w:rsidR="00786AAA" w:rsidRDefault="00786AAA" w:rsidP="00263D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3856"/>
    <w:multiLevelType w:val="hybridMultilevel"/>
    <w:tmpl w:val="01BE5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42791A"/>
    <w:multiLevelType w:val="hybridMultilevel"/>
    <w:tmpl w:val="2E3AD370"/>
    <w:lvl w:ilvl="0" w:tplc="08090001">
      <w:start w:val="1"/>
      <w:numFmt w:val="bullet"/>
      <w:lvlText w:val=""/>
      <w:lvlJc w:val="left"/>
      <w:pPr>
        <w:ind w:left="720" w:hanging="360"/>
      </w:pPr>
      <w:rPr>
        <w:rFonts w:ascii="Symbol" w:hAnsi="Symbol" w:hint="default"/>
      </w:rPr>
    </w:lvl>
    <w:lvl w:ilvl="1" w:tplc="0CF2F4FC">
      <w:numFmt w:val="bullet"/>
      <w:lvlText w:val="•"/>
      <w:lvlJc w:val="left"/>
      <w:pPr>
        <w:ind w:left="1800" w:hanging="720"/>
      </w:pPr>
      <w:rPr>
        <w:rFonts w:ascii="Noto Serif Light" w:eastAsia="Calibri (Body)" w:hAnsi="Noto Serif Light" w:cs="Noto Serif Light"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9A4A1D"/>
    <w:multiLevelType w:val="hybridMultilevel"/>
    <w:tmpl w:val="21DA28CC"/>
    <w:lvl w:ilvl="0" w:tplc="A7B202A8">
      <w:start w:val="1"/>
      <w:numFmt w:val="bullet"/>
      <w:lvlText w:val=""/>
      <w:lvlJc w:val="left"/>
      <w:pPr>
        <w:ind w:left="720" w:hanging="6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76D2E"/>
    <w:multiLevelType w:val="hybridMultilevel"/>
    <w:tmpl w:val="B2064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50514"/>
    <w:multiLevelType w:val="hybridMultilevel"/>
    <w:tmpl w:val="F02A2C80"/>
    <w:lvl w:ilvl="0" w:tplc="A7B202A8">
      <w:start w:val="1"/>
      <w:numFmt w:val="bullet"/>
      <w:lvlText w:val=""/>
      <w:lvlJc w:val="left"/>
      <w:pPr>
        <w:ind w:left="720" w:hanging="6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43609C"/>
    <w:multiLevelType w:val="hybridMultilevel"/>
    <w:tmpl w:val="04884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141C51"/>
    <w:multiLevelType w:val="hybridMultilevel"/>
    <w:tmpl w:val="01B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460A0A"/>
    <w:multiLevelType w:val="hybridMultilevel"/>
    <w:tmpl w:val="A5F05864"/>
    <w:lvl w:ilvl="0" w:tplc="A7B202A8">
      <w:start w:val="1"/>
      <w:numFmt w:val="bullet"/>
      <w:lvlText w:val=""/>
      <w:lvlJc w:val="left"/>
      <w:pPr>
        <w:ind w:left="720" w:hanging="6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936443"/>
    <w:multiLevelType w:val="hybridMultilevel"/>
    <w:tmpl w:val="31D2D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F15886"/>
    <w:multiLevelType w:val="hybridMultilevel"/>
    <w:tmpl w:val="927E5A3A"/>
    <w:lvl w:ilvl="0" w:tplc="A7B202A8">
      <w:start w:val="1"/>
      <w:numFmt w:val="bullet"/>
      <w:lvlText w:val=""/>
      <w:lvlJc w:val="left"/>
      <w:pPr>
        <w:ind w:left="720" w:hanging="6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22383B"/>
    <w:multiLevelType w:val="hybridMultilevel"/>
    <w:tmpl w:val="CE2060A2"/>
    <w:lvl w:ilvl="0" w:tplc="A7B202A8">
      <w:start w:val="1"/>
      <w:numFmt w:val="bullet"/>
      <w:lvlText w:val=""/>
      <w:lvlJc w:val="left"/>
      <w:pPr>
        <w:ind w:left="720" w:hanging="6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BA3DA5"/>
    <w:multiLevelType w:val="hybridMultilevel"/>
    <w:tmpl w:val="50E49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0E3664"/>
    <w:multiLevelType w:val="hybridMultilevel"/>
    <w:tmpl w:val="933A7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59477E"/>
    <w:multiLevelType w:val="hybridMultilevel"/>
    <w:tmpl w:val="BD32B662"/>
    <w:lvl w:ilvl="0" w:tplc="A7B202A8">
      <w:start w:val="1"/>
      <w:numFmt w:val="bullet"/>
      <w:lvlText w:val=""/>
      <w:lvlJc w:val="left"/>
      <w:pPr>
        <w:ind w:left="720" w:hanging="6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772907"/>
    <w:multiLevelType w:val="hybridMultilevel"/>
    <w:tmpl w:val="5FC2F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B5794D"/>
    <w:multiLevelType w:val="hybridMultilevel"/>
    <w:tmpl w:val="92C62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5D69ED"/>
    <w:multiLevelType w:val="hybridMultilevel"/>
    <w:tmpl w:val="FF667FDE"/>
    <w:lvl w:ilvl="0" w:tplc="A7B202A8">
      <w:start w:val="1"/>
      <w:numFmt w:val="bullet"/>
      <w:lvlText w:val=""/>
      <w:lvlJc w:val="left"/>
      <w:pPr>
        <w:ind w:left="720" w:hanging="6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6D7A1B"/>
    <w:multiLevelType w:val="hybridMultilevel"/>
    <w:tmpl w:val="EDD23314"/>
    <w:lvl w:ilvl="0" w:tplc="A7B202A8">
      <w:start w:val="1"/>
      <w:numFmt w:val="bullet"/>
      <w:lvlText w:val=""/>
      <w:lvlJc w:val="left"/>
      <w:pPr>
        <w:ind w:left="720" w:hanging="663"/>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B7A55F1"/>
    <w:multiLevelType w:val="hybridMultilevel"/>
    <w:tmpl w:val="885A5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542AB5"/>
    <w:multiLevelType w:val="hybridMultilevel"/>
    <w:tmpl w:val="5756FD42"/>
    <w:lvl w:ilvl="0" w:tplc="A7B202A8">
      <w:start w:val="1"/>
      <w:numFmt w:val="bullet"/>
      <w:lvlText w:val=""/>
      <w:lvlJc w:val="left"/>
      <w:pPr>
        <w:ind w:left="720" w:hanging="6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1F1993"/>
    <w:multiLevelType w:val="hybridMultilevel"/>
    <w:tmpl w:val="B6DA4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411F17"/>
    <w:multiLevelType w:val="hybridMultilevel"/>
    <w:tmpl w:val="B6D82D7C"/>
    <w:lvl w:ilvl="0" w:tplc="A7B202A8">
      <w:start w:val="1"/>
      <w:numFmt w:val="bullet"/>
      <w:lvlText w:val=""/>
      <w:lvlJc w:val="left"/>
      <w:pPr>
        <w:ind w:left="720" w:hanging="6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CC794A"/>
    <w:multiLevelType w:val="hybridMultilevel"/>
    <w:tmpl w:val="B4163086"/>
    <w:lvl w:ilvl="0" w:tplc="A7B202A8">
      <w:start w:val="1"/>
      <w:numFmt w:val="bullet"/>
      <w:lvlText w:val=""/>
      <w:lvlJc w:val="left"/>
      <w:pPr>
        <w:ind w:left="720" w:hanging="6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9C5A86"/>
    <w:multiLevelType w:val="hybridMultilevel"/>
    <w:tmpl w:val="02A2709A"/>
    <w:lvl w:ilvl="0" w:tplc="A7B202A8">
      <w:start w:val="1"/>
      <w:numFmt w:val="bullet"/>
      <w:lvlText w:val=""/>
      <w:lvlJc w:val="left"/>
      <w:pPr>
        <w:ind w:left="720" w:hanging="6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2E3086"/>
    <w:multiLevelType w:val="hybridMultilevel"/>
    <w:tmpl w:val="685C2056"/>
    <w:lvl w:ilvl="0" w:tplc="A7B202A8">
      <w:start w:val="1"/>
      <w:numFmt w:val="bullet"/>
      <w:lvlText w:val=""/>
      <w:lvlJc w:val="left"/>
      <w:pPr>
        <w:ind w:left="720" w:hanging="6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3760BD"/>
    <w:multiLevelType w:val="hybridMultilevel"/>
    <w:tmpl w:val="0770BEC2"/>
    <w:lvl w:ilvl="0" w:tplc="A7B202A8">
      <w:start w:val="1"/>
      <w:numFmt w:val="bullet"/>
      <w:lvlText w:val=""/>
      <w:lvlJc w:val="left"/>
      <w:pPr>
        <w:ind w:left="720" w:hanging="6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450DC1"/>
    <w:multiLevelType w:val="hybridMultilevel"/>
    <w:tmpl w:val="9482C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E21EA1"/>
    <w:multiLevelType w:val="hybridMultilevel"/>
    <w:tmpl w:val="942CE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D9117A"/>
    <w:multiLevelType w:val="hybridMultilevel"/>
    <w:tmpl w:val="4BF8E1BA"/>
    <w:lvl w:ilvl="0" w:tplc="A7B202A8">
      <w:start w:val="1"/>
      <w:numFmt w:val="bullet"/>
      <w:lvlText w:val=""/>
      <w:lvlJc w:val="left"/>
      <w:pPr>
        <w:ind w:left="720" w:hanging="6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FE03E8"/>
    <w:multiLevelType w:val="hybridMultilevel"/>
    <w:tmpl w:val="2842F8B0"/>
    <w:lvl w:ilvl="0" w:tplc="A7B202A8">
      <w:start w:val="1"/>
      <w:numFmt w:val="bullet"/>
      <w:lvlText w:val=""/>
      <w:lvlJc w:val="left"/>
      <w:pPr>
        <w:ind w:left="720" w:hanging="6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BE11CF"/>
    <w:multiLevelType w:val="hybridMultilevel"/>
    <w:tmpl w:val="B0CE824C"/>
    <w:lvl w:ilvl="0" w:tplc="A7B202A8">
      <w:start w:val="1"/>
      <w:numFmt w:val="bullet"/>
      <w:lvlText w:val=""/>
      <w:lvlJc w:val="left"/>
      <w:pPr>
        <w:ind w:left="720" w:hanging="6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203D2C"/>
    <w:multiLevelType w:val="hybridMultilevel"/>
    <w:tmpl w:val="25DCF23C"/>
    <w:lvl w:ilvl="0" w:tplc="A7B202A8">
      <w:start w:val="1"/>
      <w:numFmt w:val="bullet"/>
      <w:lvlText w:val=""/>
      <w:lvlJc w:val="left"/>
      <w:pPr>
        <w:ind w:left="720" w:hanging="66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B43227"/>
    <w:multiLevelType w:val="hybridMultilevel"/>
    <w:tmpl w:val="632C1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ED207B"/>
    <w:multiLevelType w:val="hybridMultilevel"/>
    <w:tmpl w:val="AD681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A545A5"/>
    <w:multiLevelType w:val="hybridMultilevel"/>
    <w:tmpl w:val="16F4E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2398245">
    <w:abstractNumId w:val="12"/>
  </w:num>
  <w:num w:numId="2" w16cid:durableId="1282493045">
    <w:abstractNumId w:val="11"/>
  </w:num>
  <w:num w:numId="3" w16cid:durableId="1839887252">
    <w:abstractNumId w:val="15"/>
  </w:num>
  <w:num w:numId="4" w16cid:durableId="1667711188">
    <w:abstractNumId w:val="14"/>
  </w:num>
  <w:num w:numId="5" w16cid:durableId="2012830882">
    <w:abstractNumId w:val="1"/>
  </w:num>
  <w:num w:numId="6" w16cid:durableId="1639919892">
    <w:abstractNumId w:val="6"/>
  </w:num>
  <w:num w:numId="7" w16cid:durableId="822890247">
    <w:abstractNumId w:val="3"/>
  </w:num>
  <w:num w:numId="8" w16cid:durableId="218051920">
    <w:abstractNumId w:val="33"/>
  </w:num>
  <w:num w:numId="9" w16cid:durableId="757679672">
    <w:abstractNumId w:val="0"/>
  </w:num>
  <w:num w:numId="10" w16cid:durableId="1453133912">
    <w:abstractNumId w:val="8"/>
  </w:num>
  <w:num w:numId="11" w16cid:durableId="1832024202">
    <w:abstractNumId w:val="5"/>
  </w:num>
  <w:num w:numId="12" w16cid:durableId="1957440647">
    <w:abstractNumId w:val="26"/>
  </w:num>
  <w:num w:numId="13" w16cid:durableId="426848354">
    <w:abstractNumId w:val="27"/>
  </w:num>
  <w:num w:numId="14" w16cid:durableId="143157924">
    <w:abstractNumId w:val="20"/>
  </w:num>
  <w:num w:numId="15" w16cid:durableId="301620345">
    <w:abstractNumId w:val="18"/>
  </w:num>
  <w:num w:numId="16" w16cid:durableId="173154305">
    <w:abstractNumId w:val="32"/>
  </w:num>
  <w:num w:numId="17" w16cid:durableId="730619219">
    <w:abstractNumId w:val="17"/>
  </w:num>
  <w:num w:numId="18" w16cid:durableId="1509522180">
    <w:abstractNumId w:val="2"/>
  </w:num>
  <w:num w:numId="19" w16cid:durableId="48234534">
    <w:abstractNumId w:val="30"/>
  </w:num>
  <w:num w:numId="20" w16cid:durableId="1417048230">
    <w:abstractNumId w:val="25"/>
  </w:num>
  <w:num w:numId="21" w16cid:durableId="398404418">
    <w:abstractNumId w:val="13"/>
  </w:num>
  <w:num w:numId="22" w16cid:durableId="1942838255">
    <w:abstractNumId w:val="9"/>
  </w:num>
  <w:num w:numId="23" w16cid:durableId="1171333541">
    <w:abstractNumId w:val="29"/>
  </w:num>
  <w:num w:numId="24" w16cid:durableId="869220021">
    <w:abstractNumId w:val="28"/>
  </w:num>
  <w:num w:numId="25" w16cid:durableId="1153327244">
    <w:abstractNumId w:val="10"/>
  </w:num>
  <w:num w:numId="26" w16cid:durableId="1768386837">
    <w:abstractNumId w:val="4"/>
  </w:num>
  <w:num w:numId="27" w16cid:durableId="1860197401">
    <w:abstractNumId w:val="31"/>
  </w:num>
  <w:num w:numId="28" w16cid:durableId="838499802">
    <w:abstractNumId w:val="23"/>
  </w:num>
  <w:num w:numId="29" w16cid:durableId="1520464078">
    <w:abstractNumId w:val="19"/>
  </w:num>
  <w:num w:numId="30" w16cid:durableId="240874429">
    <w:abstractNumId w:val="24"/>
  </w:num>
  <w:num w:numId="31" w16cid:durableId="1030911082">
    <w:abstractNumId w:val="22"/>
  </w:num>
  <w:num w:numId="32" w16cid:durableId="1918441120">
    <w:abstractNumId w:val="7"/>
  </w:num>
  <w:num w:numId="33" w16cid:durableId="1603760217">
    <w:abstractNumId w:val="16"/>
  </w:num>
  <w:num w:numId="34" w16cid:durableId="2084058791">
    <w:abstractNumId w:val="21"/>
  </w:num>
  <w:num w:numId="35" w16cid:durableId="869145314">
    <w:abstractNumId w:val="34"/>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ise Blakemore (Conferences and Events)">
    <w15:presenceInfo w15:providerId="AD" w15:userId="S::e.k.blakemore@bham.ac.uk::193e5120-a8cf-4788-8fe3-1b305614d2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DBC"/>
    <w:rsid w:val="00015480"/>
    <w:rsid w:val="00025964"/>
    <w:rsid w:val="0003510D"/>
    <w:rsid w:val="00053AC6"/>
    <w:rsid w:val="00074330"/>
    <w:rsid w:val="00094AF3"/>
    <w:rsid w:val="000A0BAC"/>
    <w:rsid w:val="000C19B3"/>
    <w:rsid w:val="000D021E"/>
    <w:rsid w:val="000E1994"/>
    <w:rsid w:val="000E57FE"/>
    <w:rsid w:val="000E64E4"/>
    <w:rsid w:val="000F1760"/>
    <w:rsid w:val="000F5209"/>
    <w:rsid w:val="000F60AE"/>
    <w:rsid w:val="000F6F39"/>
    <w:rsid w:val="00101DE0"/>
    <w:rsid w:val="00103F5E"/>
    <w:rsid w:val="00104089"/>
    <w:rsid w:val="001140FC"/>
    <w:rsid w:val="001442CD"/>
    <w:rsid w:val="001456CE"/>
    <w:rsid w:val="001568DB"/>
    <w:rsid w:val="00166371"/>
    <w:rsid w:val="00167939"/>
    <w:rsid w:val="00171A9B"/>
    <w:rsid w:val="0017203B"/>
    <w:rsid w:val="00173552"/>
    <w:rsid w:val="0017438C"/>
    <w:rsid w:val="00182113"/>
    <w:rsid w:val="001900D1"/>
    <w:rsid w:val="00193B06"/>
    <w:rsid w:val="001A0039"/>
    <w:rsid w:val="001C1B5C"/>
    <w:rsid w:val="001C38A9"/>
    <w:rsid w:val="001E2607"/>
    <w:rsid w:val="001E3543"/>
    <w:rsid w:val="001F0E6B"/>
    <w:rsid w:val="001F1035"/>
    <w:rsid w:val="0020328F"/>
    <w:rsid w:val="0020709C"/>
    <w:rsid w:val="00220128"/>
    <w:rsid w:val="00233906"/>
    <w:rsid w:val="00263DBC"/>
    <w:rsid w:val="0027472E"/>
    <w:rsid w:val="002751C2"/>
    <w:rsid w:val="002777A3"/>
    <w:rsid w:val="0028397C"/>
    <w:rsid w:val="0028540A"/>
    <w:rsid w:val="002C21BB"/>
    <w:rsid w:val="002D099C"/>
    <w:rsid w:val="002D37C9"/>
    <w:rsid w:val="002D52B2"/>
    <w:rsid w:val="002E64EC"/>
    <w:rsid w:val="002F241D"/>
    <w:rsid w:val="002F39BD"/>
    <w:rsid w:val="00301B7D"/>
    <w:rsid w:val="00302670"/>
    <w:rsid w:val="0031153E"/>
    <w:rsid w:val="00332DD1"/>
    <w:rsid w:val="00334105"/>
    <w:rsid w:val="003379E0"/>
    <w:rsid w:val="0034105D"/>
    <w:rsid w:val="003427C1"/>
    <w:rsid w:val="00376C45"/>
    <w:rsid w:val="003835DE"/>
    <w:rsid w:val="00385236"/>
    <w:rsid w:val="00390C9C"/>
    <w:rsid w:val="003D1498"/>
    <w:rsid w:val="003D7B5B"/>
    <w:rsid w:val="003E1AF5"/>
    <w:rsid w:val="003E205A"/>
    <w:rsid w:val="003F4A3F"/>
    <w:rsid w:val="00405FF8"/>
    <w:rsid w:val="00413169"/>
    <w:rsid w:val="00421BFD"/>
    <w:rsid w:val="00436020"/>
    <w:rsid w:val="004577B4"/>
    <w:rsid w:val="00474DA5"/>
    <w:rsid w:val="00496104"/>
    <w:rsid w:val="0049706A"/>
    <w:rsid w:val="004A69C0"/>
    <w:rsid w:val="004B60DA"/>
    <w:rsid w:val="004B794E"/>
    <w:rsid w:val="004C6BC4"/>
    <w:rsid w:val="00511021"/>
    <w:rsid w:val="00531A6C"/>
    <w:rsid w:val="00535DC8"/>
    <w:rsid w:val="00546301"/>
    <w:rsid w:val="0056281A"/>
    <w:rsid w:val="00595B6E"/>
    <w:rsid w:val="005A182D"/>
    <w:rsid w:val="005A5781"/>
    <w:rsid w:val="005B6239"/>
    <w:rsid w:val="005C77CD"/>
    <w:rsid w:val="005D0097"/>
    <w:rsid w:val="005D4224"/>
    <w:rsid w:val="005E6A50"/>
    <w:rsid w:val="005E7E0E"/>
    <w:rsid w:val="00637294"/>
    <w:rsid w:val="006457E8"/>
    <w:rsid w:val="0064613D"/>
    <w:rsid w:val="006563CB"/>
    <w:rsid w:val="00656DA6"/>
    <w:rsid w:val="00667EF1"/>
    <w:rsid w:val="0068632C"/>
    <w:rsid w:val="006A1205"/>
    <w:rsid w:val="006B3989"/>
    <w:rsid w:val="006B5927"/>
    <w:rsid w:val="006C77A6"/>
    <w:rsid w:val="006E5B77"/>
    <w:rsid w:val="006F57EB"/>
    <w:rsid w:val="007045CF"/>
    <w:rsid w:val="00717EF1"/>
    <w:rsid w:val="00723181"/>
    <w:rsid w:val="00735C30"/>
    <w:rsid w:val="00737CD7"/>
    <w:rsid w:val="00745DB0"/>
    <w:rsid w:val="00746702"/>
    <w:rsid w:val="00771E24"/>
    <w:rsid w:val="007720D8"/>
    <w:rsid w:val="0077568C"/>
    <w:rsid w:val="00786AAA"/>
    <w:rsid w:val="007F78A2"/>
    <w:rsid w:val="0080066D"/>
    <w:rsid w:val="00810E62"/>
    <w:rsid w:val="00813F52"/>
    <w:rsid w:val="0082220D"/>
    <w:rsid w:val="00833F0C"/>
    <w:rsid w:val="0086550A"/>
    <w:rsid w:val="0087531E"/>
    <w:rsid w:val="00881446"/>
    <w:rsid w:val="008A6916"/>
    <w:rsid w:val="008B18AC"/>
    <w:rsid w:val="008C20EB"/>
    <w:rsid w:val="00924C50"/>
    <w:rsid w:val="0094152F"/>
    <w:rsid w:val="0094350A"/>
    <w:rsid w:val="009726D7"/>
    <w:rsid w:val="00994277"/>
    <w:rsid w:val="009C2346"/>
    <w:rsid w:val="009C3317"/>
    <w:rsid w:val="009C758F"/>
    <w:rsid w:val="009E3BF7"/>
    <w:rsid w:val="009E7F1D"/>
    <w:rsid w:val="00A576F2"/>
    <w:rsid w:val="00A65AB4"/>
    <w:rsid w:val="00A951A5"/>
    <w:rsid w:val="00AA210F"/>
    <w:rsid w:val="00AA6C4E"/>
    <w:rsid w:val="00AB1967"/>
    <w:rsid w:val="00AB325A"/>
    <w:rsid w:val="00AC2E56"/>
    <w:rsid w:val="00AE2979"/>
    <w:rsid w:val="00B27D8F"/>
    <w:rsid w:val="00B41E13"/>
    <w:rsid w:val="00B47947"/>
    <w:rsid w:val="00B50529"/>
    <w:rsid w:val="00B6118D"/>
    <w:rsid w:val="00B64A8F"/>
    <w:rsid w:val="00B774AE"/>
    <w:rsid w:val="00B9304E"/>
    <w:rsid w:val="00BA0574"/>
    <w:rsid w:val="00BA57D7"/>
    <w:rsid w:val="00BB6A42"/>
    <w:rsid w:val="00BC21C0"/>
    <w:rsid w:val="00BC2F1D"/>
    <w:rsid w:val="00BC4B23"/>
    <w:rsid w:val="00BE76B8"/>
    <w:rsid w:val="00BF15D7"/>
    <w:rsid w:val="00BF5C4C"/>
    <w:rsid w:val="00C127D3"/>
    <w:rsid w:val="00C14972"/>
    <w:rsid w:val="00C24F3D"/>
    <w:rsid w:val="00C47DA0"/>
    <w:rsid w:val="00C51AAF"/>
    <w:rsid w:val="00C54C91"/>
    <w:rsid w:val="00CA0630"/>
    <w:rsid w:val="00CB017E"/>
    <w:rsid w:val="00CC07F8"/>
    <w:rsid w:val="00CC5C3F"/>
    <w:rsid w:val="00CD05A8"/>
    <w:rsid w:val="00CE1F6A"/>
    <w:rsid w:val="00D01877"/>
    <w:rsid w:val="00D047BB"/>
    <w:rsid w:val="00D06CF9"/>
    <w:rsid w:val="00D12D2E"/>
    <w:rsid w:val="00D2207C"/>
    <w:rsid w:val="00D22ACB"/>
    <w:rsid w:val="00D34255"/>
    <w:rsid w:val="00D43043"/>
    <w:rsid w:val="00D47F0E"/>
    <w:rsid w:val="00D57789"/>
    <w:rsid w:val="00D72FC7"/>
    <w:rsid w:val="00D779A2"/>
    <w:rsid w:val="00D85A5C"/>
    <w:rsid w:val="00D86DEA"/>
    <w:rsid w:val="00D96637"/>
    <w:rsid w:val="00DB1769"/>
    <w:rsid w:val="00DB3C55"/>
    <w:rsid w:val="00DB4548"/>
    <w:rsid w:val="00DD41EB"/>
    <w:rsid w:val="00DE527E"/>
    <w:rsid w:val="00DE7B22"/>
    <w:rsid w:val="00DF00BA"/>
    <w:rsid w:val="00E074A5"/>
    <w:rsid w:val="00E30F49"/>
    <w:rsid w:val="00E34B5F"/>
    <w:rsid w:val="00E67180"/>
    <w:rsid w:val="00E70FD7"/>
    <w:rsid w:val="00E72072"/>
    <w:rsid w:val="00EA348E"/>
    <w:rsid w:val="00EB208F"/>
    <w:rsid w:val="00ED39C8"/>
    <w:rsid w:val="00EE6349"/>
    <w:rsid w:val="00F34977"/>
    <w:rsid w:val="00F429F5"/>
    <w:rsid w:val="00F44FCB"/>
    <w:rsid w:val="00F47F21"/>
    <w:rsid w:val="00F72B38"/>
    <w:rsid w:val="00F767EE"/>
    <w:rsid w:val="00F84FDC"/>
    <w:rsid w:val="00FA52AF"/>
    <w:rsid w:val="00FB76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EF58F"/>
  <w15:chartTrackingRefBased/>
  <w15:docId w15:val="{BD7BDD66-DCD5-4844-A52E-B238D34C7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3D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3D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3D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3D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3D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3D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3D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3D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3D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D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3D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3D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3D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3D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3D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3D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3D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3DBC"/>
    <w:rPr>
      <w:rFonts w:eastAsiaTheme="majorEastAsia" w:cstheme="majorBidi"/>
      <w:color w:val="272727" w:themeColor="text1" w:themeTint="D8"/>
    </w:rPr>
  </w:style>
  <w:style w:type="paragraph" w:styleId="Title">
    <w:name w:val="Title"/>
    <w:basedOn w:val="Normal"/>
    <w:next w:val="Normal"/>
    <w:link w:val="TitleChar"/>
    <w:uiPriority w:val="10"/>
    <w:qFormat/>
    <w:rsid w:val="00263D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D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3D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3D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3DBC"/>
    <w:pPr>
      <w:spacing w:before="160"/>
      <w:jc w:val="center"/>
    </w:pPr>
    <w:rPr>
      <w:i/>
      <w:iCs/>
      <w:color w:val="404040" w:themeColor="text1" w:themeTint="BF"/>
    </w:rPr>
  </w:style>
  <w:style w:type="character" w:customStyle="1" w:styleId="QuoteChar">
    <w:name w:val="Quote Char"/>
    <w:basedOn w:val="DefaultParagraphFont"/>
    <w:link w:val="Quote"/>
    <w:uiPriority w:val="29"/>
    <w:rsid w:val="00263DBC"/>
    <w:rPr>
      <w:i/>
      <w:iCs/>
      <w:color w:val="404040" w:themeColor="text1" w:themeTint="BF"/>
    </w:rPr>
  </w:style>
  <w:style w:type="paragraph" w:styleId="ListParagraph">
    <w:name w:val="List Paragraph"/>
    <w:basedOn w:val="Normal"/>
    <w:uiPriority w:val="34"/>
    <w:qFormat/>
    <w:rsid w:val="00263DBC"/>
    <w:pPr>
      <w:ind w:left="720"/>
      <w:contextualSpacing/>
    </w:pPr>
  </w:style>
  <w:style w:type="character" w:styleId="IntenseEmphasis">
    <w:name w:val="Intense Emphasis"/>
    <w:basedOn w:val="DefaultParagraphFont"/>
    <w:uiPriority w:val="21"/>
    <w:qFormat/>
    <w:rsid w:val="00263DBC"/>
    <w:rPr>
      <w:i/>
      <w:iCs/>
      <w:color w:val="0F4761" w:themeColor="accent1" w:themeShade="BF"/>
    </w:rPr>
  </w:style>
  <w:style w:type="paragraph" w:styleId="IntenseQuote">
    <w:name w:val="Intense Quote"/>
    <w:basedOn w:val="Normal"/>
    <w:next w:val="Normal"/>
    <w:link w:val="IntenseQuoteChar"/>
    <w:uiPriority w:val="30"/>
    <w:qFormat/>
    <w:rsid w:val="00263D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3DBC"/>
    <w:rPr>
      <w:i/>
      <w:iCs/>
      <w:color w:val="0F4761" w:themeColor="accent1" w:themeShade="BF"/>
    </w:rPr>
  </w:style>
  <w:style w:type="character" w:styleId="IntenseReference">
    <w:name w:val="Intense Reference"/>
    <w:basedOn w:val="DefaultParagraphFont"/>
    <w:uiPriority w:val="32"/>
    <w:qFormat/>
    <w:rsid w:val="00263DBC"/>
    <w:rPr>
      <w:b/>
      <w:bCs/>
      <w:smallCaps/>
      <w:color w:val="0F4761" w:themeColor="accent1" w:themeShade="BF"/>
      <w:spacing w:val="5"/>
    </w:rPr>
  </w:style>
  <w:style w:type="paragraph" w:styleId="Header">
    <w:name w:val="header"/>
    <w:basedOn w:val="Normal"/>
    <w:link w:val="HeaderChar"/>
    <w:uiPriority w:val="99"/>
    <w:unhideWhenUsed/>
    <w:rsid w:val="00263D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3DBC"/>
  </w:style>
  <w:style w:type="paragraph" w:styleId="Footer">
    <w:name w:val="footer"/>
    <w:basedOn w:val="Normal"/>
    <w:link w:val="FooterChar"/>
    <w:uiPriority w:val="99"/>
    <w:unhideWhenUsed/>
    <w:rsid w:val="00263D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3DBC"/>
  </w:style>
  <w:style w:type="paragraph" w:customStyle="1" w:styleId="ABHeading">
    <w:name w:val="AB Heading"/>
    <w:basedOn w:val="Heading1"/>
    <w:link w:val="ABHeadingChar"/>
    <w:qFormat/>
    <w:rsid w:val="00813F52"/>
    <w:rPr>
      <w:rFonts w:ascii="Noto Serif Light" w:hAnsi="Noto Serif Light" w:cs="Noto Serif Light"/>
      <w:b/>
      <w:bCs/>
      <w:color w:val="690E0D"/>
      <w:sz w:val="56"/>
      <w:szCs w:val="48"/>
    </w:rPr>
  </w:style>
  <w:style w:type="character" w:customStyle="1" w:styleId="ABHeadingChar">
    <w:name w:val="AB Heading Char"/>
    <w:basedOn w:val="Heading1Char"/>
    <w:link w:val="ABHeading"/>
    <w:rsid w:val="00813F52"/>
    <w:rPr>
      <w:rFonts w:ascii="Noto Serif Light" w:eastAsiaTheme="majorEastAsia" w:hAnsi="Noto Serif Light" w:cs="Noto Serif Light"/>
      <w:b/>
      <w:bCs/>
      <w:color w:val="690E0D"/>
      <w:sz w:val="56"/>
      <w:szCs w:val="48"/>
    </w:rPr>
  </w:style>
  <w:style w:type="paragraph" w:customStyle="1" w:styleId="ABParagraph">
    <w:name w:val="AB Paragraph"/>
    <w:basedOn w:val="Normal"/>
    <w:link w:val="ABParagraphChar"/>
    <w:qFormat/>
    <w:rsid w:val="00074330"/>
    <w:pPr>
      <w:spacing w:after="0" w:line="240" w:lineRule="auto"/>
    </w:pPr>
    <w:rPr>
      <w:rFonts w:ascii="Noto Serif Light" w:hAnsi="Noto Serif Light" w:cs="Noto Serif Light"/>
    </w:rPr>
  </w:style>
  <w:style w:type="character" w:customStyle="1" w:styleId="ABParagraphChar">
    <w:name w:val="AB Paragraph Char"/>
    <w:basedOn w:val="DefaultParagraphFont"/>
    <w:link w:val="ABParagraph"/>
    <w:rsid w:val="00074330"/>
    <w:rPr>
      <w:rFonts w:ascii="Noto Serif Light" w:hAnsi="Noto Serif Light" w:cs="Noto Serif Light"/>
    </w:rPr>
  </w:style>
  <w:style w:type="table" w:styleId="TableGrid">
    <w:name w:val="Table Grid"/>
    <w:basedOn w:val="TableNormal"/>
    <w:rsid w:val="00074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4330"/>
    <w:rPr>
      <w:color w:val="467886" w:themeColor="hyperlink"/>
      <w:u w:val="single"/>
    </w:rPr>
  </w:style>
  <w:style w:type="paragraph" w:customStyle="1" w:styleId="ABSubhead">
    <w:name w:val="AB Subhead"/>
    <w:basedOn w:val="ABParagraph"/>
    <w:next w:val="Heading3"/>
    <w:link w:val="ABSubheadChar"/>
    <w:qFormat/>
    <w:rsid w:val="00D34255"/>
    <w:pPr>
      <w:outlineLvl w:val="2"/>
    </w:pPr>
    <w:rPr>
      <w:b/>
      <w:bCs/>
      <w:sz w:val="32"/>
      <w:szCs w:val="32"/>
    </w:rPr>
  </w:style>
  <w:style w:type="character" w:customStyle="1" w:styleId="ABSubheadChar">
    <w:name w:val="AB Subhead Char"/>
    <w:basedOn w:val="ABParagraphChar"/>
    <w:link w:val="ABSubhead"/>
    <w:rsid w:val="00D34255"/>
    <w:rPr>
      <w:rFonts w:ascii="Noto Serif Light" w:hAnsi="Noto Serif Light" w:cs="Noto Serif Light"/>
      <w:b/>
      <w:bCs/>
      <w:sz w:val="32"/>
      <w:szCs w:val="32"/>
    </w:rPr>
  </w:style>
  <w:style w:type="paragraph" w:customStyle="1" w:styleId="ABContentsSubhead">
    <w:name w:val="AB Contents Subhead"/>
    <w:basedOn w:val="ABSubhead"/>
    <w:next w:val="Heading2"/>
    <w:link w:val="ABContentsSubheadChar"/>
    <w:qFormat/>
    <w:rsid w:val="00D34255"/>
    <w:pPr>
      <w:outlineLvl w:val="1"/>
    </w:pPr>
    <w:rPr>
      <w:sz w:val="40"/>
      <w:szCs w:val="40"/>
    </w:rPr>
  </w:style>
  <w:style w:type="character" w:customStyle="1" w:styleId="ABContentsSubheadChar">
    <w:name w:val="AB Contents Subhead Char"/>
    <w:basedOn w:val="ABSubheadChar"/>
    <w:link w:val="ABContentsSubhead"/>
    <w:rsid w:val="00D34255"/>
    <w:rPr>
      <w:rFonts w:ascii="Noto Serif Light" w:hAnsi="Noto Serif Light" w:cs="Noto Serif Light"/>
      <w:b/>
      <w:bCs/>
      <w:sz w:val="40"/>
      <w:szCs w:val="40"/>
    </w:rPr>
  </w:style>
  <w:style w:type="paragraph" w:styleId="TOC1">
    <w:name w:val="toc 1"/>
    <w:basedOn w:val="ABContentsSubhead"/>
    <w:next w:val="Normal"/>
    <w:autoRedefine/>
    <w:uiPriority w:val="39"/>
    <w:unhideWhenUsed/>
    <w:rsid w:val="005E6A50"/>
    <w:pPr>
      <w:spacing w:after="100"/>
    </w:pPr>
    <w:rPr>
      <w:b w:val="0"/>
      <w:sz w:val="32"/>
    </w:rPr>
  </w:style>
  <w:style w:type="paragraph" w:styleId="TOC2">
    <w:name w:val="toc 2"/>
    <w:basedOn w:val="Normal"/>
    <w:next w:val="Normal"/>
    <w:autoRedefine/>
    <w:uiPriority w:val="39"/>
    <w:unhideWhenUsed/>
    <w:rsid w:val="00813F52"/>
    <w:pPr>
      <w:tabs>
        <w:tab w:val="right" w:pos="9016"/>
      </w:tabs>
      <w:spacing w:after="100"/>
      <w:ind w:left="240"/>
    </w:pPr>
    <w:rPr>
      <w:rFonts w:ascii="Noto Serif Light" w:hAnsi="Noto Serif Light" w:cs="Noto Serif Light"/>
      <w:i/>
      <w:iCs/>
      <w:noProof/>
      <w:sz w:val="32"/>
      <w:szCs w:val="32"/>
    </w:rPr>
  </w:style>
  <w:style w:type="character" w:styleId="UnresolvedMention">
    <w:name w:val="Unresolved Mention"/>
    <w:basedOn w:val="DefaultParagraphFont"/>
    <w:uiPriority w:val="99"/>
    <w:semiHidden/>
    <w:unhideWhenUsed/>
    <w:rsid w:val="005E6A50"/>
    <w:rPr>
      <w:color w:val="605E5C"/>
      <w:shd w:val="clear" w:color="auto" w:fill="E1DFDD"/>
    </w:rPr>
  </w:style>
  <w:style w:type="paragraph" w:customStyle="1" w:styleId="paragraph">
    <w:name w:val="paragraph"/>
    <w:basedOn w:val="Normal"/>
    <w:rsid w:val="005E6A5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bstractBookBaseCharacterStyle">
    <w:name w:val="Abstract Book Base Character Style"/>
    <w:rsid w:val="00D34255"/>
    <w:rPr>
      <w:rFonts w:ascii="Calibri (Body)" w:eastAsia="Calibri (Body)" w:hAnsi="Calibri (Body)" w:cs="Calibri (Body)"/>
    </w:rPr>
  </w:style>
  <w:style w:type="paragraph" w:customStyle="1" w:styleId="DefaultParagraphFont1">
    <w:name w:val="Default Paragraph Font1"/>
    <w:basedOn w:val="Normal"/>
    <w:rsid w:val="00D34255"/>
    <w:pPr>
      <w:spacing w:after="0" w:line="240" w:lineRule="auto"/>
    </w:pPr>
    <w:rPr>
      <w:rFonts w:ascii="Times New Roman" w:eastAsia="Times New Roman" w:hAnsi="Times New Roman" w:cs="Times New Roman"/>
      <w:kern w:val="0"/>
      <w:lang w:val="en-US" w:eastAsia="uk-UA"/>
      <w14:ligatures w14:val="none"/>
    </w:rPr>
  </w:style>
  <w:style w:type="paragraph" w:customStyle="1" w:styleId="AbstractBookBaseParagraph">
    <w:name w:val="Abstract Book Base Paragraph"/>
    <w:basedOn w:val="DefaultParagraphFont1"/>
    <w:qFormat/>
    <w:rsid w:val="00D34255"/>
    <w:rPr>
      <w:rFonts w:ascii="Calibri (Body)" w:eastAsia="Calibri (Body)" w:hAnsi="Calibri (Body)" w:cs="Calibri (Body)"/>
    </w:rPr>
  </w:style>
  <w:style w:type="paragraph" w:customStyle="1" w:styleId="AbstractBookTOCHeading">
    <w:name w:val="Abstract Book TOC Heading"/>
    <w:basedOn w:val="AbstractBookBaseParagraph"/>
    <w:rsid w:val="00D34255"/>
    <w:pPr>
      <w:spacing w:after="240"/>
    </w:pPr>
    <w:rPr>
      <w:rFonts w:ascii="Calibri Light (Heading)" w:eastAsia="Calibri Light (Heading)" w:hAnsi="Calibri Light (Heading)" w:cs="Calibri Light (Heading)"/>
      <w:color w:val="2E74B5"/>
      <w:sz w:val="40"/>
    </w:rPr>
  </w:style>
  <w:style w:type="character" w:customStyle="1" w:styleId="AbstractBookTOCPaperNumber">
    <w:name w:val="Abstract Book TOC Paper Number"/>
    <w:basedOn w:val="AbstractBookBaseCharacterStyle"/>
    <w:rsid w:val="00D34255"/>
    <w:rPr>
      <w:rFonts w:ascii="Calibri (Body)" w:eastAsia="Calibri (Body)" w:hAnsi="Calibri (Body)" w:cs="Calibri (Body)"/>
      <w:b/>
    </w:rPr>
  </w:style>
  <w:style w:type="paragraph" w:customStyle="1" w:styleId="AbstractBookTOCPaperTitle">
    <w:name w:val="Abstract Book TOC Paper Title"/>
    <w:basedOn w:val="AbstractBookBaseParagraph"/>
    <w:rsid w:val="00D34255"/>
    <w:pPr>
      <w:spacing w:before="120" w:after="120"/>
    </w:pPr>
  </w:style>
  <w:style w:type="paragraph" w:customStyle="1" w:styleId="AbstractBookPaperNumber">
    <w:name w:val="Abstract Book Paper Number"/>
    <w:basedOn w:val="AbstractBookBaseParagraph"/>
    <w:rsid w:val="00D34255"/>
    <w:pPr>
      <w:spacing w:after="240"/>
    </w:pPr>
    <w:rPr>
      <w:rFonts w:ascii="Calibri Light (Heading)" w:eastAsia="Calibri Light (Heading)" w:hAnsi="Calibri Light (Heading)" w:cs="Calibri Light (Heading)"/>
      <w:sz w:val="32"/>
    </w:rPr>
  </w:style>
  <w:style w:type="paragraph" w:customStyle="1" w:styleId="AbstractBookPaperTitle">
    <w:name w:val="Abstract Book Paper Title"/>
    <w:basedOn w:val="AbstractBookBaseParagraph"/>
    <w:qFormat/>
    <w:rsid w:val="00D34255"/>
    <w:pPr>
      <w:spacing w:after="120"/>
    </w:pPr>
    <w:rPr>
      <w:sz w:val="32"/>
    </w:rPr>
  </w:style>
  <w:style w:type="paragraph" w:customStyle="1" w:styleId="AbstractBookSessionDetails">
    <w:name w:val="Abstract Book Session Details"/>
    <w:basedOn w:val="AbstractBookBaseParagraph"/>
    <w:rsid w:val="00D34255"/>
    <w:pPr>
      <w:spacing w:after="240"/>
      <w:jc w:val="right"/>
    </w:pPr>
    <w:rPr>
      <w:rFonts w:ascii="Calibri Light" w:eastAsia="Calibri Light" w:hAnsi="Calibri Light" w:cs="Calibri Light"/>
    </w:rPr>
  </w:style>
  <w:style w:type="paragraph" w:customStyle="1" w:styleId="AbstractBookBiographyHeading">
    <w:name w:val="Abstract Book Biography Heading"/>
    <w:basedOn w:val="AbstractBookBaseParagraph"/>
    <w:rsid w:val="00D34255"/>
    <w:rPr>
      <w:rFonts w:ascii="Calibri Light" w:eastAsia="Calibri Light" w:hAnsi="Calibri Light" w:cs="Calibri Light"/>
      <w:b/>
      <w:i/>
    </w:rPr>
  </w:style>
  <w:style w:type="paragraph" w:customStyle="1" w:styleId="AbstractBookBiography">
    <w:name w:val="Abstract Book Biography"/>
    <w:basedOn w:val="AbstractBookBaseParagraph"/>
    <w:rsid w:val="00D34255"/>
    <w:pPr>
      <w:spacing w:after="360"/>
    </w:pPr>
    <w:rPr>
      <w:rFonts w:ascii="Calibri Light" w:eastAsia="Calibri Light" w:hAnsi="Calibri Light" w:cs="Calibri Light"/>
      <w:i/>
    </w:rPr>
  </w:style>
  <w:style w:type="paragraph" w:customStyle="1" w:styleId="AbstractBookAuthors">
    <w:name w:val="Abstract Book Authors"/>
    <w:basedOn w:val="AbstractBookBaseParagraph"/>
    <w:qFormat/>
    <w:rsid w:val="00D34255"/>
    <w:rPr>
      <w:rFonts w:ascii="Calibri Light" w:eastAsia="Calibri Light" w:hAnsi="Calibri Light" w:cs="Calibri Light"/>
    </w:rPr>
  </w:style>
  <w:style w:type="character" w:customStyle="1" w:styleId="AbstractBookPresentingAuthor">
    <w:name w:val="Abstract Book Presenting Author"/>
    <w:basedOn w:val="AbstractBookBaseCharacterStyle"/>
    <w:rsid w:val="00D34255"/>
    <w:rPr>
      <w:rFonts w:ascii="Calibri Light" w:eastAsia="Calibri Light" w:hAnsi="Calibri Light" w:cs="Calibri Light"/>
      <w:b/>
      <w:u w:val="single"/>
    </w:rPr>
  </w:style>
  <w:style w:type="paragraph" w:customStyle="1" w:styleId="AbstractBookAffiliations">
    <w:name w:val="Abstract Book Affiliations"/>
    <w:basedOn w:val="AbstractBookBaseParagraph"/>
    <w:rsid w:val="00D34255"/>
    <w:pPr>
      <w:spacing w:after="120"/>
    </w:pPr>
    <w:rPr>
      <w:rFonts w:ascii="Calibri Light" w:eastAsia="Calibri Light" w:hAnsi="Calibri Light" w:cs="Calibri Light"/>
      <w:i/>
      <w:sz w:val="20"/>
    </w:rPr>
  </w:style>
  <w:style w:type="paragraph" w:customStyle="1" w:styleId="AbstractBookSupportingDocumentHeader">
    <w:name w:val="Abstract Book Supporting Document Header"/>
    <w:basedOn w:val="AbstractBookBaseParagraph"/>
    <w:rsid w:val="00D34255"/>
    <w:pPr>
      <w:spacing w:before="120" w:after="120"/>
    </w:pPr>
    <w:rPr>
      <w:b/>
    </w:rPr>
  </w:style>
  <w:style w:type="paragraph" w:customStyle="1" w:styleId="AbstractBookAuthorIndexLetterHeading">
    <w:name w:val="Abstract Book Author Index Letter Heading"/>
    <w:basedOn w:val="AbstractBookBaseParagraph"/>
    <w:qFormat/>
    <w:rsid w:val="00D34255"/>
    <w:rPr>
      <w:b/>
      <w:sz w:val="40"/>
    </w:rPr>
  </w:style>
  <w:style w:type="paragraph" w:customStyle="1" w:styleId="AbstractBookAuthorIndex">
    <w:name w:val="Abstract Book Author Index"/>
    <w:basedOn w:val="AbstractBookBaseParagraph"/>
    <w:qFormat/>
    <w:rsid w:val="00D34255"/>
  </w:style>
  <w:style w:type="character" w:styleId="CommentReference">
    <w:name w:val="annotation reference"/>
    <w:basedOn w:val="DefaultParagraphFont"/>
    <w:uiPriority w:val="99"/>
    <w:semiHidden/>
    <w:unhideWhenUsed/>
    <w:rsid w:val="00D96637"/>
    <w:rPr>
      <w:sz w:val="16"/>
      <w:szCs w:val="16"/>
    </w:rPr>
  </w:style>
  <w:style w:type="paragraph" w:styleId="CommentText">
    <w:name w:val="annotation text"/>
    <w:basedOn w:val="Normal"/>
    <w:link w:val="CommentTextChar"/>
    <w:uiPriority w:val="99"/>
    <w:unhideWhenUsed/>
    <w:rsid w:val="00D96637"/>
    <w:pPr>
      <w:spacing w:line="240" w:lineRule="auto"/>
    </w:pPr>
    <w:rPr>
      <w:sz w:val="20"/>
      <w:szCs w:val="20"/>
    </w:rPr>
  </w:style>
  <w:style w:type="character" w:customStyle="1" w:styleId="CommentTextChar">
    <w:name w:val="Comment Text Char"/>
    <w:basedOn w:val="DefaultParagraphFont"/>
    <w:link w:val="CommentText"/>
    <w:uiPriority w:val="99"/>
    <w:rsid w:val="00D96637"/>
    <w:rPr>
      <w:sz w:val="20"/>
      <w:szCs w:val="20"/>
    </w:rPr>
  </w:style>
  <w:style w:type="paragraph" w:styleId="CommentSubject">
    <w:name w:val="annotation subject"/>
    <w:basedOn w:val="CommentText"/>
    <w:next w:val="CommentText"/>
    <w:link w:val="CommentSubjectChar"/>
    <w:uiPriority w:val="99"/>
    <w:semiHidden/>
    <w:unhideWhenUsed/>
    <w:rsid w:val="00D96637"/>
    <w:rPr>
      <w:b/>
      <w:bCs/>
    </w:rPr>
  </w:style>
  <w:style w:type="character" w:customStyle="1" w:styleId="CommentSubjectChar">
    <w:name w:val="Comment Subject Char"/>
    <w:basedOn w:val="CommentTextChar"/>
    <w:link w:val="CommentSubject"/>
    <w:uiPriority w:val="99"/>
    <w:semiHidden/>
    <w:rsid w:val="00D966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jpeg"/><Relationship Id="rId26" Type="http://schemas.openxmlformats.org/officeDocument/2006/relationships/hyperlink" Target="http://ojp.nationalrail.co.uk/" TargetMode="External"/><Relationship Id="rId39" Type="http://schemas.openxmlformats.org/officeDocument/2006/relationships/image" Target="media/image20.jpeg"/><Relationship Id="rId21" Type="http://schemas.openxmlformats.org/officeDocument/2006/relationships/image" Target="media/image12.jpg"/><Relationship Id="rId34" Type="http://schemas.openxmlformats.org/officeDocument/2006/relationships/image" Target="media/image17.png"/><Relationship Id="rId42" Type="http://schemas.openxmlformats.org/officeDocument/2006/relationships/image" Target="media/image23.png"/><Relationship Id="rId47" Type="http://schemas.microsoft.com/office/2016/09/relationships/commentsIds" Target="commentsIds.xml"/><Relationship Id="rId50"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14.jpeg"/><Relationship Id="rId11" Type="http://schemas.openxmlformats.org/officeDocument/2006/relationships/image" Target="media/image4.jpeg"/><Relationship Id="rId24" Type="http://schemas.openxmlformats.org/officeDocument/2006/relationships/image" Target="media/image13.png"/><Relationship Id="rId32" Type="http://schemas.openxmlformats.org/officeDocument/2006/relationships/image" Target="media/image16.jpe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www.birmingham.ac.uk/documents/university/edgbaston-campus-map-mobility.pdf" TargetMode="External"/><Relationship Id="rId28" Type="http://schemas.openxmlformats.org/officeDocument/2006/relationships/hyperlink" Target="https://uobevents-reginnpol26.eventsairsite.com/" TargetMode="External"/><Relationship Id="rId36" Type="http://schemas.openxmlformats.org/officeDocument/2006/relationships/hyperlink" Target="https://uobevents-reginnpol26.eventsairsite.com/explore-birmingham" TargetMode="External"/><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jpeg"/><Relationship Id="rId31" Type="http://schemas.openxmlformats.org/officeDocument/2006/relationships/hyperlink" Target="http://www.birmingham.ac.uk/lapworth-museum" TargetMode="External"/><Relationship Id="rId44"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airdrive.eventsair.com/eventsairwesteuprod/production-uobevents-public/a8645142a16648d797f143ec36498577" TargetMode="External"/><Relationship Id="rId22" Type="http://schemas.openxmlformats.org/officeDocument/2006/relationships/hyperlink" Target="https://www.birmingham.ac.uk/contact/campus-map" TargetMode="External"/><Relationship Id="rId27" Type="http://schemas.openxmlformats.org/officeDocument/2006/relationships/hyperlink" Target="https://nxbus.co.uk/west-midlands/?route=west-midlands" TargetMode="External"/><Relationship Id="rId30" Type="http://schemas.openxmlformats.org/officeDocument/2006/relationships/image" Target="media/image15.jpeg"/><Relationship Id="rId35" Type="http://schemas.openxmlformats.org/officeDocument/2006/relationships/hyperlink" Target="https://www.birmingham.ac.uk/cultural-attractions/university-collections/visit-the-collections/public-sculpture-trail" TargetMode="External"/><Relationship Id="rId43" Type="http://schemas.openxmlformats.org/officeDocument/2006/relationships/hyperlink" Target="https://ircaucus.ac.uk/publications/inclusive-innovation-the-challenge-for-uk-city-regions/" TargetMode="External"/><Relationship Id="rId48" Type="http://schemas.microsoft.com/office/2018/08/relationships/commentsExtensible" Target="commentsExtensible.xml"/><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www.birmingham.ac.uk/contact/campus-map" TargetMode="External"/><Relationship Id="rId25" Type="http://schemas.openxmlformats.org/officeDocument/2006/relationships/footer" Target="footer1.xml"/><Relationship Id="rId33" Type="http://schemas.openxmlformats.org/officeDocument/2006/relationships/hyperlink" Target="http://www.winterbourne.org.uk" TargetMode="External"/><Relationship Id="rId38" Type="http://schemas.openxmlformats.org/officeDocument/2006/relationships/image" Target="media/image19.jpeg"/><Relationship Id="rId46" Type="http://schemas.microsoft.com/office/2011/relationships/commentsExtended" Target="commentsExtended.xml"/><Relationship Id="rId20" Type="http://schemas.openxmlformats.org/officeDocument/2006/relationships/image" Target="media/image11.jpeg"/><Relationship Id="rId41"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6C086-433F-4DE1-B9E2-56F9BD132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234</Pages>
  <Words>83387</Words>
  <Characters>475308</Characters>
  <Application>Microsoft Office Word</Application>
  <DocSecurity>0</DocSecurity>
  <Lines>3960</Lines>
  <Paragraphs>1115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 Blakemore (Conferences and Events)</dc:creator>
  <cp:keywords/>
  <dc:description/>
  <cp:lastModifiedBy>Rebecca Amos (Conferences and Events)</cp:lastModifiedBy>
  <cp:revision>4</cp:revision>
  <cp:lastPrinted>2026-09-08T13:25:00Z</cp:lastPrinted>
  <dcterms:created xsi:type="dcterms:W3CDTF">2026-09-16T15:57:00Z</dcterms:created>
  <dcterms:modified xsi:type="dcterms:W3CDTF">2026-09-16T16:12:00Z</dcterms:modified>
</cp:coreProperties>
</file>