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C51E" w14:textId="77777777" w:rsidR="002B3D25" w:rsidRPr="00C809DC" w:rsidRDefault="002B3D25" w:rsidP="002B3D25">
      <w:pPr>
        <w:rPr>
          <w:rFonts w:asciiTheme="minorBidi" w:hAnsiTheme="minorBidi"/>
        </w:rPr>
      </w:pPr>
      <w:r w:rsidRPr="00C809DC">
        <w:rPr>
          <w:rFonts w:asciiTheme="minorBidi" w:hAnsiTheme="minorBidi"/>
        </w:rPr>
        <w:t>20th Regional Innovation Policies Conference 2026</w:t>
      </w:r>
    </w:p>
    <w:p w14:paraId="3EB001A4" w14:textId="77777777" w:rsidR="002B3D25" w:rsidRPr="00C809DC" w:rsidRDefault="002B3D25" w:rsidP="002B3D25">
      <w:pPr>
        <w:rPr>
          <w:rFonts w:asciiTheme="minorBidi" w:hAnsiTheme="minorBidi"/>
        </w:rPr>
      </w:pPr>
    </w:p>
    <w:p w14:paraId="66D67EF3" w14:textId="77777777" w:rsidR="002B3D25" w:rsidRPr="001778EA" w:rsidRDefault="002B3D25" w:rsidP="002B3D25">
      <w:pPr>
        <w:rPr>
          <w:rFonts w:ascii="Aptos" w:hAnsi="Aptos"/>
          <w:bCs/>
          <w:color w:val="000000"/>
          <w:sz w:val="24"/>
          <w:szCs w:val="24"/>
        </w:rPr>
      </w:pPr>
      <w:r w:rsidRPr="001778EA">
        <w:rPr>
          <w:rFonts w:ascii="Aptos" w:hAnsi="Aptos"/>
          <w:bCs/>
          <w:color w:val="000000"/>
          <w:sz w:val="24"/>
          <w:szCs w:val="24"/>
        </w:rPr>
        <w:t>Open Special Session A –</w:t>
      </w:r>
    </w:p>
    <w:p w14:paraId="157A93B4" w14:textId="696C5C53" w:rsidR="002B3D25" w:rsidRPr="001778EA" w:rsidRDefault="002B3D25" w:rsidP="002B3D25">
      <w:pPr>
        <w:rPr>
          <w:rFonts w:ascii="Aptos" w:hAnsi="Aptos"/>
          <w:bCs/>
          <w:color w:val="000000"/>
          <w:sz w:val="24"/>
          <w:szCs w:val="24"/>
        </w:rPr>
      </w:pPr>
      <w:r w:rsidRPr="001778EA">
        <w:rPr>
          <w:rFonts w:ascii="Aptos" w:hAnsi="Aptos"/>
          <w:b/>
          <w:bCs/>
          <w:sz w:val="24"/>
          <w:szCs w:val="24"/>
        </w:rPr>
        <w:t>Future-Oriented Regional Innovation Policies:</w:t>
      </w:r>
      <w:r w:rsidRPr="001778EA">
        <w:rPr>
          <w:rFonts w:ascii="Aptos" w:hAnsi="Aptos"/>
          <w:bCs/>
          <w:color w:val="000000"/>
          <w:sz w:val="24"/>
          <w:szCs w:val="24"/>
        </w:rPr>
        <w:t xml:space="preserve"> </w:t>
      </w:r>
      <w:r w:rsidRPr="001778EA">
        <w:rPr>
          <w:rFonts w:ascii="Aptos" w:hAnsi="Aptos"/>
          <w:b/>
          <w:bCs/>
          <w:sz w:val="24"/>
          <w:szCs w:val="24"/>
        </w:rPr>
        <w:t>Imaginaries, Transitions, and Uneven Development</w:t>
      </w:r>
    </w:p>
    <w:p w14:paraId="0429300D" w14:textId="77777777" w:rsidR="002B3D25" w:rsidRPr="001778EA" w:rsidRDefault="002B3D25" w:rsidP="002B3D25">
      <w:pPr>
        <w:rPr>
          <w:rFonts w:ascii="Aptos" w:hAnsi="Aptos"/>
          <w:b/>
          <w:bCs/>
          <w:sz w:val="24"/>
          <w:szCs w:val="24"/>
        </w:rPr>
      </w:pPr>
    </w:p>
    <w:p w14:paraId="5748DC5B" w14:textId="441290FF" w:rsidR="00E3783B" w:rsidRPr="001778EA" w:rsidRDefault="00EB752E" w:rsidP="002B3D25">
      <w:pPr>
        <w:rPr>
          <w:rFonts w:ascii="Aptos" w:hAnsi="Aptos"/>
          <w:bCs/>
          <w:color w:val="000000"/>
          <w:sz w:val="24"/>
          <w:szCs w:val="24"/>
        </w:rPr>
      </w:pPr>
      <w:r w:rsidRPr="001778EA">
        <w:rPr>
          <w:rFonts w:ascii="Aptos" w:hAnsi="Aptos"/>
          <w:bCs/>
          <w:color w:val="000000"/>
          <w:sz w:val="24"/>
          <w:szCs w:val="24"/>
        </w:rPr>
        <w:t xml:space="preserve">Session organisers – </w:t>
      </w:r>
    </w:p>
    <w:p w14:paraId="656B259C" w14:textId="77777777" w:rsidR="002B3D25" w:rsidRPr="001778EA" w:rsidRDefault="002B3D25" w:rsidP="001778EA">
      <w:pPr>
        <w:spacing w:after="0" w:line="276" w:lineRule="auto"/>
        <w:rPr>
          <w:rFonts w:ascii="Aptos" w:hAnsi="Aptos"/>
          <w:sz w:val="24"/>
          <w:szCs w:val="24"/>
        </w:rPr>
      </w:pPr>
      <w:r w:rsidRPr="001778EA">
        <w:rPr>
          <w:rFonts w:ascii="Aptos" w:hAnsi="Aptos"/>
          <w:b/>
          <w:bCs/>
          <w:sz w:val="24"/>
          <w:szCs w:val="24"/>
        </w:rPr>
        <w:t>Muzamil Farooq</w:t>
      </w:r>
      <w:r w:rsidRPr="001778EA">
        <w:rPr>
          <w:rFonts w:ascii="Aptos" w:hAnsi="Aptos"/>
          <w:sz w:val="24"/>
          <w:szCs w:val="24"/>
        </w:rPr>
        <w:t>, University of Stavanger, Norway</w:t>
      </w:r>
    </w:p>
    <w:p w14:paraId="5A8EAC3D" w14:textId="77777777" w:rsidR="002B3D25" w:rsidRPr="001778EA" w:rsidRDefault="002B3D25" w:rsidP="001778EA">
      <w:pPr>
        <w:spacing w:after="0" w:line="276" w:lineRule="auto"/>
        <w:rPr>
          <w:rFonts w:ascii="Aptos" w:hAnsi="Aptos"/>
          <w:sz w:val="24"/>
          <w:szCs w:val="24"/>
        </w:rPr>
      </w:pPr>
      <w:r w:rsidRPr="001778EA">
        <w:rPr>
          <w:rFonts w:ascii="Aptos" w:hAnsi="Aptos"/>
          <w:b/>
          <w:bCs/>
          <w:sz w:val="24"/>
          <w:szCs w:val="24"/>
        </w:rPr>
        <w:t>Huiwen Gong</w:t>
      </w:r>
      <w:r w:rsidRPr="001778EA">
        <w:rPr>
          <w:rFonts w:ascii="Aptos" w:hAnsi="Aptos"/>
          <w:sz w:val="24"/>
          <w:szCs w:val="24"/>
        </w:rPr>
        <w:t>, University of Stavanger, Norway</w:t>
      </w:r>
    </w:p>
    <w:p w14:paraId="2E729905" w14:textId="77777777" w:rsidR="002B3D25" w:rsidRPr="001778EA" w:rsidRDefault="002B3D25" w:rsidP="001778EA">
      <w:pPr>
        <w:spacing w:after="0" w:line="276" w:lineRule="auto"/>
        <w:rPr>
          <w:rFonts w:ascii="Aptos" w:hAnsi="Aptos"/>
          <w:sz w:val="24"/>
          <w:szCs w:val="24"/>
        </w:rPr>
      </w:pPr>
      <w:r w:rsidRPr="001778EA">
        <w:rPr>
          <w:rFonts w:ascii="Aptos" w:hAnsi="Aptos"/>
          <w:b/>
          <w:bCs/>
          <w:sz w:val="24"/>
          <w:szCs w:val="24"/>
        </w:rPr>
        <w:t>Alberto Giacometti</w:t>
      </w:r>
      <w:r w:rsidRPr="001778EA">
        <w:rPr>
          <w:rFonts w:ascii="Aptos" w:hAnsi="Aptos"/>
          <w:sz w:val="24"/>
          <w:szCs w:val="24"/>
        </w:rPr>
        <w:t>, University of Stavanger, Norway</w:t>
      </w:r>
    </w:p>
    <w:p w14:paraId="708DF9BB" w14:textId="7D652E21" w:rsidR="00CC196C" w:rsidRPr="001778EA" w:rsidRDefault="002B3D25" w:rsidP="001778EA">
      <w:pPr>
        <w:spacing w:after="0" w:line="276" w:lineRule="auto"/>
        <w:rPr>
          <w:rFonts w:ascii="Aptos" w:hAnsi="Aptos"/>
          <w:sz w:val="24"/>
          <w:szCs w:val="24"/>
        </w:rPr>
      </w:pPr>
      <w:r w:rsidRPr="001778EA">
        <w:rPr>
          <w:rFonts w:ascii="Aptos" w:hAnsi="Aptos"/>
          <w:b/>
          <w:bCs/>
          <w:sz w:val="24"/>
          <w:szCs w:val="24"/>
        </w:rPr>
        <w:t>Gesa Pflitsch</w:t>
      </w:r>
      <w:r w:rsidRPr="001778EA">
        <w:rPr>
          <w:rFonts w:ascii="Aptos" w:hAnsi="Aptos"/>
          <w:sz w:val="24"/>
          <w:szCs w:val="24"/>
        </w:rPr>
        <w:t>, Universität für Bodenkultur Wien (BOKU), Austria</w:t>
      </w:r>
    </w:p>
    <w:p w14:paraId="7FC0D9B6" w14:textId="77777777" w:rsidR="002B3D25" w:rsidRPr="001778EA" w:rsidRDefault="002B3D25" w:rsidP="002B3D25">
      <w:pPr>
        <w:rPr>
          <w:rFonts w:ascii="Aptos" w:hAnsi="Aptos"/>
          <w:sz w:val="24"/>
          <w:szCs w:val="24"/>
        </w:rPr>
      </w:pPr>
    </w:p>
    <w:p w14:paraId="0919E667" w14:textId="3F79D0BA" w:rsidR="002B3D25" w:rsidRPr="001778EA" w:rsidRDefault="002B3D25" w:rsidP="002B3D25">
      <w:pPr>
        <w:rPr>
          <w:rFonts w:ascii="Aptos" w:hAnsi="Aptos"/>
          <w:sz w:val="24"/>
          <w:szCs w:val="24"/>
          <w:u w:val="single"/>
        </w:rPr>
      </w:pPr>
      <w:r w:rsidRPr="001778EA">
        <w:rPr>
          <w:rFonts w:ascii="Aptos" w:hAnsi="Aptos"/>
          <w:sz w:val="24"/>
          <w:szCs w:val="24"/>
          <w:u w:val="single"/>
        </w:rPr>
        <w:t>Overview</w:t>
      </w:r>
    </w:p>
    <w:p w14:paraId="151A3C42" w14:textId="77777777" w:rsidR="001778EA" w:rsidRPr="001778EA" w:rsidRDefault="002B3D25" w:rsidP="002B3D25">
      <w:pPr>
        <w:spacing w:after="0" w:line="276" w:lineRule="auto"/>
        <w:rPr>
          <w:rFonts w:ascii="Aptos" w:hAnsi="Aptos"/>
        </w:rPr>
      </w:pPr>
      <w:r w:rsidRPr="001778EA">
        <w:rPr>
          <w:rFonts w:ascii="Aptos" w:hAnsi="Aptos"/>
        </w:rPr>
        <w:t>Regional innovation policies have undergone a transformative turn, shifting from broad-based</w:t>
      </w:r>
      <w:r w:rsidR="001778EA" w:rsidRPr="001778EA">
        <w:rPr>
          <w:rFonts w:ascii="Aptos" w:hAnsi="Aptos"/>
        </w:rPr>
        <w:t xml:space="preserve"> </w:t>
      </w:r>
      <w:r w:rsidRPr="001778EA">
        <w:rPr>
          <w:rFonts w:ascii="Aptos" w:hAnsi="Aptos"/>
        </w:rPr>
        <w:t>support toward normative, future-oriented approaches that aim to steer development toward</w:t>
      </w:r>
      <w:r w:rsidR="001778EA" w:rsidRPr="001778EA">
        <w:rPr>
          <w:rFonts w:ascii="Aptos" w:hAnsi="Aptos"/>
        </w:rPr>
        <w:t xml:space="preserve"> </w:t>
      </w:r>
      <w:r w:rsidRPr="001778EA">
        <w:rPr>
          <w:rFonts w:ascii="Aptos" w:hAnsi="Aptos"/>
        </w:rPr>
        <w:t>desirable societal outcomes. Frameworks such as challenge-oriented innovation, and sustainability</w:t>
      </w:r>
      <w:r w:rsidR="001778EA" w:rsidRPr="001778EA">
        <w:rPr>
          <w:rFonts w:ascii="Aptos" w:hAnsi="Aptos"/>
        </w:rPr>
        <w:t xml:space="preserve"> </w:t>
      </w:r>
      <w:r w:rsidRPr="001778EA">
        <w:rPr>
          <w:rFonts w:ascii="Aptos" w:hAnsi="Aptos"/>
        </w:rPr>
        <w:t>transitions increasingly emphasize the performative role of visions, narratives, expectations, and</w:t>
      </w:r>
      <w:r w:rsidR="001778EA" w:rsidRPr="001778EA">
        <w:rPr>
          <w:rFonts w:ascii="Aptos" w:hAnsi="Aptos"/>
        </w:rPr>
        <w:t xml:space="preserve"> </w:t>
      </w:r>
      <w:r w:rsidRPr="001778EA">
        <w:rPr>
          <w:rFonts w:ascii="Aptos" w:hAnsi="Aptos"/>
        </w:rPr>
        <w:t>imaginaries in shaping regional trajectories. Scholars highlight possibilities for purposive agency</w:t>
      </w:r>
      <w:r w:rsidR="001778EA" w:rsidRPr="001778EA">
        <w:rPr>
          <w:rFonts w:ascii="Aptos" w:hAnsi="Aptos"/>
        </w:rPr>
        <w:t xml:space="preserve"> </w:t>
      </w:r>
      <w:r w:rsidRPr="001778EA">
        <w:rPr>
          <w:rFonts w:ascii="Aptos" w:hAnsi="Aptos"/>
        </w:rPr>
        <w:t xml:space="preserve">in regional path development, countering deterministic views of path dependency. </w:t>
      </w:r>
    </w:p>
    <w:p w14:paraId="7F7A1821" w14:textId="77777777" w:rsidR="001778EA" w:rsidRPr="001778EA" w:rsidRDefault="001778EA" w:rsidP="002B3D25">
      <w:pPr>
        <w:spacing w:after="0" w:line="276" w:lineRule="auto"/>
        <w:rPr>
          <w:rFonts w:ascii="Aptos" w:hAnsi="Aptos"/>
        </w:rPr>
      </w:pPr>
    </w:p>
    <w:p w14:paraId="787B3F5C" w14:textId="2A865BBC" w:rsidR="002B3D25" w:rsidRPr="001778EA" w:rsidRDefault="002B3D25" w:rsidP="002B3D25">
      <w:pPr>
        <w:spacing w:after="0" w:line="276" w:lineRule="auto"/>
        <w:rPr>
          <w:rFonts w:ascii="Aptos" w:hAnsi="Aptos"/>
        </w:rPr>
      </w:pPr>
      <w:r w:rsidRPr="001778EA">
        <w:rPr>
          <w:rFonts w:ascii="Aptos" w:hAnsi="Aptos"/>
        </w:rPr>
        <w:t>However,</w:t>
      </w:r>
      <w:r w:rsidR="001778EA" w:rsidRPr="001778EA">
        <w:rPr>
          <w:rFonts w:ascii="Aptos" w:hAnsi="Aptos"/>
        </w:rPr>
        <w:t xml:space="preserve"> </w:t>
      </w:r>
      <w:r w:rsidRPr="001778EA">
        <w:rPr>
          <w:rFonts w:ascii="Aptos" w:hAnsi="Aptos"/>
        </w:rPr>
        <w:t>critical questions remain insufficiently examined: whose futures are being imagined and</w:t>
      </w:r>
      <w:r w:rsidR="001778EA" w:rsidRPr="001778EA">
        <w:rPr>
          <w:rFonts w:ascii="Aptos" w:hAnsi="Aptos"/>
        </w:rPr>
        <w:t xml:space="preserve"> </w:t>
      </w:r>
      <w:r w:rsidRPr="001778EA">
        <w:rPr>
          <w:rFonts w:ascii="Aptos" w:hAnsi="Aptos"/>
        </w:rPr>
        <w:t>institutionalized? How do these future-oriented strategies interact with existing power structures</w:t>
      </w:r>
      <w:r w:rsidR="001778EA" w:rsidRPr="001778EA">
        <w:rPr>
          <w:rFonts w:ascii="Aptos" w:hAnsi="Aptos"/>
        </w:rPr>
        <w:t xml:space="preserve"> </w:t>
      </w:r>
      <w:r w:rsidRPr="001778EA">
        <w:rPr>
          <w:rFonts w:ascii="Aptos" w:hAnsi="Aptos"/>
        </w:rPr>
        <w:t>and spatial inequalities? What are the distributional consequences of innovation-led transitions?</w:t>
      </w:r>
    </w:p>
    <w:p w14:paraId="793C6D52" w14:textId="77777777" w:rsidR="002B3D25" w:rsidRPr="001778EA" w:rsidRDefault="002B3D25" w:rsidP="002B3D25">
      <w:pPr>
        <w:spacing w:after="0" w:line="276" w:lineRule="auto"/>
        <w:rPr>
          <w:rFonts w:ascii="Aptos" w:hAnsi="Aptos"/>
          <w:sz w:val="24"/>
          <w:szCs w:val="24"/>
        </w:rPr>
      </w:pPr>
    </w:p>
    <w:p w14:paraId="51EF955E" w14:textId="7386E044" w:rsidR="002B3D25" w:rsidRPr="001778EA" w:rsidRDefault="002B3D25" w:rsidP="002B3D25">
      <w:pPr>
        <w:spacing w:after="0" w:line="276" w:lineRule="auto"/>
        <w:rPr>
          <w:rFonts w:ascii="Aptos" w:hAnsi="Aptos"/>
          <w:sz w:val="24"/>
          <w:szCs w:val="24"/>
          <w:u w:val="single"/>
        </w:rPr>
      </w:pPr>
      <w:r w:rsidRPr="001778EA">
        <w:rPr>
          <w:rFonts w:ascii="Aptos" w:hAnsi="Aptos"/>
          <w:sz w:val="24"/>
          <w:szCs w:val="24"/>
          <w:u w:val="single"/>
        </w:rPr>
        <w:t>Session Aims and Scope</w:t>
      </w:r>
    </w:p>
    <w:p w14:paraId="177A3C16" w14:textId="5BA96DD7" w:rsidR="002B3D25" w:rsidRPr="001778EA" w:rsidRDefault="002B3D25" w:rsidP="002B3D25">
      <w:pPr>
        <w:spacing w:after="0" w:line="276" w:lineRule="auto"/>
        <w:rPr>
          <w:rFonts w:ascii="Aptos" w:hAnsi="Aptos"/>
        </w:rPr>
      </w:pPr>
      <w:r w:rsidRPr="001778EA">
        <w:rPr>
          <w:rFonts w:ascii="Aptos" w:hAnsi="Aptos"/>
        </w:rPr>
        <w:t>This special session focuses on the politics and practices of future-making in regional innovation</w:t>
      </w:r>
      <w:r w:rsidR="001778EA" w:rsidRPr="001778EA">
        <w:rPr>
          <w:rFonts w:ascii="Aptos" w:hAnsi="Aptos"/>
        </w:rPr>
        <w:t xml:space="preserve"> </w:t>
      </w:r>
      <w:r w:rsidRPr="001778EA">
        <w:rPr>
          <w:rFonts w:ascii="Aptos" w:hAnsi="Aptos"/>
        </w:rPr>
        <w:t>policy within the context of digital and green transitions. Drawing on economic geography,</w:t>
      </w:r>
      <w:r w:rsidR="001778EA" w:rsidRPr="001778EA">
        <w:rPr>
          <w:rFonts w:ascii="Aptos" w:hAnsi="Aptos"/>
        </w:rPr>
        <w:t xml:space="preserve"> </w:t>
      </w:r>
      <w:r w:rsidRPr="001778EA">
        <w:rPr>
          <w:rFonts w:ascii="Aptos" w:hAnsi="Aptos"/>
        </w:rPr>
        <w:t>innovation studies, transition studies, and critical policy analysis, we examine how regions</w:t>
      </w:r>
      <w:r w:rsidR="001778EA" w:rsidRPr="001778EA">
        <w:rPr>
          <w:rFonts w:ascii="Aptos" w:hAnsi="Aptos"/>
        </w:rPr>
        <w:t xml:space="preserve"> </w:t>
      </w:r>
      <w:r w:rsidRPr="001778EA">
        <w:rPr>
          <w:rFonts w:ascii="Aptos" w:hAnsi="Aptos"/>
        </w:rPr>
        <w:t>imagine, contest, and materialize innovation futures, and critically assess gaps between policy</w:t>
      </w:r>
      <w:r w:rsidR="001778EA" w:rsidRPr="001778EA">
        <w:rPr>
          <w:rFonts w:ascii="Aptos" w:hAnsi="Aptos"/>
        </w:rPr>
        <w:t xml:space="preserve"> </w:t>
      </w:r>
      <w:r w:rsidRPr="001778EA">
        <w:rPr>
          <w:rFonts w:ascii="Aptos" w:hAnsi="Aptos"/>
        </w:rPr>
        <w:t xml:space="preserve">aspirations and realized outcomes. </w:t>
      </w:r>
    </w:p>
    <w:p w14:paraId="35D84F4A" w14:textId="77777777" w:rsidR="002B3D25" w:rsidRPr="001778EA" w:rsidRDefault="002B3D25" w:rsidP="002B3D25">
      <w:pPr>
        <w:spacing w:after="0" w:line="276" w:lineRule="auto"/>
        <w:rPr>
          <w:rFonts w:ascii="Aptos" w:hAnsi="Aptos"/>
          <w:i/>
          <w:iCs/>
        </w:rPr>
      </w:pPr>
    </w:p>
    <w:p w14:paraId="0DA932DA" w14:textId="09A5650B" w:rsidR="002B3D25" w:rsidRPr="001778EA" w:rsidRDefault="002B3D25" w:rsidP="002B3D25">
      <w:pPr>
        <w:spacing w:after="0" w:line="276" w:lineRule="auto"/>
        <w:rPr>
          <w:rFonts w:ascii="Aptos" w:hAnsi="Aptos"/>
        </w:rPr>
      </w:pPr>
      <w:r w:rsidRPr="001778EA">
        <w:rPr>
          <w:rFonts w:ascii="Aptos" w:hAnsi="Aptos"/>
        </w:rPr>
        <w:t>We invite theoretical, methodological, and empirical contributions addressing conceptualizations of innovation imaginaries; futuring methods and practices in regional governance; twin transitions and ecosystem development; politics of inclusion and exclusion in future-making; spatial unevenness and territorial justice; roles of universities and intermediaries; and implementation challenges and policy failures. Cross regional comparisons and critical perspectives are particularly welcomed.</w:t>
      </w:r>
    </w:p>
    <w:sectPr w:rsidR="002B3D25" w:rsidRPr="00177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25"/>
    <w:rsid w:val="000348D7"/>
    <w:rsid w:val="001778EA"/>
    <w:rsid w:val="002B3D25"/>
    <w:rsid w:val="0033376A"/>
    <w:rsid w:val="00433351"/>
    <w:rsid w:val="00476549"/>
    <w:rsid w:val="004868B6"/>
    <w:rsid w:val="00820562"/>
    <w:rsid w:val="00CC196C"/>
    <w:rsid w:val="00E3783B"/>
    <w:rsid w:val="00EB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73BD"/>
  <w15:chartTrackingRefBased/>
  <w15:docId w15:val="{3312AD0E-8A0B-447E-81DB-331B47C2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D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D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D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D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 Kitagawa (City-REDI)</dc:creator>
  <cp:keywords/>
  <dc:description/>
  <cp:lastModifiedBy>Rebecca Amos (Conferences and Events)</cp:lastModifiedBy>
  <cp:revision>2</cp:revision>
  <dcterms:created xsi:type="dcterms:W3CDTF">2026-01-28T10:34:00Z</dcterms:created>
  <dcterms:modified xsi:type="dcterms:W3CDTF">2026-01-28T10:34:00Z</dcterms:modified>
</cp:coreProperties>
</file>