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4196F6">
      <w:pPr>
        <w:spacing w:after="40" w:line="240" w:lineRule="auto"/>
        <w:jc w:val="center"/>
        <w:rPr>
          <w:rFonts w:ascii="Calibri" w:hAnsi="Calibri" w:cs="Calibri"/>
          <w:b/>
          <w:bCs/>
          <w:sz w:val="28"/>
          <w:szCs w:val="28"/>
        </w:rPr>
      </w:pPr>
      <w:r>
        <w:rPr>
          <w:rFonts w:ascii="Calibri" w:hAnsi="Calibri" w:cs="Calibri"/>
          <w:b/>
          <w:bCs/>
          <w:sz w:val="28"/>
          <w:szCs w:val="28"/>
        </w:rPr>
        <w:t xml:space="preserve">Quantifying Biophilic Principles to Measurable Metrics in Urban Housing: A Context-Specific Weighted Assessment Framework </w:t>
      </w:r>
    </w:p>
    <w:p w14:paraId="33E5799D">
      <w:pPr>
        <w:pStyle w:val="42"/>
        <w:spacing w:after="40"/>
        <w:jc w:val="center"/>
        <w:rPr>
          <w:rFonts w:ascii="Calibri" w:hAnsi="Calibri" w:cs="Calibri"/>
        </w:rPr>
      </w:pPr>
      <w:r>
        <w:rPr>
          <w:rFonts w:ascii="Calibri" w:hAnsi="Calibri" w:cs="Calibri"/>
        </w:rPr>
        <w:t>Ar. Sushmita Singh Parmar</w:t>
      </w:r>
      <w:r>
        <w:rPr>
          <w:rFonts w:ascii="Calibri" w:hAnsi="Calibri" w:cs="Calibri"/>
          <w:vertAlign w:val="superscript"/>
        </w:rPr>
        <w:t>1</w:t>
      </w:r>
      <w:r>
        <w:rPr>
          <w:rFonts w:ascii="Calibri" w:hAnsi="Calibri" w:cs="Calibri"/>
        </w:rPr>
        <w:t xml:space="preserve">, </w:t>
      </w:r>
      <w:r>
        <w:rPr>
          <w:rFonts w:ascii="Calibri" w:hAnsi="Calibri" w:cs="Calibri"/>
          <w:vertAlign w:val="superscript"/>
        </w:rPr>
        <w:t xml:space="preserve"> 2</w:t>
      </w:r>
      <w:r>
        <w:rPr>
          <w:rFonts w:ascii="Calibri" w:hAnsi="Calibri" w:cs="Calibri"/>
        </w:rPr>
        <w:t xml:space="preserve"> Dr Kshetrimayum Bangkim Singh</w:t>
      </w:r>
      <w:r>
        <w:rPr>
          <w:rFonts w:ascii="Calibri" w:hAnsi="Calibri" w:cs="Calibri"/>
          <w:vertAlign w:val="superscript"/>
        </w:rPr>
        <w:t xml:space="preserve">2  </w:t>
      </w:r>
      <w:r>
        <w:rPr>
          <w:rFonts w:ascii="Calibri" w:hAnsi="Calibri" w:cs="Calibri"/>
        </w:rPr>
        <w:t xml:space="preserve"> </w:t>
      </w:r>
    </w:p>
    <w:p w14:paraId="7E6C8961">
      <w:pPr>
        <w:pStyle w:val="42"/>
        <w:spacing w:after="40"/>
        <w:rPr>
          <w:rFonts w:ascii="Calibri" w:hAnsi="Calibri" w:cs="Calibri"/>
          <w:sz w:val="22"/>
          <w:szCs w:val="22"/>
        </w:rPr>
      </w:pPr>
    </w:p>
    <w:p w14:paraId="55721BDD">
      <w:pPr>
        <w:pStyle w:val="42"/>
        <w:spacing w:after="40"/>
        <w:rPr>
          <w:rFonts w:ascii="Calibri" w:hAnsi="Calibri" w:cs="Calibri"/>
          <w:vertAlign w:val="superscript"/>
          <w:lang w:val="en-US"/>
        </w:rPr>
      </w:pPr>
      <w:r>
        <w:rPr>
          <w:rFonts w:ascii="Calibri" w:hAnsi="Calibri" w:cs="Calibri"/>
          <w:vertAlign w:val="superscript"/>
          <w:lang w:val="en-US"/>
        </w:rPr>
        <w:t xml:space="preserve">1,  Department of Architecture, School of Planning and Architecture, New Delhi, India </w:t>
      </w:r>
    </w:p>
    <w:p w14:paraId="5A27416A">
      <w:pPr>
        <w:pStyle w:val="42"/>
        <w:spacing w:after="40"/>
        <w:rPr>
          <w:rFonts w:ascii="Calibri" w:hAnsi="Calibri" w:cs="Calibri"/>
          <w:vertAlign w:val="superscript"/>
          <w:lang w:val="en-US"/>
        </w:rPr>
      </w:pPr>
      <w:r>
        <w:rPr>
          <w:rFonts w:ascii="Calibri" w:hAnsi="Calibri" w:cs="Calibri"/>
          <w:vertAlign w:val="superscript"/>
          <w:lang w:val="en-US"/>
        </w:rPr>
        <w:t xml:space="preserve">2  Department of Architecture, Faculty of Architecture, School of Planning and Architecture, New Delhi, India </w:t>
      </w:r>
    </w:p>
    <w:p w14:paraId="615BAC85">
      <w:pPr>
        <w:pStyle w:val="42"/>
        <w:spacing w:after="40"/>
        <w:rPr>
          <w:rFonts w:ascii="Calibri" w:hAnsi="Calibri" w:cs="Calibri"/>
          <w:vertAlign w:val="superscript"/>
          <w:lang w:val="en-US"/>
        </w:rPr>
      </w:pPr>
      <w:r>
        <w:rPr>
          <w:rFonts w:ascii="Calibri" w:hAnsi="Calibri" w:cs="Calibri"/>
          <w:vertAlign w:val="superscript"/>
          <w:lang w:val="it-IT"/>
        </w:rPr>
        <w:t xml:space="preserve">1 E-mail: </w:t>
      </w:r>
      <w:r>
        <w:fldChar w:fldCharType="begin"/>
      </w:r>
      <w:r>
        <w:instrText xml:space="preserve"> HYPERLINK "mailto:sushmita.arch.phd@spa.ac.in" </w:instrText>
      </w:r>
      <w:r>
        <w:fldChar w:fldCharType="separate"/>
      </w:r>
      <w:r>
        <w:rPr>
          <w:rStyle w:val="16"/>
          <w:rFonts w:ascii="Calibri" w:hAnsi="Calibri" w:cs="Calibri"/>
          <w:vertAlign w:val="superscript"/>
          <w:lang w:val="en-US"/>
        </w:rPr>
        <w:t>sushmita.arch.phd@spa.ac.in</w:t>
      </w:r>
      <w:r>
        <w:rPr>
          <w:rStyle w:val="16"/>
          <w:rFonts w:ascii="Calibri" w:hAnsi="Calibri" w:cs="Calibri"/>
          <w:vertAlign w:val="superscript"/>
          <w:lang w:val="en-US"/>
        </w:rPr>
        <w:fldChar w:fldCharType="end"/>
      </w:r>
      <w:r>
        <w:rPr>
          <w:rFonts w:ascii="Calibri" w:hAnsi="Calibri" w:cs="Calibri"/>
          <w:vertAlign w:val="superscript"/>
          <w:lang w:val="de-DE"/>
        </w:rPr>
        <w:t xml:space="preserve">  , </w:t>
      </w:r>
      <w:r>
        <w:rPr>
          <w:rFonts w:ascii="Calibri" w:hAnsi="Calibri" w:cs="Calibri"/>
          <w:vertAlign w:val="superscript"/>
          <w:lang w:val="it-IT"/>
        </w:rPr>
        <w:t xml:space="preserve">2 E-mail: </w:t>
      </w:r>
      <w:r>
        <w:fldChar w:fldCharType="begin"/>
      </w:r>
      <w:r>
        <w:instrText xml:space="preserve"> HYPERLINK "mailto:bangkim.singh@spa.ac.in" </w:instrText>
      </w:r>
      <w:r>
        <w:fldChar w:fldCharType="separate"/>
      </w:r>
      <w:r>
        <w:rPr>
          <w:rStyle w:val="16"/>
          <w:rFonts w:ascii="Calibri" w:hAnsi="Calibri" w:cs="Calibri"/>
          <w:vertAlign w:val="superscript"/>
          <w:lang w:val="en-US"/>
        </w:rPr>
        <w:t>bangkim.singh@spa.ac.in</w:t>
      </w:r>
      <w:r>
        <w:rPr>
          <w:rStyle w:val="16"/>
          <w:rFonts w:ascii="Calibri" w:hAnsi="Calibri" w:cs="Calibri"/>
          <w:vertAlign w:val="superscript"/>
          <w:lang w:val="en-US"/>
        </w:rPr>
        <w:fldChar w:fldCharType="end"/>
      </w:r>
      <w:r>
        <w:rPr>
          <w:rFonts w:ascii="Calibri" w:hAnsi="Calibri" w:cs="Calibri"/>
          <w:vertAlign w:val="superscript"/>
          <w:lang w:val="en-US"/>
        </w:rPr>
        <w:t xml:space="preserve"> </w:t>
      </w:r>
    </w:p>
    <w:p w14:paraId="696F0B7C">
      <w:pPr>
        <w:spacing w:after="40" w:line="240" w:lineRule="auto"/>
        <w:jc w:val="both"/>
        <w:rPr>
          <w:rFonts w:ascii="Calibri" w:hAnsi="Calibri" w:cs="Calibri"/>
          <w:b/>
          <w:bCs/>
          <w:sz w:val="28"/>
          <w:szCs w:val="28"/>
          <w:lang w:val="en-US"/>
        </w:rPr>
      </w:pPr>
      <w:r>
        <w:rPr>
          <w:rFonts w:ascii="Calibri" w:hAnsi="Calibri" w:cs="Calibri"/>
          <w:b/>
          <w:bCs/>
          <w:sz w:val="28"/>
          <w:szCs w:val="28"/>
          <w:lang w:val="en-US"/>
        </w:rPr>
        <w:t>ABSTRACT</w:t>
      </w:r>
    </w:p>
    <w:p w14:paraId="6F14F5B6">
      <w:pPr>
        <w:spacing w:after="40" w:line="240" w:lineRule="auto"/>
        <w:jc w:val="both"/>
        <w:rPr>
          <w:rFonts w:hint="default" w:ascii="Calibri" w:hAnsi="Calibri"/>
          <w:sz w:val="22"/>
          <w:szCs w:val="22"/>
        </w:rPr>
      </w:pPr>
      <w:r>
        <w:rPr>
          <w:rFonts w:hint="default" w:ascii="Calibri" w:hAnsi="Calibri"/>
          <w:sz w:val="22"/>
          <w:szCs w:val="22"/>
        </w:rPr>
        <w:t>Existing measures of biophilia are predominantly qualitative checklists that lack uniform coverage of multiple design elements, are flexible to varying local climates, housing types, and financial feasibility, and rarely provide quantitative measurements of the extent of biophilic features in residential settings. Their poor compatibility with digital building construction processes and data-driven decision making has been evidenced in several green-building standards (Wijesooriya et al., 2023; Xue et al., 2019).In this research work, the Biophilic Design Assessment Framework (BDAF) is proposed, which is an information-based approach that quantifies biophilic concepts through the application of sixteen measurable indicators falling under three broad categories: Direct Nature Experience, Spatial Experience and Place, and Indirect Nature Representation. The BDAF framework seeks to combine information from Building Information Modelling (BIM), GIS, IoT sensing devices, simulations, design data, and occupant feedback data in order to provide an assessment index of biophilia in a given building between 0 and 200.One example of secondary data analysis using 27 houses with five different housing types in Savda Ghevra, Delhi, shows how this proposed scoring approach works, categorizing the five housing types based on their characteristics related to daylighting, ventilation, thermal comfort, greenery, space quality, and materiality. This study has presented an unambiguous computational method for incorporating biophilic assessment in the digital construction process. It is important to note that this exercise was just illustrative and does not validate the framework or its weights in relation to occupants' health benefits. Future work must validate the framework weights and thresholds through expert elicitation, perform inter-rater reliability analysis, and establish relationships between BDAF scores and occupant comfort and health.</w:t>
      </w:r>
    </w:p>
    <w:p w14:paraId="3AAEA933">
      <w:pPr>
        <w:spacing w:after="40" w:line="240" w:lineRule="auto"/>
        <w:jc w:val="both"/>
        <w:rPr>
          <w:rFonts w:hint="default" w:ascii="Calibri" w:hAnsi="Calibri" w:eastAsia="SimSun" w:cs="Calibri"/>
          <w:sz w:val="22"/>
          <w:szCs w:val="22"/>
        </w:rPr>
      </w:pPr>
      <w:r>
        <w:rPr>
          <w:rFonts w:hint="default" w:ascii="Calibri" w:hAnsi="Calibri" w:cs="Calibri"/>
          <w:b/>
          <w:bCs/>
          <w:sz w:val="22"/>
          <w:szCs w:val="22"/>
        </w:rPr>
        <w:t xml:space="preserve">Keywords: </w:t>
      </w:r>
      <w:r>
        <w:rPr>
          <w:rFonts w:hint="default" w:ascii="Calibri" w:hAnsi="Calibri" w:eastAsia="SimSun" w:cs="Calibri"/>
          <w:sz w:val="22"/>
          <w:szCs w:val="22"/>
        </w:rPr>
        <w:t>Biophilic design; urban housing; assessment framework; BIM; GIS; IoT; indoor environmental quality; weighted index.</w:t>
      </w:r>
    </w:p>
    <w:p w14:paraId="4BD4B199">
      <w:pPr>
        <w:spacing w:after="40" w:line="240" w:lineRule="auto"/>
        <w:jc w:val="both"/>
        <w:rPr>
          <w:rFonts w:hint="default" w:ascii="Calibri" w:hAnsi="Calibri" w:eastAsia="SimSun" w:cs="Calibri"/>
          <w:sz w:val="20"/>
          <w:szCs w:val="20"/>
          <w:lang w:val="en-US"/>
        </w:rPr>
      </w:pPr>
    </w:p>
    <w:p w14:paraId="0BB51DEC">
      <w:pPr>
        <w:numPr>
          <w:ilvl w:val="0"/>
          <w:numId w:val="1"/>
        </w:numPr>
        <w:spacing w:after="40" w:line="240" w:lineRule="auto"/>
        <w:jc w:val="both"/>
        <w:rPr>
          <w:rFonts w:ascii="Calibri" w:hAnsi="Calibri" w:cs="Calibri"/>
          <w:b/>
          <w:bCs/>
          <w:sz w:val="28"/>
          <w:szCs w:val="28"/>
          <w:lang w:val="en-US"/>
        </w:rPr>
      </w:pPr>
      <w:r>
        <w:rPr>
          <w:rFonts w:hint="default" w:ascii="Calibri" w:hAnsi="Calibri" w:cs="Calibri"/>
          <w:b/>
          <w:bCs/>
          <w:sz w:val="28"/>
          <w:szCs w:val="28"/>
          <w:lang w:val="en-US"/>
        </w:rPr>
        <w:t>INTRODUCTION</w:t>
      </w:r>
    </w:p>
    <w:p w14:paraId="46C2F637">
      <w:pPr>
        <w:numPr>
          <w:ilvl w:val="0"/>
          <w:numId w:val="0"/>
        </w:numPr>
        <w:spacing w:after="40" w:line="240" w:lineRule="auto"/>
        <w:jc w:val="both"/>
        <w:rPr>
          <w:rFonts w:hint="default" w:ascii="Calibri" w:hAnsi="Calibri"/>
          <w:sz w:val="22"/>
          <w:szCs w:val="22"/>
        </w:rPr>
      </w:pPr>
      <w:r>
        <w:rPr>
          <w:rFonts w:hint="default" w:ascii="Calibri" w:hAnsi="Calibri"/>
          <w:sz w:val="22"/>
          <w:szCs w:val="22"/>
        </w:rPr>
        <w:t>Current developments are characterized by increased density, enclosed environments, and detachment from the natural environment that could result in reduced interaction with nature as well as health effects. One way to solve the problem of separation from nature through urban development is biophilic design whereby natural elements such as daylight, vegetation, water, materials of the natural world, and outdoor views are incorporated into buildings, resulting in improved well-being and comfort, among others (Biophilic design, 2024; Ulrich, 1984).</w:t>
      </w:r>
    </w:p>
    <w:p w14:paraId="116A8A60">
      <w:pPr>
        <w:numPr>
          <w:ilvl w:val="0"/>
          <w:numId w:val="0"/>
        </w:numPr>
        <w:spacing w:after="40" w:line="240" w:lineRule="auto"/>
        <w:jc w:val="both"/>
        <w:rPr>
          <w:rFonts w:hint="default" w:ascii="Calibri" w:hAnsi="Calibri"/>
          <w:sz w:val="22"/>
          <w:szCs w:val="22"/>
        </w:rPr>
      </w:pPr>
      <w:r>
        <w:rPr>
          <w:rFonts w:hint="default" w:ascii="Calibri" w:hAnsi="Calibri"/>
          <w:sz w:val="22"/>
          <w:szCs w:val="22"/>
        </w:rPr>
        <w:t>In the field of residential research, biophilic design is often mentioned in terms of improving users' experiences and establishing the connection between humans and the natural environment (Khanzadeh, 2024; Kellert, 2008). Biophilic design at the neighbourhood level has potential impacts on air quality, thermal environment, and social well-being (Guo et al., 2023; Tabassum &amp; Park, 2024).</w:t>
      </w:r>
    </w:p>
    <w:p w14:paraId="0E0CD872">
      <w:pPr>
        <w:numPr>
          <w:ilvl w:val="0"/>
          <w:numId w:val="0"/>
        </w:numPr>
        <w:spacing w:after="40" w:line="240" w:lineRule="auto"/>
        <w:jc w:val="both"/>
        <w:rPr>
          <w:rFonts w:hint="default" w:ascii="Calibri" w:hAnsi="Calibri"/>
          <w:sz w:val="22"/>
          <w:szCs w:val="22"/>
        </w:rPr>
      </w:pPr>
      <w:r>
        <w:rPr>
          <w:rFonts w:hint="default" w:ascii="Calibri" w:hAnsi="Calibri"/>
          <w:sz w:val="22"/>
          <w:szCs w:val="22"/>
        </w:rPr>
        <w:t>There is still much attention to the issue, but the field still does not have a standardized quantitative assessment tool that is aimed explicitly at urban housing. Biophilic advantages are usually subjective and hard to quantify, and there are few robust tools for a quantitative assessment in the existing literature (Ryan et al., 2014; Ramzy et al., 2025). It is a practical problem for those who need to assess the performance of biophilia quantitatively.</w:t>
      </w:r>
    </w:p>
    <w:p w14:paraId="611A6BF5">
      <w:pPr>
        <w:numPr>
          <w:numId w:val="0"/>
        </w:numPr>
        <w:spacing w:after="40" w:line="240" w:lineRule="auto"/>
        <w:jc w:val="both"/>
        <w:rPr>
          <w:rFonts w:hint="default" w:ascii="Calibri" w:hAnsi="Calibri" w:cs="Calibri"/>
          <w:b/>
          <w:bCs/>
          <w:sz w:val="28"/>
          <w:szCs w:val="28"/>
        </w:rPr>
      </w:pPr>
      <w:r>
        <w:rPr>
          <w:rFonts w:hint="default" w:ascii="Calibri" w:hAnsi="Calibri" w:eastAsia="SimSun" w:cs="Calibri"/>
          <w:b/>
          <w:bCs/>
          <w:sz w:val="28"/>
          <w:szCs w:val="28"/>
        </w:rPr>
        <w:t>1.1 Problem</w:t>
      </w:r>
    </w:p>
    <w:p w14:paraId="51814D94">
      <w:pPr>
        <w:numPr>
          <w:numId w:val="0"/>
        </w:numPr>
        <w:spacing w:after="40" w:line="240" w:lineRule="auto"/>
        <w:jc w:val="both"/>
        <w:rPr>
          <w:rFonts w:hint="default" w:ascii="Calibri" w:hAnsi="Calibri"/>
          <w:sz w:val="22"/>
          <w:szCs w:val="22"/>
        </w:rPr>
      </w:pPr>
      <w:r>
        <w:rPr>
          <w:rFonts w:hint="default" w:ascii="Calibri" w:hAnsi="Calibri"/>
          <w:sz w:val="22"/>
          <w:szCs w:val="22"/>
        </w:rPr>
        <w:t>Although the existing theoretical models have been able to contribute to the development of the biophilia assessment, none of them is fully operational. In particular, Lee and Kim (2021) categorize biophilic elements based on their spatial scale and approach in terms of regional, neighbourhood and building scale as well as natural, technical, and functional approach. However, this model is only useful for conceptual classification.</w:t>
      </w:r>
    </w:p>
    <w:p w14:paraId="4292D717">
      <w:pPr>
        <w:numPr>
          <w:numId w:val="0"/>
        </w:numPr>
        <w:spacing w:after="40" w:line="240" w:lineRule="auto"/>
        <w:jc w:val="both"/>
        <w:rPr>
          <w:rFonts w:hint="default" w:ascii="Calibri" w:hAnsi="Calibri"/>
          <w:sz w:val="22"/>
          <w:szCs w:val="22"/>
        </w:rPr>
      </w:pPr>
      <w:r>
        <w:rPr>
          <w:rFonts w:hint="default" w:ascii="Calibri" w:hAnsi="Calibri"/>
          <w:sz w:val="22"/>
          <w:szCs w:val="22"/>
        </w:rPr>
        <w:t>The taxonomies presented by Kellert (2008) consider biophilic categories as design guidelines, not quantifiable evaluation criteria. The recent research has put forward such quantifiable indicators as daylight availability, CO2 levels, circadian stimulus, and visual comfort; yet, such an approach continues to focus on general comfort and sustainability evaluations instead of providing a context-sensitive scoring method specific for housing buildings (Tabassum &amp; Park, 2024; Wijesooriya et al., 2023).</w:t>
      </w:r>
    </w:p>
    <w:p w14:paraId="2BA8D709">
      <w:pPr>
        <w:numPr>
          <w:numId w:val="0"/>
        </w:numPr>
        <w:spacing w:after="40" w:line="240" w:lineRule="auto"/>
        <w:jc w:val="both"/>
        <w:rPr>
          <w:rFonts w:hint="default" w:ascii="Calibri" w:hAnsi="Calibri"/>
          <w:sz w:val="22"/>
          <w:szCs w:val="22"/>
        </w:rPr>
      </w:pPr>
      <w:r>
        <w:rPr>
          <w:rFonts w:hint="default" w:ascii="Calibri" w:hAnsi="Calibri"/>
          <w:sz w:val="22"/>
          <w:szCs w:val="22"/>
        </w:rPr>
        <w:t>There is also a similar deficiency in building rating tools. Biophilic categories are unequally represented in the rating framework, and the average level of compatibility between biophilic framework criteria and green-building-rating-tool criteria reaches 43% (Wijesooriya et al., 2023). BREEAM-NL uses biophilic criteria as the criteria of presence rather than grading of performance (BREEAM-NL, 2020). WELL v2 incorporates biophilic design into the framework via feedback and well-being ideas but is meant for commercial buildings (IWBI, 2023). LEED considers biophilia within various credits, but does not include a residential module (USGBC, 2023).</w:t>
      </w:r>
    </w:p>
    <w:p w14:paraId="1B24056A">
      <w:pPr>
        <w:numPr>
          <w:numId w:val="0"/>
        </w:numPr>
        <w:spacing w:after="40" w:line="240" w:lineRule="auto"/>
        <w:jc w:val="both"/>
        <w:rPr>
          <w:rFonts w:hint="default" w:ascii="Calibri" w:hAnsi="Calibri"/>
          <w:sz w:val="22"/>
          <w:szCs w:val="22"/>
        </w:rPr>
      </w:pPr>
      <w:r>
        <w:rPr>
          <w:rFonts w:hint="default" w:ascii="Calibri" w:hAnsi="Calibri"/>
          <w:sz w:val="22"/>
          <w:szCs w:val="22"/>
        </w:rPr>
        <w:t>Another problem is that of lack of context awareness. This is illustrated by the findings on urban morphology studies showing that the impacts of design elements are not generalizable but depend on the city, scale, and season (Guo et al., 2023). The same context awareness should be taken into account in the evaluation of biophilic housing; yet most current frameworks do not.</w:t>
      </w:r>
    </w:p>
    <w:p w14:paraId="56A4445A">
      <w:pPr>
        <w:numPr>
          <w:numId w:val="0"/>
        </w:numPr>
        <w:spacing w:after="40" w:line="240" w:lineRule="auto"/>
        <w:jc w:val="both"/>
        <w:rPr>
          <w:rFonts w:hint="default" w:ascii="Calibri" w:hAnsi="Calibri" w:cs="Calibri"/>
          <w:b/>
          <w:bCs/>
          <w:sz w:val="28"/>
          <w:szCs w:val="28"/>
        </w:rPr>
      </w:pPr>
      <w:r>
        <w:rPr>
          <w:rFonts w:hint="default" w:ascii="Calibri" w:hAnsi="Calibri" w:eastAsia="SimSun" w:cs="Calibri"/>
          <w:b/>
          <w:bCs/>
          <w:sz w:val="28"/>
          <w:szCs w:val="28"/>
        </w:rPr>
        <w:t>1.2 Objectives and Contribution</w:t>
      </w:r>
    </w:p>
    <w:p w14:paraId="3B45DE4E">
      <w:pPr>
        <w:numPr>
          <w:numId w:val="0"/>
        </w:numPr>
        <w:spacing w:after="40" w:line="240" w:lineRule="auto"/>
        <w:jc w:val="both"/>
        <w:rPr>
          <w:rFonts w:hint="default" w:ascii="Calibri" w:hAnsi="Calibri"/>
          <w:sz w:val="22"/>
          <w:szCs w:val="22"/>
        </w:rPr>
      </w:pPr>
      <w:r>
        <w:rPr>
          <w:rFonts w:hint="default" w:ascii="Calibri" w:hAnsi="Calibri"/>
          <w:sz w:val="22"/>
          <w:szCs w:val="22"/>
        </w:rPr>
        <w:t>This paper aims to fill the above-mentioned gap through the creation of a framework called the Biophilic Design Assessment Framework (BDAF). The framework represents a hierarchical indicator system that links biophilic principles with quantifiable metrics in the urban housing sector. It contributes to the existing categorization of biophilic design principles by creating a scorable indicator system based on the aforementioned categorization, thus making it contextually dependent.</w:t>
      </w:r>
    </w:p>
    <w:p w14:paraId="221ED15B">
      <w:pPr>
        <w:numPr>
          <w:numId w:val="0"/>
        </w:numPr>
        <w:spacing w:after="40" w:line="240" w:lineRule="auto"/>
        <w:jc w:val="both"/>
        <w:rPr>
          <w:rFonts w:hint="default" w:ascii="Calibri" w:hAnsi="Calibri"/>
          <w:sz w:val="22"/>
          <w:szCs w:val="22"/>
        </w:rPr>
      </w:pPr>
      <w:r>
        <w:rPr>
          <w:rFonts w:hint="default" w:ascii="Calibri" w:hAnsi="Calibri"/>
          <w:sz w:val="22"/>
          <w:szCs w:val="22"/>
        </w:rPr>
        <w:t>The contributions of the framework are threefold. First, it creates an indicator system that could be used in the evaluation of residential buildings. Second, it outlines a computational workflow that includes building information modeling (BIM), geographical information systems (GIS), Internet of things (IoT), simulation, documentation, and occupants. Third, the framework illustrates the workflow with a secondary data analysis case study of housing types in Delhi.</w:t>
      </w:r>
    </w:p>
    <w:p w14:paraId="2A4B50D1">
      <w:pPr>
        <w:numPr>
          <w:ilvl w:val="0"/>
          <w:numId w:val="1"/>
        </w:numPr>
        <w:spacing w:after="40" w:line="240" w:lineRule="auto"/>
        <w:ind w:left="0" w:leftChars="0" w:firstLine="0" w:firstLineChars="0"/>
        <w:jc w:val="both"/>
        <w:rPr>
          <w:rFonts w:hint="default" w:ascii="Calibri" w:hAnsi="Calibri" w:cs="Calibri"/>
          <w:b/>
          <w:bCs/>
          <w:sz w:val="28"/>
          <w:szCs w:val="28"/>
        </w:rPr>
      </w:pPr>
      <w:r>
        <w:rPr>
          <w:rFonts w:hint="default" w:ascii="Calibri" w:hAnsi="Calibri" w:cs="Calibri"/>
          <w:b/>
          <w:bCs/>
          <w:sz w:val="28"/>
          <w:szCs w:val="28"/>
        </w:rPr>
        <w:t>S</w:t>
      </w:r>
      <w:r>
        <w:rPr>
          <w:rFonts w:hint="default" w:ascii="Calibri" w:hAnsi="Calibri" w:cs="Calibri"/>
          <w:b/>
          <w:bCs/>
          <w:sz w:val="28"/>
          <w:szCs w:val="28"/>
          <w:lang w:val="en-US"/>
        </w:rPr>
        <w:t>TATE OF THE ART AND RESEARCH GAP</w:t>
      </w:r>
    </w:p>
    <w:p w14:paraId="08C844E7">
      <w:pPr>
        <w:numPr>
          <w:numId w:val="0"/>
        </w:numPr>
        <w:spacing w:after="40" w:line="240" w:lineRule="auto"/>
        <w:jc w:val="both"/>
        <w:rPr>
          <w:rFonts w:hint="default" w:ascii="Calibri" w:hAnsi="Calibri" w:cs="Calibri"/>
          <w:b/>
          <w:bCs/>
          <w:sz w:val="28"/>
          <w:szCs w:val="28"/>
        </w:rPr>
      </w:pPr>
      <w:r>
        <w:rPr>
          <w:rFonts w:hint="default" w:ascii="Calibri" w:hAnsi="Calibri" w:cs="Calibri"/>
          <w:b/>
          <w:bCs/>
          <w:sz w:val="28"/>
          <w:szCs w:val="28"/>
        </w:rPr>
        <w:t>2.1 Foundations of Biophilic Design</w:t>
      </w:r>
    </w:p>
    <w:p w14:paraId="5A367252">
      <w:pPr>
        <w:numPr>
          <w:numId w:val="0"/>
        </w:numPr>
        <w:spacing w:after="40" w:line="240" w:lineRule="auto"/>
        <w:jc w:val="both"/>
        <w:rPr>
          <w:rFonts w:hint="default" w:ascii="Calibri" w:hAnsi="Calibri"/>
          <w:sz w:val="22"/>
          <w:szCs w:val="22"/>
        </w:rPr>
      </w:pPr>
      <w:r>
        <w:rPr>
          <w:rFonts w:hint="default" w:ascii="Calibri" w:hAnsi="Calibri"/>
          <w:sz w:val="22"/>
          <w:szCs w:val="22"/>
        </w:rPr>
        <w:t>The biophilic design concept is based on the idea of the presence of an inherent human tendency to connect with nature (Wilson, 1984). The concept was translated into practice by Kellert (2008), who identified three types of the experience of connection between people and nature: the experience of direct contact with nature; the experience of indirect contact with nature; and the experience of spaces and places. Browning et al. (2014) introduced fourteen patterns of the design based on three groups: nature in the space, nature analogues, and nature of the space. These frameworks remain the key reference points in the field.</w:t>
      </w:r>
    </w:p>
    <w:p w14:paraId="5A316A5D">
      <w:pPr>
        <w:numPr>
          <w:numId w:val="0"/>
        </w:numPr>
        <w:spacing w:after="40" w:line="240" w:lineRule="auto"/>
        <w:jc w:val="both"/>
        <w:rPr>
          <w:rFonts w:hint="default" w:ascii="Calibri" w:hAnsi="Calibri"/>
          <w:sz w:val="22"/>
          <w:szCs w:val="22"/>
        </w:rPr>
      </w:pPr>
      <w:r>
        <w:rPr>
          <w:rFonts w:hint="default" w:ascii="Calibri" w:hAnsi="Calibri"/>
          <w:sz w:val="22"/>
          <w:szCs w:val="22"/>
        </w:rPr>
        <w:t>The empirical base is well-developed. According to Ulrich (1984), patients with windows providing them with views of trees healed faster than patients with windows overlooking brick walls. Thus, the stress-reduction hypothesis was proved. Moreover, research shows that nature provides people with stress relief and improves their mood and cognitive performance (Ulrich et al., 1991).</w:t>
      </w:r>
    </w:p>
    <w:p w14:paraId="78BD77B0">
      <w:pPr>
        <w:numPr>
          <w:numId w:val="0"/>
        </w:numPr>
        <w:spacing w:after="40" w:line="240" w:lineRule="auto"/>
        <w:jc w:val="both"/>
        <w:rPr>
          <w:rFonts w:hint="default" w:ascii="Calibri" w:hAnsi="Calibri" w:eastAsia="SimSun" w:cs="Calibri"/>
          <w:b/>
          <w:bCs/>
          <w:sz w:val="28"/>
          <w:szCs w:val="28"/>
        </w:rPr>
      </w:pPr>
      <w:r>
        <w:rPr>
          <w:rFonts w:hint="default" w:ascii="Calibri" w:hAnsi="Calibri" w:eastAsia="SimSun" w:cs="Calibri"/>
          <w:b/>
          <w:bCs/>
          <w:sz w:val="28"/>
          <w:szCs w:val="28"/>
        </w:rPr>
        <w:t>2.2 Existing Assessment Frameworks</w:t>
      </w:r>
    </w:p>
    <w:p w14:paraId="755D11DC">
      <w:pPr>
        <w:numPr>
          <w:numId w:val="0"/>
        </w:numPr>
        <w:spacing w:after="40" w:line="240" w:lineRule="auto"/>
        <w:jc w:val="both"/>
        <w:rPr>
          <w:rFonts w:hint="default" w:ascii="Calibri" w:hAnsi="Calibri" w:eastAsia="SimSun"/>
          <w:b w:val="0"/>
          <w:bCs w:val="0"/>
          <w:sz w:val="22"/>
          <w:szCs w:val="22"/>
        </w:rPr>
      </w:pPr>
      <w:r>
        <w:rPr>
          <w:rFonts w:hint="default" w:ascii="Calibri" w:hAnsi="Calibri" w:eastAsia="SimSun"/>
          <w:b w:val="0"/>
          <w:bCs w:val="0"/>
          <w:sz w:val="22"/>
          <w:szCs w:val="22"/>
        </w:rPr>
        <w:t>Different categorizations for biophilic design have been suggested by various scholars, albeit varying widely in terms of operability:</w:t>
      </w:r>
    </w:p>
    <w:p w14:paraId="55A69D96">
      <w:pPr>
        <w:numPr>
          <w:ilvl w:val="0"/>
          <w:numId w:val="2"/>
        </w:numPr>
        <w:spacing w:after="40" w:line="240" w:lineRule="auto"/>
        <w:ind w:left="420" w:leftChars="0" w:hanging="420" w:firstLineChars="0"/>
        <w:jc w:val="both"/>
        <w:rPr>
          <w:rFonts w:hint="default" w:ascii="Calibri" w:hAnsi="Calibri" w:eastAsia="SimSun"/>
          <w:b w:val="0"/>
          <w:bCs w:val="0"/>
          <w:sz w:val="22"/>
          <w:szCs w:val="22"/>
        </w:rPr>
      </w:pPr>
      <w:r>
        <w:rPr>
          <w:rFonts w:hint="default" w:ascii="Calibri" w:hAnsi="Calibri" w:eastAsia="SimSun"/>
          <w:b w:val="0"/>
          <w:bCs w:val="0"/>
          <w:sz w:val="22"/>
          <w:szCs w:val="22"/>
        </w:rPr>
        <w:t>Spatial and methodological classification of Lee and Kim (2021) provides a spatial-methodological matrix cross-classifying regional, neighborhood, and building scales against natural, technical, and functional approaches. This classification is descriptive but not quantitative in nature.</w:t>
      </w:r>
    </w:p>
    <w:p w14:paraId="6A35567D">
      <w:pPr>
        <w:numPr>
          <w:ilvl w:val="0"/>
          <w:numId w:val="2"/>
        </w:numPr>
        <w:spacing w:after="40" w:line="240" w:lineRule="auto"/>
        <w:ind w:left="420" w:leftChars="0" w:hanging="420" w:firstLineChars="0"/>
        <w:jc w:val="both"/>
        <w:rPr>
          <w:rFonts w:hint="default" w:ascii="Calibri" w:hAnsi="Calibri" w:eastAsia="SimSun"/>
          <w:b w:val="0"/>
          <w:bCs w:val="0"/>
          <w:sz w:val="22"/>
          <w:szCs w:val="22"/>
        </w:rPr>
      </w:pPr>
      <w:r>
        <w:rPr>
          <w:rFonts w:hint="default" w:ascii="Calibri" w:hAnsi="Calibri" w:eastAsia="SimSun"/>
          <w:b w:val="0"/>
          <w:bCs w:val="0"/>
          <w:sz w:val="22"/>
          <w:szCs w:val="22"/>
        </w:rPr>
        <w:t>A Biophilic Index, put forward by Salingaros (2015), is based on various parameters, including sunlight, fractals, gravity, and organized complexity; however, this index is neither climate-validated nor disaggregated at housing level.</w:t>
      </w:r>
    </w:p>
    <w:p w14:paraId="6A41FDB2">
      <w:pPr>
        <w:numPr>
          <w:ilvl w:val="0"/>
          <w:numId w:val="2"/>
        </w:numPr>
        <w:spacing w:after="40" w:line="240" w:lineRule="auto"/>
        <w:ind w:left="420" w:leftChars="0" w:hanging="420" w:firstLineChars="0"/>
        <w:jc w:val="both"/>
        <w:rPr>
          <w:rFonts w:hint="default" w:ascii="Calibri" w:hAnsi="Calibri" w:eastAsia="SimSun"/>
          <w:b w:val="0"/>
          <w:bCs w:val="0"/>
          <w:sz w:val="22"/>
          <w:szCs w:val="22"/>
        </w:rPr>
      </w:pPr>
      <w:r>
        <w:rPr>
          <w:rFonts w:hint="default" w:ascii="Calibri" w:hAnsi="Calibri" w:eastAsia="SimSun"/>
          <w:b w:val="0"/>
          <w:bCs w:val="0"/>
          <w:sz w:val="22"/>
          <w:szCs w:val="22"/>
        </w:rPr>
        <w:t>Tabassum and Park (2024) classified biophilic design dimensions into different performance metrics, which include daylight access, carbon-dioxide levels, circadian stimulus, and thermal comfort, thereby bringing together indoor environmental quality assessment and post-occupancy evaluation. However, this classification applies to general buildings and not housing and does not provide context-sensitive weights.</w:t>
      </w:r>
    </w:p>
    <w:p w14:paraId="5536624C">
      <w:pPr>
        <w:numPr>
          <w:ilvl w:val="0"/>
          <w:numId w:val="2"/>
        </w:numPr>
        <w:spacing w:after="40" w:line="240" w:lineRule="auto"/>
        <w:ind w:left="420" w:leftChars="0" w:hanging="420" w:firstLineChars="0"/>
        <w:jc w:val="both"/>
        <w:rPr>
          <w:rFonts w:hint="default" w:ascii="Calibri" w:hAnsi="Calibri" w:eastAsia="SimSun" w:cs="Calibri"/>
          <w:b w:val="0"/>
          <w:bCs w:val="0"/>
          <w:sz w:val="22"/>
          <w:szCs w:val="22"/>
        </w:rPr>
      </w:pPr>
      <w:r>
        <w:rPr>
          <w:rFonts w:hint="default" w:ascii="Calibri" w:hAnsi="Calibri" w:eastAsia="SimSun"/>
          <w:b w:val="0"/>
          <w:bCs w:val="0"/>
          <w:sz w:val="22"/>
          <w:szCs w:val="22"/>
        </w:rPr>
        <w:t>Building certification systems (LEED, WELL, BREEAM-NL) approach biophilic design through distributed credits/thresholds and not residential biophilic design index (USGBC, 2023; IWBI, 2023; BREEAM-NL, 2020).</w:t>
      </w:r>
    </w:p>
    <w:p w14:paraId="6FF93306">
      <w:pPr>
        <w:numPr>
          <w:numId w:val="0"/>
        </w:numPr>
        <w:spacing w:after="40" w:line="240" w:lineRule="auto"/>
        <w:jc w:val="both"/>
        <w:rPr>
          <w:rFonts w:hint="default" w:ascii="Calibri" w:hAnsi="Calibri" w:cs="Calibri"/>
          <w:b/>
          <w:bCs/>
          <w:sz w:val="28"/>
          <w:szCs w:val="28"/>
        </w:rPr>
      </w:pPr>
      <w:r>
        <w:rPr>
          <w:rFonts w:hint="default" w:ascii="Calibri" w:hAnsi="Calibri" w:eastAsia="SimSun" w:cs="Calibri"/>
          <w:b/>
          <w:bCs/>
          <w:sz w:val="28"/>
          <w:szCs w:val="28"/>
        </w:rPr>
        <w:t>2.3 Identified Gaps</w:t>
      </w:r>
    </w:p>
    <w:p w14:paraId="636BA344">
      <w:pPr>
        <w:numPr>
          <w:numId w:val="0"/>
        </w:numPr>
        <w:spacing w:after="40" w:line="240" w:lineRule="auto"/>
        <w:jc w:val="both"/>
        <w:rPr>
          <w:rFonts w:hint="default" w:ascii="Calibri" w:hAnsi="Calibri"/>
          <w:sz w:val="22"/>
          <w:szCs w:val="22"/>
        </w:rPr>
      </w:pPr>
      <w:r>
        <w:rPr>
          <w:rFonts w:hint="default" w:ascii="Calibri" w:hAnsi="Calibri"/>
          <w:sz w:val="22"/>
          <w:szCs w:val="22"/>
        </w:rPr>
        <w:t>There are five separate gaps found in the literature that have been addressed in this study. Firstly, there is no previous framework that attempts to match biophilic design principles against quantifiable metrics specific to housing. Secondly, there is no previous framework that provides a clear computational process linking up building models, sensors, GIS data and scoring guidelines. Thirdly, the application of biophilic assessment to residential buildings is less developed compared to biophilic assessment done in workplace and health care environments. Fourthly, there is no framework that specifies clearly how to deal with missing data without punishing the building being assessed.</w:t>
      </w:r>
    </w:p>
    <w:p w14:paraId="382BB994">
      <w:pPr>
        <w:numPr>
          <w:numId w:val="0"/>
        </w:numPr>
        <w:spacing w:after="40" w:line="240" w:lineRule="auto"/>
        <w:jc w:val="center"/>
        <w:rPr>
          <w:rFonts w:hint="default" w:ascii="Calibri" w:hAnsi="Calibri" w:eastAsia="SimSun" w:cs="Calibri"/>
          <w:b/>
          <w:bCs/>
          <w:i/>
          <w:iCs/>
          <w:sz w:val="20"/>
          <w:szCs w:val="20"/>
        </w:rPr>
      </w:pPr>
      <w:r>
        <w:rPr>
          <w:rFonts w:hint="default" w:ascii="Calibri" w:hAnsi="Calibri" w:eastAsia="SimSun" w:cs="Calibri"/>
          <w:b/>
          <w:bCs/>
          <w:i/>
          <w:iCs/>
          <w:sz w:val="20"/>
          <w:szCs w:val="20"/>
        </w:rPr>
        <w:t>Table 1. State of the art and research gap addressed by BDAF</w:t>
      </w:r>
    </w:p>
    <w:tbl>
      <w:tblPr>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903"/>
        <w:gridCol w:w="1797"/>
        <w:gridCol w:w="1894"/>
        <w:gridCol w:w="1039"/>
        <w:gridCol w:w="1019"/>
        <w:gridCol w:w="1464"/>
      </w:tblGrid>
      <w:tr w14:paraId="6B1E8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90" w:hRule="atLeast"/>
          <w:tblCellSpacing w:w="15" w:type="dxa"/>
        </w:trPr>
        <w:tc>
          <w:tcPr>
            <w:tcW w:w="0" w:type="auto"/>
            <w:shd w:val="clear"/>
            <w:vAlign w:val="center"/>
          </w:tcPr>
          <w:p w14:paraId="7A28F371">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Framework</w:t>
            </w:r>
          </w:p>
        </w:tc>
        <w:tc>
          <w:tcPr>
            <w:tcW w:w="0" w:type="auto"/>
            <w:shd w:val="clear"/>
            <w:vAlign w:val="center"/>
          </w:tcPr>
          <w:p w14:paraId="10B40421">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Main purpose</w:t>
            </w:r>
          </w:p>
        </w:tc>
        <w:tc>
          <w:tcPr>
            <w:tcW w:w="0" w:type="auto"/>
            <w:shd w:val="clear"/>
            <w:vAlign w:val="center"/>
          </w:tcPr>
          <w:p w14:paraId="77DD84BE">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Scoring approach</w:t>
            </w:r>
          </w:p>
        </w:tc>
        <w:tc>
          <w:tcPr>
            <w:tcW w:w="0" w:type="auto"/>
            <w:shd w:val="clear"/>
            <w:vAlign w:val="center"/>
          </w:tcPr>
          <w:p w14:paraId="62CAF744">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Housing specific</w:t>
            </w:r>
          </w:p>
        </w:tc>
        <w:tc>
          <w:tcPr>
            <w:tcW w:w="0" w:type="auto"/>
            <w:shd w:val="clear"/>
            <w:vAlign w:val="center"/>
          </w:tcPr>
          <w:p w14:paraId="1087F378">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Context specific</w:t>
            </w:r>
          </w:p>
        </w:tc>
        <w:tc>
          <w:tcPr>
            <w:tcW w:w="0" w:type="auto"/>
            <w:shd w:val="clear"/>
            <w:vAlign w:val="center"/>
          </w:tcPr>
          <w:p w14:paraId="2857E09B">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Digital data integration</w:t>
            </w:r>
          </w:p>
        </w:tc>
      </w:tr>
      <w:tr w14:paraId="2C393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18889028">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Biophilic design patterns</w:t>
            </w:r>
          </w:p>
        </w:tc>
        <w:tc>
          <w:tcPr>
            <w:tcW w:w="0" w:type="auto"/>
            <w:shd w:val="clear"/>
            <w:vAlign w:val="center"/>
          </w:tcPr>
          <w:p w14:paraId="67BDC437">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Design principles</w:t>
            </w:r>
          </w:p>
        </w:tc>
        <w:tc>
          <w:tcPr>
            <w:tcW w:w="0" w:type="auto"/>
            <w:shd w:val="clear"/>
            <w:vAlign w:val="center"/>
          </w:tcPr>
          <w:p w14:paraId="5E0B5569">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Qualitative</w:t>
            </w:r>
          </w:p>
        </w:tc>
        <w:tc>
          <w:tcPr>
            <w:tcW w:w="0" w:type="auto"/>
            <w:shd w:val="clear"/>
            <w:vAlign w:val="center"/>
          </w:tcPr>
          <w:p w14:paraId="5AAA2689">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Partial</w:t>
            </w:r>
          </w:p>
        </w:tc>
        <w:tc>
          <w:tcPr>
            <w:tcW w:w="0" w:type="auto"/>
            <w:shd w:val="clear"/>
            <w:vAlign w:val="center"/>
          </w:tcPr>
          <w:p w14:paraId="1C7B0CDB">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No</w:t>
            </w:r>
          </w:p>
        </w:tc>
        <w:tc>
          <w:tcPr>
            <w:tcW w:w="0" w:type="auto"/>
            <w:shd w:val="clear"/>
            <w:vAlign w:val="center"/>
          </w:tcPr>
          <w:p w14:paraId="2F602571">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Limited</w:t>
            </w:r>
          </w:p>
        </w:tc>
      </w:tr>
      <w:tr w14:paraId="7BC5E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74B93983">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LEED v4.1</w:t>
            </w:r>
          </w:p>
        </w:tc>
        <w:tc>
          <w:tcPr>
            <w:tcW w:w="0" w:type="auto"/>
            <w:shd w:val="clear"/>
            <w:vAlign w:val="center"/>
          </w:tcPr>
          <w:p w14:paraId="2C67CA90">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Building certification</w:t>
            </w:r>
          </w:p>
        </w:tc>
        <w:tc>
          <w:tcPr>
            <w:tcW w:w="0" w:type="auto"/>
            <w:shd w:val="clear"/>
            <w:vAlign w:val="center"/>
          </w:tcPr>
          <w:p w14:paraId="56ACE067">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Credit thresholds</w:t>
            </w:r>
          </w:p>
        </w:tc>
        <w:tc>
          <w:tcPr>
            <w:tcW w:w="0" w:type="auto"/>
            <w:shd w:val="clear"/>
            <w:vAlign w:val="center"/>
          </w:tcPr>
          <w:p w14:paraId="48439C3F">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Limited</w:t>
            </w:r>
          </w:p>
        </w:tc>
        <w:tc>
          <w:tcPr>
            <w:tcW w:w="0" w:type="auto"/>
            <w:shd w:val="clear"/>
            <w:vAlign w:val="center"/>
          </w:tcPr>
          <w:p w14:paraId="18913597">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No</w:t>
            </w:r>
          </w:p>
        </w:tc>
        <w:tc>
          <w:tcPr>
            <w:tcW w:w="0" w:type="auto"/>
            <w:shd w:val="clear"/>
            <w:vAlign w:val="center"/>
          </w:tcPr>
          <w:p w14:paraId="67A759F6">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Partial</w:t>
            </w:r>
          </w:p>
        </w:tc>
      </w:tr>
      <w:tr w14:paraId="4BA5B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61735E29">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WELL v2</w:t>
            </w:r>
          </w:p>
        </w:tc>
        <w:tc>
          <w:tcPr>
            <w:tcW w:w="0" w:type="auto"/>
            <w:shd w:val="clear"/>
            <w:vAlign w:val="center"/>
          </w:tcPr>
          <w:p w14:paraId="4E1BB9FF">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Health and well-being</w:t>
            </w:r>
          </w:p>
        </w:tc>
        <w:tc>
          <w:tcPr>
            <w:tcW w:w="0" w:type="auto"/>
            <w:shd w:val="clear"/>
            <w:vAlign w:val="center"/>
          </w:tcPr>
          <w:p w14:paraId="0B00F94A">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Credit thresholds</w:t>
            </w:r>
          </w:p>
        </w:tc>
        <w:tc>
          <w:tcPr>
            <w:tcW w:w="0" w:type="auto"/>
            <w:shd w:val="clear"/>
            <w:vAlign w:val="center"/>
          </w:tcPr>
          <w:p w14:paraId="580C1ED6">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No</w:t>
            </w:r>
          </w:p>
        </w:tc>
        <w:tc>
          <w:tcPr>
            <w:tcW w:w="0" w:type="auto"/>
            <w:shd w:val="clear"/>
            <w:vAlign w:val="center"/>
          </w:tcPr>
          <w:p w14:paraId="7D6FA4A1">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No</w:t>
            </w:r>
          </w:p>
        </w:tc>
        <w:tc>
          <w:tcPr>
            <w:tcW w:w="0" w:type="auto"/>
            <w:shd w:val="clear"/>
            <w:vAlign w:val="center"/>
          </w:tcPr>
          <w:p w14:paraId="0C2BE7D8">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Partial</w:t>
            </w:r>
          </w:p>
        </w:tc>
      </w:tr>
      <w:tr w14:paraId="6AAF7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4A0BE90F">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BREEAM-NL HEA 10</w:t>
            </w:r>
          </w:p>
        </w:tc>
        <w:tc>
          <w:tcPr>
            <w:tcW w:w="0" w:type="auto"/>
            <w:shd w:val="clear"/>
            <w:vAlign w:val="center"/>
          </w:tcPr>
          <w:p w14:paraId="78216DED">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Biophilic credit</w:t>
            </w:r>
          </w:p>
        </w:tc>
        <w:tc>
          <w:tcPr>
            <w:tcW w:w="0" w:type="auto"/>
            <w:shd w:val="clear"/>
            <w:vAlign w:val="center"/>
          </w:tcPr>
          <w:p w14:paraId="41C0BA8B">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Presence threshold</w:t>
            </w:r>
          </w:p>
        </w:tc>
        <w:tc>
          <w:tcPr>
            <w:tcW w:w="0" w:type="auto"/>
            <w:shd w:val="clear"/>
            <w:vAlign w:val="center"/>
          </w:tcPr>
          <w:p w14:paraId="686613C6">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Limited</w:t>
            </w:r>
          </w:p>
        </w:tc>
        <w:tc>
          <w:tcPr>
            <w:tcW w:w="0" w:type="auto"/>
            <w:shd w:val="clear"/>
            <w:vAlign w:val="center"/>
          </w:tcPr>
          <w:p w14:paraId="0F11284F">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No</w:t>
            </w:r>
          </w:p>
        </w:tc>
        <w:tc>
          <w:tcPr>
            <w:tcW w:w="0" w:type="auto"/>
            <w:shd w:val="clear"/>
            <w:vAlign w:val="center"/>
          </w:tcPr>
          <w:p w14:paraId="0E70C35C">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Partial</w:t>
            </w:r>
          </w:p>
        </w:tc>
      </w:tr>
      <w:tr w14:paraId="4E274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75AC8D68">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Measurable biophilic frameworks</w:t>
            </w:r>
          </w:p>
        </w:tc>
        <w:tc>
          <w:tcPr>
            <w:tcW w:w="0" w:type="auto"/>
            <w:shd w:val="clear"/>
            <w:vAlign w:val="center"/>
          </w:tcPr>
          <w:p w14:paraId="1CBD2D2E">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IEQ and comfort</w:t>
            </w:r>
          </w:p>
        </w:tc>
        <w:tc>
          <w:tcPr>
            <w:tcW w:w="0" w:type="auto"/>
            <w:shd w:val="clear"/>
            <w:vAlign w:val="center"/>
          </w:tcPr>
          <w:p w14:paraId="53877C2B">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Performance metrics</w:t>
            </w:r>
          </w:p>
        </w:tc>
        <w:tc>
          <w:tcPr>
            <w:tcW w:w="0" w:type="auto"/>
            <w:shd w:val="clear"/>
            <w:vAlign w:val="center"/>
          </w:tcPr>
          <w:p w14:paraId="243AD4E3">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Partial</w:t>
            </w:r>
          </w:p>
        </w:tc>
        <w:tc>
          <w:tcPr>
            <w:tcW w:w="0" w:type="auto"/>
            <w:shd w:val="clear"/>
            <w:vAlign w:val="center"/>
          </w:tcPr>
          <w:p w14:paraId="20C35137">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No</w:t>
            </w:r>
          </w:p>
        </w:tc>
        <w:tc>
          <w:tcPr>
            <w:tcW w:w="0" w:type="auto"/>
            <w:shd w:val="clear"/>
            <w:vAlign w:val="center"/>
          </w:tcPr>
          <w:p w14:paraId="685E9541">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Partial</w:t>
            </w:r>
          </w:p>
        </w:tc>
      </w:tr>
      <w:tr w14:paraId="098CB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14:paraId="7FDC051C">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BDAF</w:t>
            </w:r>
          </w:p>
        </w:tc>
        <w:tc>
          <w:tcPr>
            <w:tcW w:w="0" w:type="auto"/>
            <w:shd w:val="clear"/>
            <w:vAlign w:val="center"/>
          </w:tcPr>
          <w:p w14:paraId="496AB64D">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Residential biophilic assessment</w:t>
            </w:r>
          </w:p>
        </w:tc>
        <w:tc>
          <w:tcPr>
            <w:tcW w:w="0" w:type="auto"/>
            <w:shd w:val="clear"/>
            <w:vAlign w:val="center"/>
          </w:tcPr>
          <w:p w14:paraId="46F01819">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Normalized weighted 0-200 index</w:t>
            </w:r>
          </w:p>
        </w:tc>
        <w:tc>
          <w:tcPr>
            <w:tcW w:w="0" w:type="auto"/>
            <w:shd w:val="clear"/>
            <w:vAlign w:val="center"/>
          </w:tcPr>
          <w:p w14:paraId="062B431D">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Yes</w:t>
            </w:r>
          </w:p>
        </w:tc>
        <w:tc>
          <w:tcPr>
            <w:tcW w:w="0" w:type="auto"/>
            <w:shd w:val="clear"/>
            <w:vAlign w:val="center"/>
          </w:tcPr>
          <w:p w14:paraId="46E66F2B">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Yes</w:t>
            </w:r>
          </w:p>
        </w:tc>
        <w:tc>
          <w:tcPr>
            <w:tcW w:w="0" w:type="auto"/>
            <w:shd w:val="clear"/>
            <w:vAlign w:val="center"/>
          </w:tcPr>
          <w:p w14:paraId="39C1F53F">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Semi-automated</w:t>
            </w:r>
          </w:p>
        </w:tc>
      </w:tr>
    </w:tbl>
    <w:p w14:paraId="38F80DCE">
      <w:pPr>
        <w:numPr>
          <w:ilvl w:val="0"/>
          <w:numId w:val="1"/>
        </w:numPr>
        <w:spacing w:after="40" w:line="240" w:lineRule="auto"/>
        <w:ind w:left="0" w:leftChars="0" w:firstLine="0" w:firstLineChars="0"/>
        <w:jc w:val="both"/>
        <w:rPr>
          <w:rFonts w:hint="default" w:ascii="Calibri" w:hAnsi="Calibri" w:eastAsia="SimSun" w:cs="Calibri"/>
          <w:b/>
          <w:bCs/>
          <w:sz w:val="28"/>
          <w:szCs w:val="28"/>
        </w:rPr>
      </w:pPr>
      <w:r>
        <w:rPr>
          <w:rFonts w:hint="default" w:ascii="Calibri" w:hAnsi="Calibri" w:eastAsia="SimSun" w:cs="Calibri"/>
          <w:b/>
          <w:bCs/>
          <w:sz w:val="28"/>
          <w:szCs w:val="28"/>
        </w:rPr>
        <w:t>R</w:t>
      </w:r>
      <w:r>
        <w:rPr>
          <w:rFonts w:hint="default" w:ascii="Calibri" w:hAnsi="Calibri" w:eastAsia="SimSun" w:cs="Calibri"/>
          <w:b/>
          <w:bCs/>
          <w:sz w:val="28"/>
          <w:szCs w:val="28"/>
          <w:lang w:val="en-US"/>
        </w:rPr>
        <w:t>ESEARCH DESIGN AND DATA SOURCES</w:t>
      </w:r>
    </w:p>
    <w:p w14:paraId="79161452">
      <w:pPr>
        <w:numPr>
          <w:numId w:val="0"/>
        </w:numPr>
        <w:spacing w:after="40" w:line="240" w:lineRule="auto"/>
        <w:ind w:leftChars="0"/>
        <w:jc w:val="both"/>
        <w:rPr>
          <w:rFonts w:hint="default" w:ascii="Calibri" w:hAnsi="Calibri" w:eastAsia="SimSun" w:cs="Calibri"/>
          <w:sz w:val="22"/>
          <w:szCs w:val="22"/>
        </w:rPr>
      </w:pPr>
      <w:r>
        <w:rPr>
          <w:rFonts w:hint="default" w:ascii="Calibri" w:hAnsi="Calibri" w:eastAsia="SimSun" w:cs="Calibri"/>
          <w:sz w:val="22"/>
          <w:szCs w:val="22"/>
        </w:rPr>
        <w:t>This study employs a primarily qualitative and analytical research design that combines literature synthesis, framework development, and an illustrative secondary-data application. The design is organised in four stages.</w:t>
      </w:r>
    </w:p>
    <w:p w14:paraId="04C22247">
      <w:pPr>
        <w:numPr>
          <w:ilvl w:val="1"/>
          <w:numId w:val="1"/>
        </w:numPr>
        <w:spacing w:after="40" w:line="240" w:lineRule="auto"/>
        <w:ind w:left="0" w:leftChars="0" w:firstLine="0" w:firstLineChars="0"/>
        <w:jc w:val="both"/>
        <w:rPr>
          <w:rFonts w:hint="default" w:ascii="Calibri" w:hAnsi="Calibri" w:eastAsia="SimSun" w:cs="Calibri"/>
          <w:b/>
          <w:bCs/>
          <w:sz w:val="28"/>
          <w:szCs w:val="28"/>
        </w:rPr>
      </w:pPr>
      <w:r>
        <w:rPr>
          <w:rFonts w:hint="default" w:ascii="Calibri" w:hAnsi="Calibri" w:eastAsia="SimSun" w:cs="Calibri"/>
          <w:b/>
          <w:bCs/>
          <w:sz w:val="28"/>
          <w:szCs w:val="28"/>
        </w:rPr>
        <w:t>Indicator development</w:t>
      </w:r>
    </w:p>
    <w:p w14:paraId="6B3BA083">
      <w:pPr>
        <w:numPr>
          <w:numId w:val="0"/>
        </w:numPr>
        <w:spacing w:after="40" w:line="240" w:lineRule="auto"/>
        <w:ind w:leftChars="0"/>
        <w:jc w:val="both"/>
        <w:rPr>
          <w:rFonts w:hint="default" w:ascii="Calibri" w:hAnsi="Calibri"/>
          <w:sz w:val="22"/>
          <w:szCs w:val="22"/>
        </w:rPr>
      </w:pPr>
      <w:r>
        <w:rPr>
          <w:rFonts w:hint="default" w:ascii="Calibri" w:hAnsi="Calibri"/>
          <w:sz w:val="22"/>
          <w:szCs w:val="22"/>
        </w:rPr>
        <w:t>The first pool of indicators was constructed by systematic extraction from biophilia frameworks, criteria in building rating systems, and the literature on residential housing. These include fourteen patterns in Browning et al. (2014), the taxonomy of Kellert (2008), credits for LEED v4.1 Indoor Environmental Quality (USGBC, 2023), concepts in WELL v2 (IWBI, 2023), BREEAM-NL HEA 10 criteria (BREEAM-NL, 2020), and the peer-reviewed literature on residential housing.</w:t>
      </w:r>
    </w:p>
    <w:p w14:paraId="196A5E2D">
      <w:pPr>
        <w:numPr>
          <w:numId w:val="0"/>
        </w:numPr>
        <w:spacing w:after="40" w:line="240" w:lineRule="auto"/>
        <w:ind w:leftChars="0"/>
        <w:jc w:val="both"/>
        <w:rPr>
          <w:rFonts w:hint="default" w:ascii="Calibri" w:hAnsi="Calibri"/>
          <w:sz w:val="22"/>
          <w:szCs w:val="22"/>
        </w:rPr>
      </w:pPr>
      <w:r>
        <w:rPr>
          <w:rFonts w:hint="default" w:ascii="Calibri" w:hAnsi="Calibri"/>
          <w:sz w:val="22"/>
          <w:szCs w:val="22"/>
        </w:rPr>
        <w:t>Each indicator candidate was classified according to one of the following three assessment categories: Direct Nature Experience, Spatial Experience and Place, and Indirect Nature Representation. The candidate indicators were aligned with measurement procedures used in building science, which include daylight autonomy, ventilation performance, thermal comfort, vegetation percentage, and material assessment.</w:t>
      </w:r>
    </w:p>
    <w:p w14:paraId="0ABF846D">
      <w:pPr>
        <w:numPr>
          <w:ilvl w:val="1"/>
          <w:numId w:val="1"/>
        </w:numPr>
        <w:spacing w:after="40" w:line="240" w:lineRule="auto"/>
        <w:ind w:left="0" w:leftChars="0" w:firstLine="0" w:firstLineChars="0"/>
        <w:jc w:val="both"/>
        <w:rPr>
          <w:rFonts w:hint="default" w:ascii="Calibri" w:hAnsi="Calibri" w:eastAsia="SimSun" w:cs="Calibri"/>
          <w:b/>
          <w:bCs/>
          <w:sz w:val="28"/>
          <w:szCs w:val="28"/>
        </w:rPr>
      </w:pPr>
      <w:r>
        <w:rPr>
          <w:rFonts w:hint="default" w:ascii="Calibri" w:hAnsi="Calibri" w:eastAsia="SimSun" w:cs="Calibri"/>
          <w:b/>
          <w:bCs/>
          <w:sz w:val="28"/>
          <w:szCs w:val="28"/>
        </w:rPr>
        <w:t>Framework design</w:t>
      </w:r>
    </w:p>
    <w:p w14:paraId="7E37EB1A">
      <w:pPr>
        <w:numPr>
          <w:numId w:val="0"/>
        </w:numPr>
        <w:spacing w:after="40" w:line="240" w:lineRule="auto"/>
        <w:ind w:leftChars="0"/>
        <w:jc w:val="both"/>
        <w:rPr>
          <w:rFonts w:hint="default" w:ascii="Calibri" w:hAnsi="Calibri" w:eastAsia="SimSun"/>
          <w:b w:val="0"/>
          <w:bCs w:val="0"/>
          <w:sz w:val="22"/>
          <w:szCs w:val="22"/>
        </w:rPr>
      </w:pPr>
      <w:r>
        <w:rPr>
          <w:rFonts w:hint="default" w:ascii="Calibri" w:hAnsi="Calibri" w:eastAsia="SimSun"/>
          <w:b w:val="0"/>
          <w:bCs w:val="0"/>
          <w:sz w:val="22"/>
          <w:szCs w:val="22"/>
        </w:rPr>
        <w:t>The indicators were then sorted according to a three-category hierarchy and transformed into a weighted scoring system from 0 to 200 points. Tentative design priorities were set for each category using weights of 40%, 35% and 25% according to the relative measurability and significance of direct physical interaction with the environment, spatial experience, and indirect depiction of the space.</w:t>
      </w:r>
    </w:p>
    <w:p w14:paraId="6E660B17">
      <w:pPr>
        <w:numPr>
          <w:ilvl w:val="1"/>
          <w:numId w:val="1"/>
        </w:numPr>
        <w:spacing w:after="40" w:line="240" w:lineRule="auto"/>
        <w:ind w:left="0" w:leftChars="0" w:firstLine="0" w:firstLineChars="0"/>
        <w:jc w:val="both"/>
        <w:rPr>
          <w:rFonts w:hint="default" w:ascii="Calibri" w:hAnsi="Calibri" w:eastAsia="SimSun" w:cs="Calibri"/>
          <w:b/>
          <w:bCs/>
          <w:sz w:val="28"/>
          <w:szCs w:val="28"/>
        </w:rPr>
      </w:pPr>
      <w:r>
        <w:rPr>
          <w:rFonts w:hint="default" w:ascii="Calibri" w:hAnsi="Calibri" w:eastAsia="SimSun" w:cs="Calibri"/>
          <w:b/>
          <w:bCs/>
          <w:sz w:val="28"/>
          <w:szCs w:val="28"/>
        </w:rPr>
        <w:t>Digital architecture specification</w:t>
      </w:r>
    </w:p>
    <w:p w14:paraId="625865AD">
      <w:pPr>
        <w:numPr>
          <w:numId w:val="0"/>
        </w:numPr>
        <w:spacing w:after="40" w:line="240" w:lineRule="auto"/>
        <w:ind w:leftChars="0"/>
        <w:jc w:val="both"/>
        <w:rPr>
          <w:rFonts w:hint="default" w:ascii="Calibri" w:hAnsi="Calibri" w:eastAsia="SimSun" w:cs="Calibri"/>
          <w:sz w:val="22"/>
          <w:szCs w:val="22"/>
        </w:rPr>
      </w:pPr>
      <w:r>
        <w:rPr>
          <w:rFonts w:hint="default" w:ascii="Calibri" w:hAnsi="Calibri" w:eastAsia="SimSun" w:cs="Calibri"/>
          <w:sz w:val="22"/>
          <w:szCs w:val="22"/>
        </w:rPr>
        <w:t xml:space="preserve">A semi-automated computational workflow was specified for the integration of BIM, GIS, IoT, simulation, documentation, and occupant-survey inputs. </w:t>
      </w:r>
    </w:p>
    <w:p w14:paraId="60A179A0">
      <w:pPr>
        <w:numPr>
          <w:ilvl w:val="1"/>
          <w:numId w:val="1"/>
        </w:numPr>
        <w:spacing w:after="40" w:line="240" w:lineRule="auto"/>
        <w:ind w:left="0" w:leftChars="0" w:firstLine="0" w:firstLineChars="0"/>
        <w:jc w:val="both"/>
        <w:rPr>
          <w:rFonts w:hint="default" w:ascii="Calibri" w:hAnsi="Calibri" w:cs="Calibri"/>
          <w:b/>
          <w:bCs/>
          <w:sz w:val="28"/>
          <w:szCs w:val="28"/>
        </w:rPr>
      </w:pPr>
      <w:r>
        <w:rPr>
          <w:rFonts w:hint="default" w:ascii="Calibri" w:hAnsi="Calibri" w:eastAsia="SimSun" w:cs="Calibri"/>
          <w:b/>
          <w:bCs/>
          <w:sz w:val="28"/>
          <w:szCs w:val="28"/>
        </w:rPr>
        <w:t>Illustrative application</w:t>
      </w:r>
    </w:p>
    <w:p w14:paraId="2E7DDF80">
      <w:pPr>
        <w:numPr>
          <w:numId w:val="0"/>
        </w:numPr>
        <w:spacing w:after="40" w:line="240" w:lineRule="auto"/>
        <w:ind w:leftChars="0"/>
        <w:jc w:val="both"/>
        <w:rPr>
          <w:rFonts w:hint="default" w:ascii="Calibri" w:hAnsi="Calibri" w:cs="Calibri"/>
          <w:sz w:val="22"/>
          <w:szCs w:val="22"/>
        </w:rPr>
      </w:pPr>
      <w:r>
        <w:rPr>
          <w:rFonts w:hint="default" w:ascii="Calibri" w:hAnsi="Calibri" w:cs="Calibri"/>
          <w:sz w:val="22"/>
          <w:szCs w:val="22"/>
        </w:rPr>
        <w:t>The framework's feasibility was illustrated using secondary data from 27 dwellings across five housing typologies in Savda Ghevra, Delhi (Nix et al., 2015, 2020a).</w:t>
      </w:r>
    </w:p>
    <w:p w14:paraId="06A9BCF8">
      <w:pPr>
        <w:numPr>
          <w:ilvl w:val="0"/>
          <w:numId w:val="1"/>
        </w:numPr>
        <w:spacing w:after="40" w:line="240" w:lineRule="auto"/>
        <w:ind w:left="0" w:leftChars="0" w:firstLine="0" w:firstLineChars="0"/>
        <w:jc w:val="both"/>
        <w:rPr>
          <w:rFonts w:hint="default" w:ascii="Calibri" w:hAnsi="Calibri" w:eastAsia="SimSun" w:cs="Calibri"/>
          <w:b/>
          <w:bCs/>
          <w:sz w:val="28"/>
          <w:szCs w:val="28"/>
        </w:rPr>
      </w:pPr>
      <w:r>
        <w:rPr>
          <w:rFonts w:hint="default" w:ascii="Calibri" w:hAnsi="Calibri" w:eastAsia="SimSun" w:cs="Calibri"/>
          <w:b/>
          <w:bCs/>
          <w:sz w:val="28"/>
          <w:szCs w:val="28"/>
        </w:rPr>
        <w:t>T</w:t>
      </w:r>
      <w:r>
        <w:rPr>
          <w:rFonts w:hint="default" w:ascii="Calibri" w:hAnsi="Calibri" w:eastAsia="SimSun" w:cs="Calibri"/>
          <w:b/>
          <w:bCs/>
          <w:sz w:val="28"/>
          <w:szCs w:val="28"/>
          <w:lang w:val="en-US"/>
        </w:rPr>
        <w:t>HE BDAF FRAMEWORK</w:t>
      </w:r>
    </w:p>
    <w:p w14:paraId="45A7DCEF">
      <w:pPr>
        <w:numPr>
          <w:ilvl w:val="1"/>
          <w:numId w:val="1"/>
        </w:numPr>
        <w:spacing w:after="40" w:line="240" w:lineRule="auto"/>
        <w:ind w:left="0" w:leftChars="0" w:firstLine="0" w:firstLineChars="0"/>
        <w:jc w:val="both"/>
        <w:rPr>
          <w:rFonts w:hint="default" w:ascii="Calibri" w:hAnsi="Calibri" w:cs="Calibri"/>
          <w:b/>
          <w:bCs/>
          <w:sz w:val="28"/>
          <w:szCs w:val="28"/>
        </w:rPr>
      </w:pPr>
      <w:r>
        <w:rPr>
          <w:rFonts w:hint="default" w:ascii="Calibri" w:hAnsi="Calibri" w:eastAsia="SimSun" w:cs="Calibri"/>
          <w:b/>
          <w:bCs/>
          <w:sz w:val="28"/>
          <w:szCs w:val="28"/>
        </w:rPr>
        <w:t>Three-Tier Framework Architecture</w:t>
      </w:r>
      <w:bookmarkStart w:id="0" w:name="_GoBack"/>
      <w:bookmarkEnd w:id="0"/>
    </w:p>
    <w:p w14:paraId="2875FD09">
      <w:pPr>
        <w:numPr>
          <w:numId w:val="0"/>
        </w:numPr>
        <w:spacing w:after="40" w:line="240" w:lineRule="auto"/>
        <w:ind w:leftChars="0"/>
        <w:jc w:val="both"/>
        <w:rPr>
          <w:rFonts w:hint="default" w:ascii="Calibri" w:hAnsi="Calibri" w:cs="Calibri"/>
          <w:sz w:val="22"/>
          <w:szCs w:val="22"/>
        </w:rPr>
      </w:pPr>
      <w:r>
        <w:rPr>
          <w:rFonts w:hint="default" w:ascii="Calibri" w:hAnsi="Calibri" w:cs="Calibri"/>
          <w:sz w:val="22"/>
          <w:szCs w:val="22"/>
        </w:rPr>
        <w:t>BDAF is structured as a hierarchy that moves from assessment categories to measurable indicators to scoring rules. The framework comprises sixteen indicators organised into three categories:</w:t>
      </w:r>
    </w:p>
    <w:p w14:paraId="7B004D04">
      <w:pPr>
        <w:numPr>
          <w:ilvl w:val="0"/>
          <w:numId w:val="3"/>
        </w:numPr>
        <w:spacing w:after="40" w:line="240" w:lineRule="auto"/>
        <w:ind w:leftChars="0"/>
        <w:jc w:val="both"/>
        <w:rPr>
          <w:rFonts w:hint="default" w:ascii="Calibri" w:hAnsi="Calibri" w:cs="Calibri"/>
          <w:b/>
          <w:bCs/>
          <w:sz w:val="22"/>
          <w:szCs w:val="22"/>
        </w:rPr>
      </w:pPr>
      <w:r>
        <w:rPr>
          <w:rFonts w:hint="default" w:ascii="Calibri" w:hAnsi="Calibri" w:cs="Calibri"/>
          <w:b/>
          <w:bCs/>
          <w:sz w:val="22"/>
          <w:szCs w:val="22"/>
        </w:rPr>
        <w:t>Direct Experience of Nature, 40%</w:t>
      </w:r>
    </w:p>
    <w:p w14:paraId="1ACE6E8D">
      <w:pPr>
        <w:numPr>
          <w:ilvl w:val="0"/>
          <w:numId w:val="4"/>
        </w:numPr>
        <w:spacing w:after="40" w:line="240" w:lineRule="auto"/>
        <w:ind w:left="425" w:leftChars="0" w:hanging="425" w:firstLineChars="0"/>
        <w:jc w:val="both"/>
        <w:rPr>
          <w:rFonts w:hint="default" w:ascii="Calibri" w:hAnsi="Calibri" w:cs="Calibri"/>
          <w:sz w:val="22"/>
          <w:szCs w:val="22"/>
        </w:rPr>
      </w:pPr>
      <w:r>
        <w:rPr>
          <w:rFonts w:hint="default" w:ascii="Calibri" w:hAnsi="Calibri" w:cs="Calibri"/>
          <w:sz w:val="22"/>
          <w:szCs w:val="22"/>
        </w:rPr>
        <w:t>D1 Availability of daylight and its quality</w:t>
      </w:r>
    </w:p>
    <w:p w14:paraId="292CE57D">
      <w:pPr>
        <w:numPr>
          <w:ilvl w:val="0"/>
          <w:numId w:val="4"/>
        </w:numPr>
        <w:spacing w:after="40" w:line="240" w:lineRule="auto"/>
        <w:ind w:left="425" w:leftChars="0" w:hanging="425" w:firstLineChars="0"/>
        <w:jc w:val="both"/>
        <w:rPr>
          <w:rFonts w:hint="default" w:ascii="Calibri" w:hAnsi="Calibri" w:cs="Calibri"/>
          <w:sz w:val="22"/>
          <w:szCs w:val="22"/>
        </w:rPr>
      </w:pPr>
      <w:r>
        <w:rPr>
          <w:rFonts w:hint="default" w:ascii="Calibri" w:hAnsi="Calibri" w:cs="Calibri"/>
          <w:sz w:val="22"/>
          <w:szCs w:val="22"/>
        </w:rPr>
        <w:t>D2 Quality of air and natural ventilation</w:t>
      </w:r>
    </w:p>
    <w:p w14:paraId="5D68AED6">
      <w:pPr>
        <w:numPr>
          <w:ilvl w:val="0"/>
          <w:numId w:val="4"/>
        </w:numPr>
        <w:spacing w:after="40" w:line="240" w:lineRule="auto"/>
        <w:ind w:left="425" w:leftChars="0" w:hanging="425" w:firstLineChars="0"/>
        <w:jc w:val="both"/>
        <w:rPr>
          <w:rFonts w:hint="default" w:ascii="Calibri" w:hAnsi="Calibri" w:cs="Calibri"/>
          <w:sz w:val="22"/>
          <w:szCs w:val="22"/>
        </w:rPr>
      </w:pPr>
      <w:r>
        <w:rPr>
          <w:rFonts w:hint="default" w:ascii="Calibri" w:hAnsi="Calibri" w:cs="Calibri"/>
          <w:sz w:val="22"/>
          <w:szCs w:val="22"/>
        </w:rPr>
        <w:t>D3 Thermal comfort and variations</w:t>
      </w:r>
    </w:p>
    <w:p w14:paraId="040D5A7B">
      <w:pPr>
        <w:numPr>
          <w:ilvl w:val="0"/>
          <w:numId w:val="4"/>
        </w:numPr>
        <w:spacing w:after="40" w:line="240" w:lineRule="auto"/>
        <w:ind w:left="425" w:leftChars="0" w:hanging="425" w:firstLineChars="0"/>
        <w:jc w:val="both"/>
        <w:rPr>
          <w:rFonts w:hint="default" w:ascii="Calibri" w:hAnsi="Calibri" w:cs="Calibri"/>
          <w:sz w:val="22"/>
          <w:szCs w:val="22"/>
        </w:rPr>
      </w:pPr>
      <w:r>
        <w:rPr>
          <w:rFonts w:hint="default" w:ascii="Calibri" w:hAnsi="Calibri" w:cs="Calibri"/>
          <w:sz w:val="22"/>
          <w:szCs w:val="22"/>
        </w:rPr>
        <w:t>D4 Presence of water</w:t>
      </w:r>
    </w:p>
    <w:p w14:paraId="3FEBE04D">
      <w:pPr>
        <w:numPr>
          <w:ilvl w:val="0"/>
          <w:numId w:val="4"/>
        </w:numPr>
        <w:spacing w:after="40" w:line="240" w:lineRule="auto"/>
        <w:ind w:left="425" w:leftChars="0" w:hanging="425" w:firstLineChars="0"/>
        <w:jc w:val="both"/>
        <w:rPr>
          <w:rFonts w:hint="default" w:ascii="Calibri" w:hAnsi="Calibri" w:cs="Calibri"/>
          <w:sz w:val="22"/>
          <w:szCs w:val="22"/>
        </w:rPr>
      </w:pPr>
      <w:r>
        <w:rPr>
          <w:rFonts w:hint="default" w:ascii="Calibri" w:hAnsi="Calibri" w:cs="Calibri"/>
          <w:sz w:val="22"/>
          <w:szCs w:val="22"/>
        </w:rPr>
        <w:t>D5 Coverage with vegetation and biodiversity</w:t>
      </w:r>
    </w:p>
    <w:p w14:paraId="37FE1DB5">
      <w:pPr>
        <w:numPr>
          <w:ilvl w:val="0"/>
          <w:numId w:val="4"/>
        </w:numPr>
        <w:spacing w:after="40" w:line="240" w:lineRule="auto"/>
        <w:ind w:left="425" w:leftChars="0" w:hanging="425" w:firstLineChars="0"/>
        <w:jc w:val="both"/>
        <w:rPr>
          <w:rFonts w:hint="default" w:ascii="Calibri" w:hAnsi="Calibri" w:cs="Calibri"/>
          <w:sz w:val="22"/>
          <w:szCs w:val="22"/>
        </w:rPr>
      </w:pPr>
      <w:r>
        <w:rPr>
          <w:rFonts w:hint="default" w:ascii="Calibri" w:hAnsi="Calibri" w:cs="Calibri"/>
          <w:sz w:val="22"/>
          <w:szCs w:val="22"/>
        </w:rPr>
        <w:t>D6 Sensory experience of natural materials</w:t>
      </w:r>
    </w:p>
    <w:p w14:paraId="4AD4C6E0">
      <w:pPr>
        <w:numPr>
          <w:ilvl w:val="0"/>
          <w:numId w:val="4"/>
        </w:numPr>
        <w:spacing w:after="40" w:line="240" w:lineRule="auto"/>
        <w:ind w:left="425" w:leftChars="0" w:hanging="425" w:firstLineChars="0"/>
        <w:jc w:val="both"/>
        <w:rPr>
          <w:rFonts w:hint="default" w:ascii="Calibri" w:hAnsi="Calibri" w:cs="Calibri"/>
          <w:sz w:val="22"/>
          <w:szCs w:val="22"/>
        </w:rPr>
      </w:pPr>
      <w:r>
        <w:rPr>
          <w:rFonts w:hint="default" w:ascii="Calibri" w:hAnsi="Calibri" w:cs="Calibri"/>
          <w:sz w:val="22"/>
          <w:szCs w:val="22"/>
        </w:rPr>
        <w:t>D7 Sensory and seasonal variations</w:t>
      </w:r>
    </w:p>
    <w:p w14:paraId="48A8CA2B">
      <w:pPr>
        <w:numPr>
          <w:ilvl w:val="0"/>
          <w:numId w:val="4"/>
        </w:numPr>
        <w:spacing w:after="40" w:line="240" w:lineRule="auto"/>
        <w:ind w:left="425" w:leftChars="0" w:hanging="425" w:firstLineChars="0"/>
        <w:jc w:val="both"/>
        <w:rPr>
          <w:rFonts w:hint="default" w:ascii="Calibri" w:hAnsi="Calibri" w:cs="Calibri"/>
          <w:sz w:val="22"/>
          <w:szCs w:val="22"/>
        </w:rPr>
      </w:pPr>
      <w:r>
        <w:rPr>
          <w:rFonts w:hint="default" w:ascii="Calibri" w:hAnsi="Calibri" w:cs="Calibri"/>
          <w:sz w:val="22"/>
          <w:szCs w:val="22"/>
        </w:rPr>
        <w:t>D8 Non-visual experience of nature</w:t>
      </w:r>
    </w:p>
    <w:p w14:paraId="3498BB92">
      <w:pPr>
        <w:numPr>
          <w:ilvl w:val="0"/>
          <w:numId w:val="3"/>
        </w:numPr>
        <w:spacing w:after="40" w:line="240" w:lineRule="auto"/>
        <w:ind w:left="0" w:leftChars="0" w:firstLine="0" w:firstLineChars="0"/>
        <w:jc w:val="both"/>
        <w:rPr>
          <w:rFonts w:hint="default" w:ascii="Calibri" w:hAnsi="Calibri" w:cs="Calibri"/>
          <w:b/>
          <w:bCs/>
          <w:sz w:val="22"/>
          <w:szCs w:val="22"/>
        </w:rPr>
      </w:pPr>
      <w:r>
        <w:rPr>
          <w:rFonts w:hint="default" w:ascii="Calibri" w:hAnsi="Calibri" w:cs="Calibri"/>
          <w:b/>
          <w:bCs/>
          <w:sz w:val="22"/>
          <w:szCs w:val="22"/>
        </w:rPr>
        <w:t>Experience of Space and Place, 35%</w:t>
      </w:r>
    </w:p>
    <w:p w14:paraId="5B0ECD71">
      <w:pPr>
        <w:numPr>
          <w:ilvl w:val="0"/>
          <w:numId w:val="5"/>
        </w:numPr>
        <w:spacing w:after="40" w:line="240" w:lineRule="auto"/>
        <w:ind w:left="425" w:leftChars="0" w:hanging="425" w:firstLineChars="0"/>
        <w:jc w:val="both"/>
        <w:rPr>
          <w:rFonts w:hint="default" w:ascii="Calibri" w:hAnsi="Calibri" w:cs="Calibri"/>
          <w:sz w:val="22"/>
          <w:szCs w:val="22"/>
        </w:rPr>
      </w:pPr>
      <w:r>
        <w:rPr>
          <w:rFonts w:hint="default" w:ascii="Calibri" w:hAnsi="Calibri" w:cs="Calibri"/>
          <w:sz w:val="22"/>
          <w:szCs w:val="22"/>
        </w:rPr>
        <w:t>C1 Prospect refuge relationship</w:t>
      </w:r>
    </w:p>
    <w:p w14:paraId="201B4F49">
      <w:pPr>
        <w:numPr>
          <w:ilvl w:val="0"/>
          <w:numId w:val="5"/>
        </w:numPr>
        <w:spacing w:after="40" w:line="240" w:lineRule="auto"/>
        <w:ind w:left="425" w:leftChars="0" w:hanging="425" w:firstLineChars="0"/>
        <w:jc w:val="both"/>
        <w:rPr>
          <w:rFonts w:hint="default" w:ascii="Calibri" w:hAnsi="Calibri" w:cs="Calibri"/>
          <w:sz w:val="22"/>
          <w:szCs w:val="22"/>
        </w:rPr>
      </w:pPr>
      <w:r>
        <w:rPr>
          <w:rFonts w:hint="default" w:ascii="Calibri" w:hAnsi="Calibri" w:cs="Calibri"/>
          <w:sz w:val="22"/>
          <w:szCs w:val="22"/>
        </w:rPr>
        <w:t>C2 Organized complexity</w:t>
      </w:r>
    </w:p>
    <w:p w14:paraId="36535B0E">
      <w:pPr>
        <w:numPr>
          <w:ilvl w:val="0"/>
          <w:numId w:val="5"/>
        </w:numPr>
        <w:spacing w:after="40" w:line="240" w:lineRule="auto"/>
        <w:ind w:left="425" w:leftChars="0" w:hanging="425" w:firstLineChars="0"/>
        <w:jc w:val="both"/>
        <w:rPr>
          <w:rFonts w:hint="default" w:ascii="Calibri" w:hAnsi="Calibri" w:cs="Calibri"/>
          <w:sz w:val="22"/>
          <w:szCs w:val="22"/>
        </w:rPr>
      </w:pPr>
      <w:r>
        <w:rPr>
          <w:rFonts w:hint="default" w:ascii="Calibri" w:hAnsi="Calibri" w:cs="Calibri"/>
          <w:sz w:val="22"/>
          <w:szCs w:val="22"/>
        </w:rPr>
        <w:t>C3 Transitional spaces</w:t>
      </w:r>
    </w:p>
    <w:p w14:paraId="3C82B7F2">
      <w:pPr>
        <w:numPr>
          <w:ilvl w:val="0"/>
          <w:numId w:val="5"/>
        </w:numPr>
        <w:spacing w:after="40" w:line="240" w:lineRule="auto"/>
        <w:ind w:left="425" w:leftChars="0" w:hanging="425" w:firstLineChars="0"/>
        <w:jc w:val="both"/>
        <w:rPr>
          <w:rFonts w:hint="default" w:ascii="Calibri" w:hAnsi="Calibri" w:cs="Calibri"/>
          <w:sz w:val="22"/>
          <w:szCs w:val="22"/>
        </w:rPr>
      </w:pPr>
      <w:r>
        <w:rPr>
          <w:rFonts w:hint="default" w:ascii="Calibri" w:hAnsi="Calibri" w:cs="Calibri"/>
          <w:sz w:val="22"/>
          <w:szCs w:val="22"/>
        </w:rPr>
        <w:t>C4 Community spaces and place-making</w:t>
      </w:r>
    </w:p>
    <w:p w14:paraId="1CCC42BB">
      <w:pPr>
        <w:numPr>
          <w:ilvl w:val="0"/>
          <w:numId w:val="3"/>
        </w:numPr>
        <w:spacing w:after="40" w:line="240" w:lineRule="auto"/>
        <w:ind w:left="0" w:leftChars="0" w:firstLine="0" w:firstLineChars="0"/>
        <w:jc w:val="both"/>
        <w:rPr>
          <w:rFonts w:hint="default" w:ascii="Calibri" w:hAnsi="Calibri" w:cs="Calibri"/>
          <w:b/>
          <w:bCs/>
          <w:sz w:val="22"/>
          <w:szCs w:val="22"/>
        </w:rPr>
      </w:pPr>
      <w:r>
        <w:rPr>
          <w:rFonts w:hint="default" w:ascii="Calibri" w:hAnsi="Calibri" w:cs="Calibri"/>
          <w:b/>
          <w:bCs/>
          <w:sz w:val="22"/>
          <w:szCs w:val="22"/>
        </w:rPr>
        <w:t>Indirect Representation of Nature, 25%</w:t>
      </w:r>
    </w:p>
    <w:p w14:paraId="45A6FFD6">
      <w:pPr>
        <w:numPr>
          <w:ilvl w:val="0"/>
          <w:numId w:val="6"/>
        </w:numPr>
        <w:spacing w:after="40" w:line="240" w:lineRule="auto"/>
        <w:ind w:left="425" w:leftChars="0" w:hanging="425" w:firstLineChars="0"/>
        <w:jc w:val="both"/>
        <w:rPr>
          <w:rFonts w:hint="default" w:ascii="Calibri" w:hAnsi="Calibri" w:cs="Calibri"/>
          <w:sz w:val="22"/>
          <w:szCs w:val="22"/>
        </w:rPr>
      </w:pPr>
      <w:r>
        <w:rPr>
          <w:rFonts w:hint="default" w:ascii="Calibri" w:hAnsi="Calibri" w:cs="Calibri"/>
          <w:sz w:val="22"/>
          <w:szCs w:val="22"/>
        </w:rPr>
        <w:t>I1 Natural color palette</w:t>
      </w:r>
    </w:p>
    <w:p w14:paraId="7221CB63">
      <w:pPr>
        <w:numPr>
          <w:ilvl w:val="0"/>
          <w:numId w:val="6"/>
        </w:numPr>
        <w:spacing w:after="40" w:line="240" w:lineRule="auto"/>
        <w:ind w:left="425" w:leftChars="0" w:hanging="425" w:firstLineChars="0"/>
        <w:jc w:val="both"/>
        <w:rPr>
          <w:rFonts w:hint="default" w:ascii="Calibri" w:hAnsi="Calibri" w:cs="Calibri"/>
          <w:sz w:val="22"/>
          <w:szCs w:val="22"/>
        </w:rPr>
      </w:pPr>
      <w:r>
        <w:rPr>
          <w:rFonts w:hint="default" w:ascii="Calibri" w:hAnsi="Calibri" w:cs="Calibri"/>
          <w:sz w:val="22"/>
          <w:szCs w:val="22"/>
        </w:rPr>
        <w:t>I2 Tradition of architectural form</w:t>
      </w:r>
    </w:p>
    <w:p w14:paraId="624F3CD3">
      <w:pPr>
        <w:numPr>
          <w:ilvl w:val="0"/>
          <w:numId w:val="6"/>
        </w:numPr>
        <w:spacing w:after="40" w:line="240" w:lineRule="auto"/>
        <w:ind w:left="425" w:leftChars="0" w:hanging="425" w:firstLineChars="0"/>
        <w:jc w:val="both"/>
        <w:rPr>
          <w:rFonts w:hint="default" w:ascii="Calibri" w:hAnsi="Calibri" w:cs="Calibri"/>
          <w:sz w:val="22"/>
          <w:szCs w:val="22"/>
        </w:rPr>
      </w:pPr>
      <w:r>
        <w:rPr>
          <w:rFonts w:hint="default" w:ascii="Calibri" w:hAnsi="Calibri" w:cs="Calibri"/>
          <w:sz w:val="22"/>
          <w:szCs w:val="22"/>
        </w:rPr>
        <w:t>I3 Biomorphic shapes and natural geometry</w:t>
      </w:r>
    </w:p>
    <w:p w14:paraId="02DF08BF">
      <w:pPr>
        <w:numPr>
          <w:ilvl w:val="0"/>
          <w:numId w:val="6"/>
        </w:numPr>
        <w:spacing w:after="40" w:line="240" w:lineRule="auto"/>
        <w:ind w:left="425" w:leftChars="0" w:hanging="425" w:firstLineChars="0"/>
        <w:jc w:val="both"/>
        <w:rPr>
          <w:rFonts w:hint="default" w:ascii="Calibri" w:hAnsi="Calibri" w:cs="Calibri"/>
          <w:sz w:val="22"/>
          <w:szCs w:val="22"/>
        </w:rPr>
      </w:pPr>
      <w:r>
        <w:rPr>
          <w:rFonts w:hint="default" w:ascii="Calibri" w:hAnsi="Calibri" w:cs="Calibri"/>
          <w:sz w:val="22"/>
          <w:szCs w:val="22"/>
        </w:rPr>
        <w:t>I4 Local materiality and durability</w:t>
      </w:r>
    </w:p>
    <w:p w14:paraId="5FB21449">
      <w:pPr>
        <w:keepNext w:val="0"/>
        <w:keepLines w:val="0"/>
        <w:widowControl/>
        <w:suppressLineNumbers w:val="0"/>
        <w:jc w:val="both"/>
        <w:rPr>
          <w:rFonts w:hint="default" w:ascii="Calibri" w:hAnsi="Calibri" w:eastAsia="SimSun" w:cs="Calibri"/>
          <w:sz w:val="22"/>
          <w:szCs w:val="22"/>
          <w:lang w:val="en-US"/>
        </w:rPr>
      </w:pPr>
      <w:r>
        <w:rPr>
          <w:rFonts w:hint="default" w:ascii="Calibri" w:hAnsi="Calibri" w:eastAsia="SimSun" w:cs="Calibri"/>
          <w:sz w:val="22"/>
          <w:szCs w:val="22"/>
          <w:lang w:val="en-US"/>
        </w:rPr>
        <w:t xml:space="preserve">The framework clearly distinguishes among indicators that overlap. D6 (Direct sensory experience of natural materials) focuses on the direct sensory experience of natural materials in occupied spaces, while I4 (Vernacular material appropriateness, durability, cultural meaning) looks at whether the materials are local, durable, and meaningful. D7 (Sensory variability) considers variation like changes in light, air movement, and seasonality, while D8 (Non-visual connection with nature) relates to sounds, smells, air movements, and touch with nature. </w:t>
      </w:r>
    </w:p>
    <w:p w14:paraId="04DB9C05">
      <w:pPr>
        <w:keepNext w:val="0"/>
        <w:keepLines w:val="0"/>
        <w:widowControl/>
        <w:suppressLineNumbers w:val="0"/>
        <w:jc w:val="both"/>
        <w:rPr>
          <w:rFonts w:hint="default" w:ascii="Calibri" w:hAnsi="Calibri" w:eastAsia="SimSun" w:cs="Calibri"/>
          <w:sz w:val="20"/>
          <w:szCs w:val="20"/>
          <w:lang w:val="en-US"/>
        </w:rPr>
      </w:pPr>
      <w:r>
        <w:rPr>
          <w:rFonts w:hint="default" w:ascii="Calibri" w:hAnsi="Calibri" w:eastAsia="SimSun" w:cs="Calibri"/>
          <w:sz w:val="22"/>
          <w:szCs w:val="22"/>
          <w:lang w:val="en-US"/>
        </w:rPr>
        <w:drawing>
          <wp:inline distT="0" distB="0" distL="114300" distR="114300">
            <wp:extent cx="5845810" cy="3511550"/>
            <wp:effectExtent l="0" t="0" r="6350" b="8890"/>
            <wp:docPr id="9" name="Picture 9" descr="generated-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enerated-image (3)"/>
                    <pic:cNvPicPr>
                      <a:picLocks noChangeAspect="1"/>
                    </pic:cNvPicPr>
                  </pic:nvPicPr>
                  <pic:blipFill>
                    <a:blip r:embed="rId8"/>
                    <a:srcRect t="7676" b="8059"/>
                    <a:stretch>
                      <a:fillRect/>
                    </a:stretch>
                  </pic:blipFill>
                  <pic:spPr>
                    <a:xfrm>
                      <a:off x="0" y="0"/>
                      <a:ext cx="5845810" cy="3511550"/>
                    </a:xfrm>
                    <a:prstGeom prst="rect">
                      <a:avLst/>
                    </a:prstGeom>
                  </pic:spPr>
                </pic:pic>
              </a:graphicData>
            </a:graphic>
          </wp:inline>
        </w:drawing>
      </w:r>
    </w:p>
    <w:p w14:paraId="1346927C">
      <w:pPr>
        <w:numPr>
          <w:numId w:val="0"/>
        </w:numPr>
        <w:spacing w:after="40" w:line="240" w:lineRule="auto"/>
        <w:ind w:leftChars="0"/>
        <w:jc w:val="center"/>
        <w:rPr>
          <w:rFonts w:hint="default" w:ascii="Calibri" w:hAnsi="Calibri" w:eastAsia="SimSun" w:cs="Calibri"/>
          <w:b/>
          <w:bCs/>
          <w:i/>
          <w:iCs/>
          <w:sz w:val="20"/>
          <w:szCs w:val="20"/>
          <w:lang w:val="en-US"/>
        </w:rPr>
      </w:pPr>
      <w:r>
        <w:rPr>
          <w:rFonts w:hint="default" w:ascii="Calibri" w:hAnsi="Calibri" w:eastAsia="SimSun" w:cs="Calibri"/>
          <w:b/>
          <w:bCs/>
          <w:i/>
          <w:iCs/>
          <w:sz w:val="20"/>
          <w:szCs w:val="20"/>
          <w:lang w:val="en-US"/>
        </w:rPr>
        <w:t>Figure 1. Structure of BDAF Framework and Scoring Process.</w:t>
      </w:r>
    </w:p>
    <w:p w14:paraId="72EC793F">
      <w:pPr>
        <w:numPr>
          <w:numId w:val="0"/>
        </w:numPr>
        <w:spacing w:after="40" w:line="240" w:lineRule="auto"/>
        <w:ind w:leftChars="0"/>
        <w:jc w:val="both"/>
        <w:rPr>
          <w:rFonts w:hint="default" w:ascii="Calibri" w:hAnsi="Calibri" w:eastAsia="SimSun" w:cs="Calibri"/>
          <w:i/>
          <w:iCs/>
          <w:sz w:val="20"/>
          <w:szCs w:val="20"/>
          <w:lang w:val="en-US"/>
        </w:rPr>
      </w:pPr>
      <w:r>
        <w:rPr>
          <w:rFonts w:hint="default" w:ascii="Calibri" w:hAnsi="Calibri" w:eastAsia="SimSun" w:cs="Calibri"/>
          <w:i/>
          <w:iCs/>
          <w:sz w:val="20"/>
          <w:szCs w:val="20"/>
          <w:lang w:val="en-US"/>
        </w:rPr>
        <w:t>The three main categories make up sixteen indicators. Indicators’ data are collected through digital modeling, environmental sensors, GIS data sets, documentation assessment, and occupant surveys. These scores are normalized per each category before they are combined into the BDAF Index.</w:t>
      </w:r>
    </w:p>
    <w:p w14:paraId="2B310EC0">
      <w:pPr>
        <w:numPr>
          <w:numId w:val="0"/>
        </w:numPr>
        <w:spacing w:after="40" w:line="240" w:lineRule="auto"/>
        <w:ind w:leftChars="0"/>
        <w:jc w:val="both"/>
        <w:rPr>
          <w:rFonts w:hint="default" w:ascii="Calibri" w:hAnsi="Calibri" w:cs="Calibri"/>
          <w:b/>
          <w:bCs/>
          <w:i w:val="0"/>
          <w:iCs w:val="0"/>
          <w:sz w:val="28"/>
          <w:szCs w:val="28"/>
        </w:rPr>
      </w:pPr>
      <w:r>
        <w:rPr>
          <w:rFonts w:hint="default" w:ascii="Calibri" w:hAnsi="Calibri" w:eastAsia="SimSun" w:cs="Calibri"/>
          <w:b/>
          <w:bCs/>
          <w:i w:val="0"/>
          <w:iCs w:val="0"/>
          <w:sz w:val="28"/>
          <w:szCs w:val="28"/>
          <w:lang w:val="en-US"/>
        </w:rPr>
        <w:t xml:space="preserve">4.2 </w:t>
      </w:r>
      <w:r>
        <w:rPr>
          <w:rFonts w:hint="default" w:ascii="Calibri" w:hAnsi="Calibri" w:cs="Calibri"/>
          <w:b/>
          <w:bCs/>
          <w:i w:val="0"/>
          <w:iCs w:val="0"/>
          <w:sz w:val="28"/>
          <w:szCs w:val="28"/>
        </w:rPr>
        <w:t>Digital Implementation Architecture</w:t>
      </w:r>
    </w:p>
    <w:p w14:paraId="43452D66">
      <w:pPr>
        <w:numPr>
          <w:numId w:val="0"/>
        </w:numPr>
        <w:spacing w:after="40" w:line="240" w:lineRule="auto"/>
        <w:ind w:leftChars="0"/>
        <w:jc w:val="both"/>
        <w:rPr>
          <w:rFonts w:hint="default" w:ascii="Calibri" w:hAnsi="Calibri"/>
          <w:sz w:val="22"/>
          <w:szCs w:val="22"/>
        </w:rPr>
      </w:pPr>
      <w:r>
        <w:rPr>
          <w:rFonts w:hint="default" w:ascii="Calibri" w:hAnsi="Calibri"/>
          <w:sz w:val="22"/>
          <w:szCs w:val="22"/>
        </w:rPr>
        <w:t>The BDAF can be considered a semi-automated tool. Indicators that are based on measurable physical parameters—like daylight availability, ventilation, thermal comfort, and proximity to vegetation—can be generated through modeling, sensors, simulation, and GIS analysis. Indicators related to cultural interpretation, sensory perceptions, and perception of spatial quality demand systematic design auditing and/or occupant survey.</w:t>
      </w:r>
    </w:p>
    <w:p w14:paraId="0733C117">
      <w:pPr>
        <w:numPr>
          <w:numId w:val="0"/>
        </w:numPr>
        <w:spacing w:after="40" w:line="240" w:lineRule="auto"/>
        <w:ind w:leftChars="0"/>
        <w:jc w:val="both"/>
        <w:rPr>
          <w:rFonts w:hint="default" w:ascii="Calibri" w:hAnsi="Calibri"/>
          <w:sz w:val="22"/>
          <w:szCs w:val="22"/>
        </w:rPr>
      </w:pPr>
      <w:r>
        <w:rPr>
          <w:rFonts w:hint="default" w:ascii="Calibri" w:hAnsi="Calibri"/>
          <w:sz w:val="22"/>
          <w:szCs w:val="22"/>
        </w:rPr>
        <w:t>BIM data include room sizes, building orientation, openings, building materials, spatial adjacency, and circulation patterns. The GIS provides data about vegetative cover and accessibility in the neighborhood. The IoT sensors provide time series data on illuminance, temperature, relative humidity, CO2 level, particulate matter, and noise. If suitable model data is available, BIM-assisted evaluation procedures can facilitate information extraction and rule validation.</w:t>
      </w:r>
    </w:p>
    <w:p w14:paraId="3982E6C5">
      <w:pPr>
        <w:numPr>
          <w:numId w:val="0"/>
        </w:numPr>
        <w:spacing w:after="40" w:line="240" w:lineRule="auto"/>
        <w:ind w:leftChars="0"/>
        <w:jc w:val="center"/>
        <w:rPr>
          <w:rFonts w:hint="default" w:ascii="Calibri" w:hAnsi="Calibri" w:cs="Calibri"/>
          <w:b/>
          <w:bCs/>
          <w:i/>
          <w:iCs/>
          <w:sz w:val="20"/>
          <w:szCs w:val="20"/>
        </w:rPr>
      </w:pPr>
      <w:r>
        <w:rPr>
          <w:rFonts w:hint="default" w:ascii="Calibri" w:hAnsi="Calibri" w:cs="Calibri"/>
          <w:b/>
          <w:bCs/>
          <w:i/>
          <w:iCs/>
          <w:sz w:val="20"/>
          <w:szCs w:val="20"/>
        </w:rPr>
        <w:t>Table 2. Proposed digital implementation of BDAF indicators</w:t>
      </w:r>
    </w:p>
    <w:tbl>
      <w:tblPr>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582"/>
        <w:gridCol w:w="2832"/>
        <w:gridCol w:w="3741"/>
        <w:gridCol w:w="961"/>
      </w:tblGrid>
      <w:tr w14:paraId="2D3E1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1537" w:type="dxa"/>
            <w:shd w:val="clear"/>
            <w:vAlign w:val="center"/>
          </w:tcPr>
          <w:p w14:paraId="57433519">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Indicator group</w:t>
            </w:r>
          </w:p>
        </w:tc>
        <w:tc>
          <w:tcPr>
            <w:tcW w:w="2802" w:type="dxa"/>
            <w:shd w:val="clear"/>
            <w:vAlign w:val="center"/>
          </w:tcPr>
          <w:p w14:paraId="5F1CB9C9">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Primary data source</w:t>
            </w:r>
          </w:p>
        </w:tc>
        <w:tc>
          <w:tcPr>
            <w:tcW w:w="0" w:type="auto"/>
            <w:shd w:val="clear"/>
            <w:vAlign w:val="center"/>
          </w:tcPr>
          <w:p w14:paraId="5EACC099">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Assessment procedure</w:t>
            </w:r>
          </w:p>
        </w:tc>
        <w:tc>
          <w:tcPr>
            <w:tcW w:w="0" w:type="auto"/>
            <w:shd w:val="clear"/>
            <w:vAlign w:val="center"/>
          </w:tcPr>
          <w:p w14:paraId="64C3A5D5">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Output</w:t>
            </w:r>
          </w:p>
        </w:tc>
      </w:tr>
      <w:tr w14:paraId="11AD5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537" w:type="dxa"/>
            <w:shd w:val="clear"/>
            <w:vAlign w:val="center"/>
          </w:tcPr>
          <w:p w14:paraId="43D18C37">
            <w:pPr>
              <w:keepNext w:val="0"/>
              <w:keepLines w:val="0"/>
              <w:widowControl/>
              <w:suppressLineNumbers w:val="0"/>
              <w:jc w:val="center"/>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D1 Daylight</w:t>
            </w:r>
          </w:p>
        </w:tc>
        <w:tc>
          <w:tcPr>
            <w:tcW w:w="2802" w:type="dxa"/>
            <w:shd w:val="clear"/>
            <w:vAlign w:val="center"/>
          </w:tcPr>
          <w:p w14:paraId="71B3BDFB">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BIM geometry, daylight simulation, lux sensor</w:t>
            </w:r>
          </w:p>
        </w:tc>
        <w:tc>
          <w:tcPr>
            <w:tcW w:w="0" w:type="auto"/>
            <w:shd w:val="clear"/>
            <w:vAlign w:val="center"/>
          </w:tcPr>
          <w:p w14:paraId="24E40616">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Calculate measured or simulated daylight performance against thresholds</w:t>
            </w:r>
          </w:p>
        </w:tc>
        <w:tc>
          <w:tcPr>
            <w:tcW w:w="0" w:type="auto"/>
            <w:shd w:val="clear"/>
            <w:vAlign w:val="center"/>
          </w:tcPr>
          <w:p w14:paraId="7CAB8438">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Score 0, 1, or 2</w:t>
            </w:r>
          </w:p>
        </w:tc>
      </w:tr>
      <w:tr w14:paraId="6BC35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537" w:type="dxa"/>
            <w:shd w:val="clear"/>
            <w:vAlign w:val="center"/>
          </w:tcPr>
          <w:p w14:paraId="112B7722">
            <w:pPr>
              <w:keepNext w:val="0"/>
              <w:keepLines w:val="0"/>
              <w:widowControl/>
              <w:suppressLineNumbers w:val="0"/>
              <w:jc w:val="center"/>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D2 Air quality and ventilation</w:t>
            </w:r>
          </w:p>
        </w:tc>
        <w:tc>
          <w:tcPr>
            <w:tcW w:w="2802" w:type="dxa"/>
            <w:shd w:val="clear"/>
            <w:vAlign w:val="center"/>
          </w:tcPr>
          <w:p w14:paraId="6ABBCB81">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CO2, PM2.5, airflow sensors; BIM opening data</w:t>
            </w:r>
          </w:p>
        </w:tc>
        <w:tc>
          <w:tcPr>
            <w:tcW w:w="0" w:type="auto"/>
            <w:shd w:val="clear"/>
            <w:vAlign w:val="center"/>
          </w:tcPr>
          <w:p w14:paraId="302C4200">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Calculate time above thresholds and ventilation performance</w:t>
            </w:r>
          </w:p>
        </w:tc>
        <w:tc>
          <w:tcPr>
            <w:tcW w:w="0" w:type="auto"/>
            <w:shd w:val="clear"/>
            <w:vAlign w:val="center"/>
          </w:tcPr>
          <w:p w14:paraId="0851A2E2">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Score 0, 1, or 2</w:t>
            </w:r>
          </w:p>
        </w:tc>
      </w:tr>
      <w:tr w14:paraId="0C782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537" w:type="dxa"/>
            <w:shd w:val="clear"/>
            <w:vAlign w:val="center"/>
          </w:tcPr>
          <w:p w14:paraId="74DF87CC">
            <w:pPr>
              <w:keepNext w:val="0"/>
              <w:keepLines w:val="0"/>
              <w:widowControl/>
              <w:suppressLineNumbers w:val="0"/>
              <w:jc w:val="center"/>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D3 Thermal comfort</w:t>
            </w:r>
          </w:p>
        </w:tc>
        <w:tc>
          <w:tcPr>
            <w:tcW w:w="2802" w:type="dxa"/>
            <w:shd w:val="clear"/>
            <w:vAlign w:val="center"/>
          </w:tcPr>
          <w:p w14:paraId="59A0F79C">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Temperature and relative-humidity sensors; simulation</w:t>
            </w:r>
          </w:p>
        </w:tc>
        <w:tc>
          <w:tcPr>
            <w:tcW w:w="0" w:type="auto"/>
            <w:shd w:val="clear"/>
            <w:vAlign w:val="center"/>
          </w:tcPr>
          <w:p w14:paraId="422AC6C4">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Calculate seasonal comfort-range compliance</w:t>
            </w:r>
          </w:p>
        </w:tc>
        <w:tc>
          <w:tcPr>
            <w:tcW w:w="0" w:type="auto"/>
            <w:shd w:val="clear"/>
            <w:vAlign w:val="center"/>
          </w:tcPr>
          <w:p w14:paraId="14874193">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Score 0, 1, or 2</w:t>
            </w:r>
          </w:p>
        </w:tc>
      </w:tr>
      <w:tr w14:paraId="71A62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1537" w:type="dxa"/>
            <w:shd w:val="clear"/>
            <w:vAlign w:val="center"/>
          </w:tcPr>
          <w:p w14:paraId="5260E1F5">
            <w:pPr>
              <w:keepNext w:val="0"/>
              <w:keepLines w:val="0"/>
              <w:widowControl/>
              <w:suppressLineNumbers w:val="0"/>
              <w:jc w:val="center"/>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D4 Water presence and access</w:t>
            </w:r>
          </w:p>
        </w:tc>
        <w:tc>
          <w:tcPr>
            <w:tcW w:w="2802" w:type="dxa"/>
            <w:shd w:val="clear"/>
            <w:vAlign w:val="center"/>
          </w:tcPr>
          <w:p w14:paraId="49CFC6CB">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BIM service model, site audit, resident survey</w:t>
            </w:r>
          </w:p>
        </w:tc>
        <w:tc>
          <w:tcPr>
            <w:tcW w:w="0" w:type="auto"/>
            <w:shd w:val="clear"/>
            <w:vAlign w:val="center"/>
          </w:tcPr>
          <w:p w14:paraId="34081155">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Assess accessible, visible, and safely maintained water contact</w:t>
            </w:r>
          </w:p>
        </w:tc>
        <w:tc>
          <w:tcPr>
            <w:tcW w:w="0" w:type="auto"/>
            <w:shd w:val="clear"/>
            <w:vAlign w:val="center"/>
          </w:tcPr>
          <w:p w14:paraId="029D21DB">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Score 0, 1, or 2</w:t>
            </w:r>
          </w:p>
        </w:tc>
      </w:tr>
      <w:tr w14:paraId="1E773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1537" w:type="dxa"/>
            <w:shd w:val="clear"/>
            <w:vAlign w:val="center"/>
          </w:tcPr>
          <w:p w14:paraId="3E3DA965">
            <w:pPr>
              <w:keepNext w:val="0"/>
              <w:keepLines w:val="0"/>
              <w:widowControl/>
              <w:suppressLineNumbers w:val="0"/>
              <w:jc w:val="center"/>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D5 Vegetation</w:t>
            </w:r>
          </w:p>
        </w:tc>
        <w:tc>
          <w:tcPr>
            <w:tcW w:w="2802" w:type="dxa"/>
            <w:shd w:val="clear"/>
            <w:vAlign w:val="center"/>
          </w:tcPr>
          <w:p w14:paraId="54112D15">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GIS, satellite imagery, site plan</w:t>
            </w:r>
          </w:p>
        </w:tc>
        <w:tc>
          <w:tcPr>
            <w:tcW w:w="0" w:type="auto"/>
            <w:shd w:val="clear"/>
            <w:vAlign w:val="center"/>
          </w:tcPr>
          <w:p w14:paraId="4A275EE8">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Calculate vegetation ratio, canopy coverage, proximity to green space</w:t>
            </w:r>
          </w:p>
        </w:tc>
        <w:tc>
          <w:tcPr>
            <w:tcW w:w="0" w:type="auto"/>
            <w:shd w:val="clear"/>
            <w:vAlign w:val="center"/>
          </w:tcPr>
          <w:p w14:paraId="66CD50D4">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Score 0, 1, or 2</w:t>
            </w:r>
          </w:p>
        </w:tc>
      </w:tr>
      <w:tr w14:paraId="425C1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1537" w:type="dxa"/>
            <w:shd w:val="clear"/>
            <w:vAlign w:val="center"/>
          </w:tcPr>
          <w:p w14:paraId="3CC97A09">
            <w:pPr>
              <w:keepNext w:val="0"/>
              <w:keepLines w:val="0"/>
              <w:widowControl/>
              <w:suppressLineNumbers w:val="0"/>
              <w:jc w:val="center"/>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C1-C4 Spatial indicators</w:t>
            </w:r>
          </w:p>
        </w:tc>
        <w:tc>
          <w:tcPr>
            <w:tcW w:w="2802" w:type="dxa"/>
            <w:shd w:val="clear"/>
            <w:vAlign w:val="center"/>
          </w:tcPr>
          <w:p w14:paraId="482D64B5">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BIM floor plan, visibility analysis, space syntax, survey</w:t>
            </w:r>
          </w:p>
        </w:tc>
        <w:tc>
          <w:tcPr>
            <w:tcW w:w="0" w:type="auto"/>
            <w:shd w:val="clear"/>
            <w:vAlign w:val="center"/>
          </w:tcPr>
          <w:p w14:paraId="12F1EFA1">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Assess prospect-refuge, complexity, transitions, and community spaces</w:t>
            </w:r>
          </w:p>
        </w:tc>
        <w:tc>
          <w:tcPr>
            <w:tcW w:w="0" w:type="auto"/>
            <w:shd w:val="clear"/>
            <w:vAlign w:val="center"/>
          </w:tcPr>
          <w:p w14:paraId="18306B4C">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Score 0, 1, or 2</w:t>
            </w:r>
          </w:p>
        </w:tc>
      </w:tr>
      <w:tr w14:paraId="26F33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1537" w:type="dxa"/>
            <w:shd w:val="clear"/>
            <w:vAlign w:val="center"/>
          </w:tcPr>
          <w:p w14:paraId="31992FEB">
            <w:pPr>
              <w:keepNext w:val="0"/>
              <w:keepLines w:val="0"/>
              <w:widowControl/>
              <w:suppressLineNumbers w:val="0"/>
              <w:jc w:val="center"/>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I1-I4 Indirect indicators</w:t>
            </w:r>
          </w:p>
        </w:tc>
        <w:tc>
          <w:tcPr>
            <w:tcW w:w="2802" w:type="dxa"/>
            <w:shd w:val="clear"/>
            <w:vAlign w:val="center"/>
          </w:tcPr>
          <w:p w14:paraId="1A170BD3">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Material schedules, drawings, visual audit, survey</w:t>
            </w:r>
          </w:p>
        </w:tc>
        <w:tc>
          <w:tcPr>
            <w:tcW w:w="0" w:type="auto"/>
            <w:shd w:val="clear"/>
            <w:vAlign w:val="center"/>
          </w:tcPr>
          <w:p w14:paraId="20A73EEC">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Assess natural colour, vernacular integration, geometry, and material provenance</w:t>
            </w:r>
          </w:p>
        </w:tc>
        <w:tc>
          <w:tcPr>
            <w:tcW w:w="0" w:type="auto"/>
            <w:shd w:val="clear"/>
            <w:vAlign w:val="center"/>
          </w:tcPr>
          <w:p w14:paraId="4588A337">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Score 0, 1, or 2</w:t>
            </w:r>
          </w:p>
        </w:tc>
      </w:tr>
    </w:tbl>
    <w:p w14:paraId="73931776">
      <w:pPr>
        <w:numPr>
          <w:numId w:val="0"/>
        </w:numPr>
        <w:spacing w:after="40" w:line="240" w:lineRule="auto"/>
        <w:ind w:leftChars="0"/>
        <w:jc w:val="both"/>
        <w:rPr>
          <w:rFonts w:hint="default" w:ascii="Calibri" w:hAnsi="Calibri"/>
          <w:sz w:val="22"/>
          <w:szCs w:val="22"/>
        </w:rPr>
      </w:pPr>
      <w:r>
        <w:rPr>
          <w:rFonts w:hint="default" w:ascii="Calibri" w:hAnsi="Calibri"/>
          <w:sz w:val="22"/>
          <w:szCs w:val="22"/>
        </w:rPr>
        <w:t>There is an imposition of a principle that relates to data completeness. In cases where necessary evidence is not available, then the relevant measure must be recorded as not evaluated, rather than automatically giving it a zero rating. The BDAF Index must only be issued at the end when all necessary inputs have been provided.</w:t>
      </w:r>
    </w:p>
    <w:p w14:paraId="223C067C">
      <w:pPr>
        <w:numPr>
          <w:numId w:val="0"/>
        </w:numPr>
        <w:spacing w:after="40" w:line="240" w:lineRule="auto"/>
        <w:ind w:leftChars="0"/>
        <w:jc w:val="both"/>
        <w:rPr>
          <w:rFonts w:hint="default" w:ascii="Calibri" w:hAnsi="Calibri" w:cs="Calibri"/>
          <w:b/>
          <w:bCs/>
          <w:sz w:val="28"/>
          <w:szCs w:val="28"/>
        </w:rPr>
      </w:pPr>
      <w:r>
        <w:rPr>
          <w:rFonts w:hint="default" w:ascii="Calibri" w:hAnsi="Calibri" w:cs="Calibri"/>
          <w:b/>
          <w:bCs/>
          <w:sz w:val="28"/>
          <w:szCs w:val="28"/>
          <w:lang w:val="en-US"/>
        </w:rPr>
        <w:t xml:space="preserve">4.3 </w:t>
      </w:r>
      <w:r>
        <w:rPr>
          <w:rFonts w:hint="default" w:ascii="Calibri" w:hAnsi="Calibri" w:cs="Calibri"/>
          <w:b/>
          <w:bCs/>
          <w:sz w:val="28"/>
          <w:szCs w:val="28"/>
        </w:rPr>
        <w:t>Scoring Methodology</w:t>
      </w:r>
    </w:p>
    <w:p w14:paraId="33016E39">
      <w:pPr>
        <w:numPr>
          <w:numId w:val="0"/>
        </w:numPr>
        <w:spacing w:after="40" w:line="240" w:lineRule="auto"/>
        <w:ind w:leftChars="0"/>
        <w:jc w:val="both"/>
        <w:rPr>
          <w:rFonts w:hint="default" w:ascii="Calibri" w:hAnsi="Calibri"/>
          <w:sz w:val="22"/>
          <w:szCs w:val="22"/>
        </w:rPr>
      </w:pPr>
      <w:r>
        <w:rPr>
          <w:rFonts w:hint="default" w:ascii="Calibri" w:hAnsi="Calibri"/>
          <w:sz w:val="22"/>
          <w:szCs w:val="22"/>
        </w:rPr>
        <w:t>All the indicators are rated on a three-point ordinal scale:</w:t>
      </w:r>
    </w:p>
    <w:p w14:paraId="5060FB7A">
      <w:pPr>
        <w:numPr>
          <w:numId w:val="0"/>
        </w:numPr>
        <w:spacing w:after="40" w:line="240" w:lineRule="auto"/>
        <w:ind w:leftChars="0"/>
        <w:jc w:val="both"/>
        <w:rPr>
          <w:rFonts w:hint="default" w:ascii="Calibri" w:hAnsi="Calibri"/>
          <w:b/>
          <w:bCs/>
          <w:sz w:val="22"/>
          <w:szCs w:val="22"/>
        </w:rPr>
      </w:pPr>
      <w:r>
        <w:rPr>
          <w:rFonts w:hint="default" w:ascii="Calibri" w:hAnsi="Calibri"/>
          <w:b/>
          <w:bCs/>
          <w:sz w:val="22"/>
          <w:szCs w:val="22"/>
        </w:rPr>
        <w:t>0 = Non-existent / Non-conformity</w:t>
      </w:r>
    </w:p>
    <w:p w14:paraId="547BFF57">
      <w:pPr>
        <w:numPr>
          <w:numId w:val="0"/>
        </w:numPr>
        <w:spacing w:after="40" w:line="240" w:lineRule="auto"/>
        <w:ind w:leftChars="0"/>
        <w:jc w:val="both"/>
        <w:rPr>
          <w:rFonts w:hint="default" w:ascii="Calibri" w:hAnsi="Calibri"/>
          <w:b/>
          <w:bCs/>
          <w:sz w:val="22"/>
          <w:szCs w:val="22"/>
        </w:rPr>
      </w:pPr>
      <w:r>
        <w:rPr>
          <w:rFonts w:hint="default" w:ascii="Calibri" w:hAnsi="Calibri"/>
          <w:b/>
          <w:bCs/>
          <w:sz w:val="22"/>
          <w:szCs w:val="22"/>
        </w:rPr>
        <w:t>1 = Partial / Developing</w:t>
      </w:r>
    </w:p>
    <w:p w14:paraId="00E78CDF">
      <w:pPr>
        <w:numPr>
          <w:numId w:val="0"/>
        </w:numPr>
        <w:spacing w:after="40" w:line="240" w:lineRule="auto"/>
        <w:ind w:leftChars="0"/>
        <w:jc w:val="both"/>
        <w:rPr>
          <w:rFonts w:hint="default" w:ascii="Calibri" w:hAnsi="Calibri"/>
          <w:b/>
          <w:bCs/>
          <w:sz w:val="22"/>
          <w:szCs w:val="22"/>
        </w:rPr>
      </w:pPr>
      <w:r>
        <w:rPr>
          <w:rFonts w:hint="default" w:ascii="Calibri" w:hAnsi="Calibri"/>
          <w:b/>
          <w:bCs/>
          <w:sz w:val="22"/>
          <w:szCs w:val="22"/>
        </w:rPr>
        <w:t>2 = Optimum / Best practice</w:t>
      </w:r>
    </w:p>
    <w:p w14:paraId="2C4FDA1D">
      <w:pPr>
        <w:numPr>
          <w:numId w:val="0"/>
        </w:numPr>
        <w:spacing w:after="40" w:line="240" w:lineRule="auto"/>
        <w:ind w:leftChars="0"/>
        <w:jc w:val="both"/>
        <w:rPr>
          <w:rFonts w:hint="default" w:ascii="Calibri" w:hAnsi="Calibri"/>
          <w:sz w:val="22"/>
          <w:szCs w:val="22"/>
        </w:rPr>
      </w:pPr>
      <w:r>
        <w:rPr>
          <w:rFonts w:hint="default" w:ascii="Calibri" w:hAnsi="Calibri"/>
          <w:sz w:val="22"/>
          <w:szCs w:val="22"/>
        </w:rPr>
        <w:t>The highest possible raw score for Direct Experience of Nature is 16, whereas the highest possible raw score for Spatial Experience and Place &amp; Indirect Nature Experience is 8 each. Let:</w:t>
      </w:r>
    </w:p>
    <w:p w14:paraId="6D307A53">
      <w:pPr>
        <w:numPr>
          <w:numId w:val="0"/>
        </w:numPr>
        <w:spacing w:after="40" w:line="240" w:lineRule="auto"/>
        <w:ind w:leftChars="0"/>
        <w:jc w:val="center"/>
        <w:rPr>
          <w:rFonts w:hint="default" w:ascii="Calibri" w:hAnsi="Calibri"/>
          <w:b/>
          <w:bCs/>
          <w:sz w:val="22"/>
          <w:szCs w:val="22"/>
        </w:rPr>
      </w:pPr>
      <w:r>
        <w:rPr>
          <w:rFonts w:hint="default" w:ascii="Calibri" w:hAnsi="Calibri"/>
          <w:b/>
          <w:bCs/>
          <w:sz w:val="22"/>
          <w:szCs w:val="22"/>
        </w:rPr>
        <w:t>SD = Direct Nature Experience subtotal, range 0-16</w:t>
      </w:r>
    </w:p>
    <w:p w14:paraId="27001C65">
      <w:pPr>
        <w:numPr>
          <w:numId w:val="0"/>
        </w:numPr>
        <w:spacing w:after="40" w:line="240" w:lineRule="auto"/>
        <w:ind w:leftChars="0"/>
        <w:jc w:val="center"/>
        <w:rPr>
          <w:rFonts w:hint="default" w:ascii="Calibri" w:hAnsi="Calibri"/>
          <w:b/>
          <w:bCs/>
          <w:sz w:val="22"/>
          <w:szCs w:val="22"/>
        </w:rPr>
      </w:pPr>
      <w:r>
        <w:rPr>
          <w:rFonts w:hint="default" w:ascii="Calibri" w:hAnsi="Calibri"/>
          <w:b/>
          <w:bCs/>
          <w:sz w:val="22"/>
          <w:szCs w:val="22"/>
        </w:rPr>
        <w:t>SS = Spatial Experience and Place subtotal, range 0-8</w:t>
      </w:r>
    </w:p>
    <w:p w14:paraId="5911F159">
      <w:pPr>
        <w:numPr>
          <w:numId w:val="0"/>
        </w:numPr>
        <w:spacing w:after="40" w:line="240" w:lineRule="auto"/>
        <w:ind w:leftChars="0"/>
        <w:jc w:val="center"/>
        <w:rPr>
          <w:rFonts w:hint="default" w:ascii="Calibri" w:hAnsi="Calibri"/>
          <w:b/>
          <w:bCs/>
          <w:sz w:val="22"/>
          <w:szCs w:val="22"/>
        </w:rPr>
      </w:pPr>
      <w:r>
        <w:rPr>
          <w:rFonts w:hint="default" w:ascii="Calibri" w:hAnsi="Calibri"/>
          <w:b/>
          <w:bCs/>
          <w:sz w:val="22"/>
          <w:szCs w:val="22"/>
        </w:rPr>
        <w:t>SI = Indirect Nature Representation subtotal, range 0-8</w:t>
      </w:r>
    </w:p>
    <w:p w14:paraId="05597E72">
      <w:pPr>
        <w:numPr>
          <w:numId w:val="0"/>
        </w:numPr>
        <w:spacing w:after="40" w:line="240" w:lineRule="auto"/>
        <w:ind w:leftChars="0"/>
        <w:jc w:val="left"/>
        <w:rPr>
          <w:rFonts w:hint="default" w:ascii="Calibri" w:hAnsi="Calibri" w:eastAsia="SimSun" w:cs="Calibri"/>
          <w:b/>
          <w:bCs/>
          <w:sz w:val="22"/>
          <w:szCs w:val="22"/>
        </w:rPr>
      </w:pPr>
      <w:r>
        <w:rPr>
          <w:rFonts w:hint="default" w:ascii="Calibri" w:hAnsi="Calibri" w:eastAsia="SimSun" w:cs="Calibri"/>
          <w:b/>
          <w:bCs/>
          <w:sz w:val="22"/>
          <w:szCs w:val="22"/>
        </w:rPr>
        <w:t>The BDAF Index is calculated as:</w:t>
      </w:r>
    </w:p>
    <w:p w14:paraId="2A43BD14">
      <w:pPr>
        <w:numPr>
          <w:numId w:val="0"/>
        </w:numPr>
        <w:spacing w:after="40" w:line="240" w:lineRule="auto"/>
        <w:ind w:leftChars="0"/>
        <w:jc w:val="center"/>
        <w:rPr>
          <w:rFonts w:hint="default" w:ascii="Calibri" w:hAnsi="Calibri" w:eastAsia="SimSun" w:cs="Calibri"/>
          <w:b/>
          <w:bCs/>
          <w:sz w:val="28"/>
          <w:szCs w:val="28"/>
        </w:rPr>
      </w:pPr>
      <w:r>
        <w:rPr>
          <w:rFonts w:hint="default" w:ascii="Calibri" w:hAnsi="Calibri" w:eastAsia="SimSun" w:cs="Calibri"/>
          <w:b/>
          <w:bCs/>
          <w:sz w:val="28"/>
          <w:szCs w:val="28"/>
        </w:rPr>
        <w:t>BDAF Index = 200 × [0.40 × (SD / 16) + 0.35 × (SS / 8) + 0.25 × (SI / 8)]</w:t>
      </w:r>
    </w:p>
    <w:p w14:paraId="59179165">
      <w:pPr>
        <w:numPr>
          <w:numId w:val="0"/>
        </w:numPr>
        <w:spacing w:after="40" w:line="240" w:lineRule="auto"/>
        <w:ind w:leftChars="0"/>
        <w:jc w:val="both"/>
        <w:rPr>
          <w:rFonts w:hint="default" w:ascii="Calibri" w:hAnsi="Calibri" w:eastAsia="SimSun" w:cs="Calibri"/>
          <w:sz w:val="22"/>
          <w:szCs w:val="22"/>
        </w:rPr>
      </w:pPr>
      <w:r>
        <w:rPr>
          <w:rFonts w:hint="default" w:ascii="Calibri" w:hAnsi="Calibri" w:eastAsia="SimSun" w:cs="Calibri"/>
          <w:sz w:val="22"/>
          <w:szCs w:val="22"/>
        </w:rPr>
        <w:t>This normalized expression keeps intact the required maximum contributions: 80 points for Direct Nature Experience, 70 points for Spatial Experience and Place, and 50 points for Indirect Nature Representation. The above normalized expression is better than the raw total multiplied by some number because the latter gives an equal weight to all criteria and does not reflect category weightings.</w:t>
      </w:r>
    </w:p>
    <w:p w14:paraId="28565E66">
      <w:pPr>
        <w:numPr>
          <w:numId w:val="0"/>
        </w:numPr>
        <w:spacing w:after="40" w:line="240" w:lineRule="auto"/>
        <w:ind w:leftChars="0"/>
        <w:jc w:val="both"/>
        <w:rPr>
          <w:rFonts w:hint="default" w:ascii="Calibri" w:hAnsi="Calibri" w:eastAsia="SimSun" w:cs="Calibri"/>
          <w:sz w:val="22"/>
          <w:szCs w:val="22"/>
        </w:rPr>
      </w:pPr>
      <w:r>
        <w:rPr>
          <w:rFonts w:hint="default" w:ascii="Calibri" w:hAnsi="Calibri" w:eastAsia="SimSun" w:cs="Calibri"/>
          <w:sz w:val="22"/>
          <w:szCs w:val="22"/>
        </w:rPr>
        <w:t>These category proportions are tentative parameters, informed by literature and not empirically validated health parameters. The Direct Nature Experience gets the largest weight because it includes tangible parameters of daylighting, ventilation, thermal comfort, and vegetative contact. The Spatial Experience and Place gets the second largest weight because it deals with issues of privacy, sanctuary, shared use, and spatial legibility. The last one, Indirect Nature Representation, gets the rest of the weight.</w:t>
      </w:r>
    </w:p>
    <w:p w14:paraId="1DC45FAC">
      <w:pPr>
        <w:numPr>
          <w:numId w:val="0"/>
        </w:numPr>
        <w:spacing w:after="40" w:line="240" w:lineRule="auto"/>
        <w:ind w:leftChars="0"/>
        <w:jc w:val="both"/>
        <w:rPr>
          <w:rFonts w:hint="default" w:ascii="Calibri" w:hAnsi="Calibri" w:eastAsia="SimSun" w:cs="Calibri"/>
          <w:sz w:val="22"/>
          <w:szCs w:val="22"/>
        </w:rPr>
      </w:pPr>
      <w:r>
        <w:rPr>
          <w:rFonts w:hint="default" w:ascii="Calibri" w:hAnsi="Calibri" w:eastAsia="SimSun" w:cs="Calibri"/>
          <w:sz w:val="22"/>
          <w:szCs w:val="22"/>
        </w:rPr>
        <w:t>The assessment categories represent descriptive equal width intervals:</w:t>
      </w:r>
    </w:p>
    <w:p w14:paraId="3B93B590">
      <w:pPr>
        <w:numPr>
          <w:numId w:val="0"/>
        </w:numPr>
        <w:spacing w:after="40" w:line="240" w:lineRule="auto"/>
        <w:ind w:leftChars="0"/>
        <w:jc w:val="center"/>
        <w:rPr>
          <w:rFonts w:hint="default" w:ascii="Calibri" w:hAnsi="Calibri" w:eastAsia="SimSun" w:cs="Calibri"/>
          <w:b/>
          <w:bCs/>
          <w:i/>
          <w:iCs/>
          <w:sz w:val="20"/>
          <w:szCs w:val="20"/>
        </w:rPr>
      </w:pPr>
      <w:r>
        <w:rPr>
          <w:rFonts w:hint="default" w:ascii="Calibri" w:hAnsi="Calibri" w:eastAsia="SimSun" w:cs="Calibri"/>
          <w:b/>
          <w:bCs/>
          <w:i/>
          <w:iCs/>
          <w:sz w:val="20"/>
          <w:szCs w:val="20"/>
        </w:rPr>
        <w:t>Table 3. Assessment levels for BDAF</w:t>
      </w:r>
    </w:p>
    <w:tbl>
      <w:tblPr>
        <w:tblW w:w="0" w:type="auto"/>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259"/>
        <w:gridCol w:w="1692"/>
        <w:gridCol w:w="2678"/>
        <w:gridCol w:w="81"/>
      </w:tblGrid>
      <w:tr w14:paraId="329E2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jc w:val="center"/>
        </w:trPr>
        <w:tc>
          <w:tcPr>
            <w:tcW w:w="1214" w:type="dxa"/>
            <w:shd w:val="clear"/>
            <w:vAlign w:val="center"/>
          </w:tcPr>
          <w:p w14:paraId="5B7A851E">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BDAF Index</w:t>
            </w:r>
          </w:p>
        </w:tc>
        <w:tc>
          <w:tcPr>
            <w:tcW w:w="1662" w:type="dxa"/>
            <w:shd w:val="clear"/>
            <w:vAlign w:val="center"/>
          </w:tcPr>
          <w:p w14:paraId="27BB7BCD">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Assessment level</w:t>
            </w:r>
          </w:p>
        </w:tc>
        <w:tc>
          <w:tcPr>
            <w:tcW w:w="2648" w:type="dxa"/>
            <w:shd w:val="clear"/>
            <w:vAlign w:val="center"/>
          </w:tcPr>
          <w:p w14:paraId="629233B5">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Interpretation</w:t>
            </w:r>
          </w:p>
        </w:tc>
        <w:tc>
          <w:tcPr>
            <w:tcW w:w="0" w:type="auto"/>
            <w:shd w:val="clear"/>
            <w:vAlign w:val="center"/>
          </w:tcPr>
          <w:p w14:paraId="213265E3">
            <w:pPr>
              <w:keepNext w:val="0"/>
              <w:keepLines w:val="0"/>
              <w:widowControl/>
              <w:suppressLineNumbers w:val="0"/>
              <w:jc w:val="left"/>
              <w:rPr>
                <w:rFonts w:hint="default" w:ascii="Calibri" w:hAnsi="Calibri" w:eastAsia="SimSun" w:cs="Calibri"/>
                <w:kern w:val="0"/>
                <w:sz w:val="20"/>
                <w:szCs w:val="20"/>
                <w:lang w:val="en-US" w:eastAsia="zh-CN" w:bidi="ar"/>
                <w14:ligatures w14:val="standardContextual"/>
              </w:rPr>
            </w:pPr>
          </w:p>
        </w:tc>
      </w:tr>
      <w:tr w14:paraId="37746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1214" w:type="dxa"/>
            <w:shd w:val="clear"/>
            <w:vAlign w:val="center"/>
          </w:tcPr>
          <w:p w14:paraId="39AE30AD">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0-50</w:t>
            </w:r>
          </w:p>
        </w:tc>
        <w:tc>
          <w:tcPr>
            <w:tcW w:w="1662" w:type="dxa"/>
            <w:shd w:val="clear"/>
            <w:vAlign w:val="center"/>
          </w:tcPr>
          <w:p w14:paraId="6861E39B">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Low</w:t>
            </w:r>
          </w:p>
        </w:tc>
        <w:tc>
          <w:tcPr>
            <w:tcW w:w="2648" w:type="dxa"/>
            <w:shd w:val="clear"/>
            <w:vAlign w:val="center"/>
          </w:tcPr>
          <w:p w14:paraId="567D125B">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Minimal biophilic design provision</w:t>
            </w:r>
          </w:p>
        </w:tc>
        <w:tc>
          <w:tcPr>
            <w:tcW w:w="0" w:type="auto"/>
            <w:shd w:val="clear"/>
            <w:vAlign w:val="center"/>
          </w:tcPr>
          <w:p w14:paraId="00AD5F0D">
            <w:pPr>
              <w:keepNext w:val="0"/>
              <w:keepLines w:val="0"/>
              <w:widowControl/>
              <w:suppressLineNumbers w:val="0"/>
              <w:jc w:val="left"/>
              <w:rPr>
                <w:rFonts w:hint="default" w:ascii="Calibri" w:hAnsi="Calibri" w:eastAsia="SimSun" w:cs="Calibri"/>
                <w:kern w:val="0"/>
                <w:sz w:val="20"/>
                <w:szCs w:val="20"/>
                <w:lang w:val="en-US" w:eastAsia="zh-CN" w:bidi="ar"/>
                <w14:ligatures w14:val="standardContextual"/>
              </w:rPr>
            </w:pPr>
          </w:p>
        </w:tc>
      </w:tr>
      <w:tr w14:paraId="30FEB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1214" w:type="dxa"/>
            <w:shd w:val="clear"/>
            <w:vAlign w:val="center"/>
          </w:tcPr>
          <w:p w14:paraId="41712C31">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51-100</w:t>
            </w:r>
          </w:p>
        </w:tc>
        <w:tc>
          <w:tcPr>
            <w:tcW w:w="1662" w:type="dxa"/>
            <w:shd w:val="clear"/>
            <w:vAlign w:val="center"/>
          </w:tcPr>
          <w:p w14:paraId="21D30525">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Developing</w:t>
            </w:r>
          </w:p>
        </w:tc>
        <w:tc>
          <w:tcPr>
            <w:tcW w:w="2648" w:type="dxa"/>
            <w:shd w:val="clear"/>
            <w:vAlign w:val="center"/>
          </w:tcPr>
          <w:p w14:paraId="0572B2F1">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Partial or emerging integration</w:t>
            </w:r>
          </w:p>
        </w:tc>
        <w:tc>
          <w:tcPr>
            <w:tcW w:w="0" w:type="auto"/>
            <w:shd w:val="clear"/>
            <w:vAlign w:val="center"/>
          </w:tcPr>
          <w:p w14:paraId="57F24BFF">
            <w:pPr>
              <w:keepNext w:val="0"/>
              <w:keepLines w:val="0"/>
              <w:widowControl/>
              <w:suppressLineNumbers w:val="0"/>
              <w:jc w:val="left"/>
              <w:rPr>
                <w:rFonts w:hint="default" w:ascii="Calibri" w:hAnsi="Calibri" w:eastAsia="SimSun" w:cs="Calibri"/>
                <w:kern w:val="0"/>
                <w:sz w:val="20"/>
                <w:szCs w:val="20"/>
                <w:lang w:val="en-US" w:eastAsia="zh-CN" w:bidi="ar"/>
                <w14:ligatures w14:val="standardContextual"/>
              </w:rPr>
            </w:pPr>
          </w:p>
        </w:tc>
      </w:tr>
      <w:tr w14:paraId="10E22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jc w:val="center"/>
        </w:trPr>
        <w:tc>
          <w:tcPr>
            <w:tcW w:w="1214" w:type="dxa"/>
            <w:shd w:val="clear"/>
            <w:vAlign w:val="center"/>
          </w:tcPr>
          <w:p w14:paraId="6448F5AF">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101-150</w:t>
            </w:r>
          </w:p>
        </w:tc>
        <w:tc>
          <w:tcPr>
            <w:tcW w:w="1662" w:type="dxa"/>
            <w:shd w:val="clear"/>
            <w:vAlign w:val="center"/>
          </w:tcPr>
          <w:p w14:paraId="1196799B">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Moderate</w:t>
            </w:r>
          </w:p>
        </w:tc>
        <w:tc>
          <w:tcPr>
            <w:tcW w:w="2648" w:type="dxa"/>
            <w:shd w:val="clear"/>
            <w:vAlign w:val="center"/>
          </w:tcPr>
          <w:p w14:paraId="513C7954">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Consistent and substantial integration</w:t>
            </w:r>
          </w:p>
        </w:tc>
        <w:tc>
          <w:tcPr>
            <w:tcW w:w="0" w:type="auto"/>
            <w:shd w:val="clear"/>
            <w:vAlign w:val="center"/>
          </w:tcPr>
          <w:p w14:paraId="65AB0B31">
            <w:pPr>
              <w:keepNext w:val="0"/>
              <w:keepLines w:val="0"/>
              <w:widowControl/>
              <w:suppressLineNumbers w:val="0"/>
              <w:jc w:val="left"/>
              <w:rPr>
                <w:rFonts w:hint="default" w:ascii="Calibri" w:hAnsi="Calibri" w:eastAsia="SimSun" w:cs="Calibri"/>
                <w:kern w:val="0"/>
                <w:sz w:val="20"/>
                <w:szCs w:val="20"/>
                <w:lang w:val="en-US" w:eastAsia="zh-CN" w:bidi="ar"/>
                <w14:ligatures w14:val="standardContextual"/>
              </w:rPr>
            </w:pPr>
          </w:p>
        </w:tc>
      </w:tr>
      <w:tr w14:paraId="70438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1214" w:type="dxa"/>
            <w:shd w:val="clear"/>
            <w:vAlign w:val="center"/>
          </w:tcPr>
          <w:p w14:paraId="6EC9082B">
            <w:pPr>
              <w:keepNext w:val="0"/>
              <w:keepLines w:val="0"/>
              <w:widowControl/>
              <w:suppressLineNumbers w:val="0"/>
              <w:jc w:val="left"/>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151-200</w:t>
            </w:r>
          </w:p>
        </w:tc>
        <w:tc>
          <w:tcPr>
            <w:tcW w:w="1662" w:type="dxa"/>
            <w:shd w:val="clear"/>
            <w:vAlign w:val="center"/>
          </w:tcPr>
          <w:p w14:paraId="3129B360">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High</w:t>
            </w:r>
          </w:p>
        </w:tc>
        <w:tc>
          <w:tcPr>
            <w:tcW w:w="2648" w:type="dxa"/>
            <w:shd w:val="clear"/>
            <w:vAlign w:val="center"/>
          </w:tcPr>
          <w:p w14:paraId="71B42C26">
            <w:pPr>
              <w:keepNext w:val="0"/>
              <w:keepLines w:val="0"/>
              <w:widowControl/>
              <w:suppressLineNumbers w:val="0"/>
              <w:jc w:val="left"/>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Comprehensive integration across categories</w:t>
            </w:r>
          </w:p>
        </w:tc>
        <w:tc>
          <w:tcPr>
            <w:tcW w:w="0" w:type="auto"/>
            <w:shd w:val="clear"/>
            <w:vAlign w:val="center"/>
          </w:tcPr>
          <w:p w14:paraId="1D13D72F">
            <w:pPr>
              <w:keepNext w:val="0"/>
              <w:keepLines w:val="0"/>
              <w:widowControl/>
              <w:suppressLineNumbers w:val="0"/>
              <w:jc w:val="left"/>
              <w:rPr>
                <w:rFonts w:hint="default" w:ascii="Calibri" w:hAnsi="Calibri" w:eastAsia="SimSun" w:cs="Calibri"/>
                <w:kern w:val="0"/>
                <w:sz w:val="20"/>
                <w:szCs w:val="20"/>
                <w:lang w:val="en-US" w:eastAsia="zh-CN" w:bidi="ar"/>
                <w14:ligatures w14:val="standardContextual"/>
              </w:rPr>
            </w:pPr>
          </w:p>
        </w:tc>
      </w:tr>
    </w:tbl>
    <w:p w14:paraId="1D3DD599">
      <w:pPr>
        <w:numPr>
          <w:numId w:val="0"/>
        </w:numPr>
        <w:spacing w:after="40" w:line="240" w:lineRule="auto"/>
        <w:ind w:leftChars="0"/>
        <w:jc w:val="both"/>
        <w:rPr>
          <w:rFonts w:hint="default" w:ascii="Calibri" w:hAnsi="Calibri" w:eastAsia="SimSun" w:cs="Calibri"/>
          <w:sz w:val="22"/>
          <w:szCs w:val="22"/>
        </w:rPr>
      </w:pPr>
      <w:r>
        <w:rPr>
          <w:rFonts w:hint="default" w:ascii="Calibri" w:hAnsi="Calibri" w:eastAsia="SimSun" w:cs="Calibri"/>
          <w:sz w:val="22"/>
          <w:szCs w:val="22"/>
        </w:rPr>
        <w:t>Future research should validate the relative weights through independent expert elicitation, conduct sensitivity analysis, and test whether BDAF scores predict occupant comfort, well-being, or health outcomes.</w:t>
      </w:r>
    </w:p>
    <w:p w14:paraId="236748D8">
      <w:pPr>
        <w:numPr>
          <w:numId w:val="0"/>
        </w:numPr>
        <w:spacing w:after="40" w:line="240" w:lineRule="auto"/>
        <w:ind w:leftChars="0"/>
        <w:jc w:val="both"/>
        <w:rPr>
          <w:rFonts w:hint="default" w:ascii="Calibri" w:hAnsi="Calibri"/>
          <w:b/>
          <w:bCs/>
          <w:sz w:val="28"/>
          <w:szCs w:val="28"/>
        </w:rPr>
      </w:pPr>
      <w:r>
        <w:rPr>
          <w:rFonts w:hint="default" w:ascii="Calibri" w:hAnsi="Calibri"/>
          <w:b/>
          <w:bCs/>
          <w:sz w:val="28"/>
          <w:szCs w:val="28"/>
          <w:lang w:val="en-US"/>
        </w:rPr>
        <w:t>5.</w:t>
      </w:r>
      <w:r>
        <w:rPr>
          <w:rFonts w:hint="default" w:ascii="Calibri" w:hAnsi="Calibri"/>
          <w:b/>
          <w:bCs/>
          <w:sz w:val="28"/>
          <w:szCs w:val="28"/>
        </w:rPr>
        <w:t xml:space="preserve"> Illustrative Application: Savda Ghevra, Delhi</w:t>
      </w:r>
    </w:p>
    <w:p w14:paraId="51C00B2B">
      <w:pPr>
        <w:numPr>
          <w:numId w:val="0"/>
        </w:numPr>
        <w:spacing w:after="40" w:line="240" w:lineRule="auto"/>
        <w:ind w:leftChars="0"/>
        <w:jc w:val="both"/>
        <w:rPr>
          <w:rFonts w:hint="default" w:ascii="Calibri" w:hAnsi="Calibri"/>
          <w:b/>
          <w:bCs/>
          <w:sz w:val="28"/>
          <w:szCs w:val="28"/>
        </w:rPr>
      </w:pPr>
      <w:r>
        <w:rPr>
          <w:rFonts w:hint="default" w:ascii="Calibri" w:hAnsi="Calibri"/>
          <w:b/>
          <w:bCs/>
          <w:sz w:val="28"/>
          <w:szCs w:val="28"/>
        </w:rPr>
        <w:t>5.1 Pilot Data</w:t>
      </w:r>
    </w:p>
    <w:p w14:paraId="0D681EE1">
      <w:pPr>
        <w:numPr>
          <w:numId w:val="0"/>
        </w:numPr>
        <w:spacing w:after="40" w:line="240" w:lineRule="auto"/>
        <w:ind w:leftChars="0"/>
        <w:jc w:val="both"/>
        <w:rPr>
          <w:rFonts w:hint="default" w:ascii="Calibri" w:hAnsi="Calibri"/>
          <w:sz w:val="22"/>
          <w:szCs w:val="22"/>
        </w:rPr>
      </w:pPr>
      <w:r>
        <w:rPr>
          <w:rFonts w:hint="default" w:ascii="Calibri" w:hAnsi="Calibri"/>
          <w:sz w:val="22"/>
          <w:szCs w:val="22"/>
        </w:rPr>
        <w:t>The illustrative application makes use of secondary data from 27 households in Savda Ghevra, Delhi. The initial studies involved the measurement of indoor temperatures, relative humidity, and lighting over 10-minute intervals for a period of 12 months, alongside household surveys and qualitative data (Nix et al., 2020a).</w:t>
      </w:r>
    </w:p>
    <w:p w14:paraId="5C5ABF26">
      <w:pPr>
        <w:numPr>
          <w:numId w:val="0"/>
        </w:numPr>
        <w:spacing w:after="40" w:line="240" w:lineRule="auto"/>
        <w:ind w:leftChars="0"/>
        <w:jc w:val="both"/>
        <w:rPr>
          <w:rFonts w:hint="default" w:ascii="Calibri" w:hAnsi="Calibri"/>
          <w:sz w:val="22"/>
          <w:szCs w:val="22"/>
        </w:rPr>
      </w:pPr>
      <w:r>
        <w:rPr>
          <w:rFonts w:hint="default" w:ascii="Calibri" w:hAnsi="Calibri"/>
          <w:sz w:val="22"/>
          <w:szCs w:val="22"/>
        </w:rPr>
        <w:t>Indoor temperatures were measured between 11.4°C and 26.5°C by Nix et al. (2015), and it was observed that all monitored dwellings failed to maintain indoor temperatures above 21°C for more than 40% of monitored winter hours. Poor lighting, lack of mechanical ventilation, crowding, and risks due to poor housing quality were also highlighted by Nix et al. (2020a).</w:t>
      </w:r>
    </w:p>
    <w:p w14:paraId="0E4A7ABF">
      <w:pPr>
        <w:numPr>
          <w:numId w:val="0"/>
        </w:numPr>
        <w:spacing w:after="40" w:line="240" w:lineRule="auto"/>
        <w:ind w:leftChars="0"/>
        <w:jc w:val="both"/>
        <w:rPr>
          <w:rFonts w:hint="default" w:ascii="Calibri" w:hAnsi="Calibri"/>
          <w:sz w:val="22"/>
          <w:szCs w:val="22"/>
        </w:rPr>
      </w:pPr>
      <w:r>
        <w:rPr>
          <w:rFonts w:hint="default" w:ascii="Calibri" w:hAnsi="Calibri"/>
          <w:sz w:val="22"/>
          <w:szCs w:val="22"/>
        </w:rPr>
        <w:t>The current application is an illustration of BDAF mapping rather than the complete BDAF audit. Some scores have been calculated from indoor environmental quality data while some scores have been calculated based on housing typologies and documented conditions.</w:t>
      </w:r>
    </w:p>
    <w:p w14:paraId="1067C101">
      <w:pPr>
        <w:numPr>
          <w:numId w:val="0"/>
        </w:numPr>
        <w:spacing w:after="40" w:line="240" w:lineRule="auto"/>
        <w:ind w:leftChars="0"/>
        <w:jc w:val="center"/>
        <w:rPr>
          <w:rFonts w:hint="default" w:ascii="Calibri" w:hAnsi="Calibri"/>
          <w:b/>
          <w:bCs/>
          <w:i/>
          <w:iCs/>
          <w:sz w:val="20"/>
          <w:szCs w:val="20"/>
        </w:rPr>
      </w:pPr>
      <w:r>
        <w:rPr>
          <w:rFonts w:hint="default" w:ascii="Calibri" w:hAnsi="Calibri"/>
          <w:b/>
          <w:bCs/>
          <w:i/>
          <w:iCs/>
          <w:sz w:val="20"/>
          <w:szCs w:val="20"/>
        </w:rPr>
        <w:t>Table 4. Illustrative secondary-data BDAF mapping across housing typologies</w:t>
      </w:r>
    </w:p>
    <w:tbl>
      <w:tblPr>
        <w:tblW w:w="0" w:type="auto"/>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044"/>
        <w:gridCol w:w="729"/>
        <w:gridCol w:w="600"/>
        <w:gridCol w:w="490"/>
        <w:gridCol w:w="440"/>
        <w:gridCol w:w="1690"/>
        <w:gridCol w:w="1200"/>
      </w:tblGrid>
      <w:tr w14:paraId="66D7A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0" w:type="auto"/>
            <w:shd w:val="clear"/>
            <w:vAlign w:val="center"/>
          </w:tcPr>
          <w:p w14:paraId="1914CAA2">
            <w:pPr>
              <w:keepNext w:val="0"/>
              <w:keepLines w:val="0"/>
              <w:widowControl/>
              <w:suppressLineNumbers w:val="0"/>
              <w:jc w:val="center"/>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Typology</w:t>
            </w:r>
          </w:p>
        </w:tc>
        <w:tc>
          <w:tcPr>
            <w:tcW w:w="699" w:type="dxa"/>
            <w:shd w:val="clear"/>
            <w:vAlign w:val="center"/>
          </w:tcPr>
          <w:p w14:paraId="1E765174">
            <w:pPr>
              <w:keepNext w:val="0"/>
              <w:keepLines w:val="0"/>
              <w:widowControl/>
              <w:suppressLineNumbers w:val="0"/>
              <w:jc w:val="center"/>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Sample</w:t>
            </w:r>
          </w:p>
        </w:tc>
        <w:tc>
          <w:tcPr>
            <w:tcW w:w="570" w:type="dxa"/>
            <w:shd w:val="clear"/>
            <w:vAlign w:val="center"/>
          </w:tcPr>
          <w:p w14:paraId="1763BC6A">
            <w:pPr>
              <w:keepNext w:val="0"/>
              <w:keepLines w:val="0"/>
              <w:widowControl/>
              <w:suppressLineNumbers w:val="0"/>
              <w:jc w:val="center"/>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SD / 16</w:t>
            </w:r>
          </w:p>
        </w:tc>
        <w:tc>
          <w:tcPr>
            <w:tcW w:w="460" w:type="dxa"/>
            <w:shd w:val="clear"/>
            <w:vAlign w:val="center"/>
          </w:tcPr>
          <w:p w14:paraId="72E0ECC5">
            <w:pPr>
              <w:keepNext w:val="0"/>
              <w:keepLines w:val="0"/>
              <w:widowControl/>
              <w:suppressLineNumbers w:val="0"/>
              <w:jc w:val="center"/>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SS / 8</w:t>
            </w:r>
          </w:p>
        </w:tc>
        <w:tc>
          <w:tcPr>
            <w:tcW w:w="410" w:type="dxa"/>
            <w:shd w:val="clear"/>
            <w:vAlign w:val="center"/>
          </w:tcPr>
          <w:p w14:paraId="0C632B99">
            <w:pPr>
              <w:keepNext w:val="0"/>
              <w:keepLines w:val="0"/>
              <w:widowControl/>
              <w:suppressLineNumbers w:val="0"/>
              <w:jc w:val="center"/>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SI / 8</w:t>
            </w:r>
          </w:p>
        </w:tc>
        <w:tc>
          <w:tcPr>
            <w:tcW w:w="1660" w:type="dxa"/>
            <w:shd w:val="clear"/>
            <w:vAlign w:val="center"/>
          </w:tcPr>
          <w:p w14:paraId="109ACB33">
            <w:pPr>
              <w:keepNext w:val="0"/>
              <w:keepLines w:val="0"/>
              <w:widowControl/>
              <w:suppressLineNumbers w:val="0"/>
              <w:jc w:val="center"/>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Provisional BDAF Index</w:t>
            </w:r>
          </w:p>
        </w:tc>
        <w:tc>
          <w:tcPr>
            <w:tcW w:w="1155" w:type="dxa"/>
            <w:shd w:val="clear"/>
            <w:vAlign w:val="center"/>
          </w:tcPr>
          <w:p w14:paraId="065ECEDA">
            <w:pPr>
              <w:keepNext w:val="0"/>
              <w:keepLines w:val="0"/>
              <w:widowControl/>
              <w:suppressLineNumbers w:val="0"/>
              <w:jc w:val="center"/>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Assessment level</w:t>
            </w:r>
          </w:p>
        </w:tc>
      </w:tr>
      <w:tr w14:paraId="5B26F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jc w:val="center"/>
        </w:trPr>
        <w:tc>
          <w:tcPr>
            <w:tcW w:w="0" w:type="auto"/>
            <w:shd w:val="clear"/>
            <w:vAlign w:val="center"/>
          </w:tcPr>
          <w:p w14:paraId="64D07801">
            <w:pPr>
              <w:keepNext w:val="0"/>
              <w:keepLines w:val="0"/>
              <w:widowControl/>
              <w:suppressLineNumbers w:val="0"/>
              <w:jc w:val="center"/>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Kutcha</w:t>
            </w:r>
          </w:p>
        </w:tc>
        <w:tc>
          <w:tcPr>
            <w:tcW w:w="699" w:type="dxa"/>
            <w:shd w:val="clear"/>
            <w:vAlign w:val="center"/>
          </w:tcPr>
          <w:p w14:paraId="42B5DFEC">
            <w:pPr>
              <w:keepNext w:val="0"/>
              <w:keepLines w:val="0"/>
              <w:widowControl/>
              <w:suppressLineNumbers w:val="0"/>
              <w:jc w:val="center"/>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4</w:t>
            </w:r>
          </w:p>
        </w:tc>
        <w:tc>
          <w:tcPr>
            <w:tcW w:w="570" w:type="dxa"/>
            <w:shd w:val="clear"/>
            <w:vAlign w:val="center"/>
          </w:tcPr>
          <w:p w14:paraId="5A3BE2D2">
            <w:pPr>
              <w:keepNext w:val="0"/>
              <w:keepLines w:val="0"/>
              <w:widowControl/>
              <w:suppressLineNumbers w:val="0"/>
              <w:jc w:val="center"/>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0</w:t>
            </w:r>
          </w:p>
        </w:tc>
        <w:tc>
          <w:tcPr>
            <w:tcW w:w="460" w:type="dxa"/>
            <w:shd w:val="clear"/>
            <w:vAlign w:val="center"/>
          </w:tcPr>
          <w:p w14:paraId="37A6283A">
            <w:pPr>
              <w:keepNext w:val="0"/>
              <w:keepLines w:val="0"/>
              <w:widowControl/>
              <w:suppressLineNumbers w:val="0"/>
              <w:jc w:val="center"/>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0</w:t>
            </w:r>
          </w:p>
        </w:tc>
        <w:tc>
          <w:tcPr>
            <w:tcW w:w="410" w:type="dxa"/>
            <w:shd w:val="clear"/>
            <w:vAlign w:val="center"/>
          </w:tcPr>
          <w:p w14:paraId="0335DD4B">
            <w:pPr>
              <w:keepNext w:val="0"/>
              <w:keepLines w:val="0"/>
              <w:widowControl/>
              <w:suppressLineNumbers w:val="0"/>
              <w:jc w:val="center"/>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0</w:t>
            </w:r>
          </w:p>
        </w:tc>
        <w:tc>
          <w:tcPr>
            <w:tcW w:w="1660" w:type="dxa"/>
            <w:shd w:val="clear"/>
            <w:vAlign w:val="center"/>
          </w:tcPr>
          <w:p w14:paraId="744882DE">
            <w:pPr>
              <w:keepNext w:val="0"/>
              <w:keepLines w:val="0"/>
              <w:widowControl/>
              <w:suppressLineNumbers w:val="0"/>
              <w:jc w:val="center"/>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0</w:t>
            </w:r>
          </w:p>
        </w:tc>
        <w:tc>
          <w:tcPr>
            <w:tcW w:w="1155" w:type="dxa"/>
            <w:shd w:val="clear"/>
            <w:vAlign w:val="center"/>
          </w:tcPr>
          <w:p w14:paraId="4FF4AD0B">
            <w:pPr>
              <w:keepNext w:val="0"/>
              <w:keepLines w:val="0"/>
              <w:widowControl/>
              <w:suppressLineNumbers w:val="0"/>
              <w:jc w:val="center"/>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Low</w:t>
            </w:r>
          </w:p>
        </w:tc>
      </w:tr>
      <w:tr w14:paraId="5038C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0" w:type="auto"/>
            <w:shd w:val="clear"/>
            <w:vAlign w:val="center"/>
          </w:tcPr>
          <w:p w14:paraId="2DFCC5BE">
            <w:pPr>
              <w:keepNext w:val="0"/>
              <w:keepLines w:val="0"/>
              <w:widowControl/>
              <w:suppressLineNumbers w:val="0"/>
              <w:jc w:val="center"/>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Semi-pucca</w:t>
            </w:r>
          </w:p>
        </w:tc>
        <w:tc>
          <w:tcPr>
            <w:tcW w:w="699" w:type="dxa"/>
            <w:shd w:val="clear"/>
            <w:vAlign w:val="center"/>
          </w:tcPr>
          <w:p w14:paraId="0885AA53">
            <w:pPr>
              <w:keepNext w:val="0"/>
              <w:keepLines w:val="0"/>
              <w:widowControl/>
              <w:suppressLineNumbers w:val="0"/>
              <w:jc w:val="center"/>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5</w:t>
            </w:r>
          </w:p>
        </w:tc>
        <w:tc>
          <w:tcPr>
            <w:tcW w:w="570" w:type="dxa"/>
            <w:shd w:val="clear"/>
            <w:vAlign w:val="center"/>
          </w:tcPr>
          <w:p w14:paraId="0B0E73A7">
            <w:pPr>
              <w:keepNext w:val="0"/>
              <w:keepLines w:val="0"/>
              <w:widowControl/>
              <w:suppressLineNumbers w:val="0"/>
              <w:jc w:val="center"/>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0</w:t>
            </w:r>
          </w:p>
        </w:tc>
        <w:tc>
          <w:tcPr>
            <w:tcW w:w="460" w:type="dxa"/>
            <w:shd w:val="clear"/>
            <w:vAlign w:val="center"/>
          </w:tcPr>
          <w:p w14:paraId="25949F37">
            <w:pPr>
              <w:keepNext w:val="0"/>
              <w:keepLines w:val="0"/>
              <w:widowControl/>
              <w:suppressLineNumbers w:val="0"/>
              <w:jc w:val="center"/>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0</w:t>
            </w:r>
          </w:p>
        </w:tc>
        <w:tc>
          <w:tcPr>
            <w:tcW w:w="410" w:type="dxa"/>
            <w:shd w:val="clear"/>
            <w:vAlign w:val="center"/>
          </w:tcPr>
          <w:p w14:paraId="0D0394DF">
            <w:pPr>
              <w:keepNext w:val="0"/>
              <w:keepLines w:val="0"/>
              <w:widowControl/>
              <w:suppressLineNumbers w:val="0"/>
              <w:jc w:val="center"/>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0</w:t>
            </w:r>
          </w:p>
        </w:tc>
        <w:tc>
          <w:tcPr>
            <w:tcW w:w="1660" w:type="dxa"/>
            <w:shd w:val="clear"/>
            <w:vAlign w:val="center"/>
          </w:tcPr>
          <w:p w14:paraId="55AB00B6">
            <w:pPr>
              <w:keepNext w:val="0"/>
              <w:keepLines w:val="0"/>
              <w:widowControl/>
              <w:suppressLineNumbers w:val="0"/>
              <w:jc w:val="center"/>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0</w:t>
            </w:r>
          </w:p>
        </w:tc>
        <w:tc>
          <w:tcPr>
            <w:tcW w:w="1155" w:type="dxa"/>
            <w:shd w:val="clear"/>
            <w:vAlign w:val="center"/>
          </w:tcPr>
          <w:p w14:paraId="5AECD0DC">
            <w:pPr>
              <w:keepNext w:val="0"/>
              <w:keepLines w:val="0"/>
              <w:widowControl/>
              <w:suppressLineNumbers w:val="0"/>
              <w:jc w:val="center"/>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Low</w:t>
            </w:r>
          </w:p>
        </w:tc>
      </w:tr>
      <w:tr w14:paraId="4A4A7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jc w:val="center"/>
        </w:trPr>
        <w:tc>
          <w:tcPr>
            <w:tcW w:w="0" w:type="auto"/>
            <w:shd w:val="clear"/>
            <w:vAlign w:val="center"/>
          </w:tcPr>
          <w:p w14:paraId="41F64283">
            <w:pPr>
              <w:keepNext w:val="0"/>
              <w:keepLines w:val="0"/>
              <w:widowControl/>
              <w:suppressLineNumbers w:val="0"/>
              <w:jc w:val="center"/>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Pucca 1</w:t>
            </w:r>
          </w:p>
        </w:tc>
        <w:tc>
          <w:tcPr>
            <w:tcW w:w="699" w:type="dxa"/>
            <w:shd w:val="clear"/>
            <w:vAlign w:val="center"/>
          </w:tcPr>
          <w:p w14:paraId="6503F692">
            <w:pPr>
              <w:keepNext w:val="0"/>
              <w:keepLines w:val="0"/>
              <w:widowControl/>
              <w:suppressLineNumbers w:val="0"/>
              <w:jc w:val="center"/>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2</w:t>
            </w:r>
          </w:p>
        </w:tc>
        <w:tc>
          <w:tcPr>
            <w:tcW w:w="570" w:type="dxa"/>
            <w:shd w:val="clear"/>
            <w:vAlign w:val="center"/>
          </w:tcPr>
          <w:p w14:paraId="4F3C5FCD">
            <w:pPr>
              <w:keepNext w:val="0"/>
              <w:keepLines w:val="0"/>
              <w:widowControl/>
              <w:suppressLineNumbers w:val="0"/>
              <w:jc w:val="center"/>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3</w:t>
            </w:r>
          </w:p>
        </w:tc>
        <w:tc>
          <w:tcPr>
            <w:tcW w:w="460" w:type="dxa"/>
            <w:shd w:val="clear"/>
            <w:vAlign w:val="center"/>
          </w:tcPr>
          <w:p w14:paraId="0DAA851B">
            <w:pPr>
              <w:keepNext w:val="0"/>
              <w:keepLines w:val="0"/>
              <w:widowControl/>
              <w:suppressLineNumbers w:val="0"/>
              <w:jc w:val="center"/>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1</w:t>
            </w:r>
          </w:p>
        </w:tc>
        <w:tc>
          <w:tcPr>
            <w:tcW w:w="410" w:type="dxa"/>
            <w:shd w:val="clear"/>
            <w:vAlign w:val="center"/>
          </w:tcPr>
          <w:p w14:paraId="25DADFF9">
            <w:pPr>
              <w:keepNext w:val="0"/>
              <w:keepLines w:val="0"/>
              <w:widowControl/>
              <w:suppressLineNumbers w:val="0"/>
              <w:jc w:val="center"/>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2</w:t>
            </w:r>
          </w:p>
        </w:tc>
        <w:tc>
          <w:tcPr>
            <w:tcW w:w="1660" w:type="dxa"/>
            <w:shd w:val="clear"/>
            <w:vAlign w:val="center"/>
          </w:tcPr>
          <w:p w14:paraId="3F9DA3E0">
            <w:pPr>
              <w:keepNext w:val="0"/>
              <w:keepLines w:val="0"/>
              <w:widowControl/>
              <w:suppressLineNumbers w:val="0"/>
              <w:jc w:val="center"/>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36</w:t>
            </w:r>
          </w:p>
        </w:tc>
        <w:tc>
          <w:tcPr>
            <w:tcW w:w="1155" w:type="dxa"/>
            <w:shd w:val="clear"/>
            <w:vAlign w:val="center"/>
          </w:tcPr>
          <w:p w14:paraId="471458C2">
            <w:pPr>
              <w:keepNext w:val="0"/>
              <w:keepLines w:val="0"/>
              <w:widowControl/>
              <w:suppressLineNumbers w:val="0"/>
              <w:jc w:val="center"/>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Low</w:t>
            </w:r>
          </w:p>
        </w:tc>
      </w:tr>
      <w:tr w14:paraId="146CF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0" w:type="auto"/>
            <w:shd w:val="clear"/>
            <w:vAlign w:val="center"/>
          </w:tcPr>
          <w:p w14:paraId="45906BFF">
            <w:pPr>
              <w:keepNext w:val="0"/>
              <w:keepLines w:val="0"/>
              <w:widowControl/>
              <w:suppressLineNumbers w:val="0"/>
              <w:jc w:val="center"/>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Pucca 1.5</w:t>
            </w:r>
          </w:p>
        </w:tc>
        <w:tc>
          <w:tcPr>
            <w:tcW w:w="699" w:type="dxa"/>
            <w:shd w:val="clear"/>
            <w:vAlign w:val="center"/>
          </w:tcPr>
          <w:p w14:paraId="00F1359F">
            <w:pPr>
              <w:keepNext w:val="0"/>
              <w:keepLines w:val="0"/>
              <w:widowControl/>
              <w:suppressLineNumbers w:val="0"/>
              <w:jc w:val="center"/>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6</w:t>
            </w:r>
          </w:p>
        </w:tc>
        <w:tc>
          <w:tcPr>
            <w:tcW w:w="570" w:type="dxa"/>
            <w:shd w:val="clear"/>
            <w:vAlign w:val="center"/>
          </w:tcPr>
          <w:p w14:paraId="06B1D87F">
            <w:pPr>
              <w:keepNext w:val="0"/>
              <w:keepLines w:val="0"/>
              <w:widowControl/>
              <w:suppressLineNumbers w:val="0"/>
              <w:jc w:val="center"/>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6</w:t>
            </w:r>
          </w:p>
        </w:tc>
        <w:tc>
          <w:tcPr>
            <w:tcW w:w="460" w:type="dxa"/>
            <w:shd w:val="clear"/>
            <w:vAlign w:val="center"/>
          </w:tcPr>
          <w:p w14:paraId="2E2EFA8E">
            <w:pPr>
              <w:keepNext w:val="0"/>
              <w:keepLines w:val="0"/>
              <w:widowControl/>
              <w:suppressLineNumbers w:val="0"/>
              <w:jc w:val="center"/>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4</w:t>
            </w:r>
          </w:p>
        </w:tc>
        <w:tc>
          <w:tcPr>
            <w:tcW w:w="410" w:type="dxa"/>
            <w:shd w:val="clear"/>
            <w:vAlign w:val="center"/>
          </w:tcPr>
          <w:p w14:paraId="48C79560">
            <w:pPr>
              <w:keepNext w:val="0"/>
              <w:keepLines w:val="0"/>
              <w:widowControl/>
              <w:suppressLineNumbers w:val="0"/>
              <w:jc w:val="center"/>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2</w:t>
            </w:r>
          </w:p>
        </w:tc>
        <w:tc>
          <w:tcPr>
            <w:tcW w:w="1660" w:type="dxa"/>
            <w:shd w:val="clear"/>
            <w:vAlign w:val="center"/>
          </w:tcPr>
          <w:p w14:paraId="5457F011">
            <w:pPr>
              <w:keepNext w:val="0"/>
              <w:keepLines w:val="0"/>
              <w:widowControl/>
              <w:suppressLineNumbers w:val="0"/>
              <w:jc w:val="center"/>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78</w:t>
            </w:r>
          </w:p>
        </w:tc>
        <w:tc>
          <w:tcPr>
            <w:tcW w:w="1155" w:type="dxa"/>
            <w:shd w:val="clear"/>
            <w:vAlign w:val="center"/>
          </w:tcPr>
          <w:p w14:paraId="2C4DC6AD">
            <w:pPr>
              <w:keepNext w:val="0"/>
              <w:keepLines w:val="0"/>
              <w:widowControl/>
              <w:suppressLineNumbers w:val="0"/>
              <w:jc w:val="center"/>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Developing</w:t>
            </w:r>
          </w:p>
        </w:tc>
      </w:tr>
      <w:tr w14:paraId="46B64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0" w:type="auto"/>
            <w:shd w:val="clear"/>
            <w:vAlign w:val="center"/>
          </w:tcPr>
          <w:p w14:paraId="42AD87C6">
            <w:pPr>
              <w:keepNext w:val="0"/>
              <w:keepLines w:val="0"/>
              <w:widowControl/>
              <w:suppressLineNumbers w:val="0"/>
              <w:jc w:val="center"/>
              <w:rPr>
                <w:rFonts w:hint="default" w:ascii="Calibri" w:hAnsi="Calibri" w:cs="Calibri"/>
                <w:b/>
                <w:bCs/>
                <w:sz w:val="20"/>
                <w:szCs w:val="20"/>
              </w:rPr>
            </w:pPr>
            <w:r>
              <w:rPr>
                <w:rFonts w:hint="default" w:ascii="Calibri" w:hAnsi="Calibri" w:eastAsia="SimSun" w:cs="Calibri"/>
                <w:b/>
                <w:bCs/>
                <w:kern w:val="0"/>
                <w:sz w:val="20"/>
                <w:szCs w:val="20"/>
                <w:lang w:val="en-US" w:eastAsia="zh-CN" w:bidi="ar"/>
                <w14:ligatures w14:val="standardContextual"/>
              </w:rPr>
              <w:t>Pucca 2/2.5</w:t>
            </w:r>
          </w:p>
        </w:tc>
        <w:tc>
          <w:tcPr>
            <w:tcW w:w="699" w:type="dxa"/>
            <w:shd w:val="clear"/>
            <w:vAlign w:val="center"/>
          </w:tcPr>
          <w:p w14:paraId="4E001F69">
            <w:pPr>
              <w:keepNext w:val="0"/>
              <w:keepLines w:val="0"/>
              <w:widowControl/>
              <w:suppressLineNumbers w:val="0"/>
              <w:jc w:val="center"/>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10</w:t>
            </w:r>
          </w:p>
        </w:tc>
        <w:tc>
          <w:tcPr>
            <w:tcW w:w="570" w:type="dxa"/>
            <w:shd w:val="clear"/>
            <w:vAlign w:val="center"/>
          </w:tcPr>
          <w:p w14:paraId="5962A005">
            <w:pPr>
              <w:keepNext w:val="0"/>
              <w:keepLines w:val="0"/>
              <w:widowControl/>
              <w:suppressLineNumbers w:val="0"/>
              <w:jc w:val="center"/>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7</w:t>
            </w:r>
          </w:p>
        </w:tc>
        <w:tc>
          <w:tcPr>
            <w:tcW w:w="460" w:type="dxa"/>
            <w:shd w:val="clear"/>
            <w:vAlign w:val="center"/>
          </w:tcPr>
          <w:p w14:paraId="52795371">
            <w:pPr>
              <w:keepNext w:val="0"/>
              <w:keepLines w:val="0"/>
              <w:widowControl/>
              <w:suppressLineNumbers w:val="0"/>
              <w:jc w:val="center"/>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5</w:t>
            </w:r>
          </w:p>
        </w:tc>
        <w:tc>
          <w:tcPr>
            <w:tcW w:w="410" w:type="dxa"/>
            <w:shd w:val="clear"/>
            <w:vAlign w:val="center"/>
          </w:tcPr>
          <w:p w14:paraId="31535EB3">
            <w:pPr>
              <w:keepNext w:val="0"/>
              <w:keepLines w:val="0"/>
              <w:widowControl/>
              <w:suppressLineNumbers w:val="0"/>
              <w:jc w:val="center"/>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3</w:t>
            </w:r>
          </w:p>
        </w:tc>
        <w:tc>
          <w:tcPr>
            <w:tcW w:w="1660" w:type="dxa"/>
            <w:shd w:val="clear"/>
            <w:vAlign w:val="center"/>
          </w:tcPr>
          <w:p w14:paraId="3CE6437F">
            <w:pPr>
              <w:keepNext w:val="0"/>
              <w:keepLines w:val="0"/>
              <w:widowControl/>
              <w:suppressLineNumbers w:val="0"/>
              <w:jc w:val="center"/>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98</w:t>
            </w:r>
          </w:p>
        </w:tc>
        <w:tc>
          <w:tcPr>
            <w:tcW w:w="1155" w:type="dxa"/>
            <w:shd w:val="clear"/>
            <w:vAlign w:val="center"/>
          </w:tcPr>
          <w:p w14:paraId="15836CC4">
            <w:pPr>
              <w:keepNext w:val="0"/>
              <w:keepLines w:val="0"/>
              <w:widowControl/>
              <w:suppressLineNumbers w:val="0"/>
              <w:jc w:val="center"/>
              <w:rPr>
                <w:rFonts w:hint="default" w:ascii="Calibri" w:hAnsi="Calibri" w:cs="Calibri"/>
                <w:sz w:val="20"/>
                <w:szCs w:val="20"/>
              </w:rPr>
            </w:pPr>
            <w:r>
              <w:rPr>
                <w:rFonts w:hint="default" w:ascii="Calibri" w:hAnsi="Calibri" w:eastAsia="SimSun" w:cs="Calibri"/>
                <w:kern w:val="0"/>
                <w:sz w:val="20"/>
                <w:szCs w:val="20"/>
                <w:lang w:val="en-US" w:eastAsia="zh-CN" w:bidi="ar"/>
                <w14:ligatures w14:val="standardContextual"/>
              </w:rPr>
              <w:t>Developing</w:t>
            </w:r>
          </w:p>
        </w:tc>
      </w:tr>
    </w:tbl>
    <w:p w14:paraId="58242D16">
      <w:pPr>
        <w:numPr>
          <w:numId w:val="0"/>
        </w:numPr>
        <w:spacing w:after="40" w:line="240" w:lineRule="auto"/>
        <w:ind w:leftChars="0"/>
        <w:jc w:val="both"/>
        <w:rPr>
          <w:rFonts w:hint="default" w:ascii="Calibri" w:hAnsi="Calibri"/>
          <w:sz w:val="22"/>
          <w:szCs w:val="22"/>
        </w:rPr>
      </w:pPr>
      <w:r>
        <w:rPr>
          <w:rFonts w:hint="default" w:ascii="Calibri" w:hAnsi="Calibri"/>
          <w:sz w:val="22"/>
          <w:szCs w:val="22"/>
        </w:rPr>
        <w:t>Source: Adapted from Nix et al. (2015, 2020a). These numbers do not show actual findings from an audit of the BDAF but are secondary data illustrative mappings.</w:t>
      </w:r>
    </w:p>
    <w:p w14:paraId="3BD97383">
      <w:pPr>
        <w:numPr>
          <w:numId w:val="0"/>
        </w:numPr>
        <w:spacing w:after="40" w:line="240" w:lineRule="auto"/>
        <w:ind w:leftChars="0"/>
        <w:jc w:val="both"/>
        <w:rPr>
          <w:rFonts w:hint="default" w:ascii="Calibri" w:hAnsi="Calibri"/>
          <w:sz w:val="22"/>
          <w:szCs w:val="22"/>
        </w:rPr>
      </w:pPr>
      <w:r>
        <w:rPr>
          <w:rFonts w:hint="default" w:ascii="Calibri" w:hAnsi="Calibri"/>
          <w:sz w:val="22"/>
          <w:szCs w:val="22"/>
        </w:rPr>
        <w:t>This typological ordering reflects what is known from the evidence. The temporary and mixed material typologies reflect the worst performance with regard to daylight, ventilation, thermal stability, vegetation, and spatial differentiation. The permanent pucca typologies reflect improved performance because of improved construction, more amenities, and greater spatial differentiation.</w:t>
      </w:r>
    </w:p>
    <w:p w14:paraId="5C946DB6">
      <w:pPr>
        <w:numPr>
          <w:numId w:val="0"/>
        </w:numPr>
        <w:spacing w:after="40" w:line="240" w:lineRule="auto"/>
        <w:ind w:leftChars="0"/>
        <w:jc w:val="both"/>
        <w:rPr>
          <w:rFonts w:hint="default" w:ascii="Calibri" w:hAnsi="Calibri"/>
          <w:sz w:val="22"/>
          <w:szCs w:val="22"/>
        </w:rPr>
      </w:pPr>
      <w:r>
        <w:rPr>
          <w:rFonts w:hint="default" w:ascii="Calibri" w:hAnsi="Calibri"/>
          <w:sz w:val="22"/>
          <w:szCs w:val="22"/>
        </w:rPr>
        <w:t>A simple sensitivity analysis using equal category weights produces identical results, and therefore the ordering is not simply due to the 40:35:25 weighting system. However, the actual values will be tentative until after an actual audit of the indicators has been conducted.</w:t>
      </w:r>
    </w:p>
    <w:p w14:paraId="50564FD2">
      <w:pPr>
        <w:numPr>
          <w:numId w:val="0"/>
        </w:numPr>
        <w:spacing w:after="40" w:line="240" w:lineRule="auto"/>
        <w:ind w:leftChars="0"/>
        <w:jc w:val="both"/>
        <w:rPr>
          <w:rFonts w:hint="default" w:ascii="Calibri" w:hAnsi="Calibri" w:eastAsia="SimSun" w:cs="Calibri"/>
          <w:b/>
          <w:bCs/>
          <w:sz w:val="28"/>
          <w:szCs w:val="28"/>
          <w:lang w:val="en-US"/>
        </w:rPr>
      </w:pPr>
      <w:r>
        <w:rPr>
          <w:rFonts w:hint="default" w:ascii="Calibri" w:hAnsi="Calibri" w:eastAsia="SimSun" w:cs="Calibri"/>
          <w:b/>
          <w:bCs/>
          <w:sz w:val="28"/>
          <w:szCs w:val="28"/>
          <w:lang w:val="en-US"/>
        </w:rPr>
        <w:t>6.</w:t>
      </w:r>
      <w:r>
        <w:rPr>
          <w:rFonts w:hint="default" w:ascii="Calibri" w:hAnsi="Calibri" w:eastAsia="SimSun" w:cs="Calibri"/>
          <w:b/>
          <w:bCs/>
          <w:sz w:val="28"/>
          <w:szCs w:val="28"/>
        </w:rPr>
        <w:t>D</w:t>
      </w:r>
      <w:r>
        <w:rPr>
          <w:rFonts w:hint="default" w:ascii="Calibri" w:hAnsi="Calibri" w:eastAsia="SimSun" w:cs="Calibri"/>
          <w:b/>
          <w:bCs/>
          <w:sz w:val="28"/>
          <w:szCs w:val="28"/>
          <w:lang w:val="en-US"/>
        </w:rPr>
        <w:t>ISCUSSIONS AND LIMITATIONS</w:t>
      </w:r>
    </w:p>
    <w:p w14:paraId="63602D70">
      <w:pPr>
        <w:numPr>
          <w:numId w:val="0"/>
        </w:numPr>
        <w:spacing w:after="40" w:line="240" w:lineRule="auto"/>
        <w:ind w:leftChars="0"/>
        <w:jc w:val="both"/>
        <w:rPr>
          <w:rFonts w:hint="default" w:ascii="Calibri" w:hAnsi="Calibri" w:eastAsia="SimSun" w:cs="Calibri"/>
          <w:b/>
          <w:bCs/>
          <w:sz w:val="28"/>
          <w:szCs w:val="28"/>
        </w:rPr>
      </w:pPr>
      <w:r>
        <w:rPr>
          <w:rFonts w:hint="default" w:ascii="Calibri" w:hAnsi="Calibri" w:eastAsia="SimSun" w:cs="Calibri"/>
          <w:b/>
          <w:bCs/>
          <w:sz w:val="28"/>
          <w:szCs w:val="28"/>
        </w:rPr>
        <w:t>6.1 Contributions and relation to digital construction</w:t>
      </w:r>
    </w:p>
    <w:p w14:paraId="15174806">
      <w:pPr>
        <w:numPr>
          <w:numId w:val="0"/>
        </w:numPr>
        <w:spacing w:after="40" w:line="240" w:lineRule="auto"/>
        <w:ind w:leftChars="0"/>
        <w:jc w:val="both"/>
        <w:rPr>
          <w:rFonts w:hint="default" w:ascii="Calibri" w:hAnsi="Calibri"/>
          <w:sz w:val="22"/>
          <w:szCs w:val="22"/>
        </w:rPr>
      </w:pPr>
      <w:r>
        <w:rPr>
          <w:rFonts w:hint="default" w:ascii="Calibri" w:hAnsi="Calibri"/>
          <w:sz w:val="22"/>
          <w:szCs w:val="22"/>
        </w:rPr>
        <w:t>While the key benefit of BDAF is not a new biophilic design checklist, it offers a data pipeline that will allow the connection between biophilic assessment and digital construction data. The described process is related to IT in Construction. BIM will generate design-stage geometry and materials information; GIS can be used for neighborhood-level ecological information; IoT system provides environmental information at operational level. Using rules engine, one can convert these inputs into traceable indicator scores. Consequently, it allows designers and assessors to know what should be improved in the built environment.</w:t>
      </w:r>
    </w:p>
    <w:p w14:paraId="75FBBB38">
      <w:pPr>
        <w:numPr>
          <w:numId w:val="0"/>
        </w:numPr>
        <w:spacing w:after="40" w:line="240" w:lineRule="auto"/>
        <w:ind w:leftChars="0"/>
        <w:jc w:val="both"/>
        <w:rPr>
          <w:rFonts w:hint="default" w:ascii="Calibri" w:hAnsi="Calibri"/>
          <w:sz w:val="22"/>
          <w:szCs w:val="22"/>
        </w:rPr>
      </w:pPr>
      <w:r>
        <w:rPr>
          <w:rFonts w:hint="default" w:ascii="Calibri" w:hAnsi="Calibri"/>
          <w:sz w:val="22"/>
          <w:szCs w:val="22"/>
        </w:rPr>
        <w:t>The tool is intentionally semi-automatic. Fully automated scoring is needed when assessing the measurable environmental factors like lighting, temperature, air quality, and vegetation distance. Human decision-making is necessary to determine cultural suitability, sensual experience, vernacular integration, and perceived refuge.</w:t>
      </w:r>
    </w:p>
    <w:p w14:paraId="4948F664">
      <w:pPr>
        <w:numPr>
          <w:numId w:val="0"/>
        </w:numPr>
        <w:spacing w:after="40" w:line="240" w:lineRule="auto"/>
        <w:ind w:leftChars="0"/>
        <w:jc w:val="both"/>
        <w:rPr>
          <w:rFonts w:hint="default" w:ascii="Calibri" w:hAnsi="Calibri" w:eastAsia="SimSun" w:cs="Calibri"/>
          <w:b/>
          <w:bCs/>
          <w:sz w:val="28"/>
          <w:szCs w:val="28"/>
        </w:rPr>
      </w:pPr>
      <w:r>
        <w:rPr>
          <w:rFonts w:hint="default" w:ascii="Calibri" w:hAnsi="Calibri" w:eastAsia="SimSun" w:cs="Calibri"/>
          <w:b/>
          <w:bCs/>
          <w:sz w:val="28"/>
          <w:szCs w:val="28"/>
        </w:rPr>
        <w:t>6.2 Comparison with existing tools</w:t>
      </w:r>
    </w:p>
    <w:p w14:paraId="20017264">
      <w:pPr>
        <w:numPr>
          <w:numId w:val="0"/>
        </w:numPr>
        <w:spacing w:after="40" w:line="240" w:lineRule="auto"/>
        <w:ind w:leftChars="0"/>
        <w:jc w:val="center"/>
        <w:rPr>
          <w:rFonts w:hint="default" w:ascii="Calibri" w:hAnsi="Calibri" w:eastAsia="SimSun" w:cs="Calibri"/>
          <w:b/>
          <w:bCs/>
          <w:i/>
          <w:iCs/>
          <w:sz w:val="22"/>
          <w:szCs w:val="22"/>
        </w:rPr>
      </w:pPr>
      <w:r>
        <w:rPr>
          <w:rFonts w:hint="default" w:ascii="Calibri" w:hAnsi="Calibri" w:eastAsia="SimSun" w:cs="Calibri"/>
          <w:b/>
          <w:bCs/>
          <w:i/>
          <w:iCs/>
          <w:sz w:val="22"/>
          <w:szCs w:val="22"/>
        </w:rPr>
        <w:t>Table 5. Comparison of BDAF with existing rating tools</w:t>
      </w:r>
    </w:p>
    <w:tbl>
      <w:tblPr>
        <w:tblW w:w="0" w:type="auto"/>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3306"/>
        <w:gridCol w:w="1810"/>
        <w:gridCol w:w="760"/>
        <w:gridCol w:w="780"/>
        <w:gridCol w:w="1375"/>
      </w:tblGrid>
      <w:tr w14:paraId="230FC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3261" w:type="dxa"/>
            <w:shd w:val="clear"/>
            <w:vAlign w:val="center"/>
          </w:tcPr>
          <w:p w14:paraId="342AB9A5">
            <w:pPr>
              <w:keepNext w:val="0"/>
              <w:keepLines w:val="0"/>
              <w:widowControl/>
              <w:suppressLineNumbers w:val="0"/>
              <w:jc w:val="left"/>
              <w:rPr>
                <w:rFonts w:hint="default" w:ascii="Calibri" w:hAnsi="Calibri" w:cs="Calibri"/>
                <w:b/>
                <w:bCs/>
                <w:sz w:val="22"/>
                <w:szCs w:val="22"/>
              </w:rPr>
            </w:pPr>
            <w:r>
              <w:rPr>
                <w:rFonts w:hint="default" w:ascii="Calibri" w:hAnsi="Calibri" w:eastAsia="SimSun" w:cs="Calibri"/>
                <w:b/>
                <w:bCs/>
                <w:kern w:val="0"/>
                <w:sz w:val="22"/>
                <w:szCs w:val="22"/>
                <w:lang w:val="en-US" w:eastAsia="zh-CN" w:bidi="ar"/>
                <w14:ligatures w14:val="standardContextual"/>
              </w:rPr>
              <w:t>Feature</w:t>
            </w:r>
          </w:p>
        </w:tc>
        <w:tc>
          <w:tcPr>
            <w:tcW w:w="1780" w:type="dxa"/>
            <w:shd w:val="clear"/>
            <w:vAlign w:val="center"/>
          </w:tcPr>
          <w:p w14:paraId="0E426BAD">
            <w:pPr>
              <w:keepNext w:val="0"/>
              <w:keepLines w:val="0"/>
              <w:widowControl/>
              <w:suppressLineNumbers w:val="0"/>
              <w:jc w:val="left"/>
              <w:rPr>
                <w:rFonts w:hint="default" w:ascii="Calibri" w:hAnsi="Calibri" w:cs="Calibri"/>
                <w:b/>
                <w:bCs/>
                <w:sz w:val="22"/>
                <w:szCs w:val="22"/>
              </w:rPr>
            </w:pPr>
            <w:r>
              <w:rPr>
                <w:rFonts w:hint="default" w:ascii="Calibri" w:hAnsi="Calibri" w:eastAsia="SimSun" w:cs="Calibri"/>
                <w:b/>
                <w:bCs/>
                <w:kern w:val="0"/>
                <w:sz w:val="22"/>
                <w:szCs w:val="22"/>
                <w:lang w:val="en-US" w:eastAsia="zh-CN" w:bidi="ar"/>
                <w14:ligatures w14:val="standardContextual"/>
              </w:rPr>
              <w:t>BDAF</w:t>
            </w:r>
          </w:p>
        </w:tc>
        <w:tc>
          <w:tcPr>
            <w:tcW w:w="730" w:type="dxa"/>
            <w:shd w:val="clear"/>
            <w:vAlign w:val="center"/>
          </w:tcPr>
          <w:p w14:paraId="510B94EF">
            <w:pPr>
              <w:keepNext w:val="0"/>
              <w:keepLines w:val="0"/>
              <w:widowControl/>
              <w:suppressLineNumbers w:val="0"/>
              <w:jc w:val="left"/>
              <w:rPr>
                <w:rFonts w:hint="default" w:ascii="Calibri" w:hAnsi="Calibri" w:cs="Calibri"/>
                <w:b/>
                <w:bCs/>
                <w:sz w:val="22"/>
                <w:szCs w:val="22"/>
              </w:rPr>
            </w:pPr>
            <w:r>
              <w:rPr>
                <w:rFonts w:hint="default" w:ascii="Calibri" w:hAnsi="Calibri" w:eastAsia="SimSun" w:cs="Calibri"/>
                <w:b/>
                <w:bCs/>
                <w:kern w:val="0"/>
                <w:sz w:val="22"/>
                <w:szCs w:val="22"/>
                <w:lang w:val="en-US" w:eastAsia="zh-CN" w:bidi="ar"/>
                <w14:ligatures w14:val="standardContextual"/>
              </w:rPr>
              <w:t>LEED v4.1</w:t>
            </w:r>
          </w:p>
        </w:tc>
        <w:tc>
          <w:tcPr>
            <w:tcW w:w="750" w:type="dxa"/>
            <w:shd w:val="clear"/>
            <w:vAlign w:val="center"/>
          </w:tcPr>
          <w:p w14:paraId="5DF19833">
            <w:pPr>
              <w:keepNext w:val="0"/>
              <w:keepLines w:val="0"/>
              <w:widowControl/>
              <w:suppressLineNumbers w:val="0"/>
              <w:jc w:val="left"/>
              <w:rPr>
                <w:rFonts w:hint="default" w:ascii="Calibri" w:hAnsi="Calibri" w:cs="Calibri"/>
                <w:b/>
                <w:bCs/>
                <w:sz w:val="22"/>
                <w:szCs w:val="22"/>
              </w:rPr>
            </w:pPr>
            <w:r>
              <w:rPr>
                <w:rFonts w:hint="default" w:ascii="Calibri" w:hAnsi="Calibri" w:eastAsia="SimSun" w:cs="Calibri"/>
                <w:b/>
                <w:bCs/>
                <w:kern w:val="0"/>
                <w:sz w:val="22"/>
                <w:szCs w:val="22"/>
                <w:lang w:val="en-US" w:eastAsia="zh-CN" w:bidi="ar"/>
                <w14:ligatures w14:val="standardContextual"/>
              </w:rPr>
              <w:t>WELL v2</w:t>
            </w:r>
          </w:p>
        </w:tc>
        <w:tc>
          <w:tcPr>
            <w:tcW w:w="1330" w:type="dxa"/>
            <w:shd w:val="clear"/>
            <w:vAlign w:val="center"/>
          </w:tcPr>
          <w:p w14:paraId="311A849B">
            <w:pPr>
              <w:keepNext w:val="0"/>
              <w:keepLines w:val="0"/>
              <w:widowControl/>
              <w:suppressLineNumbers w:val="0"/>
              <w:jc w:val="left"/>
              <w:rPr>
                <w:rFonts w:hint="default" w:ascii="Calibri" w:hAnsi="Calibri" w:cs="Calibri"/>
                <w:b/>
                <w:bCs/>
                <w:sz w:val="22"/>
                <w:szCs w:val="22"/>
              </w:rPr>
            </w:pPr>
            <w:r>
              <w:rPr>
                <w:rFonts w:hint="default" w:ascii="Calibri" w:hAnsi="Calibri" w:eastAsia="SimSun" w:cs="Calibri"/>
                <w:b/>
                <w:bCs/>
                <w:kern w:val="0"/>
                <w:sz w:val="22"/>
                <w:szCs w:val="22"/>
                <w:lang w:val="en-US" w:eastAsia="zh-CN" w:bidi="ar"/>
                <w14:ligatures w14:val="standardContextual"/>
              </w:rPr>
              <w:t>BREEAM-NL</w:t>
            </w:r>
          </w:p>
        </w:tc>
      </w:tr>
      <w:tr w14:paraId="6FF91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3261" w:type="dxa"/>
            <w:shd w:val="clear"/>
            <w:vAlign w:val="center"/>
          </w:tcPr>
          <w:p w14:paraId="0CE67BDB">
            <w:pPr>
              <w:keepNext w:val="0"/>
              <w:keepLines w:val="0"/>
              <w:widowControl/>
              <w:suppressLineNumbers w:val="0"/>
              <w:jc w:val="left"/>
              <w:rPr>
                <w:rFonts w:hint="default" w:ascii="Calibri" w:hAnsi="Calibri" w:cs="Calibri"/>
                <w:b/>
                <w:bCs/>
                <w:sz w:val="22"/>
                <w:szCs w:val="22"/>
              </w:rPr>
            </w:pPr>
            <w:r>
              <w:rPr>
                <w:rFonts w:hint="default" w:ascii="Calibri" w:hAnsi="Calibri" w:eastAsia="SimSun" w:cs="Calibri"/>
                <w:b/>
                <w:bCs/>
                <w:kern w:val="0"/>
                <w:sz w:val="22"/>
                <w:szCs w:val="22"/>
                <w:lang w:val="en-US" w:eastAsia="zh-CN" w:bidi="ar"/>
                <w14:ligatures w14:val="standardContextual"/>
              </w:rPr>
              <w:t>Dedicated biophilic module</w:t>
            </w:r>
          </w:p>
        </w:tc>
        <w:tc>
          <w:tcPr>
            <w:tcW w:w="1780" w:type="dxa"/>
            <w:shd w:val="clear"/>
            <w:vAlign w:val="center"/>
          </w:tcPr>
          <w:p w14:paraId="17DD88D6">
            <w:pPr>
              <w:keepNext w:val="0"/>
              <w:keepLines w:val="0"/>
              <w:widowControl/>
              <w:suppressLineNumbers w:val="0"/>
              <w:jc w:val="left"/>
              <w:rPr>
                <w:rFonts w:hint="default" w:ascii="Calibri" w:hAnsi="Calibri" w:cs="Calibri"/>
                <w:sz w:val="22"/>
                <w:szCs w:val="22"/>
              </w:rPr>
            </w:pPr>
            <w:r>
              <w:rPr>
                <w:rFonts w:hint="default" w:ascii="Calibri" w:hAnsi="Calibri" w:eastAsia="SimSun" w:cs="Calibri"/>
                <w:kern w:val="0"/>
                <w:sz w:val="22"/>
                <w:szCs w:val="22"/>
                <w:lang w:val="en-US" w:eastAsia="zh-CN" w:bidi="ar"/>
                <w14:ligatures w14:val="standardContextual"/>
              </w:rPr>
              <w:t>Yes (16 indicators)</w:t>
            </w:r>
          </w:p>
        </w:tc>
        <w:tc>
          <w:tcPr>
            <w:tcW w:w="730" w:type="dxa"/>
            <w:shd w:val="clear"/>
            <w:vAlign w:val="center"/>
          </w:tcPr>
          <w:p w14:paraId="46070925">
            <w:pPr>
              <w:keepNext w:val="0"/>
              <w:keepLines w:val="0"/>
              <w:widowControl/>
              <w:suppressLineNumbers w:val="0"/>
              <w:jc w:val="left"/>
              <w:rPr>
                <w:rFonts w:hint="default" w:ascii="Calibri" w:hAnsi="Calibri" w:cs="Calibri"/>
                <w:sz w:val="22"/>
                <w:szCs w:val="22"/>
              </w:rPr>
            </w:pPr>
            <w:r>
              <w:rPr>
                <w:rFonts w:hint="default" w:ascii="Calibri" w:hAnsi="Calibri" w:eastAsia="SimSun" w:cs="Calibri"/>
                <w:kern w:val="0"/>
                <w:sz w:val="22"/>
                <w:szCs w:val="22"/>
                <w:lang w:val="en-US" w:eastAsia="zh-CN" w:bidi="ar"/>
                <w14:ligatures w14:val="standardContextual"/>
              </w:rPr>
              <w:t>Partial</w:t>
            </w:r>
          </w:p>
        </w:tc>
        <w:tc>
          <w:tcPr>
            <w:tcW w:w="750" w:type="dxa"/>
            <w:shd w:val="clear"/>
            <w:vAlign w:val="center"/>
          </w:tcPr>
          <w:p w14:paraId="7B7EDAF1">
            <w:pPr>
              <w:keepNext w:val="0"/>
              <w:keepLines w:val="0"/>
              <w:widowControl/>
              <w:suppressLineNumbers w:val="0"/>
              <w:jc w:val="left"/>
              <w:rPr>
                <w:rFonts w:hint="default" w:ascii="Calibri" w:hAnsi="Calibri" w:cs="Calibri"/>
                <w:sz w:val="22"/>
                <w:szCs w:val="22"/>
              </w:rPr>
            </w:pPr>
            <w:r>
              <w:rPr>
                <w:rFonts w:hint="default" w:ascii="Calibri" w:hAnsi="Calibri" w:eastAsia="SimSun" w:cs="Calibri"/>
                <w:kern w:val="0"/>
                <w:sz w:val="22"/>
                <w:szCs w:val="22"/>
                <w:lang w:val="en-US" w:eastAsia="zh-CN" w:bidi="ar"/>
                <w14:ligatures w14:val="standardContextual"/>
              </w:rPr>
              <w:t>Partial</w:t>
            </w:r>
          </w:p>
        </w:tc>
        <w:tc>
          <w:tcPr>
            <w:tcW w:w="1330" w:type="dxa"/>
            <w:shd w:val="clear"/>
            <w:vAlign w:val="center"/>
          </w:tcPr>
          <w:p w14:paraId="09400200">
            <w:pPr>
              <w:keepNext w:val="0"/>
              <w:keepLines w:val="0"/>
              <w:widowControl/>
              <w:suppressLineNumbers w:val="0"/>
              <w:jc w:val="left"/>
              <w:rPr>
                <w:rFonts w:hint="default" w:ascii="Calibri" w:hAnsi="Calibri" w:cs="Calibri"/>
                <w:sz w:val="22"/>
                <w:szCs w:val="22"/>
              </w:rPr>
            </w:pPr>
            <w:r>
              <w:rPr>
                <w:rFonts w:hint="default" w:ascii="Calibri" w:hAnsi="Calibri" w:eastAsia="SimSun" w:cs="Calibri"/>
                <w:kern w:val="0"/>
                <w:sz w:val="22"/>
                <w:szCs w:val="22"/>
                <w:lang w:val="en-US" w:eastAsia="zh-CN" w:bidi="ar"/>
                <w14:ligatures w14:val="standardContextual"/>
              </w:rPr>
              <w:t>Partial (single credit)</w:t>
            </w:r>
          </w:p>
        </w:tc>
      </w:tr>
      <w:tr w14:paraId="5DFEA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3261" w:type="dxa"/>
            <w:shd w:val="clear"/>
            <w:vAlign w:val="center"/>
          </w:tcPr>
          <w:p w14:paraId="4D2251AC">
            <w:pPr>
              <w:keepNext w:val="0"/>
              <w:keepLines w:val="0"/>
              <w:widowControl/>
              <w:suppressLineNumbers w:val="0"/>
              <w:jc w:val="left"/>
              <w:rPr>
                <w:rFonts w:hint="default" w:ascii="Calibri" w:hAnsi="Calibri" w:cs="Calibri"/>
                <w:b/>
                <w:bCs/>
                <w:sz w:val="22"/>
                <w:szCs w:val="22"/>
              </w:rPr>
            </w:pPr>
            <w:r>
              <w:rPr>
                <w:rFonts w:hint="default" w:ascii="Calibri" w:hAnsi="Calibri" w:eastAsia="SimSun" w:cs="Calibri"/>
                <w:b/>
                <w:bCs/>
                <w:kern w:val="0"/>
                <w:sz w:val="22"/>
                <w:szCs w:val="22"/>
                <w:lang w:val="en-US" w:eastAsia="zh-CN" w:bidi="ar"/>
                <w14:ligatures w14:val="standardContextual"/>
              </w:rPr>
              <w:t>Housing specific</w:t>
            </w:r>
          </w:p>
        </w:tc>
        <w:tc>
          <w:tcPr>
            <w:tcW w:w="1780" w:type="dxa"/>
            <w:shd w:val="clear"/>
            <w:vAlign w:val="center"/>
          </w:tcPr>
          <w:p w14:paraId="150375D6">
            <w:pPr>
              <w:keepNext w:val="0"/>
              <w:keepLines w:val="0"/>
              <w:widowControl/>
              <w:suppressLineNumbers w:val="0"/>
              <w:jc w:val="left"/>
              <w:rPr>
                <w:rFonts w:hint="default" w:ascii="Calibri" w:hAnsi="Calibri" w:cs="Calibri"/>
                <w:sz w:val="22"/>
                <w:szCs w:val="22"/>
              </w:rPr>
            </w:pPr>
            <w:r>
              <w:rPr>
                <w:rFonts w:hint="default" w:ascii="Calibri" w:hAnsi="Calibri" w:eastAsia="SimSun" w:cs="Calibri"/>
                <w:kern w:val="0"/>
                <w:sz w:val="22"/>
                <w:szCs w:val="22"/>
                <w:lang w:val="en-US" w:eastAsia="zh-CN" w:bidi="ar"/>
                <w14:ligatures w14:val="standardContextual"/>
              </w:rPr>
              <w:t>Yes</w:t>
            </w:r>
          </w:p>
        </w:tc>
        <w:tc>
          <w:tcPr>
            <w:tcW w:w="730" w:type="dxa"/>
            <w:shd w:val="clear"/>
            <w:vAlign w:val="center"/>
          </w:tcPr>
          <w:p w14:paraId="7DA5DFFA">
            <w:pPr>
              <w:keepNext w:val="0"/>
              <w:keepLines w:val="0"/>
              <w:widowControl/>
              <w:suppressLineNumbers w:val="0"/>
              <w:jc w:val="left"/>
              <w:rPr>
                <w:rFonts w:hint="default" w:ascii="Calibri" w:hAnsi="Calibri" w:cs="Calibri"/>
                <w:sz w:val="22"/>
                <w:szCs w:val="22"/>
              </w:rPr>
            </w:pPr>
            <w:r>
              <w:rPr>
                <w:rFonts w:hint="default" w:ascii="Calibri" w:hAnsi="Calibri" w:eastAsia="SimSun" w:cs="Calibri"/>
                <w:kern w:val="0"/>
                <w:sz w:val="22"/>
                <w:szCs w:val="22"/>
                <w:lang w:val="en-US" w:eastAsia="zh-CN" w:bidi="ar"/>
                <w14:ligatures w14:val="standardContextual"/>
              </w:rPr>
              <w:t>Limited</w:t>
            </w:r>
          </w:p>
        </w:tc>
        <w:tc>
          <w:tcPr>
            <w:tcW w:w="750" w:type="dxa"/>
            <w:shd w:val="clear"/>
            <w:vAlign w:val="center"/>
          </w:tcPr>
          <w:p w14:paraId="6013C344">
            <w:pPr>
              <w:keepNext w:val="0"/>
              <w:keepLines w:val="0"/>
              <w:widowControl/>
              <w:suppressLineNumbers w:val="0"/>
              <w:jc w:val="left"/>
              <w:rPr>
                <w:rFonts w:hint="default" w:ascii="Calibri" w:hAnsi="Calibri" w:cs="Calibri"/>
                <w:sz w:val="22"/>
                <w:szCs w:val="22"/>
              </w:rPr>
            </w:pPr>
            <w:r>
              <w:rPr>
                <w:rFonts w:hint="default" w:ascii="Calibri" w:hAnsi="Calibri" w:eastAsia="SimSun" w:cs="Calibri"/>
                <w:kern w:val="0"/>
                <w:sz w:val="22"/>
                <w:szCs w:val="22"/>
                <w:lang w:val="en-US" w:eastAsia="zh-CN" w:bidi="ar"/>
                <w14:ligatures w14:val="standardContextual"/>
              </w:rPr>
              <w:t>No</w:t>
            </w:r>
          </w:p>
        </w:tc>
        <w:tc>
          <w:tcPr>
            <w:tcW w:w="1330" w:type="dxa"/>
            <w:shd w:val="clear"/>
            <w:vAlign w:val="center"/>
          </w:tcPr>
          <w:p w14:paraId="77888F7A">
            <w:pPr>
              <w:keepNext w:val="0"/>
              <w:keepLines w:val="0"/>
              <w:widowControl/>
              <w:suppressLineNumbers w:val="0"/>
              <w:jc w:val="left"/>
              <w:rPr>
                <w:rFonts w:hint="default" w:ascii="Calibri" w:hAnsi="Calibri" w:cs="Calibri"/>
                <w:sz w:val="22"/>
                <w:szCs w:val="22"/>
              </w:rPr>
            </w:pPr>
            <w:r>
              <w:rPr>
                <w:rFonts w:hint="default" w:ascii="Calibri" w:hAnsi="Calibri" w:eastAsia="SimSun" w:cs="Calibri"/>
                <w:kern w:val="0"/>
                <w:sz w:val="22"/>
                <w:szCs w:val="22"/>
                <w:lang w:val="en-US" w:eastAsia="zh-CN" w:bidi="ar"/>
                <w14:ligatures w14:val="standardContextual"/>
              </w:rPr>
              <w:t>Limited</w:t>
            </w:r>
          </w:p>
        </w:tc>
      </w:tr>
      <w:tr w14:paraId="612A2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3261" w:type="dxa"/>
            <w:shd w:val="clear"/>
            <w:vAlign w:val="center"/>
          </w:tcPr>
          <w:p w14:paraId="4492123B">
            <w:pPr>
              <w:keepNext w:val="0"/>
              <w:keepLines w:val="0"/>
              <w:widowControl/>
              <w:suppressLineNumbers w:val="0"/>
              <w:jc w:val="left"/>
              <w:rPr>
                <w:rFonts w:hint="default" w:ascii="Calibri" w:hAnsi="Calibri" w:cs="Calibri"/>
                <w:b/>
                <w:bCs/>
                <w:sz w:val="22"/>
                <w:szCs w:val="22"/>
              </w:rPr>
            </w:pPr>
            <w:r>
              <w:rPr>
                <w:rFonts w:hint="default" w:ascii="Calibri" w:hAnsi="Calibri" w:eastAsia="SimSun" w:cs="Calibri"/>
                <w:b/>
                <w:bCs/>
                <w:kern w:val="0"/>
                <w:sz w:val="22"/>
                <w:szCs w:val="22"/>
                <w:lang w:val="en-US" w:eastAsia="zh-CN" w:bidi="ar"/>
                <w14:ligatures w14:val="standardContextual"/>
              </w:rPr>
              <w:t>Context-specific weighting</w:t>
            </w:r>
          </w:p>
        </w:tc>
        <w:tc>
          <w:tcPr>
            <w:tcW w:w="1780" w:type="dxa"/>
            <w:shd w:val="clear"/>
            <w:vAlign w:val="center"/>
          </w:tcPr>
          <w:p w14:paraId="7248C13A">
            <w:pPr>
              <w:keepNext w:val="0"/>
              <w:keepLines w:val="0"/>
              <w:widowControl/>
              <w:suppressLineNumbers w:val="0"/>
              <w:jc w:val="left"/>
              <w:rPr>
                <w:rFonts w:hint="default" w:ascii="Calibri" w:hAnsi="Calibri" w:cs="Calibri"/>
                <w:sz w:val="22"/>
                <w:szCs w:val="22"/>
              </w:rPr>
            </w:pPr>
            <w:r>
              <w:rPr>
                <w:rFonts w:hint="default" w:ascii="Calibri" w:hAnsi="Calibri" w:eastAsia="SimSun" w:cs="Calibri"/>
                <w:kern w:val="0"/>
                <w:sz w:val="22"/>
                <w:szCs w:val="22"/>
                <w:lang w:val="en-US" w:eastAsia="zh-CN" w:bidi="ar"/>
                <w14:ligatures w14:val="standardContextual"/>
              </w:rPr>
              <w:t>Yes (provisional)</w:t>
            </w:r>
          </w:p>
        </w:tc>
        <w:tc>
          <w:tcPr>
            <w:tcW w:w="730" w:type="dxa"/>
            <w:shd w:val="clear"/>
            <w:vAlign w:val="center"/>
          </w:tcPr>
          <w:p w14:paraId="3ABF319D">
            <w:pPr>
              <w:keepNext w:val="0"/>
              <w:keepLines w:val="0"/>
              <w:widowControl/>
              <w:suppressLineNumbers w:val="0"/>
              <w:jc w:val="left"/>
              <w:rPr>
                <w:rFonts w:hint="default" w:ascii="Calibri" w:hAnsi="Calibri" w:cs="Calibri"/>
                <w:sz w:val="22"/>
                <w:szCs w:val="22"/>
              </w:rPr>
            </w:pPr>
            <w:r>
              <w:rPr>
                <w:rFonts w:hint="default" w:ascii="Calibri" w:hAnsi="Calibri" w:eastAsia="SimSun" w:cs="Calibri"/>
                <w:kern w:val="0"/>
                <w:sz w:val="22"/>
                <w:szCs w:val="22"/>
                <w:lang w:val="en-US" w:eastAsia="zh-CN" w:bidi="ar"/>
                <w14:ligatures w14:val="standardContextual"/>
              </w:rPr>
              <w:t>No</w:t>
            </w:r>
          </w:p>
        </w:tc>
        <w:tc>
          <w:tcPr>
            <w:tcW w:w="750" w:type="dxa"/>
            <w:shd w:val="clear"/>
            <w:vAlign w:val="center"/>
          </w:tcPr>
          <w:p w14:paraId="38526FAC">
            <w:pPr>
              <w:keepNext w:val="0"/>
              <w:keepLines w:val="0"/>
              <w:widowControl/>
              <w:suppressLineNumbers w:val="0"/>
              <w:jc w:val="left"/>
              <w:rPr>
                <w:rFonts w:hint="default" w:ascii="Calibri" w:hAnsi="Calibri" w:cs="Calibri"/>
                <w:sz w:val="22"/>
                <w:szCs w:val="22"/>
              </w:rPr>
            </w:pPr>
            <w:r>
              <w:rPr>
                <w:rFonts w:hint="default" w:ascii="Calibri" w:hAnsi="Calibri" w:eastAsia="SimSun" w:cs="Calibri"/>
                <w:kern w:val="0"/>
                <w:sz w:val="22"/>
                <w:szCs w:val="22"/>
                <w:lang w:val="en-US" w:eastAsia="zh-CN" w:bidi="ar"/>
                <w14:ligatures w14:val="standardContextual"/>
              </w:rPr>
              <w:t>No</w:t>
            </w:r>
          </w:p>
        </w:tc>
        <w:tc>
          <w:tcPr>
            <w:tcW w:w="1330" w:type="dxa"/>
            <w:shd w:val="clear"/>
            <w:vAlign w:val="center"/>
          </w:tcPr>
          <w:p w14:paraId="4F5C12CB">
            <w:pPr>
              <w:keepNext w:val="0"/>
              <w:keepLines w:val="0"/>
              <w:widowControl/>
              <w:suppressLineNumbers w:val="0"/>
              <w:jc w:val="left"/>
              <w:rPr>
                <w:rFonts w:hint="default" w:ascii="Calibri" w:hAnsi="Calibri" w:cs="Calibri"/>
                <w:sz w:val="22"/>
                <w:szCs w:val="22"/>
              </w:rPr>
            </w:pPr>
            <w:r>
              <w:rPr>
                <w:rFonts w:hint="default" w:ascii="Calibri" w:hAnsi="Calibri" w:eastAsia="SimSun" w:cs="Calibri"/>
                <w:kern w:val="0"/>
                <w:sz w:val="22"/>
                <w:szCs w:val="22"/>
                <w:lang w:val="en-US" w:eastAsia="zh-CN" w:bidi="ar"/>
                <w14:ligatures w14:val="standardContextual"/>
              </w:rPr>
              <w:t>No</w:t>
            </w:r>
          </w:p>
        </w:tc>
      </w:tr>
      <w:tr w14:paraId="4B607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3261" w:type="dxa"/>
            <w:shd w:val="clear"/>
            <w:vAlign w:val="center"/>
          </w:tcPr>
          <w:p w14:paraId="2CB0BB63">
            <w:pPr>
              <w:keepNext w:val="0"/>
              <w:keepLines w:val="0"/>
              <w:widowControl/>
              <w:suppressLineNumbers w:val="0"/>
              <w:jc w:val="left"/>
              <w:rPr>
                <w:rFonts w:hint="default" w:ascii="Calibri" w:hAnsi="Calibri" w:cs="Calibri"/>
                <w:b/>
                <w:bCs/>
                <w:sz w:val="22"/>
                <w:szCs w:val="22"/>
              </w:rPr>
            </w:pPr>
            <w:r>
              <w:rPr>
                <w:rFonts w:hint="default" w:ascii="Calibri" w:hAnsi="Calibri" w:eastAsia="SimSun" w:cs="Calibri"/>
                <w:b/>
                <w:bCs/>
                <w:kern w:val="0"/>
                <w:sz w:val="22"/>
                <w:szCs w:val="22"/>
                <w:lang w:val="en-US" w:eastAsia="zh-CN" w:bidi="ar"/>
                <w14:ligatures w14:val="standardContextual"/>
              </w:rPr>
              <w:t>Digital data integration</w:t>
            </w:r>
          </w:p>
        </w:tc>
        <w:tc>
          <w:tcPr>
            <w:tcW w:w="1780" w:type="dxa"/>
            <w:shd w:val="clear"/>
            <w:vAlign w:val="center"/>
          </w:tcPr>
          <w:p w14:paraId="625E7222">
            <w:pPr>
              <w:keepNext w:val="0"/>
              <w:keepLines w:val="0"/>
              <w:widowControl/>
              <w:suppressLineNumbers w:val="0"/>
              <w:jc w:val="left"/>
              <w:rPr>
                <w:rFonts w:hint="default" w:ascii="Calibri" w:hAnsi="Calibri" w:cs="Calibri"/>
                <w:sz w:val="22"/>
                <w:szCs w:val="22"/>
              </w:rPr>
            </w:pPr>
            <w:r>
              <w:rPr>
                <w:rFonts w:hint="default" w:ascii="Calibri" w:hAnsi="Calibri" w:eastAsia="SimSun" w:cs="Calibri"/>
                <w:kern w:val="0"/>
                <w:sz w:val="22"/>
                <w:szCs w:val="22"/>
                <w:lang w:val="en-US" w:eastAsia="zh-CN" w:bidi="ar"/>
                <w14:ligatures w14:val="standardContextual"/>
              </w:rPr>
              <w:t>Semi-automated</w:t>
            </w:r>
          </w:p>
        </w:tc>
        <w:tc>
          <w:tcPr>
            <w:tcW w:w="730" w:type="dxa"/>
            <w:shd w:val="clear"/>
            <w:vAlign w:val="center"/>
          </w:tcPr>
          <w:p w14:paraId="091A774A">
            <w:pPr>
              <w:keepNext w:val="0"/>
              <w:keepLines w:val="0"/>
              <w:widowControl/>
              <w:suppressLineNumbers w:val="0"/>
              <w:jc w:val="left"/>
              <w:rPr>
                <w:rFonts w:hint="default" w:ascii="Calibri" w:hAnsi="Calibri" w:cs="Calibri"/>
                <w:sz w:val="22"/>
                <w:szCs w:val="22"/>
              </w:rPr>
            </w:pPr>
            <w:r>
              <w:rPr>
                <w:rFonts w:hint="default" w:ascii="Calibri" w:hAnsi="Calibri" w:eastAsia="SimSun" w:cs="Calibri"/>
                <w:kern w:val="0"/>
                <w:sz w:val="22"/>
                <w:szCs w:val="22"/>
                <w:lang w:val="en-US" w:eastAsia="zh-CN" w:bidi="ar"/>
                <w14:ligatures w14:val="standardContextual"/>
              </w:rPr>
              <w:t>Partial</w:t>
            </w:r>
          </w:p>
        </w:tc>
        <w:tc>
          <w:tcPr>
            <w:tcW w:w="750" w:type="dxa"/>
            <w:shd w:val="clear"/>
            <w:vAlign w:val="center"/>
          </w:tcPr>
          <w:p w14:paraId="711F47BF">
            <w:pPr>
              <w:keepNext w:val="0"/>
              <w:keepLines w:val="0"/>
              <w:widowControl/>
              <w:suppressLineNumbers w:val="0"/>
              <w:jc w:val="left"/>
              <w:rPr>
                <w:rFonts w:hint="default" w:ascii="Calibri" w:hAnsi="Calibri" w:cs="Calibri"/>
                <w:sz w:val="22"/>
                <w:szCs w:val="22"/>
              </w:rPr>
            </w:pPr>
            <w:r>
              <w:rPr>
                <w:rFonts w:hint="default" w:ascii="Calibri" w:hAnsi="Calibri" w:eastAsia="SimSun" w:cs="Calibri"/>
                <w:kern w:val="0"/>
                <w:sz w:val="22"/>
                <w:szCs w:val="22"/>
                <w:lang w:val="en-US" w:eastAsia="zh-CN" w:bidi="ar"/>
                <w14:ligatures w14:val="standardContextual"/>
              </w:rPr>
              <w:t>Partial</w:t>
            </w:r>
          </w:p>
        </w:tc>
        <w:tc>
          <w:tcPr>
            <w:tcW w:w="1330" w:type="dxa"/>
            <w:shd w:val="clear"/>
            <w:vAlign w:val="center"/>
          </w:tcPr>
          <w:p w14:paraId="218568C4">
            <w:pPr>
              <w:keepNext w:val="0"/>
              <w:keepLines w:val="0"/>
              <w:widowControl/>
              <w:suppressLineNumbers w:val="0"/>
              <w:jc w:val="left"/>
              <w:rPr>
                <w:rFonts w:hint="default" w:ascii="Calibri" w:hAnsi="Calibri" w:cs="Calibri"/>
                <w:sz w:val="22"/>
                <w:szCs w:val="22"/>
              </w:rPr>
            </w:pPr>
            <w:r>
              <w:rPr>
                <w:rFonts w:hint="default" w:ascii="Calibri" w:hAnsi="Calibri" w:eastAsia="SimSun" w:cs="Calibri"/>
                <w:kern w:val="0"/>
                <w:sz w:val="22"/>
                <w:szCs w:val="22"/>
                <w:lang w:val="en-US" w:eastAsia="zh-CN" w:bidi="ar"/>
                <w14:ligatures w14:val="standardContextual"/>
              </w:rPr>
              <w:t>Partial</w:t>
            </w:r>
          </w:p>
        </w:tc>
      </w:tr>
      <w:tr w14:paraId="4F41A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jc w:val="center"/>
        </w:trPr>
        <w:tc>
          <w:tcPr>
            <w:tcW w:w="3261" w:type="dxa"/>
            <w:shd w:val="clear"/>
            <w:vAlign w:val="center"/>
          </w:tcPr>
          <w:p w14:paraId="608D2237">
            <w:pPr>
              <w:keepNext w:val="0"/>
              <w:keepLines w:val="0"/>
              <w:widowControl/>
              <w:suppressLineNumbers w:val="0"/>
              <w:jc w:val="left"/>
              <w:rPr>
                <w:rFonts w:hint="default" w:ascii="Calibri" w:hAnsi="Calibri" w:cs="Calibri"/>
                <w:b/>
                <w:bCs/>
                <w:sz w:val="22"/>
                <w:szCs w:val="22"/>
              </w:rPr>
            </w:pPr>
            <w:r>
              <w:rPr>
                <w:rFonts w:hint="default" w:ascii="Calibri" w:hAnsi="Calibri" w:eastAsia="SimSun" w:cs="Calibri"/>
                <w:b/>
                <w:bCs/>
                <w:kern w:val="0"/>
                <w:sz w:val="22"/>
                <w:szCs w:val="22"/>
                <w:lang w:val="en-US" w:eastAsia="zh-CN" w:bidi="ar"/>
                <w14:ligatures w14:val="standardContextual"/>
              </w:rPr>
              <w:t>Validated with low-income typologies</w:t>
            </w:r>
          </w:p>
        </w:tc>
        <w:tc>
          <w:tcPr>
            <w:tcW w:w="1780" w:type="dxa"/>
            <w:shd w:val="clear"/>
            <w:vAlign w:val="center"/>
          </w:tcPr>
          <w:p w14:paraId="49D19F84">
            <w:pPr>
              <w:keepNext w:val="0"/>
              <w:keepLines w:val="0"/>
              <w:widowControl/>
              <w:suppressLineNumbers w:val="0"/>
              <w:jc w:val="left"/>
              <w:rPr>
                <w:rFonts w:hint="default" w:ascii="Calibri" w:hAnsi="Calibri" w:cs="Calibri"/>
                <w:sz w:val="22"/>
                <w:szCs w:val="22"/>
              </w:rPr>
            </w:pPr>
            <w:r>
              <w:rPr>
                <w:rFonts w:hint="default" w:ascii="Calibri" w:hAnsi="Calibri" w:eastAsia="SimSun" w:cs="Calibri"/>
                <w:kern w:val="0"/>
                <w:sz w:val="22"/>
                <w:szCs w:val="22"/>
                <w:lang w:val="en-US" w:eastAsia="zh-CN" w:bidi="ar"/>
                <w14:ligatures w14:val="standardContextual"/>
              </w:rPr>
              <w:t>Illustrated (secondary data)</w:t>
            </w:r>
          </w:p>
        </w:tc>
        <w:tc>
          <w:tcPr>
            <w:tcW w:w="730" w:type="dxa"/>
            <w:shd w:val="clear"/>
            <w:vAlign w:val="center"/>
          </w:tcPr>
          <w:p w14:paraId="585C99EC">
            <w:pPr>
              <w:keepNext w:val="0"/>
              <w:keepLines w:val="0"/>
              <w:widowControl/>
              <w:suppressLineNumbers w:val="0"/>
              <w:jc w:val="left"/>
              <w:rPr>
                <w:rFonts w:hint="default" w:ascii="Calibri" w:hAnsi="Calibri" w:cs="Calibri"/>
                <w:sz w:val="22"/>
                <w:szCs w:val="22"/>
              </w:rPr>
            </w:pPr>
            <w:r>
              <w:rPr>
                <w:rFonts w:hint="default" w:ascii="Calibri" w:hAnsi="Calibri" w:eastAsia="SimSun" w:cs="Calibri"/>
                <w:kern w:val="0"/>
                <w:sz w:val="22"/>
                <w:szCs w:val="22"/>
                <w:lang w:val="en-US" w:eastAsia="zh-CN" w:bidi="ar"/>
                <w14:ligatures w14:val="standardContextual"/>
              </w:rPr>
              <w:t>No</w:t>
            </w:r>
          </w:p>
        </w:tc>
        <w:tc>
          <w:tcPr>
            <w:tcW w:w="750" w:type="dxa"/>
            <w:shd w:val="clear"/>
            <w:vAlign w:val="center"/>
          </w:tcPr>
          <w:p w14:paraId="4B970EB7">
            <w:pPr>
              <w:keepNext w:val="0"/>
              <w:keepLines w:val="0"/>
              <w:widowControl/>
              <w:suppressLineNumbers w:val="0"/>
              <w:jc w:val="left"/>
              <w:rPr>
                <w:rFonts w:hint="default" w:ascii="Calibri" w:hAnsi="Calibri" w:cs="Calibri"/>
                <w:sz w:val="22"/>
                <w:szCs w:val="22"/>
              </w:rPr>
            </w:pPr>
            <w:r>
              <w:rPr>
                <w:rFonts w:hint="default" w:ascii="Calibri" w:hAnsi="Calibri" w:eastAsia="SimSun" w:cs="Calibri"/>
                <w:kern w:val="0"/>
                <w:sz w:val="22"/>
                <w:szCs w:val="22"/>
                <w:lang w:val="en-US" w:eastAsia="zh-CN" w:bidi="ar"/>
                <w14:ligatures w14:val="standardContextual"/>
              </w:rPr>
              <w:t>No</w:t>
            </w:r>
          </w:p>
        </w:tc>
        <w:tc>
          <w:tcPr>
            <w:tcW w:w="1330" w:type="dxa"/>
            <w:shd w:val="clear"/>
            <w:vAlign w:val="center"/>
          </w:tcPr>
          <w:p w14:paraId="1E6B0AEB">
            <w:pPr>
              <w:keepNext w:val="0"/>
              <w:keepLines w:val="0"/>
              <w:widowControl/>
              <w:suppressLineNumbers w:val="0"/>
              <w:jc w:val="left"/>
              <w:rPr>
                <w:rFonts w:hint="default" w:ascii="Calibri" w:hAnsi="Calibri" w:cs="Calibri"/>
                <w:sz w:val="22"/>
                <w:szCs w:val="22"/>
              </w:rPr>
            </w:pPr>
            <w:r>
              <w:rPr>
                <w:rFonts w:hint="default" w:ascii="Calibri" w:hAnsi="Calibri" w:eastAsia="SimSun" w:cs="Calibri"/>
                <w:kern w:val="0"/>
                <w:sz w:val="22"/>
                <w:szCs w:val="22"/>
                <w:lang w:val="en-US" w:eastAsia="zh-CN" w:bidi="ar"/>
                <w14:ligatures w14:val="standardContextual"/>
              </w:rPr>
              <w:t>No</w:t>
            </w:r>
          </w:p>
        </w:tc>
      </w:tr>
    </w:tbl>
    <w:p w14:paraId="3988D959">
      <w:pPr>
        <w:numPr>
          <w:numId w:val="0"/>
        </w:numPr>
        <w:spacing w:after="40" w:line="240" w:lineRule="auto"/>
        <w:ind w:leftChars="0"/>
        <w:jc w:val="both"/>
        <w:rPr>
          <w:rFonts w:hint="default" w:ascii="Calibri" w:hAnsi="Calibri" w:eastAsia="SimSun" w:cs="Calibri"/>
          <w:b/>
          <w:bCs/>
          <w:sz w:val="28"/>
          <w:szCs w:val="28"/>
        </w:rPr>
      </w:pPr>
      <w:r>
        <w:rPr>
          <w:rFonts w:hint="default" w:ascii="Calibri" w:hAnsi="Calibri" w:eastAsia="SimSun" w:cs="Calibri"/>
          <w:b/>
          <w:bCs/>
          <w:sz w:val="28"/>
          <w:szCs w:val="28"/>
        </w:rPr>
        <w:t>6.3 Limitations</w:t>
      </w:r>
    </w:p>
    <w:p w14:paraId="4AB67BF5">
      <w:pPr>
        <w:numPr>
          <w:numId w:val="0"/>
        </w:numPr>
        <w:spacing w:after="40" w:line="240" w:lineRule="auto"/>
        <w:ind w:leftChars="0"/>
        <w:jc w:val="both"/>
        <w:rPr>
          <w:rFonts w:hint="default" w:ascii="Calibri" w:hAnsi="Calibri" w:eastAsia="SimSun" w:cs="Calibri"/>
          <w:sz w:val="22"/>
          <w:szCs w:val="22"/>
        </w:rPr>
      </w:pPr>
      <w:r>
        <w:rPr>
          <w:rFonts w:hint="default" w:ascii="Calibri" w:hAnsi="Calibri" w:eastAsia="SimSun" w:cs="Calibri"/>
          <w:sz w:val="22"/>
          <w:szCs w:val="22"/>
        </w:rPr>
        <w:t>There are a few limitations that need to be pointed out. Firstly, the example application makes use of secondary data and therefore does not represent a direct BDAF analysis. The predictive validity in terms of well-being outcomes of the occupants has yet to be proved. Conducting field validation using contemporaneous survey of occupants in various settlements is the immediate task at hand.</w:t>
      </w:r>
    </w:p>
    <w:p w14:paraId="685FF4FB">
      <w:pPr>
        <w:numPr>
          <w:numId w:val="0"/>
        </w:numPr>
        <w:spacing w:after="40" w:line="240" w:lineRule="auto"/>
        <w:ind w:leftChars="0"/>
        <w:jc w:val="both"/>
        <w:rPr>
          <w:rFonts w:hint="default" w:ascii="Calibri" w:hAnsi="Calibri" w:eastAsia="SimSun" w:cs="Calibri"/>
          <w:sz w:val="22"/>
          <w:szCs w:val="22"/>
        </w:rPr>
      </w:pPr>
      <w:r>
        <w:rPr>
          <w:rFonts w:hint="default" w:ascii="Calibri" w:hAnsi="Calibri" w:eastAsia="SimSun" w:cs="Calibri"/>
          <w:sz w:val="22"/>
          <w:szCs w:val="22"/>
        </w:rPr>
        <w:t>Secondly, the weights assigned to the categories are only provisional figures based on existing literature and cannot be considered formal results of AHP or Fuzzy Delphi techniques. Any future attempt to conduct an expert elicitation study needs to determine the inter-rater reliability.</w:t>
      </w:r>
    </w:p>
    <w:p w14:paraId="6A9D5FF3">
      <w:pPr>
        <w:numPr>
          <w:numId w:val="0"/>
        </w:numPr>
        <w:spacing w:after="40" w:line="240" w:lineRule="auto"/>
        <w:ind w:leftChars="0"/>
        <w:jc w:val="both"/>
        <w:rPr>
          <w:rFonts w:hint="default" w:ascii="Calibri" w:hAnsi="Calibri" w:eastAsia="SimSun" w:cs="Calibri"/>
          <w:sz w:val="22"/>
          <w:szCs w:val="22"/>
        </w:rPr>
      </w:pPr>
      <w:r>
        <w:rPr>
          <w:rFonts w:hint="default" w:ascii="Calibri" w:hAnsi="Calibri" w:eastAsia="SimSun" w:cs="Calibri"/>
          <w:sz w:val="22"/>
          <w:szCs w:val="22"/>
        </w:rPr>
        <w:t>Thirdly, there are a few indicators such as water presence, sensory diversity, cultural authenticity, and spatial complexity that cannot be fully evaluated using secondary sources of data. Any future application needs to obtain the full BDAF dataset.</w:t>
      </w:r>
    </w:p>
    <w:p w14:paraId="4B6258E0">
      <w:pPr>
        <w:numPr>
          <w:numId w:val="0"/>
        </w:numPr>
        <w:spacing w:after="40" w:line="240" w:lineRule="auto"/>
        <w:ind w:leftChars="0"/>
        <w:jc w:val="both"/>
        <w:rPr>
          <w:rFonts w:hint="default" w:ascii="Calibri" w:hAnsi="Calibri" w:eastAsia="SimSun" w:cs="Calibri"/>
          <w:sz w:val="22"/>
          <w:szCs w:val="22"/>
        </w:rPr>
      </w:pPr>
      <w:r>
        <w:rPr>
          <w:rFonts w:hint="default" w:ascii="Calibri" w:hAnsi="Calibri" w:eastAsia="SimSun" w:cs="Calibri"/>
          <w:sz w:val="22"/>
          <w:szCs w:val="22"/>
        </w:rPr>
        <w:t>Fourthly, the approach ignores temporal aspects of biophilic design evaluation. Quality of biophilic design changes according to seasons and introduction of dynamic scoring protocol needs to be explored.</w:t>
      </w:r>
    </w:p>
    <w:p w14:paraId="64DC0E45">
      <w:pPr>
        <w:numPr>
          <w:ilvl w:val="0"/>
          <w:numId w:val="7"/>
        </w:numPr>
        <w:spacing w:after="40" w:line="240" w:lineRule="auto"/>
        <w:ind w:leftChars="0"/>
        <w:jc w:val="both"/>
        <w:rPr>
          <w:rFonts w:hint="default" w:ascii="Calibri" w:hAnsi="Calibri" w:eastAsia="SimSun" w:cs="Calibri"/>
          <w:b/>
          <w:bCs/>
          <w:kern w:val="0"/>
          <w:sz w:val="28"/>
          <w:szCs w:val="28"/>
          <w:lang w:val="en-US" w:eastAsia="zh-CN" w:bidi="ar"/>
          <w14:ligatures w14:val="standardContextual"/>
        </w:rPr>
      </w:pPr>
      <w:r>
        <w:rPr>
          <w:rFonts w:hint="default" w:ascii="Calibri" w:hAnsi="Calibri"/>
          <w:b/>
          <w:bCs/>
          <w:sz w:val="28"/>
          <w:szCs w:val="28"/>
          <w:lang w:val="en-US"/>
        </w:rPr>
        <w:t>FUTURE RESEARCH</w:t>
      </w:r>
    </w:p>
    <w:p w14:paraId="212A6AE0">
      <w:pPr>
        <w:numPr>
          <w:numId w:val="0"/>
        </w:numPr>
        <w:spacing w:after="40" w:line="240" w:lineRule="auto"/>
        <w:jc w:val="both"/>
        <w:rPr>
          <w:rFonts w:hint="default" w:ascii="Calibri" w:hAnsi="Calibri"/>
          <w:sz w:val="22"/>
          <w:szCs w:val="22"/>
        </w:rPr>
      </w:pPr>
      <w:r>
        <w:rPr>
          <w:rFonts w:hint="default" w:ascii="Calibri" w:hAnsi="Calibri"/>
          <w:sz w:val="22"/>
          <w:szCs w:val="22"/>
        </w:rPr>
        <w:t>Three areas of future research are defined. Firstly, validation of the framework is to be carried out based on actual residential developments in different climatic zones and forms of settlements, involving field data gathering, surveys of residents, and validation of the BDAF results against separately measured outcomes of residents. Secondly, weights and thresholds of the indicators must be validated via expert judgment elicitation, including AHP and Fuzzy Delphi methods, and sensitivity analysis of weighting scenarios along with inter-rater reliability analysis. Thirdly, development and testing of BIM and Internet-of-things solutions is to be conducted. This will allow for automation of the metric calculation process, data provenance control, and seasonally and occupancy-based score calculation.</w:t>
      </w:r>
    </w:p>
    <w:p w14:paraId="6F0BFD06">
      <w:pPr>
        <w:numPr>
          <w:numId w:val="0"/>
        </w:numPr>
        <w:spacing w:after="40" w:line="240" w:lineRule="auto"/>
        <w:jc w:val="both"/>
        <w:rPr>
          <w:rFonts w:hint="default" w:ascii="Calibri" w:hAnsi="Calibri" w:cs="Calibri"/>
          <w:b/>
          <w:bCs/>
          <w:sz w:val="28"/>
          <w:szCs w:val="28"/>
          <w:lang w:val="en-US"/>
        </w:rPr>
      </w:pPr>
      <w:r>
        <w:rPr>
          <w:rFonts w:hint="default" w:ascii="Calibri" w:hAnsi="Calibri" w:eastAsia="SimSun" w:cs="Calibri"/>
          <w:b/>
          <w:bCs/>
          <w:sz w:val="28"/>
          <w:szCs w:val="28"/>
        </w:rPr>
        <w:t>8. C</w:t>
      </w:r>
      <w:r>
        <w:rPr>
          <w:rFonts w:hint="default" w:ascii="Calibri" w:hAnsi="Calibri" w:eastAsia="SimSun" w:cs="Calibri"/>
          <w:b/>
          <w:bCs/>
          <w:sz w:val="28"/>
          <w:szCs w:val="28"/>
          <w:lang w:val="en-US"/>
        </w:rPr>
        <w:t>ONCLUSION</w:t>
      </w:r>
    </w:p>
    <w:p w14:paraId="2FFC32A6">
      <w:pPr>
        <w:numPr>
          <w:numId w:val="0"/>
        </w:numPr>
        <w:spacing w:after="40" w:line="240" w:lineRule="auto"/>
        <w:jc w:val="both"/>
        <w:rPr>
          <w:rFonts w:hint="default" w:ascii="Calibri" w:hAnsi="Calibri"/>
          <w:sz w:val="22"/>
          <w:szCs w:val="22"/>
        </w:rPr>
      </w:pPr>
      <w:r>
        <w:rPr>
          <w:rFonts w:hint="default" w:ascii="Calibri" w:hAnsi="Calibri"/>
          <w:sz w:val="22"/>
          <w:szCs w:val="22"/>
        </w:rPr>
        <w:t>In this paper, the Biophilic Design Assessment Framework (BDAF) is introduced as a contextual and semi-automated framework that allows the translation of biophilic principles into metrics in urban housing projects. The BDAF framework combines sixteen indicators, digital construction information, environmental sensor data, GIS evidence, audits, and occupant feedback within a standardized 0–200 scoring framework.</w:t>
      </w:r>
    </w:p>
    <w:p w14:paraId="22AE1D9B">
      <w:pPr>
        <w:numPr>
          <w:numId w:val="0"/>
        </w:numPr>
        <w:spacing w:after="40" w:line="240" w:lineRule="auto"/>
        <w:jc w:val="both"/>
        <w:rPr>
          <w:rFonts w:hint="default" w:ascii="Calibri" w:hAnsi="Calibri"/>
          <w:sz w:val="22"/>
          <w:szCs w:val="22"/>
        </w:rPr>
      </w:pPr>
      <w:r>
        <w:rPr>
          <w:rFonts w:hint="default" w:ascii="Calibri" w:hAnsi="Calibri"/>
          <w:sz w:val="22"/>
          <w:szCs w:val="22"/>
        </w:rPr>
        <w:t>The BDAF framework tries to overcome the gap between the qualitative biophilic principles and the data-driven design, construction, and building performance evaluation requirements. The case study of Delhi shows how the existing environmental quality and housing data can be used to fill the workflow, while showing the limitations related to secondary data scoring.</w:t>
      </w:r>
    </w:p>
    <w:p w14:paraId="20542CE4">
      <w:pPr>
        <w:numPr>
          <w:numId w:val="0"/>
        </w:numPr>
        <w:spacing w:after="40" w:line="240" w:lineRule="auto"/>
        <w:jc w:val="both"/>
        <w:rPr>
          <w:rFonts w:hint="default" w:ascii="Calibri" w:hAnsi="Calibri"/>
          <w:sz w:val="22"/>
          <w:szCs w:val="22"/>
        </w:rPr>
      </w:pPr>
      <w:r>
        <w:rPr>
          <w:rFonts w:hint="default" w:ascii="Calibri" w:hAnsi="Calibri"/>
          <w:sz w:val="22"/>
          <w:szCs w:val="22"/>
        </w:rPr>
        <w:t>Therefore, the BDAF is a proposed framework for a computational assessment method. Further independent validation of the framework’s weights, threshold values, and relationships with occupant outcomes is required. Despite this, the framework provides a clear path forward towards integrating biophilic assessment with BIM, GIS, IoT, and rule-based digital workflows.</w:t>
      </w:r>
    </w:p>
    <w:p w14:paraId="2013B49D">
      <w:pPr>
        <w:spacing w:after="40" w:line="240" w:lineRule="auto"/>
        <w:jc w:val="both"/>
        <w:rPr>
          <w:rFonts w:ascii="Calibri" w:hAnsi="Calibri" w:cs="Calibri"/>
          <w:b/>
          <w:bCs/>
          <w:sz w:val="28"/>
          <w:szCs w:val="28"/>
          <w:lang w:val="en-US"/>
        </w:rPr>
      </w:pPr>
      <w:r>
        <w:rPr>
          <w:rFonts w:ascii="Calibri" w:hAnsi="Calibri" w:cs="Calibri"/>
          <w:b/>
          <w:bCs/>
          <w:sz w:val="28"/>
          <w:szCs w:val="28"/>
          <w:lang w:val="en-US"/>
        </w:rPr>
        <w:t>References</w:t>
      </w:r>
    </w:p>
    <w:p w14:paraId="02C61BDF">
      <w:pPr>
        <w:pStyle w:val="17"/>
        <w:keepNext w:val="0"/>
        <w:keepLines w:val="0"/>
        <w:widowControl/>
        <w:numPr>
          <w:ilvl w:val="0"/>
          <w:numId w:val="8"/>
        </w:numPr>
        <w:suppressLineNumbers w:val="0"/>
        <w:ind w:left="425" w:leftChars="0" w:hanging="425" w:firstLineChars="0"/>
        <w:jc w:val="both"/>
        <w:rPr>
          <w:sz w:val="22"/>
          <w:szCs w:val="22"/>
        </w:rPr>
      </w:pPr>
      <w:r>
        <w:rPr>
          <w:sz w:val="22"/>
          <w:szCs w:val="22"/>
        </w:rPr>
        <w:t xml:space="preserve">Alemrajabi, H., Zhang, R., Bulbul, T., &amp; Pearce, A. (2025). Integrating nature into norms: Evaluating biophilic design attributes in building rating systems. CIB Conferences. </w:t>
      </w:r>
      <w:r>
        <w:rPr>
          <w:sz w:val="22"/>
          <w:szCs w:val="22"/>
        </w:rPr>
        <w:fldChar w:fldCharType="begin"/>
      </w:r>
      <w:r>
        <w:rPr>
          <w:sz w:val="22"/>
          <w:szCs w:val="22"/>
        </w:rPr>
        <w:instrText xml:space="preserve"> HYPERLINK "https://doi.org/10.7771/3067-4883.1857" </w:instrText>
      </w:r>
      <w:r>
        <w:rPr>
          <w:sz w:val="22"/>
          <w:szCs w:val="22"/>
        </w:rPr>
        <w:fldChar w:fldCharType="separate"/>
      </w:r>
      <w:r>
        <w:rPr>
          <w:rStyle w:val="16"/>
          <w:sz w:val="22"/>
          <w:szCs w:val="22"/>
        </w:rPr>
        <w:t>https://doi.org/10.7771/3067-4883.1857</w:t>
      </w:r>
      <w:r>
        <w:rPr>
          <w:sz w:val="22"/>
          <w:szCs w:val="22"/>
        </w:rPr>
        <w:fldChar w:fldCharType="end"/>
      </w:r>
      <w:r>
        <w:rPr>
          <w:sz w:val="22"/>
          <w:szCs w:val="22"/>
        </w:rPr>
        <w:t xml:space="preserve"> </w:t>
      </w:r>
    </w:p>
    <w:p w14:paraId="4C956DDB">
      <w:pPr>
        <w:pStyle w:val="17"/>
        <w:keepNext w:val="0"/>
        <w:keepLines w:val="0"/>
        <w:widowControl/>
        <w:numPr>
          <w:ilvl w:val="0"/>
          <w:numId w:val="8"/>
        </w:numPr>
        <w:suppressLineNumbers w:val="0"/>
        <w:ind w:left="425" w:leftChars="0" w:hanging="425" w:firstLineChars="0"/>
        <w:jc w:val="both"/>
        <w:rPr>
          <w:sz w:val="22"/>
          <w:szCs w:val="22"/>
        </w:rPr>
      </w:pPr>
      <w:r>
        <w:rPr>
          <w:sz w:val="22"/>
          <w:szCs w:val="22"/>
        </w:rPr>
        <w:t xml:space="preserve">Browning, W. D., Ryan, C. O., &amp; Clancy, J. O. (2014). 14 patterns of biophilic design: Improving health and well-being in the built environment. Terrapin Bright Green. </w:t>
      </w:r>
    </w:p>
    <w:p w14:paraId="6947CD9A">
      <w:pPr>
        <w:pStyle w:val="17"/>
        <w:keepNext w:val="0"/>
        <w:keepLines w:val="0"/>
        <w:widowControl/>
        <w:numPr>
          <w:ilvl w:val="0"/>
          <w:numId w:val="8"/>
        </w:numPr>
        <w:suppressLineNumbers w:val="0"/>
        <w:ind w:left="425" w:leftChars="0" w:hanging="425" w:firstLineChars="0"/>
        <w:jc w:val="both"/>
        <w:rPr>
          <w:sz w:val="22"/>
          <w:szCs w:val="22"/>
        </w:rPr>
      </w:pPr>
      <w:r>
        <w:rPr>
          <w:sz w:val="22"/>
          <w:szCs w:val="22"/>
        </w:rPr>
        <w:t xml:space="preserve">BREEAM-NL. (2020). BREEAM-NL New Construction 2020 v1.0: HEA 10 Biophilic Design. BRE Global. </w:t>
      </w:r>
    </w:p>
    <w:p w14:paraId="2C150F95">
      <w:pPr>
        <w:pStyle w:val="17"/>
        <w:keepNext w:val="0"/>
        <w:keepLines w:val="0"/>
        <w:widowControl/>
        <w:numPr>
          <w:ilvl w:val="0"/>
          <w:numId w:val="8"/>
        </w:numPr>
        <w:suppressLineNumbers w:val="0"/>
        <w:ind w:left="425" w:leftChars="0" w:hanging="425" w:firstLineChars="0"/>
        <w:jc w:val="both"/>
        <w:rPr>
          <w:sz w:val="22"/>
          <w:szCs w:val="22"/>
        </w:rPr>
      </w:pPr>
      <w:r>
        <w:rPr>
          <w:sz w:val="22"/>
          <w:szCs w:val="22"/>
        </w:rPr>
        <w:t xml:space="preserve">Guo, F., Schlink, U., Wu, W., Hu, D., &amp; Sun, J. (2023). A new framework quantifying the effect of urban morphology on thermal environment. Sustainable Cities and Society, 96, 104708. </w:t>
      </w:r>
      <w:r>
        <w:rPr>
          <w:sz w:val="22"/>
          <w:szCs w:val="22"/>
        </w:rPr>
        <w:fldChar w:fldCharType="begin"/>
      </w:r>
      <w:r>
        <w:rPr>
          <w:sz w:val="22"/>
          <w:szCs w:val="22"/>
        </w:rPr>
        <w:instrText xml:space="preserve"> HYPERLINK "https://doi.org/10.1016/j.scs.2023.104708" </w:instrText>
      </w:r>
      <w:r>
        <w:rPr>
          <w:sz w:val="22"/>
          <w:szCs w:val="22"/>
        </w:rPr>
        <w:fldChar w:fldCharType="separate"/>
      </w:r>
      <w:r>
        <w:rPr>
          <w:rStyle w:val="16"/>
          <w:sz w:val="22"/>
          <w:szCs w:val="22"/>
        </w:rPr>
        <w:t>https://doi.org/10.1016/j.scs.2023.104708</w:t>
      </w:r>
      <w:r>
        <w:rPr>
          <w:sz w:val="22"/>
          <w:szCs w:val="22"/>
        </w:rPr>
        <w:fldChar w:fldCharType="end"/>
      </w:r>
      <w:r>
        <w:rPr>
          <w:sz w:val="22"/>
          <w:szCs w:val="22"/>
        </w:rPr>
        <w:t xml:space="preserve"> </w:t>
      </w:r>
    </w:p>
    <w:p w14:paraId="2A2CFD36">
      <w:pPr>
        <w:pStyle w:val="17"/>
        <w:keepNext w:val="0"/>
        <w:keepLines w:val="0"/>
        <w:widowControl/>
        <w:numPr>
          <w:ilvl w:val="0"/>
          <w:numId w:val="8"/>
        </w:numPr>
        <w:suppressLineNumbers w:val="0"/>
        <w:ind w:left="425" w:leftChars="0" w:hanging="425" w:firstLineChars="0"/>
        <w:jc w:val="both"/>
        <w:rPr>
          <w:sz w:val="22"/>
          <w:szCs w:val="22"/>
        </w:rPr>
      </w:pPr>
      <w:r>
        <w:rPr>
          <w:sz w:val="22"/>
          <w:szCs w:val="22"/>
        </w:rPr>
        <w:t xml:space="preserve">International WELL Building Institute. (2023). WELL Building Standard v2. </w:t>
      </w:r>
    </w:p>
    <w:p w14:paraId="6424A3F7">
      <w:pPr>
        <w:pStyle w:val="17"/>
        <w:keepNext w:val="0"/>
        <w:keepLines w:val="0"/>
        <w:widowControl/>
        <w:numPr>
          <w:ilvl w:val="0"/>
          <w:numId w:val="8"/>
        </w:numPr>
        <w:suppressLineNumbers w:val="0"/>
        <w:ind w:left="425" w:leftChars="0" w:hanging="425" w:firstLineChars="0"/>
        <w:jc w:val="both"/>
        <w:rPr>
          <w:sz w:val="22"/>
          <w:szCs w:val="22"/>
        </w:rPr>
      </w:pPr>
      <w:r>
        <w:rPr>
          <w:sz w:val="22"/>
          <w:szCs w:val="22"/>
        </w:rPr>
        <w:t xml:space="preserve">Kellert, S. R. (2008). Biophilic design. In S. R. Kellert, J. Heerwagen, &amp; M. Mador (Eds.), Biophilic design: The theory, science, and practice of bringing buildings to life (pp. 3-34). Wiley. </w:t>
      </w:r>
    </w:p>
    <w:p w14:paraId="7A501F7E">
      <w:pPr>
        <w:pStyle w:val="17"/>
        <w:keepNext w:val="0"/>
        <w:keepLines w:val="0"/>
        <w:widowControl/>
        <w:numPr>
          <w:ilvl w:val="0"/>
          <w:numId w:val="8"/>
        </w:numPr>
        <w:suppressLineNumbers w:val="0"/>
        <w:ind w:left="425" w:leftChars="0" w:hanging="425" w:firstLineChars="0"/>
        <w:jc w:val="both"/>
        <w:rPr>
          <w:sz w:val="22"/>
          <w:szCs w:val="22"/>
        </w:rPr>
      </w:pPr>
      <w:r>
        <w:rPr>
          <w:sz w:val="22"/>
          <w:szCs w:val="22"/>
        </w:rPr>
        <w:t xml:space="preserve">Khanzadeh, M. (2024). Enhancing user experience in interior architecture through biophilic design: A case study of urban residential spaces. New Design Ideas. </w:t>
      </w:r>
    </w:p>
    <w:p w14:paraId="2DD91B03">
      <w:pPr>
        <w:pStyle w:val="17"/>
        <w:keepNext w:val="0"/>
        <w:keepLines w:val="0"/>
        <w:widowControl/>
        <w:numPr>
          <w:ilvl w:val="0"/>
          <w:numId w:val="8"/>
        </w:numPr>
        <w:suppressLineNumbers w:val="0"/>
        <w:ind w:left="425" w:leftChars="0" w:hanging="425" w:firstLineChars="0"/>
        <w:jc w:val="both"/>
        <w:rPr>
          <w:sz w:val="22"/>
          <w:szCs w:val="22"/>
        </w:rPr>
      </w:pPr>
      <w:r>
        <w:rPr>
          <w:sz w:val="22"/>
          <w:szCs w:val="22"/>
        </w:rPr>
        <w:t xml:space="preserve">Lee, S., &amp; Kim, Y. (2021). A framework of biophilic urbanism for improving climate change adaptability in urban environments. Urban Forestry &amp; Urban Greening, 63, 127104. </w:t>
      </w:r>
      <w:r>
        <w:rPr>
          <w:sz w:val="22"/>
          <w:szCs w:val="22"/>
        </w:rPr>
        <w:fldChar w:fldCharType="begin"/>
      </w:r>
      <w:r>
        <w:rPr>
          <w:sz w:val="22"/>
          <w:szCs w:val="22"/>
        </w:rPr>
        <w:instrText xml:space="preserve"> HYPERLINK "https://doi.org/10.1016/j.ufug.2021.127104" </w:instrText>
      </w:r>
      <w:r>
        <w:rPr>
          <w:sz w:val="22"/>
          <w:szCs w:val="22"/>
        </w:rPr>
        <w:fldChar w:fldCharType="separate"/>
      </w:r>
      <w:r>
        <w:rPr>
          <w:rStyle w:val="16"/>
          <w:sz w:val="22"/>
          <w:szCs w:val="22"/>
        </w:rPr>
        <w:t>https://doi.org/10.1016/j.ufug.2021.127104</w:t>
      </w:r>
      <w:r>
        <w:rPr>
          <w:sz w:val="22"/>
          <w:szCs w:val="22"/>
        </w:rPr>
        <w:fldChar w:fldCharType="end"/>
      </w:r>
      <w:r>
        <w:rPr>
          <w:sz w:val="22"/>
          <w:szCs w:val="22"/>
        </w:rPr>
        <w:t xml:space="preserve"> </w:t>
      </w:r>
    </w:p>
    <w:p w14:paraId="3C63E691">
      <w:pPr>
        <w:pStyle w:val="17"/>
        <w:keepNext w:val="0"/>
        <w:keepLines w:val="0"/>
        <w:widowControl/>
        <w:numPr>
          <w:ilvl w:val="0"/>
          <w:numId w:val="8"/>
        </w:numPr>
        <w:suppressLineNumbers w:val="0"/>
        <w:ind w:left="425" w:leftChars="0" w:hanging="425" w:firstLineChars="0"/>
        <w:jc w:val="both"/>
        <w:rPr>
          <w:sz w:val="22"/>
          <w:szCs w:val="22"/>
        </w:rPr>
      </w:pPr>
      <w:r>
        <w:rPr>
          <w:sz w:val="22"/>
          <w:szCs w:val="22"/>
        </w:rPr>
        <w:t xml:space="preserve">Nix, E., Shrubsole, C., Das, P., &amp; Davies, M. (2015). Indoor environmental quality of low-income housing in Delhi, India: Findings from a field study. Energy Procedia, 78, 2272-2276. </w:t>
      </w:r>
      <w:r>
        <w:rPr>
          <w:sz w:val="22"/>
          <w:szCs w:val="22"/>
        </w:rPr>
        <w:fldChar w:fldCharType="begin"/>
      </w:r>
      <w:r>
        <w:rPr>
          <w:sz w:val="22"/>
          <w:szCs w:val="22"/>
        </w:rPr>
        <w:instrText xml:space="preserve"> HYPERLINK "https://doi.org/10.1016/j.egypro.2015.11.714" </w:instrText>
      </w:r>
      <w:r>
        <w:rPr>
          <w:sz w:val="22"/>
          <w:szCs w:val="22"/>
        </w:rPr>
        <w:fldChar w:fldCharType="separate"/>
      </w:r>
      <w:r>
        <w:rPr>
          <w:rStyle w:val="16"/>
          <w:sz w:val="22"/>
          <w:szCs w:val="22"/>
        </w:rPr>
        <w:t>https://doi.org/10.1016/j.egypro.2015.11.714</w:t>
      </w:r>
      <w:r>
        <w:rPr>
          <w:sz w:val="22"/>
          <w:szCs w:val="22"/>
        </w:rPr>
        <w:fldChar w:fldCharType="end"/>
      </w:r>
      <w:r>
        <w:rPr>
          <w:sz w:val="22"/>
          <w:szCs w:val="22"/>
        </w:rPr>
        <w:t xml:space="preserve"> </w:t>
      </w:r>
    </w:p>
    <w:p w14:paraId="4FDFAB74">
      <w:pPr>
        <w:pStyle w:val="17"/>
        <w:keepNext w:val="0"/>
        <w:keepLines w:val="0"/>
        <w:widowControl/>
        <w:numPr>
          <w:ilvl w:val="0"/>
          <w:numId w:val="8"/>
        </w:numPr>
        <w:suppressLineNumbers w:val="0"/>
        <w:ind w:left="425" w:leftChars="0" w:hanging="425" w:firstLineChars="0"/>
        <w:jc w:val="both"/>
        <w:rPr>
          <w:sz w:val="22"/>
          <w:szCs w:val="22"/>
        </w:rPr>
      </w:pPr>
      <w:r>
        <w:rPr>
          <w:sz w:val="22"/>
          <w:szCs w:val="22"/>
        </w:rPr>
        <w:t xml:space="preserve">Ramzy, N. S., et al. (2025). Biophilic design in architecture and its contributions to health, well-being, and sustainability: A critical review. Alexandria Engineering Journal. </w:t>
      </w:r>
    </w:p>
    <w:p w14:paraId="3C05BB06">
      <w:pPr>
        <w:pStyle w:val="17"/>
        <w:keepNext w:val="0"/>
        <w:keepLines w:val="0"/>
        <w:widowControl/>
        <w:numPr>
          <w:ilvl w:val="0"/>
          <w:numId w:val="8"/>
        </w:numPr>
        <w:suppressLineNumbers w:val="0"/>
        <w:ind w:left="425" w:leftChars="0" w:hanging="425" w:firstLineChars="0"/>
        <w:jc w:val="both"/>
        <w:rPr>
          <w:sz w:val="22"/>
          <w:szCs w:val="22"/>
        </w:rPr>
      </w:pPr>
      <w:r>
        <w:rPr>
          <w:sz w:val="22"/>
          <w:szCs w:val="22"/>
        </w:rPr>
        <w:t>Ryan, C. O., Browning, W. D., Clancy, J. O., Andrews, S. L., &amp; Kallianpurkar, N. B. (2014). Biophilic design patterns: Emerging nature-based parameters for health and well-being in the built environment. ArchNet-IJAR, 8(2), 62-76.</w:t>
      </w:r>
    </w:p>
    <w:p w14:paraId="00D4D0A2">
      <w:pPr>
        <w:pStyle w:val="17"/>
        <w:keepNext w:val="0"/>
        <w:keepLines w:val="0"/>
        <w:widowControl/>
        <w:numPr>
          <w:ilvl w:val="0"/>
          <w:numId w:val="8"/>
        </w:numPr>
        <w:suppressLineNumbers w:val="0"/>
        <w:ind w:left="425" w:leftChars="0" w:hanging="425" w:firstLineChars="0"/>
        <w:jc w:val="both"/>
        <w:rPr>
          <w:sz w:val="22"/>
          <w:szCs w:val="22"/>
        </w:rPr>
      </w:pPr>
      <w:r>
        <w:rPr>
          <w:sz w:val="22"/>
          <w:szCs w:val="22"/>
        </w:rPr>
        <w:t xml:space="preserve">Salingaros, N. A. (2015). Biophilic design and human well-being. In The explicated body: New perspectives on architecture and well-being (pp. 45-63). Urban Scale Interventions. </w:t>
      </w:r>
    </w:p>
    <w:p w14:paraId="0586A45F">
      <w:pPr>
        <w:pStyle w:val="17"/>
        <w:keepNext w:val="0"/>
        <w:keepLines w:val="0"/>
        <w:widowControl/>
        <w:numPr>
          <w:ilvl w:val="0"/>
          <w:numId w:val="8"/>
        </w:numPr>
        <w:suppressLineNumbers w:val="0"/>
        <w:ind w:left="425" w:leftChars="0" w:hanging="425" w:firstLineChars="0"/>
        <w:jc w:val="both"/>
        <w:rPr>
          <w:sz w:val="22"/>
          <w:szCs w:val="22"/>
        </w:rPr>
      </w:pPr>
      <w:r>
        <w:rPr>
          <w:sz w:val="22"/>
          <w:szCs w:val="22"/>
        </w:rPr>
        <w:t xml:space="preserve">Tabassum, R. R., &amp; Park, J. (2024). Development of a building evaluation framework for biophilic design in architecture. Buildings, 14(10), 3254. </w:t>
      </w:r>
      <w:r>
        <w:rPr>
          <w:sz w:val="22"/>
          <w:szCs w:val="22"/>
        </w:rPr>
        <w:fldChar w:fldCharType="begin"/>
      </w:r>
      <w:r>
        <w:rPr>
          <w:sz w:val="22"/>
          <w:szCs w:val="22"/>
        </w:rPr>
        <w:instrText xml:space="preserve"> HYPERLINK "https://doi.org/10.3390/buildings14103254" </w:instrText>
      </w:r>
      <w:r>
        <w:rPr>
          <w:sz w:val="22"/>
          <w:szCs w:val="22"/>
        </w:rPr>
        <w:fldChar w:fldCharType="separate"/>
      </w:r>
      <w:r>
        <w:rPr>
          <w:rStyle w:val="16"/>
          <w:sz w:val="22"/>
          <w:szCs w:val="22"/>
        </w:rPr>
        <w:t>https://doi.org/10.3390/buildings14103254</w:t>
      </w:r>
      <w:r>
        <w:rPr>
          <w:sz w:val="22"/>
          <w:szCs w:val="22"/>
        </w:rPr>
        <w:fldChar w:fldCharType="end"/>
      </w:r>
      <w:r>
        <w:rPr>
          <w:sz w:val="22"/>
          <w:szCs w:val="22"/>
        </w:rPr>
        <w:t xml:space="preserve"> </w:t>
      </w:r>
    </w:p>
    <w:p w14:paraId="396D4F77">
      <w:pPr>
        <w:pStyle w:val="17"/>
        <w:keepNext w:val="0"/>
        <w:keepLines w:val="0"/>
        <w:widowControl/>
        <w:numPr>
          <w:ilvl w:val="0"/>
          <w:numId w:val="8"/>
        </w:numPr>
        <w:suppressLineNumbers w:val="0"/>
        <w:ind w:left="425" w:leftChars="0" w:hanging="425" w:firstLineChars="0"/>
        <w:jc w:val="both"/>
        <w:rPr>
          <w:sz w:val="22"/>
          <w:szCs w:val="22"/>
        </w:rPr>
      </w:pPr>
      <w:r>
        <w:rPr>
          <w:sz w:val="22"/>
          <w:szCs w:val="22"/>
        </w:rPr>
        <w:t xml:space="preserve">Ulrich, R. S. (1984). View through a window may influence recovery from surgery. Science, 224(4647), 420-421. </w:t>
      </w:r>
      <w:r>
        <w:rPr>
          <w:sz w:val="22"/>
          <w:szCs w:val="22"/>
        </w:rPr>
        <w:fldChar w:fldCharType="begin"/>
      </w:r>
      <w:r>
        <w:rPr>
          <w:sz w:val="22"/>
          <w:szCs w:val="22"/>
        </w:rPr>
        <w:instrText xml:space="preserve"> HYPERLINK "https://doi.org/10.1126/science.6143402" </w:instrText>
      </w:r>
      <w:r>
        <w:rPr>
          <w:sz w:val="22"/>
          <w:szCs w:val="22"/>
        </w:rPr>
        <w:fldChar w:fldCharType="separate"/>
      </w:r>
      <w:r>
        <w:rPr>
          <w:rStyle w:val="16"/>
          <w:sz w:val="22"/>
          <w:szCs w:val="22"/>
        </w:rPr>
        <w:t>https://doi.org/10.1126/science.6143402</w:t>
      </w:r>
      <w:r>
        <w:rPr>
          <w:sz w:val="22"/>
          <w:szCs w:val="22"/>
        </w:rPr>
        <w:fldChar w:fldCharType="end"/>
      </w:r>
      <w:r>
        <w:rPr>
          <w:sz w:val="22"/>
          <w:szCs w:val="22"/>
        </w:rPr>
        <w:t xml:space="preserve"> </w:t>
      </w:r>
    </w:p>
    <w:p w14:paraId="31CACF65">
      <w:pPr>
        <w:pStyle w:val="17"/>
        <w:keepNext w:val="0"/>
        <w:keepLines w:val="0"/>
        <w:widowControl/>
        <w:numPr>
          <w:ilvl w:val="0"/>
          <w:numId w:val="8"/>
        </w:numPr>
        <w:suppressLineNumbers w:val="0"/>
        <w:ind w:left="425" w:leftChars="0" w:hanging="425" w:firstLineChars="0"/>
        <w:jc w:val="both"/>
        <w:rPr>
          <w:sz w:val="22"/>
          <w:szCs w:val="22"/>
        </w:rPr>
      </w:pPr>
      <w:r>
        <w:rPr>
          <w:sz w:val="22"/>
          <w:szCs w:val="22"/>
        </w:rPr>
        <w:t xml:space="preserve">Ulrich, R. S., Simons, R. F., Losito, B. D., Fiorito, E., Miles, M. A., &amp; Zelson, M. (1991). Stress recovery during exposure to natural and urban environments. Journal of Environmental Psychology, 11(3), 201-230. </w:t>
      </w:r>
      <w:r>
        <w:rPr>
          <w:sz w:val="22"/>
          <w:szCs w:val="22"/>
        </w:rPr>
        <w:fldChar w:fldCharType="begin"/>
      </w:r>
      <w:r>
        <w:rPr>
          <w:sz w:val="22"/>
          <w:szCs w:val="22"/>
        </w:rPr>
        <w:instrText xml:space="preserve"> HYPERLINK "https://doi.org/10.1016/S0272-4944(05)80184-7" </w:instrText>
      </w:r>
      <w:r>
        <w:rPr>
          <w:sz w:val="22"/>
          <w:szCs w:val="22"/>
        </w:rPr>
        <w:fldChar w:fldCharType="separate"/>
      </w:r>
      <w:r>
        <w:rPr>
          <w:rStyle w:val="16"/>
          <w:sz w:val="22"/>
          <w:szCs w:val="22"/>
        </w:rPr>
        <w:t>https://doi.org/10.1016/S0272-4944(05)80184-7</w:t>
      </w:r>
      <w:r>
        <w:rPr>
          <w:sz w:val="22"/>
          <w:szCs w:val="22"/>
        </w:rPr>
        <w:fldChar w:fldCharType="end"/>
      </w:r>
      <w:r>
        <w:rPr>
          <w:sz w:val="22"/>
          <w:szCs w:val="22"/>
        </w:rPr>
        <w:t xml:space="preserve"> </w:t>
      </w:r>
    </w:p>
    <w:p w14:paraId="63791E97">
      <w:pPr>
        <w:pStyle w:val="17"/>
        <w:keepNext w:val="0"/>
        <w:keepLines w:val="0"/>
        <w:widowControl/>
        <w:numPr>
          <w:ilvl w:val="0"/>
          <w:numId w:val="8"/>
        </w:numPr>
        <w:suppressLineNumbers w:val="0"/>
        <w:ind w:left="425" w:leftChars="0" w:hanging="425" w:firstLineChars="0"/>
        <w:jc w:val="both"/>
        <w:rPr>
          <w:sz w:val="22"/>
          <w:szCs w:val="22"/>
        </w:rPr>
      </w:pPr>
      <w:r>
        <w:rPr>
          <w:sz w:val="22"/>
          <w:szCs w:val="22"/>
        </w:rPr>
        <w:t>U.S. Green Building Council. (2023). LEED v4.1 Indoor Environmental Quality. U.S. Green Building Council.</w:t>
      </w:r>
    </w:p>
    <w:p w14:paraId="58D6F25F">
      <w:pPr>
        <w:pStyle w:val="17"/>
        <w:keepNext w:val="0"/>
        <w:keepLines w:val="0"/>
        <w:widowControl/>
        <w:numPr>
          <w:ilvl w:val="0"/>
          <w:numId w:val="8"/>
        </w:numPr>
        <w:suppressLineNumbers w:val="0"/>
        <w:ind w:left="425" w:leftChars="0" w:hanging="425" w:firstLineChars="0"/>
        <w:jc w:val="both"/>
        <w:rPr>
          <w:sz w:val="22"/>
          <w:szCs w:val="22"/>
        </w:rPr>
      </w:pPr>
      <w:r>
        <w:rPr>
          <w:sz w:val="22"/>
          <w:szCs w:val="22"/>
        </w:rPr>
        <w:t xml:space="preserve">Wijesooriya, N., Brambilla, A., &amp; Markauskaitė, L. (2023). Biophilic design frameworks: A review of structure, development techniques and their compatibility with LEED sustainable design criteria. Cleaner Production Letters. </w:t>
      </w:r>
      <w:r>
        <w:rPr>
          <w:sz w:val="22"/>
          <w:szCs w:val="22"/>
        </w:rPr>
        <w:fldChar w:fldCharType="begin"/>
      </w:r>
      <w:r>
        <w:rPr>
          <w:sz w:val="22"/>
          <w:szCs w:val="22"/>
        </w:rPr>
        <w:instrText xml:space="preserve"> HYPERLINK "https://doi.org/10.1016/j.clpl.2023.100033" </w:instrText>
      </w:r>
      <w:r>
        <w:rPr>
          <w:sz w:val="22"/>
          <w:szCs w:val="22"/>
        </w:rPr>
        <w:fldChar w:fldCharType="separate"/>
      </w:r>
      <w:r>
        <w:rPr>
          <w:rStyle w:val="16"/>
          <w:sz w:val="22"/>
          <w:szCs w:val="22"/>
        </w:rPr>
        <w:t>https://doi.org/10.1016/j.clpl.2023.100033</w:t>
      </w:r>
      <w:r>
        <w:rPr>
          <w:sz w:val="22"/>
          <w:szCs w:val="22"/>
        </w:rPr>
        <w:fldChar w:fldCharType="end"/>
      </w:r>
      <w:r>
        <w:rPr>
          <w:sz w:val="22"/>
          <w:szCs w:val="22"/>
        </w:rPr>
        <w:t xml:space="preserve"> </w:t>
      </w:r>
    </w:p>
    <w:p w14:paraId="1F38A07D">
      <w:pPr>
        <w:pStyle w:val="17"/>
        <w:keepNext w:val="0"/>
        <w:keepLines w:val="0"/>
        <w:widowControl/>
        <w:numPr>
          <w:ilvl w:val="0"/>
          <w:numId w:val="8"/>
        </w:numPr>
        <w:suppressLineNumbers w:val="0"/>
        <w:ind w:left="425" w:leftChars="0" w:hanging="425" w:firstLineChars="0"/>
        <w:jc w:val="both"/>
        <w:rPr>
          <w:sz w:val="22"/>
          <w:szCs w:val="22"/>
        </w:rPr>
      </w:pPr>
      <w:r>
        <w:rPr>
          <w:sz w:val="22"/>
          <w:szCs w:val="22"/>
        </w:rPr>
        <w:t xml:space="preserve">Wilson, E. O. (1984). Biophilia: The human bond with other species. Harvard University Press. </w:t>
      </w:r>
    </w:p>
    <w:p w14:paraId="2D466841">
      <w:pPr>
        <w:pStyle w:val="17"/>
        <w:keepNext w:val="0"/>
        <w:keepLines w:val="0"/>
        <w:widowControl/>
        <w:numPr>
          <w:ilvl w:val="0"/>
          <w:numId w:val="8"/>
        </w:numPr>
        <w:suppressLineNumbers w:val="0"/>
        <w:ind w:left="425" w:leftChars="0" w:hanging="425" w:firstLineChars="0"/>
        <w:jc w:val="both"/>
        <w:rPr>
          <w:sz w:val="22"/>
          <w:szCs w:val="22"/>
        </w:rPr>
      </w:pPr>
      <w:r>
        <w:rPr>
          <w:sz w:val="22"/>
          <w:szCs w:val="22"/>
        </w:rPr>
        <w:t xml:space="preserve">Xue, F., Lau, S. S.-Y., Gou, Z., Song, Y., &amp; Jiang, B. (2019). Incorporating biophilia into green building rating tools for promoting health and wellbeing. Environmental Impact Assessment Review. </w:t>
      </w:r>
      <w:r>
        <w:rPr>
          <w:sz w:val="22"/>
          <w:szCs w:val="22"/>
        </w:rPr>
        <w:fldChar w:fldCharType="begin"/>
      </w:r>
      <w:r>
        <w:rPr>
          <w:sz w:val="22"/>
          <w:szCs w:val="22"/>
        </w:rPr>
        <w:instrText xml:space="preserve"> HYPERLINK "https://doi.org/10.1016/j.eiar.2019.02.004" </w:instrText>
      </w:r>
      <w:r>
        <w:rPr>
          <w:sz w:val="22"/>
          <w:szCs w:val="22"/>
        </w:rPr>
        <w:fldChar w:fldCharType="separate"/>
      </w:r>
      <w:r>
        <w:rPr>
          <w:rStyle w:val="16"/>
          <w:sz w:val="22"/>
          <w:szCs w:val="22"/>
        </w:rPr>
        <w:t>https://doi.org/10.1016/j.eiar.2019.02.004</w:t>
      </w:r>
      <w:r>
        <w:rPr>
          <w:sz w:val="22"/>
          <w:szCs w:val="22"/>
        </w:rPr>
        <w:fldChar w:fldCharType="end"/>
      </w:r>
      <w:r>
        <w:rPr>
          <w:sz w:val="22"/>
          <w:szCs w:val="22"/>
        </w:rPr>
        <w:t xml:space="preserve"> </w:t>
      </w:r>
    </w:p>
    <w:p w14:paraId="5EF3F649">
      <w:pPr>
        <w:pStyle w:val="17"/>
        <w:keepNext w:val="0"/>
        <w:keepLines w:val="0"/>
        <w:widowControl/>
        <w:numPr>
          <w:ilvl w:val="0"/>
          <w:numId w:val="8"/>
        </w:numPr>
        <w:suppressLineNumbers w:val="0"/>
        <w:ind w:left="425" w:leftChars="0" w:hanging="425" w:firstLineChars="0"/>
        <w:jc w:val="both"/>
        <w:rPr>
          <w:rFonts w:hint="default" w:ascii="Calibri" w:hAnsi="Calibri" w:cs="Calibri"/>
          <w:sz w:val="22"/>
          <w:szCs w:val="22"/>
          <w:lang w:val="en-US"/>
        </w:rPr>
      </w:pPr>
      <w:r>
        <w:rPr>
          <w:sz w:val="22"/>
          <w:szCs w:val="22"/>
        </w:rPr>
        <w:t>Zhang, Y., Tzortzopoulos, P., &amp; Kagioglou, M. (2023). Healing built-environment effects on health outcomes. Journal of Building Engineering, 63, 105513.</w:t>
      </w:r>
    </w:p>
    <w:sectPr>
      <w:headerReference r:id="rId5" w:type="default"/>
      <w:footerReference r:id="rId6" w:type="default"/>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ptos">
    <w:altName w:val="SimSun"/>
    <w:panose1 w:val="020B0004020202020204"/>
    <w:charset w:val="86"/>
    <w:family w:val="swiss"/>
    <w:pitch w:val="default"/>
    <w:sig w:usb0="00000000" w:usb1="00000000" w:usb2="00000000" w:usb3="00000000" w:csb0="0000019F" w:csb1="00000000"/>
  </w:font>
  <w:font w:name="Aptos">
    <w:altName w:val="Segoe Print"/>
    <w:panose1 w:val="00000000000000000000"/>
    <w:charset w:val="00"/>
    <w:family w:val="auto"/>
    <w:pitch w:val="default"/>
    <w:sig w:usb0="00000000" w:usb1="00000000" w:usb2="00000000" w:usb3="00000000" w:csb0="00000000" w:csb1="00000000"/>
  </w:font>
  <w:font w:name="Aptos Display">
    <w:altName w:val="Segoe Print"/>
    <w:panose1 w:val="020B0004020202020204"/>
    <w:charset w:val="00"/>
    <w:family w:val="swiss"/>
    <w:pitch w:val="default"/>
    <w:sig w:usb0="00000000" w:usb1="00000000" w:usb2="00000000" w:usb3="00000000" w:csb0="0000019F" w:csb1="00000000"/>
  </w:font>
  <w:font w:name="Yu Gothic Light">
    <w:panose1 w:val="020B0300000000000000"/>
    <w:charset w:val="80"/>
    <w:family w:val="auto"/>
    <w:pitch w:val="default"/>
    <w:sig w:usb0="E00002FF" w:usb1="2AC7FDFF" w:usb2="00000016" w:usb3="00000000" w:csb0="2002009F" w:csb1="00000000"/>
  </w:font>
  <w:font w:name="MS Mincho">
    <w:altName w:val="Yu Gothic UI"/>
    <w:panose1 w:val="02020609040205080304"/>
    <w:charset w:val="80"/>
    <w:family w:val="modern"/>
    <w:pitch w:val="default"/>
    <w:sig w:usb0="00000000" w:usb1="00000000" w:usb2="08000012" w:usb3="00000000" w:csb0="0002009F" w:csb1="00000000"/>
  </w:font>
  <w:font w:name="Segoe Print">
    <w:panose1 w:val="02000600000000000000"/>
    <w:charset w:val="00"/>
    <w:family w:val="auto"/>
    <w:pitch w:val="default"/>
    <w:sig w:usb0="0000028F" w:usb1="00000000" w:usb2="00000000" w:usb3="00000000" w:csb0="2000009F" w:csb1="47010000"/>
  </w:font>
  <w:font w:name="Arial Unicode MS">
    <w:panose1 w:val="020B0604020202020204"/>
    <w:charset w:val="86"/>
    <w:family w:val="auto"/>
    <w:pitch w:val="default"/>
    <w:sig w:usb0="FFFFFFFF" w:usb1="E9FFFFFF" w:usb2="0000003F" w:usb3="00000000" w:csb0="603F01FF" w:csb1="FFFF0000"/>
  </w:font>
  <w:font w:name="Yu Gothic UI">
    <w:panose1 w:val="020B0500000000000000"/>
    <w:charset w:val="80"/>
    <w:family w:val="auto"/>
    <w:pitch w:val="default"/>
    <w:sig w:usb0="E00002FF" w:usb1="2AC7FDFF" w:usb2="00000016" w:usb3="00000000" w:csb0="2002009F" w:csb1="00000000"/>
  </w:font>
  <w:font w:name="Stencil">
    <w:panose1 w:val="040409050D0802020404"/>
    <w:charset w:val="00"/>
    <w:family w:val="auto"/>
    <w:pitch w:val="default"/>
    <w:sig w:usb0="00000003" w:usb1="00000000" w:usb2="00000000" w:usb3="00000000" w:csb0="20000001" w:csb1="00000000"/>
  </w:font>
  <w:font w:name="Sitka Text Semibold">
    <w:panose1 w:val="00000000000000000000"/>
    <w:charset w:val="00"/>
    <w:family w:val="auto"/>
    <w:pitch w:val="default"/>
    <w:sig w:usb0="A00002EF" w:usb1="4000204B" w:usb2="00000000" w:usb3="00000000" w:csb0="2000019F" w:csb1="00000000"/>
  </w:font>
  <w:font w:name="Castellar">
    <w:panose1 w:val="020A0402060406010301"/>
    <w:charset w:val="00"/>
    <w:family w:val="auto"/>
    <w:pitch w:val="default"/>
    <w:sig w:usb0="00000003" w:usb1="00000000" w:usb2="00000000" w:usb3="00000000" w:csb0="20000001" w:csb1="00000000"/>
  </w:font>
  <w:font w:name="Candara">
    <w:panose1 w:val="020E0502030303020204"/>
    <w:charset w:val="00"/>
    <w:family w:val="auto"/>
    <w:pitch w:val="default"/>
    <w:sig w:usb0="A00002EF" w:usb1="4000A44B" w:usb2="00000000" w:usb3="00000000" w:csb0="2000019F" w:csb1="00000000"/>
  </w:font>
  <w:font w:name="STKaiti">
    <w:panose1 w:val="02010600040101010101"/>
    <w:charset w:val="86"/>
    <w:family w:val="auto"/>
    <w:pitch w:val="default"/>
    <w:sig w:usb0="00000287" w:usb1="080F0000" w:usb2="00000000" w:usb3="00000000" w:csb0="0004009F" w:csb1="DFD70000"/>
  </w:font>
  <w:font w:name="Corbel">
    <w:panose1 w:val="020B0503020204020204"/>
    <w:charset w:val="00"/>
    <w:family w:val="auto"/>
    <w:pitch w:val="default"/>
    <w:sig w:usb0="A00002EF" w:usb1="4000A44B" w:usb2="00000000" w:usb3="00000000" w:csb0="2000019F" w:csb1="00000000"/>
  </w:font>
  <w:font w:name="Segoe UI Variable Display Semibold">
    <w:panose1 w:val="00000000000000000000"/>
    <w:charset w:val="00"/>
    <w:family w:val="auto"/>
    <w:pitch w:val="default"/>
    <w:sig w:usb0="A00002FF" w:usb1="0000000B" w:usb2="00000000" w:usb3="00000000" w:csb0="2000019F" w:csb1="00000000"/>
  </w:font>
  <w:font w:name="Century">
    <w:panose1 w:val="02040604050505020304"/>
    <w:charset w:val="00"/>
    <w:family w:val="auto"/>
    <w:pitch w:val="default"/>
    <w:sig w:usb0="00000287" w:usb1="00000000" w:usb2="00000000" w:usb3="00000000" w:csb0="2000009F" w:csb1="DFD70000"/>
  </w:font>
  <w:font w:name="STHupo">
    <w:panose1 w:val="02010800040101010101"/>
    <w:charset w:val="86"/>
    <w:family w:val="auto"/>
    <w:pitch w:val="default"/>
    <w:sig w:usb0="00000001" w:usb1="080F0000" w:usb2="00000000" w:usb3="00000000" w:csb0="00040000" w:csb1="00000000"/>
  </w:font>
  <w:font w:name="Wingdings">
    <w:panose1 w:val="05000000000000000000"/>
    <w:charset w:val="00"/>
    <w:family w:val="auto"/>
    <w:pitch w:val="default"/>
    <w:sig w:usb0="00000000" w:usb1="00000000" w:usb2="00000000" w:usb3="00000000" w:csb0="80000000" w:csb1="00000000"/>
  </w:font>
  <w:font w:name="MS PGothic">
    <w:panose1 w:val="020B0600070205080204"/>
    <w:charset w:val="80"/>
    <w:family w:val="auto"/>
    <w:pitch w:val="default"/>
    <w:sig w:usb0="E00002FF" w:usb1="6AC7FDFB" w:usb2="08000012" w:usb3="00000000" w:csb0="4002009F" w:csb1="DFD70000"/>
  </w:font>
  <w:font w:name="STXihei">
    <w:panose1 w:val="02010600040101010101"/>
    <w:charset w:val="86"/>
    <w:family w:val="auto"/>
    <w:pitch w:val="default"/>
    <w:sig w:usb0="00000287" w:usb1="080F0000" w:usb2="00000000" w:usb3="00000000" w:csb0="0004009F" w:csb1="DFD70000"/>
  </w:font>
  <w:font w:name="Centaur">
    <w:panose1 w:val="02030504050205020304"/>
    <w:charset w:val="00"/>
    <w:family w:val="auto"/>
    <w:pitch w:val="default"/>
    <w:sig w:usb0="00000003" w:usb1="00000000" w:usb2="00000000" w:usb3="00000000" w:csb0="2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73924">
    <w:pPr>
      <w:pStyle w:val="14"/>
    </w:pPr>
    <w:r>
      <w:drawing>
        <wp:anchor distT="0" distB="0" distL="114300" distR="114300" simplePos="0" relativeHeight="251659264" behindDoc="1" locked="0" layoutInCell="1" allowOverlap="1">
          <wp:simplePos x="0" y="0"/>
          <wp:positionH relativeFrom="margin">
            <wp:align>right</wp:align>
          </wp:positionH>
          <wp:positionV relativeFrom="paragraph">
            <wp:posOffset>4445</wp:posOffset>
          </wp:positionV>
          <wp:extent cx="1393825" cy="447675"/>
          <wp:effectExtent l="0" t="0" r="0" b="9525"/>
          <wp:wrapTight wrapText="bothSides">
            <wp:wrapPolygon>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972922" name="Picture 2"/>
                  <pic:cNvPicPr>
                    <a:picLocks noChangeAspect="1" noChangeArrowheads="1"/>
                  </pic:cNvPicPr>
                </pic:nvPicPr>
                <pic:blipFill>
                  <a:blip r:embed="rId1">
                    <a:extLst>
                      <a:ext uri="{28A0092B-C50C-407E-A947-70E740481C1C}">
                        <a14:useLocalDpi xmlns:a14="http://schemas.microsoft.com/office/drawing/2010/main" val="0"/>
                      </a:ext>
                    </a:extLst>
                  </a:blip>
                  <a:srcRect t="20520" b="31244"/>
                  <a:stretch>
                    <a:fillRect/>
                  </a:stretch>
                </pic:blipFill>
                <pic:spPr>
                  <a:xfrm>
                    <a:off x="0" y="0"/>
                    <a:ext cx="1393825" cy="447675"/>
                  </a:xfrm>
                  <a:prstGeom prst="rect">
                    <a:avLst/>
                  </a:prstGeom>
                  <a:noFill/>
                  <a:ln>
                    <a:noFill/>
                  </a:ln>
                </pic:spPr>
              </pic:pic>
            </a:graphicData>
          </a:graphic>
        </wp:anchor>
      </w:drawing>
    </w:r>
  </w:p>
  <w:p w14:paraId="50A76650">
    <w:pPr>
      <w:pStyle w:val="14"/>
    </w:pPr>
    <w:r>
      <w:t>6</w:t>
    </w:r>
    <w:r>
      <w:rPr>
        <w:vertAlign w:val="superscript"/>
      </w:rPr>
      <w:t>th</w:t>
    </w:r>
    <w:r>
      <w:t xml:space="preserve"> to the 8</w:t>
    </w:r>
    <w:r>
      <w:rPr>
        <w:vertAlign w:val="superscript"/>
      </w:rPr>
      <w:t>th</w:t>
    </w:r>
    <w:r>
      <w:t xml:space="preserve"> of October 2026 </w:t>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CF128">
    <w:pPr>
      <w:pStyle w:val="15"/>
      <w:jc w:val="center"/>
      <w:rPr>
        <w:sz w:val="40"/>
        <w:szCs w:val="40"/>
      </w:rPr>
    </w:pPr>
    <w:r>
      <w:rPr>
        <w:sz w:val="40"/>
        <w:szCs w:val="40"/>
      </w:rPr>
      <w:t xml:space="preserve">43rd International CIB W78 Conference </w:t>
    </w:r>
  </w:p>
  <w:p w14:paraId="1E8C4CA5">
    <w:pPr>
      <w:pStyle w:val="15"/>
      <w:jc w:val="center"/>
      <w:rPr>
        <w:sz w:val="28"/>
        <w:szCs w:val="28"/>
      </w:rPr>
    </w:pPr>
    <w:r>
      <w:rPr>
        <w:sz w:val="28"/>
        <w:szCs w:val="28"/>
      </w:rPr>
      <w:t>IT in Construction</w:t>
    </w:r>
  </w:p>
  <w:p w14:paraId="076529DD">
    <w:pPr>
      <w:pStyle w:val="15"/>
      <w:jc w:val="center"/>
      <w:rPr>
        <w:sz w:val="28"/>
        <w:szCs w:val="28"/>
      </w:rPr>
    </w:pPr>
    <w:r>
      <w:rPr>
        <w:sz w:val="28"/>
        <w:szCs w:val="28"/>
      </w:rPr>
      <w:t>New Delhi, India</w:t>
    </w:r>
  </w:p>
  <w:p w14:paraId="47C5E8E2">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1854CD"/>
    <w:multiLevelType w:val="singleLevel"/>
    <w:tmpl w:val="841854CD"/>
    <w:lvl w:ilvl="0" w:tentative="0">
      <w:start w:val="1"/>
      <w:numFmt w:val="upperRoman"/>
      <w:lvlText w:val="%1."/>
      <w:lvlJc w:val="left"/>
      <w:pPr>
        <w:tabs>
          <w:tab w:val="left" w:pos="425"/>
        </w:tabs>
        <w:ind w:left="425" w:leftChars="0" w:hanging="425" w:firstLineChars="0"/>
      </w:pPr>
      <w:rPr>
        <w:rFonts w:hint="default"/>
      </w:rPr>
    </w:lvl>
  </w:abstractNum>
  <w:abstractNum w:abstractNumId="1">
    <w:nsid w:val="9A89AAD3"/>
    <w:multiLevelType w:val="multilevel"/>
    <w:tmpl w:val="9A89AAD3"/>
    <w:lvl w:ilvl="0" w:tentative="0">
      <w:start w:val="1"/>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9F5DA095"/>
    <w:multiLevelType w:val="singleLevel"/>
    <w:tmpl w:val="9F5DA095"/>
    <w:lvl w:ilvl="0" w:tentative="0">
      <w:start w:val="1"/>
      <w:numFmt w:val="upperRoman"/>
      <w:lvlText w:val="%1."/>
      <w:lvlJc w:val="left"/>
      <w:pPr>
        <w:tabs>
          <w:tab w:val="left" w:pos="425"/>
        </w:tabs>
        <w:ind w:left="425" w:leftChars="0" w:hanging="425" w:firstLineChars="0"/>
      </w:pPr>
      <w:rPr>
        <w:rFonts w:hint="default"/>
      </w:rPr>
    </w:lvl>
  </w:abstractNum>
  <w:abstractNum w:abstractNumId="3">
    <w:nsid w:val="C4C69C74"/>
    <w:multiLevelType w:val="singleLevel"/>
    <w:tmpl w:val="C4C69C74"/>
    <w:lvl w:ilvl="0" w:tentative="0">
      <w:start w:val="7"/>
      <w:numFmt w:val="decimal"/>
      <w:suff w:val="space"/>
      <w:lvlText w:val="%1."/>
      <w:lvlJc w:val="left"/>
    </w:lvl>
  </w:abstractNum>
  <w:abstractNum w:abstractNumId="4">
    <w:nsid w:val="EE71299C"/>
    <w:multiLevelType w:val="singleLevel"/>
    <w:tmpl w:val="EE71299C"/>
    <w:lvl w:ilvl="0" w:tentative="0">
      <w:start w:val="1"/>
      <w:numFmt w:val="decimal"/>
      <w:lvlText w:val="%1."/>
      <w:lvlJc w:val="left"/>
      <w:pPr>
        <w:tabs>
          <w:tab w:val="left" w:pos="425"/>
        </w:tabs>
        <w:ind w:left="425" w:leftChars="0" w:hanging="425" w:firstLineChars="0"/>
      </w:pPr>
      <w:rPr>
        <w:rFonts w:hint="default"/>
      </w:rPr>
    </w:lvl>
  </w:abstractNum>
  <w:abstractNum w:abstractNumId="5">
    <w:nsid w:val="00FE6FF8"/>
    <w:multiLevelType w:val="singleLevel"/>
    <w:tmpl w:val="00FE6FF8"/>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6">
    <w:nsid w:val="294B02CD"/>
    <w:multiLevelType w:val="singleLevel"/>
    <w:tmpl w:val="294B02CD"/>
    <w:lvl w:ilvl="0" w:tentative="0">
      <w:start w:val="1"/>
      <w:numFmt w:val="decimal"/>
      <w:suff w:val="space"/>
      <w:lvlText w:val="%1."/>
      <w:lvlJc w:val="left"/>
    </w:lvl>
  </w:abstractNum>
  <w:abstractNum w:abstractNumId="7">
    <w:nsid w:val="57A37055"/>
    <w:multiLevelType w:val="singleLevel"/>
    <w:tmpl w:val="57A37055"/>
    <w:lvl w:ilvl="0" w:tentative="0">
      <w:start w:val="1"/>
      <w:numFmt w:val="upperRoman"/>
      <w:lvlText w:val="%1."/>
      <w:lvlJc w:val="left"/>
      <w:pPr>
        <w:tabs>
          <w:tab w:val="left" w:pos="425"/>
        </w:tabs>
        <w:ind w:left="425" w:leftChars="0" w:hanging="425" w:firstLineChars="0"/>
      </w:pPr>
      <w:rPr>
        <w:rFonts w:hint="default"/>
      </w:rPr>
    </w:lvl>
  </w:abstractNum>
  <w:num w:numId="1">
    <w:abstractNumId w:val="1"/>
  </w:num>
  <w:num w:numId="2">
    <w:abstractNumId w:val="5"/>
  </w:num>
  <w:num w:numId="3">
    <w:abstractNumId w:val="6"/>
  </w:num>
  <w:num w:numId="4">
    <w:abstractNumId w:val="0"/>
  </w:num>
  <w:num w:numId="5">
    <w:abstractNumId w:val="7"/>
  </w:num>
  <w:num w:numId="6">
    <w:abstractNumId w:val="2"/>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6E1"/>
    <w:rsid w:val="000225DF"/>
    <w:rsid w:val="00032C8C"/>
    <w:rsid w:val="000505BA"/>
    <w:rsid w:val="00072DD5"/>
    <w:rsid w:val="00090F00"/>
    <w:rsid w:val="0009356B"/>
    <w:rsid w:val="000A60A4"/>
    <w:rsid w:val="000B5F47"/>
    <w:rsid w:val="000C1E10"/>
    <w:rsid w:val="000C3C00"/>
    <w:rsid w:val="000D3519"/>
    <w:rsid w:val="00144958"/>
    <w:rsid w:val="0014752C"/>
    <w:rsid w:val="00151418"/>
    <w:rsid w:val="00155C31"/>
    <w:rsid w:val="00156E05"/>
    <w:rsid w:val="00186E65"/>
    <w:rsid w:val="001C0A47"/>
    <w:rsid w:val="001C1EDC"/>
    <w:rsid w:val="001D382F"/>
    <w:rsid w:val="00206FF8"/>
    <w:rsid w:val="00221D35"/>
    <w:rsid w:val="002421DD"/>
    <w:rsid w:val="00252B9D"/>
    <w:rsid w:val="002740A4"/>
    <w:rsid w:val="002A3E32"/>
    <w:rsid w:val="002B3597"/>
    <w:rsid w:val="002B5C24"/>
    <w:rsid w:val="002C080D"/>
    <w:rsid w:val="002E2E6F"/>
    <w:rsid w:val="0032094A"/>
    <w:rsid w:val="00323A1B"/>
    <w:rsid w:val="003750A9"/>
    <w:rsid w:val="003812D1"/>
    <w:rsid w:val="0039169E"/>
    <w:rsid w:val="003F7151"/>
    <w:rsid w:val="004146B1"/>
    <w:rsid w:val="00421DD0"/>
    <w:rsid w:val="00441645"/>
    <w:rsid w:val="0044491C"/>
    <w:rsid w:val="004663A9"/>
    <w:rsid w:val="0048626F"/>
    <w:rsid w:val="00487D28"/>
    <w:rsid w:val="004915F1"/>
    <w:rsid w:val="00495DA6"/>
    <w:rsid w:val="004B2A1E"/>
    <w:rsid w:val="004E3A77"/>
    <w:rsid w:val="004F519E"/>
    <w:rsid w:val="00500332"/>
    <w:rsid w:val="00502233"/>
    <w:rsid w:val="005035F2"/>
    <w:rsid w:val="005076E1"/>
    <w:rsid w:val="005106B3"/>
    <w:rsid w:val="00516C8D"/>
    <w:rsid w:val="00532A7B"/>
    <w:rsid w:val="005425DF"/>
    <w:rsid w:val="00544950"/>
    <w:rsid w:val="0054548D"/>
    <w:rsid w:val="0056637A"/>
    <w:rsid w:val="005708A9"/>
    <w:rsid w:val="00571F04"/>
    <w:rsid w:val="00573B0D"/>
    <w:rsid w:val="00580AD9"/>
    <w:rsid w:val="0058212C"/>
    <w:rsid w:val="00590157"/>
    <w:rsid w:val="005A6B54"/>
    <w:rsid w:val="005B72F3"/>
    <w:rsid w:val="005C5248"/>
    <w:rsid w:val="005E3928"/>
    <w:rsid w:val="005F1E26"/>
    <w:rsid w:val="0063143B"/>
    <w:rsid w:val="00643C68"/>
    <w:rsid w:val="00643D15"/>
    <w:rsid w:val="006441B5"/>
    <w:rsid w:val="006613F4"/>
    <w:rsid w:val="00665226"/>
    <w:rsid w:val="00671D4E"/>
    <w:rsid w:val="00684A80"/>
    <w:rsid w:val="00686C3F"/>
    <w:rsid w:val="006923A7"/>
    <w:rsid w:val="00692E9E"/>
    <w:rsid w:val="0069550A"/>
    <w:rsid w:val="006A00F5"/>
    <w:rsid w:val="006A0533"/>
    <w:rsid w:val="006B499D"/>
    <w:rsid w:val="006D64FA"/>
    <w:rsid w:val="006E6AE4"/>
    <w:rsid w:val="006E72C6"/>
    <w:rsid w:val="006E77D5"/>
    <w:rsid w:val="006F2E52"/>
    <w:rsid w:val="007146DC"/>
    <w:rsid w:val="0071535D"/>
    <w:rsid w:val="00760F98"/>
    <w:rsid w:val="00764E6F"/>
    <w:rsid w:val="00785219"/>
    <w:rsid w:val="0078613B"/>
    <w:rsid w:val="00797DF1"/>
    <w:rsid w:val="007B23D6"/>
    <w:rsid w:val="007C68E4"/>
    <w:rsid w:val="007D6E60"/>
    <w:rsid w:val="007E2BFD"/>
    <w:rsid w:val="007E3801"/>
    <w:rsid w:val="007E7EB2"/>
    <w:rsid w:val="008300FA"/>
    <w:rsid w:val="00851F3C"/>
    <w:rsid w:val="00852646"/>
    <w:rsid w:val="00861D30"/>
    <w:rsid w:val="0087084A"/>
    <w:rsid w:val="008721C4"/>
    <w:rsid w:val="008969D3"/>
    <w:rsid w:val="008A0058"/>
    <w:rsid w:val="008A00B3"/>
    <w:rsid w:val="008A5BD1"/>
    <w:rsid w:val="008A720A"/>
    <w:rsid w:val="008D68AA"/>
    <w:rsid w:val="008E5D22"/>
    <w:rsid w:val="009424C3"/>
    <w:rsid w:val="009561FA"/>
    <w:rsid w:val="00962A99"/>
    <w:rsid w:val="00965BF0"/>
    <w:rsid w:val="009760B6"/>
    <w:rsid w:val="00982B36"/>
    <w:rsid w:val="00985288"/>
    <w:rsid w:val="009C2E61"/>
    <w:rsid w:val="009D082A"/>
    <w:rsid w:val="00A12106"/>
    <w:rsid w:val="00A1441D"/>
    <w:rsid w:val="00A34FB7"/>
    <w:rsid w:val="00A41BB5"/>
    <w:rsid w:val="00A46C30"/>
    <w:rsid w:val="00A53809"/>
    <w:rsid w:val="00A60F0D"/>
    <w:rsid w:val="00A71C18"/>
    <w:rsid w:val="00A754A7"/>
    <w:rsid w:val="00A834F3"/>
    <w:rsid w:val="00A85FD0"/>
    <w:rsid w:val="00A95440"/>
    <w:rsid w:val="00A957BF"/>
    <w:rsid w:val="00AA4675"/>
    <w:rsid w:val="00AA46CD"/>
    <w:rsid w:val="00AB015F"/>
    <w:rsid w:val="00AB7323"/>
    <w:rsid w:val="00AC1886"/>
    <w:rsid w:val="00AF2C7E"/>
    <w:rsid w:val="00B22EC4"/>
    <w:rsid w:val="00B24E2A"/>
    <w:rsid w:val="00B42868"/>
    <w:rsid w:val="00B64C91"/>
    <w:rsid w:val="00B71121"/>
    <w:rsid w:val="00B835E0"/>
    <w:rsid w:val="00B83A76"/>
    <w:rsid w:val="00B857A1"/>
    <w:rsid w:val="00BA28B2"/>
    <w:rsid w:val="00BA32B7"/>
    <w:rsid w:val="00BB5688"/>
    <w:rsid w:val="00BC68C3"/>
    <w:rsid w:val="00BD5726"/>
    <w:rsid w:val="00C01671"/>
    <w:rsid w:val="00C11E96"/>
    <w:rsid w:val="00C15A75"/>
    <w:rsid w:val="00C26639"/>
    <w:rsid w:val="00C36A1D"/>
    <w:rsid w:val="00C4331C"/>
    <w:rsid w:val="00C43785"/>
    <w:rsid w:val="00C510C5"/>
    <w:rsid w:val="00C5238C"/>
    <w:rsid w:val="00C8199B"/>
    <w:rsid w:val="00C95526"/>
    <w:rsid w:val="00C972CD"/>
    <w:rsid w:val="00CC379A"/>
    <w:rsid w:val="00CE1272"/>
    <w:rsid w:val="00CE519A"/>
    <w:rsid w:val="00D13653"/>
    <w:rsid w:val="00D32AB2"/>
    <w:rsid w:val="00D36C0C"/>
    <w:rsid w:val="00D37E10"/>
    <w:rsid w:val="00D456C2"/>
    <w:rsid w:val="00D57CA1"/>
    <w:rsid w:val="00D6057A"/>
    <w:rsid w:val="00D66E60"/>
    <w:rsid w:val="00D70C7A"/>
    <w:rsid w:val="00D72094"/>
    <w:rsid w:val="00D73281"/>
    <w:rsid w:val="00D77A8C"/>
    <w:rsid w:val="00D95362"/>
    <w:rsid w:val="00DA7A36"/>
    <w:rsid w:val="00DB5D1E"/>
    <w:rsid w:val="00DB6E2E"/>
    <w:rsid w:val="00DC68EE"/>
    <w:rsid w:val="00DD54DC"/>
    <w:rsid w:val="00DE2E52"/>
    <w:rsid w:val="00E1158D"/>
    <w:rsid w:val="00E46AB0"/>
    <w:rsid w:val="00E55CB7"/>
    <w:rsid w:val="00E8697E"/>
    <w:rsid w:val="00EA04A7"/>
    <w:rsid w:val="00EA2329"/>
    <w:rsid w:val="00EA4A03"/>
    <w:rsid w:val="00EC0DA6"/>
    <w:rsid w:val="00EC4B8E"/>
    <w:rsid w:val="00EF1D78"/>
    <w:rsid w:val="00F11A4D"/>
    <w:rsid w:val="00F13F48"/>
    <w:rsid w:val="00F24658"/>
    <w:rsid w:val="00F34381"/>
    <w:rsid w:val="00F511B7"/>
    <w:rsid w:val="00F51243"/>
    <w:rsid w:val="00F83B09"/>
    <w:rsid w:val="00F879AE"/>
    <w:rsid w:val="00F94781"/>
    <w:rsid w:val="00F9785E"/>
    <w:rsid w:val="00FA604B"/>
    <w:rsid w:val="00FB1E47"/>
    <w:rsid w:val="00FD03FF"/>
    <w:rsid w:val="00FD1325"/>
    <w:rsid w:val="00FE1DAF"/>
    <w:rsid w:val="00FF264B"/>
    <w:rsid w:val="17710405"/>
    <w:rsid w:val="2D26701C"/>
    <w:rsid w:val="2D3909C1"/>
    <w:rsid w:val="31EA487D"/>
    <w:rsid w:val="397228F1"/>
    <w:rsid w:val="3D571AE8"/>
    <w:rsid w:val="53AC5825"/>
    <w:rsid w:val="5C594D5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GB" w:eastAsia="en-US" w:bidi="ar-SA"/>
      <w14:ligatures w14:val="standardContextual"/>
    </w:rPr>
  </w:style>
  <w:style w:type="paragraph" w:styleId="2">
    <w:name w:val="heading 1"/>
    <w:basedOn w:val="1"/>
    <w:next w:val="1"/>
    <w:link w:val="22"/>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23"/>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24"/>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5"/>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6"/>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7"/>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8"/>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9"/>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30"/>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Emphasis"/>
    <w:basedOn w:val="11"/>
    <w:qFormat/>
    <w:uiPriority w:val="20"/>
    <w:rPr>
      <w:i/>
      <w:iCs/>
    </w:rPr>
  </w:style>
  <w:style w:type="paragraph" w:styleId="14">
    <w:name w:val="footer"/>
    <w:basedOn w:val="1"/>
    <w:link w:val="41"/>
    <w:unhideWhenUsed/>
    <w:uiPriority w:val="99"/>
    <w:pPr>
      <w:tabs>
        <w:tab w:val="center" w:pos="4513"/>
        <w:tab w:val="right" w:pos="9026"/>
      </w:tabs>
      <w:spacing w:after="0" w:line="240" w:lineRule="auto"/>
    </w:pPr>
  </w:style>
  <w:style w:type="paragraph" w:styleId="15">
    <w:name w:val="header"/>
    <w:basedOn w:val="1"/>
    <w:link w:val="40"/>
    <w:unhideWhenUsed/>
    <w:uiPriority w:val="99"/>
    <w:pPr>
      <w:tabs>
        <w:tab w:val="center" w:pos="4513"/>
        <w:tab w:val="right" w:pos="9026"/>
      </w:tabs>
      <w:spacing w:after="0" w:line="240" w:lineRule="auto"/>
    </w:pPr>
  </w:style>
  <w:style w:type="character" w:styleId="16">
    <w:name w:val="Hyperlink"/>
    <w:basedOn w:val="11"/>
    <w:unhideWhenUsed/>
    <w:uiPriority w:val="99"/>
    <w:rPr>
      <w:color w:val="0000FF"/>
      <w:u w:val="single"/>
    </w:rPr>
  </w:style>
  <w:style w:type="paragraph" w:styleId="17">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kern w:val="0"/>
      <w:sz w:val="24"/>
      <w:szCs w:val="24"/>
      <w:lang w:val="en-US"/>
      <w14:ligatures w14:val="none"/>
    </w:rPr>
  </w:style>
  <w:style w:type="paragraph" w:styleId="18">
    <w:name w:val="Plain Text"/>
    <w:basedOn w:val="1"/>
    <w:link w:val="43"/>
    <w:qFormat/>
    <w:uiPriority w:val="0"/>
    <w:pPr>
      <w:spacing w:after="0" w:line="240" w:lineRule="auto"/>
      <w:jc w:val="both"/>
    </w:pPr>
    <w:rPr>
      <w:rFonts w:ascii="Arial" w:hAnsi="Arial" w:eastAsia="MS Mincho" w:cs="Arial"/>
      <w:kern w:val="0"/>
      <w:sz w:val="18"/>
      <w:szCs w:val="20"/>
      <w14:ligatures w14:val="none"/>
    </w:rPr>
  </w:style>
  <w:style w:type="character" w:styleId="19">
    <w:name w:val="Strong"/>
    <w:basedOn w:val="11"/>
    <w:qFormat/>
    <w:uiPriority w:val="22"/>
    <w:rPr>
      <w:b/>
      <w:bCs/>
    </w:rPr>
  </w:style>
  <w:style w:type="paragraph" w:styleId="20">
    <w:name w:val="Subtitle"/>
    <w:basedOn w:val="1"/>
    <w:next w:val="1"/>
    <w:link w:val="32"/>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1">
    <w:name w:val="Title"/>
    <w:basedOn w:val="1"/>
    <w:next w:val="1"/>
    <w:link w:val="31"/>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22">
    <w:name w:val="Heading 1 Char"/>
    <w:basedOn w:val="11"/>
    <w:link w:val="2"/>
    <w:qFormat/>
    <w:uiPriority w:val="9"/>
    <w:rPr>
      <w:rFonts w:asciiTheme="majorHAnsi" w:hAnsiTheme="majorHAnsi" w:eastAsiaTheme="majorEastAsia" w:cstheme="majorBidi"/>
      <w:color w:val="104862" w:themeColor="accent1" w:themeShade="BF"/>
      <w:sz w:val="40"/>
      <w:szCs w:val="40"/>
    </w:rPr>
  </w:style>
  <w:style w:type="character" w:customStyle="1" w:styleId="23">
    <w:name w:val="Heading 2 Char"/>
    <w:basedOn w:val="11"/>
    <w:link w:val="3"/>
    <w:semiHidden/>
    <w:qFormat/>
    <w:uiPriority w:val="9"/>
    <w:rPr>
      <w:rFonts w:asciiTheme="majorHAnsi" w:hAnsiTheme="majorHAnsi" w:eastAsiaTheme="majorEastAsia" w:cstheme="majorBidi"/>
      <w:color w:val="104862" w:themeColor="accent1" w:themeShade="BF"/>
      <w:sz w:val="32"/>
      <w:szCs w:val="32"/>
    </w:rPr>
  </w:style>
  <w:style w:type="character" w:customStyle="1" w:styleId="24">
    <w:name w:val="Heading 3 Char"/>
    <w:basedOn w:val="11"/>
    <w:link w:val="4"/>
    <w:semiHidden/>
    <w:qFormat/>
    <w:uiPriority w:val="9"/>
    <w:rPr>
      <w:rFonts w:eastAsiaTheme="majorEastAsia" w:cstheme="majorBidi"/>
      <w:color w:val="104862" w:themeColor="accent1" w:themeShade="BF"/>
      <w:sz w:val="28"/>
      <w:szCs w:val="28"/>
    </w:rPr>
  </w:style>
  <w:style w:type="character" w:customStyle="1" w:styleId="25">
    <w:name w:val="Heading 4 Char"/>
    <w:basedOn w:val="11"/>
    <w:link w:val="5"/>
    <w:semiHidden/>
    <w:qFormat/>
    <w:uiPriority w:val="9"/>
    <w:rPr>
      <w:rFonts w:eastAsiaTheme="majorEastAsia" w:cstheme="majorBidi"/>
      <w:i/>
      <w:iCs/>
      <w:color w:val="104862" w:themeColor="accent1" w:themeShade="BF"/>
    </w:rPr>
  </w:style>
  <w:style w:type="character" w:customStyle="1" w:styleId="26">
    <w:name w:val="Heading 5 Char"/>
    <w:basedOn w:val="11"/>
    <w:link w:val="6"/>
    <w:semiHidden/>
    <w:uiPriority w:val="9"/>
    <w:rPr>
      <w:rFonts w:eastAsiaTheme="majorEastAsia" w:cstheme="majorBidi"/>
      <w:color w:val="104862" w:themeColor="accent1" w:themeShade="BF"/>
    </w:rPr>
  </w:style>
  <w:style w:type="character" w:customStyle="1" w:styleId="27">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8">
    <w:name w:val="Heading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30">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1">
    <w:name w:val="Title Char"/>
    <w:basedOn w:val="11"/>
    <w:link w:val="21"/>
    <w:qFormat/>
    <w:uiPriority w:val="10"/>
    <w:rPr>
      <w:rFonts w:asciiTheme="majorHAnsi" w:hAnsiTheme="majorHAnsi" w:eastAsiaTheme="majorEastAsia" w:cstheme="majorBidi"/>
      <w:spacing w:val="-10"/>
      <w:kern w:val="28"/>
      <w:sz w:val="56"/>
      <w:szCs w:val="56"/>
    </w:rPr>
  </w:style>
  <w:style w:type="character" w:customStyle="1" w:styleId="32">
    <w:name w:val="Subtitle Char"/>
    <w:basedOn w:val="11"/>
    <w:link w:val="20"/>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4">
    <w:name w:val="Quote Char"/>
    <w:basedOn w:val="11"/>
    <w:link w:val="33"/>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qFormat/>
    <w:uiPriority w:val="34"/>
    <w:pPr>
      <w:ind w:left="720"/>
      <w:contextualSpacing/>
    </w:pPr>
  </w:style>
  <w:style w:type="character" w:customStyle="1" w:styleId="36">
    <w:name w:val="Intense Emphasis"/>
    <w:basedOn w:val="11"/>
    <w:qFormat/>
    <w:uiPriority w:val="21"/>
    <w:rPr>
      <w:i/>
      <w:iCs/>
      <w:color w:val="104862" w:themeColor="accent1" w:themeShade="BF"/>
    </w:rPr>
  </w:style>
  <w:style w:type="paragraph" w:styleId="37">
    <w:name w:val="Intense Quote"/>
    <w:basedOn w:val="1"/>
    <w:next w:val="1"/>
    <w:link w:val="38"/>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8">
    <w:name w:val="Intense Quote Char"/>
    <w:basedOn w:val="11"/>
    <w:link w:val="37"/>
    <w:qFormat/>
    <w:uiPriority w:val="30"/>
    <w:rPr>
      <w:i/>
      <w:iCs/>
      <w:color w:val="104862" w:themeColor="accent1" w:themeShade="BF"/>
    </w:rPr>
  </w:style>
  <w:style w:type="character" w:customStyle="1" w:styleId="39">
    <w:name w:val="Intense Reference"/>
    <w:basedOn w:val="11"/>
    <w:qFormat/>
    <w:uiPriority w:val="32"/>
    <w:rPr>
      <w:b/>
      <w:bCs/>
      <w:smallCaps/>
      <w:color w:val="104862" w:themeColor="accent1" w:themeShade="BF"/>
      <w:spacing w:val="5"/>
    </w:rPr>
  </w:style>
  <w:style w:type="character" w:customStyle="1" w:styleId="40">
    <w:name w:val="Header Char"/>
    <w:basedOn w:val="11"/>
    <w:link w:val="15"/>
    <w:uiPriority w:val="99"/>
  </w:style>
  <w:style w:type="character" w:customStyle="1" w:styleId="41">
    <w:name w:val="Footer Char"/>
    <w:basedOn w:val="11"/>
    <w:link w:val="14"/>
    <w:uiPriority w:val="99"/>
  </w:style>
  <w:style w:type="paragraph" w:customStyle="1" w:styleId="42">
    <w:name w:val="Author"/>
    <w:basedOn w:val="1"/>
    <w:qFormat/>
    <w:uiPriority w:val="0"/>
    <w:pPr>
      <w:spacing w:after="0" w:line="240" w:lineRule="auto"/>
      <w:jc w:val="both"/>
    </w:pPr>
    <w:rPr>
      <w:rFonts w:ascii="Times New Roman" w:hAnsi="Times New Roman" w:cs="Times New Roman"/>
      <w:kern w:val="0"/>
      <w:sz w:val="24"/>
      <w:szCs w:val="24"/>
      <w:lang w:eastAsia="fi-FI"/>
      <w14:ligatures w14:val="none"/>
    </w:rPr>
  </w:style>
  <w:style w:type="character" w:customStyle="1" w:styleId="43">
    <w:name w:val="Plain Text Char"/>
    <w:basedOn w:val="11"/>
    <w:link w:val="18"/>
    <w:uiPriority w:val="0"/>
    <w:rPr>
      <w:rFonts w:ascii="Arial" w:hAnsi="Arial" w:eastAsia="MS Mincho" w:cs="Arial"/>
      <w:kern w:val="0"/>
      <w:sz w:val="18"/>
      <w:szCs w:val="20"/>
      <w14:ligatures w14:val="none"/>
    </w:rPr>
  </w:style>
  <w:style w:type="character" w:customStyle="1" w:styleId="44">
    <w:name w:val="Unresolved Mention"/>
    <w:basedOn w:val="11"/>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627807-B91A-4F96-8AAF-C0D41CF65247}">
  <ds:schemaRefs/>
</ds:datastoreItem>
</file>

<file path=docProps/app.xml><?xml version="1.0" encoding="utf-8"?>
<Properties xmlns="http://schemas.openxmlformats.org/officeDocument/2006/extended-properties" xmlns:vt="http://schemas.openxmlformats.org/officeDocument/2006/docPropsVTypes">
  <Template>Normal</Template>
  <Pages>10</Pages>
  <Words>5376</Words>
  <Characters>30647</Characters>
  <Lines>255</Lines>
  <Paragraphs>71</Paragraphs>
  <TotalTime>78</TotalTime>
  <ScaleCrop>false</ScaleCrop>
  <LinksUpToDate>false</LinksUpToDate>
  <CharactersWithSpaces>35952</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2026-06-29T07:03:00Z</dcterms:created>
  <dc:creator>Alejandro Moreno-Rangel</dc:creator>
  <cp:lastModifiedBy>sushmita .s.p</cp:lastModifiedBy>
  <cp:lastPrinted>2026-06-28T09:16:00Z</cp:lastPrinted>
  <dcterms:modified xsi:type="dcterms:W3CDTF">2026-09-14T20:21:40Z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y fmtid="{D5CDD505-2E9C-101B-9397-08002B2CF9AE}" pid="3" name="KSOProductBuildVer">
    <vt:lpwstr>2057-12.2.0.23206</vt:lpwstr>
  </property>
  <property fmtid="{D5CDD505-2E9C-101B-9397-08002B2CF9AE}" pid="4" name="ICV">
    <vt:lpwstr>FCD61781F85B48CFB5CF8DEB3F402BAD_13</vt:lpwstr>
  </property>
</Properties>
</file>