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8A84" w14:textId="47DB2B6C" w:rsidR="00452605" w:rsidRDefault="00672320" w:rsidP="00672320">
      <w:pPr>
        <w:pStyle w:val="Title"/>
        <w:spacing w:after="0"/>
        <w:jc w:val="both"/>
        <w:rPr>
          <w:b w:val="0"/>
          <w:color w:val="FF0000"/>
          <w:sz w:val="32"/>
        </w:rPr>
      </w:pPr>
      <w:r w:rsidRPr="00672320">
        <w:rPr>
          <w:lang w:val="en-US"/>
        </w:rPr>
        <w:t xml:space="preserve"> Exploring the Ambiguity Associated with the Actual Magnitude of the Energy Performance Gap in Buildings</w:t>
      </w:r>
      <w:r w:rsidR="00452605" w:rsidRPr="00F05EA2">
        <w:t xml:space="preserve"> </w:t>
      </w:r>
    </w:p>
    <w:p w14:paraId="47FBDFE7" w14:textId="77777777" w:rsidR="00672320" w:rsidRPr="00672320" w:rsidRDefault="00672320" w:rsidP="00672320">
      <w:pPr>
        <w:pStyle w:val="PlainText"/>
        <w:rPr>
          <w:lang w:val="en-US"/>
        </w:rPr>
      </w:pPr>
    </w:p>
    <w:p w14:paraId="4AD10ECF" w14:textId="77797305" w:rsidR="00672320" w:rsidRDefault="00672320" w:rsidP="00F236A4">
      <w:pPr>
        <w:pStyle w:val="PlainText"/>
        <w:jc w:val="center"/>
        <w:rPr>
          <w:rFonts w:ascii="Calibri" w:hAnsi="Calibri" w:cs="Calibri"/>
          <w:bCs/>
          <w:sz w:val="24"/>
          <w:szCs w:val="24"/>
          <w:vertAlign w:val="superscript"/>
          <w:lang w:val="en-US"/>
        </w:rPr>
      </w:pPr>
      <w:r w:rsidRPr="00672320">
        <w:rPr>
          <w:rFonts w:ascii="Calibri" w:hAnsi="Calibri" w:cs="Calibri"/>
          <w:bCs/>
          <w:sz w:val="24"/>
          <w:szCs w:val="24"/>
          <w:lang w:val="en-US"/>
        </w:rPr>
        <w:t>Khaleel Odeh</w:t>
      </w:r>
      <w:r w:rsidRPr="00672320">
        <w:rPr>
          <w:rFonts w:ascii="Calibri" w:hAnsi="Calibri" w:cs="Calibri"/>
          <w:bCs/>
          <w:sz w:val="24"/>
          <w:szCs w:val="24"/>
          <w:vertAlign w:val="superscript"/>
          <w:lang w:val="en-US"/>
        </w:rPr>
        <w:t>1</w:t>
      </w:r>
      <w:r w:rsidRPr="00672320">
        <w:rPr>
          <w:rFonts w:ascii="Calibri" w:hAnsi="Calibri" w:cs="Calibri"/>
          <w:bCs/>
          <w:sz w:val="24"/>
          <w:szCs w:val="24"/>
          <w:lang w:val="en-US"/>
        </w:rPr>
        <w:t>, Md Parvaz</w:t>
      </w:r>
      <w:r w:rsidRPr="00672320">
        <w:rPr>
          <w:rFonts w:ascii="Calibri" w:hAnsi="Calibri" w:cs="Calibri"/>
          <w:bCs/>
          <w:sz w:val="24"/>
          <w:szCs w:val="24"/>
          <w:vertAlign w:val="superscript"/>
          <w:lang w:val="en-US"/>
        </w:rPr>
        <w:t>2</w:t>
      </w:r>
      <w:r w:rsidRPr="00672320">
        <w:rPr>
          <w:rFonts w:ascii="Calibri" w:hAnsi="Calibri" w:cs="Calibri"/>
          <w:bCs/>
          <w:sz w:val="24"/>
          <w:szCs w:val="24"/>
          <w:lang w:val="en-US"/>
        </w:rPr>
        <w:t>, Jitendra Jakkula</w:t>
      </w:r>
      <w:r w:rsidRPr="00672320">
        <w:rPr>
          <w:rFonts w:ascii="Calibri" w:hAnsi="Calibri" w:cs="Calibri"/>
          <w:bCs/>
          <w:sz w:val="24"/>
          <w:szCs w:val="24"/>
          <w:vertAlign w:val="superscript"/>
          <w:lang w:val="en-US"/>
        </w:rPr>
        <w:t>2</w:t>
      </w:r>
      <w:r w:rsidRPr="00672320">
        <w:rPr>
          <w:rFonts w:ascii="Calibri" w:hAnsi="Calibri" w:cs="Calibri"/>
          <w:bCs/>
          <w:sz w:val="24"/>
          <w:szCs w:val="24"/>
          <w:lang w:val="en-US"/>
        </w:rPr>
        <w:t>, Pieter de Wilde</w:t>
      </w:r>
      <w:r w:rsidRPr="00672320">
        <w:rPr>
          <w:rFonts w:ascii="Calibri" w:hAnsi="Calibri" w:cs="Calibri"/>
          <w:bCs/>
          <w:sz w:val="24"/>
          <w:szCs w:val="24"/>
          <w:vertAlign w:val="superscript"/>
          <w:lang w:val="en-US"/>
        </w:rPr>
        <w:t>2</w:t>
      </w:r>
      <w:r w:rsidRPr="00672320">
        <w:rPr>
          <w:rFonts w:ascii="Calibri" w:hAnsi="Calibri" w:cs="Calibri"/>
          <w:bCs/>
          <w:sz w:val="24"/>
          <w:szCs w:val="24"/>
          <w:lang w:val="en-US"/>
        </w:rPr>
        <w:t>, Lori McElroy</w:t>
      </w:r>
      <w:r w:rsidRPr="00672320">
        <w:rPr>
          <w:rFonts w:ascii="Calibri" w:hAnsi="Calibri" w:cs="Calibri"/>
          <w:bCs/>
          <w:sz w:val="24"/>
          <w:szCs w:val="24"/>
          <w:vertAlign w:val="superscript"/>
          <w:lang w:val="en-US"/>
        </w:rPr>
        <w:t>1</w:t>
      </w:r>
    </w:p>
    <w:p w14:paraId="6A4D70F6" w14:textId="77777777" w:rsidR="00F236A4" w:rsidRPr="00672320" w:rsidRDefault="00F236A4" w:rsidP="00F236A4">
      <w:pPr>
        <w:pStyle w:val="PlainText"/>
        <w:jc w:val="center"/>
        <w:rPr>
          <w:rFonts w:ascii="Calibri" w:hAnsi="Calibri" w:cs="Calibri"/>
          <w:bCs/>
          <w:sz w:val="24"/>
          <w:szCs w:val="24"/>
        </w:rPr>
      </w:pPr>
    </w:p>
    <w:p w14:paraId="5131F93C" w14:textId="587AEA20" w:rsidR="00672320" w:rsidRPr="00672320" w:rsidRDefault="00672320" w:rsidP="00672320">
      <w:pPr>
        <w:pStyle w:val="PlainText"/>
        <w:ind w:left="567" w:right="567" w:hanging="567"/>
        <w:jc w:val="center"/>
        <w:rPr>
          <w:rFonts w:ascii="Calibri" w:hAnsi="Calibri" w:cs="Calibri"/>
          <w:sz w:val="24"/>
          <w:szCs w:val="24"/>
          <w:lang w:val="en-US"/>
        </w:rPr>
      </w:pPr>
      <w:r w:rsidRPr="00672320">
        <w:rPr>
          <w:rFonts w:ascii="Calibri" w:hAnsi="Calibri" w:cs="Calibri"/>
          <w:sz w:val="24"/>
          <w:szCs w:val="24"/>
          <w:vertAlign w:val="superscript"/>
          <w:lang w:val="en-US"/>
        </w:rPr>
        <w:t>1</w:t>
      </w:r>
      <w:r w:rsidRPr="00672320">
        <w:rPr>
          <w:rFonts w:ascii="Calibri" w:hAnsi="Calibri" w:cs="Calibri"/>
          <w:sz w:val="24"/>
          <w:szCs w:val="24"/>
          <w:lang w:val="en-US"/>
        </w:rPr>
        <w:t>University of Strathclyde, Glasgow, United Kingdom</w:t>
      </w:r>
    </w:p>
    <w:p w14:paraId="0850CE41" w14:textId="05334B11" w:rsidR="00D9398E" w:rsidRPr="00672320" w:rsidRDefault="00672320" w:rsidP="00672320">
      <w:pPr>
        <w:pStyle w:val="PlainText"/>
        <w:ind w:left="567" w:right="567" w:hanging="567"/>
        <w:jc w:val="center"/>
        <w:rPr>
          <w:rFonts w:ascii="Calibri" w:hAnsi="Calibri"/>
          <w:sz w:val="24"/>
          <w:szCs w:val="24"/>
        </w:rPr>
      </w:pPr>
      <w:r w:rsidRPr="00672320">
        <w:rPr>
          <w:rFonts w:ascii="Calibri" w:hAnsi="Calibri" w:cs="Calibri"/>
          <w:sz w:val="24"/>
          <w:szCs w:val="24"/>
          <w:vertAlign w:val="superscript"/>
          <w:lang w:val="en-US"/>
        </w:rPr>
        <w:t xml:space="preserve">2 </w:t>
      </w:r>
      <w:r w:rsidRPr="00672320">
        <w:rPr>
          <w:rFonts w:ascii="Calibri" w:hAnsi="Calibri" w:cs="Calibri"/>
          <w:sz w:val="24"/>
          <w:szCs w:val="24"/>
          <w:lang w:val="en-US"/>
        </w:rPr>
        <w:t>Lund University, Lund, Sweden</w:t>
      </w: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54219408" w:rsidR="00CB2332" w:rsidRDefault="00C31D5E" w:rsidP="00CB2332">
      <w:pPr>
        <w:pStyle w:val="AbstractHeading"/>
      </w:pPr>
      <w:r w:rsidRPr="00246E7B">
        <w:t>ABSTRA</w:t>
      </w:r>
      <w:r w:rsidR="00246E7B" w:rsidRPr="00246E7B">
        <w:t>CT</w:t>
      </w:r>
      <w:r w:rsidR="00672320">
        <w:t>:</w:t>
      </w:r>
    </w:p>
    <w:p w14:paraId="07F29ED9" w14:textId="77777777" w:rsidR="00672320" w:rsidRPr="00672320" w:rsidRDefault="00672320" w:rsidP="00672320">
      <w:pPr>
        <w:pStyle w:val="Abstracttext"/>
        <w:rPr>
          <w:lang w:val="en-US"/>
        </w:rPr>
      </w:pPr>
    </w:p>
    <w:p w14:paraId="12CCC09A" w14:textId="0F64CF7B" w:rsidR="00C31D5E" w:rsidRDefault="00672320" w:rsidP="00F236A4">
      <w:pPr>
        <w:pStyle w:val="Abstracttext"/>
      </w:pPr>
      <w:r w:rsidRPr="00672320">
        <w:rPr>
          <w:bCs w:val="0"/>
          <w:lang w:val="en-US"/>
        </w:rPr>
        <w:t xml:space="preserve">This paper investigates </w:t>
      </w:r>
      <w:r w:rsidR="00F236A4" w:rsidRPr="00F236A4">
        <w:t>the extent of the energy performance gap in buildings, defined as the di</w:t>
      </w:r>
      <w:r w:rsidR="00F236A4">
        <w:t>sparity</w:t>
      </w:r>
      <w:r w:rsidR="00F236A4" w:rsidRPr="00F236A4">
        <w:t xml:space="preserve"> between measured and </w:t>
      </w:r>
      <w:r w:rsidR="00F236A4">
        <w:t>simulated energy use</w:t>
      </w:r>
      <w:r w:rsidR="00F236A4" w:rsidRPr="00F236A4">
        <w:t xml:space="preserve">. It underscores the persistent uncertainty regarding the true magnitude of this gap, particularly in light of the diverse benchmarks employed to evaluate </w:t>
      </w:r>
      <w:r w:rsidR="00F236A4">
        <w:t>the extent of the gap</w:t>
      </w:r>
      <w:r w:rsidR="00F236A4" w:rsidRPr="00F236A4">
        <w:t xml:space="preserve">. A detailed case study is presented, entailing the development of four thermal energy models using four dynamic simulation tools to </w:t>
      </w:r>
      <w:r w:rsidR="00F236A4" w:rsidRPr="00F236A4">
        <w:rPr>
          <w:bCs w:val="0"/>
        </w:rPr>
        <w:t>further examine discrepancies among simulation tools.</w:t>
      </w:r>
      <w:r w:rsidR="00F236A4" w:rsidRPr="00F236A4">
        <w:t xml:space="preserve"> Various simulation scenarios are conducted to evaluate the impact of differing input assumptions on the magnitude of the performance gap. The findings indicate substantial discrepancies in simulated outcomes across the tools, particularly in relation to heating and overall electricity consumption, alongside marked deviations from empirically measured energy use.</w:t>
      </w:r>
    </w:p>
    <w:p w14:paraId="6EFF2DEE" w14:textId="77777777" w:rsidR="00BF5B80" w:rsidRPr="00017B66" w:rsidRDefault="00BF5B80" w:rsidP="00017B66">
      <w:pPr>
        <w:pStyle w:val="Abstracttext"/>
      </w:pPr>
    </w:p>
    <w:p w14:paraId="072547D4" w14:textId="60B5E1BF" w:rsidR="00B86B2E" w:rsidRDefault="008B6A2D" w:rsidP="00896AB3">
      <w:pPr>
        <w:pStyle w:val="Keywordsheading"/>
      </w:pPr>
      <w:r>
        <w:t>KEYWORDS</w:t>
      </w:r>
      <w:r w:rsidR="00672320" w:rsidRPr="00F236A4">
        <w:t>:</w:t>
      </w:r>
    </w:p>
    <w:p w14:paraId="45ACA9DE" w14:textId="648378D5" w:rsidR="00452605" w:rsidRPr="00672320" w:rsidRDefault="00672320" w:rsidP="00672320">
      <w:pPr>
        <w:pStyle w:val="Keywordstext"/>
        <w:rPr>
          <w:lang w:val="en-US"/>
        </w:rPr>
      </w:pPr>
      <w:r w:rsidRPr="00672320">
        <w:rPr>
          <w:bCs/>
          <w:lang w:val="en-US"/>
        </w:rPr>
        <w:t>Energy Performance Gap, Building Energy Analysis, Magnitude, Energy Policy, Standardization.</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3F3F2AC1" w14:textId="42D33003" w:rsidR="00672320" w:rsidRPr="00672320" w:rsidRDefault="0095653F" w:rsidP="00FE056D">
      <w:pPr>
        <w:pStyle w:val="Heading1"/>
      </w:pPr>
      <w:r w:rsidRPr="00F05EA2">
        <w:t xml:space="preserve">1. </w:t>
      </w:r>
      <w:r w:rsidR="00452605" w:rsidRPr="00F05EA2">
        <w:t xml:space="preserve">INTRODUCTION </w:t>
      </w:r>
    </w:p>
    <w:p w14:paraId="6CAAACEF" w14:textId="2DE520A1" w:rsidR="00672320" w:rsidRPr="00CF46D4" w:rsidRDefault="00672320" w:rsidP="00F236A4">
      <w:pPr>
        <w:pStyle w:val="MainText"/>
        <w:rPr>
          <w:bCs/>
          <w:lang w:val="en-US"/>
        </w:rPr>
      </w:pPr>
      <w:r w:rsidRPr="00672320">
        <w:rPr>
          <w:bCs/>
          <w:lang w:val="en-US"/>
        </w:rPr>
        <w:t xml:space="preserve"> </w:t>
      </w:r>
      <w:r w:rsidR="00F236A4" w:rsidRPr="00CF46D4">
        <w:t>The term gap is generally understood to denote a discrepancy or difference. Within the context of the energy performance gap (EPG) in buildings</w:t>
      </w:r>
      <w:r w:rsidR="00CF46D4">
        <w:t xml:space="preserve">, </w:t>
      </w:r>
      <w:r w:rsidR="00F236A4" w:rsidRPr="00CF46D4">
        <w:t>commonly defined as the divergence between anticipated (i.e., simulated, designed, predicted, or calculated) and actual (i.e., measured, achieved, or realized) energy performance</w:t>
      </w:r>
      <w:r w:rsidR="00CF46D4">
        <w:t xml:space="preserve">, </w:t>
      </w:r>
      <w:r w:rsidR="00F236A4" w:rsidRPr="00CF46D4">
        <w:t>the interpretation of the term</w:t>
      </w:r>
      <w:r w:rsidR="00CF46D4">
        <w:t xml:space="preserve"> gap</w:t>
      </w:r>
      <w:r w:rsidR="00F236A4" w:rsidRPr="00CF46D4">
        <w:t xml:space="preserve"> is both broad and multifaceted. This complexity stems from the heterogeneity of building regulations, as well as the diverse methodologies employed for energy prediction and performance measurement</w:t>
      </w:r>
      <w:r w:rsidR="00F236A4" w:rsidRPr="00CF46D4">
        <w:rPr>
          <w:b/>
          <w:bCs/>
          <w:lang w:val="en-US"/>
        </w:rPr>
        <w:t xml:space="preserve"> </w:t>
      </w:r>
      <w:r w:rsidRPr="00CF46D4">
        <w:rPr>
          <w:bCs/>
          <w:lang w:val="en-US"/>
        </w:rPr>
        <w:t xml:space="preserve">(de Wilde, 2014; Shi et al., 2019). </w:t>
      </w:r>
    </w:p>
    <w:p w14:paraId="17E980DB" w14:textId="69FC4FF8" w:rsidR="00CF46D4" w:rsidRPr="00CF46D4" w:rsidRDefault="00CF46D4" w:rsidP="00CF46D4">
      <w:pPr>
        <w:pStyle w:val="MainText"/>
      </w:pPr>
      <w:r w:rsidRPr="00CF46D4">
        <w:t xml:space="preserve">The methodological approach employed to quantify the magnitude of the EPG in a given study often reflects the specific interpretation or </w:t>
      </w:r>
      <w:r w:rsidRPr="00CF46D4">
        <w:t xml:space="preserve">operational definition of the EPG adopted within that context. However, this variability gives rise to significant challenges when attempting to synthesize or compare quantitative findings across multiple studies. For example, a building’s measured energy performance may be assessed against simulated, calculated, or target energy benchmarks. When aggregating data from diverse sources, discrepancies in the reference baseline—whether simulated or target performance—are often overlooked. In one study, the EPG may be defined as the deviation between measured and simulated performance, while in another, it may refer to the difference between measured and target performance. Such inconsistencies complicate efforts to draw robust conclusions regarding the </w:t>
      </w:r>
      <w:r w:rsidRPr="00CF46D4">
        <w:lastRenderedPageBreak/>
        <w:t>severity and implications of the EPG, particularly from the perspectives of researchers, stakeholders within the architecture, engineering, and construction (AEC) industry, governmental agencies, and professional institutions.</w:t>
      </w:r>
    </w:p>
    <w:p w14:paraId="29BBE1F2" w14:textId="20152DA4" w:rsidR="00672320" w:rsidRDefault="00CF46D4" w:rsidP="00CF46D4">
      <w:pPr>
        <w:pStyle w:val="MainText"/>
        <w:rPr>
          <w:lang w:val="en-US"/>
        </w:rPr>
      </w:pPr>
      <w:r w:rsidRPr="00CF46D4">
        <w:rPr>
          <w:bCs/>
        </w:rPr>
        <w:t>It may be reasonably argued that variations in the magnitude of the EPG are to be expected, given the differences in quantification methodologies and simulation scenarios employed, even when measured performance remains constant across cases. Nevertheless, to effectively address the numerous well-documented challenges associated with the EPG, it is imperative to standardize the methodology used for quantifying its magnitude, anchored to a consistent and reliable energy benchmark. Such standardization is essential for accurately assessing the scale and implications of the EPG at local, municipal, national, and international levels. These implications include, but are not limited to, the management of energy supply and demand in the built environment and the widely recognized difficulty of meeting carbon reduction targets—objectives that are unlikely to be achieved without a fundamental transformation in building design, construction practices, and operational strategies</w:t>
      </w:r>
      <w:r w:rsidRPr="00CF46D4">
        <w:rPr>
          <w:b/>
          <w:lang w:val="en-US"/>
        </w:rPr>
        <w:t xml:space="preserve"> </w:t>
      </w:r>
      <w:r w:rsidR="00672320" w:rsidRPr="00672320">
        <w:rPr>
          <w:lang w:val="en-US"/>
        </w:rPr>
        <w:t>(Zou et al., 2018; Brady and Hanmer-Dwight, 2016).</w:t>
      </w:r>
      <w:r w:rsidR="00672320">
        <w:rPr>
          <w:lang w:val="en-US"/>
        </w:rPr>
        <w:t xml:space="preserve"> </w:t>
      </w:r>
    </w:p>
    <w:p w14:paraId="7B3261A0" w14:textId="48A17113" w:rsidR="00452605" w:rsidRDefault="00CF46D4" w:rsidP="00CF46D4">
      <w:pPr>
        <w:pStyle w:val="MainText"/>
        <w:rPr>
          <w:bCs/>
          <w:lang w:val="en-US"/>
        </w:rPr>
      </w:pPr>
      <w:r>
        <w:rPr>
          <w:bCs/>
          <w:lang w:val="en-US"/>
        </w:rPr>
        <w:t xml:space="preserve">Furthermore, </w:t>
      </w:r>
      <w:r w:rsidRPr="00CF46D4">
        <w:rPr>
          <w:bCs/>
          <w:lang w:val="en-US"/>
        </w:rPr>
        <w:t>when the EPG is quantified by comparing measured and simulated energy performance, several factors</w:t>
      </w:r>
      <w:r>
        <w:rPr>
          <w:bCs/>
          <w:lang w:val="en-US"/>
        </w:rPr>
        <w:t xml:space="preserve"> </w:t>
      </w:r>
      <w:r w:rsidRPr="00CF46D4">
        <w:rPr>
          <w:bCs/>
          <w:lang w:val="en-US"/>
        </w:rPr>
        <w:t xml:space="preserve">such as the quality of </w:t>
      </w:r>
      <w:r>
        <w:rPr>
          <w:bCs/>
          <w:lang w:val="en-US"/>
        </w:rPr>
        <w:t>a</w:t>
      </w:r>
      <w:r w:rsidRPr="00CF46D4">
        <w:rPr>
          <w:bCs/>
          <w:lang w:val="en-US"/>
        </w:rPr>
        <w:t xml:space="preserve"> simulation model, the precision of input parameters, and the expertise of energy analysts</w:t>
      </w:r>
      <w:r>
        <w:rPr>
          <w:bCs/>
          <w:lang w:val="en-US"/>
        </w:rPr>
        <w:t xml:space="preserve"> </w:t>
      </w:r>
      <w:r w:rsidRPr="00CF46D4">
        <w:rPr>
          <w:bCs/>
          <w:lang w:val="en-US"/>
        </w:rPr>
        <w:t>introduce additional layers of complexity in accurately determining the true magnitude of the gap. For example, the exclusion or misrepresentation of critical parameters in either the simulation or measurement process can result in inconsistent comparisons, thereby complicating efforts to establish reliable cross-study correlations. Furthermore, discrepancies in EPG values may persist even when identical energy models, assumptions, and input data are employed</w:t>
      </w:r>
      <w:r w:rsidR="00664664">
        <w:rPr>
          <w:bCs/>
          <w:lang w:val="en-US"/>
        </w:rPr>
        <w:t xml:space="preserve"> </w:t>
      </w:r>
      <w:r w:rsidRPr="00CF46D4">
        <w:rPr>
          <w:bCs/>
          <w:lang w:val="en-US"/>
        </w:rPr>
        <w:t>particularly in cases where different simulation tools are used or when simulations are conducted by multiple analysts, each potentially applying unique modelling practices or interpretations.</w:t>
      </w:r>
    </w:p>
    <w:p w14:paraId="4EB56D7C" w14:textId="72A831C6" w:rsidR="00CF46D4" w:rsidRPr="00CF46D4" w:rsidRDefault="00CF46D4" w:rsidP="00CF46D4">
      <w:pPr>
        <w:pStyle w:val="MainText"/>
        <w:rPr>
          <w:bCs/>
        </w:rPr>
      </w:pPr>
      <w:r w:rsidRPr="00CF46D4">
        <w:rPr>
          <w:bCs/>
        </w:rPr>
        <w:t xml:space="preserve">The compliance gap between simulated and measured energy performance should not be regarded as an accurate representation of a building’s actual performance. When this discrepancy is examined, simulation assumptions are typically revised to better reflect real-world operating conditions. The actual EPG is often defined through a process known as calibration, wherein the simulation model is adjusted to account for observed operational conditions, actual weather data, occupant behaviour, and the performance </w:t>
      </w:r>
      <w:r w:rsidRPr="00CF46D4">
        <w:rPr>
          <w:bCs/>
        </w:rPr>
        <w:t>characteristics of various energy systems. This calibration process enhances the accuracy of simulation models and supports the assessment of the effectiveness of energy</w:t>
      </w:r>
      <w:r>
        <w:rPr>
          <w:bCs/>
        </w:rPr>
        <w:t xml:space="preserve"> </w:t>
      </w:r>
      <w:r w:rsidRPr="00CF46D4">
        <w:rPr>
          <w:bCs/>
        </w:rPr>
        <w:t xml:space="preserve">saving </w:t>
      </w:r>
      <w:r>
        <w:rPr>
          <w:bCs/>
        </w:rPr>
        <w:t>measures</w:t>
      </w:r>
      <w:r w:rsidRPr="00CF46D4">
        <w:rPr>
          <w:bCs/>
        </w:rPr>
        <w:t xml:space="preserve"> in mitigating the EPG</w:t>
      </w:r>
      <w:r w:rsidR="00345AE7">
        <w:rPr>
          <w:bCs/>
        </w:rPr>
        <w:t xml:space="preserve"> </w:t>
      </w:r>
      <w:r w:rsidRPr="00CF46D4">
        <w:rPr>
          <w:bCs/>
        </w:rPr>
        <w:t>ultimately contributing to improved overall building performance.</w:t>
      </w:r>
    </w:p>
    <w:p w14:paraId="0FEE95D4" w14:textId="63BA194A" w:rsidR="00345AE7" w:rsidRPr="00345AE7" w:rsidRDefault="00345AE7" w:rsidP="00345AE7">
      <w:pPr>
        <w:pStyle w:val="MainText"/>
      </w:pPr>
      <w:r w:rsidRPr="00345AE7">
        <w:t>From the authors’ perspective, while it is essential to investigate EPGs arising from discrepancies between measured and simulated energy performance, it is even more critical to adopt a more holistic and stakeholder-informed approach to understanding and addressing the EPG. Such an approach should account for the diverse interests and priorities of stakeholders. Simulation tools play a pivotal role in achieving energy performance targets set by building regulations and sustainability certification schemes, such as Passivhaus (PH), nearly Zero Energy Building (</w:t>
      </w:r>
      <w:proofErr w:type="spellStart"/>
      <w:r w:rsidRPr="00345AE7">
        <w:t>nZEB</w:t>
      </w:r>
      <w:proofErr w:type="spellEnd"/>
      <w:r w:rsidRPr="00345AE7">
        <w:t>) standards, and performance-based rating systems like the National Australian Built Environment Rating System (NABERS), which derives its ratings from actual measured energy use.</w:t>
      </w:r>
    </w:p>
    <w:p w14:paraId="7CCCC9FF" w14:textId="77777777" w:rsidR="00345AE7" w:rsidRPr="00345AE7" w:rsidRDefault="00345AE7" w:rsidP="00345AE7">
      <w:pPr>
        <w:pStyle w:val="MainText"/>
        <w:rPr>
          <w:bCs/>
        </w:rPr>
      </w:pPr>
      <w:r w:rsidRPr="00345AE7">
        <w:rPr>
          <w:bCs/>
        </w:rPr>
        <w:t>In contrast to compliance modelling which is frequently regarded as a box-ticking exercise that inadequately represents the actual performance of buildings, the EPG between measured and target energy consumption offers a more meaningful metric. This is because it provides a basis for identifying performance deviations and implementing targeted mitigation strategies and energy-saving interventions. Within this context, dynamic simulation tools should not be viewed solely as instruments for regulatory compliance; rather, they serve as valuable tools for risk analysis, enabling the exploration of alternative design strategies and operational scenarios to achieve defined energy performance objectives.</w:t>
      </w:r>
    </w:p>
    <w:p w14:paraId="50297DC1" w14:textId="16EDF7BB" w:rsidR="00345AE7" w:rsidRPr="00345AE7" w:rsidRDefault="00345AE7" w:rsidP="00345AE7">
      <w:pPr>
        <w:pStyle w:val="MainText"/>
        <w:rPr>
          <w:bCs/>
          <w:lang w:val="en-US"/>
        </w:rPr>
      </w:pPr>
      <w:r w:rsidRPr="00345AE7">
        <w:rPr>
          <w:bCs/>
          <w:lang w:val="en-US"/>
        </w:rPr>
        <w:t>In a policy-oriented context, where building typology and geographical location are recognized as influential factors in understanding the energy performance gap (EPG), professional bodies such as the Chartered Institution of Building Services Engineers (CIBSE) in the UK have introduced energy benchmarks</w:t>
      </w:r>
      <w:r>
        <w:rPr>
          <w:bCs/>
          <w:lang w:val="en-US"/>
        </w:rPr>
        <w:t xml:space="preserve"> </w:t>
      </w:r>
      <w:r w:rsidRPr="00345AE7">
        <w:rPr>
          <w:bCs/>
          <w:lang w:val="en-US"/>
        </w:rPr>
        <w:t>categorized as ‘typical’ and ‘good practice’</w:t>
      </w:r>
      <w:r>
        <w:rPr>
          <w:bCs/>
          <w:lang w:val="en-US"/>
        </w:rPr>
        <w:t xml:space="preserve"> </w:t>
      </w:r>
      <w:r w:rsidRPr="00345AE7">
        <w:rPr>
          <w:bCs/>
          <w:lang w:val="en-US"/>
        </w:rPr>
        <w:t xml:space="preserve">to facilitate a more informed assessment of building performance. These benchmarks serve as reference points to contextualize the EPG and highlight the extent of performance deviations. However, significant variability can arise when the EPG for a single building is assessed against both benchmark types. For instance, the measured energy use may fall below the typical benchmark, suggesting a </w:t>
      </w:r>
      <w:r w:rsidR="007848ED" w:rsidRPr="00345AE7">
        <w:rPr>
          <w:bCs/>
          <w:lang w:val="en-US"/>
        </w:rPr>
        <w:t>favorable</w:t>
      </w:r>
      <w:r w:rsidRPr="00345AE7">
        <w:rPr>
          <w:bCs/>
          <w:lang w:val="en-US"/>
        </w:rPr>
        <w:t xml:space="preserve"> outcome, while exceeding the good practice benchmark, indicating underperformance. Such inconsistencies obscure the true magnitude of the EPG and complicate its interpretation.</w:t>
      </w:r>
    </w:p>
    <w:p w14:paraId="62CA4820" w14:textId="3FB0CF36" w:rsidR="00345AE7" w:rsidRPr="00345AE7" w:rsidRDefault="00345AE7" w:rsidP="00345AE7">
      <w:pPr>
        <w:pStyle w:val="MainText"/>
        <w:rPr>
          <w:bCs/>
          <w:lang w:val="en-US"/>
        </w:rPr>
      </w:pPr>
      <w:r w:rsidRPr="00345AE7">
        <w:rPr>
          <w:bCs/>
          <w:lang w:val="en-US"/>
        </w:rPr>
        <w:lastRenderedPageBreak/>
        <w:t>From an investor’s standpoint, the EPG is not solely an energy-related discrepancy, but also a financial concern</w:t>
      </w:r>
      <w:r>
        <w:rPr>
          <w:bCs/>
          <w:lang w:val="en-US"/>
        </w:rPr>
        <w:t xml:space="preserve"> </w:t>
      </w:r>
      <w:r w:rsidRPr="00345AE7">
        <w:rPr>
          <w:bCs/>
          <w:lang w:val="en-US"/>
        </w:rPr>
        <w:t>manifesting as a variance between projected and actual operational expenditures. From an environmental perspective, the EPG poses a substantial barrier to achieving carbon reduction targets in a timely manner. Accordingly, there is an urgent need to investigate the impact of the EPG on climate objectives and to identify the energy efficiency measures required across different building types to meet decarbonization goals.</w:t>
      </w:r>
    </w:p>
    <w:p w14:paraId="491B19E1" w14:textId="04F3B74E" w:rsidR="00345AE7" w:rsidRPr="00345AE7" w:rsidRDefault="00345AE7" w:rsidP="00345AE7">
      <w:pPr>
        <w:pStyle w:val="MainText"/>
        <w:rPr>
          <w:lang w:val="en-US"/>
        </w:rPr>
      </w:pPr>
      <w:r w:rsidRPr="00345AE7">
        <w:rPr>
          <w:lang w:val="en-US"/>
        </w:rPr>
        <w:t>This study aims to explore the actual magnitude of the EPG from the perspective of various stakeholders. Specifically, it investigates how the EPG can be meaningfully interpreted by researchers, energy analysts, policymakers, and professional institutions involved in the development of energy benchmarks and building standards, such as the Passivhaus (PH) standard. To achieve this aim, the study is guided by the following objectives:</w:t>
      </w:r>
    </w:p>
    <w:p w14:paraId="2FBC97BE" w14:textId="77777777" w:rsidR="00345AE7" w:rsidRPr="00345AE7" w:rsidRDefault="00345AE7" w:rsidP="00345AE7">
      <w:pPr>
        <w:pStyle w:val="Heading1"/>
        <w:numPr>
          <w:ilvl w:val="0"/>
          <w:numId w:val="6"/>
        </w:numPr>
        <w:jc w:val="both"/>
        <w:rPr>
          <w:rFonts w:eastAsia="MS Mincho"/>
          <w:b w:val="0"/>
          <w:bCs/>
          <w:szCs w:val="20"/>
          <w:lang w:val="en-US"/>
        </w:rPr>
      </w:pPr>
      <w:r w:rsidRPr="00345AE7">
        <w:rPr>
          <w:rFonts w:eastAsia="MS Mincho"/>
          <w:b w:val="0"/>
          <w:bCs/>
          <w:szCs w:val="20"/>
          <w:lang w:val="en-US"/>
        </w:rPr>
        <w:t>To investigate the ambiguity surrounding the actual magnitude of the EPG.</w:t>
      </w:r>
    </w:p>
    <w:p w14:paraId="7116270B" w14:textId="77777777" w:rsidR="00345AE7" w:rsidRPr="00345AE7" w:rsidRDefault="00345AE7" w:rsidP="00345AE7">
      <w:pPr>
        <w:pStyle w:val="Heading1"/>
        <w:numPr>
          <w:ilvl w:val="0"/>
          <w:numId w:val="6"/>
        </w:numPr>
        <w:jc w:val="both"/>
        <w:rPr>
          <w:rFonts w:eastAsia="MS Mincho"/>
          <w:b w:val="0"/>
          <w:bCs/>
          <w:szCs w:val="20"/>
          <w:lang w:val="en-US"/>
        </w:rPr>
      </w:pPr>
      <w:r w:rsidRPr="00345AE7">
        <w:rPr>
          <w:rFonts w:eastAsia="MS Mincho"/>
          <w:b w:val="0"/>
          <w:bCs/>
          <w:szCs w:val="20"/>
          <w:lang w:val="en-US"/>
        </w:rPr>
        <w:t>To quantify the discrepancies arising from the use of different simulation tools and scenarios.</w:t>
      </w:r>
    </w:p>
    <w:p w14:paraId="79E4B4B9" w14:textId="77777777" w:rsidR="00345AE7" w:rsidRPr="00345AE7" w:rsidRDefault="00345AE7" w:rsidP="00345AE7">
      <w:pPr>
        <w:pStyle w:val="Heading1"/>
        <w:numPr>
          <w:ilvl w:val="0"/>
          <w:numId w:val="6"/>
        </w:numPr>
        <w:jc w:val="both"/>
        <w:rPr>
          <w:rFonts w:eastAsia="MS Mincho"/>
          <w:b w:val="0"/>
          <w:bCs/>
          <w:szCs w:val="20"/>
          <w:lang w:val="en-US"/>
        </w:rPr>
      </w:pPr>
      <w:r w:rsidRPr="00345AE7">
        <w:rPr>
          <w:rFonts w:eastAsia="MS Mincho"/>
          <w:b w:val="0"/>
          <w:bCs/>
          <w:szCs w:val="20"/>
          <w:lang w:val="en-US"/>
        </w:rPr>
        <w:t>To examine the gap between measured energy performance and various recommended or target benchmarks across multiple case studies.</w:t>
      </w:r>
    </w:p>
    <w:p w14:paraId="55F6146B" w14:textId="77777777" w:rsidR="00345AE7" w:rsidRPr="00345AE7" w:rsidRDefault="00345AE7" w:rsidP="00345AE7">
      <w:pPr>
        <w:pStyle w:val="Heading1"/>
        <w:numPr>
          <w:ilvl w:val="0"/>
          <w:numId w:val="6"/>
        </w:numPr>
        <w:jc w:val="both"/>
        <w:rPr>
          <w:rFonts w:eastAsia="MS Mincho"/>
          <w:b w:val="0"/>
          <w:bCs/>
          <w:szCs w:val="20"/>
          <w:lang w:val="en-US"/>
        </w:rPr>
      </w:pPr>
      <w:r w:rsidRPr="00345AE7">
        <w:rPr>
          <w:rFonts w:eastAsia="MS Mincho"/>
          <w:b w:val="0"/>
          <w:bCs/>
          <w:szCs w:val="20"/>
          <w:lang w:val="en-US"/>
        </w:rPr>
        <w:t>To provide evidence-based recommendations derived from the study’s findings.</w:t>
      </w:r>
    </w:p>
    <w:p w14:paraId="4DAD537E" w14:textId="217ABC68" w:rsidR="00FE056D" w:rsidRPr="00672320" w:rsidRDefault="00FE056D" w:rsidP="00FE056D">
      <w:pPr>
        <w:pStyle w:val="Heading1"/>
      </w:pPr>
      <w:r>
        <w:t>2. METHODOLOGY</w:t>
      </w:r>
    </w:p>
    <w:p w14:paraId="1C07F30E" w14:textId="54B6A69B" w:rsidR="00672320" w:rsidRPr="00FE056D" w:rsidRDefault="00494662" w:rsidP="00494662">
      <w:pPr>
        <w:pStyle w:val="MainText"/>
        <w:rPr>
          <w:bCs/>
        </w:rPr>
      </w:pPr>
      <w:r w:rsidRPr="00494662">
        <w:t xml:space="preserve">To achieve the overarching aim and objectives of this study, two primary methodological approaches are employed: a brief state-of-the-art literature review and a comprehensive case study. Section 2.1 presents a detailed overview of the literature review, highlighting the rationale for investigating specific aspects prior to undertaking the case study. This section also identifies the research objectives addressed through the literature. </w:t>
      </w:r>
      <w:r w:rsidRPr="00FE056D">
        <w:rPr>
          <w:bCs/>
          <w:lang w:val="en-US"/>
        </w:rPr>
        <w:t xml:space="preserve">Section 2.2 </w:t>
      </w:r>
      <w:r>
        <w:rPr>
          <w:bCs/>
          <w:lang w:val="en-US"/>
        </w:rPr>
        <w:t>describes the case study building in details</w:t>
      </w:r>
      <w:r w:rsidRPr="00494662">
        <w:t>, while Section 2.3 outlines the simulation tools utilized and the various simulation scenarios explored.</w:t>
      </w:r>
      <w:r w:rsidR="00FE056D" w:rsidRPr="00FE056D">
        <w:rPr>
          <w:bCs/>
          <w:lang w:val="en-US"/>
        </w:rPr>
        <w:t xml:space="preserve"> </w:t>
      </w:r>
    </w:p>
    <w:p w14:paraId="113E975F" w14:textId="37908225" w:rsidR="00283E92" w:rsidRPr="00F05EA2" w:rsidRDefault="00094A82" w:rsidP="00FE056D">
      <w:pPr>
        <w:pStyle w:val="PlainText"/>
        <w:rPr>
          <w:sz w:val="20"/>
        </w:rPr>
      </w:pPr>
      <w:r w:rsidRPr="00F05EA2">
        <w:rPr>
          <w:b/>
          <w:sz w:val="20"/>
        </w:rPr>
        <w:t xml:space="preserve">2.1 </w:t>
      </w:r>
      <w:r w:rsidR="00FE056D" w:rsidRPr="00FE056D">
        <w:rPr>
          <w:b/>
          <w:sz w:val="20"/>
          <w:lang w:val="en-US"/>
        </w:rPr>
        <w:t xml:space="preserve">State of the Art </w:t>
      </w:r>
    </w:p>
    <w:p w14:paraId="2057D408" w14:textId="580B20D7" w:rsidR="00494662" w:rsidRPr="00494662" w:rsidRDefault="00494662" w:rsidP="00494662">
      <w:pPr>
        <w:pStyle w:val="MainText"/>
      </w:pPr>
      <w:r w:rsidRPr="00494662">
        <w:t>The literature review examines the ambiguity surrounding the actual magnitude of the EPG, particularly in the context of varying simulation scenarios and the use of different simulation tools. It further investigates the range of reference baselines against which the EPG can be assessed, including those established by standards such as Passivhaus (PH), nearly Zero Energy Building (</w:t>
      </w:r>
      <w:proofErr w:type="spellStart"/>
      <w:r w:rsidRPr="00494662">
        <w:t>nZEB</w:t>
      </w:r>
      <w:proofErr w:type="spellEnd"/>
      <w:r w:rsidRPr="00494662">
        <w:t>), and retrofit performance targets. Additionally, given that the case study is situated in Sweden, the review briefly addresses national recommendations regarding energy use intensity and indoor heating temperature setpoints relevant to the Swedish context.</w:t>
      </w:r>
    </w:p>
    <w:p w14:paraId="337B9655" w14:textId="34E3C05F" w:rsidR="00D461B2" w:rsidRPr="00494662" w:rsidRDefault="00094A82" w:rsidP="00494662">
      <w:pPr>
        <w:pStyle w:val="PlainText"/>
        <w:rPr>
          <w:b/>
          <w:color w:val="EE0000"/>
          <w:sz w:val="20"/>
        </w:rPr>
      </w:pPr>
      <w:r w:rsidRPr="007848ED">
        <w:rPr>
          <w:b/>
          <w:sz w:val="20"/>
        </w:rPr>
        <w:t xml:space="preserve">2.2 </w:t>
      </w:r>
      <w:r w:rsidR="00FE056D" w:rsidRPr="007848ED">
        <w:rPr>
          <w:b/>
          <w:sz w:val="20"/>
          <w:lang w:val="en-US"/>
        </w:rPr>
        <w:t>Case Study Description</w:t>
      </w:r>
    </w:p>
    <w:p w14:paraId="78100796" w14:textId="5579C514" w:rsidR="00C06233" w:rsidRDefault="009A2037" w:rsidP="009A2037">
      <w:pPr>
        <w:pStyle w:val="PlainText"/>
        <w:ind w:firstLine="284"/>
        <w:rPr>
          <w:bCs/>
          <w:sz w:val="20"/>
          <w:lang w:val="en-US"/>
        </w:rPr>
      </w:pPr>
      <w:r w:rsidRPr="009A2037">
        <w:rPr>
          <w:sz w:val="20"/>
        </w:rPr>
        <w:t>The case study examined in this paper is the Energy Laboratory at Lund University, Sweden. The facility was designed with the objective of identifying cost-effective strategies to reduce electricity consumption in both residential and office buildings. It comprises thermal and daylighting test cells (Bülow-</w:t>
      </w:r>
      <w:proofErr w:type="spellStart"/>
      <w:r w:rsidRPr="009A2037">
        <w:rPr>
          <w:sz w:val="20"/>
        </w:rPr>
        <w:t>Hübe</w:t>
      </w:r>
      <w:proofErr w:type="spellEnd"/>
      <w:r w:rsidRPr="009A2037">
        <w:rPr>
          <w:sz w:val="20"/>
        </w:rPr>
        <w:t xml:space="preserve"> et al., 2005).</w:t>
      </w:r>
      <w:r>
        <w:rPr>
          <w:sz w:val="20"/>
        </w:rPr>
        <w:t xml:space="preserve"> </w:t>
      </w:r>
      <w:r w:rsidR="00FE056D" w:rsidRPr="00FE056D">
        <w:rPr>
          <w:bCs/>
          <w:sz w:val="20"/>
          <w:lang w:val="en-US"/>
        </w:rPr>
        <w:t xml:space="preserve">For the purpose of this </w:t>
      </w:r>
      <w:r>
        <w:rPr>
          <w:bCs/>
          <w:sz w:val="20"/>
          <w:lang w:val="en-US"/>
        </w:rPr>
        <w:t>paper</w:t>
      </w:r>
      <w:r w:rsidR="00FE056D" w:rsidRPr="00FE056D">
        <w:rPr>
          <w:bCs/>
          <w:sz w:val="20"/>
          <w:lang w:val="en-US"/>
        </w:rPr>
        <w:t xml:space="preserve">, it is schematized from a building control point of view. It is viewed as consisting of three parts: the full building with a relatively limited level of control, semi-control of the test cells within the lab, and full control of the air handling units within the test cells, as </w:t>
      </w:r>
      <w:r w:rsidRPr="009A2037">
        <w:rPr>
          <w:sz w:val="20"/>
        </w:rPr>
        <w:t>illustrated</w:t>
      </w:r>
      <w:r w:rsidR="00FE056D" w:rsidRPr="00FE056D">
        <w:rPr>
          <w:bCs/>
          <w:sz w:val="20"/>
          <w:lang w:val="en-US"/>
        </w:rPr>
        <w:t xml:space="preserve"> in Fig. 1.</w:t>
      </w:r>
    </w:p>
    <w:p w14:paraId="51CE310A" w14:textId="77777777" w:rsidR="009A2037" w:rsidRDefault="009A2037" w:rsidP="009A2037">
      <w:pPr>
        <w:pStyle w:val="Captionfigtable"/>
        <w:rPr>
          <w:noProof/>
        </w:rPr>
      </w:pPr>
      <w:r w:rsidRPr="0063334B">
        <w:rPr>
          <w:noProof/>
        </w:rPr>
        <w:drawing>
          <wp:inline distT="0" distB="0" distL="0" distR="0" wp14:anchorId="1596D661" wp14:editId="7C15A579">
            <wp:extent cx="2893060" cy="1671955"/>
            <wp:effectExtent l="0" t="0" r="0" b="0"/>
            <wp:docPr id="7" name="Picture 1" descr="A diagram of a test contr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diagram of a test control&#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3060" cy="1671955"/>
                    </a:xfrm>
                    <a:prstGeom prst="rect">
                      <a:avLst/>
                    </a:prstGeom>
                    <a:noFill/>
                    <a:ln>
                      <a:noFill/>
                    </a:ln>
                  </pic:spPr>
                </pic:pic>
              </a:graphicData>
            </a:graphic>
          </wp:inline>
        </w:drawing>
      </w:r>
    </w:p>
    <w:p w14:paraId="34D37807" w14:textId="657A0179" w:rsidR="009A2037" w:rsidRPr="009A2037" w:rsidRDefault="009A2037" w:rsidP="009A2037">
      <w:pPr>
        <w:pStyle w:val="Captionfigtable"/>
        <w:rPr>
          <w:bCs/>
        </w:rPr>
      </w:pPr>
      <w:r w:rsidRPr="00FE056D">
        <w:rPr>
          <w:bCs/>
          <w:lang w:val="en-US"/>
        </w:rPr>
        <w:t>Figure 1: The LTH laboratory</w:t>
      </w:r>
    </w:p>
    <w:p w14:paraId="19FFFDD4" w14:textId="537E6798" w:rsidR="00D053CB" w:rsidRPr="00F05EA2" w:rsidRDefault="00094A82" w:rsidP="00FE056D">
      <w:pPr>
        <w:pStyle w:val="PlainText"/>
        <w:rPr>
          <w:b/>
          <w:sz w:val="20"/>
        </w:rPr>
      </w:pPr>
      <w:r w:rsidRPr="00F05EA2">
        <w:rPr>
          <w:b/>
          <w:sz w:val="20"/>
        </w:rPr>
        <w:t xml:space="preserve">2.3 </w:t>
      </w:r>
      <w:r w:rsidR="00FE056D" w:rsidRPr="00FE056D">
        <w:rPr>
          <w:b/>
          <w:bCs/>
          <w:sz w:val="20"/>
          <w:lang w:val="en-US"/>
        </w:rPr>
        <w:t>Simulation Tools and Scenarios</w:t>
      </w:r>
    </w:p>
    <w:p w14:paraId="6A83DDAD" w14:textId="3F470EFA" w:rsidR="0081763A" w:rsidRPr="009A2037" w:rsidRDefault="00FE056D" w:rsidP="009A2037">
      <w:pPr>
        <w:pStyle w:val="PlainText"/>
        <w:ind w:firstLine="284"/>
        <w:rPr>
          <w:bCs/>
          <w:sz w:val="20"/>
          <w:lang w:val="en-US"/>
        </w:rPr>
      </w:pPr>
      <w:r w:rsidRPr="00FE056D">
        <w:rPr>
          <w:bCs/>
          <w:sz w:val="20"/>
          <w:lang w:val="en-US"/>
        </w:rPr>
        <w:t xml:space="preserve">Four energy simulation models have been created using IDA-ICE, </w:t>
      </w:r>
      <w:proofErr w:type="spellStart"/>
      <w:r w:rsidRPr="00FE056D">
        <w:rPr>
          <w:bCs/>
          <w:sz w:val="20"/>
          <w:lang w:val="en-US"/>
        </w:rPr>
        <w:t>DesignBuilder</w:t>
      </w:r>
      <w:proofErr w:type="spellEnd"/>
      <w:r w:rsidRPr="00FE056D">
        <w:rPr>
          <w:bCs/>
          <w:sz w:val="20"/>
          <w:lang w:val="en-US"/>
        </w:rPr>
        <w:t>, Climate Studio, and the Integrated Environmental Solutions Virtual Environment (IESVE). The four simulation models are identical, with the same assumptions applied across the different simulation scenarios tested. Three simulation scenarios were conducted by setting indoor heating temperature setpoints at 18°C, 21°C, and 24°C to understand the influence of changing heating temperature setpoints on the magnitude of the EPG. The net floor area of the laboratory is 271.3 m², divided into 230.53 m² of conditioned and 40.77 m² of unconditioned areas, as depicted in Table 1 below.</w:t>
      </w:r>
    </w:p>
    <w:p w14:paraId="5FDC305B" w14:textId="4928F096" w:rsidR="00452605" w:rsidRPr="00F05EA2" w:rsidRDefault="00452605" w:rsidP="00FE056D">
      <w:pPr>
        <w:pStyle w:val="PlainText"/>
        <w:rPr>
          <w:i/>
          <w:color w:val="FF0000"/>
        </w:rPr>
      </w:pPr>
      <w:r w:rsidRPr="00F05EA2">
        <w:rPr>
          <w:i/>
        </w:rPr>
        <w:t xml:space="preserve">Table 1: </w:t>
      </w:r>
      <w:r w:rsidR="00FE056D" w:rsidRPr="00FE056D">
        <w:rPr>
          <w:bCs/>
          <w:i/>
          <w:iCs/>
          <w:lang w:val="en-US"/>
        </w:rPr>
        <w:t>Conditioned and unconditioned areas in the laboratory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1974"/>
      </w:tblGrid>
      <w:tr w:rsidR="009A2037" w14:paraId="79C1D740" w14:textId="77777777" w:rsidTr="00B02082">
        <w:tc>
          <w:tcPr>
            <w:tcW w:w="2552" w:type="dxa"/>
            <w:shd w:val="clear" w:color="auto" w:fill="auto"/>
          </w:tcPr>
          <w:p w14:paraId="6713B610" w14:textId="77777777" w:rsidR="009A2037" w:rsidRDefault="009A2037" w:rsidP="00B02082">
            <w:pPr>
              <w:pStyle w:val="PlainText"/>
              <w:jc w:val="left"/>
              <w:rPr>
                <w:b/>
                <w:bCs/>
                <w:sz w:val="20"/>
              </w:rPr>
            </w:pPr>
            <w:r>
              <w:rPr>
                <w:b/>
                <w:bCs/>
                <w:sz w:val="20"/>
              </w:rPr>
              <w:t>Spaces (conditioned)</w:t>
            </w:r>
          </w:p>
        </w:tc>
        <w:tc>
          <w:tcPr>
            <w:tcW w:w="2116" w:type="dxa"/>
            <w:shd w:val="clear" w:color="auto" w:fill="auto"/>
          </w:tcPr>
          <w:p w14:paraId="7A3C637E" w14:textId="77777777" w:rsidR="009A2037" w:rsidRDefault="009A2037" w:rsidP="00B02082">
            <w:pPr>
              <w:pStyle w:val="PlainText"/>
              <w:jc w:val="left"/>
              <w:rPr>
                <w:b/>
                <w:bCs/>
                <w:sz w:val="20"/>
              </w:rPr>
            </w:pPr>
            <w:r>
              <w:rPr>
                <w:b/>
                <w:bCs/>
                <w:sz w:val="20"/>
              </w:rPr>
              <w:t>Floor Area (m</w:t>
            </w:r>
            <w:r>
              <w:rPr>
                <w:b/>
                <w:bCs/>
                <w:sz w:val="20"/>
                <w:vertAlign w:val="superscript"/>
              </w:rPr>
              <w:t>2</w:t>
            </w:r>
            <w:r>
              <w:rPr>
                <w:b/>
                <w:bCs/>
                <w:sz w:val="20"/>
              </w:rPr>
              <w:t>)</w:t>
            </w:r>
          </w:p>
        </w:tc>
      </w:tr>
      <w:tr w:rsidR="009A2037" w14:paraId="6AAF73B0" w14:textId="77777777" w:rsidTr="00B02082">
        <w:tc>
          <w:tcPr>
            <w:tcW w:w="2552" w:type="dxa"/>
            <w:shd w:val="clear" w:color="auto" w:fill="auto"/>
          </w:tcPr>
          <w:p w14:paraId="1C6BA378" w14:textId="77777777" w:rsidR="009A2037" w:rsidRDefault="009A2037" w:rsidP="00B02082">
            <w:pPr>
              <w:pStyle w:val="PlainText"/>
              <w:jc w:val="left"/>
              <w:rPr>
                <w:sz w:val="20"/>
              </w:rPr>
            </w:pPr>
            <w:r>
              <w:rPr>
                <w:sz w:val="20"/>
              </w:rPr>
              <w:t>Entrance</w:t>
            </w:r>
          </w:p>
        </w:tc>
        <w:tc>
          <w:tcPr>
            <w:tcW w:w="2116" w:type="dxa"/>
            <w:shd w:val="clear" w:color="auto" w:fill="auto"/>
          </w:tcPr>
          <w:p w14:paraId="686AF7C0" w14:textId="77777777" w:rsidR="009A2037" w:rsidRDefault="009A2037" w:rsidP="00B02082">
            <w:pPr>
              <w:pStyle w:val="PlainText"/>
              <w:jc w:val="left"/>
              <w:rPr>
                <w:sz w:val="20"/>
              </w:rPr>
            </w:pPr>
            <w:r>
              <w:rPr>
                <w:sz w:val="20"/>
              </w:rPr>
              <w:t>7.74</w:t>
            </w:r>
          </w:p>
        </w:tc>
      </w:tr>
      <w:tr w:rsidR="009A2037" w14:paraId="79B1EC79" w14:textId="77777777" w:rsidTr="00B02082">
        <w:tc>
          <w:tcPr>
            <w:tcW w:w="2552" w:type="dxa"/>
            <w:shd w:val="clear" w:color="auto" w:fill="auto"/>
          </w:tcPr>
          <w:p w14:paraId="67F61933" w14:textId="77777777" w:rsidR="009A2037" w:rsidRDefault="009A2037" w:rsidP="00B02082">
            <w:pPr>
              <w:pStyle w:val="PlainText"/>
              <w:jc w:val="left"/>
              <w:rPr>
                <w:sz w:val="20"/>
              </w:rPr>
            </w:pPr>
            <w:r>
              <w:rPr>
                <w:sz w:val="20"/>
              </w:rPr>
              <w:t>Measurement Room</w:t>
            </w:r>
          </w:p>
        </w:tc>
        <w:tc>
          <w:tcPr>
            <w:tcW w:w="2116" w:type="dxa"/>
            <w:shd w:val="clear" w:color="auto" w:fill="auto"/>
          </w:tcPr>
          <w:p w14:paraId="6731B9CD" w14:textId="77777777" w:rsidR="009A2037" w:rsidRDefault="009A2037" w:rsidP="00B02082">
            <w:pPr>
              <w:pStyle w:val="PlainText"/>
              <w:jc w:val="left"/>
              <w:rPr>
                <w:sz w:val="20"/>
              </w:rPr>
            </w:pPr>
            <w:r>
              <w:rPr>
                <w:sz w:val="20"/>
              </w:rPr>
              <w:t>23.25</w:t>
            </w:r>
          </w:p>
        </w:tc>
      </w:tr>
      <w:tr w:rsidR="009A2037" w14:paraId="052DC47B" w14:textId="77777777" w:rsidTr="00B02082">
        <w:tc>
          <w:tcPr>
            <w:tcW w:w="2552" w:type="dxa"/>
            <w:shd w:val="clear" w:color="auto" w:fill="auto"/>
          </w:tcPr>
          <w:p w14:paraId="39C9D997" w14:textId="77777777" w:rsidR="009A2037" w:rsidRDefault="009A2037" w:rsidP="00B02082">
            <w:pPr>
              <w:pStyle w:val="PlainText"/>
              <w:jc w:val="left"/>
              <w:rPr>
                <w:sz w:val="20"/>
              </w:rPr>
            </w:pPr>
            <w:r>
              <w:rPr>
                <w:sz w:val="20"/>
              </w:rPr>
              <w:t>Toilet</w:t>
            </w:r>
          </w:p>
        </w:tc>
        <w:tc>
          <w:tcPr>
            <w:tcW w:w="2116" w:type="dxa"/>
            <w:shd w:val="clear" w:color="auto" w:fill="auto"/>
          </w:tcPr>
          <w:p w14:paraId="0FAD449C" w14:textId="77777777" w:rsidR="009A2037" w:rsidRDefault="009A2037" w:rsidP="00B02082">
            <w:pPr>
              <w:pStyle w:val="PlainText"/>
              <w:jc w:val="left"/>
              <w:rPr>
                <w:sz w:val="20"/>
              </w:rPr>
            </w:pPr>
            <w:r>
              <w:rPr>
                <w:sz w:val="20"/>
              </w:rPr>
              <w:t>4.84</w:t>
            </w:r>
          </w:p>
        </w:tc>
      </w:tr>
      <w:tr w:rsidR="009A2037" w14:paraId="52267A68" w14:textId="77777777" w:rsidTr="00B02082">
        <w:tc>
          <w:tcPr>
            <w:tcW w:w="2552" w:type="dxa"/>
            <w:shd w:val="clear" w:color="auto" w:fill="auto"/>
          </w:tcPr>
          <w:p w14:paraId="47D751D0" w14:textId="77777777" w:rsidR="009A2037" w:rsidRDefault="009A2037" w:rsidP="00B02082">
            <w:pPr>
              <w:pStyle w:val="PlainText"/>
              <w:jc w:val="left"/>
              <w:rPr>
                <w:sz w:val="20"/>
              </w:rPr>
            </w:pPr>
            <w:r>
              <w:rPr>
                <w:sz w:val="20"/>
              </w:rPr>
              <w:t>Store</w:t>
            </w:r>
          </w:p>
        </w:tc>
        <w:tc>
          <w:tcPr>
            <w:tcW w:w="2116" w:type="dxa"/>
            <w:shd w:val="clear" w:color="auto" w:fill="auto"/>
          </w:tcPr>
          <w:p w14:paraId="2A6A7C12" w14:textId="77777777" w:rsidR="009A2037" w:rsidRDefault="009A2037" w:rsidP="00B02082">
            <w:pPr>
              <w:pStyle w:val="PlainText"/>
              <w:jc w:val="left"/>
              <w:rPr>
                <w:sz w:val="20"/>
              </w:rPr>
            </w:pPr>
            <w:r>
              <w:rPr>
                <w:sz w:val="20"/>
              </w:rPr>
              <w:t>3.5</w:t>
            </w:r>
          </w:p>
        </w:tc>
      </w:tr>
      <w:tr w:rsidR="009A2037" w14:paraId="14AFAC64" w14:textId="77777777" w:rsidTr="00B02082">
        <w:tc>
          <w:tcPr>
            <w:tcW w:w="2552" w:type="dxa"/>
            <w:shd w:val="clear" w:color="auto" w:fill="auto"/>
          </w:tcPr>
          <w:p w14:paraId="2932C6A4" w14:textId="77777777" w:rsidR="009A2037" w:rsidRDefault="009A2037" w:rsidP="00B02082">
            <w:pPr>
              <w:pStyle w:val="PlainText"/>
              <w:jc w:val="left"/>
              <w:rPr>
                <w:sz w:val="20"/>
              </w:rPr>
            </w:pPr>
            <w:r>
              <w:rPr>
                <w:sz w:val="20"/>
              </w:rPr>
              <w:t>Daylight test cell one</w:t>
            </w:r>
          </w:p>
        </w:tc>
        <w:tc>
          <w:tcPr>
            <w:tcW w:w="2116" w:type="dxa"/>
            <w:shd w:val="clear" w:color="auto" w:fill="auto"/>
          </w:tcPr>
          <w:p w14:paraId="1BFB59C5" w14:textId="77777777" w:rsidR="009A2037" w:rsidRDefault="009A2037" w:rsidP="00B02082">
            <w:pPr>
              <w:pStyle w:val="PlainText"/>
              <w:jc w:val="left"/>
              <w:rPr>
                <w:sz w:val="20"/>
              </w:rPr>
            </w:pPr>
            <w:r>
              <w:rPr>
                <w:sz w:val="20"/>
              </w:rPr>
              <w:t>10.8</w:t>
            </w:r>
          </w:p>
        </w:tc>
      </w:tr>
      <w:tr w:rsidR="009A2037" w14:paraId="335F7BF0" w14:textId="77777777" w:rsidTr="00B02082">
        <w:tc>
          <w:tcPr>
            <w:tcW w:w="2552" w:type="dxa"/>
            <w:shd w:val="clear" w:color="auto" w:fill="auto"/>
          </w:tcPr>
          <w:p w14:paraId="3275394B" w14:textId="77777777" w:rsidR="009A2037" w:rsidRDefault="009A2037" w:rsidP="00B02082">
            <w:pPr>
              <w:pStyle w:val="PlainText"/>
              <w:jc w:val="left"/>
              <w:rPr>
                <w:sz w:val="20"/>
              </w:rPr>
            </w:pPr>
            <w:r>
              <w:rPr>
                <w:sz w:val="20"/>
              </w:rPr>
              <w:t>Daylight test cell two</w:t>
            </w:r>
          </w:p>
        </w:tc>
        <w:tc>
          <w:tcPr>
            <w:tcW w:w="2116" w:type="dxa"/>
            <w:shd w:val="clear" w:color="auto" w:fill="auto"/>
          </w:tcPr>
          <w:p w14:paraId="5623B83A" w14:textId="77777777" w:rsidR="009A2037" w:rsidRDefault="009A2037" w:rsidP="00B02082">
            <w:pPr>
              <w:pStyle w:val="PlainText"/>
              <w:jc w:val="left"/>
              <w:rPr>
                <w:sz w:val="20"/>
              </w:rPr>
            </w:pPr>
            <w:r>
              <w:rPr>
                <w:sz w:val="20"/>
              </w:rPr>
              <w:t>10.8</w:t>
            </w:r>
          </w:p>
        </w:tc>
      </w:tr>
      <w:tr w:rsidR="009A2037" w14:paraId="1BEBD5F4" w14:textId="77777777" w:rsidTr="00B02082">
        <w:tc>
          <w:tcPr>
            <w:tcW w:w="2552" w:type="dxa"/>
            <w:shd w:val="clear" w:color="auto" w:fill="auto"/>
          </w:tcPr>
          <w:p w14:paraId="71226B1E" w14:textId="77777777" w:rsidR="009A2037" w:rsidRDefault="009A2037" w:rsidP="00B02082">
            <w:pPr>
              <w:pStyle w:val="PlainText"/>
              <w:jc w:val="left"/>
              <w:rPr>
                <w:sz w:val="20"/>
              </w:rPr>
            </w:pPr>
            <w:r>
              <w:rPr>
                <w:sz w:val="20"/>
              </w:rPr>
              <w:t>Thermal cell one</w:t>
            </w:r>
          </w:p>
        </w:tc>
        <w:tc>
          <w:tcPr>
            <w:tcW w:w="2116" w:type="dxa"/>
            <w:shd w:val="clear" w:color="auto" w:fill="auto"/>
          </w:tcPr>
          <w:p w14:paraId="5074624C" w14:textId="77777777" w:rsidR="009A2037" w:rsidRDefault="009A2037" w:rsidP="00B02082">
            <w:pPr>
              <w:pStyle w:val="PlainText"/>
              <w:jc w:val="left"/>
              <w:rPr>
                <w:sz w:val="20"/>
              </w:rPr>
            </w:pPr>
            <w:r>
              <w:rPr>
                <w:sz w:val="20"/>
              </w:rPr>
              <w:t>10.8</w:t>
            </w:r>
          </w:p>
        </w:tc>
      </w:tr>
      <w:tr w:rsidR="009A2037" w14:paraId="57ED04CA" w14:textId="77777777" w:rsidTr="00B02082">
        <w:tc>
          <w:tcPr>
            <w:tcW w:w="2552" w:type="dxa"/>
            <w:shd w:val="clear" w:color="auto" w:fill="auto"/>
          </w:tcPr>
          <w:p w14:paraId="417BAB09" w14:textId="77777777" w:rsidR="009A2037" w:rsidRDefault="009A2037" w:rsidP="00B02082">
            <w:pPr>
              <w:pStyle w:val="PlainText"/>
              <w:jc w:val="left"/>
              <w:rPr>
                <w:sz w:val="20"/>
              </w:rPr>
            </w:pPr>
            <w:r>
              <w:rPr>
                <w:sz w:val="20"/>
              </w:rPr>
              <w:t>Thermal cell two</w:t>
            </w:r>
          </w:p>
        </w:tc>
        <w:tc>
          <w:tcPr>
            <w:tcW w:w="2116" w:type="dxa"/>
            <w:shd w:val="clear" w:color="auto" w:fill="auto"/>
          </w:tcPr>
          <w:p w14:paraId="405D575B" w14:textId="77777777" w:rsidR="009A2037" w:rsidRDefault="009A2037" w:rsidP="00B02082">
            <w:pPr>
              <w:pStyle w:val="PlainText"/>
              <w:jc w:val="left"/>
              <w:rPr>
                <w:sz w:val="20"/>
              </w:rPr>
            </w:pPr>
            <w:r>
              <w:rPr>
                <w:sz w:val="20"/>
              </w:rPr>
              <w:t>10.8</w:t>
            </w:r>
          </w:p>
        </w:tc>
      </w:tr>
      <w:tr w:rsidR="009A2037" w14:paraId="7A087F62" w14:textId="77777777" w:rsidTr="00B02082">
        <w:tc>
          <w:tcPr>
            <w:tcW w:w="2552" w:type="dxa"/>
            <w:shd w:val="clear" w:color="auto" w:fill="auto"/>
          </w:tcPr>
          <w:p w14:paraId="3ADDA535" w14:textId="77777777" w:rsidR="009A2037" w:rsidRDefault="009A2037" w:rsidP="00B02082">
            <w:pPr>
              <w:pStyle w:val="PlainText"/>
              <w:jc w:val="left"/>
              <w:rPr>
                <w:sz w:val="20"/>
              </w:rPr>
            </w:pPr>
            <w:r>
              <w:rPr>
                <w:sz w:val="20"/>
              </w:rPr>
              <w:t>Solar central &amp;HVAC</w:t>
            </w:r>
          </w:p>
        </w:tc>
        <w:tc>
          <w:tcPr>
            <w:tcW w:w="2116" w:type="dxa"/>
            <w:shd w:val="clear" w:color="auto" w:fill="auto"/>
          </w:tcPr>
          <w:p w14:paraId="6417A457" w14:textId="77777777" w:rsidR="009A2037" w:rsidRDefault="009A2037" w:rsidP="00B02082">
            <w:pPr>
              <w:pStyle w:val="PlainText"/>
              <w:jc w:val="left"/>
              <w:rPr>
                <w:sz w:val="20"/>
              </w:rPr>
            </w:pPr>
            <w:r>
              <w:rPr>
                <w:sz w:val="20"/>
              </w:rPr>
              <w:t>36.5</w:t>
            </w:r>
          </w:p>
        </w:tc>
      </w:tr>
      <w:tr w:rsidR="009A2037" w14:paraId="7E37D651" w14:textId="77777777" w:rsidTr="00B02082">
        <w:tc>
          <w:tcPr>
            <w:tcW w:w="2552" w:type="dxa"/>
            <w:shd w:val="clear" w:color="auto" w:fill="auto"/>
          </w:tcPr>
          <w:p w14:paraId="330BD461" w14:textId="77777777" w:rsidR="009A2037" w:rsidRDefault="009A2037" w:rsidP="00B02082">
            <w:pPr>
              <w:pStyle w:val="PlainText"/>
              <w:jc w:val="left"/>
              <w:rPr>
                <w:sz w:val="20"/>
              </w:rPr>
            </w:pPr>
            <w:r>
              <w:rPr>
                <w:sz w:val="20"/>
              </w:rPr>
              <w:t>Climatic Chamber (Measurement Boxes + Corridor)</w:t>
            </w:r>
          </w:p>
        </w:tc>
        <w:tc>
          <w:tcPr>
            <w:tcW w:w="2116" w:type="dxa"/>
            <w:shd w:val="clear" w:color="auto" w:fill="auto"/>
          </w:tcPr>
          <w:p w14:paraId="67DF57CA" w14:textId="77777777" w:rsidR="009A2037" w:rsidRDefault="009A2037" w:rsidP="00B02082">
            <w:pPr>
              <w:pStyle w:val="PlainText"/>
              <w:jc w:val="left"/>
              <w:rPr>
                <w:sz w:val="20"/>
              </w:rPr>
            </w:pPr>
            <w:r>
              <w:rPr>
                <w:sz w:val="20"/>
              </w:rPr>
              <w:t>111.5</w:t>
            </w:r>
          </w:p>
        </w:tc>
      </w:tr>
      <w:tr w:rsidR="009A2037" w14:paraId="5487C29F" w14:textId="77777777" w:rsidTr="00B02082">
        <w:tc>
          <w:tcPr>
            <w:tcW w:w="2552" w:type="dxa"/>
            <w:shd w:val="clear" w:color="auto" w:fill="auto"/>
          </w:tcPr>
          <w:p w14:paraId="3F25DDE2" w14:textId="77777777" w:rsidR="009A2037" w:rsidRDefault="009A2037" w:rsidP="00B02082">
            <w:pPr>
              <w:pStyle w:val="PlainText"/>
              <w:jc w:val="left"/>
              <w:rPr>
                <w:b/>
                <w:bCs/>
                <w:sz w:val="20"/>
              </w:rPr>
            </w:pPr>
            <w:r>
              <w:rPr>
                <w:b/>
                <w:bCs/>
                <w:sz w:val="20"/>
              </w:rPr>
              <w:lastRenderedPageBreak/>
              <w:t>Spaces (unconditioned)</w:t>
            </w:r>
          </w:p>
        </w:tc>
        <w:tc>
          <w:tcPr>
            <w:tcW w:w="2116" w:type="dxa"/>
            <w:shd w:val="clear" w:color="auto" w:fill="auto"/>
          </w:tcPr>
          <w:p w14:paraId="2ABDF5B4" w14:textId="77777777" w:rsidR="009A2037" w:rsidRDefault="009A2037" w:rsidP="00B02082">
            <w:pPr>
              <w:pStyle w:val="PlainText"/>
              <w:jc w:val="left"/>
              <w:rPr>
                <w:sz w:val="20"/>
              </w:rPr>
            </w:pPr>
          </w:p>
        </w:tc>
      </w:tr>
      <w:tr w:rsidR="009A2037" w14:paraId="4435D941" w14:textId="77777777" w:rsidTr="00B02082">
        <w:tc>
          <w:tcPr>
            <w:tcW w:w="2552" w:type="dxa"/>
            <w:shd w:val="clear" w:color="auto" w:fill="auto"/>
          </w:tcPr>
          <w:p w14:paraId="77422B7E" w14:textId="77777777" w:rsidR="009A2037" w:rsidRDefault="009A2037" w:rsidP="00B02082">
            <w:pPr>
              <w:pStyle w:val="PlainText"/>
              <w:jc w:val="left"/>
              <w:rPr>
                <w:sz w:val="20"/>
              </w:rPr>
            </w:pPr>
            <w:r>
              <w:rPr>
                <w:sz w:val="20"/>
              </w:rPr>
              <w:t>Stair Room</w:t>
            </w:r>
          </w:p>
        </w:tc>
        <w:tc>
          <w:tcPr>
            <w:tcW w:w="2116" w:type="dxa"/>
            <w:shd w:val="clear" w:color="auto" w:fill="auto"/>
          </w:tcPr>
          <w:p w14:paraId="408B89E4" w14:textId="77777777" w:rsidR="009A2037" w:rsidRDefault="009A2037" w:rsidP="00B02082">
            <w:pPr>
              <w:pStyle w:val="PlainText"/>
              <w:jc w:val="left"/>
              <w:rPr>
                <w:sz w:val="20"/>
              </w:rPr>
            </w:pPr>
            <w:r>
              <w:rPr>
                <w:sz w:val="20"/>
              </w:rPr>
              <w:t>8.83</w:t>
            </w:r>
          </w:p>
        </w:tc>
      </w:tr>
      <w:tr w:rsidR="009A2037" w14:paraId="1AB9EE1E" w14:textId="77777777" w:rsidTr="00B02082">
        <w:tc>
          <w:tcPr>
            <w:tcW w:w="2552" w:type="dxa"/>
            <w:shd w:val="clear" w:color="auto" w:fill="auto"/>
          </w:tcPr>
          <w:p w14:paraId="60DC5BE4" w14:textId="77777777" w:rsidR="009A2037" w:rsidRDefault="009A2037" w:rsidP="00B02082">
            <w:pPr>
              <w:pStyle w:val="PlainText"/>
              <w:jc w:val="left"/>
              <w:rPr>
                <w:sz w:val="20"/>
              </w:rPr>
            </w:pPr>
            <w:r>
              <w:rPr>
                <w:sz w:val="20"/>
              </w:rPr>
              <w:t>External Store</w:t>
            </w:r>
          </w:p>
        </w:tc>
        <w:tc>
          <w:tcPr>
            <w:tcW w:w="2116" w:type="dxa"/>
            <w:shd w:val="clear" w:color="auto" w:fill="auto"/>
          </w:tcPr>
          <w:p w14:paraId="00BE2C66" w14:textId="77777777" w:rsidR="009A2037" w:rsidRDefault="009A2037" w:rsidP="00B02082">
            <w:pPr>
              <w:pStyle w:val="PlainText"/>
              <w:jc w:val="left"/>
              <w:rPr>
                <w:sz w:val="20"/>
              </w:rPr>
            </w:pPr>
            <w:r>
              <w:rPr>
                <w:sz w:val="20"/>
              </w:rPr>
              <w:t>17.36</w:t>
            </w:r>
          </w:p>
        </w:tc>
      </w:tr>
      <w:tr w:rsidR="009A2037" w14:paraId="155B0630" w14:textId="77777777" w:rsidTr="00B02082">
        <w:tc>
          <w:tcPr>
            <w:tcW w:w="2552" w:type="dxa"/>
            <w:shd w:val="clear" w:color="auto" w:fill="auto"/>
          </w:tcPr>
          <w:p w14:paraId="69F0BD0E" w14:textId="77777777" w:rsidR="009A2037" w:rsidRDefault="009A2037" w:rsidP="00B02082">
            <w:pPr>
              <w:pStyle w:val="PlainText"/>
              <w:jc w:val="left"/>
              <w:rPr>
                <w:sz w:val="20"/>
              </w:rPr>
            </w:pPr>
            <w:r>
              <w:rPr>
                <w:sz w:val="20"/>
              </w:rPr>
              <w:t>Crawlspace</w:t>
            </w:r>
          </w:p>
        </w:tc>
        <w:tc>
          <w:tcPr>
            <w:tcW w:w="2116" w:type="dxa"/>
            <w:shd w:val="clear" w:color="auto" w:fill="auto"/>
          </w:tcPr>
          <w:p w14:paraId="5391A45B" w14:textId="77777777" w:rsidR="009A2037" w:rsidRDefault="009A2037" w:rsidP="00B02082">
            <w:pPr>
              <w:pStyle w:val="PlainText"/>
              <w:jc w:val="left"/>
              <w:rPr>
                <w:sz w:val="20"/>
              </w:rPr>
            </w:pPr>
            <w:r>
              <w:rPr>
                <w:sz w:val="20"/>
              </w:rPr>
              <w:t>40.77</w:t>
            </w:r>
          </w:p>
        </w:tc>
      </w:tr>
    </w:tbl>
    <w:p w14:paraId="1141F1D1" w14:textId="5057B6F5" w:rsidR="00452605" w:rsidRDefault="00FE056D" w:rsidP="00FE056D">
      <w:pPr>
        <w:pStyle w:val="Heading1"/>
        <w:rPr>
          <w:bCs/>
          <w:lang w:val="en-US"/>
        </w:rPr>
      </w:pPr>
      <w:r>
        <w:t>3</w:t>
      </w:r>
      <w:r w:rsidR="00C04303" w:rsidRPr="00F05EA2">
        <w:t xml:space="preserve">. </w:t>
      </w:r>
      <w:r w:rsidRPr="00FE056D">
        <w:rPr>
          <w:bCs/>
          <w:lang w:val="en-US"/>
        </w:rPr>
        <w:t>A BRIEF STATE OF THE ART</w:t>
      </w:r>
    </w:p>
    <w:p w14:paraId="1AE920EC" w14:textId="1B4F1AE6" w:rsidR="00FE056D" w:rsidRDefault="009A2037" w:rsidP="009A2037">
      <w:pPr>
        <w:pStyle w:val="MainText"/>
        <w:rPr>
          <w:lang w:val="en-US"/>
        </w:rPr>
      </w:pPr>
      <w:r w:rsidRPr="009A2037">
        <w:t>Quantifying the magnitude of the Energy Performance Gap (EPG) is widely recognized as a critical research challenge, particularly given that the phenomenon has yet to be precisely defined, regulated, or standardized. Existing methods for EPG quantification have been criticized for their inadequacy in delivering comprehensive and nuanced analyses. These methods often neglect dynamic and latent components of the EPG, relying instead on simplistic comparisons between computed and measured energy performance on a monthly or annual basis, thereby disregarding short-term (daily and weekly) variations. Moreover, the calculated magnitude of the EPG is highly sensitive to the assumptions employed by energy analysts. Therefore, an accurate assessment necessitates both high-resolution, reliable data and a robust methodological framework. Such advancements are essential for informing the development of more realistic and effective energy policies</w:t>
      </w:r>
      <w:r w:rsidRPr="009A2037">
        <w:rPr>
          <w:b/>
          <w:bCs/>
          <w:lang w:val="en-US"/>
        </w:rPr>
        <w:t xml:space="preserve"> </w:t>
      </w:r>
      <w:r w:rsidR="003A5361" w:rsidRPr="003A5361">
        <w:rPr>
          <w:lang w:val="en-US"/>
        </w:rPr>
        <w:t>(</w:t>
      </w:r>
      <w:proofErr w:type="spellStart"/>
      <w:r w:rsidR="003A5361" w:rsidRPr="003A5361">
        <w:rPr>
          <w:lang w:val="en-US"/>
        </w:rPr>
        <w:t>BaiYu</w:t>
      </w:r>
      <w:proofErr w:type="spellEnd"/>
      <w:r w:rsidR="003A5361" w:rsidRPr="003A5361">
        <w:rPr>
          <w:lang w:val="en-US"/>
        </w:rPr>
        <w:t xml:space="preserve"> and Pan, 2023; Palladino, 2023; </w:t>
      </w:r>
      <w:proofErr w:type="spellStart"/>
      <w:r w:rsidR="003A5361" w:rsidRPr="003A5361">
        <w:rPr>
          <w:lang w:val="en-US"/>
        </w:rPr>
        <w:t>FreiSagerschnig</w:t>
      </w:r>
      <w:proofErr w:type="spellEnd"/>
      <w:r w:rsidR="003A5361" w:rsidRPr="003A5361">
        <w:rPr>
          <w:lang w:val="en-US"/>
        </w:rPr>
        <w:t xml:space="preserve"> and </w:t>
      </w:r>
      <w:proofErr w:type="spellStart"/>
      <w:r w:rsidR="003A5361" w:rsidRPr="003A5361">
        <w:rPr>
          <w:lang w:val="en-US"/>
        </w:rPr>
        <w:t>Gyalistras</w:t>
      </w:r>
      <w:proofErr w:type="spellEnd"/>
      <w:r w:rsidR="003A5361" w:rsidRPr="003A5361">
        <w:rPr>
          <w:lang w:val="en-US"/>
        </w:rPr>
        <w:t>, 2017; Zou et al., 2018).</w:t>
      </w:r>
    </w:p>
    <w:p w14:paraId="4CE73090" w14:textId="0CEBE4F2" w:rsidR="003A5361" w:rsidRPr="003A5361" w:rsidRDefault="009A2037" w:rsidP="009A2037">
      <w:pPr>
        <w:pStyle w:val="MainText"/>
        <w:rPr>
          <w:bCs/>
          <w:lang w:val="en-US"/>
        </w:rPr>
      </w:pPr>
      <w:r w:rsidRPr="009A2037">
        <w:t xml:space="preserve">An analysis of indoor temperatures in over 1,035 dwellings in Sweden reveals that 80% of the standardized indoor heating temperatures exceed 21 °C, with approximately 30% of the sample exceeding 23 °C. In contrast, the indoor temperature range recommended by the Swedish Public Health Agency lies between 20 °C and 23 °C. For the purposes of energy </w:t>
      </w:r>
      <w:proofErr w:type="spellStart"/>
      <w:r w:rsidRPr="009A2037">
        <w:t>modeling</w:t>
      </w:r>
      <w:proofErr w:type="spellEnd"/>
      <w:r w:rsidRPr="009A2037">
        <w:t xml:space="preserve"> and performance assessment, a standardized heating setpoint of 21 °C is typically assumed in both Sweden and the United Kingdom. Indoor temperature setpoints significantly influence annual energy consumption for both heating and cooling. For new constructions and retrofitted buildings, the recommended thermal comfort ranges are 20–24 °C for heating and 23–26 °C for cooling. Notably, the first certified Passive House in Sweden incorporates a flexible setpoint system, allowing occupants to adjust indoor temperatures within the range of 18–26 °C.</w:t>
      </w:r>
      <w:r w:rsidRPr="009A2037">
        <w:rPr>
          <w:b/>
          <w:bCs/>
          <w:lang w:val="en-US"/>
        </w:rPr>
        <w:t xml:space="preserve"> </w:t>
      </w:r>
      <w:r w:rsidR="003A5361" w:rsidRPr="003A5361">
        <w:rPr>
          <w:bCs/>
          <w:lang w:val="en-US"/>
        </w:rPr>
        <w:t>(Wang et al., 2017; Teli et al., 2021; Henderson and Hart, 2013; Council, 2017).</w:t>
      </w:r>
    </w:p>
    <w:p w14:paraId="5A22B44A" w14:textId="7090A618" w:rsidR="00B24F3B" w:rsidRPr="003A5361" w:rsidRDefault="009A2037" w:rsidP="009A2037">
      <w:pPr>
        <w:pStyle w:val="MainText"/>
        <w:rPr>
          <w:bCs/>
          <w:lang w:val="en-US"/>
        </w:rPr>
      </w:pPr>
      <w:r w:rsidRPr="009A2037">
        <w:t>According to preliminary Minimum Energy Performance Standards (MEPS) published by the Swedish National Board of Housing, Building and Planning (</w:t>
      </w:r>
      <w:proofErr w:type="spellStart"/>
      <w:r w:rsidRPr="009A2037">
        <w:t>Boverket</w:t>
      </w:r>
      <w:proofErr w:type="spellEnd"/>
      <w:r w:rsidRPr="009A2037">
        <w:t xml:space="preserve">), the MEPS targets for 2030 specify maximum energy use of 214 kWh/m² for office buildings, 238 kWh/m² for educational facilities, and 243 kWh/m² for other building types. The subsequent MEPS targets for 2033 further </w:t>
      </w:r>
      <w:r w:rsidRPr="009A2037">
        <w:t xml:space="preserve">reduce these thresholds to 174 kWh/m², 188 kWh/m², and 190 kWh/m², respectively. In contrast, an exemplary building in Sweden has been reported to consume only 51 kWh/m² annually—approximately 50% lower than the MEPS2030 values stipulated by </w:t>
      </w:r>
      <w:proofErr w:type="spellStart"/>
      <w:r w:rsidRPr="009A2037">
        <w:t>Boverket</w:t>
      </w:r>
      <w:proofErr w:type="spellEnd"/>
      <w:r w:rsidRPr="009A2037">
        <w:t>. Post-occupancy evaluations of Passive House (PH) apartments in Sweden indicate a measured total electricity use of 92 kWh/m². According to Swedish energy performance criteria, the recommended maximum total energy use for buildings located in the southern region is 45 kWh/m², with an allowance of up to 55 kWh/m² when an additional 10 kWh/m² is justified</w:t>
      </w:r>
      <w:r w:rsidRPr="009A2037">
        <w:rPr>
          <w:b/>
          <w:bCs/>
          <w:lang w:val="en-US"/>
        </w:rPr>
        <w:t xml:space="preserve"> </w:t>
      </w:r>
      <w:r w:rsidR="003A5361" w:rsidRPr="003A5361">
        <w:rPr>
          <w:bCs/>
          <w:lang w:val="en-US"/>
        </w:rPr>
        <w:t xml:space="preserve">(Khatibi, 2019; Murphy, 2008; </w:t>
      </w:r>
      <w:proofErr w:type="spellStart"/>
      <w:r w:rsidR="003A5361" w:rsidRPr="003A5361">
        <w:rPr>
          <w:bCs/>
          <w:lang w:val="en-US"/>
        </w:rPr>
        <w:t>Regeringskansliet</w:t>
      </w:r>
      <w:proofErr w:type="spellEnd"/>
      <w:r w:rsidR="003A5361" w:rsidRPr="003A5361">
        <w:rPr>
          <w:bCs/>
          <w:lang w:val="en-US"/>
        </w:rPr>
        <w:t>, 2025; UN, 2021).</w:t>
      </w:r>
    </w:p>
    <w:p w14:paraId="1B36ADF2" w14:textId="46E7C80A" w:rsidR="003A5361" w:rsidRDefault="003A5361" w:rsidP="003A5361">
      <w:pPr>
        <w:pStyle w:val="Heading1"/>
        <w:rPr>
          <w:bCs/>
          <w:lang w:val="en-US"/>
        </w:rPr>
      </w:pPr>
      <w:r>
        <w:t>4</w:t>
      </w:r>
      <w:r w:rsidRPr="00F05EA2">
        <w:t xml:space="preserve">. </w:t>
      </w:r>
      <w:r w:rsidRPr="003A5361">
        <w:rPr>
          <w:bCs/>
          <w:lang w:val="en-US"/>
        </w:rPr>
        <w:t>RESULTS &amp; ANALYSIS</w:t>
      </w:r>
    </w:p>
    <w:p w14:paraId="225913B8" w14:textId="4B87F8AB" w:rsidR="00644D0C" w:rsidRPr="00644D0C" w:rsidRDefault="00644D0C" w:rsidP="00644D0C">
      <w:pPr>
        <w:pStyle w:val="MainText"/>
        <w:rPr>
          <w:lang w:val="en-US"/>
        </w:rPr>
      </w:pPr>
      <w:r w:rsidRPr="00644D0C">
        <w:t xml:space="preserve">The total measured electricity consumption in the laboratory for the year 2023 amounted to 11,235 kWh. The heating temperature setpoint was maintained at 21 °C throughout the year. Monthly electricity consumption data for 2023 are illustrated in </w:t>
      </w:r>
      <w:r w:rsidRPr="003A5361">
        <w:rPr>
          <w:bCs/>
          <w:lang w:val="en-US"/>
        </w:rPr>
        <w:t>Fig.2</w:t>
      </w:r>
      <w:r w:rsidRPr="00644D0C">
        <w:t>. The lowest recorded consumption occurred in June, amounting to 291 kWh, whereas the highest was observed in January, reaching 1,608 kWh.</w:t>
      </w:r>
    </w:p>
    <w:p w14:paraId="5A03F23B" w14:textId="6BCDA6CA" w:rsidR="00B24F3B" w:rsidRDefault="00494662" w:rsidP="00B24F3B">
      <w:pPr>
        <w:pStyle w:val="Captionfigtable"/>
        <w:rPr>
          <w:bCs/>
          <w:lang w:val="en-US"/>
        </w:rPr>
      </w:pPr>
      <w:r>
        <w:rPr>
          <w:noProof/>
        </w:rPr>
        <w:drawing>
          <wp:inline distT="0" distB="0" distL="0" distR="0" wp14:anchorId="39396F1A" wp14:editId="34A65312">
            <wp:extent cx="2907030" cy="1364615"/>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7030" cy="1364615"/>
                    </a:xfrm>
                    <a:prstGeom prst="rect">
                      <a:avLst/>
                    </a:prstGeom>
                    <a:noFill/>
                    <a:ln>
                      <a:noFill/>
                    </a:ln>
                  </pic:spPr>
                </pic:pic>
              </a:graphicData>
            </a:graphic>
          </wp:inline>
        </w:drawing>
      </w:r>
    </w:p>
    <w:p w14:paraId="00EDCAB9" w14:textId="5AE098F9" w:rsidR="00B24F3B" w:rsidRPr="00B24F3B" w:rsidRDefault="00B24F3B" w:rsidP="00B24F3B">
      <w:pPr>
        <w:pStyle w:val="Captionfigtable"/>
      </w:pPr>
      <w:r w:rsidRPr="00F05EA2">
        <w:rPr>
          <w:rStyle w:val="CaptionfigtableChar"/>
        </w:rPr>
        <w:t xml:space="preserve">Figure </w:t>
      </w:r>
      <w:r>
        <w:rPr>
          <w:rStyle w:val="CaptionfigtableChar"/>
        </w:rPr>
        <w:t>2</w:t>
      </w:r>
      <w:r w:rsidRPr="00F05EA2">
        <w:rPr>
          <w:rStyle w:val="CaptionfigtableChar"/>
        </w:rPr>
        <w:t xml:space="preserve">: </w:t>
      </w:r>
      <w:r>
        <w:rPr>
          <w:rStyle w:val="CaptionfigtableChar"/>
        </w:rPr>
        <w:t xml:space="preserve">Monthly measured electricity consumption in 2023 </w:t>
      </w:r>
    </w:p>
    <w:p w14:paraId="562046DF" w14:textId="77777777" w:rsidR="00644D0C" w:rsidRPr="00644D0C" w:rsidRDefault="00644D0C" w:rsidP="00644D0C">
      <w:pPr>
        <w:pStyle w:val="MainText"/>
      </w:pPr>
      <w:r w:rsidRPr="00644D0C">
        <w:t>The annual simulated electricity consumption, as presented in Table 2, is derived from three simulation scenarios conducted across four energy simulation tools, resulting in a total of twelve simulated values. As indicated in the table, a significant discrepancy is observed among the simulation outcomes, particularly between IES and the other three tools. Across all three temperature setpoints, IES consistently produces the highest simulated electricity consumption values, while ClimateStudio yields the lowest. This divergence highlights notable variations in simulation outputs depending on the tool employed.</w:t>
      </w:r>
    </w:p>
    <w:p w14:paraId="6436CC1E" w14:textId="402B3F18" w:rsidR="00B24F3B" w:rsidRPr="00B24F3B" w:rsidRDefault="00B24F3B" w:rsidP="00644D0C">
      <w:pPr>
        <w:pStyle w:val="PlainText"/>
        <w:rPr>
          <w:i/>
          <w:color w:val="FF0000"/>
        </w:rPr>
      </w:pPr>
      <w:r w:rsidRPr="00F05EA2">
        <w:rPr>
          <w:i/>
        </w:rPr>
        <w:t xml:space="preserve">Table </w:t>
      </w:r>
      <w:r>
        <w:rPr>
          <w:i/>
        </w:rPr>
        <w:t>2</w:t>
      </w:r>
      <w:r w:rsidRPr="00F05EA2">
        <w:rPr>
          <w:i/>
        </w:rPr>
        <w:t xml:space="preserve">: </w:t>
      </w:r>
      <w:r>
        <w:rPr>
          <w:i/>
        </w:rPr>
        <w:t>Annual simulated energy performance on the four simulation tools in kWh.</w:t>
      </w:r>
    </w:p>
    <w:tbl>
      <w:tblPr>
        <w:tblW w:w="0" w:type="auto"/>
        <w:tblBorders>
          <w:top w:val="single" w:sz="4" w:space="0" w:color="7F7F7F"/>
          <w:bottom w:val="single" w:sz="4" w:space="0" w:color="7F7F7F"/>
        </w:tblBorders>
        <w:tblLook w:val="04A0" w:firstRow="1" w:lastRow="0" w:firstColumn="1" w:lastColumn="0" w:noHBand="0" w:noVBand="1"/>
      </w:tblPr>
      <w:tblGrid>
        <w:gridCol w:w="1678"/>
        <w:gridCol w:w="979"/>
        <w:gridCol w:w="980"/>
        <w:gridCol w:w="923"/>
      </w:tblGrid>
      <w:tr w:rsidR="00B24F3B" w14:paraId="3BE33919" w14:textId="77777777" w:rsidTr="00644D0C">
        <w:trPr>
          <w:trHeight w:val="266"/>
        </w:trPr>
        <w:tc>
          <w:tcPr>
            <w:tcW w:w="1678" w:type="dxa"/>
            <w:tcBorders>
              <w:bottom w:val="single" w:sz="4" w:space="0" w:color="7F7F7F"/>
            </w:tcBorders>
            <w:shd w:val="clear" w:color="auto" w:fill="auto"/>
          </w:tcPr>
          <w:p w14:paraId="4FF6D0E2" w14:textId="77777777" w:rsidR="00B24F3B" w:rsidRDefault="00B24F3B" w:rsidP="00B75327">
            <w:pPr>
              <w:pStyle w:val="PlainText"/>
              <w:rPr>
                <w:b/>
                <w:bCs/>
              </w:rPr>
            </w:pPr>
          </w:p>
        </w:tc>
        <w:tc>
          <w:tcPr>
            <w:tcW w:w="979" w:type="dxa"/>
            <w:tcBorders>
              <w:bottom w:val="single" w:sz="4" w:space="0" w:color="7F7F7F"/>
            </w:tcBorders>
            <w:shd w:val="clear" w:color="auto" w:fill="auto"/>
          </w:tcPr>
          <w:p w14:paraId="4AB84D09" w14:textId="77777777" w:rsidR="00B24F3B" w:rsidRDefault="00B24F3B" w:rsidP="00B75327">
            <w:pPr>
              <w:pStyle w:val="PlainText"/>
              <w:jc w:val="center"/>
              <w:rPr>
                <w:b/>
                <w:bCs/>
              </w:rPr>
            </w:pPr>
            <w:r>
              <w:rPr>
                <w:b/>
                <w:bCs/>
              </w:rPr>
              <w:t>24°C</w:t>
            </w:r>
          </w:p>
        </w:tc>
        <w:tc>
          <w:tcPr>
            <w:tcW w:w="980" w:type="dxa"/>
            <w:tcBorders>
              <w:bottom w:val="single" w:sz="4" w:space="0" w:color="7F7F7F"/>
            </w:tcBorders>
            <w:shd w:val="clear" w:color="auto" w:fill="auto"/>
          </w:tcPr>
          <w:p w14:paraId="1B70316E" w14:textId="77777777" w:rsidR="00B24F3B" w:rsidRDefault="00B24F3B" w:rsidP="00B75327">
            <w:pPr>
              <w:pStyle w:val="PlainText"/>
              <w:jc w:val="center"/>
              <w:rPr>
                <w:b/>
                <w:bCs/>
              </w:rPr>
            </w:pPr>
            <w:r>
              <w:rPr>
                <w:b/>
                <w:bCs/>
              </w:rPr>
              <w:t>21°C</w:t>
            </w:r>
          </w:p>
        </w:tc>
        <w:tc>
          <w:tcPr>
            <w:tcW w:w="923" w:type="dxa"/>
            <w:tcBorders>
              <w:bottom w:val="single" w:sz="4" w:space="0" w:color="7F7F7F"/>
            </w:tcBorders>
            <w:shd w:val="clear" w:color="auto" w:fill="auto"/>
          </w:tcPr>
          <w:p w14:paraId="3A2516AA" w14:textId="77777777" w:rsidR="00B24F3B" w:rsidRDefault="00B24F3B" w:rsidP="00B75327">
            <w:pPr>
              <w:pStyle w:val="PlainText"/>
              <w:jc w:val="center"/>
              <w:rPr>
                <w:b/>
                <w:bCs/>
              </w:rPr>
            </w:pPr>
            <w:r>
              <w:rPr>
                <w:b/>
                <w:bCs/>
              </w:rPr>
              <w:t>18°C</w:t>
            </w:r>
          </w:p>
        </w:tc>
      </w:tr>
      <w:tr w:rsidR="00B24F3B" w14:paraId="1319653F" w14:textId="77777777" w:rsidTr="00644D0C">
        <w:trPr>
          <w:trHeight w:val="266"/>
        </w:trPr>
        <w:tc>
          <w:tcPr>
            <w:tcW w:w="1678" w:type="dxa"/>
            <w:tcBorders>
              <w:top w:val="single" w:sz="4" w:space="0" w:color="7F7F7F"/>
              <w:bottom w:val="single" w:sz="4" w:space="0" w:color="7F7F7F"/>
            </w:tcBorders>
            <w:shd w:val="clear" w:color="auto" w:fill="auto"/>
          </w:tcPr>
          <w:p w14:paraId="1712368C" w14:textId="77777777" w:rsidR="00B24F3B" w:rsidRDefault="00B24F3B" w:rsidP="00B75327">
            <w:pPr>
              <w:pStyle w:val="PlainText"/>
              <w:rPr>
                <w:b/>
                <w:bCs/>
              </w:rPr>
            </w:pPr>
            <w:r>
              <w:rPr>
                <w:b/>
                <w:bCs/>
              </w:rPr>
              <w:t>IDA-ICE</w:t>
            </w:r>
          </w:p>
        </w:tc>
        <w:tc>
          <w:tcPr>
            <w:tcW w:w="979" w:type="dxa"/>
            <w:tcBorders>
              <w:top w:val="single" w:sz="4" w:space="0" w:color="7F7F7F"/>
              <w:bottom w:val="single" w:sz="4" w:space="0" w:color="7F7F7F"/>
            </w:tcBorders>
            <w:shd w:val="clear" w:color="auto" w:fill="auto"/>
          </w:tcPr>
          <w:p w14:paraId="30C350C2" w14:textId="77777777" w:rsidR="00B24F3B" w:rsidRDefault="00B24F3B" w:rsidP="00B75327">
            <w:pPr>
              <w:pStyle w:val="PlainText"/>
              <w:jc w:val="center"/>
            </w:pPr>
            <w:r>
              <w:t>10660</w:t>
            </w:r>
          </w:p>
        </w:tc>
        <w:tc>
          <w:tcPr>
            <w:tcW w:w="980" w:type="dxa"/>
            <w:tcBorders>
              <w:top w:val="single" w:sz="4" w:space="0" w:color="7F7F7F"/>
              <w:bottom w:val="single" w:sz="4" w:space="0" w:color="7F7F7F"/>
            </w:tcBorders>
            <w:shd w:val="clear" w:color="auto" w:fill="auto"/>
          </w:tcPr>
          <w:p w14:paraId="4FFDE948" w14:textId="77777777" w:rsidR="00B24F3B" w:rsidRDefault="00B24F3B" w:rsidP="00B75327">
            <w:pPr>
              <w:pStyle w:val="PlainText"/>
              <w:jc w:val="center"/>
            </w:pPr>
            <w:r>
              <w:t>8739</w:t>
            </w:r>
          </w:p>
        </w:tc>
        <w:tc>
          <w:tcPr>
            <w:tcW w:w="923" w:type="dxa"/>
            <w:tcBorders>
              <w:top w:val="single" w:sz="4" w:space="0" w:color="7F7F7F"/>
              <w:bottom w:val="single" w:sz="4" w:space="0" w:color="7F7F7F"/>
            </w:tcBorders>
            <w:shd w:val="clear" w:color="auto" w:fill="auto"/>
          </w:tcPr>
          <w:p w14:paraId="5AEB61F2" w14:textId="77777777" w:rsidR="00B24F3B" w:rsidRDefault="00B24F3B" w:rsidP="00B75327">
            <w:pPr>
              <w:pStyle w:val="PlainText"/>
              <w:jc w:val="center"/>
            </w:pPr>
            <w:r>
              <w:t>7379</w:t>
            </w:r>
          </w:p>
        </w:tc>
      </w:tr>
      <w:tr w:rsidR="00B24F3B" w14:paraId="72954C94" w14:textId="77777777" w:rsidTr="00644D0C">
        <w:trPr>
          <w:trHeight w:val="254"/>
        </w:trPr>
        <w:tc>
          <w:tcPr>
            <w:tcW w:w="1678" w:type="dxa"/>
            <w:shd w:val="clear" w:color="auto" w:fill="auto"/>
          </w:tcPr>
          <w:p w14:paraId="504DDDAE" w14:textId="77777777" w:rsidR="00B24F3B" w:rsidRDefault="00B24F3B" w:rsidP="00B75327">
            <w:pPr>
              <w:pStyle w:val="PlainText"/>
              <w:rPr>
                <w:b/>
                <w:bCs/>
              </w:rPr>
            </w:pPr>
            <w:r>
              <w:rPr>
                <w:b/>
                <w:bCs/>
              </w:rPr>
              <w:t>DesignBuilder</w:t>
            </w:r>
          </w:p>
        </w:tc>
        <w:tc>
          <w:tcPr>
            <w:tcW w:w="979" w:type="dxa"/>
            <w:shd w:val="clear" w:color="auto" w:fill="auto"/>
          </w:tcPr>
          <w:p w14:paraId="563E341A" w14:textId="77777777" w:rsidR="00B24F3B" w:rsidRDefault="00B24F3B" w:rsidP="00B75327">
            <w:pPr>
              <w:pStyle w:val="PlainText"/>
              <w:jc w:val="center"/>
            </w:pPr>
            <w:r>
              <w:t>9555</w:t>
            </w:r>
          </w:p>
        </w:tc>
        <w:tc>
          <w:tcPr>
            <w:tcW w:w="980" w:type="dxa"/>
            <w:shd w:val="clear" w:color="auto" w:fill="auto"/>
          </w:tcPr>
          <w:p w14:paraId="2B61A5C2" w14:textId="77777777" w:rsidR="00B24F3B" w:rsidRDefault="00B24F3B" w:rsidP="00B75327">
            <w:pPr>
              <w:pStyle w:val="PlainText"/>
              <w:jc w:val="center"/>
            </w:pPr>
            <w:r>
              <w:t>8135</w:t>
            </w:r>
          </w:p>
        </w:tc>
        <w:tc>
          <w:tcPr>
            <w:tcW w:w="923" w:type="dxa"/>
            <w:shd w:val="clear" w:color="auto" w:fill="auto"/>
          </w:tcPr>
          <w:p w14:paraId="5C20D4EC" w14:textId="77777777" w:rsidR="00B24F3B" w:rsidRDefault="00B24F3B" w:rsidP="00B75327">
            <w:pPr>
              <w:pStyle w:val="PlainText"/>
              <w:jc w:val="center"/>
            </w:pPr>
            <w:r>
              <w:t>7064</w:t>
            </w:r>
          </w:p>
        </w:tc>
      </w:tr>
      <w:tr w:rsidR="00B24F3B" w14:paraId="1027B410" w14:textId="77777777" w:rsidTr="00644D0C">
        <w:trPr>
          <w:trHeight w:val="266"/>
        </w:trPr>
        <w:tc>
          <w:tcPr>
            <w:tcW w:w="1678" w:type="dxa"/>
            <w:tcBorders>
              <w:top w:val="single" w:sz="4" w:space="0" w:color="7F7F7F"/>
              <w:bottom w:val="single" w:sz="4" w:space="0" w:color="7F7F7F"/>
            </w:tcBorders>
            <w:shd w:val="clear" w:color="auto" w:fill="auto"/>
          </w:tcPr>
          <w:p w14:paraId="64A7CAB7" w14:textId="77777777" w:rsidR="00B24F3B" w:rsidRDefault="00B24F3B" w:rsidP="00B75327">
            <w:pPr>
              <w:pStyle w:val="PlainText"/>
              <w:rPr>
                <w:b/>
                <w:bCs/>
              </w:rPr>
            </w:pPr>
            <w:r>
              <w:rPr>
                <w:b/>
                <w:bCs/>
              </w:rPr>
              <w:t>ClimateStudio</w:t>
            </w:r>
          </w:p>
        </w:tc>
        <w:tc>
          <w:tcPr>
            <w:tcW w:w="979" w:type="dxa"/>
            <w:tcBorders>
              <w:top w:val="single" w:sz="4" w:space="0" w:color="7F7F7F"/>
              <w:bottom w:val="single" w:sz="4" w:space="0" w:color="7F7F7F"/>
            </w:tcBorders>
            <w:shd w:val="clear" w:color="auto" w:fill="auto"/>
          </w:tcPr>
          <w:p w14:paraId="1418BF8D" w14:textId="77777777" w:rsidR="00B24F3B" w:rsidRDefault="00B24F3B" w:rsidP="00B75327">
            <w:pPr>
              <w:pStyle w:val="PlainText"/>
              <w:jc w:val="center"/>
            </w:pPr>
            <w:r>
              <w:t>9157</w:t>
            </w:r>
          </w:p>
        </w:tc>
        <w:tc>
          <w:tcPr>
            <w:tcW w:w="980" w:type="dxa"/>
            <w:tcBorders>
              <w:top w:val="single" w:sz="4" w:space="0" w:color="7F7F7F"/>
              <w:bottom w:val="single" w:sz="4" w:space="0" w:color="7F7F7F"/>
            </w:tcBorders>
            <w:shd w:val="clear" w:color="auto" w:fill="auto"/>
          </w:tcPr>
          <w:p w14:paraId="14793B5F" w14:textId="77777777" w:rsidR="00B24F3B" w:rsidRDefault="00B24F3B" w:rsidP="00B75327">
            <w:pPr>
              <w:pStyle w:val="PlainText"/>
              <w:jc w:val="center"/>
            </w:pPr>
            <w:r>
              <w:t>7853</w:t>
            </w:r>
          </w:p>
        </w:tc>
        <w:tc>
          <w:tcPr>
            <w:tcW w:w="923" w:type="dxa"/>
            <w:tcBorders>
              <w:top w:val="single" w:sz="4" w:space="0" w:color="7F7F7F"/>
              <w:bottom w:val="single" w:sz="4" w:space="0" w:color="7F7F7F"/>
            </w:tcBorders>
            <w:shd w:val="clear" w:color="auto" w:fill="auto"/>
          </w:tcPr>
          <w:p w14:paraId="09E7795E" w14:textId="77777777" w:rsidR="00B24F3B" w:rsidRDefault="00B24F3B" w:rsidP="00B75327">
            <w:pPr>
              <w:pStyle w:val="PlainText"/>
              <w:jc w:val="center"/>
            </w:pPr>
            <w:r>
              <w:t>6905</w:t>
            </w:r>
          </w:p>
        </w:tc>
      </w:tr>
      <w:tr w:rsidR="00B24F3B" w14:paraId="5294F531" w14:textId="77777777" w:rsidTr="00644D0C">
        <w:trPr>
          <w:trHeight w:val="266"/>
        </w:trPr>
        <w:tc>
          <w:tcPr>
            <w:tcW w:w="1678" w:type="dxa"/>
            <w:shd w:val="clear" w:color="auto" w:fill="auto"/>
          </w:tcPr>
          <w:p w14:paraId="5E338408" w14:textId="77777777" w:rsidR="00B24F3B" w:rsidRDefault="00B24F3B" w:rsidP="00B75327">
            <w:pPr>
              <w:pStyle w:val="PlainText"/>
              <w:rPr>
                <w:b/>
                <w:bCs/>
              </w:rPr>
            </w:pPr>
            <w:r>
              <w:rPr>
                <w:b/>
                <w:bCs/>
              </w:rPr>
              <w:t>IES-VE</w:t>
            </w:r>
          </w:p>
        </w:tc>
        <w:tc>
          <w:tcPr>
            <w:tcW w:w="979" w:type="dxa"/>
            <w:shd w:val="clear" w:color="auto" w:fill="auto"/>
          </w:tcPr>
          <w:p w14:paraId="795D05EA" w14:textId="77777777" w:rsidR="00B24F3B" w:rsidRDefault="00B24F3B" w:rsidP="00B75327">
            <w:pPr>
              <w:pStyle w:val="PlainText"/>
              <w:jc w:val="center"/>
            </w:pPr>
            <w:r>
              <w:t>15859</w:t>
            </w:r>
          </w:p>
        </w:tc>
        <w:tc>
          <w:tcPr>
            <w:tcW w:w="980" w:type="dxa"/>
            <w:shd w:val="clear" w:color="auto" w:fill="auto"/>
          </w:tcPr>
          <w:p w14:paraId="00B8C824" w14:textId="77777777" w:rsidR="00B24F3B" w:rsidRDefault="00B24F3B" w:rsidP="00B75327">
            <w:pPr>
              <w:pStyle w:val="PlainText"/>
              <w:jc w:val="center"/>
            </w:pPr>
            <w:r>
              <w:t>11452</w:t>
            </w:r>
          </w:p>
        </w:tc>
        <w:tc>
          <w:tcPr>
            <w:tcW w:w="923" w:type="dxa"/>
            <w:shd w:val="clear" w:color="auto" w:fill="auto"/>
          </w:tcPr>
          <w:p w14:paraId="4BE2B05E" w14:textId="77777777" w:rsidR="00B24F3B" w:rsidRDefault="00B24F3B" w:rsidP="00B75327">
            <w:pPr>
              <w:pStyle w:val="PlainText"/>
              <w:jc w:val="center"/>
            </w:pPr>
            <w:r>
              <w:t>8786</w:t>
            </w:r>
          </w:p>
        </w:tc>
      </w:tr>
    </w:tbl>
    <w:p w14:paraId="5C65C7A0" w14:textId="77777777" w:rsidR="00644D0C" w:rsidRDefault="00644D0C" w:rsidP="00644D0C">
      <w:pPr>
        <w:pStyle w:val="Captionfigtable"/>
        <w:rPr>
          <w:rStyle w:val="MainTextChar"/>
        </w:rPr>
      </w:pPr>
    </w:p>
    <w:p w14:paraId="20D09586" w14:textId="309E3753" w:rsidR="00644D0C" w:rsidRDefault="00644D0C" w:rsidP="00644D0C">
      <w:pPr>
        <w:pStyle w:val="MainText"/>
        <w:rPr>
          <w:rStyle w:val="MainTextChar"/>
        </w:rPr>
      </w:pPr>
      <w:r w:rsidRPr="00644D0C">
        <w:rPr>
          <w:rStyle w:val="MainTextChar"/>
        </w:rPr>
        <w:lastRenderedPageBreak/>
        <w:t>The simulated electricity consumption represents total energy use, encompassing lighting, heating, cooling, equipment, and domestic hot water. Fig</w:t>
      </w:r>
      <w:r>
        <w:rPr>
          <w:rStyle w:val="MainTextChar"/>
        </w:rPr>
        <w:t>.</w:t>
      </w:r>
      <w:r w:rsidRPr="00644D0C">
        <w:rPr>
          <w:rStyle w:val="MainTextChar"/>
        </w:rPr>
        <w:t>3 presents the monthly simulated electricity consumption generated by the four simulation tools under a heating setpoint of 21 °C. As illustrated, IES-VE consistently produces higher monthly electricity consumption values compared to the other tools. In contrast, the simulation results from IDA-ICE, DesignBuilder, and ClimateStudio exhibit minimal variation between November and March, with more pronounced discrepancies observed from April to October.</w:t>
      </w:r>
    </w:p>
    <w:p w14:paraId="7F15B443" w14:textId="2C94A5EE" w:rsidR="00B50755" w:rsidRDefault="00494662" w:rsidP="00644D0C">
      <w:pPr>
        <w:pStyle w:val="Captionfigtable"/>
        <w:rPr>
          <w:lang w:val="en-US"/>
        </w:rPr>
      </w:pPr>
      <w:r>
        <w:rPr>
          <w:noProof/>
        </w:rPr>
        <w:drawing>
          <wp:inline distT="0" distB="0" distL="0" distR="0" wp14:anchorId="5C92168B" wp14:editId="33121F05">
            <wp:extent cx="2879725" cy="153543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9725" cy="1535430"/>
                    </a:xfrm>
                    <a:prstGeom prst="rect">
                      <a:avLst/>
                    </a:prstGeom>
                    <a:noFill/>
                    <a:ln>
                      <a:noFill/>
                    </a:ln>
                  </pic:spPr>
                </pic:pic>
              </a:graphicData>
            </a:graphic>
          </wp:inline>
        </w:drawing>
      </w:r>
    </w:p>
    <w:p w14:paraId="126B26FE" w14:textId="77777777" w:rsidR="00B24F3B" w:rsidRPr="001C267C" w:rsidRDefault="00B24F3B" w:rsidP="00B24F3B">
      <w:pPr>
        <w:pStyle w:val="Captionfigtable"/>
        <w:rPr>
          <w:i w:val="0"/>
        </w:rPr>
      </w:pPr>
      <w:r w:rsidRPr="00F05EA2">
        <w:rPr>
          <w:rStyle w:val="CaptionfigtableChar"/>
        </w:rPr>
        <w:t xml:space="preserve">Figure </w:t>
      </w:r>
      <w:r>
        <w:rPr>
          <w:rStyle w:val="CaptionfigtableChar"/>
        </w:rPr>
        <w:t>3</w:t>
      </w:r>
      <w:r w:rsidRPr="00F05EA2">
        <w:rPr>
          <w:rStyle w:val="CaptionfigtableChar"/>
        </w:rPr>
        <w:t xml:space="preserve">: </w:t>
      </w:r>
      <w:r>
        <w:rPr>
          <w:rStyle w:val="CaptionfigtableChar"/>
        </w:rPr>
        <w:t>Monthly simulated total electricity consumption.</w:t>
      </w:r>
    </w:p>
    <w:p w14:paraId="7A355915" w14:textId="77777777" w:rsidR="00B24F3B" w:rsidRPr="002E1AE6" w:rsidRDefault="00B24F3B" w:rsidP="00B24F3B">
      <w:pPr>
        <w:pStyle w:val="PlainText"/>
        <w:rPr>
          <w:b/>
          <w:sz w:val="20"/>
        </w:rPr>
      </w:pPr>
      <w:r>
        <w:rPr>
          <w:b/>
          <w:sz w:val="20"/>
        </w:rPr>
        <w:t>4.1</w:t>
      </w:r>
      <w:r w:rsidRPr="00F05EA2">
        <w:rPr>
          <w:b/>
          <w:sz w:val="20"/>
        </w:rPr>
        <w:t xml:space="preserve"> </w:t>
      </w:r>
      <w:r>
        <w:rPr>
          <w:b/>
          <w:sz w:val="20"/>
        </w:rPr>
        <w:t>Gap Between Simulation Results</w:t>
      </w:r>
    </w:p>
    <w:p w14:paraId="6EBC21BA" w14:textId="0992B1C2" w:rsidR="00644D0C" w:rsidRPr="00644D0C" w:rsidRDefault="00644D0C" w:rsidP="00644D0C">
      <w:pPr>
        <w:pStyle w:val="MainText"/>
        <w:rPr>
          <w:b/>
        </w:rPr>
      </w:pPr>
      <w:r w:rsidRPr="00644D0C">
        <w:rPr>
          <w:rStyle w:val="MainTextChar"/>
        </w:rPr>
        <w:t>As previously noted, a significant discrepancy exists among the results produced by the different simulation tools. At a finer temporal resolution, Figure 4 illustrates the monthly variations in simulated heating electricity consumption. The outputs from IDA-ICE, DesignBuilder, and ClimateStudio are relatively consistent, with annual simulated heating electricity consumption values of 3,699 kWh, 3,369 kWh, and 3,123 kWh, respectively. The heating demand predicted by IDA-ICE is approximately 18% higher than that predicted by ClimateStudio. However, a substantial divergence is evident when these results are compared to those generated by IES-VE, which estimates an annual heating electricity consumption of 7,142 kWh. When comparing the IES-VE result with the average of the other three tools, IES-VE predicts approximately 110% higher heating electricity demand than the mean simulated value of the three tools</w:t>
      </w:r>
      <w:r w:rsidRPr="00644D0C">
        <w:rPr>
          <w:b/>
        </w:rPr>
        <w:t>.</w:t>
      </w:r>
    </w:p>
    <w:p w14:paraId="10DB6941" w14:textId="2F9B754B" w:rsidR="00B24F3B" w:rsidRPr="009133C2" w:rsidRDefault="00494662" w:rsidP="00644D0C">
      <w:pPr>
        <w:pStyle w:val="Captionfigtable"/>
      </w:pPr>
      <w:r w:rsidRPr="0063334B">
        <w:rPr>
          <w:noProof/>
        </w:rPr>
        <w:drawing>
          <wp:inline distT="0" distB="0" distL="0" distR="0" wp14:anchorId="0EAC4D88" wp14:editId="777BC02F">
            <wp:extent cx="2893060" cy="1391920"/>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3060" cy="1391920"/>
                    </a:xfrm>
                    <a:prstGeom prst="rect">
                      <a:avLst/>
                    </a:prstGeom>
                    <a:noFill/>
                    <a:ln>
                      <a:noFill/>
                    </a:ln>
                  </pic:spPr>
                </pic:pic>
              </a:graphicData>
            </a:graphic>
          </wp:inline>
        </w:drawing>
      </w:r>
    </w:p>
    <w:p w14:paraId="4C619125" w14:textId="77777777" w:rsidR="00B24F3B" w:rsidRPr="00E87594" w:rsidRDefault="00B24F3B" w:rsidP="00B24F3B">
      <w:pPr>
        <w:pStyle w:val="Captionfigtable"/>
        <w:rPr>
          <w:rStyle w:val="CaptionfigtableChar"/>
        </w:rPr>
      </w:pPr>
      <w:r w:rsidRPr="00F05EA2">
        <w:rPr>
          <w:rStyle w:val="CaptionfigtableChar"/>
        </w:rPr>
        <w:t xml:space="preserve">Figure </w:t>
      </w:r>
      <w:r>
        <w:rPr>
          <w:rStyle w:val="CaptionfigtableChar"/>
        </w:rPr>
        <w:t>4</w:t>
      </w:r>
      <w:r w:rsidRPr="00F05EA2">
        <w:rPr>
          <w:rStyle w:val="CaptionfigtableChar"/>
        </w:rPr>
        <w:t xml:space="preserve">: </w:t>
      </w:r>
      <w:r>
        <w:rPr>
          <w:rStyle w:val="CaptionfigtableChar"/>
        </w:rPr>
        <w:t>Monthly simulated heating electricity consumption.</w:t>
      </w:r>
    </w:p>
    <w:p w14:paraId="79D8F7A4" w14:textId="21570499" w:rsidR="00644D0C" w:rsidRPr="00644D0C" w:rsidRDefault="00644D0C" w:rsidP="00644D0C">
      <w:pPr>
        <w:pStyle w:val="MainText"/>
        <w:rPr>
          <w:rStyle w:val="CaptionfigtableChar"/>
          <w:bCs/>
          <w:i w:val="0"/>
          <w:sz w:val="20"/>
        </w:rPr>
      </w:pPr>
      <w:r w:rsidRPr="00644D0C">
        <w:rPr>
          <w:bCs/>
        </w:rPr>
        <w:t>In all simulation scenarios, the cooling setpoint was uniformly set at 26 °C. Nevertheless, substantial variations in simulated cooling electricity consumption are observed across the four simulation tools, as illustrated in Figure 5. The results indicate that cooling energy demand is influenced not only by the temperature setpoints but also significantly by the choice of simulation tool. Across all scenarios, IDA-ICE consistently predicts the highest cooling electricity consumption. At a heating setpoint of 21 °C, IDA-ICE estimates cooling electricity use to be 59%, 83%, and 453% higher than the values predicted by IES-VE, DesignBuilder, and ClimateStudio, respectively.</w:t>
      </w:r>
    </w:p>
    <w:p w14:paraId="5A441326" w14:textId="6AD4DB3F" w:rsidR="00B24F3B" w:rsidRPr="00A8470E" w:rsidRDefault="00494662" w:rsidP="00B24F3B">
      <w:pPr>
        <w:pStyle w:val="Captionfigtable"/>
      </w:pPr>
      <w:r w:rsidRPr="0063334B">
        <w:rPr>
          <w:noProof/>
        </w:rPr>
        <w:drawing>
          <wp:inline distT="0" distB="0" distL="0" distR="0" wp14:anchorId="273B483D" wp14:editId="5A4A2E08">
            <wp:extent cx="2907030" cy="1678940"/>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7030" cy="1678940"/>
                    </a:xfrm>
                    <a:prstGeom prst="rect">
                      <a:avLst/>
                    </a:prstGeom>
                    <a:noFill/>
                    <a:ln>
                      <a:noFill/>
                    </a:ln>
                  </pic:spPr>
                </pic:pic>
              </a:graphicData>
            </a:graphic>
          </wp:inline>
        </w:drawing>
      </w:r>
    </w:p>
    <w:p w14:paraId="009F74AC" w14:textId="77777777" w:rsidR="00B24F3B" w:rsidRDefault="00B24F3B" w:rsidP="00B24F3B">
      <w:pPr>
        <w:pStyle w:val="Captionfigtable"/>
        <w:rPr>
          <w:rStyle w:val="CaptionfigtableChar"/>
        </w:rPr>
      </w:pPr>
      <w:r w:rsidRPr="00F05EA2">
        <w:rPr>
          <w:rStyle w:val="CaptionfigtableChar"/>
        </w:rPr>
        <w:t xml:space="preserve">Figure </w:t>
      </w:r>
      <w:r>
        <w:rPr>
          <w:rStyle w:val="CaptionfigtableChar"/>
        </w:rPr>
        <w:t>5</w:t>
      </w:r>
      <w:r w:rsidRPr="00F05EA2">
        <w:rPr>
          <w:rStyle w:val="CaptionfigtableChar"/>
        </w:rPr>
        <w:t xml:space="preserve">: </w:t>
      </w:r>
      <w:r>
        <w:rPr>
          <w:rStyle w:val="CaptionfigtableChar"/>
        </w:rPr>
        <w:t>Annual cooling simulated electricity consumption.</w:t>
      </w:r>
    </w:p>
    <w:p w14:paraId="7BC27DE4" w14:textId="767BF737" w:rsidR="00644D0C" w:rsidRPr="00644D0C" w:rsidRDefault="00644D0C" w:rsidP="00644D0C">
      <w:pPr>
        <w:pStyle w:val="MainText"/>
        <w:rPr>
          <w:rStyle w:val="CaptionfigtableChar"/>
          <w:bCs/>
          <w:i w:val="0"/>
          <w:iCs/>
        </w:rPr>
      </w:pPr>
      <w:r w:rsidRPr="00644D0C">
        <w:rPr>
          <w:bCs/>
          <w:iCs/>
          <w:sz w:val="18"/>
        </w:rPr>
        <w:t>Monthly simulated cooling electricity consumption, based on heating and cooling setpoints of 21 °C and 26 °C respectively, reveals considerable variation among the simulation tools during the period from April to September, as illustrated in Fig</w:t>
      </w:r>
      <w:r w:rsidR="00435B6A">
        <w:rPr>
          <w:bCs/>
          <w:iCs/>
          <w:sz w:val="18"/>
        </w:rPr>
        <w:t>.</w:t>
      </w:r>
      <w:r w:rsidRPr="00644D0C">
        <w:rPr>
          <w:bCs/>
          <w:iCs/>
          <w:sz w:val="18"/>
        </w:rPr>
        <w:t>6. Notably, from October to April, ClimateStudio reports zero cooling electricity consumption, while IES-VE estimates a minimal consumption of 14 kWh. In contrast, DesignBuilder and IDA-ICE predict 90 kWh and 60 kWh, respectively, for the same period. During this interval, DesignBuilder forecasts 543% and 50% higher cooling electricity consumption compared to IES-VE and IDA-ICE, respectively.</w:t>
      </w:r>
    </w:p>
    <w:p w14:paraId="6E318C79" w14:textId="57BBF576" w:rsidR="00B24F3B" w:rsidRPr="00087D87" w:rsidRDefault="00494662" w:rsidP="00B24F3B">
      <w:pPr>
        <w:pStyle w:val="Captionfigtable"/>
      </w:pPr>
      <w:r w:rsidRPr="0063334B">
        <w:rPr>
          <w:noProof/>
        </w:rPr>
        <w:drawing>
          <wp:inline distT="0" distB="0" distL="0" distR="0" wp14:anchorId="4C8E1A4D" wp14:editId="122CB22C">
            <wp:extent cx="2907030" cy="1351280"/>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7030" cy="1351280"/>
                    </a:xfrm>
                    <a:prstGeom prst="rect">
                      <a:avLst/>
                    </a:prstGeom>
                    <a:noFill/>
                    <a:ln>
                      <a:noFill/>
                    </a:ln>
                  </pic:spPr>
                </pic:pic>
              </a:graphicData>
            </a:graphic>
          </wp:inline>
        </w:drawing>
      </w:r>
    </w:p>
    <w:p w14:paraId="7DE6E1CB" w14:textId="77777777" w:rsidR="00B24F3B" w:rsidRDefault="00B24F3B" w:rsidP="00B24F3B">
      <w:pPr>
        <w:pStyle w:val="Captionfigtable"/>
        <w:rPr>
          <w:rStyle w:val="CaptionfigtableChar"/>
        </w:rPr>
      </w:pPr>
      <w:r w:rsidRPr="00F05EA2">
        <w:rPr>
          <w:rStyle w:val="CaptionfigtableChar"/>
        </w:rPr>
        <w:t xml:space="preserve">Figure </w:t>
      </w:r>
      <w:r>
        <w:rPr>
          <w:rStyle w:val="CaptionfigtableChar"/>
        </w:rPr>
        <w:t>6</w:t>
      </w:r>
      <w:r w:rsidRPr="00F05EA2">
        <w:rPr>
          <w:rStyle w:val="CaptionfigtableChar"/>
        </w:rPr>
        <w:t xml:space="preserve">: </w:t>
      </w:r>
      <w:r>
        <w:rPr>
          <w:rStyle w:val="CaptionfigtableChar"/>
        </w:rPr>
        <w:t>Monthly simulated cooling electricity consumption.</w:t>
      </w:r>
    </w:p>
    <w:p w14:paraId="7C3C4167" w14:textId="77777777" w:rsidR="00435B6A" w:rsidRDefault="00435B6A" w:rsidP="00435B6A">
      <w:pPr>
        <w:pStyle w:val="MainText"/>
        <w:rPr>
          <w:i/>
        </w:rPr>
      </w:pPr>
      <w:r w:rsidRPr="00435B6A">
        <w:t xml:space="preserve">No significant discrepancies were observed in the simulated fan electricity consumption among IDA-ICE, DesignBuilder, and ClimateStudio, with the exception of December, during which ClimateStudio predicted fan electricity consumption to be 3 kWh higher than the values produced by the other two tools. However, as illustrated in Figure 7, the fan electricity consumption simulated by IES-VE </w:t>
      </w:r>
      <w:r w:rsidRPr="00435B6A">
        <w:lastRenderedPageBreak/>
        <w:t>is consistently and significantly lower than that predicted by the other three tools. On an annual basis, the fan electricity consumption estimated by IDA-ICE, DesignBuilder, and ClimateStudio is approximately 80.5% higher than that predicted by IES-VE. Monthly comparisons reveal the smallest discrepancies in July and December, where the other three tools predicted fan electricity use to be 46.5% and 37.5% higher than IES-VE, respectively. The largest divergence was observed in September, with the three tools estimating fan electricity consumption to be 161% higher than the IES-VE prediction.</w:t>
      </w:r>
    </w:p>
    <w:p w14:paraId="194E0340" w14:textId="726DE021" w:rsidR="00B24F3B" w:rsidRPr="00A2649C" w:rsidRDefault="00494662" w:rsidP="00435B6A">
      <w:pPr>
        <w:pStyle w:val="Captionfigtable"/>
      </w:pPr>
      <w:r w:rsidRPr="0063334B">
        <w:rPr>
          <w:noProof/>
        </w:rPr>
        <w:drawing>
          <wp:inline distT="0" distB="0" distL="0" distR="0" wp14:anchorId="2221069D" wp14:editId="52EF9B68">
            <wp:extent cx="2859405" cy="1508125"/>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9405" cy="1508125"/>
                    </a:xfrm>
                    <a:prstGeom prst="rect">
                      <a:avLst/>
                    </a:prstGeom>
                    <a:noFill/>
                    <a:ln>
                      <a:noFill/>
                    </a:ln>
                  </pic:spPr>
                </pic:pic>
              </a:graphicData>
            </a:graphic>
          </wp:inline>
        </w:drawing>
      </w:r>
    </w:p>
    <w:p w14:paraId="60DF75E1" w14:textId="77777777" w:rsidR="00B24F3B" w:rsidRPr="00037DF5" w:rsidRDefault="00B24F3B" w:rsidP="00B24F3B">
      <w:pPr>
        <w:pStyle w:val="Captionfigtable"/>
        <w:rPr>
          <w:rStyle w:val="CaptionfigtableChar"/>
          <w:i/>
        </w:rPr>
      </w:pPr>
      <w:r w:rsidRPr="00F05EA2">
        <w:rPr>
          <w:rStyle w:val="CaptionfigtableChar"/>
        </w:rPr>
        <w:t xml:space="preserve">Figure </w:t>
      </w:r>
      <w:r>
        <w:rPr>
          <w:rStyle w:val="CaptionfigtableChar"/>
        </w:rPr>
        <w:t>7</w:t>
      </w:r>
      <w:r w:rsidRPr="00F05EA2">
        <w:rPr>
          <w:rStyle w:val="CaptionfigtableChar"/>
        </w:rPr>
        <w:t xml:space="preserve">: </w:t>
      </w:r>
      <w:r>
        <w:rPr>
          <w:rStyle w:val="CaptionfigtableChar"/>
        </w:rPr>
        <w:t>Monthly simulated fans electricity consumption.</w:t>
      </w:r>
    </w:p>
    <w:p w14:paraId="2D33481A" w14:textId="77B89071" w:rsidR="00435B6A" w:rsidRDefault="00435B6A" w:rsidP="00435B6A">
      <w:pPr>
        <w:pStyle w:val="MainText"/>
        <w:rPr>
          <w:rStyle w:val="MainTextChar"/>
        </w:rPr>
      </w:pPr>
      <w:r w:rsidRPr="00435B6A">
        <w:rPr>
          <w:rStyle w:val="MainTextChar"/>
        </w:rPr>
        <w:t>The annual simulated electricity consumption for hot water, lighting, and equipment shows minimal variation across the simulation tools and is nearly identical in certain cases, as illustrated in Fig</w:t>
      </w:r>
      <w:r>
        <w:rPr>
          <w:rStyle w:val="MainTextChar"/>
        </w:rPr>
        <w:t>.</w:t>
      </w:r>
      <w:r w:rsidRPr="00435B6A">
        <w:rPr>
          <w:rStyle w:val="MainTextChar"/>
        </w:rPr>
        <w:t>8. For lighting, ClimateStudio predicts an annual electricity consumption that is 6.5% (124 kWh) higher than that estimated by DesignBuilder. In terms of equipment, ClimateStudio also reports a higher annual electricity consumption—approximately 6.8% (83 kWh) more—compared to IDA-ICE. For DHW, DesignBuilder estimates energy use to be 7 kWh (5.2%) greater than the value predicted by ClimateStudio.</w:t>
      </w:r>
    </w:p>
    <w:p w14:paraId="3C21DE80" w14:textId="0C31F1E6" w:rsidR="00B24F3B" w:rsidRPr="0049690A" w:rsidRDefault="00494662" w:rsidP="00435B6A">
      <w:pPr>
        <w:pStyle w:val="Captionfigtable"/>
      </w:pPr>
      <w:r w:rsidRPr="0063334B">
        <w:rPr>
          <w:noProof/>
        </w:rPr>
        <w:drawing>
          <wp:inline distT="0" distB="0" distL="0" distR="0" wp14:anchorId="1A721F21" wp14:editId="7B56FD95">
            <wp:extent cx="2879725" cy="1439545"/>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9725" cy="1439545"/>
                    </a:xfrm>
                    <a:prstGeom prst="rect">
                      <a:avLst/>
                    </a:prstGeom>
                    <a:noFill/>
                    <a:ln>
                      <a:noFill/>
                    </a:ln>
                  </pic:spPr>
                </pic:pic>
              </a:graphicData>
            </a:graphic>
          </wp:inline>
        </w:drawing>
      </w:r>
    </w:p>
    <w:p w14:paraId="7A61BAEC" w14:textId="77777777" w:rsidR="00B24F3B" w:rsidRDefault="00B24F3B" w:rsidP="00B24F3B">
      <w:pPr>
        <w:pStyle w:val="Captionfigtable"/>
        <w:rPr>
          <w:rStyle w:val="CaptionfigtableChar"/>
        </w:rPr>
      </w:pPr>
      <w:r w:rsidRPr="00F05EA2">
        <w:rPr>
          <w:rStyle w:val="CaptionfigtableChar"/>
        </w:rPr>
        <w:t xml:space="preserve">Figure </w:t>
      </w:r>
      <w:r>
        <w:rPr>
          <w:rStyle w:val="CaptionfigtableChar"/>
        </w:rPr>
        <w:t>8</w:t>
      </w:r>
      <w:r w:rsidRPr="00F05EA2">
        <w:rPr>
          <w:rStyle w:val="CaptionfigtableChar"/>
        </w:rPr>
        <w:t xml:space="preserve">: </w:t>
      </w:r>
      <w:r>
        <w:rPr>
          <w:rStyle w:val="CaptionfigtableChar"/>
        </w:rPr>
        <w:t>Annual simulated DHW, lighting and equipment electricity consumption.</w:t>
      </w:r>
    </w:p>
    <w:p w14:paraId="124CFB8E" w14:textId="77777777" w:rsidR="00B24F3B" w:rsidRPr="00F05EA2" w:rsidRDefault="00B24F3B" w:rsidP="00B24F3B">
      <w:pPr>
        <w:pStyle w:val="PlainText"/>
        <w:rPr>
          <w:b/>
          <w:sz w:val="20"/>
        </w:rPr>
      </w:pPr>
      <w:r>
        <w:rPr>
          <w:b/>
          <w:sz w:val="20"/>
        </w:rPr>
        <w:t>4.2</w:t>
      </w:r>
      <w:r w:rsidRPr="00F05EA2">
        <w:rPr>
          <w:b/>
          <w:sz w:val="20"/>
        </w:rPr>
        <w:t xml:space="preserve"> </w:t>
      </w:r>
      <w:r>
        <w:rPr>
          <w:b/>
          <w:sz w:val="20"/>
        </w:rPr>
        <w:t xml:space="preserve">Measured Versus Simulated </w:t>
      </w:r>
    </w:p>
    <w:p w14:paraId="677515F3" w14:textId="77777777" w:rsidR="00435B6A" w:rsidRDefault="00435B6A" w:rsidP="00435B6A">
      <w:pPr>
        <w:pStyle w:val="MainText"/>
        <w:rPr>
          <w:lang w:val="en-US"/>
        </w:rPr>
      </w:pPr>
      <w:r w:rsidRPr="00435B6A">
        <w:rPr>
          <w:lang w:val="en-US"/>
        </w:rPr>
        <w:t xml:space="preserve">As previously noted, the total measured electricity consumption in the laboratory for 2023 was 11,235 kWh. Table 3 presents the comparison factors between measured and simulated electricity consumption across different scenarios. Two simulation scenarios </w:t>
      </w:r>
      <w:r>
        <w:rPr>
          <w:lang w:val="en-US"/>
        </w:rPr>
        <w:t>are close to the</w:t>
      </w:r>
      <w:r w:rsidRPr="00435B6A">
        <w:rPr>
          <w:lang w:val="en-US"/>
        </w:rPr>
        <w:t xml:space="preserve"> </w:t>
      </w:r>
      <w:proofErr w:type="spellStart"/>
      <w:r w:rsidRPr="00435B6A">
        <w:rPr>
          <w:lang w:val="en-US"/>
        </w:rPr>
        <w:t>the</w:t>
      </w:r>
      <w:proofErr w:type="spellEnd"/>
      <w:r w:rsidRPr="00435B6A">
        <w:rPr>
          <w:lang w:val="en-US"/>
        </w:rPr>
        <w:t xml:space="preserve"> actual measured consumption. The first scenario, </w:t>
      </w:r>
      <w:r w:rsidRPr="00435B6A">
        <w:rPr>
          <w:lang w:val="en-US"/>
        </w:rPr>
        <w:t>conducted using IDA-ICE with a heating setpoint temperature of 24 °C, produced a simulated electricity consumption 575 kWh lower than the measured value, corresponding to a factor of 1.05. This indicates that the laboratory consumed approximately 5% more electricity than predicted by the simulation.</w:t>
      </w:r>
      <w:r>
        <w:rPr>
          <w:lang w:val="en-US"/>
        </w:rPr>
        <w:t xml:space="preserve"> </w:t>
      </w:r>
      <w:r w:rsidRPr="00435B6A">
        <w:rPr>
          <w:lang w:val="en-US"/>
        </w:rPr>
        <w:t>In the second scenario, using IES-VE with a heating setpoint of 21 °C, the laboratory was found to consume 98% of the simulated energy, with measured consumption being 217 kWh lower than the simulated value</w:t>
      </w:r>
      <w:r>
        <w:rPr>
          <w:lang w:val="en-US"/>
        </w:rPr>
        <w:t xml:space="preserve"> </w:t>
      </w:r>
      <w:r w:rsidRPr="00435B6A">
        <w:rPr>
          <w:lang w:val="en-US"/>
        </w:rPr>
        <w:t>indicating a favorable</w:t>
      </w:r>
      <w:r>
        <w:rPr>
          <w:lang w:val="en-US"/>
        </w:rPr>
        <w:t xml:space="preserve"> EPG</w:t>
      </w:r>
      <w:r w:rsidRPr="00435B6A">
        <w:rPr>
          <w:lang w:val="en-US"/>
        </w:rPr>
        <w:t xml:space="preserve">. Conversely, a factor of 0.71, derived from IES-VE at a 24 °C heating setpoint, indicates that the laboratory consumed only 71% of the simulated energy. Under the same heating setpoint, simulation with </w:t>
      </w:r>
      <w:proofErr w:type="spellStart"/>
      <w:r w:rsidRPr="00435B6A">
        <w:rPr>
          <w:lang w:val="en-US"/>
        </w:rPr>
        <w:t>ClimateStudio</w:t>
      </w:r>
      <w:proofErr w:type="spellEnd"/>
      <w:r w:rsidRPr="00435B6A">
        <w:rPr>
          <w:lang w:val="en-US"/>
        </w:rPr>
        <w:t xml:space="preserve"> showed that the laboratory consumed 23% more electricity than predicted.</w:t>
      </w:r>
      <w:r>
        <w:rPr>
          <w:lang w:val="en-US"/>
        </w:rPr>
        <w:t xml:space="preserve"> </w:t>
      </w:r>
    </w:p>
    <w:p w14:paraId="7A18FD1A" w14:textId="0EDEE6AC" w:rsidR="00B24F3B" w:rsidRPr="00435B6A" w:rsidRDefault="00435B6A" w:rsidP="00435B6A">
      <w:pPr>
        <w:pStyle w:val="MainText"/>
        <w:rPr>
          <w:bCs/>
          <w:lang w:val="en-US"/>
        </w:rPr>
      </w:pPr>
      <w:r w:rsidRPr="00435B6A">
        <w:rPr>
          <w:bCs/>
        </w:rPr>
        <w:t xml:space="preserve">It is also noteworthy that the range of deviation between measured and simulated results decreases as the heating setpoint temperature decreases. As shown in Table 3, the </w:t>
      </w:r>
      <w:r>
        <w:rPr>
          <w:bCs/>
        </w:rPr>
        <w:t xml:space="preserve">range of the </w:t>
      </w:r>
      <w:r w:rsidRPr="00435B6A">
        <w:rPr>
          <w:bCs/>
        </w:rPr>
        <w:t>gap</w:t>
      </w:r>
      <w:r>
        <w:rPr>
          <w:bCs/>
        </w:rPr>
        <w:t>s</w:t>
      </w:r>
      <w:r w:rsidRPr="00435B6A">
        <w:rPr>
          <w:bCs/>
        </w:rPr>
        <w:t xml:space="preserve"> between the highest and lowest factors </w:t>
      </w:r>
      <w:r>
        <w:rPr>
          <w:bCs/>
        </w:rPr>
        <w:t>are</w:t>
      </w:r>
      <w:r w:rsidRPr="00435B6A">
        <w:rPr>
          <w:bCs/>
        </w:rPr>
        <w:t xml:space="preserve"> 73% at a 24 °C setpoint, 46% at 21 °C, and 27% at 18 °C.</w:t>
      </w:r>
    </w:p>
    <w:p w14:paraId="2BB2CE80" w14:textId="77777777" w:rsidR="00B24F3B" w:rsidRPr="00037DF5" w:rsidRDefault="00B24F3B" w:rsidP="00B24F3B">
      <w:pPr>
        <w:pStyle w:val="PlainText"/>
        <w:rPr>
          <w:i/>
          <w:color w:val="FF0000"/>
        </w:rPr>
      </w:pPr>
      <w:r w:rsidRPr="00F05EA2">
        <w:rPr>
          <w:i/>
        </w:rPr>
        <w:t xml:space="preserve">Table </w:t>
      </w:r>
      <w:r>
        <w:rPr>
          <w:i/>
        </w:rPr>
        <w:t>3</w:t>
      </w:r>
      <w:r w:rsidRPr="00F05EA2">
        <w:rPr>
          <w:i/>
        </w:rPr>
        <w:t xml:space="preserve">: </w:t>
      </w:r>
      <w:r>
        <w:rPr>
          <w:i/>
        </w:rPr>
        <w:t>Factors between measured and simulated values on different heating temperature setpoints.</w:t>
      </w:r>
    </w:p>
    <w:tbl>
      <w:tblPr>
        <w:tblW w:w="0" w:type="auto"/>
        <w:tblBorders>
          <w:top w:val="single" w:sz="4" w:space="0" w:color="7F7F7F"/>
          <w:bottom w:val="single" w:sz="4" w:space="0" w:color="7F7F7F"/>
        </w:tblBorders>
        <w:tblLook w:val="04A0" w:firstRow="1" w:lastRow="0" w:firstColumn="1" w:lastColumn="0" w:noHBand="0" w:noVBand="1"/>
      </w:tblPr>
      <w:tblGrid>
        <w:gridCol w:w="1698"/>
        <w:gridCol w:w="954"/>
        <w:gridCol w:w="954"/>
        <w:gridCol w:w="954"/>
      </w:tblGrid>
      <w:tr w:rsidR="00B24F3B" w14:paraId="324F7E3E" w14:textId="77777777" w:rsidTr="00435B6A">
        <w:trPr>
          <w:trHeight w:val="262"/>
        </w:trPr>
        <w:tc>
          <w:tcPr>
            <w:tcW w:w="1698" w:type="dxa"/>
            <w:tcBorders>
              <w:bottom w:val="single" w:sz="4" w:space="0" w:color="7F7F7F"/>
            </w:tcBorders>
            <w:shd w:val="clear" w:color="auto" w:fill="auto"/>
          </w:tcPr>
          <w:p w14:paraId="05A8C850" w14:textId="77777777" w:rsidR="00B24F3B" w:rsidRDefault="00B24F3B" w:rsidP="00B75327">
            <w:pPr>
              <w:pStyle w:val="PlainText"/>
              <w:rPr>
                <w:b/>
                <w:bCs/>
              </w:rPr>
            </w:pPr>
          </w:p>
        </w:tc>
        <w:tc>
          <w:tcPr>
            <w:tcW w:w="954" w:type="dxa"/>
            <w:tcBorders>
              <w:bottom w:val="single" w:sz="4" w:space="0" w:color="7F7F7F"/>
            </w:tcBorders>
            <w:shd w:val="clear" w:color="auto" w:fill="auto"/>
          </w:tcPr>
          <w:p w14:paraId="3719674D" w14:textId="77777777" w:rsidR="00B24F3B" w:rsidRDefault="00B24F3B" w:rsidP="00B75327">
            <w:pPr>
              <w:pStyle w:val="PlainText"/>
              <w:jc w:val="center"/>
              <w:rPr>
                <w:b/>
                <w:bCs/>
              </w:rPr>
            </w:pPr>
            <w:r>
              <w:rPr>
                <w:b/>
                <w:bCs/>
              </w:rPr>
              <w:t>24 °C</w:t>
            </w:r>
          </w:p>
        </w:tc>
        <w:tc>
          <w:tcPr>
            <w:tcW w:w="954" w:type="dxa"/>
            <w:tcBorders>
              <w:bottom w:val="single" w:sz="4" w:space="0" w:color="7F7F7F"/>
            </w:tcBorders>
            <w:shd w:val="clear" w:color="auto" w:fill="auto"/>
          </w:tcPr>
          <w:p w14:paraId="649CBE53" w14:textId="77777777" w:rsidR="00B24F3B" w:rsidRDefault="00B24F3B" w:rsidP="00B75327">
            <w:pPr>
              <w:pStyle w:val="PlainText"/>
              <w:jc w:val="center"/>
              <w:rPr>
                <w:b/>
                <w:bCs/>
              </w:rPr>
            </w:pPr>
            <w:r>
              <w:rPr>
                <w:b/>
                <w:bCs/>
              </w:rPr>
              <w:t>21 °C</w:t>
            </w:r>
          </w:p>
        </w:tc>
        <w:tc>
          <w:tcPr>
            <w:tcW w:w="954" w:type="dxa"/>
            <w:tcBorders>
              <w:bottom w:val="single" w:sz="4" w:space="0" w:color="7F7F7F"/>
            </w:tcBorders>
            <w:shd w:val="clear" w:color="auto" w:fill="auto"/>
          </w:tcPr>
          <w:p w14:paraId="6C3E6FAF" w14:textId="77777777" w:rsidR="00B24F3B" w:rsidRDefault="00B24F3B" w:rsidP="00B75327">
            <w:pPr>
              <w:pStyle w:val="PlainText"/>
              <w:jc w:val="center"/>
              <w:rPr>
                <w:b/>
                <w:bCs/>
              </w:rPr>
            </w:pPr>
            <w:r>
              <w:rPr>
                <w:b/>
                <w:bCs/>
              </w:rPr>
              <w:t>18 °C</w:t>
            </w:r>
          </w:p>
        </w:tc>
      </w:tr>
      <w:tr w:rsidR="00B24F3B" w14:paraId="3BCA70A0" w14:textId="77777777" w:rsidTr="00435B6A">
        <w:trPr>
          <w:trHeight w:val="262"/>
        </w:trPr>
        <w:tc>
          <w:tcPr>
            <w:tcW w:w="1698" w:type="dxa"/>
            <w:tcBorders>
              <w:top w:val="single" w:sz="4" w:space="0" w:color="7F7F7F"/>
              <w:bottom w:val="single" w:sz="4" w:space="0" w:color="7F7F7F"/>
            </w:tcBorders>
            <w:shd w:val="clear" w:color="auto" w:fill="auto"/>
          </w:tcPr>
          <w:p w14:paraId="2EAAD921" w14:textId="77777777" w:rsidR="00B24F3B" w:rsidRDefault="00B24F3B" w:rsidP="00B75327">
            <w:pPr>
              <w:pStyle w:val="PlainText"/>
              <w:rPr>
                <w:b/>
                <w:bCs/>
              </w:rPr>
            </w:pPr>
            <w:r>
              <w:rPr>
                <w:b/>
                <w:bCs/>
              </w:rPr>
              <w:t>IDA-ICE</w:t>
            </w:r>
          </w:p>
        </w:tc>
        <w:tc>
          <w:tcPr>
            <w:tcW w:w="954" w:type="dxa"/>
            <w:tcBorders>
              <w:top w:val="single" w:sz="4" w:space="0" w:color="7F7F7F"/>
              <w:bottom w:val="single" w:sz="4" w:space="0" w:color="7F7F7F"/>
            </w:tcBorders>
            <w:shd w:val="clear" w:color="auto" w:fill="auto"/>
          </w:tcPr>
          <w:p w14:paraId="6B58A133" w14:textId="77777777" w:rsidR="00B24F3B" w:rsidRDefault="00B24F3B" w:rsidP="00B75327">
            <w:pPr>
              <w:pStyle w:val="PlainText"/>
              <w:jc w:val="center"/>
            </w:pPr>
            <w:r>
              <w:t>1.05</w:t>
            </w:r>
          </w:p>
        </w:tc>
        <w:tc>
          <w:tcPr>
            <w:tcW w:w="954" w:type="dxa"/>
            <w:tcBorders>
              <w:top w:val="single" w:sz="4" w:space="0" w:color="7F7F7F"/>
              <w:bottom w:val="single" w:sz="4" w:space="0" w:color="7F7F7F"/>
            </w:tcBorders>
            <w:shd w:val="clear" w:color="auto" w:fill="auto"/>
          </w:tcPr>
          <w:p w14:paraId="422D160B" w14:textId="77777777" w:rsidR="00B24F3B" w:rsidRDefault="00B24F3B" w:rsidP="00B75327">
            <w:pPr>
              <w:pStyle w:val="PlainText"/>
              <w:jc w:val="center"/>
            </w:pPr>
            <w:r>
              <w:t>1.29</w:t>
            </w:r>
          </w:p>
        </w:tc>
        <w:tc>
          <w:tcPr>
            <w:tcW w:w="954" w:type="dxa"/>
            <w:tcBorders>
              <w:top w:val="single" w:sz="4" w:space="0" w:color="7F7F7F"/>
              <w:bottom w:val="single" w:sz="4" w:space="0" w:color="7F7F7F"/>
            </w:tcBorders>
            <w:shd w:val="clear" w:color="auto" w:fill="auto"/>
          </w:tcPr>
          <w:p w14:paraId="56B368DB" w14:textId="77777777" w:rsidR="00B24F3B" w:rsidRDefault="00B24F3B" w:rsidP="00B75327">
            <w:pPr>
              <w:pStyle w:val="PlainText"/>
              <w:jc w:val="center"/>
            </w:pPr>
            <w:r>
              <w:t>1.52</w:t>
            </w:r>
          </w:p>
        </w:tc>
      </w:tr>
      <w:tr w:rsidR="00B24F3B" w14:paraId="431406E5" w14:textId="77777777" w:rsidTr="00435B6A">
        <w:trPr>
          <w:trHeight w:val="251"/>
        </w:trPr>
        <w:tc>
          <w:tcPr>
            <w:tcW w:w="1698" w:type="dxa"/>
            <w:shd w:val="clear" w:color="auto" w:fill="auto"/>
          </w:tcPr>
          <w:p w14:paraId="604F8683" w14:textId="77777777" w:rsidR="00B24F3B" w:rsidRDefault="00B24F3B" w:rsidP="00B75327">
            <w:pPr>
              <w:pStyle w:val="PlainText"/>
              <w:rPr>
                <w:b/>
                <w:bCs/>
              </w:rPr>
            </w:pPr>
            <w:r>
              <w:rPr>
                <w:b/>
                <w:bCs/>
              </w:rPr>
              <w:t>DesignBuilder</w:t>
            </w:r>
          </w:p>
        </w:tc>
        <w:tc>
          <w:tcPr>
            <w:tcW w:w="954" w:type="dxa"/>
            <w:shd w:val="clear" w:color="auto" w:fill="auto"/>
          </w:tcPr>
          <w:p w14:paraId="65E82801" w14:textId="77777777" w:rsidR="00B24F3B" w:rsidRDefault="00B24F3B" w:rsidP="00B75327">
            <w:pPr>
              <w:pStyle w:val="PlainText"/>
              <w:jc w:val="center"/>
            </w:pPr>
            <w:r>
              <w:t>1.18</w:t>
            </w:r>
          </w:p>
        </w:tc>
        <w:tc>
          <w:tcPr>
            <w:tcW w:w="954" w:type="dxa"/>
            <w:shd w:val="clear" w:color="auto" w:fill="auto"/>
          </w:tcPr>
          <w:p w14:paraId="16539518" w14:textId="77777777" w:rsidR="00B24F3B" w:rsidRDefault="00B24F3B" w:rsidP="00B75327">
            <w:pPr>
              <w:pStyle w:val="PlainText"/>
              <w:jc w:val="center"/>
            </w:pPr>
            <w:r>
              <w:t>1.38</w:t>
            </w:r>
          </w:p>
        </w:tc>
        <w:tc>
          <w:tcPr>
            <w:tcW w:w="954" w:type="dxa"/>
            <w:shd w:val="clear" w:color="auto" w:fill="auto"/>
          </w:tcPr>
          <w:p w14:paraId="1F8B6E52" w14:textId="77777777" w:rsidR="00B24F3B" w:rsidRDefault="00B24F3B" w:rsidP="00B75327">
            <w:pPr>
              <w:pStyle w:val="PlainText"/>
              <w:jc w:val="center"/>
            </w:pPr>
            <w:r>
              <w:t>1.59</w:t>
            </w:r>
          </w:p>
        </w:tc>
      </w:tr>
      <w:tr w:rsidR="00B24F3B" w14:paraId="40A3DE35" w14:textId="77777777" w:rsidTr="00435B6A">
        <w:trPr>
          <w:trHeight w:val="262"/>
        </w:trPr>
        <w:tc>
          <w:tcPr>
            <w:tcW w:w="1698" w:type="dxa"/>
            <w:tcBorders>
              <w:top w:val="single" w:sz="4" w:space="0" w:color="7F7F7F"/>
              <w:bottom w:val="single" w:sz="4" w:space="0" w:color="7F7F7F"/>
            </w:tcBorders>
            <w:shd w:val="clear" w:color="auto" w:fill="auto"/>
          </w:tcPr>
          <w:p w14:paraId="7259677D" w14:textId="77777777" w:rsidR="00B24F3B" w:rsidRDefault="00B24F3B" w:rsidP="00B75327">
            <w:pPr>
              <w:pStyle w:val="PlainText"/>
              <w:rPr>
                <w:b/>
                <w:bCs/>
              </w:rPr>
            </w:pPr>
            <w:r>
              <w:rPr>
                <w:b/>
                <w:bCs/>
              </w:rPr>
              <w:t>ClimateStudio</w:t>
            </w:r>
          </w:p>
        </w:tc>
        <w:tc>
          <w:tcPr>
            <w:tcW w:w="954" w:type="dxa"/>
            <w:tcBorders>
              <w:top w:val="single" w:sz="4" w:space="0" w:color="7F7F7F"/>
              <w:bottom w:val="single" w:sz="4" w:space="0" w:color="7F7F7F"/>
            </w:tcBorders>
            <w:shd w:val="clear" w:color="auto" w:fill="auto"/>
          </w:tcPr>
          <w:p w14:paraId="6AE4209E" w14:textId="77777777" w:rsidR="00B24F3B" w:rsidRPr="00037DF5" w:rsidRDefault="00B24F3B" w:rsidP="00B75327">
            <w:pPr>
              <w:pStyle w:val="PlainText"/>
              <w:jc w:val="center"/>
            </w:pPr>
            <w:r w:rsidRPr="00037DF5">
              <w:t>1.23</w:t>
            </w:r>
          </w:p>
        </w:tc>
        <w:tc>
          <w:tcPr>
            <w:tcW w:w="954" w:type="dxa"/>
            <w:tcBorders>
              <w:top w:val="single" w:sz="4" w:space="0" w:color="7F7F7F"/>
              <w:bottom w:val="single" w:sz="4" w:space="0" w:color="7F7F7F"/>
            </w:tcBorders>
            <w:shd w:val="clear" w:color="auto" w:fill="auto"/>
          </w:tcPr>
          <w:p w14:paraId="4CC43121" w14:textId="77777777" w:rsidR="00B24F3B" w:rsidRPr="00DE402B" w:rsidRDefault="00B24F3B" w:rsidP="00B75327">
            <w:pPr>
              <w:pStyle w:val="PlainText"/>
              <w:jc w:val="center"/>
            </w:pPr>
            <w:r w:rsidRPr="00DE402B">
              <w:t>1.43</w:t>
            </w:r>
          </w:p>
        </w:tc>
        <w:tc>
          <w:tcPr>
            <w:tcW w:w="954" w:type="dxa"/>
            <w:tcBorders>
              <w:top w:val="single" w:sz="4" w:space="0" w:color="7F7F7F"/>
              <w:bottom w:val="single" w:sz="4" w:space="0" w:color="7F7F7F"/>
            </w:tcBorders>
            <w:shd w:val="clear" w:color="auto" w:fill="auto"/>
          </w:tcPr>
          <w:p w14:paraId="1D9D8FD7" w14:textId="77777777" w:rsidR="00B24F3B" w:rsidRPr="00DE402B" w:rsidRDefault="00B24F3B" w:rsidP="00B75327">
            <w:pPr>
              <w:pStyle w:val="PlainText"/>
              <w:jc w:val="center"/>
            </w:pPr>
            <w:r w:rsidRPr="00DE402B">
              <w:t>1.62</w:t>
            </w:r>
          </w:p>
        </w:tc>
      </w:tr>
      <w:tr w:rsidR="00B24F3B" w14:paraId="40CD2290" w14:textId="77777777" w:rsidTr="00435B6A">
        <w:trPr>
          <w:trHeight w:val="262"/>
        </w:trPr>
        <w:tc>
          <w:tcPr>
            <w:tcW w:w="1698" w:type="dxa"/>
            <w:shd w:val="clear" w:color="auto" w:fill="auto"/>
          </w:tcPr>
          <w:p w14:paraId="69906C72" w14:textId="77777777" w:rsidR="00B24F3B" w:rsidRDefault="00B24F3B" w:rsidP="00B75327">
            <w:pPr>
              <w:pStyle w:val="PlainText"/>
              <w:rPr>
                <w:b/>
                <w:bCs/>
              </w:rPr>
            </w:pPr>
            <w:r>
              <w:rPr>
                <w:b/>
                <w:bCs/>
              </w:rPr>
              <w:t>IES-VE</w:t>
            </w:r>
          </w:p>
        </w:tc>
        <w:tc>
          <w:tcPr>
            <w:tcW w:w="954" w:type="dxa"/>
            <w:shd w:val="clear" w:color="auto" w:fill="auto"/>
          </w:tcPr>
          <w:p w14:paraId="649D3F68" w14:textId="77777777" w:rsidR="00B24F3B" w:rsidRPr="00037DF5" w:rsidRDefault="00B24F3B" w:rsidP="00B75327">
            <w:pPr>
              <w:pStyle w:val="PlainText"/>
              <w:jc w:val="center"/>
            </w:pPr>
            <w:r w:rsidRPr="00037DF5">
              <w:t>0.71</w:t>
            </w:r>
          </w:p>
        </w:tc>
        <w:tc>
          <w:tcPr>
            <w:tcW w:w="954" w:type="dxa"/>
            <w:shd w:val="clear" w:color="auto" w:fill="auto"/>
          </w:tcPr>
          <w:p w14:paraId="7F966B7E" w14:textId="77777777" w:rsidR="00B24F3B" w:rsidRPr="00DE402B" w:rsidRDefault="00B24F3B" w:rsidP="00B75327">
            <w:pPr>
              <w:pStyle w:val="PlainText"/>
              <w:jc w:val="center"/>
            </w:pPr>
            <w:r w:rsidRPr="00DE402B">
              <w:t>0.98</w:t>
            </w:r>
          </w:p>
        </w:tc>
        <w:tc>
          <w:tcPr>
            <w:tcW w:w="954" w:type="dxa"/>
            <w:shd w:val="clear" w:color="auto" w:fill="auto"/>
          </w:tcPr>
          <w:p w14:paraId="48A6C47F" w14:textId="77777777" w:rsidR="00B24F3B" w:rsidRPr="00DE402B" w:rsidRDefault="00B24F3B" w:rsidP="00B75327">
            <w:pPr>
              <w:pStyle w:val="PlainText"/>
              <w:jc w:val="center"/>
            </w:pPr>
            <w:r w:rsidRPr="00DE402B">
              <w:t>1.28</w:t>
            </w:r>
          </w:p>
        </w:tc>
      </w:tr>
    </w:tbl>
    <w:p w14:paraId="48AE1361" w14:textId="77777777" w:rsidR="00435B6A" w:rsidRDefault="00435B6A" w:rsidP="00435B6A">
      <w:pPr>
        <w:pStyle w:val="MainText"/>
        <w:rPr>
          <w:i/>
        </w:rPr>
      </w:pPr>
      <w:r w:rsidRPr="00435B6A">
        <w:t>The monthly Energy Performance Gap (EPG) was examined by comparing the measured electricity consumption for 2023 with simulated values generated using IES-VE at a heating setpoint temperature of 21 °C. As illustrated in Figure 9, the measured and simulated electricity consumption values were identical in October. In March, measured consumption exceeded the simulated value. From April to September—excluding July—the simulated electricity consumption consistently exceeded the measured values. In July, only a minimal deviation was observed, with the measured electricity consumption exceeding the simulated value by approximately 1.3%.</w:t>
      </w:r>
    </w:p>
    <w:p w14:paraId="45CFDDCB" w14:textId="13A8AAD3" w:rsidR="00B24F3B" w:rsidRPr="00037DF5" w:rsidRDefault="00494662" w:rsidP="00435B6A">
      <w:pPr>
        <w:pStyle w:val="Captionfigtable"/>
      </w:pPr>
      <w:r w:rsidRPr="0063334B">
        <w:rPr>
          <w:noProof/>
        </w:rPr>
        <w:drawing>
          <wp:inline distT="0" distB="0" distL="0" distR="0" wp14:anchorId="21F6C5AD" wp14:editId="09C8623A">
            <wp:extent cx="2941320" cy="1296670"/>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1320" cy="1296670"/>
                    </a:xfrm>
                    <a:prstGeom prst="rect">
                      <a:avLst/>
                    </a:prstGeom>
                    <a:noFill/>
                    <a:ln>
                      <a:noFill/>
                    </a:ln>
                  </pic:spPr>
                </pic:pic>
              </a:graphicData>
            </a:graphic>
          </wp:inline>
        </w:drawing>
      </w:r>
    </w:p>
    <w:p w14:paraId="527C9B8C" w14:textId="77777777" w:rsidR="00B24F3B" w:rsidRDefault="00B24F3B" w:rsidP="00B24F3B">
      <w:pPr>
        <w:pStyle w:val="Captionfigtable"/>
        <w:rPr>
          <w:rStyle w:val="CaptionfigtableChar"/>
        </w:rPr>
      </w:pPr>
      <w:r w:rsidRPr="00F05EA2">
        <w:rPr>
          <w:rStyle w:val="CaptionfigtableChar"/>
        </w:rPr>
        <w:t xml:space="preserve">Figure </w:t>
      </w:r>
      <w:r>
        <w:rPr>
          <w:rStyle w:val="CaptionfigtableChar"/>
        </w:rPr>
        <w:t>9</w:t>
      </w:r>
      <w:r w:rsidRPr="00F05EA2">
        <w:rPr>
          <w:rStyle w:val="CaptionfigtableChar"/>
        </w:rPr>
        <w:t xml:space="preserve">: </w:t>
      </w:r>
      <w:r>
        <w:rPr>
          <w:rStyle w:val="CaptionfigtableChar"/>
        </w:rPr>
        <w:t>Measured vs simulated monthly electricity consumption.</w:t>
      </w:r>
    </w:p>
    <w:p w14:paraId="0910858D" w14:textId="77777777" w:rsidR="005E1F6D" w:rsidRDefault="005E1F6D" w:rsidP="00B24F3B">
      <w:pPr>
        <w:pStyle w:val="Captionfigtable"/>
        <w:rPr>
          <w:rStyle w:val="CaptionfigtableChar"/>
        </w:rPr>
      </w:pPr>
    </w:p>
    <w:p w14:paraId="580AF36A" w14:textId="56CD37D8" w:rsidR="00B24F3B" w:rsidRPr="005E1F6D" w:rsidRDefault="005E1F6D" w:rsidP="005E1F6D">
      <w:pPr>
        <w:pStyle w:val="MainText"/>
        <w:rPr>
          <w:bCs/>
          <w:iCs/>
        </w:rPr>
      </w:pPr>
      <w:r w:rsidRPr="005E1F6D">
        <w:rPr>
          <w:bCs/>
          <w:iCs/>
        </w:rPr>
        <w:lastRenderedPageBreak/>
        <w:t>As shown in Table 4, the range of monthly discrepancies between measured and simulated energy performance is considerable. When comparing measured consumption with IES-VE simulations, the monthly EPG varies from 3% in July to 120% in June. For DesignBuilder, the gap ranges from –14% in May</w:t>
      </w:r>
      <w:r>
        <w:rPr>
          <w:bCs/>
          <w:iCs/>
        </w:rPr>
        <w:t xml:space="preserve"> </w:t>
      </w:r>
      <w:r w:rsidRPr="005E1F6D">
        <w:rPr>
          <w:bCs/>
          <w:iCs/>
        </w:rPr>
        <w:t>indicating a favourable EPG where measured consumption is 14% lower than simulated</w:t>
      </w:r>
      <w:r>
        <w:rPr>
          <w:bCs/>
          <w:iCs/>
        </w:rPr>
        <w:t xml:space="preserve"> </w:t>
      </w:r>
      <w:r w:rsidRPr="005E1F6D">
        <w:rPr>
          <w:bCs/>
          <w:iCs/>
        </w:rPr>
        <w:t>to 282% in July. In the case of ClimateStudio, the EPG ranges from –4% in May to a peak of 574% in July. Lastly, for IDA-ICE, the monthly gap spans from –36% in June to 129% in July.</w:t>
      </w:r>
    </w:p>
    <w:p w14:paraId="6464CDBB" w14:textId="77777777" w:rsidR="00B24F3B" w:rsidRPr="0072254E" w:rsidRDefault="00B24F3B" w:rsidP="00B24F3B">
      <w:pPr>
        <w:pStyle w:val="PlainText"/>
        <w:rPr>
          <w:i/>
        </w:rPr>
      </w:pPr>
      <w:r w:rsidRPr="00F05EA2">
        <w:rPr>
          <w:i/>
        </w:rPr>
        <w:t xml:space="preserve">Table </w:t>
      </w:r>
      <w:r>
        <w:rPr>
          <w:i/>
        </w:rPr>
        <w:t>4</w:t>
      </w:r>
      <w:r w:rsidRPr="00F05EA2">
        <w:rPr>
          <w:i/>
        </w:rPr>
        <w:t xml:space="preserve">: </w:t>
      </w:r>
      <w:r>
        <w:rPr>
          <w:i/>
        </w:rPr>
        <w:t>Factors between monthly measured electricity consumption in 2023 and simulated values.</w:t>
      </w:r>
    </w:p>
    <w:tbl>
      <w:tblPr>
        <w:tblStyle w:val="TableGrid"/>
        <w:tblW w:w="0" w:type="auto"/>
        <w:tblLook w:val="04A0" w:firstRow="1" w:lastRow="0" w:firstColumn="1" w:lastColumn="0" w:noHBand="0" w:noVBand="1"/>
      </w:tblPr>
      <w:tblGrid>
        <w:gridCol w:w="1160"/>
        <w:gridCol w:w="842"/>
        <w:gridCol w:w="843"/>
        <w:gridCol w:w="742"/>
        <w:gridCol w:w="963"/>
      </w:tblGrid>
      <w:tr w:rsidR="00B24F3B" w:rsidRPr="00037DF5" w14:paraId="199C4BCA" w14:textId="77777777" w:rsidTr="00B75327">
        <w:trPr>
          <w:trHeight w:val="245"/>
        </w:trPr>
        <w:tc>
          <w:tcPr>
            <w:tcW w:w="1161" w:type="dxa"/>
          </w:tcPr>
          <w:p w14:paraId="0A35679D" w14:textId="77777777" w:rsidR="00B24F3B" w:rsidRPr="00037DF5" w:rsidRDefault="00B24F3B" w:rsidP="00B75327">
            <w:pPr>
              <w:pStyle w:val="Captionfigtable"/>
              <w:rPr>
                <w:b/>
                <w:bCs/>
              </w:rPr>
            </w:pPr>
            <w:r w:rsidRPr="00037DF5">
              <w:rPr>
                <w:b/>
                <w:bCs/>
              </w:rPr>
              <w:t>Month</w:t>
            </w:r>
          </w:p>
        </w:tc>
        <w:tc>
          <w:tcPr>
            <w:tcW w:w="889" w:type="dxa"/>
          </w:tcPr>
          <w:p w14:paraId="3DD49BFF" w14:textId="77777777" w:rsidR="00B24F3B" w:rsidRPr="00037DF5" w:rsidRDefault="00B24F3B" w:rsidP="00B75327">
            <w:pPr>
              <w:pStyle w:val="Captionfigtable"/>
              <w:jc w:val="center"/>
              <w:rPr>
                <w:b/>
                <w:bCs/>
              </w:rPr>
            </w:pPr>
            <w:r w:rsidRPr="00037DF5">
              <w:rPr>
                <w:b/>
                <w:bCs/>
              </w:rPr>
              <w:t>IES-VE</w:t>
            </w:r>
          </w:p>
        </w:tc>
        <w:tc>
          <w:tcPr>
            <w:tcW w:w="890" w:type="dxa"/>
          </w:tcPr>
          <w:p w14:paraId="207154B0" w14:textId="77777777" w:rsidR="00B24F3B" w:rsidRPr="00037DF5" w:rsidRDefault="00B24F3B" w:rsidP="00B75327">
            <w:pPr>
              <w:pStyle w:val="Captionfigtable"/>
              <w:jc w:val="center"/>
              <w:rPr>
                <w:b/>
                <w:bCs/>
              </w:rPr>
            </w:pPr>
            <w:r w:rsidRPr="00037DF5">
              <w:rPr>
                <w:b/>
                <w:bCs/>
              </w:rPr>
              <w:t>DB</w:t>
            </w:r>
          </w:p>
        </w:tc>
        <w:tc>
          <w:tcPr>
            <w:tcW w:w="755" w:type="dxa"/>
          </w:tcPr>
          <w:p w14:paraId="36CAAF9E" w14:textId="77777777" w:rsidR="00B24F3B" w:rsidRPr="00037DF5" w:rsidRDefault="00B24F3B" w:rsidP="00B75327">
            <w:pPr>
              <w:pStyle w:val="Captionfigtable"/>
              <w:jc w:val="center"/>
              <w:rPr>
                <w:b/>
                <w:bCs/>
              </w:rPr>
            </w:pPr>
            <w:r w:rsidRPr="00037DF5">
              <w:rPr>
                <w:b/>
                <w:bCs/>
              </w:rPr>
              <w:t>CS</w:t>
            </w:r>
          </w:p>
        </w:tc>
        <w:tc>
          <w:tcPr>
            <w:tcW w:w="1027" w:type="dxa"/>
          </w:tcPr>
          <w:p w14:paraId="18C00569" w14:textId="77777777" w:rsidR="00B24F3B" w:rsidRPr="00037DF5" w:rsidRDefault="00B24F3B" w:rsidP="00B75327">
            <w:pPr>
              <w:pStyle w:val="Captionfigtable"/>
              <w:jc w:val="center"/>
              <w:rPr>
                <w:b/>
                <w:bCs/>
              </w:rPr>
            </w:pPr>
            <w:r w:rsidRPr="00037DF5">
              <w:rPr>
                <w:b/>
                <w:bCs/>
              </w:rPr>
              <w:t>IDA-ICE</w:t>
            </w:r>
          </w:p>
        </w:tc>
      </w:tr>
      <w:tr w:rsidR="00B24F3B" w:rsidRPr="00037DF5" w14:paraId="0A455ECA" w14:textId="77777777" w:rsidTr="00B75327">
        <w:trPr>
          <w:trHeight w:val="253"/>
        </w:trPr>
        <w:tc>
          <w:tcPr>
            <w:tcW w:w="1161" w:type="dxa"/>
          </w:tcPr>
          <w:p w14:paraId="1C14322B" w14:textId="77777777" w:rsidR="00B24F3B" w:rsidRPr="00037DF5" w:rsidRDefault="00B24F3B" w:rsidP="00B75327">
            <w:pPr>
              <w:pStyle w:val="Captionfigtable"/>
              <w:rPr>
                <w:b/>
                <w:bCs/>
              </w:rPr>
            </w:pPr>
            <w:r w:rsidRPr="00037DF5">
              <w:rPr>
                <w:b/>
                <w:bCs/>
              </w:rPr>
              <w:t>January</w:t>
            </w:r>
          </w:p>
        </w:tc>
        <w:tc>
          <w:tcPr>
            <w:tcW w:w="889" w:type="dxa"/>
          </w:tcPr>
          <w:p w14:paraId="4DD54E6C" w14:textId="77777777" w:rsidR="00B24F3B" w:rsidRPr="00037DF5" w:rsidRDefault="00B24F3B" w:rsidP="00B75327">
            <w:pPr>
              <w:pStyle w:val="Captionfigtable"/>
              <w:jc w:val="center"/>
            </w:pPr>
            <w:r>
              <w:t>1.30</w:t>
            </w:r>
          </w:p>
        </w:tc>
        <w:tc>
          <w:tcPr>
            <w:tcW w:w="890" w:type="dxa"/>
          </w:tcPr>
          <w:p w14:paraId="0B2E64EC" w14:textId="77777777" w:rsidR="00B24F3B" w:rsidRPr="00037DF5" w:rsidRDefault="00B24F3B" w:rsidP="00B75327">
            <w:pPr>
              <w:pStyle w:val="Captionfigtable"/>
              <w:jc w:val="center"/>
            </w:pPr>
            <w:r>
              <w:t>1.55</w:t>
            </w:r>
          </w:p>
        </w:tc>
        <w:tc>
          <w:tcPr>
            <w:tcW w:w="755" w:type="dxa"/>
          </w:tcPr>
          <w:p w14:paraId="0DE2637D" w14:textId="77777777" w:rsidR="00B24F3B" w:rsidRPr="00037DF5" w:rsidRDefault="00B24F3B" w:rsidP="00B75327">
            <w:pPr>
              <w:pStyle w:val="Captionfigtable"/>
              <w:jc w:val="center"/>
            </w:pPr>
            <w:r>
              <w:t>1.57</w:t>
            </w:r>
          </w:p>
        </w:tc>
        <w:tc>
          <w:tcPr>
            <w:tcW w:w="1027" w:type="dxa"/>
          </w:tcPr>
          <w:p w14:paraId="410F7D44" w14:textId="77777777" w:rsidR="00B24F3B" w:rsidRPr="00037DF5" w:rsidRDefault="00B24F3B" w:rsidP="00B75327">
            <w:pPr>
              <w:pStyle w:val="Captionfigtable"/>
              <w:jc w:val="center"/>
            </w:pPr>
            <w:r>
              <w:t>1.60</w:t>
            </w:r>
          </w:p>
        </w:tc>
      </w:tr>
      <w:tr w:rsidR="00B24F3B" w:rsidRPr="00037DF5" w14:paraId="384515C7" w14:textId="77777777" w:rsidTr="00B75327">
        <w:trPr>
          <w:trHeight w:val="245"/>
        </w:trPr>
        <w:tc>
          <w:tcPr>
            <w:tcW w:w="1161" w:type="dxa"/>
          </w:tcPr>
          <w:p w14:paraId="225230FE" w14:textId="77777777" w:rsidR="00B24F3B" w:rsidRPr="00037DF5" w:rsidRDefault="00B24F3B" w:rsidP="00B75327">
            <w:pPr>
              <w:pStyle w:val="Captionfigtable"/>
              <w:rPr>
                <w:b/>
                <w:bCs/>
              </w:rPr>
            </w:pPr>
            <w:r w:rsidRPr="00037DF5">
              <w:rPr>
                <w:b/>
                <w:bCs/>
              </w:rPr>
              <w:t>February</w:t>
            </w:r>
          </w:p>
        </w:tc>
        <w:tc>
          <w:tcPr>
            <w:tcW w:w="889" w:type="dxa"/>
          </w:tcPr>
          <w:p w14:paraId="462E504C" w14:textId="77777777" w:rsidR="00B24F3B" w:rsidRPr="00037DF5" w:rsidRDefault="00B24F3B" w:rsidP="00B75327">
            <w:pPr>
              <w:pStyle w:val="Captionfigtable"/>
              <w:jc w:val="center"/>
            </w:pPr>
            <w:r>
              <w:t>1.19</w:t>
            </w:r>
          </w:p>
        </w:tc>
        <w:tc>
          <w:tcPr>
            <w:tcW w:w="890" w:type="dxa"/>
          </w:tcPr>
          <w:p w14:paraId="79CB4D25" w14:textId="77777777" w:rsidR="00B24F3B" w:rsidRPr="00037DF5" w:rsidRDefault="00B24F3B" w:rsidP="00B75327">
            <w:pPr>
              <w:pStyle w:val="Captionfigtable"/>
              <w:jc w:val="center"/>
            </w:pPr>
            <w:r>
              <w:t>1.42</w:t>
            </w:r>
          </w:p>
        </w:tc>
        <w:tc>
          <w:tcPr>
            <w:tcW w:w="755" w:type="dxa"/>
          </w:tcPr>
          <w:p w14:paraId="075B86F8" w14:textId="77777777" w:rsidR="00B24F3B" w:rsidRPr="00037DF5" w:rsidRDefault="00B24F3B" w:rsidP="00B75327">
            <w:pPr>
              <w:pStyle w:val="Captionfigtable"/>
              <w:jc w:val="center"/>
            </w:pPr>
            <w:r>
              <w:t>1.48</w:t>
            </w:r>
          </w:p>
        </w:tc>
        <w:tc>
          <w:tcPr>
            <w:tcW w:w="1027" w:type="dxa"/>
          </w:tcPr>
          <w:p w14:paraId="5D559BC1" w14:textId="77777777" w:rsidR="00B24F3B" w:rsidRPr="00037DF5" w:rsidRDefault="00B24F3B" w:rsidP="00B75327">
            <w:pPr>
              <w:pStyle w:val="Captionfigtable"/>
              <w:jc w:val="center"/>
            </w:pPr>
            <w:r>
              <w:t>1.45</w:t>
            </w:r>
          </w:p>
        </w:tc>
      </w:tr>
      <w:tr w:rsidR="00B24F3B" w:rsidRPr="00037DF5" w14:paraId="684095C5" w14:textId="77777777" w:rsidTr="00B75327">
        <w:trPr>
          <w:trHeight w:val="253"/>
        </w:trPr>
        <w:tc>
          <w:tcPr>
            <w:tcW w:w="1161" w:type="dxa"/>
          </w:tcPr>
          <w:p w14:paraId="4D6144E4" w14:textId="77777777" w:rsidR="00B24F3B" w:rsidRPr="00037DF5" w:rsidRDefault="00B24F3B" w:rsidP="00B75327">
            <w:pPr>
              <w:pStyle w:val="Captionfigtable"/>
              <w:rPr>
                <w:b/>
                <w:bCs/>
              </w:rPr>
            </w:pPr>
            <w:r w:rsidRPr="00037DF5">
              <w:rPr>
                <w:b/>
                <w:bCs/>
              </w:rPr>
              <w:t>March</w:t>
            </w:r>
          </w:p>
        </w:tc>
        <w:tc>
          <w:tcPr>
            <w:tcW w:w="889" w:type="dxa"/>
          </w:tcPr>
          <w:p w14:paraId="279CB140" w14:textId="77777777" w:rsidR="00B24F3B" w:rsidRPr="00037DF5" w:rsidRDefault="00B24F3B" w:rsidP="00B75327">
            <w:pPr>
              <w:pStyle w:val="Captionfigtable"/>
              <w:jc w:val="center"/>
            </w:pPr>
            <w:r>
              <w:t>1.06</w:t>
            </w:r>
          </w:p>
        </w:tc>
        <w:tc>
          <w:tcPr>
            <w:tcW w:w="890" w:type="dxa"/>
          </w:tcPr>
          <w:p w14:paraId="4148B699" w14:textId="77777777" w:rsidR="00B24F3B" w:rsidRPr="00037DF5" w:rsidRDefault="00B24F3B" w:rsidP="00B75327">
            <w:pPr>
              <w:pStyle w:val="Captionfigtable"/>
              <w:jc w:val="center"/>
            </w:pPr>
            <w:r>
              <w:t>1.30</w:t>
            </w:r>
          </w:p>
        </w:tc>
        <w:tc>
          <w:tcPr>
            <w:tcW w:w="755" w:type="dxa"/>
          </w:tcPr>
          <w:p w14:paraId="1D91D6F6" w14:textId="77777777" w:rsidR="00B24F3B" w:rsidRPr="00037DF5" w:rsidRDefault="00B24F3B" w:rsidP="00B75327">
            <w:pPr>
              <w:pStyle w:val="Captionfigtable"/>
              <w:jc w:val="center"/>
            </w:pPr>
            <w:r>
              <w:t>1.35</w:t>
            </w:r>
          </w:p>
        </w:tc>
        <w:tc>
          <w:tcPr>
            <w:tcW w:w="1027" w:type="dxa"/>
          </w:tcPr>
          <w:p w14:paraId="7EF06ADD" w14:textId="77777777" w:rsidR="00B24F3B" w:rsidRPr="00037DF5" w:rsidRDefault="00B24F3B" w:rsidP="00B75327">
            <w:pPr>
              <w:pStyle w:val="Captionfigtable"/>
              <w:jc w:val="center"/>
            </w:pPr>
            <w:r>
              <w:t>1.33</w:t>
            </w:r>
          </w:p>
        </w:tc>
      </w:tr>
      <w:tr w:rsidR="00B24F3B" w:rsidRPr="00037DF5" w14:paraId="07285842" w14:textId="77777777" w:rsidTr="00B75327">
        <w:trPr>
          <w:trHeight w:val="245"/>
        </w:trPr>
        <w:tc>
          <w:tcPr>
            <w:tcW w:w="1161" w:type="dxa"/>
          </w:tcPr>
          <w:p w14:paraId="10BE9F94" w14:textId="77777777" w:rsidR="00B24F3B" w:rsidRPr="00037DF5" w:rsidRDefault="00B24F3B" w:rsidP="00B75327">
            <w:pPr>
              <w:pStyle w:val="Captionfigtable"/>
              <w:rPr>
                <w:b/>
                <w:bCs/>
              </w:rPr>
            </w:pPr>
            <w:r w:rsidRPr="00037DF5">
              <w:rPr>
                <w:b/>
                <w:bCs/>
              </w:rPr>
              <w:t>April</w:t>
            </w:r>
          </w:p>
        </w:tc>
        <w:tc>
          <w:tcPr>
            <w:tcW w:w="889" w:type="dxa"/>
          </w:tcPr>
          <w:p w14:paraId="7BFCB1A6" w14:textId="77777777" w:rsidR="00B24F3B" w:rsidRPr="00037DF5" w:rsidRDefault="00B24F3B" w:rsidP="00B75327">
            <w:pPr>
              <w:pStyle w:val="Captionfigtable"/>
              <w:jc w:val="center"/>
            </w:pPr>
            <w:r>
              <w:t>1.26</w:t>
            </w:r>
          </w:p>
        </w:tc>
        <w:tc>
          <w:tcPr>
            <w:tcW w:w="890" w:type="dxa"/>
          </w:tcPr>
          <w:p w14:paraId="2838390C" w14:textId="77777777" w:rsidR="00B24F3B" w:rsidRPr="00037DF5" w:rsidRDefault="00B24F3B" w:rsidP="00B75327">
            <w:pPr>
              <w:pStyle w:val="Captionfigtable"/>
              <w:jc w:val="center"/>
            </w:pPr>
            <w:r>
              <w:t>0.91</w:t>
            </w:r>
          </w:p>
        </w:tc>
        <w:tc>
          <w:tcPr>
            <w:tcW w:w="755" w:type="dxa"/>
          </w:tcPr>
          <w:p w14:paraId="0FF1520F" w14:textId="77777777" w:rsidR="00B24F3B" w:rsidRPr="00037DF5" w:rsidRDefault="00B24F3B" w:rsidP="00B75327">
            <w:pPr>
              <w:pStyle w:val="Captionfigtable"/>
              <w:jc w:val="center"/>
            </w:pPr>
            <w:r>
              <w:t>1.08</w:t>
            </w:r>
          </w:p>
        </w:tc>
        <w:tc>
          <w:tcPr>
            <w:tcW w:w="1027" w:type="dxa"/>
          </w:tcPr>
          <w:p w14:paraId="37E5D4FA" w14:textId="77777777" w:rsidR="00B24F3B" w:rsidRPr="00037DF5" w:rsidRDefault="00B24F3B" w:rsidP="00B75327">
            <w:pPr>
              <w:pStyle w:val="Captionfigtable"/>
              <w:jc w:val="center"/>
            </w:pPr>
            <w:r>
              <w:t>0.99</w:t>
            </w:r>
          </w:p>
        </w:tc>
      </w:tr>
      <w:tr w:rsidR="00B24F3B" w:rsidRPr="00037DF5" w14:paraId="5F3DA429" w14:textId="77777777" w:rsidTr="00B75327">
        <w:trPr>
          <w:trHeight w:val="253"/>
        </w:trPr>
        <w:tc>
          <w:tcPr>
            <w:tcW w:w="1161" w:type="dxa"/>
          </w:tcPr>
          <w:p w14:paraId="31CEA2DC" w14:textId="77777777" w:rsidR="00B24F3B" w:rsidRPr="00037DF5" w:rsidRDefault="00B24F3B" w:rsidP="00B75327">
            <w:pPr>
              <w:pStyle w:val="Captionfigtable"/>
              <w:rPr>
                <w:b/>
                <w:bCs/>
              </w:rPr>
            </w:pPr>
            <w:r w:rsidRPr="00037DF5">
              <w:rPr>
                <w:b/>
                <w:bCs/>
              </w:rPr>
              <w:t>May</w:t>
            </w:r>
          </w:p>
        </w:tc>
        <w:tc>
          <w:tcPr>
            <w:tcW w:w="889" w:type="dxa"/>
          </w:tcPr>
          <w:p w14:paraId="5F4AA551" w14:textId="77777777" w:rsidR="00B24F3B" w:rsidRPr="00037DF5" w:rsidRDefault="00B24F3B" w:rsidP="00B75327">
            <w:pPr>
              <w:pStyle w:val="Captionfigtable"/>
              <w:jc w:val="center"/>
            </w:pPr>
            <w:r>
              <w:t>1.61</w:t>
            </w:r>
          </w:p>
        </w:tc>
        <w:tc>
          <w:tcPr>
            <w:tcW w:w="890" w:type="dxa"/>
          </w:tcPr>
          <w:p w14:paraId="4DB4F4A2" w14:textId="77777777" w:rsidR="00B24F3B" w:rsidRPr="00037DF5" w:rsidRDefault="00B24F3B" w:rsidP="00B75327">
            <w:pPr>
              <w:pStyle w:val="Captionfigtable"/>
              <w:jc w:val="center"/>
            </w:pPr>
            <w:r>
              <w:t>0.86</w:t>
            </w:r>
          </w:p>
        </w:tc>
        <w:tc>
          <w:tcPr>
            <w:tcW w:w="755" w:type="dxa"/>
          </w:tcPr>
          <w:p w14:paraId="3219CD62" w14:textId="77777777" w:rsidR="00B24F3B" w:rsidRPr="00037DF5" w:rsidRDefault="00B24F3B" w:rsidP="00B75327">
            <w:pPr>
              <w:pStyle w:val="Captionfigtable"/>
              <w:jc w:val="center"/>
            </w:pPr>
            <w:r>
              <w:t>0.96</w:t>
            </w:r>
          </w:p>
        </w:tc>
        <w:tc>
          <w:tcPr>
            <w:tcW w:w="1027" w:type="dxa"/>
          </w:tcPr>
          <w:p w14:paraId="22E8FCF9" w14:textId="77777777" w:rsidR="00B24F3B" w:rsidRPr="00037DF5" w:rsidRDefault="00B24F3B" w:rsidP="00B75327">
            <w:pPr>
              <w:pStyle w:val="Captionfigtable"/>
              <w:jc w:val="center"/>
            </w:pPr>
            <w:r>
              <w:t>0.81</w:t>
            </w:r>
          </w:p>
        </w:tc>
      </w:tr>
      <w:tr w:rsidR="00B24F3B" w:rsidRPr="00037DF5" w14:paraId="6562C412" w14:textId="77777777" w:rsidTr="00B75327">
        <w:trPr>
          <w:trHeight w:val="245"/>
        </w:trPr>
        <w:tc>
          <w:tcPr>
            <w:tcW w:w="1161" w:type="dxa"/>
          </w:tcPr>
          <w:p w14:paraId="5ACFB294" w14:textId="77777777" w:rsidR="00B24F3B" w:rsidRPr="00037DF5" w:rsidRDefault="00B24F3B" w:rsidP="00B75327">
            <w:pPr>
              <w:pStyle w:val="Captionfigtable"/>
              <w:rPr>
                <w:b/>
                <w:bCs/>
              </w:rPr>
            </w:pPr>
            <w:r w:rsidRPr="00037DF5">
              <w:rPr>
                <w:b/>
                <w:bCs/>
              </w:rPr>
              <w:t>June</w:t>
            </w:r>
          </w:p>
        </w:tc>
        <w:tc>
          <w:tcPr>
            <w:tcW w:w="889" w:type="dxa"/>
          </w:tcPr>
          <w:p w14:paraId="6D02B101" w14:textId="77777777" w:rsidR="00B24F3B" w:rsidRPr="00037DF5" w:rsidRDefault="00B24F3B" w:rsidP="00B75327">
            <w:pPr>
              <w:pStyle w:val="Captionfigtable"/>
              <w:jc w:val="center"/>
            </w:pPr>
            <w:r>
              <w:t>2.20</w:t>
            </w:r>
          </w:p>
        </w:tc>
        <w:tc>
          <w:tcPr>
            <w:tcW w:w="890" w:type="dxa"/>
          </w:tcPr>
          <w:p w14:paraId="1B4D5A05" w14:textId="77777777" w:rsidR="00B24F3B" w:rsidRPr="00037DF5" w:rsidRDefault="00B24F3B" w:rsidP="00B75327">
            <w:pPr>
              <w:pStyle w:val="Captionfigtable"/>
              <w:jc w:val="center"/>
            </w:pPr>
            <w:r>
              <w:t>1.67</w:t>
            </w:r>
          </w:p>
        </w:tc>
        <w:tc>
          <w:tcPr>
            <w:tcW w:w="755" w:type="dxa"/>
          </w:tcPr>
          <w:p w14:paraId="01831F9A" w14:textId="77777777" w:rsidR="00B24F3B" w:rsidRPr="00037DF5" w:rsidRDefault="00B24F3B" w:rsidP="00B75327">
            <w:pPr>
              <w:pStyle w:val="Captionfigtable"/>
              <w:jc w:val="center"/>
            </w:pPr>
            <w:r>
              <w:t>1.003</w:t>
            </w:r>
          </w:p>
        </w:tc>
        <w:tc>
          <w:tcPr>
            <w:tcW w:w="1027" w:type="dxa"/>
          </w:tcPr>
          <w:p w14:paraId="1E6009C0" w14:textId="77777777" w:rsidR="00B24F3B" w:rsidRPr="00037DF5" w:rsidRDefault="00B24F3B" w:rsidP="00B75327">
            <w:pPr>
              <w:pStyle w:val="Captionfigtable"/>
              <w:jc w:val="center"/>
            </w:pPr>
            <w:r>
              <w:t>0.66</w:t>
            </w:r>
          </w:p>
        </w:tc>
      </w:tr>
      <w:tr w:rsidR="00B24F3B" w:rsidRPr="00037DF5" w14:paraId="413536AC" w14:textId="77777777" w:rsidTr="00B75327">
        <w:trPr>
          <w:trHeight w:val="253"/>
        </w:trPr>
        <w:tc>
          <w:tcPr>
            <w:tcW w:w="1161" w:type="dxa"/>
          </w:tcPr>
          <w:p w14:paraId="1908CA29" w14:textId="77777777" w:rsidR="00B24F3B" w:rsidRPr="00037DF5" w:rsidRDefault="00B24F3B" w:rsidP="00B75327">
            <w:pPr>
              <w:pStyle w:val="Captionfigtable"/>
              <w:rPr>
                <w:b/>
                <w:bCs/>
              </w:rPr>
            </w:pPr>
            <w:r w:rsidRPr="00037DF5">
              <w:rPr>
                <w:b/>
                <w:bCs/>
              </w:rPr>
              <w:t>July</w:t>
            </w:r>
          </w:p>
        </w:tc>
        <w:tc>
          <w:tcPr>
            <w:tcW w:w="889" w:type="dxa"/>
          </w:tcPr>
          <w:p w14:paraId="01403A00" w14:textId="77777777" w:rsidR="00B24F3B" w:rsidRPr="00037DF5" w:rsidRDefault="00B24F3B" w:rsidP="00B75327">
            <w:pPr>
              <w:pStyle w:val="Captionfigtable"/>
              <w:jc w:val="center"/>
            </w:pPr>
            <w:r>
              <w:t>1.03</w:t>
            </w:r>
          </w:p>
        </w:tc>
        <w:tc>
          <w:tcPr>
            <w:tcW w:w="890" w:type="dxa"/>
          </w:tcPr>
          <w:p w14:paraId="17FDC0D5" w14:textId="77777777" w:rsidR="00B24F3B" w:rsidRPr="00037DF5" w:rsidRDefault="00B24F3B" w:rsidP="00B75327">
            <w:pPr>
              <w:pStyle w:val="Captionfigtable"/>
              <w:jc w:val="center"/>
            </w:pPr>
            <w:r>
              <w:t>3.82</w:t>
            </w:r>
          </w:p>
        </w:tc>
        <w:tc>
          <w:tcPr>
            <w:tcW w:w="755" w:type="dxa"/>
          </w:tcPr>
          <w:p w14:paraId="7CDB7302" w14:textId="77777777" w:rsidR="00B24F3B" w:rsidRPr="00037DF5" w:rsidRDefault="00B24F3B" w:rsidP="00B75327">
            <w:pPr>
              <w:pStyle w:val="Captionfigtable"/>
              <w:jc w:val="center"/>
            </w:pPr>
            <w:r>
              <w:t>6.74</w:t>
            </w:r>
          </w:p>
        </w:tc>
        <w:tc>
          <w:tcPr>
            <w:tcW w:w="1027" w:type="dxa"/>
          </w:tcPr>
          <w:p w14:paraId="09D811F2" w14:textId="77777777" w:rsidR="00B24F3B" w:rsidRPr="00037DF5" w:rsidRDefault="00B24F3B" w:rsidP="00B75327">
            <w:pPr>
              <w:pStyle w:val="Captionfigtable"/>
              <w:jc w:val="center"/>
            </w:pPr>
            <w:r>
              <w:t>2.29</w:t>
            </w:r>
          </w:p>
        </w:tc>
      </w:tr>
      <w:tr w:rsidR="00B24F3B" w:rsidRPr="00037DF5" w14:paraId="1F52DB92" w14:textId="77777777" w:rsidTr="00B75327">
        <w:trPr>
          <w:trHeight w:val="245"/>
        </w:trPr>
        <w:tc>
          <w:tcPr>
            <w:tcW w:w="1161" w:type="dxa"/>
          </w:tcPr>
          <w:p w14:paraId="317F4272" w14:textId="77777777" w:rsidR="00B24F3B" w:rsidRPr="00037DF5" w:rsidRDefault="00B24F3B" w:rsidP="00B75327">
            <w:pPr>
              <w:pStyle w:val="Captionfigtable"/>
              <w:rPr>
                <w:b/>
                <w:bCs/>
              </w:rPr>
            </w:pPr>
            <w:r w:rsidRPr="00037DF5">
              <w:rPr>
                <w:b/>
                <w:bCs/>
              </w:rPr>
              <w:t>August</w:t>
            </w:r>
          </w:p>
        </w:tc>
        <w:tc>
          <w:tcPr>
            <w:tcW w:w="889" w:type="dxa"/>
          </w:tcPr>
          <w:p w14:paraId="7A24E0B5" w14:textId="77777777" w:rsidR="00B24F3B" w:rsidRPr="00037DF5" w:rsidRDefault="00B24F3B" w:rsidP="00B75327">
            <w:pPr>
              <w:pStyle w:val="Captionfigtable"/>
              <w:jc w:val="center"/>
            </w:pPr>
            <w:r>
              <w:t>1.16</w:t>
            </w:r>
          </w:p>
        </w:tc>
        <w:tc>
          <w:tcPr>
            <w:tcW w:w="890" w:type="dxa"/>
          </w:tcPr>
          <w:p w14:paraId="73CD8307" w14:textId="77777777" w:rsidR="00B24F3B" w:rsidRPr="00037DF5" w:rsidRDefault="00B24F3B" w:rsidP="00B75327">
            <w:pPr>
              <w:pStyle w:val="Captionfigtable"/>
              <w:jc w:val="center"/>
            </w:pPr>
            <w:r>
              <w:t>1.89</w:t>
            </w:r>
          </w:p>
        </w:tc>
        <w:tc>
          <w:tcPr>
            <w:tcW w:w="755" w:type="dxa"/>
          </w:tcPr>
          <w:p w14:paraId="2E288660" w14:textId="77777777" w:rsidR="00B24F3B" w:rsidRPr="00037DF5" w:rsidRDefault="00B24F3B" w:rsidP="00B75327">
            <w:pPr>
              <w:pStyle w:val="Captionfigtable"/>
              <w:jc w:val="center"/>
            </w:pPr>
            <w:r>
              <w:t>1.93</w:t>
            </w:r>
          </w:p>
        </w:tc>
        <w:tc>
          <w:tcPr>
            <w:tcW w:w="1027" w:type="dxa"/>
          </w:tcPr>
          <w:p w14:paraId="63B7DAD4" w14:textId="77777777" w:rsidR="00B24F3B" w:rsidRPr="00037DF5" w:rsidRDefault="00B24F3B" w:rsidP="00B75327">
            <w:pPr>
              <w:pStyle w:val="Captionfigtable"/>
              <w:jc w:val="center"/>
            </w:pPr>
            <w:r>
              <w:t>1.30</w:t>
            </w:r>
          </w:p>
        </w:tc>
      </w:tr>
      <w:tr w:rsidR="00B24F3B" w:rsidRPr="00037DF5" w14:paraId="4AF9B3B8" w14:textId="77777777" w:rsidTr="00B75327">
        <w:trPr>
          <w:trHeight w:val="245"/>
        </w:trPr>
        <w:tc>
          <w:tcPr>
            <w:tcW w:w="1161" w:type="dxa"/>
          </w:tcPr>
          <w:p w14:paraId="48BE40BD" w14:textId="77777777" w:rsidR="00B24F3B" w:rsidRPr="00037DF5" w:rsidRDefault="00B24F3B" w:rsidP="00B75327">
            <w:pPr>
              <w:pStyle w:val="Captionfigtable"/>
              <w:rPr>
                <w:b/>
                <w:bCs/>
              </w:rPr>
            </w:pPr>
            <w:r w:rsidRPr="00037DF5">
              <w:rPr>
                <w:b/>
                <w:bCs/>
              </w:rPr>
              <w:t>September</w:t>
            </w:r>
          </w:p>
        </w:tc>
        <w:tc>
          <w:tcPr>
            <w:tcW w:w="889" w:type="dxa"/>
          </w:tcPr>
          <w:p w14:paraId="45C65E30" w14:textId="77777777" w:rsidR="00B24F3B" w:rsidRPr="00037DF5" w:rsidRDefault="00B24F3B" w:rsidP="00B75327">
            <w:pPr>
              <w:pStyle w:val="Captionfigtable"/>
              <w:jc w:val="center"/>
            </w:pPr>
            <w:r>
              <w:t>1.61</w:t>
            </w:r>
          </w:p>
        </w:tc>
        <w:tc>
          <w:tcPr>
            <w:tcW w:w="890" w:type="dxa"/>
          </w:tcPr>
          <w:p w14:paraId="661834DF" w14:textId="77777777" w:rsidR="00B24F3B" w:rsidRPr="00037DF5" w:rsidRDefault="00B24F3B" w:rsidP="00B75327">
            <w:pPr>
              <w:pStyle w:val="Captionfigtable"/>
              <w:jc w:val="center"/>
            </w:pPr>
            <w:r>
              <w:t>0.94</w:t>
            </w:r>
          </w:p>
        </w:tc>
        <w:tc>
          <w:tcPr>
            <w:tcW w:w="755" w:type="dxa"/>
          </w:tcPr>
          <w:p w14:paraId="49B13C42" w14:textId="77777777" w:rsidR="00B24F3B" w:rsidRPr="00037DF5" w:rsidRDefault="00B24F3B" w:rsidP="00B75327">
            <w:pPr>
              <w:pStyle w:val="Captionfigtable"/>
              <w:jc w:val="center"/>
            </w:pPr>
            <w:r>
              <w:t>1.01</w:t>
            </w:r>
          </w:p>
        </w:tc>
        <w:tc>
          <w:tcPr>
            <w:tcW w:w="1027" w:type="dxa"/>
          </w:tcPr>
          <w:p w14:paraId="2F618360" w14:textId="77777777" w:rsidR="00B24F3B" w:rsidRPr="00037DF5" w:rsidRDefault="00B24F3B" w:rsidP="00B75327">
            <w:pPr>
              <w:pStyle w:val="Captionfigtable"/>
              <w:jc w:val="center"/>
            </w:pPr>
            <w:r>
              <w:t>0.74</w:t>
            </w:r>
          </w:p>
        </w:tc>
      </w:tr>
      <w:tr w:rsidR="00B24F3B" w:rsidRPr="00037DF5" w14:paraId="00B3E32B" w14:textId="77777777" w:rsidTr="00B75327">
        <w:trPr>
          <w:trHeight w:val="253"/>
        </w:trPr>
        <w:tc>
          <w:tcPr>
            <w:tcW w:w="1161" w:type="dxa"/>
          </w:tcPr>
          <w:p w14:paraId="68707C5F" w14:textId="77777777" w:rsidR="00B24F3B" w:rsidRPr="00037DF5" w:rsidRDefault="00B24F3B" w:rsidP="00B75327">
            <w:pPr>
              <w:pStyle w:val="Captionfigtable"/>
              <w:rPr>
                <w:b/>
                <w:bCs/>
              </w:rPr>
            </w:pPr>
            <w:r w:rsidRPr="00037DF5">
              <w:rPr>
                <w:b/>
                <w:bCs/>
              </w:rPr>
              <w:t>October</w:t>
            </w:r>
          </w:p>
        </w:tc>
        <w:tc>
          <w:tcPr>
            <w:tcW w:w="889" w:type="dxa"/>
          </w:tcPr>
          <w:p w14:paraId="3E60433F" w14:textId="77777777" w:rsidR="00B24F3B" w:rsidRPr="00037DF5" w:rsidRDefault="00B24F3B" w:rsidP="00B75327">
            <w:pPr>
              <w:pStyle w:val="Captionfigtable"/>
              <w:jc w:val="center"/>
            </w:pPr>
            <w:r>
              <w:t>1.00</w:t>
            </w:r>
          </w:p>
        </w:tc>
        <w:tc>
          <w:tcPr>
            <w:tcW w:w="890" w:type="dxa"/>
          </w:tcPr>
          <w:p w14:paraId="0E008F99" w14:textId="77777777" w:rsidR="00B24F3B" w:rsidRPr="00037DF5" w:rsidRDefault="00B24F3B" w:rsidP="00B75327">
            <w:pPr>
              <w:pStyle w:val="Captionfigtable"/>
              <w:jc w:val="center"/>
            </w:pPr>
            <w:r>
              <w:t>1.42</w:t>
            </w:r>
          </w:p>
        </w:tc>
        <w:tc>
          <w:tcPr>
            <w:tcW w:w="755" w:type="dxa"/>
          </w:tcPr>
          <w:p w14:paraId="46918D8A" w14:textId="77777777" w:rsidR="00B24F3B" w:rsidRPr="00037DF5" w:rsidRDefault="00B24F3B" w:rsidP="00B75327">
            <w:pPr>
              <w:pStyle w:val="Captionfigtable"/>
              <w:jc w:val="center"/>
            </w:pPr>
            <w:r>
              <w:t>1.38</w:t>
            </w:r>
          </w:p>
        </w:tc>
        <w:tc>
          <w:tcPr>
            <w:tcW w:w="1027" w:type="dxa"/>
          </w:tcPr>
          <w:p w14:paraId="58EFC05F" w14:textId="77777777" w:rsidR="00B24F3B" w:rsidRPr="00037DF5" w:rsidRDefault="00B24F3B" w:rsidP="00B75327">
            <w:pPr>
              <w:pStyle w:val="Captionfigtable"/>
              <w:jc w:val="center"/>
            </w:pPr>
            <w:r>
              <w:t>1.27</w:t>
            </w:r>
          </w:p>
        </w:tc>
      </w:tr>
      <w:tr w:rsidR="00B24F3B" w:rsidRPr="00037DF5" w14:paraId="6328A497" w14:textId="77777777" w:rsidTr="00B75327">
        <w:trPr>
          <w:trHeight w:val="245"/>
        </w:trPr>
        <w:tc>
          <w:tcPr>
            <w:tcW w:w="1161" w:type="dxa"/>
          </w:tcPr>
          <w:p w14:paraId="101E9641" w14:textId="77777777" w:rsidR="00B24F3B" w:rsidRPr="00037DF5" w:rsidRDefault="00B24F3B" w:rsidP="00B75327">
            <w:pPr>
              <w:pStyle w:val="Captionfigtable"/>
              <w:rPr>
                <w:b/>
                <w:bCs/>
              </w:rPr>
            </w:pPr>
            <w:r w:rsidRPr="00037DF5">
              <w:rPr>
                <w:b/>
                <w:bCs/>
              </w:rPr>
              <w:t>November</w:t>
            </w:r>
          </w:p>
        </w:tc>
        <w:tc>
          <w:tcPr>
            <w:tcW w:w="889" w:type="dxa"/>
          </w:tcPr>
          <w:p w14:paraId="007706D9" w14:textId="77777777" w:rsidR="00B24F3B" w:rsidRPr="00037DF5" w:rsidRDefault="00B24F3B" w:rsidP="00B75327">
            <w:pPr>
              <w:pStyle w:val="Captionfigtable"/>
              <w:jc w:val="center"/>
            </w:pPr>
            <w:r>
              <w:t>1.10</w:t>
            </w:r>
          </w:p>
        </w:tc>
        <w:tc>
          <w:tcPr>
            <w:tcW w:w="890" w:type="dxa"/>
          </w:tcPr>
          <w:p w14:paraId="714E5988" w14:textId="77777777" w:rsidR="00B24F3B" w:rsidRPr="00037DF5" w:rsidRDefault="00B24F3B" w:rsidP="00B75327">
            <w:pPr>
              <w:pStyle w:val="Captionfigtable"/>
              <w:jc w:val="center"/>
            </w:pPr>
            <w:r>
              <w:t>1.43</w:t>
            </w:r>
          </w:p>
        </w:tc>
        <w:tc>
          <w:tcPr>
            <w:tcW w:w="755" w:type="dxa"/>
          </w:tcPr>
          <w:p w14:paraId="65CD9C6C" w14:textId="77777777" w:rsidR="00B24F3B" w:rsidRPr="00037DF5" w:rsidRDefault="00B24F3B" w:rsidP="00B75327">
            <w:pPr>
              <w:pStyle w:val="Captionfigtable"/>
              <w:jc w:val="center"/>
            </w:pPr>
            <w:r>
              <w:t>1.46</w:t>
            </w:r>
          </w:p>
        </w:tc>
        <w:tc>
          <w:tcPr>
            <w:tcW w:w="1027" w:type="dxa"/>
          </w:tcPr>
          <w:p w14:paraId="1BF6B91F" w14:textId="77777777" w:rsidR="00B24F3B" w:rsidRPr="00037DF5" w:rsidRDefault="00B24F3B" w:rsidP="00B75327">
            <w:pPr>
              <w:pStyle w:val="Captionfigtable"/>
              <w:jc w:val="center"/>
            </w:pPr>
            <w:r>
              <w:t>1.42</w:t>
            </w:r>
          </w:p>
        </w:tc>
      </w:tr>
      <w:tr w:rsidR="00B24F3B" w:rsidRPr="00037DF5" w14:paraId="1F22C8B4" w14:textId="77777777" w:rsidTr="00B75327">
        <w:trPr>
          <w:trHeight w:val="253"/>
        </w:trPr>
        <w:tc>
          <w:tcPr>
            <w:tcW w:w="1161" w:type="dxa"/>
          </w:tcPr>
          <w:p w14:paraId="293F15E4" w14:textId="77777777" w:rsidR="00B24F3B" w:rsidRPr="00037DF5" w:rsidRDefault="00B24F3B" w:rsidP="00B75327">
            <w:pPr>
              <w:pStyle w:val="Captionfigtable"/>
              <w:rPr>
                <w:b/>
                <w:bCs/>
              </w:rPr>
            </w:pPr>
            <w:r w:rsidRPr="00037DF5">
              <w:rPr>
                <w:b/>
                <w:bCs/>
              </w:rPr>
              <w:t>December</w:t>
            </w:r>
          </w:p>
        </w:tc>
        <w:tc>
          <w:tcPr>
            <w:tcW w:w="889" w:type="dxa"/>
          </w:tcPr>
          <w:p w14:paraId="743787EB" w14:textId="77777777" w:rsidR="00B24F3B" w:rsidRPr="00037DF5" w:rsidRDefault="00B24F3B" w:rsidP="00B75327">
            <w:pPr>
              <w:pStyle w:val="Captionfigtable"/>
              <w:jc w:val="center"/>
            </w:pPr>
            <w:r>
              <w:t>1.21</w:t>
            </w:r>
          </w:p>
        </w:tc>
        <w:tc>
          <w:tcPr>
            <w:tcW w:w="890" w:type="dxa"/>
          </w:tcPr>
          <w:p w14:paraId="11663623" w14:textId="77777777" w:rsidR="00B24F3B" w:rsidRPr="00037DF5" w:rsidRDefault="00B24F3B" w:rsidP="00B75327">
            <w:pPr>
              <w:pStyle w:val="Captionfigtable"/>
              <w:jc w:val="center"/>
            </w:pPr>
            <w:r>
              <w:t>1.54</w:t>
            </w:r>
          </w:p>
        </w:tc>
        <w:tc>
          <w:tcPr>
            <w:tcW w:w="755" w:type="dxa"/>
          </w:tcPr>
          <w:p w14:paraId="1937A89F" w14:textId="77777777" w:rsidR="00B24F3B" w:rsidRPr="00037DF5" w:rsidRDefault="00B24F3B" w:rsidP="00B75327">
            <w:pPr>
              <w:pStyle w:val="Captionfigtable"/>
              <w:jc w:val="center"/>
            </w:pPr>
            <w:r>
              <w:t>1.56</w:t>
            </w:r>
          </w:p>
        </w:tc>
        <w:tc>
          <w:tcPr>
            <w:tcW w:w="1027" w:type="dxa"/>
          </w:tcPr>
          <w:p w14:paraId="074C8F51" w14:textId="77777777" w:rsidR="00B24F3B" w:rsidRPr="00037DF5" w:rsidRDefault="00B24F3B" w:rsidP="00B75327">
            <w:pPr>
              <w:pStyle w:val="Captionfigtable"/>
              <w:jc w:val="center"/>
            </w:pPr>
            <w:r>
              <w:t>1.58</w:t>
            </w:r>
          </w:p>
        </w:tc>
      </w:tr>
    </w:tbl>
    <w:p w14:paraId="147A76A9" w14:textId="77777777" w:rsidR="00B24F3B" w:rsidRDefault="00B24F3B" w:rsidP="00B24F3B">
      <w:pPr>
        <w:pStyle w:val="Heading1"/>
        <w:numPr>
          <w:ilvl w:val="1"/>
          <w:numId w:val="5"/>
        </w:numPr>
        <w:tabs>
          <w:tab w:val="num" w:pos="360"/>
        </w:tabs>
        <w:ind w:left="0" w:firstLine="0"/>
      </w:pPr>
      <w:r w:rsidRPr="003D3728">
        <w:t>Measured</w:t>
      </w:r>
      <w:r>
        <w:t xml:space="preserve"> in </w:t>
      </w:r>
      <w:r>
        <w:rPr>
          <w:bCs/>
        </w:rPr>
        <w:t>2024</w:t>
      </w:r>
      <w:r w:rsidRPr="003D3728">
        <w:t xml:space="preserve"> </w:t>
      </w:r>
      <w:r w:rsidRPr="003D3728">
        <w:rPr>
          <w:bCs/>
        </w:rPr>
        <w:t>Versus Simulated</w:t>
      </w:r>
      <w:r>
        <w:rPr>
          <w:bCs/>
        </w:rPr>
        <w:t xml:space="preserve"> </w:t>
      </w:r>
    </w:p>
    <w:p w14:paraId="0444D2E7" w14:textId="080767C9" w:rsidR="005E1F6D" w:rsidRDefault="005E1F6D" w:rsidP="005E1F6D">
      <w:pPr>
        <w:pStyle w:val="MainText"/>
        <w:rPr>
          <w:b/>
        </w:rPr>
      </w:pPr>
      <w:r w:rsidRPr="005E1F6D">
        <w:rPr>
          <w:rStyle w:val="MainTextChar"/>
        </w:rPr>
        <w:t xml:space="preserve">The measured electricity consumption in 2024 was 18,344 kWh, representing a 63% increase (7,109 kWh) compared to the 2023 consumption. As illustrated in Figure 10, discrepancies between measured and simulated electricity consumption are more pronounced in 2024 than in 2023. In contrast to the previous year's results—where simulations conducted using IES-VE with a heating setpoint of 21 °C showed a </w:t>
      </w:r>
      <w:proofErr w:type="spellStart"/>
      <w:r w:rsidRPr="005E1F6D">
        <w:rPr>
          <w:rStyle w:val="MainTextChar"/>
        </w:rPr>
        <w:t>favorable</w:t>
      </w:r>
      <w:proofErr w:type="spellEnd"/>
      <w:r w:rsidRPr="005E1F6D">
        <w:rPr>
          <w:rStyle w:val="MainTextChar"/>
        </w:rPr>
        <w:t xml:space="preserve"> Energy Performance Gap (EPG), with measured consumption 2% lower than simulated—the 2024 data reveal a reversal. Under the same simulation scenario, the measured electricity consumption in 2024 exceeded the simulated value by 60%, as shown in the accompanying table</w:t>
      </w:r>
      <w:r w:rsidRPr="005E1F6D">
        <w:rPr>
          <w:b/>
        </w:rPr>
        <w:t>.</w:t>
      </w:r>
    </w:p>
    <w:p w14:paraId="2837A1DF" w14:textId="0E18B0F3" w:rsidR="00B24F3B" w:rsidRPr="00D920BB" w:rsidRDefault="00494662" w:rsidP="005E1F6D">
      <w:pPr>
        <w:pStyle w:val="PlainText"/>
      </w:pPr>
      <w:r w:rsidRPr="0063334B">
        <w:rPr>
          <w:noProof/>
        </w:rPr>
        <w:drawing>
          <wp:inline distT="0" distB="0" distL="0" distR="0" wp14:anchorId="47AC71A9" wp14:editId="787F756A">
            <wp:extent cx="2900045" cy="141224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0045" cy="1412240"/>
                    </a:xfrm>
                    <a:prstGeom prst="rect">
                      <a:avLst/>
                    </a:prstGeom>
                    <a:noFill/>
                    <a:ln>
                      <a:noFill/>
                    </a:ln>
                  </pic:spPr>
                </pic:pic>
              </a:graphicData>
            </a:graphic>
          </wp:inline>
        </w:drawing>
      </w:r>
    </w:p>
    <w:p w14:paraId="79499F61" w14:textId="744490D4" w:rsidR="00B24F3B" w:rsidRDefault="00B24F3B" w:rsidP="00B24F3B">
      <w:pPr>
        <w:pStyle w:val="Captionfigtable"/>
        <w:rPr>
          <w:rStyle w:val="CaptionfigtableChar"/>
        </w:rPr>
      </w:pPr>
      <w:r w:rsidRPr="00F05EA2">
        <w:rPr>
          <w:rStyle w:val="CaptionfigtableChar"/>
        </w:rPr>
        <w:t xml:space="preserve">Figure </w:t>
      </w:r>
      <w:r>
        <w:rPr>
          <w:rStyle w:val="CaptionfigtableChar"/>
        </w:rPr>
        <w:t>10</w:t>
      </w:r>
      <w:r w:rsidRPr="00F05EA2">
        <w:rPr>
          <w:rStyle w:val="CaptionfigtableChar"/>
        </w:rPr>
        <w:t xml:space="preserve">: </w:t>
      </w:r>
      <w:r w:rsidR="005E1F6D">
        <w:rPr>
          <w:rStyle w:val="CaptionfigtableChar"/>
        </w:rPr>
        <w:t>M</w:t>
      </w:r>
      <w:r>
        <w:rPr>
          <w:rStyle w:val="CaptionfigtableChar"/>
        </w:rPr>
        <w:t>easured in 2024 vs simulated.</w:t>
      </w:r>
    </w:p>
    <w:p w14:paraId="5C68EF5A" w14:textId="77777777" w:rsidR="005E1F6D" w:rsidRDefault="005E1F6D" w:rsidP="005E1F6D">
      <w:pPr>
        <w:pStyle w:val="MainText"/>
      </w:pPr>
      <w:r w:rsidRPr="005E1F6D">
        <w:t>As shown in Table 5, the range of discrepancies in 2024 also decreases with lower heating setpoint temperatures. Specifically, the gap range reduces from 72% at a setpoint of 24 °C to 47% at 21 °C, and further to 32% at 18 °C.</w:t>
      </w:r>
    </w:p>
    <w:p w14:paraId="41FB6D7C" w14:textId="670C42BB" w:rsidR="00B24F3B" w:rsidRPr="00037DF5" w:rsidRDefault="00B24F3B" w:rsidP="005E1F6D">
      <w:pPr>
        <w:pStyle w:val="PlainText"/>
        <w:rPr>
          <w:i/>
          <w:color w:val="FF0000"/>
        </w:rPr>
      </w:pPr>
      <w:r w:rsidRPr="00F05EA2">
        <w:rPr>
          <w:i/>
        </w:rPr>
        <w:t xml:space="preserve">Table </w:t>
      </w:r>
      <w:r>
        <w:rPr>
          <w:i/>
        </w:rPr>
        <w:t>5</w:t>
      </w:r>
      <w:r w:rsidRPr="00F05EA2">
        <w:rPr>
          <w:i/>
        </w:rPr>
        <w:t xml:space="preserve">: </w:t>
      </w:r>
      <w:r>
        <w:rPr>
          <w:i/>
        </w:rPr>
        <w:t>Factors between annual measured (2024) and simulated values on different heating temperature setpoints.</w:t>
      </w:r>
    </w:p>
    <w:tbl>
      <w:tblPr>
        <w:tblW w:w="0" w:type="auto"/>
        <w:tblBorders>
          <w:top w:val="single" w:sz="4" w:space="0" w:color="7F7F7F"/>
          <w:bottom w:val="single" w:sz="4" w:space="0" w:color="7F7F7F"/>
        </w:tblBorders>
        <w:tblLook w:val="04A0" w:firstRow="1" w:lastRow="0" w:firstColumn="1" w:lastColumn="0" w:noHBand="0" w:noVBand="1"/>
      </w:tblPr>
      <w:tblGrid>
        <w:gridCol w:w="1698"/>
        <w:gridCol w:w="954"/>
        <w:gridCol w:w="954"/>
        <w:gridCol w:w="954"/>
      </w:tblGrid>
      <w:tr w:rsidR="00B24F3B" w14:paraId="1771277A" w14:textId="77777777" w:rsidTr="005E1F6D">
        <w:trPr>
          <w:trHeight w:val="262"/>
        </w:trPr>
        <w:tc>
          <w:tcPr>
            <w:tcW w:w="1698" w:type="dxa"/>
            <w:tcBorders>
              <w:bottom w:val="single" w:sz="4" w:space="0" w:color="7F7F7F"/>
            </w:tcBorders>
            <w:shd w:val="clear" w:color="auto" w:fill="auto"/>
          </w:tcPr>
          <w:p w14:paraId="65A3F753" w14:textId="77777777" w:rsidR="00B24F3B" w:rsidRDefault="00B24F3B" w:rsidP="00B75327">
            <w:pPr>
              <w:pStyle w:val="PlainText"/>
              <w:rPr>
                <w:b/>
                <w:bCs/>
              </w:rPr>
            </w:pPr>
          </w:p>
        </w:tc>
        <w:tc>
          <w:tcPr>
            <w:tcW w:w="954" w:type="dxa"/>
            <w:tcBorders>
              <w:bottom w:val="single" w:sz="4" w:space="0" w:color="7F7F7F"/>
            </w:tcBorders>
            <w:shd w:val="clear" w:color="auto" w:fill="auto"/>
          </w:tcPr>
          <w:p w14:paraId="5E541DB7" w14:textId="77777777" w:rsidR="00B24F3B" w:rsidRDefault="00B24F3B" w:rsidP="00B75327">
            <w:pPr>
              <w:pStyle w:val="PlainText"/>
              <w:jc w:val="center"/>
              <w:rPr>
                <w:b/>
                <w:bCs/>
              </w:rPr>
            </w:pPr>
            <w:r>
              <w:rPr>
                <w:b/>
                <w:bCs/>
              </w:rPr>
              <w:t>24 °C</w:t>
            </w:r>
          </w:p>
        </w:tc>
        <w:tc>
          <w:tcPr>
            <w:tcW w:w="954" w:type="dxa"/>
            <w:tcBorders>
              <w:bottom w:val="single" w:sz="4" w:space="0" w:color="7F7F7F"/>
            </w:tcBorders>
            <w:shd w:val="clear" w:color="auto" w:fill="auto"/>
          </w:tcPr>
          <w:p w14:paraId="5C04EB44" w14:textId="77777777" w:rsidR="00B24F3B" w:rsidRDefault="00B24F3B" w:rsidP="00B75327">
            <w:pPr>
              <w:pStyle w:val="PlainText"/>
              <w:jc w:val="center"/>
              <w:rPr>
                <w:b/>
                <w:bCs/>
              </w:rPr>
            </w:pPr>
            <w:r>
              <w:rPr>
                <w:b/>
                <w:bCs/>
              </w:rPr>
              <w:t>21 °C</w:t>
            </w:r>
          </w:p>
        </w:tc>
        <w:tc>
          <w:tcPr>
            <w:tcW w:w="954" w:type="dxa"/>
            <w:tcBorders>
              <w:bottom w:val="single" w:sz="4" w:space="0" w:color="7F7F7F"/>
            </w:tcBorders>
            <w:shd w:val="clear" w:color="auto" w:fill="auto"/>
          </w:tcPr>
          <w:p w14:paraId="43C27E39" w14:textId="77777777" w:rsidR="00B24F3B" w:rsidRDefault="00B24F3B" w:rsidP="00B75327">
            <w:pPr>
              <w:pStyle w:val="PlainText"/>
              <w:jc w:val="center"/>
              <w:rPr>
                <w:b/>
                <w:bCs/>
              </w:rPr>
            </w:pPr>
            <w:r>
              <w:rPr>
                <w:b/>
                <w:bCs/>
              </w:rPr>
              <w:t>18 °C</w:t>
            </w:r>
          </w:p>
        </w:tc>
      </w:tr>
      <w:tr w:rsidR="00B24F3B" w14:paraId="0B267174" w14:textId="77777777" w:rsidTr="005E1F6D">
        <w:trPr>
          <w:trHeight w:val="262"/>
        </w:trPr>
        <w:tc>
          <w:tcPr>
            <w:tcW w:w="1698" w:type="dxa"/>
            <w:tcBorders>
              <w:top w:val="single" w:sz="4" w:space="0" w:color="7F7F7F"/>
              <w:bottom w:val="single" w:sz="4" w:space="0" w:color="7F7F7F"/>
            </w:tcBorders>
            <w:shd w:val="clear" w:color="auto" w:fill="auto"/>
          </w:tcPr>
          <w:p w14:paraId="6B0433D5" w14:textId="77777777" w:rsidR="00B24F3B" w:rsidRDefault="00B24F3B" w:rsidP="00B75327">
            <w:pPr>
              <w:pStyle w:val="PlainText"/>
              <w:rPr>
                <w:b/>
                <w:bCs/>
              </w:rPr>
            </w:pPr>
            <w:r>
              <w:rPr>
                <w:b/>
                <w:bCs/>
              </w:rPr>
              <w:t>IDA-ICE</w:t>
            </w:r>
          </w:p>
        </w:tc>
        <w:tc>
          <w:tcPr>
            <w:tcW w:w="954" w:type="dxa"/>
            <w:tcBorders>
              <w:top w:val="single" w:sz="4" w:space="0" w:color="7F7F7F"/>
              <w:bottom w:val="single" w:sz="4" w:space="0" w:color="7F7F7F"/>
            </w:tcBorders>
            <w:shd w:val="clear" w:color="auto" w:fill="auto"/>
          </w:tcPr>
          <w:p w14:paraId="1B455B48" w14:textId="77777777" w:rsidR="00B24F3B" w:rsidRDefault="00B24F3B" w:rsidP="00B75327">
            <w:pPr>
              <w:pStyle w:val="PlainText"/>
              <w:jc w:val="center"/>
            </w:pPr>
            <w:r>
              <w:t>1.72</w:t>
            </w:r>
          </w:p>
        </w:tc>
        <w:tc>
          <w:tcPr>
            <w:tcW w:w="954" w:type="dxa"/>
            <w:tcBorders>
              <w:top w:val="single" w:sz="4" w:space="0" w:color="7F7F7F"/>
              <w:bottom w:val="single" w:sz="4" w:space="0" w:color="7F7F7F"/>
            </w:tcBorders>
            <w:shd w:val="clear" w:color="auto" w:fill="auto"/>
          </w:tcPr>
          <w:p w14:paraId="4ECB9805" w14:textId="77777777" w:rsidR="00B24F3B" w:rsidRDefault="00B24F3B" w:rsidP="00B75327">
            <w:pPr>
              <w:pStyle w:val="PlainText"/>
              <w:jc w:val="center"/>
            </w:pPr>
            <w:r>
              <w:t>2.01</w:t>
            </w:r>
          </w:p>
        </w:tc>
        <w:tc>
          <w:tcPr>
            <w:tcW w:w="954" w:type="dxa"/>
            <w:tcBorders>
              <w:top w:val="single" w:sz="4" w:space="0" w:color="7F7F7F"/>
              <w:bottom w:val="single" w:sz="4" w:space="0" w:color="7F7F7F"/>
            </w:tcBorders>
            <w:shd w:val="clear" w:color="auto" w:fill="auto"/>
          </w:tcPr>
          <w:p w14:paraId="7393E0DD" w14:textId="77777777" w:rsidR="00B24F3B" w:rsidRDefault="00B24F3B" w:rsidP="00B75327">
            <w:pPr>
              <w:pStyle w:val="PlainText"/>
              <w:jc w:val="center"/>
            </w:pPr>
            <w:r>
              <w:t>2.48</w:t>
            </w:r>
          </w:p>
        </w:tc>
      </w:tr>
      <w:tr w:rsidR="00B24F3B" w14:paraId="7BF83886" w14:textId="77777777" w:rsidTr="005E1F6D">
        <w:trPr>
          <w:trHeight w:val="251"/>
        </w:trPr>
        <w:tc>
          <w:tcPr>
            <w:tcW w:w="1698" w:type="dxa"/>
            <w:shd w:val="clear" w:color="auto" w:fill="auto"/>
          </w:tcPr>
          <w:p w14:paraId="5CDB29A8" w14:textId="77777777" w:rsidR="00B24F3B" w:rsidRDefault="00B24F3B" w:rsidP="00B75327">
            <w:pPr>
              <w:pStyle w:val="PlainText"/>
              <w:rPr>
                <w:b/>
                <w:bCs/>
              </w:rPr>
            </w:pPr>
            <w:r>
              <w:rPr>
                <w:b/>
                <w:bCs/>
              </w:rPr>
              <w:t>DesignBuilder</w:t>
            </w:r>
          </w:p>
        </w:tc>
        <w:tc>
          <w:tcPr>
            <w:tcW w:w="954" w:type="dxa"/>
            <w:shd w:val="clear" w:color="auto" w:fill="auto"/>
          </w:tcPr>
          <w:p w14:paraId="5EDA0CE9" w14:textId="77777777" w:rsidR="00B24F3B" w:rsidRDefault="00B24F3B" w:rsidP="00B75327">
            <w:pPr>
              <w:pStyle w:val="PlainText"/>
              <w:jc w:val="center"/>
            </w:pPr>
            <w:r>
              <w:t>1.92</w:t>
            </w:r>
          </w:p>
        </w:tc>
        <w:tc>
          <w:tcPr>
            <w:tcW w:w="954" w:type="dxa"/>
            <w:shd w:val="clear" w:color="auto" w:fill="auto"/>
          </w:tcPr>
          <w:p w14:paraId="6E2E42A6" w14:textId="77777777" w:rsidR="00B24F3B" w:rsidRDefault="00B24F3B" w:rsidP="00B75327">
            <w:pPr>
              <w:pStyle w:val="PlainText"/>
              <w:jc w:val="center"/>
            </w:pPr>
            <w:r>
              <w:t>2.25</w:t>
            </w:r>
          </w:p>
        </w:tc>
        <w:tc>
          <w:tcPr>
            <w:tcW w:w="954" w:type="dxa"/>
            <w:shd w:val="clear" w:color="auto" w:fill="auto"/>
          </w:tcPr>
          <w:p w14:paraId="7FBFCBBE" w14:textId="77777777" w:rsidR="00B24F3B" w:rsidRDefault="00B24F3B" w:rsidP="00B75327">
            <w:pPr>
              <w:pStyle w:val="PlainText"/>
              <w:jc w:val="center"/>
            </w:pPr>
            <w:r>
              <w:t>2.60</w:t>
            </w:r>
          </w:p>
        </w:tc>
      </w:tr>
      <w:tr w:rsidR="00B24F3B" w14:paraId="76AB37C9" w14:textId="77777777" w:rsidTr="005E1F6D">
        <w:trPr>
          <w:trHeight w:val="262"/>
        </w:trPr>
        <w:tc>
          <w:tcPr>
            <w:tcW w:w="1698" w:type="dxa"/>
            <w:tcBorders>
              <w:top w:val="single" w:sz="4" w:space="0" w:color="7F7F7F"/>
              <w:bottom w:val="single" w:sz="4" w:space="0" w:color="7F7F7F"/>
            </w:tcBorders>
            <w:shd w:val="clear" w:color="auto" w:fill="auto"/>
          </w:tcPr>
          <w:p w14:paraId="7C9D5A4C" w14:textId="77777777" w:rsidR="00B24F3B" w:rsidRDefault="00B24F3B" w:rsidP="00B75327">
            <w:pPr>
              <w:pStyle w:val="PlainText"/>
              <w:rPr>
                <w:b/>
                <w:bCs/>
              </w:rPr>
            </w:pPr>
            <w:r>
              <w:rPr>
                <w:b/>
                <w:bCs/>
              </w:rPr>
              <w:t>ClimateStudio</w:t>
            </w:r>
          </w:p>
        </w:tc>
        <w:tc>
          <w:tcPr>
            <w:tcW w:w="954" w:type="dxa"/>
            <w:tcBorders>
              <w:top w:val="single" w:sz="4" w:space="0" w:color="7F7F7F"/>
              <w:bottom w:val="single" w:sz="4" w:space="0" w:color="7F7F7F"/>
            </w:tcBorders>
            <w:shd w:val="clear" w:color="auto" w:fill="auto"/>
          </w:tcPr>
          <w:p w14:paraId="3B9E0BEC" w14:textId="77777777" w:rsidR="00B24F3B" w:rsidRPr="00037DF5" w:rsidRDefault="00B24F3B" w:rsidP="00B75327">
            <w:pPr>
              <w:pStyle w:val="PlainText"/>
              <w:jc w:val="center"/>
            </w:pPr>
            <w:r>
              <w:t>2</w:t>
            </w:r>
          </w:p>
        </w:tc>
        <w:tc>
          <w:tcPr>
            <w:tcW w:w="954" w:type="dxa"/>
            <w:tcBorders>
              <w:top w:val="single" w:sz="4" w:space="0" w:color="7F7F7F"/>
              <w:bottom w:val="single" w:sz="4" w:space="0" w:color="7F7F7F"/>
            </w:tcBorders>
            <w:shd w:val="clear" w:color="auto" w:fill="auto"/>
          </w:tcPr>
          <w:p w14:paraId="393C2F62" w14:textId="77777777" w:rsidR="00B24F3B" w:rsidRPr="00DE402B" w:rsidRDefault="00B24F3B" w:rsidP="00B75327">
            <w:pPr>
              <w:pStyle w:val="PlainText"/>
              <w:jc w:val="center"/>
            </w:pPr>
            <w:r>
              <w:t>2.35</w:t>
            </w:r>
          </w:p>
        </w:tc>
        <w:tc>
          <w:tcPr>
            <w:tcW w:w="954" w:type="dxa"/>
            <w:tcBorders>
              <w:top w:val="single" w:sz="4" w:space="0" w:color="7F7F7F"/>
              <w:bottom w:val="single" w:sz="4" w:space="0" w:color="7F7F7F"/>
            </w:tcBorders>
            <w:shd w:val="clear" w:color="auto" w:fill="auto"/>
          </w:tcPr>
          <w:p w14:paraId="54F2837D" w14:textId="77777777" w:rsidR="00B24F3B" w:rsidRPr="00DE402B" w:rsidRDefault="00B24F3B" w:rsidP="00B75327">
            <w:pPr>
              <w:pStyle w:val="PlainText"/>
              <w:jc w:val="center"/>
            </w:pPr>
            <w:r>
              <w:t>2.66</w:t>
            </w:r>
          </w:p>
        </w:tc>
      </w:tr>
      <w:tr w:rsidR="00B24F3B" w14:paraId="4F5CEB96" w14:textId="77777777" w:rsidTr="005E1F6D">
        <w:trPr>
          <w:trHeight w:val="262"/>
        </w:trPr>
        <w:tc>
          <w:tcPr>
            <w:tcW w:w="1698" w:type="dxa"/>
            <w:shd w:val="clear" w:color="auto" w:fill="auto"/>
          </w:tcPr>
          <w:p w14:paraId="21881102" w14:textId="77777777" w:rsidR="00B24F3B" w:rsidRDefault="00B24F3B" w:rsidP="00B75327">
            <w:pPr>
              <w:pStyle w:val="PlainText"/>
              <w:rPr>
                <w:b/>
                <w:bCs/>
              </w:rPr>
            </w:pPr>
            <w:r>
              <w:rPr>
                <w:b/>
                <w:bCs/>
              </w:rPr>
              <w:t>IES-VE</w:t>
            </w:r>
          </w:p>
        </w:tc>
        <w:tc>
          <w:tcPr>
            <w:tcW w:w="954" w:type="dxa"/>
            <w:shd w:val="clear" w:color="auto" w:fill="auto"/>
          </w:tcPr>
          <w:p w14:paraId="7C013E48" w14:textId="77777777" w:rsidR="00B24F3B" w:rsidRPr="00037DF5" w:rsidRDefault="00B24F3B" w:rsidP="00B75327">
            <w:pPr>
              <w:pStyle w:val="PlainText"/>
              <w:jc w:val="center"/>
            </w:pPr>
            <w:r>
              <w:t>1.16</w:t>
            </w:r>
          </w:p>
        </w:tc>
        <w:tc>
          <w:tcPr>
            <w:tcW w:w="954" w:type="dxa"/>
            <w:shd w:val="clear" w:color="auto" w:fill="auto"/>
          </w:tcPr>
          <w:p w14:paraId="56BF5813" w14:textId="77777777" w:rsidR="00B24F3B" w:rsidRPr="00DE402B" w:rsidRDefault="00B24F3B" w:rsidP="00B75327">
            <w:pPr>
              <w:pStyle w:val="PlainText"/>
              <w:jc w:val="center"/>
            </w:pPr>
            <w:r>
              <w:t>1.60</w:t>
            </w:r>
          </w:p>
        </w:tc>
        <w:tc>
          <w:tcPr>
            <w:tcW w:w="954" w:type="dxa"/>
            <w:shd w:val="clear" w:color="auto" w:fill="auto"/>
          </w:tcPr>
          <w:p w14:paraId="05A2BDED" w14:textId="77777777" w:rsidR="00B24F3B" w:rsidRPr="00DE402B" w:rsidRDefault="00B24F3B" w:rsidP="00B75327">
            <w:pPr>
              <w:pStyle w:val="PlainText"/>
              <w:jc w:val="center"/>
            </w:pPr>
            <w:r>
              <w:t>2.01</w:t>
            </w:r>
          </w:p>
        </w:tc>
      </w:tr>
    </w:tbl>
    <w:p w14:paraId="3610C90B" w14:textId="77777777" w:rsidR="005E1F6D" w:rsidRDefault="005E1F6D" w:rsidP="005E1F6D">
      <w:pPr>
        <w:pStyle w:val="MainText"/>
      </w:pPr>
      <w:r w:rsidRPr="005E1F6D">
        <w:t>The monthly factors comparing measured and simulated electricity consumption are presented in Table 6. The discrepancies between measured values and IES-VE simulations range from 8% in August to 109% in January. For DesignBuilder, the monthly gap spans from 75% in September to 490% in July. ClimateStudio exhibits the widest variation, with discrepancies ranging from 88% in September to 937% in July. Similarly, IDA-ICE shows gaps ranging from 39% in September to 252% in July.</w:t>
      </w:r>
    </w:p>
    <w:p w14:paraId="76A93537" w14:textId="3A0D94C3" w:rsidR="00B24F3B" w:rsidRPr="0072254E" w:rsidRDefault="00B24F3B" w:rsidP="005E1F6D">
      <w:pPr>
        <w:pStyle w:val="PlainText"/>
        <w:rPr>
          <w:i/>
        </w:rPr>
      </w:pPr>
      <w:r w:rsidRPr="00F05EA2">
        <w:rPr>
          <w:i/>
        </w:rPr>
        <w:t xml:space="preserve">Table </w:t>
      </w:r>
      <w:r>
        <w:rPr>
          <w:i/>
        </w:rPr>
        <w:t>6</w:t>
      </w:r>
      <w:r w:rsidRPr="00F05EA2">
        <w:rPr>
          <w:i/>
        </w:rPr>
        <w:t xml:space="preserve">: </w:t>
      </w:r>
      <w:r>
        <w:rPr>
          <w:i/>
        </w:rPr>
        <w:t>Factors between monthly measured electricity consumption in 2024 and simulated values.</w:t>
      </w:r>
    </w:p>
    <w:tbl>
      <w:tblPr>
        <w:tblStyle w:val="TableGrid"/>
        <w:tblW w:w="0" w:type="auto"/>
        <w:tblLook w:val="04A0" w:firstRow="1" w:lastRow="0" w:firstColumn="1" w:lastColumn="0" w:noHBand="0" w:noVBand="1"/>
      </w:tblPr>
      <w:tblGrid>
        <w:gridCol w:w="1160"/>
        <w:gridCol w:w="842"/>
        <w:gridCol w:w="843"/>
        <w:gridCol w:w="742"/>
        <w:gridCol w:w="963"/>
      </w:tblGrid>
      <w:tr w:rsidR="00B24F3B" w:rsidRPr="00037DF5" w14:paraId="1903D487" w14:textId="77777777" w:rsidTr="005E1F6D">
        <w:trPr>
          <w:trHeight w:val="245"/>
        </w:trPr>
        <w:tc>
          <w:tcPr>
            <w:tcW w:w="1160" w:type="dxa"/>
          </w:tcPr>
          <w:p w14:paraId="546B8447" w14:textId="77777777" w:rsidR="00B24F3B" w:rsidRPr="00037DF5" w:rsidRDefault="00B24F3B" w:rsidP="00B75327">
            <w:pPr>
              <w:pStyle w:val="Captionfigtable"/>
              <w:rPr>
                <w:b/>
                <w:bCs/>
              </w:rPr>
            </w:pPr>
            <w:r w:rsidRPr="00037DF5">
              <w:rPr>
                <w:b/>
                <w:bCs/>
              </w:rPr>
              <w:t>Month</w:t>
            </w:r>
          </w:p>
        </w:tc>
        <w:tc>
          <w:tcPr>
            <w:tcW w:w="842" w:type="dxa"/>
          </w:tcPr>
          <w:p w14:paraId="3BBE7707" w14:textId="77777777" w:rsidR="00B24F3B" w:rsidRPr="00037DF5" w:rsidRDefault="00B24F3B" w:rsidP="00B75327">
            <w:pPr>
              <w:pStyle w:val="Captionfigtable"/>
              <w:jc w:val="center"/>
              <w:rPr>
                <w:b/>
                <w:bCs/>
              </w:rPr>
            </w:pPr>
            <w:r w:rsidRPr="00037DF5">
              <w:rPr>
                <w:b/>
                <w:bCs/>
              </w:rPr>
              <w:t>IES-VE</w:t>
            </w:r>
          </w:p>
        </w:tc>
        <w:tc>
          <w:tcPr>
            <w:tcW w:w="843" w:type="dxa"/>
          </w:tcPr>
          <w:p w14:paraId="14E91C37" w14:textId="77777777" w:rsidR="00B24F3B" w:rsidRPr="00037DF5" w:rsidRDefault="00B24F3B" w:rsidP="00B75327">
            <w:pPr>
              <w:pStyle w:val="Captionfigtable"/>
              <w:jc w:val="center"/>
              <w:rPr>
                <w:b/>
                <w:bCs/>
              </w:rPr>
            </w:pPr>
            <w:r w:rsidRPr="00037DF5">
              <w:rPr>
                <w:b/>
                <w:bCs/>
              </w:rPr>
              <w:t>DB</w:t>
            </w:r>
          </w:p>
        </w:tc>
        <w:tc>
          <w:tcPr>
            <w:tcW w:w="742" w:type="dxa"/>
          </w:tcPr>
          <w:p w14:paraId="4DEC2732" w14:textId="77777777" w:rsidR="00B24F3B" w:rsidRPr="00037DF5" w:rsidRDefault="00B24F3B" w:rsidP="00B75327">
            <w:pPr>
              <w:pStyle w:val="Captionfigtable"/>
              <w:jc w:val="center"/>
              <w:rPr>
                <w:b/>
                <w:bCs/>
              </w:rPr>
            </w:pPr>
            <w:r w:rsidRPr="00037DF5">
              <w:rPr>
                <w:b/>
                <w:bCs/>
              </w:rPr>
              <w:t>CS</w:t>
            </w:r>
          </w:p>
        </w:tc>
        <w:tc>
          <w:tcPr>
            <w:tcW w:w="963" w:type="dxa"/>
          </w:tcPr>
          <w:p w14:paraId="77A8925C" w14:textId="77777777" w:rsidR="00B24F3B" w:rsidRPr="00037DF5" w:rsidRDefault="00B24F3B" w:rsidP="00B75327">
            <w:pPr>
              <w:pStyle w:val="Captionfigtable"/>
              <w:jc w:val="center"/>
              <w:rPr>
                <w:b/>
                <w:bCs/>
              </w:rPr>
            </w:pPr>
            <w:r w:rsidRPr="00037DF5">
              <w:rPr>
                <w:b/>
                <w:bCs/>
              </w:rPr>
              <w:t>IDA-ICE</w:t>
            </w:r>
          </w:p>
        </w:tc>
      </w:tr>
      <w:tr w:rsidR="00B24F3B" w:rsidRPr="00037DF5" w14:paraId="26EA6186" w14:textId="77777777" w:rsidTr="005E1F6D">
        <w:trPr>
          <w:trHeight w:val="253"/>
        </w:trPr>
        <w:tc>
          <w:tcPr>
            <w:tcW w:w="1160" w:type="dxa"/>
          </w:tcPr>
          <w:p w14:paraId="42FCF152" w14:textId="77777777" w:rsidR="00B24F3B" w:rsidRPr="00037DF5" w:rsidRDefault="00B24F3B" w:rsidP="00B75327">
            <w:pPr>
              <w:pStyle w:val="Captionfigtable"/>
              <w:rPr>
                <w:b/>
                <w:bCs/>
              </w:rPr>
            </w:pPr>
            <w:r w:rsidRPr="00037DF5">
              <w:rPr>
                <w:b/>
                <w:bCs/>
              </w:rPr>
              <w:t>January</w:t>
            </w:r>
          </w:p>
        </w:tc>
        <w:tc>
          <w:tcPr>
            <w:tcW w:w="842" w:type="dxa"/>
          </w:tcPr>
          <w:p w14:paraId="7CC2AC0E" w14:textId="77777777" w:rsidR="00B24F3B" w:rsidRPr="00037DF5" w:rsidRDefault="00B24F3B" w:rsidP="00B75327">
            <w:pPr>
              <w:pStyle w:val="Captionfigtable"/>
              <w:jc w:val="center"/>
            </w:pPr>
            <w:r>
              <w:t>2.09</w:t>
            </w:r>
          </w:p>
        </w:tc>
        <w:tc>
          <w:tcPr>
            <w:tcW w:w="843" w:type="dxa"/>
          </w:tcPr>
          <w:p w14:paraId="534F8A0C" w14:textId="77777777" w:rsidR="00B24F3B" w:rsidRPr="00037DF5" w:rsidRDefault="00B24F3B" w:rsidP="00B75327">
            <w:pPr>
              <w:pStyle w:val="Captionfigtable"/>
              <w:jc w:val="center"/>
            </w:pPr>
            <w:r>
              <w:t>2.05</w:t>
            </w:r>
          </w:p>
        </w:tc>
        <w:tc>
          <w:tcPr>
            <w:tcW w:w="742" w:type="dxa"/>
          </w:tcPr>
          <w:p w14:paraId="2D6FDD08" w14:textId="77777777" w:rsidR="00B24F3B" w:rsidRPr="00037DF5" w:rsidRDefault="00B24F3B" w:rsidP="00B75327">
            <w:pPr>
              <w:pStyle w:val="Captionfigtable"/>
              <w:jc w:val="center"/>
            </w:pPr>
            <w:r>
              <w:t>2.52</w:t>
            </w:r>
          </w:p>
        </w:tc>
        <w:tc>
          <w:tcPr>
            <w:tcW w:w="963" w:type="dxa"/>
          </w:tcPr>
          <w:p w14:paraId="377F3A3F" w14:textId="77777777" w:rsidR="00B24F3B" w:rsidRPr="00037DF5" w:rsidRDefault="00B24F3B" w:rsidP="00B75327">
            <w:pPr>
              <w:pStyle w:val="Captionfigtable"/>
              <w:jc w:val="center"/>
            </w:pPr>
            <w:r>
              <w:t>2.57</w:t>
            </w:r>
          </w:p>
        </w:tc>
      </w:tr>
      <w:tr w:rsidR="00B24F3B" w:rsidRPr="00037DF5" w14:paraId="0DDF404C" w14:textId="77777777" w:rsidTr="005E1F6D">
        <w:trPr>
          <w:trHeight w:val="245"/>
        </w:trPr>
        <w:tc>
          <w:tcPr>
            <w:tcW w:w="1160" w:type="dxa"/>
          </w:tcPr>
          <w:p w14:paraId="08AC14F8" w14:textId="77777777" w:rsidR="00B24F3B" w:rsidRPr="00037DF5" w:rsidRDefault="00B24F3B" w:rsidP="00B75327">
            <w:pPr>
              <w:pStyle w:val="Captionfigtable"/>
              <w:rPr>
                <w:b/>
                <w:bCs/>
              </w:rPr>
            </w:pPr>
            <w:r w:rsidRPr="00037DF5">
              <w:rPr>
                <w:b/>
                <w:bCs/>
              </w:rPr>
              <w:t>February</w:t>
            </w:r>
          </w:p>
        </w:tc>
        <w:tc>
          <w:tcPr>
            <w:tcW w:w="842" w:type="dxa"/>
          </w:tcPr>
          <w:p w14:paraId="4CAD25EA" w14:textId="77777777" w:rsidR="00B24F3B" w:rsidRPr="00037DF5" w:rsidRDefault="00B24F3B" w:rsidP="00B75327">
            <w:pPr>
              <w:pStyle w:val="Captionfigtable"/>
              <w:jc w:val="center"/>
            </w:pPr>
            <w:r>
              <w:t>1.91</w:t>
            </w:r>
          </w:p>
        </w:tc>
        <w:tc>
          <w:tcPr>
            <w:tcW w:w="843" w:type="dxa"/>
          </w:tcPr>
          <w:p w14:paraId="29946836" w14:textId="77777777" w:rsidR="00B24F3B" w:rsidRPr="00037DF5" w:rsidRDefault="00B24F3B" w:rsidP="00B75327">
            <w:pPr>
              <w:pStyle w:val="Captionfigtable"/>
              <w:jc w:val="center"/>
            </w:pPr>
            <w:r>
              <w:t>2.28</w:t>
            </w:r>
          </w:p>
        </w:tc>
        <w:tc>
          <w:tcPr>
            <w:tcW w:w="742" w:type="dxa"/>
          </w:tcPr>
          <w:p w14:paraId="3D6EB02A" w14:textId="77777777" w:rsidR="00B24F3B" w:rsidRPr="00037DF5" w:rsidRDefault="00B24F3B" w:rsidP="00B75327">
            <w:pPr>
              <w:pStyle w:val="Captionfigtable"/>
              <w:jc w:val="center"/>
            </w:pPr>
            <w:r>
              <w:t>2.37</w:t>
            </w:r>
          </w:p>
        </w:tc>
        <w:tc>
          <w:tcPr>
            <w:tcW w:w="963" w:type="dxa"/>
          </w:tcPr>
          <w:p w14:paraId="5A691F36" w14:textId="77777777" w:rsidR="00B24F3B" w:rsidRPr="00037DF5" w:rsidRDefault="00B24F3B" w:rsidP="00B75327">
            <w:pPr>
              <w:pStyle w:val="Captionfigtable"/>
              <w:jc w:val="center"/>
            </w:pPr>
            <w:r>
              <w:t>2.34</w:t>
            </w:r>
          </w:p>
        </w:tc>
      </w:tr>
      <w:tr w:rsidR="00B24F3B" w:rsidRPr="00037DF5" w14:paraId="3162A3DC" w14:textId="77777777" w:rsidTr="005E1F6D">
        <w:trPr>
          <w:trHeight w:val="253"/>
        </w:trPr>
        <w:tc>
          <w:tcPr>
            <w:tcW w:w="1160" w:type="dxa"/>
          </w:tcPr>
          <w:p w14:paraId="48B269BE" w14:textId="77777777" w:rsidR="00B24F3B" w:rsidRPr="00037DF5" w:rsidRDefault="00B24F3B" w:rsidP="00B75327">
            <w:pPr>
              <w:pStyle w:val="Captionfigtable"/>
              <w:rPr>
                <w:b/>
                <w:bCs/>
              </w:rPr>
            </w:pPr>
            <w:r w:rsidRPr="00037DF5">
              <w:rPr>
                <w:b/>
                <w:bCs/>
              </w:rPr>
              <w:t>March</w:t>
            </w:r>
          </w:p>
        </w:tc>
        <w:tc>
          <w:tcPr>
            <w:tcW w:w="842" w:type="dxa"/>
          </w:tcPr>
          <w:p w14:paraId="7F8F7875" w14:textId="77777777" w:rsidR="00B24F3B" w:rsidRPr="00037DF5" w:rsidRDefault="00B24F3B" w:rsidP="00B75327">
            <w:pPr>
              <w:pStyle w:val="Captionfigtable"/>
              <w:jc w:val="center"/>
            </w:pPr>
            <w:r>
              <w:t>1.74</w:t>
            </w:r>
          </w:p>
        </w:tc>
        <w:tc>
          <w:tcPr>
            <w:tcW w:w="843" w:type="dxa"/>
          </w:tcPr>
          <w:p w14:paraId="3E0D29EC" w14:textId="77777777" w:rsidR="00B24F3B" w:rsidRPr="00037DF5" w:rsidRDefault="00B24F3B" w:rsidP="00B75327">
            <w:pPr>
              <w:pStyle w:val="Captionfigtable"/>
              <w:jc w:val="center"/>
            </w:pPr>
            <w:r>
              <w:t>2.15</w:t>
            </w:r>
          </w:p>
        </w:tc>
        <w:tc>
          <w:tcPr>
            <w:tcW w:w="742" w:type="dxa"/>
          </w:tcPr>
          <w:p w14:paraId="1A0E21AC" w14:textId="77777777" w:rsidR="00B24F3B" w:rsidRPr="00037DF5" w:rsidRDefault="00B24F3B" w:rsidP="00B75327">
            <w:pPr>
              <w:pStyle w:val="Captionfigtable"/>
              <w:jc w:val="center"/>
            </w:pPr>
            <w:r>
              <w:t>2.23</w:t>
            </w:r>
          </w:p>
        </w:tc>
        <w:tc>
          <w:tcPr>
            <w:tcW w:w="963" w:type="dxa"/>
          </w:tcPr>
          <w:p w14:paraId="2B2E7C48" w14:textId="77777777" w:rsidR="00B24F3B" w:rsidRPr="00037DF5" w:rsidRDefault="00B24F3B" w:rsidP="00B75327">
            <w:pPr>
              <w:pStyle w:val="Captionfigtable"/>
              <w:jc w:val="center"/>
            </w:pPr>
            <w:r>
              <w:t>2.16</w:t>
            </w:r>
          </w:p>
        </w:tc>
      </w:tr>
      <w:tr w:rsidR="00B24F3B" w:rsidRPr="00037DF5" w14:paraId="4A5BA2E8" w14:textId="77777777" w:rsidTr="005E1F6D">
        <w:trPr>
          <w:trHeight w:val="245"/>
        </w:trPr>
        <w:tc>
          <w:tcPr>
            <w:tcW w:w="1160" w:type="dxa"/>
          </w:tcPr>
          <w:p w14:paraId="3034F043" w14:textId="77777777" w:rsidR="00B24F3B" w:rsidRPr="00037DF5" w:rsidRDefault="00B24F3B" w:rsidP="00B75327">
            <w:pPr>
              <w:pStyle w:val="Captionfigtable"/>
              <w:rPr>
                <w:b/>
                <w:bCs/>
              </w:rPr>
            </w:pPr>
            <w:r w:rsidRPr="00037DF5">
              <w:rPr>
                <w:b/>
                <w:bCs/>
              </w:rPr>
              <w:t>April</w:t>
            </w:r>
          </w:p>
        </w:tc>
        <w:tc>
          <w:tcPr>
            <w:tcW w:w="842" w:type="dxa"/>
          </w:tcPr>
          <w:p w14:paraId="79F1FCCC" w14:textId="77777777" w:rsidR="00B24F3B" w:rsidRPr="00037DF5" w:rsidRDefault="00B24F3B" w:rsidP="00B75327">
            <w:pPr>
              <w:pStyle w:val="Captionfigtable"/>
              <w:jc w:val="center"/>
            </w:pPr>
            <w:r>
              <w:t>1.86</w:t>
            </w:r>
          </w:p>
        </w:tc>
        <w:tc>
          <w:tcPr>
            <w:tcW w:w="843" w:type="dxa"/>
          </w:tcPr>
          <w:p w14:paraId="537C22BB" w14:textId="77777777" w:rsidR="00B24F3B" w:rsidRPr="00037DF5" w:rsidRDefault="00B24F3B" w:rsidP="00B75327">
            <w:pPr>
              <w:pStyle w:val="Captionfigtable"/>
              <w:jc w:val="center"/>
            </w:pPr>
            <w:r>
              <w:t>2.14</w:t>
            </w:r>
          </w:p>
        </w:tc>
        <w:tc>
          <w:tcPr>
            <w:tcW w:w="742" w:type="dxa"/>
          </w:tcPr>
          <w:p w14:paraId="5C4D4D41" w14:textId="77777777" w:rsidR="00B24F3B" w:rsidRPr="00037DF5" w:rsidRDefault="00B24F3B" w:rsidP="00B75327">
            <w:pPr>
              <w:pStyle w:val="Captionfigtable"/>
              <w:jc w:val="center"/>
            </w:pPr>
            <w:r>
              <w:t>2.54</w:t>
            </w:r>
          </w:p>
        </w:tc>
        <w:tc>
          <w:tcPr>
            <w:tcW w:w="963" w:type="dxa"/>
          </w:tcPr>
          <w:p w14:paraId="1C9990FB" w14:textId="77777777" w:rsidR="00B24F3B" w:rsidRPr="00037DF5" w:rsidRDefault="00B24F3B" w:rsidP="00B75327">
            <w:pPr>
              <w:pStyle w:val="Captionfigtable"/>
              <w:jc w:val="center"/>
            </w:pPr>
            <w:r>
              <w:t>2.32</w:t>
            </w:r>
          </w:p>
        </w:tc>
      </w:tr>
      <w:tr w:rsidR="00B24F3B" w:rsidRPr="00037DF5" w14:paraId="4E17612A" w14:textId="77777777" w:rsidTr="005E1F6D">
        <w:trPr>
          <w:trHeight w:val="253"/>
        </w:trPr>
        <w:tc>
          <w:tcPr>
            <w:tcW w:w="1160" w:type="dxa"/>
          </w:tcPr>
          <w:p w14:paraId="38858130" w14:textId="77777777" w:rsidR="00B24F3B" w:rsidRPr="00037DF5" w:rsidRDefault="00B24F3B" w:rsidP="00B75327">
            <w:pPr>
              <w:pStyle w:val="Captionfigtable"/>
              <w:rPr>
                <w:b/>
                <w:bCs/>
              </w:rPr>
            </w:pPr>
            <w:r w:rsidRPr="00037DF5">
              <w:rPr>
                <w:b/>
                <w:bCs/>
              </w:rPr>
              <w:t>May</w:t>
            </w:r>
          </w:p>
        </w:tc>
        <w:tc>
          <w:tcPr>
            <w:tcW w:w="842" w:type="dxa"/>
          </w:tcPr>
          <w:p w14:paraId="74B9DF48" w14:textId="77777777" w:rsidR="00B24F3B" w:rsidRPr="00037DF5" w:rsidRDefault="00B24F3B" w:rsidP="00B75327">
            <w:pPr>
              <w:pStyle w:val="Captionfigtable"/>
              <w:jc w:val="center"/>
            </w:pPr>
            <w:r>
              <w:t>1.40</w:t>
            </w:r>
          </w:p>
        </w:tc>
        <w:tc>
          <w:tcPr>
            <w:tcW w:w="843" w:type="dxa"/>
          </w:tcPr>
          <w:p w14:paraId="19B7CCFD" w14:textId="77777777" w:rsidR="00B24F3B" w:rsidRPr="00037DF5" w:rsidRDefault="00B24F3B" w:rsidP="00B75327">
            <w:pPr>
              <w:pStyle w:val="Captionfigtable"/>
              <w:jc w:val="center"/>
            </w:pPr>
            <w:r>
              <w:t>1.94</w:t>
            </w:r>
          </w:p>
        </w:tc>
        <w:tc>
          <w:tcPr>
            <w:tcW w:w="742" w:type="dxa"/>
          </w:tcPr>
          <w:p w14:paraId="3B3FB4E4" w14:textId="77777777" w:rsidR="00B24F3B" w:rsidRPr="00037DF5" w:rsidRDefault="00B24F3B" w:rsidP="00B75327">
            <w:pPr>
              <w:pStyle w:val="Captionfigtable"/>
              <w:jc w:val="center"/>
            </w:pPr>
            <w:r>
              <w:t>2.16</w:t>
            </w:r>
          </w:p>
        </w:tc>
        <w:tc>
          <w:tcPr>
            <w:tcW w:w="963" w:type="dxa"/>
          </w:tcPr>
          <w:p w14:paraId="160B6466" w14:textId="77777777" w:rsidR="00B24F3B" w:rsidRPr="00037DF5" w:rsidRDefault="00B24F3B" w:rsidP="00B75327">
            <w:pPr>
              <w:pStyle w:val="Captionfigtable"/>
              <w:jc w:val="center"/>
            </w:pPr>
            <w:r>
              <w:t>1.83</w:t>
            </w:r>
          </w:p>
        </w:tc>
      </w:tr>
      <w:tr w:rsidR="00B24F3B" w:rsidRPr="00037DF5" w14:paraId="337B5805" w14:textId="77777777" w:rsidTr="005E1F6D">
        <w:trPr>
          <w:trHeight w:val="245"/>
        </w:trPr>
        <w:tc>
          <w:tcPr>
            <w:tcW w:w="1160" w:type="dxa"/>
          </w:tcPr>
          <w:p w14:paraId="71F7665D" w14:textId="77777777" w:rsidR="00B24F3B" w:rsidRPr="00037DF5" w:rsidRDefault="00B24F3B" w:rsidP="00B75327">
            <w:pPr>
              <w:pStyle w:val="Captionfigtable"/>
              <w:rPr>
                <w:b/>
                <w:bCs/>
              </w:rPr>
            </w:pPr>
            <w:r w:rsidRPr="00037DF5">
              <w:rPr>
                <w:b/>
                <w:bCs/>
              </w:rPr>
              <w:t>June</w:t>
            </w:r>
          </w:p>
        </w:tc>
        <w:tc>
          <w:tcPr>
            <w:tcW w:w="842" w:type="dxa"/>
          </w:tcPr>
          <w:p w14:paraId="3B1F0362" w14:textId="77777777" w:rsidR="00B24F3B" w:rsidRPr="00037DF5" w:rsidRDefault="00B24F3B" w:rsidP="00B75327">
            <w:pPr>
              <w:pStyle w:val="Captionfigtable"/>
              <w:jc w:val="center"/>
            </w:pPr>
            <w:r>
              <w:t>1.44</w:t>
            </w:r>
          </w:p>
        </w:tc>
        <w:tc>
          <w:tcPr>
            <w:tcW w:w="843" w:type="dxa"/>
          </w:tcPr>
          <w:p w14:paraId="2FD19B59" w14:textId="77777777" w:rsidR="00B24F3B" w:rsidRPr="00037DF5" w:rsidRDefault="00B24F3B" w:rsidP="00B75327">
            <w:pPr>
              <w:pStyle w:val="Captionfigtable"/>
              <w:jc w:val="center"/>
            </w:pPr>
            <w:r>
              <w:t>5.28</w:t>
            </w:r>
          </w:p>
        </w:tc>
        <w:tc>
          <w:tcPr>
            <w:tcW w:w="742" w:type="dxa"/>
          </w:tcPr>
          <w:p w14:paraId="17416985" w14:textId="77777777" w:rsidR="00B24F3B" w:rsidRPr="00037DF5" w:rsidRDefault="00B24F3B" w:rsidP="00B75327">
            <w:pPr>
              <w:pStyle w:val="Captionfigtable"/>
              <w:jc w:val="center"/>
            </w:pPr>
            <w:r>
              <w:t>3.17</w:t>
            </w:r>
          </w:p>
        </w:tc>
        <w:tc>
          <w:tcPr>
            <w:tcW w:w="963" w:type="dxa"/>
          </w:tcPr>
          <w:p w14:paraId="4379D208" w14:textId="77777777" w:rsidR="00B24F3B" w:rsidRPr="00037DF5" w:rsidRDefault="00B24F3B" w:rsidP="00B75327">
            <w:pPr>
              <w:pStyle w:val="Captionfigtable"/>
              <w:jc w:val="center"/>
            </w:pPr>
            <w:r>
              <w:t>2.10</w:t>
            </w:r>
          </w:p>
        </w:tc>
      </w:tr>
      <w:tr w:rsidR="00B24F3B" w:rsidRPr="00037DF5" w14:paraId="5AF57386" w14:textId="77777777" w:rsidTr="005E1F6D">
        <w:trPr>
          <w:trHeight w:val="253"/>
        </w:trPr>
        <w:tc>
          <w:tcPr>
            <w:tcW w:w="1160" w:type="dxa"/>
          </w:tcPr>
          <w:p w14:paraId="1DEC8CDD" w14:textId="77777777" w:rsidR="00B24F3B" w:rsidRPr="00037DF5" w:rsidRDefault="00B24F3B" w:rsidP="00B75327">
            <w:pPr>
              <w:pStyle w:val="Captionfigtable"/>
              <w:rPr>
                <w:b/>
                <w:bCs/>
              </w:rPr>
            </w:pPr>
            <w:r w:rsidRPr="00037DF5">
              <w:rPr>
                <w:b/>
                <w:bCs/>
              </w:rPr>
              <w:t>July</w:t>
            </w:r>
          </w:p>
        </w:tc>
        <w:tc>
          <w:tcPr>
            <w:tcW w:w="842" w:type="dxa"/>
          </w:tcPr>
          <w:p w14:paraId="16E4B3FC" w14:textId="77777777" w:rsidR="00B24F3B" w:rsidRPr="00037DF5" w:rsidRDefault="00B24F3B" w:rsidP="00B75327">
            <w:pPr>
              <w:pStyle w:val="Captionfigtable"/>
              <w:jc w:val="center"/>
            </w:pPr>
            <w:r>
              <w:t>1.60</w:t>
            </w:r>
          </w:p>
        </w:tc>
        <w:tc>
          <w:tcPr>
            <w:tcW w:w="843" w:type="dxa"/>
          </w:tcPr>
          <w:p w14:paraId="5ED978C7" w14:textId="77777777" w:rsidR="00B24F3B" w:rsidRPr="00037DF5" w:rsidRDefault="00B24F3B" w:rsidP="00B75327">
            <w:pPr>
              <w:pStyle w:val="Captionfigtable"/>
              <w:jc w:val="center"/>
            </w:pPr>
            <w:r>
              <w:t>5.90</w:t>
            </w:r>
          </w:p>
        </w:tc>
        <w:tc>
          <w:tcPr>
            <w:tcW w:w="742" w:type="dxa"/>
          </w:tcPr>
          <w:p w14:paraId="57FB46E7" w14:textId="77777777" w:rsidR="00B24F3B" w:rsidRPr="00037DF5" w:rsidRDefault="00B24F3B" w:rsidP="00B75327">
            <w:pPr>
              <w:pStyle w:val="Captionfigtable"/>
              <w:jc w:val="center"/>
            </w:pPr>
            <w:r>
              <w:t>10.37</w:t>
            </w:r>
          </w:p>
        </w:tc>
        <w:tc>
          <w:tcPr>
            <w:tcW w:w="963" w:type="dxa"/>
          </w:tcPr>
          <w:p w14:paraId="5DDBF93D" w14:textId="77777777" w:rsidR="00B24F3B" w:rsidRPr="00037DF5" w:rsidRDefault="00B24F3B" w:rsidP="00B75327">
            <w:pPr>
              <w:pStyle w:val="Captionfigtable"/>
              <w:jc w:val="center"/>
            </w:pPr>
            <w:r>
              <w:t>3.52</w:t>
            </w:r>
          </w:p>
        </w:tc>
      </w:tr>
      <w:tr w:rsidR="00B24F3B" w:rsidRPr="00037DF5" w14:paraId="17CC8454" w14:textId="77777777" w:rsidTr="005E1F6D">
        <w:trPr>
          <w:trHeight w:val="245"/>
        </w:trPr>
        <w:tc>
          <w:tcPr>
            <w:tcW w:w="1160" w:type="dxa"/>
          </w:tcPr>
          <w:p w14:paraId="155DB7C5" w14:textId="77777777" w:rsidR="00B24F3B" w:rsidRPr="00037DF5" w:rsidRDefault="00B24F3B" w:rsidP="00B75327">
            <w:pPr>
              <w:pStyle w:val="Captionfigtable"/>
              <w:rPr>
                <w:b/>
                <w:bCs/>
              </w:rPr>
            </w:pPr>
            <w:r w:rsidRPr="00037DF5">
              <w:rPr>
                <w:b/>
                <w:bCs/>
              </w:rPr>
              <w:t>August</w:t>
            </w:r>
          </w:p>
        </w:tc>
        <w:tc>
          <w:tcPr>
            <w:tcW w:w="842" w:type="dxa"/>
          </w:tcPr>
          <w:p w14:paraId="475FBD1C" w14:textId="77777777" w:rsidR="00B24F3B" w:rsidRPr="00037DF5" w:rsidRDefault="00B24F3B" w:rsidP="00B75327">
            <w:pPr>
              <w:pStyle w:val="Captionfigtable"/>
              <w:jc w:val="center"/>
            </w:pPr>
            <w:r>
              <w:t>1.08</w:t>
            </w:r>
          </w:p>
        </w:tc>
        <w:tc>
          <w:tcPr>
            <w:tcW w:w="843" w:type="dxa"/>
          </w:tcPr>
          <w:p w14:paraId="3EE6AC05" w14:textId="77777777" w:rsidR="00B24F3B" w:rsidRPr="00037DF5" w:rsidRDefault="00B24F3B" w:rsidP="00B75327">
            <w:pPr>
              <w:pStyle w:val="Captionfigtable"/>
              <w:jc w:val="center"/>
            </w:pPr>
            <w:r>
              <w:t>2.37</w:t>
            </w:r>
          </w:p>
        </w:tc>
        <w:tc>
          <w:tcPr>
            <w:tcW w:w="742" w:type="dxa"/>
          </w:tcPr>
          <w:p w14:paraId="32621548" w14:textId="77777777" w:rsidR="00B24F3B" w:rsidRPr="00037DF5" w:rsidRDefault="00B24F3B" w:rsidP="00B75327">
            <w:pPr>
              <w:pStyle w:val="Captionfigtable"/>
              <w:jc w:val="center"/>
            </w:pPr>
            <w:r>
              <w:t>2.42</w:t>
            </w:r>
          </w:p>
        </w:tc>
        <w:tc>
          <w:tcPr>
            <w:tcW w:w="963" w:type="dxa"/>
          </w:tcPr>
          <w:p w14:paraId="77D74059" w14:textId="77777777" w:rsidR="00B24F3B" w:rsidRPr="00037DF5" w:rsidRDefault="00B24F3B" w:rsidP="00B75327">
            <w:pPr>
              <w:pStyle w:val="Captionfigtable"/>
              <w:jc w:val="center"/>
            </w:pPr>
            <w:r>
              <w:t>1.63</w:t>
            </w:r>
          </w:p>
        </w:tc>
      </w:tr>
      <w:tr w:rsidR="00B24F3B" w:rsidRPr="00037DF5" w14:paraId="4597B477" w14:textId="77777777" w:rsidTr="005E1F6D">
        <w:trPr>
          <w:trHeight w:val="245"/>
        </w:trPr>
        <w:tc>
          <w:tcPr>
            <w:tcW w:w="1160" w:type="dxa"/>
          </w:tcPr>
          <w:p w14:paraId="1BFD56DF" w14:textId="77777777" w:rsidR="00B24F3B" w:rsidRPr="00037DF5" w:rsidRDefault="00B24F3B" w:rsidP="00B75327">
            <w:pPr>
              <w:pStyle w:val="Captionfigtable"/>
              <w:rPr>
                <w:b/>
                <w:bCs/>
              </w:rPr>
            </w:pPr>
            <w:r w:rsidRPr="00037DF5">
              <w:rPr>
                <w:b/>
                <w:bCs/>
              </w:rPr>
              <w:t>September</w:t>
            </w:r>
          </w:p>
        </w:tc>
        <w:tc>
          <w:tcPr>
            <w:tcW w:w="842" w:type="dxa"/>
          </w:tcPr>
          <w:p w14:paraId="60FA6002" w14:textId="77777777" w:rsidR="00B24F3B" w:rsidRPr="00037DF5" w:rsidRDefault="00B24F3B" w:rsidP="00B75327">
            <w:pPr>
              <w:pStyle w:val="Captionfigtable"/>
              <w:jc w:val="center"/>
            </w:pPr>
            <w:r>
              <w:t>1.16</w:t>
            </w:r>
          </w:p>
        </w:tc>
        <w:tc>
          <w:tcPr>
            <w:tcW w:w="843" w:type="dxa"/>
          </w:tcPr>
          <w:p w14:paraId="00421302" w14:textId="77777777" w:rsidR="00B24F3B" w:rsidRPr="00037DF5" w:rsidRDefault="00B24F3B" w:rsidP="00B75327">
            <w:pPr>
              <w:pStyle w:val="Captionfigtable"/>
              <w:jc w:val="center"/>
            </w:pPr>
            <w:r>
              <w:t>1.75</w:t>
            </w:r>
          </w:p>
        </w:tc>
        <w:tc>
          <w:tcPr>
            <w:tcW w:w="742" w:type="dxa"/>
          </w:tcPr>
          <w:p w14:paraId="01DFE4E2" w14:textId="77777777" w:rsidR="00B24F3B" w:rsidRPr="00037DF5" w:rsidRDefault="00B24F3B" w:rsidP="00B75327">
            <w:pPr>
              <w:pStyle w:val="Captionfigtable"/>
              <w:jc w:val="center"/>
            </w:pPr>
            <w:r>
              <w:t>1.88</w:t>
            </w:r>
          </w:p>
        </w:tc>
        <w:tc>
          <w:tcPr>
            <w:tcW w:w="963" w:type="dxa"/>
          </w:tcPr>
          <w:p w14:paraId="055C6B94" w14:textId="77777777" w:rsidR="00B24F3B" w:rsidRPr="00037DF5" w:rsidRDefault="00B24F3B" w:rsidP="00B75327">
            <w:pPr>
              <w:pStyle w:val="Captionfigtable"/>
              <w:jc w:val="center"/>
            </w:pPr>
            <w:r>
              <w:t>1.39</w:t>
            </w:r>
          </w:p>
        </w:tc>
      </w:tr>
      <w:tr w:rsidR="00B24F3B" w:rsidRPr="00037DF5" w14:paraId="08F21FB2" w14:textId="77777777" w:rsidTr="005E1F6D">
        <w:trPr>
          <w:trHeight w:val="253"/>
        </w:trPr>
        <w:tc>
          <w:tcPr>
            <w:tcW w:w="1160" w:type="dxa"/>
          </w:tcPr>
          <w:p w14:paraId="67F31D85" w14:textId="77777777" w:rsidR="00B24F3B" w:rsidRPr="00037DF5" w:rsidRDefault="00B24F3B" w:rsidP="00B75327">
            <w:pPr>
              <w:pStyle w:val="Captionfigtable"/>
              <w:rPr>
                <w:b/>
                <w:bCs/>
              </w:rPr>
            </w:pPr>
            <w:r w:rsidRPr="00037DF5">
              <w:rPr>
                <w:b/>
                <w:bCs/>
              </w:rPr>
              <w:t>October</w:t>
            </w:r>
          </w:p>
        </w:tc>
        <w:tc>
          <w:tcPr>
            <w:tcW w:w="842" w:type="dxa"/>
          </w:tcPr>
          <w:p w14:paraId="74C06934" w14:textId="77777777" w:rsidR="00B24F3B" w:rsidRPr="00037DF5" w:rsidRDefault="00B24F3B" w:rsidP="00B75327">
            <w:pPr>
              <w:pStyle w:val="Captionfigtable"/>
              <w:jc w:val="center"/>
            </w:pPr>
            <w:r>
              <w:t>1.45</w:t>
            </w:r>
          </w:p>
        </w:tc>
        <w:tc>
          <w:tcPr>
            <w:tcW w:w="843" w:type="dxa"/>
          </w:tcPr>
          <w:p w14:paraId="1490F3B1" w14:textId="77777777" w:rsidR="00B24F3B" w:rsidRPr="00037DF5" w:rsidRDefault="00B24F3B" w:rsidP="00B75327">
            <w:pPr>
              <w:pStyle w:val="Captionfigtable"/>
              <w:jc w:val="center"/>
            </w:pPr>
            <w:r>
              <w:t>2.10</w:t>
            </w:r>
          </w:p>
        </w:tc>
        <w:tc>
          <w:tcPr>
            <w:tcW w:w="742" w:type="dxa"/>
          </w:tcPr>
          <w:p w14:paraId="17E19443" w14:textId="77777777" w:rsidR="00B24F3B" w:rsidRPr="00037DF5" w:rsidRDefault="00B24F3B" w:rsidP="00B75327">
            <w:pPr>
              <w:pStyle w:val="Captionfigtable"/>
              <w:jc w:val="center"/>
            </w:pPr>
            <w:r>
              <w:t>2.01</w:t>
            </w:r>
          </w:p>
        </w:tc>
        <w:tc>
          <w:tcPr>
            <w:tcW w:w="963" w:type="dxa"/>
          </w:tcPr>
          <w:p w14:paraId="44018257" w14:textId="77777777" w:rsidR="00B24F3B" w:rsidRPr="00037DF5" w:rsidRDefault="00B24F3B" w:rsidP="00B75327">
            <w:pPr>
              <w:pStyle w:val="Captionfigtable"/>
              <w:jc w:val="center"/>
            </w:pPr>
            <w:r>
              <w:t>1.85</w:t>
            </w:r>
          </w:p>
        </w:tc>
      </w:tr>
      <w:tr w:rsidR="00B24F3B" w:rsidRPr="00037DF5" w14:paraId="540D0D03" w14:textId="77777777" w:rsidTr="005E1F6D">
        <w:trPr>
          <w:trHeight w:val="245"/>
        </w:trPr>
        <w:tc>
          <w:tcPr>
            <w:tcW w:w="1160" w:type="dxa"/>
          </w:tcPr>
          <w:p w14:paraId="4BB6AC35" w14:textId="77777777" w:rsidR="00B24F3B" w:rsidRPr="00037DF5" w:rsidRDefault="00B24F3B" w:rsidP="00B75327">
            <w:pPr>
              <w:pStyle w:val="Captionfigtable"/>
              <w:rPr>
                <w:b/>
                <w:bCs/>
              </w:rPr>
            </w:pPr>
            <w:r w:rsidRPr="00037DF5">
              <w:rPr>
                <w:b/>
                <w:bCs/>
              </w:rPr>
              <w:t>November</w:t>
            </w:r>
          </w:p>
        </w:tc>
        <w:tc>
          <w:tcPr>
            <w:tcW w:w="842" w:type="dxa"/>
          </w:tcPr>
          <w:p w14:paraId="39F93E1A" w14:textId="77777777" w:rsidR="00B24F3B" w:rsidRPr="00037DF5" w:rsidRDefault="00B24F3B" w:rsidP="00B75327">
            <w:pPr>
              <w:pStyle w:val="Captionfigtable"/>
              <w:jc w:val="center"/>
            </w:pPr>
            <w:r>
              <w:t>1.43</w:t>
            </w:r>
          </w:p>
        </w:tc>
        <w:tc>
          <w:tcPr>
            <w:tcW w:w="843" w:type="dxa"/>
          </w:tcPr>
          <w:p w14:paraId="29D044E9" w14:textId="77777777" w:rsidR="00B24F3B" w:rsidRPr="00037DF5" w:rsidRDefault="00B24F3B" w:rsidP="00B75327">
            <w:pPr>
              <w:pStyle w:val="Captionfigtable"/>
              <w:jc w:val="center"/>
            </w:pPr>
            <w:r>
              <w:t>1.87</w:t>
            </w:r>
          </w:p>
        </w:tc>
        <w:tc>
          <w:tcPr>
            <w:tcW w:w="742" w:type="dxa"/>
          </w:tcPr>
          <w:p w14:paraId="35F073D7" w14:textId="77777777" w:rsidR="00B24F3B" w:rsidRPr="00037DF5" w:rsidRDefault="00B24F3B" w:rsidP="00B75327">
            <w:pPr>
              <w:pStyle w:val="Captionfigtable"/>
              <w:jc w:val="center"/>
            </w:pPr>
            <w:r>
              <w:t>1.92</w:t>
            </w:r>
          </w:p>
        </w:tc>
        <w:tc>
          <w:tcPr>
            <w:tcW w:w="963" w:type="dxa"/>
          </w:tcPr>
          <w:p w14:paraId="6498C6BC" w14:textId="77777777" w:rsidR="00B24F3B" w:rsidRPr="00037DF5" w:rsidRDefault="00B24F3B" w:rsidP="00B75327">
            <w:pPr>
              <w:pStyle w:val="Captionfigtable"/>
              <w:jc w:val="center"/>
            </w:pPr>
            <w:r>
              <w:t>1.86</w:t>
            </w:r>
          </w:p>
        </w:tc>
      </w:tr>
      <w:tr w:rsidR="00B24F3B" w:rsidRPr="00037DF5" w14:paraId="408B8318" w14:textId="77777777" w:rsidTr="005E1F6D">
        <w:trPr>
          <w:trHeight w:val="253"/>
        </w:trPr>
        <w:tc>
          <w:tcPr>
            <w:tcW w:w="1160" w:type="dxa"/>
          </w:tcPr>
          <w:p w14:paraId="13B90974" w14:textId="77777777" w:rsidR="00B24F3B" w:rsidRPr="00037DF5" w:rsidRDefault="00B24F3B" w:rsidP="00B75327">
            <w:pPr>
              <w:pStyle w:val="Captionfigtable"/>
              <w:rPr>
                <w:b/>
                <w:bCs/>
              </w:rPr>
            </w:pPr>
            <w:r w:rsidRPr="00037DF5">
              <w:rPr>
                <w:b/>
                <w:bCs/>
              </w:rPr>
              <w:t>December</w:t>
            </w:r>
          </w:p>
        </w:tc>
        <w:tc>
          <w:tcPr>
            <w:tcW w:w="842" w:type="dxa"/>
          </w:tcPr>
          <w:p w14:paraId="3CAC670E" w14:textId="77777777" w:rsidR="00B24F3B" w:rsidRPr="00037DF5" w:rsidRDefault="00B24F3B" w:rsidP="00B75327">
            <w:pPr>
              <w:pStyle w:val="Captionfigtable"/>
              <w:jc w:val="center"/>
            </w:pPr>
            <w:r>
              <w:t>1.58</w:t>
            </w:r>
          </w:p>
        </w:tc>
        <w:tc>
          <w:tcPr>
            <w:tcW w:w="843" w:type="dxa"/>
          </w:tcPr>
          <w:p w14:paraId="3CFA5B9A" w14:textId="77777777" w:rsidR="00B24F3B" w:rsidRPr="00037DF5" w:rsidRDefault="00B24F3B" w:rsidP="00B75327">
            <w:pPr>
              <w:pStyle w:val="Captionfigtable"/>
              <w:jc w:val="center"/>
            </w:pPr>
            <w:r>
              <w:t>2.00</w:t>
            </w:r>
          </w:p>
        </w:tc>
        <w:tc>
          <w:tcPr>
            <w:tcW w:w="742" w:type="dxa"/>
          </w:tcPr>
          <w:p w14:paraId="6B9902C7" w14:textId="77777777" w:rsidR="00B24F3B" w:rsidRPr="00037DF5" w:rsidRDefault="00B24F3B" w:rsidP="00B75327">
            <w:pPr>
              <w:pStyle w:val="Captionfigtable"/>
              <w:jc w:val="center"/>
            </w:pPr>
            <w:r>
              <w:t>2.04</w:t>
            </w:r>
          </w:p>
        </w:tc>
        <w:tc>
          <w:tcPr>
            <w:tcW w:w="963" w:type="dxa"/>
          </w:tcPr>
          <w:p w14:paraId="680C7258" w14:textId="77777777" w:rsidR="00B24F3B" w:rsidRPr="00037DF5" w:rsidRDefault="00B24F3B" w:rsidP="00B75327">
            <w:pPr>
              <w:pStyle w:val="Captionfigtable"/>
              <w:jc w:val="center"/>
            </w:pPr>
            <w:r>
              <w:t>2.06</w:t>
            </w:r>
          </w:p>
        </w:tc>
      </w:tr>
    </w:tbl>
    <w:p w14:paraId="53C1008A" w14:textId="7DA4B0F0" w:rsidR="005E1F6D" w:rsidRDefault="005E1F6D" w:rsidP="005E1F6D">
      <w:pPr>
        <w:pStyle w:val="MainText"/>
        <w:rPr>
          <w:i/>
        </w:rPr>
      </w:pPr>
      <w:r w:rsidRPr="005E1F6D">
        <w:t xml:space="preserve">The magnitude of </w:t>
      </w:r>
      <w:r>
        <w:t xml:space="preserve">the </w:t>
      </w:r>
      <w:r w:rsidRPr="005E1F6D">
        <w:t xml:space="preserve">EPG in 2023 was significantly narrower compared to that in 2024, with increases observed across all simulation scenarios. For instance, based on simulations conducted using IDA-ICE, the gap increased from 2023 to 2024 by 67%, 72%, and 96% at heating setpoints of 24 °C, 21 °C, and 18 °C, respectively. Notably, the </w:t>
      </w:r>
      <w:proofErr w:type="spellStart"/>
      <w:r w:rsidRPr="005E1F6D">
        <w:t>favorable</w:t>
      </w:r>
      <w:proofErr w:type="spellEnd"/>
      <w:r w:rsidRPr="005E1F6D">
        <w:t xml:space="preserve"> EPG observed in 2023 with a factor of 0.98 (indicating only a 2% deviation) at a 21 °C setpoint rose to 1.60 in 2024, as shown in Table 7.</w:t>
      </w:r>
    </w:p>
    <w:p w14:paraId="4A5FAF19" w14:textId="196506C2" w:rsidR="00B24F3B" w:rsidRPr="003249C1" w:rsidRDefault="00B24F3B" w:rsidP="005E1F6D">
      <w:pPr>
        <w:pStyle w:val="PlainText"/>
        <w:rPr>
          <w:i/>
        </w:rPr>
      </w:pPr>
      <w:r w:rsidRPr="00F05EA2">
        <w:rPr>
          <w:i/>
        </w:rPr>
        <w:t xml:space="preserve">Table </w:t>
      </w:r>
      <w:r>
        <w:rPr>
          <w:i/>
        </w:rPr>
        <w:t>7</w:t>
      </w:r>
      <w:r w:rsidRPr="00F05EA2">
        <w:rPr>
          <w:i/>
        </w:rPr>
        <w:t xml:space="preserve">: </w:t>
      </w:r>
      <w:r>
        <w:rPr>
          <w:i/>
        </w:rPr>
        <w:t>increase in the gap from 2023 to 2024</w:t>
      </w:r>
    </w:p>
    <w:tbl>
      <w:tblPr>
        <w:tblW w:w="0" w:type="auto"/>
        <w:tblBorders>
          <w:top w:val="single" w:sz="4" w:space="0" w:color="7F7F7F"/>
          <w:bottom w:val="single" w:sz="4" w:space="0" w:color="7F7F7F"/>
        </w:tblBorders>
        <w:tblLook w:val="04A0" w:firstRow="1" w:lastRow="0" w:firstColumn="1" w:lastColumn="0" w:noHBand="0" w:noVBand="1"/>
      </w:tblPr>
      <w:tblGrid>
        <w:gridCol w:w="1695"/>
        <w:gridCol w:w="950"/>
        <w:gridCol w:w="951"/>
        <w:gridCol w:w="964"/>
      </w:tblGrid>
      <w:tr w:rsidR="00B24F3B" w14:paraId="0D211A85" w14:textId="77777777" w:rsidTr="00B75327">
        <w:trPr>
          <w:trHeight w:val="262"/>
        </w:trPr>
        <w:tc>
          <w:tcPr>
            <w:tcW w:w="1732" w:type="dxa"/>
            <w:tcBorders>
              <w:bottom w:val="single" w:sz="4" w:space="0" w:color="7F7F7F"/>
            </w:tcBorders>
            <w:shd w:val="clear" w:color="auto" w:fill="auto"/>
          </w:tcPr>
          <w:p w14:paraId="53CD2002" w14:textId="77777777" w:rsidR="00B24F3B" w:rsidRDefault="00B24F3B" w:rsidP="00B75327">
            <w:pPr>
              <w:pStyle w:val="PlainText"/>
              <w:rPr>
                <w:b/>
                <w:bCs/>
              </w:rPr>
            </w:pPr>
          </w:p>
        </w:tc>
        <w:tc>
          <w:tcPr>
            <w:tcW w:w="1005" w:type="dxa"/>
            <w:tcBorders>
              <w:bottom w:val="single" w:sz="4" w:space="0" w:color="7F7F7F"/>
            </w:tcBorders>
            <w:shd w:val="clear" w:color="auto" w:fill="auto"/>
          </w:tcPr>
          <w:p w14:paraId="7F51C2F7" w14:textId="77777777" w:rsidR="00B24F3B" w:rsidRDefault="00B24F3B" w:rsidP="00B75327">
            <w:pPr>
              <w:pStyle w:val="PlainText"/>
              <w:jc w:val="center"/>
              <w:rPr>
                <w:b/>
                <w:bCs/>
              </w:rPr>
            </w:pPr>
            <w:r>
              <w:rPr>
                <w:b/>
                <w:bCs/>
              </w:rPr>
              <w:t>24 °C</w:t>
            </w:r>
          </w:p>
        </w:tc>
        <w:tc>
          <w:tcPr>
            <w:tcW w:w="1006" w:type="dxa"/>
            <w:tcBorders>
              <w:bottom w:val="single" w:sz="4" w:space="0" w:color="7F7F7F"/>
            </w:tcBorders>
            <w:shd w:val="clear" w:color="auto" w:fill="auto"/>
          </w:tcPr>
          <w:p w14:paraId="7EB1808D" w14:textId="77777777" w:rsidR="00B24F3B" w:rsidRDefault="00B24F3B" w:rsidP="00B75327">
            <w:pPr>
              <w:pStyle w:val="PlainText"/>
              <w:jc w:val="center"/>
              <w:rPr>
                <w:b/>
                <w:bCs/>
              </w:rPr>
            </w:pPr>
            <w:r>
              <w:rPr>
                <w:b/>
                <w:bCs/>
              </w:rPr>
              <w:t>21 °C</w:t>
            </w:r>
          </w:p>
        </w:tc>
        <w:tc>
          <w:tcPr>
            <w:tcW w:w="1006" w:type="dxa"/>
            <w:tcBorders>
              <w:bottom w:val="single" w:sz="4" w:space="0" w:color="7F7F7F"/>
            </w:tcBorders>
            <w:shd w:val="clear" w:color="auto" w:fill="auto"/>
          </w:tcPr>
          <w:p w14:paraId="7A9DA71E" w14:textId="77777777" w:rsidR="00B24F3B" w:rsidRDefault="00B24F3B" w:rsidP="00B75327">
            <w:pPr>
              <w:pStyle w:val="PlainText"/>
              <w:jc w:val="center"/>
              <w:rPr>
                <w:b/>
                <w:bCs/>
              </w:rPr>
            </w:pPr>
            <w:r>
              <w:rPr>
                <w:b/>
                <w:bCs/>
              </w:rPr>
              <w:t>18 °C</w:t>
            </w:r>
          </w:p>
        </w:tc>
      </w:tr>
      <w:tr w:rsidR="00B24F3B" w14:paraId="4B3461C6" w14:textId="77777777" w:rsidTr="00B75327">
        <w:trPr>
          <w:trHeight w:val="262"/>
        </w:trPr>
        <w:tc>
          <w:tcPr>
            <w:tcW w:w="1732" w:type="dxa"/>
            <w:tcBorders>
              <w:top w:val="single" w:sz="4" w:space="0" w:color="7F7F7F"/>
              <w:bottom w:val="single" w:sz="4" w:space="0" w:color="7F7F7F"/>
            </w:tcBorders>
            <w:shd w:val="clear" w:color="auto" w:fill="auto"/>
          </w:tcPr>
          <w:p w14:paraId="4A031417" w14:textId="77777777" w:rsidR="00B24F3B" w:rsidRDefault="00B24F3B" w:rsidP="00B75327">
            <w:pPr>
              <w:pStyle w:val="PlainText"/>
              <w:rPr>
                <w:b/>
                <w:bCs/>
              </w:rPr>
            </w:pPr>
            <w:r>
              <w:rPr>
                <w:b/>
                <w:bCs/>
              </w:rPr>
              <w:t>IDA-ICE</w:t>
            </w:r>
          </w:p>
        </w:tc>
        <w:tc>
          <w:tcPr>
            <w:tcW w:w="1005" w:type="dxa"/>
            <w:tcBorders>
              <w:top w:val="single" w:sz="4" w:space="0" w:color="7F7F7F"/>
              <w:bottom w:val="single" w:sz="4" w:space="0" w:color="7F7F7F"/>
            </w:tcBorders>
            <w:shd w:val="clear" w:color="auto" w:fill="auto"/>
          </w:tcPr>
          <w:p w14:paraId="7326A3E6" w14:textId="77777777" w:rsidR="00B24F3B" w:rsidRDefault="00B24F3B" w:rsidP="00B75327">
            <w:pPr>
              <w:pStyle w:val="PlainText"/>
              <w:jc w:val="center"/>
            </w:pPr>
            <w:r>
              <w:t>67%</w:t>
            </w:r>
          </w:p>
        </w:tc>
        <w:tc>
          <w:tcPr>
            <w:tcW w:w="1006" w:type="dxa"/>
            <w:tcBorders>
              <w:top w:val="single" w:sz="4" w:space="0" w:color="7F7F7F"/>
              <w:bottom w:val="single" w:sz="4" w:space="0" w:color="7F7F7F"/>
            </w:tcBorders>
            <w:shd w:val="clear" w:color="auto" w:fill="auto"/>
          </w:tcPr>
          <w:p w14:paraId="2C6A9DD3" w14:textId="77777777" w:rsidR="00B24F3B" w:rsidRDefault="00B24F3B" w:rsidP="00B75327">
            <w:pPr>
              <w:pStyle w:val="PlainText"/>
              <w:jc w:val="center"/>
            </w:pPr>
            <w:r>
              <w:t>72%</w:t>
            </w:r>
          </w:p>
        </w:tc>
        <w:tc>
          <w:tcPr>
            <w:tcW w:w="1006" w:type="dxa"/>
            <w:tcBorders>
              <w:top w:val="single" w:sz="4" w:space="0" w:color="7F7F7F"/>
              <w:bottom w:val="single" w:sz="4" w:space="0" w:color="7F7F7F"/>
            </w:tcBorders>
            <w:shd w:val="clear" w:color="auto" w:fill="auto"/>
          </w:tcPr>
          <w:p w14:paraId="11357774" w14:textId="77777777" w:rsidR="00B24F3B" w:rsidRDefault="00B24F3B" w:rsidP="00B75327">
            <w:pPr>
              <w:pStyle w:val="PlainText"/>
              <w:jc w:val="center"/>
            </w:pPr>
            <w:r>
              <w:t>96%</w:t>
            </w:r>
          </w:p>
        </w:tc>
      </w:tr>
      <w:tr w:rsidR="00B24F3B" w14:paraId="14DC78DB" w14:textId="77777777" w:rsidTr="00B75327">
        <w:trPr>
          <w:trHeight w:val="251"/>
        </w:trPr>
        <w:tc>
          <w:tcPr>
            <w:tcW w:w="1732" w:type="dxa"/>
            <w:shd w:val="clear" w:color="auto" w:fill="auto"/>
          </w:tcPr>
          <w:p w14:paraId="3397D175" w14:textId="77777777" w:rsidR="00B24F3B" w:rsidRDefault="00B24F3B" w:rsidP="00B75327">
            <w:pPr>
              <w:pStyle w:val="PlainText"/>
              <w:rPr>
                <w:b/>
                <w:bCs/>
              </w:rPr>
            </w:pPr>
            <w:r>
              <w:rPr>
                <w:b/>
                <w:bCs/>
              </w:rPr>
              <w:t>DesignBuilder</w:t>
            </w:r>
          </w:p>
        </w:tc>
        <w:tc>
          <w:tcPr>
            <w:tcW w:w="1005" w:type="dxa"/>
            <w:shd w:val="clear" w:color="auto" w:fill="auto"/>
          </w:tcPr>
          <w:p w14:paraId="624B37E3" w14:textId="77777777" w:rsidR="00B24F3B" w:rsidRDefault="00B24F3B" w:rsidP="00B75327">
            <w:pPr>
              <w:pStyle w:val="PlainText"/>
              <w:jc w:val="center"/>
            </w:pPr>
            <w:r>
              <w:t>74%</w:t>
            </w:r>
          </w:p>
        </w:tc>
        <w:tc>
          <w:tcPr>
            <w:tcW w:w="1006" w:type="dxa"/>
            <w:shd w:val="clear" w:color="auto" w:fill="auto"/>
          </w:tcPr>
          <w:p w14:paraId="7AABFD1E" w14:textId="77777777" w:rsidR="00B24F3B" w:rsidRDefault="00B24F3B" w:rsidP="00B75327">
            <w:pPr>
              <w:pStyle w:val="PlainText"/>
              <w:jc w:val="center"/>
            </w:pPr>
            <w:r>
              <w:t>87%</w:t>
            </w:r>
          </w:p>
        </w:tc>
        <w:tc>
          <w:tcPr>
            <w:tcW w:w="1006" w:type="dxa"/>
            <w:shd w:val="clear" w:color="auto" w:fill="auto"/>
          </w:tcPr>
          <w:p w14:paraId="331A5931" w14:textId="77777777" w:rsidR="00B24F3B" w:rsidRDefault="00B24F3B" w:rsidP="00B75327">
            <w:pPr>
              <w:pStyle w:val="PlainText"/>
              <w:jc w:val="center"/>
            </w:pPr>
            <w:r>
              <w:t>101%</w:t>
            </w:r>
          </w:p>
        </w:tc>
      </w:tr>
      <w:tr w:rsidR="00B24F3B" w14:paraId="3E5CF40C" w14:textId="77777777" w:rsidTr="00B75327">
        <w:trPr>
          <w:trHeight w:val="262"/>
        </w:trPr>
        <w:tc>
          <w:tcPr>
            <w:tcW w:w="1732" w:type="dxa"/>
            <w:tcBorders>
              <w:top w:val="single" w:sz="4" w:space="0" w:color="7F7F7F"/>
              <w:bottom w:val="single" w:sz="4" w:space="0" w:color="7F7F7F"/>
            </w:tcBorders>
            <w:shd w:val="clear" w:color="auto" w:fill="auto"/>
          </w:tcPr>
          <w:p w14:paraId="69152B0B" w14:textId="77777777" w:rsidR="00B24F3B" w:rsidRDefault="00B24F3B" w:rsidP="00B75327">
            <w:pPr>
              <w:pStyle w:val="PlainText"/>
              <w:rPr>
                <w:b/>
                <w:bCs/>
              </w:rPr>
            </w:pPr>
            <w:r>
              <w:rPr>
                <w:b/>
                <w:bCs/>
              </w:rPr>
              <w:t>ClimateStudio</w:t>
            </w:r>
          </w:p>
        </w:tc>
        <w:tc>
          <w:tcPr>
            <w:tcW w:w="1005" w:type="dxa"/>
            <w:tcBorders>
              <w:top w:val="single" w:sz="4" w:space="0" w:color="7F7F7F"/>
              <w:bottom w:val="single" w:sz="4" w:space="0" w:color="7F7F7F"/>
            </w:tcBorders>
            <w:shd w:val="clear" w:color="auto" w:fill="auto"/>
          </w:tcPr>
          <w:p w14:paraId="6C213BC1" w14:textId="77777777" w:rsidR="00B24F3B" w:rsidRPr="00037DF5" w:rsidRDefault="00B24F3B" w:rsidP="00B75327">
            <w:pPr>
              <w:pStyle w:val="PlainText"/>
              <w:jc w:val="center"/>
            </w:pPr>
            <w:r>
              <w:t>77%</w:t>
            </w:r>
          </w:p>
        </w:tc>
        <w:tc>
          <w:tcPr>
            <w:tcW w:w="1006" w:type="dxa"/>
            <w:tcBorders>
              <w:top w:val="single" w:sz="4" w:space="0" w:color="7F7F7F"/>
              <w:bottom w:val="single" w:sz="4" w:space="0" w:color="7F7F7F"/>
            </w:tcBorders>
            <w:shd w:val="clear" w:color="auto" w:fill="auto"/>
          </w:tcPr>
          <w:p w14:paraId="51FE577E" w14:textId="77777777" w:rsidR="00B24F3B" w:rsidRPr="00DE402B" w:rsidRDefault="00B24F3B" w:rsidP="00B75327">
            <w:pPr>
              <w:pStyle w:val="PlainText"/>
              <w:jc w:val="center"/>
            </w:pPr>
            <w:r>
              <w:t>92%</w:t>
            </w:r>
          </w:p>
        </w:tc>
        <w:tc>
          <w:tcPr>
            <w:tcW w:w="1006" w:type="dxa"/>
            <w:tcBorders>
              <w:top w:val="single" w:sz="4" w:space="0" w:color="7F7F7F"/>
              <w:bottom w:val="single" w:sz="4" w:space="0" w:color="7F7F7F"/>
            </w:tcBorders>
            <w:shd w:val="clear" w:color="auto" w:fill="auto"/>
          </w:tcPr>
          <w:p w14:paraId="256F6AB2" w14:textId="77777777" w:rsidR="00B24F3B" w:rsidRPr="00DE402B" w:rsidRDefault="00B24F3B" w:rsidP="00B75327">
            <w:pPr>
              <w:pStyle w:val="PlainText"/>
              <w:jc w:val="center"/>
            </w:pPr>
            <w:r>
              <w:t>104%</w:t>
            </w:r>
          </w:p>
        </w:tc>
      </w:tr>
      <w:tr w:rsidR="00B24F3B" w14:paraId="3F5C36F9" w14:textId="77777777" w:rsidTr="00B75327">
        <w:trPr>
          <w:trHeight w:val="262"/>
        </w:trPr>
        <w:tc>
          <w:tcPr>
            <w:tcW w:w="1732" w:type="dxa"/>
            <w:shd w:val="clear" w:color="auto" w:fill="auto"/>
          </w:tcPr>
          <w:p w14:paraId="0F0B51D8" w14:textId="77777777" w:rsidR="00B24F3B" w:rsidRDefault="00B24F3B" w:rsidP="00B75327">
            <w:pPr>
              <w:pStyle w:val="PlainText"/>
              <w:rPr>
                <w:b/>
                <w:bCs/>
              </w:rPr>
            </w:pPr>
            <w:r>
              <w:rPr>
                <w:b/>
                <w:bCs/>
              </w:rPr>
              <w:t>IES-VE</w:t>
            </w:r>
          </w:p>
        </w:tc>
        <w:tc>
          <w:tcPr>
            <w:tcW w:w="1005" w:type="dxa"/>
            <w:shd w:val="clear" w:color="auto" w:fill="auto"/>
          </w:tcPr>
          <w:p w14:paraId="404F8B02" w14:textId="77777777" w:rsidR="00B24F3B" w:rsidRPr="00037DF5" w:rsidRDefault="00B24F3B" w:rsidP="00B75327">
            <w:pPr>
              <w:pStyle w:val="PlainText"/>
              <w:jc w:val="center"/>
            </w:pPr>
            <w:r>
              <w:t>45%</w:t>
            </w:r>
          </w:p>
        </w:tc>
        <w:tc>
          <w:tcPr>
            <w:tcW w:w="1006" w:type="dxa"/>
            <w:shd w:val="clear" w:color="auto" w:fill="auto"/>
          </w:tcPr>
          <w:p w14:paraId="4694A6C4" w14:textId="77777777" w:rsidR="00B24F3B" w:rsidRPr="00DE402B" w:rsidRDefault="00B24F3B" w:rsidP="00B75327">
            <w:pPr>
              <w:pStyle w:val="PlainText"/>
              <w:jc w:val="center"/>
            </w:pPr>
            <w:r>
              <w:t>62%</w:t>
            </w:r>
          </w:p>
        </w:tc>
        <w:tc>
          <w:tcPr>
            <w:tcW w:w="1006" w:type="dxa"/>
            <w:shd w:val="clear" w:color="auto" w:fill="auto"/>
          </w:tcPr>
          <w:p w14:paraId="4FCE7B47" w14:textId="77777777" w:rsidR="00B24F3B" w:rsidRPr="00DE402B" w:rsidRDefault="00B24F3B" w:rsidP="00B75327">
            <w:pPr>
              <w:pStyle w:val="PlainText"/>
              <w:jc w:val="center"/>
            </w:pPr>
            <w:r>
              <w:t>73%</w:t>
            </w:r>
          </w:p>
        </w:tc>
      </w:tr>
    </w:tbl>
    <w:p w14:paraId="4FB5C2AD" w14:textId="31F90DDB" w:rsidR="00B24F3B" w:rsidRDefault="00B24F3B" w:rsidP="00B24F3B">
      <w:pPr>
        <w:pStyle w:val="Heading1"/>
      </w:pPr>
      <w:r>
        <w:lastRenderedPageBreak/>
        <w:t>4.</w:t>
      </w:r>
      <w:r w:rsidR="00F236A4">
        <w:t>4</w:t>
      </w:r>
      <w:r>
        <w:t xml:space="preserve"> Measured Against Various Energy Targets</w:t>
      </w:r>
    </w:p>
    <w:p w14:paraId="426CEEF4" w14:textId="77777777" w:rsidR="00B80B2F" w:rsidRPr="00B80B2F" w:rsidRDefault="00B80B2F" w:rsidP="00B80B2F">
      <w:pPr>
        <w:pStyle w:val="MainText"/>
        <w:rPr>
          <w:lang w:val="en-US"/>
        </w:rPr>
      </w:pPr>
      <w:r w:rsidRPr="00B80B2F">
        <w:rPr>
          <w:lang w:val="en-US"/>
        </w:rPr>
        <w:t>This section compares the measured electricity consumption in 2023 and 2024 against various energy performance benchmarks, including regulatory standards, national building requirements, exemplar energy-efficient buildings in Sweden, and values reported in the literature. The Energy Use Intensity (EUI) of the laboratory was calculated to be 41.41 kWh/m² in 2023 and 67.61 kWh/m² in 2024. When compared to the Minimum Energy Performance Standards (MEPS) established by the Swedish National Board of Housing, Building and Planning (</w:t>
      </w:r>
      <w:proofErr w:type="spellStart"/>
      <w:r w:rsidRPr="00B80B2F">
        <w:rPr>
          <w:lang w:val="en-US"/>
        </w:rPr>
        <w:t>Boverket</w:t>
      </w:r>
      <w:proofErr w:type="spellEnd"/>
      <w:r w:rsidRPr="00B80B2F">
        <w:rPr>
          <w:lang w:val="en-US"/>
        </w:rPr>
        <w:t>), the laboratory significantly outperformed the minimum requirements for office and other building types. Specifically, in 2023, the laboratory consumed only 19% and 17% of the MEPS 2030 values for offices and other building types, respectively, indicating highly favorable Energy Performance Gaps (EPGs). Relative to the MEPS 2033 standards, the laboratory's consumption accounted for only 24% and 22% of the minimum values for offices and other building types, respectively.</w:t>
      </w:r>
    </w:p>
    <w:p w14:paraId="6817E666" w14:textId="77777777" w:rsidR="00B80B2F" w:rsidRPr="00B80B2F" w:rsidRDefault="00B80B2F" w:rsidP="00B80B2F">
      <w:pPr>
        <w:pStyle w:val="MainText"/>
        <w:rPr>
          <w:lang w:val="en-US"/>
        </w:rPr>
      </w:pPr>
      <w:r w:rsidRPr="00B80B2F">
        <w:rPr>
          <w:lang w:val="en-US"/>
        </w:rPr>
        <w:t>In 2024, although energy use increased, the laboratory still performed efficiently, consuming approximately 32% and 28% of the MEPS 2030 thresholds, and 24% and 36% of the MEPS 2033 values for offices and other buildings, respectively.</w:t>
      </w:r>
    </w:p>
    <w:p w14:paraId="77EEB623" w14:textId="6791480A" w:rsidR="00B80B2F" w:rsidRPr="00B80B2F" w:rsidRDefault="00B80B2F" w:rsidP="00B80B2F">
      <w:pPr>
        <w:pStyle w:val="MainText"/>
        <w:rPr>
          <w:lang w:val="en-US"/>
        </w:rPr>
      </w:pPr>
      <w:r w:rsidRPr="00B80B2F">
        <w:rPr>
          <w:lang w:val="en-US"/>
        </w:rPr>
        <w:t>When compared with an exemplar energy</w:t>
      </w:r>
      <w:r>
        <w:rPr>
          <w:lang w:val="en-US"/>
        </w:rPr>
        <w:t xml:space="preserve"> </w:t>
      </w:r>
      <w:r w:rsidRPr="00B80B2F">
        <w:rPr>
          <w:lang w:val="en-US"/>
        </w:rPr>
        <w:t xml:space="preserve">efficient building in Sweden with an EUI of 51 kWh/m², the laboratory in 2023 used approximately 81% of that value. However, in 2024, the laboratory's EUI exceeded </w:t>
      </w:r>
      <w:r>
        <w:rPr>
          <w:lang w:val="en-US"/>
        </w:rPr>
        <w:t>it</w:t>
      </w:r>
      <w:r w:rsidRPr="00B80B2F">
        <w:rPr>
          <w:lang w:val="en-US"/>
        </w:rPr>
        <w:t xml:space="preserve"> by approximately 33%. In comparison with PHs in Sweden</w:t>
      </w:r>
      <w:r>
        <w:rPr>
          <w:lang w:val="en-US"/>
        </w:rPr>
        <w:t xml:space="preserve"> </w:t>
      </w:r>
      <w:r w:rsidRPr="00B80B2F">
        <w:rPr>
          <w:lang w:val="en-US"/>
        </w:rPr>
        <w:t>where post-occupancy evaluations report a total electricity EUI of 92 kWh/m²</w:t>
      </w:r>
      <w:r>
        <w:rPr>
          <w:lang w:val="en-US"/>
        </w:rPr>
        <w:t xml:space="preserve">, </w:t>
      </w:r>
      <w:r w:rsidRPr="00B80B2F">
        <w:rPr>
          <w:lang w:val="en-US"/>
        </w:rPr>
        <w:t>the laboratory consumed only 45% of that amount in 2023 and 73% in 2024. Additionally, when assessed against the Swedish recommended maximum total energy use for buildings in the southern region (45 kWh/m²), the laboratory performed 25% below the benchmark in 2023, though it exceeded it by 23% in 2024.</w:t>
      </w:r>
    </w:p>
    <w:p w14:paraId="61EA68C1" w14:textId="570ED008" w:rsidR="00452605" w:rsidRDefault="003A5361" w:rsidP="003A5361">
      <w:pPr>
        <w:pStyle w:val="Heading1"/>
        <w:rPr>
          <w:bCs/>
          <w:lang w:val="en-US"/>
        </w:rPr>
      </w:pPr>
      <w:r>
        <w:rPr>
          <w:bCs/>
          <w:lang w:val="en-US"/>
        </w:rPr>
        <w:t>5. DI</w:t>
      </w:r>
      <w:r w:rsidRPr="003A5361">
        <w:rPr>
          <w:bCs/>
          <w:lang w:val="en-US"/>
        </w:rPr>
        <w:t>SCUSSION AND CONCLUSION</w:t>
      </w:r>
    </w:p>
    <w:p w14:paraId="0B9ABC16" w14:textId="068D5C55" w:rsidR="00B80B2F" w:rsidRPr="00B80B2F" w:rsidRDefault="00B80B2F" w:rsidP="00B80B2F">
      <w:pPr>
        <w:pStyle w:val="MainText"/>
        <w:rPr>
          <w:bCs/>
        </w:rPr>
      </w:pPr>
      <w:r w:rsidRPr="00B80B2F">
        <w:rPr>
          <w:bCs/>
        </w:rPr>
        <w:t>This study investigated the ambiguity surrounding the actual magnitude of the EPG in buildings by conducting a detailed comparison between measured and simulated electricity consumption using four dynamic simulation tools. Annual and monthly EPGs were assessed, highlighting substantial discrepancies depending on the simulation platform and year of observation.</w:t>
      </w:r>
    </w:p>
    <w:p w14:paraId="5CAF30F2" w14:textId="7C838038" w:rsidR="00B80B2F" w:rsidRPr="00B80B2F" w:rsidRDefault="00B80B2F" w:rsidP="00B80B2F">
      <w:pPr>
        <w:pStyle w:val="MainText"/>
        <w:rPr>
          <w:bCs/>
        </w:rPr>
      </w:pPr>
      <w:r w:rsidRPr="00B80B2F">
        <w:rPr>
          <w:bCs/>
        </w:rPr>
        <w:t>While no significant deviations were observed in simulated electricity consumption for lighting, domestic hot water, and equipment between IDA-ICE, DesignBuilder, and ClimateStudio, notable differences emerged in cooling loads</w:t>
      </w:r>
      <w:r>
        <w:rPr>
          <w:bCs/>
        </w:rPr>
        <w:t xml:space="preserve"> </w:t>
      </w:r>
      <w:r w:rsidRPr="00B80B2F">
        <w:rPr>
          <w:bCs/>
        </w:rPr>
        <w:t xml:space="preserve">particularly despite the use of the same simulation engine for </w:t>
      </w:r>
      <w:r w:rsidRPr="00B80B2F">
        <w:rPr>
          <w:bCs/>
        </w:rPr>
        <w:t xml:space="preserve">DesignBuilder and ClimateStudio. These discrepancies warrant further investigation, </w:t>
      </w:r>
      <w:r w:rsidRPr="00B80B2F">
        <w:t>especially when significant monthly and annual gaps in simulation results are observed for cooling.</w:t>
      </w:r>
    </w:p>
    <w:p w14:paraId="38FBE487" w14:textId="02CD6D2B" w:rsidR="00B80B2F" w:rsidRPr="00B80B2F" w:rsidRDefault="00B80B2F" w:rsidP="00B80B2F">
      <w:pPr>
        <w:pStyle w:val="MainText"/>
      </w:pPr>
      <w:r w:rsidRPr="00B80B2F">
        <w:t>The laboratory was found to consume substantially less energy than several national and international performance targets, including P</w:t>
      </w:r>
      <w:r>
        <w:t>H</w:t>
      </w:r>
      <w:r w:rsidRPr="00B80B2F">
        <w:t xml:space="preserve"> standard and MEPS set by </w:t>
      </w:r>
      <w:proofErr w:type="spellStart"/>
      <w:r w:rsidRPr="00B80B2F">
        <w:t>Boverket</w:t>
      </w:r>
      <w:proofErr w:type="spellEnd"/>
      <w:r w:rsidRPr="00B80B2F">
        <w:t>. However, the precise magnitude of the EPG remains uncertain due to various factors. First, electricity consumption in 2024 significantly deviated from both the 2023 measured data and simulated values across all tools. Second, the irregular occupancy patterns of the laboratory may have introduced notable inconsistencies between measured and simulated consumption, as traditional simulation assumptions often presume regular occupancy and usage patterns.</w:t>
      </w:r>
    </w:p>
    <w:p w14:paraId="22CE6429" w14:textId="432FECDB" w:rsidR="00FD6DD9" w:rsidRPr="00FD6DD9" w:rsidRDefault="00FD6DD9" w:rsidP="00FD6DD9">
      <w:pPr>
        <w:pStyle w:val="MainText"/>
        <w:rPr>
          <w:bCs/>
        </w:rPr>
      </w:pPr>
      <w:r w:rsidRPr="00FD6DD9">
        <w:rPr>
          <w:bCs/>
        </w:rPr>
        <w:t>The absence of detailed</w:t>
      </w:r>
      <w:r>
        <w:rPr>
          <w:bCs/>
        </w:rPr>
        <w:t xml:space="preserve"> electricity consumption </w:t>
      </w:r>
      <w:r w:rsidRPr="00FD6DD9">
        <w:rPr>
          <w:bCs/>
        </w:rPr>
        <w:t>for heating, cooling</w:t>
      </w:r>
      <w:r>
        <w:rPr>
          <w:bCs/>
        </w:rPr>
        <w:t xml:space="preserve"> and other loads</w:t>
      </w:r>
      <w:r w:rsidRPr="00FD6DD9">
        <w:rPr>
          <w:bCs/>
        </w:rPr>
        <w:t xml:space="preserve"> limited this </w:t>
      </w:r>
      <w:r>
        <w:rPr>
          <w:bCs/>
        </w:rPr>
        <w:t>paper</w:t>
      </w:r>
      <w:r w:rsidRPr="00FD6DD9">
        <w:rPr>
          <w:bCs/>
        </w:rPr>
        <w:t xml:space="preserve"> to comparisons of overall energy use. Nevertheless, a </w:t>
      </w:r>
      <w:proofErr w:type="spellStart"/>
      <w:r w:rsidRPr="00FD6DD9">
        <w:rPr>
          <w:bCs/>
        </w:rPr>
        <w:t>favorable</w:t>
      </w:r>
      <w:proofErr w:type="spellEnd"/>
      <w:r w:rsidRPr="00FD6DD9">
        <w:rPr>
          <w:bCs/>
        </w:rPr>
        <w:t xml:space="preserve"> EPG of 2% was observed in 2023 when comparing measured electricity consumption to IES-VE simulations at a heating setpoint of 21 °C. However, under the same simulation scenario, the measured energy use in 2024 exceeded simulated performance by 60%, indicating a substantial increase in the EPG and highlighting the limitations of static assumptions in simulation models. Furthermore, when compared to IDA-ICE, DesignBuilder, and ClimateStudio under identical input conditions, measured energy use in 2024 exceeded simulated values by 29%, 38%, and 43%, respectively, reaffirming tool-dependent variability in simulation outputs.</w:t>
      </w:r>
    </w:p>
    <w:p w14:paraId="0AA2F875" w14:textId="77777777" w:rsidR="00FD6DD9" w:rsidRPr="00FD6DD9" w:rsidRDefault="00FD6DD9" w:rsidP="00FD6DD9">
      <w:pPr>
        <w:pStyle w:val="MainText"/>
        <w:rPr>
          <w:bCs/>
        </w:rPr>
      </w:pPr>
      <w:r w:rsidRPr="00FD6DD9">
        <w:rPr>
          <w:bCs/>
        </w:rPr>
        <w:t xml:space="preserve">While the 2023 measured performance generally fell within the range reported in the literature and aligned closely with some simulation scenarios, the sharp rise in consumption in 2024 (by 7109 kWh) resulted in large discrepancies between simulated and measured data. </w:t>
      </w:r>
    </w:p>
    <w:p w14:paraId="1F397A2B" w14:textId="406F139C" w:rsidR="00FD6DD9" w:rsidRPr="00FD6DD9" w:rsidRDefault="00FD6DD9" w:rsidP="00FD6DD9">
      <w:pPr>
        <w:pStyle w:val="MainText"/>
        <w:rPr>
          <w:bCs/>
        </w:rPr>
      </w:pPr>
      <w:r w:rsidRPr="00FD6DD9">
        <w:rPr>
          <w:bCs/>
        </w:rPr>
        <w:t xml:space="preserve">Despite the challenges, comparing measured laboratory performance to literature benchmarks confirmed </w:t>
      </w:r>
      <w:proofErr w:type="spellStart"/>
      <w:r w:rsidRPr="00FD6DD9">
        <w:rPr>
          <w:bCs/>
        </w:rPr>
        <w:t>favorable</w:t>
      </w:r>
      <w:proofErr w:type="spellEnd"/>
      <w:r w:rsidRPr="00FD6DD9">
        <w:rPr>
          <w:bCs/>
        </w:rPr>
        <w:t xml:space="preserve"> EPGs in most cases. These insights can assist building owners and facility managers in identifying energy savings opportunities and guiding retrofitting decisions aligned with national regulations and energy performance targets. However, the variation in EPG magnitude between 2023 and 2024 also emphasizes that proximity between simulated and measured values in one year does not necessarily confirm the validity of a simulation model.</w:t>
      </w:r>
    </w:p>
    <w:p w14:paraId="3C58154A" w14:textId="11304B19" w:rsidR="00FD6DD9" w:rsidRPr="00FD6DD9" w:rsidRDefault="00FD6DD9" w:rsidP="00FD6DD9">
      <w:pPr>
        <w:pStyle w:val="MainText"/>
        <w:rPr>
          <w:bCs/>
        </w:rPr>
      </w:pPr>
      <w:r w:rsidRPr="00FD6DD9">
        <w:rPr>
          <w:bCs/>
        </w:rPr>
        <w:t xml:space="preserve">For example, simulations conducted using IES-VE at a 21°C setpoint </w:t>
      </w:r>
      <w:proofErr w:type="spellStart"/>
      <w:r>
        <w:rPr>
          <w:bCs/>
        </w:rPr>
        <w:t>oversitemated</w:t>
      </w:r>
      <w:proofErr w:type="spellEnd"/>
      <w:r w:rsidRPr="00FD6DD9">
        <w:rPr>
          <w:bCs/>
        </w:rPr>
        <w:t xml:space="preserve"> measured energy use by only 2% in 2023 but underestimated by 60% in 2024. In contrast, simulations using the </w:t>
      </w:r>
      <w:r w:rsidRPr="00FD6DD9">
        <w:rPr>
          <w:bCs/>
        </w:rPr>
        <w:lastRenderedPageBreak/>
        <w:t xml:space="preserve">same tool at a 24 °C setpoint overestimated energy use by 29% in </w:t>
      </w:r>
      <w:r w:rsidR="007848ED" w:rsidRPr="00FD6DD9">
        <w:rPr>
          <w:bCs/>
        </w:rPr>
        <w:t>2023 yet</w:t>
      </w:r>
      <w:r w:rsidRPr="00FD6DD9">
        <w:rPr>
          <w:bCs/>
        </w:rPr>
        <w:t xml:space="preserve"> underestimated it by 16% in 2024. This variation indicates that simulation models may not robustly capture changes year</w:t>
      </w:r>
      <w:r w:rsidR="007848ED">
        <w:rPr>
          <w:bCs/>
        </w:rPr>
        <w:t xml:space="preserve"> </w:t>
      </w:r>
      <w:r w:rsidRPr="00FD6DD9">
        <w:rPr>
          <w:bCs/>
        </w:rPr>
        <w:t>over</w:t>
      </w:r>
      <w:r w:rsidR="007848ED">
        <w:rPr>
          <w:bCs/>
        </w:rPr>
        <w:t xml:space="preserve"> </w:t>
      </w:r>
      <w:r w:rsidRPr="00FD6DD9">
        <w:rPr>
          <w:bCs/>
        </w:rPr>
        <w:t>year.</w:t>
      </w:r>
    </w:p>
    <w:p w14:paraId="18DE07FE" w14:textId="72304D84" w:rsidR="007848ED" w:rsidRDefault="007848ED" w:rsidP="007848ED">
      <w:pPr>
        <w:pStyle w:val="MainText"/>
      </w:pPr>
      <w:r w:rsidRPr="007848ED">
        <w:t xml:space="preserve">Future research </w:t>
      </w:r>
      <w:r>
        <w:t>will focus</w:t>
      </w:r>
      <w:r w:rsidRPr="007848ED">
        <w:t xml:space="preserve"> on calibrating simulation models with granular, measured data from submeters and occupancy sensors. This will enable more accurate assessments of</w:t>
      </w:r>
      <w:r>
        <w:t xml:space="preserve"> the</w:t>
      </w:r>
      <w:r w:rsidRPr="007848ED">
        <w:t xml:space="preserve"> EPG and facilitate the exploration of occupant </w:t>
      </w:r>
      <w:proofErr w:type="spellStart"/>
      <w:r w:rsidRPr="007848ED">
        <w:t>behavior</w:t>
      </w:r>
      <w:proofErr w:type="spellEnd"/>
      <w:r w:rsidRPr="007848ED">
        <w:t xml:space="preserve"> impacts on energy consumption. Additionally, integrating actual system performance into the models will help clarify discrepancies between predicted and measured energy use, and support the development of targeted energy conservation strategies to ensure compliance with national energy goals and various building standards.</w:t>
      </w:r>
    </w:p>
    <w:p w14:paraId="78C1978A" w14:textId="4CCE13E5" w:rsidR="00452605" w:rsidRPr="00F05EA2" w:rsidRDefault="00452605" w:rsidP="007848ED">
      <w:pPr>
        <w:pStyle w:val="Heading1"/>
        <w:rPr>
          <w:b w:val="0"/>
          <w:color w:val="FF0000"/>
          <w:lang w:val="pt-BR"/>
        </w:rPr>
      </w:pPr>
      <w:r w:rsidRPr="00F05EA2">
        <w:rPr>
          <w:lang w:val="pt-BR"/>
        </w:rPr>
        <w:t>REFERENCES</w:t>
      </w:r>
      <w:r w:rsidR="0042205D" w:rsidRPr="00F05EA2">
        <w:rPr>
          <w:lang w:val="pt-BR"/>
        </w:rPr>
        <w:t xml:space="preserve"> </w:t>
      </w:r>
    </w:p>
    <w:p w14:paraId="3DFFC8CB" w14:textId="77777777" w:rsidR="003A5361" w:rsidRPr="003A5361" w:rsidRDefault="003A5361" w:rsidP="003A5361">
      <w:pPr>
        <w:jc w:val="both"/>
        <w:rPr>
          <w:b w:val="0"/>
          <w:bCs/>
          <w:sz w:val="20"/>
          <w:szCs w:val="20"/>
          <w:lang w:val="en-US"/>
        </w:rPr>
      </w:pPr>
      <w:r w:rsidRPr="003A5361">
        <w:rPr>
          <w:b w:val="0"/>
          <w:bCs/>
          <w:sz w:val="20"/>
          <w:szCs w:val="20"/>
          <w:lang w:val="en-US"/>
        </w:rPr>
        <w:t xml:space="preserve">Brady and Hanmer-Dwight, R. (2016). The Management and Control of Energy at the Design Stage of Buildings. </w:t>
      </w:r>
      <w:r w:rsidRPr="003A5361">
        <w:rPr>
          <w:b w:val="0"/>
          <w:bCs/>
          <w:i/>
          <w:iCs/>
          <w:sz w:val="20"/>
          <w:szCs w:val="20"/>
          <w:lang w:val="en-US"/>
        </w:rPr>
        <w:t>Construction Management</w:t>
      </w:r>
      <w:r w:rsidRPr="003A5361">
        <w:rPr>
          <w:b w:val="0"/>
          <w:bCs/>
          <w:sz w:val="20"/>
          <w:szCs w:val="20"/>
          <w:lang w:val="en-US"/>
        </w:rPr>
        <w:t xml:space="preserve">, [online] 2, pp.1171–1180. </w:t>
      </w:r>
    </w:p>
    <w:p w14:paraId="18C6DA25" w14:textId="77777777" w:rsidR="003A5361" w:rsidRPr="003A5361" w:rsidRDefault="003A5361" w:rsidP="003A5361">
      <w:pPr>
        <w:jc w:val="both"/>
        <w:rPr>
          <w:b w:val="0"/>
          <w:bCs/>
          <w:sz w:val="20"/>
          <w:szCs w:val="20"/>
          <w:lang w:val="en-US"/>
        </w:rPr>
      </w:pPr>
      <w:r w:rsidRPr="003A5361">
        <w:rPr>
          <w:b w:val="0"/>
          <w:bCs/>
          <w:sz w:val="20"/>
          <w:szCs w:val="20"/>
          <w:lang w:val="en-US"/>
        </w:rPr>
        <w:t>Bülow-</w:t>
      </w:r>
      <w:proofErr w:type="spellStart"/>
      <w:r w:rsidRPr="003A5361">
        <w:rPr>
          <w:b w:val="0"/>
          <w:bCs/>
          <w:sz w:val="20"/>
          <w:szCs w:val="20"/>
          <w:lang w:val="en-US"/>
        </w:rPr>
        <w:t>Hübe</w:t>
      </w:r>
      <w:proofErr w:type="spellEnd"/>
      <w:r w:rsidRPr="003A5361">
        <w:rPr>
          <w:b w:val="0"/>
          <w:bCs/>
          <w:sz w:val="20"/>
          <w:szCs w:val="20"/>
          <w:lang w:val="en-US"/>
        </w:rPr>
        <w:t xml:space="preserve">, H., Håkansson , H., &amp; </w:t>
      </w:r>
      <w:proofErr w:type="spellStart"/>
      <w:r w:rsidRPr="003A5361">
        <w:rPr>
          <w:b w:val="0"/>
          <w:bCs/>
          <w:sz w:val="20"/>
          <w:szCs w:val="20"/>
          <w:lang w:val="en-US"/>
        </w:rPr>
        <w:t>Perers</w:t>
      </w:r>
      <w:proofErr w:type="spellEnd"/>
      <w:r w:rsidRPr="003A5361">
        <w:rPr>
          <w:b w:val="0"/>
          <w:bCs/>
          <w:sz w:val="20"/>
          <w:szCs w:val="20"/>
          <w:lang w:val="en-US"/>
        </w:rPr>
        <w:t xml:space="preserve">, B. (2005). NEW FULL-SCALE SOLAR AND BUILDING ENERGY LABORATORY AT LUND UNIVERSITY. 1–7. </w:t>
      </w:r>
    </w:p>
    <w:p w14:paraId="1FAB76B0" w14:textId="77777777" w:rsidR="003A5361" w:rsidRPr="003A5361" w:rsidRDefault="003A5361" w:rsidP="003A5361">
      <w:pPr>
        <w:jc w:val="both"/>
        <w:rPr>
          <w:b w:val="0"/>
          <w:bCs/>
          <w:sz w:val="20"/>
          <w:szCs w:val="20"/>
          <w:lang w:val="en-US"/>
        </w:rPr>
      </w:pPr>
      <w:r w:rsidRPr="003A5361">
        <w:rPr>
          <w:b w:val="0"/>
          <w:bCs/>
          <w:sz w:val="20"/>
          <w:szCs w:val="20"/>
          <w:lang w:val="en-US"/>
        </w:rPr>
        <w:t xml:space="preserve">BAI, Y., YU, C. &amp; PAN, W. Quantifying Building Energy Performance Gap Using a Multi-indicator Framework. Environmental Science and Engineering, 2023. 2483-2492. </w:t>
      </w:r>
    </w:p>
    <w:p w14:paraId="0FF50F17" w14:textId="77777777" w:rsidR="003A5361" w:rsidRPr="003A5361" w:rsidRDefault="003A5361" w:rsidP="003A5361">
      <w:pPr>
        <w:jc w:val="both"/>
        <w:rPr>
          <w:b w:val="0"/>
          <w:bCs/>
          <w:sz w:val="20"/>
          <w:szCs w:val="20"/>
          <w:lang w:val="en-US"/>
        </w:rPr>
      </w:pPr>
      <w:r w:rsidRPr="003A5361">
        <w:rPr>
          <w:b w:val="0"/>
          <w:bCs/>
          <w:sz w:val="20"/>
          <w:szCs w:val="20"/>
          <w:lang w:val="en-US"/>
        </w:rPr>
        <w:t xml:space="preserve">COUNCIL, S. G. B. 2017. </w:t>
      </w:r>
      <w:proofErr w:type="spellStart"/>
      <w:r w:rsidRPr="003A5361">
        <w:rPr>
          <w:b w:val="0"/>
          <w:bCs/>
          <w:sz w:val="20"/>
          <w:szCs w:val="20"/>
          <w:lang w:val="en-US"/>
        </w:rPr>
        <w:t>Miljöbyggnad</w:t>
      </w:r>
      <w:proofErr w:type="spellEnd"/>
      <w:r w:rsidRPr="003A5361">
        <w:rPr>
          <w:b w:val="0"/>
          <w:bCs/>
          <w:sz w:val="20"/>
          <w:szCs w:val="20"/>
          <w:lang w:val="en-US"/>
        </w:rPr>
        <w:t xml:space="preserve"> 3.0 </w:t>
      </w:r>
      <w:proofErr w:type="spellStart"/>
      <w:r w:rsidRPr="003A5361">
        <w:rPr>
          <w:b w:val="0"/>
          <w:bCs/>
          <w:sz w:val="20"/>
          <w:szCs w:val="20"/>
          <w:lang w:val="en-US"/>
        </w:rPr>
        <w:t>Bedömningskriterier</w:t>
      </w:r>
      <w:proofErr w:type="spellEnd"/>
      <w:r w:rsidRPr="003A5361">
        <w:rPr>
          <w:b w:val="0"/>
          <w:bCs/>
          <w:sz w:val="20"/>
          <w:szCs w:val="20"/>
          <w:lang w:val="en-US"/>
        </w:rPr>
        <w:t xml:space="preserve"> för </w:t>
      </w:r>
      <w:proofErr w:type="spellStart"/>
      <w:r w:rsidRPr="003A5361">
        <w:rPr>
          <w:b w:val="0"/>
          <w:bCs/>
          <w:sz w:val="20"/>
          <w:szCs w:val="20"/>
          <w:lang w:val="en-US"/>
        </w:rPr>
        <w:t>nyproducerade</w:t>
      </w:r>
      <w:proofErr w:type="spellEnd"/>
      <w:r w:rsidRPr="003A5361">
        <w:rPr>
          <w:b w:val="0"/>
          <w:bCs/>
          <w:sz w:val="20"/>
          <w:szCs w:val="20"/>
          <w:lang w:val="en-US"/>
        </w:rPr>
        <w:t xml:space="preserve"> </w:t>
      </w:r>
      <w:proofErr w:type="spellStart"/>
      <w:r w:rsidRPr="003A5361">
        <w:rPr>
          <w:b w:val="0"/>
          <w:bCs/>
          <w:sz w:val="20"/>
          <w:szCs w:val="20"/>
          <w:lang w:val="en-US"/>
        </w:rPr>
        <w:t>byggnader</w:t>
      </w:r>
      <w:proofErr w:type="spellEnd"/>
      <w:r w:rsidRPr="003A5361">
        <w:rPr>
          <w:b w:val="0"/>
          <w:bCs/>
          <w:sz w:val="20"/>
          <w:szCs w:val="20"/>
          <w:lang w:val="en-US"/>
        </w:rPr>
        <w:t xml:space="preserve">. SGBC. </w:t>
      </w:r>
    </w:p>
    <w:p w14:paraId="47508DF7" w14:textId="77777777" w:rsidR="003A5361" w:rsidRPr="003A5361" w:rsidRDefault="003A5361" w:rsidP="003A5361">
      <w:pPr>
        <w:jc w:val="both"/>
        <w:rPr>
          <w:b w:val="0"/>
          <w:bCs/>
          <w:sz w:val="20"/>
          <w:szCs w:val="20"/>
          <w:lang w:val="en-US"/>
        </w:rPr>
      </w:pPr>
      <w:r w:rsidRPr="003A5361">
        <w:rPr>
          <w:b w:val="0"/>
          <w:bCs/>
          <w:sz w:val="20"/>
          <w:szCs w:val="20"/>
          <w:lang w:val="en-US"/>
        </w:rPr>
        <w:t xml:space="preserve">de Wilde, P. (2014). The gap between predicted and measured energy performance of buildings: A framework for investigation. </w:t>
      </w:r>
      <w:r w:rsidRPr="003A5361">
        <w:rPr>
          <w:b w:val="0"/>
          <w:bCs/>
          <w:i/>
          <w:iCs/>
          <w:sz w:val="20"/>
          <w:szCs w:val="20"/>
          <w:lang w:val="en-US"/>
        </w:rPr>
        <w:t>Automation in Construction</w:t>
      </w:r>
      <w:r w:rsidRPr="003A5361">
        <w:rPr>
          <w:b w:val="0"/>
          <w:bCs/>
          <w:sz w:val="20"/>
          <w:szCs w:val="20"/>
          <w:lang w:val="en-US"/>
        </w:rPr>
        <w:t xml:space="preserve">, 41, pp.40–49. </w:t>
      </w:r>
    </w:p>
    <w:p w14:paraId="786327CD" w14:textId="77777777" w:rsidR="003A5361" w:rsidRPr="003A5361" w:rsidRDefault="003A5361" w:rsidP="003A5361">
      <w:pPr>
        <w:jc w:val="both"/>
        <w:rPr>
          <w:b w:val="0"/>
          <w:bCs/>
          <w:sz w:val="20"/>
          <w:szCs w:val="20"/>
          <w:lang w:val="en-US"/>
        </w:rPr>
      </w:pPr>
      <w:r w:rsidRPr="003A5361">
        <w:rPr>
          <w:b w:val="0"/>
          <w:bCs/>
          <w:sz w:val="20"/>
          <w:szCs w:val="20"/>
          <w:lang w:val="en-US"/>
        </w:rPr>
        <w:t xml:space="preserve">FREI, B., SAGERSCHNIG, C. &amp; GYALISTRAS, D. 2017. Performance gaps in Swiss buildings: an analysis of conflicting objectives and mitigation strategies. </w:t>
      </w:r>
      <w:r w:rsidRPr="003A5361">
        <w:rPr>
          <w:b w:val="0"/>
          <w:bCs/>
          <w:i/>
          <w:iCs/>
          <w:sz w:val="20"/>
          <w:szCs w:val="20"/>
          <w:lang w:val="en-US"/>
        </w:rPr>
        <w:t xml:space="preserve">Energy Procedia, </w:t>
      </w:r>
      <w:r w:rsidRPr="003A5361">
        <w:rPr>
          <w:b w:val="0"/>
          <w:bCs/>
          <w:sz w:val="20"/>
          <w:szCs w:val="20"/>
          <w:lang w:val="en-US"/>
        </w:rPr>
        <w:t xml:space="preserve">122, 421-6. </w:t>
      </w:r>
    </w:p>
    <w:p w14:paraId="0EFAD2F8" w14:textId="77777777" w:rsidR="003A5361" w:rsidRPr="003A5361" w:rsidRDefault="003A5361" w:rsidP="003A5361">
      <w:pPr>
        <w:jc w:val="both"/>
        <w:rPr>
          <w:b w:val="0"/>
          <w:bCs/>
          <w:sz w:val="20"/>
          <w:szCs w:val="20"/>
          <w:lang w:val="en-US"/>
        </w:rPr>
      </w:pPr>
      <w:r w:rsidRPr="003A5361">
        <w:rPr>
          <w:b w:val="0"/>
          <w:bCs/>
          <w:sz w:val="20"/>
          <w:szCs w:val="20"/>
          <w:lang w:val="en-US"/>
        </w:rPr>
        <w:t xml:space="preserve">Henderson, J. and Hart, J. (2013). </w:t>
      </w:r>
      <w:r w:rsidRPr="003A5361">
        <w:rPr>
          <w:b w:val="0"/>
          <w:bCs/>
          <w:i/>
          <w:iCs/>
          <w:sz w:val="20"/>
          <w:szCs w:val="20"/>
          <w:lang w:val="en-US"/>
        </w:rPr>
        <w:t>BREDEM 2012 -A technical description of the BRE Domestic Energy Model</w:t>
      </w:r>
      <w:r w:rsidRPr="003A5361">
        <w:rPr>
          <w:b w:val="0"/>
          <w:bCs/>
          <w:sz w:val="20"/>
          <w:szCs w:val="20"/>
          <w:lang w:val="en-US"/>
        </w:rPr>
        <w:t xml:space="preserve">. [online] Available at: https://files.bregroup.com/bre-co-uk-file-library-copy/filelibrary/bredem/BREDEM-2012-specification.pdf. </w:t>
      </w:r>
    </w:p>
    <w:p w14:paraId="477C325C" w14:textId="77777777" w:rsidR="003A5361" w:rsidRPr="003A5361" w:rsidRDefault="003A5361" w:rsidP="003A5361">
      <w:pPr>
        <w:jc w:val="both"/>
        <w:rPr>
          <w:b w:val="0"/>
          <w:bCs/>
          <w:sz w:val="20"/>
          <w:szCs w:val="20"/>
          <w:lang w:val="en-US"/>
        </w:rPr>
      </w:pPr>
      <w:r w:rsidRPr="003A5361">
        <w:rPr>
          <w:b w:val="0"/>
          <w:bCs/>
          <w:sz w:val="20"/>
          <w:szCs w:val="20"/>
          <w:lang w:val="en-US"/>
        </w:rPr>
        <w:t xml:space="preserve">Khatibi, M. (2019). Passive house-concept apartments: sustainability evaluation in a case study of Stockholm, Sweden. </w:t>
      </w:r>
      <w:r w:rsidRPr="003A5361">
        <w:rPr>
          <w:b w:val="0"/>
          <w:bCs/>
          <w:i/>
          <w:iCs/>
          <w:sz w:val="20"/>
          <w:szCs w:val="20"/>
          <w:lang w:val="en-US"/>
        </w:rPr>
        <w:t>IOP Conference Series: Earth and Environmental Science</w:t>
      </w:r>
      <w:r w:rsidRPr="003A5361">
        <w:rPr>
          <w:b w:val="0"/>
          <w:bCs/>
          <w:sz w:val="20"/>
          <w:szCs w:val="20"/>
          <w:lang w:val="en-US"/>
        </w:rPr>
        <w:t xml:space="preserve">, 323, p.012032. </w:t>
      </w:r>
    </w:p>
    <w:p w14:paraId="02A4CB18" w14:textId="77777777" w:rsidR="003A5361" w:rsidRPr="003A5361" w:rsidRDefault="003A5361" w:rsidP="003A5361">
      <w:pPr>
        <w:jc w:val="both"/>
        <w:rPr>
          <w:b w:val="0"/>
          <w:bCs/>
          <w:sz w:val="20"/>
          <w:szCs w:val="20"/>
          <w:lang w:val="en-US"/>
        </w:rPr>
      </w:pPr>
      <w:r w:rsidRPr="003A5361">
        <w:rPr>
          <w:b w:val="0"/>
          <w:bCs/>
          <w:sz w:val="20"/>
          <w:szCs w:val="20"/>
          <w:lang w:val="en-US"/>
        </w:rPr>
        <w:t xml:space="preserve">Murphy, M. (2008). </w:t>
      </w:r>
      <w:proofErr w:type="spellStart"/>
      <w:r w:rsidRPr="003A5361">
        <w:rPr>
          <w:b w:val="0"/>
          <w:bCs/>
          <w:i/>
          <w:iCs/>
          <w:sz w:val="20"/>
          <w:szCs w:val="20"/>
          <w:lang w:val="en-US"/>
        </w:rPr>
        <w:t>Ön</w:t>
      </w:r>
      <w:proofErr w:type="spellEnd"/>
      <w:r w:rsidRPr="003A5361">
        <w:rPr>
          <w:b w:val="0"/>
          <w:bCs/>
          <w:i/>
          <w:iCs/>
          <w:sz w:val="20"/>
          <w:szCs w:val="20"/>
          <w:lang w:val="en-US"/>
        </w:rPr>
        <w:t xml:space="preserve"> Development Project: Integrating Low-Energy and Passive House Technology together with District Heating</w:t>
      </w:r>
      <w:r w:rsidRPr="003A5361">
        <w:rPr>
          <w:b w:val="0"/>
          <w:bCs/>
          <w:sz w:val="20"/>
          <w:szCs w:val="20"/>
          <w:lang w:val="en-US"/>
        </w:rPr>
        <w:t xml:space="preserve">. </w:t>
      </w:r>
    </w:p>
    <w:p w14:paraId="070FF8C4" w14:textId="77777777" w:rsidR="003A5361" w:rsidRPr="003A5361" w:rsidRDefault="003A5361" w:rsidP="003A5361">
      <w:pPr>
        <w:jc w:val="both"/>
        <w:rPr>
          <w:b w:val="0"/>
          <w:bCs/>
          <w:sz w:val="20"/>
          <w:szCs w:val="20"/>
          <w:lang w:val="en-US"/>
        </w:rPr>
      </w:pPr>
      <w:r w:rsidRPr="003A5361">
        <w:rPr>
          <w:b w:val="0"/>
          <w:bCs/>
          <w:sz w:val="20"/>
          <w:szCs w:val="20"/>
          <w:lang w:val="en-US"/>
        </w:rPr>
        <w:t xml:space="preserve">PALLADINO, D. 2023. Energy performance gap of the Italian residential building stock: Parametric energy simulations for theoretical deviation </w:t>
      </w:r>
      <w:r w:rsidRPr="003A5361">
        <w:rPr>
          <w:b w:val="0"/>
          <w:bCs/>
          <w:sz w:val="20"/>
          <w:szCs w:val="20"/>
          <w:lang w:val="en-US"/>
        </w:rPr>
        <w:t xml:space="preserve">assessment from standard conditions. </w:t>
      </w:r>
      <w:r w:rsidRPr="003A5361">
        <w:rPr>
          <w:b w:val="0"/>
          <w:bCs/>
          <w:i/>
          <w:iCs/>
          <w:sz w:val="20"/>
          <w:szCs w:val="20"/>
          <w:lang w:val="en-US"/>
        </w:rPr>
        <w:t xml:space="preserve">Applied Energy, </w:t>
      </w:r>
      <w:r w:rsidRPr="003A5361">
        <w:rPr>
          <w:b w:val="0"/>
          <w:bCs/>
          <w:sz w:val="20"/>
          <w:szCs w:val="20"/>
          <w:lang w:val="en-US"/>
        </w:rPr>
        <w:t xml:space="preserve">345. </w:t>
      </w:r>
    </w:p>
    <w:p w14:paraId="0AC72EA8" w14:textId="77777777" w:rsidR="003A5361" w:rsidRPr="003A5361" w:rsidRDefault="003A5361" w:rsidP="003A5361">
      <w:pPr>
        <w:jc w:val="both"/>
        <w:rPr>
          <w:b w:val="0"/>
          <w:bCs/>
          <w:sz w:val="20"/>
          <w:szCs w:val="20"/>
          <w:lang w:val="en-US"/>
        </w:rPr>
      </w:pPr>
      <w:proofErr w:type="spellStart"/>
      <w:r w:rsidRPr="003A5361">
        <w:rPr>
          <w:b w:val="0"/>
          <w:bCs/>
          <w:sz w:val="20"/>
          <w:szCs w:val="20"/>
          <w:lang w:val="en-US"/>
        </w:rPr>
        <w:t>Regeringskansliet</w:t>
      </w:r>
      <w:proofErr w:type="spellEnd"/>
      <w:r w:rsidRPr="003A5361">
        <w:rPr>
          <w:b w:val="0"/>
          <w:bCs/>
          <w:sz w:val="20"/>
          <w:szCs w:val="20"/>
          <w:lang w:val="en-US"/>
        </w:rPr>
        <w:t xml:space="preserve">, R. </w:t>
      </w:r>
      <w:proofErr w:type="spellStart"/>
      <w:r w:rsidRPr="003A5361">
        <w:rPr>
          <w:b w:val="0"/>
          <w:bCs/>
          <w:sz w:val="20"/>
          <w:szCs w:val="20"/>
          <w:lang w:val="en-US"/>
        </w:rPr>
        <w:t>och</w:t>
      </w:r>
      <w:proofErr w:type="spellEnd"/>
      <w:r w:rsidRPr="003A5361">
        <w:rPr>
          <w:b w:val="0"/>
          <w:bCs/>
          <w:sz w:val="20"/>
          <w:szCs w:val="20"/>
          <w:lang w:val="en-US"/>
        </w:rPr>
        <w:t xml:space="preserve"> (2025). </w:t>
      </w:r>
      <w:proofErr w:type="spellStart"/>
      <w:r w:rsidRPr="003A5361">
        <w:rPr>
          <w:b w:val="0"/>
          <w:bCs/>
          <w:i/>
          <w:iCs/>
          <w:sz w:val="20"/>
          <w:szCs w:val="20"/>
          <w:lang w:val="en-US"/>
        </w:rPr>
        <w:t>Boverket</w:t>
      </w:r>
      <w:proofErr w:type="spellEnd"/>
      <w:r w:rsidRPr="003A5361">
        <w:rPr>
          <w:b w:val="0"/>
          <w:bCs/>
          <w:i/>
          <w:iCs/>
          <w:sz w:val="20"/>
          <w:szCs w:val="20"/>
          <w:lang w:val="en-US"/>
        </w:rPr>
        <w:t xml:space="preserve"> – the Swedish National Board of Housing, Building and Planning</w:t>
      </w:r>
      <w:r w:rsidRPr="003A5361">
        <w:rPr>
          <w:b w:val="0"/>
          <w:bCs/>
          <w:sz w:val="20"/>
          <w:szCs w:val="20"/>
          <w:lang w:val="en-US"/>
        </w:rPr>
        <w:t xml:space="preserve">. [online] </w:t>
      </w:r>
      <w:proofErr w:type="spellStart"/>
      <w:r w:rsidRPr="003A5361">
        <w:rPr>
          <w:b w:val="0"/>
          <w:bCs/>
          <w:sz w:val="20"/>
          <w:szCs w:val="20"/>
          <w:lang w:val="en-US"/>
        </w:rPr>
        <w:t>Regeringskansliet</w:t>
      </w:r>
      <w:proofErr w:type="spellEnd"/>
      <w:r w:rsidRPr="003A5361">
        <w:rPr>
          <w:b w:val="0"/>
          <w:bCs/>
          <w:sz w:val="20"/>
          <w:szCs w:val="20"/>
          <w:lang w:val="en-US"/>
        </w:rPr>
        <w:t>. Available at: https://www.government.se/government-agencies/boverket--the-</w:t>
      </w:r>
      <w:proofErr w:type="spellStart"/>
      <w:r w:rsidRPr="003A5361">
        <w:rPr>
          <w:b w:val="0"/>
          <w:bCs/>
          <w:sz w:val="20"/>
          <w:szCs w:val="20"/>
          <w:lang w:val="en-US"/>
        </w:rPr>
        <w:t>swedish</w:t>
      </w:r>
      <w:proofErr w:type="spellEnd"/>
      <w:r w:rsidRPr="003A5361">
        <w:rPr>
          <w:b w:val="0"/>
          <w:bCs/>
          <w:sz w:val="20"/>
          <w:szCs w:val="20"/>
          <w:lang w:val="en-US"/>
        </w:rPr>
        <w:t xml:space="preserve">-national-board-of-housing-building-and-planning/ . </w:t>
      </w:r>
    </w:p>
    <w:p w14:paraId="16559706" w14:textId="77777777" w:rsidR="003A5361" w:rsidRPr="003A5361" w:rsidRDefault="003A5361" w:rsidP="003A5361">
      <w:pPr>
        <w:jc w:val="both"/>
        <w:rPr>
          <w:b w:val="0"/>
          <w:bCs/>
          <w:sz w:val="20"/>
          <w:szCs w:val="20"/>
          <w:lang w:val="en-US"/>
        </w:rPr>
      </w:pPr>
      <w:r w:rsidRPr="003A5361">
        <w:rPr>
          <w:b w:val="0"/>
          <w:bCs/>
          <w:sz w:val="20"/>
          <w:szCs w:val="20"/>
          <w:lang w:val="en-US"/>
        </w:rPr>
        <w:t xml:space="preserve">Shi, X., Si, B., Zhao, J., Tian, Z., Wang, C., Jin, X. and Zhou, X. (2019). Magnitude, Causes, and Solutions of the Performance Gap of Buildings: A Review. </w:t>
      </w:r>
      <w:r w:rsidRPr="003A5361">
        <w:rPr>
          <w:b w:val="0"/>
          <w:bCs/>
          <w:i/>
          <w:iCs/>
          <w:sz w:val="20"/>
          <w:szCs w:val="20"/>
          <w:lang w:val="en-US"/>
        </w:rPr>
        <w:t>Sustainability</w:t>
      </w:r>
      <w:r w:rsidRPr="003A5361">
        <w:rPr>
          <w:b w:val="0"/>
          <w:bCs/>
          <w:sz w:val="20"/>
          <w:szCs w:val="20"/>
          <w:lang w:val="en-US"/>
        </w:rPr>
        <w:t xml:space="preserve">, 11(3), p.937. </w:t>
      </w:r>
    </w:p>
    <w:p w14:paraId="6C8F8E02" w14:textId="77777777" w:rsidR="003A5361" w:rsidRPr="003A5361" w:rsidRDefault="003A5361" w:rsidP="003A5361">
      <w:pPr>
        <w:jc w:val="both"/>
        <w:rPr>
          <w:b w:val="0"/>
          <w:bCs/>
          <w:sz w:val="20"/>
          <w:szCs w:val="20"/>
          <w:lang w:val="en-US"/>
        </w:rPr>
      </w:pPr>
      <w:r w:rsidRPr="003A5361">
        <w:rPr>
          <w:b w:val="0"/>
          <w:bCs/>
          <w:sz w:val="20"/>
          <w:szCs w:val="20"/>
          <w:lang w:val="en-US"/>
        </w:rPr>
        <w:t xml:space="preserve">Teli, D., Psomas, T., Langer, S., </w:t>
      </w:r>
      <w:proofErr w:type="spellStart"/>
      <w:r w:rsidRPr="003A5361">
        <w:rPr>
          <w:b w:val="0"/>
          <w:bCs/>
          <w:sz w:val="20"/>
          <w:szCs w:val="20"/>
          <w:lang w:val="en-US"/>
        </w:rPr>
        <w:t>Trüschel</w:t>
      </w:r>
      <w:proofErr w:type="spellEnd"/>
      <w:r w:rsidRPr="003A5361">
        <w:rPr>
          <w:b w:val="0"/>
          <w:bCs/>
          <w:sz w:val="20"/>
          <w:szCs w:val="20"/>
          <w:lang w:val="en-US"/>
        </w:rPr>
        <w:t xml:space="preserve">, A. and </w:t>
      </w:r>
      <w:proofErr w:type="spellStart"/>
      <w:r w:rsidRPr="003A5361">
        <w:rPr>
          <w:b w:val="0"/>
          <w:bCs/>
          <w:sz w:val="20"/>
          <w:szCs w:val="20"/>
          <w:lang w:val="en-US"/>
        </w:rPr>
        <w:t>Dalenbäck</w:t>
      </w:r>
      <w:proofErr w:type="spellEnd"/>
      <w:r w:rsidRPr="003A5361">
        <w:rPr>
          <w:b w:val="0"/>
          <w:bCs/>
          <w:sz w:val="20"/>
          <w:szCs w:val="20"/>
          <w:lang w:val="en-US"/>
        </w:rPr>
        <w:t xml:space="preserve">, J.-O. (2021). Drivers of winter indoor temperatures in Swedish dwellings: Investigating the tails of the distribution. </w:t>
      </w:r>
      <w:r w:rsidRPr="003A5361">
        <w:rPr>
          <w:b w:val="0"/>
          <w:bCs/>
          <w:i/>
          <w:iCs/>
          <w:sz w:val="20"/>
          <w:szCs w:val="20"/>
          <w:lang w:val="en-US"/>
        </w:rPr>
        <w:t>Building and Environment</w:t>
      </w:r>
      <w:r w:rsidRPr="003A5361">
        <w:rPr>
          <w:b w:val="0"/>
          <w:bCs/>
          <w:sz w:val="20"/>
          <w:szCs w:val="20"/>
          <w:lang w:val="en-US"/>
        </w:rPr>
        <w:t xml:space="preserve">, [online] 202, p.108018. </w:t>
      </w:r>
    </w:p>
    <w:p w14:paraId="5A47CAF3" w14:textId="77777777" w:rsidR="003A5361" w:rsidRPr="003A5361" w:rsidRDefault="003A5361" w:rsidP="003A5361">
      <w:pPr>
        <w:jc w:val="both"/>
        <w:rPr>
          <w:b w:val="0"/>
          <w:bCs/>
          <w:sz w:val="20"/>
          <w:szCs w:val="20"/>
          <w:lang w:val="en-US"/>
        </w:rPr>
      </w:pPr>
      <w:r w:rsidRPr="003A5361">
        <w:rPr>
          <w:b w:val="0"/>
          <w:bCs/>
          <w:sz w:val="20"/>
          <w:szCs w:val="20"/>
          <w:lang w:val="en-US"/>
        </w:rPr>
        <w:t xml:space="preserve">UN (2021). </w:t>
      </w:r>
      <w:r w:rsidRPr="003A5361">
        <w:rPr>
          <w:b w:val="0"/>
          <w:bCs/>
          <w:i/>
          <w:iCs/>
          <w:sz w:val="20"/>
          <w:szCs w:val="20"/>
          <w:lang w:val="en-US"/>
        </w:rPr>
        <w:t>Energy-Efficient Buildings Standing Out in Stockholm | Climate Technology Centre &amp; Network | Wed, 04/14/2021</w:t>
      </w:r>
      <w:r w:rsidRPr="003A5361">
        <w:rPr>
          <w:b w:val="0"/>
          <w:bCs/>
          <w:sz w:val="20"/>
          <w:szCs w:val="20"/>
          <w:lang w:val="en-US"/>
        </w:rPr>
        <w:t xml:space="preserve">. [online] Ctc-n.org. Available at: https://www.ctc-n.org/products/energy-efficient-buildings-standing-out-stockholm [Accessed 8 Apr. 2025]. </w:t>
      </w:r>
    </w:p>
    <w:p w14:paraId="0F41BF98" w14:textId="77777777" w:rsidR="003A5361" w:rsidRPr="003A5361" w:rsidRDefault="003A5361" w:rsidP="003A5361">
      <w:pPr>
        <w:jc w:val="both"/>
        <w:rPr>
          <w:b w:val="0"/>
          <w:bCs/>
          <w:sz w:val="20"/>
          <w:szCs w:val="20"/>
          <w:lang w:val="en-US"/>
        </w:rPr>
      </w:pPr>
      <w:r w:rsidRPr="003A5361">
        <w:rPr>
          <w:b w:val="0"/>
          <w:bCs/>
          <w:sz w:val="20"/>
          <w:szCs w:val="20"/>
          <w:lang w:val="en-US"/>
        </w:rPr>
        <w:t xml:space="preserve">Wang, Y., </w:t>
      </w:r>
      <w:proofErr w:type="spellStart"/>
      <w:r w:rsidRPr="003A5361">
        <w:rPr>
          <w:b w:val="0"/>
          <w:bCs/>
          <w:sz w:val="20"/>
          <w:szCs w:val="20"/>
          <w:lang w:val="en-US"/>
        </w:rPr>
        <w:t>Kuckelkorn</w:t>
      </w:r>
      <w:proofErr w:type="spellEnd"/>
      <w:r w:rsidRPr="003A5361">
        <w:rPr>
          <w:b w:val="0"/>
          <w:bCs/>
          <w:sz w:val="20"/>
          <w:szCs w:val="20"/>
          <w:lang w:val="en-US"/>
        </w:rPr>
        <w:t xml:space="preserve">, J., Zhao, F.-Y., </w:t>
      </w:r>
      <w:proofErr w:type="spellStart"/>
      <w:r w:rsidRPr="003A5361">
        <w:rPr>
          <w:b w:val="0"/>
          <w:bCs/>
          <w:sz w:val="20"/>
          <w:szCs w:val="20"/>
          <w:lang w:val="en-US"/>
        </w:rPr>
        <w:t>Spliethoff</w:t>
      </w:r>
      <w:proofErr w:type="spellEnd"/>
      <w:r w:rsidRPr="003A5361">
        <w:rPr>
          <w:b w:val="0"/>
          <w:bCs/>
          <w:sz w:val="20"/>
          <w:szCs w:val="20"/>
          <w:lang w:val="en-US"/>
        </w:rPr>
        <w:t xml:space="preserve">, H. and Lang, W. (2017). A state of art of review on interactions between energy performance and indoor environment quality in Passive House buildings. </w:t>
      </w:r>
      <w:r w:rsidRPr="003A5361">
        <w:rPr>
          <w:b w:val="0"/>
          <w:bCs/>
          <w:i/>
          <w:iCs/>
          <w:sz w:val="20"/>
          <w:szCs w:val="20"/>
          <w:lang w:val="en-US"/>
        </w:rPr>
        <w:t>Renewable and Sustainable Energy Reviews</w:t>
      </w:r>
      <w:r w:rsidRPr="003A5361">
        <w:rPr>
          <w:b w:val="0"/>
          <w:bCs/>
          <w:sz w:val="20"/>
          <w:szCs w:val="20"/>
          <w:lang w:val="en-US"/>
        </w:rPr>
        <w:t xml:space="preserve">, 72, pp.1303–1319. </w:t>
      </w:r>
    </w:p>
    <w:p w14:paraId="765DA466" w14:textId="685FF299" w:rsidR="009F0B7A" w:rsidRPr="003A5361" w:rsidRDefault="003A5361" w:rsidP="003A5361">
      <w:pPr>
        <w:jc w:val="both"/>
        <w:rPr>
          <w:b w:val="0"/>
          <w:bCs/>
          <w:sz w:val="20"/>
          <w:szCs w:val="20"/>
        </w:rPr>
      </w:pPr>
      <w:r w:rsidRPr="003A5361">
        <w:rPr>
          <w:b w:val="0"/>
          <w:bCs/>
          <w:sz w:val="20"/>
          <w:szCs w:val="20"/>
          <w:lang w:val="en-US"/>
        </w:rPr>
        <w:t xml:space="preserve">Zou, P.X.W., Xu, X., Sanjayan, J. and Wang, J. (2018). Review of 10 years research on building energy performance gap: Life-cycle and stakeholder perspectives. </w:t>
      </w:r>
      <w:r w:rsidRPr="003A5361">
        <w:rPr>
          <w:b w:val="0"/>
          <w:bCs/>
          <w:i/>
          <w:iCs/>
          <w:sz w:val="20"/>
          <w:szCs w:val="20"/>
          <w:lang w:val="en-US"/>
        </w:rPr>
        <w:t>Energy and Buildings</w:t>
      </w:r>
      <w:r w:rsidRPr="003A5361">
        <w:rPr>
          <w:b w:val="0"/>
          <w:bCs/>
          <w:sz w:val="20"/>
          <w:szCs w:val="20"/>
          <w:lang w:val="en-US"/>
        </w:rPr>
        <w:t>, 178, pp.165–181.</w:t>
      </w:r>
    </w:p>
    <w:p w14:paraId="0178C775" w14:textId="77777777" w:rsidR="00452605" w:rsidRPr="003A5361" w:rsidRDefault="00452605" w:rsidP="003A5361">
      <w:pPr>
        <w:jc w:val="both"/>
        <w:rPr>
          <w:b w:val="0"/>
          <w:bCs/>
          <w:sz w:val="20"/>
          <w:szCs w:val="20"/>
        </w:rPr>
      </w:pPr>
    </w:p>
    <w:sectPr w:rsidR="00452605" w:rsidRPr="003A5361" w:rsidSect="00857E6D">
      <w:headerReference w:type="default" r:id="rId25"/>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6040" w14:textId="77777777" w:rsidR="00424934" w:rsidRDefault="00424934" w:rsidP="00A974D7">
      <w:r>
        <w:separator/>
      </w:r>
    </w:p>
  </w:endnote>
  <w:endnote w:type="continuationSeparator" w:id="0">
    <w:p w14:paraId="33DDFA99" w14:textId="77777777" w:rsidR="00424934" w:rsidRDefault="00424934"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3118" w14:textId="77777777" w:rsidR="00424934" w:rsidRDefault="00424934" w:rsidP="00A974D7">
      <w:r>
        <w:separator/>
      </w:r>
    </w:p>
  </w:footnote>
  <w:footnote w:type="continuationSeparator" w:id="0">
    <w:p w14:paraId="0F3D2ACA" w14:textId="77777777" w:rsidR="00424934" w:rsidRDefault="00424934"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651DF90E" w:rsidR="007F5224" w:rsidRDefault="005F74EF" w:rsidP="009465E7">
    <w:pPr>
      <w:pStyle w:val="Header"/>
      <w:jc w:val="center"/>
    </w:pPr>
    <w:r>
      <w:rPr>
        <w:rFonts w:cs="Arial"/>
        <w:sz w:val="36"/>
      </w:rPr>
      <w:t xml:space="preserve"> </w:t>
    </w:r>
    <w:r w:rsidR="00494662">
      <w:rPr>
        <w:noProof/>
      </w:rPr>
      <w:drawing>
        <wp:inline distT="0" distB="0" distL="0" distR="0" wp14:anchorId="463B60E2" wp14:editId="0B9819AF">
          <wp:extent cx="1801495" cy="1801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13D00"/>
    <w:multiLevelType w:val="multilevel"/>
    <w:tmpl w:val="8DEC3722"/>
    <w:lvl w:ilvl="0">
      <w:start w:val="4"/>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502511"/>
    <w:multiLevelType w:val="hybridMultilevel"/>
    <w:tmpl w:val="A83A43E4"/>
    <w:lvl w:ilvl="0" w:tplc="F7B682C4">
      <w:start w:val="1"/>
      <w:numFmt w:val="decimal"/>
      <w:lvlText w:val="%1."/>
      <w:lvlJc w:val="left"/>
      <w:rPr>
        <w:rFonts w:ascii="Arial" w:eastAsia="MS Mincho"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F5935CF"/>
    <w:multiLevelType w:val="multilevel"/>
    <w:tmpl w:val="0DB2A37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D20FAF"/>
    <w:multiLevelType w:val="hybridMultilevel"/>
    <w:tmpl w:val="2CBC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7547978">
    <w:abstractNumId w:val="1"/>
  </w:num>
  <w:num w:numId="2" w16cid:durableId="1159543423">
    <w:abstractNumId w:val="4"/>
  </w:num>
  <w:num w:numId="3" w16cid:durableId="1397972552">
    <w:abstractNumId w:val="2"/>
  </w:num>
  <w:num w:numId="4" w16cid:durableId="789281713">
    <w:abstractNumId w:val="5"/>
  </w:num>
  <w:num w:numId="5" w16cid:durableId="105004907">
    <w:abstractNumId w:val="0"/>
  </w:num>
  <w:num w:numId="6" w16cid:durableId="1134059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F4745"/>
    <w:rsid w:val="00100674"/>
    <w:rsid w:val="001029BA"/>
    <w:rsid w:val="0012137D"/>
    <w:rsid w:val="0012216D"/>
    <w:rsid w:val="00154061"/>
    <w:rsid w:val="00155EA0"/>
    <w:rsid w:val="001A0B08"/>
    <w:rsid w:val="001A4741"/>
    <w:rsid w:val="001B0C20"/>
    <w:rsid w:val="001B6B82"/>
    <w:rsid w:val="001C535D"/>
    <w:rsid w:val="001D6CCF"/>
    <w:rsid w:val="001D72F8"/>
    <w:rsid w:val="001E03B8"/>
    <w:rsid w:val="001F56EB"/>
    <w:rsid w:val="002100A8"/>
    <w:rsid w:val="00213073"/>
    <w:rsid w:val="00216CAD"/>
    <w:rsid w:val="00230396"/>
    <w:rsid w:val="0024432C"/>
    <w:rsid w:val="00246E7B"/>
    <w:rsid w:val="002540E0"/>
    <w:rsid w:val="00254FFD"/>
    <w:rsid w:val="002715DF"/>
    <w:rsid w:val="002739B1"/>
    <w:rsid w:val="00283E92"/>
    <w:rsid w:val="00295B55"/>
    <w:rsid w:val="00297D53"/>
    <w:rsid w:val="00302192"/>
    <w:rsid w:val="0031018A"/>
    <w:rsid w:val="00324810"/>
    <w:rsid w:val="0033283E"/>
    <w:rsid w:val="003412C9"/>
    <w:rsid w:val="00345AE7"/>
    <w:rsid w:val="003603BE"/>
    <w:rsid w:val="00364DE2"/>
    <w:rsid w:val="00372649"/>
    <w:rsid w:val="003A5361"/>
    <w:rsid w:val="003B45D4"/>
    <w:rsid w:val="003E1723"/>
    <w:rsid w:val="003F1F2A"/>
    <w:rsid w:val="0042205D"/>
    <w:rsid w:val="0042338A"/>
    <w:rsid w:val="00424934"/>
    <w:rsid w:val="004331D6"/>
    <w:rsid w:val="00435B6A"/>
    <w:rsid w:val="00452605"/>
    <w:rsid w:val="0047494E"/>
    <w:rsid w:val="00480680"/>
    <w:rsid w:val="004939CF"/>
    <w:rsid w:val="00493DE1"/>
    <w:rsid w:val="00494662"/>
    <w:rsid w:val="004E20F3"/>
    <w:rsid w:val="004F55C0"/>
    <w:rsid w:val="004F6326"/>
    <w:rsid w:val="00513DBC"/>
    <w:rsid w:val="00521F7B"/>
    <w:rsid w:val="00522147"/>
    <w:rsid w:val="005228B8"/>
    <w:rsid w:val="00523059"/>
    <w:rsid w:val="005356CF"/>
    <w:rsid w:val="0054466D"/>
    <w:rsid w:val="00580E0F"/>
    <w:rsid w:val="005A0994"/>
    <w:rsid w:val="005A108C"/>
    <w:rsid w:val="005B2BD1"/>
    <w:rsid w:val="005B724E"/>
    <w:rsid w:val="005E1F6D"/>
    <w:rsid w:val="005E4273"/>
    <w:rsid w:val="005F74EF"/>
    <w:rsid w:val="0060558C"/>
    <w:rsid w:val="006069C3"/>
    <w:rsid w:val="00621641"/>
    <w:rsid w:val="00637024"/>
    <w:rsid w:val="006370A7"/>
    <w:rsid w:val="00644D0C"/>
    <w:rsid w:val="00655CAD"/>
    <w:rsid w:val="0065674D"/>
    <w:rsid w:val="00656C2C"/>
    <w:rsid w:val="00664664"/>
    <w:rsid w:val="00672320"/>
    <w:rsid w:val="00681F34"/>
    <w:rsid w:val="006A2AB1"/>
    <w:rsid w:val="006A6A7E"/>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81485"/>
    <w:rsid w:val="007848ED"/>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6337"/>
    <w:rsid w:val="009A2037"/>
    <w:rsid w:val="009D3296"/>
    <w:rsid w:val="009E06BD"/>
    <w:rsid w:val="009E5926"/>
    <w:rsid w:val="009F0B7A"/>
    <w:rsid w:val="00A113E7"/>
    <w:rsid w:val="00A1355D"/>
    <w:rsid w:val="00A23450"/>
    <w:rsid w:val="00A36E79"/>
    <w:rsid w:val="00A3747D"/>
    <w:rsid w:val="00A70111"/>
    <w:rsid w:val="00A74484"/>
    <w:rsid w:val="00A87382"/>
    <w:rsid w:val="00A92A2C"/>
    <w:rsid w:val="00A974D7"/>
    <w:rsid w:val="00AA1895"/>
    <w:rsid w:val="00AA1FBC"/>
    <w:rsid w:val="00AA5330"/>
    <w:rsid w:val="00AB2309"/>
    <w:rsid w:val="00AC40DF"/>
    <w:rsid w:val="00AC4D20"/>
    <w:rsid w:val="00AC79BB"/>
    <w:rsid w:val="00AF1F2B"/>
    <w:rsid w:val="00AF7083"/>
    <w:rsid w:val="00B20A61"/>
    <w:rsid w:val="00B24F3B"/>
    <w:rsid w:val="00B50755"/>
    <w:rsid w:val="00B750B3"/>
    <w:rsid w:val="00B76C0C"/>
    <w:rsid w:val="00B77A41"/>
    <w:rsid w:val="00B80B2F"/>
    <w:rsid w:val="00B84E07"/>
    <w:rsid w:val="00B86B2E"/>
    <w:rsid w:val="00BC0D0B"/>
    <w:rsid w:val="00BE258C"/>
    <w:rsid w:val="00BF5B80"/>
    <w:rsid w:val="00C04303"/>
    <w:rsid w:val="00C06233"/>
    <w:rsid w:val="00C07CE0"/>
    <w:rsid w:val="00C07F73"/>
    <w:rsid w:val="00C10295"/>
    <w:rsid w:val="00C31D5E"/>
    <w:rsid w:val="00C32EB1"/>
    <w:rsid w:val="00C41557"/>
    <w:rsid w:val="00C4506F"/>
    <w:rsid w:val="00C669E4"/>
    <w:rsid w:val="00C8701C"/>
    <w:rsid w:val="00C93570"/>
    <w:rsid w:val="00C956D1"/>
    <w:rsid w:val="00CA3ECE"/>
    <w:rsid w:val="00CB2332"/>
    <w:rsid w:val="00CC6C6A"/>
    <w:rsid w:val="00CD5170"/>
    <w:rsid w:val="00CE5799"/>
    <w:rsid w:val="00CE5B24"/>
    <w:rsid w:val="00CE721C"/>
    <w:rsid w:val="00CF139F"/>
    <w:rsid w:val="00CF20EA"/>
    <w:rsid w:val="00CF46D4"/>
    <w:rsid w:val="00CF475C"/>
    <w:rsid w:val="00CF6922"/>
    <w:rsid w:val="00D053CB"/>
    <w:rsid w:val="00D14182"/>
    <w:rsid w:val="00D31278"/>
    <w:rsid w:val="00D43670"/>
    <w:rsid w:val="00D461B2"/>
    <w:rsid w:val="00D77DA7"/>
    <w:rsid w:val="00D9398E"/>
    <w:rsid w:val="00DB60B6"/>
    <w:rsid w:val="00DD1770"/>
    <w:rsid w:val="00DD687C"/>
    <w:rsid w:val="00DE1562"/>
    <w:rsid w:val="00DE2C5C"/>
    <w:rsid w:val="00DE4AB5"/>
    <w:rsid w:val="00DF42B5"/>
    <w:rsid w:val="00E13700"/>
    <w:rsid w:val="00E215D2"/>
    <w:rsid w:val="00E32DD4"/>
    <w:rsid w:val="00E34D7A"/>
    <w:rsid w:val="00E4344D"/>
    <w:rsid w:val="00E537D0"/>
    <w:rsid w:val="00E70355"/>
    <w:rsid w:val="00E72291"/>
    <w:rsid w:val="00E84285"/>
    <w:rsid w:val="00E90A6D"/>
    <w:rsid w:val="00E970F9"/>
    <w:rsid w:val="00EC61B4"/>
    <w:rsid w:val="00ED3661"/>
    <w:rsid w:val="00EE40DD"/>
    <w:rsid w:val="00EF0109"/>
    <w:rsid w:val="00EF5BFB"/>
    <w:rsid w:val="00EF7644"/>
    <w:rsid w:val="00F05EA2"/>
    <w:rsid w:val="00F2258D"/>
    <w:rsid w:val="00F236A4"/>
    <w:rsid w:val="00F26717"/>
    <w:rsid w:val="00F26E45"/>
    <w:rsid w:val="00F51F2B"/>
    <w:rsid w:val="00F608DB"/>
    <w:rsid w:val="00F634DB"/>
    <w:rsid w:val="00F65C51"/>
    <w:rsid w:val="00F733B8"/>
    <w:rsid w:val="00F80D6B"/>
    <w:rsid w:val="00F8264F"/>
    <w:rsid w:val="00FA5345"/>
    <w:rsid w:val="00FA6FE6"/>
    <w:rsid w:val="00FB1B83"/>
    <w:rsid w:val="00FD5523"/>
    <w:rsid w:val="00FD6DD9"/>
    <w:rsid w:val="00FE056D"/>
    <w:rsid w:val="00FE424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3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link w:val="MainTextChar"/>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MainTextChar">
    <w:name w:val="Main Text Char"/>
    <w:link w:val="MainText"/>
    <w:rsid w:val="00B24F3B"/>
    <w:rPr>
      <w:rFonts w:ascii="Arial" w:eastAsia="MS Mincho" w:hAnsi="Arial" w:cs="Arial"/>
      <w:lang w:eastAsia="en-US"/>
    </w:rPr>
  </w:style>
  <w:style w:type="paragraph" w:styleId="NormalWeb">
    <w:name w:val="Normal (Web)"/>
    <w:basedOn w:val="Normal"/>
    <w:uiPriority w:val="99"/>
    <w:semiHidden/>
    <w:unhideWhenUsed/>
    <w:rsid w:val="00CF46D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31641">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30837720">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725840422">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78201905">
      <w:bodyDiv w:val="1"/>
      <w:marLeft w:val="0"/>
      <w:marRight w:val="0"/>
      <w:marTop w:val="0"/>
      <w:marBottom w:val="0"/>
      <w:divBdr>
        <w:top w:val="none" w:sz="0" w:space="0" w:color="auto"/>
        <w:left w:val="none" w:sz="0" w:space="0" w:color="auto"/>
        <w:bottom w:val="none" w:sz="0" w:space="0" w:color="auto"/>
        <w:right w:val="none" w:sz="0" w:space="0" w:color="auto"/>
      </w:divBdr>
    </w:div>
    <w:div w:id="1019817859">
      <w:bodyDiv w:val="1"/>
      <w:marLeft w:val="0"/>
      <w:marRight w:val="0"/>
      <w:marTop w:val="0"/>
      <w:marBottom w:val="0"/>
      <w:divBdr>
        <w:top w:val="none" w:sz="0" w:space="0" w:color="auto"/>
        <w:left w:val="none" w:sz="0" w:space="0" w:color="auto"/>
        <w:bottom w:val="none" w:sz="0" w:space="0" w:color="auto"/>
        <w:right w:val="none" w:sz="0" w:space="0" w:color="auto"/>
      </w:divBdr>
    </w:div>
    <w:div w:id="103901757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16105323">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35847141">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28083323">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78931169">
      <w:bodyDiv w:val="1"/>
      <w:marLeft w:val="0"/>
      <w:marRight w:val="0"/>
      <w:marTop w:val="0"/>
      <w:marBottom w:val="0"/>
      <w:divBdr>
        <w:top w:val="none" w:sz="0" w:space="0" w:color="auto"/>
        <w:left w:val="none" w:sz="0" w:space="0" w:color="auto"/>
        <w:bottom w:val="none" w:sz="0" w:space="0" w:color="auto"/>
        <w:right w:val="none" w:sz="0" w:space="0" w:color="auto"/>
      </w:divBdr>
    </w:div>
    <w:div w:id="1894347594">
      <w:bodyDiv w:val="1"/>
      <w:marLeft w:val="0"/>
      <w:marRight w:val="0"/>
      <w:marTop w:val="0"/>
      <w:marBottom w:val="0"/>
      <w:divBdr>
        <w:top w:val="none" w:sz="0" w:space="0" w:color="auto"/>
        <w:left w:val="none" w:sz="0" w:space="0" w:color="auto"/>
        <w:bottom w:val="none" w:sz="0" w:space="0" w:color="auto"/>
        <w:right w:val="none" w:sz="0" w:space="0" w:color="auto"/>
      </w:divBdr>
    </w:div>
    <w:div w:id="198943501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5545</Words>
  <Characters>31609</Characters>
  <Application>Microsoft Office Word</Application>
  <DocSecurity>0</DocSecurity>
  <Lines>263</Lines>
  <Paragraphs>74</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Khaleel Odeh</cp:lastModifiedBy>
  <cp:revision>3</cp:revision>
  <cp:lastPrinted>2025-06-04T01:31:00Z</cp:lastPrinted>
  <dcterms:created xsi:type="dcterms:W3CDTF">2025-06-04T01:31:00Z</dcterms:created>
  <dcterms:modified xsi:type="dcterms:W3CDTF">2025-06-04T01:33:00Z</dcterms:modified>
</cp:coreProperties>
</file>