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74C80" w14:textId="0DA719F8" w:rsidR="003F03AA" w:rsidRDefault="003F03AA" w:rsidP="00812538">
      <w:pPr>
        <w:spacing w:after="200"/>
        <w:rPr>
          <w:rFonts w:eastAsiaTheme="minorEastAsia" w:cs="Arial"/>
          <w:bCs/>
          <w:kern w:val="28"/>
          <w:sz w:val="36"/>
          <w:szCs w:val="32"/>
          <w:lang w:eastAsia="zh-CN"/>
        </w:rPr>
      </w:pPr>
      <w:r w:rsidRPr="003F03AA">
        <w:rPr>
          <w:rFonts w:eastAsiaTheme="minorEastAsia" w:cs="Arial"/>
          <w:bCs/>
          <w:kern w:val="28"/>
          <w:sz w:val="36"/>
          <w:szCs w:val="32"/>
          <w:lang w:eastAsia="zh-CN"/>
        </w:rPr>
        <w:t xml:space="preserve">DIGITALISATION PLATFORM FOR MODELLING TBM TUNNEL CONSTRUCTION </w:t>
      </w:r>
    </w:p>
    <w:p w14:paraId="13768A84" w14:textId="1DFDD080" w:rsidR="00452605" w:rsidRDefault="003660EE" w:rsidP="00812538">
      <w:pPr>
        <w:spacing w:after="200"/>
        <w:rPr>
          <w:rFonts w:cs="Arial"/>
          <w:b w:val="0"/>
          <w:color w:val="FF0000"/>
          <w:sz w:val="32"/>
        </w:rPr>
      </w:pPr>
      <w:r w:rsidRPr="003660EE">
        <w:rPr>
          <w:rFonts w:cs="Arial"/>
          <w:b w:val="0"/>
          <w:sz w:val="32"/>
        </w:rPr>
        <w:t>Enhancing Interoperability and Collaboration</w:t>
      </w:r>
    </w:p>
    <w:p w14:paraId="1CD88BF7" w14:textId="1835E7F1" w:rsidR="00D9398E" w:rsidRPr="00BF7CF6" w:rsidRDefault="003660EE" w:rsidP="00D9398E">
      <w:pPr>
        <w:rPr>
          <w:rFonts w:ascii="Calibri" w:eastAsiaTheme="minorEastAsia" w:hAnsi="Calibri" w:cs="Calibri"/>
          <w:b w:val="0"/>
          <w:szCs w:val="20"/>
          <w:lang w:eastAsia="zh-CN"/>
        </w:rPr>
      </w:pPr>
      <w:r w:rsidRPr="002C56F4">
        <w:rPr>
          <w:rFonts w:ascii="Calibri" w:eastAsiaTheme="minorEastAsia" w:hAnsi="Calibri" w:cs="Calibri" w:hint="eastAsia"/>
          <w:b w:val="0"/>
          <w:szCs w:val="20"/>
          <w:lang w:eastAsia="zh-CN"/>
        </w:rPr>
        <w:t>MENGQI HUANG</w:t>
      </w:r>
      <w:r w:rsidR="00D9398E" w:rsidRPr="002C56F4">
        <w:rPr>
          <w:rFonts w:ascii="Calibri" w:eastAsia="MS Mincho" w:hAnsi="Calibri" w:cs="Calibri"/>
          <w:b w:val="0"/>
          <w:szCs w:val="20"/>
          <w:vertAlign w:val="superscript"/>
        </w:rPr>
        <w:t>,1</w:t>
      </w:r>
      <w:r w:rsidR="00D9398E" w:rsidRPr="002C56F4">
        <w:rPr>
          <w:rFonts w:ascii="Calibri" w:eastAsia="MS Mincho" w:hAnsi="Calibri" w:cs="Calibri"/>
          <w:b w:val="0"/>
          <w:szCs w:val="20"/>
        </w:rPr>
        <w:t xml:space="preserve"> </w:t>
      </w:r>
      <w:r w:rsidRPr="002C56F4">
        <w:rPr>
          <w:rFonts w:ascii="Calibri" w:eastAsiaTheme="minorEastAsia" w:hAnsi="Calibri" w:cs="Calibri" w:hint="eastAsia"/>
          <w:b w:val="0"/>
          <w:szCs w:val="20"/>
          <w:lang w:eastAsia="zh-CN"/>
        </w:rPr>
        <w:t>JELENA NINIC</w:t>
      </w:r>
      <w:r w:rsidRPr="002C56F4">
        <w:rPr>
          <w:rFonts w:ascii="Calibri" w:eastAsia="MS Mincho" w:hAnsi="Calibri" w:cs="Calibri"/>
          <w:b w:val="0"/>
          <w:szCs w:val="20"/>
          <w:vertAlign w:val="superscript"/>
        </w:rPr>
        <w:t>,</w:t>
      </w:r>
      <w:r w:rsidRPr="002C56F4">
        <w:rPr>
          <w:rFonts w:ascii="Calibri" w:eastAsiaTheme="minorEastAsia" w:hAnsi="Calibri" w:cs="Calibri" w:hint="eastAsia"/>
          <w:b w:val="0"/>
          <w:szCs w:val="20"/>
          <w:vertAlign w:val="superscript"/>
          <w:lang w:eastAsia="zh-CN"/>
        </w:rPr>
        <w:t>2</w:t>
      </w:r>
      <w:r w:rsidRPr="002C56F4">
        <w:rPr>
          <w:rFonts w:ascii="Calibri" w:eastAsia="MS Mincho" w:hAnsi="Calibri" w:cs="Calibri"/>
          <w:b w:val="0"/>
          <w:szCs w:val="20"/>
        </w:rPr>
        <w:t xml:space="preserve"> </w:t>
      </w:r>
      <w:r w:rsidR="00BF7CF6">
        <w:rPr>
          <w:rFonts w:ascii="Calibri" w:eastAsiaTheme="minorEastAsia" w:hAnsi="Calibri" w:cs="Calibri" w:hint="eastAsia"/>
          <w:b w:val="0"/>
          <w:szCs w:val="20"/>
          <w:lang w:eastAsia="zh-CN"/>
        </w:rPr>
        <w:t>QIANBING ZHANG</w:t>
      </w:r>
      <w:r w:rsidR="008143C1" w:rsidRPr="002C56F4">
        <w:rPr>
          <w:rFonts w:ascii="Calibri" w:eastAsia="MS Mincho" w:hAnsi="Calibri" w:cs="Calibri"/>
          <w:b w:val="0"/>
          <w:szCs w:val="20"/>
          <w:vertAlign w:val="superscript"/>
        </w:rPr>
        <w:t>,</w:t>
      </w:r>
      <w:r w:rsidR="008143C1">
        <w:rPr>
          <w:rFonts w:ascii="Calibri" w:eastAsiaTheme="minorEastAsia" w:hAnsi="Calibri" w:cs="Calibri" w:hint="eastAsia"/>
          <w:b w:val="0"/>
          <w:szCs w:val="20"/>
          <w:vertAlign w:val="superscript"/>
          <w:lang w:eastAsia="zh-CN"/>
        </w:rPr>
        <w:t>3</w:t>
      </w:r>
    </w:p>
    <w:p w14:paraId="3A7E4C3C" w14:textId="77777777" w:rsidR="00D9398E" w:rsidRPr="002C56F4" w:rsidRDefault="00D9398E" w:rsidP="00D9398E">
      <w:pPr>
        <w:pStyle w:val="PlainText"/>
      </w:pPr>
    </w:p>
    <w:p w14:paraId="1A3F7AE8" w14:textId="2B59CF37" w:rsidR="00D9398E" w:rsidRPr="002C56F4" w:rsidRDefault="00D9398E" w:rsidP="00D9398E">
      <w:pPr>
        <w:rPr>
          <w:rFonts w:ascii="Calibri" w:eastAsia="MS Mincho" w:hAnsi="Calibri" w:cs="Calibri"/>
          <w:b w:val="0"/>
          <w:sz w:val="20"/>
          <w:szCs w:val="20"/>
        </w:rPr>
      </w:pPr>
      <w:r w:rsidRPr="002C56F4">
        <w:rPr>
          <w:rFonts w:ascii="Calibri" w:eastAsia="MS Mincho" w:hAnsi="Calibri" w:cs="Calibri"/>
          <w:b w:val="0"/>
          <w:sz w:val="20"/>
          <w:szCs w:val="20"/>
          <w:vertAlign w:val="superscript"/>
        </w:rPr>
        <w:t>1</w:t>
      </w:r>
      <w:r w:rsidR="003660EE" w:rsidRPr="002C56F4">
        <w:rPr>
          <w:rFonts w:ascii="Calibri" w:eastAsiaTheme="minorEastAsia" w:hAnsi="Calibri" w:cs="Calibri" w:hint="eastAsia"/>
          <w:b w:val="0"/>
          <w:sz w:val="20"/>
          <w:szCs w:val="20"/>
          <w:lang w:eastAsia="zh-CN"/>
        </w:rPr>
        <w:t>Swinb</w:t>
      </w:r>
      <w:r w:rsidRPr="002C56F4">
        <w:rPr>
          <w:rFonts w:ascii="Calibri" w:eastAsia="MS Mincho" w:hAnsi="Calibri" w:cs="Calibri"/>
          <w:b w:val="0"/>
          <w:sz w:val="20"/>
          <w:szCs w:val="20"/>
        </w:rPr>
        <w:t>u</w:t>
      </w:r>
      <w:r w:rsidR="003660EE" w:rsidRPr="002C56F4">
        <w:rPr>
          <w:rFonts w:ascii="Calibri" w:eastAsiaTheme="minorEastAsia" w:hAnsi="Calibri" w:cs="Calibri" w:hint="eastAsia"/>
          <w:b w:val="0"/>
          <w:sz w:val="20"/>
          <w:szCs w:val="20"/>
          <w:lang w:eastAsia="zh-CN"/>
        </w:rPr>
        <w:t>rne University of Technology</w:t>
      </w:r>
      <w:r w:rsidRPr="002C56F4">
        <w:rPr>
          <w:rFonts w:ascii="Calibri" w:eastAsia="MS Mincho" w:hAnsi="Calibri" w:cs="Calibri"/>
          <w:b w:val="0"/>
          <w:sz w:val="20"/>
          <w:szCs w:val="20"/>
        </w:rPr>
        <w:t xml:space="preserve">, </w:t>
      </w:r>
      <w:r w:rsidR="003660EE" w:rsidRPr="002C56F4">
        <w:rPr>
          <w:rFonts w:ascii="Calibri" w:eastAsiaTheme="minorEastAsia" w:hAnsi="Calibri" w:cs="Calibri" w:hint="eastAsia"/>
          <w:b w:val="0"/>
          <w:sz w:val="20"/>
          <w:szCs w:val="20"/>
          <w:lang w:eastAsia="zh-CN"/>
        </w:rPr>
        <w:t>Melbourne</w:t>
      </w:r>
      <w:r w:rsidRPr="002C56F4">
        <w:rPr>
          <w:rFonts w:ascii="Calibri" w:eastAsia="MS Mincho" w:hAnsi="Calibri" w:cs="Calibri"/>
          <w:b w:val="0"/>
          <w:sz w:val="20"/>
          <w:szCs w:val="20"/>
        </w:rPr>
        <w:t xml:space="preserve">, </w:t>
      </w:r>
      <w:r w:rsidR="003660EE" w:rsidRPr="002C56F4">
        <w:rPr>
          <w:rFonts w:ascii="Calibri" w:eastAsiaTheme="minorEastAsia" w:hAnsi="Calibri" w:cs="Calibri" w:hint="eastAsia"/>
          <w:b w:val="0"/>
          <w:sz w:val="20"/>
          <w:szCs w:val="20"/>
          <w:lang w:eastAsia="zh-CN"/>
        </w:rPr>
        <w:t>Australia</w:t>
      </w:r>
    </w:p>
    <w:p w14:paraId="105AD958" w14:textId="3E19A474" w:rsidR="00D9398E" w:rsidRDefault="00D9398E" w:rsidP="00D9398E">
      <w:pPr>
        <w:rPr>
          <w:rFonts w:ascii="Calibri" w:eastAsiaTheme="minorEastAsia" w:hAnsi="Calibri" w:cs="Calibri"/>
          <w:b w:val="0"/>
          <w:sz w:val="20"/>
          <w:szCs w:val="20"/>
          <w:lang w:eastAsia="zh-CN"/>
        </w:rPr>
      </w:pPr>
      <w:r w:rsidRPr="002C56F4">
        <w:rPr>
          <w:rFonts w:ascii="Calibri" w:eastAsia="MS Mincho" w:hAnsi="Calibri" w:cs="Calibri"/>
          <w:b w:val="0"/>
          <w:sz w:val="20"/>
          <w:szCs w:val="20"/>
          <w:vertAlign w:val="superscript"/>
        </w:rPr>
        <w:t>2</w:t>
      </w:r>
      <w:r w:rsidR="003660EE" w:rsidRPr="002C56F4">
        <w:rPr>
          <w:rFonts w:ascii="Calibri" w:eastAsiaTheme="minorEastAsia" w:hAnsi="Calibri" w:cs="Calibri" w:hint="eastAsia"/>
          <w:b w:val="0"/>
          <w:sz w:val="20"/>
          <w:szCs w:val="20"/>
          <w:lang w:eastAsia="zh-CN"/>
        </w:rPr>
        <w:t>U</w:t>
      </w:r>
      <w:r w:rsidR="003660EE" w:rsidRPr="002C56F4">
        <w:rPr>
          <w:rFonts w:ascii="Calibri" w:eastAsia="MS Mincho" w:hAnsi="Calibri" w:cs="Calibri"/>
          <w:b w:val="0"/>
          <w:sz w:val="20"/>
          <w:szCs w:val="20"/>
        </w:rPr>
        <w:t xml:space="preserve">niversity of </w:t>
      </w:r>
      <w:r w:rsidR="003660EE" w:rsidRPr="002C56F4">
        <w:rPr>
          <w:rFonts w:ascii="Calibri" w:eastAsiaTheme="minorEastAsia" w:hAnsi="Calibri" w:cs="Calibri" w:hint="eastAsia"/>
          <w:b w:val="0"/>
          <w:sz w:val="20"/>
          <w:szCs w:val="20"/>
          <w:lang w:eastAsia="zh-CN"/>
        </w:rPr>
        <w:t>B</w:t>
      </w:r>
      <w:r w:rsidR="003660EE" w:rsidRPr="002C56F4">
        <w:rPr>
          <w:rFonts w:ascii="Calibri" w:eastAsia="MS Mincho" w:hAnsi="Calibri" w:cs="Calibri"/>
          <w:b w:val="0"/>
          <w:sz w:val="20"/>
          <w:szCs w:val="20"/>
        </w:rPr>
        <w:t>irmingham</w:t>
      </w:r>
      <w:r w:rsidRPr="002C56F4">
        <w:rPr>
          <w:rFonts w:ascii="Calibri" w:eastAsia="MS Mincho" w:hAnsi="Calibri" w:cs="Calibri"/>
          <w:b w:val="0"/>
          <w:sz w:val="20"/>
          <w:szCs w:val="20"/>
        </w:rPr>
        <w:t xml:space="preserve">, </w:t>
      </w:r>
      <w:r w:rsidR="003660EE" w:rsidRPr="002C56F4">
        <w:rPr>
          <w:rFonts w:ascii="Calibri" w:eastAsiaTheme="minorEastAsia" w:hAnsi="Calibri" w:cs="Calibri" w:hint="eastAsia"/>
          <w:b w:val="0"/>
          <w:sz w:val="20"/>
          <w:szCs w:val="20"/>
          <w:lang w:eastAsia="zh-CN"/>
        </w:rPr>
        <w:t>Birmingham</w:t>
      </w:r>
      <w:r w:rsidRPr="002C56F4">
        <w:rPr>
          <w:rFonts w:ascii="Calibri" w:eastAsia="MS Mincho" w:hAnsi="Calibri" w:cs="Calibri"/>
          <w:b w:val="0"/>
          <w:sz w:val="20"/>
          <w:szCs w:val="20"/>
        </w:rPr>
        <w:t xml:space="preserve">, </w:t>
      </w:r>
      <w:r w:rsidR="003660EE" w:rsidRPr="002C56F4">
        <w:rPr>
          <w:rFonts w:ascii="Calibri" w:eastAsiaTheme="minorEastAsia" w:hAnsi="Calibri" w:cs="Calibri" w:hint="eastAsia"/>
          <w:b w:val="0"/>
          <w:sz w:val="20"/>
          <w:szCs w:val="20"/>
          <w:lang w:eastAsia="zh-CN"/>
        </w:rPr>
        <w:t>UK</w:t>
      </w:r>
    </w:p>
    <w:p w14:paraId="037FF826" w14:textId="2356D4EC" w:rsidR="008143C1" w:rsidRPr="002C56F4" w:rsidRDefault="008143C1" w:rsidP="008143C1">
      <w:pPr>
        <w:rPr>
          <w:rFonts w:ascii="Calibri" w:eastAsia="MS Mincho" w:hAnsi="Calibri" w:cs="Calibri"/>
          <w:b w:val="0"/>
          <w:sz w:val="20"/>
          <w:szCs w:val="20"/>
        </w:rPr>
      </w:pPr>
      <w:r>
        <w:rPr>
          <w:rFonts w:ascii="Calibri" w:eastAsiaTheme="minorEastAsia" w:hAnsi="Calibri" w:cs="Calibri" w:hint="eastAsia"/>
          <w:b w:val="0"/>
          <w:sz w:val="20"/>
          <w:szCs w:val="20"/>
          <w:vertAlign w:val="superscript"/>
          <w:lang w:eastAsia="zh-CN"/>
        </w:rPr>
        <w:t>3</w:t>
      </w:r>
      <w:r w:rsidRPr="008143C1">
        <w:rPr>
          <w:rFonts w:ascii="Calibri" w:eastAsiaTheme="minorEastAsia" w:hAnsi="Calibri" w:cs="Calibri" w:hint="eastAsia"/>
          <w:b w:val="0"/>
          <w:sz w:val="20"/>
          <w:szCs w:val="20"/>
          <w:lang w:eastAsia="zh-CN"/>
        </w:rPr>
        <w:t xml:space="preserve"> </w:t>
      </w:r>
      <w:r>
        <w:rPr>
          <w:rFonts w:ascii="Calibri" w:eastAsiaTheme="minorEastAsia" w:hAnsi="Calibri" w:cs="Calibri" w:hint="eastAsia"/>
          <w:b w:val="0"/>
          <w:sz w:val="20"/>
          <w:szCs w:val="20"/>
          <w:lang w:eastAsia="zh-CN"/>
        </w:rPr>
        <w:t>Monash</w:t>
      </w:r>
      <w:r w:rsidRPr="002C56F4">
        <w:rPr>
          <w:rFonts w:ascii="Calibri" w:eastAsiaTheme="minorEastAsia" w:hAnsi="Calibri" w:cs="Calibri" w:hint="eastAsia"/>
          <w:b w:val="0"/>
          <w:sz w:val="20"/>
          <w:szCs w:val="20"/>
          <w:lang w:eastAsia="zh-CN"/>
        </w:rPr>
        <w:t xml:space="preserve"> U</w:t>
      </w:r>
      <w:r w:rsidRPr="002C56F4">
        <w:rPr>
          <w:rFonts w:ascii="Calibri" w:eastAsia="MS Mincho" w:hAnsi="Calibri" w:cs="Calibri"/>
          <w:b w:val="0"/>
          <w:sz w:val="20"/>
          <w:szCs w:val="20"/>
        </w:rPr>
        <w:t xml:space="preserve">niversity, </w:t>
      </w:r>
      <w:r w:rsidRPr="002C56F4">
        <w:rPr>
          <w:rFonts w:ascii="Calibri" w:eastAsiaTheme="minorEastAsia" w:hAnsi="Calibri" w:cs="Calibri" w:hint="eastAsia"/>
          <w:b w:val="0"/>
          <w:sz w:val="20"/>
          <w:szCs w:val="20"/>
          <w:lang w:eastAsia="zh-CN"/>
        </w:rPr>
        <w:t>Melbourne</w:t>
      </w:r>
      <w:r w:rsidRPr="002C56F4">
        <w:rPr>
          <w:rFonts w:ascii="Calibri" w:eastAsia="MS Mincho" w:hAnsi="Calibri" w:cs="Calibri"/>
          <w:b w:val="0"/>
          <w:sz w:val="20"/>
          <w:szCs w:val="20"/>
        </w:rPr>
        <w:t xml:space="preserve">, </w:t>
      </w:r>
      <w:r w:rsidRPr="002C56F4">
        <w:rPr>
          <w:rFonts w:ascii="Calibri" w:eastAsiaTheme="minorEastAsia" w:hAnsi="Calibri" w:cs="Calibri" w:hint="eastAsia"/>
          <w:b w:val="0"/>
          <w:sz w:val="20"/>
          <w:szCs w:val="20"/>
          <w:lang w:eastAsia="zh-CN"/>
        </w:rPr>
        <w:t>Australia</w:t>
      </w:r>
    </w:p>
    <w:p w14:paraId="0B923821" w14:textId="77777777" w:rsidR="008143C1" w:rsidRPr="008143C1" w:rsidRDefault="008143C1" w:rsidP="008143C1">
      <w:pPr>
        <w:pStyle w:val="PlainText"/>
        <w:rPr>
          <w:rFonts w:eastAsiaTheme="minorEastAsia"/>
          <w:lang w:eastAsia="zh-CN"/>
        </w:rPr>
      </w:pPr>
    </w:p>
    <w:p w14:paraId="0850CE41" w14:textId="77777777" w:rsidR="00D9398E" w:rsidRPr="006D1F09" w:rsidRDefault="00D9398E" w:rsidP="00D9398E">
      <w:pPr>
        <w:pStyle w:val="PlainText"/>
        <w:ind w:left="567" w:right="567" w:hanging="567"/>
        <w:rPr>
          <w:rFonts w:ascii="Calibri" w:hAnsi="Calibri"/>
          <w:sz w:val="20"/>
        </w:rPr>
      </w:pPr>
    </w:p>
    <w:p w14:paraId="119A5596" w14:textId="77777777" w:rsidR="00AC79BB" w:rsidRDefault="00AC79BB" w:rsidP="00C31D5E">
      <w:pPr>
        <w:pStyle w:val="PlainText"/>
      </w:pPr>
    </w:p>
    <w:p w14:paraId="70668164" w14:textId="6C5BBB0E" w:rsidR="003660EE" w:rsidRPr="00295B55" w:rsidRDefault="00C31D5E" w:rsidP="003660EE">
      <w:pPr>
        <w:pStyle w:val="AbstractHeading"/>
      </w:pPr>
      <w:r w:rsidRPr="00246E7B">
        <w:t>ABSTRA</w:t>
      </w:r>
      <w:r w:rsidR="00246E7B" w:rsidRPr="00246E7B">
        <w:t>CT</w:t>
      </w:r>
      <w:r w:rsidR="003660EE">
        <w:rPr>
          <w:rFonts w:eastAsiaTheme="minorEastAsia" w:hint="eastAsia"/>
          <w:lang w:eastAsia="zh-CN"/>
        </w:rPr>
        <w:t>:</w:t>
      </w:r>
      <w:r w:rsidR="00CB2332">
        <w:t xml:space="preserve"> </w:t>
      </w:r>
    </w:p>
    <w:p w14:paraId="6960504F" w14:textId="731AE4DB" w:rsidR="003412C9" w:rsidRDefault="003660EE" w:rsidP="00017B66">
      <w:pPr>
        <w:pStyle w:val="Abstracttext"/>
      </w:pPr>
      <w:r w:rsidRPr="003660EE">
        <w:t xml:space="preserve">There is a historic investment across transport, utilities, and social infrastructure in fast-growing cities </w:t>
      </w:r>
      <w:r w:rsidR="002B7E3C">
        <w:t>worldwide</w:t>
      </w:r>
      <w:r w:rsidRPr="003660EE">
        <w:t>, accompanied with a substantial increase in tunnelling projects. Many critical project risks, such as ground conditions, are least well understood in early planning and development, the stage when risks are most effectively mitigated. With industry 4.0 revolutionising the AEC industries, systems and workflows are renewed to mitigate tunnelling and ground movement risks</w:t>
      </w:r>
      <w:r w:rsidR="00295B55" w:rsidRPr="00295B55">
        <w:t xml:space="preserve">. </w:t>
      </w:r>
    </w:p>
    <w:p w14:paraId="12CCC09A" w14:textId="25969893" w:rsidR="00C31D5E" w:rsidRDefault="003660EE" w:rsidP="00017B66">
      <w:pPr>
        <w:pStyle w:val="Abstracttext"/>
      </w:pPr>
      <w:r>
        <w:rPr>
          <w:rFonts w:eastAsiaTheme="minorEastAsia" w:hint="eastAsia"/>
          <w:lang w:eastAsia="zh-CN"/>
        </w:rPr>
        <w:t>A</w:t>
      </w:r>
      <w:r w:rsidRPr="003660EE">
        <w:t xml:space="preserve"> framework </w:t>
      </w:r>
      <w:r>
        <w:rPr>
          <w:rFonts w:eastAsiaTheme="minorEastAsia" w:hint="eastAsia"/>
          <w:lang w:eastAsia="zh-CN"/>
        </w:rPr>
        <w:t xml:space="preserve">is proposed </w:t>
      </w:r>
      <w:r w:rsidRPr="003660EE">
        <w:t xml:space="preserve">based on the Digital Twin </w:t>
      </w:r>
      <w:r>
        <w:rPr>
          <w:rFonts w:eastAsiaTheme="minorEastAsia" w:hint="eastAsia"/>
          <w:lang w:eastAsia="zh-CN"/>
        </w:rPr>
        <w:t>paradigm</w:t>
      </w:r>
      <w:r w:rsidRPr="003660EE">
        <w:t>, centred around data, models and exchange to address the challenges surrounding tunnel boring machine (TBM) tunnelling. Workflows for uses cases during the design, construction and operation phases are also proposed supported by improved interoperability through the use of building information modelling (BIM), 3D numerical modelling, and data analytics. The resulting products demonstrate the significant potential of developing Digital Twins early stage in the project lifecycle for more effective management of tunnelling projects</w:t>
      </w:r>
      <w:r w:rsidR="00CB2332" w:rsidRPr="00017B66">
        <w:t>.</w:t>
      </w:r>
    </w:p>
    <w:p w14:paraId="6EFF2DEE" w14:textId="77777777" w:rsidR="00BF5B80" w:rsidRPr="00017B66" w:rsidRDefault="00BF5B80" w:rsidP="00017B66">
      <w:pPr>
        <w:pStyle w:val="Abstracttext"/>
      </w:pPr>
    </w:p>
    <w:p w14:paraId="072547D4" w14:textId="1623F5C9" w:rsidR="00B86B2E" w:rsidRDefault="008B6A2D" w:rsidP="00896AB3">
      <w:pPr>
        <w:pStyle w:val="Keywordsheading"/>
      </w:pPr>
      <w:r>
        <w:t>KEYWORDS</w:t>
      </w:r>
      <w:r w:rsidR="00BF5B80">
        <w:t xml:space="preserve">: </w:t>
      </w:r>
    </w:p>
    <w:p w14:paraId="45ACA9DE" w14:textId="528D4398" w:rsidR="00452605" w:rsidRPr="008B6A2D" w:rsidRDefault="003660EE" w:rsidP="008B6A2D">
      <w:pPr>
        <w:pStyle w:val="Keywordstext"/>
      </w:pPr>
      <w:r>
        <w:rPr>
          <w:rFonts w:eastAsiaTheme="minorEastAsia" w:hint="eastAsia"/>
          <w:lang w:eastAsia="zh-CN"/>
        </w:rPr>
        <w:t xml:space="preserve">Digital twin, early planning, tunnelling, risk identification, </w:t>
      </w:r>
      <w:r>
        <w:rPr>
          <w:rFonts w:eastAsiaTheme="minorEastAsia"/>
          <w:lang w:eastAsia="zh-CN"/>
        </w:rPr>
        <w:t>interoperability</w:t>
      </w:r>
      <w:r>
        <w:rPr>
          <w:rFonts w:eastAsiaTheme="minorEastAsia" w:hint="eastAsia"/>
          <w:lang w:eastAsia="zh-CN"/>
        </w:rPr>
        <w:t xml:space="preserve">  </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5D0FDD89" w:rsidR="00452605" w:rsidRPr="00F05EA2" w:rsidRDefault="0095653F" w:rsidP="00452605">
      <w:pPr>
        <w:pStyle w:val="Heading1"/>
      </w:pPr>
      <w:r w:rsidRPr="00F05EA2">
        <w:t xml:space="preserve">1. </w:t>
      </w:r>
      <w:r w:rsidR="00452605" w:rsidRPr="00F05EA2">
        <w:t xml:space="preserve">INTRODUCTION </w:t>
      </w:r>
    </w:p>
    <w:p w14:paraId="3BD048D8" w14:textId="62EB4E37" w:rsidR="00060AD0" w:rsidRDefault="00D33CAE" w:rsidP="001C535D">
      <w:pPr>
        <w:pStyle w:val="MainText"/>
      </w:pPr>
      <w:r w:rsidRPr="00D33CAE">
        <w:t xml:space="preserve">Tunnelling plays a unique role in serving a diverse range of economic sectors, contributing to society development. The International Tunnelling and Underground Space Association (ITA) reported that, in 2019, global investments in tunnelling projects had reached €125 billion (ITA, 2019). </w:t>
      </w:r>
      <w:r w:rsidR="003660EE" w:rsidRPr="003660EE">
        <w:t xml:space="preserve"> </w:t>
      </w:r>
      <w:r w:rsidR="0099390D">
        <w:t>Considered as h</w:t>
      </w:r>
      <w:r w:rsidR="003660EE" w:rsidRPr="003660EE">
        <w:t>eavy civil (horizontal) construction</w:t>
      </w:r>
      <w:r w:rsidR="0099390D">
        <w:t>, tunnelling</w:t>
      </w:r>
      <w:r w:rsidR="003660EE" w:rsidRPr="003660EE">
        <w:t xml:space="preserve"> projects need to deal with several facets of complexity throughout its design, construction, operation and maintenance. The most dominant factor is its spatial context, i.e., necessity of </w:t>
      </w:r>
      <w:r w:rsidR="003660EE" w:rsidRPr="003660EE">
        <w:t>managing existing conditions. This is particularly true for tunnelling and underground infrastructure construction</w:t>
      </w:r>
      <w:r w:rsidR="0089389A" w:rsidRPr="00F05EA2">
        <w:t>.</w:t>
      </w:r>
      <w:r w:rsidR="0099390D" w:rsidRPr="0099390D">
        <w:t xml:space="preserve"> </w:t>
      </w:r>
      <w:r w:rsidR="0099390D" w:rsidRPr="003660EE">
        <w:t xml:space="preserve">This paper focuses on integrating 3D geological modelling, tunnelling simulations and monitoring and recording during engineering and construction stages (E&amp;C) (e.g. geophysical sensing, geodetic and machine data) via a workflow underpinned by BIM and </w:t>
      </w:r>
      <w:r w:rsidR="0099390D">
        <w:rPr>
          <w:rFonts w:eastAsiaTheme="minorEastAsia" w:hint="eastAsia"/>
          <w:lang w:eastAsia="zh-CN"/>
        </w:rPr>
        <w:t>Digital Twin</w:t>
      </w:r>
      <w:r w:rsidR="0099390D" w:rsidRPr="003660EE">
        <w:t>.</w:t>
      </w:r>
    </w:p>
    <w:p w14:paraId="02D9DE50" w14:textId="6B7183CC" w:rsidR="00655CAD" w:rsidRDefault="003660EE" w:rsidP="001C535D">
      <w:pPr>
        <w:pStyle w:val="MainText"/>
        <w:rPr>
          <w:rFonts w:eastAsiaTheme="minorEastAsia"/>
          <w:lang w:eastAsia="zh-CN"/>
        </w:rPr>
      </w:pPr>
      <w:r w:rsidRPr="003660EE">
        <w:t xml:space="preserve">Tunnel construction traversing complex subterranean spaces, characterised by temporal and spatial variations can result in major delay and deviations leading to scope creep. </w:t>
      </w:r>
      <w:r w:rsidR="00624192" w:rsidRPr="00624192">
        <w:t xml:space="preserve">As the digital </w:t>
      </w:r>
      <w:r w:rsidR="00624192" w:rsidRPr="00624192">
        <w:lastRenderedPageBreak/>
        <w:t>transformation agenda extends into underground construction, digital engineering (DE)</w:t>
      </w:r>
      <w:r w:rsidR="00624192">
        <w:rPr>
          <w:rFonts w:eastAsiaTheme="minorEastAsia" w:hint="eastAsia"/>
          <w:lang w:eastAsia="zh-CN"/>
        </w:rPr>
        <w:t xml:space="preserve">, </w:t>
      </w:r>
      <w:r w:rsidR="00624192" w:rsidRPr="00624192">
        <w:t>enabled by building information modelling (BIM), geographic information systems (GIS), 3D geological modelling and 3D numerical modelling</w:t>
      </w:r>
      <w:r w:rsidR="00624192">
        <w:rPr>
          <w:rFonts w:eastAsiaTheme="minorEastAsia" w:hint="eastAsia"/>
          <w:lang w:eastAsia="zh-CN"/>
        </w:rPr>
        <w:t xml:space="preserve">, </w:t>
      </w:r>
      <w:r w:rsidR="00624192" w:rsidRPr="00624192">
        <w:t>has become indispensable in design and construction processes of delivering major projects</w:t>
      </w:r>
      <w:r w:rsidR="00624192">
        <w:rPr>
          <w:rFonts w:eastAsiaTheme="minorEastAsia" w:hint="eastAsia"/>
          <w:lang w:eastAsia="zh-CN"/>
        </w:rPr>
        <w:t xml:space="preserve">. </w:t>
      </w:r>
      <w:r w:rsidR="00624192" w:rsidRPr="00B77861">
        <w:rPr>
          <w:rFonts w:eastAsiaTheme="minorEastAsia" w:hint="eastAsia"/>
          <w:lang w:eastAsia="zh-CN"/>
        </w:rPr>
        <w:t xml:space="preserve">DE practices </w:t>
      </w:r>
      <w:r w:rsidR="00191559" w:rsidRPr="00B77861">
        <w:rPr>
          <w:rFonts w:eastAsiaTheme="minorEastAsia" w:hint="eastAsia"/>
          <w:lang w:eastAsia="zh-CN"/>
        </w:rPr>
        <w:t xml:space="preserve">facilitate </w:t>
      </w:r>
      <w:r w:rsidR="00624192" w:rsidRPr="00B77861">
        <w:rPr>
          <w:rFonts w:eastAsiaTheme="minorEastAsia" w:hint="eastAsia"/>
          <w:lang w:eastAsia="zh-CN"/>
        </w:rPr>
        <w:t>decision-making</w:t>
      </w:r>
      <w:r w:rsidR="00FA7B24" w:rsidRPr="00B77861">
        <w:rPr>
          <w:rFonts w:eastAsiaTheme="minorEastAsia" w:hint="eastAsia"/>
          <w:lang w:eastAsia="zh-CN"/>
        </w:rPr>
        <w:t xml:space="preserve"> </w:t>
      </w:r>
      <w:r w:rsidR="008C0C55" w:rsidRPr="00B77861">
        <w:rPr>
          <w:rFonts w:eastAsiaTheme="minorEastAsia" w:hint="eastAsia"/>
          <w:lang w:eastAsia="zh-CN"/>
        </w:rPr>
        <w:t>by setting up the shared digital representation early in the lifecycle stage</w:t>
      </w:r>
      <w:r w:rsidR="000A00BA" w:rsidRPr="00B77861">
        <w:rPr>
          <w:rFonts w:eastAsiaTheme="minorEastAsia" w:hint="eastAsia"/>
          <w:lang w:eastAsia="zh-CN"/>
        </w:rPr>
        <w:t>.</w:t>
      </w:r>
      <w:r w:rsidR="008C0C55" w:rsidRPr="00B77861">
        <w:rPr>
          <w:rFonts w:eastAsiaTheme="minorEastAsia" w:hint="eastAsia"/>
          <w:lang w:eastAsia="zh-CN"/>
        </w:rPr>
        <w:t xml:space="preserve"> </w:t>
      </w:r>
      <w:r w:rsidR="000A00BA" w:rsidRPr="00B77861">
        <w:rPr>
          <w:rFonts w:eastAsiaTheme="minorEastAsia" w:hint="eastAsia"/>
          <w:lang w:eastAsia="zh-CN"/>
        </w:rPr>
        <w:t>As shown in Figure 1</w:t>
      </w:r>
      <w:r w:rsidR="000A00BA" w:rsidRPr="00B77861">
        <w:rPr>
          <w:rFonts w:eastAsiaTheme="minorEastAsia"/>
          <w:lang w:eastAsia="zh-CN"/>
        </w:rPr>
        <w:t xml:space="preserve">, as </w:t>
      </w:r>
      <w:r w:rsidR="007456DD" w:rsidRPr="00B77861">
        <w:rPr>
          <w:rFonts w:eastAsiaTheme="minorEastAsia"/>
          <w:lang w:eastAsia="zh-CN"/>
        </w:rPr>
        <w:t>project progresses, real-life monitoring data is integrated to</w:t>
      </w:r>
      <w:r w:rsidR="006D620A" w:rsidRPr="00B77861">
        <w:rPr>
          <w:rFonts w:eastAsiaTheme="minorEastAsia"/>
          <w:lang w:eastAsia="zh-CN"/>
        </w:rPr>
        <w:t xml:space="preserve"> allow data-driven analysis including prediction of future events.</w:t>
      </w:r>
      <w:r w:rsidR="00DA78A9" w:rsidRPr="00B77861">
        <w:rPr>
          <w:rFonts w:eastAsiaTheme="minorEastAsia"/>
          <w:lang w:eastAsia="zh-CN"/>
        </w:rPr>
        <w:t xml:space="preserve"> The early engagement of </w:t>
      </w:r>
      <w:r w:rsidR="00B77861" w:rsidRPr="00B77861">
        <w:rPr>
          <w:rFonts w:eastAsiaTheme="minorEastAsia"/>
          <w:lang w:eastAsia="zh-CN"/>
        </w:rPr>
        <w:t>DE tools enables</w:t>
      </w:r>
      <w:r w:rsidR="00692761" w:rsidRPr="00B77861">
        <w:rPr>
          <w:rFonts w:eastAsiaTheme="minorEastAsia" w:hint="eastAsia"/>
          <w:lang w:eastAsia="zh-CN"/>
        </w:rPr>
        <w:t xml:space="preserve"> </w:t>
      </w:r>
      <w:r w:rsidR="001F73F8" w:rsidRPr="00B77861">
        <w:rPr>
          <w:rFonts w:eastAsiaTheme="minorEastAsia" w:hint="eastAsia"/>
          <w:lang w:eastAsia="zh-CN"/>
        </w:rPr>
        <w:t>changes</w:t>
      </w:r>
      <w:r w:rsidR="00B77861" w:rsidRPr="00B77861">
        <w:rPr>
          <w:rFonts w:eastAsiaTheme="minorEastAsia"/>
          <w:lang w:eastAsia="zh-CN"/>
        </w:rPr>
        <w:t xml:space="preserve"> to be made</w:t>
      </w:r>
      <w:r w:rsidR="001F73F8" w:rsidRPr="00B77861">
        <w:rPr>
          <w:rFonts w:eastAsiaTheme="minorEastAsia" w:hint="eastAsia"/>
          <w:lang w:eastAsia="zh-CN"/>
        </w:rPr>
        <w:t xml:space="preserve"> at lower costs</w:t>
      </w:r>
      <w:r w:rsidR="00BF7CF6" w:rsidRPr="00B77861">
        <w:rPr>
          <w:rFonts w:eastAsiaTheme="minorEastAsia" w:hint="eastAsia"/>
          <w:lang w:eastAsia="zh-CN"/>
        </w:rPr>
        <w:t>.</w:t>
      </w:r>
      <w:r w:rsidR="001F73F8" w:rsidRPr="00B77861">
        <w:rPr>
          <w:rFonts w:eastAsiaTheme="minorEastAsia" w:hint="eastAsia"/>
          <w:lang w:eastAsia="zh-CN"/>
        </w:rPr>
        <w:t xml:space="preserve"> </w:t>
      </w:r>
      <w:r w:rsidR="00624192" w:rsidRPr="00B77861">
        <w:rPr>
          <w:rFonts w:eastAsiaTheme="minorEastAsia" w:hint="eastAsia"/>
          <w:lang w:eastAsia="zh-CN"/>
        </w:rPr>
        <w:t xml:space="preserve">This approach </w:t>
      </w:r>
      <w:r w:rsidR="00624192" w:rsidRPr="00B77861">
        <w:rPr>
          <w:rFonts w:eastAsiaTheme="minorEastAsia"/>
          <w:lang w:eastAsia="zh-CN"/>
        </w:rPr>
        <w:t>counteract</w:t>
      </w:r>
      <w:r w:rsidR="00624192" w:rsidRPr="00B77861">
        <w:rPr>
          <w:rFonts w:eastAsiaTheme="minorEastAsia" w:hint="eastAsia"/>
          <w:lang w:eastAsia="zh-CN"/>
        </w:rPr>
        <w:t>s the traditional linear process where changes later in the life cycle become more expensive and disruptive.</w:t>
      </w:r>
      <w:r w:rsidR="00624192">
        <w:rPr>
          <w:rFonts w:eastAsiaTheme="minorEastAsia" w:hint="eastAsia"/>
          <w:lang w:eastAsia="zh-CN"/>
        </w:rPr>
        <w:t xml:space="preserve"> </w:t>
      </w:r>
    </w:p>
    <w:p w14:paraId="1540B0A7" w14:textId="77777777" w:rsidR="005E7249" w:rsidRDefault="005E7249" w:rsidP="001C535D">
      <w:pPr>
        <w:pStyle w:val="MainText"/>
        <w:rPr>
          <w:rFonts w:eastAsiaTheme="minorEastAsia"/>
          <w:lang w:eastAsia="zh-CN"/>
        </w:rPr>
      </w:pPr>
    </w:p>
    <w:p w14:paraId="6C51B244" w14:textId="40320C52" w:rsidR="00BD5ACE" w:rsidRDefault="006C13C4" w:rsidP="00BD5ACE">
      <w:pPr>
        <w:pStyle w:val="MainText"/>
        <w:ind w:firstLine="0"/>
        <w:rPr>
          <w:rFonts w:eastAsiaTheme="minorEastAsia"/>
          <w:lang w:eastAsia="zh-CN"/>
        </w:rPr>
      </w:pPr>
      <w:r>
        <w:rPr>
          <w:rFonts w:eastAsiaTheme="minorEastAsia"/>
          <w:noProof/>
          <w:lang w:eastAsia="zh-CN"/>
        </w:rPr>
        <w:drawing>
          <wp:inline distT="0" distB="0" distL="0" distR="0" wp14:anchorId="0BBB6585" wp14:editId="55CBD326">
            <wp:extent cx="2774540" cy="1529080"/>
            <wp:effectExtent l="0" t="0" r="698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5">
                      <a:extLst>
                        <a:ext uri="{96DAC541-7B7A-43D3-8B79-37D633B846F1}">
                          <asvg:svgBlip xmlns:asvg="http://schemas.microsoft.com/office/drawing/2016/SVG/main" r:embed="rId16"/>
                        </a:ext>
                      </a:extLst>
                    </a:blip>
                    <a:stretch>
                      <a:fillRect/>
                    </a:stretch>
                  </pic:blipFill>
                  <pic:spPr bwMode="auto">
                    <a:xfrm>
                      <a:off x="0" y="0"/>
                      <a:ext cx="2774540" cy="1529080"/>
                    </a:xfrm>
                    <a:prstGeom prst="rect">
                      <a:avLst/>
                    </a:prstGeom>
                  </pic:spPr>
                </pic:pic>
              </a:graphicData>
            </a:graphic>
          </wp:inline>
        </w:drawing>
      </w:r>
    </w:p>
    <w:p w14:paraId="65C56E4F" w14:textId="1581B9E1" w:rsidR="00BD5ACE" w:rsidRDefault="00BD5ACE" w:rsidP="00BD5ACE">
      <w:pPr>
        <w:rPr>
          <w:rStyle w:val="CaptionfigtableChar"/>
          <w:rFonts w:eastAsiaTheme="minorEastAsia"/>
          <w:b w:val="0"/>
          <w:bCs/>
          <w:lang w:eastAsia="zh-CN"/>
        </w:rPr>
      </w:pPr>
      <w:r w:rsidRPr="00BD5ACE">
        <w:rPr>
          <w:rStyle w:val="CaptionfigtableChar"/>
          <w:b w:val="0"/>
          <w:bCs/>
        </w:rPr>
        <w:t xml:space="preserve">Figure 1: </w:t>
      </w:r>
      <w:r w:rsidR="00EC4910">
        <w:rPr>
          <w:rStyle w:val="CaptionfigtableChar"/>
          <w:rFonts w:eastAsiaTheme="minorEastAsia" w:hint="eastAsia"/>
          <w:b w:val="0"/>
          <w:bCs/>
          <w:lang w:eastAsia="zh-CN"/>
        </w:rPr>
        <w:t>Trans</w:t>
      </w:r>
      <w:r w:rsidR="00946DEA">
        <w:rPr>
          <w:rStyle w:val="CaptionfigtableChar"/>
          <w:rFonts w:eastAsiaTheme="minorEastAsia" w:hint="eastAsia"/>
          <w:b w:val="0"/>
          <w:bCs/>
          <w:lang w:eastAsia="zh-CN"/>
        </w:rPr>
        <w:t>itioning from BIM to DT serving varying purposes of shared digital representations</w:t>
      </w:r>
    </w:p>
    <w:p w14:paraId="531FFEFC" w14:textId="77777777" w:rsidR="005E7249" w:rsidRPr="005E7249" w:rsidRDefault="005E7249" w:rsidP="005E7249">
      <w:pPr>
        <w:pStyle w:val="PlainText"/>
        <w:rPr>
          <w:rFonts w:eastAsiaTheme="minorEastAsia"/>
          <w:lang w:eastAsia="zh-CN"/>
        </w:rPr>
      </w:pPr>
    </w:p>
    <w:p w14:paraId="476EA7B3" w14:textId="2E34BA25" w:rsidR="00624192" w:rsidRPr="00624192" w:rsidRDefault="00624192" w:rsidP="00624192">
      <w:pPr>
        <w:pStyle w:val="PlainText"/>
        <w:ind w:firstLine="284"/>
        <w:rPr>
          <w:rFonts w:eastAsiaTheme="minorEastAsia"/>
          <w:sz w:val="20"/>
          <w:lang w:eastAsia="zh-CN"/>
        </w:rPr>
      </w:pPr>
      <w:r w:rsidRPr="00624192">
        <w:rPr>
          <w:rFonts w:eastAsia="等线"/>
          <w:sz w:val="20"/>
          <w:lang w:eastAsia="zh-CN"/>
        </w:rPr>
        <w:t xml:space="preserve">The study </w:t>
      </w:r>
      <w:r w:rsidR="00D42442">
        <w:rPr>
          <w:rFonts w:eastAsia="等线" w:hint="eastAsia"/>
          <w:sz w:val="20"/>
          <w:lang w:eastAsia="zh-CN"/>
        </w:rPr>
        <w:t>presents</w:t>
      </w:r>
      <w:r>
        <w:rPr>
          <w:rFonts w:eastAsia="等线" w:hint="eastAsia"/>
          <w:sz w:val="20"/>
          <w:lang w:eastAsia="zh-CN"/>
        </w:rPr>
        <w:t xml:space="preserve"> a </w:t>
      </w:r>
      <w:r w:rsidR="00D42442">
        <w:rPr>
          <w:rFonts w:eastAsia="等线" w:hint="eastAsia"/>
          <w:sz w:val="20"/>
          <w:lang w:eastAsia="zh-CN"/>
        </w:rPr>
        <w:t>workflow</w:t>
      </w:r>
      <w:r w:rsidRPr="00624192">
        <w:rPr>
          <w:rFonts w:eastAsia="等线"/>
          <w:sz w:val="20"/>
          <w:lang w:eastAsia="zh-CN"/>
        </w:rPr>
        <w:t xml:space="preserve"> underpinned by BIM</w:t>
      </w:r>
      <w:r w:rsidRPr="00624192">
        <w:rPr>
          <w:rFonts w:eastAsia="等线" w:hint="eastAsia"/>
          <w:sz w:val="20"/>
          <w:lang w:eastAsia="zh-CN"/>
        </w:rPr>
        <w:t>.</w:t>
      </w:r>
      <w:r w:rsidRPr="00624192">
        <w:rPr>
          <w:rFonts w:eastAsia="等线"/>
          <w:sz w:val="20"/>
          <w:lang w:eastAsia="zh-CN"/>
        </w:rPr>
        <w:t xml:space="preserve"> BIM</w:t>
      </w:r>
      <w:r>
        <w:rPr>
          <w:rFonts w:eastAsia="等线" w:hint="eastAsia"/>
          <w:sz w:val="20"/>
          <w:lang w:eastAsia="zh-CN"/>
        </w:rPr>
        <w:t>-</w:t>
      </w:r>
      <w:r w:rsidR="00652FBC">
        <w:rPr>
          <w:rFonts w:eastAsia="等线" w:hint="eastAsia"/>
          <w:sz w:val="20"/>
          <w:lang w:eastAsia="zh-CN"/>
        </w:rPr>
        <w:t>supported</w:t>
      </w:r>
      <w:r>
        <w:rPr>
          <w:rFonts w:eastAsia="等线" w:hint="eastAsia"/>
          <w:sz w:val="20"/>
          <w:lang w:eastAsia="zh-CN"/>
        </w:rPr>
        <w:t xml:space="preserve"> object models represent physical entities in real-life can be used for a variety of analysis applications</w:t>
      </w:r>
      <w:r w:rsidR="00040C2B">
        <w:rPr>
          <w:rFonts w:eastAsia="等线" w:hint="eastAsia"/>
          <w:sz w:val="20"/>
          <w:lang w:eastAsia="zh-CN"/>
        </w:rPr>
        <w:t>. W</w:t>
      </w:r>
      <w:r w:rsidRPr="00624192">
        <w:rPr>
          <w:rFonts w:eastAsia="等线"/>
          <w:sz w:val="20"/>
          <w:lang w:eastAsia="zh-CN"/>
        </w:rPr>
        <w:t>hen coupled with sensing and data analytics</w:t>
      </w:r>
      <w:r w:rsidR="00040C2B">
        <w:rPr>
          <w:rFonts w:eastAsia="等线" w:hint="eastAsia"/>
          <w:sz w:val="20"/>
          <w:lang w:eastAsia="zh-CN"/>
        </w:rPr>
        <w:t>,</w:t>
      </w:r>
      <w:r>
        <w:rPr>
          <w:rFonts w:eastAsia="等线" w:hint="eastAsia"/>
          <w:sz w:val="20"/>
          <w:lang w:eastAsia="zh-CN"/>
        </w:rPr>
        <w:t xml:space="preserve"> the static models become dynamic contributing to the formation of </w:t>
      </w:r>
      <w:r w:rsidR="001F4662">
        <w:rPr>
          <w:rFonts w:eastAsia="等线" w:hint="eastAsia"/>
          <w:sz w:val="20"/>
          <w:lang w:eastAsia="zh-CN"/>
        </w:rPr>
        <w:t xml:space="preserve">a </w:t>
      </w:r>
      <w:r w:rsidR="001F4662" w:rsidRPr="00624192">
        <w:rPr>
          <w:rFonts w:eastAsia="等线"/>
          <w:sz w:val="20"/>
          <w:lang w:eastAsia="zh-CN"/>
        </w:rPr>
        <w:t>Digital Twin</w:t>
      </w:r>
      <w:r w:rsidRPr="00624192">
        <w:rPr>
          <w:rFonts w:eastAsia="等线"/>
          <w:sz w:val="20"/>
          <w:lang w:eastAsia="zh-CN"/>
        </w:rPr>
        <w:t>. In this study, a BIM model, i.e. virtual twin, could be used in numerical simulation; the simulated settlement due to underground excavation are compared against monitored settlement. This backanalysis helps improve the accuracy of the simulation models, thus better predict future outcomes. This workflow would essentially convert the static BIM model to a Digital Twin. Once the construction is completed, the Digital Twin serves as a dynamic platform for ongoing monitoring and maintenance, continuously updated with real-time data from sensors and operational activities.</w:t>
      </w:r>
      <w:r w:rsidRPr="00624192">
        <w:t xml:space="preserve"> </w:t>
      </w:r>
    </w:p>
    <w:p w14:paraId="7B3261A0" w14:textId="77777777" w:rsidR="00452605" w:rsidRPr="00F05EA2" w:rsidRDefault="00452605" w:rsidP="00452605">
      <w:pPr>
        <w:pStyle w:val="PlainText"/>
        <w:rPr>
          <w:sz w:val="20"/>
        </w:rPr>
      </w:pPr>
    </w:p>
    <w:p w14:paraId="56D82AAA" w14:textId="679A20A4" w:rsidR="00452605" w:rsidRPr="003660EE" w:rsidRDefault="0095653F" w:rsidP="00452605">
      <w:pPr>
        <w:pStyle w:val="Heading1"/>
        <w:rPr>
          <w:rFonts w:eastAsiaTheme="minorEastAsia"/>
          <w:lang w:eastAsia="zh-CN"/>
        </w:rPr>
      </w:pPr>
      <w:r w:rsidRPr="00F05EA2">
        <w:t xml:space="preserve">2. </w:t>
      </w:r>
      <w:r w:rsidR="00882356">
        <w:rPr>
          <w:rFonts w:eastAsiaTheme="minorEastAsia" w:hint="eastAsia"/>
          <w:lang w:eastAsia="zh-CN"/>
        </w:rPr>
        <w:t>BIM FOR UNDERGROUND CONSTRUCTION</w:t>
      </w:r>
      <w:r w:rsidR="003660EE">
        <w:rPr>
          <w:rFonts w:eastAsiaTheme="minorEastAsia" w:hint="eastAsia"/>
          <w:lang w:eastAsia="zh-CN"/>
        </w:rPr>
        <w:t xml:space="preserve"> </w:t>
      </w:r>
    </w:p>
    <w:p w14:paraId="51CA2895" w14:textId="77777777" w:rsidR="00257E10" w:rsidRDefault="00BD5ACE" w:rsidP="0096478D">
      <w:pPr>
        <w:pStyle w:val="PlainText"/>
        <w:ind w:firstLine="284"/>
        <w:rPr>
          <w:sz w:val="20"/>
        </w:rPr>
      </w:pPr>
      <w:r w:rsidRPr="00BD5ACE">
        <w:rPr>
          <w:sz w:val="20"/>
        </w:rPr>
        <w:t xml:space="preserve">For design authoring of the structures, object modelling is a core technical feature. BIM-oriented digitalisation is underpinned by parametric modelling, meaning that objects are not directly represented by fixed geometry and properties, rather they are represented by parameters and rules that automatically determine the geometry. Objects </w:t>
      </w:r>
      <w:r w:rsidRPr="00BD5ACE">
        <w:rPr>
          <w:sz w:val="20"/>
        </w:rPr>
        <w:t>are modelled at varied levels of geometric and information details, i.e., level of details (</w:t>
      </w:r>
      <w:proofErr w:type="spellStart"/>
      <w:r w:rsidRPr="00BD5ACE">
        <w:rPr>
          <w:sz w:val="20"/>
        </w:rPr>
        <w:t>LoD</w:t>
      </w:r>
      <w:proofErr w:type="spellEnd"/>
      <w:r w:rsidRPr="00BD5ACE">
        <w:rPr>
          <w:sz w:val="20"/>
        </w:rPr>
        <w:t>)</w:t>
      </w:r>
      <w:r w:rsidR="00A81F10">
        <w:rPr>
          <w:rFonts w:eastAsiaTheme="minorEastAsia" w:hint="eastAsia"/>
          <w:sz w:val="20"/>
          <w:lang w:eastAsia="zh-CN"/>
        </w:rPr>
        <w:t xml:space="preserve">. This is </w:t>
      </w:r>
      <w:r w:rsidR="00A81F10">
        <w:rPr>
          <w:rFonts w:eastAsiaTheme="minorEastAsia"/>
          <w:sz w:val="20"/>
          <w:lang w:eastAsia="zh-CN"/>
        </w:rPr>
        <w:t>addressing</w:t>
      </w:r>
      <w:r w:rsidR="00A81F10">
        <w:rPr>
          <w:rFonts w:eastAsiaTheme="minorEastAsia" w:hint="eastAsia"/>
          <w:sz w:val="20"/>
          <w:lang w:eastAsia="zh-CN"/>
        </w:rPr>
        <w:t xml:space="preserve"> the level of information need </w:t>
      </w:r>
      <w:r w:rsidR="002113E3">
        <w:rPr>
          <w:rFonts w:eastAsiaTheme="minorEastAsia" w:hint="eastAsia"/>
          <w:sz w:val="20"/>
          <w:lang w:eastAsia="zh-CN"/>
        </w:rPr>
        <w:t>specified in ISO 19650,</w:t>
      </w:r>
      <w:r w:rsidR="00AD43AC">
        <w:rPr>
          <w:rFonts w:eastAsiaTheme="minorEastAsia" w:hint="eastAsia"/>
          <w:sz w:val="20"/>
          <w:lang w:eastAsia="zh-CN"/>
        </w:rPr>
        <w:t xml:space="preserve"> i.e.</w:t>
      </w:r>
      <w:r w:rsidRPr="00BD5ACE">
        <w:rPr>
          <w:sz w:val="20"/>
        </w:rPr>
        <w:t xml:space="preserve"> </w:t>
      </w:r>
      <w:r w:rsidR="00AD43AC">
        <w:rPr>
          <w:rFonts w:eastAsiaTheme="minorEastAsia"/>
          <w:sz w:val="20"/>
          <w:lang w:eastAsia="zh-CN"/>
        </w:rPr>
        <w:t>“</w:t>
      </w:r>
      <w:r w:rsidR="00AD43AC">
        <w:rPr>
          <w:rFonts w:eastAsiaTheme="minorEastAsia" w:hint="eastAsia"/>
          <w:sz w:val="20"/>
          <w:lang w:eastAsia="zh-CN"/>
        </w:rPr>
        <w:t xml:space="preserve">the level of information need of each information deliverable should be determined </w:t>
      </w:r>
      <w:r w:rsidRPr="00BD5ACE">
        <w:rPr>
          <w:sz w:val="20"/>
        </w:rPr>
        <w:t>according to i</w:t>
      </w:r>
      <w:r w:rsidR="00AD43AC">
        <w:rPr>
          <w:rFonts w:eastAsiaTheme="minorEastAsia" w:hint="eastAsia"/>
          <w:sz w:val="20"/>
          <w:lang w:eastAsia="zh-CN"/>
        </w:rPr>
        <w:t xml:space="preserve">ts </w:t>
      </w:r>
      <w:r w:rsidR="00AD43AC">
        <w:rPr>
          <w:rFonts w:eastAsiaTheme="minorEastAsia"/>
          <w:sz w:val="20"/>
          <w:lang w:eastAsia="zh-CN"/>
        </w:rPr>
        <w:t>purpose</w:t>
      </w:r>
      <w:r w:rsidR="004F074E">
        <w:rPr>
          <w:rFonts w:eastAsiaTheme="minorEastAsia"/>
          <w:sz w:val="20"/>
          <w:lang w:eastAsia="zh-CN"/>
        </w:rPr>
        <w:t>”</w:t>
      </w:r>
      <w:r w:rsidR="00426877">
        <w:rPr>
          <w:rFonts w:eastAsiaTheme="minorEastAsia"/>
          <w:sz w:val="20"/>
          <w:lang w:eastAsia="zh-CN"/>
        </w:rPr>
        <w:t xml:space="preserve"> (</w:t>
      </w:r>
      <w:r w:rsidR="002913A7">
        <w:rPr>
          <w:rFonts w:eastAsiaTheme="minorEastAsia"/>
          <w:sz w:val="20"/>
          <w:lang w:eastAsia="zh-CN"/>
        </w:rPr>
        <w:t>ISO</w:t>
      </w:r>
      <w:r w:rsidR="00166C9E">
        <w:rPr>
          <w:rFonts w:eastAsiaTheme="minorEastAsia"/>
          <w:sz w:val="20"/>
          <w:lang w:eastAsia="zh-CN"/>
        </w:rPr>
        <w:t xml:space="preserve">, </w:t>
      </w:r>
      <w:r w:rsidR="000A23F0">
        <w:rPr>
          <w:rFonts w:eastAsiaTheme="minorEastAsia"/>
          <w:sz w:val="20"/>
          <w:lang w:eastAsia="zh-CN"/>
        </w:rPr>
        <w:t>2018</w:t>
      </w:r>
      <w:r w:rsidR="00426877">
        <w:rPr>
          <w:rFonts w:eastAsiaTheme="minorEastAsia"/>
          <w:sz w:val="20"/>
          <w:lang w:eastAsia="zh-CN"/>
        </w:rPr>
        <w:t>)</w:t>
      </w:r>
      <w:r w:rsidR="00BF3877">
        <w:rPr>
          <w:rFonts w:eastAsiaTheme="minorEastAsia"/>
          <w:sz w:val="20"/>
          <w:lang w:eastAsia="zh-CN"/>
        </w:rPr>
        <w:t xml:space="preserve">. Information encompasses geometrical and alphanumerical content defined in terms of quality, quantity and granularity. </w:t>
      </w:r>
      <w:r w:rsidR="0096478D">
        <w:rPr>
          <w:rFonts w:eastAsiaTheme="minorEastAsia" w:hint="eastAsia"/>
          <w:sz w:val="20"/>
          <w:lang w:eastAsia="zh-CN"/>
        </w:rPr>
        <w:t xml:space="preserve">In </w:t>
      </w:r>
      <w:r w:rsidR="0096478D" w:rsidRPr="00FE5DF1">
        <w:rPr>
          <w:sz w:val="20"/>
        </w:rPr>
        <w:t>(Rives et al., 2020)</w:t>
      </w:r>
      <w:r w:rsidR="0096478D">
        <w:rPr>
          <w:rFonts w:eastAsiaTheme="minorEastAsia" w:hint="eastAsia"/>
          <w:sz w:val="20"/>
          <w:lang w:eastAsia="zh-CN"/>
        </w:rPr>
        <w:t xml:space="preserve">, purposes or </w:t>
      </w:r>
      <w:r w:rsidR="0096478D" w:rsidRPr="00BD5ACE">
        <w:rPr>
          <w:sz w:val="20"/>
        </w:rPr>
        <w:t>use cases</w:t>
      </w:r>
      <w:r w:rsidR="0096478D">
        <w:rPr>
          <w:rFonts w:eastAsiaTheme="minorEastAsia" w:hint="eastAsia"/>
          <w:sz w:val="20"/>
          <w:lang w:eastAsia="zh-CN"/>
        </w:rPr>
        <w:t xml:space="preserve"> of information models</w:t>
      </w:r>
      <w:r w:rsidR="0096478D" w:rsidRPr="00BD5ACE">
        <w:rPr>
          <w:sz w:val="20"/>
        </w:rPr>
        <w:t xml:space="preserve"> </w:t>
      </w:r>
      <w:r w:rsidR="0094391C">
        <w:rPr>
          <w:sz w:val="20"/>
        </w:rPr>
        <w:t xml:space="preserve">for tunnelling </w:t>
      </w:r>
      <w:r w:rsidR="00A26860">
        <w:rPr>
          <w:sz w:val="20"/>
        </w:rPr>
        <w:t>(</w:t>
      </w:r>
      <w:r w:rsidR="0096478D" w:rsidRPr="00BD5ACE">
        <w:rPr>
          <w:sz w:val="20"/>
        </w:rPr>
        <w:t xml:space="preserve">3D ground modelling, design </w:t>
      </w:r>
      <w:r w:rsidR="0096478D" w:rsidRPr="00FE5DF1">
        <w:rPr>
          <w:sz w:val="20"/>
        </w:rPr>
        <w:t>verification, monitoring</w:t>
      </w:r>
      <w:r w:rsidR="00A26860">
        <w:rPr>
          <w:sz w:val="20"/>
        </w:rPr>
        <w:t>, etc)</w:t>
      </w:r>
      <w:r w:rsidR="0096478D">
        <w:rPr>
          <w:rFonts w:eastAsiaTheme="minorEastAsia" w:hint="eastAsia"/>
          <w:sz w:val="20"/>
          <w:lang w:eastAsia="zh-CN"/>
        </w:rPr>
        <w:t xml:space="preserve"> have been proposed, </w:t>
      </w:r>
      <w:r w:rsidR="0096478D">
        <w:rPr>
          <w:rFonts w:eastAsiaTheme="minorEastAsia"/>
          <w:sz w:val="20"/>
          <w:lang w:eastAsia="zh-CN"/>
        </w:rPr>
        <w:t>leading to</w:t>
      </w:r>
      <w:r w:rsidR="0096478D">
        <w:rPr>
          <w:rFonts w:eastAsiaTheme="minorEastAsia" w:hint="eastAsia"/>
          <w:sz w:val="20"/>
          <w:lang w:eastAsia="zh-CN"/>
        </w:rPr>
        <w:t xml:space="preserve"> formulation of model view definitions (MVDs), facilitating the production of information by separate task teams</w:t>
      </w:r>
      <w:r w:rsidR="0096478D">
        <w:rPr>
          <w:rFonts w:eastAsiaTheme="minorEastAsia"/>
          <w:sz w:val="20"/>
          <w:lang w:eastAsia="zh-CN"/>
        </w:rPr>
        <w:t>.</w:t>
      </w:r>
      <w:r w:rsidR="00D15CF2" w:rsidRPr="00D15CF2">
        <w:rPr>
          <w:sz w:val="20"/>
        </w:rPr>
        <w:t xml:space="preserve"> </w:t>
      </w:r>
      <w:r w:rsidR="005C16B6">
        <w:rPr>
          <w:sz w:val="20"/>
        </w:rPr>
        <w:t>Depending on use case,</w:t>
      </w:r>
      <w:r w:rsidR="00D15CF2" w:rsidRPr="00BD5ACE">
        <w:rPr>
          <w:sz w:val="20"/>
        </w:rPr>
        <w:t xml:space="preserve"> </w:t>
      </w:r>
      <w:r w:rsidR="005C16B6">
        <w:rPr>
          <w:sz w:val="20"/>
        </w:rPr>
        <w:t xml:space="preserve">level of information </w:t>
      </w:r>
      <w:r w:rsidR="00AA64F2">
        <w:rPr>
          <w:sz w:val="20"/>
        </w:rPr>
        <w:t>varies</w:t>
      </w:r>
      <w:r w:rsidR="005C16B6">
        <w:rPr>
          <w:sz w:val="20"/>
        </w:rPr>
        <w:t xml:space="preserve"> in both geometrical and alphanumerical content</w:t>
      </w:r>
      <w:r w:rsidR="00AA64F2">
        <w:rPr>
          <w:sz w:val="20"/>
        </w:rPr>
        <w:t>.</w:t>
      </w:r>
    </w:p>
    <w:p w14:paraId="7D32644B" w14:textId="7A420516" w:rsidR="000A364B" w:rsidRPr="00F05EA2" w:rsidRDefault="00AA64F2" w:rsidP="0096478D">
      <w:pPr>
        <w:pStyle w:val="PlainText"/>
        <w:ind w:firstLine="284"/>
        <w:rPr>
          <w:sz w:val="20"/>
        </w:rPr>
      </w:pPr>
      <w:r>
        <w:rPr>
          <w:sz w:val="20"/>
        </w:rPr>
        <w:t xml:space="preserve"> </w:t>
      </w:r>
    </w:p>
    <w:p w14:paraId="113E975F" w14:textId="504BB6C7" w:rsidR="00283E92" w:rsidRPr="00F05EA2" w:rsidRDefault="00094A82" w:rsidP="00A113E7">
      <w:pPr>
        <w:pStyle w:val="PlainText"/>
        <w:rPr>
          <w:sz w:val="20"/>
        </w:rPr>
      </w:pPr>
      <w:r w:rsidRPr="00F05EA2">
        <w:rPr>
          <w:b/>
          <w:sz w:val="20"/>
        </w:rPr>
        <w:t>2.1</w:t>
      </w:r>
      <w:r w:rsidR="0033427B">
        <w:rPr>
          <w:rFonts w:eastAsiaTheme="minorEastAsia" w:hint="eastAsia"/>
          <w:b/>
          <w:sz w:val="20"/>
          <w:lang w:eastAsia="zh-CN"/>
        </w:rPr>
        <w:t xml:space="preserve"> Geometrical </w:t>
      </w:r>
      <w:r w:rsidR="00BD5ACE">
        <w:rPr>
          <w:rFonts w:eastAsiaTheme="minorEastAsia" w:hint="eastAsia"/>
          <w:b/>
          <w:sz w:val="20"/>
          <w:lang w:eastAsia="zh-CN"/>
        </w:rPr>
        <w:t>model</w:t>
      </w:r>
    </w:p>
    <w:p w14:paraId="141C5BAF" w14:textId="62F636D3" w:rsidR="00EA1F87" w:rsidRDefault="00EA1F87" w:rsidP="00BD5ACE">
      <w:pPr>
        <w:pStyle w:val="PlainText"/>
        <w:ind w:firstLine="284"/>
        <w:rPr>
          <w:rFonts w:eastAsiaTheme="minorEastAsia"/>
          <w:sz w:val="20"/>
          <w:lang w:eastAsia="zh-CN"/>
        </w:rPr>
      </w:pPr>
      <w:r w:rsidRPr="00EA1F87">
        <w:rPr>
          <w:rFonts w:eastAsiaTheme="minorEastAsia"/>
          <w:sz w:val="20"/>
          <w:lang w:eastAsia="zh-CN"/>
        </w:rPr>
        <w:t>In recent years, BIM technology or “Digital Engineering” has been implemented in almost all large-scale infrastructure projects. Industry efforts towards BIM in Tunnelling include guidelines published by ITA Working Group 22 “Information Modelling in Tunnelling” which provides recommendations adapted to best practice experience from BIM within tunnelling projects. Another reputable source of supporting BIM in tunnelling is “Digital Design, Construction and Operation of Underground Structures - BIM in Underground Construction” published by the German Tunnelling Committee (DAUB). The information modelling discussed within this paper are in line with these published standards for consistency in implementation.</w:t>
      </w:r>
    </w:p>
    <w:p w14:paraId="1EBAE3A5" w14:textId="36C837F9" w:rsidR="00BD5ACE" w:rsidRDefault="00624192" w:rsidP="00BD5ACE">
      <w:pPr>
        <w:pStyle w:val="PlainText"/>
        <w:ind w:firstLine="284"/>
        <w:rPr>
          <w:rFonts w:eastAsiaTheme="minorEastAsia"/>
          <w:sz w:val="20"/>
          <w:lang w:eastAsia="zh-CN"/>
        </w:rPr>
      </w:pPr>
      <w:r>
        <w:rPr>
          <w:rFonts w:eastAsiaTheme="minorEastAsia" w:hint="eastAsia"/>
          <w:sz w:val="20"/>
          <w:lang w:eastAsia="zh-CN"/>
        </w:rPr>
        <w:t>As shown in Figure 2, multi-</w:t>
      </w:r>
      <w:proofErr w:type="spellStart"/>
      <w:r>
        <w:rPr>
          <w:rFonts w:eastAsiaTheme="minorEastAsia" w:hint="eastAsia"/>
          <w:sz w:val="20"/>
          <w:lang w:eastAsia="zh-CN"/>
        </w:rPr>
        <w:t>LoD</w:t>
      </w:r>
      <w:proofErr w:type="spellEnd"/>
      <w:r>
        <w:rPr>
          <w:rFonts w:eastAsiaTheme="minorEastAsia" w:hint="eastAsia"/>
          <w:sz w:val="20"/>
          <w:lang w:eastAsia="zh-CN"/>
        </w:rPr>
        <w:t xml:space="preserve"> object models with </w:t>
      </w:r>
      <w:r>
        <w:rPr>
          <w:rFonts w:eastAsiaTheme="minorEastAsia"/>
          <w:sz w:val="20"/>
          <w:lang w:eastAsia="zh-CN"/>
        </w:rPr>
        <w:t>property</w:t>
      </w:r>
      <w:r>
        <w:rPr>
          <w:rFonts w:eastAsiaTheme="minorEastAsia" w:hint="eastAsia"/>
          <w:sz w:val="20"/>
          <w:lang w:eastAsia="zh-CN"/>
        </w:rPr>
        <w:t xml:space="preserve"> sets can be </w:t>
      </w:r>
      <w:r>
        <w:rPr>
          <w:rFonts w:eastAsiaTheme="minorEastAsia"/>
          <w:sz w:val="20"/>
          <w:lang w:eastAsia="zh-CN"/>
        </w:rPr>
        <w:t>established</w:t>
      </w:r>
      <w:r>
        <w:rPr>
          <w:rFonts w:eastAsiaTheme="minorEastAsia" w:hint="eastAsia"/>
          <w:sz w:val="20"/>
          <w:lang w:eastAsia="zh-CN"/>
        </w:rPr>
        <w:t>.</w:t>
      </w:r>
      <w:r w:rsidR="00B07DB3">
        <w:rPr>
          <w:rFonts w:eastAsiaTheme="minorEastAsia" w:hint="eastAsia"/>
          <w:sz w:val="20"/>
          <w:lang w:eastAsia="zh-CN"/>
        </w:rPr>
        <w:t xml:space="preserve"> </w:t>
      </w:r>
      <w:r>
        <w:rPr>
          <w:rFonts w:eastAsiaTheme="minorEastAsia" w:hint="eastAsia"/>
          <w:sz w:val="20"/>
          <w:lang w:eastAsia="zh-CN"/>
        </w:rPr>
        <w:t>The g</w:t>
      </w:r>
      <w:r w:rsidR="00BD5ACE" w:rsidRPr="00BD5ACE">
        <w:rPr>
          <w:sz w:val="20"/>
        </w:rPr>
        <w:t>eometrical representation of the modelled objects</w:t>
      </w:r>
      <w:r>
        <w:rPr>
          <w:rFonts w:eastAsiaTheme="minorEastAsia" w:hint="eastAsia"/>
          <w:sz w:val="20"/>
          <w:lang w:eastAsia="zh-CN"/>
        </w:rPr>
        <w:t xml:space="preserve"> include</w:t>
      </w:r>
      <w:r w:rsidR="00BD5ACE" w:rsidRPr="00BD5ACE">
        <w:rPr>
          <w:sz w:val="20"/>
        </w:rPr>
        <w:t xml:space="preserve">: LoD100 – conceptual with a symbolic and generic representation, i.e. alignment and tunnel intrados, with minimal information; LoD200 – generic representation, i.e. inclusion of grout, with approximate quantities, size, shape and location information; LoD300 – specific representation, i.e. ring model, with information such as concrete grade/mix, rebar grade, fibre reinforcement content, etc.; LoD400 – fabrication representation, i.e. segment model, connectors/bolts, etc, with specific information; LoD500 – as-built representation with accuracy in terms of size, shape, location and quantity including fitouts. </w:t>
      </w:r>
    </w:p>
    <w:p w14:paraId="02FD286E" w14:textId="77777777" w:rsidR="001C51A5" w:rsidRDefault="001C51A5" w:rsidP="001C51A5">
      <w:pPr>
        <w:pStyle w:val="PlainText"/>
        <w:ind w:firstLine="284"/>
        <w:rPr>
          <w:rFonts w:eastAsiaTheme="minorEastAsia"/>
          <w:sz w:val="20"/>
          <w:lang w:eastAsia="zh-CN"/>
        </w:rPr>
      </w:pPr>
      <w:r w:rsidRPr="00BD5ACE">
        <w:rPr>
          <w:sz w:val="20"/>
        </w:rPr>
        <w:t xml:space="preserve">Similarly, the </w:t>
      </w:r>
      <w:proofErr w:type="spellStart"/>
      <w:r w:rsidRPr="00BD5ACE">
        <w:rPr>
          <w:sz w:val="20"/>
        </w:rPr>
        <w:t>LoD</w:t>
      </w:r>
      <w:proofErr w:type="spellEnd"/>
      <w:r w:rsidRPr="00BD5ACE">
        <w:rPr>
          <w:sz w:val="20"/>
        </w:rPr>
        <w:t xml:space="preserve"> definitions have been extended to the other underground excavations – mined cavern and prefabricated structure. With the mined cavern, the geometric form of support (rock bolts, canopy tubes) has been spatially considered in LoD100-300, with the specific systems being modelled graphically in LoD400 for fabrication </w:t>
      </w:r>
      <w:r w:rsidRPr="00BD5ACE">
        <w:rPr>
          <w:sz w:val="20"/>
        </w:rPr>
        <w:lastRenderedPageBreak/>
        <w:t xml:space="preserve">purpose. Prefabricated station largely assembled a shield tunnel in terms of production process, i.e. installation of prefabricated components (as opposed to prefabricated segments in shield tunnelling), thus following a similar definition at different LoDs. </w:t>
      </w:r>
      <w:r w:rsidRPr="008162F6">
        <w:rPr>
          <w:sz w:val="20"/>
        </w:rPr>
        <w:t>Appendix B of (ITA, 2022)</w:t>
      </w:r>
      <w:r w:rsidRPr="00BD5ACE">
        <w:rPr>
          <w:sz w:val="20"/>
        </w:rPr>
        <w:t xml:space="preserve"> provides a level of LOD proposal organised along typical project stages for bored tunnels, readers are encouraged to refer to that list for more information.</w:t>
      </w:r>
    </w:p>
    <w:p w14:paraId="26B1D225" w14:textId="77777777" w:rsidR="005E7249" w:rsidRPr="005E7249" w:rsidRDefault="005E7249" w:rsidP="001C51A5">
      <w:pPr>
        <w:pStyle w:val="PlainText"/>
        <w:ind w:firstLine="284"/>
        <w:rPr>
          <w:rFonts w:eastAsiaTheme="minorEastAsia"/>
          <w:sz w:val="20"/>
          <w:lang w:eastAsia="zh-CN"/>
        </w:rPr>
      </w:pPr>
    </w:p>
    <w:p w14:paraId="035288E7" w14:textId="36EC7C9B" w:rsidR="00BD5ACE" w:rsidRPr="00E21E15" w:rsidRDefault="006C13C4" w:rsidP="00BD5ACE">
      <w:pPr>
        <w:spacing w:after="120"/>
        <w:rPr>
          <w:rFonts w:ascii="Times New Roman" w:hAnsi="Times New Roman"/>
          <w:szCs w:val="20"/>
        </w:rPr>
      </w:pPr>
      <w:r>
        <w:rPr>
          <w:rFonts w:ascii="Times New Roman" w:hAnsi="Times New Roman"/>
          <w:noProof/>
          <w:szCs w:val="20"/>
        </w:rPr>
        <w:drawing>
          <wp:inline distT="0" distB="0" distL="0" distR="0" wp14:anchorId="04B2B13D" wp14:editId="668D7310">
            <wp:extent cx="2900680" cy="1730906"/>
            <wp:effectExtent l="0" t="0" r="0" b="317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17"/>
                    <a:stretch>
                      <a:fillRect/>
                    </a:stretch>
                  </pic:blipFill>
                  <pic:spPr bwMode="auto">
                    <a:xfrm>
                      <a:off x="0" y="0"/>
                      <a:ext cx="2900680" cy="1730906"/>
                    </a:xfrm>
                    <a:prstGeom prst="rect">
                      <a:avLst/>
                    </a:prstGeom>
                    <a:noFill/>
                    <a:ln>
                      <a:noFill/>
                    </a:ln>
                  </pic:spPr>
                </pic:pic>
              </a:graphicData>
            </a:graphic>
          </wp:inline>
        </w:drawing>
      </w:r>
    </w:p>
    <w:p w14:paraId="4C6A9A16" w14:textId="1515B4D8" w:rsidR="00BD5ACE" w:rsidRDefault="00BD5ACE" w:rsidP="006C13C4">
      <w:pPr>
        <w:rPr>
          <w:rStyle w:val="CaptionfigtableChar"/>
          <w:rFonts w:eastAsiaTheme="minorEastAsia"/>
          <w:b w:val="0"/>
          <w:bCs/>
          <w:lang w:eastAsia="zh-CN"/>
        </w:rPr>
      </w:pPr>
      <w:bookmarkStart w:id="0" w:name="_Hlk196478612"/>
      <w:r w:rsidRPr="00BD5ACE">
        <w:rPr>
          <w:rStyle w:val="CaptionfigtableChar"/>
          <w:b w:val="0"/>
          <w:bCs/>
        </w:rPr>
        <w:t xml:space="preserve">Figure </w:t>
      </w:r>
      <w:r w:rsidR="00040C2B">
        <w:rPr>
          <w:rStyle w:val="CaptionfigtableChar"/>
          <w:rFonts w:eastAsiaTheme="minorEastAsia" w:hint="eastAsia"/>
          <w:b w:val="0"/>
          <w:bCs/>
          <w:lang w:eastAsia="zh-CN"/>
        </w:rPr>
        <w:t>2</w:t>
      </w:r>
      <w:r w:rsidRPr="00BD5ACE">
        <w:rPr>
          <w:rStyle w:val="CaptionfigtableChar"/>
          <w:b w:val="0"/>
          <w:bCs/>
        </w:rPr>
        <w:t xml:space="preserve">: </w:t>
      </w:r>
      <w:r>
        <w:rPr>
          <w:rStyle w:val="CaptionfigtableChar"/>
          <w:rFonts w:eastAsiaTheme="minorEastAsia" w:hint="eastAsia"/>
          <w:b w:val="0"/>
          <w:bCs/>
          <w:lang w:eastAsia="zh-CN"/>
        </w:rPr>
        <w:t>Parametric modelling of</w:t>
      </w:r>
      <w:bookmarkEnd w:id="0"/>
      <w:r w:rsidR="001F4ECE">
        <w:rPr>
          <w:rStyle w:val="CaptionfigtableChar"/>
          <w:rFonts w:eastAsiaTheme="minorEastAsia"/>
          <w:b w:val="0"/>
          <w:bCs/>
          <w:lang w:eastAsia="zh-CN"/>
        </w:rPr>
        <w:t xml:space="preserve"> underground infrastructure by type</w:t>
      </w:r>
      <w:r w:rsidRPr="00BD5ACE">
        <w:rPr>
          <w:rStyle w:val="CaptionfigtableChar"/>
          <w:b w:val="0"/>
          <w:bCs/>
        </w:rPr>
        <w:t>.</w:t>
      </w:r>
    </w:p>
    <w:p w14:paraId="29E289B3" w14:textId="401080A4" w:rsidR="00D461B2" w:rsidRPr="00BD5ACE" w:rsidRDefault="00D461B2" w:rsidP="00071583">
      <w:pPr>
        <w:pStyle w:val="PlainText"/>
        <w:rPr>
          <w:rFonts w:eastAsiaTheme="minorEastAsia"/>
          <w:sz w:val="20"/>
          <w:lang w:eastAsia="zh-CN"/>
        </w:rPr>
      </w:pPr>
    </w:p>
    <w:p w14:paraId="337B9655" w14:textId="0C98C8DD" w:rsidR="00D461B2" w:rsidRPr="00BD5ACE" w:rsidRDefault="00094A82" w:rsidP="00A113E7">
      <w:pPr>
        <w:pStyle w:val="PlainText"/>
        <w:rPr>
          <w:rFonts w:eastAsiaTheme="minorEastAsia"/>
          <w:b/>
          <w:sz w:val="20"/>
          <w:lang w:eastAsia="zh-CN"/>
        </w:rPr>
      </w:pPr>
      <w:r w:rsidRPr="00F05EA2">
        <w:rPr>
          <w:b/>
          <w:sz w:val="20"/>
        </w:rPr>
        <w:t xml:space="preserve">2.2 </w:t>
      </w:r>
      <w:r w:rsidR="00624192">
        <w:rPr>
          <w:rFonts w:eastAsiaTheme="minorEastAsia" w:hint="eastAsia"/>
          <w:b/>
          <w:sz w:val="20"/>
          <w:lang w:eastAsia="zh-CN"/>
        </w:rPr>
        <w:t>Multi-</w:t>
      </w:r>
      <w:r w:rsidR="00624192">
        <w:rPr>
          <w:rFonts w:eastAsiaTheme="minorEastAsia"/>
          <w:b/>
          <w:sz w:val="20"/>
          <w:lang w:eastAsia="zh-CN"/>
        </w:rPr>
        <w:t>disciplinary</w:t>
      </w:r>
      <w:r w:rsidR="00624192">
        <w:rPr>
          <w:rFonts w:eastAsiaTheme="minorEastAsia" w:hint="eastAsia"/>
          <w:b/>
          <w:sz w:val="20"/>
          <w:lang w:eastAsia="zh-CN"/>
        </w:rPr>
        <w:t xml:space="preserve"> model</w:t>
      </w:r>
    </w:p>
    <w:p w14:paraId="68E09280" w14:textId="6855B7B7" w:rsidR="00624192" w:rsidRDefault="00624192" w:rsidP="005E7249">
      <w:pPr>
        <w:ind w:firstLine="284"/>
        <w:contextualSpacing/>
        <w:jc w:val="both"/>
        <w:rPr>
          <w:rFonts w:eastAsiaTheme="minorEastAsia" w:cs="Arial"/>
          <w:b w:val="0"/>
          <w:sz w:val="20"/>
          <w:szCs w:val="20"/>
          <w:lang w:eastAsia="zh-CN"/>
        </w:rPr>
      </w:pPr>
      <w:r w:rsidRPr="00624192">
        <w:rPr>
          <w:rFonts w:eastAsia="MS Mincho" w:cs="Arial"/>
          <w:b w:val="0"/>
          <w:sz w:val="20"/>
          <w:szCs w:val="20"/>
        </w:rPr>
        <w:t xml:space="preserve">Investigation and verification into tunnel design commences with selection of site and surveying of the existing conditions. </w:t>
      </w:r>
      <w:r w:rsidRPr="00624192">
        <w:rPr>
          <w:rFonts w:eastAsia="MS Mincho" w:cs="Arial" w:hint="eastAsia"/>
          <w:b w:val="0"/>
          <w:sz w:val="20"/>
          <w:szCs w:val="20"/>
        </w:rPr>
        <w:t xml:space="preserve">Subsurface characterisation for geotechnical analysis of tunnelling is firstly performed. </w:t>
      </w:r>
      <w:r w:rsidRPr="00624192">
        <w:rPr>
          <w:rFonts w:eastAsia="MS Mincho" w:cs="Arial"/>
          <w:b w:val="0"/>
          <w:sz w:val="20"/>
          <w:szCs w:val="20"/>
        </w:rPr>
        <w:t>An algorithm is developed</w:t>
      </w:r>
      <w:r w:rsidRPr="00624192">
        <w:rPr>
          <w:rFonts w:eastAsia="MS Mincho" w:cs="Arial" w:hint="eastAsia"/>
          <w:b w:val="0"/>
          <w:sz w:val="20"/>
          <w:szCs w:val="20"/>
        </w:rPr>
        <w:t xml:space="preserve"> in the Revit plug-in, visual programming tool</w:t>
      </w:r>
      <w:r w:rsidR="000263AC">
        <w:rPr>
          <w:rFonts w:eastAsia="MS Mincho" w:cs="Arial"/>
          <w:b w:val="0"/>
          <w:sz w:val="20"/>
          <w:szCs w:val="20"/>
        </w:rPr>
        <w:t xml:space="preserve"> </w:t>
      </w:r>
      <w:r w:rsidRPr="00624192">
        <w:rPr>
          <w:rFonts w:eastAsia="MS Mincho" w:cs="Arial" w:hint="eastAsia"/>
          <w:b w:val="0"/>
          <w:sz w:val="20"/>
          <w:szCs w:val="20"/>
        </w:rPr>
        <w:t>Dynamo</w:t>
      </w:r>
      <w:r w:rsidRPr="00624192">
        <w:rPr>
          <w:rFonts w:eastAsia="MS Mincho" w:cs="Arial"/>
          <w:b w:val="0"/>
          <w:sz w:val="20"/>
          <w:szCs w:val="20"/>
        </w:rPr>
        <w:t xml:space="preserve"> to automatically retrieve and combine the geological data given in form of the borehole data to model and characterise the subsurface conditions. This process first retrieves borehole data stored in Excel format</w:t>
      </w:r>
      <w:r w:rsidRPr="00624192">
        <w:rPr>
          <w:rFonts w:eastAsia="MS Mincho" w:cs="Arial" w:hint="eastAsia"/>
          <w:b w:val="0"/>
          <w:sz w:val="20"/>
          <w:szCs w:val="20"/>
        </w:rPr>
        <w:t xml:space="preserve">, and constructed borehole models as illustrated in Figure 3 (a). This is followed by instantiating topographies and simple stratified geological </w:t>
      </w:r>
      <w:r w:rsidRPr="00624192">
        <w:rPr>
          <w:rFonts w:eastAsia="MS Mincho" w:cs="Arial"/>
          <w:b w:val="0"/>
          <w:sz w:val="20"/>
          <w:szCs w:val="20"/>
        </w:rPr>
        <w:t>models</w:t>
      </w:r>
      <w:r w:rsidRPr="00624192">
        <w:rPr>
          <w:rFonts w:eastAsia="MS Mincho" w:cs="Arial" w:hint="eastAsia"/>
          <w:b w:val="0"/>
          <w:sz w:val="20"/>
          <w:szCs w:val="20"/>
        </w:rPr>
        <w:t xml:space="preserve"> as illustrated in Figure 3 (b). Finally, the model is scaled down to the domain of study, by defining a boundary box that creates a section of suitable size. Within the project domain, the instantiation of tunnel models is performed as shown in Figure 3 (c). The parametric modelling procedures to generate tunnel models at varied </w:t>
      </w:r>
      <w:proofErr w:type="spellStart"/>
      <w:r w:rsidRPr="00624192">
        <w:rPr>
          <w:rFonts w:eastAsia="MS Mincho" w:cs="Arial" w:hint="eastAsia"/>
          <w:b w:val="0"/>
          <w:sz w:val="20"/>
          <w:szCs w:val="20"/>
        </w:rPr>
        <w:t>LoD</w:t>
      </w:r>
      <w:proofErr w:type="spellEnd"/>
      <w:r w:rsidRPr="00624192">
        <w:rPr>
          <w:rFonts w:eastAsia="MS Mincho" w:cs="Arial" w:hint="eastAsia"/>
          <w:b w:val="0"/>
          <w:sz w:val="20"/>
          <w:szCs w:val="20"/>
        </w:rPr>
        <w:t xml:space="preserve"> has been discussed in papers (</w:t>
      </w:r>
      <w:proofErr w:type="spellStart"/>
      <w:r w:rsidRPr="00624192">
        <w:rPr>
          <w:rFonts w:eastAsia="MS Mincho" w:cs="Arial"/>
          <w:b w:val="0"/>
          <w:sz w:val="20"/>
          <w:szCs w:val="20"/>
        </w:rPr>
        <w:t>Ninić</w:t>
      </w:r>
      <w:proofErr w:type="spellEnd"/>
      <w:r w:rsidRPr="00624192">
        <w:rPr>
          <w:rFonts w:eastAsia="MS Mincho" w:cs="Arial" w:hint="eastAsia"/>
          <w:b w:val="0"/>
          <w:sz w:val="20"/>
          <w:szCs w:val="20"/>
        </w:rPr>
        <w:t xml:space="preserve"> et al., 2020a; </w:t>
      </w:r>
      <w:proofErr w:type="spellStart"/>
      <w:r w:rsidRPr="00624192">
        <w:rPr>
          <w:rFonts w:eastAsia="MS Mincho" w:cs="Arial"/>
          <w:b w:val="0"/>
          <w:sz w:val="20"/>
          <w:szCs w:val="20"/>
        </w:rPr>
        <w:t>Ninić</w:t>
      </w:r>
      <w:proofErr w:type="spellEnd"/>
      <w:r w:rsidRPr="00624192">
        <w:rPr>
          <w:rFonts w:eastAsia="MS Mincho" w:cs="Arial" w:hint="eastAsia"/>
          <w:b w:val="0"/>
          <w:sz w:val="20"/>
          <w:szCs w:val="20"/>
        </w:rPr>
        <w:t xml:space="preserve"> et al., 2020b)</w:t>
      </w:r>
      <w:r w:rsidR="00251D87">
        <w:rPr>
          <w:rFonts w:eastAsia="MS Mincho" w:cs="Arial"/>
          <w:b w:val="0"/>
          <w:sz w:val="20"/>
          <w:szCs w:val="20"/>
        </w:rPr>
        <w:t>, leveraging</w:t>
      </w:r>
      <w:r w:rsidRPr="00624192">
        <w:rPr>
          <w:rFonts w:eastAsia="MS Mincho" w:cs="Arial" w:hint="eastAsia"/>
          <w:b w:val="0"/>
          <w:sz w:val="20"/>
          <w:szCs w:val="20"/>
        </w:rPr>
        <w:t xml:space="preserve"> BIM tools that facilitate parametric solid modelling and parametric assembly modelling in a BIM-design authoring process (Sacks et al., 2018; Huang et al., 2021). Interested readers are recommended to refer to </w:t>
      </w:r>
      <w:r w:rsidRPr="00624192">
        <w:rPr>
          <w:rFonts w:eastAsia="MS Mincho" w:cs="Arial"/>
          <w:b w:val="0"/>
          <w:sz w:val="20"/>
          <w:szCs w:val="20"/>
        </w:rPr>
        <w:t>th</w:t>
      </w:r>
      <w:r w:rsidRPr="00624192">
        <w:rPr>
          <w:rFonts w:eastAsia="MS Mincho" w:cs="Arial" w:hint="eastAsia"/>
          <w:b w:val="0"/>
          <w:sz w:val="20"/>
          <w:szCs w:val="20"/>
        </w:rPr>
        <w:t>ese</w:t>
      </w:r>
      <w:r w:rsidRPr="00624192">
        <w:rPr>
          <w:rFonts w:eastAsia="MS Mincho" w:cs="Arial"/>
          <w:b w:val="0"/>
          <w:sz w:val="20"/>
          <w:szCs w:val="20"/>
        </w:rPr>
        <w:t xml:space="preserve"> literature</w:t>
      </w:r>
      <w:r w:rsidRPr="00624192">
        <w:rPr>
          <w:rFonts w:eastAsia="MS Mincho" w:cs="Arial" w:hint="eastAsia"/>
          <w:b w:val="0"/>
          <w:sz w:val="20"/>
          <w:szCs w:val="20"/>
        </w:rPr>
        <w:t>s for more information</w:t>
      </w:r>
      <w:r w:rsidRPr="00862EF2">
        <w:rPr>
          <w:rFonts w:eastAsiaTheme="minorEastAsia" w:cs="Arial" w:hint="eastAsia"/>
          <w:b w:val="0"/>
          <w:sz w:val="20"/>
          <w:szCs w:val="20"/>
          <w:lang w:eastAsia="zh-CN"/>
        </w:rPr>
        <w:t>.</w:t>
      </w:r>
    </w:p>
    <w:p w14:paraId="13DDA4A3" w14:textId="77777777" w:rsidR="005E7249" w:rsidRPr="00624192" w:rsidRDefault="005E7249" w:rsidP="005E7249">
      <w:pPr>
        <w:pStyle w:val="PlainText"/>
        <w:rPr>
          <w:rFonts w:eastAsiaTheme="minorEastAsia"/>
          <w:lang w:eastAsia="zh-CN"/>
        </w:rPr>
      </w:pPr>
    </w:p>
    <w:p w14:paraId="27D17546" w14:textId="1A62107E" w:rsidR="00624192" w:rsidRDefault="006C13C4" w:rsidP="00DE1562">
      <w:pPr>
        <w:pStyle w:val="PlainText"/>
        <w:jc w:val="center"/>
        <w:rPr>
          <w:rFonts w:eastAsiaTheme="minorEastAsia"/>
          <w:noProof/>
          <w:lang w:eastAsia="zh-CN"/>
        </w:rPr>
      </w:pPr>
      <w:r w:rsidRPr="00FF6540">
        <w:rPr>
          <w:noProof/>
        </w:rPr>
        <w:drawing>
          <wp:inline distT="0" distB="0" distL="0" distR="0" wp14:anchorId="372452D5" wp14:editId="33D2004B">
            <wp:extent cx="2522220" cy="1544955"/>
            <wp:effectExtent l="0" t="0" r="0" b="0"/>
            <wp:docPr id="16" name="Picture 1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creenshot of a computer scree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2220" cy="1544955"/>
                    </a:xfrm>
                    <a:prstGeom prst="rect">
                      <a:avLst/>
                    </a:prstGeom>
                    <a:noFill/>
                    <a:ln>
                      <a:noFill/>
                    </a:ln>
                  </pic:spPr>
                </pic:pic>
              </a:graphicData>
            </a:graphic>
          </wp:inline>
        </w:drawing>
      </w:r>
    </w:p>
    <w:p w14:paraId="38996448" w14:textId="67BE11CF" w:rsidR="00624192" w:rsidRPr="00624192" w:rsidRDefault="00624192" w:rsidP="00DE1562">
      <w:pPr>
        <w:pStyle w:val="PlainText"/>
        <w:jc w:val="center"/>
        <w:rPr>
          <w:rFonts w:eastAsiaTheme="minorEastAsia"/>
          <w:i/>
          <w:iCs/>
          <w:noProof/>
          <w:lang w:eastAsia="zh-CN"/>
        </w:rPr>
      </w:pPr>
      <w:r w:rsidRPr="00624192">
        <w:rPr>
          <w:rFonts w:eastAsiaTheme="minorEastAsia" w:hint="eastAsia"/>
          <w:i/>
          <w:iCs/>
          <w:noProof/>
          <w:lang w:eastAsia="zh-CN"/>
        </w:rPr>
        <w:t>(a)</w:t>
      </w:r>
    </w:p>
    <w:p w14:paraId="394EFEC6" w14:textId="38243E82" w:rsidR="00624192" w:rsidRDefault="006C13C4" w:rsidP="00DE1562">
      <w:pPr>
        <w:pStyle w:val="PlainText"/>
        <w:jc w:val="center"/>
        <w:rPr>
          <w:rFonts w:eastAsiaTheme="minorEastAsia"/>
          <w:noProof/>
          <w:lang w:eastAsia="zh-CN"/>
        </w:rPr>
      </w:pPr>
      <w:r w:rsidRPr="00FF6540">
        <w:rPr>
          <w:noProof/>
        </w:rPr>
        <w:drawing>
          <wp:inline distT="0" distB="0" distL="0" distR="0" wp14:anchorId="17BFF049" wp14:editId="639BC74F">
            <wp:extent cx="2522220" cy="1544955"/>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2220" cy="1544955"/>
                    </a:xfrm>
                    <a:prstGeom prst="rect">
                      <a:avLst/>
                    </a:prstGeom>
                    <a:noFill/>
                    <a:ln>
                      <a:noFill/>
                    </a:ln>
                  </pic:spPr>
                </pic:pic>
              </a:graphicData>
            </a:graphic>
          </wp:inline>
        </w:drawing>
      </w:r>
    </w:p>
    <w:p w14:paraId="3769F862" w14:textId="2372CE5F" w:rsidR="00624192" w:rsidRPr="00624192" w:rsidRDefault="00624192" w:rsidP="00DE1562">
      <w:pPr>
        <w:pStyle w:val="PlainText"/>
        <w:jc w:val="center"/>
        <w:rPr>
          <w:rFonts w:eastAsiaTheme="minorEastAsia"/>
          <w:i/>
          <w:iCs/>
          <w:noProof/>
          <w:lang w:eastAsia="zh-CN"/>
        </w:rPr>
      </w:pPr>
      <w:r w:rsidRPr="00624192">
        <w:rPr>
          <w:rFonts w:eastAsiaTheme="minorEastAsia" w:hint="eastAsia"/>
          <w:i/>
          <w:iCs/>
          <w:noProof/>
          <w:lang w:eastAsia="zh-CN"/>
        </w:rPr>
        <w:t>(b)</w:t>
      </w:r>
    </w:p>
    <w:p w14:paraId="0434FC6F" w14:textId="71D08D08" w:rsidR="00624192" w:rsidRDefault="006C13C4" w:rsidP="00DE1562">
      <w:pPr>
        <w:pStyle w:val="PlainText"/>
        <w:jc w:val="center"/>
        <w:rPr>
          <w:rFonts w:eastAsiaTheme="minorEastAsia"/>
          <w:noProof/>
          <w:lang w:eastAsia="zh-CN"/>
        </w:rPr>
      </w:pPr>
      <w:r w:rsidRPr="00FF6540">
        <w:rPr>
          <w:noProof/>
        </w:rPr>
        <w:drawing>
          <wp:inline distT="0" distB="0" distL="0" distR="0" wp14:anchorId="60C5A153" wp14:editId="421A6BC7">
            <wp:extent cx="2900680" cy="977265"/>
            <wp:effectExtent l="0" t="0" r="0" b="0"/>
            <wp:docPr id="33" name="Picture 13"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iagram of a structur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0680" cy="977265"/>
                    </a:xfrm>
                    <a:prstGeom prst="rect">
                      <a:avLst/>
                    </a:prstGeom>
                    <a:noFill/>
                    <a:ln>
                      <a:noFill/>
                    </a:ln>
                  </pic:spPr>
                </pic:pic>
              </a:graphicData>
            </a:graphic>
          </wp:inline>
        </w:drawing>
      </w:r>
    </w:p>
    <w:p w14:paraId="416F35E1" w14:textId="66559A55" w:rsidR="00624192" w:rsidRPr="00624192" w:rsidRDefault="00624192" w:rsidP="00DE1562">
      <w:pPr>
        <w:pStyle w:val="PlainText"/>
        <w:jc w:val="center"/>
        <w:rPr>
          <w:rFonts w:eastAsiaTheme="minorEastAsia"/>
          <w:i/>
          <w:iCs/>
          <w:sz w:val="20"/>
          <w:lang w:eastAsia="zh-CN"/>
        </w:rPr>
      </w:pPr>
      <w:r w:rsidRPr="00624192">
        <w:rPr>
          <w:rFonts w:eastAsiaTheme="minorEastAsia" w:hint="eastAsia"/>
          <w:i/>
          <w:iCs/>
          <w:noProof/>
          <w:lang w:eastAsia="zh-CN"/>
        </w:rPr>
        <w:t>(c)</w:t>
      </w:r>
    </w:p>
    <w:p w14:paraId="44F14C7C" w14:textId="2DF5E399" w:rsidR="00452605" w:rsidRDefault="00452605" w:rsidP="008D1758">
      <w:pPr>
        <w:pStyle w:val="PlainText"/>
        <w:jc w:val="left"/>
        <w:rPr>
          <w:rStyle w:val="CaptionfigtableChar"/>
          <w:rFonts w:eastAsiaTheme="minorEastAsia"/>
          <w:lang w:eastAsia="zh-CN"/>
        </w:rPr>
      </w:pPr>
      <w:bookmarkStart w:id="1" w:name="_Hlk196477605"/>
      <w:r w:rsidRPr="00F05EA2">
        <w:rPr>
          <w:rStyle w:val="CaptionfigtableChar"/>
        </w:rPr>
        <w:t xml:space="preserve">Figure </w:t>
      </w:r>
      <w:r w:rsidR="00624192">
        <w:rPr>
          <w:rStyle w:val="CaptionfigtableChar"/>
          <w:rFonts w:eastAsiaTheme="minorEastAsia" w:hint="eastAsia"/>
          <w:lang w:eastAsia="zh-CN"/>
        </w:rPr>
        <w:t>3</w:t>
      </w:r>
      <w:r w:rsidRPr="00F05EA2">
        <w:rPr>
          <w:rStyle w:val="CaptionfigtableChar"/>
        </w:rPr>
        <w:t xml:space="preserve">: </w:t>
      </w:r>
      <w:r w:rsidR="00624192" w:rsidRPr="00624192">
        <w:rPr>
          <w:rStyle w:val="CaptionfigtableChar"/>
        </w:rPr>
        <w:t>modelling of surrounding environment via the steps of (a) instantiations of virtual borehole models by georeferencing a spreadsheet containing the coordinates and strata information of borehole logs; (b) topographies and geological strata models; (c) project domain scoped section with tunnel model instantiation (LoD300-400, i.e. with lining segments of different types)</w:t>
      </w:r>
      <w:r w:rsidR="00624192">
        <w:rPr>
          <w:rStyle w:val="CaptionfigtableChar"/>
          <w:rFonts w:eastAsiaTheme="minorEastAsia" w:hint="eastAsia"/>
          <w:lang w:eastAsia="zh-CN"/>
        </w:rPr>
        <w:t>.</w:t>
      </w:r>
      <w:bookmarkEnd w:id="1"/>
    </w:p>
    <w:p w14:paraId="78100796" w14:textId="77777777" w:rsidR="00C06233" w:rsidRDefault="00C06233" w:rsidP="00452605">
      <w:pPr>
        <w:pStyle w:val="PlainText"/>
        <w:rPr>
          <w:rFonts w:eastAsiaTheme="minorEastAsia"/>
          <w:sz w:val="20"/>
          <w:lang w:eastAsia="zh-CN"/>
        </w:rPr>
      </w:pPr>
    </w:p>
    <w:p w14:paraId="3ACEFD64" w14:textId="238B8052" w:rsidR="00040C2B" w:rsidRDefault="00040C2B" w:rsidP="00040C2B">
      <w:pPr>
        <w:pStyle w:val="PlainText"/>
        <w:ind w:firstLine="284"/>
        <w:rPr>
          <w:rFonts w:eastAsiaTheme="minorEastAsia"/>
          <w:sz w:val="20"/>
          <w:lang w:eastAsia="zh-CN"/>
        </w:rPr>
      </w:pPr>
      <w:r w:rsidRPr="00040C2B">
        <w:rPr>
          <w:rFonts w:hint="eastAsia"/>
          <w:sz w:val="20"/>
        </w:rPr>
        <w:t xml:space="preserve">Furthermore, to assess the impact of tunnelling on the existing </w:t>
      </w:r>
      <w:r w:rsidRPr="00040C2B">
        <w:rPr>
          <w:sz w:val="20"/>
        </w:rPr>
        <w:t>environment</w:t>
      </w:r>
      <w:r w:rsidRPr="00040C2B">
        <w:rPr>
          <w:rFonts w:hint="eastAsia"/>
          <w:sz w:val="20"/>
        </w:rPr>
        <w:t>, the above-ground buildings have been modelled. A</w:t>
      </w:r>
      <w:r w:rsidRPr="00040C2B">
        <w:rPr>
          <w:sz w:val="20"/>
        </w:rPr>
        <w:t xml:space="preserve"> site near the proposed Monash station</w:t>
      </w:r>
      <w:r w:rsidRPr="00040C2B">
        <w:rPr>
          <w:rFonts w:hint="eastAsia"/>
          <w:sz w:val="20"/>
        </w:rPr>
        <w:t xml:space="preserve"> of Suburban Rail Loop (SRL) East Package</w:t>
      </w:r>
      <w:r w:rsidRPr="00040C2B">
        <w:rPr>
          <w:sz w:val="20"/>
        </w:rPr>
        <w:t xml:space="preserve"> is selected for demonstrating the feasibility of the framework. </w:t>
      </w:r>
      <w:r w:rsidRPr="00040C2B">
        <w:rPr>
          <w:rFonts w:hint="eastAsia"/>
          <w:sz w:val="20"/>
        </w:rPr>
        <w:t xml:space="preserve">Figure 4 (a) illustrates the site localisation </w:t>
      </w:r>
      <w:r w:rsidR="002D4136" w:rsidRPr="00040C2B">
        <w:rPr>
          <w:sz w:val="20"/>
        </w:rPr>
        <w:t>process;</w:t>
      </w:r>
      <w:r w:rsidRPr="00040C2B">
        <w:rPr>
          <w:rFonts w:hint="eastAsia"/>
          <w:sz w:val="20"/>
        </w:rPr>
        <w:t xml:space="preserve"> geographical information data of the selected site is obtained from the open-source mapping service </w:t>
      </w:r>
      <w:r w:rsidRPr="00040C2B">
        <w:rPr>
          <w:sz w:val="20"/>
        </w:rPr>
        <w:t>“</w:t>
      </w:r>
      <w:r w:rsidRPr="00040C2B">
        <w:rPr>
          <w:rFonts w:hint="eastAsia"/>
          <w:sz w:val="20"/>
        </w:rPr>
        <w:t>OpenStreetMap</w:t>
      </w:r>
      <w:r w:rsidRPr="00040C2B">
        <w:rPr>
          <w:sz w:val="20"/>
        </w:rPr>
        <w:t>”</w:t>
      </w:r>
      <w:r w:rsidRPr="00040C2B">
        <w:rPr>
          <w:rFonts w:hint="eastAsia"/>
          <w:sz w:val="20"/>
        </w:rPr>
        <w:t xml:space="preserve"> in the format of </w:t>
      </w:r>
      <w:r w:rsidRPr="00040C2B">
        <w:rPr>
          <w:sz w:val="20"/>
        </w:rPr>
        <w:t>“</w:t>
      </w:r>
      <w:r w:rsidRPr="00040C2B">
        <w:rPr>
          <w:rFonts w:hint="eastAsia"/>
          <w:sz w:val="20"/>
        </w:rPr>
        <w:t>.OSM</w:t>
      </w:r>
      <w:r w:rsidRPr="00040C2B">
        <w:rPr>
          <w:sz w:val="20"/>
        </w:rPr>
        <w:t>”</w:t>
      </w:r>
      <w:r w:rsidRPr="00040C2B">
        <w:rPr>
          <w:rFonts w:hint="eastAsia"/>
          <w:sz w:val="20"/>
        </w:rPr>
        <w:t xml:space="preserve">. With </w:t>
      </w:r>
      <w:r w:rsidRPr="00040C2B">
        <w:rPr>
          <w:sz w:val="20"/>
        </w:rPr>
        <w:t>several custom Dynamo packages</w:t>
      </w:r>
      <w:r w:rsidRPr="00040C2B">
        <w:rPr>
          <w:rFonts w:hint="eastAsia"/>
          <w:sz w:val="20"/>
        </w:rPr>
        <w:t xml:space="preserve"> being used to read the metadata associated with the OSM file, including categories of the as-built </w:t>
      </w:r>
      <w:r w:rsidRPr="00040C2B">
        <w:rPr>
          <w:sz w:val="20"/>
        </w:rPr>
        <w:t>environments</w:t>
      </w:r>
      <w:r w:rsidRPr="00040C2B">
        <w:rPr>
          <w:rFonts w:hint="eastAsia"/>
          <w:sz w:val="20"/>
        </w:rPr>
        <w:t xml:space="preserve">, e.g. </w:t>
      </w:r>
      <w:r w:rsidR="006664C6" w:rsidRPr="00040C2B">
        <w:rPr>
          <w:sz w:val="20"/>
        </w:rPr>
        <w:t>aerial way</w:t>
      </w:r>
      <w:r w:rsidRPr="00040C2B">
        <w:rPr>
          <w:rFonts w:hint="eastAsia"/>
          <w:sz w:val="20"/>
        </w:rPr>
        <w:t xml:space="preserve">, building, highway, </w:t>
      </w:r>
      <w:r w:rsidR="006664C6" w:rsidRPr="00040C2B">
        <w:rPr>
          <w:sz w:val="20"/>
        </w:rPr>
        <w:t>land use</w:t>
      </w:r>
      <w:r w:rsidRPr="00040C2B">
        <w:rPr>
          <w:rFonts w:hint="eastAsia"/>
          <w:sz w:val="20"/>
        </w:rPr>
        <w:t xml:space="preserve">, etc. With the </w:t>
      </w:r>
      <w:r w:rsidRPr="00040C2B">
        <w:rPr>
          <w:sz w:val="20"/>
        </w:rPr>
        <w:t>“</w:t>
      </w:r>
      <w:r w:rsidRPr="00040C2B">
        <w:rPr>
          <w:rFonts w:hint="eastAsia"/>
          <w:sz w:val="20"/>
        </w:rPr>
        <w:t>building</w:t>
      </w:r>
      <w:r w:rsidRPr="00040C2B">
        <w:rPr>
          <w:sz w:val="20"/>
        </w:rPr>
        <w:t>”</w:t>
      </w:r>
      <w:r w:rsidRPr="00040C2B">
        <w:rPr>
          <w:rFonts w:hint="eastAsia"/>
          <w:sz w:val="20"/>
        </w:rPr>
        <w:t xml:space="preserve"> category being selected, the polygons that define the building boundaries are created. Then the specific metadata of building level will be extracted to allow generic models being created by vertically extruding the polygonal profiles. The extrusion is governed by the </w:t>
      </w:r>
      <w:r w:rsidRPr="00040C2B">
        <w:rPr>
          <w:rFonts w:hint="eastAsia"/>
          <w:sz w:val="20"/>
        </w:rPr>
        <w:lastRenderedPageBreak/>
        <w:t>number of level times 3 meters per level, forming instances of generic objects representing buildings, as shown in Figure 4 (b). A similar result could be achieved without the use of the custom package but by exporting CAD models of buildings from online portal such as cadmapper.com. This alternative solution would be more robust as it is independent of custom packages or versions of Dynamo, however, less automated compared to the current workflow. The results of the integrated project existing conditions (geological, buildings and tunnels) are shown in Figure 4 (c).</w:t>
      </w:r>
    </w:p>
    <w:p w14:paraId="5B966F31" w14:textId="3B9CAC2E" w:rsidR="00040C2B" w:rsidRDefault="006C13C4" w:rsidP="00040C2B">
      <w:pPr>
        <w:pStyle w:val="PlainText"/>
        <w:jc w:val="center"/>
        <w:rPr>
          <w:rFonts w:eastAsiaTheme="minorEastAsia"/>
          <w:noProof/>
          <w:lang w:eastAsia="zh-CN"/>
        </w:rPr>
      </w:pPr>
      <w:r w:rsidRPr="00FF6540">
        <w:rPr>
          <w:noProof/>
        </w:rPr>
        <w:drawing>
          <wp:inline distT="0" distB="0" distL="0" distR="0" wp14:anchorId="7C69100F" wp14:editId="70B82622">
            <wp:extent cx="2522220" cy="1245235"/>
            <wp:effectExtent l="0" t="0" r="0" b="0"/>
            <wp:docPr id="35"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p of a city&#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2220" cy="1245235"/>
                    </a:xfrm>
                    <a:prstGeom prst="rect">
                      <a:avLst/>
                    </a:prstGeom>
                    <a:noFill/>
                    <a:ln>
                      <a:noFill/>
                    </a:ln>
                  </pic:spPr>
                </pic:pic>
              </a:graphicData>
            </a:graphic>
          </wp:inline>
        </w:drawing>
      </w:r>
    </w:p>
    <w:p w14:paraId="1533EF09" w14:textId="6ADA1D55" w:rsidR="00040C2B" w:rsidRDefault="00040C2B" w:rsidP="00040C2B">
      <w:pPr>
        <w:pStyle w:val="PlainText"/>
        <w:jc w:val="center"/>
        <w:rPr>
          <w:rFonts w:eastAsiaTheme="minorEastAsia"/>
          <w:noProof/>
          <w:lang w:eastAsia="zh-CN"/>
        </w:rPr>
      </w:pPr>
      <w:r>
        <w:rPr>
          <w:rFonts w:eastAsiaTheme="minorEastAsia" w:hint="eastAsia"/>
          <w:noProof/>
          <w:lang w:eastAsia="zh-CN"/>
        </w:rPr>
        <w:t>(a)</w:t>
      </w:r>
    </w:p>
    <w:p w14:paraId="55666245" w14:textId="1DBC39ED" w:rsidR="00040C2B" w:rsidRDefault="006C13C4" w:rsidP="00040C2B">
      <w:pPr>
        <w:pStyle w:val="PlainText"/>
        <w:jc w:val="center"/>
        <w:rPr>
          <w:rFonts w:eastAsiaTheme="minorEastAsia"/>
          <w:noProof/>
          <w:lang w:eastAsia="zh-CN"/>
        </w:rPr>
      </w:pPr>
      <w:r w:rsidRPr="00FF6540">
        <w:rPr>
          <w:noProof/>
        </w:rPr>
        <w:drawing>
          <wp:inline distT="0" distB="0" distL="0" distR="0" wp14:anchorId="3C9E7610" wp14:editId="579A9ED9">
            <wp:extent cx="2522220" cy="1292860"/>
            <wp:effectExtent l="0" t="0" r="0" b="0"/>
            <wp:docPr id="37" name="Picture 6"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omputer screen shot of a 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2220" cy="1292860"/>
                    </a:xfrm>
                    <a:prstGeom prst="rect">
                      <a:avLst/>
                    </a:prstGeom>
                    <a:noFill/>
                    <a:ln>
                      <a:noFill/>
                    </a:ln>
                  </pic:spPr>
                </pic:pic>
              </a:graphicData>
            </a:graphic>
          </wp:inline>
        </w:drawing>
      </w:r>
    </w:p>
    <w:p w14:paraId="582AF52B" w14:textId="550360BC" w:rsidR="00040C2B" w:rsidRDefault="00040C2B" w:rsidP="00040C2B">
      <w:pPr>
        <w:pStyle w:val="PlainText"/>
        <w:jc w:val="center"/>
        <w:rPr>
          <w:rFonts w:eastAsiaTheme="minorEastAsia"/>
          <w:noProof/>
          <w:lang w:eastAsia="zh-CN"/>
        </w:rPr>
      </w:pPr>
      <w:r>
        <w:rPr>
          <w:rFonts w:eastAsiaTheme="minorEastAsia" w:hint="eastAsia"/>
          <w:noProof/>
          <w:lang w:eastAsia="zh-CN"/>
        </w:rPr>
        <w:t>(b)</w:t>
      </w:r>
    </w:p>
    <w:p w14:paraId="6DE4F891" w14:textId="421B69F3" w:rsidR="00040C2B" w:rsidRDefault="006C13C4" w:rsidP="00040C2B">
      <w:pPr>
        <w:pStyle w:val="PlainText"/>
        <w:jc w:val="center"/>
        <w:rPr>
          <w:rFonts w:eastAsiaTheme="minorEastAsia"/>
          <w:noProof/>
          <w:lang w:eastAsia="zh-CN"/>
        </w:rPr>
      </w:pPr>
      <w:r w:rsidRPr="00FF6540">
        <w:rPr>
          <w:noProof/>
        </w:rPr>
        <w:drawing>
          <wp:inline distT="0" distB="0" distL="0" distR="0" wp14:anchorId="1E4149C5" wp14:editId="46AC35D9">
            <wp:extent cx="2522220" cy="1687195"/>
            <wp:effectExtent l="0" t="0" r="0" b="0"/>
            <wp:docPr id="39" name="Picture 7" descr="A blue and white city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white city model&#10;&#10;Description automatically generated with medium confidence"/>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362"/>
                    <a:stretch>
                      <a:fillRect/>
                    </a:stretch>
                  </pic:blipFill>
                  <pic:spPr bwMode="auto">
                    <a:xfrm>
                      <a:off x="0" y="0"/>
                      <a:ext cx="2522220" cy="1687195"/>
                    </a:xfrm>
                    <a:prstGeom prst="rect">
                      <a:avLst/>
                    </a:prstGeom>
                    <a:noFill/>
                    <a:ln>
                      <a:noFill/>
                    </a:ln>
                  </pic:spPr>
                </pic:pic>
              </a:graphicData>
            </a:graphic>
          </wp:inline>
        </w:drawing>
      </w:r>
    </w:p>
    <w:p w14:paraId="473821ED" w14:textId="460831D0" w:rsidR="00040C2B" w:rsidRPr="00040C2B" w:rsidRDefault="00040C2B" w:rsidP="00040C2B">
      <w:pPr>
        <w:pStyle w:val="PlainText"/>
        <w:jc w:val="center"/>
        <w:rPr>
          <w:rFonts w:eastAsiaTheme="minorEastAsia"/>
          <w:sz w:val="20"/>
          <w:lang w:eastAsia="zh-CN"/>
        </w:rPr>
      </w:pPr>
      <w:r>
        <w:rPr>
          <w:rFonts w:eastAsiaTheme="minorEastAsia" w:hint="eastAsia"/>
          <w:noProof/>
          <w:lang w:eastAsia="zh-CN"/>
        </w:rPr>
        <w:t>(c)</w:t>
      </w:r>
    </w:p>
    <w:p w14:paraId="75E47F10" w14:textId="78BADD7A" w:rsidR="00040C2B" w:rsidRDefault="00040C2B" w:rsidP="00452605">
      <w:pPr>
        <w:pStyle w:val="PlainText"/>
        <w:rPr>
          <w:rFonts w:eastAsia="等线"/>
          <w:i/>
          <w:iCs/>
          <w:szCs w:val="18"/>
          <w:lang w:eastAsia="zh-CN"/>
        </w:rPr>
      </w:pPr>
      <w:r w:rsidRPr="00040C2B">
        <w:rPr>
          <w:rFonts w:eastAsia="等线"/>
          <w:i/>
          <w:iCs/>
          <w:szCs w:val="18"/>
          <w:lang w:eastAsia="zh-CN"/>
        </w:rPr>
        <w:t>Figure 4. as-built models of buildings (a) retrieve GIS data from OpenStreetMap; (b) generate generic building models in Revit; (c) integrate with the underground model and tunnel model.</w:t>
      </w:r>
    </w:p>
    <w:p w14:paraId="3A347447" w14:textId="77777777" w:rsidR="00040C2B" w:rsidRPr="00040C2B" w:rsidRDefault="00040C2B" w:rsidP="00452605">
      <w:pPr>
        <w:pStyle w:val="PlainText"/>
        <w:rPr>
          <w:rFonts w:eastAsiaTheme="minorEastAsia"/>
          <w:i/>
          <w:iCs/>
          <w:szCs w:val="18"/>
          <w:lang w:eastAsia="zh-CN"/>
        </w:rPr>
      </w:pPr>
    </w:p>
    <w:p w14:paraId="19FFFDD4" w14:textId="18A2D898" w:rsidR="00D053CB" w:rsidRPr="00F05EA2" w:rsidRDefault="00094A82" w:rsidP="00A113E7">
      <w:pPr>
        <w:pStyle w:val="PlainText"/>
        <w:rPr>
          <w:b/>
          <w:sz w:val="20"/>
        </w:rPr>
      </w:pPr>
      <w:r w:rsidRPr="00F05EA2">
        <w:rPr>
          <w:b/>
          <w:sz w:val="20"/>
        </w:rPr>
        <w:t xml:space="preserve">2.3 </w:t>
      </w:r>
      <w:r w:rsidR="00624192" w:rsidRPr="00624192">
        <w:rPr>
          <w:rFonts w:eastAsia="等线" w:hint="eastAsia"/>
          <w:b/>
          <w:sz w:val="20"/>
          <w:lang w:eastAsia="zh-CN"/>
        </w:rPr>
        <w:t>Semantic model</w:t>
      </w:r>
    </w:p>
    <w:p w14:paraId="656ED82D" w14:textId="77777777" w:rsidR="00040C2B" w:rsidRDefault="00040C2B" w:rsidP="00EE02C7">
      <w:pPr>
        <w:contextualSpacing/>
        <w:jc w:val="both"/>
        <w:rPr>
          <w:rFonts w:eastAsia="等线" w:cs="Arial"/>
          <w:b w:val="0"/>
          <w:sz w:val="20"/>
          <w:szCs w:val="20"/>
          <w:lang w:eastAsia="zh-CN"/>
        </w:rPr>
      </w:pPr>
      <w:r w:rsidRPr="00040C2B">
        <w:rPr>
          <w:rFonts w:eastAsia="等线" w:cs="Arial"/>
          <w:b w:val="0"/>
          <w:sz w:val="20"/>
          <w:szCs w:val="20"/>
          <w:lang w:eastAsia="zh-CN"/>
        </w:rPr>
        <w:t xml:space="preserve">All models created are generic models with rather limited set of properties, to substantiate the models, metadata related to materials, mechanical and geotechnical properties could be directly added to the native BIM platform, in this case Revit. For ground models, alternatively, mechanism could be developed to retrieve these data from programs such as gINT or Leapfrog where geological models </w:t>
      </w:r>
      <w:r w:rsidRPr="00040C2B">
        <w:rPr>
          <w:rFonts w:eastAsia="等线" w:cs="Arial"/>
          <w:b w:val="0"/>
          <w:sz w:val="20"/>
          <w:szCs w:val="20"/>
          <w:lang w:eastAsia="zh-CN"/>
        </w:rPr>
        <w:t xml:space="preserve">and data are commonly stored (ITA, 2022). Examples of attributes to be assigned to a segment instance and borehole instance are provided in Table 1. </w:t>
      </w:r>
    </w:p>
    <w:p w14:paraId="6266A515" w14:textId="77777777" w:rsidR="00040C2B" w:rsidRPr="00040C2B" w:rsidRDefault="00040C2B" w:rsidP="00040C2B">
      <w:pPr>
        <w:pStyle w:val="PlainText"/>
        <w:ind w:firstLine="284"/>
        <w:rPr>
          <w:rFonts w:eastAsia="等线"/>
          <w:sz w:val="20"/>
          <w:lang w:eastAsia="zh-CN"/>
        </w:rPr>
      </w:pPr>
      <w:r w:rsidRPr="00BD5ACE">
        <w:rPr>
          <w:sz w:val="20"/>
        </w:rPr>
        <w:t>Furthermore, metrics related to environmental impact may be required granularity for use case of ecological footprint assessment. These attribute values could be further extended according to project specifications and transferred across different projects (if standardised) and use cases, thus reinforcing the reusability of the database and enriching the semantics that complements the information model.</w:t>
      </w:r>
    </w:p>
    <w:p w14:paraId="6DC2BA01" w14:textId="77777777" w:rsidR="00040C2B" w:rsidRPr="00040C2B" w:rsidRDefault="00040C2B" w:rsidP="00040C2B">
      <w:pPr>
        <w:pStyle w:val="PlainText"/>
        <w:rPr>
          <w:rFonts w:eastAsiaTheme="minorEastAsia"/>
          <w:lang w:eastAsia="zh-CN"/>
        </w:rPr>
      </w:pPr>
    </w:p>
    <w:p w14:paraId="7C24E8E4" w14:textId="77777777" w:rsidR="00040C2B" w:rsidRDefault="00040C2B" w:rsidP="00040C2B">
      <w:pPr>
        <w:pStyle w:val="PlainText"/>
        <w:rPr>
          <w:rFonts w:eastAsiaTheme="minorEastAsia"/>
          <w:i/>
          <w:lang w:eastAsia="zh-CN"/>
        </w:rPr>
      </w:pPr>
      <w:r w:rsidRPr="00040C2B">
        <w:rPr>
          <w:i/>
        </w:rPr>
        <w:t>Table 1. Examples of attributes to be assigned to a segment instance and borehole instance</w:t>
      </w:r>
    </w:p>
    <w:p w14:paraId="5D24ADE5" w14:textId="77777777" w:rsidR="00E54923" w:rsidRPr="00040C2B" w:rsidRDefault="00E54923" w:rsidP="00040C2B">
      <w:pPr>
        <w:pStyle w:val="PlainText"/>
        <w:rPr>
          <w:rFonts w:eastAsiaTheme="minorEastAsia"/>
          <w:i/>
          <w:lang w:eastAsia="zh-C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1558"/>
        <w:gridCol w:w="1913"/>
      </w:tblGrid>
      <w:tr w:rsidR="00040C2B" w:rsidRPr="00040C2B" w14:paraId="79C4D70C" w14:textId="77777777" w:rsidTr="00040C2B">
        <w:tc>
          <w:tcPr>
            <w:tcW w:w="1193" w:type="pct"/>
            <w:tcBorders>
              <w:top w:val="single" w:sz="4" w:space="0" w:color="auto"/>
              <w:bottom w:val="single" w:sz="4" w:space="0" w:color="auto"/>
            </w:tcBorders>
          </w:tcPr>
          <w:p w14:paraId="2F075FED" w14:textId="77777777" w:rsidR="00040C2B" w:rsidRPr="00040C2B" w:rsidRDefault="00040C2B" w:rsidP="00040C2B">
            <w:pPr>
              <w:contextualSpacing/>
              <w:jc w:val="both"/>
              <w:rPr>
                <w:rFonts w:eastAsia="等线" w:cs="Arial"/>
                <w:b w:val="0"/>
                <w:sz w:val="20"/>
                <w:szCs w:val="20"/>
                <w:lang w:eastAsia="zh-CN"/>
              </w:rPr>
            </w:pPr>
            <w:r w:rsidRPr="00040C2B">
              <w:rPr>
                <w:rFonts w:eastAsia="等线" w:cs="Arial"/>
                <w:b w:val="0"/>
                <w:sz w:val="20"/>
                <w:szCs w:val="20"/>
                <w:lang w:eastAsia="zh-CN"/>
              </w:rPr>
              <w:t>Selected elements</w:t>
            </w:r>
          </w:p>
        </w:tc>
        <w:tc>
          <w:tcPr>
            <w:tcW w:w="1708" w:type="pct"/>
            <w:tcBorders>
              <w:top w:val="single" w:sz="4" w:space="0" w:color="auto"/>
              <w:bottom w:val="single" w:sz="4" w:space="0" w:color="auto"/>
            </w:tcBorders>
          </w:tcPr>
          <w:p w14:paraId="48F7CC8E" w14:textId="77777777" w:rsidR="00040C2B" w:rsidRPr="00040C2B" w:rsidRDefault="00040C2B" w:rsidP="00040C2B">
            <w:pPr>
              <w:contextualSpacing/>
              <w:jc w:val="both"/>
              <w:rPr>
                <w:rFonts w:eastAsia="等线" w:cs="Arial"/>
                <w:b w:val="0"/>
                <w:sz w:val="20"/>
                <w:szCs w:val="20"/>
                <w:lang w:eastAsia="zh-CN"/>
              </w:rPr>
            </w:pPr>
            <w:r w:rsidRPr="00040C2B">
              <w:rPr>
                <w:rFonts w:eastAsia="等线" w:cs="Arial"/>
                <w:b w:val="0"/>
                <w:sz w:val="20"/>
                <w:szCs w:val="20"/>
                <w:lang w:eastAsia="zh-CN"/>
              </w:rPr>
              <w:t>Member Type (examples)</w:t>
            </w:r>
          </w:p>
        </w:tc>
        <w:tc>
          <w:tcPr>
            <w:tcW w:w="2098" w:type="pct"/>
            <w:tcBorders>
              <w:top w:val="single" w:sz="4" w:space="0" w:color="auto"/>
              <w:bottom w:val="single" w:sz="4" w:space="0" w:color="auto"/>
            </w:tcBorders>
          </w:tcPr>
          <w:p w14:paraId="656F4C09" w14:textId="77777777" w:rsidR="00040C2B" w:rsidRPr="00040C2B" w:rsidRDefault="00040C2B" w:rsidP="00040C2B">
            <w:pPr>
              <w:contextualSpacing/>
              <w:jc w:val="both"/>
              <w:rPr>
                <w:rFonts w:eastAsia="等线" w:cs="Arial"/>
                <w:b w:val="0"/>
                <w:sz w:val="20"/>
                <w:szCs w:val="20"/>
                <w:lang w:eastAsia="zh-CN"/>
              </w:rPr>
            </w:pPr>
            <w:r w:rsidRPr="00040C2B">
              <w:rPr>
                <w:rFonts w:eastAsia="等线" w:cs="Arial"/>
                <w:b w:val="0"/>
                <w:sz w:val="20"/>
                <w:szCs w:val="20"/>
                <w:lang w:eastAsia="zh-CN"/>
              </w:rPr>
              <w:t>Attribute (examples)</w:t>
            </w:r>
          </w:p>
        </w:tc>
      </w:tr>
      <w:tr w:rsidR="00040C2B" w:rsidRPr="00040C2B" w14:paraId="096ED5D3" w14:textId="77777777" w:rsidTr="00040C2B">
        <w:tc>
          <w:tcPr>
            <w:tcW w:w="1193" w:type="pct"/>
            <w:tcBorders>
              <w:top w:val="single" w:sz="4" w:space="0" w:color="auto"/>
            </w:tcBorders>
          </w:tcPr>
          <w:p w14:paraId="0F7AE923"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Segmental lining</w:t>
            </w:r>
          </w:p>
        </w:tc>
        <w:tc>
          <w:tcPr>
            <w:tcW w:w="1708" w:type="pct"/>
            <w:tcBorders>
              <w:top w:val="single" w:sz="4" w:space="0" w:color="auto"/>
            </w:tcBorders>
          </w:tcPr>
          <w:p w14:paraId="794EAE44"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Steel fibre-reinforced, Synthetic fibre-reinforced, Steel-reinforcing bar, base concrete</w:t>
            </w:r>
          </w:p>
        </w:tc>
        <w:tc>
          <w:tcPr>
            <w:tcW w:w="2098" w:type="pct"/>
            <w:tcBorders>
              <w:top w:val="single" w:sz="4" w:space="0" w:color="auto"/>
            </w:tcBorders>
          </w:tcPr>
          <w:p w14:paraId="5A805CA4"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Type, thickness, steel fibre ratio, strength, equivalent strength, coarse aggregate diameter, slump, mixture</w:t>
            </w:r>
          </w:p>
        </w:tc>
      </w:tr>
      <w:tr w:rsidR="00040C2B" w:rsidRPr="00040C2B" w14:paraId="1A085A37" w14:textId="77777777" w:rsidTr="00040C2B">
        <w:tc>
          <w:tcPr>
            <w:tcW w:w="1193" w:type="pct"/>
            <w:tcBorders>
              <w:bottom w:val="single" w:sz="4" w:space="0" w:color="auto"/>
            </w:tcBorders>
          </w:tcPr>
          <w:p w14:paraId="7C0DB5BF"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Borehole</w:t>
            </w:r>
          </w:p>
        </w:tc>
        <w:tc>
          <w:tcPr>
            <w:tcW w:w="1708" w:type="pct"/>
            <w:tcBorders>
              <w:bottom w:val="single" w:sz="4" w:space="0" w:color="auto"/>
            </w:tcBorders>
          </w:tcPr>
          <w:p w14:paraId="35026622"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CPT, SPT</w:t>
            </w:r>
          </w:p>
        </w:tc>
        <w:tc>
          <w:tcPr>
            <w:tcW w:w="2098" w:type="pct"/>
            <w:tcBorders>
              <w:bottom w:val="single" w:sz="4" w:space="0" w:color="auto"/>
            </w:tcBorders>
          </w:tcPr>
          <w:p w14:paraId="38150908" w14:textId="77777777" w:rsidR="00040C2B" w:rsidRPr="00040C2B" w:rsidRDefault="00040C2B" w:rsidP="00040C2B">
            <w:pPr>
              <w:contextualSpacing/>
              <w:jc w:val="both"/>
              <w:rPr>
                <w:rFonts w:eastAsia="等线" w:cs="Arial"/>
                <w:b w:val="0"/>
                <w:sz w:val="18"/>
                <w:szCs w:val="18"/>
                <w:lang w:eastAsia="zh-CN"/>
              </w:rPr>
            </w:pPr>
            <w:r w:rsidRPr="00040C2B">
              <w:rPr>
                <w:rFonts w:eastAsia="等线" w:cs="Arial"/>
                <w:b w:val="0"/>
                <w:sz w:val="18"/>
                <w:szCs w:val="18"/>
                <w:lang w:eastAsia="zh-CN"/>
              </w:rPr>
              <w:t>RQD, material, level of certainty, model development stage</w:t>
            </w:r>
          </w:p>
        </w:tc>
      </w:tr>
    </w:tbl>
    <w:p w14:paraId="7F3E7FBD" w14:textId="77777777" w:rsidR="00C669E4" w:rsidRPr="00F05EA2" w:rsidRDefault="00C669E4" w:rsidP="0081763A">
      <w:pPr>
        <w:pStyle w:val="PlainText"/>
        <w:rPr>
          <w:sz w:val="20"/>
        </w:rPr>
      </w:pPr>
    </w:p>
    <w:p w14:paraId="1BB77F9B" w14:textId="50BB3329" w:rsidR="00452605" w:rsidRDefault="0042338A" w:rsidP="00452605">
      <w:pPr>
        <w:pStyle w:val="Heading1"/>
        <w:rPr>
          <w:rFonts w:eastAsiaTheme="minorEastAsia"/>
          <w:lang w:eastAsia="zh-CN"/>
        </w:rPr>
      </w:pPr>
      <w:r w:rsidRPr="00F05EA2">
        <w:t xml:space="preserve">3. </w:t>
      </w:r>
      <w:r w:rsidR="00040C2B">
        <w:rPr>
          <w:rFonts w:eastAsiaTheme="minorEastAsia" w:hint="eastAsia"/>
          <w:lang w:eastAsia="zh-CN"/>
        </w:rPr>
        <w:t>BIM TO NUMERICAL MODELLING</w:t>
      </w:r>
    </w:p>
    <w:p w14:paraId="74CEA49A" w14:textId="77777777" w:rsidR="00673B5A" w:rsidRDefault="00040C2B" w:rsidP="005C1288">
      <w:pPr>
        <w:pStyle w:val="PlainText"/>
        <w:ind w:firstLine="284"/>
        <w:rPr>
          <w:sz w:val="20"/>
        </w:rPr>
      </w:pPr>
      <w:r w:rsidRPr="00040C2B">
        <w:rPr>
          <w:sz w:val="20"/>
        </w:rPr>
        <w:t xml:space="preserve">To evaluate tunnelling impact on the surrounding environments, BIM-to-FEM/FDM workflow </w:t>
      </w:r>
      <w:r w:rsidR="00D36521">
        <w:rPr>
          <w:rFonts w:eastAsiaTheme="minorEastAsia" w:hint="eastAsia"/>
          <w:sz w:val="20"/>
          <w:lang w:eastAsia="zh-CN"/>
        </w:rPr>
        <w:t xml:space="preserve">proposed in </w:t>
      </w:r>
      <w:r w:rsidR="00D36521" w:rsidRPr="00D36521">
        <w:rPr>
          <w:rFonts w:eastAsiaTheme="minorEastAsia"/>
          <w:sz w:val="20"/>
          <w:lang w:eastAsia="zh-CN"/>
        </w:rPr>
        <w:t>(Huang et al., 2022)</w:t>
      </w:r>
      <w:r w:rsidR="00D36521">
        <w:rPr>
          <w:rFonts w:eastAsiaTheme="minorEastAsia" w:hint="eastAsia"/>
          <w:sz w:val="20"/>
          <w:lang w:eastAsia="zh-CN"/>
        </w:rPr>
        <w:t xml:space="preserve"> </w:t>
      </w:r>
      <w:r w:rsidRPr="00040C2B">
        <w:rPr>
          <w:sz w:val="20"/>
        </w:rPr>
        <w:t xml:space="preserve">is </w:t>
      </w:r>
      <w:r w:rsidR="00D36521">
        <w:rPr>
          <w:rFonts w:eastAsiaTheme="minorEastAsia" w:hint="eastAsia"/>
          <w:sz w:val="20"/>
          <w:lang w:eastAsia="zh-CN"/>
        </w:rPr>
        <w:t>adopted</w:t>
      </w:r>
      <w:r w:rsidRPr="00040C2B">
        <w:rPr>
          <w:sz w:val="20"/>
        </w:rPr>
        <w:t xml:space="preserve"> as shown in Figure 5. The left panel consists of model creation in Revit using Dynamo. With the models and associated attributes being retrieved by the exchange enabler. The extracted model and data are then used in numerical simulation. The interested results are extracted and fed back to BIM platform for visualisation and decision-making. This procedure is largely automated via an exchange enabler that is able to retrieve both graphical and non-graphical information from the BIM platform. Meanwhile, the exchange enabler also facilitates to create the numerical simulation models and generate corresponding commands. The enabler is realised by a set of Python scripts that are supported by </w:t>
      </w:r>
      <w:r w:rsidR="00132729">
        <w:rPr>
          <w:sz w:val="20"/>
        </w:rPr>
        <w:t>the combination of BIM authoring and visual programming.</w:t>
      </w:r>
      <w:r w:rsidRPr="00040C2B">
        <w:rPr>
          <w:sz w:val="20"/>
        </w:rPr>
        <w:t xml:space="preserve"> The created meshed models are then run in selected numerical analysis program, in this paper, FLAC3D is engaged.</w:t>
      </w:r>
    </w:p>
    <w:p w14:paraId="175FD492" w14:textId="77777777" w:rsidR="006E6259" w:rsidRDefault="006E6259" w:rsidP="006E6259">
      <w:pPr>
        <w:ind w:firstLine="284"/>
        <w:contextualSpacing/>
        <w:jc w:val="both"/>
        <w:rPr>
          <w:rFonts w:eastAsia="等线" w:cs="Arial"/>
          <w:b w:val="0"/>
          <w:sz w:val="20"/>
          <w:szCs w:val="20"/>
          <w:lang w:eastAsia="zh-CN"/>
        </w:rPr>
      </w:pPr>
      <w:r w:rsidRPr="00040C2B">
        <w:rPr>
          <w:rFonts w:eastAsia="等线" w:cs="Arial"/>
          <w:b w:val="0"/>
          <w:sz w:val="20"/>
          <w:szCs w:val="20"/>
          <w:lang w:eastAsia="zh-CN"/>
        </w:rPr>
        <w:t xml:space="preserve">The numerical simulation of shield tunnelling process at a depth of 15m is performed considering the machine-ground-structure interaction during excavation and installation. The typical Mohr-Coulomb parameters of the rock and lining used in the simulation are reported in Table 2. The zone displacements at varied advance stage are shown </w:t>
      </w:r>
      <w:r w:rsidRPr="00040C2B">
        <w:rPr>
          <w:rFonts w:eastAsia="等线" w:cs="Arial"/>
          <w:b w:val="0"/>
          <w:sz w:val="20"/>
          <w:szCs w:val="20"/>
          <w:lang w:eastAsia="zh-CN"/>
        </w:rPr>
        <w:lastRenderedPageBreak/>
        <w:t>in Figure 6 (only settlements, i.e. negative displacements are shown).</w:t>
      </w:r>
    </w:p>
    <w:p w14:paraId="6B783575" w14:textId="77777777" w:rsidR="00CE7BAB" w:rsidRDefault="00CE7BAB" w:rsidP="006E6259">
      <w:pPr>
        <w:pStyle w:val="PlainText"/>
        <w:ind w:firstLine="284"/>
        <w:rPr>
          <w:rFonts w:eastAsiaTheme="minorEastAsia"/>
          <w:sz w:val="20"/>
          <w:lang w:eastAsia="zh-CN"/>
        </w:rPr>
      </w:pPr>
    </w:p>
    <w:p w14:paraId="03717B5D" w14:textId="11FBAF2D" w:rsidR="00624192" w:rsidRDefault="006C13C4" w:rsidP="00624192">
      <w:pPr>
        <w:pStyle w:val="PlainText"/>
        <w:rPr>
          <w:rFonts w:eastAsiaTheme="minorEastAsia"/>
          <w:noProof/>
          <w:lang w:eastAsia="zh-CN"/>
        </w:rPr>
      </w:pPr>
      <w:r w:rsidRPr="00FF6540">
        <w:rPr>
          <w:noProof/>
        </w:rPr>
        <w:drawing>
          <wp:inline distT="0" distB="0" distL="0" distR="0" wp14:anchorId="62EC92E7" wp14:editId="3ED82A0C">
            <wp:extent cx="2884805" cy="1714700"/>
            <wp:effectExtent l="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pic:cNvPicPr>
                      <a:picLocks noChangeAspect="1" noChangeArrowheads="1"/>
                    </pic:cNvPicPr>
                  </pic:nvPicPr>
                  <pic:blipFill>
                    <a:blip r:embed="rId24"/>
                    <a:stretch>
                      <a:fillRect/>
                    </a:stretch>
                  </pic:blipFill>
                  <pic:spPr bwMode="auto">
                    <a:xfrm>
                      <a:off x="0" y="0"/>
                      <a:ext cx="2884805" cy="1714700"/>
                    </a:xfrm>
                    <a:prstGeom prst="rect">
                      <a:avLst/>
                    </a:prstGeom>
                    <a:noFill/>
                    <a:ln>
                      <a:noFill/>
                    </a:ln>
                  </pic:spPr>
                </pic:pic>
              </a:graphicData>
            </a:graphic>
          </wp:inline>
        </w:drawing>
      </w:r>
    </w:p>
    <w:p w14:paraId="6AFFA1C6" w14:textId="368B6A64" w:rsidR="00040C2B" w:rsidRPr="00040C2B" w:rsidRDefault="00040C2B" w:rsidP="00624192">
      <w:pPr>
        <w:pStyle w:val="PlainText"/>
        <w:rPr>
          <w:rFonts w:eastAsiaTheme="minorEastAsia"/>
          <w:i/>
          <w:iCs/>
          <w:lang w:eastAsia="zh-CN"/>
        </w:rPr>
      </w:pPr>
      <w:r w:rsidRPr="00040C2B">
        <w:rPr>
          <w:rFonts w:eastAsia="等线" w:hint="eastAsia"/>
          <w:i/>
          <w:iCs/>
          <w:lang w:eastAsia="zh-CN"/>
        </w:rPr>
        <w:t>Figure 5. Close-loop</w:t>
      </w:r>
      <w:r w:rsidRPr="00040C2B">
        <w:rPr>
          <w:rFonts w:eastAsia="等线"/>
          <w:i/>
          <w:iCs/>
          <w:lang w:eastAsia="zh-CN"/>
        </w:rPr>
        <w:t xml:space="preserve"> workflow and involved processes.</w:t>
      </w:r>
    </w:p>
    <w:p w14:paraId="5CFAB9D7" w14:textId="77777777" w:rsidR="00040C2B" w:rsidRDefault="00040C2B" w:rsidP="00624192">
      <w:pPr>
        <w:pStyle w:val="PlainText"/>
        <w:rPr>
          <w:rFonts w:eastAsiaTheme="minorEastAsia"/>
          <w:lang w:eastAsia="zh-CN"/>
        </w:rPr>
      </w:pPr>
    </w:p>
    <w:p w14:paraId="0557C2BD" w14:textId="77777777" w:rsidR="00DA0D32" w:rsidRDefault="00DA0D32" w:rsidP="00DA0D32">
      <w:pPr>
        <w:pStyle w:val="PlainText"/>
        <w:ind w:firstLine="284"/>
        <w:rPr>
          <w:rFonts w:eastAsiaTheme="minorEastAsia"/>
          <w:sz w:val="20"/>
          <w:lang w:eastAsia="zh-CN"/>
        </w:rPr>
      </w:pPr>
      <w:r w:rsidRPr="00E40831">
        <w:rPr>
          <w:rFonts w:eastAsiaTheme="minorEastAsia" w:hint="eastAsia"/>
          <w:sz w:val="20"/>
          <w:lang w:eastAsia="zh-CN"/>
        </w:rPr>
        <w:t>The</w:t>
      </w:r>
      <w:r>
        <w:rPr>
          <w:rFonts w:eastAsiaTheme="minorEastAsia" w:hint="eastAsia"/>
          <w:sz w:val="20"/>
          <w:lang w:eastAsia="zh-CN"/>
        </w:rPr>
        <w:t xml:space="preserve"> impact of</w:t>
      </w:r>
      <w:r w:rsidRPr="00E40831">
        <w:rPr>
          <w:rFonts w:eastAsiaTheme="minorEastAsia" w:hint="eastAsia"/>
          <w:sz w:val="20"/>
          <w:lang w:eastAsia="zh-CN"/>
        </w:rPr>
        <w:t xml:space="preserve"> </w:t>
      </w:r>
      <w:r>
        <w:rPr>
          <w:rFonts w:eastAsiaTheme="minorEastAsia" w:hint="eastAsia"/>
          <w:sz w:val="20"/>
          <w:lang w:eastAsia="zh-CN"/>
        </w:rPr>
        <w:t xml:space="preserve">settlement predicted via numerical modelling could </w:t>
      </w:r>
      <w:r w:rsidRPr="00CA589F">
        <w:rPr>
          <w:rFonts w:eastAsiaTheme="minorEastAsia"/>
          <w:sz w:val="20"/>
          <w:lang w:eastAsia="zh-CN"/>
        </w:rPr>
        <w:t>on surrounding buildings</w:t>
      </w:r>
      <w:r>
        <w:rPr>
          <w:rFonts w:eastAsiaTheme="minorEastAsia" w:hint="eastAsia"/>
          <w:sz w:val="20"/>
          <w:lang w:eastAsia="zh-CN"/>
        </w:rPr>
        <w:t xml:space="preserve"> could be visualised</w:t>
      </w:r>
      <w:r w:rsidRPr="00CA589F">
        <w:rPr>
          <w:rFonts w:eastAsiaTheme="minorEastAsia"/>
          <w:sz w:val="20"/>
          <w:lang w:eastAsia="zh-CN"/>
        </w:rPr>
        <w:t xml:space="preserve">. (Susceptible indices with recommendations include magenta – significantly susceptible requesting immediate remediation, red – highly susceptible requesting close monitoring, orange – moderately susceptible, blue/green – insignificant or negligible). Reproduced from (Huang, 2025). </w:t>
      </w:r>
    </w:p>
    <w:p w14:paraId="12D6872F" w14:textId="77777777" w:rsidR="00DA0D32" w:rsidRDefault="00DA0D32" w:rsidP="00DA0D32">
      <w:pPr>
        <w:pStyle w:val="PlainText"/>
        <w:ind w:firstLine="284"/>
        <w:rPr>
          <w:rFonts w:eastAsiaTheme="minorEastAsia"/>
          <w:sz w:val="20"/>
          <w:lang w:eastAsia="zh-CN"/>
        </w:rPr>
      </w:pPr>
      <w:r>
        <w:rPr>
          <w:sz w:val="20"/>
        </w:rPr>
        <w:t>Alternatively, analytical and empirical methods for volume loss and confinement</w:t>
      </w:r>
      <w:r w:rsidRPr="00040C2B">
        <w:rPr>
          <w:sz w:val="20"/>
        </w:rPr>
        <w:t xml:space="preserve"> </w:t>
      </w:r>
      <w:r>
        <w:rPr>
          <w:sz w:val="20"/>
        </w:rPr>
        <w:t xml:space="preserve">loss can be embedded directly into the BIM model for computed solutions to be visualised directly. </w:t>
      </w:r>
    </w:p>
    <w:p w14:paraId="3745A1AA" w14:textId="77777777" w:rsidR="00DA0D32" w:rsidRPr="00624192" w:rsidRDefault="00DA0D32" w:rsidP="00624192">
      <w:pPr>
        <w:pStyle w:val="PlainText"/>
        <w:rPr>
          <w:rFonts w:eastAsiaTheme="minorEastAsia"/>
          <w:lang w:eastAsia="zh-CN"/>
        </w:rPr>
      </w:pPr>
    </w:p>
    <w:p w14:paraId="1E610DA1" w14:textId="77777777" w:rsidR="00040C2B" w:rsidRDefault="00040C2B" w:rsidP="00040C2B">
      <w:pPr>
        <w:pStyle w:val="PlainText"/>
        <w:rPr>
          <w:rFonts w:eastAsiaTheme="minorEastAsia"/>
          <w:i/>
          <w:lang w:eastAsia="zh-CN"/>
        </w:rPr>
      </w:pPr>
      <w:r w:rsidRPr="00040C2B">
        <w:rPr>
          <w:i/>
        </w:rPr>
        <w:t>Table 2:  Physical and mechanical properties for modelling</w:t>
      </w:r>
    </w:p>
    <w:p w14:paraId="6978EE4B" w14:textId="77777777" w:rsidR="00E54923" w:rsidRPr="00040C2B" w:rsidRDefault="00E54923" w:rsidP="00040C2B">
      <w:pPr>
        <w:pStyle w:val="PlainText"/>
        <w:rPr>
          <w:rFonts w:eastAsiaTheme="minorEastAsia"/>
          <w:i/>
          <w:lang w:eastAsia="zh-CN"/>
        </w:rPr>
      </w:pPr>
    </w:p>
    <w:tbl>
      <w:tblPr>
        <w:tblW w:w="5035" w:type="pct"/>
        <w:jc w:val="center"/>
        <w:tblLook w:val="04A0" w:firstRow="1" w:lastRow="0" w:firstColumn="1" w:lastColumn="0" w:noHBand="0" w:noVBand="1"/>
      </w:tblPr>
      <w:tblGrid>
        <w:gridCol w:w="987"/>
        <w:gridCol w:w="823"/>
        <w:gridCol w:w="616"/>
        <w:gridCol w:w="616"/>
        <w:gridCol w:w="616"/>
        <w:gridCol w:w="617"/>
        <w:gridCol w:w="750"/>
      </w:tblGrid>
      <w:tr w:rsidR="00040C2B" w:rsidRPr="00040C2B" w14:paraId="7E607A69" w14:textId="77777777" w:rsidTr="00040C2B">
        <w:trPr>
          <w:trHeight w:val="283"/>
          <w:jc w:val="center"/>
        </w:trPr>
        <w:tc>
          <w:tcPr>
            <w:tcW w:w="1002" w:type="pct"/>
            <w:tcBorders>
              <w:top w:val="single" w:sz="12" w:space="0" w:color="000000"/>
              <w:bottom w:val="single" w:sz="4" w:space="0" w:color="000000"/>
            </w:tcBorders>
            <w:shd w:val="clear" w:color="auto" w:fill="auto"/>
            <w:noWrap/>
            <w:vAlign w:val="bottom"/>
            <w:hideMark/>
          </w:tcPr>
          <w:p w14:paraId="0C54A47F" w14:textId="3A3E520C" w:rsidR="00040C2B" w:rsidRPr="00040C2B" w:rsidRDefault="00040C2B" w:rsidP="00040C2B">
            <w:pPr>
              <w:rPr>
                <w:rFonts w:eastAsiaTheme="minorEastAsia" w:cs="Arial"/>
                <w:b w:val="0"/>
                <w:color w:val="000000"/>
                <w:sz w:val="20"/>
                <w:szCs w:val="20"/>
                <w:lang w:eastAsia="zh-CN"/>
              </w:rPr>
            </w:pPr>
            <w:r>
              <w:rPr>
                <w:rFonts w:eastAsiaTheme="minorEastAsia" w:cs="Arial" w:hint="eastAsia"/>
                <w:b w:val="0"/>
                <w:color w:val="000000"/>
                <w:sz w:val="20"/>
                <w:szCs w:val="20"/>
                <w:lang w:eastAsia="zh-CN"/>
              </w:rPr>
              <w:t>Property</w:t>
            </w:r>
          </w:p>
        </w:tc>
        <w:tc>
          <w:tcPr>
            <w:tcW w:w="811" w:type="pct"/>
            <w:tcBorders>
              <w:top w:val="single" w:sz="12" w:space="0" w:color="000000"/>
              <w:bottom w:val="single" w:sz="4" w:space="0" w:color="000000"/>
            </w:tcBorders>
            <w:shd w:val="clear" w:color="auto" w:fill="auto"/>
            <w:noWrap/>
            <w:vAlign w:val="bottom"/>
            <w:hideMark/>
          </w:tcPr>
          <w:p w14:paraId="263748CC"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eastAsia="zh-CN"/>
              </w:rPr>
              <w:t>Unit</w:t>
            </w:r>
          </w:p>
        </w:tc>
        <w:tc>
          <w:tcPr>
            <w:tcW w:w="611" w:type="pct"/>
            <w:tcBorders>
              <w:top w:val="single" w:sz="12" w:space="0" w:color="000000"/>
              <w:bottom w:val="single" w:sz="4" w:space="0" w:color="000000"/>
            </w:tcBorders>
            <w:shd w:val="clear" w:color="auto" w:fill="auto"/>
            <w:vAlign w:val="center"/>
            <w:hideMark/>
          </w:tcPr>
          <w:p w14:paraId="31F0777A"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val="en-US" w:eastAsia="zh-CN"/>
              </w:rPr>
              <w:t>MF4</w:t>
            </w:r>
          </w:p>
        </w:tc>
        <w:tc>
          <w:tcPr>
            <w:tcW w:w="611" w:type="pct"/>
            <w:tcBorders>
              <w:top w:val="single" w:sz="12" w:space="0" w:color="000000"/>
              <w:bottom w:val="single" w:sz="4" w:space="0" w:color="000000"/>
            </w:tcBorders>
            <w:shd w:val="clear" w:color="auto" w:fill="auto"/>
            <w:vAlign w:val="center"/>
            <w:hideMark/>
          </w:tcPr>
          <w:p w14:paraId="71245417"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val="en-US" w:eastAsia="zh-CN"/>
              </w:rPr>
              <w:t>MF3</w:t>
            </w:r>
          </w:p>
        </w:tc>
        <w:tc>
          <w:tcPr>
            <w:tcW w:w="611" w:type="pct"/>
            <w:tcBorders>
              <w:top w:val="single" w:sz="12" w:space="0" w:color="000000"/>
              <w:bottom w:val="single" w:sz="4" w:space="0" w:color="000000"/>
            </w:tcBorders>
            <w:shd w:val="clear" w:color="auto" w:fill="auto"/>
            <w:vAlign w:val="center"/>
            <w:hideMark/>
          </w:tcPr>
          <w:p w14:paraId="19BAEF38"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val="en-US" w:eastAsia="zh-CN"/>
              </w:rPr>
              <w:t>MF2</w:t>
            </w:r>
          </w:p>
        </w:tc>
        <w:tc>
          <w:tcPr>
            <w:tcW w:w="612" w:type="pct"/>
            <w:tcBorders>
              <w:top w:val="single" w:sz="12" w:space="0" w:color="000000"/>
              <w:bottom w:val="single" w:sz="4" w:space="0" w:color="000000"/>
            </w:tcBorders>
            <w:shd w:val="clear" w:color="auto" w:fill="auto"/>
            <w:vAlign w:val="center"/>
            <w:hideMark/>
          </w:tcPr>
          <w:p w14:paraId="3377EA5F"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val="en-US" w:eastAsia="zh-CN"/>
              </w:rPr>
              <w:t>MF1</w:t>
            </w:r>
          </w:p>
        </w:tc>
        <w:tc>
          <w:tcPr>
            <w:tcW w:w="740" w:type="pct"/>
            <w:tcBorders>
              <w:top w:val="single" w:sz="12" w:space="0" w:color="000000"/>
              <w:bottom w:val="single" w:sz="4" w:space="0" w:color="000000"/>
            </w:tcBorders>
            <w:shd w:val="clear" w:color="auto" w:fill="auto"/>
            <w:vAlign w:val="center"/>
            <w:hideMark/>
          </w:tcPr>
          <w:p w14:paraId="1A670CBD" w14:textId="77777777" w:rsidR="00040C2B" w:rsidRPr="00040C2B" w:rsidRDefault="00040C2B" w:rsidP="00040C2B">
            <w:pPr>
              <w:rPr>
                <w:rFonts w:cs="Arial"/>
                <w:b w:val="0"/>
                <w:color w:val="000000"/>
                <w:sz w:val="20"/>
                <w:szCs w:val="20"/>
                <w:lang w:eastAsia="zh-CN"/>
              </w:rPr>
            </w:pPr>
            <w:r w:rsidRPr="00040C2B">
              <w:rPr>
                <w:rFonts w:cs="Arial"/>
                <w:b w:val="0"/>
                <w:color w:val="000000"/>
                <w:sz w:val="20"/>
                <w:szCs w:val="20"/>
                <w:lang w:val="en-US" w:eastAsia="zh-CN"/>
              </w:rPr>
              <w:t>Lining</w:t>
            </w:r>
          </w:p>
        </w:tc>
      </w:tr>
      <w:tr w:rsidR="00040C2B" w:rsidRPr="00040C2B" w14:paraId="625D5B3D" w14:textId="77777777" w:rsidTr="00040C2B">
        <w:trPr>
          <w:trHeight w:val="283"/>
          <w:jc w:val="center"/>
        </w:trPr>
        <w:tc>
          <w:tcPr>
            <w:tcW w:w="1002" w:type="pct"/>
            <w:tcBorders>
              <w:top w:val="single" w:sz="4" w:space="0" w:color="000000"/>
            </w:tcBorders>
            <w:shd w:val="clear" w:color="auto" w:fill="auto"/>
            <w:vAlign w:val="center"/>
            <w:hideMark/>
          </w:tcPr>
          <w:p w14:paraId="5645007C"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Depth</w:t>
            </w:r>
          </w:p>
        </w:tc>
        <w:tc>
          <w:tcPr>
            <w:tcW w:w="811" w:type="pct"/>
            <w:tcBorders>
              <w:top w:val="single" w:sz="4" w:space="0" w:color="000000"/>
            </w:tcBorders>
            <w:shd w:val="clear" w:color="auto" w:fill="auto"/>
            <w:noWrap/>
            <w:vAlign w:val="bottom"/>
            <w:hideMark/>
          </w:tcPr>
          <w:p w14:paraId="30307615"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eastAsia="zh-CN"/>
              </w:rPr>
              <w:t>m</w:t>
            </w:r>
          </w:p>
        </w:tc>
        <w:tc>
          <w:tcPr>
            <w:tcW w:w="611" w:type="pct"/>
            <w:tcBorders>
              <w:top w:val="single" w:sz="4" w:space="0" w:color="000000"/>
            </w:tcBorders>
            <w:shd w:val="clear" w:color="auto" w:fill="auto"/>
            <w:vAlign w:val="center"/>
            <w:hideMark/>
          </w:tcPr>
          <w:p w14:paraId="4E2EBFB9"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0-5</w:t>
            </w:r>
          </w:p>
        </w:tc>
        <w:tc>
          <w:tcPr>
            <w:tcW w:w="611" w:type="pct"/>
            <w:tcBorders>
              <w:top w:val="single" w:sz="4" w:space="0" w:color="000000"/>
            </w:tcBorders>
            <w:shd w:val="clear" w:color="auto" w:fill="auto"/>
            <w:vAlign w:val="center"/>
            <w:hideMark/>
          </w:tcPr>
          <w:p w14:paraId="727DE99B"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5-15</w:t>
            </w:r>
          </w:p>
        </w:tc>
        <w:tc>
          <w:tcPr>
            <w:tcW w:w="611" w:type="pct"/>
            <w:tcBorders>
              <w:top w:val="single" w:sz="4" w:space="0" w:color="000000"/>
            </w:tcBorders>
            <w:shd w:val="clear" w:color="auto" w:fill="auto"/>
            <w:vAlign w:val="center"/>
            <w:hideMark/>
          </w:tcPr>
          <w:p w14:paraId="6377D17F"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15-30</w:t>
            </w:r>
          </w:p>
        </w:tc>
        <w:tc>
          <w:tcPr>
            <w:tcW w:w="612" w:type="pct"/>
            <w:tcBorders>
              <w:top w:val="single" w:sz="4" w:space="0" w:color="000000"/>
            </w:tcBorders>
            <w:shd w:val="clear" w:color="auto" w:fill="auto"/>
            <w:vAlign w:val="center"/>
            <w:hideMark/>
          </w:tcPr>
          <w:p w14:paraId="06ACEE73"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30-70</w:t>
            </w:r>
          </w:p>
        </w:tc>
        <w:tc>
          <w:tcPr>
            <w:tcW w:w="740" w:type="pct"/>
            <w:tcBorders>
              <w:top w:val="single" w:sz="4" w:space="0" w:color="000000"/>
            </w:tcBorders>
            <w:shd w:val="clear" w:color="auto" w:fill="auto"/>
            <w:vAlign w:val="center"/>
            <w:hideMark/>
          </w:tcPr>
          <w:p w14:paraId="3344682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w:t>
            </w:r>
          </w:p>
        </w:tc>
      </w:tr>
      <w:tr w:rsidR="00040C2B" w:rsidRPr="00040C2B" w14:paraId="0CA983F5" w14:textId="77777777" w:rsidTr="00040C2B">
        <w:trPr>
          <w:trHeight w:val="283"/>
          <w:jc w:val="center"/>
        </w:trPr>
        <w:tc>
          <w:tcPr>
            <w:tcW w:w="1002" w:type="pct"/>
            <w:shd w:val="clear" w:color="auto" w:fill="auto"/>
            <w:vAlign w:val="center"/>
            <w:hideMark/>
          </w:tcPr>
          <w:p w14:paraId="32822BA5"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Unit weight</w:t>
            </w:r>
          </w:p>
        </w:tc>
        <w:tc>
          <w:tcPr>
            <w:tcW w:w="811" w:type="pct"/>
            <w:shd w:val="clear" w:color="auto" w:fill="auto"/>
            <w:vAlign w:val="center"/>
            <w:hideMark/>
          </w:tcPr>
          <w:p w14:paraId="46D135C7"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γ (</w:t>
            </w:r>
            <w:proofErr w:type="spellStart"/>
            <w:r w:rsidRPr="00040C2B">
              <w:rPr>
                <w:rFonts w:cs="Arial"/>
                <w:b w:val="0"/>
                <w:color w:val="000000"/>
                <w:sz w:val="18"/>
                <w:szCs w:val="18"/>
                <w:lang w:val="en-US" w:eastAsia="zh-CN"/>
              </w:rPr>
              <w:t>kN</w:t>
            </w:r>
            <w:proofErr w:type="spellEnd"/>
            <w:r w:rsidRPr="00040C2B">
              <w:rPr>
                <w:rFonts w:cs="Arial"/>
                <w:b w:val="0"/>
                <w:color w:val="000000"/>
                <w:sz w:val="18"/>
                <w:szCs w:val="18"/>
                <w:lang w:val="en-US" w:eastAsia="zh-CN"/>
              </w:rPr>
              <w:t>/m</w:t>
            </w:r>
            <w:r w:rsidRPr="00040C2B">
              <w:rPr>
                <w:rFonts w:cs="Arial"/>
                <w:b w:val="0"/>
                <w:color w:val="000000"/>
                <w:sz w:val="18"/>
                <w:szCs w:val="18"/>
                <w:vertAlign w:val="superscript"/>
                <w:lang w:val="en-US" w:eastAsia="zh-CN"/>
              </w:rPr>
              <w:t>3</w:t>
            </w:r>
            <w:r w:rsidRPr="00040C2B">
              <w:rPr>
                <w:rFonts w:cs="Arial"/>
                <w:b w:val="0"/>
                <w:color w:val="000000"/>
                <w:sz w:val="18"/>
                <w:szCs w:val="18"/>
                <w:lang w:val="en-US" w:eastAsia="zh-CN"/>
              </w:rPr>
              <w:t>)</w:t>
            </w:r>
          </w:p>
        </w:tc>
        <w:tc>
          <w:tcPr>
            <w:tcW w:w="611" w:type="pct"/>
            <w:shd w:val="clear" w:color="auto" w:fill="auto"/>
            <w:vAlign w:val="center"/>
            <w:hideMark/>
          </w:tcPr>
          <w:p w14:paraId="6308EF27"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22.5</w:t>
            </w:r>
          </w:p>
        </w:tc>
        <w:tc>
          <w:tcPr>
            <w:tcW w:w="611" w:type="pct"/>
            <w:shd w:val="clear" w:color="auto" w:fill="auto"/>
            <w:vAlign w:val="center"/>
            <w:hideMark/>
          </w:tcPr>
          <w:p w14:paraId="68CB9F88"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23</w:t>
            </w:r>
          </w:p>
        </w:tc>
        <w:tc>
          <w:tcPr>
            <w:tcW w:w="611" w:type="pct"/>
            <w:shd w:val="clear" w:color="auto" w:fill="auto"/>
            <w:vAlign w:val="center"/>
            <w:hideMark/>
          </w:tcPr>
          <w:p w14:paraId="66B4019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24</w:t>
            </w:r>
          </w:p>
        </w:tc>
        <w:tc>
          <w:tcPr>
            <w:tcW w:w="612" w:type="pct"/>
            <w:shd w:val="clear" w:color="auto" w:fill="auto"/>
            <w:vAlign w:val="center"/>
            <w:hideMark/>
          </w:tcPr>
          <w:p w14:paraId="22AEE2BE"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25.5</w:t>
            </w:r>
          </w:p>
        </w:tc>
        <w:tc>
          <w:tcPr>
            <w:tcW w:w="740" w:type="pct"/>
            <w:shd w:val="clear" w:color="auto" w:fill="auto"/>
            <w:vAlign w:val="center"/>
            <w:hideMark/>
          </w:tcPr>
          <w:p w14:paraId="2A3D4C6C"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25</w:t>
            </w:r>
          </w:p>
        </w:tc>
      </w:tr>
      <w:tr w:rsidR="00040C2B" w:rsidRPr="00040C2B" w14:paraId="2839DABC" w14:textId="77777777" w:rsidTr="00040C2B">
        <w:trPr>
          <w:trHeight w:val="283"/>
          <w:jc w:val="center"/>
        </w:trPr>
        <w:tc>
          <w:tcPr>
            <w:tcW w:w="1002" w:type="pct"/>
            <w:shd w:val="clear" w:color="auto" w:fill="auto"/>
            <w:vAlign w:val="center"/>
            <w:hideMark/>
          </w:tcPr>
          <w:p w14:paraId="5E3814BC"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Rock mass modulus</w:t>
            </w:r>
          </w:p>
        </w:tc>
        <w:tc>
          <w:tcPr>
            <w:tcW w:w="811" w:type="pct"/>
            <w:shd w:val="clear" w:color="auto" w:fill="auto"/>
            <w:vAlign w:val="center"/>
            <w:hideMark/>
          </w:tcPr>
          <w:p w14:paraId="28805C1F"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E</w:t>
            </w:r>
            <w:r w:rsidRPr="00040C2B">
              <w:rPr>
                <w:rFonts w:cs="Arial"/>
                <w:b w:val="0"/>
                <w:color w:val="000000"/>
                <w:sz w:val="18"/>
                <w:szCs w:val="18"/>
                <w:vertAlign w:val="subscript"/>
                <w:lang w:val="en-US" w:eastAsia="zh-CN"/>
              </w:rPr>
              <w:t>rm</w:t>
            </w:r>
            <w:r w:rsidRPr="00040C2B">
              <w:rPr>
                <w:rFonts w:cs="Arial"/>
                <w:b w:val="0"/>
                <w:color w:val="000000"/>
                <w:sz w:val="18"/>
                <w:szCs w:val="18"/>
                <w:lang w:val="en-US" w:eastAsia="zh-CN"/>
              </w:rPr>
              <w:t xml:space="preserve"> (MPa)</w:t>
            </w:r>
          </w:p>
        </w:tc>
        <w:tc>
          <w:tcPr>
            <w:tcW w:w="611" w:type="pct"/>
            <w:shd w:val="clear" w:color="auto" w:fill="auto"/>
            <w:vAlign w:val="center"/>
            <w:hideMark/>
          </w:tcPr>
          <w:p w14:paraId="5F5AD359"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100</w:t>
            </w:r>
          </w:p>
        </w:tc>
        <w:tc>
          <w:tcPr>
            <w:tcW w:w="611" w:type="pct"/>
            <w:shd w:val="clear" w:color="auto" w:fill="auto"/>
            <w:vAlign w:val="center"/>
            <w:hideMark/>
          </w:tcPr>
          <w:p w14:paraId="3A6ADF1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200</w:t>
            </w:r>
          </w:p>
        </w:tc>
        <w:tc>
          <w:tcPr>
            <w:tcW w:w="611" w:type="pct"/>
            <w:shd w:val="clear" w:color="auto" w:fill="auto"/>
            <w:vAlign w:val="center"/>
            <w:hideMark/>
          </w:tcPr>
          <w:p w14:paraId="30FE36F3"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800</w:t>
            </w:r>
          </w:p>
        </w:tc>
        <w:tc>
          <w:tcPr>
            <w:tcW w:w="612" w:type="pct"/>
            <w:shd w:val="clear" w:color="auto" w:fill="auto"/>
            <w:vAlign w:val="center"/>
            <w:hideMark/>
          </w:tcPr>
          <w:p w14:paraId="238ED2D5"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2500</w:t>
            </w:r>
          </w:p>
        </w:tc>
        <w:tc>
          <w:tcPr>
            <w:tcW w:w="740" w:type="pct"/>
            <w:shd w:val="clear" w:color="auto" w:fill="auto"/>
            <w:vAlign w:val="center"/>
            <w:hideMark/>
          </w:tcPr>
          <w:p w14:paraId="393B04F4"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35000</w:t>
            </w:r>
          </w:p>
        </w:tc>
      </w:tr>
      <w:tr w:rsidR="00040C2B" w:rsidRPr="00040C2B" w14:paraId="170744A1" w14:textId="77777777" w:rsidTr="00040C2B">
        <w:trPr>
          <w:trHeight w:val="283"/>
          <w:jc w:val="center"/>
        </w:trPr>
        <w:tc>
          <w:tcPr>
            <w:tcW w:w="1002" w:type="pct"/>
            <w:shd w:val="clear" w:color="auto" w:fill="auto"/>
            <w:vAlign w:val="center"/>
            <w:hideMark/>
          </w:tcPr>
          <w:p w14:paraId="4E892CD2"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Poisson’s ratio</w:t>
            </w:r>
          </w:p>
        </w:tc>
        <w:tc>
          <w:tcPr>
            <w:tcW w:w="811" w:type="pct"/>
            <w:shd w:val="clear" w:color="auto" w:fill="auto"/>
            <w:vAlign w:val="center"/>
            <w:hideMark/>
          </w:tcPr>
          <w:p w14:paraId="7F895BE9"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v</w:t>
            </w:r>
          </w:p>
        </w:tc>
        <w:tc>
          <w:tcPr>
            <w:tcW w:w="611" w:type="pct"/>
            <w:shd w:val="clear" w:color="auto" w:fill="auto"/>
            <w:vAlign w:val="center"/>
            <w:hideMark/>
          </w:tcPr>
          <w:p w14:paraId="539801D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0.3</w:t>
            </w:r>
          </w:p>
        </w:tc>
        <w:tc>
          <w:tcPr>
            <w:tcW w:w="611" w:type="pct"/>
            <w:shd w:val="clear" w:color="auto" w:fill="auto"/>
            <w:vAlign w:val="center"/>
            <w:hideMark/>
          </w:tcPr>
          <w:p w14:paraId="098C5DD2"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0.25</w:t>
            </w:r>
          </w:p>
        </w:tc>
        <w:tc>
          <w:tcPr>
            <w:tcW w:w="611" w:type="pct"/>
            <w:shd w:val="clear" w:color="auto" w:fill="auto"/>
            <w:vAlign w:val="center"/>
            <w:hideMark/>
          </w:tcPr>
          <w:p w14:paraId="68F7EF4B"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0.2</w:t>
            </w:r>
          </w:p>
        </w:tc>
        <w:tc>
          <w:tcPr>
            <w:tcW w:w="612" w:type="pct"/>
            <w:shd w:val="clear" w:color="auto" w:fill="auto"/>
            <w:vAlign w:val="center"/>
            <w:hideMark/>
          </w:tcPr>
          <w:p w14:paraId="0AA3FE52"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0.2</w:t>
            </w:r>
          </w:p>
        </w:tc>
        <w:tc>
          <w:tcPr>
            <w:tcW w:w="740" w:type="pct"/>
            <w:shd w:val="clear" w:color="auto" w:fill="auto"/>
            <w:vAlign w:val="center"/>
            <w:hideMark/>
          </w:tcPr>
          <w:p w14:paraId="50603CBF"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0.167</w:t>
            </w:r>
          </w:p>
        </w:tc>
      </w:tr>
      <w:tr w:rsidR="00040C2B" w:rsidRPr="00040C2B" w14:paraId="60490F84" w14:textId="77777777" w:rsidTr="00040C2B">
        <w:trPr>
          <w:trHeight w:val="283"/>
          <w:jc w:val="center"/>
        </w:trPr>
        <w:tc>
          <w:tcPr>
            <w:tcW w:w="1002" w:type="pct"/>
            <w:shd w:val="clear" w:color="auto" w:fill="auto"/>
            <w:vAlign w:val="center"/>
            <w:hideMark/>
          </w:tcPr>
          <w:p w14:paraId="0CE094C8"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Friction angle</w:t>
            </w:r>
          </w:p>
        </w:tc>
        <w:tc>
          <w:tcPr>
            <w:tcW w:w="811" w:type="pct"/>
            <w:shd w:val="clear" w:color="auto" w:fill="auto"/>
            <w:vAlign w:val="center"/>
            <w:hideMark/>
          </w:tcPr>
          <w:p w14:paraId="1EB86A4A"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ϕ (°)</w:t>
            </w:r>
          </w:p>
        </w:tc>
        <w:tc>
          <w:tcPr>
            <w:tcW w:w="611" w:type="pct"/>
            <w:shd w:val="clear" w:color="auto" w:fill="auto"/>
            <w:vAlign w:val="center"/>
            <w:hideMark/>
          </w:tcPr>
          <w:p w14:paraId="23D2641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30</w:t>
            </w:r>
          </w:p>
        </w:tc>
        <w:tc>
          <w:tcPr>
            <w:tcW w:w="611" w:type="pct"/>
            <w:shd w:val="clear" w:color="auto" w:fill="auto"/>
            <w:vAlign w:val="center"/>
            <w:hideMark/>
          </w:tcPr>
          <w:p w14:paraId="59576E19"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34</w:t>
            </w:r>
          </w:p>
        </w:tc>
        <w:tc>
          <w:tcPr>
            <w:tcW w:w="611" w:type="pct"/>
            <w:shd w:val="clear" w:color="auto" w:fill="auto"/>
            <w:vAlign w:val="center"/>
            <w:hideMark/>
          </w:tcPr>
          <w:p w14:paraId="0A278C74"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43</w:t>
            </w:r>
          </w:p>
        </w:tc>
        <w:tc>
          <w:tcPr>
            <w:tcW w:w="612" w:type="pct"/>
            <w:shd w:val="clear" w:color="auto" w:fill="auto"/>
            <w:vAlign w:val="center"/>
            <w:hideMark/>
          </w:tcPr>
          <w:p w14:paraId="2A43E9AD"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54</w:t>
            </w:r>
          </w:p>
        </w:tc>
        <w:tc>
          <w:tcPr>
            <w:tcW w:w="740" w:type="pct"/>
            <w:shd w:val="clear" w:color="auto" w:fill="auto"/>
            <w:vAlign w:val="center"/>
            <w:hideMark/>
          </w:tcPr>
          <w:p w14:paraId="0A6859C8"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37</w:t>
            </w:r>
          </w:p>
        </w:tc>
      </w:tr>
      <w:tr w:rsidR="00040C2B" w:rsidRPr="00040C2B" w14:paraId="141430CA" w14:textId="77777777" w:rsidTr="00040C2B">
        <w:trPr>
          <w:trHeight w:val="283"/>
          <w:jc w:val="center"/>
        </w:trPr>
        <w:tc>
          <w:tcPr>
            <w:tcW w:w="1002" w:type="pct"/>
            <w:tcBorders>
              <w:bottom w:val="single" w:sz="12" w:space="0" w:color="000000"/>
            </w:tcBorders>
            <w:shd w:val="clear" w:color="auto" w:fill="auto"/>
            <w:vAlign w:val="center"/>
            <w:hideMark/>
          </w:tcPr>
          <w:p w14:paraId="6DE52E31"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Cohesion</w:t>
            </w:r>
          </w:p>
        </w:tc>
        <w:tc>
          <w:tcPr>
            <w:tcW w:w="811" w:type="pct"/>
            <w:tcBorders>
              <w:bottom w:val="single" w:sz="12" w:space="0" w:color="000000"/>
            </w:tcBorders>
            <w:shd w:val="clear" w:color="auto" w:fill="auto"/>
            <w:vAlign w:val="center"/>
            <w:hideMark/>
          </w:tcPr>
          <w:p w14:paraId="0C29F594"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c (kPa)</w:t>
            </w:r>
          </w:p>
        </w:tc>
        <w:tc>
          <w:tcPr>
            <w:tcW w:w="611" w:type="pct"/>
            <w:tcBorders>
              <w:bottom w:val="single" w:sz="12" w:space="0" w:color="000000"/>
            </w:tcBorders>
            <w:shd w:val="clear" w:color="auto" w:fill="auto"/>
            <w:vAlign w:val="center"/>
            <w:hideMark/>
          </w:tcPr>
          <w:p w14:paraId="40BEF845"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37</w:t>
            </w:r>
          </w:p>
        </w:tc>
        <w:tc>
          <w:tcPr>
            <w:tcW w:w="611" w:type="pct"/>
            <w:tcBorders>
              <w:bottom w:val="single" w:sz="12" w:space="0" w:color="000000"/>
            </w:tcBorders>
            <w:shd w:val="clear" w:color="auto" w:fill="auto"/>
            <w:vAlign w:val="center"/>
            <w:hideMark/>
          </w:tcPr>
          <w:p w14:paraId="7947502C"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60</w:t>
            </w:r>
          </w:p>
        </w:tc>
        <w:tc>
          <w:tcPr>
            <w:tcW w:w="611" w:type="pct"/>
            <w:tcBorders>
              <w:bottom w:val="single" w:sz="12" w:space="0" w:color="000000"/>
            </w:tcBorders>
            <w:shd w:val="clear" w:color="auto" w:fill="auto"/>
            <w:vAlign w:val="center"/>
            <w:hideMark/>
          </w:tcPr>
          <w:p w14:paraId="3FDB9169"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115</w:t>
            </w:r>
          </w:p>
        </w:tc>
        <w:tc>
          <w:tcPr>
            <w:tcW w:w="612" w:type="pct"/>
            <w:tcBorders>
              <w:bottom w:val="single" w:sz="12" w:space="0" w:color="000000"/>
            </w:tcBorders>
            <w:shd w:val="clear" w:color="auto" w:fill="auto"/>
            <w:vAlign w:val="center"/>
            <w:hideMark/>
          </w:tcPr>
          <w:p w14:paraId="6566327F"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270</w:t>
            </w:r>
          </w:p>
        </w:tc>
        <w:tc>
          <w:tcPr>
            <w:tcW w:w="740" w:type="pct"/>
            <w:tcBorders>
              <w:bottom w:val="single" w:sz="12" w:space="0" w:color="000000"/>
            </w:tcBorders>
            <w:shd w:val="clear" w:color="auto" w:fill="auto"/>
            <w:vAlign w:val="center"/>
            <w:hideMark/>
          </w:tcPr>
          <w:p w14:paraId="1CAC2BAC" w14:textId="77777777" w:rsidR="00040C2B" w:rsidRPr="00040C2B" w:rsidRDefault="00040C2B" w:rsidP="00040C2B">
            <w:pPr>
              <w:rPr>
                <w:rFonts w:cs="Arial"/>
                <w:b w:val="0"/>
                <w:color w:val="000000"/>
                <w:sz w:val="18"/>
                <w:szCs w:val="18"/>
                <w:lang w:eastAsia="zh-CN"/>
              </w:rPr>
            </w:pPr>
            <w:r w:rsidRPr="00040C2B">
              <w:rPr>
                <w:rFonts w:cs="Arial"/>
                <w:b w:val="0"/>
                <w:color w:val="000000"/>
                <w:sz w:val="18"/>
                <w:szCs w:val="18"/>
                <w:lang w:val="en-US" w:eastAsia="zh-CN"/>
              </w:rPr>
              <w:t>4000</w:t>
            </w:r>
          </w:p>
        </w:tc>
      </w:tr>
    </w:tbl>
    <w:p w14:paraId="65A07DE9" w14:textId="77777777" w:rsidR="00040C2B" w:rsidRPr="00040C2B" w:rsidRDefault="00040C2B" w:rsidP="00040C2B">
      <w:pPr>
        <w:rPr>
          <w:rFonts w:eastAsia="等线" w:cs="Arial"/>
          <w:b w:val="0"/>
          <w:bCs/>
          <w:sz w:val="20"/>
          <w:szCs w:val="20"/>
          <w:lang w:eastAsia="zh-CN"/>
        </w:rP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20"/>
        <w:gridCol w:w="1520"/>
      </w:tblGrid>
      <w:tr w:rsidR="00040C2B" w:rsidRPr="00040C2B" w14:paraId="1286D500" w14:textId="77777777" w:rsidTr="0056688B">
        <w:trPr>
          <w:jc w:val="center"/>
        </w:trPr>
        <w:tc>
          <w:tcPr>
            <w:tcW w:w="2768" w:type="dxa"/>
            <w:vAlign w:val="center"/>
          </w:tcPr>
          <w:p w14:paraId="590B4D40" w14:textId="385A8DAC" w:rsidR="00040C2B" w:rsidRPr="00040C2B" w:rsidRDefault="006C13C4" w:rsidP="00040C2B">
            <w:pPr>
              <w:rPr>
                <w:rFonts w:eastAsia="等线" w:cs="Arial"/>
                <w:sz w:val="20"/>
                <w:szCs w:val="22"/>
                <w:lang w:eastAsia="zh-CN"/>
              </w:rPr>
            </w:pPr>
            <w:r w:rsidRPr="00040C2B">
              <w:rPr>
                <w:rFonts w:eastAsia="等线" w:cs="Arial"/>
                <w:noProof/>
                <w:sz w:val="20"/>
                <w:lang w:eastAsia="zh-CN"/>
              </w:rPr>
              <w:drawing>
                <wp:inline distT="0" distB="0" distL="0" distR="0" wp14:anchorId="3DE1210A" wp14:editId="15A367DD">
                  <wp:extent cx="1087755" cy="567690"/>
                  <wp:effectExtent l="0" t="0" r="0" b="0"/>
                  <wp:docPr id="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7755" cy="567690"/>
                          </a:xfrm>
                          <a:prstGeom prst="rect">
                            <a:avLst/>
                          </a:prstGeom>
                          <a:noFill/>
                          <a:ln>
                            <a:noFill/>
                          </a:ln>
                        </pic:spPr>
                      </pic:pic>
                    </a:graphicData>
                  </a:graphic>
                </wp:inline>
              </w:drawing>
            </w:r>
          </w:p>
        </w:tc>
        <w:tc>
          <w:tcPr>
            <w:tcW w:w="2769" w:type="dxa"/>
            <w:vAlign w:val="center"/>
          </w:tcPr>
          <w:p w14:paraId="219F88E3" w14:textId="18D58427" w:rsidR="00040C2B" w:rsidRPr="00040C2B" w:rsidRDefault="006C13C4" w:rsidP="00040C2B">
            <w:pPr>
              <w:rPr>
                <w:rFonts w:eastAsia="等线" w:cs="Arial"/>
                <w:noProof/>
                <w:sz w:val="20"/>
                <w:szCs w:val="22"/>
                <w:lang w:eastAsia="zh-CN"/>
              </w:rPr>
            </w:pPr>
            <w:r w:rsidRPr="00040C2B">
              <w:rPr>
                <w:rFonts w:eastAsia="等线" w:cs="Arial"/>
                <w:noProof/>
                <w:sz w:val="20"/>
                <w:lang w:eastAsia="zh-CN"/>
              </w:rPr>
              <w:drawing>
                <wp:inline distT="0" distB="0" distL="0" distR="0" wp14:anchorId="04CBA17A" wp14:editId="0CEA5CFD">
                  <wp:extent cx="1087755" cy="551815"/>
                  <wp:effectExtent l="0" t="0" r="0" b="0"/>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7755" cy="551815"/>
                          </a:xfrm>
                          <a:prstGeom prst="rect">
                            <a:avLst/>
                          </a:prstGeom>
                          <a:noFill/>
                          <a:ln>
                            <a:noFill/>
                          </a:ln>
                        </pic:spPr>
                      </pic:pic>
                    </a:graphicData>
                  </a:graphic>
                </wp:inline>
              </w:drawing>
            </w:r>
          </w:p>
        </w:tc>
        <w:tc>
          <w:tcPr>
            <w:tcW w:w="2769" w:type="dxa"/>
          </w:tcPr>
          <w:p w14:paraId="005330E1" w14:textId="4555FF48" w:rsidR="00040C2B" w:rsidRPr="00040C2B" w:rsidRDefault="006C13C4" w:rsidP="00040C2B">
            <w:pPr>
              <w:rPr>
                <w:rFonts w:eastAsia="等线" w:cs="Arial"/>
                <w:noProof/>
                <w:sz w:val="20"/>
                <w:szCs w:val="22"/>
                <w:lang w:eastAsia="zh-CN"/>
              </w:rPr>
            </w:pPr>
            <w:r w:rsidRPr="00040C2B">
              <w:rPr>
                <w:rFonts w:eastAsia="等线" w:cs="Arial"/>
                <w:noProof/>
                <w:sz w:val="20"/>
                <w:lang w:eastAsia="zh-CN"/>
              </w:rPr>
              <w:drawing>
                <wp:inline distT="0" distB="0" distL="0" distR="0" wp14:anchorId="5E430618" wp14:editId="1B89EF06">
                  <wp:extent cx="1087755" cy="551815"/>
                  <wp:effectExtent l="0" t="0" r="0" b="0"/>
                  <wp:docPr id="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7755" cy="551815"/>
                          </a:xfrm>
                          <a:prstGeom prst="rect">
                            <a:avLst/>
                          </a:prstGeom>
                          <a:noFill/>
                          <a:ln>
                            <a:noFill/>
                          </a:ln>
                        </pic:spPr>
                      </pic:pic>
                    </a:graphicData>
                  </a:graphic>
                </wp:inline>
              </w:drawing>
            </w:r>
          </w:p>
        </w:tc>
      </w:tr>
      <w:tr w:rsidR="00040C2B" w:rsidRPr="00040C2B" w14:paraId="20191C7A" w14:textId="77777777" w:rsidTr="0056688B">
        <w:trPr>
          <w:jc w:val="center"/>
        </w:trPr>
        <w:tc>
          <w:tcPr>
            <w:tcW w:w="2768" w:type="dxa"/>
            <w:vAlign w:val="center"/>
          </w:tcPr>
          <w:p w14:paraId="59A60963" w14:textId="77777777" w:rsidR="00040C2B" w:rsidRPr="00040C2B" w:rsidRDefault="00040C2B" w:rsidP="00040C2B">
            <w:pPr>
              <w:rPr>
                <w:rFonts w:eastAsia="等线" w:cs="Arial"/>
                <w:b w:val="0"/>
                <w:bCs/>
                <w:noProof/>
                <w:sz w:val="18"/>
                <w:szCs w:val="18"/>
                <w:lang w:eastAsia="zh-CN"/>
              </w:rPr>
            </w:pPr>
            <w:r w:rsidRPr="00040C2B">
              <w:rPr>
                <w:rFonts w:eastAsia="等线" w:cs="Arial"/>
                <w:b w:val="0"/>
                <w:bCs/>
                <w:noProof/>
                <w:sz w:val="18"/>
                <w:szCs w:val="18"/>
                <w:lang w:eastAsia="zh-CN"/>
              </w:rPr>
              <w:t>(a)</w:t>
            </w:r>
          </w:p>
        </w:tc>
        <w:tc>
          <w:tcPr>
            <w:tcW w:w="2769" w:type="dxa"/>
            <w:vAlign w:val="center"/>
          </w:tcPr>
          <w:p w14:paraId="51C2FF80" w14:textId="77777777" w:rsidR="00040C2B" w:rsidRPr="00040C2B" w:rsidRDefault="00040C2B" w:rsidP="00040C2B">
            <w:pPr>
              <w:rPr>
                <w:rFonts w:eastAsia="等线" w:cs="Arial"/>
                <w:b w:val="0"/>
                <w:bCs/>
                <w:noProof/>
                <w:sz w:val="18"/>
                <w:szCs w:val="18"/>
                <w:lang w:eastAsia="zh-CN"/>
              </w:rPr>
            </w:pPr>
            <w:r w:rsidRPr="00040C2B">
              <w:rPr>
                <w:rFonts w:eastAsia="等线" w:cs="Arial"/>
                <w:b w:val="0"/>
                <w:bCs/>
                <w:noProof/>
                <w:sz w:val="18"/>
                <w:szCs w:val="18"/>
                <w:lang w:eastAsia="zh-CN"/>
              </w:rPr>
              <w:t>(b)</w:t>
            </w:r>
          </w:p>
        </w:tc>
        <w:tc>
          <w:tcPr>
            <w:tcW w:w="2769" w:type="dxa"/>
          </w:tcPr>
          <w:p w14:paraId="40D0AA11" w14:textId="77777777" w:rsidR="00040C2B" w:rsidRPr="00040C2B" w:rsidRDefault="00040C2B" w:rsidP="00040C2B">
            <w:pPr>
              <w:rPr>
                <w:rFonts w:eastAsia="等线" w:cs="Arial"/>
                <w:b w:val="0"/>
                <w:bCs/>
                <w:noProof/>
                <w:sz w:val="18"/>
                <w:szCs w:val="18"/>
                <w:lang w:eastAsia="zh-CN"/>
              </w:rPr>
            </w:pPr>
            <w:r w:rsidRPr="00040C2B">
              <w:rPr>
                <w:rFonts w:eastAsia="等线" w:cs="Arial"/>
                <w:b w:val="0"/>
                <w:bCs/>
                <w:noProof/>
                <w:sz w:val="18"/>
                <w:szCs w:val="18"/>
                <w:lang w:eastAsia="zh-CN"/>
              </w:rPr>
              <w:t>(c)</w:t>
            </w:r>
          </w:p>
        </w:tc>
      </w:tr>
    </w:tbl>
    <w:p w14:paraId="7E66470A" w14:textId="77777777" w:rsidR="00040C2B" w:rsidRDefault="00040C2B" w:rsidP="00EE02C7">
      <w:pPr>
        <w:contextualSpacing/>
        <w:jc w:val="both"/>
        <w:rPr>
          <w:rFonts w:eastAsia="等线" w:cs="Arial"/>
          <w:b w:val="0"/>
          <w:i/>
          <w:iCs/>
          <w:sz w:val="18"/>
          <w:szCs w:val="18"/>
          <w:lang w:eastAsia="zh-CN"/>
        </w:rPr>
      </w:pPr>
      <w:r w:rsidRPr="00040C2B">
        <w:rPr>
          <w:rFonts w:eastAsia="等线" w:cs="Arial"/>
          <w:b w:val="0"/>
          <w:i/>
          <w:iCs/>
          <w:sz w:val="18"/>
          <w:szCs w:val="18"/>
          <w:lang w:eastAsia="zh-CN"/>
        </w:rPr>
        <w:t>Figure 6. vertical displacements caused by tunnelling at varied advance intervals.</w:t>
      </w:r>
    </w:p>
    <w:p w14:paraId="0FDE7936" w14:textId="77777777" w:rsidR="00CE7BAB" w:rsidRPr="00CE7BAB" w:rsidRDefault="00CE7BAB" w:rsidP="00CE7BAB">
      <w:pPr>
        <w:pStyle w:val="PlainText"/>
        <w:rPr>
          <w:lang w:eastAsia="zh-CN"/>
        </w:rPr>
      </w:pPr>
    </w:p>
    <w:p w14:paraId="06864095" w14:textId="3FCAD6A3" w:rsidR="00D90837" w:rsidRDefault="00D90837" w:rsidP="00D90837">
      <w:pPr>
        <w:pStyle w:val="PlainText"/>
        <w:ind w:firstLine="284"/>
        <w:rPr>
          <w:rFonts w:eastAsiaTheme="minorEastAsia"/>
          <w:sz w:val="20"/>
          <w:lang w:eastAsia="zh-CN"/>
        </w:rPr>
      </w:pPr>
      <w:r>
        <w:rPr>
          <w:sz w:val="20"/>
        </w:rPr>
        <w:t xml:space="preserve">The significance of this DE-driven approach is for early-life stage decision support. </w:t>
      </w:r>
      <w:r w:rsidRPr="00BD5ACE">
        <w:rPr>
          <w:sz w:val="20"/>
        </w:rPr>
        <w:t xml:space="preserve">It is worth noting that interoperability, meaning the ability to share and </w:t>
      </w:r>
      <w:r w:rsidRPr="00BD5ACE">
        <w:rPr>
          <w:sz w:val="20"/>
        </w:rPr>
        <w:t xml:space="preserve">exchange information between different applications has been an important factor required by collaborative design process. Within the domain of BIM, interoperability is largely supported by the use of the standard data schema to represent the information models, namely Industry Foundation Classes (IFC). There have been ongoing efforts to extend IFC data schema for infrastructure uses, including tunnels (e.g. </w:t>
      </w:r>
      <w:proofErr w:type="spellStart"/>
      <w:r w:rsidRPr="00BD5ACE">
        <w:rPr>
          <w:sz w:val="20"/>
        </w:rPr>
        <w:t>buildingSmart</w:t>
      </w:r>
      <w:proofErr w:type="spellEnd"/>
      <w:r w:rsidRPr="00BD5ACE">
        <w:rPr>
          <w:sz w:val="20"/>
        </w:rPr>
        <w:t xml:space="preserve"> Infrastructure Room). However, due to the complexity of information associated with tunnelling, especially geological and geotechnical information and representations, there is yet IFC-tunnel standard being published or implemented in standard design authoring tools (e.g., Autodesk Revit, </w:t>
      </w:r>
      <w:proofErr w:type="spellStart"/>
      <w:r w:rsidRPr="00BD5ACE">
        <w:rPr>
          <w:sz w:val="20"/>
        </w:rPr>
        <w:t>Plaxis</w:t>
      </w:r>
      <w:proofErr w:type="spellEnd"/>
      <w:r w:rsidRPr="00BD5ACE">
        <w:rPr>
          <w:sz w:val="20"/>
        </w:rPr>
        <w:t>, SketchUp, 12D, Bentley Designers, etc.). Tunnel designs and design verification via numerical modelling at the moment are still largely relied on paper-based drawings.</w:t>
      </w:r>
    </w:p>
    <w:p w14:paraId="3883D573" w14:textId="77777777" w:rsidR="00040C2B" w:rsidRPr="00040C2B" w:rsidRDefault="00040C2B" w:rsidP="0091410E">
      <w:pPr>
        <w:pStyle w:val="PlainText"/>
        <w:ind w:firstLine="284"/>
        <w:rPr>
          <w:rFonts w:eastAsiaTheme="minorEastAsia"/>
          <w:sz w:val="20"/>
          <w:lang w:eastAsia="zh-CN"/>
        </w:rPr>
      </w:pPr>
    </w:p>
    <w:p w14:paraId="44872FCF" w14:textId="42B5EA53" w:rsidR="00452605" w:rsidRPr="00040C2B" w:rsidRDefault="00C04303" w:rsidP="00452605">
      <w:pPr>
        <w:pStyle w:val="Heading1"/>
        <w:rPr>
          <w:rFonts w:eastAsiaTheme="minorEastAsia"/>
          <w:lang w:eastAsia="zh-CN"/>
        </w:rPr>
      </w:pPr>
      <w:r w:rsidRPr="00F05EA2">
        <w:t xml:space="preserve">4. </w:t>
      </w:r>
      <w:r w:rsidR="00040C2B">
        <w:rPr>
          <w:rFonts w:eastAsiaTheme="minorEastAsia" w:hint="eastAsia"/>
          <w:lang w:eastAsia="zh-CN"/>
        </w:rPr>
        <w:t>DIGITAL TWIN</w:t>
      </w:r>
    </w:p>
    <w:p w14:paraId="65D53718" w14:textId="69EA29D3" w:rsidR="00624192" w:rsidRDefault="00624192" w:rsidP="00A87382">
      <w:pPr>
        <w:pStyle w:val="PlainText"/>
        <w:ind w:firstLine="284"/>
        <w:rPr>
          <w:rFonts w:eastAsia="等线"/>
          <w:sz w:val="20"/>
          <w:lang w:eastAsia="zh-CN"/>
        </w:rPr>
      </w:pPr>
      <w:r w:rsidRPr="00624192">
        <w:rPr>
          <w:rFonts w:eastAsia="等线"/>
          <w:sz w:val="20"/>
          <w:lang w:eastAsia="zh-CN"/>
        </w:rPr>
        <w:t xml:space="preserve">As defined by NIBS “A Digital Twin of an asset is a fit-for-purpose and intelligent virtual representation of it synchronised at specific frequencies, with an existing or planned connection between the virtual and physical twin that may include analysis and the ability to actuate physical changes from the virtual twin”. The Digital Twin concept is centred around analysing the operational status of the physical artefacts to interrogate and predict future states. </w:t>
      </w:r>
    </w:p>
    <w:p w14:paraId="3A5AC7F6" w14:textId="77777777" w:rsidR="002B206C" w:rsidRDefault="002B206C" w:rsidP="00A87382">
      <w:pPr>
        <w:pStyle w:val="PlainText"/>
        <w:ind w:firstLine="284"/>
        <w:rPr>
          <w:rFonts w:eastAsia="等线"/>
          <w:sz w:val="20"/>
          <w:lang w:eastAsia="zh-CN"/>
        </w:rPr>
      </w:pPr>
    </w:p>
    <w:p w14:paraId="2177B0D6" w14:textId="20C6A0DA" w:rsidR="006C13C4" w:rsidRDefault="006C13C4" w:rsidP="006C13C4">
      <w:pPr>
        <w:pStyle w:val="PlainText"/>
        <w:rPr>
          <w:rFonts w:eastAsiaTheme="minorEastAsia"/>
          <w:sz w:val="20"/>
          <w:lang w:eastAsia="zh-CN"/>
        </w:rPr>
      </w:pPr>
      <w:r>
        <w:rPr>
          <w:rFonts w:eastAsiaTheme="minorEastAsia"/>
          <w:noProof/>
          <w:sz w:val="20"/>
          <w:lang w:eastAsia="zh-CN"/>
        </w:rPr>
        <w:drawing>
          <wp:inline distT="0" distB="0" distL="0" distR="0" wp14:anchorId="6B6C44DA" wp14:editId="1F421BAA">
            <wp:extent cx="2884805" cy="2014683"/>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
                    <pic:cNvPicPr>
                      <a:picLocks noChangeAspect="1" noChangeArrowheads="1"/>
                    </pic:cNvPicPr>
                  </pic:nvPicPr>
                  <pic:blipFill>
                    <a:blip r:embed="rId28"/>
                    <a:stretch>
                      <a:fillRect/>
                    </a:stretch>
                  </pic:blipFill>
                  <pic:spPr bwMode="auto">
                    <a:xfrm>
                      <a:off x="0" y="0"/>
                      <a:ext cx="2884805" cy="2014683"/>
                    </a:xfrm>
                    <a:prstGeom prst="rect">
                      <a:avLst/>
                    </a:prstGeom>
                    <a:noFill/>
                    <a:ln>
                      <a:noFill/>
                    </a:ln>
                  </pic:spPr>
                </pic:pic>
              </a:graphicData>
            </a:graphic>
          </wp:inline>
        </w:drawing>
      </w:r>
    </w:p>
    <w:p w14:paraId="09EE1063" w14:textId="4861D175" w:rsidR="006C13C4" w:rsidRDefault="006C13C4" w:rsidP="006C13C4">
      <w:pPr>
        <w:pStyle w:val="PlainText"/>
        <w:rPr>
          <w:rFonts w:eastAsia="等线"/>
          <w:i/>
          <w:iCs/>
          <w:szCs w:val="18"/>
          <w:lang w:eastAsia="zh-CN"/>
        </w:rPr>
      </w:pPr>
      <w:r w:rsidRPr="006C13C4">
        <w:rPr>
          <w:rFonts w:eastAsia="等线" w:hint="eastAsia"/>
          <w:i/>
          <w:iCs/>
          <w:szCs w:val="18"/>
          <w:lang w:eastAsia="zh-CN"/>
        </w:rPr>
        <w:t xml:space="preserve">Figure 7. </w:t>
      </w:r>
      <w:r w:rsidRPr="006C13C4">
        <w:rPr>
          <w:rFonts w:eastAsia="等线"/>
          <w:i/>
          <w:iCs/>
          <w:szCs w:val="18"/>
          <w:lang w:eastAsia="zh-CN"/>
        </w:rPr>
        <w:t>Underground DT from circular view with key technologies identified</w:t>
      </w:r>
      <w:r w:rsidRPr="006C13C4">
        <w:rPr>
          <w:rFonts w:eastAsia="等线" w:hint="eastAsia"/>
          <w:i/>
          <w:iCs/>
          <w:szCs w:val="18"/>
          <w:lang w:eastAsia="zh-CN"/>
        </w:rPr>
        <w:t xml:space="preserve"> (modified from</w:t>
      </w:r>
      <w:r w:rsidR="006D0A28">
        <w:rPr>
          <w:rFonts w:eastAsia="等线" w:hint="eastAsia"/>
          <w:i/>
          <w:iCs/>
          <w:szCs w:val="18"/>
          <w:lang w:eastAsia="zh-CN"/>
        </w:rPr>
        <w:t xml:space="preserve"> </w:t>
      </w:r>
      <w:r w:rsidR="006D0A28" w:rsidRPr="006D0A28">
        <w:rPr>
          <w:rFonts w:eastAsia="等线"/>
          <w:i/>
          <w:iCs/>
          <w:szCs w:val="18"/>
          <w:lang w:eastAsia="zh-CN"/>
        </w:rPr>
        <w:t>(Zhu et al., 2025)</w:t>
      </w:r>
      <w:bookmarkStart w:id="2" w:name="_Hlk196498477"/>
      <w:r w:rsidR="006D0A28">
        <w:rPr>
          <w:rFonts w:eastAsia="等线" w:hint="eastAsia"/>
          <w:i/>
          <w:iCs/>
          <w:szCs w:val="18"/>
          <w:lang w:eastAsia="zh-CN"/>
        </w:rPr>
        <w:t>)</w:t>
      </w:r>
      <w:bookmarkEnd w:id="2"/>
      <w:r w:rsidR="006D0A28">
        <w:rPr>
          <w:rFonts w:eastAsia="等线" w:hint="eastAsia"/>
          <w:i/>
          <w:iCs/>
          <w:szCs w:val="18"/>
          <w:lang w:eastAsia="zh-CN"/>
        </w:rPr>
        <w:t>.</w:t>
      </w:r>
    </w:p>
    <w:p w14:paraId="3298177F" w14:textId="77777777" w:rsidR="00E54923" w:rsidRPr="006C13C4" w:rsidRDefault="00E54923" w:rsidP="006C13C4">
      <w:pPr>
        <w:pStyle w:val="PlainText"/>
        <w:rPr>
          <w:rFonts w:eastAsiaTheme="minorEastAsia"/>
          <w:i/>
          <w:iCs/>
          <w:szCs w:val="18"/>
          <w:lang w:eastAsia="zh-CN"/>
        </w:rPr>
      </w:pPr>
    </w:p>
    <w:p w14:paraId="637ECECC" w14:textId="2978002E" w:rsidR="00C4185C" w:rsidRDefault="00A32483" w:rsidP="00A87382">
      <w:pPr>
        <w:pStyle w:val="PlainText"/>
        <w:ind w:firstLine="284"/>
        <w:rPr>
          <w:rFonts w:eastAsia="等线"/>
          <w:sz w:val="20"/>
          <w:lang w:eastAsia="zh-CN"/>
        </w:rPr>
      </w:pPr>
      <w:r>
        <w:rPr>
          <w:rFonts w:eastAsiaTheme="minorEastAsia" w:hint="eastAsia"/>
          <w:sz w:val="20"/>
          <w:lang w:eastAsia="zh-CN"/>
        </w:rPr>
        <w:t xml:space="preserve">The </w:t>
      </w:r>
      <w:r w:rsidR="001F4662" w:rsidRPr="00624192">
        <w:rPr>
          <w:rFonts w:eastAsia="等线"/>
          <w:sz w:val="20"/>
          <w:lang w:eastAsia="zh-CN"/>
        </w:rPr>
        <w:t>Digital Twin</w:t>
      </w:r>
      <w:r>
        <w:rPr>
          <w:rFonts w:eastAsiaTheme="minorEastAsia" w:hint="eastAsia"/>
          <w:sz w:val="20"/>
          <w:lang w:eastAsia="zh-CN"/>
        </w:rPr>
        <w:t xml:space="preserve"> prototype </w:t>
      </w:r>
      <w:r w:rsidR="004C0BC4">
        <w:rPr>
          <w:rFonts w:eastAsiaTheme="minorEastAsia" w:hint="eastAsia"/>
          <w:sz w:val="20"/>
          <w:lang w:eastAsia="zh-CN"/>
        </w:rPr>
        <w:t xml:space="preserve">presents in Figure 7 </w:t>
      </w:r>
      <w:r>
        <w:rPr>
          <w:rFonts w:eastAsiaTheme="minorEastAsia" w:hint="eastAsia"/>
          <w:sz w:val="20"/>
          <w:lang w:eastAsia="zh-CN"/>
        </w:rPr>
        <w:t xml:space="preserve">is consisted </w:t>
      </w:r>
      <w:r w:rsidR="00D56D4D">
        <w:rPr>
          <w:rFonts w:eastAsiaTheme="minorEastAsia" w:hint="eastAsia"/>
          <w:sz w:val="20"/>
          <w:lang w:eastAsia="zh-CN"/>
        </w:rPr>
        <w:t xml:space="preserve">of a physical product, a digital </w:t>
      </w:r>
      <w:r w:rsidR="00D56D4D">
        <w:rPr>
          <w:rFonts w:eastAsiaTheme="minorEastAsia"/>
          <w:sz w:val="20"/>
          <w:lang w:eastAsia="zh-CN"/>
        </w:rPr>
        <w:t>counterpart</w:t>
      </w:r>
      <w:r w:rsidR="00D56D4D">
        <w:rPr>
          <w:rFonts w:eastAsiaTheme="minorEastAsia" w:hint="eastAsia"/>
          <w:sz w:val="20"/>
          <w:lang w:eastAsia="zh-CN"/>
        </w:rPr>
        <w:t>, and a two-way dat</w:t>
      </w:r>
      <w:r w:rsidR="0004589C">
        <w:rPr>
          <w:rFonts w:eastAsiaTheme="minorEastAsia" w:hint="eastAsia"/>
          <w:sz w:val="20"/>
          <w:lang w:eastAsia="zh-CN"/>
        </w:rPr>
        <w:t>a</w:t>
      </w:r>
      <w:r w:rsidR="00D56D4D">
        <w:rPr>
          <w:rFonts w:eastAsiaTheme="minorEastAsia" w:hint="eastAsia"/>
          <w:sz w:val="20"/>
          <w:lang w:eastAsia="zh-CN"/>
        </w:rPr>
        <w:t>.</w:t>
      </w:r>
      <w:r w:rsidR="0004589C">
        <w:rPr>
          <w:rFonts w:eastAsiaTheme="minorEastAsia" w:hint="eastAsia"/>
          <w:sz w:val="20"/>
          <w:lang w:eastAsia="zh-CN"/>
        </w:rPr>
        <w:t xml:space="preserve"> For it to realise the intended functions, a series of technologies and processes</w:t>
      </w:r>
      <w:r w:rsidR="00D56D4D">
        <w:rPr>
          <w:rFonts w:eastAsiaTheme="minorEastAsia" w:hint="eastAsia"/>
          <w:sz w:val="20"/>
          <w:lang w:eastAsia="zh-CN"/>
        </w:rPr>
        <w:t xml:space="preserve"> </w:t>
      </w:r>
      <w:r w:rsidR="0004589C">
        <w:rPr>
          <w:rFonts w:eastAsiaTheme="minorEastAsia" w:hint="eastAsia"/>
          <w:sz w:val="20"/>
          <w:lang w:eastAsia="zh-CN"/>
        </w:rPr>
        <w:t>are required</w:t>
      </w:r>
      <w:r w:rsidR="00A307E8">
        <w:rPr>
          <w:rFonts w:eastAsiaTheme="minorEastAsia" w:hint="eastAsia"/>
          <w:sz w:val="20"/>
          <w:lang w:eastAsia="zh-CN"/>
        </w:rPr>
        <w:t xml:space="preserve"> forming a circular workflow</w:t>
      </w:r>
      <w:r w:rsidR="0004589C">
        <w:rPr>
          <w:rFonts w:eastAsiaTheme="minorEastAsia" w:hint="eastAsia"/>
          <w:sz w:val="20"/>
          <w:lang w:eastAsia="zh-CN"/>
        </w:rPr>
        <w:t xml:space="preserve">, including </w:t>
      </w:r>
      <w:r w:rsidR="001A1666">
        <w:rPr>
          <w:rFonts w:eastAsiaTheme="minorEastAsia" w:hint="eastAsia"/>
          <w:sz w:val="20"/>
          <w:lang w:eastAsia="zh-CN"/>
        </w:rPr>
        <w:t xml:space="preserve">inspection and </w:t>
      </w:r>
      <w:r w:rsidR="00A307E8">
        <w:rPr>
          <w:rFonts w:eastAsiaTheme="minorEastAsia" w:hint="eastAsia"/>
          <w:sz w:val="20"/>
          <w:lang w:eastAsia="zh-CN"/>
        </w:rPr>
        <w:t xml:space="preserve">sensing </w:t>
      </w:r>
      <w:r w:rsidR="001A1666">
        <w:rPr>
          <w:rFonts w:eastAsiaTheme="minorEastAsia" w:hint="eastAsia"/>
          <w:sz w:val="20"/>
          <w:lang w:eastAsia="zh-CN"/>
        </w:rPr>
        <w:t xml:space="preserve">(i.e., </w:t>
      </w:r>
      <w:r w:rsidR="00AB2B6C">
        <w:rPr>
          <w:rFonts w:eastAsiaTheme="minorEastAsia" w:hint="eastAsia"/>
          <w:sz w:val="20"/>
          <w:lang w:eastAsia="zh-CN"/>
        </w:rPr>
        <w:t>data acquisition</w:t>
      </w:r>
      <w:r w:rsidR="001A1666">
        <w:rPr>
          <w:rFonts w:eastAsiaTheme="minorEastAsia" w:hint="eastAsia"/>
          <w:sz w:val="20"/>
          <w:lang w:eastAsia="zh-CN"/>
        </w:rPr>
        <w:t>)</w:t>
      </w:r>
      <w:r w:rsidR="00452253">
        <w:rPr>
          <w:rFonts w:eastAsiaTheme="minorEastAsia" w:hint="eastAsia"/>
          <w:sz w:val="20"/>
          <w:lang w:eastAsia="zh-CN"/>
        </w:rPr>
        <w:t xml:space="preserve">, </w:t>
      </w:r>
      <w:r w:rsidR="00EF253C">
        <w:rPr>
          <w:rFonts w:eastAsiaTheme="minorEastAsia"/>
          <w:sz w:val="20"/>
          <w:lang w:eastAsia="zh-CN"/>
        </w:rPr>
        <w:t>transmission</w:t>
      </w:r>
      <w:r w:rsidR="00452253">
        <w:rPr>
          <w:rFonts w:eastAsiaTheme="minorEastAsia" w:hint="eastAsia"/>
          <w:sz w:val="20"/>
          <w:lang w:eastAsia="zh-CN"/>
        </w:rPr>
        <w:t xml:space="preserve"> </w:t>
      </w:r>
      <w:r w:rsidR="00EF253C">
        <w:rPr>
          <w:rFonts w:eastAsiaTheme="minorEastAsia" w:hint="eastAsia"/>
          <w:sz w:val="20"/>
          <w:lang w:eastAsia="zh-CN"/>
        </w:rPr>
        <w:t>and communication, data</w:t>
      </w:r>
      <w:r w:rsidR="00A307E8">
        <w:rPr>
          <w:rFonts w:eastAsiaTheme="minorEastAsia" w:hint="eastAsia"/>
          <w:sz w:val="20"/>
          <w:lang w:eastAsia="zh-CN"/>
        </w:rPr>
        <w:t xml:space="preserve"> </w:t>
      </w:r>
      <w:r w:rsidR="00EF253C">
        <w:rPr>
          <w:rFonts w:eastAsiaTheme="minorEastAsia" w:hint="eastAsia"/>
          <w:sz w:val="20"/>
          <w:lang w:eastAsia="zh-CN"/>
        </w:rPr>
        <w:t xml:space="preserve">fusion, data </w:t>
      </w:r>
      <w:r w:rsidR="00EF253C">
        <w:rPr>
          <w:rFonts w:eastAsiaTheme="minorEastAsia"/>
          <w:sz w:val="20"/>
          <w:lang w:eastAsia="zh-CN"/>
        </w:rPr>
        <w:t>interpretation</w:t>
      </w:r>
      <w:r w:rsidR="00EF253C">
        <w:rPr>
          <w:rFonts w:eastAsiaTheme="minorEastAsia" w:hint="eastAsia"/>
          <w:sz w:val="20"/>
          <w:lang w:eastAsia="zh-CN"/>
        </w:rPr>
        <w:t xml:space="preserve"> (including modelling and simulation), visualisation</w:t>
      </w:r>
      <w:r w:rsidR="001A1666">
        <w:rPr>
          <w:rFonts w:eastAsiaTheme="minorEastAsia" w:hint="eastAsia"/>
          <w:sz w:val="20"/>
          <w:lang w:eastAsia="zh-CN"/>
        </w:rPr>
        <w:t xml:space="preserve"> and </w:t>
      </w:r>
      <w:r w:rsidR="001A1666">
        <w:rPr>
          <w:rFonts w:eastAsiaTheme="minorEastAsia"/>
          <w:sz w:val="20"/>
          <w:lang w:eastAsia="zh-CN"/>
        </w:rPr>
        <w:t>communication</w:t>
      </w:r>
      <w:r w:rsidR="001A1666">
        <w:rPr>
          <w:rFonts w:eastAsiaTheme="minorEastAsia" w:hint="eastAsia"/>
          <w:sz w:val="20"/>
          <w:lang w:eastAsia="zh-CN"/>
        </w:rPr>
        <w:t xml:space="preserve">, reasoning and knowledge derivation, decision-making, and action. </w:t>
      </w:r>
      <w:r w:rsidR="00C30B95">
        <w:rPr>
          <w:rFonts w:eastAsiaTheme="minorEastAsia" w:hint="eastAsia"/>
          <w:sz w:val="20"/>
          <w:lang w:eastAsia="zh-CN"/>
        </w:rPr>
        <w:lastRenderedPageBreak/>
        <w:t xml:space="preserve">Differs from BIM model that represents the physical product by </w:t>
      </w:r>
      <w:r w:rsidR="001F4662">
        <w:rPr>
          <w:rFonts w:eastAsiaTheme="minorEastAsia" w:hint="eastAsia"/>
          <w:sz w:val="20"/>
          <w:lang w:eastAsia="zh-CN"/>
        </w:rPr>
        <w:t xml:space="preserve">answering </w:t>
      </w:r>
      <w:r w:rsidR="001F4662">
        <w:rPr>
          <w:rFonts w:eastAsiaTheme="minorEastAsia"/>
          <w:sz w:val="20"/>
          <w:lang w:eastAsia="zh-CN"/>
        </w:rPr>
        <w:t>“</w:t>
      </w:r>
      <w:r w:rsidR="001F4662">
        <w:rPr>
          <w:rFonts w:eastAsiaTheme="minorEastAsia" w:hint="eastAsia"/>
          <w:sz w:val="20"/>
          <w:lang w:eastAsia="zh-CN"/>
        </w:rPr>
        <w:t>what is it?</w:t>
      </w:r>
      <w:r w:rsidR="001F4662">
        <w:rPr>
          <w:rFonts w:eastAsiaTheme="minorEastAsia"/>
          <w:sz w:val="20"/>
          <w:lang w:eastAsia="zh-CN"/>
        </w:rPr>
        <w:t>”</w:t>
      </w:r>
      <w:r w:rsidR="001F4662">
        <w:rPr>
          <w:rFonts w:eastAsiaTheme="minorEastAsia" w:hint="eastAsia"/>
          <w:sz w:val="20"/>
          <w:lang w:eastAsia="zh-CN"/>
        </w:rPr>
        <w:t xml:space="preserve">, the </w:t>
      </w:r>
      <w:r w:rsidR="001F4662" w:rsidRPr="00624192">
        <w:rPr>
          <w:rFonts w:eastAsia="等线"/>
          <w:sz w:val="20"/>
          <w:lang w:eastAsia="zh-CN"/>
        </w:rPr>
        <w:t>Digital Twin</w:t>
      </w:r>
      <w:r w:rsidR="001F4662">
        <w:rPr>
          <w:rFonts w:eastAsia="等线" w:hint="eastAsia"/>
          <w:sz w:val="20"/>
          <w:lang w:eastAsia="zh-CN"/>
        </w:rPr>
        <w:t xml:space="preserve"> advances from </w:t>
      </w:r>
      <w:r w:rsidR="008B6A18">
        <w:rPr>
          <w:rFonts w:eastAsia="等线" w:hint="eastAsia"/>
          <w:sz w:val="20"/>
          <w:lang w:eastAsia="zh-CN"/>
        </w:rPr>
        <w:t xml:space="preserve">only providing description but introduces </w:t>
      </w:r>
      <w:r w:rsidR="0053233B">
        <w:rPr>
          <w:rFonts w:eastAsia="等线" w:hint="eastAsia"/>
          <w:sz w:val="20"/>
          <w:lang w:eastAsia="zh-CN"/>
        </w:rPr>
        <w:t xml:space="preserve">observations from the real-world to validate the model. </w:t>
      </w:r>
      <w:r w:rsidR="00AE7883">
        <w:rPr>
          <w:rFonts w:eastAsia="等线" w:hint="eastAsia"/>
          <w:sz w:val="20"/>
          <w:lang w:eastAsia="zh-CN"/>
        </w:rPr>
        <w:t>Further analyses</w:t>
      </w:r>
      <w:r w:rsidR="00F55707">
        <w:rPr>
          <w:rFonts w:eastAsia="等线" w:hint="eastAsia"/>
          <w:sz w:val="20"/>
          <w:lang w:eastAsia="zh-CN"/>
        </w:rPr>
        <w:t>,</w:t>
      </w:r>
      <w:r w:rsidR="00132254">
        <w:rPr>
          <w:rFonts w:eastAsia="等线" w:hint="eastAsia"/>
          <w:sz w:val="20"/>
          <w:lang w:eastAsia="zh-CN"/>
        </w:rPr>
        <w:t xml:space="preserve"> </w:t>
      </w:r>
      <w:r w:rsidR="00F55707">
        <w:rPr>
          <w:rFonts w:eastAsia="等线" w:hint="eastAsia"/>
          <w:sz w:val="20"/>
          <w:lang w:eastAsia="zh-CN"/>
        </w:rPr>
        <w:t>including the increas</w:t>
      </w:r>
      <w:r w:rsidR="00850A8B">
        <w:rPr>
          <w:rFonts w:eastAsia="等线" w:hint="eastAsia"/>
          <w:sz w:val="20"/>
          <w:lang w:eastAsia="zh-CN"/>
        </w:rPr>
        <w:t>ed</w:t>
      </w:r>
      <w:r w:rsidR="00F55707">
        <w:rPr>
          <w:rFonts w:eastAsia="等线" w:hint="eastAsia"/>
          <w:sz w:val="20"/>
          <w:lang w:eastAsia="zh-CN"/>
        </w:rPr>
        <w:t xml:space="preserve"> use of machine learning techniques</w:t>
      </w:r>
      <w:r w:rsidR="00850A8B">
        <w:rPr>
          <w:rFonts w:eastAsia="等线" w:hint="eastAsia"/>
          <w:sz w:val="20"/>
          <w:lang w:eastAsia="zh-CN"/>
        </w:rPr>
        <w:t>,</w:t>
      </w:r>
      <w:r w:rsidR="00F55707">
        <w:rPr>
          <w:rFonts w:eastAsia="等线" w:hint="eastAsia"/>
          <w:sz w:val="20"/>
          <w:lang w:eastAsia="zh-CN"/>
        </w:rPr>
        <w:t xml:space="preserve"> </w:t>
      </w:r>
      <w:r w:rsidR="00132254">
        <w:rPr>
          <w:rFonts w:eastAsia="等线" w:hint="eastAsia"/>
          <w:sz w:val="20"/>
          <w:lang w:eastAsia="zh-CN"/>
        </w:rPr>
        <w:t xml:space="preserve">leveraging the data can be conducted </w:t>
      </w:r>
      <w:r w:rsidR="00322AF9">
        <w:rPr>
          <w:rFonts w:eastAsia="等线" w:hint="eastAsia"/>
          <w:sz w:val="20"/>
          <w:lang w:eastAsia="zh-CN"/>
        </w:rPr>
        <w:t>for</w:t>
      </w:r>
      <w:r w:rsidR="00132254">
        <w:rPr>
          <w:rFonts w:eastAsia="等线" w:hint="eastAsia"/>
          <w:sz w:val="20"/>
          <w:lang w:eastAsia="zh-CN"/>
        </w:rPr>
        <w:t xml:space="preserve"> predict</w:t>
      </w:r>
      <w:r w:rsidR="00322AF9">
        <w:rPr>
          <w:rFonts w:eastAsia="等线" w:hint="eastAsia"/>
          <w:sz w:val="20"/>
          <w:lang w:eastAsia="zh-CN"/>
        </w:rPr>
        <w:t xml:space="preserve">ion </w:t>
      </w:r>
      <w:r w:rsidR="00D55FB7">
        <w:rPr>
          <w:rFonts w:eastAsia="等线" w:hint="eastAsia"/>
          <w:sz w:val="20"/>
          <w:lang w:eastAsia="zh-CN"/>
        </w:rPr>
        <w:t>and optimisation to improve accuracy of the model.</w:t>
      </w:r>
      <w:r w:rsidR="00B503CA">
        <w:rPr>
          <w:rFonts w:eastAsia="等线" w:hint="eastAsia"/>
          <w:sz w:val="20"/>
          <w:lang w:eastAsia="zh-CN"/>
        </w:rPr>
        <w:t xml:space="preserve"> </w:t>
      </w:r>
      <w:r w:rsidR="00EB606C">
        <w:rPr>
          <w:rFonts w:eastAsia="等线" w:hint="eastAsia"/>
          <w:sz w:val="20"/>
          <w:lang w:eastAsia="zh-CN"/>
        </w:rPr>
        <w:t xml:space="preserve">Finally, </w:t>
      </w:r>
      <w:r w:rsidR="00A952DF">
        <w:rPr>
          <w:rFonts w:eastAsia="等线" w:hint="eastAsia"/>
          <w:sz w:val="20"/>
          <w:lang w:eastAsia="zh-CN"/>
        </w:rPr>
        <w:t xml:space="preserve">real-time intervention may be undertaken to </w:t>
      </w:r>
      <w:r w:rsidR="00C3662D">
        <w:rPr>
          <w:rFonts w:eastAsia="等线" w:hint="eastAsia"/>
          <w:sz w:val="20"/>
          <w:lang w:eastAsia="zh-CN"/>
        </w:rPr>
        <w:t xml:space="preserve">allow for rapid adaptation to changing environment. </w:t>
      </w:r>
      <w:r w:rsidR="00B503CA">
        <w:rPr>
          <w:rFonts w:eastAsia="等线" w:hint="eastAsia"/>
          <w:sz w:val="20"/>
          <w:lang w:eastAsia="zh-CN"/>
        </w:rPr>
        <w:t>Such</w:t>
      </w:r>
      <w:r w:rsidR="00CF0637">
        <w:rPr>
          <w:rFonts w:eastAsia="等线" w:hint="eastAsia"/>
          <w:sz w:val="20"/>
          <w:lang w:eastAsia="zh-CN"/>
        </w:rPr>
        <w:t xml:space="preserve"> </w:t>
      </w:r>
      <w:r w:rsidR="00BA0EE6">
        <w:rPr>
          <w:rFonts w:eastAsia="等线" w:hint="eastAsia"/>
          <w:sz w:val="20"/>
          <w:lang w:eastAsia="zh-CN"/>
        </w:rPr>
        <w:t>progression</w:t>
      </w:r>
      <w:r w:rsidR="00B503CA">
        <w:rPr>
          <w:rFonts w:eastAsia="等线" w:hint="eastAsia"/>
          <w:sz w:val="20"/>
          <w:lang w:eastAsia="zh-CN"/>
        </w:rPr>
        <w:t xml:space="preserve"> </w:t>
      </w:r>
      <w:r w:rsidR="00CF0637">
        <w:rPr>
          <w:rFonts w:eastAsia="等线" w:hint="eastAsia"/>
          <w:sz w:val="20"/>
          <w:lang w:eastAsia="zh-CN"/>
        </w:rPr>
        <w:t>is referred to maturity of Digital Twin</w:t>
      </w:r>
      <w:r w:rsidR="00FE4651">
        <w:rPr>
          <w:rFonts w:eastAsia="等线" w:hint="eastAsia"/>
          <w:sz w:val="20"/>
          <w:lang w:eastAsia="zh-CN"/>
        </w:rPr>
        <w:t xml:space="preserve"> </w:t>
      </w:r>
      <w:r w:rsidR="005E0420">
        <w:rPr>
          <w:rFonts w:eastAsia="等线" w:hint="eastAsia"/>
          <w:sz w:val="20"/>
          <w:lang w:eastAsia="zh-CN"/>
        </w:rPr>
        <w:t>(</w:t>
      </w:r>
      <w:proofErr w:type="spellStart"/>
      <w:r w:rsidR="005E0420" w:rsidRPr="00581B29">
        <w:rPr>
          <w:rFonts w:eastAsiaTheme="minorEastAsia"/>
          <w:lang w:eastAsia="zh-CN"/>
        </w:rPr>
        <w:t>Babanagar</w:t>
      </w:r>
      <w:proofErr w:type="spellEnd"/>
      <w:r w:rsidR="005E0420">
        <w:rPr>
          <w:rFonts w:eastAsiaTheme="minorEastAsia" w:hint="eastAsia"/>
          <w:lang w:eastAsia="zh-CN"/>
        </w:rPr>
        <w:t xml:space="preserve"> et al., 2025</w:t>
      </w:r>
      <w:r w:rsidR="0033427B">
        <w:rPr>
          <w:rFonts w:eastAsiaTheme="minorEastAsia" w:hint="eastAsia"/>
          <w:lang w:eastAsia="zh-CN"/>
        </w:rPr>
        <w:t>)</w:t>
      </w:r>
      <w:r w:rsidR="00C4185C">
        <w:rPr>
          <w:rFonts w:eastAsia="等线" w:hint="eastAsia"/>
          <w:sz w:val="20"/>
          <w:lang w:eastAsia="zh-CN"/>
        </w:rPr>
        <w:t>.</w:t>
      </w:r>
    </w:p>
    <w:p w14:paraId="3010389E" w14:textId="7ED90F29" w:rsidR="00DA0AB2" w:rsidRDefault="00DA0AB2" w:rsidP="00DA0AB2">
      <w:pPr>
        <w:pStyle w:val="MainText"/>
        <w:rPr>
          <w:rFonts w:eastAsiaTheme="minorEastAsia"/>
          <w:lang w:eastAsia="zh-CN"/>
        </w:rPr>
      </w:pPr>
      <w:r>
        <w:rPr>
          <w:rFonts w:eastAsiaTheme="minorEastAsia" w:hint="eastAsia"/>
          <w:lang w:eastAsia="zh-CN"/>
        </w:rPr>
        <w:t xml:space="preserve">Digital Twin is a further step </w:t>
      </w:r>
      <w:r w:rsidR="00016CB0">
        <w:rPr>
          <w:rFonts w:eastAsiaTheme="minorEastAsia" w:hint="eastAsia"/>
          <w:lang w:eastAsia="zh-CN"/>
        </w:rPr>
        <w:t>of</w:t>
      </w:r>
      <w:r>
        <w:rPr>
          <w:rFonts w:eastAsiaTheme="minorEastAsia" w:hint="eastAsia"/>
          <w:lang w:eastAsia="zh-CN"/>
        </w:rPr>
        <w:t xml:space="preserve"> DE</w:t>
      </w:r>
      <w:r w:rsidR="00016CB0">
        <w:rPr>
          <w:rFonts w:eastAsiaTheme="minorEastAsia" w:hint="eastAsia"/>
          <w:lang w:eastAsia="zh-CN"/>
        </w:rPr>
        <w:t xml:space="preserve"> transformation for infrastructure. It not only facilitates visualisation of construction activities and interfaces but </w:t>
      </w:r>
      <w:r w:rsidR="00B54964">
        <w:rPr>
          <w:rFonts w:eastAsiaTheme="minorEastAsia" w:hint="eastAsia"/>
          <w:lang w:eastAsia="zh-CN"/>
        </w:rPr>
        <w:t>highlights</w:t>
      </w:r>
      <w:r w:rsidR="0066249F">
        <w:rPr>
          <w:rFonts w:eastAsiaTheme="minorEastAsia" w:hint="eastAsia"/>
          <w:lang w:eastAsia="zh-CN"/>
        </w:rPr>
        <w:t xml:space="preserve"> a</w:t>
      </w:r>
      <w:r w:rsidR="00B54964">
        <w:rPr>
          <w:rFonts w:eastAsiaTheme="minorEastAsia" w:hint="eastAsia"/>
          <w:lang w:eastAsia="zh-CN"/>
        </w:rPr>
        <w:t xml:space="preserve"> data-driven </w:t>
      </w:r>
      <w:r w:rsidR="0066249F">
        <w:rPr>
          <w:rFonts w:eastAsiaTheme="minorEastAsia" w:hint="eastAsia"/>
          <w:lang w:eastAsia="zh-CN"/>
        </w:rPr>
        <w:t>approach.</w:t>
      </w:r>
      <w:r w:rsidR="0061397A">
        <w:rPr>
          <w:rFonts w:eastAsiaTheme="minorEastAsia" w:hint="eastAsia"/>
          <w:lang w:eastAsia="zh-CN"/>
        </w:rPr>
        <w:t xml:space="preserve"> With more available computational force</w:t>
      </w:r>
      <w:r w:rsidR="00850A8B">
        <w:rPr>
          <w:rFonts w:eastAsiaTheme="minorEastAsia" w:hint="eastAsia"/>
          <w:lang w:eastAsia="zh-CN"/>
        </w:rPr>
        <w:t xml:space="preserve">, machine learning and </w:t>
      </w:r>
      <w:r w:rsidR="00B4547B">
        <w:rPr>
          <w:rFonts w:eastAsiaTheme="minorEastAsia" w:hint="eastAsia"/>
          <w:lang w:eastAsia="zh-CN"/>
        </w:rPr>
        <w:t>broad</w:t>
      </w:r>
      <w:r w:rsidR="00850A8B">
        <w:rPr>
          <w:rFonts w:eastAsiaTheme="minorEastAsia" w:hint="eastAsia"/>
          <w:lang w:eastAsia="zh-CN"/>
        </w:rPr>
        <w:t xml:space="preserve"> artificial intelligence techniques</w:t>
      </w:r>
      <w:r w:rsidR="00B54964">
        <w:rPr>
          <w:rFonts w:eastAsiaTheme="minorEastAsia" w:hint="eastAsia"/>
          <w:lang w:eastAsia="zh-CN"/>
        </w:rPr>
        <w:t xml:space="preserve"> </w:t>
      </w:r>
      <w:r w:rsidR="0019701D">
        <w:rPr>
          <w:rFonts w:eastAsiaTheme="minorEastAsia" w:hint="eastAsia"/>
          <w:lang w:eastAsia="zh-CN"/>
        </w:rPr>
        <w:t>are</w:t>
      </w:r>
      <w:r w:rsidR="00B4547B">
        <w:rPr>
          <w:rFonts w:eastAsiaTheme="minorEastAsia" w:hint="eastAsia"/>
          <w:lang w:eastAsia="zh-CN"/>
        </w:rPr>
        <w:t xml:space="preserve"> allow</w:t>
      </w:r>
      <w:r w:rsidR="0019701D">
        <w:rPr>
          <w:rFonts w:eastAsiaTheme="minorEastAsia" w:hint="eastAsia"/>
          <w:lang w:eastAsia="zh-CN"/>
        </w:rPr>
        <w:t>ed</w:t>
      </w:r>
      <w:r w:rsidR="00B4547B">
        <w:rPr>
          <w:rFonts w:eastAsiaTheme="minorEastAsia" w:hint="eastAsia"/>
          <w:lang w:eastAsia="zh-CN"/>
        </w:rPr>
        <w:t xml:space="preserve"> for informed decision-making</w:t>
      </w:r>
      <w:r w:rsidR="0019701D">
        <w:rPr>
          <w:rFonts w:eastAsiaTheme="minorEastAsia" w:hint="eastAsia"/>
          <w:lang w:eastAsia="zh-CN"/>
        </w:rPr>
        <w:t xml:space="preserve"> to further drive down uncertainty costs associated with tunnelling projects</w:t>
      </w:r>
      <w:r w:rsidR="00B45611">
        <w:rPr>
          <w:rFonts w:eastAsiaTheme="minorEastAsia" w:hint="eastAsia"/>
          <w:lang w:eastAsia="zh-CN"/>
        </w:rPr>
        <w:t>.</w:t>
      </w:r>
      <w:r>
        <w:rPr>
          <w:rFonts w:eastAsiaTheme="minorEastAsia" w:hint="eastAsia"/>
          <w:lang w:eastAsia="zh-CN"/>
        </w:rPr>
        <w:t xml:space="preserve"> </w:t>
      </w:r>
    </w:p>
    <w:p w14:paraId="1141F1D1" w14:textId="4DE49D48" w:rsidR="00452605" w:rsidRPr="00F05EA2" w:rsidRDefault="0019701D" w:rsidP="00A87382">
      <w:pPr>
        <w:pStyle w:val="PlainText"/>
        <w:ind w:firstLine="284"/>
        <w:rPr>
          <w:sz w:val="20"/>
        </w:rPr>
      </w:pPr>
      <w:r>
        <w:rPr>
          <w:rFonts w:eastAsia="等线" w:hint="eastAsia"/>
          <w:sz w:val="20"/>
          <w:lang w:eastAsia="zh-CN"/>
        </w:rPr>
        <w:t>Moreover, t</w:t>
      </w:r>
      <w:r w:rsidR="00561B0C" w:rsidRPr="00624192">
        <w:rPr>
          <w:rFonts w:eastAsia="等线"/>
          <w:sz w:val="20"/>
          <w:lang w:eastAsia="zh-CN"/>
        </w:rPr>
        <w:t>he</w:t>
      </w:r>
      <w:r w:rsidR="00561B0C">
        <w:rPr>
          <w:rFonts w:eastAsia="等线" w:hint="eastAsia"/>
          <w:sz w:val="20"/>
          <w:lang w:eastAsia="zh-CN"/>
        </w:rPr>
        <w:t xml:space="preserve"> Digital Twin paradigm can</w:t>
      </w:r>
      <w:r w:rsidR="00561B0C" w:rsidRPr="00624192">
        <w:rPr>
          <w:rFonts w:eastAsia="等线"/>
          <w:sz w:val="20"/>
          <w:lang w:eastAsia="zh-CN"/>
        </w:rPr>
        <w:t xml:space="preserve"> extend beyond the </w:t>
      </w:r>
      <w:r w:rsidR="00EB606C">
        <w:rPr>
          <w:rFonts w:eastAsia="等线" w:hint="eastAsia"/>
          <w:sz w:val="20"/>
          <w:lang w:eastAsia="zh-CN"/>
        </w:rPr>
        <w:t>E&amp;C</w:t>
      </w:r>
      <w:r w:rsidR="00561B0C" w:rsidRPr="00624192">
        <w:rPr>
          <w:rFonts w:eastAsia="等线"/>
          <w:sz w:val="20"/>
          <w:lang w:eastAsia="zh-CN"/>
        </w:rPr>
        <w:t xml:space="preserve"> stage</w:t>
      </w:r>
      <w:r w:rsidR="00561B0C">
        <w:rPr>
          <w:rFonts w:eastAsia="等线" w:hint="eastAsia"/>
          <w:sz w:val="20"/>
          <w:lang w:eastAsia="zh-CN"/>
        </w:rPr>
        <w:t>s</w:t>
      </w:r>
      <w:r w:rsidR="00561B0C" w:rsidRPr="00624192">
        <w:rPr>
          <w:rFonts w:eastAsia="等线"/>
          <w:sz w:val="20"/>
          <w:lang w:eastAsia="zh-CN"/>
        </w:rPr>
        <w:t xml:space="preserve"> into operation</w:t>
      </w:r>
      <w:r>
        <w:rPr>
          <w:rFonts w:eastAsia="等线" w:hint="eastAsia"/>
          <w:sz w:val="20"/>
          <w:lang w:eastAsia="zh-CN"/>
        </w:rPr>
        <w:t xml:space="preserve"> and maintenance stage</w:t>
      </w:r>
      <w:r w:rsidR="00EB606C">
        <w:rPr>
          <w:rFonts w:eastAsia="等线" w:hint="eastAsia"/>
          <w:sz w:val="20"/>
          <w:lang w:eastAsia="zh-CN"/>
        </w:rPr>
        <w:t xml:space="preserve">, </w:t>
      </w:r>
      <w:r w:rsidR="00561B0C" w:rsidRPr="00624192">
        <w:rPr>
          <w:rFonts w:eastAsia="等线"/>
          <w:sz w:val="20"/>
          <w:lang w:eastAsia="zh-CN"/>
        </w:rPr>
        <w:t>which contributes significantly to resilience and sustainability of the as-built. Metadata generated during E&amp;C are inherited and continue to build over the long service life (i.e. 100 years) of tunnels and associated underground infrastructures. Insights from these data facilitate most efficient and economical actions.</w:t>
      </w:r>
    </w:p>
    <w:p w14:paraId="29E69BB2" w14:textId="77777777" w:rsidR="00452605" w:rsidRPr="00F05EA2" w:rsidRDefault="00452605" w:rsidP="00452605">
      <w:pPr>
        <w:pStyle w:val="PlainText"/>
        <w:rPr>
          <w:sz w:val="20"/>
        </w:rPr>
      </w:pPr>
    </w:p>
    <w:p w14:paraId="0EEFBB0F" w14:textId="783809A5" w:rsidR="00452605" w:rsidRPr="00E66D78" w:rsidRDefault="00E66D78" w:rsidP="00BC0D0B">
      <w:pPr>
        <w:pStyle w:val="Heading1"/>
        <w:rPr>
          <w:rFonts w:eastAsiaTheme="minorEastAsia"/>
          <w:lang w:val="pt-BR" w:eastAsia="zh-CN"/>
        </w:rPr>
      </w:pPr>
      <w:r>
        <w:rPr>
          <w:rFonts w:eastAsiaTheme="minorEastAsia" w:hint="eastAsia"/>
          <w:lang w:val="pt-BR" w:eastAsia="zh-CN"/>
        </w:rPr>
        <w:t>5. CONCLUSION</w:t>
      </w:r>
    </w:p>
    <w:p w14:paraId="17A88865" w14:textId="74E1DE20" w:rsidR="002E08B8" w:rsidRDefault="002E08B8" w:rsidP="00C4185C">
      <w:pPr>
        <w:pStyle w:val="Third-LevelHeadingParagraph"/>
        <w:widowControl/>
        <w:ind w:firstLine="284"/>
        <w:rPr>
          <w:rFonts w:eastAsiaTheme="minorEastAsia" w:cs="Arial"/>
          <w:lang w:eastAsia="zh-CN"/>
        </w:rPr>
      </w:pPr>
      <w:r w:rsidRPr="002E08B8">
        <w:rPr>
          <w:rFonts w:eastAsiaTheme="minorEastAsia" w:cs="Arial"/>
          <w:lang w:eastAsia="zh-CN"/>
        </w:rPr>
        <w:t xml:space="preserve">The DE paradigm, including the use of BIM processes, facilitates the collection, exchange, and linking of information, improving transparency and data efficiency. Since there is no </w:t>
      </w:r>
      <w:proofErr w:type="spellStart"/>
      <w:r w:rsidRPr="002E08B8">
        <w:rPr>
          <w:rFonts w:eastAsiaTheme="minorEastAsia" w:cs="Arial"/>
          <w:lang w:eastAsia="zh-CN"/>
        </w:rPr>
        <w:t>standardised</w:t>
      </w:r>
      <w:proofErr w:type="spellEnd"/>
      <w:r w:rsidRPr="002E08B8">
        <w:rPr>
          <w:rFonts w:eastAsiaTheme="minorEastAsia" w:cs="Arial"/>
          <w:lang w:eastAsia="zh-CN"/>
        </w:rPr>
        <w:t xml:space="preserve"> BIM model view for geotechnical analysis, heuristic-driven workflows are essential to improve interoperability between interdisciplinary applications and enable analysis of interactions across multiple environments.</w:t>
      </w:r>
    </w:p>
    <w:p w14:paraId="1835B2F9" w14:textId="6199EB2F" w:rsidR="00C4185C" w:rsidRPr="00291844" w:rsidRDefault="009F2AAC" w:rsidP="00C4185C">
      <w:pPr>
        <w:pStyle w:val="Third-LevelHeadingParagraph"/>
        <w:widowControl/>
        <w:ind w:firstLine="284"/>
        <w:rPr>
          <w:rFonts w:eastAsiaTheme="minorEastAsia" w:cs="Arial"/>
          <w:lang w:eastAsia="zh-CN"/>
        </w:rPr>
      </w:pPr>
      <w:r w:rsidRPr="009F2AAC">
        <w:rPr>
          <w:rFonts w:cs="Arial"/>
        </w:rPr>
        <w:t xml:space="preserve">This paper presents a </w:t>
      </w:r>
      <w:r w:rsidR="006C7DA2">
        <w:rPr>
          <w:rFonts w:eastAsiaTheme="minorEastAsia" w:cs="Arial" w:hint="eastAsia"/>
          <w:lang w:eastAsia="zh-CN"/>
        </w:rPr>
        <w:t>workflow</w:t>
      </w:r>
      <w:r w:rsidRPr="009F2AAC">
        <w:rPr>
          <w:rFonts w:cs="Arial"/>
        </w:rPr>
        <w:t xml:space="preserve"> </w:t>
      </w:r>
      <w:r w:rsidR="007D7472">
        <w:rPr>
          <w:rFonts w:eastAsiaTheme="minorEastAsia" w:cs="Arial" w:hint="eastAsia"/>
          <w:lang w:eastAsia="zh-CN"/>
        </w:rPr>
        <w:t xml:space="preserve">contributes to </w:t>
      </w:r>
      <w:r w:rsidR="00984CF7">
        <w:rPr>
          <w:rFonts w:eastAsiaTheme="minorEastAsia" w:cs="Arial" w:hint="eastAsia"/>
          <w:lang w:eastAsia="zh-CN"/>
        </w:rPr>
        <w:t>early-stage</w:t>
      </w:r>
      <w:r w:rsidR="007D7472">
        <w:rPr>
          <w:rFonts w:eastAsiaTheme="minorEastAsia" w:cs="Arial" w:hint="eastAsia"/>
          <w:lang w:eastAsia="zh-CN"/>
        </w:rPr>
        <w:t xml:space="preserve"> decision aid of tunnel design and construction leveraging BIM parametric modelling and numerically</w:t>
      </w:r>
      <w:r w:rsidR="003F089F">
        <w:rPr>
          <w:rFonts w:eastAsiaTheme="minorEastAsia" w:cs="Arial" w:hint="eastAsia"/>
          <w:lang w:eastAsia="zh-CN"/>
        </w:rPr>
        <w:t xml:space="preserve">. This includes the model and data federation of ground, as-built environment and tunnel structure using object-oriented modelling. </w:t>
      </w:r>
      <w:r w:rsidR="00BC54F1">
        <w:rPr>
          <w:rFonts w:eastAsiaTheme="minorEastAsia" w:cs="Arial" w:hint="eastAsia"/>
          <w:lang w:eastAsia="zh-CN"/>
        </w:rPr>
        <w:t xml:space="preserve">Programming interfaces have been adopted to automate the modelling and semantic enrichment processes. </w:t>
      </w:r>
      <w:r w:rsidR="00BC54F1">
        <w:rPr>
          <w:rFonts w:eastAsiaTheme="minorEastAsia" w:cs="Arial"/>
          <w:lang w:eastAsia="zh-CN"/>
        </w:rPr>
        <w:t>Moreover</w:t>
      </w:r>
      <w:r w:rsidR="00BC54F1">
        <w:rPr>
          <w:rFonts w:eastAsiaTheme="minorEastAsia" w:cs="Arial" w:hint="eastAsia"/>
          <w:lang w:eastAsia="zh-CN"/>
        </w:rPr>
        <w:t xml:space="preserve">, it explores </w:t>
      </w:r>
      <w:r w:rsidR="007F15D3">
        <w:rPr>
          <w:rFonts w:eastAsiaTheme="minorEastAsia" w:cs="Arial" w:hint="eastAsia"/>
          <w:lang w:eastAsia="zh-CN"/>
        </w:rPr>
        <w:t xml:space="preserve">the requirements on developing a </w:t>
      </w:r>
      <w:r w:rsidR="007F15D3">
        <w:rPr>
          <w:rFonts w:eastAsiaTheme="minorEastAsia" w:cs="Arial"/>
          <w:lang w:eastAsia="zh-CN"/>
        </w:rPr>
        <w:t>functional</w:t>
      </w:r>
      <w:r w:rsidR="007F15D3">
        <w:rPr>
          <w:rFonts w:eastAsiaTheme="minorEastAsia" w:cs="Arial" w:hint="eastAsia"/>
          <w:lang w:eastAsia="zh-CN"/>
        </w:rPr>
        <w:t xml:space="preserve"> </w:t>
      </w:r>
      <w:r w:rsidRPr="009F2AAC">
        <w:rPr>
          <w:rFonts w:cs="Arial"/>
        </w:rPr>
        <w:t xml:space="preserve">Digital Twin </w:t>
      </w:r>
      <w:r w:rsidR="007F15D3">
        <w:rPr>
          <w:rFonts w:eastAsiaTheme="minorEastAsia" w:cs="Arial" w:hint="eastAsia"/>
          <w:lang w:eastAsia="zh-CN"/>
        </w:rPr>
        <w:t xml:space="preserve">based on </w:t>
      </w:r>
      <w:r w:rsidR="00EE42C6">
        <w:rPr>
          <w:rFonts w:eastAsiaTheme="minorEastAsia" w:cs="Arial" w:hint="eastAsia"/>
          <w:lang w:eastAsia="zh-CN"/>
        </w:rPr>
        <w:t>the federated</w:t>
      </w:r>
      <w:r w:rsidR="007F15D3">
        <w:rPr>
          <w:rFonts w:eastAsiaTheme="minorEastAsia" w:cs="Arial" w:hint="eastAsia"/>
          <w:lang w:eastAsia="zh-CN"/>
        </w:rPr>
        <w:t xml:space="preserve"> BIM</w:t>
      </w:r>
      <w:r w:rsidR="00EE42C6">
        <w:rPr>
          <w:rFonts w:eastAsiaTheme="minorEastAsia" w:cs="Arial" w:hint="eastAsia"/>
          <w:lang w:eastAsia="zh-CN"/>
        </w:rPr>
        <w:t xml:space="preserve"> and analyses </w:t>
      </w:r>
      <w:r w:rsidRPr="009F2AAC">
        <w:rPr>
          <w:rFonts w:cs="Arial"/>
        </w:rPr>
        <w:t>how the Digital Twin technology can enable smarter and more efficient planning, design, construction, and operation of tunnel projects.</w:t>
      </w:r>
      <w:r w:rsidR="00154061" w:rsidRPr="00F05EA2">
        <w:rPr>
          <w:rFonts w:cs="Arial"/>
        </w:rPr>
        <w:t xml:space="preserve"> </w:t>
      </w:r>
    </w:p>
    <w:p w14:paraId="61EA68C1" w14:textId="77777777" w:rsidR="00452605" w:rsidRDefault="00452605" w:rsidP="00452605">
      <w:pPr>
        <w:pStyle w:val="PlainText"/>
        <w:rPr>
          <w:rFonts w:eastAsiaTheme="minorEastAsia"/>
          <w:sz w:val="20"/>
          <w:lang w:eastAsia="zh-CN"/>
        </w:rPr>
      </w:pPr>
    </w:p>
    <w:p w14:paraId="647ADA2B" w14:textId="3B5AB1B8" w:rsidR="00291844" w:rsidRDefault="00291844" w:rsidP="00291844">
      <w:pPr>
        <w:pStyle w:val="Heading1"/>
        <w:rPr>
          <w:rFonts w:eastAsiaTheme="minorEastAsia"/>
          <w:lang w:val="pt-BR" w:eastAsia="zh-CN"/>
        </w:rPr>
      </w:pPr>
      <w:r>
        <w:rPr>
          <w:rFonts w:eastAsiaTheme="minorEastAsia" w:hint="eastAsia"/>
          <w:lang w:val="pt-BR" w:eastAsia="zh-CN"/>
        </w:rPr>
        <w:t>ACKNOWLEDGE</w:t>
      </w:r>
    </w:p>
    <w:p w14:paraId="18416EEB" w14:textId="27CE5C2F" w:rsidR="00291844" w:rsidRPr="00C145CA" w:rsidRDefault="00C145CA" w:rsidP="00291844">
      <w:pPr>
        <w:pStyle w:val="PlainText"/>
        <w:rPr>
          <w:rFonts w:eastAsiaTheme="minorEastAsia"/>
          <w:sz w:val="20"/>
          <w:szCs w:val="22"/>
          <w:lang w:val="pt-BR" w:eastAsia="zh-CN"/>
        </w:rPr>
      </w:pPr>
      <w:r w:rsidRPr="00C145CA">
        <w:rPr>
          <w:rFonts w:eastAsiaTheme="minorEastAsia"/>
          <w:sz w:val="20"/>
          <w:szCs w:val="22"/>
          <w:lang w:val="pt-BR" w:eastAsia="zh-CN"/>
        </w:rPr>
        <w:t>The case study has only been proposed to illustrate the workflow without any reference to the actual site investigation, design or construction procedures.</w:t>
      </w:r>
    </w:p>
    <w:p w14:paraId="17B70D03" w14:textId="77777777" w:rsidR="00291844" w:rsidRPr="00291844" w:rsidRDefault="00291844" w:rsidP="00452605">
      <w:pPr>
        <w:pStyle w:val="PlainText"/>
        <w:rPr>
          <w:rFonts w:eastAsiaTheme="minorEastAsia"/>
          <w:sz w:val="20"/>
          <w:lang w:eastAsia="zh-CN"/>
        </w:rPr>
      </w:pPr>
    </w:p>
    <w:p w14:paraId="78C1978A" w14:textId="77777777" w:rsidR="00452605" w:rsidRPr="00F05EA2" w:rsidRDefault="00452605" w:rsidP="00452605">
      <w:pPr>
        <w:pStyle w:val="Heading1"/>
        <w:rPr>
          <w:b w:val="0"/>
          <w:color w:val="FF0000"/>
          <w:lang w:val="pt-BR"/>
        </w:rPr>
      </w:pPr>
      <w:r w:rsidRPr="00F05EA2">
        <w:rPr>
          <w:lang w:val="pt-BR"/>
        </w:rPr>
        <w:t>REFERENCES</w:t>
      </w:r>
      <w:r w:rsidR="0042205D" w:rsidRPr="00F05EA2">
        <w:rPr>
          <w:lang w:val="pt-BR"/>
        </w:rPr>
        <w:t xml:space="preserve"> </w:t>
      </w:r>
    </w:p>
    <w:p w14:paraId="1E328758" w14:textId="19AAF62C" w:rsidR="00EF5BED" w:rsidRDefault="00EF5BED" w:rsidP="00EF5BED">
      <w:pPr>
        <w:jc w:val="both"/>
        <w:rPr>
          <w:rFonts w:eastAsiaTheme="minorEastAsia" w:cs="Arial"/>
          <w:b w:val="0"/>
          <w:sz w:val="18"/>
          <w:lang w:eastAsia="zh-CN"/>
        </w:rPr>
      </w:pPr>
      <w:r w:rsidRPr="00EF5BED">
        <w:rPr>
          <w:rFonts w:eastAsiaTheme="minorEastAsia" w:cs="Arial"/>
          <w:b w:val="0"/>
          <w:sz w:val="18"/>
          <w:lang w:eastAsia="zh-CN"/>
        </w:rPr>
        <w:t>A</w:t>
      </w:r>
      <w:r w:rsidR="005E04F4">
        <w:rPr>
          <w:rFonts w:eastAsiaTheme="minorEastAsia" w:cs="Arial" w:hint="eastAsia"/>
          <w:b w:val="0"/>
          <w:sz w:val="18"/>
          <w:lang w:eastAsia="zh-CN"/>
        </w:rPr>
        <w:t>genda</w:t>
      </w:r>
      <w:r w:rsidRPr="00EF5BED">
        <w:rPr>
          <w:rFonts w:eastAsiaTheme="minorEastAsia" w:cs="Arial"/>
          <w:b w:val="0"/>
          <w:sz w:val="18"/>
          <w:lang w:eastAsia="zh-CN"/>
        </w:rPr>
        <w:t xml:space="preserve">, I. Shaping the future of construction a breakthrough in mindset and technology.  </w:t>
      </w:r>
      <w:r w:rsidRPr="00F4789F">
        <w:rPr>
          <w:rFonts w:eastAsiaTheme="minorEastAsia" w:cs="Arial"/>
          <w:b w:val="0"/>
          <w:i/>
          <w:iCs/>
          <w:sz w:val="18"/>
          <w:lang w:eastAsia="zh-CN"/>
        </w:rPr>
        <w:t>World Economic Forum</w:t>
      </w:r>
      <w:r w:rsidRPr="00EF5BED">
        <w:rPr>
          <w:rFonts w:eastAsiaTheme="minorEastAsia" w:cs="Arial"/>
          <w:b w:val="0"/>
          <w:sz w:val="18"/>
          <w:lang w:eastAsia="zh-CN"/>
        </w:rPr>
        <w:t>, 2016. 11-16.</w:t>
      </w:r>
    </w:p>
    <w:p w14:paraId="4E2138B5" w14:textId="304C2955" w:rsidR="00581B29" w:rsidRDefault="00581B29" w:rsidP="0061768F">
      <w:pPr>
        <w:pStyle w:val="PlainText"/>
        <w:rPr>
          <w:rFonts w:eastAsiaTheme="minorEastAsia"/>
          <w:lang w:eastAsia="zh-CN"/>
        </w:rPr>
      </w:pPr>
      <w:proofErr w:type="spellStart"/>
      <w:r w:rsidRPr="00581B29">
        <w:rPr>
          <w:rFonts w:eastAsiaTheme="minorEastAsia"/>
          <w:lang w:eastAsia="zh-CN"/>
        </w:rPr>
        <w:t>Babanagar</w:t>
      </w:r>
      <w:proofErr w:type="spellEnd"/>
      <w:r w:rsidRPr="00581B29">
        <w:rPr>
          <w:rFonts w:eastAsiaTheme="minorEastAsia"/>
          <w:lang w:eastAsia="zh-CN"/>
        </w:rPr>
        <w:t xml:space="preserve"> N, Sheil B, </w:t>
      </w:r>
      <w:proofErr w:type="spellStart"/>
      <w:r w:rsidRPr="00581B29">
        <w:rPr>
          <w:rFonts w:eastAsiaTheme="minorEastAsia"/>
          <w:lang w:eastAsia="zh-CN"/>
        </w:rPr>
        <w:t>Ninić</w:t>
      </w:r>
      <w:proofErr w:type="spellEnd"/>
      <w:r w:rsidRPr="00581B29">
        <w:rPr>
          <w:rFonts w:eastAsiaTheme="minorEastAsia"/>
          <w:lang w:eastAsia="zh-CN"/>
        </w:rPr>
        <w:t xml:space="preserve"> J, Zhang Q, Hardy S. Digital twins for urban underground space. Tunnelling and Underground Space Technology. 2025 Jan 1;155:106140.</w:t>
      </w:r>
    </w:p>
    <w:p w14:paraId="16D5ED02" w14:textId="2A4903BD" w:rsidR="0061768F" w:rsidRPr="0061768F" w:rsidRDefault="0061768F" w:rsidP="0061768F">
      <w:pPr>
        <w:pStyle w:val="PlainText"/>
        <w:rPr>
          <w:rFonts w:eastAsiaTheme="minorEastAsia"/>
          <w:lang w:eastAsia="zh-CN"/>
        </w:rPr>
      </w:pPr>
      <w:r w:rsidRPr="0061768F">
        <w:rPr>
          <w:rFonts w:eastAsiaTheme="minorEastAsia"/>
          <w:lang w:eastAsia="zh-CN"/>
        </w:rPr>
        <w:t xml:space="preserve">DAUB, 2019. Digital Design, Building and Operation of Underground Structures. BIM in Tunnelling Model Requirements - Part 3: Ground Model, Supplement to DAUB recommendation BIM in Tunnelling (2019). German Tunnelling Committee (ITA-AITES), Deutscher </w:t>
      </w:r>
      <w:proofErr w:type="spellStart"/>
      <w:r w:rsidRPr="0061768F">
        <w:rPr>
          <w:rFonts w:eastAsiaTheme="minorEastAsia"/>
          <w:lang w:eastAsia="zh-CN"/>
        </w:rPr>
        <w:t>Ausschuss</w:t>
      </w:r>
      <w:proofErr w:type="spellEnd"/>
      <w:r w:rsidRPr="0061768F">
        <w:rPr>
          <w:rFonts w:eastAsiaTheme="minorEastAsia"/>
          <w:lang w:eastAsia="zh-CN"/>
        </w:rPr>
        <w:t xml:space="preserve"> für </w:t>
      </w:r>
      <w:proofErr w:type="spellStart"/>
      <w:r w:rsidRPr="0061768F">
        <w:rPr>
          <w:rFonts w:eastAsiaTheme="minorEastAsia"/>
          <w:lang w:eastAsia="zh-CN"/>
        </w:rPr>
        <w:t>unterirdisches</w:t>
      </w:r>
      <w:proofErr w:type="spellEnd"/>
      <w:r w:rsidRPr="0061768F">
        <w:rPr>
          <w:rFonts w:eastAsiaTheme="minorEastAsia"/>
          <w:lang w:eastAsia="zh-CN"/>
        </w:rPr>
        <w:t xml:space="preserve"> Bauen e. V. (DAUB).</w:t>
      </w:r>
    </w:p>
    <w:p w14:paraId="7AB3A681" w14:textId="09261584" w:rsidR="003216EB" w:rsidRDefault="003216EB" w:rsidP="00EF5BED">
      <w:pPr>
        <w:jc w:val="both"/>
        <w:rPr>
          <w:rFonts w:eastAsiaTheme="minorEastAsia" w:cs="Arial"/>
          <w:b w:val="0"/>
          <w:sz w:val="18"/>
          <w:lang w:eastAsia="zh-CN"/>
        </w:rPr>
      </w:pPr>
      <w:r w:rsidRPr="003216EB">
        <w:rPr>
          <w:rFonts w:eastAsiaTheme="minorEastAsia" w:cs="Arial"/>
          <w:b w:val="0"/>
          <w:sz w:val="18"/>
          <w:lang w:eastAsia="zh-CN"/>
        </w:rPr>
        <w:t xml:space="preserve">Huang, M.Q., </w:t>
      </w:r>
      <w:proofErr w:type="spellStart"/>
      <w:r w:rsidRPr="003216EB">
        <w:rPr>
          <w:rFonts w:eastAsiaTheme="minorEastAsia" w:cs="Arial"/>
          <w:b w:val="0"/>
          <w:sz w:val="18"/>
          <w:lang w:eastAsia="zh-CN"/>
        </w:rPr>
        <w:t>Ninić</w:t>
      </w:r>
      <w:proofErr w:type="spellEnd"/>
      <w:r w:rsidRPr="003216EB">
        <w:rPr>
          <w:rFonts w:eastAsiaTheme="minorEastAsia" w:cs="Arial"/>
          <w:b w:val="0"/>
          <w:sz w:val="18"/>
          <w:lang w:eastAsia="zh-CN"/>
        </w:rPr>
        <w:t>, J., Zhang, Q.B., 2021. BIM, machine learning and computer vision techniques in underground construction: Current status and future perspectives. Tunnelling and Underground Space Technology 108.</w:t>
      </w:r>
    </w:p>
    <w:p w14:paraId="6157CD9E" w14:textId="60234C9D" w:rsidR="002913A7" w:rsidRDefault="002913A7" w:rsidP="003D2711">
      <w:pPr>
        <w:pStyle w:val="PlainText"/>
        <w:rPr>
          <w:rFonts w:eastAsiaTheme="minorEastAsia"/>
          <w:lang w:eastAsia="zh-CN"/>
        </w:rPr>
      </w:pPr>
      <w:r>
        <w:rPr>
          <w:rFonts w:eastAsiaTheme="minorEastAsia"/>
          <w:lang w:eastAsia="zh-CN"/>
        </w:rPr>
        <w:t xml:space="preserve">ISO, 2018. </w:t>
      </w:r>
      <w:r w:rsidRPr="002913A7">
        <w:rPr>
          <w:rFonts w:eastAsiaTheme="minorEastAsia"/>
          <w:lang w:eastAsia="zh-CN"/>
        </w:rPr>
        <w:t>BS EN ISO 19650–</w:t>
      </w:r>
      <w:r w:rsidR="004932C8">
        <w:rPr>
          <w:rFonts w:eastAsiaTheme="minorEastAsia"/>
          <w:lang w:eastAsia="zh-CN"/>
        </w:rPr>
        <w:t>1</w:t>
      </w:r>
      <w:r w:rsidRPr="002913A7">
        <w:rPr>
          <w:rFonts w:eastAsiaTheme="minorEastAsia"/>
          <w:lang w:eastAsia="zh-CN"/>
        </w:rPr>
        <w:t>:2018 Organization and digitization of information about buildings and civil engineering works, including building information modelling (BIM) - information management using building information modelling</w:t>
      </w:r>
    </w:p>
    <w:p w14:paraId="18B5EFEE" w14:textId="5D386A9D" w:rsidR="00D96B66" w:rsidRDefault="00D96B66" w:rsidP="00DE6823">
      <w:pPr>
        <w:pStyle w:val="PlainText"/>
        <w:rPr>
          <w:rFonts w:eastAsiaTheme="minorEastAsia"/>
          <w:lang w:eastAsia="zh-CN"/>
        </w:rPr>
      </w:pPr>
      <w:r>
        <w:rPr>
          <w:rFonts w:eastAsiaTheme="minorEastAsia"/>
          <w:lang w:eastAsia="zh-CN"/>
        </w:rPr>
        <w:t xml:space="preserve">ITA, 2019. </w:t>
      </w:r>
      <w:r w:rsidR="00DE6823" w:rsidRPr="00DE6823">
        <w:rPr>
          <w:rFonts w:eastAsiaTheme="minorEastAsia"/>
          <w:lang w:eastAsia="zh-CN"/>
        </w:rPr>
        <w:t>Tunnel Market Survey 2019</w:t>
      </w:r>
      <w:r w:rsidR="00BC1CF8">
        <w:rPr>
          <w:rFonts w:eastAsiaTheme="minorEastAsia"/>
          <w:lang w:eastAsia="zh-CN"/>
        </w:rPr>
        <w:t>.</w:t>
      </w:r>
      <w:r w:rsidR="00BC1CF8" w:rsidRPr="00BC1CF8">
        <w:rPr>
          <w:rFonts w:eastAsiaTheme="minorEastAsia"/>
          <w:lang w:eastAsia="zh-CN"/>
        </w:rPr>
        <w:t xml:space="preserve"> </w:t>
      </w:r>
      <w:r w:rsidR="00BC1CF8" w:rsidRPr="00DE6823">
        <w:rPr>
          <w:rFonts w:eastAsiaTheme="minorEastAsia"/>
          <w:lang w:eastAsia="zh-CN"/>
        </w:rPr>
        <w:t xml:space="preserve">International </w:t>
      </w:r>
      <w:proofErr w:type="spellStart"/>
      <w:r w:rsidR="00BC1CF8" w:rsidRPr="00DE6823">
        <w:rPr>
          <w:rFonts w:eastAsiaTheme="minorEastAsia"/>
          <w:lang w:eastAsia="zh-CN"/>
        </w:rPr>
        <w:t>Tunneling</w:t>
      </w:r>
      <w:proofErr w:type="spellEnd"/>
      <w:r w:rsidR="00BC1CF8" w:rsidRPr="00DE6823">
        <w:rPr>
          <w:rFonts w:eastAsiaTheme="minorEastAsia"/>
          <w:lang w:eastAsia="zh-CN"/>
        </w:rPr>
        <w:t xml:space="preserve"> and Underground Space Association (ITA)</w:t>
      </w:r>
      <w:r w:rsidR="00BC1CF8">
        <w:rPr>
          <w:rFonts w:eastAsiaTheme="minorEastAsia"/>
          <w:lang w:eastAsia="zh-CN"/>
        </w:rPr>
        <w:t>.</w:t>
      </w:r>
    </w:p>
    <w:p w14:paraId="2A6E7CFC" w14:textId="16C229BF" w:rsidR="00DE6823" w:rsidRPr="00DE6823" w:rsidRDefault="009C2E85" w:rsidP="00DE6823">
      <w:pPr>
        <w:pStyle w:val="PlainText"/>
        <w:rPr>
          <w:rFonts w:eastAsiaTheme="minorEastAsia"/>
          <w:lang w:eastAsia="zh-CN"/>
        </w:rPr>
      </w:pPr>
      <w:r w:rsidRPr="00DE6823">
        <w:rPr>
          <w:rFonts w:eastAsiaTheme="minorEastAsia"/>
          <w:lang w:eastAsia="zh-CN"/>
        </w:rPr>
        <w:t>URL</w:t>
      </w:r>
    </w:p>
    <w:p w14:paraId="363F8792" w14:textId="392F15A9" w:rsidR="00DE6823" w:rsidRDefault="00DE6823" w:rsidP="00DE6823">
      <w:pPr>
        <w:pStyle w:val="PlainText"/>
        <w:rPr>
          <w:rFonts w:eastAsiaTheme="minorEastAsia"/>
          <w:lang w:eastAsia="zh-CN"/>
        </w:rPr>
      </w:pPr>
      <w:r w:rsidRPr="00DE6823">
        <w:rPr>
          <w:rFonts w:eastAsiaTheme="minorEastAsia"/>
          <w:lang w:eastAsia="zh-CN"/>
        </w:rPr>
        <w:t>http://www.societaitalianagallerie.it/notizia/1618/global-market-survey-ita/download/5820/</w:t>
      </w:r>
    </w:p>
    <w:p w14:paraId="27BA7832" w14:textId="4127FDC7" w:rsidR="003D2711" w:rsidRPr="003D2711" w:rsidRDefault="003D2711" w:rsidP="003D2711">
      <w:pPr>
        <w:pStyle w:val="PlainText"/>
        <w:rPr>
          <w:rFonts w:eastAsiaTheme="minorEastAsia"/>
          <w:lang w:eastAsia="zh-CN"/>
        </w:rPr>
      </w:pPr>
      <w:r w:rsidRPr="003D2711">
        <w:rPr>
          <w:rFonts w:eastAsiaTheme="minorEastAsia"/>
          <w:lang w:eastAsia="zh-CN"/>
        </w:rPr>
        <w:t xml:space="preserve">ITA, W., 2022. BIM in Tunnelling - Guideline for Bored Tunnels, </w:t>
      </w:r>
      <w:proofErr w:type="spellStart"/>
      <w:r w:rsidRPr="003D2711">
        <w:rPr>
          <w:rFonts w:eastAsiaTheme="minorEastAsia"/>
          <w:lang w:eastAsia="zh-CN"/>
        </w:rPr>
        <w:t>Interational</w:t>
      </w:r>
      <w:proofErr w:type="spellEnd"/>
      <w:r w:rsidRPr="003D2711">
        <w:rPr>
          <w:rFonts w:eastAsiaTheme="minorEastAsia"/>
          <w:lang w:eastAsia="zh-CN"/>
        </w:rPr>
        <w:t xml:space="preserve"> Tunnelling and Underground Space Association.</w:t>
      </w:r>
    </w:p>
    <w:p w14:paraId="37A1E105" w14:textId="77777777" w:rsidR="003D2711" w:rsidRPr="003D2711" w:rsidRDefault="003D2711" w:rsidP="003D2711">
      <w:pPr>
        <w:pStyle w:val="PlainText"/>
        <w:rPr>
          <w:rFonts w:eastAsiaTheme="minorEastAsia"/>
          <w:lang w:eastAsia="zh-CN"/>
        </w:rPr>
      </w:pPr>
      <w:proofErr w:type="spellStart"/>
      <w:r w:rsidRPr="003D2711">
        <w:rPr>
          <w:rFonts w:eastAsiaTheme="minorEastAsia"/>
          <w:lang w:eastAsia="zh-CN"/>
        </w:rPr>
        <w:t>Ninić</w:t>
      </w:r>
      <w:proofErr w:type="spellEnd"/>
      <w:r w:rsidRPr="003D2711">
        <w:rPr>
          <w:rFonts w:eastAsiaTheme="minorEastAsia"/>
          <w:lang w:eastAsia="zh-CN"/>
        </w:rPr>
        <w:t>, J., Bui, H.G., Meschke, G., 2020a. BIM-to-IGA: A fully automatic design-through-analysis workflow for segmented tunnel linings. Advanced Engineering Informatics 46.</w:t>
      </w:r>
    </w:p>
    <w:p w14:paraId="4C0C88A4" w14:textId="584241E6" w:rsidR="003D2711" w:rsidRDefault="003D2711" w:rsidP="003D2711">
      <w:pPr>
        <w:pStyle w:val="PlainText"/>
        <w:rPr>
          <w:rFonts w:eastAsiaTheme="minorEastAsia"/>
          <w:lang w:eastAsia="zh-CN"/>
        </w:rPr>
      </w:pPr>
      <w:proofErr w:type="spellStart"/>
      <w:r w:rsidRPr="003D2711">
        <w:rPr>
          <w:rFonts w:eastAsiaTheme="minorEastAsia"/>
          <w:lang w:eastAsia="zh-CN"/>
        </w:rPr>
        <w:t>Ninić</w:t>
      </w:r>
      <w:proofErr w:type="spellEnd"/>
      <w:r w:rsidRPr="003D2711">
        <w:rPr>
          <w:rFonts w:eastAsiaTheme="minorEastAsia"/>
          <w:lang w:eastAsia="zh-CN"/>
        </w:rPr>
        <w:t xml:space="preserve">, J., Koch, C., </w:t>
      </w:r>
      <w:proofErr w:type="spellStart"/>
      <w:r w:rsidRPr="003D2711">
        <w:rPr>
          <w:rFonts w:eastAsiaTheme="minorEastAsia"/>
          <w:lang w:eastAsia="zh-CN"/>
        </w:rPr>
        <w:t>Vonthron</w:t>
      </w:r>
      <w:proofErr w:type="spellEnd"/>
      <w:r w:rsidRPr="003D2711">
        <w:rPr>
          <w:rFonts w:eastAsiaTheme="minorEastAsia"/>
          <w:lang w:eastAsia="zh-CN"/>
        </w:rPr>
        <w:t xml:space="preserve">, A., </w:t>
      </w:r>
      <w:proofErr w:type="spellStart"/>
      <w:r w:rsidRPr="003D2711">
        <w:rPr>
          <w:rFonts w:eastAsiaTheme="minorEastAsia"/>
          <w:lang w:eastAsia="zh-CN"/>
        </w:rPr>
        <w:t>Tizani</w:t>
      </w:r>
      <w:proofErr w:type="spellEnd"/>
      <w:r w:rsidRPr="003D2711">
        <w:rPr>
          <w:rFonts w:eastAsiaTheme="minorEastAsia"/>
          <w:lang w:eastAsia="zh-CN"/>
        </w:rPr>
        <w:t>, W., König, M., 2020b. Integrated parametric multi-level information and numerical modelling of mechanised tunnelling projects. Advanced Engineering Informatics 43, 101011.</w:t>
      </w:r>
    </w:p>
    <w:p w14:paraId="2158253B" w14:textId="295BDF87" w:rsidR="004B6205" w:rsidRDefault="004B6205" w:rsidP="004B6205">
      <w:pPr>
        <w:pStyle w:val="PlainText"/>
        <w:rPr>
          <w:rFonts w:eastAsiaTheme="minorEastAsia"/>
          <w:lang w:eastAsia="zh-CN"/>
        </w:rPr>
      </w:pPr>
      <w:r w:rsidRPr="004B6205">
        <w:rPr>
          <w:rFonts w:eastAsiaTheme="minorEastAsia"/>
          <w:lang w:eastAsia="zh-CN"/>
        </w:rPr>
        <w:t xml:space="preserve">Rives, M., Borrmann, A., </w:t>
      </w:r>
      <w:proofErr w:type="spellStart"/>
      <w:r w:rsidRPr="004B6205">
        <w:rPr>
          <w:rFonts w:eastAsiaTheme="minorEastAsia"/>
          <w:lang w:eastAsia="zh-CN"/>
        </w:rPr>
        <w:t>Alsahly</w:t>
      </w:r>
      <w:proofErr w:type="spellEnd"/>
      <w:r w:rsidRPr="004B6205">
        <w:rPr>
          <w:rFonts w:eastAsiaTheme="minorEastAsia"/>
          <w:lang w:eastAsia="zh-CN"/>
        </w:rPr>
        <w:t xml:space="preserve">, A., </w:t>
      </w:r>
      <w:proofErr w:type="spellStart"/>
      <w:r w:rsidRPr="004B6205">
        <w:rPr>
          <w:rFonts w:eastAsiaTheme="minorEastAsia"/>
          <w:lang w:eastAsia="zh-CN"/>
        </w:rPr>
        <w:t>Atzbacher</w:t>
      </w:r>
      <w:proofErr w:type="spellEnd"/>
      <w:r w:rsidRPr="004B6205">
        <w:rPr>
          <w:rFonts w:eastAsiaTheme="minorEastAsia"/>
          <w:lang w:eastAsia="zh-CN"/>
        </w:rPr>
        <w:t xml:space="preserve">, H., Brino, G., Bucci, A., </w:t>
      </w:r>
      <w:proofErr w:type="spellStart"/>
      <w:r w:rsidRPr="004B6205">
        <w:rPr>
          <w:rFonts w:eastAsiaTheme="minorEastAsia"/>
          <w:lang w:eastAsia="zh-CN"/>
        </w:rPr>
        <w:t>cEsnik</w:t>
      </w:r>
      <w:proofErr w:type="spellEnd"/>
      <w:r w:rsidRPr="004B6205">
        <w:rPr>
          <w:rFonts w:eastAsiaTheme="minorEastAsia"/>
          <w:lang w:eastAsia="zh-CN"/>
        </w:rPr>
        <w:t xml:space="preserve">, J., Danise, F., Dias, N., Dunn, J., Hoel, J.E., Kudoh-Wada, R., </w:t>
      </w:r>
      <w:proofErr w:type="spellStart"/>
      <w:r w:rsidRPr="004B6205">
        <w:rPr>
          <w:rFonts w:eastAsiaTheme="minorEastAsia"/>
          <w:lang w:eastAsia="zh-CN"/>
        </w:rPr>
        <w:t>Luibello</w:t>
      </w:r>
      <w:proofErr w:type="spellEnd"/>
      <w:r w:rsidRPr="004B6205">
        <w:rPr>
          <w:rFonts w:eastAsiaTheme="minorEastAsia"/>
          <w:lang w:eastAsia="zh-CN"/>
        </w:rPr>
        <w:t xml:space="preserve">, G., Nishiyama, S., </w:t>
      </w:r>
      <w:proofErr w:type="spellStart"/>
      <w:r w:rsidRPr="004B6205">
        <w:rPr>
          <w:rFonts w:eastAsiaTheme="minorEastAsia"/>
          <w:lang w:eastAsia="zh-CN"/>
        </w:rPr>
        <w:t>Osgoui</w:t>
      </w:r>
      <w:proofErr w:type="spellEnd"/>
      <w:r w:rsidRPr="004B6205">
        <w:rPr>
          <w:rFonts w:eastAsiaTheme="minorEastAsia"/>
          <w:lang w:eastAsia="zh-CN"/>
        </w:rPr>
        <w:t xml:space="preserve">, R.R., Robert, F., </w:t>
      </w:r>
      <w:proofErr w:type="spellStart"/>
      <w:r w:rsidRPr="004B6205">
        <w:rPr>
          <w:rFonts w:eastAsiaTheme="minorEastAsia"/>
          <w:lang w:eastAsia="zh-CN"/>
        </w:rPr>
        <w:t>Sandrone</w:t>
      </w:r>
      <w:proofErr w:type="spellEnd"/>
      <w:r w:rsidRPr="004B6205">
        <w:rPr>
          <w:rFonts w:eastAsiaTheme="minorEastAsia"/>
          <w:lang w:eastAsia="zh-CN"/>
        </w:rPr>
        <w:t xml:space="preserve">, F., Sheil, A., Shima, H., </w:t>
      </w:r>
      <w:proofErr w:type="spellStart"/>
      <w:r w:rsidRPr="004B6205">
        <w:rPr>
          <w:rFonts w:eastAsiaTheme="minorEastAsia"/>
          <w:lang w:eastAsia="zh-CN"/>
        </w:rPr>
        <w:t>Stefanizzi</w:t>
      </w:r>
      <w:proofErr w:type="spellEnd"/>
      <w:r w:rsidRPr="004B6205">
        <w:rPr>
          <w:rFonts w:eastAsiaTheme="minorEastAsia"/>
          <w:lang w:eastAsia="zh-CN"/>
        </w:rPr>
        <w:t xml:space="preserve">, S., Stelzer, M., Syversen, F., Thoren, J., </w:t>
      </w:r>
      <w:proofErr w:type="spellStart"/>
      <w:r w:rsidRPr="004B6205">
        <w:rPr>
          <w:rFonts w:eastAsiaTheme="minorEastAsia"/>
          <w:lang w:eastAsia="zh-CN"/>
        </w:rPr>
        <w:t>Vendramini</w:t>
      </w:r>
      <w:proofErr w:type="spellEnd"/>
      <w:r w:rsidRPr="004B6205">
        <w:rPr>
          <w:rFonts w:eastAsiaTheme="minorEastAsia"/>
          <w:lang w:eastAsia="zh-CN"/>
        </w:rPr>
        <w:t xml:space="preserve">, M., Villa, S., Vollmann, G., </w:t>
      </w:r>
      <w:proofErr w:type="spellStart"/>
      <w:r w:rsidRPr="004B6205">
        <w:rPr>
          <w:rFonts w:eastAsiaTheme="minorEastAsia"/>
          <w:lang w:eastAsia="zh-CN"/>
        </w:rPr>
        <w:t>Venthron</w:t>
      </w:r>
      <w:proofErr w:type="spellEnd"/>
      <w:r w:rsidRPr="004B6205">
        <w:rPr>
          <w:rFonts w:eastAsiaTheme="minorEastAsia"/>
          <w:lang w:eastAsia="zh-CN"/>
        </w:rPr>
        <w:t xml:space="preserve">, A., Weil, J., Zammit, H., Zhu, N., 2020. IFC-Tunnel </w:t>
      </w:r>
      <w:proofErr w:type="spellStart"/>
      <w:r w:rsidRPr="004B6205">
        <w:rPr>
          <w:rFonts w:eastAsiaTheme="minorEastAsia"/>
          <w:lang w:eastAsia="zh-CN"/>
        </w:rPr>
        <w:t>Project_Report</w:t>
      </w:r>
      <w:proofErr w:type="spellEnd"/>
      <w:r w:rsidRPr="004B6205">
        <w:rPr>
          <w:rFonts w:eastAsiaTheme="minorEastAsia"/>
          <w:lang w:eastAsia="zh-CN"/>
        </w:rPr>
        <w:t xml:space="preserve"> WP2: Requirements analysis report (RAR). buildingSMART International. </w:t>
      </w:r>
      <w:r w:rsidR="003216EB" w:rsidRPr="003216EB">
        <w:rPr>
          <w:rFonts w:eastAsiaTheme="minorEastAsia"/>
          <w:lang w:eastAsia="zh-CN"/>
        </w:rPr>
        <w:t>https://app.box.com/s/3p28520cgser0sa1bvunhc99bt4qhuza/file/711362091723</w:t>
      </w:r>
    </w:p>
    <w:p w14:paraId="5491BC10" w14:textId="35DCC140" w:rsidR="008162F6" w:rsidRDefault="008162F6" w:rsidP="003216EB">
      <w:pPr>
        <w:jc w:val="both"/>
        <w:rPr>
          <w:rFonts w:eastAsiaTheme="minorEastAsia" w:cs="Arial"/>
          <w:b w:val="0"/>
          <w:sz w:val="18"/>
          <w:lang w:eastAsia="zh-CN"/>
        </w:rPr>
      </w:pPr>
      <w:r w:rsidRPr="008162F6">
        <w:rPr>
          <w:rFonts w:eastAsiaTheme="minorEastAsia" w:cs="Arial"/>
          <w:b w:val="0"/>
          <w:sz w:val="18"/>
          <w:lang w:eastAsia="zh-CN"/>
        </w:rPr>
        <w:t xml:space="preserve">Sacks, R., Eastman, C., Lee, G. and </w:t>
      </w:r>
      <w:proofErr w:type="spellStart"/>
      <w:r w:rsidRPr="008162F6">
        <w:rPr>
          <w:rFonts w:eastAsiaTheme="minorEastAsia" w:cs="Arial"/>
          <w:b w:val="0"/>
          <w:sz w:val="18"/>
          <w:lang w:eastAsia="zh-CN"/>
        </w:rPr>
        <w:t>Teicholz</w:t>
      </w:r>
      <w:proofErr w:type="spellEnd"/>
      <w:r w:rsidRPr="008162F6">
        <w:rPr>
          <w:rFonts w:eastAsiaTheme="minorEastAsia" w:cs="Arial"/>
          <w:b w:val="0"/>
          <w:sz w:val="18"/>
          <w:lang w:eastAsia="zh-CN"/>
        </w:rPr>
        <w:t xml:space="preserve">, P., 2018. BIM handbook: A guide to building information </w:t>
      </w:r>
      <w:proofErr w:type="spellStart"/>
      <w:r w:rsidRPr="008162F6">
        <w:rPr>
          <w:rFonts w:eastAsiaTheme="minorEastAsia" w:cs="Arial"/>
          <w:b w:val="0"/>
          <w:sz w:val="18"/>
          <w:lang w:eastAsia="zh-CN"/>
        </w:rPr>
        <w:t>modeling</w:t>
      </w:r>
      <w:proofErr w:type="spellEnd"/>
      <w:r w:rsidRPr="008162F6">
        <w:rPr>
          <w:rFonts w:eastAsiaTheme="minorEastAsia" w:cs="Arial"/>
          <w:b w:val="0"/>
          <w:sz w:val="18"/>
          <w:lang w:eastAsia="zh-CN"/>
        </w:rPr>
        <w:t xml:space="preserve"> for owners, designers, engineers, contractors, and facility managers. John Wiley &amp; Sons.</w:t>
      </w:r>
    </w:p>
    <w:p w14:paraId="0178C775" w14:textId="57659CD2" w:rsidR="00452605" w:rsidRPr="00D96B66" w:rsidRDefault="003216EB" w:rsidP="004932C8">
      <w:pPr>
        <w:jc w:val="both"/>
        <w:rPr>
          <w:rFonts w:eastAsiaTheme="minorEastAsia" w:cs="Arial"/>
          <w:b w:val="0"/>
          <w:sz w:val="18"/>
          <w:lang w:eastAsia="zh-CN"/>
        </w:rPr>
      </w:pPr>
      <w:r w:rsidRPr="00EF5BED">
        <w:rPr>
          <w:rFonts w:eastAsiaTheme="minorEastAsia" w:cs="Arial"/>
          <w:b w:val="0"/>
          <w:sz w:val="18"/>
          <w:lang w:eastAsia="zh-CN"/>
        </w:rPr>
        <w:t>Z</w:t>
      </w:r>
      <w:r>
        <w:rPr>
          <w:rFonts w:eastAsiaTheme="minorEastAsia" w:cs="Arial" w:hint="eastAsia"/>
          <w:b w:val="0"/>
          <w:sz w:val="18"/>
          <w:lang w:eastAsia="zh-CN"/>
        </w:rPr>
        <w:t>hu</w:t>
      </w:r>
      <w:r w:rsidRPr="00EF5BED">
        <w:rPr>
          <w:rFonts w:eastAsiaTheme="minorEastAsia" w:cs="Arial"/>
          <w:b w:val="0"/>
          <w:sz w:val="18"/>
          <w:lang w:eastAsia="zh-CN"/>
        </w:rPr>
        <w:t>, H., H</w:t>
      </w:r>
      <w:r>
        <w:rPr>
          <w:rFonts w:eastAsiaTheme="minorEastAsia" w:cs="Arial" w:hint="eastAsia"/>
          <w:b w:val="0"/>
          <w:sz w:val="18"/>
          <w:lang w:eastAsia="zh-CN"/>
        </w:rPr>
        <w:t>uang</w:t>
      </w:r>
      <w:r w:rsidRPr="00EF5BED">
        <w:rPr>
          <w:rFonts w:eastAsiaTheme="minorEastAsia" w:cs="Arial"/>
          <w:b w:val="0"/>
          <w:sz w:val="18"/>
          <w:lang w:eastAsia="zh-CN"/>
        </w:rPr>
        <w:t>, M., J</w:t>
      </w:r>
      <w:r>
        <w:rPr>
          <w:rFonts w:eastAsiaTheme="minorEastAsia" w:cs="Arial" w:hint="eastAsia"/>
          <w:b w:val="0"/>
          <w:sz w:val="18"/>
          <w:lang w:eastAsia="zh-CN"/>
        </w:rPr>
        <w:t>i</w:t>
      </w:r>
      <w:r w:rsidRPr="00EF5BED">
        <w:rPr>
          <w:rFonts w:eastAsiaTheme="minorEastAsia" w:cs="Arial"/>
          <w:b w:val="0"/>
          <w:sz w:val="18"/>
          <w:lang w:eastAsia="zh-CN"/>
        </w:rPr>
        <w:t>, P., X</w:t>
      </w:r>
      <w:r>
        <w:rPr>
          <w:rFonts w:eastAsiaTheme="minorEastAsia" w:cs="Arial" w:hint="eastAsia"/>
          <w:b w:val="0"/>
          <w:sz w:val="18"/>
          <w:lang w:eastAsia="zh-CN"/>
        </w:rPr>
        <w:t>iao</w:t>
      </w:r>
      <w:r w:rsidRPr="00EF5BED">
        <w:rPr>
          <w:rFonts w:eastAsiaTheme="minorEastAsia" w:cs="Arial"/>
          <w:b w:val="0"/>
          <w:sz w:val="18"/>
          <w:lang w:eastAsia="zh-CN"/>
        </w:rPr>
        <w:t>, F. &amp; Z</w:t>
      </w:r>
      <w:r>
        <w:rPr>
          <w:rFonts w:eastAsiaTheme="minorEastAsia" w:cs="Arial" w:hint="eastAsia"/>
          <w:b w:val="0"/>
          <w:sz w:val="18"/>
          <w:lang w:eastAsia="zh-CN"/>
        </w:rPr>
        <w:t>hang</w:t>
      </w:r>
      <w:r w:rsidRPr="00EF5BED">
        <w:rPr>
          <w:rFonts w:eastAsiaTheme="minorEastAsia" w:cs="Arial"/>
          <w:b w:val="0"/>
          <w:sz w:val="18"/>
          <w:lang w:eastAsia="zh-CN"/>
        </w:rPr>
        <w:t xml:space="preserve">, Q.-B. 2025. Transforming the maintenance of underground infrastructure through Digital Twins: State of the art and outlook. </w:t>
      </w:r>
      <w:r w:rsidRPr="00F4789F">
        <w:rPr>
          <w:rFonts w:eastAsiaTheme="minorEastAsia" w:cs="Arial"/>
          <w:b w:val="0"/>
          <w:i/>
          <w:iCs/>
          <w:sz w:val="18"/>
          <w:lang w:eastAsia="zh-CN"/>
        </w:rPr>
        <w:t>Tunnelling and Underground Space Technology</w:t>
      </w:r>
      <w:r w:rsidRPr="00EF5BED">
        <w:rPr>
          <w:rFonts w:eastAsiaTheme="minorEastAsia" w:cs="Arial"/>
          <w:b w:val="0"/>
          <w:sz w:val="18"/>
          <w:lang w:eastAsia="zh-CN"/>
        </w:rPr>
        <w:t>, 161, 106508.</w:t>
      </w:r>
      <w:r w:rsidR="00BD5ACE" w:rsidRPr="00EE02C7">
        <w:rPr>
          <w:b w:val="0"/>
          <w:bCs/>
          <w:sz w:val="18"/>
          <w:szCs w:val="18"/>
        </w:rPr>
        <w:fldChar w:fldCharType="begin"/>
      </w:r>
      <w:r w:rsidR="00BD5ACE" w:rsidRPr="00EE02C7">
        <w:rPr>
          <w:b w:val="0"/>
          <w:bCs/>
          <w:sz w:val="18"/>
          <w:szCs w:val="18"/>
        </w:rPr>
        <w:instrText xml:space="preserve"> ADDIN EN.REFLIST </w:instrText>
      </w:r>
      <w:r w:rsidR="00BD5ACE" w:rsidRPr="00EE02C7">
        <w:rPr>
          <w:b w:val="0"/>
          <w:bCs/>
          <w:sz w:val="18"/>
          <w:szCs w:val="18"/>
        </w:rPr>
        <w:fldChar w:fldCharType="separate"/>
      </w:r>
      <w:r w:rsidR="00BD5ACE" w:rsidRPr="00EE02C7">
        <w:rPr>
          <w:rFonts w:cs="Arial"/>
          <w:b w:val="0"/>
          <w:bCs/>
          <w:sz w:val="18"/>
          <w:szCs w:val="18"/>
        </w:rPr>
        <w:fldChar w:fldCharType="end"/>
      </w:r>
    </w:p>
    <w:sectPr w:rsidR="00452605" w:rsidRPr="00D96B66" w:rsidSect="00857E6D">
      <w:headerReference w:type="default" r:id="rId29"/>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A3D13" w14:textId="77777777" w:rsidR="00AF4AC4" w:rsidRDefault="00AF4AC4" w:rsidP="00A974D7">
      <w:r>
        <w:separator/>
      </w:r>
    </w:p>
  </w:endnote>
  <w:endnote w:type="continuationSeparator" w:id="0">
    <w:p w14:paraId="6EDB37F4" w14:textId="77777777" w:rsidR="00AF4AC4" w:rsidRDefault="00AF4AC4"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EBFC6" w14:textId="77777777" w:rsidR="00AF4AC4" w:rsidRDefault="00AF4AC4" w:rsidP="00A974D7">
      <w:r>
        <w:separator/>
      </w:r>
    </w:p>
  </w:footnote>
  <w:footnote w:type="continuationSeparator" w:id="0">
    <w:p w14:paraId="3E64A49E" w14:textId="77777777" w:rsidR="00AF4AC4" w:rsidRDefault="00AF4AC4"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5B56E" w14:textId="43F8BC21" w:rsidR="007F5224" w:rsidRDefault="005F74EF" w:rsidP="009465E7">
    <w:pPr>
      <w:pStyle w:val="Header"/>
      <w:jc w:val="center"/>
    </w:pPr>
    <w:r>
      <w:rPr>
        <w:rFonts w:cs="Arial"/>
        <w:sz w:val="36"/>
      </w:rPr>
      <w:t xml:space="preserve"> </w:t>
    </w:r>
    <w:r w:rsidR="006C13C4">
      <w:rPr>
        <w:noProof/>
      </w:rPr>
      <w:drawing>
        <wp:inline distT="0" distB="0" distL="0" distR="0" wp14:anchorId="463B60E2" wp14:editId="3B26362A">
          <wp:extent cx="179705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dtwpstvz9psueadv7525wk2raf0pxtd5fw&quot;&gt;EG-ICE 2025&lt;record-ids&gt;&lt;item&gt;1&lt;/item&gt;&lt;/record-ids&gt;&lt;/item&gt;&lt;/Libraries&gt;"/>
  </w:docVars>
  <w:rsids>
    <w:rsidRoot w:val="00452605"/>
    <w:rsid w:val="00001651"/>
    <w:rsid w:val="000115A7"/>
    <w:rsid w:val="00016CB0"/>
    <w:rsid w:val="00016F2D"/>
    <w:rsid w:val="00017B66"/>
    <w:rsid w:val="000215C4"/>
    <w:rsid w:val="000217C1"/>
    <w:rsid w:val="000263AC"/>
    <w:rsid w:val="000329CA"/>
    <w:rsid w:val="00032BAF"/>
    <w:rsid w:val="00034307"/>
    <w:rsid w:val="00040C2B"/>
    <w:rsid w:val="00041183"/>
    <w:rsid w:val="00041B90"/>
    <w:rsid w:val="00042566"/>
    <w:rsid w:val="0004589C"/>
    <w:rsid w:val="000470C3"/>
    <w:rsid w:val="00060AD0"/>
    <w:rsid w:val="00063C7B"/>
    <w:rsid w:val="00071583"/>
    <w:rsid w:val="0007313E"/>
    <w:rsid w:val="00076448"/>
    <w:rsid w:val="000861F7"/>
    <w:rsid w:val="00090653"/>
    <w:rsid w:val="00094A82"/>
    <w:rsid w:val="00095014"/>
    <w:rsid w:val="000A00BA"/>
    <w:rsid w:val="000A23F0"/>
    <w:rsid w:val="000A364B"/>
    <w:rsid w:val="000B62D6"/>
    <w:rsid w:val="000C3D56"/>
    <w:rsid w:val="000C79BC"/>
    <w:rsid w:val="000D26FB"/>
    <w:rsid w:val="000D5BB5"/>
    <w:rsid w:val="000F4745"/>
    <w:rsid w:val="00100674"/>
    <w:rsid w:val="001029BA"/>
    <w:rsid w:val="0012137D"/>
    <w:rsid w:val="0012216D"/>
    <w:rsid w:val="00132254"/>
    <w:rsid w:val="00132729"/>
    <w:rsid w:val="00150195"/>
    <w:rsid w:val="00154061"/>
    <w:rsid w:val="00155EA0"/>
    <w:rsid w:val="00166657"/>
    <w:rsid w:val="00166C9E"/>
    <w:rsid w:val="001734B5"/>
    <w:rsid w:val="00191559"/>
    <w:rsid w:val="001965BD"/>
    <w:rsid w:val="0019701D"/>
    <w:rsid w:val="001A0B08"/>
    <w:rsid w:val="001A1666"/>
    <w:rsid w:val="001A4741"/>
    <w:rsid w:val="001B0C20"/>
    <w:rsid w:val="001B6B82"/>
    <w:rsid w:val="001C51A5"/>
    <w:rsid w:val="001C535D"/>
    <w:rsid w:val="001C554F"/>
    <w:rsid w:val="001D4373"/>
    <w:rsid w:val="001D6CCF"/>
    <w:rsid w:val="001D72F8"/>
    <w:rsid w:val="001E03B8"/>
    <w:rsid w:val="001E6B27"/>
    <w:rsid w:val="001F4662"/>
    <w:rsid w:val="001F4ECE"/>
    <w:rsid w:val="001F56EB"/>
    <w:rsid w:val="001F73F8"/>
    <w:rsid w:val="002100A8"/>
    <w:rsid w:val="002113E3"/>
    <w:rsid w:val="00213073"/>
    <w:rsid w:val="00216CAD"/>
    <w:rsid w:val="00230396"/>
    <w:rsid w:val="0024432C"/>
    <w:rsid w:val="00246E7B"/>
    <w:rsid w:val="00251D87"/>
    <w:rsid w:val="00254FFD"/>
    <w:rsid w:val="00257E10"/>
    <w:rsid w:val="0027135B"/>
    <w:rsid w:val="002715DF"/>
    <w:rsid w:val="002739B1"/>
    <w:rsid w:val="00282734"/>
    <w:rsid w:val="00283E92"/>
    <w:rsid w:val="002913A7"/>
    <w:rsid w:val="00291844"/>
    <w:rsid w:val="00292D96"/>
    <w:rsid w:val="00295B55"/>
    <w:rsid w:val="00297D53"/>
    <w:rsid w:val="002B206C"/>
    <w:rsid w:val="002B7E3C"/>
    <w:rsid w:val="002C56F4"/>
    <w:rsid w:val="002D4136"/>
    <w:rsid w:val="002E08B8"/>
    <w:rsid w:val="00302192"/>
    <w:rsid w:val="00304BBB"/>
    <w:rsid w:val="003216EB"/>
    <w:rsid w:val="00322AF9"/>
    <w:rsid w:val="00324810"/>
    <w:rsid w:val="00325459"/>
    <w:rsid w:val="0033283E"/>
    <w:rsid w:val="0033427B"/>
    <w:rsid w:val="00334AF8"/>
    <w:rsid w:val="003412C9"/>
    <w:rsid w:val="0036006D"/>
    <w:rsid w:val="00364DE2"/>
    <w:rsid w:val="003660EE"/>
    <w:rsid w:val="00372649"/>
    <w:rsid w:val="003A19EF"/>
    <w:rsid w:val="003B08DA"/>
    <w:rsid w:val="003B45D4"/>
    <w:rsid w:val="003C40B2"/>
    <w:rsid w:val="003D2711"/>
    <w:rsid w:val="003E1723"/>
    <w:rsid w:val="003F03AA"/>
    <w:rsid w:val="003F089F"/>
    <w:rsid w:val="003F1F2A"/>
    <w:rsid w:val="003F436F"/>
    <w:rsid w:val="003F476F"/>
    <w:rsid w:val="004073B6"/>
    <w:rsid w:val="0042205D"/>
    <w:rsid w:val="0042338A"/>
    <w:rsid w:val="00426877"/>
    <w:rsid w:val="004331D6"/>
    <w:rsid w:val="004356D4"/>
    <w:rsid w:val="00452253"/>
    <w:rsid w:val="00452605"/>
    <w:rsid w:val="00472E4F"/>
    <w:rsid w:val="0047494E"/>
    <w:rsid w:val="00480680"/>
    <w:rsid w:val="004932C8"/>
    <w:rsid w:val="004939CF"/>
    <w:rsid w:val="00493DE1"/>
    <w:rsid w:val="004B5B38"/>
    <w:rsid w:val="004B6205"/>
    <w:rsid w:val="004C0BC4"/>
    <w:rsid w:val="004D2913"/>
    <w:rsid w:val="004E20F3"/>
    <w:rsid w:val="004F074E"/>
    <w:rsid w:val="004F55C0"/>
    <w:rsid w:val="004F6326"/>
    <w:rsid w:val="00513DBC"/>
    <w:rsid w:val="00521F7B"/>
    <w:rsid w:val="005228B8"/>
    <w:rsid w:val="005229B3"/>
    <w:rsid w:val="00523059"/>
    <w:rsid w:val="0053233B"/>
    <w:rsid w:val="005356CF"/>
    <w:rsid w:val="005413A7"/>
    <w:rsid w:val="0054466D"/>
    <w:rsid w:val="005518EE"/>
    <w:rsid w:val="00552CC8"/>
    <w:rsid w:val="00561B0C"/>
    <w:rsid w:val="00580E0F"/>
    <w:rsid w:val="00581B29"/>
    <w:rsid w:val="00591C08"/>
    <w:rsid w:val="005A0994"/>
    <w:rsid w:val="005A108C"/>
    <w:rsid w:val="005B2BD1"/>
    <w:rsid w:val="005B724E"/>
    <w:rsid w:val="005C1288"/>
    <w:rsid w:val="005C16B6"/>
    <w:rsid w:val="005D046F"/>
    <w:rsid w:val="005E0420"/>
    <w:rsid w:val="005E04F4"/>
    <w:rsid w:val="005E4273"/>
    <w:rsid w:val="005E7249"/>
    <w:rsid w:val="005F74EF"/>
    <w:rsid w:val="006069C3"/>
    <w:rsid w:val="0061397A"/>
    <w:rsid w:val="0061768F"/>
    <w:rsid w:val="00621641"/>
    <w:rsid w:val="00624192"/>
    <w:rsid w:val="00637024"/>
    <w:rsid w:val="006370A7"/>
    <w:rsid w:val="00651D31"/>
    <w:rsid w:val="00652FBC"/>
    <w:rsid w:val="00655CAD"/>
    <w:rsid w:val="0065674D"/>
    <w:rsid w:val="00656C2C"/>
    <w:rsid w:val="0066249F"/>
    <w:rsid w:val="006664C6"/>
    <w:rsid w:val="00666BB2"/>
    <w:rsid w:val="00673B5A"/>
    <w:rsid w:val="00681F34"/>
    <w:rsid w:val="00692761"/>
    <w:rsid w:val="006966AC"/>
    <w:rsid w:val="006A2AB1"/>
    <w:rsid w:val="006A6A7E"/>
    <w:rsid w:val="006B228A"/>
    <w:rsid w:val="006B264D"/>
    <w:rsid w:val="006C13C4"/>
    <w:rsid w:val="006C4863"/>
    <w:rsid w:val="006C5367"/>
    <w:rsid w:val="006C79D8"/>
    <w:rsid w:val="006C7DA2"/>
    <w:rsid w:val="006D0A28"/>
    <w:rsid w:val="006D5C01"/>
    <w:rsid w:val="006D620A"/>
    <w:rsid w:val="006E6259"/>
    <w:rsid w:val="00700714"/>
    <w:rsid w:val="00700811"/>
    <w:rsid w:val="00701B43"/>
    <w:rsid w:val="007134BE"/>
    <w:rsid w:val="0071499A"/>
    <w:rsid w:val="0072281F"/>
    <w:rsid w:val="0072784F"/>
    <w:rsid w:val="007456DD"/>
    <w:rsid w:val="007459B1"/>
    <w:rsid w:val="007573F6"/>
    <w:rsid w:val="007638D1"/>
    <w:rsid w:val="00776EB3"/>
    <w:rsid w:val="00781485"/>
    <w:rsid w:val="0079586B"/>
    <w:rsid w:val="007A1D5A"/>
    <w:rsid w:val="007B134F"/>
    <w:rsid w:val="007B39AB"/>
    <w:rsid w:val="007C061E"/>
    <w:rsid w:val="007C3528"/>
    <w:rsid w:val="007D6E91"/>
    <w:rsid w:val="007D7472"/>
    <w:rsid w:val="007E3BD9"/>
    <w:rsid w:val="007F15D3"/>
    <w:rsid w:val="007F2CCF"/>
    <w:rsid w:val="007F30EC"/>
    <w:rsid w:val="007F5224"/>
    <w:rsid w:val="007F6AAE"/>
    <w:rsid w:val="00801AB1"/>
    <w:rsid w:val="00812538"/>
    <w:rsid w:val="008143C1"/>
    <w:rsid w:val="00814B3A"/>
    <w:rsid w:val="008162F6"/>
    <w:rsid w:val="0081763A"/>
    <w:rsid w:val="00821DF0"/>
    <w:rsid w:val="0082572C"/>
    <w:rsid w:val="0083241B"/>
    <w:rsid w:val="0083446D"/>
    <w:rsid w:val="008365F1"/>
    <w:rsid w:val="00840E58"/>
    <w:rsid w:val="00842125"/>
    <w:rsid w:val="00842657"/>
    <w:rsid w:val="00845689"/>
    <w:rsid w:val="008461C1"/>
    <w:rsid w:val="00850825"/>
    <w:rsid w:val="00850A8B"/>
    <w:rsid w:val="00854663"/>
    <w:rsid w:val="008556AB"/>
    <w:rsid w:val="00857E6D"/>
    <w:rsid w:val="00862EF2"/>
    <w:rsid w:val="00864DB0"/>
    <w:rsid w:val="00865E31"/>
    <w:rsid w:val="0086672F"/>
    <w:rsid w:val="008762A8"/>
    <w:rsid w:val="008767AC"/>
    <w:rsid w:val="00882356"/>
    <w:rsid w:val="008872C4"/>
    <w:rsid w:val="0089389A"/>
    <w:rsid w:val="0089655D"/>
    <w:rsid w:val="008968E9"/>
    <w:rsid w:val="00896AB3"/>
    <w:rsid w:val="008A0408"/>
    <w:rsid w:val="008A1384"/>
    <w:rsid w:val="008B583D"/>
    <w:rsid w:val="008B6A18"/>
    <w:rsid w:val="008B6A2D"/>
    <w:rsid w:val="008B7508"/>
    <w:rsid w:val="008C0C55"/>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466B"/>
    <w:rsid w:val="00936D2D"/>
    <w:rsid w:val="0094391C"/>
    <w:rsid w:val="009450F6"/>
    <w:rsid w:val="0094593F"/>
    <w:rsid w:val="009465E7"/>
    <w:rsid w:val="00946DEA"/>
    <w:rsid w:val="00947200"/>
    <w:rsid w:val="0095653F"/>
    <w:rsid w:val="009614D7"/>
    <w:rsid w:val="0096478D"/>
    <w:rsid w:val="009648B4"/>
    <w:rsid w:val="00964B2F"/>
    <w:rsid w:val="009738C8"/>
    <w:rsid w:val="00984CF7"/>
    <w:rsid w:val="00991A6B"/>
    <w:rsid w:val="0099390D"/>
    <w:rsid w:val="00996337"/>
    <w:rsid w:val="009C2E85"/>
    <w:rsid w:val="009D3296"/>
    <w:rsid w:val="009E06BD"/>
    <w:rsid w:val="009E0ABA"/>
    <w:rsid w:val="009E5926"/>
    <w:rsid w:val="009F0B7A"/>
    <w:rsid w:val="009F2AAC"/>
    <w:rsid w:val="00A02CD2"/>
    <w:rsid w:val="00A113E7"/>
    <w:rsid w:val="00A1355D"/>
    <w:rsid w:val="00A1597C"/>
    <w:rsid w:val="00A23450"/>
    <w:rsid w:val="00A26860"/>
    <w:rsid w:val="00A307E8"/>
    <w:rsid w:val="00A32483"/>
    <w:rsid w:val="00A3747D"/>
    <w:rsid w:val="00A70111"/>
    <w:rsid w:val="00A723A7"/>
    <w:rsid w:val="00A74484"/>
    <w:rsid w:val="00A81F10"/>
    <w:rsid w:val="00A87382"/>
    <w:rsid w:val="00A92A2C"/>
    <w:rsid w:val="00A952DF"/>
    <w:rsid w:val="00A974D7"/>
    <w:rsid w:val="00AA1895"/>
    <w:rsid w:val="00AA1FBC"/>
    <w:rsid w:val="00AA5330"/>
    <w:rsid w:val="00AA64F2"/>
    <w:rsid w:val="00AB2309"/>
    <w:rsid w:val="00AB2B6C"/>
    <w:rsid w:val="00AC40DF"/>
    <w:rsid w:val="00AC4D20"/>
    <w:rsid w:val="00AC79BB"/>
    <w:rsid w:val="00AD43AC"/>
    <w:rsid w:val="00AE7883"/>
    <w:rsid w:val="00AF1F2B"/>
    <w:rsid w:val="00AF4AC4"/>
    <w:rsid w:val="00AF7083"/>
    <w:rsid w:val="00B07DB3"/>
    <w:rsid w:val="00B207E5"/>
    <w:rsid w:val="00B20A61"/>
    <w:rsid w:val="00B3392A"/>
    <w:rsid w:val="00B3674E"/>
    <w:rsid w:val="00B44E12"/>
    <w:rsid w:val="00B4547B"/>
    <w:rsid w:val="00B45611"/>
    <w:rsid w:val="00B503CA"/>
    <w:rsid w:val="00B54964"/>
    <w:rsid w:val="00B61B39"/>
    <w:rsid w:val="00B750B3"/>
    <w:rsid w:val="00B7538D"/>
    <w:rsid w:val="00B76C0C"/>
    <w:rsid w:val="00B77861"/>
    <w:rsid w:val="00B77A41"/>
    <w:rsid w:val="00B84E07"/>
    <w:rsid w:val="00B86B2E"/>
    <w:rsid w:val="00B9293E"/>
    <w:rsid w:val="00BA0EE6"/>
    <w:rsid w:val="00BC0D0B"/>
    <w:rsid w:val="00BC1CF8"/>
    <w:rsid w:val="00BC54F1"/>
    <w:rsid w:val="00BD5ACE"/>
    <w:rsid w:val="00BE258C"/>
    <w:rsid w:val="00BF3877"/>
    <w:rsid w:val="00BF5B80"/>
    <w:rsid w:val="00BF7CF6"/>
    <w:rsid w:val="00C04303"/>
    <w:rsid w:val="00C06233"/>
    <w:rsid w:val="00C07CE0"/>
    <w:rsid w:val="00C07F73"/>
    <w:rsid w:val="00C10295"/>
    <w:rsid w:val="00C11E01"/>
    <w:rsid w:val="00C145CA"/>
    <w:rsid w:val="00C30B95"/>
    <w:rsid w:val="00C31D5E"/>
    <w:rsid w:val="00C32EB1"/>
    <w:rsid w:val="00C3662D"/>
    <w:rsid w:val="00C41557"/>
    <w:rsid w:val="00C4185C"/>
    <w:rsid w:val="00C4506F"/>
    <w:rsid w:val="00C669E4"/>
    <w:rsid w:val="00C81E01"/>
    <w:rsid w:val="00C8701C"/>
    <w:rsid w:val="00C9129F"/>
    <w:rsid w:val="00C93570"/>
    <w:rsid w:val="00C956D1"/>
    <w:rsid w:val="00C96A44"/>
    <w:rsid w:val="00CA3ECE"/>
    <w:rsid w:val="00CA589F"/>
    <w:rsid w:val="00CB2332"/>
    <w:rsid w:val="00CB3B72"/>
    <w:rsid w:val="00CC6C6A"/>
    <w:rsid w:val="00CC77C0"/>
    <w:rsid w:val="00CD5170"/>
    <w:rsid w:val="00CD76DB"/>
    <w:rsid w:val="00CE5799"/>
    <w:rsid w:val="00CE5B24"/>
    <w:rsid w:val="00CE721C"/>
    <w:rsid w:val="00CE7BAB"/>
    <w:rsid w:val="00CF0637"/>
    <w:rsid w:val="00CF139F"/>
    <w:rsid w:val="00CF20EA"/>
    <w:rsid w:val="00CF475C"/>
    <w:rsid w:val="00CF6922"/>
    <w:rsid w:val="00D053CB"/>
    <w:rsid w:val="00D14182"/>
    <w:rsid w:val="00D15CF2"/>
    <w:rsid w:val="00D31278"/>
    <w:rsid w:val="00D33CAE"/>
    <w:rsid w:val="00D36521"/>
    <w:rsid w:val="00D42442"/>
    <w:rsid w:val="00D42DFA"/>
    <w:rsid w:val="00D43456"/>
    <w:rsid w:val="00D43670"/>
    <w:rsid w:val="00D461B2"/>
    <w:rsid w:val="00D50125"/>
    <w:rsid w:val="00D55FB7"/>
    <w:rsid w:val="00D56D4D"/>
    <w:rsid w:val="00D60ED5"/>
    <w:rsid w:val="00D77DA7"/>
    <w:rsid w:val="00D90837"/>
    <w:rsid w:val="00D9398E"/>
    <w:rsid w:val="00D96B66"/>
    <w:rsid w:val="00DA0AB2"/>
    <w:rsid w:val="00DA0D32"/>
    <w:rsid w:val="00DA78A9"/>
    <w:rsid w:val="00DB0EF5"/>
    <w:rsid w:val="00DB60B6"/>
    <w:rsid w:val="00DD1770"/>
    <w:rsid w:val="00DD687C"/>
    <w:rsid w:val="00DE1562"/>
    <w:rsid w:val="00DE2C5C"/>
    <w:rsid w:val="00DE4AB5"/>
    <w:rsid w:val="00DE50E5"/>
    <w:rsid w:val="00DE6823"/>
    <w:rsid w:val="00DF42B5"/>
    <w:rsid w:val="00E13700"/>
    <w:rsid w:val="00E215D2"/>
    <w:rsid w:val="00E32DD4"/>
    <w:rsid w:val="00E34D7A"/>
    <w:rsid w:val="00E40831"/>
    <w:rsid w:val="00E4295B"/>
    <w:rsid w:val="00E4344D"/>
    <w:rsid w:val="00E537D0"/>
    <w:rsid w:val="00E54923"/>
    <w:rsid w:val="00E66D78"/>
    <w:rsid w:val="00E70355"/>
    <w:rsid w:val="00E72291"/>
    <w:rsid w:val="00E84285"/>
    <w:rsid w:val="00E90A6D"/>
    <w:rsid w:val="00E970F9"/>
    <w:rsid w:val="00EA1F87"/>
    <w:rsid w:val="00EB606C"/>
    <w:rsid w:val="00EC4910"/>
    <w:rsid w:val="00EC61B4"/>
    <w:rsid w:val="00ED3661"/>
    <w:rsid w:val="00EE02C7"/>
    <w:rsid w:val="00EE40DD"/>
    <w:rsid w:val="00EE42C6"/>
    <w:rsid w:val="00EF0109"/>
    <w:rsid w:val="00EF253C"/>
    <w:rsid w:val="00EF5BED"/>
    <w:rsid w:val="00EF5BFB"/>
    <w:rsid w:val="00EF7644"/>
    <w:rsid w:val="00F035F6"/>
    <w:rsid w:val="00F05E8C"/>
    <w:rsid w:val="00F05EA2"/>
    <w:rsid w:val="00F119D1"/>
    <w:rsid w:val="00F13403"/>
    <w:rsid w:val="00F2258D"/>
    <w:rsid w:val="00F26717"/>
    <w:rsid w:val="00F26E45"/>
    <w:rsid w:val="00F31975"/>
    <w:rsid w:val="00F4789F"/>
    <w:rsid w:val="00F51F2B"/>
    <w:rsid w:val="00F55707"/>
    <w:rsid w:val="00F608DB"/>
    <w:rsid w:val="00F634DB"/>
    <w:rsid w:val="00F65C51"/>
    <w:rsid w:val="00F733B8"/>
    <w:rsid w:val="00F8264F"/>
    <w:rsid w:val="00F93CEE"/>
    <w:rsid w:val="00FA11C6"/>
    <w:rsid w:val="00FA5345"/>
    <w:rsid w:val="00FA6FE6"/>
    <w:rsid w:val="00FA7B24"/>
    <w:rsid w:val="00FB1B83"/>
    <w:rsid w:val="00FD5523"/>
    <w:rsid w:val="00FE4248"/>
    <w:rsid w:val="00FE4651"/>
    <w:rsid w:val="00FE5DF1"/>
    <w:rsid w:val="00FF2C80"/>
    <w:rsid w:val="00FF479B"/>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Normal"/>
    <w:rsid w:val="00C07CE0"/>
    <w:pPr>
      <w:spacing w:after="120"/>
      <w:jc w:val="both"/>
    </w:pPr>
    <w:rPr>
      <w:rFonts w:eastAsia="宋体"/>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EndNoteBibliographyTitle">
    <w:name w:val="EndNote Bibliography Title"/>
    <w:basedOn w:val="Normal"/>
    <w:link w:val="EndNoteBibliographyTitleChar"/>
    <w:rsid w:val="00BD5ACE"/>
    <w:rPr>
      <w:rFonts w:cs="Arial"/>
      <w:noProof/>
      <w:lang w:val="en-US"/>
    </w:rPr>
  </w:style>
  <w:style w:type="character" w:customStyle="1" w:styleId="EndNoteBibliographyTitleChar">
    <w:name w:val="EndNote Bibliography Title Char"/>
    <w:basedOn w:val="DefaultParagraphFont"/>
    <w:link w:val="EndNoteBibliographyTitle"/>
    <w:rsid w:val="00BD5ACE"/>
    <w:rPr>
      <w:rFonts w:ascii="Arial" w:eastAsia="Times New Roman" w:hAnsi="Arial" w:cs="Arial"/>
      <w:b/>
      <w:noProof/>
      <w:sz w:val="24"/>
      <w:szCs w:val="24"/>
      <w:lang w:val="en-US" w:eastAsia="en-US"/>
    </w:rPr>
  </w:style>
  <w:style w:type="paragraph" w:customStyle="1" w:styleId="EndNoteBibliography">
    <w:name w:val="EndNote Bibliography"/>
    <w:basedOn w:val="Normal"/>
    <w:link w:val="EndNoteBibliographyChar"/>
    <w:rsid w:val="00BD5ACE"/>
    <w:pPr>
      <w:jc w:val="both"/>
    </w:pPr>
    <w:rPr>
      <w:rFonts w:cs="Arial"/>
      <w:noProof/>
      <w:lang w:val="en-US"/>
    </w:rPr>
  </w:style>
  <w:style w:type="character" w:customStyle="1" w:styleId="EndNoteBibliographyChar">
    <w:name w:val="EndNote Bibliography Char"/>
    <w:basedOn w:val="DefaultParagraphFont"/>
    <w:link w:val="EndNoteBibliography"/>
    <w:rsid w:val="00BD5ACE"/>
    <w:rPr>
      <w:rFonts w:ascii="Arial" w:eastAsia="Times New Roman" w:hAnsi="Arial" w:cs="Arial"/>
      <w:b/>
      <w:noProof/>
      <w:sz w:val="24"/>
      <w:szCs w:val="24"/>
      <w:lang w:val="en-US" w:eastAsia="en-US"/>
    </w:rPr>
  </w:style>
  <w:style w:type="table" w:customStyle="1" w:styleId="TableGrid1">
    <w:name w:val="Table Grid1"/>
    <w:basedOn w:val="TableNormal"/>
    <w:next w:val="TableGrid"/>
    <w:uiPriority w:val="39"/>
    <w:rsid w:val="00040C2B"/>
    <w:rPr>
      <w:rFonts w:eastAsia="等线"/>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0C2B"/>
    <w:rPr>
      <w:rFonts w:eastAsia="等线"/>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7C0"/>
    <w:rPr>
      <w:sz w:val="16"/>
      <w:szCs w:val="16"/>
    </w:rPr>
  </w:style>
  <w:style w:type="paragraph" w:styleId="CommentText">
    <w:name w:val="annotation text"/>
    <w:basedOn w:val="Normal"/>
    <w:link w:val="CommentTextChar"/>
    <w:uiPriority w:val="99"/>
    <w:unhideWhenUsed/>
    <w:rsid w:val="00CC77C0"/>
    <w:rPr>
      <w:sz w:val="20"/>
      <w:szCs w:val="20"/>
    </w:rPr>
  </w:style>
  <w:style w:type="character" w:customStyle="1" w:styleId="CommentTextChar">
    <w:name w:val="Comment Text Char"/>
    <w:basedOn w:val="DefaultParagraphFont"/>
    <w:link w:val="CommentText"/>
    <w:uiPriority w:val="99"/>
    <w:rsid w:val="00CC77C0"/>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CC77C0"/>
    <w:rPr>
      <w:bCs/>
    </w:rPr>
  </w:style>
  <w:style w:type="character" w:customStyle="1" w:styleId="CommentSubjectChar">
    <w:name w:val="Comment Subject Char"/>
    <w:basedOn w:val="CommentTextChar"/>
    <w:link w:val="CommentSubject"/>
    <w:uiPriority w:val="99"/>
    <w:semiHidden/>
    <w:rsid w:val="00CC77C0"/>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Metadata/LabelInfo.xml><?xml version="1.0" encoding="utf-8"?>
<clbl:labelList xmlns:clbl="http://schemas.microsoft.com/office/2020/mipLabelMetadata">
  <clbl:label id="{df7f7579-3e9c-4a7e-b844-420280f53859}" enabled="0" method="" siteId="{df7f7579-3e9c-4a7e-b844-420280f53859}" removed="1"/>
</clbl:labelList>
</file>

<file path=docProps/app.xml><?xml version="1.0" encoding="utf-8"?>
<Properties xmlns="http://schemas.openxmlformats.org/officeDocument/2006/extended-properties" xmlns:vt="http://schemas.openxmlformats.org/officeDocument/2006/docPropsVTypes">
  <Template>Normal.dotm</Template>
  <TotalTime>221</TotalTime>
  <Pages>6</Pages>
  <Words>3427</Words>
  <Characters>19536</Characters>
  <Application>Microsoft Office Word</Application>
  <DocSecurity>0</DocSecurity>
  <Lines>162</Lines>
  <Paragraphs>45</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22918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Amanda Huang</cp:lastModifiedBy>
  <cp:revision>86</cp:revision>
  <cp:lastPrinted>2013-03-18T18:30:00Z</cp:lastPrinted>
  <dcterms:created xsi:type="dcterms:W3CDTF">2025-04-28T22:14:00Z</dcterms:created>
  <dcterms:modified xsi:type="dcterms:W3CDTF">2025-05-13T10:57:00Z</dcterms:modified>
</cp:coreProperties>
</file>