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9855A" w14:textId="01CF2D4F" w:rsidR="00277D25" w:rsidRPr="000121CA" w:rsidRDefault="64203B1B" w:rsidP="00277D25">
      <w:pPr>
        <w:pStyle w:val="NoSpacing"/>
        <w:jc w:val="center"/>
        <w:rPr>
          <w:rFonts w:ascii="Calibri" w:eastAsia="Aptos" w:hAnsi="Calibri" w:cs="Calibri"/>
          <w:b/>
          <w:bCs/>
          <w:color w:val="000000" w:themeColor="text1"/>
          <w:sz w:val="28"/>
          <w:szCs w:val="28"/>
        </w:rPr>
      </w:pPr>
      <w:r w:rsidRPr="000121CA">
        <w:rPr>
          <w:rFonts w:ascii="Calibri" w:eastAsia="Aptos" w:hAnsi="Calibri" w:cs="Calibri"/>
          <w:b/>
          <w:bCs/>
          <w:color w:val="000000" w:themeColor="text1"/>
          <w:sz w:val="28"/>
          <w:szCs w:val="28"/>
        </w:rPr>
        <w:t>Performance-Driven Development of Smart Building Envelope</w:t>
      </w:r>
      <w:r w:rsidR="00277D25" w:rsidRPr="000121CA">
        <w:rPr>
          <w:rFonts w:ascii="Calibri" w:eastAsia="Aptos" w:hAnsi="Calibri" w:cs="Calibri"/>
          <w:b/>
          <w:bCs/>
          <w:color w:val="000000" w:themeColor="text1"/>
          <w:sz w:val="28"/>
          <w:szCs w:val="28"/>
        </w:rPr>
        <w:t>s</w:t>
      </w:r>
      <w:r w:rsidR="00E97C1C" w:rsidRPr="000121CA">
        <w:rPr>
          <w:rFonts w:ascii="Calibri" w:eastAsia="Aptos" w:hAnsi="Calibri" w:cs="Calibri"/>
          <w:b/>
          <w:bCs/>
          <w:color w:val="000000" w:themeColor="text1"/>
          <w:sz w:val="28"/>
          <w:szCs w:val="28"/>
        </w:rPr>
        <w:t xml:space="preserve"> for Retrofits</w:t>
      </w:r>
    </w:p>
    <w:p w14:paraId="17543737" w14:textId="40EBD726" w:rsidR="64203B1B" w:rsidRDefault="00593F1B" w:rsidP="64203B1B">
      <w:pPr>
        <w:pStyle w:val="Author"/>
        <w:spacing w:after="40"/>
        <w:jc w:val="center"/>
        <w:rPr>
          <w:rFonts w:ascii="Calibri" w:eastAsia="Calibri" w:hAnsi="Calibri" w:cs="Calibri"/>
          <w:color w:val="000000" w:themeColor="text1"/>
          <w:vertAlign w:val="superscript"/>
        </w:rPr>
      </w:pPr>
      <w:r w:rsidRPr="00593F1B">
        <w:rPr>
          <w:rFonts w:ascii="Calibri" w:eastAsia="Calibri" w:hAnsi="Calibri" w:cs="Calibri"/>
          <w:color w:val="000000" w:themeColor="text1"/>
          <w:kern w:val="2"/>
          <w:lang w:eastAsia="en-US"/>
          <w14:ligatures w14:val="standardContextual"/>
        </w:rPr>
        <w:t xml:space="preserve">A method to assess the energy performance of smart building envelopes through simulation </w:t>
      </w:r>
      <w:r w:rsidR="64203B1B" w:rsidRPr="64203B1B">
        <w:rPr>
          <w:rFonts w:ascii="Calibri" w:eastAsia="Calibri" w:hAnsi="Calibri" w:cs="Calibri"/>
          <w:color w:val="000000" w:themeColor="text1"/>
          <w:sz w:val="22"/>
          <w:szCs w:val="22"/>
        </w:rPr>
        <w:t xml:space="preserve">Drishya </w:t>
      </w:r>
      <w:r w:rsidR="64203B1B" w:rsidRPr="003330DD">
        <w:rPr>
          <w:rFonts w:ascii="Calibri" w:eastAsia="Calibri" w:hAnsi="Calibri" w:cs="Calibri"/>
          <w:color w:val="000000" w:themeColor="text1"/>
        </w:rPr>
        <w:t>Jayakrishnan</w:t>
      </w:r>
      <w:r w:rsidR="64203B1B" w:rsidRPr="003330DD">
        <w:rPr>
          <w:rFonts w:ascii="Calibri" w:eastAsia="Calibri" w:hAnsi="Calibri" w:cs="Calibri"/>
          <w:color w:val="000000" w:themeColor="text1"/>
          <w:vertAlign w:val="superscript"/>
        </w:rPr>
        <w:t>1*</w:t>
      </w:r>
      <w:r w:rsidR="64203B1B" w:rsidRPr="003330DD">
        <w:rPr>
          <w:rFonts w:ascii="Calibri" w:eastAsia="Calibri" w:hAnsi="Calibri" w:cs="Calibri"/>
          <w:color w:val="000000" w:themeColor="text1"/>
        </w:rPr>
        <w:t xml:space="preserve">, </w:t>
      </w:r>
      <w:proofErr w:type="spellStart"/>
      <w:r w:rsidR="64203B1B" w:rsidRPr="003330DD">
        <w:rPr>
          <w:rFonts w:ascii="Calibri" w:eastAsia="Calibri" w:hAnsi="Calibri" w:cs="Calibri"/>
          <w:color w:val="000000" w:themeColor="text1"/>
        </w:rPr>
        <w:t>Saithaini</w:t>
      </w:r>
      <w:proofErr w:type="spellEnd"/>
      <w:r w:rsidR="64203B1B" w:rsidRPr="003330DD">
        <w:rPr>
          <w:rFonts w:ascii="Calibri" w:eastAsia="Calibri" w:hAnsi="Calibri" w:cs="Calibri"/>
          <w:color w:val="000000" w:themeColor="text1"/>
        </w:rPr>
        <w:t xml:space="preserve"> Ithayaraaj</w:t>
      </w:r>
      <w:r w:rsidR="64203B1B" w:rsidRPr="003330DD">
        <w:rPr>
          <w:rFonts w:ascii="Calibri" w:eastAsia="Calibri" w:hAnsi="Calibri" w:cs="Calibri"/>
          <w:color w:val="000000" w:themeColor="text1"/>
          <w:vertAlign w:val="superscript"/>
        </w:rPr>
        <w:t>1*</w:t>
      </w:r>
      <w:r w:rsidR="64203B1B" w:rsidRPr="003330DD">
        <w:rPr>
          <w:rFonts w:ascii="Calibri" w:eastAsia="Calibri" w:hAnsi="Calibri" w:cs="Calibri"/>
          <w:color w:val="000000" w:themeColor="text1"/>
        </w:rPr>
        <w:t>, Sujesh Sujan</w:t>
      </w:r>
      <w:r w:rsidR="64203B1B" w:rsidRPr="003330DD">
        <w:rPr>
          <w:rFonts w:ascii="Calibri" w:eastAsia="Calibri" w:hAnsi="Calibri" w:cs="Calibri"/>
          <w:color w:val="000000" w:themeColor="text1"/>
          <w:vertAlign w:val="superscript"/>
        </w:rPr>
        <w:t>1</w:t>
      </w:r>
      <w:r w:rsidR="0007574B" w:rsidRPr="003330DD">
        <w:rPr>
          <w:rFonts w:ascii="Calibri" w:eastAsia="Calibri" w:hAnsi="Calibri" w:cs="Calibri"/>
          <w:color w:val="000000" w:themeColor="text1"/>
          <w:vertAlign w:val="superscript"/>
        </w:rPr>
        <w:t>,2,3</w:t>
      </w:r>
    </w:p>
    <w:p w14:paraId="59EDA99C" w14:textId="77777777" w:rsidR="003330DD" w:rsidRPr="003330DD" w:rsidRDefault="003330DD" w:rsidP="64203B1B">
      <w:pPr>
        <w:pStyle w:val="Author"/>
        <w:spacing w:after="40"/>
        <w:jc w:val="center"/>
        <w:rPr>
          <w:rFonts w:ascii="Calibri" w:eastAsia="Calibri" w:hAnsi="Calibri" w:cs="Calibri"/>
          <w:color w:val="000000" w:themeColor="text1"/>
        </w:rPr>
      </w:pPr>
    </w:p>
    <w:p w14:paraId="2C85D48D" w14:textId="215FBE88" w:rsidR="64203B1B" w:rsidRDefault="64203B1B" w:rsidP="64203B1B">
      <w:pPr>
        <w:pStyle w:val="Author"/>
        <w:spacing w:after="40"/>
        <w:rPr>
          <w:rFonts w:ascii="Calibri" w:eastAsia="Calibri" w:hAnsi="Calibri" w:cs="Calibri"/>
          <w:color w:val="000000" w:themeColor="text1"/>
          <w:sz w:val="22"/>
          <w:szCs w:val="22"/>
        </w:rPr>
      </w:pPr>
      <w:r w:rsidRPr="64203B1B">
        <w:rPr>
          <w:rFonts w:ascii="Calibri" w:eastAsia="Calibri" w:hAnsi="Calibri" w:cs="Calibri"/>
          <w:color w:val="000000" w:themeColor="text1"/>
          <w:sz w:val="22"/>
          <w:szCs w:val="22"/>
          <w:vertAlign w:val="superscript"/>
        </w:rPr>
        <w:t xml:space="preserve">1 </w:t>
      </w:r>
      <w:r w:rsidRPr="64203B1B">
        <w:rPr>
          <w:rFonts w:ascii="Calibri" w:eastAsia="Calibri" w:hAnsi="Calibri" w:cs="Calibri"/>
          <w:color w:val="000000" w:themeColor="text1"/>
          <w:sz w:val="22"/>
          <w:szCs w:val="22"/>
        </w:rPr>
        <w:t>University of Liverpool, Liverpool, United Kingdom</w:t>
      </w:r>
    </w:p>
    <w:p w14:paraId="1CB006D1" w14:textId="4BCF6559" w:rsidR="0007574B" w:rsidRDefault="0007574B" w:rsidP="0007574B">
      <w:pPr>
        <w:pStyle w:val="Author"/>
        <w:spacing w:after="40"/>
        <w:rPr>
          <w:rFonts w:ascii="Calibri" w:eastAsia="Calibri" w:hAnsi="Calibri" w:cs="Calibri"/>
          <w:color w:val="000000" w:themeColor="text1"/>
          <w:sz w:val="22"/>
          <w:szCs w:val="22"/>
        </w:rPr>
      </w:pPr>
      <w:r>
        <w:rPr>
          <w:rFonts w:ascii="Calibri" w:eastAsia="Calibri" w:hAnsi="Calibri" w:cs="Calibri"/>
          <w:color w:val="000000" w:themeColor="text1"/>
          <w:sz w:val="22"/>
          <w:szCs w:val="22"/>
          <w:vertAlign w:val="superscript"/>
        </w:rPr>
        <w:t>2</w:t>
      </w:r>
      <w:r w:rsidRPr="64203B1B">
        <w:rPr>
          <w:rFonts w:ascii="Calibri" w:eastAsia="Calibri" w:hAnsi="Calibri" w:cs="Calibri"/>
          <w:color w:val="000000" w:themeColor="text1"/>
          <w:sz w:val="22"/>
          <w:szCs w:val="22"/>
          <w:vertAlign w:val="superscript"/>
        </w:rPr>
        <w:t xml:space="preserve"> </w:t>
      </w:r>
      <w:r w:rsidRPr="0007574B">
        <w:rPr>
          <w:rFonts w:ascii="Calibri" w:eastAsia="Calibri" w:hAnsi="Calibri" w:cs="Calibri"/>
          <w:color w:val="000000" w:themeColor="text1"/>
          <w:sz w:val="22"/>
          <w:szCs w:val="22"/>
        </w:rPr>
        <w:t>Norwegian University of Science and Technology</w:t>
      </w:r>
      <w:r w:rsidRPr="64203B1B">
        <w:rPr>
          <w:rFonts w:ascii="Calibri" w:eastAsia="Calibri" w:hAnsi="Calibri" w:cs="Calibri"/>
          <w:color w:val="000000" w:themeColor="text1"/>
          <w:sz w:val="22"/>
          <w:szCs w:val="22"/>
        </w:rPr>
        <w:t xml:space="preserve">, </w:t>
      </w:r>
      <w:r>
        <w:rPr>
          <w:rFonts w:ascii="Calibri" w:eastAsia="Calibri" w:hAnsi="Calibri" w:cs="Calibri"/>
          <w:color w:val="000000" w:themeColor="text1"/>
          <w:sz w:val="22"/>
          <w:szCs w:val="22"/>
        </w:rPr>
        <w:t>Trondheim</w:t>
      </w:r>
      <w:r w:rsidRPr="64203B1B">
        <w:rPr>
          <w:rFonts w:ascii="Calibri" w:eastAsia="Calibri" w:hAnsi="Calibri" w:cs="Calibri"/>
          <w:color w:val="000000" w:themeColor="text1"/>
          <w:sz w:val="22"/>
          <w:szCs w:val="22"/>
        </w:rPr>
        <w:t xml:space="preserve">, </w:t>
      </w:r>
      <w:r>
        <w:rPr>
          <w:rFonts w:ascii="Calibri" w:eastAsia="Calibri" w:hAnsi="Calibri" w:cs="Calibri"/>
          <w:color w:val="000000" w:themeColor="text1"/>
          <w:sz w:val="22"/>
          <w:szCs w:val="22"/>
        </w:rPr>
        <w:t>Norway</w:t>
      </w:r>
    </w:p>
    <w:p w14:paraId="3B749863" w14:textId="1DE7E3BE" w:rsidR="64203B1B" w:rsidRPr="001A47AE" w:rsidRDefault="0007574B" w:rsidP="001A47AE">
      <w:pPr>
        <w:pStyle w:val="Author"/>
        <w:spacing w:after="40"/>
        <w:rPr>
          <w:rFonts w:ascii="Calibri" w:eastAsia="Calibri" w:hAnsi="Calibri" w:cs="Calibri"/>
          <w:color w:val="000000" w:themeColor="text1"/>
          <w:sz w:val="22"/>
          <w:szCs w:val="22"/>
        </w:rPr>
      </w:pPr>
      <w:r>
        <w:rPr>
          <w:rFonts w:ascii="Calibri" w:eastAsia="Calibri" w:hAnsi="Calibri" w:cs="Calibri"/>
          <w:color w:val="000000" w:themeColor="text1"/>
          <w:sz w:val="22"/>
          <w:szCs w:val="22"/>
          <w:vertAlign w:val="superscript"/>
        </w:rPr>
        <w:t>3</w:t>
      </w:r>
      <w:r w:rsidRPr="64203B1B">
        <w:rPr>
          <w:rFonts w:ascii="Calibri" w:eastAsia="Calibri" w:hAnsi="Calibri" w:cs="Calibri"/>
          <w:color w:val="000000" w:themeColor="text1"/>
          <w:sz w:val="22"/>
          <w:szCs w:val="22"/>
          <w:vertAlign w:val="superscript"/>
        </w:rPr>
        <w:t xml:space="preserve"> </w:t>
      </w:r>
      <w:r>
        <w:rPr>
          <w:rFonts w:ascii="Calibri" w:eastAsia="Calibri" w:hAnsi="Calibri" w:cs="Calibri"/>
          <w:color w:val="000000" w:themeColor="text1"/>
          <w:sz w:val="22"/>
          <w:szCs w:val="22"/>
        </w:rPr>
        <w:t>Mott MacDonald,</w:t>
      </w:r>
      <w:r w:rsidRPr="64203B1B">
        <w:rPr>
          <w:rFonts w:ascii="Calibri" w:eastAsia="Calibri" w:hAnsi="Calibri" w:cs="Calibri"/>
          <w:color w:val="000000" w:themeColor="text1"/>
          <w:sz w:val="22"/>
          <w:szCs w:val="22"/>
        </w:rPr>
        <w:t xml:space="preserve"> </w:t>
      </w:r>
      <w:r>
        <w:rPr>
          <w:rFonts w:ascii="Calibri" w:eastAsia="Calibri" w:hAnsi="Calibri" w:cs="Calibri"/>
          <w:color w:val="000000" w:themeColor="text1"/>
          <w:sz w:val="22"/>
          <w:szCs w:val="22"/>
        </w:rPr>
        <w:t>London</w:t>
      </w:r>
      <w:r w:rsidRPr="64203B1B">
        <w:rPr>
          <w:rFonts w:ascii="Calibri" w:eastAsia="Calibri" w:hAnsi="Calibri" w:cs="Calibri"/>
          <w:color w:val="000000" w:themeColor="text1"/>
          <w:sz w:val="22"/>
          <w:szCs w:val="22"/>
        </w:rPr>
        <w:t xml:space="preserve">, </w:t>
      </w:r>
      <w:r>
        <w:rPr>
          <w:rFonts w:ascii="Calibri" w:eastAsia="Calibri" w:hAnsi="Calibri" w:cs="Calibri"/>
          <w:color w:val="000000" w:themeColor="text1"/>
          <w:sz w:val="22"/>
          <w:szCs w:val="22"/>
        </w:rPr>
        <w:t>United Kingdom</w:t>
      </w:r>
    </w:p>
    <w:p w14:paraId="36BE411E" w14:textId="040B2021" w:rsidR="008C4AAA" w:rsidRPr="00995577" w:rsidRDefault="483A7505" w:rsidP="64203B1B">
      <w:pPr>
        <w:pStyle w:val="Author"/>
        <w:spacing w:after="40"/>
        <w:rPr>
          <w:rStyle w:val="Hyperlink"/>
          <w:i/>
          <w:iCs/>
        </w:rPr>
      </w:pPr>
      <w:r w:rsidRPr="483A7505">
        <w:rPr>
          <w:rFonts w:ascii="Calibri" w:eastAsia="Calibri" w:hAnsi="Calibri" w:cs="Calibri"/>
          <w:i/>
          <w:iCs/>
          <w:color w:val="000000" w:themeColor="text1"/>
          <w:sz w:val="22"/>
          <w:szCs w:val="22"/>
          <w:vertAlign w:val="superscript"/>
        </w:rPr>
        <w:t>*</w:t>
      </w:r>
      <w:r w:rsidRPr="483A7505">
        <w:rPr>
          <w:rFonts w:ascii="Calibri" w:eastAsia="Calibri" w:hAnsi="Calibri" w:cs="Calibri"/>
          <w:i/>
          <w:iCs/>
          <w:color w:val="000000" w:themeColor="text1"/>
          <w:sz w:val="22"/>
          <w:szCs w:val="22"/>
        </w:rPr>
        <w:t xml:space="preserve">Corresponding email: </w:t>
      </w:r>
      <w:hyperlink r:id="rId8" w:history="1">
        <w:r w:rsidR="00995577" w:rsidRPr="00905957">
          <w:rPr>
            <w:rStyle w:val="Hyperlink"/>
            <w:rFonts w:ascii="Calibri" w:hAnsi="Calibri" w:cs="Calibri"/>
            <w:i/>
            <w:sz w:val="22"/>
            <w:szCs w:val="22"/>
          </w:rPr>
          <w:t>drishyajayakrishnan.7@gmail.com</w:t>
        </w:r>
      </w:hyperlink>
      <w:r w:rsidR="00995577" w:rsidRPr="00905957">
        <w:rPr>
          <w:rFonts w:ascii="Calibri" w:hAnsi="Calibri" w:cs="Calibri"/>
          <w:sz w:val="22"/>
          <w:szCs w:val="22"/>
        </w:rPr>
        <w:t xml:space="preserve">; </w:t>
      </w:r>
      <w:hyperlink r:id="rId9" w:history="1">
        <w:r w:rsidR="00995577" w:rsidRPr="00905957">
          <w:rPr>
            <w:rStyle w:val="Hyperlink"/>
            <w:rFonts w:ascii="Calibri" w:hAnsi="Calibri" w:cs="Calibri"/>
            <w:i/>
            <w:sz w:val="22"/>
            <w:szCs w:val="22"/>
          </w:rPr>
          <w:t>saithaini@gmail.com</w:t>
        </w:r>
      </w:hyperlink>
    </w:p>
    <w:p w14:paraId="40E8F5F5" w14:textId="77777777" w:rsidR="008C4AAA" w:rsidRDefault="008C4AAA" w:rsidP="64203B1B">
      <w:pPr>
        <w:pStyle w:val="Author"/>
        <w:spacing w:after="40"/>
        <w:rPr>
          <w:rFonts w:ascii="Calibri" w:eastAsia="Calibri" w:hAnsi="Calibri" w:cs="Calibri"/>
          <w:color w:val="EE0000"/>
          <w:sz w:val="22"/>
          <w:szCs w:val="22"/>
        </w:rPr>
      </w:pPr>
    </w:p>
    <w:p w14:paraId="7D8EF981" w14:textId="528A3318" w:rsidR="64203B1B" w:rsidRDefault="1A8BFF29" w:rsidP="001874F2">
      <w:pPr>
        <w:spacing w:after="40" w:line="240" w:lineRule="auto"/>
        <w:ind w:left="1008" w:right="1088"/>
        <w:rPr>
          <w:rFonts w:ascii="Calibri" w:eastAsia="Calibri" w:hAnsi="Calibri" w:cs="Calibri"/>
          <w:b/>
          <w:bCs/>
          <w:color w:val="000000" w:themeColor="text1"/>
          <w:sz w:val="28"/>
          <w:szCs w:val="28"/>
        </w:rPr>
      </w:pPr>
      <w:r w:rsidRPr="1A8BFF29">
        <w:rPr>
          <w:rFonts w:ascii="Calibri" w:eastAsia="Calibri" w:hAnsi="Calibri" w:cs="Calibri"/>
          <w:b/>
          <w:bCs/>
          <w:color w:val="000000" w:themeColor="text1"/>
          <w:sz w:val="28"/>
          <w:szCs w:val="28"/>
        </w:rPr>
        <w:t>ABSTRACT</w:t>
      </w:r>
    </w:p>
    <w:p w14:paraId="4DD1EBA3" w14:textId="067805A2" w:rsidR="64203B1B" w:rsidRPr="00A90E4F" w:rsidRDefault="1A8BFF29" w:rsidP="001874F2">
      <w:pPr>
        <w:spacing w:after="40" w:line="240" w:lineRule="auto"/>
        <w:ind w:left="1094" w:right="1094"/>
        <w:jc w:val="both"/>
        <w:rPr>
          <w:rFonts w:ascii="Calibri" w:eastAsia="Calibri" w:hAnsi="Calibri" w:cs="Calibri"/>
          <w:color w:val="000000"/>
        </w:rPr>
      </w:pPr>
      <w:r w:rsidRPr="1A8BFF29">
        <w:rPr>
          <w:rFonts w:ascii="Calibri" w:eastAsia="Calibri" w:hAnsi="Calibri" w:cs="Calibri"/>
          <w:color w:val="000000" w:themeColor="text1"/>
        </w:rPr>
        <w:t xml:space="preserve">The built environment contributes to approximately 40% of carbon emissions, with existing building stock accounting for a significant portion of this total due to inefficient strategies for energy efficiency. This study investigates how a smart building envelope can be designed to improve energy performance in retrofit buildings. </w:t>
      </w:r>
      <w:r w:rsidR="003B2AE4">
        <w:rPr>
          <w:rFonts w:ascii="Calibri" w:eastAsia="Calibri" w:hAnsi="Calibri" w:cs="Calibri"/>
        </w:rPr>
        <w:t xml:space="preserve">The study develops a reliable BIM-enabled workflow that integrates Building Information Modelling (BIM), </w:t>
      </w:r>
      <w:r w:rsidR="00CC7073">
        <w:rPr>
          <w:rFonts w:ascii="Calibri" w:eastAsia="Calibri" w:hAnsi="Calibri" w:cs="Calibri"/>
        </w:rPr>
        <w:t>Dynamo-based</w:t>
      </w:r>
      <w:r w:rsidR="003B2AE4">
        <w:rPr>
          <w:rFonts w:ascii="Calibri" w:eastAsia="Calibri" w:hAnsi="Calibri" w:cs="Calibri"/>
        </w:rPr>
        <w:t xml:space="preserve"> envelope controls, EPW weather data</w:t>
      </w:r>
      <w:r w:rsidR="00CC7073">
        <w:rPr>
          <w:rFonts w:ascii="Calibri" w:eastAsia="Calibri" w:hAnsi="Calibri" w:cs="Calibri"/>
        </w:rPr>
        <w:t>,</w:t>
      </w:r>
      <w:r w:rsidR="003B2AE4">
        <w:rPr>
          <w:rFonts w:ascii="Calibri" w:eastAsia="Calibri" w:hAnsi="Calibri" w:cs="Calibri"/>
        </w:rPr>
        <w:t xml:space="preserve"> and building energy simulation to evaluate adaptive envelope strategies for retrofit projects.</w:t>
      </w:r>
      <w:r w:rsidR="003B2AE4">
        <w:rPr>
          <w:rFonts w:ascii="Calibri" w:eastAsia="Calibri" w:hAnsi="Calibri" w:cs="Calibri"/>
        </w:rPr>
        <w:br/>
      </w:r>
      <w:r w:rsidR="00A90E4F">
        <w:rPr>
          <w:rFonts w:ascii="Calibri" w:eastAsia="Calibri" w:hAnsi="Calibri" w:cs="Calibri"/>
          <w:color w:val="000000"/>
        </w:rPr>
        <w:t>A research-by-design approac</w:t>
      </w:r>
      <w:r w:rsidR="00A90E4F">
        <w:rPr>
          <w:rFonts w:ascii="Calibri" w:eastAsia="Calibri" w:hAnsi="Calibri" w:cs="Calibri"/>
        </w:rPr>
        <w:t xml:space="preserve">h was combined </w:t>
      </w:r>
      <w:r w:rsidR="00A90E4F">
        <w:rPr>
          <w:rFonts w:ascii="Calibri" w:eastAsia="Calibri" w:hAnsi="Calibri" w:cs="Calibri"/>
          <w:color w:val="000000"/>
        </w:rPr>
        <w:t xml:space="preserve">with a systematic literature review to establish </w:t>
      </w:r>
      <w:r w:rsidR="00A90E4F">
        <w:rPr>
          <w:rFonts w:ascii="Calibri" w:eastAsia="Calibri" w:hAnsi="Calibri" w:cs="Calibri"/>
        </w:rPr>
        <w:t xml:space="preserve">a </w:t>
      </w:r>
      <w:r w:rsidR="00A90E4F">
        <w:rPr>
          <w:rFonts w:ascii="Calibri" w:eastAsia="Calibri" w:hAnsi="Calibri" w:cs="Calibri"/>
          <w:color w:val="000000"/>
        </w:rPr>
        <w:t>knowledge base and inform th</w:t>
      </w:r>
      <w:r w:rsidR="00A90E4F">
        <w:rPr>
          <w:rFonts w:ascii="Calibri" w:eastAsia="Calibri" w:hAnsi="Calibri" w:cs="Calibri"/>
        </w:rPr>
        <w:t>e development of a</w:t>
      </w:r>
      <w:r w:rsidR="00A90E4F">
        <w:rPr>
          <w:rFonts w:ascii="Calibri" w:eastAsia="Calibri" w:hAnsi="Calibri" w:cs="Calibri"/>
          <w:color w:val="000000"/>
        </w:rPr>
        <w:t xml:space="preserve"> prototyp</w:t>
      </w:r>
      <w:r w:rsidR="00A90E4F">
        <w:rPr>
          <w:rFonts w:ascii="Calibri" w:eastAsia="Calibri" w:hAnsi="Calibri" w:cs="Calibri"/>
        </w:rPr>
        <w:t>ical retrofit</w:t>
      </w:r>
      <w:r w:rsidR="00A90E4F">
        <w:rPr>
          <w:rFonts w:ascii="Calibri" w:eastAsia="Calibri" w:hAnsi="Calibri" w:cs="Calibri"/>
          <w:color w:val="000000"/>
        </w:rPr>
        <w:t xml:space="preserve"> testbed that incorporated simulation </w:t>
      </w:r>
      <w:r w:rsidR="00A90E4F" w:rsidRPr="004110AE">
        <w:rPr>
          <w:rFonts w:ascii="Calibri" w:eastAsia="Calibri" w:hAnsi="Calibri" w:cs="Calibri"/>
        </w:rPr>
        <w:t>and scenario-based evaluation to assess alternative strategy performance,</w:t>
      </w:r>
      <w:r w:rsidR="00A90E4F">
        <w:rPr>
          <w:rFonts w:ascii="Calibri" w:eastAsia="Calibri" w:hAnsi="Calibri" w:cs="Calibri"/>
          <w:color w:val="000000"/>
        </w:rPr>
        <w:t xml:space="preserve"> which translates findings into a workflow.</w:t>
      </w:r>
      <w:r w:rsidR="00A90E4F">
        <w:rPr>
          <w:rFonts w:ascii="Calibri" w:eastAsia="Calibri" w:hAnsi="Calibri" w:cs="Calibri"/>
        </w:rPr>
        <w:t xml:space="preserve"> The study followed key</w:t>
      </w:r>
      <w:r>
        <w:rPr>
          <w:rFonts w:ascii="Calibri" w:eastAsia="Calibri" w:hAnsi="Calibri" w:cs="Calibri"/>
        </w:rPr>
        <w:t xml:space="preserve"> assumptions </w:t>
      </w:r>
      <w:r w:rsidR="00A90E4F">
        <w:rPr>
          <w:rFonts w:ascii="Calibri" w:eastAsia="Calibri" w:hAnsi="Calibri" w:cs="Calibri"/>
        </w:rPr>
        <w:t xml:space="preserve">that </w:t>
      </w:r>
      <w:r>
        <w:rPr>
          <w:rFonts w:ascii="Calibri" w:eastAsia="Calibri" w:hAnsi="Calibri" w:cs="Calibri"/>
        </w:rPr>
        <w:t>include standard occupancy patterns and typical properties.</w:t>
      </w:r>
    </w:p>
    <w:p w14:paraId="1BABFD0F" w14:textId="0B62288E" w:rsidR="64203B1B" w:rsidRDefault="1A8BFF29" w:rsidP="001874F2">
      <w:pPr>
        <w:spacing w:after="40" w:line="240" w:lineRule="auto"/>
        <w:ind w:left="1094" w:right="1094"/>
        <w:jc w:val="both"/>
        <w:rPr>
          <w:rFonts w:ascii="Calibri" w:eastAsia="Calibri" w:hAnsi="Calibri" w:cs="Calibri"/>
          <w:color w:val="000000" w:themeColor="text1"/>
        </w:rPr>
      </w:pPr>
      <w:r w:rsidRPr="1A8BFF29">
        <w:rPr>
          <w:rFonts w:ascii="Calibri" w:eastAsia="Calibri" w:hAnsi="Calibri" w:cs="Calibri"/>
          <w:color w:val="000000" w:themeColor="text1"/>
        </w:rPr>
        <w:t xml:space="preserve">The study found that </w:t>
      </w:r>
      <w:r w:rsidR="00E97C1C">
        <w:rPr>
          <w:rFonts w:ascii="Calibri" w:eastAsia="Calibri" w:hAnsi="Calibri" w:cs="Calibri"/>
          <w:color w:val="000000" w:themeColor="text1"/>
        </w:rPr>
        <w:t xml:space="preserve">automation alone has a limited impact on energy performance, whereas the addition of a second-skin </w:t>
      </w:r>
      <w:r w:rsidR="00321FFD">
        <w:rPr>
          <w:rFonts w:ascii="Calibri" w:eastAsia="Calibri" w:hAnsi="Calibri" w:cs="Calibri"/>
          <w:color w:val="000000" w:themeColor="text1"/>
        </w:rPr>
        <w:t>envelope</w:t>
      </w:r>
      <w:r w:rsidR="00E97C1C">
        <w:rPr>
          <w:rFonts w:ascii="Calibri" w:eastAsia="Calibri" w:hAnsi="Calibri" w:cs="Calibri"/>
          <w:color w:val="000000" w:themeColor="text1"/>
        </w:rPr>
        <w:t xml:space="preserve"> can significantly improve thermal performance. The study demonstrates the potential of BIM-enabled adaptive envelope strategies to support effective retrofit </w:t>
      </w:r>
      <w:r w:rsidR="00CC7073">
        <w:rPr>
          <w:rFonts w:ascii="Calibri" w:eastAsia="Calibri" w:hAnsi="Calibri" w:cs="Calibri"/>
          <w:color w:val="000000" w:themeColor="text1"/>
        </w:rPr>
        <w:t>decision-making</w:t>
      </w:r>
      <w:r w:rsidR="00E97C1C">
        <w:rPr>
          <w:rFonts w:ascii="Calibri" w:eastAsia="Calibri" w:hAnsi="Calibri" w:cs="Calibri"/>
          <w:color w:val="000000" w:themeColor="text1"/>
        </w:rPr>
        <w:t>.</w:t>
      </w:r>
    </w:p>
    <w:p w14:paraId="0611D154" w14:textId="6A4EF1AE" w:rsidR="64203B1B" w:rsidRDefault="1A8BFF29" w:rsidP="001874F2">
      <w:pPr>
        <w:spacing w:after="40" w:line="240" w:lineRule="auto"/>
        <w:ind w:left="1094" w:right="1094"/>
        <w:jc w:val="both"/>
        <w:rPr>
          <w:rFonts w:ascii="Calibri" w:eastAsia="Calibri" w:hAnsi="Calibri" w:cs="Calibri"/>
          <w:color w:val="000000" w:themeColor="text1"/>
        </w:rPr>
      </w:pPr>
      <w:r w:rsidRPr="1A8BFF29">
        <w:rPr>
          <w:rFonts w:ascii="Calibri" w:eastAsia="Calibri" w:hAnsi="Calibri" w:cs="Calibri"/>
          <w:color w:val="000000" w:themeColor="text1"/>
        </w:rPr>
        <w:t xml:space="preserve">A key gap identified is the absence of a standards-based BIM framework </w:t>
      </w:r>
      <w:r w:rsidR="006600B4">
        <w:rPr>
          <w:rFonts w:ascii="Calibri" w:eastAsia="Calibri" w:hAnsi="Calibri" w:cs="Calibri"/>
          <w:color w:val="000000" w:themeColor="text1"/>
        </w:rPr>
        <w:t xml:space="preserve">for evaluating and coordinating adaptive envelope strategies to improve the thermal performance of buildings. </w:t>
      </w:r>
      <w:r w:rsidRPr="1A8BFF29">
        <w:rPr>
          <w:rFonts w:ascii="Calibri" w:eastAsia="Calibri" w:hAnsi="Calibri" w:cs="Calibri"/>
          <w:color w:val="000000" w:themeColor="text1"/>
        </w:rPr>
        <w:t>The findings highlight BIM’s potential in bridging the design and operation stages to achieve performance goals. However, the study has limitations, which include the use of a simplified prototypical unit, a lack of real-world application, and the absence of empirical validation. Future research should build on this work by testing the framework across various building types and integrating IoT monitoring to strengthen its practical relevance.</w:t>
      </w:r>
    </w:p>
    <w:p w14:paraId="4B927285" w14:textId="7A5AA3E6" w:rsidR="64203B1B" w:rsidRDefault="1A8BFF29" w:rsidP="001874F2">
      <w:pPr>
        <w:spacing w:after="40" w:line="240" w:lineRule="auto"/>
        <w:ind w:left="1094" w:right="1094"/>
        <w:jc w:val="both"/>
        <w:rPr>
          <w:rFonts w:ascii="Calibri" w:eastAsia="Calibri" w:hAnsi="Calibri" w:cs="Calibri"/>
          <w:color w:val="000000" w:themeColor="text1"/>
        </w:rPr>
      </w:pPr>
      <w:r w:rsidRPr="1A8BFF29">
        <w:rPr>
          <w:rFonts w:ascii="Calibri" w:eastAsia="Calibri" w:hAnsi="Calibri" w:cs="Calibri"/>
          <w:color w:val="000000" w:themeColor="text1"/>
        </w:rPr>
        <w:t xml:space="preserve">Overall, the research contributes to the industry by providing a scalable </w:t>
      </w:r>
      <w:r w:rsidR="00AF4C9A" w:rsidRPr="1A8BFF29">
        <w:rPr>
          <w:rFonts w:ascii="Calibri" w:eastAsia="Calibri" w:hAnsi="Calibri" w:cs="Calibri"/>
          <w:color w:val="000000" w:themeColor="text1"/>
        </w:rPr>
        <w:t>workflow and</w:t>
      </w:r>
      <w:r w:rsidRPr="1A8BFF29">
        <w:rPr>
          <w:rFonts w:ascii="Calibri" w:eastAsia="Calibri" w:hAnsi="Calibri" w:cs="Calibri"/>
          <w:color w:val="000000" w:themeColor="text1"/>
        </w:rPr>
        <w:t xml:space="preserve"> validated retrofit strategies.</w:t>
      </w:r>
    </w:p>
    <w:p w14:paraId="66181DEC" w14:textId="6DB8EF8A" w:rsidR="64203B1B" w:rsidRDefault="1A8BFF29" w:rsidP="1A8BFF29">
      <w:pPr>
        <w:spacing w:after="40" w:line="240" w:lineRule="auto"/>
        <w:rPr>
          <w:rFonts w:ascii="Calibri" w:eastAsia="Calibri" w:hAnsi="Calibri" w:cs="Calibri"/>
          <w:color w:val="EE0000"/>
        </w:rPr>
      </w:pPr>
      <w:r w:rsidRPr="1A8BFF29">
        <w:rPr>
          <w:rFonts w:ascii="Calibri" w:eastAsia="Calibri" w:hAnsi="Calibri" w:cs="Calibri"/>
          <w:color w:val="EE0000"/>
        </w:rPr>
        <w:t xml:space="preserve"> </w:t>
      </w:r>
    </w:p>
    <w:p w14:paraId="609DC561" w14:textId="16DCDFA9" w:rsidR="64203B1B" w:rsidRDefault="1A8BFF29" w:rsidP="483A7505">
      <w:pPr>
        <w:pStyle w:val="ListParagraph"/>
        <w:numPr>
          <w:ilvl w:val="0"/>
          <w:numId w:val="5"/>
        </w:numPr>
        <w:spacing w:after="40" w:line="257" w:lineRule="auto"/>
        <w:rPr>
          <w:rFonts w:ascii="Calibri" w:eastAsia="Calibri" w:hAnsi="Calibri" w:cs="Calibri"/>
          <w:b/>
          <w:bCs/>
          <w:color w:val="000000" w:themeColor="text1"/>
          <w:sz w:val="28"/>
          <w:szCs w:val="28"/>
        </w:rPr>
      </w:pPr>
      <w:r w:rsidRPr="1A8BFF29">
        <w:rPr>
          <w:rFonts w:ascii="Calibri" w:eastAsia="Calibri" w:hAnsi="Calibri" w:cs="Calibri"/>
          <w:b/>
          <w:bCs/>
          <w:color w:val="000000" w:themeColor="text1"/>
          <w:sz w:val="28"/>
          <w:szCs w:val="28"/>
        </w:rPr>
        <w:t xml:space="preserve">INTRODUCTION </w:t>
      </w:r>
    </w:p>
    <w:p w14:paraId="2A2EA5B7" w14:textId="7039EC51" w:rsidR="64203B1B" w:rsidRDefault="00DB4547" w:rsidP="1A8BFF29">
      <w:pPr>
        <w:spacing w:after="40" w:line="240" w:lineRule="auto"/>
        <w:ind w:firstLine="851"/>
        <w:jc w:val="both"/>
        <w:rPr>
          <w:rFonts w:ascii="Calibri" w:eastAsia="Calibri" w:hAnsi="Calibri" w:cs="Calibri"/>
          <w:color w:val="000000" w:themeColor="text1"/>
        </w:rPr>
      </w:pPr>
      <w:r>
        <w:rPr>
          <w:rFonts w:ascii="Calibri" w:eastAsia="Calibri" w:hAnsi="Calibri" w:cs="Calibri"/>
          <w:color w:val="000000" w:themeColor="text1"/>
        </w:rPr>
        <w:t>Building</w:t>
      </w:r>
      <w:r w:rsidR="1A8BFF29" w:rsidRPr="1A8BFF29">
        <w:rPr>
          <w:rFonts w:ascii="Calibri" w:eastAsia="Calibri" w:hAnsi="Calibri" w:cs="Calibri"/>
          <w:color w:val="000000" w:themeColor="text1"/>
        </w:rPr>
        <w:t xml:space="preserve"> stock </w:t>
      </w:r>
      <w:r>
        <w:rPr>
          <w:rFonts w:ascii="Calibri" w:eastAsia="Calibri" w:hAnsi="Calibri" w:cs="Calibri"/>
          <w:color w:val="000000" w:themeColor="text1"/>
        </w:rPr>
        <w:t>accounts</w:t>
      </w:r>
      <w:r w:rsidR="1A8BFF29" w:rsidRPr="1A8BFF29">
        <w:rPr>
          <w:rFonts w:ascii="Calibri" w:eastAsia="Calibri" w:hAnsi="Calibri" w:cs="Calibri"/>
          <w:color w:val="000000" w:themeColor="text1"/>
        </w:rPr>
        <w:t xml:space="preserve"> for approximately 40% of all carbon emissions and </w:t>
      </w:r>
      <w:r>
        <w:rPr>
          <w:rFonts w:ascii="Calibri" w:eastAsia="Calibri" w:hAnsi="Calibri" w:cs="Calibri"/>
          <w:color w:val="000000" w:themeColor="text1"/>
        </w:rPr>
        <w:t>consumes</w:t>
      </w:r>
      <w:r w:rsidR="1A8BFF29" w:rsidRPr="1A8BFF29">
        <w:rPr>
          <w:rFonts w:ascii="Calibri" w:eastAsia="Calibri" w:hAnsi="Calibri" w:cs="Calibri"/>
          <w:color w:val="000000" w:themeColor="text1"/>
        </w:rPr>
        <w:t xml:space="preserve"> 50% of the world’s raw materials (</w:t>
      </w:r>
      <w:proofErr w:type="spellStart"/>
      <w:r w:rsidR="1A8BFF29" w:rsidRPr="1A8BFF29">
        <w:rPr>
          <w:rFonts w:ascii="Calibri" w:eastAsia="Calibri" w:hAnsi="Calibri" w:cs="Calibri"/>
          <w:color w:val="000000" w:themeColor="text1"/>
        </w:rPr>
        <w:t>WorldGBC</w:t>
      </w:r>
      <w:proofErr w:type="spellEnd"/>
      <w:r w:rsidR="1A8BFF29" w:rsidRPr="1A8BFF29">
        <w:rPr>
          <w:rFonts w:ascii="Calibri" w:eastAsia="Calibri" w:hAnsi="Calibri" w:cs="Calibri"/>
          <w:color w:val="000000" w:themeColor="text1"/>
        </w:rPr>
        <w:t xml:space="preserve">, 2024). A significant portion of this is impacted by the energy systems, which place considerable strain on the built sector and its energy infrastructure (Seghier et al., 2022). Retrofitting is therefore a crucial strategy to reduce environmental impacts while extending the operational lifespans of built assets, preventing demolition and </w:t>
      </w:r>
      <w:r w:rsidR="00FD0906" w:rsidRPr="1A8BFF29">
        <w:rPr>
          <w:rFonts w:ascii="Calibri" w:eastAsia="Calibri" w:hAnsi="Calibri" w:cs="Calibri"/>
          <w:color w:val="000000" w:themeColor="text1"/>
        </w:rPr>
        <w:t>reconstruction (</w:t>
      </w:r>
      <w:r w:rsidR="1A8BFF29" w:rsidRPr="1A8BFF29">
        <w:rPr>
          <w:rFonts w:ascii="Calibri" w:eastAsia="Calibri" w:hAnsi="Calibri" w:cs="Calibri"/>
          <w:color w:val="000000" w:themeColor="text1"/>
        </w:rPr>
        <w:t xml:space="preserve">He et al., 2021; Peiris et al., 2023). </w:t>
      </w:r>
    </w:p>
    <w:p w14:paraId="685074B5" w14:textId="7A107C59" w:rsidR="64203B1B" w:rsidRDefault="483A7505" w:rsidP="00DA267D">
      <w:pPr>
        <w:spacing w:after="40" w:line="240" w:lineRule="auto"/>
        <w:ind w:firstLine="851"/>
        <w:jc w:val="both"/>
        <w:rPr>
          <w:rFonts w:ascii="Calibri" w:eastAsia="Calibri" w:hAnsi="Calibri" w:cs="Calibri"/>
          <w:color w:val="000000" w:themeColor="text1"/>
        </w:rPr>
      </w:pPr>
      <w:r w:rsidRPr="483A7505">
        <w:rPr>
          <w:rFonts w:ascii="Calibri" w:eastAsia="Calibri" w:hAnsi="Calibri" w:cs="Calibri"/>
          <w:color w:val="000000" w:themeColor="text1"/>
        </w:rPr>
        <w:t>The building envelope is central to the energy performance of the building by influencing the heating, cooling, and ventilation demands,</w:t>
      </w:r>
      <w:r w:rsidR="00D1500D">
        <w:rPr>
          <w:rFonts w:ascii="Calibri" w:eastAsia="Calibri" w:hAnsi="Calibri" w:cs="Calibri"/>
          <w:color w:val="000000" w:themeColor="text1"/>
        </w:rPr>
        <w:t xml:space="preserve"> </w:t>
      </w:r>
      <w:r w:rsidRPr="483A7505">
        <w:rPr>
          <w:rFonts w:ascii="Calibri" w:eastAsia="Calibri" w:hAnsi="Calibri" w:cs="Calibri"/>
          <w:color w:val="000000" w:themeColor="text1"/>
        </w:rPr>
        <w:t xml:space="preserve">while maintaining indoor environment quality and occupant comfort. Traditional retrofit approaches relied on passive strategies such as insulation, glazing, and materials to improve the envelope’s performance </w:t>
      </w:r>
      <w:r w:rsidRPr="483A7505">
        <w:rPr>
          <w:rFonts w:ascii="Calibri" w:eastAsia="Calibri" w:hAnsi="Calibri" w:cs="Calibri"/>
        </w:rPr>
        <w:t>(G. Wang et al., 2024)</w:t>
      </w:r>
      <w:r w:rsidRPr="483A7505">
        <w:rPr>
          <w:rFonts w:ascii="Calibri" w:eastAsia="Calibri" w:hAnsi="Calibri" w:cs="Calibri"/>
          <w:color w:val="000000" w:themeColor="text1"/>
        </w:rPr>
        <w:t xml:space="preserve">. Even minor envelope intervention in retrofit buildings can achieve 4% to 7% annual energy savings </w:t>
      </w:r>
      <w:r w:rsidRPr="483A7505">
        <w:rPr>
          <w:rFonts w:ascii="Calibri" w:eastAsia="Calibri" w:hAnsi="Calibri" w:cs="Calibri"/>
        </w:rPr>
        <w:t>(Shari et al., 2023)</w:t>
      </w:r>
      <w:r w:rsidRPr="483A7505">
        <w:rPr>
          <w:rFonts w:ascii="Calibri" w:eastAsia="Calibri" w:hAnsi="Calibri" w:cs="Calibri"/>
          <w:color w:val="000000" w:themeColor="text1"/>
        </w:rPr>
        <w:t>. However, integrating smart envelopes into retrofit workflows remains</w:t>
      </w:r>
      <w:r w:rsidR="00441332">
        <w:rPr>
          <w:rFonts w:ascii="Calibri" w:eastAsia="Calibri" w:hAnsi="Calibri" w:cs="Calibri"/>
          <w:color w:val="000000" w:themeColor="text1"/>
        </w:rPr>
        <w:t xml:space="preserve"> limited due to the lack of standardised BIM-based performance workflows and interoperable toolchains </w:t>
      </w:r>
      <w:r w:rsidRPr="483A7505">
        <w:rPr>
          <w:rFonts w:ascii="Calibri" w:eastAsia="Calibri" w:hAnsi="Calibri" w:cs="Calibri"/>
        </w:rPr>
        <w:t>(D’Angelo et al., 2022)</w:t>
      </w:r>
      <w:r w:rsidRPr="483A7505">
        <w:rPr>
          <w:rFonts w:ascii="Calibri" w:eastAsia="Calibri" w:hAnsi="Calibri" w:cs="Calibri"/>
          <w:color w:val="000000" w:themeColor="text1"/>
        </w:rPr>
        <w:t xml:space="preserve">. </w:t>
      </w:r>
      <w:r w:rsidR="00DA26B7">
        <w:rPr>
          <w:rFonts w:ascii="Calibri" w:eastAsia="Calibri" w:hAnsi="Calibri" w:cs="Calibri"/>
          <w:color w:val="000000" w:themeColor="text1"/>
        </w:rPr>
        <w:t xml:space="preserve">Although smart envelopes have been shown to improve a building’s energy </w:t>
      </w:r>
      <w:r w:rsidR="00DA267D">
        <w:rPr>
          <w:rFonts w:ascii="Calibri" w:eastAsia="Calibri" w:hAnsi="Calibri" w:cs="Calibri"/>
          <w:color w:val="000000" w:themeColor="text1"/>
        </w:rPr>
        <w:t>performance</w:t>
      </w:r>
      <w:r w:rsidR="00DA26B7">
        <w:rPr>
          <w:rFonts w:ascii="Calibri" w:eastAsia="Calibri" w:hAnsi="Calibri" w:cs="Calibri"/>
          <w:color w:val="000000" w:themeColor="text1"/>
        </w:rPr>
        <w:t xml:space="preserve">, </w:t>
      </w:r>
      <w:r w:rsidR="00DA267D">
        <w:rPr>
          <w:rFonts w:ascii="Calibri" w:eastAsia="Calibri" w:hAnsi="Calibri" w:cs="Calibri"/>
          <w:color w:val="000000" w:themeColor="text1"/>
        </w:rPr>
        <w:t>inconsistencies</w:t>
      </w:r>
      <w:r w:rsidR="00DA26B7">
        <w:rPr>
          <w:rFonts w:ascii="Calibri" w:eastAsia="Calibri" w:hAnsi="Calibri" w:cs="Calibri"/>
          <w:color w:val="000000" w:themeColor="text1"/>
        </w:rPr>
        <w:t xml:space="preserve"> in modelling and simulation approaches hinder reliable performance assessment.</w:t>
      </w:r>
      <w:r w:rsidR="00DA267D">
        <w:rPr>
          <w:rFonts w:ascii="Calibri" w:eastAsia="Calibri" w:hAnsi="Calibri" w:cs="Calibri"/>
          <w:color w:val="000000" w:themeColor="text1"/>
        </w:rPr>
        <w:t xml:space="preserve"> </w:t>
      </w:r>
      <w:r w:rsidR="1A8BFF29" w:rsidRPr="1A8BFF29">
        <w:rPr>
          <w:rFonts w:ascii="Calibri" w:eastAsia="Calibri" w:hAnsi="Calibri" w:cs="Calibri"/>
          <w:color w:val="000000" w:themeColor="text1"/>
        </w:rPr>
        <w:t>Building Energy Modelling (BEM) addresses this by simulating energy demands and comfort behaviour using geometry, materials, and environmental data.</w:t>
      </w:r>
      <w:r w:rsidR="00147C85">
        <w:rPr>
          <w:rFonts w:ascii="Calibri" w:eastAsia="Calibri" w:hAnsi="Calibri" w:cs="Calibri"/>
          <w:color w:val="000000" w:themeColor="text1"/>
        </w:rPr>
        <w:t xml:space="preserve"> In this study, Building Information Modelling (BIM) is used as a central information environment to coordinate the building geometry, performance data, and simulation workflows.</w:t>
      </w:r>
      <w:r w:rsidR="1A8BFF29" w:rsidRPr="1A8BFF29">
        <w:rPr>
          <w:rFonts w:ascii="Calibri" w:eastAsia="Calibri" w:hAnsi="Calibri" w:cs="Calibri"/>
          <w:color w:val="000000" w:themeColor="text1"/>
        </w:rPr>
        <w:t xml:space="preserve"> </w:t>
      </w:r>
      <w:r w:rsidR="00147C85">
        <w:rPr>
          <w:rFonts w:ascii="Calibri" w:eastAsia="Calibri" w:hAnsi="Calibri" w:cs="Calibri"/>
          <w:color w:val="000000" w:themeColor="text1"/>
        </w:rPr>
        <w:t xml:space="preserve">Coupled with BEM, it </w:t>
      </w:r>
      <w:r w:rsidR="1A8BFF29" w:rsidRPr="1A8BFF29">
        <w:rPr>
          <w:rFonts w:ascii="Calibri" w:eastAsia="Calibri" w:hAnsi="Calibri" w:cs="Calibri"/>
          <w:color w:val="000000" w:themeColor="text1"/>
        </w:rPr>
        <w:t xml:space="preserve">enables an end-to-end framework where the envelope design, performance simulation, and control logic can be developed and evaluated within a common data structure. </w:t>
      </w:r>
    </w:p>
    <w:p w14:paraId="39458F8C" w14:textId="21C98B05" w:rsidR="00897B0D" w:rsidRDefault="1A8BFF29" w:rsidP="1A8BFF29">
      <w:pPr>
        <w:spacing w:after="40" w:line="240" w:lineRule="auto"/>
        <w:ind w:firstLine="851"/>
        <w:jc w:val="both"/>
        <w:rPr>
          <w:rFonts w:ascii="Calibri" w:eastAsia="Calibri" w:hAnsi="Calibri" w:cs="Calibri"/>
          <w:color w:val="000000" w:themeColor="text1"/>
        </w:rPr>
      </w:pPr>
      <w:r w:rsidRPr="1A8BFF29">
        <w:rPr>
          <w:rFonts w:ascii="Calibri" w:eastAsia="Calibri" w:hAnsi="Calibri" w:cs="Calibri"/>
          <w:color w:val="000000" w:themeColor="text1"/>
        </w:rPr>
        <w:t>The main aim of the research is to investigate how a smart building envelope can improve the energy performance of existing buildings</w:t>
      </w:r>
      <w:r w:rsidR="00DA267D">
        <w:rPr>
          <w:rFonts w:ascii="Calibri" w:eastAsia="Calibri" w:hAnsi="Calibri" w:cs="Calibri"/>
          <w:color w:val="000000" w:themeColor="text1"/>
        </w:rPr>
        <w:t xml:space="preserve">. The research addresses </w:t>
      </w:r>
      <w:r w:rsidR="00D96B9A">
        <w:rPr>
          <w:rFonts w:ascii="Calibri" w:eastAsia="Calibri" w:hAnsi="Calibri" w:cs="Calibri"/>
          <w:color w:val="000000" w:themeColor="text1"/>
        </w:rPr>
        <w:t>two key</w:t>
      </w:r>
      <w:r w:rsidR="00DA267D">
        <w:rPr>
          <w:rFonts w:ascii="Calibri" w:eastAsia="Calibri" w:hAnsi="Calibri" w:cs="Calibri"/>
          <w:color w:val="000000" w:themeColor="text1"/>
        </w:rPr>
        <w:t xml:space="preserve"> questions</w:t>
      </w:r>
      <w:r w:rsidR="003642B3">
        <w:rPr>
          <w:rFonts w:ascii="Calibri" w:eastAsia="Calibri" w:hAnsi="Calibri" w:cs="Calibri"/>
          <w:color w:val="000000" w:themeColor="text1"/>
        </w:rPr>
        <w:t>:</w:t>
      </w:r>
      <w:r w:rsidR="00DA267D">
        <w:rPr>
          <w:rFonts w:ascii="Calibri" w:eastAsia="Calibri" w:hAnsi="Calibri" w:cs="Calibri"/>
          <w:color w:val="000000" w:themeColor="text1"/>
        </w:rPr>
        <w:t xml:space="preserve"> RQ1</w:t>
      </w:r>
      <w:r w:rsidR="00897B0D">
        <w:rPr>
          <w:rFonts w:ascii="Calibri" w:eastAsia="Calibri" w:hAnsi="Calibri" w:cs="Calibri"/>
          <w:color w:val="000000" w:themeColor="text1"/>
        </w:rPr>
        <w:t xml:space="preserve">: How </w:t>
      </w:r>
      <w:r w:rsidR="00AF4C9A">
        <w:rPr>
          <w:rFonts w:ascii="Calibri" w:eastAsia="Calibri" w:hAnsi="Calibri" w:cs="Calibri"/>
          <w:color w:val="000000" w:themeColor="text1"/>
        </w:rPr>
        <w:t>can</w:t>
      </w:r>
      <w:r w:rsidR="00897B0D">
        <w:rPr>
          <w:rFonts w:ascii="Calibri" w:eastAsia="Calibri" w:hAnsi="Calibri" w:cs="Calibri"/>
          <w:color w:val="000000" w:themeColor="text1"/>
        </w:rPr>
        <w:t xml:space="preserve"> a BIM-enabled workflow </w:t>
      </w:r>
      <w:r w:rsidR="00FD0906">
        <w:rPr>
          <w:rFonts w:ascii="Calibri" w:eastAsia="Calibri" w:hAnsi="Calibri" w:cs="Calibri"/>
          <w:color w:val="000000" w:themeColor="text1"/>
        </w:rPr>
        <w:t>simulate</w:t>
      </w:r>
      <w:r w:rsidR="00897B0D">
        <w:rPr>
          <w:rFonts w:ascii="Calibri" w:eastAsia="Calibri" w:hAnsi="Calibri" w:cs="Calibri"/>
          <w:color w:val="000000" w:themeColor="text1"/>
        </w:rPr>
        <w:t xml:space="preserve"> and evaluate automated envelope and a second skin retrofit strategy?</w:t>
      </w:r>
      <w:r w:rsidR="000D1448">
        <w:rPr>
          <w:rFonts w:ascii="Calibri" w:eastAsia="Calibri" w:hAnsi="Calibri" w:cs="Calibri"/>
          <w:color w:val="000000" w:themeColor="text1"/>
        </w:rPr>
        <w:t xml:space="preserve"> </w:t>
      </w:r>
      <w:r w:rsidR="00897B0D">
        <w:rPr>
          <w:rFonts w:ascii="Calibri" w:eastAsia="Calibri" w:hAnsi="Calibri" w:cs="Calibri"/>
          <w:color w:val="000000" w:themeColor="text1"/>
        </w:rPr>
        <w:t>RQ2: What is the impact of an automated control</w:t>
      </w:r>
      <w:r w:rsidR="004A4E70">
        <w:rPr>
          <w:rFonts w:ascii="Calibri" w:eastAsia="Calibri" w:hAnsi="Calibri" w:cs="Calibri"/>
          <w:color w:val="000000" w:themeColor="text1"/>
        </w:rPr>
        <w:t xml:space="preserve"> system</w:t>
      </w:r>
      <w:r w:rsidR="00897B0D">
        <w:rPr>
          <w:rFonts w:ascii="Calibri" w:eastAsia="Calibri" w:hAnsi="Calibri" w:cs="Calibri"/>
          <w:color w:val="000000" w:themeColor="text1"/>
        </w:rPr>
        <w:t xml:space="preserve"> and a second skin on the thermal performance of existing buildings?</w:t>
      </w:r>
    </w:p>
    <w:p w14:paraId="6D0DB0FA" w14:textId="1438490B" w:rsidR="64203B1B" w:rsidRPr="001A47AE" w:rsidRDefault="64203B1B" w:rsidP="001A47AE">
      <w:pPr>
        <w:pStyle w:val="ListParagraph"/>
        <w:spacing w:after="40" w:line="257" w:lineRule="auto"/>
        <w:rPr>
          <w:rFonts w:ascii="Calibri" w:eastAsia="Calibri" w:hAnsi="Calibri" w:cs="Calibri"/>
          <w:b/>
          <w:bCs/>
          <w:color w:val="000000" w:themeColor="text1"/>
          <w:sz w:val="28"/>
          <w:szCs w:val="28"/>
        </w:rPr>
      </w:pPr>
    </w:p>
    <w:p w14:paraId="4BAFA908" w14:textId="3D77538F" w:rsidR="64203B1B" w:rsidRPr="001A47AE" w:rsidRDefault="1A8BFF29" w:rsidP="001A47AE">
      <w:pPr>
        <w:pStyle w:val="ListParagraph"/>
        <w:numPr>
          <w:ilvl w:val="0"/>
          <w:numId w:val="5"/>
        </w:numPr>
        <w:spacing w:after="40" w:line="257" w:lineRule="auto"/>
        <w:rPr>
          <w:rFonts w:ascii="Calibri" w:eastAsia="Calibri" w:hAnsi="Calibri" w:cs="Calibri"/>
          <w:b/>
          <w:bCs/>
          <w:color w:val="000000" w:themeColor="text1"/>
          <w:sz w:val="28"/>
          <w:szCs w:val="28"/>
        </w:rPr>
      </w:pPr>
      <w:r w:rsidRPr="1A8BFF29">
        <w:rPr>
          <w:rFonts w:ascii="Calibri" w:eastAsia="Calibri" w:hAnsi="Calibri" w:cs="Calibri"/>
          <w:b/>
          <w:bCs/>
          <w:color w:val="000000" w:themeColor="text1"/>
          <w:sz w:val="28"/>
          <w:szCs w:val="28"/>
        </w:rPr>
        <w:t>LITERATURE REVIEW</w:t>
      </w:r>
      <w:r w:rsidRPr="001A47AE">
        <w:rPr>
          <w:rFonts w:ascii="Calibri" w:eastAsia="Calibri" w:hAnsi="Calibri" w:cs="Calibri"/>
          <w:b/>
          <w:bCs/>
          <w:color w:val="000000" w:themeColor="text1"/>
          <w:sz w:val="28"/>
          <w:szCs w:val="28"/>
        </w:rPr>
        <w:t xml:space="preserve"> </w:t>
      </w:r>
    </w:p>
    <w:p w14:paraId="12E3AFC3" w14:textId="6A729A40" w:rsidR="64203B1B" w:rsidRDefault="1A8BFF29" w:rsidP="1A8BFF29">
      <w:pPr>
        <w:spacing w:after="40" w:line="240" w:lineRule="auto"/>
        <w:rPr>
          <w:rFonts w:ascii="Calibri" w:eastAsia="Calibri" w:hAnsi="Calibri" w:cs="Calibri"/>
          <w:b/>
          <w:bCs/>
          <w:color w:val="000000" w:themeColor="text1"/>
          <w:sz w:val="28"/>
          <w:szCs w:val="28"/>
        </w:rPr>
      </w:pPr>
      <w:r w:rsidRPr="1A8BFF29">
        <w:rPr>
          <w:rFonts w:ascii="Calibri" w:eastAsia="Calibri" w:hAnsi="Calibri" w:cs="Calibri"/>
          <w:b/>
          <w:bCs/>
          <w:color w:val="000000" w:themeColor="text1"/>
          <w:sz w:val="28"/>
          <w:szCs w:val="28"/>
        </w:rPr>
        <w:t>2.1 Smart Building Envelopes and Retrofit Strategies</w:t>
      </w:r>
    </w:p>
    <w:p w14:paraId="2DF1F76D" w14:textId="3B211998" w:rsidR="64203B1B" w:rsidRDefault="1A8BFF29" w:rsidP="1A8BFF29">
      <w:pPr>
        <w:spacing w:after="40" w:line="240" w:lineRule="auto"/>
        <w:ind w:firstLine="720"/>
        <w:jc w:val="both"/>
        <w:rPr>
          <w:rFonts w:ascii="Calibri" w:eastAsia="Calibri" w:hAnsi="Calibri" w:cs="Calibri"/>
          <w:color w:val="000000" w:themeColor="text1"/>
        </w:rPr>
      </w:pPr>
      <w:r w:rsidRPr="1A8BFF29">
        <w:rPr>
          <w:rFonts w:ascii="Calibri" w:eastAsia="Calibri" w:hAnsi="Calibri" w:cs="Calibri"/>
          <w:color w:val="000000" w:themeColor="text1"/>
        </w:rPr>
        <w:t xml:space="preserve">Smart building envelopes have evolved from traditional passive strategies to systems that are adaptive and responsive </w:t>
      </w:r>
      <w:r w:rsidR="003642B3">
        <w:rPr>
          <w:rFonts w:ascii="Calibri" w:eastAsia="Calibri" w:hAnsi="Calibri" w:cs="Calibri"/>
          <w:color w:val="000000" w:themeColor="text1"/>
        </w:rPr>
        <w:t>to the</w:t>
      </w:r>
      <w:r w:rsidRPr="1A8BFF29">
        <w:rPr>
          <w:rFonts w:ascii="Calibri" w:eastAsia="Calibri" w:hAnsi="Calibri" w:cs="Calibri"/>
          <w:color w:val="000000" w:themeColor="text1"/>
        </w:rPr>
        <w:t xml:space="preserve"> external environment. These include mechanical, material-based</w:t>
      </w:r>
      <w:r w:rsidR="00CC7073">
        <w:rPr>
          <w:rFonts w:ascii="Calibri" w:eastAsia="Calibri" w:hAnsi="Calibri" w:cs="Calibri"/>
          <w:color w:val="000000" w:themeColor="text1"/>
        </w:rPr>
        <w:t>,</w:t>
      </w:r>
      <w:r w:rsidRPr="1A8BFF29">
        <w:rPr>
          <w:rFonts w:ascii="Calibri" w:eastAsia="Calibri" w:hAnsi="Calibri" w:cs="Calibri"/>
          <w:color w:val="000000" w:themeColor="text1"/>
        </w:rPr>
        <w:t xml:space="preserve"> and hybrid systems </w:t>
      </w:r>
      <w:r w:rsidRPr="1A8BFF29">
        <w:rPr>
          <w:rFonts w:ascii="Calibri" w:eastAsia="Calibri" w:hAnsi="Calibri" w:cs="Calibri"/>
        </w:rPr>
        <w:t>(</w:t>
      </w:r>
      <w:proofErr w:type="spellStart"/>
      <w:r w:rsidRPr="1A8BFF29">
        <w:rPr>
          <w:rFonts w:ascii="Calibri" w:eastAsia="Calibri" w:hAnsi="Calibri" w:cs="Calibri"/>
        </w:rPr>
        <w:t>Mohtashami</w:t>
      </w:r>
      <w:proofErr w:type="spellEnd"/>
      <w:r w:rsidRPr="1A8BFF29">
        <w:rPr>
          <w:rFonts w:ascii="Calibri" w:eastAsia="Calibri" w:hAnsi="Calibri" w:cs="Calibri"/>
        </w:rPr>
        <w:t xml:space="preserve"> et al., 2022; G. Wang et al., 2024)</w:t>
      </w:r>
      <w:r w:rsidRPr="1A8BFF29">
        <w:rPr>
          <w:rFonts w:ascii="Calibri" w:eastAsia="Calibri" w:hAnsi="Calibri" w:cs="Calibri"/>
          <w:color w:val="000000" w:themeColor="text1"/>
        </w:rPr>
        <w:t xml:space="preserve">. Smart Building Envelope integrates control systems, sensors, and automated decision-making to optimise the building’s energy performance </w:t>
      </w:r>
      <w:r w:rsidRPr="1A8BFF29">
        <w:rPr>
          <w:rFonts w:ascii="Calibri" w:eastAsia="Calibri" w:hAnsi="Calibri" w:cs="Calibri"/>
        </w:rPr>
        <w:t>(G. Wang et al., 2024)</w:t>
      </w:r>
      <w:r w:rsidRPr="1A8BFF29">
        <w:rPr>
          <w:rFonts w:ascii="Calibri" w:eastAsia="Calibri" w:hAnsi="Calibri" w:cs="Calibri"/>
          <w:color w:val="000000" w:themeColor="text1"/>
        </w:rPr>
        <w:t>.</w:t>
      </w:r>
    </w:p>
    <w:p w14:paraId="7B29341A" w14:textId="465CF311" w:rsidR="64203B1B" w:rsidRDefault="1A8BFF29" w:rsidP="00061720">
      <w:pPr>
        <w:spacing w:after="40" w:line="240" w:lineRule="auto"/>
        <w:ind w:firstLine="720"/>
        <w:jc w:val="both"/>
        <w:rPr>
          <w:rFonts w:ascii="Calibri" w:eastAsia="Calibri" w:hAnsi="Calibri" w:cs="Calibri"/>
          <w:color w:val="000000" w:themeColor="text1"/>
        </w:rPr>
      </w:pPr>
      <w:r w:rsidRPr="1A8BFF29">
        <w:rPr>
          <w:rFonts w:ascii="Calibri" w:eastAsia="Calibri" w:hAnsi="Calibri" w:cs="Calibri"/>
          <w:color w:val="000000" w:themeColor="text1"/>
        </w:rPr>
        <w:t xml:space="preserve">In retrofitting, second-skin envelopes offer significant benefits over single-skin systems for achieving better performance based on the envelope’s configuration and climatic conditions. The air cavity in between acts as an insulating buffer where the heat is trapped during winter and </w:t>
      </w:r>
      <w:r w:rsidR="00CC7073">
        <w:rPr>
          <w:rFonts w:ascii="Calibri" w:eastAsia="Calibri" w:hAnsi="Calibri" w:cs="Calibri"/>
          <w:color w:val="000000" w:themeColor="text1"/>
        </w:rPr>
        <w:t>enables</w:t>
      </w:r>
      <w:r w:rsidRPr="1A8BFF29">
        <w:rPr>
          <w:rFonts w:ascii="Calibri" w:eastAsia="Calibri" w:hAnsi="Calibri" w:cs="Calibri"/>
          <w:color w:val="000000" w:themeColor="text1"/>
        </w:rPr>
        <w:t xml:space="preserve"> controlled ventilation in summer, reducing both heating and cooling loads </w:t>
      </w:r>
      <w:r w:rsidRPr="1A8BFF29">
        <w:rPr>
          <w:rFonts w:ascii="Calibri" w:eastAsia="Calibri" w:hAnsi="Calibri" w:cs="Calibri"/>
        </w:rPr>
        <w:t>(</w:t>
      </w:r>
      <w:proofErr w:type="spellStart"/>
      <w:r w:rsidRPr="1A8BFF29">
        <w:rPr>
          <w:rFonts w:ascii="Calibri" w:eastAsia="Calibri" w:hAnsi="Calibri" w:cs="Calibri"/>
        </w:rPr>
        <w:t>Ahriz</w:t>
      </w:r>
      <w:proofErr w:type="spellEnd"/>
      <w:r w:rsidRPr="1A8BFF29">
        <w:rPr>
          <w:rFonts w:ascii="Calibri" w:eastAsia="Calibri" w:hAnsi="Calibri" w:cs="Calibri"/>
        </w:rPr>
        <w:t xml:space="preserve"> et al., 2022; Hou et al., 2021)</w:t>
      </w:r>
      <w:r w:rsidRPr="1A8BFF29">
        <w:rPr>
          <w:rFonts w:ascii="Calibri" w:eastAsia="Calibri" w:hAnsi="Calibri" w:cs="Calibri"/>
          <w:color w:val="000000" w:themeColor="text1"/>
        </w:rPr>
        <w:t xml:space="preserve">. </w:t>
      </w:r>
      <w:proofErr w:type="spellStart"/>
      <w:r w:rsidRPr="1A8BFF29">
        <w:rPr>
          <w:rFonts w:ascii="Calibri" w:eastAsia="Calibri" w:hAnsi="Calibri" w:cs="Calibri"/>
        </w:rPr>
        <w:t>Italos</w:t>
      </w:r>
      <w:proofErr w:type="spellEnd"/>
      <w:r w:rsidRPr="1A8BFF29">
        <w:rPr>
          <w:rFonts w:ascii="Calibri" w:eastAsia="Calibri" w:hAnsi="Calibri" w:cs="Calibri"/>
        </w:rPr>
        <w:t xml:space="preserve"> et al. (2022)</w:t>
      </w:r>
      <w:r w:rsidRPr="1A8BFF29">
        <w:rPr>
          <w:rFonts w:ascii="Calibri" w:eastAsia="Calibri" w:hAnsi="Calibri" w:cs="Calibri"/>
          <w:color w:val="000000" w:themeColor="text1"/>
        </w:rPr>
        <w:t xml:space="preserve"> further demonstrated a BIM-based retrofit project in Cyprus that combined a double-skin facade with building-integrated photovoltaics (BIPV) </w:t>
      </w:r>
      <w:r w:rsidR="00CC7073">
        <w:rPr>
          <w:rFonts w:ascii="Calibri" w:eastAsia="Calibri" w:hAnsi="Calibri" w:cs="Calibri"/>
          <w:color w:val="000000" w:themeColor="text1"/>
        </w:rPr>
        <w:t xml:space="preserve">and </w:t>
      </w:r>
      <w:r w:rsidRPr="1A8BFF29">
        <w:rPr>
          <w:rFonts w:ascii="Calibri" w:eastAsia="Calibri" w:hAnsi="Calibri" w:cs="Calibri"/>
          <w:color w:val="000000" w:themeColor="text1"/>
        </w:rPr>
        <w:t xml:space="preserve">achieved </w:t>
      </w:r>
      <w:r w:rsidR="00CC7073">
        <w:rPr>
          <w:rFonts w:ascii="Calibri" w:eastAsia="Calibri" w:hAnsi="Calibri" w:cs="Calibri"/>
          <w:color w:val="000000" w:themeColor="text1"/>
        </w:rPr>
        <w:t xml:space="preserve">an </w:t>
      </w:r>
      <w:r w:rsidRPr="1A8BFF29">
        <w:rPr>
          <w:rFonts w:ascii="Calibri" w:eastAsia="Calibri" w:hAnsi="Calibri" w:cs="Calibri"/>
          <w:color w:val="000000" w:themeColor="text1"/>
        </w:rPr>
        <w:t xml:space="preserve">83.5% reduction in energy consumption. However, integrating retrofit strategies faces constraints such as structural limitations, cost sensitivity, and user disruption. The </w:t>
      </w:r>
      <w:r w:rsidR="00FD0F83" w:rsidRPr="1A8BFF29">
        <w:rPr>
          <w:rFonts w:ascii="Calibri" w:eastAsia="Calibri" w:hAnsi="Calibri" w:cs="Calibri"/>
          <w:color w:val="000000" w:themeColor="text1"/>
        </w:rPr>
        <w:t>strategy</w:t>
      </w:r>
      <w:r w:rsidRPr="1A8BFF29">
        <w:rPr>
          <w:rFonts w:ascii="Calibri" w:eastAsia="Calibri" w:hAnsi="Calibri" w:cs="Calibri"/>
          <w:color w:val="000000" w:themeColor="text1"/>
        </w:rPr>
        <w:t xml:space="preserve"> of smart retrofitting requires </w:t>
      </w:r>
      <w:r w:rsidR="00FD0F83" w:rsidRPr="1A8BFF29">
        <w:rPr>
          <w:rFonts w:ascii="Calibri" w:eastAsia="Calibri" w:hAnsi="Calibri" w:cs="Calibri"/>
          <w:color w:val="000000" w:themeColor="text1"/>
        </w:rPr>
        <w:t>balancing passive</w:t>
      </w:r>
      <w:r w:rsidRPr="1A8BFF29">
        <w:rPr>
          <w:rFonts w:ascii="Calibri" w:eastAsia="Calibri" w:hAnsi="Calibri" w:cs="Calibri"/>
          <w:color w:val="000000" w:themeColor="text1"/>
        </w:rPr>
        <w:t xml:space="preserve"> enhancements, active system upgrades, and practical implementation challenges </w:t>
      </w:r>
      <w:r w:rsidRPr="1A8BFF29">
        <w:rPr>
          <w:rFonts w:ascii="Calibri" w:eastAsia="Calibri" w:hAnsi="Calibri" w:cs="Calibri"/>
        </w:rPr>
        <w:t>(Peiris et al., 2023)</w:t>
      </w:r>
      <w:r w:rsidRPr="1A8BFF29">
        <w:rPr>
          <w:rFonts w:ascii="Calibri" w:eastAsia="Calibri" w:hAnsi="Calibri" w:cs="Calibri"/>
          <w:color w:val="000000" w:themeColor="text1"/>
        </w:rPr>
        <w:t>.</w:t>
      </w:r>
    </w:p>
    <w:p w14:paraId="1BA8DE62" w14:textId="77777777" w:rsidR="002A78E6" w:rsidRDefault="002A78E6" w:rsidP="002A78E6">
      <w:pPr>
        <w:spacing w:after="40" w:line="240" w:lineRule="auto"/>
        <w:jc w:val="both"/>
        <w:rPr>
          <w:rFonts w:ascii="Calibri" w:eastAsia="Calibri" w:hAnsi="Calibri" w:cs="Calibri"/>
          <w:color w:val="000000" w:themeColor="text1"/>
        </w:rPr>
      </w:pPr>
    </w:p>
    <w:p w14:paraId="0B64C6F5" w14:textId="41EB2572" w:rsidR="64203B1B" w:rsidRPr="002A78E6" w:rsidRDefault="002A78E6" w:rsidP="002A78E6">
      <w:pPr>
        <w:spacing w:after="40" w:line="240" w:lineRule="auto"/>
        <w:jc w:val="both"/>
        <w:rPr>
          <w:rFonts w:ascii="Calibri" w:eastAsia="Calibri" w:hAnsi="Calibri" w:cs="Calibri"/>
          <w:color w:val="000000" w:themeColor="text1"/>
        </w:rPr>
      </w:pPr>
      <w:r>
        <w:rPr>
          <w:rFonts w:ascii="Calibri" w:eastAsia="Calibri" w:hAnsi="Calibri" w:cs="Calibri"/>
          <w:b/>
          <w:bCs/>
          <w:color w:val="000000" w:themeColor="text1"/>
          <w:sz w:val="28"/>
          <w:szCs w:val="28"/>
        </w:rPr>
        <w:t>2.2</w:t>
      </w:r>
      <w:r w:rsidR="008C4AAA">
        <w:rPr>
          <w:rFonts w:ascii="Calibri" w:eastAsia="Calibri" w:hAnsi="Calibri" w:cs="Calibri"/>
          <w:b/>
          <w:bCs/>
          <w:color w:val="000000" w:themeColor="text1"/>
          <w:sz w:val="28"/>
          <w:szCs w:val="28"/>
        </w:rPr>
        <w:t xml:space="preserve"> </w:t>
      </w:r>
      <w:r w:rsidR="1A8BFF29" w:rsidRPr="1A8BFF29">
        <w:rPr>
          <w:rFonts w:ascii="Calibri" w:eastAsia="Calibri" w:hAnsi="Calibri" w:cs="Calibri"/>
          <w:b/>
          <w:bCs/>
          <w:color w:val="000000" w:themeColor="text1"/>
          <w:sz w:val="28"/>
          <w:szCs w:val="28"/>
        </w:rPr>
        <w:t xml:space="preserve">BIM </w:t>
      </w:r>
      <w:r w:rsidR="004C008E">
        <w:rPr>
          <w:rFonts w:ascii="Calibri" w:eastAsia="Calibri" w:hAnsi="Calibri" w:cs="Calibri"/>
          <w:b/>
          <w:bCs/>
          <w:color w:val="000000" w:themeColor="text1"/>
          <w:sz w:val="28"/>
          <w:szCs w:val="28"/>
        </w:rPr>
        <w:t>I</w:t>
      </w:r>
      <w:r w:rsidR="1A8BFF29" w:rsidRPr="1A8BFF29">
        <w:rPr>
          <w:rFonts w:ascii="Calibri" w:eastAsia="Calibri" w:hAnsi="Calibri" w:cs="Calibri"/>
          <w:b/>
          <w:bCs/>
          <w:color w:val="000000" w:themeColor="text1"/>
          <w:sz w:val="28"/>
          <w:szCs w:val="28"/>
        </w:rPr>
        <w:t>ntegrated Energy Modelling and Optimisation</w:t>
      </w:r>
    </w:p>
    <w:p w14:paraId="34964F41" w14:textId="644BF462" w:rsidR="64203B1B" w:rsidRDefault="1A8BFF29" w:rsidP="1A8BFF29">
      <w:pPr>
        <w:spacing w:after="40" w:line="240" w:lineRule="auto"/>
        <w:ind w:firstLine="720"/>
        <w:jc w:val="both"/>
        <w:rPr>
          <w:rFonts w:ascii="Calibri" w:eastAsia="Calibri" w:hAnsi="Calibri" w:cs="Calibri"/>
          <w:color w:val="000000" w:themeColor="text1"/>
        </w:rPr>
      </w:pPr>
      <w:r w:rsidRPr="1A8BFF29">
        <w:rPr>
          <w:rFonts w:ascii="Calibri" w:eastAsia="Calibri" w:hAnsi="Calibri" w:cs="Calibri"/>
          <w:color w:val="000000" w:themeColor="text1"/>
        </w:rPr>
        <w:t xml:space="preserve">A building envelope directly influences heating and cooling demands, thermal comfort, lighting, and ventilation </w:t>
      </w:r>
      <w:r w:rsidRPr="1A8BFF29">
        <w:rPr>
          <w:rFonts w:ascii="Calibri" w:eastAsia="Calibri" w:hAnsi="Calibri" w:cs="Calibri"/>
        </w:rPr>
        <w:t>(J. Wang et al., 2024)</w:t>
      </w:r>
      <w:r w:rsidRPr="1A8BFF29">
        <w:rPr>
          <w:rFonts w:ascii="Calibri" w:eastAsia="Calibri" w:hAnsi="Calibri" w:cs="Calibri"/>
          <w:color w:val="000000" w:themeColor="text1"/>
        </w:rPr>
        <w:t xml:space="preserve">. BIM enhances the performance potential by linking with Building Energy Modelling (BEM) to incorporate complex analytical capabilities within a shared data environment </w:t>
      </w:r>
      <w:r w:rsidRPr="1A8BFF29">
        <w:rPr>
          <w:rFonts w:ascii="Calibri" w:eastAsia="Calibri" w:hAnsi="Calibri" w:cs="Calibri"/>
        </w:rPr>
        <w:t>(</w:t>
      </w:r>
      <w:proofErr w:type="spellStart"/>
      <w:r w:rsidRPr="1A8BFF29">
        <w:rPr>
          <w:rFonts w:ascii="Calibri" w:eastAsia="Calibri" w:hAnsi="Calibri" w:cs="Calibri"/>
        </w:rPr>
        <w:t>Ciccozzi</w:t>
      </w:r>
      <w:proofErr w:type="spellEnd"/>
      <w:r w:rsidRPr="1A8BFF29">
        <w:rPr>
          <w:rFonts w:ascii="Calibri" w:eastAsia="Calibri" w:hAnsi="Calibri" w:cs="Calibri"/>
        </w:rPr>
        <w:t xml:space="preserve"> et al., 2023)</w:t>
      </w:r>
      <w:r w:rsidRPr="1A8BFF29">
        <w:rPr>
          <w:rFonts w:ascii="Calibri" w:eastAsia="Calibri" w:hAnsi="Calibri" w:cs="Calibri"/>
          <w:color w:val="000000" w:themeColor="text1"/>
        </w:rPr>
        <w:t>.</w:t>
      </w:r>
    </w:p>
    <w:p w14:paraId="7D7E4EBB" w14:textId="798075F4" w:rsidR="64203B1B" w:rsidRDefault="1A8BFF29" w:rsidP="1A8BFF29">
      <w:pPr>
        <w:spacing w:after="40" w:line="240" w:lineRule="auto"/>
        <w:ind w:firstLine="720"/>
        <w:jc w:val="both"/>
        <w:rPr>
          <w:rFonts w:ascii="Calibri" w:eastAsia="Calibri" w:hAnsi="Calibri" w:cs="Calibri"/>
          <w:color w:val="000000" w:themeColor="text1"/>
        </w:rPr>
      </w:pPr>
      <w:r w:rsidRPr="1A8BFF29">
        <w:rPr>
          <w:rFonts w:ascii="Calibri" w:eastAsia="Calibri" w:hAnsi="Calibri" w:cs="Calibri"/>
          <w:color w:val="000000" w:themeColor="text1"/>
        </w:rPr>
        <w:t xml:space="preserve">Despite BIM emerging as a transformative process, its adoption in retrofit remains less explored compared to new construction </w:t>
      </w:r>
      <w:r w:rsidRPr="1A8BFF29">
        <w:rPr>
          <w:rFonts w:ascii="Calibri" w:eastAsia="Calibri" w:hAnsi="Calibri" w:cs="Calibri"/>
        </w:rPr>
        <w:t>(Volk et al., 2014)</w:t>
      </w:r>
      <w:r w:rsidRPr="1A8BFF29">
        <w:rPr>
          <w:rFonts w:ascii="Calibri" w:eastAsia="Calibri" w:hAnsi="Calibri" w:cs="Calibri"/>
          <w:color w:val="000000" w:themeColor="text1"/>
        </w:rPr>
        <w:t xml:space="preserve">.  Integration of BIM with BEM streamlines workflows for data collection, modelling, and analysis (D’Angelo et al., 2022). Yet, interoperability issues between formats like IFC and </w:t>
      </w:r>
      <w:proofErr w:type="spellStart"/>
      <w:r w:rsidRPr="1A8BFF29">
        <w:rPr>
          <w:rFonts w:ascii="Calibri" w:eastAsia="Calibri" w:hAnsi="Calibri" w:cs="Calibri"/>
          <w:color w:val="000000" w:themeColor="text1"/>
        </w:rPr>
        <w:t>gbXML</w:t>
      </w:r>
      <w:proofErr w:type="spellEnd"/>
      <w:r w:rsidRPr="1A8BFF29">
        <w:rPr>
          <w:rFonts w:ascii="Calibri" w:eastAsia="Calibri" w:hAnsi="Calibri" w:cs="Calibri"/>
          <w:color w:val="000000" w:themeColor="text1"/>
        </w:rPr>
        <w:t xml:space="preserve"> introduce risk of data loss and modelling errors </w:t>
      </w:r>
      <w:r w:rsidRPr="1A8BFF29">
        <w:rPr>
          <w:rFonts w:ascii="Calibri" w:eastAsia="Calibri" w:hAnsi="Calibri" w:cs="Calibri"/>
        </w:rPr>
        <w:t>(</w:t>
      </w:r>
      <w:proofErr w:type="spellStart"/>
      <w:r w:rsidRPr="1A8BFF29">
        <w:rPr>
          <w:rFonts w:ascii="Calibri" w:eastAsia="Calibri" w:hAnsi="Calibri" w:cs="Calibri"/>
        </w:rPr>
        <w:t>Alhammad</w:t>
      </w:r>
      <w:proofErr w:type="spellEnd"/>
      <w:r w:rsidRPr="1A8BFF29">
        <w:rPr>
          <w:rFonts w:ascii="Calibri" w:eastAsia="Calibri" w:hAnsi="Calibri" w:cs="Calibri"/>
        </w:rPr>
        <w:t xml:space="preserve"> et al., 2024)</w:t>
      </w:r>
      <w:r w:rsidRPr="1A8BFF29">
        <w:rPr>
          <w:rFonts w:ascii="Calibri" w:eastAsia="Calibri" w:hAnsi="Calibri" w:cs="Calibri"/>
          <w:color w:val="000000" w:themeColor="text1"/>
        </w:rPr>
        <w:t>. Previous studies demonstrate that BIM-enabled systems can result in comprehensive performance improvement in existing buildings. Yet, most BIM retrofitting focuses on static systems rather than adaptive and dynamic systems, which indicates an opportunity to integrate BIM with adaptive retrofit buildings.</w:t>
      </w:r>
    </w:p>
    <w:p w14:paraId="2051BE29" w14:textId="1BBE359A" w:rsidR="64203B1B" w:rsidRPr="002A78E6" w:rsidRDefault="002A78E6" w:rsidP="002A78E6">
      <w:pPr>
        <w:spacing w:after="40" w:line="240" w:lineRule="auto"/>
        <w:rPr>
          <w:rFonts w:ascii="Calibri" w:eastAsia="Calibri" w:hAnsi="Calibri" w:cs="Calibri"/>
          <w:b/>
          <w:bCs/>
          <w:color w:val="000000" w:themeColor="text1"/>
          <w:sz w:val="28"/>
          <w:szCs w:val="28"/>
        </w:rPr>
      </w:pPr>
      <w:r>
        <w:rPr>
          <w:rFonts w:ascii="Calibri" w:eastAsia="Calibri" w:hAnsi="Calibri" w:cs="Calibri"/>
          <w:b/>
          <w:bCs/>
          <w:color w:val="000000" w:themeColor="text1"/>
          <w:sz w:val="28"/>
          <w:szCs w:val="28"/>
        </w:rPr>
        <w:t>2.3</w:t>
      </w:r>
      <w:r w:rsidR="008C4AAA" w:rsidRPr="002A78E6">
        <w:rPr>
          <w:rFonts w:ascii="Calibri" w:eastAsia="Calibri" w:hAnsi="Calibri" w:cs="Calibri"/>
          <w:b/>
          <w:bCs/>
          <w:color w:val="000000" w:themeColor="text1"/>
          <w:sz w:val="28"/>
          <w:szCs w:val="28"/>
        </w:rPr>
        <w:t xml:space="preserve"> </w:t>
      </w:r>
      <w:r w:rsidR="1A8BFF29" w:rsidRPr="002A78E6">
        <w:rPr>
          <w:rFonts w:ascii="Calibri" w:eastAsia="Calibri" w:hAnsi="Calibri" w:cs="Calibri"/>
          <w:b/>
          <w:bCs/>
          <w:color w:val="000000" w:themeColor="text1"/>
          <w:sz w:val="28"/>
          <w:szCs w:val="28"/>
        </w:rPr>
        <w:t xml:space="preserve">Challenges and Research </w:t>
      </w:r>
      <w:r w:rsidR="00CC7073">
        <w:rPr>
          <w:rFonts w:ascii="Calibri" w:eastAsia="Calibri" w:hAnsi="Calibri" w:cs="Calibri"/>
          <w:b/>
          <w:bCs/>
          <w:color w:val="000000" w:themeColor="text1"/>
          <w:sz w:val="28"/>
          <w:szCs w:val="28"/>
        </w:rPr>
        <w:t>Gap</w:t>
      </w:r>
    </w:p>
    <w:p w14:paraId="3A77DA10" w14:textId="141A5892" w:rsidR="64203B1B" w:rsidRDefault="1A8BFF29" w:rsidP="1A8BFF29">
      <w:pPr>
        <w:spacing w:after="40" w:line="240" w:lineRule="auto"/>
        <w:ind w:firstLine="720"/>
        <w:jc w:val="both"/>
        <w:rPr>
          <w:rFonts w:ascii="Calibri" w:eastAsia="Calibri" w:hAnsi="Calibri" w:cs="Calibri"/>
          <w:color w:val="000000" w:themeColor="text1"/>
        </w:rPr>
      </w:pPr>
      <w:r w:rsidRPr="1A8BFF29">
        <w:rPr>
          <w:rFonts w:ascii="Calibri" w:eastAsia="Calibri" w:hAnsi="Calibri" w:cs="Calibri"/>
          <w:color w:val="000000" w:themeColor="text1"/>
        </w:rPr>
        <w:t xml:space="preserve">Implementation barriers remain in addressing institutional and regulatory constraints, building codes, standards, and procurement practices in alignment with </w:t>
      </w:r>
      <w:r w:rsidR="00CC7073">
        <w:rPr>
          <w:rFonts w:ascii="Calibri" w:eastAsia="Calibri" w:hAnsi="Calibri" w:cs="Calibri"/>
          <w:color w:val="000000" w:themeColor="text1"/>
        </w:rPr>
        <w:t xml:space="preserve">the </w:t>
      </w:r>
      <w:r w:rsidRPr="1A8BFF29">
        <w:rPr>
          <w:rFonts w:ascii="Calibri" w:eastAsia="Calibri" w:hAnsi="Calibri" w:cs="Calibri"/>
          <w:color w:val="000000" w:themeColor="text1"/>
        </w:rPr>
        <w:t>adoption of smart envelopes (Affonso et al., 2024). Lack of retrofit-specific level of information, details, performance benchmarks</w:t>
      </w:r>
      <w:r w:rsidR="00A112D2">
        <w:rPr>
          <w:rFonts w:ascii="Calibri" w:eastAsia="Calibri" w:hAnsi="Calibri" w:cs="Calibri"/>
          <w:color w:val="000000" w:themeColor="text1"/>
        </w:rPr>
        <w:t>,</w:t>
      </w:r>
      <w:r w:rsidRPr="1A8BFF29">
        <w:rPr>
          <w:rFonts w:ascii="Calibri" w:eastAsia="Calibri" w:hAnsi="Calibri" w:cs="Calibri"/>
          <w:color w:val="000000" w:themeColor="text1"/>
        </w:rPr>
        <w:t xml:space="preserve"> and standards also create uncertainty in adoption </w:t>
      </w:r>
      <w:r w:rsidRPr="1A8BFF29">
        <w:rPr>
          <w:rFonts w:ascii="Calibri" w:eastAsia="Calibri" w:hAnsi="Calibri" w:cs="Calibri"/>
        </w:rPr>
        <w:t xml:space="preserve">(Kaashi and </w:t>
      </w:r>
      <w:proofErr w:type="spellStart"/>
      <w:r w:rsidRPr="1A8BFF29">
        <w:rPr>
          <w:rFonts w:ascii="Calibri" w:eastAsia="Calibri" w:hAnsi="Calibri" w:cs="Calibri"/>
        </w:rPr>
        <w:t>Vilventhan</w:t>
      </w:r>
      <w:proofErr w:type="spellEnd"/>
      <w:r w:rsidRPr="1A8BFF29">
        <w:rPr>
          <w:rFonts w:ascii="Calibri" w:eastAsia="Calibri" w:hAnsi="Calibri" w:cs="Calibri"/>
        </w:rPr>
        <w:t>, 2023)</w:t>
      </w:r>
      <w:r w:rsidRPr="1A8BFF29">
        <w:rPr>
          <w:rFonts w:ascii="Calibri" w:eastAsia="Calibri" w:hAnsi="Calibri" w:cs="Calibri"/>
          <w:color w:val="000000" w:themeColor="text1"/>
        </w:rPr>
        <w:t>. While advancements in individual aspects such as BIM, retrofit, and smart envelope are rapidly advancing</w:t>
      </w:r>
      <w:r w:rsidR="00FD0F83">
        <w:rPr>
          <w:rFonts w:ascii="Calibri" w:eastAsia="Calibri" w:hAnsi="Calibri" w:cs="Calibri"/>
          <w:color w:val="000000" w:themeColor="text1"/>
        </w:rPr>
        <w:t>, a consistent workflow for evaluating the thermal performance of automated envelope and second-skin retrofit strategies is still lacking.</w:t>
      </w:r>
      <w:r w:rsidRPr="1A8BFF29">
        <w:rPr>
          <w:rFonts w:ascii="Calibri" w:eastAsia="Calibri" w:hAnsi="Calibri" w:cs="Calibri"/>
          <w:color w:val="000000" w:themeColor="text1"/>
        </w:rPr>
        <w:t xml:space="preserve"> </w:t>
      </w:r>
      <w:r w:rsidR="00B33303">
        <w:rPr>
          <w:rFonts w:ascii="Calibri" w:eastAsia="Calibri" w:hAnsi="Calibri" w:cs="Calibri"/>
          <w:color w:val="000000" w:themeColor="text1"/>
        </w:rPr>
        <w:t>This study addresses this gap through an integrated BIM-BEM workflow.</w:t>
      </w:r>
    </w:p>
    <w:p w14:paraId="27C75A10" w14:textId="34F43623" w:rsidR="64203B1B" w:rsidRDefault="1A8BFF29" w:rsidP="1A8BFF29">
      <w:pPr>
        <w:spacing w:after="40" w:line="240" w:lineRule="auto"/>
        <w:ind w:firstLine="720"/>
        <w:jc w:val="both"/>
        <w:rPr>
          <w:rFonts w:ascii="Calibri" w:eastAsia="Calibri" w:hAnsi="Calibri" w:cs="Calibri"/>
          <w:color w:val="000000" w:themeColor="text1"/>
        </w:rPr>
      </w:pPr>
      <w:r w:rsidRPr="1A8BFF29">
        <w:rPr>
          <w:rFonts w:ascii="Calibri" w:eastAsia="Calibri" w:hAnsi="Calibri" w:cs="Calibri"/>
          <w:color w:val="000000" w:themeColor="text1"/>
        </w:rPr>
        <w:t xml:space="preserve"> </w:t>
      </w:r>
    </w:p>
    <w:p w14:paraId="0CC94F23" w14:textId="646AC5EE" w:rsidR="64203B1B" w:rsidRDefault="1A8BFF29" w:rsidP="483A7505">
      <w:pPr>
        <w:pStyle w:val="ListParagraph"/>
        <w:numPr>
          <w:ilvl w:val="0"/>
          <w:numId w:val="3"/>
        </w:numPr>
        <w:spacing w:after="40" w:line="257" w:lineRule="auto"/>
        <w:rPr>
          <w:rFonts w:ascii="Calibri" w:eastAsia="Calibri" w:hAnsi="Calibri" w:cs="Calibri"/>
          <w:b/>
          <w:bCs/>
          <w:color w:val="000000" w:themeColor="text1"/>
          <w:sz w:val="28"/>
          <w:szCs w:val="28"/>
        </w:rPr>
      </w:pPr>
      <w:r w:rsidRPr="1A8BFF29">
        <w:rPr>
          <w:rFonts w:ascii="Calibri" w:eastAsia="Calibri" w:hAnsi="Calibri" w:cs="Calibri"/>
          <w:b/>
          <w:bCs/>
          <w:color w:val="000000" w:themeColor="text1"/>
          <w:sz w:val="28"/>
          <w:szCs w:val="28"/>
        </w:rPr>
        <w:t>METHODOLOGY</w:t>
      </w:r>
    </w:p>
    <w:p w14:paraId="39AA23D6" w14:textId="64CF04BF" w:rsidR="64203B1B" w:rsidRDefault="1A8BFF29" w:rsidP="1A8BFF29">
      <w:pPr>
        <w:spacing w:after="40" w:line="257" w:lineRule="auto"/>
        <w:rPr>
          <w:rFonts w:ascii="Calibri" w:eastAsia="Calibri" w:hAnsi="Calibri" w:cs="Calibri"/>
          <w:b/>
          <w:bCs/>
          <w:color w:val="000000" w:themeColor="text1"/>
          <w:sz w:val="28"/>
          <w:szCs w:val="28"/>
        </w:rPr>
      </w:pPr>
      <w:r w:rsidRPr="1A8BFF29">
        <w:rPr>
          <w:rFonts w:ascii="Calibri" w:eastAsia="Calibri" w:hAnsi="Calibri" w:cs="Calibri"/>
          <w:b/>
          <w:bCs/>
          <w:color w:val="000000" w:themeColor="text1"/>
          <w:sz w:val="28"/>
          <w:szCs w:val="28"/>
        </w:rPr>
        <w:t>3.1 Research Framework</w:t>
      </w:r>
    </w:p>
    <w:p w14:paraId="2E82F044" w14:textId="62FE6A76" w:rsidR="64203B1B" w:rsidRDefault="1A8BFF29" w:rsidP="483A7505">
      <w:pPr>
        <w:spacing w:after="40"/>
        <w:ind w:firstLine="720"/>
        <w:jc w:val="both"/>
        <w:rPr>
          <w:rFonts w:ascii="Calibri" w:eastAsia="Calibri" w:hAnsi="Calibri" w:cs="Calibri"/>
          <w:color w:val="000000" w:themeColor="text1"/>
        </w:rPr>
      </w:pPr>
      <w:r w:rsidRPr="1A8BFF29">
        <w:rPr>
          <w:rFonts w:ascii="Calibri" w:eastAsia="Calibri" w:hAnsi="Calibri" w:cs="Calibri"/>
          <w:color w:val="000000" w:themeColor="text1"/>
        </w:rPr>
        <w:t xml:space="preserve">The study combines a methodological approach </w:t>
      </w:r>
      <w:r w:rsidR="00BD65D2">
        <w:rPr>
          <w:rFonts w:ascii="Calibri" w:eastAsia="Calibri" w:hAnsi="Calibri" w:cs="Calibri"/>
          <w:color w:val="000000" w:themeColor="text1"/>
        </w:rPr>
        <w:t>that</w:t>
      </w:r>
      <w:r w:rsidRPr="1A8BFF29">
        <w:rPr>
          <w:rFonts w:ascii="Calibri" w:eastAsia="Calibri" w:hAnsi="Calibri" w:cs="Calibri"/>
          <w:color w:val="000000" w:themeColor="text1"/>
        </w:rPr>
        <w:t xml:space="preserve"> integrates a targeted Systematic Literature Review (SLR) </w:t>
      </w:r>
      <w:r w:rsidR="009B7384">
        <w:rPr>
          <w:rFonts w:ascii="Calibri" w:eastAsia="Calibri" w:hAnsi="Calibri" w:cs="Calibri"/>
          <w:color w:val="000000" w:themeColor="text1"/>
        </w:rPr>
        <w:t xml:space="preserve">with </w:t>
      </w:r>
      <w:r w:rsidR="00757F31">
        <w:rPr>
          <w:rFonts w:ascii="Calibri" w:eastAsia="Calibri" w:hAnsi="Calibri" w:cs="Calibri"/>
          <w:color w:val="000000" w:themeColor="text1"/>
        </w:rPr>
        <w:t>k</w:t>
      </w:r>
      <w:r w:rsidR="009B7384" w:rsidRPr="009B7384">
        <w:rPr>
          <w:rFonts w:ascii="Calibri" w:eastAsia="Calibri" w:hAnsi="Calibri" w:cs="Calibri"/>
          <w:color w:val="000000" w:themeColor="text1"/>
        </w:rPr>
        <w:t>eywords</w:t>
      </w:r>
      <w:r w:rsidR="00757F31">
        <w:rPr>
          <w:rFonts w:ascii="Calibri" w:eastAsia="Calibri" w:hAnsi="Calibri" w:cs="Calibri"/>
          <w:color w:val="000000" w:themeColor="text1"/>
        </w:rPr>
        <w:t>,</w:t>
      </w:r>
      <w:r w:rsidR="009B7384" w:rsidRPr="009B7384">
        <w:rPr>
          <w:rFonts w:ascii="Calibri" w:eastAsia="Calibri" w:hAnsi="Calibri" w:cs="Calibri"/>
          <w:color w:val="000000" w:themeColor="text1"/>
        </w:rPr>
        <w:t xml:space="preserve"> </w:t>
      </w:r>
      <w:r w:rsidR="008014C2">
        <w:rPr>
          <w:rFonts w:ascii="Calibri" w:eastAsia="Calibri" w:hAnsi="Calibri" w:cs="Calibri"/>
          <w:color w:val="000000" w:themeColor="text1"/>
        </w:rPr>
        <w:t>“</w:t>
      </w:r>
      <w:r w:rsidR="009B7384" w:rsidRPr="009B7384">
        <w:rPr>
          <w:rFonts w:ascii="Calibri" w:eastAsia="Calibri" w:hAnsi="Calibri" w:cs="Calibri"/>
          <w:i/>
          <w:iCs/>
          <w:color w:val="000000" w:themeColor="text1"/>
        </w:rPr>
        <w:t>retrofit</w:t>
      </w:r>
      <w:r w:rsidR="008014C2">
        <w:rPr>
          <w:rFonts w:ascii="Calibri" w:eastAsia="Calibri" w:hAnsi="Calibri" w:cs="Calibri"/>
          <w:i/>
          <w:iCs/>
          <w:color w:val="000000" w:themeColor="text1"/>
        </w:rPr>
        <w:t>”,</w:t>
      </w:r>
      <w:r w:rsidR="009B7384" w:rsidRPr="009B7384">
        <w:rPr>
          <w:rFonts w:ascii="Calibri" w:eastAsia="Calibri" w:hAnsi="Calibri" w:cs="Calibri"/>
          <w:i/>
          <w:iCs/>
          <w:color w:val="000000" w:themeColor="text1"/>
        </w:rPr>
        <w:t xml:space="preserve"> "</w:t>
      </w:r>
      <w:r w:rsidR="00415C79">
        <w:rPr>
          <w:rFonts w:ascii="Calibri" w:eastAsia="Calibri" w:hAnsi="Calibri" w:cs="Calibri"/>
          <w:i/>
          <w:iCs/>
          <w:color w:val="000000" w:themeColor="text1"/>
        </w:rPr>
        <w:t>s</w:t>
      </w:r>
      <w:r w:rsidR="009B7384" w:rsidRPr="009B7384">
        <w:rPr>
          <w:rFonts w:ascii="Calibri" w:eastAsia="Calibri" w:hAnsi="Calibri" w:cs="Calibri"/>
          <w:i/>
          <w:iCs/>
          <w:color w:val="000000" w:themeColor="text1"/>
        </w:rPr>
        <w:t xml:space="preserve">mart </w:t>
      </w:r>
      <w:r w:rsidR="00415C79">
        <w:rPr>
          <w:rFonts w:ascii="Calibri" w:eastAsia="Calibri" w:hAnsi="Calibri" w:cs="Calibri"/>
          <w:i/>
          <w:iCs/>
          <w:color w:val="000000" w:themeColor="text1"/>
        </w:rPr>
        <w:t>b</w:t>
      </w:r>
      <w:r w:rsidR="009B7384" w:rsidRPr="009B7384">
        <w:rPr>
          <w:rFonts w:ascii="Calibri" w:eastAsia="Calibri" w:hAnsi="Calibri" w:cs="Calibri"/>
          <w:i/>
          <w:iCs/>
          <w:color w:val="000000" w:themeColor="text1"/>
        </w:rPr>
        <w:t xml:space="preserve">uilding </w:t>
      </w:r>
      <w:r w:rsidR="00415C79">
        <w:rPr>
          <w:rFonts w:ascii="Calibri" w:eastAsia="Calibri" w:hAnsi="Calibri" w:cs="Calibri"/>
          <w:i/>
          <w:iCs/>
          <w:color w:val="000000" w:themeColor="text1"/>
        </w:rPr>
        <w:t>e</w:t>
      </w:r>
      <w:r w:rsidR="009B7384" w:rsidRPr="009B7384">
        <w:rPr>
          <w:rFonts w:ascii="Calibri" w:eastAsia="Calibri" w:hAnsi="Calibri" w:cs="Calibri"/>
          <w:i/>
          <w:iCs/>
          <w:color w:val="000000" w:themeColor="text1"/>
        </w:rPr>
        <w:t>nvelope</w:t>
      </w:r>
      <w:r w:rsidR="008014C2">
        <w:rPr>
          <w:rFonts w:ascii="Calibri" w:eastAsia="Calibri" w:hAnsi="Calibri" w:cs="Calibri"/>
          <w:i/>
          <w:iCs/>
          <w:color w:val="000000" w:themeColor="text1"/>
        </w:rPr>
        <w:t xml:space="preserve">”, </w:t>
      </w:r>
      <w:r w:rsidR="009B7384" w:rsidRPr="009B7384">
        <w:rPr>
          <w:rFonts w:ascii="Calibri" w:eastAsia="Calibri" w:hAnsi="Calibri" w:cs="Calibri"/>
          <w:i/>
          <w:iCs/>
          <w:color w:val="000000" w:themeColor="text1"/>
        </w:rPr>
        <w:t>"BIM</w:t>
      </w:r>
      <w:r w:rsidR="00AF53D9">
        <w:rPr>
          <w:rFonts w:ascii="Calibri" w:eastAsia="Calibri" w:hAnsi="Calibri" w:cs="Calibri"/>
          <w:i/>
          <w:iCs/>
          <w:color w:val="000000" w:themeColor="text1"/>
        </w:rPr>
        <w:t xml:space="preserve">”, </w:t>
      </w:r>
      <w:r w:rsidR="009B7384" w:rsidRPr="009B7384">
        <w:rPr>
          <w:rFonts w:ascii="Calibri" w:eastAsia="Calibri" w:hAnsi="Calibri" w:cs="Calibri"/>
          <w:i/>
          <w:iCs/>
          <w:color w:val="000000" w:themeColor="text1"/>
        </w:rPr>
        <w:t>"skin</w:t>
      </w:r>
      <w:r w:rsidR="00AF53D9">
        <w:rPr>
          <w:rFonts w:ascii="Calibri" w:eastAsia="Calibri" w:hAnsi="Calibri" w:cs="Calibri"/>
          <w:i/>
          <w:iCs/>
          <w:color w:val="000000" w:themeColor="text1"/>
        </w:rPr>
        <w:t xml:space="preserve">”, </w:t>
      </w:r>
      <w:r w:rsidR="009B7384" w:rsidRPr="009B7384">
        <w:rPr>
          <w:rFonts w:ascii="Calibri" w:eastAsia="Calibri" w:hAnsi="Calibri" w:cs="Calibri"/>
          <w:i/>
          <w:iCs/>
          <w:color w:val="000000" w:themeColor="text1"/>
        </w:rPr>
        <w:t>"envelope"</w:t>
      </w:r>
      <w:r w:rsidR="00AF53D9">
        <w:rPr>
          <w:rFonts w:ascii="Calibri" w:eastAsia="Calibri" w:hAnsi="Calibri" w:cs="Calibri"/>
          <w:i/>
          <w:iCs/>
          <w:color w:val="000000" w:themeColor="text1"/>
        </w:rPr>
        <w:t xml:space="preserve">, </w:t>
      </w:r>
      <w:r w:rsidR="009B7384" w:rsidRPr="009B7384">
        <w:rPr>
          <w:rFonts w:ascii="Calibri" w:eastAsia="Calibri" w:hAnsi="Calibri" w:cs="Calibri"/>
          <w:i/>
          <w:iCs/>
          <w:color w:val="000000" w:themeColor="text1"/>
        </w:rPr>
        <w:t>"</w:t>
      </w:r>
      <w:r w:rsidR="00AF53D9">
        <w:rPr>
          <w:rFonts w:ascii="Calibri" w:eastAsia="Calibri" w:hAnsi="Calibri" w:cs="Calibri"/>
          <w:i/>
          <w:iCs/>
          <w:color w:val="000000" w:themeColor="text1"/>
        </w:rPr>
        <w:t>façade”,</w:t>
      </w:r>
      <w:r w:rsidR="009B7384" w:rsidRPr="009B7384">
        <w:rPr>
          <w:rFonts w:ascii="Calibri" w:eastAsia="Calibri" w:hAnsi="Calibri" w:cs="Calibri"/>
          <w:i/>
          <w:iCs/>
          <w:color w:val="000000" w:themeColor="text1"/>
        </w:rPr>
        <w:t xml:space="preserve"> “prototype”</w:t>
      </w:r>
      <w:r w:rsidR="00415C79">
        <w:rPr>
          <w:rFonts w:ascii="Calibri" w:eastAsia="Calibri" w:hAnsi="Calibri" w:cs="Calibri"/>
          <w:color w:val="000000" w:themeColor="text1"/>
        </w:rPr>
        <w:t xml:space="preserve">, </w:t>
      </w:r>
      <w:r w:rsidR="009B7384" w:rsidRPr="009B7384">
        <w:rPr>
          <w:rFonts w:ascii="Calibri" w:eastAsia="Calibri" w:hAnsi="Calibri" w:cs="Calibri"/>
          <w:i/>
          <w:iCs/>
          <w:color w:val="000000" w:themeColor="text1"/>
        </w:rPr>
        <w:t>"</w:t>
      </w:r>
      <w:r w:rsidR="00415C79">
        <w:rPr>
          <w:rFonts w:ascii="Calibri" w:eastAsia="Calibri" w:hAnsi="Calibri" w:cs="Calibri"/>
          <w:i/>
          <w:iCs/>
          <w:color w:val="000000" w:themeColor="text1"/>
        </w:rPr>
        <w:t>e</w:t>
      </w:r>
      <w:r w:rsidR="009B7384" w:rsidRPr="009B7384">
        <w:rPr>
          <w:rFonts w:ascii="Calibri" w:eastAsia="Calibri" w:hAnsi="Calibri" w:cs="Calibri"/>
          <w:i/>
          <w:iCs/>
          <w:color w:val="000000" w:themeColor="text1"/>
        </w:rPr>
        <w:t xml:space="preserve">nergy </w:t>
      </w:r>
      <w:r w:rsidR="00415C79">
        <w:rPr>
          <w:rFonts w:ascii="Calibri" w:eastAsia="Calibri" w:hAnsi="Calibri" w:cs="Calibri"/>
          <w:i/>
          <w:iCs/>
          <w:color w:val="000000" w:themeColor="text1"/>
        </w:rPr>
        <w:t>e</w:t>
      </w:r>
      <w:r w:rsidR="009B7384" w:rsidRPr="009B7384">
        <w:rPr>
          <w:rFonts w:ascii="Calibri" w:eastAsia="Calibri" w:hAnsi="Calibri" w:cs="Calibri"/>
          <w:i/>
          <w:iCs/>
          <w:color w:val="000000" w:themeColor="text1"/>
        </w:rPr>
        <w:t>fficiency"</w:t>
      </w:r>
      <w:r w:rsidR="00415C79">
        <w:rPr>
          <w:rFonts w:ascii="Calibri" w:eastAsia="Calibri" w:hAnsi="Calibri" w:cs="Calibri"/>
          <w:i/>
          <w:iCs/>
          <w:color w:val="000000" w:themeColor="text1"/>
        </w:rPr>
        <w:t>,</w:t>
      </w:r>
      <w:r w:rsidR="009B7384" w:rsidRPr="009B7384">
        <w:rPr>
          <w:rFonts w:ascii="Calibri" w:eastAsia="Calibri" w:hAnsi="Calibri" w:cs="Calibri"/>
          <w:i/>
          <w:iCs/>
          <w:color w:val="000000" w:themeColor="text1"/>
        </w:rPr>
        <w:t xml:space="preserve"> "indoor environmental quality" </w:t>
      </w:r>
      <w:r w:rsidR="008F4DB1">
        <w:rPr>
          <w:rFonts w:ascii="Calibri" w:eastAsia="Calibri" w:hAnsi="Calibri" w:cs="Calibri"/>
          <w:i/>
          <w:iCs/>
          <w:color w:val="000000" w:themeColor="text1"/>
        </w:rPr>
        <w:t>and</w:t>
      </w:r>
      <w:r w:rsidR="009B7384" w:rsidRPr="009B7384">
        <w:rPr>
          <w:rFonts w:ascii="Calibri" w:eastAsia="Calibri" w:hAnsi="Calibri" w:cs="Calibri"/>
          <w:i/>
          <w:iCs/>
          <w:color w:val="000000" w:themeColor="text1"/>
        </w:rPr>
        <w:t xml:space="preserve"> "</w:t>
      </w:r>
      <w:r w:rsidR="00BD65D2">
        <w:rPr>
          <w:rFonts w:ascii="Calibri" w:eastAsia="Calibri" w:hAnsi="Calibri" w:cs="Calibri"/>
          <w:i/>
          <w:iCs/>
          <w:color w:val="000000" w:themeColor="text1"/>
        </w:rPr>
        <w:t>multi-objective</w:t>
      </w:r>
      <w:r w:rsidR="009B7384" w:rsidRPr="009B7384">
        <w:rPr>
          <w:rFonts w:ascii="Calibri" w:eastAsia="Calibri" w:hAnsi="Calibri" w:cs="Calibri"/>
          <w:i/>
          <w:iCs/>
          <w:color w:val="000000" w:themeColor="text1"/>
        </w:rPr>
        <w:t xml:space="preserve"> optimisation</w:t>
      </w:r>
      <w:r w:rsidR="008F4DB1">
        <w:rPr>
          <w:rFonts w:ascii="Calibri" w:eastAsia="Calibri" w:hAnsi="Calibri" w:cs="Calibri"/>
          <w:i/>
          <w:iCs/>
          <w:color w:val="000000" w:themeColor="text1"/>
        </w:rPr>
        <w:t>”,</w:t>
      </w:r>
      <w:r w:rsidR="009B7384" w:rsidRPr="009B7384">
        <w:rPr>
          <w:rFonts w:ascii="Calibri" w:eastAsia="Calibri" w:hAnsi="Calibri" w:cs="Calibri"/>
          <w:color w:val="000000" w:themeColor="text1"/>
        </w:rPr>
        <w:t xml:space="preserve"> </w:t>
      </w:r>
      <w:r w:rsidRPr="1A8BFF29">
        <w:rPr>
          <w:rFonts w:ascii="Calibri" w:eastAsia="Calibri" w:hAnsi="Calibri" w:cs="Calibri"/>
          <w:color w:val="000000" w:themeColor="text1"/>
        </w:rPr>
        <w:t>with a Research-by-Design (</w:t>
      </w:r>
      <w:proofErr w:type="spellStart"/>
      <w:r w:rsidRPr="1A8BFF29">
        <w:rPr>
          <w:rFonts w:ascii="Calibri" w:eastAsia="Calibri" w:hAnsi="Calibri" w:cs="Calibri"/>
          <w:color w:val="000000" w:themeColor="text1"/>
        </w:rPr>
        <w:t>RbD</w:t>
      </w:r>
      <w:proofErr w:type="spellEnd"/>
      <w:r w:rsidRPr="1A8BFF29">
        <w:rPr>
          <w:rFonts w:ascii="Calibri" w:eastAsia="Calibri" w:hAnsi="Calibri" w:cs="Calibri"/>
          <w:color w:val="000000" w:themeColor="text1"/>
        </w:rPr>
        <w:t>) methodology</w:t>
      </w:r>
      <w:r w:rsidR="005B6D40">
        <w:rPr>
          <w:rFonts w:ascii="Calibri" w:eastAsia="Calibri" w:hAnsi="Calibri" w:cs="Calibri"/>
          <w:color w:val="000000" w:themeColor="text1"/>
        </w:rPr>
        <w:t>.</w:t>
      </w:r>
      <w:r w:rsidRPr="1A8BFF29">
        <w:rPr>
          <w:rFonts w:ascii="Calibri" w:eastAsia="Calibri" w:hAnsi="Calibri" w:cs="Calibri"/>
          <w:color w:val="000000" w:themeColor="text1"/>
        </w:rPr>
        <w:t xml:space="preserve"> The methodology follows an interconnected process where the SLR insights directly inform the prototype development, creating a dynamic research cycle that balances theoretical foundation and a practical, innovative approach. It links evidence-based investigation with </w:t>
      </w:r>
      <w:r w:rsidR="00BD65D2">
        <w:rPr>
          <w:rFonts w:ascii="Calibri" w:eastAsia="Calibri" w:hAnsi="Calibri" w:cs="Calibri"/>
          <w:color w:val="000000" w:themeColor="text1"/>
        </w:rPr>
        <w:t>performance-driven</w:t>
      </w:r>
      <w:r w:rsidRPr="1A8BFF29">
        <w:rPr>
          <w:rFonts w:ascii="Calibri" w:eastAsia="Calibri" w:hAnsi="Calibri" w:cs="Calibri"/>
          <w:color w:val="000000" w:themeColor="text1"/>
        </w:rPr>
        <w:t xml:space="preserve"> experimentation to evaluate how smart building envelopes can be integrated into a retrofit workflow through a BIM-enabled process. </w:t>
      </w:r>
      <w:r w:rsidR="008171B9" w:rsidRPr="008171B9">
        <w:rPr>
          <w:rFonts w:ascii="Calibri" w:eastAsia="Calibri" w:hAnsi="Calibri" w:cs="Calibri"/>
          <w:color w:val="000000" w:themeColor="text1"/>
        </w:rPr>
        <w:t xml:space="preserve">This enabled the study to have iterative </w:t>
      </w:r>
      <w:r w:rsidR="00BD65D2">
        <w:rPr>
          <w:rFonts w:ascii="Calibri" w:eastAsia="Calibri" w:hAnsi="Calibri" w:cs="Calibri"/>
          <w:color w:val="000000" w:themeColor="text1"/>
        </w:rPr>
        <w:t>experimentation</w:t>
      </w:r>
      <w:r w:rsidR="008171B9" w:rsidRPr="008171B9">
        <w:rPr>
          <w:rFonts w:ascii="Calibri" w:eastAsia="Calibri" w:hAnsi="Calibri" w:cs="Calibri"/>
          <w:color w:val="000000" w:themeColor="text1"/>
        </w:rPr>
        <w:t xml:space="preserve"> through the development, simulation</w:t>
      </w:r>
      <w:r w:rsidR="008879DF">
        <w:rPr>
          <w:rFonts w:ascii="Calibri" w:eastAsia="Calibri" w:hAnsi="Calibri" w:cs="Calibri"/>
          <w:color w:val="000000" w:themeColor="text1"/>
        </w:rPr>
        <w:t>,</w:t>
      </w:r>
      <w:r w:rsidR="008171B9" w:rsidRPr="008171B9">
        <w:rPr>
          <w:rFonts w:ascii="Calibri" w:eastAsia="Calibri" w:hAnsi="Calibri" w:cs="Calibri"/>
          <w:color w:val="000000" w:themeColor="text1"/>
        </w:rPr>
        <w:t xml:space="preserve"> and evaluation in consideration </w:t>
      </w:r>
      <w:r w:rsidR="008879DF">
        <w:rPr>
          <w:rFonts w:ascii="Calibri" w:eastAsia="Calibri" w:hAnsi="Calibri" w:cs="Calibri"/>
          <w:color w:val="000000" w:themeColor="text1"/>
        </w:rPr>
        <w:t>of</w:t>
      </w:r>
      <w:r w:rsidR="008171B9" w:rsidRPr="008171B9">
        <w:rPr>
          <w:rFonts w:ascii="Calibri" w:eastAsia="Calibri" w:hAnsi="Calibri" w:cs="Calibri"/>
          <w:color w:val="000000" w:themeColor="text1"/>
        </w:rPr>
        <w:t xml:space="preserve"> multiple retrofit scenarios, while maintaining model assumptions and boundary conditions across the experiment.</w:t>
      </w:r>
    </w:p>
    <w:p w14:paraId="4671193C" w14:textId="4820952F" w:rsidR="64203B1B" w:rsidRPr="008E1D84" w:rsidRDefault="00D12FF9" w:rsidP="008E1D84">
      <w:pPr>
        <w:pStyle w:val="ListParagraph"/>
        <w:numPr>
          <w:ilvl w:val="1"/>
          <w:numId w:val="18"/>
        </w:numPr>
        <w:spacing w:after="40" w:line="257" w:lineRule="auto"/>
        <w:rPr>
          <w:rFonts w:ascii="Calibri" w:eastAsia="Calibri" w:hAnsi="Calibri" w:cs="Calibri"/>
          <w:b/>
          <w:bCs/>
          <w:color w:val="000000" w:themeColor="text1"/>
          <w:sz w:val="28"/>
          <w:szCs w:val="28"/>
        </w:rPr>
      </w:pPr>
      <w:r>
        <w:rPr>
          <w:rFonts w:ascii="Calibri" w:eastAsia="Calibri" w:hAnsi="Calibri" w:cs="Calibri"/>
          <w:b/>
          <w:bCs/>
          <w:color w:val="000000" w:themeColor="text1"/>
          <w:sz w:val="28"/>
          <w:szCs w:val="28"/>
        </w:rPr>
        <w:t xml:space="preserve"> </w:t>
      </w:r>
      <w:r w:rsidR="1A8BFF29" w:rsidRPr="008E1D84">
        <w:rPr>
          <w:rFonts w:ascii="Calibri" w:eastAsia="Calibri" w:hAnsi="Calibri" w:cs="Calibri"/>
          <w:b/>
          <w:bCs/>
          <w:color w:val="000000" w:themeColor="text1"/>
          <w:sz w:val="28"/>
          <w:szCs w:val="28"/>
        </w:rPr>
        <w:t xml:space="preserve">Research by </w:t>
      </w:r>
      <w:r>
        <w:rPr>
          <w:rFonts w:ascii="Calibri" w:eastAsia="Calibri" w:hAnsi="Calibri" w:cs="Calibri"/>
          <w:b/>
          <w:bCs/>
          <w:color w:val="000000" w:themeColor="text1"/>
          <w:sz w:val="28"/>
          <w:szCs w:val="28"/>
        </w:rPr>
        <w:t>D</w:t>
      </w:r>
      <w:r w:rsidR="1A8BFF29" w:rsidRPr="008E1D84">
        <w:rPr>
          <w:rFonts w:ascii="Calibri" w:eastAsia="Calibri" w:hAnsi="Calibri" w:cs="Calibri"/>
          <w:b/>
          <w:bCs/>
          <w:color w:val="000000" w:themeColor="text1"/>
          <w:sz w:val="28"/>
          <w:szCs w:val="28"/>
        </w:rPr>
        <w:t>esign and Shoebox Modelling</w:t>
      </w:r>
    </w:p>
    <w:p w14:paraId="433D6EC2" w14:textId="585B9CA7" w:rsidR="00247368" w:rsidRPr="00247368" w:rsidRDefault="1A8BFF29" w:rsidP="00247368">
      <w:pPr>
        <w:spacing w:after="40" w:line="257" w:lineRule="auto"/>
        <w:jc w:val="both"/>
        <w:rPr>
          <w:rFonts w:ascii="Calibri" w:eastAsia="Calibri" w:hAnsi="Calibri" w:cs="Calibri"/>
          <w:color w:val="000000" w:themeColor="text1"/>
        </w:rPr>
      </w:pPr>
      <w:r w:rsidRPr="1A8BFF29">
        <w:rPr>
          <w:rFonts w:ascii="Calibri" w:eastAsia="Calibri" w:hAnsi="Calibri" w:cs="Calibri"/>
          <w:color w:val="000000" w:themeColor="text1"/>
          <w:lang w:val="en-US"/>
        </w:rPr>
        <w:t xml:space="preserve"> </w:t>
      </w:r>
      <w:r w:rsidR="64203B1B">
        <w:tab/>
      </w:r>
      <w:r w:rsidRPr="1A8BFF29">
        <w:rPr>
          <w:rFonts w:ascii="Calibri" w:eastAsia="Calibri" w:hAnsi="Calibri" w:cs="Calibri"/>
          <w:color w:val="000000" w:themeColor="text1"/>
        </w:rPr>
        <w:t xml:space="preserve">A simplified shoebox office model was developed as </w:t>
      </w:r>
      <w:r w:rsidR="008879DF">
        <w:rPr>
          <w:rFonts w:ascii="Calibri" w:eastAsia="Calibri" w:hAnsi="Calibri" w:cs="Calibri"/>
          <w:color w:val="000000" w:themeColor="text1"/>
        </w:rPr>
        <w:t xml:space="preserve">a </w:t>
      </w:r>
      <w:r w:rsidRPr="1A8BFF29">
        <w:rPr>
          <w:rFonts w:ascii="Calibri" w:eastAsia="Calibri" w:hAnsi="Calibri" w:cs="Calibri"/>
          <w:color w:val="000000" w:themeColor="text1"/>
        </w:rPr>
        <w:t xml:space="preserve">prototypical </w:t>
      </w:r>
      <w:r w:rsidR="008171B9">
        <w:rPr>
          <w:rFonts w:ascii="Calibri" w:eastAsia="Calibri" w:hAnsi="Calibri" w:cs="Calibri"/>
          <w:color w:val="000000" w:themeColor="text1"/>
        </w:rPr>
        <w:t xml:space="preserve">test </w:t>
      </w:r>
      <w:r w:rsidRPr="1A8BFF29">
        <w:rPr>
          <w:rFonts w:ascii="Calibri" w:eastAsia="Calibri" w:hAnsi="Calibri" w:cs="Calibri"/>
          <w:color w:val="000000" w:themeColor="text1"/>
        </w:rPr>
        <w:t xml:space="preserve">model to </w:t>
      </w:r>
      <w:r w:rsidR="00647DB1" w:rsidRPr="00647DB1">
        <w:rPr>
          <w:rFonts w:ascii="Calibri" w:eastAsia="Calibri" w:hAnsi="Calibri" w:cs="Calibri"/>
          <w:color w:val="000000" w:themeColor="text1"/>
        </w:rPr>
        <w:t>isolate</w:t>
      </w:r>
      <w:r w:rsidRPr="1A8BFF29">
        <w:rPr>
          <w:rFonts w:ascii="Calibri" w:eastAsia="Calibri" w:hAnsi="Calibri" w:cs="Calibri"/>
          <w:color w:val="000000" w:themeColor="text1"/>
        </w:rPr>
        <w:t xml:space="preserve"> the </w:t>
      </w:r>
      <w:r w:rsidR="00647DB1" w:rsidRPr="00647DB1">
        <w:rPr>
          <w:rFonts w:ascii="Calibri" w:eastAsia="Calibri" w:hAnsi="Calibri" w:cs="Calibri"/>
          <w:color w:val="000000" w:themeColor="text1"/>
        </w:rPr>
        <w:t>influence of envelope variables</w:t>
      </w:r>
      <w:r w:rsidRPr="1A8BFF29">
        <w:rPr>
          <w:rFonts w:ascii="Calibri" w:eastAsia="Calibri" w:hAnsi="Calibri" w:cs="Calibri"/>
          <w:color w:val="000000" w:themeColor="text1"/>
        </w:rPr>
        <w:t xml:space="preserve"> of different retrofit envelope strategies while maintaining consistent boundary conditions. This approach also helps to maintain a consistent data schema by using shared parameters for thermal properties, control triggers, and material specifications </w:t>
      </w:r>
      <w:r w:rsidRPr="1A8BFF29">
        <w:rPr>
          <w:rFonts w:ascii="Calibri" w:eastAsia="Calibri" w:hAnsi="Calibri" w:cs="Calibri"/>
        </w:rPr>
        <w:t>(Dogan and Reinhart, 2013)</w:t>
      </w:r>
      <w:r w:rsidRPr="1A8BFF29">
        <w:rPr>
          <w:rFonts w:ascii="Calibri" w:eastAsia="Calibri" w:hAnsi="Calibri" w:cs="Calibri"/>
          <w:color w:val="000000" w:themeColor="text1"/>
        </w:rPr>
        <w:t xml:space="preserve">, while it holds advantages across parametric flexibility for aspects like geometry, glazing ratios, and envelope configurations. </w:t>
      </w:r>
    </w:p>
    <w:p w14:paraId="724E62DF" w14:textId="00DBE843" w:rsidR="00A22C40" w:rsidRPr="00647DB1" w:rsidRDefault="00A22C40" w:rsidP="00A22C40">
      <w:pPr>
        <w:pStyle w:val="Caption"/>
        <w:keepNext/>
        <w:rPr>
          <w:rFonts w:ascii="Calibri" w:hAnsi="Calibri" w:cs="Calibri"/>
          <w:sz w:val="20"/>
          <w:szCs w:val="20"/>
        </w:rPr>
      </w:pPr>
      <w:r w:rsidRPr="00647DB1">
        <w:rPr>
          <w:rFonts w:ascii="Calibri" w:hAnsi="Calibri" w:cs="Calibri"/>
          <w:sz w:val="20"/>
          <w:szCs w:val="20"/>
        </w:rPr>
        <w:t xml:space="preserve">Table </w:t>
      </w:r>
      <w:r w:rsidR="00BA0BD4" w:rsidRPr="00647DB1">
        <w:rPr>
          <w:rFonts w:ascii="Calibri" w:hAnsi="Calibri" w:cs="Calibri"/>
          <w:sz w:val="20"/>
          <w:szCs w:val="20"/>
        </w:rPr>
        <w:fldChar w:fldCharType="begin"/>
      </w:r>
      <w:r w:rsidR="00BA0BD4" w:rsidRPr="00647DB1">
        <w:rPr>
          <w:rFonts w:ascii="Calibri" w:hAnsi="Calibri" w:cs="Calibri"/>
          <w:sz w:val="20"/>
          <w:szCs w:val="20"/>
        </w:rPr>
        <w:instrText xml:space="preserve"> SEQ Table \* ARABIC </w:instrText>
      </w:r>
      <w:r w:rsidR="00BA0BD4" w:rsidRPr="00647DB1">
        <w:rPr>
          <w:rFonts w:ascii="Calibri" w:hAnsi="Calibri" w:cs="Calibri"/>
          <w:sz w:val="20"/>
          <w:szCs w:val="20"/>
        </w:rPr>
        <w:fldChar w:fldCharType="separate"/>
      </w:r>
      <w:r w:rsidRPr="00647DB1">
        <w:rPr>
          <w:rFonts w:ascii="Calibri" w:hAnsi="Calibri" w:cs="Calibri"/>
          <w:sz w:val="20"/>
          <w:szCs w:val="20"/>
        </w:rPr>
        <w:t>1</w:t>
      </w:r>
      <w:r w:rsidR="00BA0BD4" w:rsidRPr="00647DB1">
        <w:rPr>
          <w:rFonts w:ascii="Calibri" w:hAnsi="Calibri" w:cs="Calibri"/>
          <w:sz w:val="20"/>
          <w:szCs w:val="20"/>
        </w:rPr>
        <w:fldChar w:fldCharType="end"/>
      </w:r>
      <w:r w:rsidRPr="00647DB1">
        <w:rPr>
          <w:rFonts w:ascii="Calibri" w:hAnsi="Calibri" w:cs="Calibri"/>
          <w:sz w:val="20"/>
          <w:szCs w:val="20"/>
        </w:rPr>
        <w:t>: Scenario Overview</w:t>
      </w:r>
    </w:p>
    <w:tbl>
      <w:tblPr>
        <w:tblW w:w="0" w:type="auto"/>
        <w:tblLook w:val="04A0" w:firstRow="1" w:lastRow="0" w:firstColumn="1" w:lastColumn="0" w:noHBand="0" w:noVBand="1"/>
      </w:tblPr>
      <w:tblGrid>
        <w:gridCol w:w="3192"/>
        <w:gridCol w:w="2981"/>
        <w:gridCol w:w="2833"/>
      </w:tblGrid>
      <w:tr w:rsidR="483A7505" w14:paraId="284FBDA4" w14:textId="77777777" w:rsidTr="00417851">
        <w:trPr>
          <w:trHeight w:val="295"/>
        </w:trPr>
        <w:tc>
          <w:tcPr>
            <w:tcW w:w="3195" w:type="dxa"/>
            <w:tcBorders>
              <w:top w:val="single" w:sz="8" w:space="0" w:color="auto"/>
              <w:left w:val="single" w:sz="8" w:space="0" w:color="auto"/>
              <w:bottom w:val="single" w:sz="8" w:space="0" w:color="auto"/>
              <w:right w:val="single" w:sz="8" w:space="0" w:color="auto"/>
            </w:tcBorders>
            <w:shd w:val="clear" w:color="auto" w:fill="7F8FA9"/>
            <w:tcMar>
              <w:left w:w="105" w:type="dxa"/>
              <w:right w:w="105" w:type="dxa"/>
            </w:tcMar>
            <w:vAlign w:val="center"/>
          </w:tcPr>
          <w:p w14:paraId="4E7B4759" w14:textId="404D28B6" w:rsidR="483A7505" w:rsidRDefault="1A8BFF29" w:rsidP="1A8BFF29">
            <w:pPr>
              <w:spacing w:after="0" w:line="257" w:lineRule="auto"/>
              <w:jc w:val="center"/>
              <w:rPr>
                <w:rFonts w:ascii="Calibri" w:eastAsia="Calibri" w:hAnsi="Calibri" w:cs="Calibri"/>
                <w:b/>
                <w:bCs/>
                <w:color w:val="000000" w:themeColor="text1"/>
              </w:rPr>
            </w:pPr>
            <w:r w:rsidRPr="1A8BFF29">
              <w:rPr>
                <w:rFonts w:ascii="Calibri" w:eastAsia="Calibri" w:hAnsi="Calibri" w:cs="Calibri"/>
                <w:b/>
                <w:bCs/>
                <w:color w:val="000000" w:themeColor="text1"/>
              </w:rPr>
              <w:t>Scenario</w:t>
            </w:r>
          </w:p>
        </w:tc>
        <w:tc>
          <w:tcPr>
            <w:tcW w:w="2984" w:type="dxa"/>
            <w:tcBorders>
              <w:top w:val="single" w:sz="8" w:space="0" w:color="auto"/>
              <w:left w:val="single" w:sz="8" w:space="0" w:color="auto"/>
              <w:bottom w:val="single" w:sz="8" w:space="0" w:color="auto"/>
              <w:right w:val="single" w:sz="8" w:space="0" w:color="auto"/>
            </w:tcBorders>
            <w:shd w:val="clear" w:color="auto" w:fill="7F8FA9"/>
            <w:tcMar>
              <w:left w:w="105" w:type="dxa"/>
              <w:right w:w="105" w:type="dxa"/>
            </w:tcMar>
            <w:vAlign w:val="center"/>
          </w:tcPr>
          <w:p w14:paraId="7EE6E0B8" w14:textId="6D959925" w:rsidR="483A7505" w:rsidRDefault="1A8BFF29" w:rsidP="1A8BFF29">
            <w:pPr>
              <w:spacing w:after="0" w:line="257" w:lineRule="auto"/>
              <w:jc w:val="center"/>
              <w:rPr>
                <w:rFonts w:ascii="Calibri" w:eastAsia="Calibri" w:hAnsi="Calibri" w:cs="Calibri"/>
                <w:b/>
                <w:bCs/>
                <w:color w:val="000000" w:themeColor="text1"/>
              </w:rPr>
            </w:pPr>
            <w:r w:rsidRPr="1A8BFF29">
              <w:rPr>
                <w:rFonts w:ascii="Calibri" w:eastAsia="Calibri" w:hAnsi="Calibri" w:cs="Calibri"/>
                <w:b/>
                <w:bCs/>
                <w:color w:val="000000" w:themeColor="text1"/>
              </w:rPr>
              <w:t>Curtain Wall Window</w:t>
            </w:r>
          </w:p>
        </w:tc>
        <w:tc>
          <w:tcPr>
            <w:tcW w:w="2836" w:type="dxa"/>
            <w:tcBorders>
              <w:top w:val="single" w:sz="8" w:space="0" w:color="auto"/>
              <w:left w:val="single" w:sz="8" w:space="0" w:color="auto"/>
              <w:bottom w:val="single" w:sz="8" w:space="0" w:color="auto"/>
              <w:right w:val="single" w:sz="8" w:space="0" w:color="auto"/>
            </w:tcBorders>
            <w:shd w:val="clear" w:color="auto" w:fill="7F8FA9"/>
            <w:tcMar>
              <w:left w:w="105" w:type="dxa"/>
              <w:right w:w="105" w:type="dxa"/>
            </w:tcMar>
            <w:vAlign w:val="center"/>
          </w:tcPr>
          <w:p w14:paraId="50A84210" w14:textId="3D13D8F2" w:rsidR="483A7505" w:rsidRDefault="1A8BFF29" w:rsidP="1A8BFF29">
            <w:pPr>
              <w:spacing w:after="0" w:line="257" w:lineRule="auto"/>
              <w:jc w:val="center"/>
              <w:rPr>
                <w:rFonts w:ascii="Calibri" w:eastAsia="Calibri" w:hAnsi="Calibri" w:cs="Calibri"/>
                <w:b/>
                <w:bCs/>
                <w:color w:val="000000" w:themeColor="text1"/>
              </w:rPr>
            </w:pPr>
            <w:r w:rsidRPr="1A8BFF29">
              <w:rPr>
                <w:rFonts w:ascii="Calibri" w:eastAsia="Calibri" w:hAnsi="Calibri" w:cs="Calibri"/>
                <w:b/>
                <w:bCs/>
                <w:color w:val="000000" w:themeColor="text1"/>
              </w:rPr>
              <w:t>Second Skin</w:t>
            </w:r>
          </w:p>
        </w:tc>
      </w:tr>
      <w:tr w:rsidR="483A7505" w14:paraId="5BA37A62" w14:textId="77777777" w:rsidTr="00417851">
        <w:trPr>
          <w:trHeight w:val="70"/>
        </w:trPr>
        <w:tc>
          <w:tcPr>
            <w:tcW w:w="3195" w:type="dxa"/>
            <w:tcBorders>
              <w:top w:val="single" w:sz="8" w:space="0" w:color="auto"/>
              <w:left w:val="single" w:sz="8" w:space="0" w:color="auto"/>
              <w:bottom w:val="single" w:sz="8" w:space="0" w:color="auto"/>
              <w:right w:val="single" w:sz="8" w:space="0" w:color="auto"/>
            </w:tcBorders>
            <w:shd w:val="clear" w:color="auto" w:fill="BCD9DE"/>
            <w:tcMar>
              <w:left w:w="105" w:type="dxa"/>
              <w:right w:w="105" w:type="dxa"/>
            </w:tcMar>
            <w:vAlign w:val="center"/>
          </w:tcPr>
          <w:p w14:paraId="7ACBBE80" w14:textId="21B8668E" w:rsidR="483A7505" w:rsidRDefault="1A8BFF29" w:rsidP="1A8BFF29">
            <w:pPr>
              <w:spacing w:after="0" w:line="257" w:lineRule="auto"/>
              <w:rPr>
                <w:rFonts w:ascii="Calibri" w:eastAsia="Calibri" w:hAnsi="Calibri" w:cs="Calibri"/>
                <w:b/>
                <w:bCs/>
                <w:color w:val="000000" w:themeColor="text1"/>
              </w:rPr>
            </w:pPr>
            <w:r w:rsidRPr="1A8BFF29">
              <w:rPr>
                <w:rFonts w:ascii="Calibri" w:eastAsia="Calibri" w:hAnsi="Calibri" w:cs="Calibri"/>
                <w:b/>
                <w:bCs/>
                <w:color w:val="000000" w:themeColor="text1"/>
              </w:rPr>
              <w:t>1. Control model</w:t>
            </w:r>
          </w:p>
        </w:tc>
        <w:tc>
          <w:tcPr>
            <w:tcW w:w="2984"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DAF893A" w14:textId="38072578" w:rsidR="483A7505" w:rsidRDefault="1A8BFF29" w:rsidP="1A8BFF29">
            <w:pPr>
              <w:spacing w:after="0" w:line="257" w:lineRule="auto"/>
              <w:jc w:val="center"/>
              <w:rPr>
                <w:rFonts w:ascii="Calibri" w:eastAsia="Calibri" w:hAnsi="Calibri" w:cs="Calibri"/>
                <w:color w:val="000000" w:themeColor="text1"/>
              </w:rPr>
            </w:pPr>
            <w:r w:rsidRPr="1A8BFF29">
              <w:rPr>
                <w:rFonts w:ascii="Calibri" w:eastAsia="Calibri" w:hAnsi="Calibri" w:cs="Calibri"/>
                <w:color w:val="000000" w:themeColor="text1"/>
              </w:rPr>
              <w:t>Manual operation</w:t>
            </w:r>
          </w:p>
        </w:tc>
        <w:tc>
          <w:tcPr>
            <w:tcW w:w="283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BD1203F" w14:textId="487B241C" w:rsidR="483A7505" w:rsidRDefault="1A8BFF29" w:rsidP="1A8BFF29">
            <w:pPr>
              <w:spacing w:after="0" w:line="257" w:lineRule="auto"/>
              <w:jc w:val="center"/>
              <w:rPr>
                <w:rFonts w:ascii="Calibri" w:eastAsia="Calibri" w:hAnsi="Calibri" w:cs="Calibri"/>
                <w:color w:val="000000" w:themeColor="text1"/>
              </w:rPr>
            </w:pPr>
            <w:r w:rsidRPr="1A8BFF29">
              <w:rPr>
                <w:rFonts w:ascii="Calibri" w:eastAsia="Calibri" w:hAnsi="Calibri" w:cs="Calibri"/>
                <w:color w:val="000000" w:themeColor="text1"/>
              </w:rPr>
              <w:t>None</w:t>
            </w:r>
          </w:p>
        </w:tc>
      </w:tr>
      <w:tr w:rsidR="483A7505" w14:paraId="32846F02" w14:textId="77777777" w:rsidTr="00417851">
        <w:trPr>
          <w:trHeight w:val="205"/>
        </w:trPr>
        <w:tc>
          <w:tcPr>
            <w:tcW w:w="3195" w:type="dxa"/>
            <w:tcBorders>
              <w:top w:val="single" w:sz="8" w:space="0" w:color="auto"/>
              <w:left w:val="single" w:sz="8" w:space="0" w:color="auto"/>
              <w:bottom w:val="single" w:sz="8" w:space="0" w:color="auto"/>
              <w:right w:val="single" w:sz="8" w:space="0" w:color="auto"/>
            </w:tcBorders>
            <w:shd w:val="clear" w:color="auto" w:fill="BCD9DE"/>
            <w:tcMar>
              <w:left w:w="105" w:type="dxa"/>
              <w:right w:w="105" w:type="dxa"/>
            </w:tcMar>
            <w:vAlign w:val="center"/>
          </w:tcPr>
          <w:p w14:paraId="000F1EC8" w14:textId="7A017B0A" w:rsidR="483A7505" w:rsidRDefault="1A8BFF29" w:rsidP="1A8BFF29">
            <w:pPr>
              <w:spacing w:after="0" w:line="257" w:lineRule="auto"/>
              <w:rPr>
                <w:rFonts w:ascii="Calibri" w:eastAsia="Calibri" w:hAnsi="Calibri" w:cs="Calibri"/>
                <w:b/>
                <w:bCs/>
                <w:color w:val="000000" w:themeColor="text1"/>
              </w:rPr>
            </w:pPr>
            <w:r w:rsidRPr="1A8BFF29">
              <w:rPr>
                <w:rFonts w:ascii="Calibri" w:eastAsia="Calibri" w:hAnsi="Calibri" w:cs="Calibri"/>
                <w:b/>
                <w:bCs/>
                <w:color w:val="000000" w:themeColor="text1"/>
              </w:rPr>
              <w:t>2. Automated envelope</w:t>
            </w:r>
          </w:p>
        </w:tc>
        <w:tc>
          <w:tcPr>
            <w:tcW w:w="2984"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1ACD7B9" w14:textId="3DE8E22F" w:rsidR="483A7505" w:rsidRDefault="1A8BFF29" w:rsidP="1A8BFF29">
            <w:pPr>
              <w:spacing w:after="0" w:line="257" w:lineRule="auto"/>
              <w:jc w:val="center"/>
              <w:rPr>
                <w:rFonts w:ascii="Calibri" w:eastAsia="Calibri" w:hAnsi="Calibri" w:cs="Calibri"/>
                <w:color w:val="000000" w:themeColor="text1"/>
              </w:rPr>
            </w:pPr>
            <w:r w:rsidRPr="1A8BFF29">
              <w:rPr>
                <w:rFonts w:ascii="Calibri" w:eastAsia="Calibri" w:hAnsi="Calibri" w:cs="Calibri"/>
                <w:color w:val="000000" w:themeColor="text1"/>
              </w:rPr>
              <w:t>Automated operation</w:t>
            </w:r>
          </w:p>
        </w:tc>
        <w:tc>
          <w:tcPr>
            <w:tcW w:w="283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F7B5B3B" w14:textId="25A19C6D" w:rsidR="483A7505" w:rsidRDefault="1A8BFF29" w:rsidP="1A8BFF29">
            <w:pPr>
              <w:spacing w:after="0" w:line="257" w:lineRule="auto"/>
              <w:jc w:val="center"/>
              <w:rPr>
                <w:rFonts w:ascii="Calibri" w:eastAsia="Calibri" w:hAnsi="Calibri" w:cs="Calibri"/>
                <w:color w:val="000000" w:themeColor="text1"/>
              </w:rPr>
            </w:pPr>
            <w:r w:rsidRPr="1A8BFF29">
              <w:rPr>
                <w:rFonts w:ascii="Calibri" w:eastAsia="Calibri" w:hAnsi="Calibri" w:cs="Calibri"/>
                <w:color w:val="000000" w:themeColor="text1"/>
              </w:rPr>
              <w:t>None</w:t>
            </w:r>
          </w:p>
        </w:tc>
      </w:tr>
      <w:tr w:rsidR="483A7505" w14:paraId="2A770569" w14:textId="77777777" w:rsidTr="00417851">
        <w:trPr>
          <w:trHeight w:val="169"/>
        </w:trPr>
        <w:tc>
          <w:tcPr>
            <w:tcW w:w="3195" w:type="dxa"/>
            <w:tcBorders>
              <w:top w:val="single" w:sz="8" w:space="0" w:color="auto"/>
              <w:left w:val="single" w:sz="8" w:space="0" w:color="auto"/>
              <w:bottom w:val="single" w:sz="8" w:space="0" w:color="auto"/>
              <w:right w:val="single" w:sz="8" w:space="0" w:color="auto"/>
            </w:tcBorders>
            <w:shd w:val="clear" w:color="auto" w:fill="BCD9DE"/>
            <w:tcMar>
              <w:left w:w="105" w:type="dxa"/>
              <w:right w:w="105" w:type="dxa"/>
            </w:tcMar>
            <w:vAlign w:val="center"/>
          </w:tcPr>
          <w:p w14:paraId="0F764ED3" w14:textId="00233CEC" w:rsidR="483A7505" w:rsidRDefault="1A8BFF29" w:rsidP="1A8BFF29">
            <w:pPr>
              <w:spacing w:after="0" w:line="257" w:lineRule="auto"/>
              <w:rPr>
                <w:rFonts w:ascii="Calibri" w:eastAsia="Calibri" w:hAnsi="Calibri" w:cs="Calibri"/>
                <w:b/>
                <w:bCs/>
                <w:color w:val="000000" w:themeColor="text1"/>
              </w:rPr>
            </w:pPr>
            <w:r w:rsidRPr="1A8BFF29">
              <w:rPr>
                <w:rFonts w:ascii="Calibri" w:eastAsia="Calibri" w:hAnsi="Calibri" w:cs="Calibri"/>
                <w:b/>
                <w:bCs/>
                <w:color w:val="000000" w:themeColor="text1"/>
              </w:rPr>
              <w:t>3. Automated second skin</w:t>
            </w:r>
          </w:p>
        </w:tc>
        <w:tc>
          <w:tcPr>
            <w:tcW w:w="2984"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6BBB62E" w14:textId="79F73B2B" w:rsidR="483A7505" w:rsidRDefault="1A8BFF29" w:rsidP="1A8BFF29">
            <w:pPr>
              <w:spacing w:after="0" w:line="257" w:lineRule="auto"/>
              <w:jc w:val="center"/>
              <w:rPr>
                <w:rFonts w:ascii="Calibri" w:eastAsia="Calibri" w:hAnsi="Calibri" w:cs="Calibri"/>
                <w:color w:val="000000" w:themeColor="text1"/>
              </w:rPr>
            </w:pPr>
            <w:r w:rsidRPr="1A8BFF29">
              <w:rPr>
                <w:rFonts w:ascii="Calibri" w:eastAsia="Calibri" w:hAnsi="Calibri" w:cs="Calibri"/>
                <w:color w:val="000000" w:themeColor="text1"/>
              </w:rPr>
              <w:t>Manual operation</w:t>
            </w:r>
          </w:p>
        </w:tc>
        <w:tc>
          <w:tcPr>
            <w:tcW w:w="283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293D8DD" w14:textId="425B613E" w:rsidR="483A7505" w:rsidRDefault="1A8BFF29" w:rsidP="1A8BFF29">
            <w:pPr>
              <w:spacing w:after="0" w:line="257" w:lineRule="auto"/>
              <w:jc w:val="center"/>
              <w:rPr>
                <w:rFonts w:ascii="Calibri" w:eastAsia="Calibri" w:hAnsi="Calibri" w:cs="Calibri"/>
                <w:color w:val="000000" w:themeColor="text1"/>
              </w:rPr>
            </w:pPr>
            <w:r w:rsidRPr="1A8BFF29">
              <w:rPr>
                <w:rFonts w:ascii="Calibri" w:eastAsia="Calibri" w:hAnsi="Calibri" w:cs="Calibri"/>
                <w:color w:val="000000" w:themeColor="text1"/>
              </w:rPr>
              <w:t>Automated operation</w:t>
            </w:r>
          </w:p>
        </w:tc>
      </w:tr>
      <w:tr w:rsidR="483A7505" w14:paraId="2F914691" w14:textId="77777777" w:rsidTr="00417851">
        <w:trPr>
          <w:trHeight w:val="133"/>
        </w:trPr>
        <w:tc>
          <w:tcPr>
            <w:tcW w:w="3195" w:type="dxa"/>
            <w:tcBorders>
              <w:top w:val="single" w:sz="8" w:space="0" w:color="auto"/>
              <w:left w:val="single" w:sz="8" w:space="0" w:color="auto"/>
              <w:bottom w:val="single" w:sz="8" w:space="0" w:color="auto"/>
              <w:right w:val="single" w:sz="8" w:space="0" w:color="auto"/>
            </w:tcBorders>
            <w:shd w:val="clear" w:color="auto" w:fill="BCD9DE"/>
            <w:tcMar>
              <w:left w:w="105" w:type="dxa"/>
              <w:right w:w="105" w:type="dxa"/>
            </w:tcMar>
            <w:vAlign w:val="center"/>
          </w:tcPr>
          <w:p w14:paraId="3BC2B616" w14:textId="7DCEC758" w:rsidR="483A7505" w:rsidRDefault="1A8BFF29" w:rsidP="1A8BFF29">
            <w:pPr>
              <w:spacing w:after="0" w:line="257" w:lineRule="auto"/>
              <w:rPr>
                <w:rFonts w:ascii="Calibri" w:eastAsia="Calibri" w:hAnsi="Calibri" w:cs="Calibri"/>
                <w:b/>
                <w:bCs/>
                <w:color w:val="000000" w:themeColor="text1"/>
              </w:rPr>
            </w:pPr>
            <w:r w:rsidRPr="1A8BFF29">
              <w:rPr>
                <w:rFonts w:ascii="Calibri" w:eastAsia="Calibri" w:hAnsi="Calibri" w:cs="Calibri"/>
                <w:b/>
                <w:bCs/>
                <w:color w:val="000000" w:themeColor="text1"/>
              </w:rPr>
              <w:t>4. Fully automated second skin</w:t>
            </w:r>
          </w:p>
        </w:tc>
        <w:tc>
          <w:tcPr>
            <w:tcW w:w="2984"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8FC3A36" w14:textId="0CD7DF7C" w:rsidR="483A7505" w:rsidRDefault="1A8BFF29" w:rsidP="1A8BFF29">
            <w:pPr>
              <w:spacing w:after="0" w:line="257" w:lineRule="auto"/>
              <w:jc w:val="center"/>
              <w:rPr>
                <w:rFonts w:ascii="Calibri" w:eastAsia="Calibri" w:hAnsi="Calibri" w:cs="Calibri"/>
                <w:color w:val="000000" w:themeColor="text1"/>
              </w:rPr>
            </w:pPr>
            <w:r w:rsidRPr="1A8BFF29">
              <w:rPr>
                <w:rFonts w:ascii="Calibri" w:eastAsia="Calibri" w:hAnsi="Calibri" w:cs="Calibri"/>
                <w:color w:val="000000" w:themeColor="text1"/>
              </w:rPr>
              <w:t>Automated operation</w:t>
            </w:r>
          </w:p>
        </w:tc>
        <w:tc>
          <w:tcPr>
            <w:tcW w:w="283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6F538D0" w14:textId="4799261C" w:rsidR="483A7505" w:rsidRDefault="1A8BFF29" w:rsidP="009B7384">
            <w:pPr>
              <w:keepNext/>
              <w:spacing w:after="0" w:line="257" w:lineRule="auto"/>
              <w:jc w:val="center"/>
              <w:rPr>
                <w:rFonts w:ascii="Calibri" w:eastAsia="Calibri" w:hAnsi="Calibri" w:cs="Calibri"/>
                <w:color w:val="000000" w:themeColor="text1"/>
              </w:rPr>
            </w:pPr>
            <w:r w:rsidRPr="1A8BFF29">
              <w:rPr>
                <w:rFonts w:ascii="Calibri" w:eastAsia="Calibri" w:hAnsi="Calibri" w:cs="Calibri"/>
                <w:color w:val="000000" w:themeColor="text1"/>
              </w:rPr>
              <w:t>Automated operation</w:t>
            </w:r>
          </w:p>
        </w:tc>
      </w:tr>
    </w:tbl>
    <w:p w14:paraId="45D6C2AE" w14:textId="55DC701B" w:rsidR="00E60887" w:rsidRPr="00E60887" w:rsidRDefault="00417851" w:rsidP="00E60887">
      <w:pPr>
        <w:pStyle w:val="Caption"/>
        <w:rPr>
          <w:rFonts w:ascii="Calibri" w:eastAsia="Calibri" w:hAnsi="Calibri" w:cs="Calibri"/>
          <w:color w:val="000000" w:themeColor="text1"/>
          <w:sz w:val="20"/>
          <w:szCs w:val="20"/>
        </w:rPr>
      </w:pPr>
      <w:r>
        <w:rPr>
          <w:noProof/>
        </w:rPr>
        <mc:AlternateContent>
          <mc:Choice Requires="wps">
            <w:drawing>
              <wp:anchor distT="0" distB="0" distL="114300" distR="114300" simplePos="0" relativeHeight="251658246" behindDoc="0" locked="0" layoutInCell="1" allowOverlap="1" wp14:anchorId="4D09B919" wp14:editId="6B93C9A8">
                <wp:simplePos x="0" y="0"/>
                <wp:positionH relativeFrom="column">
                  <wp:posOffset>205740</wp:posOffset>
                </wp:positionH>
                <wp:positionV relativeFrom="paragraph">
                  <wp:posOffset>2343785</wp:posOffset>
                </wp:positionV>
                <wp:extent cx="4747260" cy="198120"/>
                <wp:effectExtent l="0" t="0" r="0" b="0"/>
                <wp:wrapSquare wrapText="bothSides"/>
                <wp:docPr id="1193190680" name="Text Box 1"/>
                <wp:cNvGraphicFramePr/>
                <a:graphic xmlns:a="http://schemas.openxmlformats.org/drawingml/2006/main">
                  <a:graphicData uri="http://schemas.microsoft.com/office/word/2010/wordprocessingShape">
                    <wps:wsp>
                      <wps:cNvSpPr txBox="1"/>
                      <wps:spPr>
                        <a:xfrm>
                          <a:off x="0" y="0"/>
                          <a:ext cx="4747260" cy="198120"/>
                        </a:xfrm>
                        <a:prstGeom prst="rect">
                          <a:avLst/>
                        </a:prstGeom>
                        <a:solidFill>
                          <a:prstClr val="white"/>
                        </a:solidFill>
                        <a:ln>
                          <a:noFill/>
                        </a:ln>
                      </wps:spPr>
                      <wps:txbx>
                        <w:txbxContent>
                          <w:p w14:paraId="464D708D" w14:textId="77777777" w:rsidR="00B15268" w:rsidRPr="00485A53" w:rsidRDefault="00B15268" w:rsidP="00417851">
                            <w:pPr>
                              <w:pStyle w:val="Caption"/>
                              <w:jc w:val="center"/>
                              <w:rPr>
                                <w:noProof/>
                              </w:rPr>
                            </w:pPr>
                            <w:r>
                              <w:t xml:space="preserve">Figure </w:t>
                            </w:r>
                            <w:r w:rsidR="00BA0BD4">
                              <w:fldChar w:fldCharType="begin"/>
                            </w:r>
                            <w:r w:rsidR="00BA0BD4">
                              <w:instrText xml:space="preserve"> SEQ Figure \* ARABIC </w:instrText>
                            </w:r>
                            <w:r w:rsidR="00BA0BD4">
                              <w:fldChar w:fldCharType="separate"/>
                            </w:r>
                            <w:r w:rsidR="007710D3">
                              <w:rPr>
                                <w:noProof/>
                              </w:rPr>
                              <w:t>1</w:t>
                            </w:r>
                            <w:r w:rsidR="00BA0BD4">
                              <w:rPr>
                                <w:noProof/>
                              </w:rPr>
                              <w:fldChar w:fldCharType="end"/>
                            </w:r>
                            <w:r>
                              <w:t xml:space="preserve">: </w:t>
                            </w:r>
                            <w:r w:rsidRPr="0007593B">
                              <w:t>Shoebox model with scenario markings (Author)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09B919" id="_x0000_t202" coordsize="21600,21600" o:spt="202" path="m,l,21600r21600,l21600,xe">
                <v:stroke joinstyle="miter"/>
                <v:path gradientshapeok="t" o:connecttype="rect"/>
              </v:shapetype>
              <v:shape id="Text Box 1" o:spid="_x0000_s1026" type="#_x0000_t202" style="position:absolute;margin-left:16.2pt;margin-top:184.55pt;width:373.8pt;height:15.6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" stroked="f">
                <v:textbox inset="0,0,0,0">
                  <w:txbxContent>
                    <w:p w14:paraId="464D708D" w14:textId="77777777" w:rsidR="00B15268" w:rsidRPr="00485A53" w:rsidRDefault="00B15268" w:rsidP="00417851">
                      <w:pPr>
                        <w:pStyle w:val="Caption"/>
                        <w:jc w:val="center"/>
                        <w:rPr>
                          <w:noProof/>
                        </w:rPr>
                      </w:pPr>
                      <w:r>
                        <w:t xml:space="preserve">Figure </w:t>
                      </w:r>
                      <w:r w:rsidR="00BA0BD4">
                        <w:fldChar w:fldCharType="begin"/>
                      </w:r>
                      <w:r w:rsidR="00BA0BD4">
                        <w:instrText xml:space="preserve"> SEQ Figure \* ARABIC </w:instrText>
                      </w:r>
                      <w:r w:rsidR="00BA0BD4">
                        <w:fldChar w:fldCharType="separate"/>
                      </w:r>
                      <w:r w:rsidR="007710D3">
                        <w:rPr>
                          <w:noProof/>
                        </w:rPr>
                        <w:t>1</w:t>
                      </w:r>
                      <w:r w:rsidR="00BA0BD4">
                        <w:rPr>
                          <w:noProof/>
                        </w:rPr>
                        <w:fldChar w:fldCharType="end"/>
                      </w:r>
                      <w:r>
                        <w:t xml:space="preserve">: </w:t>
                      </w:r>
                      <w:r w:rsidRPr="0007593B">
                        <w:t>Shoebox model with scenario markings (Author)</w:t>
                      </w:r>
                    </w:p>
                  </w:txbxContent>
                </v:textbox>
                <w10:wrap type="square"/>
              </v:shape>
            </w:pict>
          </mc:Fallback>
        </mc:AlternateContent>
      </w:r>
      <w:r w:rsidR="00E60887">
        <w:rPr>
          <w:noProof/>
        </w:rPr>
        <w:drawing>
          <wp:anchor distT="0" distB="0" distL="114300" distR="114300" simplePos="0" relativeHeight="251658242" behindDoc="0" locked="0" layoutInCell="1" allowOverlap="1" wp14:anchorId="0A1D0667" wp14:editId="5A7E9661">
            <wp:simplePos x="0" y="0"/>
            <wp:positionH relativeFrom="column">
              <wp:posOffset>-106680</wp:posOffset>
            </wp:positionH>
            <wp:positionV relativeFrom="paragraph">
              <wp:posOffset>194945</wp:posOffset>
            </wp:positionV>
            <wp:extent cx="5745480" cy="2207260"/>
            <wp:effectExtent l="0" t="0" r="0" b="0"/>
            <wp:wrapSquare wrapText="bothSides"/>
            <wp:docPr id="12620560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056068" name="Picture 1262056068"/>
                    <pic:cNvPicPr/>
                  </pic:nvPicPr>
                  <pic:blipFill>
                    <a:blip r:embed="rId10">
                      <a:extLst>
                        <a:ext uri="{28A0092B-C50C-407E-A947-70E740481C1C}">
                          <a14:useLocalDpi xmlns:a14="http://schemas.microsoft.com/office/drawing/2010/main" val="0"/>
                        </a:ext>
                      </a:extLst>
                    </a:blip>
                    <a:stretch>
                      <a:fillRect/>
                    </a:stretch>
                  </pic:blipFill>
                  <pic:spPr>
                    <a:xfrm>
                      <a:off x="0" y="0"/>
                      <a:ext cx="5745480" cy="2207260"/>
                    </a:xfrm>
                    <a:prstGeom prst="rect">
                      <a:avLst/>
                    </a:prstGeom>
                  </pic:spPr>
                </pic:pic>
              </a:graphicData>
            </a:graphic>
            <wp14:sizeRelH relativeFrom="page">
              <wp14:pctWidth>0</wp14:pctWidth>
            </wp14:sizeRelH>
            <wp14:sizeRelV relativeFrom="page">
              <wp14:pctHeight>0</wp14:pctHeight>
            </wp14:sizeRelV>
          </wp:anchor>
        </w:drawing>
      </w:r>
    </w:p>
    <w:p w14:paraId="39B7806C" w14:textId="77777777" w:rsidR="00417851" w:rsidRDefault="00417851" w:rsidP="00995577">
      <w:pPr>
        <w:spacing w:after="40" w:line="257" w:lineRule="auto"/>
        <w:jc w:val="both"/>
        <w:rPr>
          <w:rFonts w:ascii="Calibri" w:eastAsia="Calibri" w:hAnsi="Calibri" w:cs="Calibri"/>
          <w:color w:val="000000" w:themeColor="text1"/>
        </w:rPr>
      </w:pPr>
    </w:p>
    <w:p w14:paraId="3240BC24" w14:textId="5C0E47D4" w:rsidR="009B7384" w:rsidRPr="00995577" w:rsidRDefault="1A8BFF29" w:rsidP="00995577">
      <w:pPr>
        <w:spacing w:after="40" w:line="257" w:lineRule="auto"/>
        <w:jc w:val="both"/>
        <w:rPr>
          <w:rFonts w:ascii="Calibri" w:eastAsia="Calibri" w:hAnsi="Calibri" w:cs="Calibri"/>
          <w:color w:val="000000" w:themeColor="text1"/>
        </w:rPr>
      </w:pPr>
      <w:r w:rsidRPr="1A8BFF29">
        <w:rPr>
          <w:rFonts w:ascii="Calibri" w:eastAsia="Calibri" w:hAnsi="Calibri" w:cs="Calibri"/>
          <w:color w:val="000000" w:themeColor="text1"/>
        </w:rPr>
        <w:t>The prototype represented a retrofit-compatible office unit and was developed in Autodesk Revit. To address the identified research gap in comparative evaluation, four scenarios (</w:t>
      </w:r>
      <w:r w:rsidRPr="00AF6115">
        <w:rPr>
          <w:rFonts w:ascii="Calibri" w:eastAsia="Calibri" w:hAnsi="Calibri" w:cs="Calibri"/>
        </w:rPr>
        <w:t xml:space="preserve">Figure </w:t>
      </w:r>
      <w:r w:rsidR="00995577" w:rsidRPr="00AF6115">
        <w:rPr>
          <w:rFonts w:ascii="Calibri" w:eastAsia="Calibri" w:hAnsi="Calibri" w:cs="Calibri"/>
        </w:rPr>
        <w:t>1</w:t>
      </w:r>
      <w:r w:rsidRPr="00AF6115">
        <w:rPr>
          <w:rFonts w:ascii="Calibri" w:eastAsia="Calibri" w:hAnsi="Calibri" w:cs="Calibri"/>
        </w:rPr>
        <w:t xml:space="preserve">) </w:t>
      </w:r>
      <w:r w:rsidRPr="1A8BFF29">
        <w:rPr>
          <w:rFonts w:ascii="Calibri" w:eastAsia="Calibri" w:hAnsi="Calibri" w:cs="Calibri"/>
          <w:color w:val="000000" w:themeColor="text1"/>
        </w:rPr>
        <w:t xml:space="preserve">were developed as </w:t>
      </w:r>
      <w:r w:rsidR="004C008E">
        <w:rPr>
          <w:rFonts w:ascii="Calibri" w:eastAsia="Calibri" w:hAnsi="Calibri" w:cs="Calibri"/>
          <w:color w:val="000000" w:themeColor="text1"/>
        </w:rPr>
        <w:t>shown in Table 1.</w:t>
      </w:r>
      <w:r w:rsidR="00995577">
        <w:rPr>
          <w:rFonts w:ascii="Calibri" w:eastAsia="Calibri" w:hAnsi="Calibri" w:cs="Calibri"/>
          <w:color w:val="000000" w:themeColor="text1"/>
        </w:rPr>
        <w:t xml:space="preserve"> </w:t>
      </w:r>
      <w:r w:rsidRPr="1A8BFF29">
        <w:rPr>
          <w:rFonts w:ascii="Calibri" w:eastAsia="Calibri" w:hAnsi="Calibri" w:cs="Calibri"/>
          <w:color w:val="000000" w:themeColor="text1"/>
        </w:rPr>
        <w:t xml:space="preserve">The control strategies focused on adaptive responses to the environmental conditions through </w:t>
      </w:r>
      <w:r w:rsidR="00537566">
        <w:rPr>
          <w:rFonts w:ascii="Calibri" w:eastAsia="Calibri" w:hAnsi="Calibri" w:cs="Calibri"/>
          <w:color w:val="000000" w:themeColor="text1"/>
        </w:rPr>
        <w:t>rule-based</w:t>
      </w:r>
      <w:r w:rsidRPr="1A8BFF29">
        <w:rPr>
          <w:rFonts w:ascii="Calibri" w:eastAsia="Calibri" w:hAnsi="Calibri" w:cs="Calibri"/>
          <w:color w:val="000000" w:themeColor="text1"/>
        </w:rPr>
        <w:t xml:space="preserve"> operational schedules. The automated behaviours included operable window controls and second skin ventilation responses that were informed by the environmental conditions and occupa</w:t>
      </w:r>
      <w:r w:rsidR="006F5426">
        <w:rPr>
          <w:rFonts w:ascii="Calibri" w:eastAsia="Calibri" w:hAnsi="Calibri" w:cs="Calibri"/>
          <w:color w:val="000000" w:themeColor="text1"/>
        </w:rPr>
        <w:t>ncy</w:t>
      </w:r>
      <w:r w:rsidRPr="1A8BFF29">
        <w:rPr>
          <w:rFonts w:ascii="Calibri" w:eastAsia="Calibri" w:hAnsi="Calibri" w:cs="Calibri"/>
          <w:color w:val="000000" w:themeColor="text1"/>
        </w:rPr>
        <w:t xml:space="preserve"> assumptions.  </w:t>
      </w:r>
    </w:p>
    <w:p w14:paraId="0A139CF8" w14:textId="41D70288" w:rsidR="64203B1B" w:rsidRDefault="1A8BFF29" w:rsidP="1A8BFF29">
      <w:pPr>
        <w:spacing w:after="40" w:line="257" w:lineRule="auto"/>
        <w:rPr>
          <w:rFonts w:ascii="Calibri" w:eastAsia="Calibri" w:hAnsi="Calibri" w:cs="Calibri"/>
          <w:b/>
          <w:bCs/>
          <w:color w:val="000000" w:themeColor="text1"/>
          <w:sz w:val="28"/>
          <w:szCs w:val="28"/>
        </w:rPr>
      </w:pPr>
      <w:r w:rsidRPr="1A8BFF29">
        <w:rPr>
          <w:rFonts w:ascii="Calibri" w:eastAsia="Calibri" w:hAnsi="Calibri" w:cs="Calibri"/>
          <w:b/>
          <w:bCs/>
          <w:color w:val="000000" w:themeColor="text1"/>
          <w:sz w:val="28"/>
          <w:szCs w:val="28"/>
        </w:rPr>
        <w:t>3.2.1 Control Strategies for Automated Scenarios</w:t>
      </w:r>
    </w:p>
    <w:p w14:paraId="691FA914" w14:textId="32D71809" w:rsidR="64203B1B" w:rsidRDefault="1A8BFF29" w:rsidP="1A8BFF29">
      <w:pPr>
        <w:spacing w:after="40" w:line="257" w:lineRule="auto"/>
        <w:ind w:firstLine="720"/>
        <w:jc w:val="both"/>
        <w:rPr>
          <w:rFonts w:ascii="Calibri" w:eastAsia="Calibri" w:hAnsi="Calibri" w:cs="Calibri"/>
          <w:color w:val="000000" w:themeColor="text1"/>
        </w:rPr>
      </w:pPr>
      <w:r w:rsidRPr="1A8BFF29">
        <w:rPr>
          <w:rFonts w:ascii="Calibri" w:eastAsia="Calibri" w:hAnsi="Calibri" w:cs="Calibri"/>
          <w:color w:val="000000" w:themeColor="text1"/>
        </w:rPr>
        <w:t xml:space="preserve">In scenarios 2, 3, and 4, the envelope’s operation was controlled by a rule-based control strategy, modelled using Dynamo, within the BIM environment (Figure </w:t>
      </w:r>
      <w:r w:rsidR="00AF6115">
        <w:rPr>
          <w:rFonts w:ascii="Calibri" w:eastAsia="Calibri" w:hAnsi="Calibri" w:cs="Calibri"/>
          <w:color w:val="000000" w:themeColor="text1"/>
        </w:rPr>
        <w:t>2</w:t>
      </w:r>
      <w:r w:rsidRPr="1A8BFF29">
        <w:rPr>
          <w:rFonts w:ascii="Calibri" w:eastAsia="Calibri" w:hAnsi="Calibri" w:cs="Calibri"/>
          <w:color w:val="000000" w:themeColor="text1"/>
        </w:rPr>
        <w:t xml:space="preserve">). This enabled the creation of parametric rules that could link the indoor and outdoor climatic conditions to the smart envelope, thereby embedding the control strategy directly into the digital building model. </w:t>
      </w:r>
    </w:p>
    <w:p w14:paraId="1152A30E" w14:textId="77777777" w:rsidR="008363FA" w:rsidRPr="008363FA" w:rsidRDefault="1A8BFF29" w:rsidP="008363FA">
      <w:pPr>
        <w:spacing w:after="40" w:line="257" w:lineRule="auto"/>
        <w:ind w:firstLine="720"/>
        <w:jc w:val="both"/>
        <w:rPr>
          <w:rFonts w:ascii="Calibri" w:eastAsia="Calibri" w:hAnsi="Calibri" w:cs="Calibri"/>
          <w:color w:val="000000" w:themeColor="text1"/>
        </w:rPr>
      </w:pPr>
      <w:r w:rsidRPr="1A8BFF29">
        <w:rPr>
          <w:rFonts w:ascii="Calibri" w:eastAsia="Calibri" w:hAnsi="Calibri" w:cs="Calibri"/>
          <w:color w:val="000000" w:themeColor="text1"/>
        </w:rPr>
        <w:t xml:space="preserve">For scenarios 2 and 4, the operable window was programmed to respond to thermal thresholds. Openings were activated when the indoor temperature exceeded a limit of 22°C and the outdoor temperature was within a comfort band of between 15°C and 25°C, which favours natural ventilation (Figure </w:t>
      </w:r>
      <w:r w:rsidR="00535D5E">
        <w:rPr>
          <w:rFonts w:ascii="Calibri" w:eastAsia="Calibri" w:hAnsi="Calibri" w:cs="Calibri"/>
          <w:color w:val="000000" w:themeColor="text1"/>
        </w:rPr>
        <w:t>2</w:t>
      </w:r>
      <w:r w:rsidRPr="1A8BFF29">
        <w:rPr>
          <w:rFonts w:ascii="Calibri" w:eastAsia="Calibri" w:hAnsi="Calibri" w:cs="Calibri"/>
          <w:color w:val="000000" w:themeColor="text1"/>
        </w:rPr>
        <w:t xml:space="preserve">). </w:t>
      </w:r>
      <w:r w:rsidR="008363FA" w:rsidRPr="008363FA">
        <w:rPr>
          <w:rFonts w:ascii="Calibri" w:eastAsia="Calibri" w:hAnsi="Calibri" w:cs="Calibri"/>
          <w:color w:val="000000" w:themeColor="text1"/>
        </w:rPr>
        <w:t xml:space="preserve">Dynamo was selected for its direct integration with the Revit BIM environment and ability to adjust the parameters and implement rule-based relationships to operationalise the control logic with BIM models. </w:t>
      </w:r>
      <w:proofErr w:type="spellStart"/>
      <w:r w:rsidR="008363FA" w:rsidRPr="008363FA">
        <w:rPr>
          <w:rFonts w:ascii="Calibri" w:eastAsia="Calibri" w:hAnsi="Calibri" w:cs="Calibri"/>
          <w:color w:val="000000" w:themeColor="text1"/>
        </w:rPr>
        <w:t>OpenStudio</w:t>
      </w:r>
      <w:proofErr w:type="spellEnd"/>
      <w:r w:rsidR="008363FA" w:rsidRPr="008363FA">
        <w:rPr>
          <w:rFonts w:ascii="Calibri" w:eastAsia="Calibri" w:hAnsi="Calibri" w:cs="Calibri"/>
          <w:color w:val="000000" w:themeColor="text1"/>
        </w:rPr>
        <w:t xml:space="preserve"> and </w:t>
      </w:r>
      <w:proofErr w:type="spellStart"/>
      <w:r w:rsidR="008363FA" w:rsidRPr="008363FA">
        <w:rPr>
          <w:rFonts w:ascii="Calibri" w:eastAsia="Calibri" w:hAnsi="Calibri" w:cs="Calibri"/>
          <w:color w:val="000000" w:themeColor="text1"/>
        </w:rPr>
        <w:t>EnergyPlus</w:t>
      </w:r>
      <w:proofErr w:type="spellEnd"/>
      <w:r w:rsidR="008363FA" w:rsidRPr="008363FA">
        <w:rPr>
          <w:rFonts w:ascii="Calibri" w:eastAsia="Calibri" w:hAnsi="Calibri" w:cs="Calibri"/>
          <w:color w:val="000000" w:themeColor="text1"/>
        </w:rPr>
        <w:t xml:space="preserve"> were retained as the BEM environment to provide physics-based simulation of the resulting envelope configurations and operational schedules. </w:t>
      </w:r>
    </w:p>
    <w:p w14:paraId="0ED49FB9" w14:textId="73CAFD8B" w:rsidR="64203B1B" w:rsidRDefault="002F1927" w:rsidP="00297096">
      <w:pPr>
        <w:spacing w:after="40" w:line="257" w:lineRule="auto"/>
        <w:ind w:firstLine="720"/>
        <w:jc w:val="both"/>
        <w:rPr>
          <w:rFonts w:ascii="Calibri" w:eastAsia="Calibri" w:hAnsi="Calibri" w:cs="Calibri"/>
          <w:color w:val="000000" w:themeColor="text1"/>
        </w:rPr>
      </w:pPr>
      <w:r w:rsidRPr="002F1927">
        <w:rPr>
          <w:rFonts w:ascii="Calibri" w:eastAsia="Calibri" w:hAnsi="Calibri" w:cs="Calibri"/>
          <w:color w:val="000000" w:themeColor="text1"/>
        </w:rPr>
        <w:t xml:space="preserve">This implementation therefore demonstrates the integration and translation of adaptive control logic within a BIM-BEM workflow. Direct integration with optimisation frameworks or BIM-compatible environmental analysis tools could be explored in future work to increase automation and enable multi-objective optimisation. </w:t>
      </w:r>
      <w:r w:rsidR="1A8BFF29" w:rsidRPr="1A8BFF29">
        <w:rPr>
          <w:rFonts w:ascii="Calibri" w:eastAsia="Calibri" w:hAnsi="Calibri" w:cs="Calibri"/>
          <w:color w:val="000000" w:themeColor="text1"/>
        </w:rPr>
        <w:t>In scenarios 3 and 4, the same logic was applied to the additional external shading device, the second skin. This second skin was deployed when the outdoor air temperature was at least 2°C cooler than cavity air in summer. During winter, based on the temperature, the second skin remained shut, which allowed the trapped solar heat in the cavity to act as a buffer zone, reducing conductive heat loss from the interior.</w:t>
      </w:r>
    </w:p>
    <w:p w14:paraId="1ECAAA81" w14:textId="0DDC0C01" w:rsidR="00701B7E" w:rsidRDefault="00701B7E" w:rsidP="00297096">
      <w:pPr>
        <w:spacing w:after="40" w:line="257" w:lineRule="auto"/>
        <w:ind w:firstLine="720"/>
        <w:jc w:val="both"/>
        <w:rPr>
          <w:rFonts w:ascii="Calibri" w:eastAsia="Calibri" w:hAnsi="Calibri" w:cs="Calibri"/>
          <w:color w:val="000000" w:themeColor="text1"/>
        </w:rPr>
      </w:pPr>
      <w:r>
        <w:rPr>
          <w:rFonts w:ascii="Calibri" w:eastAsia="Calibri" w:hAnsi="Calibri" w:cs="Calibri"/>
          <w:color w:val="000000" w:themeColor="text1"/>
        </w:rPr>
        <w:t xml:space="preserve">As the energy simulation engine, </w:t>
      </w:r>
      <w:proofErr w:type="spellStart"/>
      <w:r w:rsidRPr="1A8BFF29">
        <w:rPr>
          <w:rFonts w:ascii="Calibri" w:eastAsia="Calibri" w:hAnsi="Calibri" w:cs="Calibri"/>
          <w:color w:val="000000" w:themeColor="text1"/>
        </w:rPr>
        <w:t>EnergyPlus</w:t>
      </w:r>
      <w:proofErr w:type="spellEnd"/>
      <w:r w:rsidRPr="1A8BFF29">
        <w:rPr>
          <w:rFonts w:ascii="Calibri" w:eastAsia="Calibri" w:hAnsi="Calibri" w:cs="Calibri"/>
          <w:color w:val="000000" w:themeColor="text1"/>
        </w:rPr>
        <w:t>, cannot directly accommodate real-time, fully dynamic adaptive behaviour, a translation step was required</w:t>
      </w:r>
      <w:r>
        <w:rPr>
          <w:rFonts w:ascii="Calibri" w:eastAsia="Calibri" w:hAnsi="Calibri" w:cs="Calibri"/>
          <w:color w:val="000000" w:themeColor="text1"/>
        </w:rPr>
        <w:t>. Within the BIM environment, Dynamo scripts were used to calculate the wi</w:t>
      </w:r>
      <w:r w:rsidR="00F957B1">
        <w:rPr>
          <w:rFonts w:ascii="Calibri" w:eastAsia="Calibri" w:hAnsi="Calibri" w:cs="Calibri"/>
          <w:color w:val="000000" w:themeColor="text1"/>
        </w:rPr>
        <w:t>ndow and second skin opening degrees as a function of the indoor- outdoor temperature relationships; these values were exported into Excel, where they were processed into normalised opening ratios suitable for simulation input (Figure 2).</w:t>
      </w:r>
    </w:p>
    <w:p w14:paraId="1A9B06DE" w14:textId="3BDC6AD4" w:rsidR="64203B1B" w:rsidRDefault="003138D8" w:rsidP="1A8BFF29">
      <w:pPr>
        <w:spacing w:after="40" w:line="257" w:lineRule="auto"/>
        <w:jc w:val="both"/>
        <w:rPr>
          <w:rFonts w:ascii="Calibri" w:eastAsia="Calibri" w:hAnsi="Calibri" w:cs="Calibri"/>
          <w:color w:val="000000" w:themeColor="text1"/>
        </w:rPr>
      </w:pPr>
      <w:r>
        <w:rPr>
          <w:noProof/>
        </w:rPr>
        <w:drawing>
          <wp:anchor distT="0" distB="0" distL="114300" distR="114300" simplePos="0" relativeHeight="251658243" behindDoc="0" locked="0" layoutInCell="1" allowOverlap="1" wp14:anchorId="0F09A348" wp14:editId="28FEA427">
            <wp:simplePos x="0" y="0"/>
            <wp:positionH relativeFrom="column">
              <wp:posOffset>2527993</wp:posOffset>
            </wp:positionH>
            <wp:positionV relativeFrom="paragraph">
              <wp:posOffset>467995</wp:posOffset>
            </wp:positionV>
            <wp:extent cx="3766820" cy="1813560"/>
            <wp:effectExtent l="0" t="0" r="5080" b="0"/>
            <wp:wrapTopAndBottom/>
            <wp:docPr id="13905056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505697" name="Picture 139050569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66820" cy="18135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7" behindDoc="1" locked="0" layoutInCell="1" allowOverlap="1" wp14:anchorId="04AA3DF1" wp14:editId="4988989B">
            <wp:simplePos x="0" y="0"/>
            <wp:positionH relativeFrom="margin">
              <wp:posOffset>-495877</wp:posOffset>
            </wp:positionH>
            <wp:positionV relativeFrom="paragraph">
              <wp:posOffset>454025</wp:posOffset>
            </wp:positionV>
            <wp:extent cx="2968625" cy="1832610"/>
            <wp:effectExtent l="0" t="0" r="3175" b="0"/>
            <wp:wrapTight wrapText="bothSides">
              <wp:wrapPolygon edited="0">
                <wp:start x="0" y="0"/>
                <wp:lineTo x="0" y="21331"/>
                <wp:lineTo x="21484" y="21331"/>
                <wp:lineTo x="21484" y="0"/>
                <wp:lineTo x="0" y="0"/>
              </wp:wrapPolygon>
            </wp:wrapTight>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019195" name="Picture 191201919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68625" cy="1832610"/>
                    </a:xfrm>
                    <a:prstGeom prst="rect">
                      <a:avLst/>
                    </a:prstGeom>
                  </pic:spPr>
                </pic:pic>
              </a:graphicData>
            </a:graphic>
            <wp14:sizeRelH relativeFrom="margin">
              <wp14:pctWidth>0</wp14:pctWidth>
            </wp14:sizeRelH>
            <wp14:sizeRelV relativeFrom="margin">
              <wp14:pctHeight>0</wp14:pctHeight>
            </wp14:sizeRelV>
          </wp:anchor>
        </w:drawing>
      </w:r>
      <w:r w:rsidR="007710D3">
        <w:rPr>
          <w:noProof/>
        </w:rPr>
        <mc:AlternateContent>
          <mc:Choice Requires="wps">
            <w:drawing>
              <wp:anchor distT="0" distB="0" distL="114300" distR="114300" simplePos="0" relativeHeight="251658248" behindDoc="0" locked="0" layoutInCell="1" allowOverlap="1" wp14:anchorId="59AB7741" wp14:editId="11FB1ACA">
                <wp:simplePos x="0" y="0"/>
                <wp:positionH relativeFrom="margin">
                  <wp:align>left</wp:align>
                </wp:positionH>
                <wp:positionV relativeFrom="paragraph">
                  <wp:posOffset>2341880</wp:posOffset>
                </wp:positionV>
                <wp:extent cx="5832475" cy="635"/>
                <wp:effectExtent l="0" t="0" r="0" b="0"/>
                <wp:wrapTopAndBottom/>
                <wp:docPr id="5" name="Text Box 5"/>
                <wp:cNvGraphicFramePr/>
                <a:graphic xmlns:a="http://schemas.openxmlformats.org/drawingml/2006/main">
                  <a:graphicData uri="http://schemas.microsoft.com/office/word/2010/wordprocessingShape">
                    <wps:wsp>
                      <wps:cNvSpPr txBox="1"/>
                      <wps:spPr>
                        <a:xfrm>
                          <a:off x="0" y="0"/>
                          <a:ext cx="5832764" cy="635"/>
                        </a:xfrm>
                        <a:prstGeom prst="rect">
                          <a:avLst/>
                        </a:prstGeom>
                        <a:solidFill>
                          <a:prstClr val="white"/>
                        </a:solidFill>
                        <a:ln>
                          <a:noFill/>
                        </a:ln>
                      </wps:spPr>
                      <wps:txbx>
                        <w:txbxContent>
                          <w:p w14:paraId="77762597" w14:textId="500FC699" w:rsidR="007710D3" w:rsidRPr="007710D3" w:rsidRDefault="007710D3" w:rsidP="007710D3">
                            <w:pPr>
                              <w:pStyle w:val="Caption"/>
                              <w:jc w:val="center"/>
                              <w:rPr>
                                <w:rFonts w:ascii="Calibri" w:hAnsi="Calibri" w:cs="Calibri"/>
                                <w:noProof/>
                                <w:sz w:val="20"/>
                                <w:szCs w:val="20"/>
                              </w:rPr>
                            </w:pPr>
                            <w:r w:rsidRPr="007710D3">
                              <w:rPr>
                                <w:rFonts w:ascii="Calibri" w:hAnsi="Calibri" w:cs="Calibri"/>
                                <w:sz w:val="20"/>
                                <w:szCs w:val="20"/>
                              </w:rPr>
                              <w:t xml:space="preserve">Figure </w:t>
                            </w:r>
                            <w:r w:rsidRPr="007710D3">
                              <w:rPr>
                                <w:rFonts w:ascii="Calibri" w:hAnsi="Calibri" w:cs="Calibri"/>
                                <w:sz w:val="20"/>
                                <w:szCs w:val="20"/>
                              </w:rPr>
                              <w:fldChar w:fldCharType="begin"/>
                            </w:r>
                            <w:r w:rsidRPr="007710D3">
                              <w:rPr>
                                <w:rFonts w:ascii="Calibri" w:hAnsi="Calibri" w:cs="Calibri"/>
                                <w:sz w:val="20"/>
                                <w:szCs w:val="20"/>
                              </w:rPr>
                              <w:instrText xml:space="preserve"> SEQ Figure \* ARABIC </w:instrText>
                            </w:r>
                            <w:r w:rsidRPr="007710D3">
                              <w:rPr>
                                <w:rFonts w:ascii="Calibri" w:hAnsi="Calibri" w:cs="Calibri"/>
                                <w:sz w:val="20"/>
                                <w:szCs w:val="20"/>
                              </w:rPr>
                              <w:fldChar w:fldCharType="separate"/>
                            </w:r>
                            <w:r w:rsidRPr="007710D3">
                              <w:rPr>
                                <w:rFonts w:ascii="Calibri" w:hAnsi="Calibri" w:cs="Calibri"/>
                                <w:noProof/>
                                <w:sz w:val="20"/>
                                <w:szCs w:val="20"/>
                              </w:rPr>
                              <w:t>2</w:t>
                            </w:r>
                            <w:r w:rsidRPr="007710D3">
                              <w:rPr>
                                <w:rFonts w:ascii="Calibri" w:hAnsi="Calibri" w:cs="Calibri"/>
                                <w:sz w:val="20"/>
                                <w:szCs w:val="20"/>
                              </w:rPr>
                              <w:fldChar w:fldCharType="end"/>
                            </w:r>
                            <w:r w:rsidRPr="007710D3">
                              <w:rPr>
                                <w:rFonts w:ascii="Calibri" w:hAnsi="Calibri" w:cs="Calibri"/>
                                <w:sz w:val="20"/>
                                <w:szCs w:val="20"/>
                              </w:rPr>
                              <w:t>: Script A- Responsive control for window from Dynamo and Script B - Calculating adaptive window and second skin opening ratios (Author)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9AB7741" id="Text Box 5" o:spid="_x0000_s1027" type="#_x0000_t202" style="position:absolute;left:0;text-align:left;margin-left:0;margin-top:184.4pt;width:459.25pt;height:.05pt;z-index:25165824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" stroked="f">
                <v:textbox style="mso-fit-shape-to-text:t" inset="0,0,0,0">
                  <w:txbxContent>
                    <w:p w14:paraId="77762597" w14:textId="500FC699" w:rsidR="007710D3" w:rsidRPr="007710D3" w:rsidRDefault="007710D3" w:rsidP="007710D3">
                      <w:pPr>
                        <w:pStyle w:val="Caption"/>
                        <w:jc w:val="center"/>
                        <w:rPr>
                          <w:rFonts w:ascii="Calibri" w:hAnsi="Calibri" w:cs="Calibri"/>
                          <w:noProof/>
                          <w:sz w:val="20"/>
                          <w:szCs w:val="20"/>
                        </w:rPr>
                      </w:pPr>
                      <w:r w:rsidRPr="007710D3">
                        <w:rPr>
                          <w:rFonts w:ascii="Calibri" w:hAnsi="Calibri" w:cs="Calibri"/>
                          <w:sz w:val="20"/>
                          <w:szCs w:val="20"/>
                        </w:rPr>
                        <w:t xml:space="preserve">Figure </w:t>
                      </w:r>
                      <w:r w:rsidRPr="007710D3">
                        <w:rPr>
                          <w:rFonts w:ascii="Calibri" w:hAnsi="Calibri" w:cs="Calibri"/>
                          <w:sz w:val="20"/>
                          <w:szCs w:val="20"/>
                        </w:rPr>
                        <w:fldChar w:fldCharType="begin"/>
                      </w:r>
                      <w:r w:rsidRPr="007710D3">
                        <w:rPr>
                          <w:rFonts w:ascii="Calibri" w:hAnsi="Calibri" w:cs="Calibri"/>
                          <w:sz w:val="20"/>
                          <w:szCs w:val="20"/>
                        </w:rPr>
                        <w:instrText xml:space="preserve"> SEQ Figure \* ARABIC </w:instrText>
                      </w:r>
                      <w:r w:rsidRPr="007710D3">
                        <w:rPr>
                          <w:rFonts w:ascii="Calibri" w:hAnsi="Calibri" w:cs="Calibri"/>
                          <w:sz w:val="20"/>
                          <w:szCs w:val="20"/>
                        </w:rPr>
                        <w:fldChar w:fldCharType="separate"/>
                      </w:r>
                      <w:r w:rsidRPr="007710D3">
                        <w:rPr>
                          <w:rFonts w:ascii="Calibri" w:hAnsi="Calibri" w:cs="Calibri"/>
                          <w:noProof/>
                          <w:sz w:val="20"/>
                          <w:szCs w:val="20"/>
                        </w:rPr>
                        <w:t>2</w:t>
                      </w:r>
                      <w:r w:rsidRPr="007710D3">
                        <w:rPr>
                          <w:rFonts w:ascii="Calibri" w:hAnsi="Calibri" w:cs="Calibri"/>
                          <w:sz w:val="20"/>
                          <w:szCs w:val="20"/>
                        </w:rPr>
                        <w:fldChar w:fldCharType="end"/>
                      </w:r>
                      <w:r w:rsidRPr="007710D3">
                        <w:rPr>
                          <w:rFonts w:ascii="Calibri" w:hAnsi="Calibri" w:cs="Calibri"/>
                          <w:sz w:val="20"/>
                          <w:szCs w:val="20"/>
                        </w:rPr>
                        <w:t>: Script A- Responsive control for window from Dynamo and Script B - Calculating adaptive window and second skin opening ratios (Author)</w:t>
                      </w:r>
                    </w:p>
                  </w:txbxContent>
                </v:textbox>
                <w10:wrap type="topAndBottom" anchorx="margin"/>
              </v:shape>
            </w:pict>
          </mc:Fallback>
        </mc:AlternateContent>
      </w:r>
      <w:r w:rsidR="1A8BFF29" w:rsidRPr="1A8BFF29">
        <w:rPr>
          <w:rFonts w:ascii="Calibri" w:eastAsia="Calibri" w:hAnsi="Calibri" w:cs="Calibri"/>
          <w:color w:val="000000" w:themeColor="text1"/>
        </w:rPr>
        <w:t xml:space="preserve">To ensure applicability to the macro-micro experiment’s climatic context, these ratios were cross-referenced with the EPW weather file to generate a typical average daily profile for winter and summer (Figure </w:t>
      </w:r>
      <w:r w:rsidR="004217A6">
        <w:rPr>
          <w:rFonts w:ascii="Calibri" w:eastAsia="Calibri" w:hAnsi="Calibri" w:cs="Calibri"/>
          <w:color w:val="000000" w:themeColor="text1"/>
        </w:rPr>
        <w:t>3</w:t>
      </w:r>
      <w:r w:rsidR="1A8BFF29" w:rsidRPr="1A8BFF29">
        <w:rPr>
          <w:rFonts w:ascii="Calibri" w:eastAsia="Calibri" w:hAnsi="Calibri" w:cs="Calibri"/>
          <w:color w:val="000000" w:themeColor="text1"/>
        </w:rPr>
        <w:t>). From this, an opening schedule was generated for scenarios 2, 3 and 4 and then subsequently embedded into the BEM.</w:t>
      </w:r>
      <w:r w:rsidR="00181B02">
        <w:rPr>
          <w:rFonts w:ascii="Calibri" w:eastAsia="Calibri" w:hAnsi="Calibri" w:cs="Calibri"/>
          <w:color w:val="000000" w:themeColor="text1"/>
        </w:rPr>
        <w:t xml:space="preserve"> </w:t>
      </w:r>
    </w:p>
    <w:p w14:paraId="5727599E" w14:textId="29B75375" w:rsidR="64203B1B" w:rsidRDefault="005643AE" w:rsidP="1A8BFF29">
      <w:pPr>
        <w:spacing w:after="40" w:line="257" w:lineRule="auto"/>
        <w:ind w:firstLine="720"/>
        <w:jc w:val="both"/>
        <w:rPr>
          <w:rFonts w:ascii="Calibri" w:eastAsia="Calibri" w:hAnsi="Calibri" w:cs="Calibri"/>
          <w:color w:val="000000" w:themeColor="text1"/>
        </w:rPr>
      </w:pPr>
      <w:r>
        <w:rPr>
          <w:rFonts w:ascii="Calibri" w:eastAsia="Calibri" w:hAnsi="Calibri" w:cs="Calibri"/>
          <w:noProof/>
          <w:color w:val="000000" w:themeColor="text1"/>
        </w:rPr>
        <w:drawing>
          <wp:anchor distT="0" distB="0" distL="114300" distR="114300" simplePos="0" relativeHeight="251658244" behindDoc="1" locked="0" layoutInCell="1" allowOverlap="1" wp14:anchorId="492AF64B" wp14:editId="72889FCD">
            <wp:simplePos x="0" y="0"/>
            <wp:positionH relativeFrom="margin">
              <wp:posOffset>-2540</wp:posOffset>
            </wp:positionH>
            <wp:positionV relativeFrom="paragraph">
              <wp:posOffset>1031875</wp:posOffset>
            </wp:positionV>
            <wp:extent cx="5730240" cy="2519045"/>
            <wp:effectExtent l="0" t="0" r="3810" b="0"/>
            <wp:wrapTight wrapText="bothSides">
              <wp:wrapPolygon edited="0">
                <wp:start x="359" y="490"/>
                <wp:lineTo x="0" y="1797"/>
                <wp:lineTo x="0" y="21399"/>
                <wp:lineTo x="21543" y="21399"/>
                <wp:lineTo x="21543" y="817"/>
                <wp:lineTo x="1077" y="490"/>
                <wp:lineTo x="359" y="490"/>
              </wp:wrapPolygon>
            </wp:wrapTight>
            <wp:docPr id="13879328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932809" name="Picture 138793280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0240" cy="251904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5" behindDoc="1" locked="0" layoutInCell="1" allowOverlap="1" wp14:anchorId="5AF33647" wp14:editId="1B1F2858">
                <wp:simplePos x="0" y="0"/>
                <wp:positionH relativeFrom="margin">
                  <wp:posOffset>60960</wp:posOffset>
                </wp:positionH>
                <wp:positionV relativeFrom="paragraph">
                  <wp:posOffset>3585152</wp:posOffset>
                </wp:positionV>
                <wp:extent cx="5668645" cy="137160"/>
                <wp:effectExtent l="0" t="0" r="8255" b="0"/>
                <wp:wrapTight wrapText="bothSides">
                  <wp:wrapPolygon edited="0">
                    <wp:start x="0" y="0"/>
                    <wp:lineTo x="0" y="18000"/>
                    <wp:lineTo x="21559" y="18000"/>
                    <wp:lineTo x="21559" y="0"/>
                    <wp:lineTo x="0" y="0"/>
                  </wp:wrapPolygon>
                </wp:wrapTight>
                <wp:docPr id="434408759" name="Text Box 1"/>
                <wp:cNvGraphicFramePr/>
                <a:graphic xmlns:a="http://schemas.openxmlformats.org/drawingml/2006/main">
                  <a:graphicData uri="http://schemas.microsoft.com/office/word/2010/wordprocessingShape">
                    <wps:wsp>
                      <wps:cNvSpPr txBox="1"/>
                      <wps:spPr>
                        <a:xfrm>
                          <a:off x="0" y="0"/>
                          <a:ext cx="5668645" cy="137160"/>
                        </a:xfrm>
                        <a:prstGeom prst="rect">
                          <a:avLst/>
                        </a:prstGeom>
                        <a:solidFill>
                          <a:prstClr val="white"/>
                        </a:solidFill>
                        <a:ln>
                          <a:noFill/>
                        </a:ln>
                      </wps:spPr>
                      <wps:txbx>
                        <w:txbxContent>
                          <w:p w14:paraId="41036FEF" w14:textId="77777777" w:rsidR="00181B02" w:rsidRPr="00181B02" w:rsidRDefault="00181B02" w:rsidP="00181B02">
                            <w:pPr>
                              <w:pStyle w:val="Caption"/>
                              <w:rPr>
                                <w:rFonts w:ascii="Calibri" w:eastAsia="Calibri" w:hAnsi="Calibri" w:cs="Calibri"/>
                                <w:noProof/>
                                <w:color w:val="000000" w:themeColor="text1"/>
                                <w:sz w:val="20"/>
                                <w:szCs w:val="20"/>
                              </w:rPr>
                            </w:pPr>
                            <w:r w:rsidRPr="00181B02">
                              <w:rPr>
                                <w:rFonts w:ascii="Calibri" w:hAnsi="Calibri" w:cs="Calibri"/>
                                <w:sz w:val="20"/>
                                <w:szCs w:val="20"/>
                              </w:rPr>
                              <w:t xml:space="preserve">Figure </w:t>
                            </w:r>
                            <w:r w:rsidRPr="00181B02">
                              <w:rPr>
                                <w:rFonts w:ascii="Calibri" w:hAnsi="Calibri" w:cs="Calibri"/>
                                <w:sz w:val="20"/>
                                <w:szCs w:val="20"/>
                              </w:rPr>
                              <w:fldChar w:fldCharType="begin"/>
                            </w:r>
                            <w:r w:rsidRPr="00181B02">
                              <w:rPr>
                                <w:rFonts w:ascii="Calibri" w:hAnsi="Calibri" w:cs="Calibri"/>
                                <w:sz w:val="20"/>
                                <w:szCs w:val="20"/>
                              </w:rPr>
                              <w:instrText xml:space="preserve"> SEQ Figure \* ARABIC </w:instrText>
                            </w:r>
                            <w:r w:rsidRPr="00181B02">
                              <w:rPr>
                                <w:rFonts w:ascii="Calibri" w:hAnsi="Calibri" w:cs="Calibri"/>
                                <w:sz w:val="20"/>
                                <w:szCs w:val="20"/>
                              </w:rPr>
                              <w:fldChar w:fldCharType="separate"/>
                            </w:r>
                            <w:r w:rsidR="007710D3">
                              <w:rPr>
                                <w:rFonts w:ascii="Calibri" w:hAnsi="Calibri" w:cs="Calibri"/>
                                <w:noProof/>
                                <w:sz w:val="20"/>
                                <w:szCs w:val="20"/>
                              </w:rPr>
                              <w:t>3</w:t>
                            </w:r>
                            <w:r w:rsidRPr="00181B02">
                              <w:rPr>
                                <w:rFonts w:ascii="Calibri" w:hAnsi="Calibri" w:cs="Calibri"/>
                                <w:sz w:val="20"/>
                                <w:szCs w:val="20"/>
                              </w:rPr>
                              <w:fldChar w:fldCharType="end"/>
                            </w:r>
                            <w:r w:rsidRPr="00181B02">
                              <w:rPr>
                                <w:rFonts w:ascii="Calibri" w:hAnsi="Calibri" w:cs="Calibri"/>
                                <w:sz w:val="20"/>
                                <w:szCs w:val="20"/>
                              </w:rPr>
                              <w:t xml:space="preserve">:  Average daily opening profile for windows </w:t>
                            </w:r>
                            <w:r>
                              <w:rPr>
                                <w:rFonts w:ascii="Calibri" w:hAnsi="Calibri" w:cs="Calibri"/>
                                <w:sz w:val="20"/>
                                <w:szCs w:val="20"/>
                              </w:rPr>
                              <w:t xml:space="preserve">                        </w:t>
                            </w:r>
                            <w:r w:rsidRPr="00181B02">
                              <w:rPr>
                                <w:rFonts w:ascii="Calibri" w:hAnsi="Calibri" w:cs="Calibri"/>
                                <w:sz w:val="20"/>
                                <w:szCs w:val="20"/>
                              </w:rPr>
                              <w:t>a) summer b) winter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F33647" id="_x0000_s1028" type="#_x0000_t202" style="position:absolute;left:0;text-align:left;margin-left:4.8pt;margin-top:282.3pt;width:446.35pt;height:10.8pt;z-index:-25165823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" stroked="f">
                <v:textbox inset="0,0,0,0">
                  <w:txbxContent>
                    <w:p w14:paraId="41036FEF" w14:textId="77777777" w:rsidR="00181B02" w:rsidRPr="00181B02" w:rsidRDefault="00181B02" w:rsidP="00181B02">
                      <w:pPr>
                        <w:pStyle w:val="Caption"/>
                        <w:rPr>
                          <w:rFonts w:ascii="Calibri" w:eastAsia="Calibri" w:hAnsi="Calibri" w:cs="Calibri"/>
                          <w:noProof/>
                          <w:color w:val="000000" w:themeColor="text1"/>
                          <w:sz w:val="20"/>
                          <w:szCs w:val="20"/>
                        </w:rPr>
                      </w:pPr>
                      <w:r w:rsidRPr="00181B02">
                        <w:rPr>
                          <w:rFonts w:ascii="Calibri" w:hAnsi="Calibri" w:cs="Calibri"/>
                          <w:sz w:val="20"/>
                          <w:szCs w:val="20"/>
                        </w:rPr>
                        <w:t xml:space="preserve">Figure </w:t>
                      </w:r>
                      <w:r w:rsidRPr="00181B02">
                        <w:rPr>
                          <w:rFonts w:ascii="Calibri" w:hAnsi="Calibri" w:cs="Calibri"/>
                          <w:sz w:val="20"/>
                          <w:szCs w:val="20"/>
                        </w:rPr>
                        <w:fldChar w:fldCharType="begin"/>
                      </w:r>
                      <w:r w:rsidRPr="00181B02">
                        <w:rPr>
                          <w:rFonts w:ascii="Calibri" w:hAnsi="Calibri" w:cs="Calibri"/>
                          <w:sz w:val="20"/>
                          <w:szCs w:val="20"/>
                        </w:rPr>
                        <w:instrText xml:space="preserve"> SEQ Figure \* ARABIC </w:instrText>
                      </w:r>
                      <w:r w:rsidRPr="00181B02">
                        <w:rPr>
                          <w:rFonts w:ascii="Calibri" w:hAnsi="Calibri" w:cs="Calibri"/>
                          <w:sz w:val="20"/>
                          <w:szCs w:val="20"/>
                        </w:rPr>
                        <w:fldChar w:fldCharType="separate"/>
                      </w:r>
                      <w:r w:rsidR="007710D3">
                        <w:rPr>
                          <w:rFonts w:ascii="Calibri" w:hAnsi="Calibri" w:cs="Calibri"/>
                          <w:noProof/>
                          <w:sz w:val="20"/>
                          <w:szCs w:val="20"/>
                        </w:rPr>
                        <w:t>3</w:t>
                      </w:r>
                      <w:r w:rsidRPr="00181B02">
                        <w:rPr>
                          <w:rFonts w:ascii="Calibri" w:hAnsi="Calibri" w:cs="Calibri"/>
                          <w:sz w:val="20"/>
                          <w:szCs w:val="20"/>
                        </w:rPr>
                        <w:fldChar w:fldCharType="end"/>
                      </w:r>
                      <w:r w:rsidRPr="00181B02">
                        <w:rPr>
                          <w:rFonts w:ascii="Calibri" w:hAnsi="Calibri" w:cs="Calibri"/>
                          <w:sz w:val="20"/>
                          <w:szCs w:val="20"/>
                        </w:rPr>
                        <w:t xml:space="preserve">:  Average daily opening profile for windows </w:t>
                      </w:r>
                      <w:r>
                        <w:rPr>
                          <w:rFonts w:ascii="Calibri" w:hAnsi="Calibri" w:cs="Calibri"/>
                          <w:sz w:val="20"/>
                          <w:szCs w:val="20"/>
                        </w:rPr>
                        <w:t xml:space="preserve">                        </w:t>
                      </w:r>
                      <w:r w:rsidRPr="00181B02">
                        <w:rPr>
                          <w:rFonts w:ascii="Calibri" w:hAnsi="Calibri" w:cs="Calibri"/>
                          <w:sz w:val="20"/>
                          <w:szCs w:val="20"/>
                        </w:rPr>
                        <w:t>a) summer b) winter</w:t>
                      </w:r>
                    </w:p>
                  </w:txbxContent>
                </v:textbox>
                <w10:wrap type="tight" anchorx="margin"/>
              </v:shape>
            </w:pict>
          </mc:Fallback>
        </mc:AlternateContent>
      </w:r>
      <w:r w:rsidR="1A8BFF29" w:rsidRPr="1A8BFF29">
        <w:rPr>
          <w:rFonts w:ascii="Calibri" w:eastAsia="Calibri" w:hAnsi="Calibri" w:cs="Calibri"/>
          <w:color w:val="000000" w:themeColor="text1"/>
        </w:rPr>
        <w:t>This process helps to highlight a key contribution of BIM in smart envelope research, as it enables the configuration of the environment-based control strategy directly within the digital model, provides a structured pathway for translating design rules into BEM-compatible inputs, and automates a process that would otherwise be manual and error-prone. As such, BIM serves not only as a geometric data environment but also as an intelligent intermediary that links smart envelope design intentions to simulation-based performance evaluation.</w:t>
      </w:r>
    </w:p>
    <w:p w14:paraId="3847C039" w14:textId="3CFE565E" w:rsidR="64203B1B" w:rsidRDefault="1A8BFF29" w:rsidP="008011D9">
      <w:pPr>
        <w:pStyle w:val="ListParagraph"/>
        <w:numPr>
          <w:ilvl w:val="2"/>
          <w:numId w:val="19"/>
        </w:numPr>
        <w:spacing w:after="40" w:line="257" w:lineRule="auto"/>
        <w:jc w:val="both"/>
        <w:rPr>
          <w:rFonts w:ascii="Calibri" w:eastAsia="Calibri" w:hAnsi="Calibri" w:cs="Calibri"/>
          <w:b/>
          <w:bCs/>
          <w:color w:val="000000" w:themeColor="text1"/>
          <w:sz w:val="28"/>
          <w:szCs w:val="28"/>
        </w:rPr>
      </w:pPr>
      <w:r w:rsidRPr="1A8BFF29">
        <w:rPr>
          <w:rFonts w:ascii="Calibri" w:eastAsia="Calibri" w:hAnsi="Calibri" w:cs="Calibri"/>
          <w:b/>
          <w:bCs/>
          <w:color w:val="000000" w:themeColor="text1"/>
          <w:sz w:val="28"/>
          <w:szCs w:val="28"/>
        </w:rPr>
        <w:t>Macro and Micro Perspectives</w:t>
      </w:r>
      <w:r w:rsidR="00255BEE">
        <w:rPr>
          <w:rFonts w:ascii="Calibri" w:eastAsia="Calibri" w:hAnsi="Calibri" w:cs="Calibri"/>
          <w:b/>
          <w:bCs/>
          <w:color w:val="000000" w:themeColor="text1"/>
          <w:sz w:val="28"/>
          <w:szCs w:val="28"/>
        </w:rPr>
        <w:t xml:space="preserve"> </w:t>
      </w:r>
      <w:r w:rsidR="00255BEE">
        <w:rPr>
          <w:rFonts w:ascii="Calibri" w:eastAsia="Calibri" w:hAnsi="Calibri" w:cs="Calibri"/>
          <w:b/>
          <w:bCs/>
          <w:sz w:val="28"/>
          <w:szCs w:val="28"/>
        </w:rPr>
        <w:t>(Annual and Weekly)</w:t>
      </w:r>
    </w:p>
    <w:p w14:paraId="75D7CC66" w14:textId="0D87025F" w:rsidR="64203B1B" w:rsidRDefault="1A8BFF29" w:rsidP="1A8BFF29">
      <w:pPr>
        <w:spacing w:after="40" w:line="257" w:lineRule="auto"/>
        <w:ind w:firstLine="720"/>
        <w:jc w:val="both"/>
        <w:rPr>
          <w:rFonts w:ascii="Calibri" w:eastAsia="Calibri" w:hAnsi="Calibri" w:cs="Calibri"/>
          <w:color w:val="000000" w:themeColor="text1"/>
        </w:rPr>
      </w:pPr>
      <w:r w:rsidRPr="1A8BFF29">
        <w:rPr>
          <w:rFonts w:ascii="Calibri" w:eastAsia="Calibri" w:hAnsi="Calibri" w:cs="Calibri"/>
          <w:color w:val="000000" w:themeColor="text1"/>
        </w:rPr>
        <w:t>The design approach was structured across macro and micro perspectives to evaluate both long term performance behaviour and short-term climatic responsiveness. At the macro perspective, this study is contextualised for the London climatic conditions to evaluate the long-term operational behaviour across all four scenarios</w:t>
      </w:r>
      <w:r w:rsidR="00475102">
        <w:rPr>
          <w:rFonts w:ascii="Calibri" w:eastAsia="Calibri" w:hAnsi="Calibri" w:cs="Calibri"/>
          <w:color w:val="000000" w:themeColor="text1"/>
        </w:rPr>
        <w:t xml:space="preserve"> over a full annual cycle</w:t>
      </w:r>
      <w:r w:rsidRPr="1A8BFF29">
        <w:rPr>
          <w:rFonts w:ascii="Calibri" w:eastAsia="Calibri" w:hAnsi="Calibri" w:cs="Calibri"/>
          <w:color w:val="000000" w:themeColor="text1"/>
        </w:rPr>
        <w:t>. The micro perspective evaluated a short-term weekly performance across the contrasting climatic conditions in</w:t>
      </w:r>
      <w:r w:rsidR="008011D9">
        <w:rPr>
          <w:rFonts w:ascii="Calibri" w:eastAsia="Calibri" w:hAnsi="Calibri" w:cs="Calibri"/>
          <w:color w:val="000000" w:themeColor="text1"/>
        </w:rPr>
        <w:t xml:space="preserve"> </w:t>
      </w:r>
      <w:r w:rsidRPr="1A8BFF29">
        <w:rPr>
          <w:rFonts w:ascii="Calibri" w:eastAsia="Calibri" w:hAnsi="Calibri" w:cs="Calibri"/>
          <w:color w:val="000000" w:themeColor="text1"/>
        </w:rPr>
        <w:t>London</w:t>
      </w:r>
      <w:r w:rsidR="008011D9">
        <w:rPr>
          <w:rFonts w:ascii="Calibri" w:eastAsia="Calibri" w:hAnsi="Calibri" w:cs="Calibri"/>
          <w:color w:val="000000" w:themeColor="text1"/>
        </w:rPr>
        <w:t xml:space="preserve">, </w:t>
      </w:r>
      <w:r w:rsidRPr="1A8BFF29">
        <w:rPr>
          <w:rFonts w:ascii="Calibri" w:eastAsia="Calibri" w:hAnsi="Calibri" w:cs="Calibri"/>
          <w:color w:val="000000" w:themeColor="text1"/>
        </w:rPr>
        <w:t>Stockholm and</w:t>
      </w:r>
      <w:r w:rsidR="008011D9">
        <w:rPr>
          <w:rFonts w:ascii="Calibri" w:eastAsia="Calibri" w:hAnsi="Calibri" w:cs="Calibri"/>
          <w:color w:val="000000" w:themeColor="text1"/>
        </w:rPr>
        <w:t xml:space="preserve"> </w:t>
      </w:r>
      <w:r w:rsidRPr="1A8BFF29">
        <w:rPr>
          <w:rFonts w:ascii="Calibri" w:eastAsia="Calibri" w:hAnsi="Calibri" w:cs="Calibri"/>
          <w:color w:val="000000" w:themeColor="text1"/>
        </w:rPr>
        <w:t>Abu Dhabi</w:t>
      </w:r>
      <w:r w:rsidR="008011D9">
        <w:rPr>
          <w:rFonts w:ascii="Calibri" w:eastAsia="Calibri" w:hAnsi="Calibri" w:cs="Calibri"/>
          <w:color w:val="000000" w:themeColor="text1"/>
        </w:rPr>
        <w:t>.</w:t>
      </w:r>
      <w:r w:rsidR="00BD00CB">
        <w:rPr>
          <w:rFonts w:ascii="Calibri" w:eastAsia="Calibri" w:hAnsi="Calibri" w:cs="Calibri"/>
          <w:color w:val="000000" w:themeColor="text1"/>
        </w:rPr>
        <w:t xml:space="preserve"> </w:t>
      </w:r>
      <w:r w:rsidR="000C7145">
        <w:rPr>
          <w:rFonts w:ascii="Calibri" w:eastAsia="Calibri" w:hAnsi="Calibri" w:cs="Calibri"/>
          <w:color w:val="000000" w:themeColor="text1"/>
        </w:rPr>
        <w:t>Representative</w:t>
      </w:r>
      <w:r w:rsidRPr="1A8BFF29">
        <w:rPr>
          <w:rFonts w:ascii="Calibri" w:eastAsia="Calibri" w:hAnsi="Calibri" w:cs="Calibri"/>
          <w:color w:val="000000" w:themeColor="text1"/>
        </w:rPr>
        <w:t xml:space="preserve"> summer and winter weeks were simulated to evaluate the adaptability and responsiveness of the envelope control strategies under varying climatic conditions. This enabled the assessment of transferability and operational stability across the different environmental contexts. </w:t>
      </w:r>
    </w:p>
    <w:p w14:paraId="0E681647" w14:textId="3691B184" w:rsidR="64203B1B" w:rsidRDefault="1A8BFF29" w:rsidP="1A8BFF29">
      <w:pPr>
        <w:spacing w:after="40" w:line="257" w:lineRule="auto"/>
        <w:jc w:val="both"/>
        <w:rPr>
          <w:rFonts w:ascii="Calibri" w:eastAsia="Calibri" w:hAnsi="Calibri" w:cs="Calibri"/>
          <w:b/>
          <w:bCs/>
          <w:color w:val="000000" w:themeColor="text1"/>
          <w:sz w:val="28"/>
          <w:szCs w:val="28"/>
        </w:rPr>
      </w:pPr>
      <w:r w:rsidRPr="1A8BFF29">
        <w:rPr>
          <w:rFonts w:ascii="Calibri" w:eastAsia="Calibri" w:hAnsi="Calibri" w:cs="Calibri"/>
          <w:b/>
          <w:bCs/>
          <w:color w:val="000000" w:themeColor="text1"/>
          <w:sz w:val="28"/>
          <w:szCs w:val="28"/>
        </w:rPr>
        <w:t>3.2.3 Simulation Configuration and Envelope Parameters</w:t>
      </w:r>
    </w:p>
    <w:p w14:paraId="25075888" w14:textId="6E0F4D39" w:rsidR="64203B1B" w:rsidRDefault="1A8BFF29" w:rsidP="1A8BFF29">
      <w:pPr>
        <w:spacing w:after="40" w:line="257" w:lineRule="auto"/>
        <w:ind w:firstLine="720"/>
        <w:jc w:val="both"/>
        <w:rPr>
          <w:rFonts w:ascii="Calibri" w:eastAsia="Calibri" w:hAnsi="Calibri" w:cs="Calibri"/>
          <w:color w:val="000000" w:themeColor="text1"/>
        </w:rPr>
      </w:pPr>
      <w:r w:rsidRPr="1A8BFF29">
        <w:rPr>
          <w:rFonts w:ascii="Calibri" w:eastAsia="Calibri" w:hAnsi="Calibri" w:cs="Calibri"/>
          <w:color w:val="000000" w:themeColor="text1"/>
        </w:rPr>
        <w:t>Simulations</w:t>
      </w:r>
      <w:r w:rsidR="003257B0">
        <w:rPr>
          <w:rFonts w:ascii="Calibri" w:eastAsia="Calibri" w:hAnsi="Calibri" w:cs="Calibri"/>
          <w:color w:val="000000" w:themeColor="text1"/>
        </w:rPr>
        <w:t xml:space="preserve"> for this research</w:t>
      </w:r>
      <w:r w:rsidRPr="1A8BFF29">
        <w:rPr>
          <w:rFonts w:ascii="Calibri" w:eastAsia="Calibri" w:hAnsi="Calibri" w:cs="Calibri"/>
          <w:color w:val="000000" w:themeColor="text1"/>
        </w:rPr>
        <w:t xml:space="preserve"> were carried out using Autodesk Revit 2025, Dynamo 3.x, </w:t>
      </w:r>
      <w:proofErr w:type="spellStart"/>
      <w:r w:rsidRPr="1A8BFF29">
        <w:rPr>
          <w:rFonts w:ascii="Calibri" w:eastAsia="Calibri" w:hAnsi="Calibri" w:cs="Calibri"/>
          <w:color w:val="000000" w:themeColor="text1"/>
        </w:rPr>
        <w:t>OpenStudio</w:t>
      </w:r>
      <w:proofErr w:type="spellEnd"/>
      <w:r w:rsidRPr="1A8BFF29">
        <w:rPr>
          <w:rFonts w:ascii="Calibri" w:eastAsia="Calibri" w:hAnsi="Calibri" w:cs="Calibri"/>
          <w:color w:val="000000" w:themeColor="text1"/>
        </w:rPr>
        <w:t xml:space="preserve"> 1.8, and </w:t>
      </w:r>
      <w:proofErr w:type="spellStart"/>
      <w:r w:rsidRPr="1A8BFF29">
        <w:rPr>
          <w:rFonts w:ascii="Calibri" w:eastAsia="Calibri" w:hAnsi="Calibri" w:cs="Calibri"/>
          <w:color w:val="000000" w:themeColor="text1"/>
        </w:rPr>
        <w:t>EnergyPlus</w:t>
      </w:r>
      <w:proofErr w:type="spellEnd"/>
      <w:r w:rsidRPr="1A8BFF29">
        <w:rPr>
          <w:rFonts w:ascii="Calibri" w:eastAsia="Calibri" w:hAnsi="Calibri" w:cs="Calibri"/>
          <w:color w:val="000000" w:themeColor="text1"/>
        </w:rPr>
        <w:t xml:space="preserve"> 24.1. The integration of </w:t>
      </w:r>
      <w:r w:rsidR="00FB7B1D">
        <w:rPr>
          <w:rFonts w:ascii="Calibri" w:eastAsia="Calibri" w:hAnsi="Calibri" w:cs="Calibri"/>
          <w:color w:val="000000" w:themeColor="text1"/>
        </w:rPr>
        <w:t xml:space="preserve">the </w:t>
      </w:r>
      <w:r w:rsidRPr="1A8BFF29">
        <w:rPr>
          <w:rFonts w:ascii="Calibri" w:eastAsia="Calibri" w:hAnsi="Calibri" w:cs="Calibri"/>
          <w:color w:val="000000" w:themeColor="text1"/>
        </w:rPr>
        <w:t xml:space="preserve">embedded BIM parameters, automated control schedules, and </w:t>
      </w:r>
      <w:proofErr w:type="spellStart"/>
      <w:r w:rsidRPr="1A8BFF29">
        <w:rPr>
          <w:rFonts w:ascii="Calibri" w:eastAsia="Calibri" w:hAnsi="Calibri" w:cs="Calibri"/>
          <w:color w:val="000000" w:themeColor="text1"/>
        </w:rPr>
        <w:t>gbXML</w:t>
      </w:r>
      <w:proofErr w:type="spellEnd"/>
      <w:r w:rsidRPr="1A8BFF29">
        <w:rPr>
          <w:rFonts w:ascii="Calibri" w:eastAsia="Calibri" w:hAnsi="Calibri" w:cs="Calibri"/>
          <w:color w:val="000000" w:themeColor="text1"/>
        </w:rPr>
        <w:t>-based transfers ensures traceability between the design intent and simulation output. The thermal and optical properties of the envelope elements were stored within the BIM environment to ensure automatic transfer during the model export.</w:t>
      </w:r>
    </w:p>
    <w:p w14:paraId="6145BBAF" w14:textId="6BDAC8C7" w:rsidR="64203B1B" w:rsidRDefault="1A8BFF29" w:rsidP="1A8BFF29">
      <w:pPr>
        <w:spacing w:after="40" w:line="257" w:lineRule="auto"/>
        <w:ind w:firstLine="720"/>
        <w:jc w:val="both"/>
        <w:rPr>
          <w:rFonts w:ascii="Calibri" w:eastAsia="Calibri" w:hAnsi="Calibri" w:cs="Calibri"/>
          <w:color w:val="000000" w:themeColor="text1"/>
        </w:rPr>
      </w:pPr>
      <w:r w:rsidRPr="1A8BFF29">
        <w:rPr>
          <w:rFonts w:ascii="Calibri" w:eastAsia="Calibri" w:hAnsi="Calibri" w:cs="Calibri"/>
          <w:color w:val="000000" w:themeColor="text1"/>
        </w:rPr>
        <w:t xml:space="preserve">A constant window-to-wall ratio (WWR) of 85% was applied on the south façade of the unit for all scenarios. </w:t>
      </w:r>
      <w:r w:rsidR="00123709" w:rsidRPr="00123709">
        <w:rPr>
          <w:rFonts w:ascii="Calibri" w:eastAsia="Calibri" w:hAnsi="Calibri" w:cs="Calibri"/>
          <w:color w:val="000000" w:themeColor="text1"/>
        </w:rPr>
        <w:t xml:space="preserve">The thermal and optical properties of the envelope elements were stored within the BIM environment to ensure automatic transfer during the model export. The values used in the simulation are listed below in Table </w:t>
      </w:r>
      <w:r w:rsidR="00FA51EF">
        <w:rPr>
          <w:rFonts w:ascii="Calibri" w:eastAsia="Calibri" w:hAnsi="Calibri" w:cs="Calibri"/>
          <w:color w:val="000000" w:themeColor="text1"/>
        </w:rPr>
        <w:t>2</w:t>
      </w:r>
      <w:r w:rsidR="00123709" w:rsidRPr="00123709">
        <w:rPr>
          <w:rFonts w:ascii="Calibri" w:eastAsia="Calibri" w:hAnsi="Calibri" w:cs="Calibri"/>
          <w:color w:val="000000" w:themeColor="text1"/>
        </w:rPr>
        <w:t>.</w:t>
      </w:r>
      <w:r w:rsidR="00FA51EF">
        <w:rPr>
          <w:rFonts w:ascii="Calibri" w:eastAsia="Calibri" w:hAnsi="Calibri" w:cs="Calibri"/>
          <w:color w:val="000000" w:themeColor="text1"/>
        </w:rPr>
        <w:t xml:space="preserve"> </w:t>
      </w:r>
      <w:r w:rsidRPr="1A8BFF29">
        <w:rPr>
          <w:rFonts w:ascii="Calibri" w:eastAsia="Calibri" w:hAnsi="Calibri" w:cs="Calibri"/>
          <w:color w:val="000000" w:themeColor="text1"/>
        </w:rPr>
        <w:t>The envelope properties were maintained consistently to isolate the effect of the smart adaptive envelope strategies. The second skin in scenarios 3 and 4 was modelled with a 1 m naturally ventilated cavity and external operable shading that is automated in response to real-time climatic conditions.</w:t>
      </w:r>
    </w:p>
    <w:p w14:paraId="5726B3F1" w14:textId="064679C6" w:rsidR="64203B1B" w:rsidRPr="009B7384" w:rsidRDefault="1A8BFF29" w:rsidP="009B7384">
      <w:pPr>
        <w:spacing w:after="40" w:line="257" w:lineRule="auto"/>
        <w:ind w:firstLine="720"/>
        <w:jc w:val="both"/>
        <w:rPr>
          <w:rFonts w:ascii="Calibri" w:eastAsia="Calibri" w:hAnsi="Calibri" w:cs="Calibri"/>
          <w:color w:val="000000" w:themeColor="text1"/>
        </w:rPr>
      </w:pPr>
      <w:r w:rsidRPr="1A8BFF29">
        <w:rPr>
          <w:rFonts w:ascii="Calibri" w:eastAsia="Calibri" w:hAnsi="Calibri" w:cs="Calibri"/>
          <w:color w:val="000000" w:themeColor="text1"/>
        </w:rPr>
        <w:t xml:space="preserve">Operational schedules and internal gain assumptions were implemented for the project in accordance with the CIBSE Guide A for an office environment </w:t>
      </w:r>
      <w:r w:rsidRPr="1A8BFF29">
        <w:rPr>
          <w:rFonts w:ascii="Calibri" w:eastAsia="Calibri" w:hAnsi="Calibri" w:cs="Calibri"/>
        </w:rPr>
        <w:t>(CIBSE, 2015)</w:t>
      </w:r>
      <w:r w:rsidRPr="1A8BFF29">
        <w:rPr>
          <w:rFonts w:ascii="Calibri" w:eastAsia="Calibri" w:hAnsi="Calibri" w:cs="Calibri"/>
          <w:color w:val="000000" w:themeColor="text1"/>
        </w:rPr>
        <w:t xml:space="preserve">. Occupancy density was modelled at 1 person per 10m2, with operational hours assigned as 08:00 to 20:00 on weekdays. Equipment loads and lighting were assigned to a small office unit category within </w:t>
      </w:r>
      <w:proofErr w:type="spellStart"/>
      <w:r w:rsidRPr="1A8BFF29">
        <w:rPr>
          <w:rFonts w:ascii="Calibri" w:eastAsia="Calibri" w:hAnsi="Calibri" w:cs="Calibri"/>
          <w:color w:val="000000" w:themeColor="text1"/>
        </w:rPr>
        <w:t>EnergyPlus</w:t>
      </w:r>
      <w:proofErr w:type="spellEnd"/>
      <w:r w:rsidRPr="1A8BFF29">
        <w:rPr>
          <w:rFonts w:ascii="Calibri" w:eastAsia="Calibri" w:hAnsi="Calibri" w:cs="Calibri"/>
          <w:color w:val="000000" w:themeColor="text1"/>
        </w:rPr>
        <w:t>. An ideal load system was used for the simulation to isolate the impact of the envelope system from the HVAC system performance.</w:t>
      </w:r>
    </w:p>
    <w:tbl>
      <w:tblPr>
        <w:tblW w:w="9441" w:type="dxa"/>
        <w:tblInd w:w="135" w:type="dxa"/>
        <w:tblLook w:val="01E0" w:firstRow="1" w:lastRow="1" w:firstColumn="1" w:lastColumn="1" w:noHBand="0" w:noVBand="0"/>
      </w:tblPr>
      <w:tblGrid>
        <w:gridCol w:w="2663"/>
        <w:gridCol w:w="2073"/>
        <w:gridCol w:w="4705"/>
      </w:tblGrid>
      <w:tr w:rsidR="483A7505" w14:paraId="7DC6E894" w14:textId="77777777" w:rsidTr="00B72AE8">
        <w:trPr>
          <w:trHeight w:val="250"/>
        </w:trPr>
        <w:tc>
          <w:tcPr>
            <w:tcW w:w="266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B8BA"/>
            <w:tcMar>
              <w:left w:w="105" w:type="dxa"/>
              <w:right w:w="105" w:type="dxa"/>
            </w:tcMar>
          </w:tcPr>
          <w:p w14:paraId="02D70A1F" w14:textId="58769404" w:rsidR="483A7505" w:rsidRDefault="1A8BFF29" w:rsidP="1A8BFF29">
            <w:pPr>
              <w:spacing w:before="1" w:line="257" w:lineRule="auto"/>
              <w:ind w:left="107"/>
              <w:rPr>
                <w:rFonts w:ascii="Calibri" w:eastAsia="Calibri" w:hAnsi="Calibri" w:cs="Calibri"/>
                <w:b/>
                <w:bCs/>
                <w:color w:val="000000" w:themeColor="text1"/>
                <w:lang w:val="en-US"/>
              </w:rPr>
            </w:pPr>
            <w:r w:rsidRPr="1A8BFF29">
              <w:rPr>
                <w:rFonts w:ascii="Calibri" w:eastAsia="Calibri" w:hAnsi="Calibri" w:cs="Calibri"/>
                <w:b/>
                <w:bCs/>
                <w:color w:val="000000" w:themeColor="text1"/>
                <w:lang w:val="en-US"/>
              </w:rPr>
              <w:t>ELEMENT</w:t>
            </w:r>
          </w:p>
        </w:tc>
        <w:tc>
          <w:tcPr>
            <w:tcW w:w="20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B8BA"/>
            <w:tcMar>
              <w:left w:w="105" w:type="dxa"/>
              <w:right w:w="105" w:type="dxa"/>
            </w:tcMar>
          </w:tcPr>
          <w:p w14:paraId="49130492" w14:textId="01D92868" w:rsidR="483A7505" w:rsidRDefault="1A8BFF29" w:rsidP="1A8BFF29">
            <w:pPr>
              <w:spacing w:before="1" w:line="257" w:lineRule="auto"/>
              <w:ind w:left="108"/>
              <w:rPr>
                <w:rFonts w:ascii="Calibri" w:eastAsia="Calibri" w:hAnsi="Calibri" w:cs="Calibri"/>
                <w:b/>
                <w:bCs/>
                <w:color w:val="000000" w:themeColor="text1"/>
                <w:lang w:val="en-US"/>
              </w:rPr>
            </w:pPr>
            <w:r w:rsidRPr="1A8BFF29">
              <w:rPr>
                <w:rFonts w:ascii="Calibri" w:eastAsia="Calibri" w:hAnsi="Calibri" w:cs="Calibri"/>
                <w:b/>
                <w:bCs/>
                <w:color w:val="000000" w:themeColor="text1"/>
                <w:lang w:val="en-US"/>
              </w:rPr>
              <w:t>U-VALUE</w:t>
            </w:r>
          </w:p>
        </w:tc>
        <w:tc>
          <w:tcPr>
            <w:tcW w:w="47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B8BA"/>
            <w:tcMar>
              <w:left w:w="105" w:type="dxa"/>
              <w:right w:w="105" w:type="dxa"/>
            </w:tcMar>
          </w:tcPr>
          <w:p w14:paraId="1ABCA8F9" w14:textId="4D8F4D39" w:rsidR="483A7505" w:rsidRDefault="1A8BFF29" w:rsidP="1A8BFF29">
            <w:pPr>
              <w:spacing w:before="1" w:line="257" w:lineRule="auto"/>
              <w:ind w:left="108"/>
              <w:rPr>
                <w:rFonts w:ascii="Calibri" w:eastAsia="Calibri" w:hAnsi="Calibri" w:cs="Calibri"/>
                <w:b/>
                <w:bCs/>
                <w:color w:val="000000" w:themeColor="text1"/>
                <w:lang w:val="en-US"/>
              </w:rPr>
            </w:pPr>
            <w:r w:rsidRPr="1A8BFF29">
              <w:rPr>
                <w:rFonts w:ascii="Calibri" w:eastAsia="Calibri" w:hAnsi="Calibri" w:cs="Calibri"/>
                <w:b/>
                <w:bCs/>
                <w:color w:val="000000" w:themeColor="text1"/>
                <w:lang w:val="en-US"/>
              </w:rPr>
              <w:t>NOTES</w:t>
            </w:r>
          </w:p>
        </w:tc>
      </w:tr>
      <w:tr w:rsidR="483A7505" w14:paraId="5AAB976B" w14:textId="77777777" w:rsidTr="00B72AE8">
        <w:trPr>
          <w:trHeight w:val="322"/>
        </w:trPr>
        <w:tc>
          <w:tcPr>
            <w:tcW w:w="26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42EAEF48" w14:textId="07717F8E" w:rsidR="483A7505" w:rsidRDefault="1A8BFF29" w:rsidP="1A8BFF29">
            <w:pPr>
              <w:spacing w:before="1" w:line="257" w:lineRule="auto"/>
              <w:ind w:left="107"/>
              <w:rPr>
                <w:rFonts w:ascii="Calibri" w:eastAsia="Calibri" w:hAnsi="Calibri" w:cs="Calibri"/>
                <w:lang w:val="en-US"/>
              </w:rPr>
            </w:pPr>
            <w:r w:rsidRPr="1A8BFF29">
              <w:rPr>
                <w:rFonts w:ascii="Calibri" w:eastAsia="Calibri" w:hAnsi="Calibri" w:cs="Calibri"/>
                <w:lang w:val="en-US"/>
              </w:rPr>
              <w:t>Glazing</w:t>
            </w:r>
          </w:p>
        </w:tc>
        <w:tc>
          <w:tcPr>
            <w:tcW w:w="207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7FA5DC93" w14:textId="6EDDDD96" w:rsidR="483A7505" w:rsidRDefault="1A8BFF29" w:rsidP="1A8BFF29">
            <w:pPr>
              <w:spacing w:before="1" w:line="257" w:lineRule="auto"/>
              <w:ind w:left="108"/>
              <w:rPr>
                <w:rFonts w:ascii="Calibri" w:eastAsia="Calibri" w:hAnsi="Calibri" w:cs="Calibri"/>
                <w:lang w:val="en-US"/>
              </w:rPr>
            </w:pPr>
            <w:r w:rsidRPr="1A8BFF29">
              <w:rPr>
                <w:rFonts w:ascii="Calibri" w:eastAsia="Calibri" w:hAnsi="Calibri" w:cs="Calibri"/>
                <w:lang w:val="en-US"/>
              </w:rPr>
              <w:t>1.99 W/m²·K</w:t>
            </w:r>
          </w:p>
        </w:tc>
        <w:tc>
          <w:tcPr>
            <w:tcW w:w="4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5927A012" w14:textId="3722A0A2" w:rsidR="483A7505" w:rsidRDefault="1A8BFF29" w:rsidP="1A8BFF29">
            <w:pPr>
              <w:spacing w:before="1" w:line="257" w:lineRule="auto"/>
              <w:ind w:left="108"/>
              <w:rPr>
                <w:rFonts w:ascii="Calibri" w:eastAsia="Calibri" w:hAnsi="Calibri" w:cs="Calibri"/>
                <w:lang w:val="en-US"/>
              </w:rPr>
            </w:pPr>
            <w:r w:rsidRPr="1A8BFF29">
              <w:rPr>
                <w:rFonts w:ascii="Calibri" w:eastAsia="Calibri" w:hAnsi="Calibri" w:cs="Calibri"/>
                <w:lang w:val="en-US"/>
              </w:rPr>
              <w:t>Double-glazed curtain wall</w:t>
            </w:r>
          </w:p>
        </w:tc>
      </w:tr>
      <w:tr w:rsidR="483A7505" w14:paraId="2494388E" w14:textId="77777777" w:rsidTr="009049C6">
        <w:trPr>
          <w:trHeight w:val="275"/>
        </w:trPr>
        <w:tc>
          <w:tcPr>
            <w:tcW w:w="26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55B5CECC" w14:textId="27545BDD" w:rsidR="483A7505" w:rsidRDefault="1A8BFF29" w:rsidP="1A8BFF29">
            <w:pPr>
              <w:spacing w:before="3" w:line="257" w:lineRule="auto"/>
              <w:ind w:left="107"/>
              <w:rPr>
                <w:rFonts w:ascii="Calibri" w:eastAsia="Calibri" w:hAnsi="Calibri" w:cs="Calibri"/>
                <w:lang w:val="en-US"/>
              </w:rPr>
            </w:pPr>
            <w:r w:rsidRPr="1A8BFF29">
              <w:rPr>
                <w:rFonts w:ascii="Calibri" w:eastAsia="Calibri" w:hAnsi="Calibri" w:cs="Calibri"/>
                <w:lang w:val="en-US"/>
              </w:rPr>
              <w:t>Wall</w:t>
            </w:r>
          </w:p>
        </w:tc>
        <w:tc>
          <w:tcPr>
            <w:tcW w:w="207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12C1888F" w14:textId="3DE8E34B" w:rsidR="483A7505" w:rsidRDefault="1A8BFF29" w:rsidP="1A8BFF29">
            <w:pPr>
              <w:spacing w:before="3" w:line="257" w:lineRule="auto"/>
              <w:ind w:left="108"/>
              <w:rPr>
                <w:rFonts w:ascii="Calibri" w:eastAsia="Calibri" w:hAnsi="Calibri" w:cs="Calibri"/>
                <w:lang w:val="en-US"/>
              </w:rPr>
            </w:pPr>
            <w:r w:rsidRPr="1A8BFF29">
              <w:rPr>
                <w:rFonts w:ascii="Calibri" w:eastAsia="Calibri" w:hAnsi="Calibri" w:cs="Calibri"/>
                <w:lang w:val="en-US"/>
              </w:rPr>
              <w:t>3.49 W/m²·K</w:t>
            </w:r>
          </w:p>
        </w:tc>
        <w:tc>
          <w:tcPr>
            <w:tcW w:w="4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628E3F2C" w14:textId="4CF662B4" w:rsidR="483A7505" w:rsidRDefault="1A8BFF29" w:rsidP="1A8BFF29">
            <w:pPr>
              <w:spacing w:before="3" w:line="257" w:lineRule="auto"/>
              <w:ind w:left="108"/>
              <w:rPr>
                <w:rFonts w:ascii="Calibri" w:eastAsia="Calibri" w:hAnsi="Calibri" w:cs="Calibri"/>
                <w:lang w:val="en-US"/>
              </w:rPr>
            </w:pPr>
            <w:proofErr w:type="gramStart"/>
            <w:r w:rsidRPr="1A8BFF29">
              <w:rPr>
                <w:rFonts w:ascii="Calibri" w:eastAsia="Calibri" w:hAnsi="Calibri" w:cs="Calibri"/>
                <w:lang w:val="en-US"/>
              </w:rPr>
              <w:t>Poor  insulation,  common</w:t>
            </w:r>
            <w:proofErr w:type="gramEnd"/>
            <w:r w:rsidRPr="1A8BFF29">
              <w:rPr>
                <w:rFonts w:ascii="Calibri" w:eastAsia="Calibri" w:hAnsi="Calibri" w:cs="Calibri"/>
                <w:lang w:val="en-US"/>
              </w:rPr>
              <w:t xml:space="preserve">  in retrofit scenarios</w:t>
            </w:r>
          </w:p>
        </w:tc>
      </w:tr>
      <w:tr w:rsidR="483A7505" w14:paraId="412FB830" w14:textId="77777777" w:rsidTr="009049C6">
        <w:trPr>
          <w:trHeight w:val="145"/>
        </w:trPr>
        <w:tc>
          <w:tcPr>
            <w:tcW w:w="26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14BB209E" w14:textId="3A85A06E" w:rsidR="483A7505" w:rsidRDefault="1A8BFF29" w:rsidP="1A8BFF29">
            <w:pPr>
              <w:spacing w:before="1" w:line="257" w:lineRule="auto"/>
              <w:ind w:left="107"/>
              <w:rPr>
                <w:rFonts w:ascii="Calibri" w:eastAsia="Calibri" w:hAnsi="Calibri" w:cs="Calibri"/>
                <w:lang w:val="en-US"/>
              </w:rPr>
            </w:pPr>
            <w:r w:rsidRPr="1A8BFF29">
              <w:rPr>
                <w:rFonts w:ascii="Calibri" w:eastAsia="Calibri" w:hAnsi="Calibri" w:cs="Calibri"/>
                <w:lang w:val="en-US"/>
              </w:rPr>
              <w:t>Roof</w:t>
            </w:r>
          </w:p>
        </w:tc>
        <w:tc>
          <w:tcPr>
            <w:tcW w:w="207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664BF705" w14:textId="57D4187F" w:rsidR="483A7505" w:rsidRDefault="1A8BFF29" w:rsidP="1A8BFF29">
            <w:pPr>
              <w:spacing w:before="1" w:line="257" w:lineRule="auto"/>
              <w:ind w:left="108"/>
              <w:rPr>
                <w:rFonts w:ascii="Calibri" w:eastAsia="Calibri" w:hAnsi="Calibri" w:cs="Calibri"/>
                <w:lang w:val="en-US"/>
              </w:rPr>
            </w:pPr>
            <w:r w:rsidRPr="1A8BFF29">
              <w:rPr>
                <w:rFonts w:ascii="Calibri" w:eastAsia="Calibri" w:hAnsi="Calibri" w:cs="Calibri"/>
                <w:lang w:val="en-US"/>
              </w:rPr>
              <w:t>0.22 W/m²·K</w:t>
            </w:r>
          </w:p>
        </w:tc>
        <w:tc>
          <w:tcPr>
            <w:tcW w:w="4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58D2DCE9" w14:textId="1CBD82A7" w:rsidR="483A7505" w:rsidRDefault="1A8BFF29" w:rsidP="1A8BFF29">
            <w:pPr>
              <w:spacing w:before="1" w:line="257" w:lineRule="auto"/>
              <w:ind w:left="108"/>
              <w:rPr>
                <w:rFonts w:ascii="Calibri" w:eastAsia="Calibri" w:hAnsi="Calibri" w:cs="Calibri"/>
                <w:lang w:val="en-US"/>
              </w:rPr>
            </w:pPr>
            <w:r w:rsidRPr="1A8BFF29">
              <w:rPr>
                <w:rFonts w:ascii="Calibri" w:eastAsia="Calibri" w:hAnsi="Calibri" w:cs="Calibri"/>
                <w:lang w:val="en-US"/>
              </w:rPr>
              <w:t>-</w:t>
            </w:r>
          </w:p>
        </w:tc>
      </w:tr>
      <w:tr w:rsidR="483A7505" w14:paraId="6D10405E" w14:textId="77777777" w:rsidTr="00B72AE8">
        <w:trPr>
          <w:trHeight w:val="88"/>
        </w:trPr>
        <w:tc>
          <w:tcPr>
            <w:tcW w:w="26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7AF66306" w14:textId="3134704E" w:rsidR="483A7505" w:rsidRDefault="1A8BFF29" w:rsidP="1A8BFF29">
            <w:pPr>
              <w:spacing w:before="3" w:line="257" w:lineRule="auto"/>
              <w:ind w:left="107"/>
              <w:rPr>
                <w:rFonts w:ascii="Calibri" w:eastAsia="Calibri" w:hAnsi="Calibri" w:cs="Calibri"/>
                <w:lang w:val="en-US"/>
              </w:rPr>
            </w:pPr>
            <w:r w:rsidRPr="1A8BFF29">
              <w:rPr>
                <w:rFonts w:ascii="Calibri" w:eastAsia="Calibri" w:hAnsi="Calibri" w:cs="Calibri"/>
                <w:lang w:val="en-US"/>
              </w:rPr>
              <w:t>Floor slab</w:t>
            </w:r>
          </w:p>
        </w:tc>
        <w:tc>
          <w:tcPr>
            <w:tcW w:w="207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5579A8A1" w14:textId="416209DA" w:rsidR="483A7505" w:rsidRDefault="1A8BFF29" w:rsidP="1A8BFF29">
            <w:pPr>
              <w:spacing w:before="3" w:line="257" w:lineRule="auto"/>
              <w:ind w:left="108"/>
              <w:rPr>
                <w:rFonts w:ascii="Calibri" w:eastAsia="Calibri" w:hAnsi="Calibri" w:cs="Calibri"/>
                <w:lang w:val="en-US"/>
              </w:rPr>
            </w:pPr>
            <w:r w:rsidRPr="1A8BFF29">
              <w:rPr>
                <w:rFonts w:ascii="Calibri" w:eastAsia="Calibri" w:hAnsi="Calibri" w:cs="Calibri"/>
                <w:lang w:val="en-US"/>
              </w:rPr>
              <w:t>0.12 W/m²·K</w:t>
            </w:r>
          </w:p>
        </w:tc>
        <w:tc>
          <w:tcPr>
            <w:tcW w:w="4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73164F8E" w14:textId="0E88B56D" w:rsidR="483A7505" w:rsidRDefault="1A8BFF29" w:rsidP="1A8BFF29">
            <w:pPr>
              <w:spacing w:before="3" w:line="257" w:lineRule="auto"/>
              <w:ind w:left="108"/>
              <w:rPr>
                <w:rFonts w:ascii="Calibri" w:eastAsia="Calibri" w:hAnsi="Calibri" w:cs="Calibri"/>
                <w:lang w:val="en-US"/>
              </w:rPr>
            </w:pPr>
            <w:r w:rsidRPr="1A8BFF29">
              <w:rPr>
                <w:rFonts w:ascii="Calibri" w:eastAsia="Calibri" w:hAnsi="Calibri" w:cs="Calibri"/>
                <w:lang w:val="en-US"/>
              </w:rPr>
              <w:t>-</w:t>
            </w:r>
          </w:p>
        </w:tc>
      </w:tr>
      <w:tr w:rsidR="483A7505" w14:paraId="0519F342" w14:textId="77777777" w:rsidTr="00C16B6F">
        <w:trPr>
          <w:trHeight w:val="243"/>
        </w:trPr>
        <w:tc>
          <w:tcPr>
            <w:tcW w:w="26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5B3ABFEE" w14:textId="031F9E0C" w:rsidR="483A7505" w:rsidRDefault="1A8BFF29" w:rsidP="1A8BFF29">
            <w:pPr>
              <w:spacing w:before="1" w:line="257" w:lineRule="auto"/>
              <w:ind w:left="107"/>
              <w:rPr>
                <w:rFonts w:ascii="Calibri" w:eastAsia="Calibri" w:hAnsi="Calibri" w:cs="Calibri"/>
                <w:lang w:val="en-US"/>
              </w:rPr>
            </w:pPr>
            <w:r w:rsidRPr="1A8BFF29">
              <w:rPr>
                <w:rFonts w:ascii="Calibri" w:eastAsia="Calibri" w:hAnsi="Calibri" w:cs="Calibri"/>
                <w:lang w:val="en-US"/>
              </w:rPr>
              <w:t>Second skin (sc. 3 &amp; 4)</w:t>
            </w:r>
          </w:p>
        </w:tc>
        <w:tc>
          <w:tcPr>
            <w:tcW w:w="207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1AF287C9" w14:textId="20765200" w:rsidR="483A7505" w:rsidRDefault="1A8BFF29" w:rsidP="1A8BFF29">
            <w:pPr>
              <w:spacing w:before="1" w:line="257" w:lineRule="auto"/>
              <w:ind w:left="108"/>
              <w:rPr>
                <w:rFonts w:ascii="Calibri" w:eastAsia="Calibri" w:hAnsi="Calibri" w:cs="Calibri"/>
                <w:lang w:val="en-US"/>
              </w:rPr>
            </w:pPr>
            <w:r w:rsidRPr="1A8BFF29">
              <w:rPr>
                <w:rFonts w:ascii="Calibri" w:eastAsia="Calibri" w:hAnsi="Calibri" w:cs="Calibri"/>
                <w:lang w:val="en-US"/>
              </w:rPr>
              <w:t>-</w:t>
            </w:r>
          </w:p>
        </w:tc>
        <w:tc>
          <w:tcPr>
            <w:tcW w:w="4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240C8509" w14:textId="65A13CB6" w:rsidR="483A7505" w:rsidRDefault="1A8BFF29" w:rsidP="009B7384">
            <w:pPr>
              <w:keepNext/>
              <w:spacing w:before="1" w:line="257" w:lineRule="auto"/>
              <w:ind w:left="108"/>
              <w:rPr>
                <w:rFonts w:ascii="Calibri" w:eastAsia="Calibri" w:hAnsi="Calibri" w:cs="Calibri"/>
                <w:lang w:val="en-US"/>
              </w:rPr>
            </w:pPr>
            <w:r w:rsidRPr="1A8BFF29">
              <w:rPr>
                <w:rFonts w:ascii="Calibri" w:eastAsia="Calibri" w:hAnsi="Calibri" w:cs="Calibri"/>
                <w:lang w:val="en-US"/>
              </w:rPr>
              <w:t>Ventilated cavity with operable panels</w:t>
            </w:r>
          </w:p>
        </w:tc>
      </w:tr>
    </w:tbl>
    <w:p w14:paraId="1C31C1C5" w14:textId="09190564" w:rsidR="009B7384" w:rsidRPr="00E60887" w:rsidRDefault="009B7384" w:rsidP="009B7384">
      <w:pPr>
        <w:pStyle w:val="Caption"/>
        <w:jc w:val="center"/>
        <w:rPr>
          <w:rFonts w:ascii="Calibri" w:hAnsi="Calibri" w:cs="Calibri"/>
          <w:sz w:val="20"/>
          <w:szCs w:val="20"/>
        </w:rPr>
      </w:pPr>
      <w:r w:rsidRPr="00E60887">
        <w:rPr>
          <w:rFonts w:ascii="Calibri" w:hAnsi="Calibri" w:cs="Calibri"/>
          <w:sz w:val="20"/>
          <w:szCs w:val="20"/>
        </w:rPr>
        <w:t xml:space="preserve">Table </w:t>
      </w:r>
      <w:r w:rsidRPr="00E60887">
        <w:rPr>
          <w:rFonts w:ascii="Calibri" w:hAnsi="Calibri" w:cs="Calibri"/>
          <w:sz w:val="20"/>
          <w:szCs w:val="20"/>
        </w:rPr>
        <w:fldChar w:fldCharType="begin"/>
      </w:r>
      <w:r w:rsidRPr="00E60887">
        <w:rPr>
          <w:rFonts w:ascii="Calibri" w:hAnsi="Calibri" w:cs="Calibri"/>
          <w:sz w:val="20"/>
          <w:szCs w:val="20"/>
        </w:rPr>
        <w:instrText xml:space="preserve"> SEQ Table \* ARABIC </w:instrText>
      </w:r>
      <w:r w:rsidRPr="00E60887">
        <w:rPr>
          <w:rFonts w:ascii="Calibri" w:hAnsi="Calibri" w:cs="Calibri"/>
          <w:sz w:val="20"/>
          <w:szCs w:val="20"/>
        </w:rPr>
        <w:fldChar w:fldCharType="separate"/>
      </w:r>
      <w:r w:rsidR="00A22C40">
        <w:rPr>
          <w:rFonts w:ascii="Calibri" w:hAnsi="Calibri" w:cs="Calibri"/>
          <w:noProof/>
          <w:sz w:val="20"/>
          <w:szCs w:val="20"/>
        </w:rPr>
        <w:t>2</w:t>
      </w:r>
      <w:r w:rsidRPr="00E60887">
        <w:rPr>
          <w:rFonts w:ascii="Calibri" w:hAnsi="Calibri" w:cs="Calibri"/>
          <w:sz w:val="20"/>
          <w:szCs w:val="20"/>
        </w:rPr>
        <w:fldChar w:fldCharType="end"/>
      </w:r>
      <w:r w:rsidRPr="00E60887">
        <w:rPr>
          <w:rFonts w:ascii="Calibri" w:hAnsi="Calibri" w:cs="Calibri"/>
          <w:sz w:val="20"/>
          <w:szCs w:val="20"/>
        </w:rPr>
        <w:t>: Thermal performance summary of the model (Author)</w:t>
      </w:r>
    </w:p>
    <w:p w14:paraId="3B7C2463" w14:textId="09D1583F" w:rsidR="64203B1B" w:rsidRDefault="1A8BFF29" w:rsidP="1A8BFF29">
      <w:pPr>
        <w:spacing w:after="40" w:line="257" w:lineRule="auto"/>
        <w:rPr>
          <w:rFonts w:ascii="Calibri" w:eastAsia="Calibri" w:hAnsi="Calibri" w:cs="Calibri"/>
          <w:b/>
          <w:bCs/>
          <w:color w:val="000000" w:themeColor="text1"/>
          <w:sz w:val="28"/>
          <w:szCs w:val="28"/>
        </w:rPr>
      </w:pPr>
      <w:r w:rsidRPr="1A8BFF29">
        <w:rPr>
          <w:rFonts w:ascii="Calibri" w:eastAsia="Calibri" w:hAnsi="Calibri" w:cs="Calibri"/>
          <w:b/>
          <w:bCs/>
          <w:color w:val="000000" w:themeColor="text1"/>
          <w:sz w:val="28"/>
          <w:szCs w:val="28"/>
        </w:rPr>
        <w:t>3.2.4 Performance Indicators</w:t>
      </w:r>
    </w:p>
    <w:p w14:paraId="2EEB741D" w14:textId="61074DD7" w:rsidR="64203B1B" w:rsidRPr="00817101" w:rsidRDefault="1A8BFF29" w:rsidP="00817101">
      <w:pPr>
        <w:spacing w:after="40" w:line="257" w:lineRule="auto"/>
        <w:ind w:firstLine="720"/>
        <w:jc w:val="both"/>
        <w:rPr>
          <w:rFonts w:ascii="Calibri" w:eastAsia="Calibri" w:hAnsi="Calibri" w:cs="Calibri"/>
          <w:b/>
          <w:sz w:val="28"/>
          <w:szCs w:val="28"/>
        </w:rPr>
      </w:pPr>
      <w:r w:rsidRPr="005B1F5D">
        <w:rPr>
          <w:rFonts w:ascii="Calibri" w:eastAsia="Calibri" w:hAnsi="Calibri" w:cs="Calibri"/>
        </w:rPr>
        <w:t xml:space="preserve">The performance indicators were </w:t>
      </w:r>
      <w:r w:rsidR="00817101" w:rsidRPr="005B1F5D">
        <w:rPr>
          <w:rFonts w:ascii="Calibri" w:eastAsia="Calibri" w:hAnsi="Calibri" w:cs="Calibri"/>
        </w:rPr>
        <w:t>selected to assess</w:t>
      </w:r>
      <w:r w:rsidRPr="005B1F5D">
        <w:rPr>
          <w:rFonts w:ascii="Calibri" w:eastAsia="Calibri" w:hAnsi="Calibri" w:cs="Calibri"/>
        </w:rPr>
        <w:t xml:space="preserve"> both the energy performance and </w:t>
      </w:r>
      <w:r w:rsidR="00817101" w:rsidRPr="005B1F5D">
        <w:rPr>
          <w:rFonts w:ascii="Calibri" w:eastAsia="Calibri" w:hAnsi="Calibri" w:cs="Calibri"/>
        </w:rPr>
        <w:t>thermal conditions of the retrofit scenarios. The primary indicators comprised annual</w:t>
      </w:r>
      <w:r w:rsidRPr="005B1F5D">
        <w:rPr>
          <w:rFonts w:ascii="Calibri" w:eastAsia="Calibri" w:hAnsi="Calibri" w:cs="Calibri"/>
        </w:rPr>
        <w:t xml:space="preserve"> and monthly heating energy demand (kWh</w:t>
      </w:r>
      <w:r w:rsidR="00817101" w:rsidRPr="005B1F5D">
        <w:rPr>
          <w:rFonts w:ascii="Calibri" w:eastAsia="Calibri" w:hAnsi="Calibri" w:cs="Calibri"/>
        </w:rPr>
        <w:t>), annual</w:t>
      </w:r>
      <w:r w:rsidRPr="005B1F5D">
        <w:rPr>
          <w:rFonts w:ascii="Calibri" w:eastAsia="Calibri" w:hAnsi="Calibri" w:cs="Calibri"/>
        </w:rPr>
        <w:t xml:space="preserve"> and monthly cooling energy demand (kWh</w:t>
      </w:r>
      <w:r w:rsidR="00817101" w:rsidRPr="005B1F5D">
        <w:rPr>
          <w:rFonts w:ascii="Calibri" w:eastAsia="Calibri" w:hAnsi="Calibri" w:cs="Calibri"/>
        </w:rPr>
        <w:t>),</w:t>
      </w:r>
      <w:r w:rsidRPr="005B1F5D">
        <w:rPr>
          <w:rFonts w:ascii="Calibri" w:eastAsia="Calibri" w:hAnsi="Calibri" w:cs="Calibri"/>
        </w:rPr>
        <w:t xml:space="preserve"> Indoor operative temperature (°C)</w:t>
      </w:r>
      <w:r w:rsidR="0047707C">
        <w:rPr>
          <w:rFonts w:ascii="Calibri" w:eastAsia="Calibri" w:hAnsi="Calibri" w:cs="Calibri"/>
        </w:rPr>
        <w:t>,</w:t>
      </w:r>
      <w:r w:rsidR="00817101" w:rsidRPr="005B1F5D">
        <w:rPr>
          <w:rFonts w:ascii="Calibri" w:eastAsia="Calibri" w:hAnsi="Calibri" w:cs="Calibri"/>
        </w:rPr>
        <w:t xml:space="preserve"> and</w:t>
      </w:r>
      <w:r w:rsidRPr="005B1F5D">
        <w:rPr>
          <w:rFonts w:ascii="Calibri" w:eastAsia="Calibri" w:hAnsi="Calibri" w:cs="Calibri"/>
        </w:rPr>
        <w:t xml:space="preserve"> Air changes per hour (ACH</w:t>
      </w:r>
      <w:r w:rsidR="00817101" w:rsidRPr="005B1F5D">
        <w:rPr>
          <w:rFonts w:ascii="Calibri" w:eastAsia="Calibri" w:hAnsi="Calibri" w:cs="Calibri"/>
        </w:rPr>
        <w:t>).</w:t>
      </w:r>
    </w:p>
    <w:p w14:paraId="06DCFBD7" w14:textId="2AE02617" w:rsidR="64203B1B" w:rsidRDefault="1A8BFF29" w:rsidP="1A8BFF29">
      <w:pPr>
        <w:spacing w:after="40" w:line="257" w:lineRule="auto"/>
        <w:rPr>
          <w:rFonts w:ascii="Calibri" w:eastAsia="Calibri" w:hAnsi="Calibri" w:cs="Calibri"/>
          <w:color w:val="000000" w:themeColor="text1"/>
          <w:lang w:val="en-US"/>
        </w:rPr>
      </w:pPr>
      <w:r w:rsidRPr="1A8BFF29">
        <w:rPr>
          <w:rFonts w:ascii="Calibri" w:eastAsia="Calibri" w:hAnsi="Calibri" w:cs="Calibri"/>
          <w:color w:val="000000" w:themeColor="text1"/>
          <w:lang w:val="en-US"/>
        </w:rPr>
        <w:t xml:space="preserve"> </w:t>
      </w:r>
    </w:p>
    <w:p w14:paraId="15E42D4E" w14:textId="5DBFD8F7" w:rsidR="64203B1B" w:rsidRDefault="1A8BFF29" w:rsidP="1A8BFF29">
      <w:pPr>
        <w:spacing w:after="40" w:line="257" w:lineRule="auto"/>
        <w:rPr>
          <w:rFonts w:ascii="Calibri" w:eastAsia="Calibri" w:hAnsi="Calibri" w:cs="Calibri"/>
          <w:b/>
          <w:bCs/>
          <w:color w:val="000000" w:themeColor="text1"/>
          <w:sz w:val="28"/>
          <w:szCs w:val="28"/>
        </w:rPr>
      </w:pPr>
      <w:r w:rsidRPr="1A8BFF29">
        <w:rPr>
          <w:rFonts w:ascii="Calibri" w:eastAsia="Calibri" w:hAnsi="Calibri" w:cs="Calibri"/>
          <w:b/>
          <w:bCs/>
          <w:color w:val="000000" w:themeColor="text1"/>
          <w:sz w:val="28"/>
          <w:szCs w:val="28"/>
        </w:rPr>
        <w:t>4 RESULTS AND DISCUSSION</w:t>
      </w:r>
    </w:p>
    <w:p w14:paraId="4F4351A5" w14:textId="2955F2E4" w:rsidR="64203B1B" w:rsidRDefault="1A8BFF29" w:rsidP="009B7384">
      <w:pPr>
        <w:spacing w:after="40" w:line="257" w:lineRule="auto"/>
        <w:ind w:firstLine="720"/>
        <w:jc w:val="both"/>
        <w:rPr>
          <w:rFonts w:ascii="Calibri" w:eastAsia="Calibri" w:hAnsi="Calibri" w:cs="Calibri"/>
          <w:color w:val="000000" w:themeColor="text1"/>
        </w:rPr>
      </w:pPr>
      <w:r w:rsidRPr="1A8BFF29">
        <w:rPr>
          <w:rFonts w:ascii="Calibri" w:eastAsia="Calibri" w:hAnsi="Calibri" w:cs="Calibri"/>
          <w:color w:val="000000" w:themeColor="text1"/>
        </w:rPr>
        <w:t>The reviewed studies highlighted a gap in developing integrated BIM-BEM workflows capable of linking the model, control logic, simulation</w:t>
      </w:r>
      <w:r w:rsidR="0047707C">
        <w:rPr>
          <w:rFonts w:ascii="Calibri" w:eastAsia="Calibri" w:hAnsi="Calibri" w:cs="Calibri"/>
          <w:color w:val="000000" w:themeColor="text1"/>
        </w:rPr>
        <w:t>,</w:t>
      </w:r>
      <w:r w:rsidRPr="1A8BFF29">
        <w:rPr>
          <w:rFonts w:ascii="Calibri" w:eastAsia="Calibri" w:hAnsi="Calibri" w:cs="Calibri"/>
          <w:color w:val="000000" w:themeColor="text1"/>
        </w:rPr>
        <w:t xml:space="preserve"> and operational performance value. The developed prototype and the integrated toolchain addressed this gap through a coordinated workflow that enabled a </w:t>
      </w:r>
      <w:r w:rsidR="00CC7073">
        <w:rPr>
          <w:rFonts w:ascii="Calibri" w:eastAsia="Calibri" w:hAnsi="Calibri" w:cs="Calibri"/>
          <w:color w:val="000000" w:themeColor="text1"/>
        </w:rPr>
        <w:t>simulation-driven</w:t>
      </w:r>
      <w:r w:rsidRPr="1A8BFF29">
        <w:rPr>
          <w:rFonts w:ascii="Calibri" w:eastAsia="Calibri" w:hAnsi="Calibri" w:cs="Calibri"/>
          <w:color w:val="000000" w:themeColor="text1"/>
        </w:rPr>
        <w:t xml:space="preserve"> evaluation of the adaptive retrofit envelope strategies. </w:t>
      </w:r>
    </w:p>
    <w:p w14:paraId="37A99176" w14:textId="7526DB75" w:rsidR="64203B1B" w:rsidRDefault="1A8BFF29" w:rsidP="1A8BFF29">
      <w:pPr>
        <w:spacing w:after="40" w:line="257" w:lineRule="auto"/>
        <w:jc w:val="both"/>
        <w:rPr>
          <w:rFonts w:ascii="Calibri" w:eastAsia="Calibri" w:hAnsi="Calibri" w:cs="Calibri"/>
          <w:b/>
          <w:bCs/>
          <w:color w:val="000000" w:themeColor="text1"/>
          <w:sz w:val="28"/>
          <w:szCs w:val="28"/>
        </w:rPr>
      </w:pPr>
      <w:r w:rsidRPr="1A8BFF29">
        <w:rPr>
          <w:rFonts w:ascii="Calibri" w:eastAsia="Calibri" w:hAnsi="Calibri" w:cs="Calibri"/>
          <w:b/>
          <w:bCs/>
          <w:color w:val="000000" w:themeColor="text1"/>
          <w:sz w:val="28"/>
          <w:szCs w:val="28"/>
        </w:rPr>
        <w:t>4.1 Macro Perspective Results: Annual and Monthly Analysis</w:t>
      </w:r>
    </w:p>
    <w:p w14:paraId="6B6BD2B0" w14:textId="03B384DD" w:rsidR="64203B1B" w:rsidRDefault="1A8BFF29" w:rsidP="001436A1">
      <w:pPr>
        <w:spacing w:after="40" w:line="257" w:lineRule="auto"/>
        <w:ind w:firstLine="720"/>
        <w:jc w:val="both"/>
        <w:rPr>
          <w:rFonts w:ascii="Calibri" w:eastAsia="Calibri" w:hAnsi="Calibri" w:cs="Calibri"/>
          <w:color w:val="000000" w:themeColor="text1"/>
        </w:rPr>
      </w:pPr>
      <w:r w:rsidRPr="1A8BFF29">
        <w:rPr>
          <w:rFonts w:ascii="Calibri" w:eastAsia="Calibri" w:hAnsi="Calibri" w:cs="Calibri"/>
          <w:color w:val="000000" w:themeColor="text1"/>
        </w:rPr>
        <w:t>The macro analysis evaluated the annual and monthly operational behaviour of all four scenarios under London climatic conditions. The control model exhibited high demand during the winter months and peak cooling during the summer periods. Scenario 2, which introduced an automated window operation</w:t>
      </w:r>
      <w:r w:rsidR="00CC7073">
        <w:rPr>
          <w:rFonts w:ascii="Calibri" w:eastAsia="Calibri" w:hAnsi="Calibri" w:cs="Calibri"/>
          <w:color w:val="000000" w:themeColor="text1"/>
        </w:rPr>
        <w:t>,</w:t>
      </w:r>
      <w:r w:rsidRPr="1A8BFF29">
        <w:rPr>
          <w:rFonts w:ascii="Calibri" w:eastAsia="Calibri" w:hAnsi="Calibri" w:cs="Calibri"/>
          <w:color w:val="000000" w:themeColor="text1"/>
        </w:rPr>
        <w:t xml:space="preserve"> showed only a marginal difference from the control case, indicating that automation alone has limited influence on the overall energy performance.</w:t>
      </w:r>
      <w:r w:rsidR="001436A1">
        <w:rPr>
          <w:rFonts w:ascii="Calibri" w:eastAsia="Calibri" w:hAnsi="Calibri" w:cs="Calibri"/>
          <w:color w:val="000000" w:themeColor="text1"/>
        </w:rPr>
        <w:t xml:space="preserve"> </w:t>
      </w:r>
      <w:r w:rsidRPr="1A8BFF29">
        <w:rPr>
          <w:rFonts w:ascii="Calibri" w:eastAsia="Calibri" w:hAnsi="Calibri" w:cs="Calibri"/>
          <w:color w:val="000000" w:themeColor="text1"/>
        </w:rPr>
        <w:t>In contrast to this, scenarios 3 and 4</w:t>
      </w:r>
      <w:r w:rsidR="00CC7073">
        <w:rPr>
          <w:rFonts w:ascii="Calibri" w:eastAsia="Calibri" w:hAnsi="Calibri" w:cs="Calibri"/>
          <w:color w:val="000000" w:themeColor="text1"/>
        </w:rPr>
        <w:t>,</w:t>
      </w:r>
      <w:r w:rsidRPr="1A8BFF29">
        <w:rPr>
          <w:rFonts w:ascii="Calibri" w:eastAsia="Calibri" w:hAnsi="Calibri" w:cs="Calibri"/>
          <w:color w:val="000000" w:themeColor="text1"/>
        </w:rPr>
        <w:t xml:space="preserve"> which incorporated the second skin envelope</w:t>
      </w:r>
      <w:r w:rsidR="00CC7073">
        <w:rPr>
          <w:rFonts w:ascii="Calibri" w:eastAsia="Calibri" w:hAnsi="Calibri" w:cs="Calibri"/>
          <w:color w:val="000000" w:themeColor="text1"/>
        </w:rPr>
        <w:t>,</w:t>
      </w:r>
      <w:r w:rsidRPr="1A8BFF29">
        <w:rPr>
          <w:rFonts w:ascii="Calibri" w:eastAsia="Calibri" w:hAnsi="Calibri" w:cs="Calibri"/>
          <w:color w:val="000000" w:themeColor="text1"/>
        </w:rPr>
        <w:t xml:space="preserve"> demonstrated a substantial reduction in heating and cooling demands, achieving approximately 26-28% annual reduction when compared to the control model. P</w:t>
      </w:r>
      <w:r w:rsidR="00FA51EF">
        <w:rPr>
          <w:rFonts w:ascii="Calibri" w:eastAsia="Calibri" w:hAnsi="Calibri" w:cs="Calibri"/>
          <w:color w:val="000000" w:themeColor="text1"/>
        </w:rPr>
        <w:t>ea</w:t>
      </w:r>
      <w:r w:rsidRPr="1A8BFF29">
        <w:rPr>
          <w:rFonts w:ascii="Calibri" w:eastAsia="Calibri" w:hAnsi="Calibri" w:cs="Calibri"/>
          <w:color w:val="000000" w:themeColor="text1"/>
        </w:rPr>
        <w:t xml:space="preserve">k summer cooling demands </w:t>
      </w:r>
      <w:r w:rsidR="00CC7073">
        <w:rPr>
          <w:rFonts w:ascii="Calibri" w:eastAsia="Calibri" w:hAnsi="Calibri" w:cs="Calibri"/>
          <w:color w:val="000000" w:themeColor="text1"/>
        </w:rPr>
        <w:t>were</w:t>
      </w:r>
      <w:r w:rsidRPr="1A8BFF29">
        <w:rPr>
          <w:rFonts w:ascii="Calibri" w:eastAsia="Calibri" w:hAnsi="Calibri" w:cs="Calibri"/>
          <w:color w:val="000000" w:themeColor="text1"/>
        </w:rPr>
        <w:t xml:space="preserve"> also reduced by approximately 6.5%, although </w:t>
      </w:r>
      <w:r w:rsidR="00CC7073">
        <w:rPr>
          <w:rFonts w:ascii="Calibri" w:eastAsia="Calibri" w:hAnsi="Calibri" w:cs="Calibri"/>
          <w:color w:val="000000" w:themeColor="text1"/>
        </w:rPr>
        <w:t xml:space="preserve">a </w:t>
      </w:r>
      <w:r w:rsidRPr="1A8BFF29">
        <w:rPr>
          <w:rFonts w:ascii="Calibri" w:eastAsia="Calibri" w:hAnsi="Calibri" w:cs="Calibri"/>
          <w:color w:val="000000" w:themeColor="text1"/>
        </w:rPr>
        <w:t>slight increase in the value occurred during the transitional months. Overall, the annual cooling energy demand for scenarios 3 and 4 was 13% higher than the control, which illustrates a complex interaction between thermal insulation, shading and heat accumulation</w:t>
      </w:r>
      <w:r w:rsidR="00B1685E">
        <w:rPr>
          <w:rFonts w:ascii="Calibri" w:eastAsia="Calibri" w:hAnsi="Calibri" w:cs="Calibri"/>
          <w:color w:val="000000" w:themeColor="text1"/>
        </w:rPr>
        <w:t xml:space="preserve"> (</w:t>
      </w:r>
      <w:r w:rsidR="00CC7073">
        <w:rPr>
          <w:rFonts w:ascii="Calibri" w:eastAsia="Calibri" w:hAnsi="Calibri" w:cs="Calibri"/>
          <w:color w:val="000000" w:themeColor="text1"/>
        </w:rPr>
        <w:t>Figure</w:t>
      </w:r>
      <w:r w:rsidR="00B1685E">
        <w:rPr>
          <w:rFonts w:ascii="Calibri" w:eastAsia="Calibri" w:hAnsi="Calibri" w:cs="Calibri"/>
          <w:color w:val="000000" w:themeColor="text1"/>
        </w:rPr>
        <w:t xml:space="preserve"> 4)</w:t>
      </w:r>
      <w:r w:rsidRPr="1A8BFF29">
        <w:rPr>
          <w:rFonts w:ascii="Calibri" w:eastAsia="Calibri" w:hAnsi="Calibri" w:cs="Calibri"/>
          <w:color w:val="000000" w:themeColor="text1"/>
        </w:rPr>
        <w:t>.</w:t>
      </w:r>
    </w:p>
    <w:p w14:paraId="59F2F70D" w14:textId="70AF9676" w:rsidR="64203B1B" w:rsidRDefault="1A8BFF29" w:rsidP="00FC5EE2">
      <w:pPr>
        <w:spacing w:after="40" w:line="257" w:lineRule="auto"/>
        <w:ind w:firstLine="720"/>
        <w:jc w:val="both"/>
        <w:rPr>
          <w:rFonts w:ascii="Calibri" w:eastAsia="Calibri" w:hAnsi="Calibri" w:cs="Calibri"/>
          <w:color w:val="000000" w:themeColor="text1"/>
        </w:rPr>
      </w:pPr>
      <w:r w:rsidRPr="1A8BFF29">
        <w:rPr>
          <w:rFonts w:ascii="Calibri" w:eastAsia="Calibri" w:hAnsi="Calibri" w:cs="Calibri"/>
          <w:color w:val="000000" w:themeColor="text1"/>
        </w:rPr>
        <w:t xml:space="preserve">The operative temperature analysis further showed that scenarios 3 and 4 have maintained a more stable indoor thermal condition throughout the year. Similarly, air change rates have increased significantly in the second skin scenarios, which demonstrates an enhanced ventilation potential while maintaining thermal comfort. Importantly, these results were derived from a BIM-based control strategy in Dynamo and translated into </w:t>
      </w:r>
      <w:proofErr w:type="spellStart"/>
      <w:r w:rsidR="00CC7073">
        <w:rPr>
          <w:rFonts w:ascii="Calibri" w:eastAsia="Calibri" w:hAnsi="Calibri" w:cs="Calibri"/>
          <w:color w:val="000000" w:themeColor="text1"/>
        </w:rPr>
        <w:t>EnergyPlus</w:t>
      </w:r>
      <w:proofErr w:type="spellEnd"/>
      <w:r w:rsidR="00CC7073">
        <w:rPr>
          <w:rFonts w:ascii="Calibri" w:eastAsia="Calibri" w:hAnsi="Calibri" w:cs="Calibri"/>
          <w:color w:val="000000" w:themeColor="text1"/>
        </w:rPr>
        <w:t>-compatible</w:t>
      </w:r>
      <w:r w:rsidRPr="1A8BFF29">
        <w:rPr>
          <w:rFonts w:ascii="Calibri" w:eastAsia="Calibri" w:hAnsi="Calibri" w:cs="Calibri"/>
          <w:color w:val="000000" w:themeColor="text1"/>
        </w:rPr>
        <w:t xml:space="preserve"> operational profiles, ensuring interoperability and repeatability between BIM and BEM.</w:t>
      </w:r>
    </w:p>
    <w:p w14:paraId="11DE7C00" w14:textId="3E4C2ED4" w:rsidR="009049C6" w:rsidRDefault="64203B1B" w:rsidP="009049C6">
      <w:pPr>
        <w:keepNext/>
        <w:spacing w:after="40" w:line="257" w:lineRule="auto"/>
        <w:jc w:val="both"/>
      </w:pPr>
      <w:r>
        <w:rPr>
          <w:noProof/>
        </w:rPr>
        <w:drawing>
          <wp:inline distT="0" distB="0" distL="0" distR="0" wp14:anchorId="3866BA38" wp14:editId="6B781746">
            <wp:extent cx="2385527" cy="1506220"/>
            <wp:effectExtent l="0" t="0" r="0" b="0"/>
            <wp:docPr id="7277063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706381" name="Picture 727706381"/>
                    <pic:cNvPicPr/>
                  </pic:nvPicPr>
                  <pic:blipFill>
                    <a:blip r:embed="rId14">
                      <a:extLst>
                        <a:ext uri="{28A0092B-C50C-407E-A947-70E740481C1C}">
                          <a14:useLocalDpi xmlns:a14="http://schemas.microsoft.com/office/drawing/2010/main"/>
                        </a:ext>
                      </a:extLst>
                    </a:blip>
                    <a:stretch>
                      <a:fillRect/>
                    </a:stretch>
                  </pic:blipFill>
                  <pic:spPr>
                    <a:xfrm>
                      <a:off x="0" y="0"/>
                      <a:ext cx="2416984" cy="1526082"/>
                    </a:xfrm>
                    <a:prstGeom prst="rect">
                      <a:avLst/>
                    </a:prstGeom>
                  </pic:spPr>
                </pic:pic>
              </a:graphicData>
            </a:graphic>
          </wp:inline>
        </w:drawing>
      </w:r>
      <w:r w:rsidR="009049C6">
        <w:rPr>
          <w:noProof/>
        </w:rPr>
        <w:drawing>
          <wp:inline distT="0" distB="0" distL="0" distR="0" wp14:anchorId="0BAD5F33" wp14:editId="2A6D920E">
            <wp:extent cx="2511425" cy="1511980"/>
            <wp:effectExtent l="0" t="0" r="3175" b="0"/>
            <wp:docPr id="15526115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11596" name="Picture 1552611596"/>
                    <pic:cNvPicPr/>
                  </pic:nvPicPr>
                  <pic:blipFill>
                    <a:blip r:embed="rId15">
                      <a:extLst>
                        <a:ext uri="{28A0092B-C50C-407E-A947-70E740481C1C}">
                          <a14:useLocalDpi xmlns:a14="http://schemas.microsoft.com/office/drawing/2010/main"/>
                        </a:ext>
                      </a:extLst>
                    </a:blip>
                    <a:stretch>
                      <a:fillRect/>
                    </a:stretch>
                  </pic:blipFill>
                  <pic:spPr>
                    <a:xfrm>
                      <a:off x="0" y="0"/>
                      <a:ext cx="2522463" cy="1518625"/>
                    </a:xfrm>
                    <a:prstGeom prst="rect">
                      <a:avLst/>
                    </a:prstGeom>
                  </pic:spPr>
                </pic:pic>
              </a:graphicData>
            </a:graphic>
          </wp:inline>
        </w:drawing>
      </w:r>
    </w:p>
    <w:p w14:paraId="6296E8EB" w14:textId="361811C2" w:rsidR="64203B1B" w:rsidRPr="00E60887" w:rsidRDefault="009049C6" w:rsidP="00E60887">
      <w:pPr>
        <w:pStyle w:val="Caption"/>
        <w:jc w:val="center"/>
        <w:rPr>
          <w:rFonts w:ascii="Calibri" w:hAnsi="Calibri" w:cs="Calibri"/>
          <w:sz w:val="20"/>
          <w:szCs w:val="20"/>
        </w:rPr>
      </w:pPr>
      <w:r w:rsidRPr="00E60887">
        <w:rPr>
          <w:rFonts w:ascii="Calibri" w:hAnsi="Calibri" w:cs="Calibri"/>
          <w:sz w:val="20"/>
          <w:szCs w:val="20"/>
        </w:rPr>
        <w:t xml:space="preserve">Figure </w:t>
      </w:r>
      <w:r w:rsidRPr="00E60887">
        <w:rPr>
          <w:rFonts w:ascii="Calibri" w:hAnsi="Calibri" w:cs="Calibri"/>
          <w:sz w:val="20"/>
          <w:szCs w:val="20"/>
        </w:rPr>
        <w:fldChar w:fldCharType="begin"/>
      </w:r>
      <w:r w:rsidRPr="00E60887">
        <w:rPr>
          <w:rFonts w:ascii="Calibri" w:hAnsi="Calibri" w:cs="Calibri"/>
          <w:sz w:val="20"/>
          <w:szCs w:val="20"/>
        </w:rPr>
        <w:instrText xml:space="preserve"> SEQ Figure \* ARABIC </w:instrText>
      </w:r>
      <w:r w:rsidRPr="00E60887">
        <w:rPr>
          <w:rFonts w:ascii="Calibri" w:hAnsi="Calibri" w:cs="Calibri"/>
          <w:sz w:val="20"/>
          <w:szCs w:val="20"/>
        </w:rPr>
        <w:fldChar w:fldCharType="separate"/>
      </w:r>
      <w:r w:rsidR="007710D3">
        <w:rPr>
          <w:rFonts w:ascii="Calibri" w:hAnsi="Calibri" w:cs="Calibri"/>
          <w:noProof/>
          <w:sz w:val="20"/>
          <w:szCs w:val="20"/>
        </w:rPr>
        <w:t>4</w:t>
      </w:r>
      <w:r w:rsidRPr="00E60887">
        <w:rPr>
          <w:rFonts w:ascii="Calibri" w:hAnsi="Calibri" w:cs="Calibri"/>
          <w:sz w:val="20"/>
          <w:szCs w:val="20"/>
        </w:rPr>
        <w:fldChar w:fldCharType="end"/>
      </w:r>
      <w:r w:rsidRPr="00E60887">
        <w:rPr>
          <w:rFonts w:ascii="Calibri" w:hAnsi="Calibri" w:cs="Calibri"/>
          <w:sz w:val="20"/>
          <w:szCs w:val="20"/>
        </w:rPr>
        <w:t xml:space="preserve">: Monthly Cooling Energy Demand </w:t>
      </w:r>
      <w:r w:rsidR="00E60887">
        <w:rPr>
          <w:rFonts w:ascii="Calibri" w:hAnsi="Calibri" w:cs="Calibri"/>
          <w:sz w:val="20"/>
          <w:szCs w:val="20"/>
        </w:rPr>
        <w:t xml:space="preserve">and </w:t>
      </w:r>
      <w:r w:rsidRPr="00E60887">
        <w:rPr>
          <w:rFonts w:ascii="Calibri" w:hAnsi="Calibri" w:cs="Calibri"/>
          <w:sz w:val="20"/>
          <w:szCs w:val="20"/>
        </w:rPr>
        <w:t>Monthly Heating Energy Demand Comparison (kWh)</w:t>
      </w:r>
    </w:p>
    <w:p w14:paraId="5BB31C2C" w14:textId="7CFF89DB" w:rsidR="64203B1B" w:rsidRDefault="1A8BFF29" w:rsidP="1A8BFF29">
      <w:pPr>
        <w:spacing w:after="40" w:line="257" w:lineRule="auto"/>
        <w:jc w:val="both"/>
        <w:rPr>
          <w:rFonts w:ascii="Calibri" w:eastAsia="Calibri" w:hAnsi="Calibri" w:cs="Calibri"/>
          <w:b/>
          <w:bCs/>
          <w:color w:val="000000" w:themeColor="text1"/>
          <w:sz w:val="28"/>
          <w:szCs w:val="28"/>
        </w:rPr>
      </w:pPr>
      <w:r w:rsidRPr="1A8BFF29">
        <w:rPr>
          <w:rFonts w:ascii="Calibri" w:eastAsia="Calibri" w:hAnsi="Calibri" w:cs="Calibri"/>
          <w:b/>
          <w:bCs/>
          <w:color w:val="000000" w:themeColor="text1"/>
          <w:sz w:val="28"/>
          <w:szCs w:val="28"/>
        </w:rPr>
        <w:t>4.2 Micro Perspective Results: Weekly Analysis Across Climates</w:t>
      </w:r>
    </w:p>
    <w:p w14:paraId="70B67AF1" w14:textId="2191D810" w:rsidR="64203B1B" w:rsidRDefault="1A8BFF29" w:rsidP="1A8BFF29">
      <w:pPr>
        <w:spacing w:after="40" w:line="257" w:lineRule="auto"/>
        <w:ind w:firstLine="720"/>
        <w:jc w:val="both"/>
        <w:rPr>
          <w:rFonts w:ascii="Calibri" w:eastAsia="Calibri" w:hAnsi="Calibri" w:cs="Calibri"/>
          <w:color w:val="000000" w:themeColor="text1"/>
        </w:rPr>
      </w:pPr>
      <w:r w:rsidRPr="1A8BFF29">
        <w:rPr>
          <w:rFonts w:ascii="Calibri" w:eastAsia="Calibri" w:hAnsi="Calibri" w:cs="Calibri"/>
          <w:color w:val="000000" w:themeColor="text1"/>
        </w:rPr>
        <w:t>To conduct the micro analysis, a representative week in winter and summer was simulated for three cities, London, Abu Dhabi, and Stockholm</w:t>
      </w:r>
      <w:r w:rsidRPr="1A8BFF29">
        <w:rPr>
          <w:rFonts w:ascii="Calibri" w:eastAsia="Calibri" w:hAnsi="Calibri" w:cs="Calibri"/>
          <w:color w:val="000000" w:themeColor="text1"/>
          <w:lang w:val="en-US"/>
        </w:rPr>
        <w:t xml:space="preserve">. </w:t>
      </w:r>
      <w:r w:rsidRPr="1A8BFF29">
        <w:rPr>
          <w:rFonts w:ascii="Calibri" w:eastAsia="Calibri" w:hAnsi="Calibri" w:cs="Calibri"/>
          <w:color w:val="000000" w:themeColor="text1"/>
        </w:rPr>
        <w:t xml:space="preserve">During the winter week, cooling demand was negligible in London and Stockholm, while Abu Dhabi exhibited moderate demand due to its milder conditions. The heating demand was high in London and Stockholm for </w:t>
      </w:r>
      <w:r w:rsidR="000C7145">
        <w:rPr>
          <w:rFonts w:ascii="Calibri" w:eastAsia="Calibri" w:hAnsi="Calibri" w:cs="Calibri"/>
          <w:color w:val="000000" w:themeColor="text1"/>
        </w:rPr>
        <w:t xml:space="preserve">the </w:t>
      </w:r>
      <w:r w:rsidRPr="1A8BFF29">
        <w:rPr>
          <w:rFonts w:ascii="Calibri" w:eastAsia="Calibri" w:hAnsi="Calibri" w:cs="Calibri"/>
          <w:color w:val="000000" w:themeColor="text1"/>
        </w:rPr>
        <w:t>control, and negligible in Abu Dhabi. Scenario 2 demonstrated minor changes, while scenarios 3 and 4 reduced winter heating energy demand by 25% in London and Stockholm and cooling demand in Abu Dhabi by 26%, confirming the insulating effect of the smart second skin envelope as observed during the macro analysis. These scenarios also significantly increased the air change rate across all the cities with slightly lower operative temperatures in the cold climates, enhancing the indoor comfort.</w:t>
      </w:r>
    </w:p>
    <w:p w14:paraId="5595B413" w14:textId="575FBBA3" w:rsidR="64203B1B" w:rsidRDefault="1A8BFF29" w:rsidP="1A8BFF29">
      <w:pPr>
        <w:spacing w:after="40" w:line="257" w:lineRule="auto"/>
        <w:ind w:firstLine="720"/>
        <w:jc w:val="both"/>
        <w:rPr>
          <w:rFonts w:ascii="Calibri" w:eastAsia="Calibri" w:hAnsi="Calibri" w:cs="Calibri"/>
        </w:rPr>
      </w:pPr>
      <w:r w:rsidRPr="1A8BFF29">
        <w:rPr>
          <w:rFonts w:ascii="Calibri" w:eastAsia="Calibri" w:hAnsi="Calibri" w:cs="Calibri"/>
          <w:color w:val="000000" w:themeColor="text1"/>
        </w:rPr>
        <w:t>During the summer week, cooling demand peaked in London, was high in Abu Dhabi and moderate in Stockholm. Again, scenario 2 showed negligible improvements in comparison to the control, while scenarios 3 and 4 reduced cooling demand by 6-14%, which maintained stable indoor temperatures. Air change rates in second skin scenarios remained substantially higher than the control, which indicated the enhanced ventilation potential across cross climates</w:t>
      </w:r>
      <w:r w:rsidR="00FC2DF5">
        <w:rPr>
          <w:rFonts w:ascii="Calibri" w:eastAsia="Calibri" w:hAnsi="Calibri" w:cs="Calibri"/>
          <w:color w:val="000000" w:themeColor="text1"/>
        </w:rPr>
        <w:t xml:space="preserve"> (</w:t>
      </w:r>
      <w:r w:rsidR="000C7145">
        <w:rPr>
          <w:rFonts w:ascii="Calibri" w:eastAsia="Calibri" w:hAnsi="Calibri" w:cs="Calibri"/>
          <w:color w:val="000000" w:themeColor="text1"/>
        </w:rPr>
        <w:t>Figure</w:t>
      </w:r>
      <w:r w:rsidR="00FC2DF5">
        <w:rPr>
          <w:rFonts w:ascii="Calibri" w:eastAsia="Calibri" w:hAnsi="Calibri" w:cs="Calibri"/>
          <w:color w:val="000000" w:themeColor="text1"/>
        </w:rPr>
        <w:t xml:space="preserve"> 5)</w:t>
      </w:r>
      <w:r w:rsidRPr="1A8BFF29">
        <w:rPr>
          <w:rFonts w:ascii="Calibri" w:eastAsia="Calibri" w:hAnsi="Calibri" w:cs="Calibri"/>
          <w:color w:val="000000" w:themeColor="text1"/>
        </w:rPr>
        <w:t>.</w:t>
      </w:r>
      <w:r w:rsidRPr="1A8BFF29">
        <w:rPr>
          <w:rFonts w:ascii="Calibri" w:eastAsia="Calibri" w:hAnsi="Calibri" w:cs="Calibri"/>
        </w:rPr>
        <w:t xml:space="preserve"> </w:t>
      </w:r>
    </w:p>
    <w:p w14:paraId="4BD76C0C" w14:textId="3188EFDF" w:rsidR="009049C6" w:rsidRDefault="64203B1B" w:rsidP="009049C6">
      <w:pPr>
        <w:keepNext/>
        <w:spacing w:after="40" w:line="257" w:lineRule="auto"/>
        <w:jc w:val="center"/>
      </w:pPr>
      <w:r>
        <w:rPr>
          <w:noProof/>
        </w:rPr>
        <w:drawing>
          <wp:inline distT="0" distB="0" distL="0" distR="0" wp14:anchorId="35000890" wp14:editId="4BF4F14F">
            <wp:extent cx="1967346" cy="1532890"/>
            <wp:effectExtent l="0" t="0" r="0" b="0"/>
            <wp:docPr id="7960127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012791" name="Picture 796012791"/>
                    <pic:cNvPicPr/>
                  </pic:nvPicPr>
                  <pic:blipFill>
                    <a:blip r:embed="rId16">
                      <a:extLst>
                        <a:ext uri="{28A0092B-C50C-407E-A947-70E740481C1C}">
                          <a14:useLocalDpi xmlns:a14="http://schemas.microsoft.com/office/drawing/2010/main"/>
                        </a:ext>
                      </a:extLst>
                    </a:blip>
                    <a:stretch>
                      <a:fillRect/>
                    </a:stretch>
                  </pic:blipFill>
                  <pic:spPr>
                    <a:xfrm>
                      <a:off x="0" y="0"/>
                      <a:ext cx="1969885" cy="1534868"/>
                    </a:xfrm>
                    <a:prstGeom prst="rect">
                      <a:avLst/>
                    </a:prstGeom>
                  </pic:spPr>
                </pic:pic>
              </a:graphicData>
            </a:graphic>
          </wp:inline>
        </w:drawing>
      </w:r>
      <w:r w:rsidR="009049C6">
        <w:rPr>
          <w:noProof/>
        </w:rPr>
        <w:drawing>
          <wp:inline distT="0" distB="0" distL="0" distR="0" wp14:anchorId="6D6702B8" wp14:editId="667214ED">
            <wp:extent cx="2095500" cy="1524000"/>
            <wp:effectExtent l="0" t="0" r="0" b="0"/>
            <wp:docPr id="10663921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392166" name="Picture 1066392166"/>
                    <pic:cNvPicPr/>
                  </pic:nvPicPr>
                  <pic:blipFill>
                    <a:blip r:embed="rId17">
                      <a:extLst>
                        <a:ext uri="{28A0092B-C50C-407E-A947-70E740481C1C}">
                          <a14:useLocalDpi xmlns:a14="http://schemas.microsoft.com/office/drawing/2010/main"/>
                        </a:ext>
                      </a:extLst>
                    </a:blip>
                    <a:stretch>
                      <a:fillRect/>
                    </a:stretch>
                  </pic:blipFill>
                  <pic:spPr>
                    <a:xfrm>
                      <a:off x="0" y="0"/>
                      <a:ext cx="2104146" cy="1530288"/>
                    </a:xfrm>
                    <a:prstGeom prst="rect">
                      <a:avLst/>
                    </a:prstGeom>
                  </pic:spPr>
                </pic:pic>
              </a:graphicData>
            </a:graphic>
          </wp:inline>
        </w:drawing>
      </w:r>
    </w:p>
    <w:p w14:paraId="73DD2FDA" w14:textId="5D50889C" w:rsidR="00E60887" w:rsidRPr="001874F2" w:rsidRDefault="009049C6" w:rsidP="001874F2">
      <w:pPr>
        <w:pStyle w:val="Caption"/>
        <w:jc w:val="both"/>
        <w:rPr>
          <w:rFonts w:ascii="Calibri" w:hAnsi="Calibri" w:cs="Calibri"/>
          <w:sz w:val="20"/>
          <w:szCs w:val="20"/>
        </w:rPr>
      </w:pPr>
      <w:r w:rsidRPr="00E60887">
        <w:rPr>
          <w:rFonts w:ascii="Calibri" w:hAnsi="Calibri" w:cs="Calibri"/>
          <w:sz w:val="20"/>
          <w:szCs w:val="20"/>
        </w:rPr>
        <w:t xml:space="preserve">    Figure </w:t>
      </w:r>
      <w:r w:rsidRPr="00E60887">
        <w:rPr>
          <w:rFonts w:ascii="Calibri" w:hAnsi="Calibri" w:cs="Calibri"/>
          <w:sz w:val="20"/>
          <w:szCs w:val="20"/>
        </w:rPr>
        <w:fldChar w:fldCharType="begin"/>
      </w:r>
      <w:r w:rsidRPr="00E60887">
        <w:rPr>
          <w:rFonts w:ascii="Calibri" w:hAnsi="Calibri" w:cs="Calibri"/>
          <w:sz w:val="20"/>
          <w:szCs w:val="20"/>
        </w:rPr>
        <w:instrText xml:space="preserve"> SEQ Figure \* ARABIC </w:instrText>
      </w:r>
      <w:r w:rsidRPr="00E60887">
        <w:rPr>
          <w:rFonts w:ascii="Calibri" w:hAnsi="Calibri" w:cs="Calibri"/>
          <w:sz w:val="20"/>
          <w:szCs w:val="20"/>
        </w:rPr>
        <w:fldChar w:fldCharType="separate"/>
      </w:r>
      <w:r w:rsidR="007710D3">
        <w:rPr>
          <w:rFonts w:ascii="Calibri" w:hAnsi="Calibri" w:cs="Calibri"/>
          <w:noProof/>
          <w:sz w:val="20"/>
          <w:szCs w:val="20"/>
        </w:rPr>
        <w:t>5</w:t>
      </w:r>
      <w:r w:rsidRPr="00E60887">
        <w:rPr>
          <w:rFonts w:ascii="Calibri" w:hAnsi="Calibri" w:cs="Calibri"/>
          <w:sz w:val="20"/>
          <w:szCs w:val="20"/>
        </w:rPr>
        <w:fldChar w:fldCharType="end"/>
      </w:r>
      <w:r w:rsidRPr="00E60887">
        <w:rPr>
          <w:rFonts w:ascii="Calibri" w:hAnsi="Calibri" w:cs="Calibri"/>
          <w:sz w:val="20"/>
          <w:szCs w:val="20"/>
        </w:rPr>
        <w:t>: Winter Weekly Cooling Energy Demand (kWh)</w:t>
      </w:r>
      <w:r w:rsidR="00B1685E">
        <w:rPr>
          <w:rFonts w:ascii="Calibri" w:hAnsi="Calibri" w:cs="Calibri"/>
          <w:sz w:val="20"/>
          <w:szCs w:val="20"/>
        </w:rPr>
        <w:t xml:space="preserve"> and </w:t>
      </w:r>
      <w:r w:rsidRPr="00E60887">
        <w:rPr>
          <w:rFonts w:ascii="Calibri" w:hAnsi="Calibri" w:cs="Calibri"/>
          <w:sz w:val="20"/>
          <w:szCs w:val="20"/>
        </w:rPr>
        <w:t>Winter Weekly Heating Energy Demand (kWh)</w:t>
      </w:r>
    </w:p>
    <w:p w14:paraId="615F05D2" w14:textId="31FFA936" w:rsidR="64203B1B" w:rsidRDefault="1A8BFF29" w:rsidP="1A8BFF29">
      <w:pPr>
        <w:spacing w:after="40" w:line="257" w:lineRule="auto"/>
        <w:rPr>
          <w:rFonts w:ascii="Calibri" w:eastAsia="Calibri" w:hAnsi="Calibri" w:cs="Calibri"/>
          <w:b/>
          <w:bCs/>
          <w:color w:val="000000" w:themeColor="text1"/>
          <w:sz w:val="28"/>
          <w:szCs w:val="28"/>
        </w:rPr>
      </w:pPr>
      <w:r w:rsidRPr="1A8BFF29">
        <w:rPr>
          <w:rFonts w:ascii="Calibri" w:eastAsia="Calibri" w:hAnsi="Calibri" w:cs="Calibri"/>
          <w:b/>
          <w:bCs/>
          <w:color w:val="000000" w:themeColor="text1"/>
          <w:sz w:val="28"/>
          <w:szCs w:val="28"/>
        </w:rPr>
        <w:t>4.3 BIM-BEM Workflow Implications</w:t>
      </w:r>
    </w:p>
    <w:p w14:paraId="0B47670B" w14:textId="4005652D" w:rsidR="6DE5A4C2" w:rsidRDefault="009049C6" w:rsidP="009049C6">
      <w:pPr>
        <w:spacing w:after="40" w:line="257" w:lineRule="auto"/>
        <w:ind w:firstLine="720"/>
        <w:jc w:val="both"/>
        <w:rPr>
          <w:rFonts w:ascii="Calibri" w:eastAsia="Calibri" w:hAnsi="Calibri" w:cs="Calibri"/>
        </w:rPr>
      </w:pPr>
      <w:r>
        <w:rPr>
          <w:rFonts w:ascii="Calibri" w:eastAsia="Calibri" w:hAnsi="Calibri" w:cs="Calibri"/>
          <w:noProof/>
        </w:rPr>
        <w:drawing>
          <wp:anchor distT="0" distB="0" distL="114300" distR="114300" simplePos="0" relativeHeight="251658240" behindDoc="0" locked="0" layoutInCell="1" allowOverlap="1" wp14:anchorId="419EDED8" wp14:editId="397EE8B5">
            <wp:simplePos x="0" y="0"/>
            <wp:positionH relativeFrom="margin">
              <wp:align>left</wp:align>
            </wp:positionH>
            <wp:positionV relativeFrom="paragraph">
              <wp:posOffset>943938</wp:posOffset>
            </wp:positionV>
            <wp:extent cx="5596890" cy="2540635"/>
            <wp:effectExtent l="0" t="0" r="3810" b="0"/>
            <wp:wrapTopAndBottom/>
            <wp:docPr id="1" name="Picture 1"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iagram of a flowchart&#10;&#10;AI-generated content may be incorrect."/>
                    <pic:cNvPicPr/>
                  </pic:nvPicPr>
                  <pic:blipFill rotWithShape="1">
                    <a:blip r:embed="rId18">
                      <a:extLst>
                        <a:ext uri="{28A0092B-C50C-407E-A947-70E740481C1C}">
                          <a14:useLocalDpi xmlns:a14="http://schemas.microsoft.com/office/drawing/2010/main" val="0"/>
                        </a:ext>
                      </a:extLst>
                    </a:blip>
                    <a:srcRect l="3747" t="11603" r="2566" b="12747"/>
                    <a:stretch/>
                  </pic:blipFill>
                  <pic:spPr bwMode="auto">
                    <a:xfrm>
                      <a:off x="0" y="0"/>
                      <a:ext cx="5596890" cy="25406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1" behindDoc="0" locked="0" layoutInCell="1" allowOverlap="1" wp14:anchorId="4ADB6BBD" wp14:editId="39D8376D">
                <wp:simplePos x="0" y="0"/>
                <wp:positionH relativeFrom="column">
                  <wp:posOffset>179705</wp:posOffset>
                </wp:positionH>
                <wp:positionV relativeFrom="paragraph">
                  <wp:posOffset>3423920</wp:posOffset>
                </wp:positionV>
                <wp:extent cx="5368290" cy="635"/>
                <wp:effectExtent l="0" t="0" r="0" b="0"/>
                <wp:wrapTopAndBottom/>
                <wp:docPr id="2" name="Text Box 2"/>
                <wp:cNvGraphicFramePr/>
                <a:graphic xmlns:a="http://schemas.openxmlformats.org/drawingml/2006/main">
                  <a:graphicData uri="http://schemas.microsoft.com/office/word/2010/wordprocessingShape">
                    <wps:wsp>
                      <wps:cNvSpPr txBox="1"/>
                      <wps:spPr>
                        <a:xfrm>
                          <a:off x="0" y="0"/>
                          <a:ext cx="5368290" cy="635"/>
                        </a:xfrm>
                        <a:prstGeom prst="rect">
                          <a:avLst/>
                        </a:prstGeom>
                        <a:solidFill>
                          <a:prstClr val="white"/>
                        </a:solidFill>
                        <a:ln>
                          <a:noFill/>
                        </a:ln>
                      </wps:spPr>
                      <wps:txbx>
                        <w:txbxContent>
                          <w:p w14:paraId="76D80190" w14:textId="0B654C4A" w:rsidR="009049C6" w:rsidRPr="00E60887" w:rsidRDefault="009049C6" w:rsidP="009049C6">
                            <w:pPr>
                              <w:pStyle w:val="Caption"/>
                              <w:jc w:val="center"/>
                              <w:rPr>
                                <w:rFonts w:ascii="Calibri" w:eastAsia="Calibri" w:hAnsi="Calibri" w:cs="Calibri"/>
                                <w:noProof/>
                                <w:sz w:val="20"/>
                                <w:szCs w:val="20"/>
                              </w:rPr>
                            </w:pPr>
                            <w:r w:rsidRPr="00E60887">
                              <w:rPr>
                                <w:rFonts w:ascii="Calibri" w:hAnsi="Calibri" w:cs="Calibri"/>
                                <w:sz w:val="20"/>
                                <w:szCs w:val="20"/>
                              </w:rPr>
                              <w:t xml:space="preserve">Figure </w:t>
                            </w:r>
                            <w:r w:rsidR="00B1685E">
                              <w:rPr>
                                <w:rFonts w:ascii="Calibri" w:hAnsi="Calibri" w:cs="Calibri"/>
                                <w:sz w:val="20"/>
                                <w:szCs w:val="20"/>
                              </w:rPr>
                              <w:t>6</w:t>
                            </w:r>
                            <w:r w:rsidRPr="00E60887">
                              <w:rPr>
                                <w:rFonts w:ascii="Calibri" w:hAnsi="Calibri" w:cs="Calibri"/>
                                <w:sz w:val="20"/>
                                <w:szCs w:val="20"/>
                              </w:rPr>
                              <w:t>: BIM Integrated Workflow (Author)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ADB6BBD" id="Text Box 2" o:spid="_x0000_s1029" type="#_x0000_t202" style="position:absolute;left:0;text-align:left;margin-left:14.15pt;margin-top:269.6pt;width:422.7pt;height:.0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" stroked="f">
                <v:textbox style="mso-fit-shape-to-text:t" inset="0,0,0,0">
                  <w:txbxContent>
                    <w:p w14:paraId="76D80190" w14:textId="0B654C4A" w:rsidR="009049C6" w:rsidRPr="00E60887" w:rsidRDefault="009049C6" w:rsidP="009049C6">
                      <w:pPr>
                        <w:pStyle w:val="Caption"/>
                        <w:jc w:val="center"/>
                        <w:rPr>
                          <w:rFonts w:ascii="Calibri" w:eastAsia="Calibri" w:hAnsi="Calibri" w:cs="Calibri"/>
                          <w:noProof/>
                          <w:sz w:val="20"/>
                          <w:szCs w:val="20"/>
                        </w:rPr>
                      </w:pPr>
                      <w:r w:rsidRPr="00E60887">
                        <w:rPr>
                          <w:rFonts w:ascii="Calibri" w:hAnsi="Calibri" w:cs="Calibri"/>
                          <w:sz w:val="20"/>
                          <w:szCs w:val="20"/>
                        </w:rPr>
                        <w:t xml:space="preserve">Figure </w:t>
                      </w:r>
                      <w:r w:rsidR="00B1685E">
                        <w:rPr>
                          <w:rFonts w:ascii="Calibri" w:hAnsi="Calibri" w:cs="Calibri"/>
                          <w:sz w:val="20"/>
                          <w:szCs w:val="20"/>
                        </w:rPr>
                        <w:t>6</w:t>
                      </w:r>
                      <w:r w:rsidRPr="00E60887">
                        <w:rPr>
                          <w:rFonts w:ascii="Calibri" w:hAnsi="Calibri" w:cs="Calibri"/>
                          <w:sz w:val="20"/>
                          <w:szCs w:val="20"/>
                        </w:rPr>
                        <w:t>: BIM Integrated Workflow (Author)</w:t>
                      </w:r>
                    </w:p>
                  </w:txbxContent>
                </v:textbox>
                <w10:wrap type="topAndBottom"/>
              </v:shape>
            </w:pict>
          </mc:Fallback>
        </mc:AlternateContent>
      </w:r>
      <w:r w:rsidR="00933195" w:rsidRPr="00933195">
        <w:rPr>
          <w:rFonts w:ascii="Calibri" w:eastAsia="Calibri" w:hAnsi="Calibri" w:cs="Calibri"/>
          <w:color w:val="6AA84F"/>
        </w:rPr>
        <w:t xml:space="preserve"> </w:t>
      </w:r>
      <w:r w:rsidR="1A8BFF29" w:rsidRPr="1A8BFF29">
        <w:rPr>
          <w:rFonts w:ascii="Calibri" w:eastAsia="Calibri" w:hAnsi="Calibri" w:cs="Calibri"/>
          <w:color w:val="000000" w:themeColor="text1"/>
        </w:rPr>
        <w:t>The developed workflow (</w:t>
      </w:r>
      <w:r w:rsidR="1A8BFF29" w:rsidRPr="00432F70">
        <w:rPr>
          <w:rFonts w:ascii="Calibri" w:eastAsia="Calibri" w:hAnsi="Calibri" w:cs="Calibri"/>
          <w:color w:val="000000" w:themeColor="text1"/>
        </w:rPr>
        <w:t xml:space="preserve">Figure </w:t>
      </w:r>
      <w:r w:rsidR="00FC2DF5">
        <w:rPr>
          <w:rFonts w:ascii="Calibri" w:eastAsia="Calibri" w:hAnsi="Calibri" w:cs="Calibri"/>
          <w:color w:val="000000" w:themeColor="text1"/>
        </w:rPr>
        <w:t>6</w:t>
      </w:r>
      <w:r w:rsidR="1A8BFF29" w:rsidRPr="1A8BFF29">
        <w:rPr>
          <w:rFonts w:ascii="Calibri" w:eastAsia="Calibri" w:hAnsi="Calibri" w:cs="Calibri"/>
          <w:color w:val="000000" w:themeColor="text1"/>
        </w:rPr>
        <w:t>) was implemented during the study to integrate data collection</w:t>
      </w:r>
      <w:r w:rsidR="00933195" w:rsidRPr="00933195">
        <w:rPr>
          <w:rFonts w:ascii="Calibri" w:eastAsia="Calibri" w:hAnsi="Calibri" w:cs="Calibri"/>
          <w:color w:val="000000" w:themeColor="text1"/>
        </w:rPr>
        <w:t xml:space="preserve"> and </w:t>
      </w:r>
      <w:r w:rsidR="1A8BFF29" w:rsidRPr="1A8BFF29">
        <w:rPr>
          <w:rFonts w:ascii="Calibri" w:eastAsia="Calibri" w:hAnsi="Calibri" w:cs="Calibri"/>
          <w:color w:val="000000" w:themeColor="text1"/>
        </w:rPr>
        <w:t xml:space="preserve">simulation within the BIM environment. Revit functioned as the central information environment for geometry, envelope properties, operational schedules, and the shared parameters, while </w:t>
      </w:r>
      <w:r w:rsidR="000C7145">
        <w:rPr>
          <w:rFonts w:ascii="Calibri" w:eastAsia="Calibri" w:hAnsi="Calibri" w:cs="Calibri"/>
          <w:color w:val="000000" w:themeColor="text1"/>
        </w:rPr>
        <w:t>Dynamo</w:t>
      </w:r>
      <w:r w:rsidR="1A8BFF29" w:rsidRPr="1A8BFF29">
        <w:rPr>
          <w:rFonts w:ascii="Calibri" w:eastAsia="Calibri" w:hAnsi="Calibri" w:cs="Calibri"/>
          <w:color w:val="000000" w:themeColor="text1"/>
        </w:rPr>
        <w:t xml:space="preserve"> embedded the adaptive control logic directly within the BIM model.</w:t>
      </w:r>
      <w:r w:rsidR="1A8BFF29" w:rsidRPr="1A8BFF29">
        <w:rPr>
          <w:rFonts w:ascii="Calibri" w:eastAsia="Calibri" w:hAnsi="Calibri" w:cs="Calibri"/>
        </w:rPr>
        <w:t xml:space="preserve"> </w:t>
      </w:r>
      <w:r w:rsidR="007B4F9D" w:rsidRPr="007B4F9D">
        <w:rPr>
          <w:rFonts w:ascii="Calibri" w:eastAsia="Calibri" w:hAnsi="Calibri" w:cs="Calibri"/>
        </w:rPr>
        <w:t>The developed workflow (Figure 6) was implemented during the study to integrate data collection and simulation within the BIM environment.</w:t>
      </w:r>
    </w:p>
    <w:p w14:paraId="5D1AEE49" w14:textId="55A987C9" w:rsidR="64203B1B" w:rsidRDefault="1A8BFF29" w:rsidP="483A7505">
      <w:pPr>
        <w:spacing w:after="40" w:line="257" w:lineRule="auto"/>
        <w:jc w:val="both"/>
        <w:rPr>
          <w:rFonts w:ascii="Calibri" w:eastAsia="Calibri" w:hAnsi="Calibri" w:cs="Calibri"/>
          <w:color w:val="000000" w:themeColor="text1"/>
        </w:rPr>
      </w:pPr>
      <w:r w:rsidRPr="1A8BFF29">
        <w:rPr>
          <w:rFonts w:ascii="Calibri" w:eastAsia="Calibri" w:hAnsi="Calibri" w:cs="Calibri"/>
          <w:color w:val="000000" w:themeColor="text1"/>
        </w:rPr>
        <w:t xml:space="preserve">The workflow followed a structured sequence beginning with the retrofit data collection and the BIM model preparation within Revit, which is then stored in a cloud-based central repository to ensure accessibility and consistency. The model was then prepared for simulation through </w:t>
      </w:r>
      <w:proofErr w:type="spellStart"/>
      <w:r w:rsidRPr="1A8BFF29">
        <w:rPr>
          <w:rFonts w:ascii="Calibri" w:eastAsia="Calibri" w:hAnsi="Calibri" w:cs="Calibri"/>
          <w:color w:val="000000" w:themeColor="text1"/>
        </w:rPr>
        <w:t>gbXML</w:t>
      </w:r>
      <w:proofErr w:type="spellEnd"/>
      <w:r w:rsidRPr="1A8BFF29">
        <w:rPr>
          <w:rFonts w:ascii="Calibri" w:eastAsia="Calibri" w:hAnsi="Calibri" w:cs="Calibri"/>
          <w:color w:val="000000" w:themeColor="text1"/>
        </w:rPr>
        <w:t xml:space="preserve"> export into </w:t>
      </w:r>
      <w:proofErr w:type="spellStart"/>
      <w:r w:rsidRPr="1A8BFF29">
        <w:rPr>
          <w:rFonts w:ascii="Calibri" w:eastAsia="Calibri" w:hAnsi="Calibri" w:cs="Calibri"/>
          <w:color w:val="000000" w:themeColor="text1"/>
        </w:rPr>
        <w:t>OpenStudio</w:t>
      </w:r>
      <w:proofErr w:type="spellEnd"/>
      <w:r w:rsidRPr="1A8BFF29">
        <w:rPr>
          <w:rFonts w:ascii="Calibri" w:eastAsia="Calibri" w:hAnsi="Calibri" w:cs="Calibri"/>
          <w:color w:val="000000" w:themeColor="text1"/>
        </w:rPr>
        <w:t xml:space="preserve"> and </w:t>
      </w:r>
      <w:proofErr w:type="spellStart"/>
      <w:r w:rsidRPr="1A8BFF29">
        <w:rPr>
          <w:rFonts w:ascii="Calibri" w:eastAsia="Calibri" w:hAnsi="Calibri" w:cs="Calibri"/>
          <w:color w:val="000000" w:themeColor="text1"/>
        </w:rPr>
        <w:t>EnergyPlus</w:t>
      </w:r>
      <w:proofErr w:type="spellEnd"/>
      <w:r w:rsidRPr="1A8BFF29">
        <w:rPr>
          <w:rFonts w:ascii="Calibri" w:eastAsia="Calibri" w:hAnsi="Calibri" w:cs="Calibri"/>
          <w:color w:val="000000" w:themeColor="text1"/>
        </w:rPr>
        <w:t xml:space="preserve">, enabling the transfer of properties and schedules into the BEM environment. Adaptive control strategies were parallelly translated into </w:t>
      </w:r>
      <w:r w:rsidR="000C7145">
        <w:rPr>
          <w:rFonts w:ascii="Calibri" w:eastAsia="Calibri" w:hAnsi="Calibri" w:cs="Calibri"/>
          <w:color w:val="000000" w:themeColor="text1"/>
        </w:rPr>
        <w:t>simulation-ready</w:t>
      </w:r>
      <w:r w:rsidRPr="1A8BFF29">
        <w:rPr>
          <w:rFonts w:ascii="Calibri" w:eastAsia="Calibri" w:hAnsi="Calibri" w:cs="Calibri"/>
          <w:color w:val="000000" w:themeColor="text1"/>
        </w:rPr>
        <w:t xml:space="preserve"> schedules using </w:t>
      </w:r>
      <w:r w:rsidR="000C7145">
        <w:rPr>
          <w:rFonts w:ascii="Calibri" w:eastAsia="Calibri" w:hAnsi="Calibri" w:cs="Calibri"/>
          <w:color w:val="000000" w:themeColor="text1"/>
        </w:rPr>
        <w:t>Dynamo-generated</w:t>
      </w:r>
      <w:r w:rsidRPr="1A8BFF29">
        <w:rPr>
          <w:rFonts w:ascii="Calibri" w:eastAsia="Calibri" w:hAnsi="Calibri" w:cs="Calibri"/>
          <w:color w:val="000000" w:themeColor="text1"/>
        </w:rPr>
        <w:t xml:space="preserve"> opening ratios and EPW climatic data. This allowed the environmental response to be incorporated into the annual, monthly</w:t>
      </w:r>
      <w:r w:rsidR="000C7145">
        <w:rPr>
          <w:rFonts w:ascii="Calibri" w:eastAsia="Calibri" w:hAnsi="Calibri" w:cs="Calibri"/>
          <w:color w:val="000000" w:themeColor="text1"/>
        </w:rPr>
        <w:t>,</w:t>
      </w:r>
      <w:r w:rsidRPr="1A8BFF29">
        <w:rPr>
          <w:rFonts w:ascii="Calibri" w:eastAsia="Calibri" w:hAnsi="Calibri" w:cs="Calibri"/>
          <w:color w:val="000000" w:themeColor="text1"/>
        </w:rPr>
        <w:t xml:space="preserve"> and weekly simulations. The simulation stage evaluated the performance indicators across all scenarios and climates.</w:t>
      </w:r>
    </w:p>
    <w:p w14:paraId="63167E0C" w14:textId="525C1D2C" w:rsidR="64203B1B" w:rsidRDefault="1A8BFF29" w:rsidP="007B4F9D">
      <w:pPr>
        <w:spacing w:after="40" w:line="257" w:lineRule="auto"/>
        <w:ind w:firstLine="720"/>
        <w:jc w:val="both"/>
        <w:rPr>
          <w:rFonts w:ascii="Calibri" w:eastAsia="Calibri" w:hAnsi="Calibri" w:cs="Calibri"/>
          <w:color w:val="000000" w:themeColor="text1"/>
        </w:rPr>
      </w:pPr>
      <w:r w:rsidRPr="1A8BFF29">
        <w:rPr>
          <w:rFonts w:ascii="Calibri" w:eastAsia="Calibri" w:hAnsi="Calibri" w:cs="Calibri"/>
          <w:color w:val="000000" w:themeColor="text1"/>
        </w:rPr>
        <w:t xml:space="preserve">Finally, the simulation outputs are to be fed back into the BIM environment for comparative evaluation and monitoring, which creates a coordinated feedback loop between the design parameters and the performance outcomes. This process improves the interoperability between the BIM and BEM platforms while reducing the repetitive manual data handling. The workflow demonstrates how BIM can extend beyond static modelling to support coordinated simulation, environmental monitoring and operational </w:t>
      </w:r>
      <w:r w:rsidR="001E019C">
        <w:rPr>
          <w:rFonts w:ascii="Calibri" w:eastAsia="Calibri" w:hAnsi="Calibri" w:cs="Calibri"/>
          <w:color w:val="000000" w:themeColor="text1"/>
        </w:rPr>
        <w:t>decision-making</w:t>
      </w:r>
      <w:r w:rsidRPr="1A8BFF29">
        <w:rPr>
          <w:rFonts w:ascii="Calibri" w:eastAsia="Calibri" w:hAnsi="Calibri" w:cs="Calibri"/>
          <w:color w:val="000000" w:themeColor="text1"/>
        </w:rPr>
        <w:t xml:space="preserve">. It establishes a repeatable framework for evaluating retrofit envelope strategies, while from a monitoring perspective, it provides a structured pathway for integrating adaptive control logic and environmental performance data within a unified lifecycle-oriented information model.  </w:t>
      </w:r>
    </w:p>
    <w:p w14:paraId="2430D699" w14:textId="12582C3D" w:rsidR="64203B1B" w:rsidRDefault="1A8BFF29" w:rsidP="1A8BFF29">
      <w:pPr>
        <w:spacing w:after="40" w:line="257" w:lineRule="auto"/>
        <w:jc w:val="both"/>
        <w:rPr>
          <w:rFonts w:ascii="Calibri" w:eastAsia="Calibri" w:hAnsi="Calibri" w:cs="Calibri"/>
          <w:color w:val="000000" w:themeColor="text1"/>
          <w:lang w:val="en-US"/>
        </w:rPr>
      </w:pPr>
      <w:r w:rsidRPr="1A8BFF29">
        <w:rPr>
          <w:rFonts w:ascii="Calibri" w:eastAsia="Calibri" w:hAnsi="Calibri" w:cs="Calibri"/>
          <w:color w:val="000000" w:themeColor="text1"/>
          <w:lang w:val="en-US"/>
        </w:rPr>
        <w:t xml:space="preserve"> </w:t>
      </w:r>
    </w:p>
    <w:p w14:paraId="3F8A780F" w14:textId="20595D2D" w:rsidR="64203B1B" w:rsidRDefault="1A8BFF29" w:rsidP="483A7505">
      <w:pPr>
        <w:pStyle w:val="ListParagraph"/>
        <w:numPr>
          <w:ilvl w:val="0"/>
          <w:numId w:val="1"/>
        </w:numPr>
        <w:spacing w:after="40" w:line="257" w:lineRule="auto"/>
        <w:ind w:left="360"/>
        <w:rPr>
          <w:rFonts w:ascii="Calibri" w:eastAsia="Calibri" w:hAnsi="Calibri" w:cs="Calibri"/>
          <w:b/>
          <w:bCs/>
          <w:color w:val="000000" w:themeColor="text1"/>
          <w:sz w:val="28"/>
          <w:szCs w:val="28"/>
        </w:rPr>
      </w:pPr>
      <w:r w:rsidRPr="1A8BFF29">
        <w:rPr>
          <w:rFonts w:ascii="Calibri" w:eastAsia="Calibri" w:hAnsi="Calibri" w:cs="Calibri"/>
          <w:b/>
          <w:bCs/>
          <w:color w:val="000000" w:themeColor="text1"/>
          <w:sz w:val="28"/>
          <w:szCs w:val="28"/>
        </w:rPr>
        <w:t>CONCLUSION</w:t>
      </w:r>
    </w:p>
    <w:p w14:paraId="0829D767" w14:textId="3AC7185A" w:rsidR="64203B1B" w:rsidRDefault="0083169F" w:rsidP="1A8BFF29">
      <w:pPr>
        <w:spacing w:after="40" w:line="240" w:lineRule="auto"/>
        <w:ind w:firstLine="360"/>
        <w:jc w:val="both"/>
        <w:rPr>
          <w:rFonts w:ascii="Calibri" w:eastAsia="Calibri" w:hAnsi="Calibri" w:cs="Calibri"/>
          <w:color w:val="000000" w:themeColor="text1"/>
        </w:rPr>
      </w:pPr>
      <w:r w:rsidRPr="0083169F">
        <w:rPr>
          <w:rFonts w:ascii="Calibri" w:eastAsia="Calibri" w:hAnsi="Calibri" w:cs="Calibri"/>
          <w:color w:val="000000" w:themeColor="text1"/>
        </w:rPr>
        <w:t xml:space="preserve">This research demonstrates how Building Information Modelling (BIM) can extend beyond static modelling to serve as an integrated platform for adaptive building envelope simulation and control strategies in retrofit contexts. By combining SLR with scenario-based prototype testing, the study developed a BIM-based workflow that links modelling, simulation and control logic into a reproducible and interoperable framework. </w:t>
      </w:r>
      <w:r w:rsidR="1A8BFF29" w:rsidRPr="1A8BFF29">
        <w:rPr>
          <w:rFonts w:ascii="Calibri" w:eastAsia="Calibri" w:hAnsi="Calibri" w:cs="Calibri"/>
          <w:color w:val="000000" w:themeColor="text1"/>
        </w:rPr>
        <w:t>The results demonstrated that automation alone offers only a limited performance improvement</w:t>
      </w:r>
      <w:r w:rsidR="001E019C">
        <w:rPr>
          <w:rFonts w:ascii="Calibri" w:eastAsia="Calibri" w:hAnsi="Calibri" w:cs="Calibri"/>
          <w:color w:val="000000" w:themeColor="text1"/>
        </w:rPr>
        <w:t>,</w:t>
      </w:r>
      <w:r w:rsidR="1A8BFF29" w:rsidRPr="1A8BFF29">
        <w:rPr>
          <w:rFonts w:ascii="Calibri" w:eastAsia="Calibri" w:hAnsi="Calibri" w:cs="Calibri"/>
          <w:color w:val="000000" w:themeColor="text1"/>
        </w:rPr>
        <w:t xml:space="preserve"> whereas a second skin envelope can significantly reduce heating demand, moderate the cooling loads and improve the ventilation performance, and stabilise the indoor operative temperatures. </w:t>
      </w:r>
    </w:p>
    <w:p w14:paraId="0DE98451" w14:textId="77777777" w:rsidR="008566DD" w:rsidRDefault="008566DD" w:rsidP="1A8BFF29">
      <w:pPr>
        <w:spacing w:after="40" w:line="257" w:lineRule="auto"/>
        <w:jc w:val="both"/>
        <w:rPr>
          <w:rFonts w:ascii="Calibri" w:eastAsia="Calibri" w:hAnsi="Calibri" w:cs="Calibri"/>
          <w:color w:val="000000" w:themeColor="text1"/>
        </w:rPr>
      </w:pPr>
      <w:r w:rsidRPr="008566DD">
        <w:rPr>
          <w:rFonts w:ascii="Calibri" w:eastAsia="Calibri" w:hAnsi="Calibri" w:cs="Calibri"/>
          <w:color w:val="000000" w:themeColor="text1"/>
        </w:rPr>
        <w:t>The research also demonstrates the role of BIM as more than a geometric modelling platform. BIM was demonstrated as a central information environment for coordinating energy modelling, simulation workflows, and thermal performance evaluation within a retrofit context. The workflow overall contributes as a reproducible and interoperable framework for evaluating adaptive envelope strategies during early-stage retrofit decision-making.</w:t>
      </w:r>
    </w:p>
    <w:p w14:paraId="05BFECC1" w14:textId="3218F9FF" w:rsidR="64203B1B" w:rsidRDefault="1A8BFF29" w:rsidP="1A8BFF29">
      <w:pPr>
        <w:spacing w:after="40" w:line="257" w:lineRule="auto"/>
        <w:jc w:val="both"/>
        <w:rPr>
          <w:rFonts w:ascii="Calibri" w:eastAsia="Calibri" w:hAnsi="Calibri" w:cs="Calibri"/>
          <w:b/>
          <w:bCs/>
          <w:color w:val="000000" w:themeColor="text1"/>
          <w:sz w:val="28"/>
          <w:szCs w:val="28"/>
        </w:rPr>
      </w:pPr>
      <w:r w:rsidRPr="1A8BFF29">
        <w:rPr>
          <w:rFonts w:ascii="Calibri" w:eastAsia="Calibri" w:hAnsi="Calibri" w:cs="Calibri"/>
          <w:b/>
          <w:bCs/>
          <w:color w:val="000000" w:themeColor="text1"/>
          <w:sz w:val="28"/>
          <w:szCs w:val="28"/>
        </w:rPr>
        <w:t>5.1 Future Recommendations and Study Limitations</w:t>
      </w:r>
    </w:p>
    <w:p w14:paraId="389AFB57" w14:textId="77777777" w:rsidR="00CF6D5F" w:rsidRDefault="1A8BFF29" w:rsidP="00CF6D5F">
      <w:pPr>
        <w:spacing w:after="40" w:line="240" w:lineRule="auto"/>
        <w:jc w:val="both"/>
        <w:rPr>
          <w:rFonts w:ascii="Calibri" w:eastAsia="Calibri" w:hAnsi="Calibri" w:cs="Calibri"/>
          <w:color w:val="000000"/>
        </w:rPr>
      </w:pPr>
      <w:r w:rsidRPr="1A8BFF29">
        <w:rPr>
          <w:rFonts w:ascii="Calibri" w:eastAsia="Calibri" w:hAnsi="Calibri" w:cs="Calibri"/>
          <w:color w:val="000000" w:themeColor="text1"/>
        </w:rPr>
        <w:t>The study was limited to a simplified shoebox office model and a simulation-based validation</w:t>
      </w:r>
      <w:r w:rsidR="00A10C12">
        <w:rPr>
          <w:rFonts w:ascii="Calibri" w:eastAsia="Calibri" w:hAnsi="Calibri" w:cs="Calibri"/>
          <w:color w:val="000000" w:themeColor="text1"/>
        </w:rPr>
        <w:t xml:space="preserve"> </w:t>
      </w:r>
      <w:r w:rsidR="00A10C12">
        <w:rPr>
          <w:rFonts w:ascii="Calibri" w:eastAsia="Calibri" w:hAnsi="Calibri" w:cs="Calibri"/>
          <w:color w:val="000000"/>
        </w:rPr>
        <w:t>rather than empirical validation</w:t>
      </w:r>
      <w:r w:rsidRPr="1A8BFF29">
        <w:rPr>
          <w:rFonts w:ascii="Calibri" w:eastAsia="Calibri" w:hAnsi="Calibri" w:cs="Calibri"/>
          <w:color w:val="000000" w:themeColor="text1"/>
        </w:rPr>
        <w:t xml:space="preserve">. </w:t>
      </w:r>
      <w:r w:rsidR="00CF6D5F">
        <w:rPr>
          <w:rFonts w:ascii="Calibri" w:eastAsia="Calibri" w:hAnsi="Calibri" w:cs="Calibri"/>
        </w:rPr>
        <w:t>T</w:t>
      </w:r>
      <w:r w:rsidR="00CF6D5F">
        <w:rPr>
          <w:rFonts w:ascii="Calibri" w:eastAsia="Calibri" w:hAnsi="Calibri" w:cs="Calibri"/>
          <w:color w:val="000000"/>
        </w:rPr>
        <w:t xml:space="preserve">he control thresholds were also established as </w:t>
      </w:r>
      <w:r w:rsidR="00CF6D5F">
        <w:rPr>
          <w:rFonts w:ascii="Calibri" w:eastAsia="Calibri" w:hAnsi="Calibri" w:cs="Calibri"/>
        </w:rPr>
        <w:t>rule-based prototype parameters informed by thermal comfort and natural ventilation considerations, without a formal sensitivity analysis of alternative threshold values. F</w:t>
      </w:r>
      <w:r w:rsidR="00CF6D5F">
        <w:rPr>
          <w:rFonts w:ascii="Calibri" w:eastAsia="Calibri" w:hAnsi="Calibri" w:cs="Calibri"/>
          <w:color w:val="000000"/>
        </w:rPr>
        <w:t xml:space="preserve">uture </w:t>
      </w:r>
      <w:r w:rsidR="00CF6D5F">
        <w:rPr>
          <w:rFonts w:ascii="Calibri" w:eastAsia="Calibri" w:hAnsi="Calibri" w:cs="Calibri"/>
        </w:rPr>
        <w:t>research should</w:t>
      </w:r>
      <w:r w:rsidR="00CF6D5F">
        <w:rPr>
          <w:rFonts w:ascii="Calibri" w:eastAsia="Calibri" w:hAnsi="Calibri" w:cs="Calibri"/>
          <w:color w:val="000000"/>
        </w:rPr>
        <w:t xml:space="preserve"> extend the </w:t>
      </w:r>
      <w:r w:rsidR="00CF6D5F">
        <w:rPr>
          <w:rFonts w:ascii="Calibri" w:eastAsia="Calibri" w:hAnsi="Calibri" w:cs="Calibri"/>
        </w:rPr>
        <w:t>study</w:t>
      </w:r>
      <w:r w:rsidR="00CF6D5F">
        <w:rPr>
          <w:rFonts w:ascii="Calibri" w:eastAsia="Calibri" w:hAnsi="Calibri" w:cs="Calibri"/>
          <w:color w:val="000000"/>
        </w:rPr>
        <w:t xml:space="preserve"> to a real-world case study and incorporate IoT-enabled monitoring systems for practical validation of the operational performance. The study should be undertaken across multiple building typologies to evaluate the transferability of the workflow under varying occupancy patterns, operational schedules and climatic conditions. It should also </w:t>
      </w:r>
      <w:r w:rsidR="00CF6D5F">
        <w:rPr>
          <w:rFonts w:ascii="Calibri" w:eastAsia="Calibri" w:hAnsi="Calibri" w:cs="Calibri"/>
        </w:rPr>
        <w:t>investigate integrating</w:t>
      </w:r>
      <w:r w:rsidR="00CF6D5F">
        <w:rPr>
          <w:rFonts w:ascii="Calibri" w:eastAsia="Calibri" w:hAnsi="Calibri" w:cs="Calibri"/>
          <w:color w:val="000000"/>
        </w:rPr>
        <w:t xml:space="preserve"> live sensor data for real</w:t>
      </w:r>
      <w:r w:rsidR="00CF6D5F">
        <w:rPr>
          <w:rFonts w:ascii="Calibri" w:eastAsia="Calibri" w:hAnsi="Calibri" w:cs="Calibri"/>
        </w:rPr>
        <w:t>-</w:t>
      </w:r>
      <w:r w:rsidR="00CF6D5F">
        <w:rPr>
          <w:rFonts w:ascii="Calibri" w:eastAsia="Calibri" w:hAnsi="Calibri" w:cs="Calibri"/>
          <w:color w:val="000000"/>
        </w:rPr>
        <w:t>time adaptive control and Building Management systems to compare simulated and operational performance.</w:t>
      </w:r>
    </w:p>
    <w:p w14:paraId="3CF04649" w14:textId="7458BEDB" w:rsidR="64203B1B" w:rsidRDefault="1A8BFF29" w:rsidP="00CF6D5F">
      <w:pPr>
        <w:spacing w:after="40" w:line="240" w:lineRule="auto"/>
        <w:jc w:val="both"/>
        <w:rPr>
          <w:rFonts w:ascii="Calibri" w:eastAsia="Calibri" w:hAnsi="Calibri" w:cs="Calibri"/>
          <w:color w:val="000000" w:themeColor="text1"/>
          <w:lang w:val="en-US"/>
        </w:rPr>
      </w:pPr>
      <w:r w:rsidRPr="1A8BFF29">
        <w:rPr>
          <w:rFonts w:ascii="Calibri" w:eastAsia="Calibri" w:hAnsi="Calibri" w:cs="Calibri"/>
          <w:color w:val="000000" w:themeColor="text1"/>
          <w:lang w:val="en-US"/>
        </w:rPr>
        <w:t xml:space="preserve"> </w:t>
      </w:r>
    </w:p>
    <w:p w14:paraId="17F136FC" w14:textId="41818D44" w:rsidR="64203B1B" w:rsidRDefault="1A8BFF29" w:rsidP="1A8BFF29">
      <w:pPr>
        <w:spacing w:after="40" w:line="240" w:lineRule="auto"/>
        <w:rPr>
          <w:rFonts w:ascii="Calibri" w:eastAsia="Calibri" w:hAnsi="Calibri" w:cs="Calibri"/>
          <w:b/>
          <w:bCs/>
          <w:color w:val="000000" w:themeColor="text1"/>
          <w:sz w:val="28"/>
          <w:szCs w:val="28"/>
        </w:rPr>
      </w:pPr>
      <w:r w:rsidRPr="1A8BFF29">
        <w:rPr>
          <w:rFonts w:ascii="Calibri" w:eastAsia="Calibri" w:hAnsi="Calibri" w:cs="Calibri"/>
          <w:b/>
          <w:bCs/>
          <w:color w:val="000000" w:themeColor="text1"/>
          <w:sz w:val="28"/>
          <w:szCs w:val="28"/>
        </w:rPr>
        <w:t xml:space="preserve">REFERENCES </w:t>
      </w:r>
    </w:p>
    <w:p w14:paraId="003F4F18" w14:textId="1E352592" w:rsidR="64203B1B" w:rsidRPr="007A214A" w:rsidRDefault="1A8BFF29" w:rsidP="1A8BFF29">
      <w:pPr>
        <w:spacing w:line="240" w:lineRule="auto"/>
        <w:rPr>
          <w:rFonts w:ascii="Calibri" w:eastAsia="Calibri" w:hAnsi="Calibri" w:cs="Calibri"/>
        </w:rPr>
      </w:pPr>
      <w:proofErr w:type="spellStart"/>
      <w:r w:rsidRPr="007A214A">
        <w:rPr>
          <w:rFonts w:ascii="Calibri" w:eastAsia="Calibri" w:hAnsi="Calibri" w:cs="Calibri"/>
        </w:rPr>
        <w:t>Ahriz</w:t>
      </w:r>
      <w:proofErr w:type="spellEnd"/>
      <w:r w:rsidRPr="007A214A">
        <w:rPr>
          <w:rFonts w:ascii="Calibri" w:eastAsia="Calibri" w:hAnsi="Calibri" w:cs="Calibri"/>
        </w:rPr>
        <w:t xml:space="preserve">, A., </w:t>
      </w:r>
      <w:proofErr w:type="spellStart"/>
      <w:r w:rsidRPr="007A214A">
        <w:rPr>
          <w:rFonts w:ascii="Calibri" w:eastAsia="Calibri" w:hAnsi="Calibri" w:cs="Calibri"/>
        </w:rPr>
        <w:t>Mesloub</w:t>
      </w:r>
      <w:proofErr w:type="spellEnd"/>
      <w:r w:rsidRPr="007A214A">
        <w:rPr>
          <w:rFonts w:ascii="Calibri" w:eastAsia="Calibri" w:hAnsi="Calibri" w:cs="Calibri"/>
        </w:rPr>
        <w:t xml:space="preserve">, A., Djeffal, L., </w:t>
      </w:r>
      <w:proofErr w:type="spellStart"/>
      <w:r w:rsidRPr="007A214A">
        <w:rPr>
          <w:rFonts w:ascii="Calibri" w:eastAsia="Calibri" w:hAnsi="Calibri" w:cs="Calibri"/>
        </w:rPr>
        <w:t>Alsolami</w:t>
      </w:r>
      <w:proofErr w:type="spellEnd"/>
      <w:r w:rsidRPr="007A214A">
        <w:rPr>
          <w:rFonts w:ascii="Calibri" w:eastAsia="Calibri" w:hAnsi="Calibri" w:cs="Calibri"/>
        </w:rPr>
        <w:t>, B.M., Ghosh, A., Abdelhafez, M.H.H., 2022. The Use of Double-Skin Façades to Improve the Energy Consumption of High-Rise Office Buildings in a Mediterranean Climate (</w:t>
      </w:r>
      <w:proofErr w:type="spellStart"/>
      <w:r w:rsidRPr="007A214A">
        <w:rPr>
          <w:rFonts w:ascii="Calibri" w:eastAsia="Calibri" w:hAnsi="Calibri" w:cs="Calibri"/>
        </w:rPr>
        <w:t>Csa</w:t>
      </w:r>
      <w:proofErr w:type="spellEnd"/>
      <w:r w:rsidRPr="007A214A">
        <w:rPr>
          <w:rFonts w:ascii="Calibri" w:eastAsia="Calibri" w:hAnsi="Calibri" w:cs="Calibri"/>
        </w:rPr>
        <w:t xml:space="preserve">). Sustainability 14, 6004. </w:t>
      </w:r>
      <w:hyperlink r:id="rId19">
        <w:r w:rsidRPr="007A214A">
          <w:rPr>
            <w:rStyle w:val="Hyperlink"/>
            <w:rFonts w:ascii="Calibri" w:eastAsia="Calibri" w:hAnsi="Calibri" w:cs="Calibri"/>
          </w:rPr>
          <w:t>https://doi.org/10.3390/su14106004</w:t>
        </w:r>
      </w:hyperlink>
    </w:p>
    <w:p w14:paraId="7B73E7D7" w14:textId="6ACD8452" w:rsidR="64203B1B" w:rsidRPr="007A214A" w:rsidRDefault="1A8BFF29" w:rsidP="1A8BFF29">
      <w:pPr>
        <w:spacing w:line="240" w:lineRule="auto"/>
        <w:rPr>
          <w:rFonts w:ascii="Calibri" w:eastAsia="Calibri" w:hAnsi="Calibri" w:cs="Calibri"/>
        </w:rPr>
      </w:pPr>
      <w:r w:rsidRPr="007A214A">
        <w:rPr>
          <w:rFonts w:ascii="Calibri" w:eastAsia="Calibri" w:hAnsi="Calibri" w:cs="Calibri"/>
        </w:rPr>
        <w:t xml:space="preserve">Alhammad, M., Eames, M., Vinai, R., 2024. Enhancing Building Energy Efficiency through Building Information </w:t>
      </w:r>
      <w:proofErr w:type="spellStart"/>
      <w:r w:rsidRPr="007A214A">
        <w:rPr>
          <w:rFonts w:ascii="Calibri" w:eastAsia="Calibri" w:hAnsi="Calibri" w:cs="Calibri"/>
        </w:rPr>
        <w:t>Modeling</w:t>
      </w:r>
      <w:proofErr w:type="spellEnd"/>
      <w:r w:rsidRPr="007A214A">
        <w:rPr>
          <w:rFonts w:ascii="Calibri" w:eastAsia="Calibri" w:hAnsi="Calibri" w:cs="Calibri"/>
        </w:rPr>
        <w:t xml:space="preserve"> (BIM) and Building Energy </w:t>
      </w:r>
      <w:proofErr w:type="spellStart"/>
      <w:r w:rsidRPr="007A214A">
        <w:rPr>
          <w:rFonts w:ascii="Calibri" w:eastAsia="Calibri" w:hAnsi="Calibri" w:cs="Calibri"/>
        </w:rPr>
        <w:t>Modeling</w:t>
      </w:r>
      <w:proofErr w:type="spellEnd"/>
      <w:r w:rsidRPr="007A214A">
        <w:rPr>
          <w:rFonts w:ascii="Calibri" w:eastAsia="Calibri" w:hAnsi="Calibri" w:cs="Calibri"/>
        </w:rPr>
        <w:t xml:space="preserve"> (BEM) Integration: A Systematic Review. Buildings 14, 581. </w:t>
      </w:r>
      <w:hyperlink r:id="rId20">
        <w:r w:rsidRPr="007A214A">
          <w:rPr>
            <w:rStyle w:val="Hyperlink"/>
            <w:rFonts w:ascii="Calibri" w:eastAsia="Calibri" w:hAnsi="Calibri" w:cs="Calibri"/>
          </w:rPr>
          <w:t>https://doi.org/10.3390/buildings14030581</w:t>
        </w:r>
      </w:hyperlink>
    </w:p>
    <w:p w14:paraId="66F26D46" w14:textId="3635D604" w:rsidR="64203B1B" w:rsidRPr="007A214A" w:rsidRDefault="1A8BFF29" w:rsidP="1A8BFF29">
      <w:pPr>
        <w:spacing w:line="240" w:lineRule="auto"/>
        <w:rPr>
          <w:rFonts w:ascii="Calibri" w:eastAsia="Calibri" w:hAnsi="Calibri" w:cs="Calibri"/>
        </w:rPr>
      </w:pPr>
      <w:r w:rsidRPr="007A214A">
        <w:rPr>
          <w:rFonts w:ascii="Calibri" w:eastAsia="Calibri" w:hAnsi="Calibri" w:cs="Calibri"/>
        </w:rPr>
        <w:t>CIBSE, 2015. Environmental design, [New ed.]. ed. CIBSE, London.</w:t>
      </w:r>
    </w:p>
    <w:p w14:paraId="30E1C021" w14:textId="5A3C8EF0" w:rsidR="64203B1B" w:rsidRPr="007A214A" w:rsidRDefault="1A8BFF29" w:rsidP="1A8BFF29">
      <w:pPr>
        <w:spacing w:line="240" w:lineRule="auto"/>
        <w:rPr>
          <w:rFonts w:ascii="Calibri" w:eastAsia="Calibri" w:hAnsi="Calibri" w:cs="Calibri"/>
        </w:rPr>
      </w:pPr>
      <w:r w:rsidRPr="007A214A">
        <w:rPr>
          <w:rFonts w:ascii="Calibri" w:eastAsia="Calibri" w:hAnsi="Calibri" w:cs="Calibri"/>
        </w:rPr>
        <w:t xml:space="preserve">Ciccozzi, A., De </w:t>
      </w:r>
      <w:proofErr w:type="spellStart"/>
      <w:r w:rsidRPr="007A214A">
        <w:rPr>
          <w:rFonts w:ascii="Calibri" w:eastAsia="Calibri" w:hAnsi="Calibri" w:cs="Calibri"/>
        </w:rPr>
        <w:t>Rubeis</w:t>
      </w:r>
      <w:proofErr w:type="spellEnd"/>
      <w:r w:rsidRPr="007A214A">
        <w:rPr>
          <w:rFonts w:ascii="Calibri" w:eastAsia="Calibri" w:hAnsi="Calibri" w:cs="Calibri"/>
        </w:rPr>
        <w:t xml:space="preserve">, T., Paoletti, D., Ambrosini, D., 2023. BIM to BEM for Building Energy Analysis: A Review of Interoperability Strategies. Energies 16, 7845. </w:t>
      </w:r>
      <w:hyperlink r:id="rId21">
        <w:r w:rsidRPr="007A214A">
          <w:rPr>
            <w:rStyle w:val="Hyperlink"/>
            <w:rFonts w:ascii="Calibri" w:eastAsia="Calibri" w:hAnsi="Calibri" w:cs="Calibri"/>
          </w:rPr>
          <w:t>https://doi.org/10.3390/en16237845</w:t>
        </w:r>
      </w:hyperlink>
    </w:p>
    <w:p w14:paraId="000C93C6" w14:textId="49B39C03" w:rsidR="64203B1B" w:rsidRPr="007A214A" w:rsidRDefault="1A8BFF29" w:rsidP="1A8BFF29">
      <w:pPr>
        <w:spacing w:line="240" w:lineRule="auto"/>
        <w:rPr>
          <w:rFonts w:ascii="Calibri" w:eastAsia="Calibri" w:hAnsi="Calibri" w:cs="Calibri"/>
        </w:rPr>
      </w:pPr>
      <w:r w:rsidRPr="007A214A">
        <w:rPr>
          <w:rFonts w:ascii="Calibri" w:eastAsia="Calibri" w:hAnsi="Calibri" w:cs="Calibri"/>
        </w:rPr>
        <w:t xml:space="preserve">D’Angelo, L., Hajdukiewicz, M., Seri, F., Keane, M.M., 2022. A novel BIM-based process workflow for building retrofit. Journal of Building Engineering 50, 104163. </w:t>
      </w:r>
      <w:hyperlink r:id="rId22">
        <w:r w:rsidRPr="007A214A">
          <w:rPr>
            <w:rStyle w:val="Hyperlink"/>
            <w:rFonts w:ascii="Calibri" w:eastAsia="Calibri" w:hAnsi="Calibri" w:cs="Calibri"/>
          </w:rPr>
          <w:t>https://doi.org/10.1016/j.jobe.2022.104163</w:t>
        </w:r>
      </w:hyperlink>
    </w:p>
    <w:p w14:paraId="54D0C259" w14:textId="098A2F9B" w:rsidR="64203B1B" w:rsidRPr="007A214A" w:rsidRDefault="1A8BFF29" w:rsidP="1A8BFF29">
      <w:pPr>
        <w:spacing w:line="240" w:lineRule="auto"/>
        <w:rPr>
          <w:rFonts w:ascii="Calibri" w:eastAsia="Calibri" w:hAnsi="Calibri" w:cs="Calibri"/>
        </w:rPr>
      </w:pPr>
      <w:r w:rsidRPr="007A214A">
        <w:rPr>
          <w:rFonts w:ascii="Calibri" w:eastAsia="Calibri" w:hAnsi="Calibri" w:cs="Calibri"/>
        </w:rPr>
        <w:t xml:space="preserve">Dogan, T., Reinhart, C., 2013. Automated Conversion </w:t>
      </w:r>
      <w:proofErr w:type="gramStart"/>
      <w:r w:rsidRPr="007A214A">
        <w:rPr>
          <w:rFonts w:ascii="Calibri" w:eastAsia="Calibri" w:hAnsi="Calibri" w:cs="Calibri"/>
        </w:rPr>
        <w:t>Of</w:t>
      </w:r>
      <w:proofErr w:type="gramEnd"/>
      <w:r w:rsidRPr="007A214A">
        <w:rPr>
          <w:rFonts w:ascii="Calibri" w:eastAsia="Calibri" w:hAnsi="Calibri" w:cs="Calibri"/>
        </w:rPr>
        <w:t xml:space="preserve"> Architectural Massing Models </w:t>
      </w:r>
      <w:proofErr w:type="gramStart"/>
      <w:r w:rsidRPr="007A214A">
        <w:rPr>
          <w:rFonts w:ascii="Calibri" w:eastAsia="Calibri" w:hAnsi="Calibri" w:cs="Calibri"/>
        </w:rPr>
        <w:t>Into</w:t>
      </w:r>
      <w:proofErr w:type="gramEnd"/>
      <w:r w:rsidRPr="007A214A">
        <w:rPr>
          <w:rFonts w:ascii="Calibri" w:eastAsia="Calibri" w:hAnsi="Calibri" w:cs="Calibri"/>
        </w:rPr>
        <w:t xml:space="preserve"> Thermal ‘shoebox’ Models. Presented at the 2017 Building Simulation Conference. </w:t>
      </w:r>
      <w:hyperlink r:id="rId23">
        <w:r w:rsidRPr="007A214A">
          <w:rPr>
            <w:rStyle w:val="Hyperlink"/>
            <w:rFonts w:ascii="Calibri" w:eastAsia="Calibri" w:hAnsi="Calibri" w:cs="Calibri"/>
          </w:rPr>
          <w:t>https://doi.org/10.26868/25222708.2013.1123</w:t>
        </w:r>
      </w:hyperlink>
    </w:p>
    <w:p w14:paraId="6E765266" w14:textId="0446DC09" w:rsidR="64203B1B" w:rsidRPr="007A214A" w:rsidRDefault="1A8BFF29" w:rsidP="1A8BFF29">
      <w:pPr>
        <w:spacing w:line="240" w:lineRule="auto"/>
        <w:rPr>
          <w:rFonts w:ascii="Calibri" w:eastAsia="Calibri" w:hAnsi="Calibri" w:cs="Calibri"/>
        </w:rPr>
      </w:pPr>
      <w:r w:rsidRPr="007A214A">
        <w:rPr>
          <w:rFonts w:ascii="Calibri" w:eastAsia="Calibri" w:hAnsi="Calibri" w:cs="Calibri"/>
        </w:rPr>
        <w:t xml:space="preserve">He, Q., Hossain, </w:t>
      </w:r>
      <w:proofErr w:type="spellStart"/>
      <w:r w:rsidRPr="007A214A">
        <w:rPr>
          <w:rFonts w:ascii="Calibri" w:eastAsia="Calibri" w:hAnsi="Calibri" w:cs="Calibri"/>
        </w:rPr>
        <w:t>Md.U</w:t>
      </w:r>
      <w:proofErr w:type="spellEnd"/>
      <w:r w:rsidRPr="007A214A">
        <w:rPr>
          <w:rFonts w:ascii="Calibri" w:eastAsia="Calibri" w:hAnsi="Calibri" w:cs="Calibri"/>
        </w:rPr>
        <w:t xml:space="preserve">., Ng, S.T., </w:t>
      </w:r>
      <w:proofErr w:type="spellStart"/>
      <w:r w:rsidRPr="007A214A">
        <w:rPr>
          <w:rFonts w:ascii="Calibri" w:eastAsia="Calibri" w:hAnsi="Calibri" w:cs="Calibri"/>
        </w:rPr>
        <w:t>Augenbroe</w:t>
      </w:r>
      <w:proofErr w:type="spellEnd"/>
      <w:r w:rsidRPr="007A214A">
        <w:rPr>
          <w:rFonts w:ascii="Calibri" w:eastAsia="Calibri" w:hAnsi="Calibri" w:cs="Calibri"/>
        </w:rPr>
        <w:t xml:space="preserve">, G., 2021. Identifying practical sustainable retrofit measures for existing high-rise residential buildings in various climate zones through an integrated energy-cost model. Renewable and Sustainable Energy Reviews 151, 111578. </w:t>
      </w:r>
      <w:hyperlink r:id="rId24">
        <w:r w:rsidRPr="007A214A">
          <w:rPr>
            <w:rStyle w:val="Hyperlink"/>
            <w:rFonts w:ascii="Calibri" w:eastAsia="Calibri" w:hAnsi="Calibri" w:cs="Calibri"/>
          </w:rPr>
          <w:t>https://doi.org/10.1016/j.rser.2021.111578</w:t>
        </w:r>
      </w:hyperlink>
    </w:p>
    <w:p w14:paraId="2574F187" w14:textId="6B4D99B1" w:rsidR="64203B1B" w:rsidRPr="007A214A" w:rsidRDefault="1A8BFF29" w:rsidP="1A8BFF29">
      <w:pPr>
        <w:spacing w:line="240" w:lineRule="auto"/>
        <w:rPr>
          <w:rFonts w:ascii="Calibri" w:eastAsia="Calibri" w:hAnsi="Calibri" w:cs="Calibri"/>
        </w:rPr>
      </w:pPr>
      <w:r w:rsidRPr="007A214A">
        <w:rPr>
          <w:rFonts w:ascii="Calibri" w:eastAsia="Calibri" w:hAnsi="Calibri" w:cs="Calibri"/>
        </w:rPr>
        <w:t xml:space="preserve">Hou, K., Li, S., Wang, H., 2021. Simulation and experimental verification of energy saving effect of passive preheating natural ventilation double skin façade. Energy Exploration &amp; Exploitation 39, 464–487. </w:t>
      </w:r>
      <w:hyperlink r:id="rId25">
        <w:r w:rsidRPr="007A214A">
          <w:rPr>
            <w:rStyle w:val="Hyperlink"/>
            <w:rFonts w:ascii="Calibri" w:eastAsia="Calibri" w:hAnsi="Calibri" w:cs="Calibri"/>
          </w:rPr>
          <w:t>https://doi.org/10.1177/0144598720956288</w:t>
        </w:r>
      </w:hyperlink>
    </w:p>
    <w:p w14:paraId="36108D8B" w14:textId="6C62C202" w:rsidR="64203B1B" w:rsidRPr="007A214A" w:rsidRDefault="1A8BFF29" w:rsidP="1A8BFF29">
      <w:pPr>
        <w:spacing w:line="240" w:lineRule="auto"/>
        <w:rPr>
          <w:rFonts w:ascii="Calibri" w:eastAsia="Calibri" w:hAnsi="Calibri" w:cs="Calibri"/>
        </w:rPr>
      </w:pPr>
      <w:proofErr w:type="spellStart"/>
      <w:r w:rsidRPr="007A214A">
        <w:rPr>
          <w:rFonts w:ascii="Calibri" w:eastAsia="Calibri" w:hAnsi="Calibri" w:cs="Calibri"/>
        </w:rPr>
        <w:t>Italos</w:t>
      </w:r>
      <w:proofErr w:type="spellEnd"/>
      <w:r w:rsidRPr="007A214A">
        <w:rPr>
          <w:rFonts w:ascii="Calibri" w:eastAsia="Calibri" w:hAnsi="Calibri" w:cs="Calibri"/>
        </w:rPr>
        <w:t xml:space="preserve">, C., </w:t>
      </w:r>
      <w:proofErr w:type="spellStart"/>
      <w:r w:rsidRPr="007A214A">
        <w:rPr>
          <w:rFonts w:ascii="Calibri" w:eastAsia="Calibri" w:hAnsi="Calibri" w:cs="Calibri"/>
        </w:rPr>
        <w:t>Patsias</w:t>
      </w:r>
      <w:proofErr w:type="spellEnd"/>
      <w:r w:rsidRPr="007A214A">
        <w:rPr>
          <w:rFonts w:ascii="Calibri" w:eastAsia="Calibri" w:hAnsi="Calibri" w:cs="Calibri"/>
        </w:rPr>
        <w:t xml:space="preserve">, M., </w:t>
      </w:r>
      <w:proofErr w:type="spellStart"/>
      <w:r w:rsidRPr="007A214A">
        <w:rPr>
          <w:rFonts w:ascii="Calibri" w:eastAsia="Calibri" w:hAnsi="Calibri" w:cs="Calibri"/>
        </w:rPr>
        <w:t>Yiangou</w:t>
      </w:r>
      <w:proofErr w:type="spellEnd"/>
      <w:r w:rsidRPr="007A214A">
        <w:rPr>
          <w:rFonts w:ascii="Calibri" w:eastAsia="Calibri" w:hAnsi="Calibri" w:cs="Calibri"/>
        </w:rPr>
        <w:t xml:space="preserve">, A., </w:t>
      </w:r>
      <w:proofErr w:type="spellStart"/>
      <w:r w:rsidRPr="007A214A">
        <w:rPr>
          <w:rFonts w:ascii="Calibri" w:eastAsia="Calibri" w:hAnsi="Calibri" w:cs="Calibri"/>
        </w:rPr>
        <w:t>Stavrinou</w:t>
      </w:r>
      <w:proofErr w:type="spellEnd"/>
      <w:r w:rsidRPr="007A214A">
        <w:rPr>
          <w:rFonts w:ascii="Calibri" w:eastAsia="Calibri" w:hAnsi="Calibri" w:cs="Calibri"/>
        </w:rPr>
        <w:t xml:space="preserve">, S., Vassiliades, C., 2022. Use of double skin façade with building integrated solar systems for an energy renovation of an existing building in Limassol, Cyprus: Energy performance analysis. Energy Reports 8, 15144–15161. </w:t>
      </w:r>
      <w:hyperlink r:id="rId26">
        <w:r w:rsidRPr="007A214A">
          <w:rPr>
            <w:rStyle w:val="Hyperlink"/>
            <w:rFonts w:ascii="Calibri" w:eastAsia="Calibri" w:hAnsi="Calibri" w:cs="Calibri"/>
          </w:rPr>
          <w:t>https://doi.org/10.1016/j.egyr.2022.11.088</w:t>
        </w:r>
      </w:hyperlink>
    </w:p>
    <w:p w14:paraId="76BD023E" w14:textId="791F5B02" w:rsidR="64203B1B" w:rsidRPr="007A214A" w:rsidRDefault="1A8BFF29" w:rsidP="1A8BFF29">
      <w:pPr>
        <w:spacing w:line="240" w:lineRule="auto"/>
        <w:rPr>
          <w:rFonts w:ascii="Calibri" w:eastAsia="Calibri" w:hAnsi="Calibri" w:cs="Calibri"/>
        </w:rPr>
      </w:pPr>
      <w:r w:rsidRPr="007A214A">
        <w:rPr>
          <w:rFonts w:ascii="Calibri" w:eastAsia="Calibri" w:hAnsi="Calibri" w:cs="Calibri"/>
        </w:rPr>
        <w:t xml:space="preserve">Kaashi, S., </w:t>
      </w:r>
      <w:proofErr w:type="spellStart"/>
      <w:r w:rsidRPr="007A214A">
        <w:rPr>
          <w:rFonts w:ascii="Calibri" w:eastAsia="Calibri" w:hAnsi="Calibri" w:cs="Calibri"/>
        </w:rPr>
        <w:t>Vilventhan</w:t>
      </w:r>
      <w:proofErr w:type="spellEnd"/>
      <w:r w:rsidRPr="007A214A">
        <w:rPr>
          <w:rFonts w:ascii="Calibri" w:eastAsia="Calibri" w:hAnsi="Calibri" w:cs="Calibri"/>
        </w:rPr>
        <w:t xml:space="preserve">, A., 2023. Development of a building information modelling based decision-making framework for green retrofitting of existing buildings. Journal of Building Engineering 80, 108128. </w:t>
      </w:r>
      <w:hyperlink r:id="rId27">
        <w:r w:rsidRPr="007A214A">
          <w:rPr>
            <w:rStyle w:val="Hyperlink"/>
            <w:rFonts w:ascii="Calibri" w:eastAsia="Calibri" w:hAnsi="Calibri" w:cs="Calibri"/>
          </w:rPr>
          <w:t>https://doi.org/10.1016/j.jobe.2023.108128</w:t>
        </w:r>
      </w:hyperlink>
    </w:p>
    <w:p w14:paraId="2F2645A8" w14:textId="381C109D" w:rsidR="64203B1B" w:rsidRPr="007A214A" w:rsidRDefault="1A8BFF29" w:rsidP="1A8BFF29">
      <w:pPr>
        <w:spacing w:line="240" w:lineRule="auto"/>
        <w:rPr>
          <w:rFonts w:ascii="Calibri" w:eastAsia="Calibri" w:hAnsi="Calibri" w:cs="Calibri"/>
        </w:rPr>
      </w:pPr>
      <w:proofErr w:type="spellStart"/>
      <w:r w:rsidRPr="007A214A">
        <w:rPr>
          <w:rFonts w:ascii="Calibri" w:eastAsia="Calibri" w:hAnsi="Calibri" w:cs="Calibri"/>
        </w:rPr>
        <w:t>Mohtashami</w:t>
      </w:r>
      <w:proofErr w:type="spellEnd"/>
      <w:r w:rsidRPr="007A214A">
        <w:rPr>
          <w:rFonts w:ascii="Calibri" w:eastAsia="Calibri" w:hAnsi="Calibri" w:cs="Calibri"/>
        </w:rPr>
        <w:t xml:space="preserve">, N., Fuchs, N., Fotopoulou, M., </w:t>
      </w:r>
      <w:proofErr w:type="spellStart"/>
      <w:r w:rsidRPr="007A214A">
        <w:rPr>
          <w:rFonts w:ascii="Calibri" w:eastAsia="Calibri" w:hAnsi="Calibri" w:cs="Calibri"/>
        </w:rPr>
        <w:t>Drosatos</w:t>
      </w:r>
      <w:proofErr w:type="spellEnd"/>
      <w:r w:rsidRPr="007A214A">
        <w:rPr>
          <w:rFonts w:ascii="Calibri" w:eastAsia="Calibri" w:hAnsi="Calibri" w:cs="Calibri"/>
        </w:rPr>
        <w:t xml:space="preserve">, P., Streblow, R., Osterhage, T., Müller, D., 2022. State of the Art of Technologies in Adaptive Dynamic Building Envelopes (ADBEs). Energies 15, 829. </w:t>
      </w:r>
      <w:hyperlink r:id="rId28">
        <w:r w:rsidRPr="007A214A">
          <w:rPr>
            <w:rStyle w:val="Hyperlink"/>
            <w:rFonts w:ascii="Calibri" w:eastAsia="Calibri" w:hAnsi="Calibri" w:cs="Calibri"/>
          </w:rPr>
          <w:t>https://doi.org/10.3390/en15030829</w:t>
        </w:r>
      </w:hyperlink>
    </w:p>
    <w:p w14:paraId="087C66CE" w14:textId="213CEECE" w:rsidR="64203B1B" w:rsidRPr="007A214A" w:rsidRDefault="1A8BFF29" w:rsidP="1A8BFF29">
      <w:pPr>
        <w:spacing w:line="240" w:lineRule="auto"/>
        <w:rPr>
          <w:rFonts w:ascii="Calibri" w:eastAsia="Calibri" w:hAnsi="Calibri" w:cs="Calibri"/>
        </w:rPr>
      </w:pPr>
      <w:r w:rsidRPr="007A214A">
        <w:rPr>
          <w:rFonts w:ascii="Calibri" w:eastAsia="Calibri" w:hAnsi="Calibri" w:cs="Calibri"/>
        </w:rPr>
        <w:t xml:space="preserve">Peiris, S., Lai, J.H.K., Kumaraswamy, M.M., Hou, H. (Cynthia), 2023. Smart retrofitting for existing buildings: State of the art and future research directions. Journal of Building Engineering 76, 107354. </w:t>
      </w:r>
      <w:hyperlink r:id="rId29">
        <w:r w:rsidRPr="007A214A">
          <w:rPr>
            <w:rStyle w:val="Hyperlink"/>
            <w:rFonts w:ascii="Calibri" w:eastAsia="Calibri" w:hAnsi="Calibri" w:cs="Calibri"/>
          </w:rPr>
          <w:t>https://doi.org/10.1016/j.jobe.2023.107354</w:t>
        </w:r>
      </w:hyperlink>
    </w:p>
    <w:p w14:paraId="1753809D" w14:textId="1F0E0709" w:rsidR="64203B1B" w:rsidRPr="007A214A" w:rsidRDefault="1A8BFF29" w:rsidP="1A8BFF29">
      <w:pPr>
        <w:spacing w:line="240" w:lineRule="auto"/>
        <w:rPr>
          <w:rFonts w:ascii="Calibri" w:eastAsia="Calibri" w:hAnsi="Calibri" w:cs="Calibri"/>
        </w:rPr>
      </w:pPr>
      <w:r w:rsidRPr="007A214A">
        <w:rPr>
          <w:rFonts w:ascii="Calibri" w:eastAsia="Calibri" w:hAnsi="Calibri" w:cs="Calibri"/>
        </w:rPr>
        <w:t xml:space="preserve">Seghier, T.E., Lim, Y.-W., Harun, M.F., Ahmad, M.H., Samah, A.A., Majid, H.A., 2022. BIM-based retrofit method (RBIM) for building envelope thermal performance optimization. Energy and Buildings 256, 111693. </w:t>
      </w:r>
      <w:hyperlink r:id="rId30">
        <w:r w:rsidRPr="007A214A">
          <w:rPr>
            <w:rStyle w:val="Hyperlink"/>
            <w:rFonts w:ascii="Calibri" w:eastAsia="Calibri" w:hAnsi="Calibri" w:cs="Calibri"/>
          </w:rPr>
          <w:t>https://doi.org/10.1016/j.enbuild.2021.111693</w:t>
        </w:r>
      </w:hyperlink>
    </w:p>
    <w:p w14:paraId="53F10B17" w14:textId="2B3BEA7E" w:rsidR="64203B1B" w:rsidRPr="007A214A" w:rsidRDefault="1A8BFF29" w:rsidP="1A8BFF29">
      <w:pPr>
        <w:spacing w:line="240" w:lineRule="auto"/>
        <w:rPr>
          <w:rFonts w:ascii="Calibri" w:eastAsia="Calibri" w:hAnsi="Calibri" w:cs="Calibri"/>
        </w:rPr>
      </w:pPr>
      <w:r w:rsidRPr="007A214A">
        <w:rPr>
          <w:rFonts w:ascii="Calibri" w:eastAsia="Calibri" w:hAnsi="Calibri" w:cs="Calibri"/>
        </w:rPr>
        <w:t xml:space="preserve">Shari, Z., Mohamad, N.L., Dahlan, N.D., 2023. BUILDING ENVELOPE RETROFIT FOR ENERGY SAVINGS IN MALAYSIAN GOVERNMENT HIGH-RISE OFFICES: A CALIBRATED ENERGY SIMULATION. </w:t>
      </w:r>
      <w:proofErr w:type="spellStart"/>
      <w:r w:rsidRPr="007A214A">
        <w:rPr>
          <w:rFonts w:ascii="Calibri" w:eastAsia="Calibri" w:hAnsi="Calibri" w:cs="Calibri"/>
        </w:rPr>
        <w:t>Jurnal</w:t>
      </w:r>
      <w:proofErr w:type="spellEnd"/>
      <w:r w:rsidRPr="007A214A">
        <w:rPr>
          <w:rFonts w:ascii="Calibri" w:eastAsia="Calibri" w:hAnsi="Calibri" w:cs="Calibri"/>
        </w:rPr>
        <w:t xml:space="preserve"> </w:t>
      </w:r>
      <w:proofErr w:type="spellStart"/>
      <w:r w:rsidRPr="007A214A">
        <w:rPr>
          <w:rFonts w:ascii="Calibri" w:eastAsia="Calibri" w:hAnsi="Calibri" w:cs="Calibri"/>
        </w:rPr>
        <w:t>Teknologi</w:t>
      </w:r>
      <w:proofErr w:type="spellEnd"/>
      <w:r w:rsidRPr="007A214A">
        <w:rPr>
          <w:rFonts w:ascii="Calibri" w:eastAsia="Calibri" w:hAnsi="Calibri" w:cs="Calibri"/>
        </w:rPr>
        <w:t xml:space="preserve"> 85, 1–15. </w:t>
      </w:r>
      <w:hyperlink r:id="rId31">
        <w:r w:rsidRPr="007A214A">
          <w:rPr>
            <w:rStyle w:val="Hyperlink"/>
            <w:rFonts w:ascii="Calibri" w:eastAsia="Calibri" w:hAnsi="Calibri" w:cs="Calibri"/>
          </w:rPr>
          <w:t>https://doi.org/10.11113/jurnalteknologi.v85.15124</w:t>
        </w:r>
      </w:hyperlink>
    </w:p>
    <w:p w14:paraId="757E5164" w14:textId="5DFC588A" w:rsidR="64203B1B" w:rsidRPr="007A214A" w:rsidRDefault="1A8BFF29" w:rsidP="1A8BFF29">
      <w:pPr>
        <w:spacing w:line="240" w:lineRule="auto"/>
        <w:rPr>
          <w:rFonts w:ascii="Calibri" w:eastAsia="Calibri" w:hAnsi="Calibri" w:cs="Calibri"/>
        </w:rPr>
      </w:pPr>
      <w:r w:rsidRPr="007A214A">
        <w:rPr>
          <w:rFonts w:ascii="Calibri" w:eastAsia="Calibri" w:hAnsi="Calibri" w:cs="Calibri"/>
        </w:rPr>
        <w:t xml:space="preserve">Volk, R., Stengel, J., </w:t>
      </w:r>
      <w:proofErr w:type="spellStart"/>
      <w:r w:rsidRPr="007A214A">
        <w:rPr>
          <w:rFonts w:ascii="Calibri" w:eastAsia="Calibri" w:hAnsi="Calibri" w:cs="Calibri"/>
        </w:rPr>
        <w:t>Schultmann</w:t>
      </w:r>
      <w:proofErr w:type="spellEnd"/>
      <w:r w:rsidRPr="007A214A">
        <w:rPr>
          <w:rFonts w:ascii="Calibri" w:eastAsia="Calibri" w:hAnsi="Calibri" w:cs="Calibri"/>
        </w:rPr>
        <w:t xml:space="preserve">, F., 2014. Building Information </w:t>
      </w:r>
      <w:proofErr w:type="spellStart"/>
      <w:r w:rsidRPr="007A214A">
        <w:rPr>
          <w:rFonts w:ascii="Calibri" w:eastAsia="Calibri" w:hAnsi="Calibri" w:cs="Calibri"/>
        </w:rPr>
        <w:t>Modeling</w:t>
      </w:r>
      <w:proofErr w:type="spellEnd"/>
      <w:r w:rsidRPr="007A214A">
        <w:rPr>
          <w:rFonts w:ascii="Calibri" w:eastAsia="Calibri" w:hAnsi="Calibri" w:cs="Calibri"/>
        </w:rPr>
        <w:t xml:space="preserve"> (BIM) for existing buildings — Literature review and future needs. Automation in Construction 38, 109–127. </w:t>
      </w:r>
      <w:hyperlink r:id="rId32">
        <w:r w:rsidRPr="007A214A">
          <w:rPr>
            <w:rStyle w:val="Hyperlink"/>
            <w:rFonts w:ascii="Calibri" w:eastAsia="Calibri" w:hAnsi="Calibri" w:cs="Calibri"/>
          </w:rPr>
          <w:t>https://doi.org/10.1016/j.autcon.2013.10.023</w:t>
        </w:r>
      </w:hyperlink>
    </w:p>
    <w:p w14:paraId="18D21304" w14:textId="1D90356E" w:rsidR="64203B1B" w:rsidRPr="007A214A" w:rsidRDefault="1A8BFF29" w:rsidP="1A8BFF29">
      <w:pPr>
        <w:spacing w:line="240" w:lineRule="auto"/>
        <w:rPr>
          <w:rFonts w:ascii="Calibri" w:eastAsia="Calibri" w:hAnsi="Calibri" w:cs="Calibri"/>
        </w:rPr>
      </w:pPr>
      <w:r w:rsidRPr="007A214A">
        <w:rPr>
          <w:rFonts w:ascii="Calibri" w:eastAsia="Calibri" w:hAnsi="Calibri" w:cs="Calibri"/>
        </w:rPr>
        <w:t xml:space="preserve">Wang, G., Fang, J., Yan, C., Huang, D., Hu, K., Zhou, K., 2024. Advancements in smart building envelopes: A comprehensive review. Energy and Buildings 312, 114190. </w:t>
      </w:r>
      <w:hyperlink r:id="rId33">
        <w:r w:rsidRPr="007A214A">
          <w:rPr>
            <w:rStyle w:val="Hyperlink"/>
            <w:rFonts w:ascii="Calibri" w:eastAsia="Calibri" w:hAnsi="Calibri" w:cs="Calibri"/>
          </w:rPr>
          <w:t>https://doi.org/10.1016/j.enbuild.2024.114190</w:t>
        </w:r>
      </w:hyperlink>
    </w:p>
    <w:p w14:paraId="2F41FEE6" w14:textId="69B1C820" w:rsidR="64203B1B" w:rsidRPr="007A214A" w:rsidRDefault="1A8BFF29" w:rsidP="009B7384">
      <w:pPr>
        <w:spacing w:line="240" w:lineRule="auto"/>
        <w:rPr>
          <w:rFonts w:ascii="Calibri" w:eastAsia="Calibri" w:hAnsi="Calibri" w:cs="Calibri"/>
        </w:rPr>
      </w:pPr>
      <w:r w:rsidRPr="007A214A">
        <w:rPr>
          <w:rFonts w:ascii="Calibri" w:eastAsia="Calibri" w:hAnsi="Calibri" w:cs="Calibri"/>
        </w:rPr>
        <w:t xml:space="preserve">Wang, J., Li, G., Zhao, D., 2024. Multi-objective optimization of an anti-reflection AlN/VO2/AlN thermochromic window for building energy saving. Energy 288, 129798. </w:t>
      </w:r>
      <w:hyperlink r:id="rId34">
        <w:r w:rsidRPr="007A214A">
          <w:rPr>
            <w:rStyle w:val="Hyperlink"/>
            <w:rFonts w:ascii="Calibri" w:eastAsia="Calibri" w:hAnsi="Calibri" w:cs="Calibri"/>
          </w:rPr>
          <w:t>https://doi.org/10.1016/j.energy.2023.129798</w:t>
        </w:r>
      </w:hyperlink>
    </w:p>
    <w:sectPr w:rsidR="64203B1B" w:rsidRPr="007A214A">
      <w:headerReference w:type="default" r:id="rId35"/>
      <w:footerReference w:type="default" r:id="rI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71E6D" w14:textId="77777777" w:rsidR="00E826C8" w:rsidRDefault="00E826C8" w:rsidP="005076E1">
      <w:pPr>
        <w:spacing w:after="0" w:line="240" w:lineRule="auto"/>
      </w:pPr>
      <w:r>
        <w:separator/>
      </w:r>
    </w:p>
  </w:endnote>
  <w:endnote w:type="continuationSeparator" w:id="0">
    <w:p w14:paraId="4EE8FE26" w14:textId="77777777" w:rsidR="00E826C8" w:rsidRDefault="00E826C8" w:rsidP="005076E1">
      <w:pPr>
        <w:spacing w:after="0" w:line="240" w:lineRule="auto"/>
      </w:pPr>
      <w:r>
        <w:continuationSeparator/>
      </w:r>
    </w:p>
  </w:endnote>
  <w:endnote w:type="continuationNotice" w:id="1">
    <w:p w14:paraId="2B4FE03F" w14:textId="77777777" w:rsidR="00E826C8" w:rsidRDefault="00E826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CD32B" w14:textId="77777777" w:rsidR="00E826C8" w:rsidRDefault="00E826C8" w:rsidP="005076E1">
      <w:pPr>
        <w:spacing w:after="0" w:line="240" w:lineRule="auto"/>
      </w:pPr>
      <w:r>
        <w:separator/>
      </w:r>
    </w:p>
  </w:footnote>
  <w:footnote w:type="continuationSeparator" w:id="0">
    <w:p w14:paraId="3F771148" w14:textId="77777777" w:rsidR="00E826C8" w:rsidRDefault="00E826C8" w:rsidP="005076E1">
      <w:pPr>
        <w:spacing w:after="0" w:line="240" w:lineRule="auto"/>
      </w:pPr>
      <w:r>
        <w:continuationSeparator/>
      </w:r>
    </w:p>
  </w:footnote>
  <w:footnote w:type="continuationNotice" w:id="1">
    <w:p w14:paraId="5E91C8FD" w14:textId="77777777" w:rsidR="00E826C8" w:rsidRDefault="00E826C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77777777" w:rsidR="005076E1" w:rsidRPr="005076E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E8A85"/>
    <w:multiLevelType w:val="hybridMultilevel"/>
    <w:tmpl w:val="0E58C99A"/>
    <w:lvl w:ilvl="0" w:tplc="A6F469BA">
      <w:start w:val="5"/>
      <w:numFmt w:val="decimal"/>
      <w:lvlText w:val="5"/>
      <w:lvlJc w:val="left"/>
      <w:pPr>
        <w:ind w:left="720" w:hanging="360"/>
      </w:pPr>
    </w:lvl>
    <w:lvl w:ilvl="1" w:tplc="6E96F884">
      <w:start w:val="1"/>
      <w:numFmt w:val="lowerLetter"/>
      <w:lvlText w:val="%2."/>
      <w:lvlJc w:val="left"/>
      <w:pPr>
        <w:ind w:left="1440" w:hanging="360"/>
      </w:pPr>
    </w:lvl>
    <w:lvl w:ilvl="2" w:tplc="6EBED1AE">
      <w:start w:val="1"/>
      <w:numFmt w:val="lowerRoman"/>
      <w:lvlText w:val="%3."/>
      <w:lvlJc w:val="right"/>
      <w:pPr>
        <w:ind w:left="2160" w:hanging="180"/>
      </w:pPr>
    </w:lvl>
    <w:lvl w:ilvl="3" w:tplc="A85C6346">
      <w:start w:val="1"/>
      <w:numFmt w:val="decimal"/>
      <w:lvlText w:val="%4."/>
      <w:lvlJc w:val="left"/>
      <w:pPr>
        <w:ind w:left="2880" w:hanging="360"/>
      </w:pPr>
    </w:lvl>
    <w:lvl w:ilvl="4" w:tplc="D81C6668">
      <w:start w:val="1"/>
      <w:numFmt w:val="lowerLetter"/>
      <w:lvlText w:val="%5."/>
      <w:lvlJc w:val="left"/>
      <w:pPr>
        <w:ind w:left="3600" w:hanging="360"/>
      </w:pPr>
    </w:lvl>
    <w:lvl w:ilvl="5" w:tplc="27A8A14E">
      <w:start w:val="1"/>
      <w:numFmt w:val="lowerRoman"/>
      <w:lvlText w:val="%6."/>
      <w:lvlJc w:val="right"/>
      <w:pPr>
        <w:ind w:left="4320" w:hanging="180"/>
      </w:pPr>
    </w:lvl>
    <w:lvl w:ilvl="6" w:tplc="CEB0F0F4">
      <w:start w:val="1"/>
      <w:numFmt w:val="decimal"/>
      <w:lvlText w:val="%7."/>
      <w:lvlJc w:val="left"/>
      <w:pPr>
        <w:ind w:left="5040" w:hanging="360"/>
      </w:pPr>
    </w:lvl>
    <w:lvl w:ilvl="7" w:tplc="62D86418">
      <w:start w:val="1"/>
      <w:numFmt w:val="lowerLetter"/>
      <w:lvlText w:val="%8."/>
      <w:lvlJc w:val="left"/>
      <w:pPr>
        <w:ind w:left="5760" w:hanging="360"/>
      </w:pPr>
    </w:lvl>
    <w:lvl w:ilvl="8" w:tplc="611A9EF4">
      <w:start w:val="1"/>
      <w:numFmt w:val="lowerRoman"/>
      <w:lvlText w:val="%9."/>
      <w:lvlJc w:val="right"/>
      <w:pPr>
        <w:ind w:left="6480" w:hanging="180"/>
      </w:pPr>
    </w:lvl>
  </w:abstractNum>
  <w:abstractNum w:abstractNumId="1" w15:restartNumberingAfterBreak="0">
    <w:nsid w:val="0AD83327"/>
    <w:multiLevelType w:val="multilevel"/>
    <w:tmpl w:val="492CA466"/>
    <w:lvl w:ilvl="0">
      <w:start w:val="3"/>
      <w:numFmt w:val="decimal"/>
      <w:lvlText w:val="%1"/>
      <w:lvlJc w:val="left"/>
      <w:pPr>
        <w:ind w:left="576" w:hanging="576"/>
      </w:pPr>
      <w:rPr>
        <w:rFonts w:hint="default"/>
      </w:rPr>
    </w:lvl>
    <w:lvl w:ilvl="1">
      <w:start w:val="2"/>
      <w:numFmt w:val="decimal"/>
      <w:lvlText w:val="%1.%2"/>
      <w:lvlJc w:val="left"/>
      <w:pPr>
        <w:ind w:left="576" w:hanging="576"/>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BD4F389"/>
    <w:multiLevelType w:val="hybridMultilevel"/>
    <w:tmpl w:val="89C6D75E"/>
    <w:lvl w:ilvl="0" w:tplc="ED78CFD4">
      <w:start w:val="1"/>
      <w:numFmt w:val="decimal"/>
      <w:lvlText w:val="3"/>
      <w:lvlJc w:val="left"/>
      <w:pPr>
        <w:ind w:left="360" w:hanging="360"/>
      </w:pPr>
    </w:lvl>
    <w:lvl w:ilvl="1" w:tplc="7C44A61E">
      <w:start w:val="1"/>
      <w:numFmt w:val="decimal"/>
      <w:lvlText w:val="%2.2"/>
      <w:lvlJc w:val="left"/>
      <w:pPr>
        <w:ind w:left="1080" w:hanging="360"/>
      </w:pPr>
    </w:lvl>
    <w:lvl w:ilvl="2" w:tplc="68D4F1E6">
      <w:start w:val="1"/>
      <w:numFmt w:val="lowerRoman"/>
      <w:lvlText w:val="%3."/>
      <w:lvlJc w:val="right"/>
      <w:pPr>
        <w:ind w:left="1800" w:hanging="180"/>
      </w:pPr>
    </w:lvl>
    <w:lvl w:ilvl="3" w:tplc="BC1CF2DA">
      <w:start w:val="1"/>
      <w:numFmt w:val="decimal"/>
      <w:lvlText w:val="%4."/>
      <w:lvlJc w:val="left"/>
      <w:pPr>
        <w:ind w:left="2520" w:hanging="360"/>
      </w:pPr>
    </w:lvl>
    <w:lvl w:ilvl="4" w:tplc="152CA6F8">
      <w:start w:val="1"/>
      <w:numFmt w:val="lowerLetter"/>
      <w:lvlText w:val="%5."/>
      <w:lvlJc w:val="left"/>
      <w:pPr>
        <w:ind w:left="3240" w:hanging="360"/>
      </w:pPr>
    </w:lvl>
    <w:lvl w:ilvl="5" w:tplc="F8929A2C">
      <w:start w:val="1"/>
      <w:numFmt w:val="lowerRoman"/>
      <w:lvlText w:val="%6."/>
      <w:lvlJc w:val="right"/>
      <w:pPr>
        <w:ind w:left="3960" w:hanging="180"/>
      </w:pPr>
    </w:lvl>
    <w:lvl w:ilvl="6" w:tplc="01A8D37A">
      <w:start w:val="1"/>
      <w:numFmt w:val="decimal"/>
      <w:lvlText w:val="%7."/>
      <w:lvlJc w:val="left"/>
      <w:pPr>
        <w:ind w:left="4680" w:hanging="360"/>
      </w:pPr>
    </w:lvl>
    <w:lvl w:ilvl="7" w:tplc="A3EAF726">
      <w:start w:val="1"/>
      <w:numFmt w:val="lowerLetter"/>
      <w:lvlText w:val="%8."/>
      <w:lvlJc w:val="left"/>
      <w:pPr>
        <w:ind w:left="5400" w:hanging="360"/>
      </w:pPr>
    </w:lvl>
    <w:lvl w:ilvl="8" w:tplc="306AB56A">
      <w:start w:val="1"/>
      <w:numFmt w:val="lowerRoman"/>
      <w:lvlText w:val="%9."/>
      <w:lvlJc w:val="right"/>
      <w:pPr>
        <w:ind w:left="6120" w:hanging="180"/>
      </w:pPr>
    </w:lvl>
  </w:abstractNum>
  <w:abstractNum w:abstractNumId="3" w15:restartNumberingAfterBreak="0">
    <w:nsid w:val="15F32CFF"/>
    <w:multiLevelType w:val="multilevel"/>
    <w:tmpl w:val="F7308DD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6D10D49"/>
    <w:multiLevelType w:val="hybridMultilevel"/>
    <w:tmpl w:val="3378EAE0"/>
    <w:lvl w:ilvl="0" w:tplc="12B87B02">
      <w:start w:val="1"/>
      <w:numFmt w:val="decimal"/>
      <w:lvlText w:val="%1."/>
      <w:lvlJc w:val="left"/>
      <w:pPr>
        <w:ind w:left="720" w:hanging="360"/>
      </w:pPr>
    </w:lvl>
    <w:lvl w:ilvl="1" w:tplc="922AC818">
      <w:start w:val="1"/>
      <w:numFmt w:val="lowerLetter"/>
      <w:lvlText w:val="%2."/>
      <w:lvlJc w:val="left"/>
      <w:pPr>
        <w:ind w:left="1440" w:hanging="360"/>
      </w:pPr>
    </w:lvl>
    <w:lvl w:ilvl="2" w:tplc="B9D0F41C">
      <w:start w:val="1"/>
      <w:numFmt w:val="lowerRoman"/>
      <w:lvlText w:val="%3."/>
      <w:lvlJc w:val="right"/>
      <w:pPr>
        <w:ind w:left="2160" w:hanging="180"/>
      </w:pPr>
    </w:lvl>
    <w:lvl w:ilvl="3" w:tplc="90AC8676">
      <w:start w:val="1"/>
      <w:numFmt w:val="decimal"/>
      <w:lvlText w:val="%4."/>
      <w:lvlJc w:val="left"/>
      <w:pPr>
        <w:ind w:left="2880" w:hanging="360"/>
      </w:pPr>
    </w:lvl>
    <w:lvl w:ilvl="4" w:tplc="F2568CFA">
      <w:start w:val="1"/>
      <w:numFmt w:val="lowerLetter"/>
      <w:lvlText w:val="%5."/>
      <w:lvlJc w:val="left"/>
      <w:pPr>
        <w:ind w:left="3600" w:hanging="360"/>
      </w:pPr>
    </w:lvl>
    <w:lvl w:ilvl="5" w:tplc="F59C0F58">
      <w:start w:val="1"/>
      <w:numFmt w:val="lowerRoman"/>
      <w:lvlText w:val="%6."/>
      <w:lvlJc w:val="right"/>
      <w:pPr>
        <w:ind w:left="4320" w:hanging="180"/>
      </w:pPr>
    </w:lvl>
    <w:lvl w:ilvl="6" w:tplc="091CD760">
      <w:start w:val="1"/>
      <w:numFmt w:val="decimal"/>
      <w:lvlText w:val="%7."/>
      <w:lvlJc w:val="left"/>
      <w:pPr>
        <w:ind w:left="5040" w:hanging="360"/>
      </w:pPr>
    </w:lvl>
    <w:lvl w:ilvl="7" w:tplc="02444DE8">
      <w:start w:val="1"/>
      <w:numFmt w:val="lowerLetter"/>
      <w:lvlText w:val="%8."/>
      <w:lvlJc w:val="left"/>
      <w:pPr>
        <w:ind w:left="5760" w:hanging="360"/>
      </w:pPr>
    </w:lvl>
    <w:lvl w:ilvl="8" w:tplc="2534C428">
      <w:start w:val="1"/>
      <w:numFmt w:val="lowerRoman"/>
      <w:lvlText w:val="%9."/>
      <w:lvlJc w:val="right"/>
      <w:pPr>
        <w:ind w:left="6480" w:hanging="180"/>
      </w:pPr>
    </w:lvl>
  </w:abstractNum>
  <w:abstractNum w:abstractNumId="5" w15:restartNumberingAfterBreak="0">
    <w:nsid w:val="25DD48CB"/>
    <w:multiLevelType w:val="multilevel"/>
    <w:tmpl w:val="B5A87466"/>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2BEBCEA1"/>
    <w:multiLevelType w:val="hybridMultilevel"/>
    <w:tmpl w:val="61CAE4DC"/>
    <w:lvl w:ilvl="0" w:tplc="7E38A6AE">
      <w:start w:val="1"/>
      <w:numFmt w:val="bullet"/>
      <w:lvlText w:val="·"/>
      <w:lvlJc w:val="left"/>
      <w:pPr>
        <w:ind w:left="720" w:hanging="360"/>
      </w:pPr>
      <w:rPr>
        <w:rFonts w:ascii="Symbol" w:hAnsi="Symbol" w:hint="default"/>
      </w:rPr>
    </w:lvl>
    <w:lvl w:ilvl="1" w:tplc="F7FE6082">
      <w:start w:val="1"/>
      <w:numFmt w:val="bullet"/>
      <w:lvlText w:val="o"/>
      <w:lvlJc w:val="left"/>
      <w:pPr>
        <w:ind w:left="1440" w:hanging="360"/>
      </w:pPr>
      <w:rPr>
        <w:rFonts w:ascii="Courier New" w:hAnsi="Courier New" w:hint="default"/>
      </w:rPr>
    </w:lvl>
    <w:lvl w:ilvl="2" w:tplc="B074BF52">
      <w:start w:val="1"/>
      <w:numFmt w:val="bullet"/>
      <w:lvlText w:val=""/>
      <w:lvlJc w:val="left"/>
      <w:pPr>
        <w:ind w:left="2160" w:hanging="360"/>
      </w:pPr>
      <w:rPr>
        <w:rFonts w:ascii="Wingdings" w:hAnsi="Wingdings" w:hint="default"/>
      </w:rPr>
    </w:lvl>
    <w:lvl w:ilvl="3" w:tplc="1D14DDF6">
      <w:start w:val="1"/>
      <w:numFmt w:val="bullet"/>
      <w:lvlText w:val=""/>
      <w:lvlJc w:val="left"/>
      <w:pPr>
        <w:ind w:left="2880" w:hanging="360"/>
      </w:pPr>
      <w:rPr>
        <w:rFonts w:ascii="Symbol" w:hAnsi="Symbol" w:hint="default"/>
      </w:rPr>
    </w:lvl>
    <w:lvl w:ilvl="4" w:tplc="B7AEFEAE">
      <w:start w:val="1"/>
      <w:numFmt w:val="bullet"/>
      <w:lvlText w:val="o"/>
      <w:lvlJc w:val="left"/>
      <w:pPr>
        <w:ind w:left="3600" w:hanging="360"/>
      </w:pPr>
      <w:rPr>
        <w:rFonts w:ascii="Courier New" w:hAnsi="Courier New" w:hint="default"/>
      </w:rPr>
    </w:lvl>
    <w:lvl w:ilvl="5" w:tplc="06961990">
      <w:start w:val="1"/>
      <w:numFmt w:val="bullet"/>
      <w:lvlText w:val=""/>
      <w:lvlJc w:val="left"/>
      <w:pPr>
        <w:ind w:left="4320" w:hanging="360"/>
      </w:pPr>
      <w:rPr>
        <w:rFonts w:ascii="Wingdings" w:hAnsi="Wingdings" w:hint="default"/>
      </w:rPr>
    </w:lvl>
    <w:lvl w:ilvl="6" w:tplc="23C0ED60">
      <w:start w:val="1"/>
      <w:numFmt w:val="bullet"/>
      <w:lvlText w:val=""/>
      <w:lvlJc w:val="left"/>
      <w:pPr>
        <w:ind w:left="5040" w:hanging="360"/>
      </w:pPr>
      <w:rPr>
        <w:rFonts w:ascii="Symbol" w:hAnsi="Symbol" w:hint="default"/>
      </w:rPr>
    </w:lvl>
    <w:lvl w:ilvl="7" w:tplc="10586228">
      <w:start w:val="1"/>
      <w:numFmt w:val="bullet"/>
      <w:lvlText w:val="o"/>
      <w:lvlJc w:val="left"/>
      <w:pPr>
        <w:ind w:left="5760" w:hanging="360"/>
      </w:pPr>
      <w:rPr>
        <w:rFonts w:ascii="Courier New" w:hAnsi="Courier New" w:hint="default"/>
      </w:rPr>
    </w:lvl>
    <w:lvl w:ilvl="8" w:tplc="2F648A0E">
      <w:start w:val="1"/>
      <w:numFmt w:val="bullet"/>
      <w:lvlText w:val=""/>
      <w:lvlJc w:val="left"/>
      <w:pPr>
        <w:ind w:left="6480" w:hanging="360"/>
      </w:pPr>
      <w:rPr>
        <w:rFonts w:ascii="Wingdings" w:hAnsi="Wingdings" w:hint="default"/>
      </w:rPr>
    </w:lvl>
  </w:abstractNum>
  <w:abstractNum w:abstractNumId="7" w15:restartNumberingAfterBreak="0">
    <w:nsid w:val="3199D571"/>
    <w:multiLevelType w:val="multilevel"/>
    <w:tmpl w:val="00DEA34C"/>
    <w:lvl w:ilvl="0">
      <w:start w:val="1"/>
      <w:numFmt w:val="decimal"/>
      <w:pStyle w:val="Title-CIB"/>
      <w:lvlText w:val="%1."/>
      <w:lvlJc w:val="left"/>
      <w:pPr>
        <w:ind w:left="720" w:hanging="360"/>
      </w:pPr>
      <w:rPr>
        <w:rFonts w:ascii="Calibri" w:hAnsi="Calibri" w:hint="default"/>
      </w:rPr>
    </w:lvl>
    <w:lvl w:ilvl="1">
      <w:start w:val="1"/>
      <w:numFmt w:val="decimal"/>
      <w:lvlText w:val="%1.%2"/>
      <w:lvlJc w:val="left"/>
      <w:pPr>
        <w:ind w:left="420" w:hanging="4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A41985F"/>
    <w:multiLevelType w:val="hybridMultilevel"/>
    <w:tmpl w:val="16D651E0"/>
    <w:lvl w:ilvl="0" w:tplc="65D04052">
      <w:start w:val="1"/>
      <w:numFmt w:val="decimal"/>
      <w:lvlText w:val="%1."/>
      <w:lvlJc w:val="left"/>
      <w:pPr>
        <w:ind w:left="720" w:hanging="360"/>
      </w:pPr>
    </w:lvl>
    <w:lvl w:ilvl="1" w:tplc="1A0EFA2C">
      <w:start w:val="1"/>
      <w:numFmt w:val="decimal"/>
      <w:lvlText w:val="%2.2"/>
      <w:lvlJc w:val="left"/>
      <w:pPr>
        <w:ind w:left="1440" w:hanging="360"/>
      </w:pPr>
      <w:rPr>
        <w:rFonts w:ascii="Calibri" w:hAnsi="Calibri" w:hint="default"/>
      </w:rPr>
    </w:lvl>
    <w:lvl w:ilvl="2" w:tplc="1C487B96">
      <w:start w:val="1"/>
      <w:numFmt w:val="lowerRoman"/>
      <w:lvlText w:val="%3."/>
      <w:lvlJc w:val="right"/>
      <w:pPr>
        <w:ind w:left="2160" w:hanging="180"/>
      </w:pPr>
    </w:lvl>
    <w:lvl w:ilvl="3" w:tplc="CD5E42D4">
      <w:start w:val="1"/>
      <w:numFmt w:val="decimal"/>
      <w:lvlText w:val="%4."/>
      <w:lvlJc w:val="left"/>
      <w:pPr>
        <w:ind w:left="2880" w:hanging="360"/>
      </w:pPr>
    </w:lvl>
    <w:lvl w:ilvl="4" w:tplc="2B06F4EC">
      <w:start w:val="1"/>
      <w:numFmt w:val="lowerLetter"/>
      <w:lvlText w:val="%5."/>
      <w:lvlJc w:val="left"/>
      <w:pPr>
        <w:ind w:left="3600" w:hanging="360"/>
      </w:pPr>
    </w:lvl>
    <w:lvl w:ilvl="5" w:tplc="B08A3470">
      <w:start w:val="1"/>
      <w:numFmt w:val="lowerRoman"/>
      <w:lvlText w:val="%6."/>
      <w:lvlJc w:val="right"/>
      <w:pPr>
        <w:ind w:left="4320" w:hanging="180"/>
      </w:pPr>
    </w:lvl>
    <w:lvl w:ilvl="6" w:tplc="3E8AC1E0">
      <w:start w:val="1"/>
      <w:numFmt w:val="decimal"/>
      <w:lvlText w:val="%7."/>
      <w:lvlJc w:val="left"/>
      <w:pPr>
        <w:ind w:left="5040" w:hanging="360"/>
      </w:pPr>
    </w:lvl>
    <w:lvl w:ilvl="7" w:tplc="6526D2A8">
      <w:start w:val="1"/>
      <w:numFmt w:val="lowerLetter"/>
      <w:lvlText w:val="%8."/>
      <w:lvlJc w:val="left"/>
      <w:pPr>
        <w:ind w:left="5760" w:hanging="360"/>
      </w:pPr>
    </w:lvl>
    <w:lvl w:ilvl="8" w:tplc="FD5C4878">
      <w:start w:val="1"/>
      <w:numFmt w:val="lowerRoman"/>
      <w:lvlText w:val="%9."/>
      <w:lvlJc w:val="right"/>
      <w:pPr>
        <w:ind w:left="6480" w:hanging="180"/>
      </w:pPr>
    </w:lvl>
  </w:abstractNum>
  <w:abstractNum w:abstractNumId="9" w15:restartNumberingAfterBreak="0">
    <w:nsid w:val="3C1B0EA1"/>
    <w:multiLevelType w:val="multilevel"/>
    <w:tmpl w:val="DA38246A"/>
    <w:lvl w:ilvl="0">
      <w:start w:val="3"/>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10" w15:restartNumberingAfterBreak="0">
    <w:nsid w:val="411FD8D0"/>
    <w:multiLevelType w:val="hybridMultilevel"/>
    <w:tmpl w:val="1D024B4C"/>
    <w:lvl w:ilvl="0" w:tplc="03400E28">
      <w:start w:val="1"/>
      <w:numFmt w:val="decimal"/>
      <w:lvlText w:val="%1."/>
      <w:lvlJc w:val="left"/>
      <w:pPr>
        <w:ind w:left="720" w:hanging="360"/>
      </w:pPr>
    </w:lvl>
    <w:lvl w:ilvl="1" w:tplc="7ACC8208">
      <w:start w:val="1"/>
      <w:numFmt w:val="lowerLetter"/>
      <w:lvlText w:val="%2."/>
      <w:lvlJc w:val="left"/>
      <w:pPr>
        <w:ind w:left="1440" w:hanging="360"/>
      </w:pPr>
    </w:lvl>
    <w:lvl w:ilvl="2" w:tplc="07989E3C">
      <w:start w:val="1"/>
      <w:numFmt w:val="lowerRoman"/>
      <w:lvlText w:val="%3."/>
      <w:lvlJc w:val="right"/>
      <w:pPr>
        <w:ind w:left="2160" w:hanging="180"/>
      </w:pPr>
    </w:lvl>
    <w:lvl w:ilvl="3" w:tplc="EAD6C684">
      <w:start w:val="1"/>
      <w:numFmt w:val="decimal"/>
      <w:lvlText w:val="%4."/>
      <w:lvlJc w:val="left"/>
      <w:pPr>
        <w:ind w:left="2880" w:hanging="360"/>
      </w:pPr>
    </w:lvl>
    <w:lvl w:ilvl="4" w:tplc="554A6C52">
      <w:start w:val="1"/>
      <w:numFmt w:val="lowerLetter"/>
      <w:lvlText w:val="%5."/>
      <w:lvlJc w:val="left"/>
      <w:pPr>
        <w:ind w:left="3600" w:hanging="360"/>
      </w:pPr>
    </w:lvl>
    <w:lvl w:ilvl="5" w:tplc="E65CDF48">
      <w:start w:val="1"/>
      <w:numFmt w:val="lowerRoman"/>
      <w:lvlText w:val="%6."/>
      <w:lvlJc w:val="right"/>
      <w:pPr>
        <w:ind w:left="4320" w:hanging="180"/>
      </w:pPr>
    </w:lvl>
    <w:lvl w:ilvl="6" w:tplc="77546E16">
      <w:start w:val="1"/>
      <w:numFmt w:val="decimal"/>
      <w:lvlText w:val="%7."/>
      <w:lvlJc w:val="left"/>
      <w:pPr>
        <w:ind w:left="5040" w:hanging="360"/>
      </w:pPr>
    </w:lvl>
    <w:lvl w:ilvl="7" w:tplc="D3D04D52">
      <w:start w:val="1"/>
      <w:numFmt w:val="lowerLetter"/>
      <w:lvlText w:val="%8."/>
      <w:lvlJc w:val="left"/>
      <w:pPr>
        <w:ind w:left="5760" w:hanging="360"/>
      </w:pPr>
    </w:lvl>
    <w:lvl w:ilvl="8" w:tplc="C63EC128">
      <w:start w:val="1"/>
      <w:numFmt w:val="lowerRoman"/>
      <w:lvlText w:val="%9."/>
      <w:lvlJc w:val="right"/>
      <w:pPr>
        <w:ind w:left="6480" w:hanging="180"/>
      </w:pPr>
    </w:lvl>
  </w:abstractNum>
  <w:abstractNum w:abstractNumId="11" w15:restartNumberingAfterBreak="0">
    <w:nsid w:val="5369D4BC"/>
    <w:multiLevelType w:val="hybridMultilevel"/>
    <w:tmpl w:val="74F697FE"/>
    <w:lvl w:ilvl="0" w:tplc="51CC59C2">
      <w:start w:val="1"/>
      <w:numFmt w:val="decimal"/>
      <w:lvlText w:val="%1."/>
      <w:lvlJc w:val="left"/>
      <w:pPr>
        <w:ind w:left="720" w:hanging="360"/>
      </w:pPr>
      <w:rPr>
        <w:rFonts w:ascii="Calibri" w:hAnsi="Calibri" w:hint="default"/>
      </w:rPr>
    </w:lvl>
    <w:lvl w:ilvl="1" w:tplc="DC9CEB64">
      <w:start w:val="1"/>
      <w:numFmt w:val="lowerLetter"/>
      <w:lvlText w:val="%2."/>
      <w:lvlJc w:val="left"/>
      <w:pPr>
        <w:ind w:left="1440" w:hanging="360"/>
      </w:pPr>
    </w:lvl>
    <w:lvl w:ilvl="2" w:tplc="FF10AF98">
      <w:start w:val="1"/>
      <w:numFmt w:val="lowerRoman"/>
      <w:lvlText w:val="%3."/>
      <w:lvlJc w:val="right"/>
      <w:pPr>
        <w:ind w:left="2160" w:hanging="180"/>
      </w:pPr>
    </w:lvl>
    <w:lvl w:ilvl="3" w:tplc="EB4E94E8">
      <w:start w:val="1"/>
      <w:numFmt w:val="decimal"/>
      <w:lvlText w:val="%4."/>
      <w:lvlJc w:val="left"/>
      <w:pPr>
        <w:ind w:left="2880" w:hanging="360"/>
      </w:pPr>
    </w:lvl>
    <w:lvl w:ilvl="4" w:tplc="022CCC4A">
      <w:start w:val="1"/>
      <w:numFmt w:val="lowerLetter"/>
      <w:lvlText w:val="%5."/>
      <w:lvlJc w:val="left"/>
      <w:pPr>
        <w:ind w:left="3600" w:hanging="360"/>
      </w:pPr>
    </w:lvl>
    <w:lvl w:ilvl="5" w:tplc="BEB0DED6">
      <w:start w:val="1"/>
      <w:numFmt w:val="lowerRoman"/>
      <w:lvlText w:val="%6."/>
      <w:lvlJc w:val="right"/>
      <w:pPr>
        <w:ind w:left="4320" w:hanging="180"/>
      </w:pPr>
    </w:lvl>
    <w:lvl w:ilvl="6" w:tplc="4CB07C66">
      <w:start w:val="1"/>
      <w:numFmt w:val="decimal"/>
      <w:lvlText w:val="%7."/>
      <w:lvlJc w:val="left"/>
      <w:pPr>
        <w:ind w:left="5040" w:hanging="360"/>
      </w:pPr>
    </w:lvl>
    <w:lvl w:ilvl="7" w:tplc="C34EFCD2">
      <w:start w:val="1"/>
      <w:numFmt w:val="lowerLetter"/>
      <w:lvlText w:val="%8."/>
      <w:lvlJc w:val="left"/>
      <w:pPr>
        <w:ind w:left="5760" w:hanging="360"/>
      </w:pPr>
    </w:lvl>
    <w:lvl w:ilvl="8" w:tplc="B3E0252A">
      <w:start w:val="1"/>
      <w:numFmt w:val="lowerRoman"/>
      <w:lvlText w:val="%9."/>
      <w:lvlJc w:val="right"/>
      <w:pPr>
        <w:ind w:left="6480" w:hanging="180"/>
      </w:pPr>
    </w:lvl>
  </w:abstractNum>
  <w:abstractNum w:abstractNumId="12" w15:restartNumberingAfterBreak="0">
    <w:nsid w:val="54A58196"/>
    <w:multiLevelType w:val="hybridMultilevel"/>
    <w:tmpl w:val="CE228686"/>
    <w:lvl w:ilvl="0" w:tplc="489A9094">
      <w:start w:val="2"/>
      <w:numFmt w:val="decimal"/>
      <w:lvlText w:val="2"/>
      <w:lvlJc w:val="left"/>
      <w:pPr>
        <w:ind w:left="720" w:hanging="360"/>
      </w:pPr>
    </w:lvl>
    <w:lvl w:ilvl="1" w:tplc="04F208CE">
      <w:start w:val="1"/>
      <w:numFmt w:val="lowerLetter"/>
      <w:lvlText w:val="%2."/>
      <w:lvlJc w:val="left"/>
      <w:pPr>
        <w:ind w:left="1440" w:hanging="360"/>
      </w:pPr>
    </w:lvl>
    <w:lvl w:ilvl="2" w:tplc="4A18F8DE">
      <w:start w:val="1"/>
      <w:numFmt w:val="lowerRoman"/>
      <w:lvlText w:val="%3."/>
      <w:lvlJc w:val="right"/>
      <w:pPr>
        <w:ind w:left="2160" w:hanging="180"/>
      </w:pPr>
    </w:lvl>
    <w:lvl w:ilvl="3" w:tplc="F4B8F6B4">
      <w:start w:val="1"/>
      <w:numFmt w:val="decimal"/>
      <w:lvlText w:val="%4."/>
      <w:lvlJc w:val="left"/>
      <w:pPr>
        <w:ind w:left="2880" w:hanging="360"/>
      </w:pPr>
    </w:lvl>
    <w:lvl w:ilvl="4" w:tplc="FE468780">
      <w:start w:val="1"/>
      <w:numFmt w:val="lowerLetter"/>
      <w:lvlText w:val="%5."/>
      <w:lvlJc w:val="left"/>
      <w:pPr>
        <w:ind w:left="3600" w:hanging="360"/>
      </w:pPr>
    </w:lvl>
    <w:lvl w:ilvl="5" w:tplc="A562192C">
      <w:start w:val="1"/>
      <w:numFmt w:val="lowerRoman"/>
      <w:lvlText w:val="%6."/>
      <w:lvlJc w:val="right"/>
      <w:pPr>
        <w:ind w:left="4320" w:hanging="180"/>
      </w:pPr>
    </w:lvl>
    <w:lvl w:ilvl="6" w:tplc="EBF80D6E">
      <w:start w:val="1"/>
      <w:numFmt w:val="decimal"/>
      <w:lvlText w:val="%7."/>
      <w:lvlJc w:val="left"/>
      <w:pPr>
        <w:ind w:left="5040" w:hanging="360"/>
      </w:pPr>
    </w:lvl>
    <w:lvl w:ilvl="7" w:tplc="AFD0471C">
      <w:start w:val="1"/>
      <w:numFmt w:val="lowerLetter"/>
      <w:lvlText w:val="%8."/>
      <w:lvlJc w:val="left"/>
      <w:pPr>
        <w:ind w:left="5760" w:hanging="360"/>
      </w:pPr>
    </w:lvl>
    <w:lvl w:ilvl="8" w:tplc="7FF0A37E">
      <w:start w:val="1"/>
      <w:numFmt w:val="lowerRoman"/>
      <w:lvlText w:val="%9."/>
      <w:lvlJc w:val="right"/>
      <w:pPr>
        <w:ind w:left="6480" w:hanging="180"/>
      </w:pPr>
    </w:lvl>
  </w:abstractNum>
  <w:abstractNum w:abstractNumId="13" w15:restartNumberingAfterBreak="0">
    <w:nsid w:val="55FF655C"/>
    <w:multiLevelType w:val="multilevel"/>
    <w:tmpl w:val="70B65826"/>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15:restartNumberingAfterBreak="0">
    <w:nsid w:val="5A0B2EB6"/>
    <w:multiLevelType w:val="hybridMultilevel"/>
    <w:tmpl w:val="AE92C75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61072667"/>
    <w:multiLevelType w:val="multilevel"/>
    <w:tmpl w:val="6C06B8DE"/>
    <w:lvl w:ilvl="0">
      <w:start w:val="1"/>
      <w:numFmt w:val="decimal"/>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6F8EB9B5"/>
    <w:multiLevelType w:val="hybridMultilevel"/>
    <w:tmpl w:val="35E2B1D0"/>
    <w:lvl w:ilvl="0" w:tplc="1082AE74">
      <w:start w:val="1"/>
      <w:numFmt w:val="bullet"/>
      <w:lvlText w:val="·"/>
      <w:lvlJc w:val="left"/>
      <w:pPr>
        <w:ind w:left="720" w:hanging="360"/>
      </w:pPr>
      <w:rPr>
        <w:rFonts w:ascii="Symbol" w:hAnsi="Symbol" w:hint="default"/>
      </w:rPr>
    </w:lvl>
    <w:lvl w:ilvl="1" w:tplc="3FF62304">
      <w:start w:val="1"/>
      <w:numFmt w:val="bullet"/>
      <w:lvlText w:val="o"/>
      <w:lvlJc w:val="left"/>
      <w:pPr>
        <w:ind w:left="1440" w:hanging="360"/>
      </w:pPr>
      <w:rPr>
        <w:rFonts w:ascii="Courier New" w:hAnsi="Courier New" w:hint="default"/>
      </w:rPr>
    </w:lvl>
    <w:lvl w:ilvl="2" w:tplc="D506BE48">
      <w:start w:val="1"/>
      <w:numFmt w:val="bullet"/>
      <w:lvlText w:val=""/>
      <w:lvlJc w:val="left"/>
      <w:pPr>
        <w:ind w:left="2160" w:hanging="360"/>
      </w:pPr>
      <w:rPr>
        <w:rFonts w:ascii="Wingdings" w:hAnsi="Wingdings" w:hint="default"/>
      </w:rPr>
    </w:lvl>
    <w:lvl w:ilvl="3" w:tplc="53403F22">
      <w:start w:val="1"/>
      <w:numFmt w:val="bullet"/>
      <w:lvlText w:val=""/>
      <w:lvlJc w:val="left"/>
      <w:pPr>
        <w:ind w:left="2880" w:hanging="360"/>
      </w:pPr>
      <w:rPr>
        <w:rFonts w:ascii="Symbol" w:hAnsi="Symbol" w:hint="default"/>
      </w:rPr>
    </w:lvl>
    <w:lvl w:ilvl="4" w:tplc="6ABC4226">
      <w:start w:val="1"/>
      <w:numFmt w:val="bullet"/>
      <w:lvlText w:val="o"/>
      <w:lvlJc w:val="left"/>
      <w:pPr>
        <w:ind w:left="3600" w:hanging="360"/>
      </w:pPr>
      <w:rPr>
        <w:rFonts w:ascii="Courier New" w:hAnsi="Courier New" w:hint="default"/>
      </w:rPr>
    </w:lvl>
    <w:lvl w:ilvl="5" w:tplc="1BEC752A">
      <w:start w:val="1"/>
      <w:numFmt w:val="bullet"/>
      <w:lvlText w:val=""/>
      <w:lvlJc w:val="left"/>
      <w:pPr>
        <w:ind w:left="4320" w:hanging="360"/>
      </w:pPr>
      <w:rPr>
        <w:rFonts w:ascii="Wingdings" w:hAnsi="Wingdings" w:hint="default"/>
      </w:rPr>
    </w:lvl>
    <w:lvl w:ilvl="6" w:tplc="4BF42438">
      <w:start w:val="1"/>
      <w:numFmt w:val="bullet"/>
      <w:lvlText w:val=""/>
      <w:lvlJc w:val="left"/>
      <w:pPr>
        <w:ind w:left="5040" w:hanging="360"/>
      </w:pPr>
      <w:rPr>
        <w:rFonts w:ascii="Symbol" w:hAnsi="Symbol" w:hint="default"/>
      </w:rPr>
    </w:lvl>
    <w:lvl w:ilvl="7" w:tplc="EBEA18FA">
      <w:start w:val="1"/>
      <w:numFmt w:val="bullet"/>
      <w:lvlText w:val="o"/>
      <w:lvlJc w:val="left"/>
      <w:pPr>
        <w:ind w:left="5760" w:hanging="360"/>
      </w:pPr>
      <w:rPr>
        <w:rFonts w:ascii="Courier New" w:hAnsi="Courier New" w:hint="default"/>
      </w:rPr>
    </w:lvl>
    <w:lvl w:ilvl="8" w:tplc="836E820E">
      <w:start w:val="1"/>
      <w:numFmt w:val="bullet"/>
      <w:lvlText w:val=""/>
      <w:lvlJc w:val="left"/>
      <w:pPr>
        <w:ind w:left="6480" w:hanging="360"/>
      </w:pPr>
      <w:rPr>
        <w:rFonts w:ascii="Wingdings" w:hAnsi="Wingdings" w:hint="default"/>
      </w:rPr>
    </w:lvl>
  </w:abstractNum>
  <w:abstractNum w:abstractNumId="17" w15:restartNumberingAfterBreak="0">
    <w:nsid w:val="7080633C"/>
    <w:multiLevelType w:val="hybridMultilevel"/>
    <w:tmpl w:val="3DA8E9BA"/>
    <w:lvl w:ilvl="0" w:tplc="2A3450CC">
      <w:start w:val="1"/>
      <w:numFmt w:val="decimal"/>
      <w:lvlText w:val="%1."/>
      <w:lvlJc w:val="left"/>
      <w:pPr>
        <w:ind w:left="720" w:hanging="360"/>
      </w:pPr>
      <w:rPr>
        <w:rFonts w:ascii="Calibri" w:hAnsi="Calibri" w:hint="default"/>
      </w:rPr>
    </w:lvl>
    <w:lvl w:ilvl="1" w:tplc="2E08601A">
      <w:start w:val="1"/>
      <w:numFmt w:val="lowerLetter"/>
      <w:lvlText w:val="%2."/>
      <w:lvlJc w:val="left"/>
      <w:pPr>
        <w:ind w:left="1440" w:hanging="360"/>
      </w:pPr>
    </w:lvl>
    <w:lvl w:ilvl="2" w:tplc="3264B394">
      <w:start w:val="1"/>
      <w:numFmt w:val="lowerRoman"/>
      <w:lvlText w:val="%3."/>
      <w:lvlJc w:val="right"/>
      <w:pPr>
        <w:ind w:left="2160" w:hanging="180"/>
      </w:pPr>
    </w:lvl>
    <w:lvl w:ilvl="3" w:tplc="E106243C">
      <w:start w:val="1"/>
      <w:numFmt w:val="decimal"/>
      <w:lvlText w:val="%4."/>
      <w:lvlJc w:val="left"/>
      <w:pPr>
        <w:ind w:left="2880" w:hanging="360"/>
      </w:pPr>
    </w:lvl>
    <w:lvl w:ilvl="4" w:tplc="9C2CB506">
      <w:start w:val="1"/>
      <w:numFmt w:val="lowerLetter"/>
      <w:lvlText w:val="%5."/>
      <w:lvlJc w:val="left"/>
      <w:pPr>
        <w:ind w:left="3600" w:hanging="360"/>
      </w:pPr>
    </w:lvl>
    <w:lvl w:ilvl="5" w:tplc="14F0B0BE">
      <w:start w:val="1"/>
      <w:numFmt w:val="lowerRoman"/>
      <w:lvlText w:val="%6."/>
      <w:lvlJc w:val="right"/>
      <w:pPr>
        <w:ind w:left="4320" w:hanging="180"/>
      </w:pPr>
    </w:lvl>
    <w:lvl w:ilvl="6" w:tplc="D46CB66C">
      <w:start w:val="1"/>
      <w:numFmt w:val="decimal"/>
      <w:lvlText w:val="%7."/>
      <w:lvlJc w:val="left"/>
      <w:pPr>
        <w:ind w:left="5040" w:hanging="360"/>
      </w:pPr>
    </w:lvl>
    <w:lvl w:ilvl="7" w:tplc="EDDCC91A">
      <w:start w:val="1"/>
      <w:numFmt w:val="lowerLetter"/>
      <w:lvlText w:val="%8."/>
      <w:lvlJc w:val="left"/>
      <w:pPr>
        <w:ind w:left="5760" w:hanging="360"/>
      </w:pPr>
    </w:lvl>
    <w:lvl w:ilvl="8" w:tplc="A610564E">
      <w:start w:val="1"/>
      <w:numFmt w:val="lowerRoman"/>
      <w:lvlText w:val="%9."/>
      <w:lvlJc w:val="right"/>
      <w:pPr>
        <w:ind w:left="6480" w:hanging="180"/>
      </w:pPr>
    </w:lvl>
  </w:abstractNum>
  <w:abstractNum w:abstractNumId="18"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40067282">
    <w:abstractNumId w:val="0"/>
  </w:num>
  <w:num w:numId="2" w16cid:durableId="1611546400">
    <w:abstractNumId w:val="6"/>
  </w:num>
  <w:num w:numId="3" w16cid:durableId="2092508210">
    <w:abstractNumId w:val="2"/>
  </w:num>
  <w:num w:numId="4" w16cid:durableId="77679271">
    <w:abstractNumId w:val="12"/>
  </w:num>
  <w:num w:numId="5" w16cid:durableId="1439982757">
    <w:abstractNumId w:val="10"/>
  </w:num>
  <w:num w:numId="6" w16cid:durableId="374476644">
    <w:abstractNumId w:val="17"/>
  </w:num>
  <w:num w:numId="7" w16cid:durableId="1845241290">
    <w:abstractNumId w:val="4"/>
  </w:num>
  <w:num w:numId="8" w16cid:durableId="563108604">
    <w:abstractNumId w:val="16"/>
  </w:num>
  <w:num w:numId="9" w16cid:durableId="1258100531">
    <w:abstractNumId w:val="8"/>
  </w:num>
  <w:num w:numId="10" w16cid:durableId="840778344">
    <w:abstractNumId w:val="11"/>
  </w:num>
  <w:num w:numId="11" w16cid:durableId="799886608">
    <w:abstractNumId w:val="7"/>
  </w:num>
  <w:num w:numId="12" w16cid:durableId="523710480">
    <w:abstractNumId w:val="15"/>
  </w:num>
  <w:num w:numId="13" w16cid:durableId="971980657">
    <w:abstractNumId w:val="18"/>
  </w:num>
  <w:num w:numId="14" w16cid:durableId="733966122">
    <w:abstractNumId w:val="9"/>
  </w:num>
  <w:num w:numId="15" w16cid:durableId="1701586988">
    <w:abstractNumId w:val="14"/>
  </w:num>
  <w:num w:numId="16" w16cid:durableId="2020503990">
    <w:abstractNumId w:val="5"/>
  </w:num>
  <w:num w:numId="17" w16cid:durableId="445976111">
    <w:abstractNumId w:val="13"/>
  </w:num>
  <w:num w:numId="18" w16cid:durableId="149173316">
    <w:abstractNumId w:val="3"/>
  </w:num>
  <w:num w:numId="19" w16cid:durableId="10541638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121CA"/>
    <w:rsid w:val="00015653"/>
    <w:rsid w:val="0002703E"/>
    <w:rsid w:val="00046588"/>
    <w:rsid w:val="00061720"/>
    <w:rsid w:val="000656D9"/>
    <w:rsid w:val="0007345B"/>
    <w:rsid w:val="00074542"/>
    <w:rsid w:val="0007454F"/>
    <w:rsid w:val="0007539C"/>
    <w:rsid w:val="0007574B"/>
    <w:rsid w:val="00076996"/>
    <w:rsid w:val="00083D11"/>
    <w:rsid w:val="000922C1"/>
    <w:rsid w:val="000936B7"/>
    <w:rsid w:val="0009532E"/>
    <w:rsid w:val="000A444A"/>
    <w:rsid w:val="000B1F7A"/>
    <w:rsid w:val="000C7145"/>
    <w:rsid w:val="000D1448"/>
    <w:rsid w:val="000D2AD9"/>
    <w:rsid w:val="000E411C"/>
    <w:rsid w:val="000F037F"/>
    <w:rsid w:val="000F220E"/>
    <w:rsid w:val="00102F09"/>
    <w:rsid w:val="00114662"/>
    <w:rsid w:val="00122070"/>
    <w:rsid w:val="00123709"/>
    <w:rsid w:val="001436A1"/>
    <w:rsid w:val="00143D7D"/>
    <w:rsid w:val="00147C85"/>
    <w:rsid w:val="001529F5"/>
    <w:rsid w:val="001617D2"/>
    <w:rsid w:val="00162CF1"/>
    <w:rsid w:val="00166BBC"/>
    <w:rsid w:val="00167D73"/>
    <w:rsid w:val="0017190F"/>
    <w:rsid w:val="00174CEC"/>
    <w:rsid w:val="00181B02"/>
    <w:rsid w:val="001874F2"/>
    <w:rsid w:val="00191D11"/>
    <w:rsid w:val="0019357A"/>
    <w:rsid w:val="001A47AE"/>
    <w:rsid w:val="001A5932"/>
    <w:rsid w:val="001B4901"/>
    <w:rsid w:val="001C2C12"/>
    <w:rsid w:val="001C2DCE"/>
    <w:rsid w:val="001D2A93"/>
    <w:rsid w:val="001D548D"/>
    <w:rsid w:val="001E019C"/>
    <w:rsid w:val="001E11C2"/>
    <w:rsid w:val="001E72AD"/>
    <w:rsid w:val="001F2584"/>
    <w:rsid w:val="00207237"/>
    <w:rsid w:val="00207940"/>
    <w:rsid w:val="00215ABF"/>
    <w:rsid w:val="002172C0"/>
    <w:rsid w:val="00222332"/>
    <w:rsid w:val="00225CC8"/>
    <w:rsid w:val="00245CE5"/>
    <w:rsid w:val="00247368"/>
    <w:rsid w:val="002507CF"/>
    <w:rsid w:val="0025283D"/>
    <w:rsid w:val="00255BEE"/>
    <w:rsid w:val="0026298F"/>
    <w:rsid w:val="00264BA2"/>
    <w:rsid w:val="00277D25"/>
    <w:rsid w:val="00285707"/>
    <w:rsid w:val="0028696C"/>
    <w:rsid w:val="00291F72"/>
    <w:rsid w:val="00292709"/>
    <w:rsid w:val="00294774"/>
    <w:rsid w:val="00294E7A"/>
    <w:rsid w:val="00295899"/>
    <w:rsid w:val="00297096"/>
    <w:rsid w:val="002A78E6"/>
    <w:rsid w:val="002B5364"/>
    <w:rsid w:val="002C3F9C"/>
    <w:rsid w:val="002D5DFA"/>
    <w:rsid w:val="002D5EEE"/>
    <w:rsid w:val="002D6362"/>
    <w:rsid w:val="002D63B8"/>
    <w:rsid w:val="002E69CA"/>
    <w:rsid w:val="002E7D68"/>
    <w:rsid w:val="002F1927"/>
    <w:rsid w:val="002F687F"/>
    <w:rsid w:val="00306CFF"/>
    <w:rsid w:val="003138D8"/>
    <w:rsid w:val="00320661"/>
    <w:rsid w:val="00321FFD"/>
    <w:rsid w:val="003236DF"/>
    <w:rsid w:val="003257B0"/>
    <w:rsid w:val="00331749"/>
    <w:rsid w:val="003330DD"/>
    <w:rsid w:val="0033572B"/>
    <w:rsid w:val="00335D3C"/>
    <w:rsid w:val="00345FCB"/>
    <w:rsid w:val="003515F4"/>
    <w:rsid w:val="003642B3"/>
    <w:rsid w:val="00367B29"/>
    <w:rsid w:val="00375023"/>
    <w:rsid w:val="003768DB"/>
    <w:rsid w:val="00381BB3"/>
    <w:rsid w:val="003A1F39"/>
    <w:rsid w:val="003A6559"/>
    <w:rsid w:val="003B2AE4"/>
    <w:rsid w:val="003C1CD5"/>
    <w:rsid w:val="003C663E"/>
    <w:rsid w:val="003C7792"/>
    <w:rsid w:val="003D44E3"/>
    <w:rsid w:val="003E4391"/>
    <w:rsid w:val="003E5026"/>
    <w:rsid w:val="003E7204"/>
    <w:rsid w:val="003E7BBA"/>
    <w:rsid w:val="003F5E99"/>
    <w:rsid w:val="00400F83"/>
    <w:rsid w:val="00404244"/>
    <w:rsid w:val="00415C79"/>
    <w:rsid w:val="00417851"/>
    <w:rsid w:val="004217A6"/>
    <w:rsid w:val="004313A0"/>
    <w:rsid w:val="00432F70"/>
    <w:rsid w:val="00433B39"/>
    <w:rsid w:val="00441332"/>
    <w:rsid w:val="004542A6"/>
    <w:rsid w:val="0047466F"/>
    <w:rsid w:val="00475102"/>
    <w:rsid w:val="0047707C"/>
    <w:rsid w:val="0048062D"/>
    <w:rsid w:val="004807D3"/>
    <w:rsid w:val="004837C3"/>
    <w:rsid w:val="0049083D"/>
    <w:rsid w:val="00493A21"/>
    <w:rsid w:val="00493D63"/>
    <w:rsid w:val="004A4E70"/>
    <w:rsid w:val="004B2871"/>
    <w:rsid w:val="004B2B45"/>
    <w:rsid w:val="004B45F0"/>
    <w:rsid w:val="004B7560"/>
    <w:rsid w:val="004C008E"/>
    <w:rsid w:val="004C22CF"/>
    <w:rsid w:val="004C28CA"/>
    <w:rsid w:val="004C2968"/>
    <w:rsid w:val="004C6403"/>
    <w:rsid w:val="004D3543"/>
    <w:rsid w:val="004F1357"/>
    <w:rsid w:val="004F463F"/>
    <w:rsid w:val="00501099"/>
    <w:rsid w:val="005076E1"/>
    <w:rsid w:val="00515638"/>
    <w:rsid w:val="0052173C"/>
    <w:rsid w:val="0052215C"/>
    <w:rsid w:val="00535D5E"/>
    <w:rsid w:val="00537566"/>
    <w:rsid w:val="00540ACE"/>
    <w:rsid w:val="00553C9D"/>
    <w:rsid w:val="00557AEC"/>
    <w:rsid w:val="005643AE"/>
    <w:rsid w:val="00566FBF"/>
    <w:rsid w:val="00593F1B"/>
    <w:rsid w:val="005B0966"/>
    <w:rsid w:val="005B6D40"/>
    <w:rsid w:val="005E044F"/>
    <w:rsid w:val="005E4661"/>
    <w:rsid w:val="005F40C5"/>
    <w:rsid w:val="0062458E"/>
    <w:rsid w:val="00624BAE"/>
    <w:rsid w:val="0064269B"/>
    <w:rsid w:val="00642E7E"/>
    <w:rsid w:val="00647DB1"/>
    <w:rsid w:val="006600B4"/>
    <w:rsid w:val="00661B5D"/>
    <w:rsid w:val="00670C0C"/>
    <w:rsid w:val="00681C8C"/>
    <w:rsid w:val="00691CF3"/>
    <w:rsid w:val="00695A88"/>
    <w:rsid w:val="006968E8"/>
    <w:rsid w:val="006A4CEA"/>
    <w:rsid w:val="006A5405"/>
    <w:rsid w:val="006A5BBD"/>
    <w:rsid w:val="006C00E7"/>
    <w:rsid w:val="006C38A9"/>
    <w:rsid w:val="006C6D59"/>
    <w:rsid w:val="006C6E5E"/>
    <w:rsid w:val="006D3374"/>
    <w:rsid w:val="006D49DE"/>
    <w:rsid w:val="006E1E26"/>
    <w:rsid w:val="006E2288"/>
    <w:rsid w:val="006E5134"/>
    <w:rsid w:val="006E702E"/>
    <w:rsid w:val="006E77D5"/>
    <w:rsid w:val="006F17AA"/>
    <w:rsid w:val="006F250B"/>
    <w:rsid w:val="006F5426"/>
    <w:rsid w:val="007010BF"/>
    <w:rsid w:val="00701B7E"/>
    <w:rsid w:val="00716DED"/>
    <w:rsid w:val="00733D6F"/>
    <w:rsid w:val="007469FE"/>
    <w:rsid w:val="0074798B"/>
    <w:rsid w:val="007523C4"/>
    <w:rsid w:val="00757F31"/>
    <w:rsid w:val="00761F72"/>
    <w:rsid w:val="007710D3"/>
    <w:rsid w:val="00774DD1"/>
    <w:rsid w:val="007753D9"/>
    <w:rsid w:val="00791964"/>
    <w:rsid w:val="007A214A"/>
    <w:rsid w:val="007B4F9D"/>
    <w:rsid w:val="007C0BE8"/>
    <w:rsid w:val="007C155A"/>
    <w:rsid w:val="007C56AF"/>
    <w:rsid w:val="007C6D23"/>
    <w:rsid w:val="007D2CCA"/>
    <w:rsid w:val="007F0B24"/>
    <w:rsid w:val="007F62E9"/>
    <w:rsid w:val="008011D9"/>
    <w:rsid w:val="008014C2"/>
    <w:rsid w:val="00801E7C"/>
    <w:rsid w:val="00802CFD"/>
    <w:rsid w:val="00817101"/>
    <w:rsid w:val="008171B9"/>
    <w:rsid w:val="0083169F"/>
    <w:rsid w:val="00831CDE"/>
    <w:rsid w:val="00836113"/>
    <w:rsid w:val="008363FA"/>
    <w:rsid w:val="00846418"/>
    <w:rsid w:val="008468AE"/>
    <w:rsid w:val="00850043"/>
    <w:rsid w:val="008566DD"/>
    <w:rsid w:val="00872D24"/>
    <w:rsid w:val="00873030"/>
    <w:rsid w:val="00884A97"/>
    <w:rsid w:val="008879DF"/>
    <w:rsid w:val="0089287F"/>
    <w:rsid w:val="00895698"/>
    <w:rsid w:val="0089597A"/>
    <w:rsid w:val="008978BB"/>
    <w:rsid w:val="00897B0D"/>
    <w:rsid w:val="008A0353"/>
    <w:rsid w:val="008A1B40"/>
    <w:rsid w:val="008B2284"/>
    <w:rsid w:val="008C270D"/>
    <w:rsid w:val="008C2782"/>
    <w:rsid w:val="008C4279"/>
    <w:rsid w:val="008C4AAA"/>
    <w:rsid w:val="008C5D29"/>
    <w:rsid w:val="008E1D84"/>
    <w:rsid w:val="008E6E0C"/>
    <w:rsid w:val="008F1D82"/>
    <w:rsid w:val="008F4DB1"/>
    <w:rsid w:val="00901A8B"/>
    <w:rsid w:val="00903FBE"/>
    <w:rsid w:val="00904602"/>
    <w:rsid w:val="009049C6"/>
    <w:rsid w:val="00905957"/>
    <w:rsid w:val="00933195"/>
    <w:rsid w:val="00940548"/>
    <w:rsid w:val="00942B53"/>
    <w:rsid w:val="009461AC"/>
    <w:rsid w:val="00967820"/>
    <w:rsid w:val="00974B5A"/>
    <w:rsid w:val="00984414"/>
    <w:rsid w:val="00984B89"/>
    <w:rsid w:val="00990788"/>
    <w:rsid w:val="0099167C"/>
    <w:rsid w:val="00992B67"/>
    <w:rsid w:val="00995577"/>
    <w:rsid w:val="009A59D9"/>
    <w:rsid w:val="009B7384"/>
    <w:rsid w:val="009C38AB"/>
    <w:rsid w:val="009C774B"/>
    <w:rsid w:val="009D140A"/>
    <w:rsid w:val="009D4773"/>
    <w:rsid w:val="009E2A16"/>
    <w:rsid w:val="009E6E8F"/>
    <w:rsid w:val="009F4504"/>
    <w:rsid w:val="00A10C12"/>
    <w:rsid w:val="00A112D2"/>
    <w:rsid w:val="00A1441D"/>
    <w:rsid w:val="00A22C40"/>
    <w:rsid w:val="00A27048"/>
    <w:rsid w:val="00A34EEE"/>
    <w:rsid w:val="00A35B32"/>
    <w:rsid w:val="00A40184"/>
    <w:rsid w:val="00A4798B"/>
    <w:rsid w:val="00A567B8"/>
    <w:rsid w:val="00A61D97"/>
    <w:rsid w:val="00A6373E"/>
    <w:rsid w:val="00A63BC7"/>
    <w:rsid w:val="00A745D9"/>
    <w:rsid w:val="00A7617E"/>
    <w:rsid w:val="00A90E4F"/>
    <w:rsid w:val="00A96211"/>
    <w:rsid w:val="00AA33AB"/>
    <w:rsid w:val="00AB220E"/>
    <w:rsid w:val="00AB4A24"/>
    <w:rsid w:val="00AC42BE"/>
    <w:rsid w:val="00AF215D"/>
    <w:rsid w:val="00AF4330"/>
    <w:rsid w:val="00AF4C9A"/>
    <w:rsid w:val="00AF4DA1"/>
    <w:rsid w:val="00AF53D9"/>
    <w:rsid w:val="00AF6115"/>
    <w:rsid w:val="00AF6A46"/>
    <w:rsid w:val="00AF77C0"/>
    <w:rsid w:val="00B02AB2"/>
    <w:rsid w:val="00B07BC7"/>
    <w:rsid w:val="00B1325D"/>
    <w:rsid w:val="00B15268"/>
    <w:rsid w:val="00B1685E"/>
    <w:rsid w:val="00B33303"/>
    <w:rsid w:val="00B42868"/>
    <w:rsid w:val="00B56489"/>
    <w:rsid w:val="00B56B15"/>
    <w:rsid w:val="00B60860"/>
    <w:rsid w:val="00B6290E"/>
    <w:rsid w:val="00B72AE8"/>
    <w:rsid w:val="00B75F7A"/>
    <w:rsid w:val="00B77F12"/>
    <w:rsid w:val="00B92FDE"/>
    <w:rsid w:val="00B95A5C"/>
    <w:rsid w:val="00B95DF0"/>
    <w:rsid w:val="00BA0BD4"/>
    <w:rsid w:val="00BA2A80"/>
    <w:rsid w:val="00BA3089"/>
    <w:rsid w:val="00BA349C"/>
    <w:rsid w:val="00BB06F3"/>
    <w:rsid w:val="00BB13A0"/>
    <w:rsid w:val="00BD00CB"/>
    <w:rsid w:val="00BD1CDD"/>
    <w:rsid w:val="00BD3798"/>
    <w:rsid w:val="00BD65D2"/>
    <w:rsid w:val="00BF1282"/>
    <w:rsid w:val="00BF6114"/>
    <w:rsid w:val="00C04334"/>
    <w:rsid w:val="00C16B6F"/>
    <w:rsid w:val="00C16EBE"/>
    <w:rsid w:val="00C329F3"/>
    <w:rsid w:val="00C359D5"/>
    <w:rsid w:val="00C379CC"/>
    <w:rsid w:val="00C40B74"/>
    <w:rsid w:val="00C51423"/>
    <w:rsid w:val="00C51CDF"/>
    <w:rsid w:val="00C52A44"/>
    <w:rsid w:val="00C54535"/>
    <w:rsid w:val="00C57068"/>
    <w:rsid w:val="00C721AD"/>
    <w:rsid w:val="00C7392B"/>
    <w:rsid w:val="00C91980"/>
    <w:rsid w:val="00C93A9D"/>
    <w:rsid w:val="00C9533B"/>
    <w:rsid w:val="00CB0F5C"/>
    <w:rsid w:val="00CB43E0"/>
    <w:rsid w:val="00CC0B14"/>
    <w:rsid w:val="00CC2D20"/>
    <w:rsid w:val="00CC2EA0"/>
    <w:rsid w:val="00CC7073"/>
    <w:rsid w:val="00CD08EC"/>
    <w:rsid w:val="00CD1906"/>
    <w:rsid w:val="00CD46F2"/>
    <w:rsid w:val="00CD7106"/>
    <w:rsid w:val="00CE35CB"/>
    <w:rsid w:val="00CE6688"/>
    <w:rsid w:val="00CF6D5F"/>
    <w:rsid w:val="00D069B1"/>
    <w:rsid w:val="00D12FF9"/>
    <w:rsid w:val="00D133B6"/>
    <w:rsid w:val="00D1500D"/>
    <w:rsid w:val="00D2590C"/>
    <w:rsid w:val="00D3065F"/>
    <w:rsid w:val="00D30B2F"/>
    <w:rsid w:val="00D320DD"/>
    <w:rsid w:val="00D51B98"/>
    <w:rsid w:val="00D6057A"/>
    <w:rsid w:val="00D67BB5"/>
    <w:rsid w:val="00D72CF7"/>
    <w:rsid w:val="00D81F9B"/>
    <w:rsid w:val="00D875E7"/>
    <w:rsid w:val="00D91B1C"/>
    <w:rsid w:val="00D94399"/>
    <w:rsid w:val="00D96B9A"/>
    <w:rsid w:val="00DA0BA6"/>
    <w:rsid w:val="00DA267D"/>
    <w:rsid w:val="00DA26B7"/>
    <w:rsid w:val="00DB40C4"/>
    <w:rsid w:val="00DB4547"/>
    <w:rsid w:val="00DB5320"/>
    <w:rsid w:val="00DC0BA3"/>
    <w:rsid w:val="00DC7037"/>
    <w:rsid w:val="00DE0331"/>
    <w:rsid w:val="00DE0BA1"/>
    <w:rsid w:val="00DF06AF"/>
    <w:rsid w:val="00DF2BF3"/>
    <w:rsid w:val="00E00B5E"/>
    <w:rsid w:val="00E06484"/>
    <w:rsid w:val="00E14293"/>
    <w:rsid w:val="00E222E7"/>
    <w:rsid w:val="00E3167E"/>
    <w:rsid w:val="00E319DA"/>
    <w:rsid w:val="00E31B4E"/>
    <w:rsid w:val="00E31CFC"/>
    <w:rsid w:val="00E37917"/>
    <w:rsid w:val="00E4275F"/>
    <w:rsid w:val="00E60887"/>
    <w:rsid w:val="00E75FE9"/>
    <w:rsid w:val="00E826C8"/>
    <w:rsid w:val="00E84208"/>
    <w:rsid w:val="00E84892"/>
    <w:rsid w:val="00E96EA1"/>
    <w:rsid w:val="00E97C1C"/>
    <w:rsid w:val="00EA2DD7"/>
    <w:rsid w:val="00EA4B03"/>
    <w:rsid w:val="00EB4A53"/>
    <w:rsid w:val="00EE2D1E"/>
    <w:rsid w:val="00EE2E3A"/>
    <w:rsid w:val="00EE62AF"/>
    <w:rsid w:val="00EF4430"/>
    <w:rsid w:val="00F149F2"/>
    <w:rsid w:val="00F168CB"/>
    <w:rsid w:val="00F20812"/>
    <w:rsid w:val="00F24990"/>
    <w:rsid w:val="00F314AF"/>
    <w:rsid w:val="00F320BF"/>
    <w:rsid w:val="00F43268"/>
    <w:rsid w:val="00F5419E"/>
    <w:rsid w:val="00F773DA"/>
    <w:rsid w:val="00F77E3F"/>
    <w:rsid w:val="00F868F7"/>
    <w:rsid w:val="00F91754"/>
    <w:rsid w:val="00F95276"/>
    <w:rsid w:val="00F957B1"/>
    <w:rsid w:val="00F97534"/>
    <w:rsid w:val="00FA204C"/>
    <w:rsid w:val="00FA2604"/>
    <w:rsid w:val="00FA2A54"/>
    <w:rsid w:val="00FA51EF"/>
    <w:rsid w:val="00FB3B56"/>
    <w:rsid w:val="00FB4C4C"/>
    <w:rsid w:val="00FB7B1D"/>
    <w:rsid w:val="00FC00FD"/>
    <w:rsid w:val="00FC2DF5"/>
    <w:rsid w:val="00FC49FA"/>
    <w:rsid w:val="00FC5EE2"/>
    <w:rsid w:val="00FD0906"/>
    <w:rsid w:val="00FD0F83"/>
    <w:rsid w:val="00FE3FD4"/>
    <w:rsid w:val="00FE55D4"/>
    <w:rsid w:val="00FE65D2"/>
    <w:rsid w:val="00FF3CC1"/>
    <w:rsid w:val="00FF7A8E"/>
    <w:rsid w:val="1A8BFF29"/>
    <w:rsid w:val="483A7505"/>
    <w:rsid w:val="64203B1B"/>
    <w:rsid w:val="6DE5A4C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E676EC3F-A948-42C1-A9CD-7E104F96C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E1"/>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aliases w:val="Thesis 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Thesis 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paragraph" w:styleId="NoSpacing">
    <w:name w:val="No Spacing"/>
    <w:uiPriority w:val="1"/>
    <w:qFormat/>
    <w:rsid w:val="00FA204C"/>
    <w:pPr>
      <w:spacing w:after="0" w:line="240" w:lineRule="auto"/>
    </w:pPr>
    <w:rPr>
      <w:sz w:val="22"/>
      <w:szCs w:val="22"/>
    </w:rPr>
  </w:style>
  <w:style w:type="character" w:styleId="Strong">
    <w:name w:val="Strong"/>
    <w:aliases w:val="Cover Page Details 1"/>
    <w:basedOn w:val="DefaultParagraphFont"/>
    <w:uiPriority w:val="22"/>
    <w:qFormat/>
    <w:rsid w:val="00D133B6"/>
    <w:rPr>
      <w:rFonts w:ascii="Times New Roman" w:hAnsi="Times New Roman"/>
      <w:b/>
      <w:bCs/>
      <w:sz w:val="24"/>
    </w:rPr>
  </w:style>
  <w:style w:type="character" w:styleId="CommentReference">
    <w:name w:val="annotation reference"/>
    <w:basedOn w:val="DefaultParagraphFont"/>
    <w:uiPriority w:val="99"/>
    <w:semiHidden/>
    <w:unhideWhenUsed/>
    <w:rsid w:val="00D133B6"/>
    <w:rPr>
      <w:sz w:val="16"/>
      <w:szCs w:val="16"/>
    </w:rPr>
  </w:style>
  <w:style w:type="paragraph" w:styleId="CommentText">
    <w:name w:val="annotation text"/>
    <w:basedOn w:val="Normal"/>
    <w:link w:val="CommentTextChar"/>
    <w:uiPriority w:val="99"/>
    <w:unhideWhenUsed/>
    <w:rsid w:val="00D133B6"/>
    <w:pPr>
      <w:widowControl w:val="0"/>
      <w:autoSpaceDE w:val="0"/>
      <w:autoSpaceDN w:val="0"/>
      <w:spacing w:after="0" w:line="240" w:lineRule="auto"/>
    </w:pPr>
    <w:rPr>
      <w:rFonts w:ascii="Times New Roman" w:eastAsia="Times New Roman" w:hAnsi="Times New Roman" w:cs="Times New Roman"/>
      <w:kern w:val="0"/>
      <w:sz w:val="20"/>
      <w:szCs w:val="20"/>
      <w:lang w:val="en-US"/>
      <w14:ligatures w14:val="none"/>
    </w:rPr>
  </w:style>
  <w:style w:type="character" w:customStyle="1" w:styleId="CommentTextChar">
    <w:name w:val="Comment Text Char"/>
    <w:basedOn w:val="DefaultParagraphFont"/>
    <w:link w:val="CommentText"/>
    <w:uiPriority w:val="99"/>
    <w:rsid w:val="00D133B6"/>
    <w:rPr>
      <w:rFonts w:ascii="Times New Roman" w:eastAsia="Times New Roma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9C774B"/>
    <w:pPr>
      <w:widowControl/>
      <w:autoSpaceDE/>
      <w:autoSpaceDN/>
      <w:spacing w:after="160"/>
    </w:pPr>
    <w:rPr>
      <w:rFonts w:asciiTheme="minorHAnsi" w:eastAsiaTheme="minorHAnsi" w:hAnsiTheme="minorHAnsi" w:cstheme="minorBidi"/>
      <w:b/>
      <w:bCs/>
      <w:kern w:val="2"/>
      <w:lang w:val="en-GB"/>
      <w14:ligatures w14:val="standardContextual"/>
    </w:rPr>
  </w:style>
  <w:style w:type="character" w:customStyle="1" w:styleId="CommentSubjectChar">
    <w:name w:val="Comment Subject Char"/>
    <w:basedOn w:val="CommentTextChar"/>
    <w:link w:val="CommentSubject"/>
    <w:uiPriority w:val="99"/>
    <w:semiHidden/>
    <w:rsid w:val="009C774B"/>
    <w:rPr>
      <w:rFonts w:ascii="Times New Roman" w:eastAsia="Times New Roman" w:hAnsi="Times New Roman" w:cs="Times New Roman"/>
      <w:b/>
      <w:bCs/>
      <w:kern w:val="0"/>
      <w:sz w:val="20"/>
      <w:szCs w:val="20"/>
      <w:lang w:val="en-US"/>
      <w14:ligatures w14:val="none"/>
    </w:rPr>
  </w:style>
  <w:style w:type="character" w:styleId="FollowedHyperlink">
    <w:name w:val="FollowedHyperlink"/>
    <w:basedOn w:val="DefaultParagraphFont"/>
    <w:uiPriority w:val="99"/>
    <w:semiHidden/>
    <w:unhideWhenUsed/>
    <w:rsid w:val="00285707"/>
    <w:rPr>
      <w:color w:val="96607D" w:themeColor="followedHyperlink"/>
      <w:u w:val="single"/>
    </w:rPr>
  </w:style>
  <w:style w:type="paragraph" w:customStyle="1" w:styleId="Title-CIB">
    <w:name w:val="Title - CIB"/>
    <w:basedOn w:val="Normal"/>
    <w:link w:val="Title-CIBChar"/>
    <w:uiPriority w:val="1"/>
    <w:qFormat/>
    <w:rsid w:val="64203B1B"/>
    <w:pPr>
      <w:numPr>
        <w:numId w:val="11"/>
      </w:numPr>
      <w:spacing w:after="40"/>
      <w:contextualSpacing/>
    </w:pPr>
    <w:rPr>
      <w:rFonts w:eastAsiaTheme="minorEastAsia"/>
      <w:b/>
      <w:bCs/>
      <w:color w:val="000000" w:themeColor="text1"/>
      <w:sz w:val="28"/>
      <w:szCs w:val="28"/>
    </w:rPr>
  </w:style>
  <w:style w:type="character" w:customStyle="1" w:styleId="Title-CIBChar">
    <w:name w:val="Title - CIB Char"/>
    <w:basedOn w:val="DefaultParagraphFont"/>
    <w:link w:val="Title-CIB"/>
    <w:rsid w:val="64203B1B"/>
    <w:rPr>
      <w:rFonts w:asciiTheme="minorHAnsi" w:eastAsiaTheme="minorEastAsia" w:hAnsiTheme="minorHAnsi" w:cstheme="minorBidi"/>
      <w:b/>
      <w:bCs/>
      <w:i w:val="0"/>
      <w:iCs w:val="0"/>
      <w:caps w:val="0"/>
      <w:smallCaps w:val="0"/>
      <w:noProof w:val="0"/>
      <w:color w:val="000000" w:themeColor="text1"/>
      <w:sz w:val="28"/>
      <w:szCs w:val="28"/>
      <w:lang w:val="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4C008E"/>
    <w:pPr>
      <w:spacing w:after="0" w:line="240" w:lineRule="auto"/>
    </w:pPr>
    <w:rPr>
      <w:sz w:val="22"/>
      <w:szCs w:val="22"/>
    </w:rPr>
  </w:style>
  <w:style w:type="paragraph" w:styleId="Caption">
    <w:name w:val="caption"/>
    <w:basedOn w:val="Normal"/>
    <w:next w:val="Normal"/>
    <w:uiPriority w:val="35"/>
    <w:unhideWhenUsed/>
    <w:qFormat/>
    <w:rsid w:val="009B7384"/>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712881">
      <w:bodyDiv w:val="1"/>
      <w:marLeft w:val="0"/>
      <w:marRight w:val="0"/>
      <w:marTop w:val="0"/>
      <w:marBottom w:val="0"/>
      <w:divBdr>
        <w:top w:val="none" w:sz="0" w:space="0" w:color="auto"/>
        <w:left w:val="none" w:sz="0" w:space="0" w:color="auto"/>
        <w:bottom w:val="none" w:sz="0" w:space="0" w:color="auto"/>
        <w:right w:val="none" w:sz="0" w:space="0" w:color="auto"/>
      </w:divBdr>
    </w:div>
    <w:div w:id="235171153">
      <w:bodyDiv w:val="1"/>
      <w:marLeft w:val="0"/>
      <w:marRight w:val="0"/>
      <w:marTop w:val="0"/>
      <w:marBottom w:val="0"/>
      <w:divBdr>
        <w:top w:val="none" w:sz="0" w:space="0" w:color="auto"/>
        <w:left w:val="none" w:sz="0" w:space="0" w:color="auto"/>
        <w:bottom w:val="none" w:sz="0" w:space="0" w:color="auto"/>
        <w:right w:val="none" w:sz="0" w:space="0" w:color="auto"/>
      </w:divBdr>
    </w:div>
    <w:div w:id="975523313">
      <w:bodyDiv w:val="1"/>
      <w:marLeft w:val="0"/>
      <w:marRight w:val="0"/>
      <w:marTop w:val="0"/>
      <w:marBottom w:val="0"/>
      <w:divBdr>
        <w:top w:val="none" w:sz="0" w:space="0" w:color="auto"/>
        <w:left w:val="none" w:sz="0" w:space="0" w:color="auto"/>
        <w:bottom w:val="none" w:sz="0" w:space="0" w:color="auto"/>
        <w:right w:val="none" w:sz="0" w:space="0" w:color="auto"/>
      </w:divBdr>
    </w:div>
    <w:div w:id="192171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s://doi.org/10.1016/j.egyr.2022.11.088" TargetMode="External"/><Relationship Id="rId21" Type="http://schemas.openxmlformats.org/officeDocument/2006/relationships/hyperlink" Target="https://doi.org/10.3390/en16237845" TargetMode="External"/><Relationship Id="rId34" Type="http://schemas.openxmlformats.org/officeDocument/2006/relationships/hyperlink" Target="https://doi.org/10.1016/j.energy.2023.129798"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doi.org/10.1177/0144598720956288" TargetMode="External"/><Relationship Id="rId33" Type="http://schemas.openxmlformats.org/officeDocument/2006/relationships/hyperlink" Target="https://doi.org/10.1016/j.enbuild.2024.114190"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doi.org/10.3390/buildings14030581" TargetMode="External"/><Relationship Id="rId29" Type="http://schemas.openxmlformats.org/officeDocument/2006/relationships/hyperlink" Target="https://doi.org/10.1016/j.jobe.2023.10735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doi.org/10.1016/j.rser.2021.111578" TargetMode="External"/><Relationship Id="rId32" Type="http://schemas.openxmlformats.org/officeDocument/2006/relationships/hyperlink" Target="https://doi.org/10.1016/j.autcon.2013.10.023"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doi.org/10.26868/25222708.2013.1123" TargetMode="External"/><Relationship Id="rId28" Type="http://schemas.openxmlformats.org/officeDocument/2006/relationships/hyperlink" Target="https://doi.org/10.3390/en15030829" TargetMode="External"/><Relationship Id="rId36"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doi.org/10.3390/su14106004" TargetMode="External"/><Relationship Id="rId31" Type="http://schemas.openxmlformats.org/officeDocument/2006/relationships/hyperlink" Target="https://doi.org/10.11113/jurnalteknologi.v85.15124" TargetMode="External"/><Relationship Id="rId4" Type="http://schemas.openxmlformats.org/officeDocument/2006/relationships/settings" Target="settings.xml"/><Relationship Id="rId9" Type="http://schemas.openxmlformats.org/officeDocument/2006/relationships/hyperlink" Target="mailto:saithaini@gmail.com" TargetMode="External"/><Relationship Id="rId14" Type="http://schemas.openxmlformats.org/officeDocument/2006/relationships/image" Target="media/image5.png"/><Relationship Id="rId22" Type="http://schemas.openxmlformats.org/officeDocument/2006/relationships/hyperlink" Target="https://doi.org/10.1016/j.jobe.2022.104163" TargetMode="External"/><Relationship Id="rId27" Type="http://schemas.openxmlformats.org/officeDocument/2006/relationships/hyperlink" Target="https://doi.org/10.1016/j.jobe.2023.108128" TargetMode="External"/><Relationship Id="rId30" Type="http://schemas.openxmlformats.org/officeDocument/2006/relationships/hyperlink" Target="https://doi.org/10.1016/j.enbuild.2021.111693" TargetMode="External"/><Relationship Id="rId35" Type="http://schemas.openxmlformats.org/officeDocument/2006/relationships/header" Target="header1.xml"/><Relationship Id="rId8" Type="http://schemas.openxmlformats.org/officeDocument/2006/relationships/hyperlink" Target="mailto:drishyajayakrishnan.7@gmail.com"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F9DCF-13EA-4336-858C-D55AE6A7C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4439</Words>
  <Characters>25306</Characters>
  <Application>Microsoft Office Word</Application>
  <DocSecurity>4</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29686</CharactersWithSpaces>
  <SharedDoc>false</SharedDoc>
  <HLinks>
    <vt:vector size="108" baseType="variant">
      <vt:variant>
        <vt:i4>4849741</vt:i4>
      </vt:variant>
      <vt:variant>
        <vt:i4>63</vt:i4>
      </vt:variant>
      <vt:variant>
        <vt:i4>0</vt:i4>
      </vt:variant>
      <vt:variant>
        <vt:i4>5</vt:i4>
      </vt:variant>
      <vt:variant>
        <vt:lpwstr>https://doi.org/10.1016/j.energy.2023.129798</vt:lpwstr>
      </vt:variant>
      <vt:variant>
        <vt:lpwstr/>
      </vt:variant>
      <vt:variant>
        <vt:i4>6094866</vt:i4>
      </vt:variant>
      <vt:variant>
        <vt:i4>60</vt:i4>
      </vt:variant>
      <vt:variant>
        <vt:i4>0</vt:i4>
      </vt:variant>
      <vt:variant>
        <vt:i4>5</vt:i4>
      </vt:variant>
      <vt:variant>
        <vt:lpwstr>https://doi.org/10.1016/j.enbuild.2024.114190</vt:lpwstr>
      </vt:variant>
      <vt:variant>
        <vt:lpwstr/>
      </vt:variant>
      <vt:variant>
        <vt:i4>5898316</vt:i4>
      </vt:variant>
      <vt:variant>
        <vt:i4>57</vt:i4>
      </vt:variant>
      <vt:variant>
        <vt:i4>0</vt:i4>
      </vt:variant>
      <vt:variant>
        <vt:i4>5</vt:i4>
      </vt:variant>
      <vt:variant>
        <vt:lpwstr>https://doi.org/10.1016/j.autcon.2013.10.023</vt:lpwstr>
      </vt:variant>
      <vt:variant>
        <vt:lpwstr/>
      </vt:variant>
      <vt:variant>
        <vt:i4>7733309</vt:i4>
      </vt:variant>
      <vt:variant>
        <vt:i4>54</vt:i4>
      </vt:variant>
      <vt:variant>
        <vt:i4>0</vt:i4>
      </vt:variant>
      <vt:variant>
        <vt:i4>5</vt:i4>
      </vt:variant>
      <vt:variant>
        <vt:lpwstr>https://doi.org/10.11113/jurnalteknologi.v85.15124</vt:lpwstr>
      </vt:variant>
      <vt:variant>
        <vt:lpwstr/>
      </vt:variant>
      <vt:variant>
        <vt:i4>6094869</vt:i4>
      </vt:variant>
      <vt:variant>
        <vt:i4>51</vt:i4>
      </vt:variant>
      <vt:variant>
        <vt:i4>0</vt:i4>
      </vt:variant>
      <vt:variant>
        <vt:i4>5</vt:i4>
      </vt:variant>
      <vt:variant>
        <vt:lpwstr>https://doi.org/10.1016/j.enbuild.2021.111693</vt:lpwstr>
      </vt:variant>
      <vt:variant>
        <vt:lpwstr/>
      </vt:variant>
      <vt:variant>
        <vt:i4>3080224</vt:i4>
      </vt:variant>
      <vt:variant>
        <vt:i4>48</vt:i4>
      </vt:variant>
      <vt:variant>
        <vt:i4>0</vt:i4>
      </vt:variant>
      <vt:variant>
        <vt:i4>5</vt:i4>
      </vt:variant>
      <vt:variant>
        <vt:lpwstr>https://doi.org/10.1016/j.jobe.2023.107354</vt:lpwstr>
      </vt:variant>
      <vt:variant>
        <vt:lpwstr/>
      </vt:variant>
      <vt:variant>
        <vt:i4>7405631</vt:i4>
      </vt:variant>
      <vt:variant>
        <vt:i4>45</vt:i4>
      </vt:variant>
      <vt:variant>
        <vt:i4>0</vt:i4>
      </vt:variant>
      <vt:variant>
        <vt:i4>5</vt:i4>
      </vt:variant>
      <vt:variant>
        <vt:lpwstr>https://doi.org/10.3390/en15030829</vt:lpwstr>
      </vt:variant>
      <vt:variant>
        <vt:lpwstr/>
      </vt:variant>
      <vt:variant>
        <vt:i4>2162728</vt:i4>
      </vt:variant>
      <vt:variant>
        <vt:i4>42</vt:i4>
      </vt:variant>
      <vt:variant>
        <vt:i4>0</vt:i4>
      </vt:variant>
      <vt:variant>
        <vt:i4>5</vt:i4>
      </vt:variant>
      <vt:variant>
        <vt:lpwstr>https://doi.org/10.1016/j.jobe.2023.108128</vt:lpwstr>
      </vt:variant>
      <vt:variant>
        <vt:lpwstr/>
      </vt:variant>
      <vt:variant>
        <vt:i4>4063265</vt:i4>
      </vt:variant>
      <vt:variant>
        <vt:i4>39</vt:i4>
      </vt:variant>
      <vt:variant>
        <vt:i4>0</vt:i4>
      </vt:variant>
      <vt:variant>
        <vt:i4>5</vt:i4>
      </vt:variant>
      <vt:variant>
        <vt:lpwstr>https://doi.org/10.1016/j.egyr.2022.11.088</vt:lpwstr>
      </vt:variant>
      <vt:variant>
        <vt:lpwstr/>
      </vt:variant>
      <vt:variant>
        <vt:i4>1048656</vt:i4>
      </vt:variant>
      <vt:variant>
        <vt:i4>36</vt:i4>
      </vt:variant>
      <vt:variant>
        <vt:i4>0</vt:i4>
      </vt:variant>
      <vt:variant>
        <vt:i4>5</vt:i4>
      </vt:variant>
      <vt:variant>
        <vt:lpwstr>https://doi.org/10.1177/0144598720956288</vt:lpwstr>
      </vt:variant>
      <vt:variant>
        <vt:lpwstr/>
      </vt:variant>
      <vt:variant>
        <vt:i4>3080249</vt:i4>
      </vt:variant>
      <vt:variant>
        <vt:i4>33</vt:i4>
      </vt:variant>
      <vt:variant>
        <vt:i4>0</vt:i4>
      </vt:variant>
      <vt:variant>
        <vt:i4>5</vt:i4>
      </vt:variant>
      <vt:variant>
        <vt:lpwstr>https://doi.org/10.1016/j.rser.2021.111578</vt:lpwstr>
      </vt:variant>
      <vt:variant>
        <vt:lpwstr/>
      </vt:variant>
      <vt:variant>
        <vt:i4>2293857</vt:i4>
      </vt:variant>
      <vt:variant>
        <vt:i4>30</vt:i4>
      </vt:variant>
      <vt:variant>
        <vt:i4>0</vt:i4>
      </vt:variant>
      <vt:variant>
        <vt:i4>5</vt:i4>
      </vt:variant>
      <vt:variant>
        <vt:lpwstr>https://doi.org/10.26868/25222708.2013.1123</vt:lpwstr>
      </vt:variant>
      <vt:variant>
        <vt:lpwstr/>
      </vt:variant>
      <vt:variant>
        <vt:i4>2752545</vt:i4>
      </vt:variant>
      <vt:variant>
        <vt:i4>27</vt:i4>
      </vt:variant>
      <vt:variant>
        <vt:i4>0</vt:i4>
      </vt:variant>
      <vt:variant>
        <vt:i4>5</vt:i4>
      </vt:variant>
      <vt:variant>
        <vt:lpwstr>https://doi.org/10.1016/j.jobe.2022.104163</vt:lpwstr>
      </vt:variant>
      <vt:variant>
        <vt:lpwstr/>
      </vt:variant>
      <vt:variant>
        <vt:i4>8257596</vt:i4>
      </vt:variant>
      <vt:variant>
        <vt:i4>24</vt:i4>
      </vt:variant>
      <vt:variant>
        <vt:i4>0</vt:i4>
      </vt:variant>
      <vt:variant>
        <vt:i4>5</vt:i4>
      </vt:variant>
      <vt:variant>
        <vt:lpwstr>https://doi.org/10.3390/en16237845</vt:lpwstr>
      </vt:variant>
      <vt:variant>
        <vt:lpwstr/>
      </vt:variant>
      <vt:variant>
        <vt:i4>393241</vt:i4>
      </vt:variant>
      <vt:variant>
        <vt:i4>21</vt:i4>
      </vt:variant>
      <vt:variant>
        <vt:i4>0</vt:i4>
      </vt:variant>
      <vt:variant>
        <vt:i4>5</vt:i4>
      </vt:variant>
      <vt:variant>
        <vt:lpwstr>https://doi.org/10.3390/buildings14030581</vt:lpwstr>
      </vt:variant>
      <vt:variant>
        <vt:lpwstr/>
      </vt:variant>
      <vt:variant>
        <vt:i4>7143468</vt:i4>
      </vt:variant>
      <vt:variant>
        <vt:i4>18</vt:i4>
      </vt:variant>
      <vt:variant>
        <vt:i4>0</vt:i4>
      </vt:variant>
      <vt:variant>
        <vt:i4>5</vt:i4>
      </vt:variant>
      <vt:variant>
        <vt:lpwstr>https://doi.org/10.3390/su14106004</vt:lpwstr>
      </vt:variant>
      <vt:variant>
        <vt:lpwstr/>
      </vt:variant>
      <vt:variant>
        <vt:i4>7602261</vt:i4>
      </vt:variant>
      <vt:variant>
        <vt:i4>3</vt:i4>
      </vt:variant>
      <vt:variant>
        <vt:i4>0</vt:i4>
      </vt:variant>
      <vt:variant>
        <vt:i4>5</vt:i4>
      </vt:variant>
      <vt:variant>
        <vt:lpwstr>mailto:saithaini@gmail.com</vt:lpwstr>
      </vt:variant>
      <vt:variant>
        <vt:lpwstr/>
      </vt:variant>
      <vt:variant>
        <vt:i4>3407873</vt:i4>
      </vt:variant>
      <vt:variant>
        <vt:i4>0</vt:i4>
      </vt:variant>
      <vt:variant>
        <vt:i4>0</vt:i4>
      </vt:variant>
      <vt:variant>
        <vt:i4>5</vt:i4>
      </vt:variant>
      <vt:variant>
        <vt:lpwstr>mailto:drishyajayakrishnan.7@gmail.com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Sai Thaini</cp:lastModifiedBy>
  <cp:revision>66</cp:revision>
  <dcterms:created xsi:type="dcterms:W3CDTF">2026-09-14T17:36:00Z</dcterms:created>
  <dcterms:modified xsi:type="dcterms:W3CDTF">2026-09-14T18:30:00Z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