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2E970" w14:textId="119042F9" w:rsidR="00EC01E9" w:rsidRPr="00EC01E9" w:rsidRDefault="00EC01E9" w:rsidP="00EC01E9">
      <w:pPr>
        <w:spacing w:after="4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Recalibrating Sustainability Toward Regenerative Effectiveness</w:t>
      </w:r>
    </w:p>
    <w:p w14:paraId="26523EFD" w14:textId="531B8422" w:rsidR="00EC01E9" w:rsidRPr="00EC01E9" w:rsidRDefault="00EC01E9" w:rsidP="00EC01E9">
      <w:pPr>
        <w:spacing w:after="4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i/>
          <w:iCs/>
          <w:kern w:val="0"/>
          <w:sz w:val="24"/>
          <w:szCs w:val="24"/>
          <w:lang w:val="en-IN" w:eastAsia="en-GB"/>
          <w14:ligatures w14:val="none"/>
        </w:rPr>
        <w:t>Track: Energy Model</w:t>
      </w:r>
      <w:r w:rsidR="000621E5">
        <w:rPr>
          <w:rFonts w:ascii="Calibri" w:eastAsia="Times New Roman" w:hAnsi="Calibri" w:cs="Calibri"/>
          <w:i/>
          <w:iCs/>
          <w:kern w:val="0"/>
          <w:sz w:val="24"/>
          <w:szCs w:val="24"/>
          <w:lang w:val="en-IN" w:eastAsia="en-GB"/>
          <w14:ligatures w14:val="none"/>
        </w:rPr>
        <w:t>l</w:t>
      </w:r>
      <w:r w:rsidRPr="00EC01E9">
        <w:rPr>
          <w:rFonts w:ascii="Calibri" w:eastAsia="Times New Roman" w:hAnsi="Calibri" w:cs="Calibri"/>
          <w:i/>
          <w:iCs/>
          <w:kern w:val="0"/>
          <w:sz w:val="24"/>
          <w:szCs w:val="24"/>
          <w:lang w:val="en-IN" w:eastAsia="en-GB"/>
          <w14:ligatures w14:val="none"/>
        </w:rPr>
        <w:t>ing and Monitoring</w:t>
      </w:r>
    </w:p>
    <w:p w14:paraId="3C472675"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109B3956" w14:textId="541A7980" w:rsidR="00EC01E9" w:rsidRPr="00EC01E9" w:rsidRDefault="00EC01E9" w:rsidP="00EC01E9">
      <w:pPr>
        <w:spacing w:after="4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Parvesh Kumar</w:t>
      </w:r>
      <w:r w:rsidRPr="00EC01E9">
        <w:rPr>
          <w:rFonts w:ascii="Calibri" w:eastAsia="Times New Roman" w:hAnsi="Calibri" w:cs="Calibri"/>
          <w:kern w:val="0"/>
          <w:sz w:val="18"/>
          <w:szCs w:val="18"/>
          <w:vertAlign w:val="superscript"/>
          <w:lang w:val="en-IN" w:eastAsia="en-GB"/>
          <w14:ligatures w14:val="none"/>
        </w:rPr>
        <w:t>1,*</w:t>
      </w:r>
      <w:r w:rsidRPr="00EC01E9">
        <w:rPr>
          <w:rFonts w:ascii="Calibri" w:eastAsia="Times New Roman" w:hAnsi="Calibri" w:cs="Calibri"/>
          <w:kern w:val="0"/>
          <w:lang w:val="en-IN" w:eastAsia="en-GB"/>
          <w14:ligatures w14:val="none"/>
        </w:rPr>
        <w:t xml:space="preserve"> </w:t>
      </w:r>
      <w:proofErr w:type="spellStart"/>
      <w:r w:rsidR="003966A9" w:rsidRPr="003966A9">
        <w:rPr>
          <w:rFonts w:ascii="Calibri" w:eastAsia="Times New Roman" w:hAnsi="Calibri" w:cs="Calibri"/>
          <w:kern w:val="0"/>
          <w:lang w:val="en-US" w:eastAsia="en-GB"/>
          <w14:ligatures w14:val="none"/>
        </w:rPr>
        <w:t>Vijayraghavan</w:t>
      </w:r>
      <w:proofErr w:type="spellEnd"/>
      <w:r w:rsidR="003966A9" w:rsidRPr="003966A9">
        <w:rPr>
          <w:rFonts w:ascii="Calibri" w:eastAsia="Times New Roman" w:hAnsi="Calibri" w:cs="Calibri"/>
          <w:kern w:val="0"/>
          <w:lang w:val="en-US" w:eastAsia="en-GB"/>
          <w14:ligatures w14:val="none"/>
        </w:rPr>
        <w:t xml:space="preserve"> M. Chariar</w:t>
      </w:r>
      <w:r w:rsidR="000621E5">
        <w:rPr>
          <w:rFonts w:ascii="Calibri" w:eastAsia="Times New Roman" w:hAnsi="Calibri" w:cs="Calibri"/>
          <w:kern w:val="0"/>
          <w:vertAlign w:val="superscript"/>
          <w:lang w:val="en-US" w:eastAsia="en-GB"/>
          <w14:ligatures w14:val="none"/>
        </w:rPr>
        <w:t>2</w:t>
      </w:r>
      <w:r w:rsidR="003966A9">
        <w:rPr>
          <w:rFonts w:ascii="Calibri" w:eastAsia="Times New Roman" w:hAnsi="Calibri" w:cs="Calibri"/>
          <w:kern w:val="0"/>
          <w:vertAlign w:val="superscript"/>
          <w:lang w:val="en-US" w:eastAsia="en-GB"/>
          <w14:ligatures w14:val="none"/>
        </w:rPr>
        <w:t xml:space="preserve"> </w:t>
      </w:r>
      <w:r w:rsidRPr="00EC01E9">
        <w:rPr>
          <w:rFonts w:ascii="Calibri" w:eastAsia="Times New Roman" w:hAnsi="Calibri" w:cs="Calibri"/>
          <w:kern w:val="0"/>
          <w:lang w:val="en-IN" w:eastAsia="en-GB"/>
          <w14:ligatures w14:val="none"/>
        </w:rPr>
        <w:t xml:space="preserve">and </w:t>
      </w:r>
      <w:proofErr w:type="spellStart"/>
      <w:r w:rsidRPr="00EC01E9">
        <w:rPr>
          <w:rFonts w:ascii="Calibri" w:eastAsia="Times New Roman" w:hAnsi="Calibri" w:cs="Calibri"/>
          <w:kern w:val="0"/>
          <w:lang w:val="en-IN" w:eastAsia="en-GB"/>
          <w14:ligatures w14:val="none"/>
        </w:rPr>
        <w:t>Chitrarekha</w:t>
      </w:r>
      <w:proofErr w:type="spellEnd"/>
      <w:r w:rsidRPr="00EC01E9">
        <w:rPr>
          <w:rFonts w:ascii="Calibri" w:eastAsia="Times New Roman" w:hAnsi="Calibri" w:cs="Calibri"/>
          <w:kern w:val="0"/>
          <w:lang w:val="en-IN" w:eastAsia="en-GB"/>
          <w14:ligatures w14:val="none"/>
        </w:rPr>
        <w:t xml:space="preserve"> Kabre</w:t>
      </w:r>
      <w:r w:rsidR="000621E5">
        <w:rPr>
          <w:rFonts w:ascii="Calibri" w:eastAsia="Times New Roman" w:hAnsi="Calibri" w:cs="Calibri"/>
          <w:kern w:val="0"/>
          <w:sz w:val="18"/>
          <w:szCs w:val="18"/>
          <w:vertAlign w:val="superscript"/>
          <w:lang w:val="en-IN" w:eastAsia="en-GB"/>
          <w14:ligatures w14:val="none"/>
        </w:rPr>
        <w:t>3</w:t>
      </w:r>
    </w:p>
    <w:p w14:paraId="2DF3621F" w14:textId="77777777" w:rsidR="00EC01E9" w:rsidRDefault="00EC01E9" w:rsidP="00EC01E9">
      <w:pPr>
        <w:spacing w:after="0" w:line="240" w:lineRule="auto"/>
        <w:jc w:val="center"/>
        <w:rPr>
          <w:rFonts w:ascii="Calibri" w:eastAsia="Times New Roman" w:hAnsi="Calibri" w:cs="Calibri"/>
          <w:kern w:val="0"/>
          <w:lang w:val="en-IN" w:eastAsia="en-GB"/>
          <w14:ligatures w14:val="none"/>
        </w:rPr>
      </w:pPr>
      <w:r w:rsidRPr="00EC01E9">
        <w:rPr>
          <w:rFonts w:ascii="Calibri" w:eastAsia="Times New Roman" w:hAnsi="Calibri" w:cs="Calibri"/>
          <w:kern w:val="0"/>
          <w:lang w:val="en-IN" w:eastAsia="en-GB"/>
          <w14:ligatures w14:val="none"/>
        </w:rPr>
        <w:t>1 Indian Institute of Technology Delhi, New Delhi, India</w:t>
      </w:r>
    </w:p>
    <w:p w14:paraId="05136F8D" w14:textId="10CE9282" w:rsidR="000621E5" w:rsidRPr="00EC01E9" w:rsidRDefault="000621E5" w:rsidP="000621E5">
      <w:pPr>
        <w:spacing w:after="0" w:line="240" w:lineRule="auto"/>
        <w:jc w:val="center"/>
        <w:rPr>
          <w:rFonts w:ascii="Times New Roman" w:eastAsia="Times New Roman" w:hAnsi="Times New Roman" w:cs="Times New Roman"/>
          <w:kern w:val="0"/>
          <w:sz w:val="20"/>
          <w:szCs w:val="20"/>
          <w:lang w:val="en-IN" w:eastAsia="en-GB"/>
          <w14:ligatures w14:val="none"/>
        </w:rPr>
      </w:pPr>
      <w:r>
        <w:rPr>
          <w:rFonts w:ascii="Calibri" w:eastAsia="Times New Roman" w:hAnsi="Calibri" w:cs="Calibri"/>
          <w:kern w:val="0"/>
          <w:lang w:val="en-IN" w:eastAsia="en-GB"/>
          <w14:ligatures w14:val="none"/>
        </w:rPr>
        <w:t>2</w:t>
      </w:r>
      <w:r w:rsidRPr="00EC01E9">
        <w:rPr>
          <w:rFonts w:ascii="Calibri" w:eastAsia="Times New Roman" w:hAnsi="Calibri" w:cs="Calibri"/>
          <w:kern w:val="0"/>
          <w:lang w:val="en-IN" w:eastAsia="en-GB"/>
          <w14:ligatures w14:val="none"/>
        </w:rPr>
        <w:t xml:space="preserve"> Indian Institute of Technology Delhi, </w:t>
      </w:r>
      <w:r>
        <w:rPr>
          <w:rFonts w:ascii="Calibri" w:eastAsia="Times New Roman" w:hAnsi="Calibri" w:cs="Calibri"/>
          <w:kern w:val="0"/>
          <w:lang w:val="en-IN" w:eastAsia="en-GB"/>
          <w14:ligatures w14:val="none"/>
        </w:rPr>
        <w:t>Bombay</w:t>
      </w:r>
      <w:r w:rsidRPr="00EC01E9">
        <w:rPr>
          <w:rFonts w:ascii="Calibri" w:eastAsia="Times New Roman" w:hAnsi="Calibri" w:cs="Calibri"/>
          <w:kern w:val="0"/>
          <w:lang w:val="en-IN" w:eastAsia="en-GB"/>
          <w14:ligatures w14:val="none"/>
        </w:rPr>
        <w:t>, India</w:t>
      </w:r>
    </w:p>
    <w:p w14:paraId="6D081CD8" w14:textId="56F03568" w:rsidR="00EC01E9" w:rsidRPr="00EC01E9" w:rsidRDefault="000621E5" w:rsidP="00EC01E9">
      <w:pPr>
        <w:spacing w:after="40" w:line="240" w:lineRule="auto"/>
        <w:jc w:val="center"/>
        <w:rPr>
          <w:rFonts w:ascii="Times New Roman" w:eastAsia="Times New Roman" w:hAnsi="Times New Roman" w:cs="Times New Roman"/>
          <w:kern w:val="0"/>
          <w:sz w:val="20"/>
          <w:szCs w:val="20"/>
          <w:lang w:val="en-IN" w:eastAsia="en-GB"/>
          <w14:ligatures w14:val="none"/>
        </w:rPr>
      </w:pPr>
      <w:r>
        <w:rPr>
          <w:rFonts w:ascii="Calibri" w:eastAsia="Times New Roman" w:hAnsi="Calibri" w:cs="Calibri"/>
          <w:kern w:val="0"/>
          <w:lang w:val="en-IN" w:eastAsia="en-GB"/>
          <w14:ligatures w14:val="none"/>
        </w:rPr>
        <w:t>3</w:t>
      </w:r>
      <w:r w:rsidR="00EC01E9" w:rsidRPr="00EC01E9">
        <w:rPr>
          <w:rFonts w:ascii="Calibri" w:eastAsia="Times New Roman" w:hAnsi="Calibri" w:cs="Calibri"/>
          <w:kern w:val="0"/>
          <w:lang w:val="en-IN" w:eastAsia="en-GB"/>
          <w14:ligatures w14:val="none"/>
        </w:rPr>
        <w:t xml:space="preserve"> School of Planning and Architecture</w:t>
      </w:r>
      <w:r>
        <w:rPr>
          <w:rFonts w:ascii="Calibri" w:eastAsia="Times New Roman" w:hAnsi="Calibri" w:cs="Calibri"/>
          <w:kern w:val="0"/>
          <w:lang w:val="en-IN" w:eastAsia="en-GB"/>
          <w14:ligatures w14:val="none"/>
        </w:rPr>
        <w:t>,</w:t>
      </w:r>
      <w:r w:rsidR="00EC01E9" w:rsidRPr="00EC01E9">
        <w:rPr>
          <w:rFonts w:ascii="Calibri" w:eastAsia="Times New Roman" w:hAnsi="Calibri" w:cs="Calibri"/>
          <w:kern w:val="0"/>
          <w:lang w:val="en-IN" w:eastAsia="en-GB"/>
          <w14:ligatures w14:val="none"/>
        </w:rPr>
        <w:t xml:space="preserve"> Delhi, New Delhi, India</w:t>
      </w:r>
    </w:p>
    <w:p w14:paraId="6B4785A6" w14:textId="77777777" w:rsidR="00EC01E9" w:rsidRPr="00EC01E9" w:rsidRDefault="00EC01E9" w:rsidP="00EC01E9">
      <w:pPr>
        <w:spacing w:after="4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i/>
          <w:iCs/>
          <w:kern w:val="0"/>
          <w:lang w:val="en-IN" w:eastAsia="en-GB"/>
          <w14:ligatures w14:val="none"/>
        </w:rPr>
        <w:t xml:space="preserve">* Corresponding email: </w:t>
      </w:r>
      <w:r w:rsidRPr="00EC01E9">
        <w:rPr>
          <w:rFonts w:ascii="Calibri" w:eastAsia="Times New Roman" w:hAnsi="Calibri" w:cs="Calibri"/>
          <w:i/>
          <w:iCs/>
          <w:color w:val="0563C1"/>
          <w:kern w:val="0"/>
          <w:u w:val="single"/>
          <w:lang w:val="en-IN" w:eastAsia="en-GB"/>
          <w14:ligatures w14:val="none"/>
        </w:rPr>
        <w:t>parvesh.kumar@iitd.ac.in</w:t>
      </w:r>
    </w:p>
    <w:p w14:paraId="4C61A77E" w14:textId="77777777" w:rsidR="00EC01E9" w:rsidRPr="00EC01E9" w:rsidRDefault="00EC01E9" w:rsidP="00EC01E9">
      <w:pPr>
        <w:spacing w:after="40" w:line="240" w:lineRule="auto"/>
        <w:rPr>
          <w:rFonts w:ascii="Calibri" w:hAnsi="Calibri" w:cs="Calibri"/>
          <w:sz w:val="28"/>
          <w:szCs w:val="28"/>
          <w:lang w:val="en-IN"/>
        </w:rPr>
      </w:pPr>
      <w:r w:rsidRPr="00EC01E9">
        <w:rPr>
          <w:rFonts w:ascii="Calibri" w:hAnsi="Calibri" w:cs="Calibri"/>
          <w:b/>
          <w:bCs/>
          <w:sz w:val="28"/>
          <w:szCs w:val="28"/>
          <w:lang w:val="en-IN"/>
        </w:rPr>
        <w:t>ABSTRACT</w:t>
      </w:r>
    </w:p>
    <w:p w14:paraId="5E8621A3" w14:textId="5B9320F9" w:rsidR="000621E5" w:rsidRDefault="00EC01E9" w:rsidP="00EC01E9">
      <w:pPr>
        <w:spacing w:after="40" w:line="240" w:lineRule="auto"/>
        <w:jc w:val="both"/>
        <w:rPr>
          <w:rFonts w:ascii="Calibri" w:hAnsi="Calibri" w:cs="Calibri"/>
          <w:lang w:val="en-IN"/>
        </w:rPr>
      </w:pPr>
      <w:r w:rsidRPr="00EC01E9">
        <w:rPr>
          <w:rFonts w:ascii="Calibri" w:hAnsi="Calibri" w:cs="Calibri"/>
          <w:lang w:val="en-IN"/>
        </w:rPr>
        <w:t xml:space="preserve">The transition from sustainability to regenerative development </w:t>
      </w:r>
      <w:r w:rsidR="00835748">
        <w:rPr>
          <w:rFonts w:ascii="Calibri" w:hAnsi="Calibri" w:cs="Calibri"/>
          <w:lang w:val="en-IN"/>
        </w:rPr>
        <w:t>requires</w:t>
      </w:r>
      <w:r w:rsidRPr="00EC01E9">
        <w:rPr>
          <w:rFonts w:ascii="Calibri" w:hAnsi="Calibri" w:cs="Calibri"/>
          <w:lang w:val="en-IN"/>
        </w:rPr>
        <w:t xml:space="preserve"> a fundamental recalibration: a move away from the incremental logic of efficiency embedded in universal standards toward place-specific effectiveness rooted in empirical evidence.</w:t>
      </w:r>
      <w:r w:rsidR="00835748">
        <w:rPr>
          <w:rFonts w:ascii="Calibri" w:hAnsi="Calibri" w:cs="Calibri"/>
          <w:lang w:val="en-IN"/>
        </w:rPr>
        <w:t xml:space="preserve"> </w:t>
      </w:r>
      <w:r w:rsidRPr="00EC01E9">
        <w:rPr>
          <w:rFonts w:ascii="Calibri" w:hAnsi="Calibri" w:cs="Calibri"/>
          <w:lang w:val="en-IN"/>
        </w:rPr>
        <w:t xml:space="preserve">Prevailing sustainability frameworks — BREEAM, LEED, and GRIHA </w:t>
      </w:r>
      <w:r w:rsidR="000621E5">
        <w:rPr>
          <w:rFonts w:ascii="Calibri" w:hAnsi="Calibri" w:cs="Calibri"/>
          <w:lang w:val="en-IN"/>
        </w:rPr>
        <w:t xml:space="preserve"> </w:t>
      </w:r>
      <w:r w:rsidRPr="00EC01E9">
        <w:rPr>
          <w:rFonts w:ascii="Calibri" w:hAnsi="Calibri" w:cs="Calibri"/>
          <w:lang w:val="en-IN"/>
        </w:rPr>
        <w:t>rely on generic thermal comfort benchmarks that assume uniformity across climate</w:t>
      </w:r>
      <w:r w:rsidR="000621E5">
        <w:rPr>
          <w:rFonts w:ascii="Calibri" w:hAnsi="Calibri" w:cs="Calibri"/>
          <w:lang w:val="en-IN"/>
        </w:rPr>
        <w:t>s</w:t>
      </w:r>
      <w:r w:rsidRPr="00EC01E9">
        <w:rPr>
          <w:rFonts w:ascii="Calibri" w:hAnsi="Calibri" w:cs="Calibri"/>
          <w:lang w:val="en-IN"/>
        </w:rPr>
        <w:t>, culture</w:t>
      </w:r>
      <w:r w:rsidR="000621E5">
        <w:rPr>
          <w:rFonts w:ascii="Calibri" w:hAnsi="Calibri" w:cs="Calibri"/>
          <w:lang w:val="en-IN"/>
        </w:rPr>
        <w:t>s</w:t>
      </w:r>
      <w:r w:rsidRPr="00EC01E9">
        <w:rPr>
          <w:rFonts w:ascii="Calibri" w:hAnsi="Calibri" w:cs="Calibri"/>
          <w:lang w:val="en-IN"/>
        </w:rPr>
        <w:t>,</w:t>
      </w:r>
      <w:r w:rsidR="000621E5">
        <w:rPr>
          <w:rFonts w:ascii="Calibri" w:hAnsi="Calibri" w:cs="Calibri"/>
          <w:lang w:val="en-IN"/>
        </w:rPr>
        <w:t xml:space="preserve"> </w:t>
      </w:r>
      <w:r w:rsidR="000621E5" w:rsidRPr="000621E5">
        <w:rPr>
          <w:rFonts w:ascii="Calibri" w:hAnsi="Calibri" w:cs="Calibri"/>
          <w:lang w:val="en-IN"/>
        </w:rPr>
        <w:t>local physiological adaptation,</w:t>
      </w:r>
      <w:r w:rsidRPr="00EC01E9">
        <w:rPr>
          <w:rFonts w:ascii="Calibri" w:hAnsi="Calibri" w:cs="Calibri"/>
          <w:lang w:val="en-IN"/>
        </w:rPr>
        <w:t xml:space="preserve"> and </w:t>
      </w:r>
      <w:r w:rsidR="000621E5">
        <w:rPr>
          <w:rFonts w:ascii="Calibri" w:hAnsi="Calibri" w:cs="Calibri"/>
          <w:lang w:val="en-IN"/>
        </w:rPr>
        <w:t>indigenous knowledge</w:t>
      </w:r>
      <w:r w:rsidRPr="00EC01E9">
        <w:rPr>
          <w:rFonts w:ascii="Calibri" w:hAnsi="Calibri" w:cs="Calibri"/>
          <w:lang w:val="en-IN"/>
        </w:rPr>
        <w:t xml:space="preserve">. </w:t>
      </w:r>
    </w:p>
    <w:p w14:paraId="18DB77F1" w14:textId="77777777" w:rsidR="000621E5" w:rsidRPr="00EC01E9" w:rsidRDefault="000621E5" w:rsidP="000621E5">
      <w:pPr>
        <w:spacing w:after="40" w:line="240" w:lineRule="auto"/>
        <w:jc w:val="both"/>
        <w:rPr>
          <w:rFonts w:ascii="Calibri" w:hAnsi="Calibri" w:cs="Calibri"/>
          <w:lang w:val="en-IN"/>
        </w:rPr>
      </w:pPr>
      <w:r>
        <w:rPr>
          <w:rFonts w:ascii="Calibri" w:hAnsi="Calibri" w:cs="Calibri"/>
          <w:lang w:val="en-IN"/>
        </w:rPr>
        <w:t xml:space="preserve">This paper asks: to what extent does the choice of thermal comfort standard alter performance projections and design specifications for a standard rural dwelling in India's composite climate zone? Three models — a universal standard, a national adaptive model, and a field-derived seasonal model built from two-season field data collected in rural </w:t>
      </w:r>
      <w:proofErr w:type="spellStart"/>
      <w:r>
        <w:rPr>
          <w:rFonts w:ascii="Calibri" w:hAnsi="Calibri" w:cs="Calibri"/>
          <w:lang w:val="en-IN"/>
        </w:rPr>
        <w:t>Bulandshahr</w:t>
      </w:r>
      <w:proofErr w:type="spellEnd"/>
      <w:r>
        <w:rPr>
          <w:rFonts w:ascii="Calibri" w:hAnsi="Calibri" w:cs="Calibri"/>
          <w:lang w:val="en-IN"/>
        </w:rPr>
        <w:t xml:space="preserve"> district, Uttar Pradesh — are compared through building performance simulation of a PMAY-G dwelling in </w:t>
      </w:r>
      <w:proofErr w:type="spellStart"/>
      <w:r>
        <w:rPr>
          <w:rFonts w:ascii="Calibri" w:hAnsi="Calibri" w:cs="Calibri"/>
          <w:lang w:val="en-IN"/>
        </w:rPr>
        <w:t>EnergyPlus</w:t>
      </w:r>
      <w:proofErr w:type="spellEnd"/>
      <w:r>
        <w:rPr>
          <w:rFonts w:ascii="Calibri" w:hAnsi="Calibri" w:cs="Calibri"/>
          <w:lang w:val="en-IN"/>
        </w:rPr>
        <w:t>. The field-derived model estimates 37% annual comfortable hours, against 42% and 51% for the two standardized models — a 14-percentage-point spread with direct consequences for ventilation strategy, envelope specification, and cooling energy demand. The findings show that recalibrating a single parameter from place-specific evidence cascades through the entire design logic of the dwelling, illustrating a foundational mechanism of regenerative development.</w:t>
      </w:r>
    </w:p>
    <w:p w14:paraId="4CBE6C3F" w14:textId="77777777" w:rsidR="00EC01E9" w:rsidRPr="00EC01E9" w:rsidRDefault="00EC01E9" w:rsidP="00EC01E9">
      <w:pPr>
        <w:spacing w:after="40" w:line="240" w:lineRule="auto"/>
        <w:rPr>
          <w:rFonts w:ascii="Calibri" w:hAnsi="Calibri" w:cs="Calibri"/>
          <w:lang w:val="en-IN"/>
        </w:rPr>
      </w:pPr>
    </w:p>
    <w:p w14:paraId="43EF67BE" w14:textId="2500FBB0" w:rsidR="00EC01E9" w:rsidRPr="000621E5" w:rsidRDefault="00EC01E9" w:rsidP="000621E5">
      <w:pPr>
        <w:spacing w:after="40" w:line="240" w:lineRule="auto"/>
        <w:rPr>
          <w:rFonts w:ascii="Calibri" w:hAnsi="Calibri" w:cs="Calibri"/>
          <w:lang w:val="en-IN"/>
        </w:rPr>
      </w:pPr>
      <w:r w:rsidRPr="00EC01E9">
        <w:rPr>
          <w:rFonts w:ascii="Calibri" w:hAnsi="Calibri" w:cs="Calibri"/>
          <w:b/>
          <w:bCs/>
          <w:lang w:val="en-IN"/>
        </w:rPr>
        <w:t xml:space="preserve">Keywords: </w:t>
      </w:r>
      <w:r w:rsidRPr="00EC01E9">
        <w:rPr>
          <w:rFonts w:ascii="Calibri" w:hAnsi="Calibri" w:cs="Calibri"/>
          <w:lang w:val="en-IN"/>
        </w:rPr>
        <w:t>Adaptive Thermal Comfort; Rural Housing; Regenerative Development; Building Performance Simulation; PMAY-G; Composite Climate; India.</w:t>
      </w:r>
      <w:r w:rsidR="000621E5">
        <w:rPr>
          <w:rFonts w:ascii="Calibri" w:hAnsi="Calibri" w:cs="Calibri"/>
          <w:lang w:val="en-IN"/>
        </w:rPr>
        <w:br w:type="page"/>
      </w:r>
      <w:r w:rsidRPr="00EC01E9">
        <w:rPr>
          <w:rFonts w:ascii="Calibri" w:eastAsia="Times New Roman" w:hAnsi="Calibri" w:cs="Calibri"/>
          <w:b/>
          <w:bCs/>
          <w:kern w:val="0"/>
          <w:sz w:val="28"/>
          <w:szCs w:val="28"/>
          <w:lang w:val="en-IN" w:eastAsia="en-GB"/>
          <w14:ligatures w14:val="none"/>
        </w:rPr>
        <w:lastRenderedPageBreak/>
        <w:t>1. INTRODUCTION</w:t>
      </w:r>
    </w:p>
    <w:p w14:paraId="526BC162" w14:textId="472492FB"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The transition from sustainability to regenerative development requires a fundamental recalibration of design performance criteria: a shift from efficiency improvements toward place-specific effectiveness grounded in context. Green building frameworks such as BREEAM, LEED, and GRIHA rely on universal thermal comfort standards — principally ASHRAE-55 (2017) and IMAC (BIS, 2016) — developed for controlled, mechanically conditioned environments that assume uniformity in climate, culture, and occupant </w:t>
      </w:r>
      <w:proofErr w:type="spellStart"/>
      <w:r w:rsidRPr="00EC01E9">
        <w:rPr>
          <w:rFonts w:ascii="Calibri" w:eastAsia="Times New Roman" w:hAnsi="Calibri" w:cs="Calibri"/>
          <w:kern w:val="0"/>
          <w:lang w:val="en-IN" w:eastAsia="en-GB"/>
          <w14:ligatures w14:val="none"/>
        </w:rPr>
        <w:t>behavior</w:t>
      </w:r>
      <w:proofErr w:type="spellEnd"/>
      <w:r w:rsidRPr="00EC01E9">
        <w:rPr>
          <w:rFonts w:ascii="Calibri" w:eastAsia="Times New Roman" w:hAnsi="Calibri" w:cs="Calibri"/>
          <w:kern w:val="0"/>
          <w:lang w:val="en-IN" w:eastAsia="en-GB"/>
          <w14:ligatures w14:val="none"/>
        </w:rPr>
        <w:t xml:space="preserve">. While these provide regulatory clarity and global comparability, their uncritical application </w:t>
      </w:r>
      <w:r>
        <w:rPr>
          <w:rFonts w:ascii="Calibri" w:eastAsia="Times New Roman" w:hAnsi="Calibri" w:cs="Calibri"/>
          <w:kern w:val="0"/>
          <w:lang w:val="en-IN" w:eastAsia="en-GB"/>
          <w14:ligatures w14:val="none"/>
        </w:rPr>
        <w:t>in</w:t>
      </w:r>
      <w:r w:rsidRPr="00EC01E9">
        <w:rPr>
          <w:rFonts w:ascii="Calibri" w:eastAsia="Times New Roman" w:hAnsi="Calibri" w:cs="Calibri"/>
          <w:kern w:val="0"/>
          <w:lang w:val="en-IN" w:eastAsia="en-GB"/>
          <w14:ligatures w14:val="none"/>
        </w:rPr>
        <w:t xml:space="preserve"> rural, naturally ventilated, and climatically heterogeneous contexts </w:t>
      </w:r>
      <w:r>
        <w:rPr>
          <w:rFonts w:ascii="Calibri" w:eastAsia="Times New Roman" w:hAnsi="Calibri" w:cs="Calibri"/>
          <w:kern w:val="0"/>
          <w:lang w:val="en-IN" w:eastAsia="en-GB"/>
          <w14:ligatures w14:val="none"/>
        </w:rPr>
        <w:t>results in</w:t>
      </w:r>
      <w:r w:rsidRPr="00EC01E9">
        <w:rPr>
          <w:rFonts w:ascii="Calibri" w:eastAsia="Times New Roman" w:hAnsi="Calibri" w:cs="Calibri"/>
          <w:kern w:val="0"/>
          <w:lang w:val="en-IN" w:eastAsia="en-GB"/>
          <w14:ligatures w14:val="none"/>
        </w:rPr>
        <w:t xml:space="preserve"> systematic misalignment: seasonal variability, physiological adaptation, ecologically embedded practices, and indigenous knowledge are structurally overlooked. Applied without recalibration, such frameworks unintentionally reinforce mechanical dependency and perpetuate linear throughput logic under the banner of sustainability. This study argues that the regenerative shift begins with recalibrating foundational parameters from place-specific empirical evidence, rather than transferring universal thresholds across divergent contexts. Adaptive thermal comfort serves as the diagnostic lens — a parameter at the intersection of climate, physiology, behaviour, and design — to examine how recalibrating a single metric propagates measurable downstream changes across passive strategies, design trajectories, and projected energy demand in rural India.</w:t>
      </w:r>
    </w:p>
    <w:p w14:paraId="0AE6B2E2" w14:textId="727DCB3C"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The adaptive thermal comfort model, first formali</w:t>
      </w:r>
      <w:r>
        <w:rPr>
          <w:rFonts w:ascii="Calibri" w:eastAsia="Times New Roman" w:hAnsi="Calibri" w:cs="Calibri"/>
          <w:kern w:val="0"/>
          <w:lang w:val="en-IN" w:eastAsia="en-GB"/>
          <w14:ligatures w14:val="none"/>
        </w:rPr>
        <w:t>z</w:t>
      </w:r>
      <w:r w:rsidRPr="00EC01E9">
        <w:rPr>
          <w:rFonts w:ascii="Calibri" w:eastAsia="Times New Roman" w:hAnsi="Calibri" w:cs="Calibri"/>
          <w:kern w:val="0"/>
          <w:lang w:val="en-IN" w:eastAsia="en-GB"/>
          <w14:ligatures w14:val="none"/>
        </w:rPr>
        <w:t xml:space="preserve">ed by Humphreys (1978) and later codified by de Dear and </w:t>
      </w:r>
      <w:proofErr w:type="spellStart"/>
      <w:r w:rsidRPr="00EC01E9">
        <w:rPr>
          <w:rFonts w:ascii="Calibri" w:eastAsia="Times New Roman" w:hAnsi="Calibri" w:cs="Calibri"/>
          <w:kern w:val="0"/>
          <w:lang w:val="en-IN" w:eastAsia="en-GB"/>
          <w14:ligatures w14:val="none"/>
        </w:rPr>
        <w:t>Brager</w:t>
      </w:r>
      <w:proofErr w:type="spellEnd"/>
      <w:r w:rsidRPr="00EC01E9">
        <w:rPr>
          <w:rFonts w:ascii="Calibri" w:eastAsia="Times New Roman" w:hAnsi="Calibri" w:cs="Calibri"/>
          <w:kern w:val="0"/>
          <w:lang w:val="en-IN" w:eastAsia="en-GB"/>
          <w14:ligatures w14:val="none"/>
        </w:rPr>
        <w:t xml:space="preserve"> (1998, 2002) in the development of ASHRAE-55's adaptive clause, establishes that occupants in naturally ventilated buildings adapt physiologically, behaviourally, and psychologically to prevailing outdoor conditions, accepting a wider range of indoor temperatures than mechanically conditioned occupants. This adaptation is modulated by mean outdoor temperature, clothing adjustment, metabolic rate, and access to environmental controls (Nicol and Humphreys, 2002). IMAC-R (Rawal et al., 2022) extended the adaptive model to the Indian context through one of the largest national field studies to date, covering five climate zones. However, IMAC-R is calibrated predominantly on urban and peri-urban samples; its applicability to rural populations — who exhibit distinct thermal histories, lower metabolic baselines, and stronger seasonal </w:t>
      </w:r>
      <w:proofErr w:type="spellStart"/>
      <w:r w:rsidRPr="00EC01E9">
        <w:rPr>
          <w:rFonts w:ascii="Calibri" w:eastAsia="Times New Roman" w:hAnsi="Calibri" w:cs="Calibri"/>
          <w:kern w:val="0"/>
          <w:lang w:val="en-IN" w:eastAsia="en-GB"/>
          <w14:ligatures w14:val="none"/>
        </w:rPr>
        <w:t>behavioral</w:t>
      </w:r>
      <w:proofErr w:type="spellEnd"/>
      <w:r w:rsidRPr="00EC01E9">
        <w:rPr>
          <w:rFonts w:ascii="Calibri" w:eastAsia="Times New Roman" w:hAnsi="Calibri" w:cs="Calibri"/>
          <w:kern w:val="0"/>
          <w:lang w:val="en-IN" w:eastAsia="en-GB"/>
          <w14:ligatures w14:val="none"/>
        </w:rPr>
        <w:t xml:space="preserve"> adaptation — remains understudied. Singh et al. (2011) demonstrated that rural occupants in composite-climate India </w:t>
      </w:r>
      <w:r>
        <w:rPr>
          <w:rFonts w:ascii="Calibri" w:eastAsia="Times New Roman" w:hAnsi="Calibri" w:cs="Calibri"/>
          <w:kern w:val="0"/>
          <w:lang w:val="en-IN" w:eastAsia="en-GB"/>
          <w14:ligatures w14:val="none"/>
        </w:rPr>
        <w:t>experience</w:t>
      </w:r>
      <w:r w:rsidRPr="00EC01E9">
        <w:rPr>
          <w:rFonts w:ascii="Calibri" w:eastAsia="Times New Roman" w:hAnsi="Calibri" w:cs="Calibri"/>
          <w:kern w:val="0"/>
          <w:lang w:val="en-IN" w:eastAsia="en-GB"/>
          <w14:ligatures w14:val="none"/>
        </w:rPr>
        <w:t xml:space="preserve"> significantly higher operative temperatures than urban benchmarks </w:t>
      </w:r>
      <w:r>
        <w:rPr>
          <w:rFonts w:ascii="Calibri" w:eastAsia="Times New Roman" w:hAnsi="Calibri" w:cs="Calibri"/>
          <w:kern w:val="0"/>
          <w:lang w:val="en-IN" w:eastAsia="en-GB"/>
          <w14:ligatures w14:val="none"/>
        </w:rPr>
        <w:t>would predict</w:t>
      </w:r>
      <w:r w:rsidRPr="00EC01E9">
        <w:rPr>
          <w:rFonts w:ascii="Calibri" w:eastAsia="Times New Roman" w:hAnsi="Calibri" w:cs="Calibri"/>
          <w:kern w:val="0"/>
          <w:lang w:val="en-IN" w:eastAsia="en-GB"/>
          <w14:ligatures w14:val="none"/>
        </w:rPr>
        <w:t>, a finding this study corroborates and extends through a two-season field protocol drawn exclusively from naturally ventilated rural settlements.</w:t>
      </w:r>
    </w:p>
    <w:p w14:paraId="4F693941" w14:textId="77777777"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The study pursues two objectives: (1) to comparatively evaluate ASHRAE-55, IMAC-R (Rawal et al., 2022), and a field-derived adaptive thermal comfort model from rural composite-climate settlements in </w:t>
      </w:r>
      <w:proofErr w:type="spellStart"/>
      <w:r w:rsidRPr="00EC01E9">
        <w:rPr>
          <w:rFonts w:ascii="Calibri" w:eastAsia="Times New Roman" w:hAnsi="Calibri" w:cs="Calibri"/>
          <w:kern w:val="0"/>
          <w:lang w:val="en-IN" w:eastAsia="en-GB"/>
          <w14:ligatures w14:val="none"/>
        </w:rPr>
        <w:t>Bulandshahr</w:t>
      </w:r>
      <w:proofErr w:type="spellEnd"/>
      <w:r w:rsidRPr="00EC01E9">
        <w:rPr>
          <w:rFonts w:ascii="Calibri" w:eastAsia="Times New Roman" w:hAnsi="Calibri" w:cs="Calibri"/>
          <w:kern w:val="0"/>
          <w:lang w:val="en-IN" w:eastAsia="en-GB"/>
          <w14:ligatures w14:val="none"/>
        </w:rPr>
        <w:t xml:space="preserve"> district, Uttar Pradesh; and (2) to assess the downstream implications of this recalibration on passive ventilation strategy, envelope thermal resistance, and projected cooling energy demand for a standard PMAY-G rural dwelling.</w:t>
      </w:r>
    </w:p>
    <w:p w14:paraId="13326868" w14:textId="77777777" w:rsidR="006E77D5" w:rsidRPr="00D6057A" w:rsidRDefault="006E77D5" w:rsidP="006E77D5">
      <w:pPr>
        <w:spacing w:after="40" w:line="240" w:lineRule="auto"/>
        <w:ind w:firstLine="851"/>
        <w:jc w:val="both"/>
        <w:rPr>
          <w:rFonts w:ascii="Calibri" w:hAnsi="Calibri" w:cs="Calibri"/>
        </w:rPr>
      </w:pPr>
    </w:p>
    <w:p w14:paraId="067ECAFB"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2. METHODS</w:t>
      </w:r>
    </w:p>
    <w:p w14:paraId="493DA639" w14:textId="77777777" w:rsidR="00EC01E9" w:rsidRPr="00EC01E9" w:rsidRDefault="00EC01E9" w:rsidP="00EC01E9">
      <w:pPr>
        <w:spacing w:before="8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2.1 Study Area and Field Survey</w:t>
      </w:r>
    </w:p>
    <w:p w14:paraId="5D1EA488" w14:textId="1FB3B52A"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The field study was conducted across 11 villages in </w:t>
      </w:r>
      <w:proofErr w:type="spellStart"/>
      <w:r w:rsidRPr="00EC01E9">
        <w:rPr>
          <w:rFonts w:ascii="Calibri" w:eastAsia="Times New Roman" w:hAnsi="Calibri" w:cs="Calibri"/>
          <w:kern w:val="0"/>
          <w:lang w:val="en-IN" w:eastAsia="en-GB"/>
          <w14:ligatures w14:val="none"/>
        </w:rPr>
        <w:t>Bulandshahr</w:t>
      </w:r>
      <w:proofErr w:type="spellEnd"/>
      <w:r w:rsidRPr="00EC01E9">
        <w:rPr>
          <w:rFonts w:ascii="Calibri" w:eastAsia="Times New Roman" w:hAnsi="Calibri" w:cs="Calibri"/>
          <w:kern w:val="0"/>
          <w:lang w:val="en-IN" w:eastAsia="en-GB"/>
          <w14:ligatures w14:val="none"/>
        </w:rPr>
        <w:t xml:space="preserve"> district, located in the western part of Uttar Pradesh, northern India (28°4′–28°43′ N, 77°18′–78°28′ E). </w:t>
      </w:r>
      <w:proofErr w:type="spellStart"/>
      <w:r w:rsidRPr="00EC01E9">
        <w:rPr>
          <w:rFonts w:ascii="Calibri" w:eastAsia="Times New Roman" w:hAnsi="Calibri" w:cs="Calibri"/>
          <w:kern w:val="0"/>
          <w:lang w:val="en-IN" w:eastAsia="en-GB"/>
          <w14:ligatures w14:val="none"/>
        </w:rPr>
        <w:t>Bulandshahr</w:t>
      </w:r>
      <w:proofErr w:type="spellEnd"/>
      <w:r w:rsidRPr="00EC01E9">
        <w:rPr>
          <w:rFonts w:ascii="Calibri" w:eastAsia="Times New Roman" w:hAnsi="Calibri" w:cs="Calibri"/>
          <w:kern w:val="0"/>
          <w:lang w:val="en-IN" w:eastAsia="en-GB"/>
          <w14:ligatures w14:val="none"/>
        </w:rPr>
        <w:t xml:space="preserve"> falls within India's composite climate zone (BIS, 2016), </w:t>
      </w:r>
      <w:r>
        <w:rPr>
          <w:rFonts w:ascii="Calibri" w:eastAsia="Times New Roman" w:hAnsi="Calibri" w:cs="Calibri"/>
          <w:kern w:val="0"/>
          <w:lang w:val="en-IN" w:eastAsia="en-GB"/>
          <w14:ligatures w14:val="none"/>
        </w:rPr>
        <w:t xml:space="preserve">which is </w:t>
      </w:r>
      <w:r w:rsidRPr="00EC01E9">
        <w:rPr>
          <w:rFonts w:ascii="Calibri" w:eastAsia="Times New Roman" w:hAnsi="Calibri" w:cs="Calibri"/>
          <w:kern w:val="0"/>
          <w:lang w:val="en-IN" w:eastAsia="en-GB"/>
          <w14:ligatures w14:val="none"/>
        </w:rPr>
        <w:t xml:space="preserve">classified by the National Building Code </w:t>
      </w:r>
      <w:r>
        <w:rPr>
          <w:rFonts w:ascii="Calibri" w:eastAsia="Times New Roman" w:hAnsi="Calibri" w:cs="Calibri"/>
          <w:kern w:val="0"/>
          <w:lang w:val="en-IN" w:eastAsia="en-GB"/>
          <w14:ligatures w14:val="none"/>
        </w:rPr>
        <w:t>and</w:t>
      </w:r>
      <w:r w:rsidRPr="00EC01E9">
        <w:rPr>
          <w:rFonts w:ascii="Calibri" w:eastAsia="Times New Roman" w:hAnsi="Calibri" w:cs="Calibri"/>
          <w:kern w:val="0"/>
          <w:lang w:val="en-IN" w:eastAsia="en-GB"/>
          <w14:ligatures w14:val="none"/>
        </w:rPr>
        <w:t xml:space="preserve"> encompasses nearly two-thirds of the country's land area and accounts for a substantial proportion of its rural population (Fig. 1).</w:t>
      </w:r>
    </w:p>
    <w:p w14:paraId="7B9AEEB6" w14:textId="55D85FC3"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proofErr w:type="spellStart"/>
      <w:r w:rsidRPr="00EC01E9">
        <w:rPr>
          <w:rFonts w:ascii="Calibri" w:eastAsia="Times New Roman" w:hAnsi="Calibri" w:cs="Calibri"/>
          <w:kern w:val="0"/>
          <w:lang w:val="en-IN" w:eastAsia="en-GB"/>
          <w14:ligatures w14:val="none"/>
        </w:rPr>
        <w:t>Bulandshahr</w:t>
      </w:r>
      <w:proofErr w:type="spellEnd"/>
      <w:r w:rsidRPr="00EC01E9">
        <w:rPr>
          <w:rFonts w:ascii="Calibri" w:eastAsia="Times New Roman" w:hAnsi="Calibri" w:cs="Calibri"/>
          <w:kern w:val="0"/>
          <w:lang w:val="en-IN" w:eastAsia="en-GB"/>
          <w14:ligatures w14:val="none"/>
        </w:rPr>
        <w:t xml:space="preserve"> has a pronounced seasonal thermal profile. Temperatures rise sharply from late February, transitioning from </w:t>
      </w:r>
      <w:r>
        <w:rPr>
          <w:rFonts w:ascii="Calibri" w:eastAsia="Times New Roman" w:hAnsi="Calibri" w:cs="Calibri"/>
          <w:kern w:val="0"/>
          <w:lang w:val="en-IN" w:eastAsia="en-GB"/>
          <w14:ligatures w14:val="none"/>
        </w:rPr>
        <w:t xml:space="preserve">a </w:t>
      </w:r>
      <w:r w:rsidRPr="00EC01E9">
        <w:rPr>
          <w:rFonts w:ascii="Calibri" w:eastAsia="Times New Roman" w:hAnsi="Calibri" w:cs="Calibri"/>
          <w:kern w:val="0"/>
          <w:lang w:val="en-IN" w:eastAsia="en-GB"/>
          <w14:ligatures w14:val="none"/>
        </w:rPr>
        <w:t xml:space="preserve">cold winter into </w:t>
      </w:r>
      <w:r>
        <w:rPr>
          <w:rFonts w:ascii="Calibri" w:eastAsia="Times New Roman" w:hAnsi="Calibri" w:cs="Calibri"/>
          <w:kern w:val="0"/>
          <w:lang w:val="en-IN" w:eastAsia="en-GB"/>
          <w14:ligatures w14:val="none"/>
        </w:rPr>
        <w:t xml:space="preserve">a hot, </w:t>
      </w:r>
      <w:r w:rsidRPr="00EC01E9">
        <w:rPr>
          <w:rFonts w:ascii="Calibri" w:eastAsia="Times New Roman" w:hAnsi="Calibri" w:cs="Calibri"/>
          <w:kern w:val="0"/>
          <w:lang w:val="en-IN" w:eastAsia="en-GB"/>
          <w14:ligatures w14:val="none"/>
        </w:rPr>
        <w:t xml:space="preserve">dry summer, followed by the humid Monsoon </w:t>
      </w:r>
      <w:r w:rsidRPr="00EC01E9">
        <w:rPr>
          <w:rFonts w:ascii="Calibri" w:eastAsia="Times New Roman" w:hAnsi="Calibri" w:cs="Calibri"/>
          <w:kern w:val="0"/>
          <w:lang w:val="en-IN" w:eastAsia="en-GB"/>
          <w14:ligatures w14:val="none"/>
        </w:rPr>
        <w:lastRenderedPageBreak/>
        <w:t>season from June to September (IMD, 1989). Based on the standard 18–24°C comfort range, approximately 60% of annual hours exceed the upper comfort threshold, while 22.7% fall below the lower boundary — underscoring the thermal severity of the composite climate context (Fig. 2).</w:t>
      </w:r>
    </w:p>
    <w:p w14:paraId="01C4BF3F" w14:textId="77777777"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A longitudinal survey following the ASHRAE Class II field protocol was administered across two seasons: the Summer season (June and July 2020) and the Monsoon season (August 2020), in naturally ventilated rural dwellings. A total of 400 valid responses were collected — 240 in Summer and 160 in Monsoon — from adult occupants resident in the surveyed dwellings. Field data comprised subjective thermal comfort responses and objective in situ measurements of indoor and outdoor environmental parameters, collected using a "right-here-right-now" questionnaire translated into Hindi, following protocols established in ASHRAE-55 (2017) and ISO 7726 (1998).</w:t>
      </w:r>
    </w:p>
    <w:p w14:paraId="73E9826A"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603D14FE" w14:textId="77777777" w:rsidR="00EC01E9" w:rsidRPr="00EC01E9" w:rsidRDefault="00EC01E9" w:rsidP="00EC01E9">
      <w:pPr>
        <w:spacing w:before="8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2.2 Thermal Comfort Model Comparison</w:t>
      </w:r>
    </w:p>
    <w:p w14:paraId="22E77376" w14:textId="53BF076D" w:rsidR="00EC01E9" w:rsidRPr="00EC01E9" w:rsidRDefault="00EC01E9" w:rsidP="003966A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The study compares three adaptive thermal comfort models: ASHRAE-55, IMAC-R (Rawal et al., 2022), and a context-specific seasonal model derived from the empirical field data collected in </w:t>
      </w:r>
      <w:proofErr w:type="spellStart"/>
      <w:r w:rsidRPr="00EC01E9">
        <w:rPr>
          <w:rFonts w:ascii="Calibri" w:eastAsia="Times New Roman" w:hAnsi="Calibri" w:cs="Calibri"/>
          <w:kern w:val="0"/>
          <w:lang w:val="en-IN" w:eastAsia="en-GB"/>
          <w14:ligatures w14:val="none"/>
        </w:rPr>
        <w:t>Bulandshahr's</w:t>
      </w:r>
      <w:proofErr w:type="spellEnd"/>
      <w:r w:rsidRPr="00EC01E9">
        <w:rPr>
          <w:rFonts w:ascii="Calibri" w:eastAsia="Times New Roman" w:hAnsi="Calibri" w:cs="Calibri"/>
          <w:kern w:val="0"/>
          <w:lang w:val="en-IN" w:eastAsia="en-GB"/>
          <w14:ligatures w14:val="none"/>
        </w:rPr>
        <w:t xml:space="preserve"> composite climate zone. The regression equations and applicable scope for each model are summarised in Table 1.</w:t>
      </w:r>
    </w:p>
    <w:p w14:paraId="244548D1" w14:textId="77777777" w:rsidR="00EC01E9" w:rsidRPr="00EC01E9" w:rsidRDefault="00EC01E9" w:rsidP="00EC01E9">
      <w:pPr>
        <w:spacing w:before="40" w:after="6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i/>
          <w:iCs/>
          <w:kern w:val="0"/>
          <w:sz w:val="20"/>
          <w:szCs w:val="20"/>
          <w:lang w:val="en-IN" w:eastAsia="en-GB"/>
          <w14:ligatures w14:val="none"/>
        </w:rPr>
        <w:t>Table 1: Comparison of adaptive thermal comfort standards.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200"/>
        <w:gridCol w:w="4200"/>
        <w:gridCol w:w="2026"/>
      </w:tblGrid>
      <w:tr w:rsidR="00EC01E9" w:rsidRPr="00EC01E9" w14:paraId="7555A02D" w14:textId="77777777" w:rsidTr="007C1D25">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11073054" w14:textId="77777777" w:rsidR="00EC01E9" w:rsidRPr="00EC01E9" w:rsidRDefault="00EC01E9" w:rsidP="00EC01E9">
            <w:pPr>
              <w:spacing w:after="0" w:line="240" w:lineRule="auto"/>
              <w:jc w:val="center"/>
              <w:rPr>
                <w:rFonts w:ascii="Times New Roman" w:eastAsia="Times New Roman" w:hAnsi="Times New Roman" w:cs="Times New Roman"/>
                <w:kern w:val="0"/>
                <w:sz w:val="20"/>
                <w:szCs w:val="20"/>
                <w:lang w:val="en-IN" w:eastAsia="en-GB"/>
                <w14:ligatures w14:val="none"/>
              </w:rPr>
            </w:pPr>
            <w:proofErr w:type="spellStart"/>
            <w:r w:rsidRPr="00EC01E9">
              <w:rPr>
                <w:rFonts w:ascii="Calibri" w:eastAsia="Times New Roman" w:hAnsi="Calibri" w:cs="Calibri"/>
                <w:b/>
                <w:bCs/>
                <w:kern w:val="0"/>
                <w:sz w:val="18"/>
                <w:szCs w:val="18"/>
                <w:lang w:val="en-IN" w:eastAsia="en-GB"/>
                <w14:ligatures w14:val="none"/>
              </w:rPr>
              <w:t>S.No</w:t>
            </w:r>
            <w:proofErr w:type="spellEnd"/>
            <w:r w:rsidRPr="00EC01E9">
              <w:rPr>
                <w:rFonts w:ascii="Calibri" w:eastAsia="Times New Roman" w:hAnsi="Calibri" w:cs="Calibri"/>
                <w:b/>
                <w:bCs/>
                <w:kern w:val="0"/>
                <w:sz w:val="18"/>
                <w:szCs w:val="18"/>
                <w:lang w:val="en-IN" w:eastAsia="en-GB"/>
                <w14:ligatures w14:val="none"/>
              </w:rPr>
              <w:t>.</w:t>
            </w:r>
          </w:p>
        </w:tc>
        <w:tc>
          <w:tcPr>
            <w:tcW w:w="22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5BD5B50B"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Thermal Comfort Standard</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308F5F7B"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Regression Equation / Acceptable Operative Temperature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074ECE86"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Applicable Scope</w:t>
            </w:r>
          </w:p>
        </w:tc>
      </w:tr>
      <w:tr w:rsidR="00EC01E9" w:rsidRPr="00EC01E9" w14:paraId="1950889B" w14:textId="77777777" w:rsidTr="007C1D25">
        <w:tc>
          <w:tcPr>
            <w:tcW w:w="600" w:type="dxa"/>
            <w:vMerge w:val="restar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EED2B5" w14:textId="77777777" w:rsidR="00EC01E9" w:rsidRPr="00EC01E9" w:rsidRDefault="00EC01E9" w:rsidP="00EC01E9">
            <w:pPr>
              <w:spacing w:after="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1</w:t>
            </w:r>
          </w:p>
        </w:tc>
        <w:tc>
          <w:tcPr>
            <w:tcW w:w="2200" w:type="dxa"/>
            <w:vMerge w:val="restar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166D68"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Present study (Rural residents, </w:t>
            </w:r>
            <w:proofErr w:type="spellStart"/>
            <w:r w:rsidRPr="00EC01E9">
              <w:rPr>
                <w:rFonts w:ascii="Calibri" w:eastAsia="Times New Roman" w:hAnsi="Calibri" w:cs="Calibri"/>
                <w:kern w:val="0"/>
                <w:sz w:val="18"/>
                <w:szCs w:val="18"/>
                <w:lang w:val="en-IN" w:eastAsia="en-GB"/>
                <w14:ligatures w14:val="none"/>
              </w:rPr>
              <w:t>Bulandshahr</w:t>
            </w:r>
            <w:proofErr w:type="spellEnd"/>
            <w:r w:rsidRPr="00EC01E9">
              <w:rPr>
                <w:rFonts w:ascii="Calibri" w:eastAsia="Times New Roman" w:hAnsi="Calibri" w:cs="Calibri"/>
                <w:kern w:val="0"/>
                <w:sz w:val="18"/>
                <w:szCs w:val="18"/>
                <w:lang w:val="en-IN" w:eastAsia="en-GB"/>
                <w14:ligatures w14:val="none"/>
              </w:rPr>
              <w:t>)</w:t>
            </w:r>
          </w:p>
        </w:tc>
        <w:tc>
          <w:tcPr>
            <w:tcW w:w="4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6FE7CE"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Summer: Tn = 0.3376 · </w:t>
            </w:r>
            <w:proofErr w:type="spellStart"/>
            <w:r w:rsidRPr="00EC01E9">
              <w:rPr>
                <w:rFonts w:ascii="Calibri" w:eastAsia="Times New Roman" w:hAnsi="Calibri" w:cs="Calibri"/>
                <w:kern w:val="0"/>
                <w:sz w:val="18"/>
                <w:szCs w:val="18"/>
                <w:lang w:val="en-IN" w:eastAsia="en-GB"/>
                <w14:ligatures w14:val="none"/>
              </w:rPr>
              <w:t>Tpma</w:t>
            </w:r>
            <w:proofErr w:type="spellEnd"/>
            <w:r w:rsidRPr="00EC01E9">
              <w:rPr>
                <w:rFonts w:ascii="Calibri" w:eastAsia="Times New Roman" w:hAnsi="Calibri" w:cs="Calibri"/>
                <w:kern w:val="0"/>
                <w:sz w:val="18"/>
                <w:szCs w:val="18"/>
                <w:lang w:val="en-IN" w:eastAsia="en-GB"/>
                <w14:ligatures w14:val="none"/>
              </w:rPr>
              <w:t>(out) + 19.795  (R² = 0.0052; p &lt; 0.001)  →  Tn = 30.38°C</w:t>
            </w:r>
          </w:p>
        </w:tc>
        <w:tc>
          <w:tcPr>
            <w:tcW w:w="2026" w:type="dxa"/>
            <w:vMerge w:val="restar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1C861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Composite climate zone, NV rural dwellings</w:t>
            </w:r>
          </w:p>
        </w:tc>
      </w:tr>
      <w:tr w:rsidR="00EC01E9" w:rsidRPr="00EC01E9" w14:paraId="47781721" w14:textId="77777777" w:rsidTr="007C1D25">
        <w:tc>
          <w:tcPr>
            <w:tcW w:w="0" w:type="auto"/>
            <w:vMerge/>
            <w:tcBorders>
              <w:top w:val="single" w:sz="4" w:space="0" w:color="000000"/>
              <w:left w:val="single" w:sz="4" w:space="0" w:color="000000"/>
              <w:bottom w:val="single" w:sz="4" w:space="0" w:color="000000"/>
              <w:right w:val="single" w:sz="4" w:space="0" w:color="000000"/>
            </w:tcBorders>
          </w:tcPr>
          <w:p w14:paraId="419565E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c>
          <w:tcPr>
            <w:tcW w:w="0" w:type="auto"/>
            <w:vMerge/>
            <w:tcBorders>
              <w:top w:val="single" w:sz="4" w:space="0" w:color="000000"/>
              <w:left w:val="single" w:sz="4" w:space="0" w:color="000000"/>
              <w:bottom w:val="single" w:sz="4" w:space="0" w:color="000000"/>
              <w:right w:val="single" w:sz="4" w:space="0" w:color="000000"/>
            </w:tcBorders>
          </w:tcPr>
          <w:p w14:paraId="1B72D5E4"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c>
          <w:tcPr>
            <w:tcW w:w="4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843B2F"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Monsoon: Tn = 0.2708 · </w:t>
            </w:r>
            <w:proofErr w:type="spellStart"/>
            <w:r w:rsidRPr="00EC01E9">
              <w:rPr>
                <w:rFonts w:ascii="Calibri" w:eastAsia="Times New Roman" w:hAnsi="Calibri" w:cs="Calibri"/>
                <w:kern w:val="0"/>
                <w:sz w:val="18"/>
                <w:szCs w:val="18"/>
                <w:lang w:val="en-IN" w:eastAsia="en-GB"/>
                <w14:ligatures w14:val="none"/>
              </w:rPr>
              <w:t>Tpma</w:t>
            </w:r>
            <w:proofErr w:type="spellEnd"/>
            <w:r w:rsidRPr="00EC01E9">
              <w:rPr>
                <w:rFonts w:ascii="Calibri" w:eastAsia="Times New Roman" w:hAnsi="Calibri" w:cs="Calibri"/>
                <w:kern w:val="0"/>
                <w:sz w:val="18"/>
                <w:szCs w:val="18"/>
                <w:lang w:val="en-IN" w:eastAsia="en-GB"/>
                <w14:ligatures w14:val="none"/>
              </w:rPr>
              <w:t>(out) + 19.765  (R² = 0.0119; p &lt; 0.001)  →  Tn = 27.62°C</w:t>
            </w:r>
          </w:p>
        </w:tc>
        <w:tc>
          <w:tcPr>
            <w:tcW w:w="0" w:type="auto"/>
            <w:vMerge/>
            <w:tcBorders>
              <w:top w:val="single" w:sz="4" w:space="0" w:color="000000"/>
              <w:left w:val="single" w:sz="4" w:space="0" w:color="000000"/>
              <w:bottom w:val="single" w:sz="4" w:space="0" w:color="000000"/>
              <w:right w:val="single" w:sz="4" w:space="0" w:color="000000"/>
            </w:tcBorders>
          </w:tcPr>
          <w:p w14:paraId="2EDF4C1F"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r>
      <w:tr w:rsidR="00EC01E9" w:rsidRPr="00EC01E9" w14:paraId="43F44A09" w14:textId="77777777" w:rsidTr="007C1D25">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1C2CF8" w14:textId="77777777" w:rsidR="00EC01E9" w:rsidRPr="00EC01E9" w:rsidRDefault="00EC01E9" w:rsidP="00EC01E9">
            <w:pPr>
              <w:spacing w:after="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2</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F61A16"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IMAC-R: Rawal et al. (2022) — Urban residents</w:t>
            </w:r>
          </w:p>
        </w:tc>
        <w:tc>
          <w:tcPr>
            <w:tcW w:w="4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53785C"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Top = 0.42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+ 21.2  |  Top = 0.42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+ 19.75 Top = 0.42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+ 14.0  |  Top = 0.42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+ 15.45</w:t>
            </w:r>
          </w:p>
        </w:tc>
        <w:tc>
          <w:tcPr>
            <w:tcW w:w="2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3D4E5E"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5.5 ≤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33°C</w:t>
            </w:r>
          </w:p>
        </w:tc>
      </w:tr>
      <w:tr w:rsidR="00EC01E9" w:rsidRPr="00EC01E9" w14:paraId="3E6EA92D" w14:textId="77777777" w:rsidTr="007C1D25">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C9059A" w14:textId="77777777" w:rsidR="00EC01E9" w:rsidRPr="00EC01E9" w:rsidRDefault="00EC01E9" w:rsidP="00EC01E9">
            <w:pPr>
              <w:spacing w:after="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3</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E89F9C"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ANSI/ASHRAE 55-2020 (Adaptive model)</w:t>
            </w:r>
          </w:p>
        </w:tc>
        <w:tc>
          <w:tcPr>
            <w:tcW w:w="4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402C7E"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Top = 0.31 ·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+ 21.3  |  Top = 0.31 ·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+ 20.3 Top = 0.31 ·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+ 14.3  |  Top = 0.31 ·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+ 15.3</w:t>
            </w:r>
          </w:p>
        </w:tc>
        <w:tc>
          <w:tcPr>
            <w:tcW w:w="2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F7AB2D"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10 ≤ </w:t>
            </w:r>
            <w:proofErr w:type="spellStart"/>
            <w:r w:rsidRPr="00EC01E9">
              <w:rPr>
                <w:rFonts w:ascii="Calibri" w:eastAsia="Times New Roman" w:hAnsi="Calibri" w:cs="Calibri"/>
                <w:kern w:val="0"/>
                <w:sz w:val="18"/>
                <w:szCs w:val="18"/>
                <w:lang w:val="en-IN" w:eastAsia="en-GB"/>
                <w14:ligatures w14:val="none"/>
              </w:rPr>
              <w:t>Trm</w:t>
            </w:r>
            <w:proofErr w:type="spellEnd"/>
            <w:r w:rsidRPr="00EC01E9">
              <w:rPr>
                <w:rFonts w:ascii="Calibri" w:eastAsia="Times New Roman" w:hAnsi="Calibri" w:cs="Calibri"/>
                <w:kern w:val="0"/>
                <w:sz w:val="18"/>
                <w:szCs w:val="18"/>
                <w:lang w:val="en-IN" w:eastAsia="en-GB"/>
                <w14:ligatures w14:val="none"/>
              </w:rPr>
              <w:t xml:space="preserve"> ≤ 33.5°C</w:t>
            </w:r>
          </w:p>
        </w:tc>
      </w:tr>
    </w:tbl>
    <w:p w14:paraId="27617802"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6145B99E" w14:textId="77777777" w:rsidR="00EC01E9" w:rsidRPr="00EC01E9" w:rsidRDefault="00EC01E9" w:rsidP="00EC01E9">
      <w:pPr>
        <w:spacing w:before="8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2.3 Building Performance Simulation</w:t>
      </w:r>
    </w:p>
    <w:p w14:paraId="3D418F0D" w14:textId="37BA6B7A"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All three comfort models were applied to a simulated PMAY-G (Pradhan Mantri </w:t>
      </w:r>
      <w:proofErr w:type="spellStart"/>
      <w:r w:rsidRPr="00EC01E9">
        <w:rPr>
          <w:rFonts w:ascii="Calibri" w:eastAsia="Times New Roman" w:hAnsi="Calibri" w:cs="Calibri"/>
          <w:kern w:val="0"/>
          <w:lang w:val="en-IN" w:eastAsia="en-GB"/>
          <w14:ligatures w14:val="none"/>
        </w:rPr>
        <w:t>Awaas</w:t>
      </w:r>
      <w:proofErr w:type="spellEnd"/>
      <w:r w:rsidRPr="00EC01E9">
        <w:rPr>
          <w:rFonts w:ascii="Calibri" w:eastAsia="Times New Roman" w:hAnsi="Calibri" w:cs="Calibri"/>
          <w:kern w:val="0"/>
          <w:lang w:val="en-IN" w:eastAsia="en-GB"/>
          <w14:ligatures w14:val="none"/>
        </w:rPr>
        <w:t xml:space="preserve"> Yojana-</w:t>
      </w:r>
      <w:proofErr w:type="spellStart"/>
      <w:r w:rsidRPr="00EC01E9">
        <w:rPr>
          <w:rFonts w:ascii="Calibri" w:eastAsia="Times New Roman" w:hAnsi="Calibri" w:cs="Calibri"/>
          <w:kern w:val="0"/>
          <w:lang w:val="en-IN" w:eastAsia="en-GB"/>
          <w14:ligatures w14:val="none"/>
        </w:rPr>
        <w:t>Gramin</w:t>
      </w:r>
      <w:proofErr w:type="spellEnd"/>
      <w:r w:rsidRPr="00EC01E9">
        <w:rPr>
          <w:rFonts w:ascii="Calibri" w:eastAsia="Times New Roman" w:hAnsi="Calibri" w:cs="Calibri"/>
          <w:kern w:val="0"/>
          <w:lang w:val="en-IN" w:eastAsia="en-GB"/>
          <w14:ligatures w14:val="none"/>
        </w:rPr>
        <w:t xml:space="preserve">) rural dwelling in </w:t>
      </w:r>
      <w:proofErr w:type="spellStart"/>
      <w:r w:rsidRPr="00EC01E9">
        <w:rPr>
          <w:rFonts w:ascii="Calibri" w:eastAsia="Times New Roman" w:hAnsi="Calibri" w:cs="Calibri"/>
          <w:kern w:val="0"/>
          <w:lang w:val="en-IN" w:eastAsia="en-GB"/>
          <w14:ligatures w14:val="none"/>
        </w:rPr>
        <w:t>Bulandshahr</w:t>
      </w:r>
      <w:proofErr w:type="spellEnd"/>
      <w:r w:rsidRPr="00EC01E9">
        <w:rPr>
          <w:rFonts w:ascii="Calibri" w:eastAsia="Times New Roman" w:hAnsi="Calibri" w:cs="Calibri"/>
          <w:kern w:val="0"/>
          <w:lang w:val="en-IN" w:eastAsia="en-GB"/>
          <w14:ligatures w14:val="none"/>
        </w:rPr>
        <w:t xml:space="preserve">. The dwelling was modelled in Rhino with Grasshopper-scripted parametric control and simulated using Ladybug Tools integrated with </w:t>
      </w:r>
      <w:proofErr w:type="spellStart"/>
      <w:r w:rsidRPr="00EC01E9">
        <w:rPr>
          <w:rFonts w:ascii="Calibri" w:eastAsia="Times New Roman" w:hAnsi="Calibri" w:cs="Calibri"/>
          <w:kern w:val="0"/>
          <w:lang w:val="en-IN" w:eastAsia="en-GB"/>
          <w14:ligatures w14:val="none"/>
        </w:rPr>
        <w:t>EnergyPlus</w:t>
      </w:r>
      <w:proofErr w:type="spellEnd"/>
      <w:r w:rsidRPr="00EC01E9">
        <w:rPr>
          <w:rFonts w:ascii="Calibri" w:eastAsia="Times New Roman" w:hAnsi="Calibri" w:cs="Calibri"/>
          <w:kern w:val="0"/>
          <w:lang w:val="en-IN" w:eastAsia="en-GB"/>
          <w14:ligatures w14:val="none"/>
        </w:rPr>
        <w:t>, with Typical Meteorological Year (TMY) hourly climate data as the boundary input.</w:t>
      </w:r>
    </w:p>
    <w:p w14:paraId="1719B3BA" w14:textId="77777777" w:rsidR="00EC01E9" w:rsidRPr="00EC01E9" w:rsidRDefault="00EC01E9" w:rsidP="00EC01E9">
      <w:pPr>
        <w:spacing w:before="40" w:after="6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i/>
          <w:iCs/>
          <w:kern w:val="0"/>
          <w:sz w:val="20"/>
          <w:szCs w:val="20"/>
          <w:lang w:val="en-IN" w:eastAsia="en-GB"/>
          <w14:ligatures w14:val="none"/>
        </w:rPr>
        <w:t>Table 2: PMAY-G building typology: construction system and material specifications.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5"/>
        <w:gridCol w:w="4252"/>
        <w:gridCol w:w="3219"/>
      </w:tblGrid>
      <w:tr w:rsidR="00EC01E9" w:rsidRPr="00EC01E9" w14:paraId="7B27B6F5" w14:textId="77777777" w:rsidTr="00B820C5">
        <w:trPr>
          <w:tblHeader/>
        </w:trPr>
        <w:tc>
          <w:tcPr>
            <w:tcW w:w="1555"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50109D6B"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Component</w:t>
            </w:r>
          </w:p>
        </w:tc>
        <w:tc>
          <w:tcPr>
            <w:tcW w:w="4252"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2873EA37"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Specification</w:t>
            </w:r>
          </w:p>
        </w:tc>
        <w:tc>
          <w:tcPr>
            <w:tcW w:w="3219"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01ECF961"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Notes</w:t>
            </w:r>
          </w:p>
        </w:tc>
      </w:tr>
      <w:tr w:rsidR="00EC01E9" w:rsidRPr="00EC01E9" w14:paraId="7EC27C78" w14:textId="77777777" w:rsidTr="00B820C5">
        <w:trPr>
          <w:trHeight w:val="515"/>
        </w:trPr>
        <w:tc>
          <w:tcPr>
            <w:tcW w:w="1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A2C21A"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Foundations</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FD3BD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Reinforced stone masonry with cement mortar in strip foundation</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ED32CC"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Optimises local material; cement replaces mud mortar for seismic safety</w:t>
            </w:r>
          </w:p>
        </w:tc>
      </w:tr>
      <w:tr w:rsidR="00EC01E9" w:rsidRPr="00EC01E9" w14:paraId="19C775A1" w14:textId="77777777" w:rsidTr="00B820C5">
        <w:tc>
          <w:tcPr>
            <w:tcW w:w="1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2E08ED"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Plinth</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190CD8"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Reinforced RCC plinth beam at 450 mm from ground</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0E7C67"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r>
      <w:tr w:rsidR="00EC01E9" w:rsidRPr="00EC01E9" w14:paraId="0B563731" w14:textId="77777777" w:rsidTr="00B820C5">
        <w:tc>
          <w:tcPr>
            <w:tcW w:w="1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F85EDC"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Walls</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5BC85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Hollow interlocking CSEB, reinforced bars at corners; seismic bands at ceiling level</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21375F"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Vertical MS bars recommended for openings &gt; 600 mm</w:t>
            </w:r>
          </w:p>
        </w:tc>
      </w:tr>
      <w:tr w:rsidR="00EC01E9" w:rsidRPr="00EC01E9" w14:paraId="5E1C8884" w14:textId="77777777" w:rsidTr="00B820C5">
        <w:tc>
          <w:tcPr>
            <w:tcW w:w="1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901A10"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Roof structure</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448154"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Prefabricated RC beam with bamboo reinforcement</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2218C1"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r>
      <w:tr w:rsidR="00EC01E9" w:rsidRPr="00EC01E9" w14:paraId="2B5AEDEE" w14:textId="77777777" w:rsidTr="00B820C5">
        <w:tc>
          <w:tcPr>
            <w:tcW w:w="1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AE191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Roof cover</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04E809"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Stone </w:t>
            </w:r>
            <w:proofErr w:type="spellStart"/>
            <w:r w:rsidRPr="00EC01E9">
              <w:rPr>
                <w:rFonts w:ascii="Calibri" w:eastAsia="Times New Roman" w:hAnsi="Calibri" w:cs="Calibri"/>
                <w:kern w:val="0"/>
                <w:sz w:val="18"/>
                <w:szCs w:val="18"/>
                <w:lang w:val="en-IN" w:eastAsia="en-GB"/>
                <w14:ligatures w14:val="none"/>
              </w:rPr>
              <w:t>patti</w:t>
            </w:r>
            <w:proofErr w:type="spellEnd"/>
            <w:r w:rsidRPr="00EC01E9">
              <w:rPr>
                <w:rFonts w:ascii="Calibri" w:eastAsia="Times New Roman" w:hAnsi="Calibri" w:cs="Calibri"/>
                <w:kern w:val="0"/>
                <w:sz w:val="18"/>
                <w:szCs w:val="18"/>
                <w:lang w:val="en-IN" w:eastAsia="en-GB"/>
                <w14:ligatures w14:val="none"/>
              </w:rPr>
              <w:t xml:space="preserve"> with 75 mm mud </w:t>
            </w:r>
            <w:proofErr w:type="spellStart"/>
            <w:r w:rsidRPr="00EC01E9">
              <w:rPr>
                <w:rFonts w:ascii="Calibri" w:eastAsia="Times New Roman" w:hAnsi="Calibri" w:cs="Calibri"/>
                <w:kern w:val="0"/>
                <w:sz w:val="18"/>
                <w:szCs w:val="18"/>
                <w:lang w:val="en-IN" w:eastAsia="en-GB"/>
                <w14:ligatures w14:val="none"/>
              </w:rPr>
              <w:t>phuska</w:t>
            </w:r>
            <w:proofErr w:type="spellEnd"/>
            <w:r w:rsidRPr="00EC01E9">
              <w:rPr>
                <w:rFonts w:ascii="Calibri" w:eastAsia="Times New Roman" w:hAnsi="Calibri" w:cs="Calibri"/>
                <w:kern w:val="0"/>
                <w:sz w:val="18"/>
                <w:szCs w:val="18"/>
                <w:lang w:val="en-IN" w:eastAsia="en-GB"/>
                <w14:ligatures w14:val="none"/>
              </w:rPr>
              <w:t xml:space="preserve"> insulation</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467DF6"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Improves on existing practice</w:t>
            </w:r>
          </w:p>
        </w:tc>
      </w:tr>
      <w:tr w:rsidR="00EC01E9" w:rsidRPr="00EC01E9" w14:paraId="1E09D762" w14:textId="77777777" w:rsidTr="00B820C5">
        <w:tc>
          <w:tcPr>
            <w:tcW w:w="15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6699B4"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Floor</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23793D"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Plain cement finish over brick</w:t>
            </w:r>
          </w:p>
        </w:tc>
        <w:tc>
          <w:tcPr>
            <w:tcW w:w="32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EEF3C0"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r>
    </w:tbl>
    <w:p w14:paraId="7A987AC7" w14:textId="4AAED75F"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lastRenderedPageBreak/>
        <w:t>The dwelling is configured as a rectangular layout comprising one bedroom, a kitchen, and a toilet, constructed with hollow interlocking CSEB walls, a flat mud-</w:t>
      </w:r>
      <w:proofErr w:type="spellStart"/>
      <w:r w:rsidRPr="00EC01E9">
        <w:rPr>
          <w:rFonts w:ascii="Calibri" w:eastAsia="Times New Roman" w:hAnsi="Calibri" w:cs="Calibri"/>
          <w:kern w:val="0"/>
          <w:lang w:val="en-IN" w:eastAsia="en-GB"/>
          <w14:ligatures w14:val="none"/>
        </w:rPr>
        <w:t>phuska</w:t>
      </w:r>
      <w:proofErr w:type="spellEnd"/>
      <w:r w:rsidRPr="00EC01E9">
        <w:rPr>
          <w:rFonts w:ascii="Calibri" w:eastAsia="Times New Roman" w:hAnsi="Calibri" w:cs="Calibri"/>
          <w:kern w:val="0"/>
          <w:lang w:val="en-IN" w:eastAsia="en-GB"/>
          <w14:ligatures w14:val="none"/>
        </w:rPr>
        <w:t xml:space="preserve">-insulated roof, and a front-facing </w:t>
      </w:r>
      <w:proofErr w:type="spellStart"/>
      <w:r w:rsidRPr="00EC01E9">
        <w:rPr>
          <w:rFonts w:ascii="Calibri" w:eastAsia="Times New Roman" w:hAnsi="Calibri" w:cs="Calibri"/>
          <w:kern w:val="0"/>
          <w:lang w:val="en-IN" w:eastAsia="en-GB"/>
          <w14:ligatures w14:val="none"/>
        </w:rPr>
        <w:t>verandah</w:t>
      </w:r>
      <w:proofErr w:type="spellEnd"/>
      <w:r w:rsidRPr="00EC01E9">
        <w:rPr>
          <w:rFonts w:ascii="Calibri" w:eastAsia="Times New Roman" w:hAnsi="Calibri" w:cs="Calibri"/>
          <w:kern w:val="0"/>
          <w:lang w:val="en-IN" w:eastAsia="en-GB"/>
          <w14:ligatures w14:val="none"/>
        </w:rPr>
        <w:t xml:space="preserve">, oriented with the longest sides facing north and south. The building specifications and </w:t>
      </w:r>
      <w:proofErr w:type="spellStart"/>
      <w:r w:rsidRPr="00EC01E9">
        <w:rPr>
          <w:rFonts w:ascii="Calibri" w:eastAsia="Times New Roman" w:hAnsi="Calibri" w:cs="Calibri"/>
          <w:kern w:val="0"/>
          <w:lang w:val="en-IN" w:eastAsia="en-GB"/>
          <w14:ligatures w14:val="none"/>
        </w:rPr>
        <w:t>EnergyPlus</w:t>
      </w:r>
      <w:proofErr w:type="spellEnd"/>
      <w:r w:rsidRPr="00EC01E9">
        <w:rPr>
          <w:rFonts w:ascii="Calibri" w:eastAsia="Times New Roman" w:hAnsi="Calibri" w:cs="Calibri"/>
          <w:kern w:val="0"/>
          <w:lang w:val="en-IN" w:eastAsia="en-GB"/>
          <w14:ligatures w14:val="none"/>
        </w:rPr>
        <w:t xml:space="preserve"> simulation inputs — including fenestration, shading, zoning, and scheduled internal loads — are detailed in Tables 2 and 3. All three models were run under identical boundary conditions: continuous occupancy with scheduled internal loads for occupants, lighting, and plug loads, enabling direct cross-model comparison.</w:t>
      </w:r>
    </w:p>
    <w:p w14:paraId="46AB1CA1" w14:textId="77777777" w:rsidR="00EC01E9" w:rsidRPr="00EC01E9" w:rsidRDefault="00EC01E9" w:rsidP="00EC01E9">
      <w:pPr>
        <w:spacing w:before="40" w:after="60" w:line="240" w:lineRule="auto"/>
        <w:jc w:val="center"/>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i/>
          <w:iCs/>
          <w:kern w:val="0"/>
          <w:sz w:val="20"/>
          <w:szCs w:val="20"/>
          <w:lang w:val="en-IN" w:eastAsia="en-GB"/>
          <w14:ligatures w14:val="none"/>
        </w:rPr>
        <w:t xml:space="preserve">Table 3: </w:t>
      </w:r>
      <w:proofErr w:type="spellStart"/>
      <w:r w:rsidRPr="00EC01E9">
        <w:rPr>
          <w:rFonts w:ascii="Calibri" w:eastAsia="Times New Roman" w:hAnsi="Calibri" w:cs="Calibri"/>
          <w:i/>
          <w:iCs/>
          <w:kern w:val="0"/>
          <w:sz w:val="20"/>
          <w:szCs w:val="20"/>
          <w:lang w:val="en-IN" w:eastAsia="en-GB"/>
          <w14:ligatures w14:val="none"/>
        </w:rPr>
        <w:t>EnergyPlus</w:t>
      </w:r>
      <w:proofErr w:type="spellEnd"/>
      <w:r w:rsidRPr="00EC01E9">
        <w:rPr>
          <w:rFonts w:ascii="Calibri" w:eastAsia="Times New Roman" w:hAnsi="Calibri" w:cs="Calibri"/>
          <w:i/>
          <w:iCs/>
          <w:kern w:val="0"/>
          <w:sz w:val="20"/>
          <w:szCs w:val="20"/>
          <w:lang w:val="en-IN" w:eastAsia="en-GB"/>
          <w14:ligatures w14:val="none"/>
        </w:rPr>
        <w:t xml:space="preserve"> simulation inputs — PMAY-G dwelling, </w:t>
      </w:r>
      <w:proofErr w:type="spellStart"/>
      <w:r w:rsidRPr="00EC01E9">
        <w:rPr>
          <w:rFonts w:ascii="Calibri" w:eastAsia="Times New Roman" w:hAnsi="Calibri" w:cs="Calibri"/>
          <w:i/>
          <w:iCs/>
          <w:kern w:val="0"/>
          <w:sz w:val="20"/>
          <w:szCs w:val="20"/>
          <w:lang w:val="en-IN" w:eastAsia="en-GB"/>
          <w14:ligatures w14:val="none"/>
        </w:rPr>
        <w:t>Bulandshahr</w:t>
      </w:r>
      <w:proofErr w:type="spellEnd"/>
      <w:r w:rsidRPr="00EC01E9">
        <w:rPr>
          <w:rFonts w:ascii="Calibri" w:eastAsia="Times New Roman" w:hAnsi="Calibri" w:cs="Calibri"/>
          <w:i/>
          <w:iCs/>
          <w:kern w:val="0"/>
          <w:sz w:val="20"/>
          <w:szCs w:val="20"/>
          <w:lang w:val="en-IN" w:eastAsia="en-GB"/>
          <w14:ligatures w14:val="none"/>
        </w:rPr>
        <w:t xml:space="preserve"> (Floor area ~30 m², Ground floor, Floor height 2.8 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800"/>
        <w:gridCol w:w="4226"/>
      </w:tblGrid>
      <w:tr w:rsidR="00EC01E9" w:rsidRPr="00EC01E9" w14:paraId="2D23DDA3" w14:textId="77777777" w:rsidTr="007C1D25">
        <w:trPr>
          <w:tblHeader/>
        </w:trPr>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2D761B64"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Category</w:t>
            </w:r>
          </w:p>
        </w:tc>
        <w:tc>
          <w:tcPr>
            <w:tcW w:w="28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27058912"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Parameter</w:t>
            </w:r>
          </w:p>
        </w:tc>
        <w:tc>
          <w:tcPr>
            <w:tcW w:w="42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vAlign w:val="center"/>
          </w:tcPr>
          <w:p w14:paraId="1A6844CB"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18"/>
                <w:szCs w:val="18"/>
                <w:lang w:val="en-IN" w:eastAsia="en-GB"/>
                <w14:ligatures w14:val="none"/>
              </w:rPr>
              <w:t>Value / Specification</w:t>
            </w:r>
          </w:p>
        </w:tc>
      </w:tr>
      <w:tr w:rsidR="00EC01E9" w:rsidRPr="00EC01E9" w14:paraId="59849F86"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FA9167"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Building envelope</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A8F86E"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Opaque wall</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4F6FE6"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300 mm CSEB block wall; U = 2.20 W/m²K</w:t>
            </w:r>
          </w:p>
        </w:tc>
      </w:tr>
      <w:tr w:rsidR="00EC01E9" w:rsidRPr="00EC01E9" w14:paraId="1C0C792C"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E8B0C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D24E48"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Roof assembly</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11FC65"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 xml:space="preserve">50 mm stone </w:t>
            </w:r>
            <w:proofErr w:type="spellStart"/>
            <w:r w:rsidRPr="00EC01E9">
              <w:rPr>
                <w:rFonts w:ascii="Calibri" w:eastAsia="Times New Roman" w:hAnsi="Calibri" w:cs="Calibri"/>
                <w:kern w:val="0"/>
                <w:sz w:val="18"/>
                <w:szCs w:val="18"/>
                <w:lang w:val="en-IN" w:eastAsia="en-GB"/>
                <w14:ligatures w14:val="none"/>
              </w:rPr>
              <w:t>patti</w:t>
            </w:r>
            <w:proofErr w:type="spellEnd"/>
            <w:r w:rsidRPr="00EC01E9">
              <w:rPr>
                <w:rFonts w:ascii="Calibri" w:eastAsia="Times New Roman" w:hAnsi="Calibri" w:cs="Calibri"/>
                <w:kern w:val="0"/>
                <w:sz w:val="18"/>
                <w:szCs w:val="18"/>
                <w:lang w:val="en-IN" w:eastAsia="en-GB"/>
                <w14:ligatures w14:val="none"/>
              </w:rPr>
              <w:t xml:space="preserve"> + 75 mm mud </w:t>
            </w:r>
            <w:proofErr w:type="spellStart"/>
            <w:r w:rsidRPr="00EC01E9">
              <w:rPr>
                <w:rFonts w:ascii="Calibri" w:eastAsia="Times New Roman" w:hAnsi="Calibri" w:cs="Calibri"/>
                <w:kern w:val="0"/>
                <w:sz w:val="18"/>
                <w:szCs w:val="18"/>
                <w:lang w:val="en-IN" w:eastAsia="en-GB"/>
                <w14:ligatures w14:val="none"/>
              </w:rPr>
              <w:t>phuska</w:t>
            </w:r>
            <w:proofErr w:type="spellEnd"/>
            <w:r w:rsidRPr="00EC01E9">
              <w:rPr>
                <w:rFonts w:ascii="Calibri" w:eastAsia="Times New Roman" w:hAnsi="Calibri" w:cs="Calibri"/>
                <w:kern w:val="0"/>
                <w:sz w:val="18"/>
                <w:szCs w:val="18"/>
                <w:lang w:val="en-IN" w:eastAsia="en-GB"/>
                <w14:ligatures w14:val="none"/>
              </w:rPr>
              <w:t xml:space="preserve"> + 20 mm terracotta tile; U = 2.88 W/m²K</w:t>
            </w:r>
          </w:p>
        </w:tc>
      </w:tr>
      <w:tr w:rsidR="00EC01E9" w:rsidRPr="00EC01E9" w14:paraId="57B20715"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915598"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8D5C11"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Fenestration</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11ECB0"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Single timber frame; U = 3.056 W/m²K</w:t>
            </w:r>
          </w:p>
        </w:tc>
      </w:tr>
      <w:tr w:rsidR="00EC01E9" w:rsidRPr="00EC01E9" w14:paraId="12035D67"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C6A717"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04FDDD"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Door</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8BDF53"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Wooden door; U = 2.52 W/m²K</w:t>
            </w:r>
          </w:p>
        </w:tc>
      </w:tr>
      <w:tr w:rsidR="00EC01E9" w:rsidRPr="00EC01E9" w14:paraId="435899E0"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2301A0"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Lighting</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021C5C"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Building area method</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06C8F7"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5.3 W/m²</w:t>
            </w:r>
          </w:p>
        </w:tc>
      </w:tr>
      <w:tr w:rsidR="00EC01E9" w:rsidRPr="00EC01E9" w14:paraId="68DB15E4"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1400AA"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Conditioning</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6A4EE0"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Cooling / Heating type</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C60CE67"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Natural ventilation only (no mechanical system)</w:t>
            </w:r>
          </w:p>
        </w:tc>
      </w:tr>
      <w:tr w:rsidR="00EC01E9" w:rsidRPr="00EC01E9" w14:paraId="61833874" w14:textId="77777777" w:rsidTr="007C1D25">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E3A8D1"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Occupancy</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D01D5D"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Schedule</w:t>
            </w:r>
          </w:p>
        </w:tc>
        <w:tc>
          <w:tcPr>
            <w:tcW w:w="4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033E8B" w14:textId="77777777" w:rsidR="00EC01E9" w:rsidRPr="00EC01E9" w:rsidRDefault="00EC01E9" w:rsidP="00EC01E9">
            <w:pPr>
              <w:spacing w:after="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sz w:val="18"/>
                <w:szCs w:val="18"/>
                <w:lang w:val="en-IN" w:eastAsia="en-GB"/>
                <w14:ligatures w14:val="none"/>
              </w:rPr>
              <w:t>Continuous; scheduled internal loads for occupants, lighting, and plug loads</w:t>
            </w:r>
          </w:p>
        </w:tc>
      </w:tr>
    </w:tbl>
    <w:p w14:paraId="2EC6E263"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1EE7AC70"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3. RESULTS</w:t>
      </w:r>
    </w:p>
    <w:p w14:paraId="38CEFF35" w14:textId="77777777"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Analysis reveals systematic and statistically significant divergence between universal comfort thresholds and the locally calibrated seasonal ranges in both seasons studied. The field-derived model yields a neutral temperature (Tn) of 30.38°C for Summer and 27.62°C for Monsoon (Table 1), compared to the ASHRAE-55 upper acceptability limit of approximately 28°C and the IMAC-R equivalent. During Summer, the acceptable operative temperature band extends approximately 2–3°C beyond the ASHRAE-55 upper threshold, reflecting documented physiological and behavioural adaptation among occupants of naturally ventilated rural dwellings in composite climates. During the Monsoon season, the field-derived neutral temperature is lower than Summer, indicating humidity-mediated thermal sensitivity not captured by either ASHRAE-55 or IMAC-R — both of which apply a single annual or climate-zone regression without seasonal differentiation. These divergences are not marginal calibration differences; they represent a structurally different account of acceptable indoor thermal conditions, one that emerges from the actual thermal experience of this occupant group rather than from assumptions carried across from controlled or urban contexts.</w:t>
      </w:r>
    </w:p>
    <w:p w14:paraId="782168C5" w14:textId="77777777"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Applied to the simulated PMAY-G dwelling, the three models produce materially different performance projections. The place-specific field-derived model estimates 37% annual comfortable hours; ASHRAE-55 estimates 42%; and IMAC-R (Rawal et al., 2022) estimates 51%. This 14-percentage-point spread between the most conservative and most permissive standards represents a fundamental disagreement about whether the dwelling is thermally adequate — with direct implications for passive ventilation strategy, envelope specification, and projected cooling energy demand.</w:t>
      </w:r>
    </w:p>
    <w:p w14:paraId="34BD4993"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5CBC578E"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4. DISCUSSION</w:t>
      </w:r>
    </w:p>
    <w:p w14:paraId="4077C38B" w14:textId="77777777"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The simulation results confirm a three-way divergence in annual comfortable hours under identical building and climate conditions, with each model producing a materially different performance picture </w:t>
      </w:r>
      <w:r w:rsidRPr="00EC01E9">
        <w:rPr>
          <w:rFonts w:ascii="Calibri" w:eastAsia="Times New Roman" w:hAnsi="Calibri" w:cs="Calibri"/>
          <w:kern w:val="0"/>
          <w:lang w:val="en-IN" w:eastAsia="en-GB"/>
          <w14:ligatures w14:val="none"/>
        </w:rPr>
        <w:lastRenderedPageBreak/>
        <w:t xml:space="preserve">for the PMAY-G dwelling in </w:t>
      </w:r>
      <w:proofErr w:type="spellStart"/>
      <w:r w:rsidRPr="00EC01E9">
        <w:rPr>
          <w:rFonts w:ascii="Calibri" w:eastAsia="Times New Roman" w:hAnsi="Calibri" w:cs="Calibri"/>
          <w:kern w:val="0"/>
          <w:lang w:val="en-IN" w:eastAsia="en-GB"/>
          <w14:ligatures w14:val="none"/>
        </w:rPr>
        <w:t>Bulandshahr's</w:t>
      </w:r>
      <w:proofErr w:type="spellEnd"/>
      <w:r w:rsidRPr="00EC01E9">
        <w:rPr>
          <w:rFonts w:ascii="Calibri" w:eastAsia="Times New Roman" w:hAnsi="Calibri" w:cs="Calibri"/>
          <w:kern w:val="0"/>
          <w:lang w:val="en-IN" w:eastAsia="en-GB"/>
          <w14:ligatures w14:val="none"/>
        </w:rPr>
        <w:t xml:space="preserve"> composite climate zone. This 14-percentage-point spread represents fundamental disagreement about whether the dwelling is thermally adequate for its occupants — a difference that is neither marginal nor merely technical in its consequences for design specification and energy demand.</w:t>
      </w:r>
    </w:p>
    <w:p w14:paraId="4D9586FC" w14:textId="77CDFC68"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Relying on IMAC-R (Rawal et al., 2022) thresholds to inform design would result in systematic under-specification of passive cooling measures: inadequate </w:t>
      </w:r>
      <w:r>
        <w:rPr>
          <w:rFonts w:ascii="Calibri" w:eastAsia="Times New Roman" w:hAnsi="Calibri" w:cs="Calibri"/>
          <w:kern w:val="0"/>
          <w:lang w:val="en-IN" w:eastAsia="en-GB"/>
          <w14:ligatures w14:val="none"/>
        </w:rPr>
        <w:t>sizing</w:t>
      </w:r>
      <w:r w:rsidRPr="00EC01E9">
        <w:rPr>
          <w:rFonts w:ascii="Calibri" w:eastAsia="Times New Roman" w:hAnsi="Calibri" w:cs="Calibri"/>
          <w:kern w:val="0"/>
          <w:lang w:val="en-IN" w:eastAsia="en-GB"/>
          <w14:ligatures w14:val="none"/>
        </w:rPr>
        <w:t xml:space="preserve"> </w:t>
      </w:r>
      <w:r>
        <w:rPr>
          <w:rFonts w:ascii="Calibri" w:eastAsia="Times New Roman" w:hAnsi="Calibri" w:cs="Calibri"/>
          <w:kern w:val="0"/>
          <w:lang w:val="en-IN" w:eastAsia="en-GB"/>
          <w14:ligatures w14:val="none"/>
        </w:rPr>
        <w:t>of cross-ventilation</w:t>
      </w:r>
      <w:r w:rsidRPr="00EC01E9">
        <w:rPr>
          <w:rFonts w:ascii="Calibri" w:eastAsia="Times New Roman" w:hAnsi="Calibri" w:cs="Calibri"/>
          <w:kern w:val="0"/>
          <w:lang w:val="en-IN" w:eastAsia="en-GB"/>
          <w14:ligatures w14:val="none"/>
        </w:rPr>
        <w:t xml:space="preserve">, insufficient shading provision, and underestimated wall thermal resistance, </w:t>
      </w:r>
      <w:r>
        <w:rPr>
          <w:rFonts w:ascii="Calibri" w:eastAsia="Times New Roman" w:hAnsi="Calibri" w:cs="Calibri"/>
          <w:kern w:val="0"/>
          <w:lang w:val="en-IN" w:eastAsia="en-GB"/>
          <w14:ligatures w14:val="none"/>
        </w:rPr>
        <w:t>leading</w:t>
      </w:r>
      <w:r w:rsidRPr="00EC01E9">
        <w:rPr>
          <w:rFonts w:ascii="Calibri" w:eastAsia="Times New Roman" w:hAnsi="Calibri" w:cs="Calibri"/>
          <w:kern w:val="0"/>
          <w:lang w:val="en-IN" w:eastAsia="en-GB"/>
          <w14:ligatures w14:val="none"/>
        </w:rPr>
        <w:t xml:space="preserve"> </w:t>
      </w:r>
      <w:r>
        <w:rPr>
          <w:rFonts w:ascii="Calibri" w:eastAsia="Times New Roman" w:hAnsi="Calibri" w:cs="Calibri"/>
          <w:kern w:val="0"/>
          <w:lang w:val="en-IN" w:eastAsia="en-GB"/>
          <w14:ligatures w14:val="none"/>
        </w:rPr>
        <w:t>to</w:t>
      </w:r>
      <w:r w:rsidRPr="00EC01E9">
        <w:rPr>
          <w:rFonts w:ascii="Calibri" w:eastAsia="Times New Roman" w:hAnsi="Calibri" w:cs="Calibri"/>
          <w:kern w:val="0"/>
          <w:lang w:val="en-IN" w:eastAsia="en-GB"/>
          <w14:ligatures w14:val="none"/>
        </w:rPr>
        <w:t xml:space="preserve"> </w:t>
      </w:r>
      <w:r>
        <w:rPr>
          <w:rFonts w:ascii="Calibri" w:eastAsia="Times New Roman" w:hAnsi="Calibri" w:cs="Calibri"/>
          <w:kern w:val="0"/>
          <w:lang w:val="en-IN" w:eastAsia="en-GB"/>
          <w14:ligatures w14:val="none"/>
        </w:rPr>
        <w:t>an</w:t>
      </w:r>
      <w:r w:rsidRPr="00EC01E9">
        <w:rPr>
          <w:rFonts w:ascii="Calibri" w:eastAsia="Times New Roman" w:hAnsi="Calibri" w:cs="Calibri"/>
          <w:kern w:val="0"/>
          <w:lang w:val="en-IN" w:eastAsia="en-GB"/>
          <w14:ligatures w14:val="none"/>
        </w:rPr>
        <w:t xml:space="preserve"> underestimation of cooling energy demand. The ASHRAE-55 estimate falls between the two, overestimating thermal acceptability by approximately 5 percentage points relative to the empirically grounded, place-specific model. Taken together, these findings demonstrate that the choice of comfort standard is not a neutral technical decision: it determines what gets built, how much energy is consumed, and how effectively the building serves its occupants.</w:t>
      </w:r>
    </w:p>
    <w:p w14:paraId="7C684311" w14:textId="0DB1C6A8"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These findings carry direct relevance for regenerative design practice and policy. PMAY-G is India's largest rural housing program, with millions of units constructed to a standardi</w:t>
      </w:r>
      <w:r>
        <w:rPr>
          <w:rFonts w:ascii="Calibri" w:eastAsia="Times New Roman" w:hAnsi="Calibri" w:cs="Calibri"/>
          <w:kern w:val="0"/>
          <w:lang w:val="en-IN" w:eastAsia="en-GB"/>
          <w14:ligatures w14:val="none"/>
        </w:rPr>
        <w:t>z</w:t>
      </w:r>
      <w:r w:rsidRPr="00EC01E9">
        <w:rPr>
          <w:rFonts w:ascii="Calibri" w:eastAsia="Times New Roman" w:hAnsi="Calibri" w:cs="Calibri"/>
          <w:kern w:val="0"/>
          <w:lang w:val="en-IN" w:eastAsia="en-GB"/>
          <w14:ligatures w14:val="none"/>
        </w:rPr>
        <w:t>ed typology across climatically diverse regions. Where the thermal comfort standards used to specify these dwellings are calibrated for urban or mechanically conditioned contexts, the program systematically delivers thermally inadequate housing that will require active mechanical conditioning to compensate for design shortfalls — driving up energy demand and carbon footprint at scale. Recalibrating to a place-specific adaptive model, as this study demonstrates, reorients the design specification toward passive sufficiency: envelope performance, natural ventilation, and thermal mass grounded in the actual thermal experience of the occupant population. This is not a technical adjustment; it is the foundational move of regenerative development — not optimi</w:t>
      </w:r>
      <w:r>
        <w:rPr>
          <w:rFonts w:ascii="Calibri" w:eastAsia="Times New Roman" w:hAnsi="Calibri" w:cs="Calibri"/>
          <w:kern w:val="0"/>
          <w:lang w:val="en-IN" w:eastAsia="en-GB"/>
          <w14:ligatures w14:val="none"/>
        </w:rPr>
        <w:t>z</w:t>
      </w:r>
      <w:r w:rsidRPr="00EC01E9">
        <w:rPr>
          <w:rFonts w:ascii="Calibri" w:eastAsia="Times New Roman" w:hAnsi="Calibri" w:cs="Calibri"/>
          <w:kern w:val="0"/>
          <w:lang w:val="en-IN" w:eastAsia="en-GB"/>
          <w14:ligatures w14:val="none"/>
        </w:rPr>
        <w:t>ing within a borrowed framework, but rebuilding the framework from place-specific evidence.</w:t>
      </w:r>
    </w:p>
    <w:p w14:paraId="46E1D4FE"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60B4EAD0"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5. CONCLUSION</w:t>
      </w:r>
    </w:p>
    <w:p w14:paraId="17A125E6" w14:textId="50A5E5BE"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This study demonstrates that recalibrating a single foundational parameter — adaptive thermal comfort — from place-specific, seasonally differentiated field evidence propagates structural changes across the entire design logic of a rural dwelling: ventilation strategy, envelope thermal specification, and projected cooling energy demand all shift measurably depending on which comfort standard is applied. The 14-percentage-point spread in annual comfortable hours between the field-derived model and IMAC-R is not a technical anomaly; it is the empirical signature of a design framework that was never calibrated for this occupant population or this climate context. This is precisely the mechanism through which regenerative development departs from conventional sustainability optimi</w:t>
      </w:r>
      <w:r>
        <w:rPr>
          <w:rFonts w:ascii="Calibri" w:eastAsia="Times New Roman" w:hAnsi="Calibri" w:cs="Calibri"/>
          <w:kern w:val="0"/>
          <w:lang w:val="en-IN" w:eastAsia="en-GB"/>
          <w14:ligatures w14:val="none"/>
        </w:rPr>
        <w:t>z</w:t>
      </w:r>
      <w:r w:rsidRPr="00EC01E9">
        <w:rPr>
          <w:rFonts w:ascii="Calibri" w:eastAsia="Times New Roman" w:hAnsi="Calibri" w:cs="Calibri"/>
          <w:kern w:val="0"/>
          <w:lang w:val="en-IN" w:eastAsia="en-GB"/>
          <w14:ligatures w14:val="none"/>
        </w:rPr>
        <w:t>ation: it does not refine the existing framework — it rebuilds it from place-specific, occupant-grounded evidence.</w:t>
      </w:r>
    </w:p>
    <w:p w14:paraId="1C37B775" w14:textId="44B3EFAE" w:rsidR="00EC01E9" w:rsidRPr="00EC01E9" w:rsidRDefault="00EC01E9" w:rsidP="00EC01E9">
      <w:pPr>
        <w:spacing w:after="40" w:line="240" w:lineRule="auto"/>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The methodology demonstrated here — ASHRAE Class II field surveys across two seasons, combined with parametric building performance simulation in </w:t>
      </w:r>
      <w:proofErr w:type="spellStart"/>
      <w:r w:rsidRPr="00EC01E9">
        <w:rPr>
          <w:rFonts w:ascii="Calibri" w:eastAsia="Times New Roman" w:hAnsi="Calibri" w:cs="Calibri"/>
          <w:kern w:val="0"/>
          <w:lang w:val="en-IN" w:eastAsia="en-GB"/>
          <w14:ligatures w14:val="none"/>
        </w:rPr>
        <w:t>EnergyPlus</w:t>
      </w:r>
      <w:proofErr w:type="spellEnd"/>
      <w:r w:rsidRPr="00EC01E9">
        <w:rPr>
          <w:rFonts w:ascii="Calibri" w:eastAsia="Times New Roman" w:hAnsi="Calibri" w:cs="Calibri"/>
          <w:kern w:val="0"/>
          <w:lang w:val="en-IN" w:eastAsia="en-GB"/>
          <w14:ligatures w14:val="none"/>
        </w:rPr>
        <w:t xml:space="preserve"> via Ladybug Tools — is replicable and scalable across India's other climate zones and housing typologies. Applied at </w:t>
      </w:r>
      <w:r>
        <w:rPr>
          <w:rFonts w:ascii="Calibri" w:eastAsia="Times New Roman" w:hAnsi="Calibri" w:cs="Calibri"/>
          <w:kern w:val="0"/>
          <w:lang w:val="en-IN" w:eastAsia="en-GB"/>
          <w14:ligatures w14:val="none"/>
        </w:rPr>
        <w:t>the program</w:t>
      </w:r>
      <w:r w:rsidRPr="00EC01E9">
        <w:rPr>
          <w:rFonts w:ascii="Calibri" w:eastAsia="Times New Roman" w:hAnsi="Calibri" w:cs="Calibri"/>
          <w:kern w:val="0"/>
          <w:lang w:val="en-IN" w:eastAsia="en-GB"/>
          <w14:ligatures w14:val="none"/>
        </w:rPr>
        <w:t xml:space="preserve"> scale under PMAY-G, a recalibrated, place-specific comfort framework could transform the thermal performance baseline for millions of rural dwellings. Future research should extend the recalibration approach to encompass daylighting adequacy, indoor air quality, and acoustic performance, building toward an integrated, multi-parameter, place-based regenerative design framework for India's climatically and culturally diverse rural housing landscape.</w:t>
      </w:r>
    </w:p>
    <w:p w14:paraId="2085C13F"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46535B23"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ACKNOWLEDGEMENTS</w:t>
      </w:r>
    </w:p>
    <w:p w14:paraId="06DC31F9" w14:textId="77777777" w:rsidR="00EC01E9" w:rsidRPr="00EC01E9" w:rsidRDefault="00EC01E9" w:rsidP="00EC01E9">
      <w:pPr>
        <w:spacing w:after="40" w:line="240" w:lineRule="auto"/>
        <w:ind w:firstLine="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This research builds on doctoral work undertaken by the first author at the Indian Institute of Technology Delhi, India. The authors acknowledge the support of the participating communities in </w:t>
      </w:r>
      <w:proofErr w:type="spellStart"/>
      <w:r w:rsidRPr="00EC01E9">
        <w:rPr>
          <w:rFonts w:ascii="Calibri" w:eastAsia="Times New Roman" w:hAnsi="Calibri" w:cs="Calibri"/>
          <w:kern w:val="0"/>
          <w:lang w:val="en-IN" w:eastAsia="en-GB"/>
          <w14:ligatures w14:val="none"/>
        </w:rPr>
        <w:lastRenderedPageBreak/>
        <w:t>Bulandshahr</w:t>
      </w:r>
      <w:proofErr w:type="spellEnd"/>
      <w:r w:rsidRPr="00EC01E9">
        <w:rPr>
          <w:rFonts w:ascii="Calibri" w:eastAsia="Times New Roman" w:hAnsi="Calibri" w:cs="Calibri"/>
          <w:kern w:val="0"/>
          <w:lang w:val="en-IN" w:eastAsia="en-GB"/>
          <w14:ligatures w14:val="none"/>
        </w:rPr>
        <w:t xml:space="preserve"> district, Uttar Pradesh, and the field survey teams who facilitated data collection across the Summer and Monsoon seasons.</w:t>
      </w:r>
    </w:p>
    <w:p w14:paraId="4875D248"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6B10F02A"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NOMENCLATURE</w:t>
      </w:r>
    </w:p>
    <w:p w14:paraId="03DA7D90"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ASHRAE</w:t>
      </w:r>
      <w:r w:rsidRPr="00EC01E9">
        <w:rPr>
          <w:rFonts w:ascii="Calibri" w:eastAsia="Times New Roman" w:hAnsi="Calibri" w:cs="Calibri"/>
          <w:kern w:val="0"/>
          <w:lang w:val="en-IN" w:eastAsia="en-GB"/>
          <w14:ligatures w14:val="none"/>
        </w:rPr>
        <w:tab/>
        <w:t>American Society of Heating, Refrigerating, and Air-Conditioning Engineers</w:t>
      </w:r>
    </w:p>
    <w:p w14:paraId="700FABFD"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IMAC-R</w:t>
      </w:r>
      <w:r w:rsidRPr="00EC01E9">
        <w:rPr>
          <w:rFonts w:ascii="Calibri" w:eastAsia="Times New Roman" w:hAnsi="Calibri" w:cs="Calibri"/>
          <w:kern w:val="0"/>
          <w:lang w:val="en-IN" w:eastAsia="en-GB"/>
          <w14:ligatures w14:val="none"/>
        </w:rPr>
        <w:tab/>
        <w:t>India Model for Adaptive Comfort — Rural</w:t>
      </w:r>
    </w:p>
    <w:p w14:paraId="24460F55"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ISO</w:t>
      </w:r>
      <w:r w:rsidRPr="00EC01E9">
        <w:rPr>
          <w:rFonts w:ascii="Calibri" w:eastAsia="Times New Roman" w:hAnsi="Calibri" w:cs="Calibri"/>
          <w:kern w:val="0"/>
          <w:lang w:val="en-IN" w:eastAsia="en-GB"/>
          <w14:ligatures w14:val="none"/>
        </w:rPr>
        <w:tab/>
        <w:t>International Organization for Standardization</w:t>
      </w:r>
    </w:p>
    <w:p w14:paraId="2EC70479"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BREEAM</w:t>
      </w:r>
      <w:r w:rsidRPr="00EC01E9">
        <w:rPr>
          <w:rFonts w:ascii="Calibri" w:eastAsia="Times New Roman" w:hAnsi="Calibri" w:cs="Calibri"/>
          <w:kern w:val="0"/>
          <w:lang w:val="en-IN" w:eastAsia="en-GB"/>
          <w14:ligatures w14:val="none"/>
        </w:rPr>
        <w:tab/>
        <w:t>Building Research Establishment Environmental Assessment Method</w:t>
      </w:r>
    </w:p>
    <w:p w14:paraId="24037292"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LEED</w:t>
      </w:r>
      <w:r w:rsidRPr="00EC01E9">
        <w:rPr>
          <w:rFonts w:ascii="Calibri" w:eastAsia="Times New Roman" w:hAnsi="Calibri" w:cs="Calibri"/>
          <w:kern w:val="0"/>
          <w:lang w:val="en-IN" w:eastAsia="en-GB"/>
          <w14:ligatures w14:val="none"/>
        </w:rPr>
        <w:tab/>
        <w:t>Leadership in Energy and Environmental Design</w:t>
      </w:r>
    </w:p>
    <w:p w14:paraId="334F11FF"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GRIHA</w:t>
      </w:r>
      <w:r w:rsidRPr="00EC01E9">
        <w:rPr>
          <w:rFonts w:ascii="Calibri" w:eastAsia="Times New Roman" w:hAnsi="Calibri" w:cs="Calibri"/>
          <w:kern w:val="0"/>
          <w:lang w:val="en-IN" w:eastAsia="en-GB"/>
          <w14:ligatures w14:val="none"/>
        </w:rPr>
        <w:tab/>
        <w:t>Green Rating for Integrated Habitat Assessment</w:t>
      </w:r>
    </w:p>
    <w:p w14:paraId="7B723DFF"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PMAY-G</w:t>
      </w:r>
      <w:r w:rsidRPr="00EC01E9">
        <w:rPr>
          <w:rFonts w:ascii="Calibri" w:eastAsia="Times New Roman" w:hAnsi="Calibri" w:cs="Calibri"/>
          <w:kern w:val="0"/>
          <w:lang w:val="en-IN" w:eastAsia="en-GB"/>
          <w14:ligatures w14:val="none"/>
        </w:rPr>
        <w:tab/>
        <w:t xml:space="preserve">Pradhan Mantri </w:t>
      </w:r>
      <w:proofErr w:type="spellStart"/>
      <w:r w:rsidRPr="00EC01E9">
        <w:rPr>
          <w:rFonts w:ascii="Calibri" w:eastAsia="Times New Roman" w:hAnsi="Calibri" w:cs="Calibri"/>
          <w:kern w:val="0"/>
          <w:lang w:val="en-IN" w:eastAsia="en-GB"/>
          <w14:ligatures w14:val="none"/>
        </w:rPr>
        <w:t>Awaas</w:t>
      </w:r>
      <w:proofErr w:type="spellEnd"/>
      <w:r w:rsidRPr="00EC01E9">
        <w:rPr>
          <w:rFonts w:ascii="Calibri" w:eastAsia="Times New Roman" w:hAnsi="Calibri" w:cs="Calibri"/>
          <w:kern w:val="0"/>
          <w:lang w:val="en-IN" w:eastAsia="en-GB"/>
          <w14:ligatures w14:val="none"/>
        </w:rPr>
        <w:t xml:space="preserve"> Yojana-</w:t>
      </w:r>
      <w:proofErr w:type="spellStart"/>
      <w:r w:rsidRPr="00EC01E9">
        <w:rPr>
          <w:rFonts w:ascii="Calibri" w:eastAsia="Times New Roman" w:hAnsi="Calibri" w:cs="Calibri"/>
          <w:kern w:val="0"/>
          <w:lang w:val="en-IN" w:eastAsia="en-GB"/>
          <w14:ligatures w14:val="none"/>
        </w:rPr>
        <w:t>Gramin</w:t>
      </w:r>
      <w:proofErr w:type="spellEnd"/>
      <w:r w:rsidRPr="00EC01E9">
        <w:rPr>
          <w:rFonts w:ascii="Calibri" w:eastAsia="Times New Roman" w:hAnsi="Calibri" w:cs="Calibri"/>
          <w:kern w:val="0"/>
          <w:lang w:val="en-IN" w:eastAsia="en-GB"/>
          <w14:ligatures w14:val="none"/>
        </w:rPr>
        <w:t xml:space="preserve"> (rural housing programme)</w:t>
      </w:r>
    </w:p>
    <w:p w14:paraId="68C16216"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CSEB</w:t>
      </w:r>
      <w:r w:rsidRPr="00EC01E9">
        <w:rPr>
          <w:rFonts w:ascii="Calibri" w:eastAsia="Times New Roman" w:hAnsi="Calibri" w:cs="Calibri"/>
          <w:kern w:val="0"/>
          <w:lang w:val="en-IN" w:eastAsia="en-GB"/>
          <w14:ligatures w14:val="none"/>
        </w:rPr>
        <w:tab/>
        <w:t>Compressed Stabilised Earth Blocks</w:t>
      </w:r>
    </w:p>
    <w:p w14:paraId="5DDCC8F9"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RCC</w:t>
      </w:r>
      <w:r w:rsidRPr="00EC01E9">
        <w:rPr>
          <w:rFonts w:ascii="Calibri" w:eastAsia="Times New Roman" w:hAnsi="Calibri" w:cs="Calibri"/>
          <w:kern w:val="0"/>
          <w:lang w:val="en-IN" w:eastAsia="en-GB"/>
          <w14:ligatures w14:val="none"/>
        </w:rPr>
        <w:tab/>
        <w:t>Reinforced Cement Concrete</w:t>
      </w:r>
    </w:p>
    <w:p w14:paraId="7A16D045"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NV</w:t>
      </w:r>
      <w:r w:rsidRPr="00EC01E9">
        <w:rPr>
          <w:rFonts w:ascii="Calibri" w:eastAsia="Times New Roman" w:hAnsi="Calibri" w:cs="Calibri"/>
          <w:kern w:val="0"/>
          <w:lang w:val="en-IN" w:eastAsia="en-GB"/>
          <w14:ligatures w14:val="none"/>
        </w:rPr>
        <w:tab/>
        <w:t>Naturally Ventilated</w:t>
      </w:r>
    </w:p>
    <w:p w14:paraId="5840E2C6"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OP</w:t>
      </w:r>
      <w:r w:rsidRPr="00EC01E9">
        <w:rPr>
          <w:rFonts w:ascii="Calibri" w:eastAsia="Times New Roman" w:hAnsi="Calibri" w:cs="Calibri"/>
          <w:kern w:val="0"/>
          <w:lang w:val="en-IN" w:eastAsia="en-GB"/>
          <w14:ligatures w14:val="none"/>
        </w:rPr>
        <w:tab/>
        <w:t>Operative Temperature (°C)</w:t>
      </w:r>
    </w:p>
    <w:p w14:paraId="4C489B93"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Tn</w:t>
      </w:r>
      <w:r w:rsidRPr="00EC01E9">
        <w:rPr>
          <w:rFonts w:ascii="Calibri" w:eastAsia="Times New Roman" w:hAnsi="Calibri" w:cs="Calibri"/>
          <w:kern w:val="0"/>
          <w:lang w:val="en-IN" w:eastAsia="en-GB"/>
          <w14:ligatures w14:val="none"/>
        </w:rPr>
        <w:tab/>
        <w:t>Neutral Temperature (°C) — operative temperature at which occupants report neutral thermal sensation</w:t>
      </w:r>
    </w:p>
    <w:p w14:paraId="1885217C"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proofErr w:type="spellStart"/>
      <w:r w:rsidRPr="00EC01E9">
        <w:rPr>
          <w:rFonts w:ascii="Calibri" w:eastAsia="Times New Roman" w:hAnsi="Calibri" w:cs="Calibri"/>
          <w:b/>
          <w:bCs/>
          <w:kern w:val="0"/>
          <w:lang w:val="en-IN" w:eastAsia="en-GB"/>
          <w14:ligatures w14:val="none"/>
        </w:rPr>
        <w:t>Tpma</w:t>
      </w:r>
      <w:proofErr w:type="spellEnd"/>
      <w:r w:rsidRPr="00EC01E9">
        <w:rPr>
          <w:rFonts w:ascii="Calibri" w:eastAsia="Times New Roman" w:hAnsi="Calibri" w:cs="Calibri"/>
          <w:b/>
          <w:bCs/>
          <w:kern w:val="0"/>
          <w:lang w:val="en-IN" w:eastAsia="en-GB"/>
          <w14:ligatures w14:val="none"/>
        </w:rPr>
        <w:t>(out)</w:t>
      </w:r>
      <w:r w:rsidRPr="00EC01E9">
        <w:rPr>
          <w:rFonts w:ascii="Calibri" w:eastAsia="Times New Roman" w:hAnsi="Calibri" w:cs="Calibri"/>
          <w:kern w:val="0"/>
          <w:lang w:val="en-IN" w:eastAsia="en-GB"/>
          <w14:ligatures w14:val="none"/>
        </w:rPr>
        <w:tab/>
        <w:t>Prevailing Mean Outdoor Air Temperature (°C)</w:t>
      </w:r>
    </w:p>
    <w:p w14:paraId="466245AC"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proofErr w:type="spellStart"/>
      <w:r w:rsidRPr="00EC01E9">
        <w:rPr>
          <w:rFonts w:ascii="Calibri" w:eastAsia="Times New Roman" w:hAnsi="Calibri" w:cs="Calibri"/>
          <w:b/>
          <w:bCs/>
          <w:kern w:val="0"/>
          <w:lang w:val="en-IN" w:eastAsia="en-GB"/>
          <w14:ligatures w14:val="none"/>
        </w:rPr>
        <w:t>Trm</w:t>
      </w:r>
      <w:proofErr w:type="spellEnd"/>
      <w:r w:rsidRPr="00EC01E9">
        <w:rPr>
          <w:rFonts w:ascii="Calibri" w:eastAsia="Times New Roman" w:hAnsi="Calibri" w:cs="Calibri"/>
          <w:kern w:val="0"/>
          <w:lang w:val="en-IN" w:eastAsia="en-GB"/>
          <w14:ligatures w14:val="none"/>
        </w:rPr>
        <w:tab/>
        <w:t>Running Mean Outdoor Temperature (°C), used in ASHRAE-55 and IMAC-R adaptive models</w:t>
      </w:r>
    </w:p>
    <w:p w14:paraId="4317B718" w14:textId="77777777" w:rsidR="00EC01E9" w:rsidRPr="00EC01E9" w:rsidRDefault="00EC01E9" w:rsidP="00EC01E9">
      <w:pPr>
        <w:tabs>
          <w:tab w:val="left" w:pos="1800"/>
        </w:tabs>
        <w:spacing w:after="2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lang w:val="en-IN" w:eastAsia="en-GB"/>
          <w14:ligatures w14:val="none"/>
        </w:rPr>
        <w:t>TMY</w:t>
      </w:r>
      <w:r w:rsidRPr="00EC01E9">
        <w:rPr>
          <w:rFonts w:ascii="Calibri" w:eastAsia="Times New Roman" w:hAnsi="Calibri" w:cs="Calibri"/>
          <w:kern w:val="0"/>
          <w:lang w:val="en-IN" w:eastAsia="en-GB"/>
          <w14:ligatures w14:val="none"/>
        </w:rPr>
        <w:tab/>
        <w:t>Typical Meteorological Year — synthetic hourly climate dataset used as simulation boundary input</w:t>
      </w:r>
    </w:p>
    <w:p w14:paraId="7FD7E4DD" w14:textId="77777777" w:rsidR="00EC01E9" w:rsidRPr="00EC01E9" w:rsidRDefault="00EC01E9" w:rsidP="00EC01E9">
      <w:pPr>
        <w:spacing w:after="40" w:line="240" w:lineRule="auto"/>
        <w:rPr>
          <w:rFonts w:ascii="Times New Roman" w:eastAsia="Times New Roman" w:hAnsi="Times New Roman" w:cs="Times New Roman"/>
          <w:kern w:val="0"/>
          <w:sz w:val="20"/>
          <w:szCs w:val="20"/>
          <w:lang w:val="en-IN" w:eastAsia="en-GB"/>
          <w14:ligatures w14:val="none"/>
        </w:rPr>
      </w:pPr>
    </w:p>
    <w:p w14:paraId="1873E7A0" w14:textId="77777777" w:rsidR="00EC01E9" w:rsidRPr="00EC01E9" w:rsidRDefault="00EC01E9" w:rsidP="00EC01E9">
      <w:pPr>
        <w:spacing w:before="120" w:after="40" w:line="240" w:lineRule="auto"/>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b/>
          <w:bCs/>
          <w:kern w:val="0"/>
          <w:sz w:val="28"/>
          <w:szCs w:val="28"/>
          <w:lang w:val="en-IN" w:eastAsia="en-GB"/>
          <w14:ligatures w14:val="none"/>
        </w:rPr>
        <w:t>REFERENCES</w:t>
      </w:r>
    </w:p>
    <w:p w14:paraId="3189A9D6"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American Society of Heating, Refrigerating and Air-Conditioning Engineers (2017). </w:t>
      </w:r>
      <w:r w:rsidRPr="00EC01E9">
        <w:rPr>
          <w:rFonts w:ascii="Calibri" w:eastAsia="Times New Roman" w:hAnsi="Calibri" w:cs="Calibri"/>
          <w:i/>
          <w:iCs/>
          <w:kern w:val="0"/>
          <w:lang w:val="en-IN" w:eastAsia="en-GB"/>
          <w14:ligatures w14:val="none"/>
        </w:rPr>
        <w:t>Thermal Environmental Conditions for Human Occupancy (ANSI/ASHRAE Standard 55-2017).</w:t>
      </w:r>
    </w:p>
    <w:p w14:paraId="09453FE0"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BIS (2016). </w:t>
      </w:r>
      <w:r w:rsidRPr="00EC01E9">
        <w:rPr>
          <w:rFonts w:ascii="Calibri" w:eastAsia="Times New Roman" w:hAnsi="Calibri" w:cs="Calibri"/>
          <w:i/>
          <w:iCs/>
          <w:kern w:val="0"/>
          <w:lang w:val="en-IN" w:eastAsia="en-GB"/>
          <w14:ligatures w14:val="none"/>
        </w:rPr>
        <w:t>National Building Code of India.</w:t>
      </w:r>
      <w:r w:rsidRPr="00EC01E9">
        <w:rPr>
          <w:rFonts w:ascii="Calibri" w:eastAsia="Times New Roman" w:hAnsi="Calibri" w:cs="Calibri"/>
          <w:kern w:val="0"/>
          <w:lang w:val="en-IN" w:eastAsia="en-GB"/>
          <w14:ligatures w14:val="none"/>
        </w:rPr>
        <w:t xml:space="preserve"> New Delhi: Bureau of Indian Standards.</w:t>
      </w:r>
    </w:p>
    <w:p w14:paraId="40B032A4"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BRE (2016). </w:t>
      </w:r>
      <w:r w:rsidRPr="00EC01E9">
        <w:rPr>
          <w:rFonts w:ascii="Calibri" w:eastAsia="Times New Roman" w:hAnsi="Calibri" w:cs="Calibri"/>
          <w:i/>
          <w:iCs/>
          <w:kern w:val="0"/>
          <w:lang w:val="en-IN" w:eastAsia="en-GB"/>
          <w14:ligatures w14:val="none"/>
        </w:rPr>
        <w:t>BREEAM International New Construction 2016.</w:t>
      </w:r>
      <w:r w:rsidRPr="00EC01E9">
        <w:rPr>
          <w:rFonts w:ascii="Calibri" w:eastAsia="Times New Roman" w:hAnsi="Calibri" w:cs="Calibri"/>
          <w:kern w:val="0"/>
          <w:lang w:val="en-IN" w:eastAsia="en-GB"/>
          <w14:ligatures w14:val="none"/>
        </w:rPr>
        <w:t xml:space="preserve"> Building Research Establishment, Watford, UK.</w:t>
      </w:r>
    </w:p>
    <w:p w14:paraId="4293953F"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proofErr w:type="spellStart"/>
      <w:r w:rsidRPr="00EC01E9">
        <w:rPr>
          <w:rFonts w:ascii="Calibri" w:eastAsia="Times New Roman" w:hAnsi="Calibri" w:cs="Calibri"/>
          <w:kern w:val="0"/>
          <w:lang w:val="en-IN" w:eastAsia="en-GB"/>
          <w14:ligatures w14:val="none"/>
        </w:rPr>
        <w:t>Betti</w:t>
      </w:r>
      <w:proofErr w:type="spellEnd"/>
      <w:r w:rsidRPr="00EC01E9">
        <w:rPr>
          <w:rFonts w:ascii="Calibri" w:eastAsia="Times New Roman" w:hAnsi="Calibri" w:cs="Calibri"/>
          <w:kern w:val="0"/>
          <w:lang w:val="en-IN" w:eastAsia="en-GB"/>
          <w14:ligatures w14:val="none"/>
        </w:rPr>
        <w:t xml:space="preserve">, G., Tartarini, F., Nguyen, C. and Schiavon, S. (2023). CBE </w:t>
      </w:r>
      <w:proofErr w:type="spellStart"/>
      <w:r w:rsidRPr="00EC01E9">
        <w:rPr>
          <w:rFonts w:ascii="Calibri" w:eastAsia="Times New Roman" w:hAnsi="Calibri" w:cs="Calibri"/>
          <w:kern w:val="0"/>
          <w:lang w:val="en-IN" w:eastAsia="en-GB"/>
          <w14:ligatures w14:val="none"/>
        </w:rPr>
        <w:t>Clima</w:t>
      </w:r>
      <w:proofErr w:type="spellEnd"/>
      <w:r w:rsidRPr="00EC01E9">
        <w:rPr>
          <w:rFonts w:ascii="Calibri" w:eastAsia="Times New Roman" w:hAnsi="Calibri" w:cs="Calibri"/>
          <w:kern w:val="0"/>
          <w:lang w:val="en-IN" w:eastAsia="en-GB"/>
          <w14:ligatures w14:val="none"/>
        </w:rPr>
        <w:t xml:space="preserve"> tool: A free and open-source web application for climate analysis tailored to sustainable building design. </w:t>
      </w:r>
      <w:r w:rsidRPr="00EC01E9">
        <w:rPr>
          <w:rFonts w:ascii="Calibri" w:eastAsia="Times New Roman" w:hAnsi="Calibri" w:cs="Calibri"/>
          <w:i/>
          <w:iCs/>
          <w:kern w:val="0"/>
          <w:lang w:val="en-IN" w:eastAsia="en-GB"/>
          <w14:ligatures w14:val="none"/>
        </w:rPr>
        <w:t>Build Simul.</w:t>
      </w:r>
      <w:r w:rsidRPr="00EC01E9">
        <w:rPr>
          <w:rFonts w:ascii="Calibri" w:eastAsia="Times New Roman" w:hAnsi="Calibri" w:cs="Calibri"/>
          <w:kern w:val="0"/>
          <w:lang w:val="en-IN" w:eastAsia="en-GB"/>
          <w14:ligatures w14:val="none"/>
        </w:rPr>
        <w:t xml:space="preserve"> DOI: 10.1007/s12273-023-1090-5.</w:t>
      </w:r>
    </w:p>
    <w:p w14:paraId="32D1594B"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de Dear, R.J. and </w:t>
      </w:r>
      <w:proofErr w:type="spellStart"/>
      <w:r w:rsidRPr="00EC01E9">
        <w:rPr>
          <w:rFonts w:ascii="Calibri" w:eastAsia="Times New Roman" w:hAnsi="Calibri" w:cs="Calibri"/>
          <w:kern w:val="0"/>
          <w:lang w:val="en-IN" w:eastAsia="en-GB"/>
          <w14:ligatures w14:val="none"/>
        </w:rPr>
        <w:t>Brager</w:t>
      </w:r>
      <w:proofErr w:type="spellEnd"/>
      <w:r w:rsidRPr="00EC01E9">
        <w:rPr>
          <w:rFonts w:ascii="Calibri" w:eastAsia="Times New Roman" w:hAnsi="Calibri" w:cs="Calibri"/>
          <w:kern w:val="0"/>
          <w:lang w:val="en-IN" w:eastAsia="en-GB"/>
          <w14:ligatures w14:val="none"/>
        </w:rPr>
        <w:t xml:space="preserve">, G.S. (1998). Developing an adaptive model of thermal comfort and preference. </w:t>
      </w:r>
      <w:r w:rsidRPr="00EC01E9">
        <w:rPr>
          <w:rFonts w:ascii="Calibri" w:eastAsia="Times New Roman" w:hAnsi="Calibri" w:cs="Calibri"/>
          <w:i/>
          <w:iCs/>
          <w:kern w:val="0"/>
          <w:lang w:val="en-IN" w:eastAsia="en-GB"/>
          <w14:ligatures w14:val="none"/>
        </w:rPr>
        <w:t>ASHRAE Transactions</w:t>
      </w:r>
      <w:r w:rsidRPr="00EC01E9">
        <w:rPr>
          <w:rFonts w:ascii="Calibri" w:eastAsia="Times New Roman" w:hAnsi="Calibri" w:cs="Calibri"/>
          <w:kern w:val="0"/>
          <w:lang w:val="en-IN" w:eastAsia="en-GB"/>
          <w14:ligatures w14:val="none"/>
        </w:rPr>
        <w:t>, 104(1), pp. 145–167.</w:t>
      </w:r>
    </w:p>
    <w:p w14:paraId="245B700F"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de Dear, R.J. and </w:t>
      </w:r>
      <w:proofErr w:type="spellStart"/>
      <w:r w:rsidRPr="00EC01E9">
        <w:rPr>
          <w:rFonts w:ascii="Calibri" w:eastAsia="Times New Roman" w:hAnsi="Calibri" w:cs="Calibri"/>
          <w:kern w:val="0"/>
          <w:lang w:val="en-IN" w:eastAsia="en-GB"/>
          <w14:ligatures w14:val="none"/>
        </w:rPr>
        <w:t>Brager</w:t>
      </w:r>
      <w:proofErr w:type="spellEnd"/>
      <w:r w:rsidRPr="00EC01E9">
        <w:rPr>
          <w:rFonts w:ascii="Calibri" w:eastAsia="Times New Roman" w:hAnsi="Calibri" w:cs="Calibri"/>
          <w:kern w:val="0"/>
          <w:lang w:val="en-IN" w:eastAsia="en-GB"/>
          <w14:ligatures w14:val="none"/>
        </w:rPr>
        <w:t xml:space="preserve">, G.S. (2002). Thermal comfort in naturally ventilated buildings: revisions to ASHRAE Standard 55. </w:t>
      </w:r>
      <w:r w:rsidRPr="00EC01E9">
        <w:rPr>
          <w:rFonts w:ascii="Calibri" w:eastAsia="Times New Roman" w:hAnsi="Calibri" w:cs="Calibri"/>
          <w:i/>
          <w:iCs/>
          <w:kern w:val="0"/>
          <w:lang w:val="en-IN" w:eastAsia="en-GB"/>
          <w14:ligatures w14:val="none"/>
        </w:rPr>
        <w:t>Energy and Buildings</w:t>
      </w:r>
      <w:r w:rsidRPr="00EC01E9">
        <w:rPr>
          <w:rFonts w:ascii="Calibri" w:eastAsia="Times New Roman" w:hAnsi="Calibri" w:cs="Calibri"/>
          <w:kern w:val="0"/>
          <w:lang w:val="en-IN" w:eastAsia="en-GB"/>
          <w14:ligatures w14:val="none"/>
        </w:rPr>
        <w:t>, 34(6), pp. 549–561.</w:t>
      </w:r>
    </w:p>
    <w:p w14:paraId="62E6B2CF"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GBCI (2018). </w:t>
      </w:r>
      <w:r w:rsidRPr="00EC01E9">
        <w:rPr>
          <w:rFonts w:ascii="Calibri" w:eastAsia="Times New Roman" w:hAnsi="Calibri" w:cs="Calibri"/>
          <w:i/>
          <w:iCs/>
          <w:kern w:val="0"/>
          <w:lang w:val="en-IN" w:eastAsia="en-GB"/>
          <w14:ligatures w14:val="none"/>
        </w:rPr>
        <w:t>Leadership in Energy and Environmental Design (LEED).</w:t>
      </w:r>
      <w:r w:rsidRPr="00EC01E9">
        <w:rPr>
          <w:rFonts w:ascii="Calibri" w:eastAsia="Times New Roman" w:hAnsi="Calibri" w:cs="Calibri"/>
          <w:kern w:val="0"/>
          <w:lang w:val="en-IN" w:eastAsia="en-GB"/>
          <w14:ligatures w14:val="none"/>
        </w:rPr>
        <w:t xml:space="preserve"> Green Business Certification Inc., Washington DC, USA.</w:t>
      </w:r>
    </w:p>
    <w:p w14:paraId="4766945A"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Government of India (2016). </w:t>
      </w:r>
      <w:proofErr w:type="spellStart"/>
      <w:r w:rsidRPr="00EC01E9">
        <w:rPr>
          <w:rFonts w:ascii="Calibri" w:eastAsia="Times New Roman" w:hAnsi="Calibri" w:cs="Calibri"/>
          <w:i/>
          <w:iCs/>
          <w:kern w:val="0"/>
          <w:lang w:val="en-IN" w:eastAsia="en-GB"/>
          <w14:ligatures w14:val="none"/>
        </w:rPr>
        <w:t>Pahal</w:t>
      </w:r>
      <w:proofErr w:type="spellEnd"/>
      <w:r w:rsidRPr="00EC01E9">
        <w:rPr>
          <w:rFonts w:ascii="Calibri" w:eastAsia="Times New Roman" w:hAnsi="Calibri" w:cs="Calibri"/>
          <w:i/>
          <w:iCs/>
          <w:kern w:val="0"/>
          <w:lang w:val="en-IN" w:eastAsia="en-GB"/>
          <w14:ligatures w14:val="none"/>
        </w:rPr>
        <w:t xml:space="preserve">: Prakriti </w:t>
      </w:r>
      <w:proofErr w:type="spellStart"/>
      <w:r w:rsidRPr="00EC01E9">
        <w:rPr>
          <w:rFonts w:ascii="Calibri" w:eastAsia="Times New Roman" w:hAnsi="Calibri" w:cs="Calibri"/>
          <w:i/>
          <w:iCs/>
          <w:kern w:val="0"/>
          <w:lang w:val="en-IN" w:eastAsia="en-GB"/>
          <w14:ligatures w14:val="none"/>
        </w:rPr>
        <w:t>Hunar</w:t>
      </w:r>
      <w:proofErr w:type="spellEnd"/>
      <w:r w:rsidRPr="00EC01E9">
        <w:rPr>
          <w:rFonts w:ascii="Calibri" w:eastAsia="Times New Roman" w:hAnsi="Calibri" w:cs="Calibri"/>
          <w:i/>
          <w:iCs/>
          <w:kern w:val="0"/>
          <w:lang w:val="en-IN" w:eastAsia="en-GB"/>
          <w14:ligatures w14:val="none"/>
        </w:rPr>
        <w:t xml:space="preserve"> </w:t>
      </w:r>
      <w:proofErr w:type="spellStart"/>
      <w:r w:rsidRPr="00EC01E9">
        <w:rPr>
          <w:rFonts w:ascii="Calibri" w:eastAsia="Times New Roman" w:hAnsi="Calibri" w:cs="Calibri"/>
          <w:i/>
          <w:iCs/>
          <w:kern w:val="0"/>
          <w:lang w:val="en-IN" w:eastAsia="en-GB"/>
          <w14:ligatures w14:val="none"/>
        </w:rPr>
        <w:t>Lokvidya</w:t>
      </w:r>
      <w:proofErr w:type="spellEnd"/>
      <w:r w:rsidRPr="00EC01E9">
        <w:rPr>
          <w:rFonts w:ascii="Calibri" w:eastAsia="Times New Roman" w:hAnsi="Calibri" w:cs="Calibri"/>
          <w:i/>
          <w:iCs/>
          <w:kern w:val="0"/>
          <w:lang w:val="en-IN" w:eastAsia="en-GB"/>
          <w14:ligatures w14:val="none"/>
        </w:rPr>
        <w:t xml:space="preserve"> — A Compendium of Rural Housing Typologies.</w:t>
      </w:r>
      <w:r w:rsidRPr="00EC01E9">
        <w:rPr>
          <w:rFonts w:ascii="Calibri" w:eastAsia="Times New Roman" w:hAnsi="Calibri" w:cs="Calibri"/>
          <w:kern w:val="0"/>
          <w:lang w:val="en-IN" w:eastAsia="en-GB"/>
          <w14:ligatures w14:val="none"/>
        </w:rPr>
        <w:t xml:space="preserve"> Ministry of Rural Development and UNDP, New Delhi.</w:t>
      </w:r>
    </w:p>
    <w:p w14:paraId="455622C7"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GRIHA Council (2021). </w:t>
      </w:r>
      <w:r w:rsidRPr="00EC01E9">
        <w:rPr>
          <w:rFonts w:ascii="Calibri" w:eastAsia="Times New Roman" w:hAnsi="Calibri" w:cs="Calibri"/>
          <w:i/>
          <w:iCs/>
          <w:kern w:val="0"/>
          <w:lang w:val="en-IN" w:eastAsia="en-GB"/>
          <w14:ligatures w14:val="none"/>
        </w:rPr>
        <w:t>Green Rating for Integrated Habitat Assessment.</w:t>
      </w:r>
      <w:r w:rsidRPr="00EC01E9">
        <w:rPr>
          <w:rFonts w:ascii="Calibri" w:eastAsia="Times New Roman" w:hAnsi="Calibri" w:cs="Calibri"/>
          <w:kern w:val="0"/>
          <w:lang w:val="en-IN" w:eastAsia="en-GB"/>
          <w14:ligatures w14:val="none"/>
        </w:rPr>
        <w:t xml:space="preserve"> GRIHA Council and TERI, New Delhi.</w:t>
      </w:r>
    </w:p>
    <w:p w14:paraId="1480FD38"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Humphreys, M.A. (1978). Outdoor temperatures and comfort indoors. </w:t>
      </w:r>
      <w:r w:rsidRPr="00EC01E9">
        <w:rPr>
          <w:rFonts w:ascii="Calibri" w:eastAsia="Times New Roman" w:hAnsi="Calibri" w:cs="Calibri"/>
          <w:i/>
          <w:iCs/>
          <w:kern w:val="0"/>
          <w:lang w:val="en-IN" w:eastAsia="en-GB"/>
          <w14:ligatures w14:val="none"/>
        </w:rPr>
        <w:t>Building Research and Practice</w:t>
      </w:r>
      <w:r w:rsidRPr="00EC01E9">
        <w:rPr>
          <w:rFonts w:ascii="Calibri" w:eastAsia="Times New Roman" w:hAnsi="Calibri" w:cs="Calibri"/>
          <w:kern w:val="0"/>
          <w:lang w:val="en-IN" w:eastAsia="en-GB"/>
          <w14:ligatures w14:val="none"/>
        </w:rPr>
        <w:t>, 6(2), pp. 92–105.</w:t>
      </w:r>
    </w:p>
    <w:p w14:paraId="337F076A"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lastRenderedPageBreak/>
        <w:t xml:space="preserve">International Organization for Standardization (1998). </w:t>
      </w:r>
      <w:r w:rsidRPr="00EC01E9">
        <w:rPr>
          <w:rFonts w:ascii="Calibri" w:eastAsia="Times New Roman" w:hAnsi="Calibri" w:cs="Calibri"/>
          <w:i/>
          <w:iCs/>
          <w:kern w:val="0"/>
          <w:lang w:val="en-IN" w:eastAsia="en-GB"/>
          <w14:ligatures w14:val="none"/>
        </w:rPr>
        <w:t>Ergonomics of the Thermal Environment — Instruments for Measuring Physical Quantities (ISO 7726:1998).</w:t>
      </w:r>
    </w:p>
    <w:p w14:paraId="2B4C3E95"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Nicol, J.F. and Humphreys, M.A. (2002). Adaptive thermal comfort and sustainable thermal standards for buildings. </w:t>
      </w:r>
      <w:r w:rsidRPr="00EC01E9">
        <w:rPr>
          <w:rFonts w:ascii="Calibri" w:eastAsia="Times New Roman" w:hAnsi="Calibri" w:cs="Calibri"/>
          <w:i/>
          <w:iCs/>
          <w:kern w:val="0"/>
          <w:lang w:val="en-IN" w:eastAsia="en-GB"/>
          <w14:ligatures w14:val="none"/>
        </w:rPr>
        <w:t>Energy and Buildings</w:t>
      </w:r>
      <w:r w:rsidRPr="00EC01E9">
        <w:rPr>
          <w:rFonts w:ascii="Calibri" w:eastAsia="Times New Roman" w:hAnsi="Calibri" w:cs="Calibri"/>
          <w:kern w:val="0"/>
          <w:lang w:val="en-IN" w:eastAsia="en-GB"/>
          <w14:ligatures w14:val="none"/>
        </w:rPr>
        <w:t>, 34(6), pp. 563–572.</w:t>
      </w:r>
    </w:p>
    <w:p w14:paraId="2709A223"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Rawal, R. et al. (2022). Adaptive thermal comfort model based on field studies in five climate zones across India. </w:t>
      </w:r>
      <w:r w:rsidRPr="00EC01E9">
        <w:rPr>
          <w:rFonts w:ascii="Calibri" w:eastAsia="Times New Roman" w:hAnsi="Calibri" w:cs="Calibri"/>
          <w:i/>
          <w:iCs/>
          <w:kern w:val="0"/>
          <w:lang w:val="en-IN" w:eastAsia="en-GB"/>
          <w14:ligatures w14:val="none"/>
        </w:rPr>
        <w:t>Building and Environment</w:t>
      </w:r>
      <w:r w:rsidRPr="00EC01E9">
        <w:rPr>
          <w:rFonts w:ascii="Calibri" w:eastAsia="Times New Roman" w:hAnsi="Calibri" w:cs="Calibri"/>
          <w:kern w:val="0"/>
          <w:lang w:val="en-IN" w:eastAsia="en-GB"/>
          <w14:ligatures w14:val="none"/>
        </w:rPr>
        <w:t>, 219, 109187.</w:t>
      </w:r>
    </w:p>
    <w:p w14:paraId="379DE18C" w14:textId="77777777" w:rsidR="00EC01E9" w:rsidRPr="00EC01E9" w:rsidRDefault="00EC01E9" w:rsidP="00EC01E9">
      <w:pPr>
        <w:spacing w:after="40" w:line="240" w:lineRule="auto"/>
        <w:ind w:left="851" w:hanging="851"/>
        <w:jc w:val="both"/>
        <w:rPr>
          <w:rFonts w:ascii="Times New Roman" w:eastAsia="Times New Roman" w:hAnsi="Times New Roman" w:cs="Times New Roman"/>
          <w:kern w:val="0"/>
          <w:sz w:val="20"/>
          <w:szCs w:val="20"/>
          <w:lang w:val="en-IN" w:eastAsia="en-GB"/>
          <w14:ligatures w14:val="none"/>
        </w:rPr>
      </w:pPr>
      <w:r w:rsidRPr="00EC01E9">
        <w:rPr>
          <w:rFonts w:ascii="Calibri" w:eastAsia="Times New Roman" w:hAnsi="Calibri" w:cs="Calibri"/>
          <w:kern w:val="0"/>
          <w:lang w:val="en-IN" w:eastAsia="en-GB"/>
          <w14:ligatures w14:val="none"/>
        </w:rPr>
        <w:t xml:space="preserve">Singh, M.K., Mahapatra, S. and </w:t>
      </w:r>
      <w:proofErr w:type="spellStart"/>
      <w:r w:rsidRPr="00EC01E9">
        <w:rPr>
          <w:rFonts w:ascii="Calibri" w:eastAsia="Times New Roman" w:hAnsi="Calibri" w:cs="Calibri"/>
          <w:kern w:val="0"/>
          <w:lang w:val="en-IN" w:eastAsia="en-GB"/>
          <w14:ligatures w14:val="none"/>
        </w:rPr>
        <w:t>Atreya</w:t>
      </w:r>
      <w:proofErr w:type="spellEnd"/>
      <w:r w:rsidRPr="00EC01E9">
        <w:rPr>
          <w:rFonts w:ascii="Calibri" w:eastAsia="Times New Roman" w:hAnsi="Calibri" w:cs="Calibri"/>
          <w:kern w:val="0"/>
          <w:lang w:val="en-IN" w:eastAsia="en-GB"/>
          <w14:ligatures w14:val="none"/>
        </w:rPr>
        <w:t xml:space="preserve">, S.K. (2011). Thermal performance evaluation and proposed passive design strategies for residential buildings in five different climatic zones of India. </w:t>
      </w:r>
      <w:r w:rsidRPr="00EC01E9">
        <w:rPr>
          <w:rFonts w:ascii="Calibri" w:eastAsia="Times New Roman" w:hAnsi="Calibri" w:cs="Calibri"/>
          <w:i/>
          <w:iCs/>
          <w:kern w:val="0"/>
          <w:lang w:val="en-IN" w:eastAsia="en-GB"/>
          <w14:ligatures w14:val="none"/>
        </w:rPr>
        <w:t>Building and Environment</w:t>
      </w:r>
      <w:r w:rsidRPr="00EC01E9">
        <w:rPr>
          <w:rFonts w:ascii="Calibri" w:eastAsia="Times New Roman" w:hAnsi="Calibri" w:cs="Calibri"/>
          <w:kern w:val="0"/>
          <w:lang w:val="en-IN" w:eastAsia="en-GB"/>
          <w14:ligatures w14:val="none"/>
        </w:rPr>
        <w:t>, 46(11), pp. 2193–2204.</w:t>
      </w:r>
    </w:p>
    <w:p w14:paraId="411D3E1B" w14:textId="77777777" w:rsidR="005076E1" w:rsidRPr="00D6057A" w:rsidRDefault="005076E1" w:rsidP="006E77D5">
      <w:pPr>
        <w:spacing w:after="40" w:line="240" w:lineRule="auto"/>
        <w:rPr>
          <w:rFonts w:ascii="Calibri" w:hAnsi="Calibri" w:cs="Calibri"/>
        </w:rPr>
      </w:pPr>
    </w:p>
    <w:sectPr w:rsidR="005076E1" w:rsidRPr="00D6057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53B89" w14:textId="77777777" w:rsidR="00137073" w:rsidRDefault="00137073" w:rsidP="005076E1">
      <w:pPr>
        <w:spacing w:after="0" w:line="240" w:lineRule="auto"/>
      </w:pPr>
      <w:r>
        <w:separator/>
      </w:r>
    </w:p>
  </w:endnote>
  <w:endnote w:type="continuationSeparator" w:id="0">
    <w:p w14:paraId="0024E375" w14:textId="77777777" w:rsidR="00137073" w:rsidRDefault="00137073"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B1534" w14:textId="77777777" w:rsidR="00137073" w:rsidRDefault="00137073" w:rsidP="005076E1">
      <w:pPr>
        <w:spacing w:after="0" w:line="240" w:lineRule="auto"/>
      </w:pPr>
      <w:r>
        <w:separator/>
      </w:r>
    </w:p>
  </w:footnote>
  <w:footnote w:type="continuationSeparator" w:id="0">
    <w:p w14:paraId="32998A3B" w14:textId="77777777" w:rsidR="00137073" w:rsidRDefault="00137073"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621E5"/>
    <w:rsid w:val="0012302F"/>
    <w:rsid w:val="00137073"/>
    <w:rsid w:val="0025181A"/>
    <w:rsid w:val="003966A9"/>
    <w:rsid w:val="005076E1"/>
    <w:rsid w:val="006E77D5"/>
    <w:rsid w:val="00835748"/>
    <w:rsid w:val="0085148C"/>
    <w:rsid w:val="00A1441D"/>
    <w:rsid w:val="00B42868"/>
    <w:rsid w:val="00B820C5"/>
    <w:rsid w:val="00D6057A"/>
    <w:rsid w:val="00EC01E9"/>
    <w:rsid w:val="00FF7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2896</Words>
  <Characters>16511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Parvesh Kumar</cp:lastModifiedBy>
  <cp:revision>3</cp:revision>
  <dcterms:created xsi:type="dcterms:W3CDTF">2026-09-16T05:28:00Z</dcterms:created>
  <dcterms:modified xsi:type="dcterms:W3CDTF">2026-09-16T05:35:00Z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