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46153" w14:textId="1B550A25" w:rsidR="00452605" w:rsidRPr="00B32CB4" w:rsidRDefault="00B32CB4" w:rsidP="00812538">
      <w:pPr>
        <w:pStyle w:val="a7"/>
        <w:spacing w:after="0"/>
        <w:ind w:firstLine="284"/>
        <w:rPr>
          <w:color w:val="FF0000"/>
        </w:rPr>
      </w:pPr>
      <w:r w:rsidRPr="00B32CB4">
        <w:t>A Multimodal Thermal Comfort Perception System with Edge-Cloud Collaboration and Augmented Reality</w:t>
      </w:r>
    </w:p>
    <w:p w14:paraId="119A5596" w14:textId="77777777" w:rsidR="00AC79BB" w:rsidRDefault="00AC79BB" w:rsidP="00C31D5E">
      <w:pPr>
        <w:pStyle w:val="a0"/>
        <w:rPr>
          <w:rFonts w:eastAsia="等线"/>
          <w:lang w:eastAsia="zh-CN"/>
        </w:rPr>
      </w:pPr>
    </w:p>
    <w:p w14:paraId="0B121D6F" w14:textId="77777777" w:rsidR="00347592" w:rsidRDefault="00C31D5E" w:rsidP="00347592">
      <w:pPr>
        <w:pStyle w:val="AbstractHeading"/>
        <w:rPr>
          <w:rFonts w:eastAsia="等线"/>
          <w:lang w:eastAsia="zh-CN"/>
        </w:rPr>
      </w:pPr>
      <w:r w:rsidRPr="00246E7B">
        <w:t>ABSTRA</w:t>
      </w:r>
      <w:r w:rsidR="00246E7B" w:rsidRPr="00246E7B">
        <w:t>CT:</w:t>
      </w:r>
      <w:r w:rsidR="00CB2332">
        <w:t xml:space="preserve"> </w:t>
      </w:r>
    </w:p>
    <w:p w14:paraId="6EFF2DEE" w14:textId="16830EA3" w:rsidR="00BF5B80" w:rsidRDefault="001D7818" w:rsidP="00347592">
      <w:pPr>
        <w:pStyle w:val="AbstractHeading"/>
        <w:ind w:firstLineChars="100" w:firstLine="200"/>
        <w:rPr>
          <w:rFonts w:eastAsia="等线"/>
          <w:b w:val="0"/>
          <w:bCs/>
          <w:lang w:eastAsia="zh-CN"/>
        </w:rPr>
      </w:pPr>
      <w:r w:rsidRPr="001D7818">
        <w:rPr>
          <w:rFonts w:eastAsia="等线"/>
          <w:b w:val="0"/>
          <w:bCs/>
          <w:lang w:eastAsia="zh-CN"/>
        </w:rPr>
        <w:t>Thermal comfort perception is a fundamental challenge in intelligent environmental systems</w:t>
      </w:r>
      <w:r>
        <w:rPr>
          <w:rFonts w:eastAsia="等线" w:hint="eastAsia"/>
          <w:b w:val="0"/>
          <w:bCs/>
          <w:lang w:eastAsia="zh-CN"/>
        </w:rPr>
        <w:t xml:space="preserve">. The adjustment of the smart </w:t>
      </w:r>
      <w:r>
        <w:rPr>
          <w:rFonts w:eastAsia="等线"/>
          <w:b w:val="0"/>
          <w:bCs/>
          <w:lang w:eastAsia="zh-CN"/>
        </w:rPr>
        <w:t>system</w:t>
      </w:r>
      <w:r>
        <w:rPr>
          <w:rFonts w:eastAsia="等线" w:hint="eastAsia"/>
          <w:b w:val="0"/>
          <w:bCs/>
          <w:lang w:eastAsia="zh-CN"/>
        </w:rPr>
        <w:t xml:space="preserve"> could enhance the human well-being and keep </w:t>
      </w:r>
      <w:r>
        <w:rPr>
          <w:rFonts w:eastAsia="等线"/>
          <w:b w:val="0"/>
          <w:bCs/>
          <w:lang w:eastAsia="zh-CN"/>
        </w:rPr>
        <w:t>resilient</w:t>
      </w:r>
      <w:r>
        <w:rPr>
          <w:rFonts w:eastAsia="等线" w:hint="eastAsia"/>
          <w:b w:val="0"/>
          <w:bCs/>
          <w:lang w:eastAsia="zh-CN"/>
        </w:rPr>
        <w:t xml:space="preserve"> buildings. However, t</w:t>
      </w:r>
      <w:r w:rsidRPr="001D7818">
        <w:rPr>
          <w:rFonts w:eastAsia="等线"/>
          <w:b w:val="0"/>
          <w:bCs/>
          <w:lang w:eastAsia="zh-CN"/>
        </w:rPr>
        <w:t>raditional methods</w:t>
      </w:r>
      <w:r>
        <w:rPr>
          <w:rFonts w:eastAsia="等线" w:hint="eastAsia"/>
          <w:b w:val="0"/>
          <w:bCs/>
          <w:lang w:eastAsia="zh-CN"/>
        </w:rPr>
        <w:t xml:space="preserve"> </w:t>
      </w:r>
      <w:r w:rsidRPr="001D7818">
        <w:rPr>
          <w:rFonts w:eastAsia="等线"/>
          <w:b w:val="0"/>
          <w:bCs/>
          <w:lang w:eastAsia="zh-CN"/>
        </w:rPr>
        <w:t>struggle with limited environmental context awareness and a lack of personalized adaptation</w:t>
      </w:r>
      <w:r>
        <w:rPr>
          <w:rFonts w:eastAsia="等线" w:hint="eastAsia"/>
          <w:b w:val="0"/>
          <w:bCs/>
          <w:lang w:eastAsia="zh-CN"/>
        </w:rPr>
        <w:t xml:space="preserve">. </w:t>
      </w:r>
      <w:r w:rsidR="00347592">
        <w:rPr>
          <w:rFonts w:eastAsia="等线" w:hint="eastAsia"/>
          <w:b w:val="0"/>
          <w:bCs/>
          <w:lang w:eastAsia="zh-CN"/>
        </w:rPr>
        <w:t>Thi</w:t>
      </w:r>
      <w:r w:rsidR="00347592" w:rsidRPr="00347592">
        <w:rPr>
          <w:b w:val="0"/>
          <w:bCs/>
        </w:rPr>
        <w:t xml:space="preserve">s paper proposes a multimodal thermal comfort perception system integrating edge computing, cloud-based Retrieval-Augmented Generation (RAG), and Augmented Reality (AR) technologies. The system achieves low-latency, high-precision personalized thermal environment regulation through heterogeneous sensor data acquisition, lightweight model inference, and knowledge-driven decision-making. Experiments demonstrate that compared to traditional methods, the system improves thermal comfort prediction accuracy while maintaining an average response latency </w:t>
      </w:r>
      <w:r>
        <w:rPr>
          <w:rFonts w:eastAsia="等线" w:hint="eastAsia"/>
          <w:b w:val="0"/>
          <w:bCs/>
          <w:lang w:eastAsia="zh-CN"/>
        </w:rPr>
        <w:t>in the acceptable level</w:t>
      </w:r>
      <w:r w:rsidR="00347592" w:rsidRPr="00347592">
        <w:rPr>
          <w:b w:val="0"/>
          <w:bCs/>
        </w:rPr>
        <w:t>. AR interaction significantly enhances user satisfaction (NPS 90). The study validates the theoretical innovation and application potential of the edge-cloud hierarchical architecture and AR visualization in privacy preservation, real-time performance, and human-machine collaboration.</w:t>
      </w:r>
    </w:p>
    <w:p w14:paraId="74B12306" w14:textId="77777777" w:rsidR="00347592" w:rsidRDefault="00347592" w:rsidP="00017B66">
      <w:pPr>
        <w:pStyle w:val="Abstracttext"/>
        <w:rPr>
          <w:rFonts w:eastAsia="等线"/>
          <w:lang w:eastAsia="zh-CN"/>
        </w:rPr>
      </w:pPr>
    </w:p>
    <w:p w14:paraId="2CC53260" w14:textId="77777777" w:rsidR="00B32CB4" w:rsidRDefault="008B6A2D" w:rsidP="00B32CB4">
      <w:pPr>
        <w:pStyle w:val="Keywordsheading"/>
        <w:rPr>
          <w:rFonts w:eastAsia="等线"/>
          <w:lang w:eastAsia="zh-CN"/>
        </w:rPr>
      </w:pPr>
      <w:r>
        <w:t>KEYWORDS</w:t>
      </w:r>
      <w:r w:rsidR="00B32CB4">
        <w:rPr>
          <w:rFonts w:eastAsia="等线" w:hint="eastAsia"/>
          <w:lang w:eastAsia="zh-CN"/>
        </w:rPr>
        <w:t>:</w:t>
      </w:r>
    </w:p>
    <w:p w14:paraId="1A8794B3" w14:textId="03D2103A" w:rsidR="00B32CB4" w:rsidRDefault="00B32CB4" w:rsidP="00B32CB4">
      <w:pPr>
        <w:pStyle w:val="Keywordsheading"/>
        <w:rPr>
          <w:rFonts w:eastAsia="等线"/>
          <w:lang w:eastAsia="zh-CN"/>
        </w:rPr>
      </w:pPr>
      <w:r w:rsidRPr="00B32CB4">
        <w:rPr>
          <w:rFonts w:eastAsia="等线"/>
          <w:b w:val="0"/>
          <w:bCs/>
          <w:lang w:eastAsia="zh-CN"/>
        </w:rPr>
        <w:t>Thermal comfort; Augmented reality (AR); Retrieval-Augmented Generation (RAG); Personalized.</w:t>
      </w:r>
    </w:p>
    <w:p w14:paraId="03615150" w14:textId="77777777" w:rsidR="00AC79BB" w:rsidRPr="00F05EA2" w:rsidRDefault="00AC79BB" w:rsidP="00452605">
      <w:pPr>
        <w:pStyle w:val="a0"/>
        <w:ind w:left="567" w:right="567"/>
      </w:pPr>
    </w:p>
    <w:p w14:paraId="17510818" w14:textId="77777777" w:rsidR="00812538" w:rsidRPr="00F05EA2" w:rsidRDefault="00812538" w:rsidP="00452605">
      <w:pPr>
        <w:pStyle w:val="a0"/>
        <w:ind w:left="567" w:right="567"/>
        <w:rPr>
          <w:i/>
        </w:rPr>
      </w:pPr>
    </w:p>
    <w:p w14:paraId="1AB04069" w14:textId="77777777" w:rsidR="00812538" w:rsidRPr="00F05EA2" w:rsidRDefault="00812538" w:rsidP="00452605">
      <w:pPr>
        <w:pStyle w:val="a0"/>
        <w:ind w:right="567"/>
        <w:sectPr w:rsidR="00812538" w:rsidRPr="00F05EA2">
          <w:headerReference w:type="default" r:id="rId11"/>
          <w:footerReference w:type="default" r:id="rId12"/>
          <w:headerReference w:type="first" r:id="rId13"/>
          <w:footerReference w:type="first" r:id="rId14"/>
          <w:pgSz w:w="12240" w:h="15840" w:code="9"/>
          <w:pgMar w:top="1276" w:right="1276" w:bottom="1276" w:left="1276" w:header="720" w:footer="567" w:gutter="0"/>
          <w:pgNumType w:start="1" w:chapStyle="1"/>
          <w:cols w:space="567"/>
          <w:titlePg/>
          <w:docGrid w:linePitch="360"/>
        </w:sectPr>
      </w:pPr>
    </w:p>
    <w:p w14:paraId="76A3BEC1" w14:textId="46D38C74" w:rsidR="00452605" w:rsidRDefault="0095653F" w:rsidP="00452605">
      <w:pPr>
        <w:pStyle w:val="1"/>
        <w:rPr>
          <w:rFonts w:eastAsia="等线"/>
          <w:lang w:eastAsia="zh-CN"/>
        </w:rPr>
      </w:pPr>
      <w:r w:rsidRPr="00F05EA2">
        <w:t xml:space="preserve">1. </w:t>
      </w:r>
      <w:r w:rsidR="00452605" w:rsidRPr="00F05EA2">
        <w:t>INTRODUCTION</w:t>
      </w:r>
      <w:r w:rsidR="00B32CB4">
        <w:rPr>
          <w:rFonts w:eastAsia="等线" w:hint="eastAsia"/>
          <w:lang w:eastAsia="zh-CN"/>
        </w:rPr>
        <w:t>:</w:t>
      </w:r>
    </w:p>
    <w:p w14:paraId="7030DC5B" w14:textId="1E97CB5F" w:rsidR="001C0994" w:rsidRPr="001C0994" w:rsidRDefault="001C0994" w:rsidP="001C0994">
      <w:pPr>
        <w:pStyle w:val="a0"/>
        <w:ind w:firstLineChars="150" w:firstLine="300"/>
        <w:rPr>
          <w:sz w:val="20"/>
          <w:lang w:val="en-US"/>
        </w:rPr>
      </w:pPr>
      <w:r w:rsidRPr="001C0994">
        <w:rPr>
          <w:sz w:val="20"/>
          <w:lang w:val="en-US"/>
        </w:rPr>
        <w:t>Thermal comfort is a critical factor in intelligent environmental systems, influencing not only occupant well-being and productivity but also energy efficiency. Traditional thermal comfort assessment methods, such as the Predicted Mean Vote (PMV)</w:t>
      </w:r>
      <w:r w:rsidR="004863E3">
        <w:rPr>
          <w:rFonts w:eastAsia="等线" w:hint="eastAsia"/>
          <w:sz w:val="20"/>
          <w:lang w:val="en-US" w:eastAsia="zh-CN"/>
        </w:rPr>
        <w:t xml:space="preserve"> </w:t>
      </w:r>
      <w:r w:rsidR="004863E3">
        <w:rPr>
          <w:rFonts w:eastAsia="等线"/>
          <w:sz w:val="20"/>
          <w:lang w:val="en-US" w:eastAsia="zh-CN"/>
        </w:rPr>
        <w:fldChar w:fldCharType="begin"/>
      </w:r>
      <w:r w:rsidR="004863E3">
        <w:rPr>
          <w:rFonts w:eastAsia="等线"/>
          <w:sz w:val="20"/>
          <w:lang w:val="en-US" w:eastAsia="zh-CN"/>
        </w:rPr>
        <w:instrText xml:space="preserve"> ADDIN ZOTERO_ITEM CSL_CITATION {"citationID":"xa5oGHu8","properties":{"formattedCitation":"(Fanger, 1970)","plainCitation":"(Fanger, 1970)","noteIndex":0},"citationItems":[{"id":742,"uris":["http://zotero.org/users/10267666/items/MKCYTG26"],"itemData":{"id":742,"type":"article-journal","abstract":"This book is basically an account of research undertaken by the author and his colleagues at the Technical University of Denmark and at the Institute for Environmental Research, Kansas State University. Although the data in the literature on thermal comfort are extensive, they are disjointed and not related to a general theory of thermal comfort. Consequently the information is not easy to apply...","container-title":"Thermal comfort. Analysis and applications in environmental engineering.","language":"not specified","note":"publisher: Copenhagen: Danish Technical Press.","source":"www.cabdirect.org","title":"Thermal comfort. Analysis and applications in environmental engineering.","URL":"https://www.cabdirect.org/cabdirect/abstract/19722700268","author":[{"family":"Fanger","given":"P. O."}],"accessed":{"date-parts":[["2023",4,21]]},"issued":{"date-parts":[["1970"]]}}}],"schema":"https://github.com/citation-style-language/schema/raw/master/csl-citation.json"} </w:instrText>
      </w:r>
      <w:r w:rsidR="004863E3">
        <w:rPr>
          <w:rFonts w:eastAsia="等线"/>
          <w:sz w:val="20"/>
          <w:lang w:val="en-US" w:eastAsia="zh-CN"/>
        </w:rPr>
        <w:fldChar w:fldCharType="separate"/>
      </w:r>
      <w:r w:rsidR="004863E3" w:rsidRPr="004863E3">
        <w:rPr>
          <w:sz w:val="20"/>
        </w:rPr>
        <w:t>(Fanger, 1970)</w:t>
      </w:r>
      <w:r w:rsidR="004863E3">
        <w:rPr>
          <w:rFonts w:eastAsia="等线"/>
          <w:sz w:val="20"/>
          <w:lang w:val="en-US" w:eastAsia="zh-CN"/>
        </w:rPr>
        <w:fldChar w:fldCharType="end"/>
      </w:r>
      <w:r w:rsidRPr="001C0994">
        <w:rPr>
          <w:sz w:val="20"/>
          <w:lang w:val="en-US"/>
        </w:rPr>
        <w:t xml:space="preserve"> and Predicted Percentage of Dissatisfied (PPD)</w:t>
      </w:r>
      <w:r w:rsidR="004863E3">
        <w:rPr>
          <w:rFonts w:eastAsia="等线" w:hint="eastAsia"/>
          <w:sz w:val="20"/>
          <w:lang w:val="en-US" w:eastAsia="zh-CN"/>
        </w:rPr>
        <w:t xml:space="preserve"> </w:t>
      </w:r>
      <w:r w:rsidR="004863E3">
        <w:rPr>
          <w:rFonts w:eastAsia="等线"/>
          <w:sz w:val="20"/>
          <w:lang w:val="en-US" w:eastAsia="zh-CN"/>
        </w:rPr>
        <w:fldChar w:fldCharType="begin"/>
      </w:r>
      <w:r w:rsidR="004863E3">
        <w:rPr>
          <w:rFonts w:eastAsia="等线"/>
          <w:sz w:val="20"/>
          <w:lang w:val="en-US" w:eastAsia="zh-CN"/>
        </w:rPr>
        <w:instrText xml:space="preserve"> ADDIN ZOTERO_ITEM CSL_CITATION {"citationID":"qD4ddUCk","properties":{"formattedCitation":"(ISO, 2005)","plainCitation":"(ISO, 2005)","noteIndex":0},"citationItems":[{"id":4792,"uris":["http://zotero.org/users/10267666/items/DHIA5GMD"],"itemData":{"id":4792,"type":"article-journal","container-title":"Management","issue":"605","journalAbbreviation":"Management","page":"e615","title":"7730: Ergonomics of the thermal environment Analytical determination and interpretation of thermal comfort using calculation of the PMV and PPD indices and local thermal comfort criteria","volume":"3","author":[{"family":"ISO","given":"ISO7730"}],"issued":{"date-parts":[["2005"]]}}}],"schema":"https://github.com/citation-style-language/schema/raw/master/csl-citation.json"} </w:instrText>
      </w:r>
      <w:r w:rsidR="004863E3">
        <w:rPr>
          <w:rFonts w:eastAsia="等线"/>
          <w:sz w:val="20"/>
          <w:lang w:val="en-US" w:eastAsia="zh-CN"/>
        </w:rPr>
        <w:fldChar w:fldCharType="separate"/>
      </w:r>
      <w:r w:rsidR="004863E3" w:rsidRPr="004863E3">
        <w:rPr>
          <w:sz w:val="20"/>
        </w:rPr>
        <w:t>(ISO, 2005)</w:t>
      </w:r>
      <w:r w:rsidR="004863E3">
        <w:rPr>
          <w:rFonts w:eastAsia="等线"/>
          <w:sz w:val="20"/>
          <w:lang w:val="en-US" w:eastAsia="zh-CN"/>
        </w:rPr>
        <w:fldChar w:fldCharType="end"/>
      </w:r>
      <w:r w:rsidRPr="001C0994">
        <w:rPr>
          <w:sz w:val="20"/>
          <w:lang w:val="en-US"/>
        </w:rPr>
        <w:t xml:space="preserve"> models, estimate thermal sensation based on environmental parameters like air temperature, humidity, and airflow. However, these approaches assume a uniform response across individuals, failing to capture the complexities of human thermal perception, which is influenced by physiological states, psychological factors, and behavioral adaptations</w:t>
      </w:r>
      <w:r w:rsidR="004863E3">
        <w:rPr>
          <w:rFonts w:eastAsia="等线" w:hint="eastAsia"/>
          <w:sz w:val="20"/>
          <w:lang w:val="en-US" w:eastAsia="zh-CN"/>
        </w:rPr>
        <w:t xml:space="preserve"> </w:t>
      </w:r>
      <w:r w:rsidR="004863E3">
        <w:rPr>
          <w:rFonts w:eastAsia="等线"/>
          <w:sz w:val="20"/>
          <w:lang w:val="en-US" w:eastAsia="zh-CN"/>
        </w:rPr>
        <w:fldChar w:fldCharType="begin"/>
      </w:r>
      <w:r w:rsidR="004863E3">
        <w:rPr>
          <w:rFonts w:eastAsia="等线"/>
          <w:sz w:val="20"/>
          <w:lang w:val="en-US" w:eastAsia="zh-CN"/>
        </w:rPr>
        <w:instrText xml:space="preserve"> ADDIN ZOTERO_ITEM CSL_CITATION {"citationID":"dxjli0po","properties":{"formattedCitation":"(Chen et al., 2020)","plainCitation":"(Chen et al., 2020)","noteIndex":0},"citationItems":[{"id":4262,"uris":["http://zotero.org/users/10267666/items/PS3XEMHV"],"itemData":{"id":4262,"type":"article-journal","abstract":"Indoor environmental quality (IEQ) plays a key role in determining occupants' productivity at work; however, analyses of the interconnected factors among building physical, attitudinal, social and demographic components in one study are lacking. To fill this research gap, this study investigates these interconnected factors' influence on occupants’ IEQ-productivity belief, defined as a personal, subjective evaluation of the linkage between the impacts of five IEQ aspects (the quality of indoor temperature, air, natural and electric lighting, and acoustics) and productivity. A cross-sectional survey data was collected in university offices from six countries (Brazil, Italy, Poland, Switzerland, Taiwan and the U.S.). Results of multiple linear regression models indicate that IEQ satisfaction is the strongest positive predictor of the IEQ-productivity belief and this relationship is stronger in private offices. Country of residence is the second primary predictor. Several attitudinal-behavioral factors, including thermal comfort, perceived ease of controlling indoor environmental features, and attitudes toward sharing controls are all positively associated with IEQ-productivity belief. Interestingly, the level of control accessibility to light switches has the strongest impact as opposed to other controls. On the other hand, group norms and conformity intention are not significant predictors. Regarding demographics, men are more likely than women to perceive the IEQs to have positive impacts on their productivity, without considering other variables in the regression model; however, women are more likely than men to consider all IEQs as having positive impacts on productivity, after considering other variables. Our findings provide suggestions for prioritizing wellness in the workplace since the early design stage. © 2020","archive":"Scopus","container-title":"Building and Environment","DOI":"10.1016/j.buildenv.2020.107189","title":"The impacts of building characteristics, social psychological and cultural factors on indoor environment quality productivity belief","URL":"https://www.scopus.com/inward/record.uri?eid=2-s2.0-85090744378&amp;doi=10.1016%2fj.buildenv.2020.107189&amp;partnerID=40&amp;md5=110009458965beaacf7ffa4b7bc2bcbe","volume":"185","author":[{"family":"Chen","given":"C.-F."},{"family":"Yilmaz","given":"S."},{"family":"Pisello","given":"A.L."},{"family":"De Simone","given":"M."},{"family":"Kim","given":"A."},{"family":"Hong","given":"T."},{"family":"Bandurski","given":"K."},{"family":"Bavaresco","given":"M.V."},{"family":"Liu","given":"P.-L."},{"family":"Zhu","given":"Y."}],"issued":{"date-parts":[["2020"]]}}}],"schema":"https://github.com/citation-style-language/schema/raw/master/csl-citation.json"} </w:instrText>
      </w:r>
      <w:r w:rsidR="004863E3">
        <w:rPr>
          <w:rFonts w:eastAsia="等线"/>
          <w:sz w:val="20"/>
          <w:lang w:val="en-US" w:eastAsia="zh-CN"/>
        </w:rPr>
        <w:fldChar w:fldCharType="separate"/>
      </w:r>
      <w:r w:rsidR="004863E3" w:rsidRPr="004863E3">
        <w:rPr>
          <w:sz w:val="20"/>
        </w:rPr>
        <w:t>(Chen et al., 2020)</w:t>
      </w:r>
      <w:r w:rsidR="004863E3">
        <w:rPr>
          <w:rFonts w:eastAsia="等线"/>
          <w:sz w:val="20"/>
          <w:lang w:val="en-US" w:eastAsia="zh-CN"/>
        </w:rPr>
        <w:fldChar w:fldCharType="end"/>
      </w:r>
      <w:r w:rsidRPr="001C0994">
        <w:rPr>
          <w:sz w:val="20"/>
          <w:lang w:val="en-US"/>
        </w:rPr>
        <w:t>. Single-modal sensor-based methods, such as temperature and humidity monitoring, also lack the ability to integrate diverse factors affecting comfort.</w:t>
      </w:r>
    </w:p>
    <w:p w14:paraId="1D827364" w14:textId="1F9859A7" w:rsidR="001C0994" w:rsidRPr="001C0994" w:rsidRDefault="001C0994" w:rsidP="001C0994">
      <w:pPr>
        <w:pStyle w:val="a0"/>
        <w:ind w:firstLineChars="150" w:firstLine="300"/>
        <w:rPr>
          <w:sz w:val="20"/>
          <w:lang w:val="en-US"/>
        </w:rPr>
      </w:pPr>
      <w:r w:rsidRPr="001C0994">
        <w:rPr>
          <w:sz w:val="20"/>
          <w:lang w:val="en-US"/>
        </w:rPr>
        <w:t>Recent advancements in multimodal sensing, edge computing, and intelligent human-machine interaction offer new possibilities for real-time, personalized thermal comfort regulation. Multimodal data sources, including thermal imaging, electrodermal activity (EDA)</w:t>
      </w:r>
      <w:r w:rsidR="004C725E">
        <w:rPr>
          <w:rFonts w:eastAsia="等线" w:hint="eastAsia"/>
          <w:sz w:val="20"/>
          <w:lang w:val="en-US" w:eastAsia="zh-CN"/>
        </w:rPr>
        <w:t xml:space="preserve"> </w:t>
      </w:r>
      <w:r w:rsidR="004C725E">
        <w:rPr>
          <w:rFonts w:eastAsia="等线"/>
          <w:sz w:val="20"/>
          <w:lang w:val="en-US" w:eastAsia="zh-CN"/>
        </w:rPr>
        <w:fldChar w:fldCharType="begin"/>
      </w:r>
      <w:r w:rsidR="004C725E">
        <w:rPr>
          <w:rFonts w:eastAsia="等线"/>
          <w:sz w:val="20"/>
          <w:lang w:val="en-US" w:eastAsia="zh-CN"/>
        </w:rPr>
        <w:instrText xml:space="preserve"> ADDIN ZOTERO_ITEM CSL_CITATION {"citationID":"hunYd5J4","properties":{"formattedCitation":"(Fadhel et al., 2024)","plainCitation":"(Fadhel et al., 2024)","noteIndex":0},"citationItems":[{"id":4068,"uris":["http://zotero.org/users/10267666/items/ZCTAYHPT"],"itemData":{"id":4068,"type":"article-journal","abstract":"Smart cities result from integrating advanced technologies and intelligent sensors into modern urban infrastructure. The Internet of Things (IoT) and data integration are pivotal in creating interconnected and intelligent urban spaces. In this literature review, we explore the different methods of information fusion used in smart cities, along with their advantages and challenges. However, there are notable challenges in managing diverse data sources, handling large data volumes, and meeting the near-real-time demands of various smart city applications. The review aims to examine smart city applications in detail, incorporating quality evaluation and information fusion techniques and identifying critical issues while outlining promising research directions. In order to accomplish our goal, we conducted a comprehensive search of literature and applied selective criteria. We identified 59 recent studies addressing machine learning (ML) and deep learning (DL) techniques in smart city applications. These studies were obtained from various databases such as ScienceDirect (SD), Scopus, Web of Science (WoS), and IEEE Xplore. The main objective of this study is to provide more detailed insights into smart cities by supplementing existing research. The word cloud visualisation of machine learning/deep learning and information fusion in smart cities papers shows a diverse landscape, covering both technical aspects of artificial intelligence and practical applications in urban settings. Apart from technical exploration, the study also delves into the ethical and privacy implications arising in smart cities. Moreover, it thoroughly examines the challenges that must be addressed to realise this urban revolution's potential fully.","container-title":"Information Fusion","DOI":"10.1016/j.inffus.2024.102317","ISSN":"1566-2535","journalAbbreviation":"Information Fusion","page":"102317","source":"ScienceDirect","title":"Comprehensive systematic review of information fusion methods in smart cities and urban environments","volume":"107","author":[{"family":"Fadhel","given":"Mohammed A."},{"family":"Duhaim","given":"Ali M."},{"family":"Saihood","given":"Ahmed"},{"family":"Sewify","given":"Ahmed"},{"family":"Al-Hamadani","given":"Mokhaled N. A."},{"family":"Albahri","given":"A. S."},{"family":"Alzubaidi","given":"Laith"},{"family":"Gupta","given":"Ashish"},{"family":"Mirjalili","given":"Sayedali"},{"family":"Gu","given":"Yuantong"}],"issued":{"date-parts":[["2024",7,1]]}}}],"schema":"https://github.com/citation-style-language/schema/raw/master/csl-citation.json"} </w:instrText>
      </w:r>
      <w:r w:rsidR="004C725E">
        <w:rPr>
          <w:rFonts w:eastAsia="等线"/>
          <w:sz w:val="20"/>
          <w:lang w:val="en-US" w:eastAsia="zh-CN"/>
        </w:rPr>
        <w:fldChar w:fldCharType="separate"/>
      </w:r>
      <w:r w:rsidR="004C725E" w:rsidRPr="004C725E">
        <w:rPr>
          <w:sz w:val="20"/>
        </w:rPr>
        <w:t>(Fadhel et al., 2024)</w:t>
      </w:r>
      <w:r w:rsidR="004C725E">
        <w:rPr>
          <w:rFonts w:eastAsia="等线"/>
          <w:sz w:val="20"/>
          <w:lang w:val="en-US" w:eastAsia="zh-CN"/>
        </w:rPr>
        <w:fldChar w:fldCharType="end"/>
      </w:r>
      <w:r w:rsidRPr="001C0994">
        <w:rPr>
          <w:sz w:val="20"/>
          <w:lang w:val="en-US"/>
        </w:rPr>
        <w:t>, and computer vision-based posture analysis, enhance prediction accuracy by integrating environmental, physiological, and behavioral signals</w:t>
      </w:r>
      <w:r w:rsidR="00263B29">
        <w:rPr>
          <w:rFonts w:eastAsia="等线" w:hint="eastAsia"/>
          <w:sz w:val="20"/>
          <w:lang w:val="en-US" w:eastAsia="zh-CN"/>
        </w:rPr>
        <w:t xml:space="preserve"> </w:t>
      </w:r>
      <w:r w:rsidR="00263B29">
        <w:rPr>
          <w:rFonts w:eastAsia="等线"/>
          <w:sz w:val="20"/>
          <w:lang w:val="en-US" w:eastAsia="zh-CN"/>
        </w:rPr>
        <w:fldChar w:fldCharType="begin"/>
      </w:r>
      <w:r w:rsidR="00263B29">
        <w:rPr>
          <w:rFonts w:eastAsia="等线"/>
          <w:sz w:val="20"/>
          <w:lang w:val="en-US" w:eastAsia="zh-CN"/>
        </w:rPr>
        <w:instrText xml:space="preserve"> ADDIN ZOTERO_ITEM CSL_CITATION {"citationID":"veDiJcW7","properties":{"formattedCitation":"(Haruehansapong et al., 2023)","plainCitation":"(Haruehansapong et al., 2023)","noteIndex":0},"citationItems":[{"id":4826,"uris":["http://zotero.org/users/10267666/items/DM9FBH6V"],"itemData":{"id":4826,"type":"article-journal","abstract":"Personal Thermal Comfort (PTC) is a critical indicator of health, well-being, and productivity, especially for susceptible occupants (e.g., older people and patients). However, PTC prediction is challenging because it requires advanced technologies to deal with complex factors produced by dynamic environments (e.g., ambient factors) and individual preferences (e.g., physiological responses). This research addresses these concerns by designing and developing Deep Neural Network (DNN) model based on occupants' physiological responses, including skin temperature (ST), heart rate (HR), electrodermal activity (EDA), and airflow (AF). The experimental chamber and measurement procedure are proposed to observe physiological signals under the control of indoor temperature and humidity, particle matter concentration (PM2.5 and PM10), and CO2 concentration. The results show that our DNN model can perform predictive effectiveness of PTC satisfaction levels more effectively than the principle model, achieving approximately 90 % of average precision, recall, and f-measure, improving almost 10 % of rare events. This ensures that the DNN model is a natural fit for predictive individual satisfaction and can be employed in intelligent applications.","container-title":"Building and Environment","DOI":"10.1016/j.buildenv.2023.110940","ISSN":"0360-1323","journalAbbreviation":"Building and Environment","page":"110940","source":"ScienceDirect","title":"Personal thermal comfort prediction using multi-physiological sensors: The design and development of deep neural network models based on individual preferences","title-short":"Personal thermal comfort prediction using multi-physiological sensors","volume":"245","author":[{"family":"Haruehansapong","given":"Kanjana"},{"family":"Kliangkhlao","given":"Mallika"},{"family":"Yeranee","given":"Kirttayoth"},{"family":"Sahoh","given":"Bukhoree"}],"issued":{"date-parts":[["2023",11,1]]}}}],"schema":"https://github.com/citation-style-language/schema/raw/master/csl-citation.json"} </w:instrText>
      </w:r>
      <w:r w:rsidR="00263B29">
        <w:rPr>
          <w:rFonts w:eastAsia="等线"/>
          <w:sz w:val="20"/>
          <w:lang w:val="en-US" w:eastAsia="zh-CN"/>
        </w:rPr>
        <w:fldChar w:fldCharType="separate"/>
      </w:r>
      <w:r w:rsidR="00263B29" w:rsidRPr="00263B29">
        <w:rPr>
          <w:sz w:val="20"/>
        </w:rPr>
        <w:t>(Haruehansapong et al., 2023)</w:t>
      </w:r>
      <w:r w:rsidR="00263B29">
        <w:rPr>
          <w:rFonts w:eastAsia="等线"/>
          <w:sz w:val="20"/>
          <w:lang w:val="en-US" w:eastAsia="zh-CN"/>
        </w:rPr>
        <w:fldChar w:fldCharType="end"/>
      </w:r>
      <w:r w:rsidRPr="001C0994">
        <w:rPr>
          <w:sz w:val="20"/>
          <w:lang w:val="en-US"/>
        </w:rPr>
        <w:t>. Edge computing further supports real-time inference and reduces privacy risks by performing computations locally, mitigating concerns associated with cloud-based data processing</w:t>
      </w:r>
      <w:r w:rsidR="00263B29">
        <w:rPr>
          <w:rFonts w:eastAsia="等线" w:hint="eastAsia"/>
          <w:sz w:val="20"/>
          <w:lang w:val="en-US" w:eastAsia="zh-CN"/>
        </w:rPr>
        <w:t xml:space="preserve"> </w:t>
      </w:r>
      <w:r w:rsidR="00263B29">
        <w:rPr>
          <w:rFonts w:eastAsia="等线"/>
          <w:sz w:val="20"/>
          <w:lang w:val="en-US" w:eastAsia="zh-CN"/>
        </w:rPr>
        <w:fldChar w:fldCharType="begin"/>
      </w:r>
      <w:r w:rsidR="00263B29">
        <w:rPr>
          <w:rFonts w:eastAsia="等线"/>
          <w:sz w:val="20"/>
          <w:lang w:val="en-US" w:eastAsia="zh-CN"/>
        </w:rPr>
        <w:instrText xml:space="preserve"> ADDIN ZOTERO_ITEM CSL_CITATION {"citationID":"K4yAKwNy","properties":{"formattedCitation":"(Qiu et al., 2020)","plainCitation":"(Qiu et al., 2020)","noteIndex":0},"citationItems":[{"id":4829,"uris":["http://zotero.org/users/10267666/items/UQAMTD59"],"itemData":{"id":4829,"type":"article-journal","abstract":"The Industrial Internet of Things (IIoT) is a crucial research field spawned by the Internet of Things (IoT). IIoT links all types of industrial equipment through the network; establishes data acquisition, exchange, and analysis systems; and optimizes processes and services, so as to reduce cost and enhance productivity. The introduction of edge computing in IIoT can significantly reduce the decision-making latency, save bandwidth resources, and to some extent, protect privacy. This paper outlines the research progress concerning edge computing in IIoT. First, the concepts of IIoT and edge computing are discussed, and subsequently, the research progress of edge computing is discussed and summarized in detail. Next, the future architecture from the perspective of edge computing in IIoT is proposed, and its technical progress in routing, task scheduling, data storage and analytics, security, and standardization is analyzed. Furthermore, we discuss the opportunities and challenges of edge computing in IIoT in terms of 5G-based edge communication, load balancing and data offloading, edge intelligence, as well as data sharing security. Finally, we introduce some typical application scenarios of edge computing in IIoT, such as prognostics and health management (PHM), smart grids, manufacturing coordination, intelligent connected vehicles (ICV), and smart logistics.","container-title":"IEEE Communications Surveys &amp; Tutorials","DOI":"10.1109/COMST.2020.3009103","ISSN":"1553-877X","issue":"4","page":"2462-2488","source":"IEEE Xplore","title":"Edge Computing in Industrial Internet of Things: Architecture, Advances and Challenges","title-short":"Edge Computing in Industrial Internet of Things","volume":"22","author":[{"family":"Qiu","given":"Tie"},{"family":"Chi","given":"Jiancheng"},{"family":"Zhou","given":"Xiaobo"},{"family":"Ning","given":"Zhaolong"},{"family":"Atiquzzaman","given":"Mohammed"},{"family":"Wu","given":"Dapeng Oliver"}],"issued":{"date-parts":[["2020"]]}}}],"schema":"https://github.com/citation-style-language/schema/raw/master/csl-citation.json"} </w:instrText>
      </w:r>
      <w:r w:rsidR="00263B29">
        <w:rPr>
          <w:rFonts w:eastAsia="等线"/>
          <w:sz w:val="20"/>
          <w:lang w:val="en-US" w:eastAsia="zh-CN"/>
        </w:rPr>
        <w:fldChar w:fldCharType="separate"/>
      </w:r>
      <w:r w:rsidR="00263B29" w:rsidRPr="00263B29">
        <w:rPr>
          <w:sz w:val="20"/>
        </w:rPr>
        <w:t>(Qiu et al., 2020)</w:t>
      </w:r>
      <w:r w:rsidR="00263B29">
        <w:rPr>
          <w:rFonts w:eastAsia="等线"/>
          <w:sz w:val="20"/>
          <w:lang w:val="en-US" w:eastAsia="zh-CN"/>
        </w:rPr>
        <w:fldChar w:fldCharType="end"/>
      </w:r>
      <w:r w:rsidRPr="001C0994">
        <w:rPr>
          <w:sz w:val="20"/>
          <w:lang w:val="en-US"/>
        </w:rPr>
        <w:t xml:space="preserve">. However, despite these advances, several challenges remain: (1) real-time constraints due to the high computational cost of processing multimodal data streams, particularly video and physiological signals; (2) privacy concerns related to biometric </w:t>
      </w:r>
      <w:r w:rsidRPr="001C0994">
        <w:rPr>
          <w:sz w:val="20"/>
          <w:lang w:val="en-US"/>
        </w:rPr>
        <w:lastRenderedPageBreak/>
        <w:t>data storage and transmission, raising regulatory issues under frameworks such as GDPR; and (3) the adaptability of existing models, which often struggle to account for contextual variations such as seasonal changes, clothing insulation, and individual preferences</w:t>
      </w:r>
      <w:r w:rsidR="00733D7C">
        <w:rPr>
          <w:rFonts w:eastAsia="等线" w:hint="eastAsia"/>
          <w:sz w:val="20"/>
          <w:lang w:val="en-US" w:eastAsia="zh-CN"/>
        </w:rPr>
        <w:t xml:space="preserve"> </w:t>
      </w:r>
      <w:r w:rsidR="00733D7C">
        <w:rPr>
          <w:rFonts w:eastAsia="等线"/>
          <w:sz w:val="20"/>
          <w:lang w:val="en-US" w:eastAsia="zh-CN"/>
        </w:rPr>
        <w:fldChar w:fldCharType="begin"/>
      </w:r>
      <w:r w:rsidR="00733D7C">
        <w:rPr>
          <w:rFonts w:eastAsia="等线"/>
          <w:sz w:val="20"/>
          <w:lang w:val="en-US" w:eastAsia="zh-CN"/>
        </w:rPr>
        <w:instrText xml:space="preserve"> ADDIN ZOTERO_ITEM CSL_CITATION {"citationID":"fYP71t6w","properties":{"formattedCitation":"(ASHRAE, 2021)","plainCitation":"(ASHRAE, 2021)","noteIndex":0},"citationItems":[{"id":4794,"uris":["http://zotero.org/users/10267666/items/JTWUAFTY"],"itemData":{"id":4794,"type":"article-journal","note":"publisher: American Society of Heating, Refrigerating and Air-Conditioning Engineers","title":"ASHRAE Standard 170–2021: Ventilation of Health Care Facilities","author":[{"literal":"ASHRAE"}],"issued":{"date-parts":[["2021"]]}}}],"schema":"https://github.com/citation-style-language/schema/raw/master/csl-citation.json"} </w:instrText>
      </w:r>
      <w:r w:rsidR="00733D7C">
        <w:rPr>
          <w:rFonts w:eastAsia="等线"/>
          <w:sz w:val="20"/>
          <w:lang w:val="en-US" w:eastAsia="zh-CN"/>
        </w:rPr>
        <w:fldChar w:fldCharType="separate"/>
      </w:r>
      <w:r w:rsidR="00733D7C" w:rsidRPr="00733D7C">
        <w:rPr>
          <w:sz w:val="20"/>
        </w:rPr>
        <w:t>(ASHRAE, 2021)</w:t>
      </w:r>
      <w:r w:rsidR="00733D7C">
        <w:rPr>
          <w:rFonts w:eastAsia="等线"/>
          <w:sz w:val="20"/>
          <w:lang w:val="en-US" w:eastAsia="zh-CN"/>
        </w:rPr>
        <w:fldChar w:fldCharType="end"/>
      </w:r>
      <w:r w:rsidRPr="001C0994">
        <w:rPr>
          <w:sz w:val="20"/>
          <w:lang w:val="en-US"/>
        </w:rPr>
        <w:t>.</w:t>
      </w:r>
    </w:p>
    <w:p w14:paraId="30917F32" w14:textId="34B7518D" w:rsidR="001C0994" w:rsidRPr="001C0994" w:rsidRDefault="001C0994" w:rsidP="001C0994">
      <w:pPr>
        <w:pStyle w:val="a0"/>
        <w:ind w:firstLineChars="150" w:firstLine="300"/>
        <w:rPr>
          <w:sz w:val="20"/>
          <w:lang w:val="en-US"/>
        </w:rPr>
      </w:pPr>
      <w:r w:rsidRPr="001C0994">
        <w:rPr>
          <w:sz w:val="20"/>
          <w:lang w:val="en-US"/>
        </w:rPr>
        <w:t>To address these challenges, this study proposes a hybrid edge-cloud framework integrating multimodal sensing, Retrieval-Augmented Generation (RAG), and Augmented Reality (AR) to enable real-time, personalized thermal comfort regulation</w:t>
      </w:r>
      <w:r w:rsidR="00733D7C">
        <w:rPr>
          <w:rFonts w:eastAsia="等线" w:hint="eastAsia"/>
          <w:sz w:val="20"/>
          <w:lang w:val="en-US" w:eastAsia="zh-CN"/>
        </w:rPr>
        <w:t xml:space="preserve"> </w:t>
      </w:r>
      <w:r w:rsidR="00733D7C">
        <w:rPr>
          <w:rFonts w:eastAsia="等线"/>
          <w:sz w:val="20"/>
          <w:lang w:val="en-US" w:eastAsia="zh-CN"/>
        </w:rPr>
        <w:fldChar w:fldCharType="begin"/>
      </w:r>
      <w:r w:rsidR="00733D7C">
        <w:rPr>
          <w:rFonts w:eastAsia="等线"/>
          <w:sz w:val="20"/>
          <w:lang w:val="en-US" w:eastAsia="zh-CN"/>
        </w:rPr>
        <w:instrText xml:space="preserve"> ADDIN ZOTERO_ITEM CSL_CITATION {"citationID":"nVUAYkT4","properties":{"formattedCitation":"(Abdelrahman &amp; Miller, 2022)","plainCitation":"(Abdelrahman &amp; Miller, 2022)","noteIndex":0},"citationItems":[{"id":1409,"uris":["http://zotero.org/users/10267666/items/7TVESV2X"],"itemData":{"id":1409,"type":"article-journal","abstract":"Collecting intensive longitudinal thermal preference data from building occupants is emerging as an innovative means of characterizing the performance of buildings and the people who use them. These techniques have occupants giving subjective feedback using smartphones or smartwatches frequently over the course of days or weeks. The intention is that the data will be collected with high spatial and temporal diversity to best characterize a building and the occupant’s preferences. But in reality, leaving the occupant to respond in an ad-hoc or fixed interval way creates unneeded survey fatigue and redundant data. This paper outlines a scenario-based (virtual experiment) method for optimizing data sampling using a smartwatch to achieve comparable accuracy in a personal thermal preference model with fewer data. This method uses BIM-extracted spatial data and Graph Neural Network-based (GNN) modeling to find regions of similar comfort preference to identify the best scenarios for triggering the occupant to give feedback. This method is compared to two baseline scenarios that use conventional zoning and a generic 4x4 square meter grid method from two field-based datasets. The results show that the proposed Build2Vec method has an 18%–23% higher overall sampling quality than the spaces-based and square-grid-based sampling methods. The Build2Vec method also performs similar to the baselines when removing redundant occupant feedback points but with better scalability potential.","container-title":"Building and Environment","DOI":"https://doi.org/10.1016/j.buildenv.2022.109090","ISSN":"0360-1323","journalAbbreviation":"Build. Environ.","page":"109090","title":"Targeting occupant feedback using digital twins: Adaptive spatial–temporal thermal preference sampling to optimize personal comfort models","volume":"218","author":[{"family":"Abdelrahman","given":"Mahmoud M."},{"family":"Miller","given":"Clayton"}],"issued":{"date-parts":[["2022",6,15]]}}}],"schema":"https://github.com/citation-style-language/schema/raw/master/csl-citation.json"} </w:instrText>
      </w:r>
      <w:r w:rsidR="00733D7C">
        <w:rPr>
          <w:rFonts w:eastAsia="等线"/>
          <w:sz w:val="20"/>
          <w:lang w:val="en-US" w:eastAsia="zh-CN"/>
        </w:rPr>
        <w:fldChar w:fldCharType="separate"/>
      </w:r>
      <w:r w:rsidR="00733D7C" w:rsidRPr="00733D7C">
        <w:rPr>
          <w:sz w:val="20"/>
        </w:rPr>
        <w:t>(Abdelrahman &amp; Miller, 2022)</w:t>
      </w:r>
      <w:r w:rsidR="00733D7C">
        <w:rPr>
          <w:rFonts w:eastAsia="等线"/>
          <w:sz w:val="20"/>
          <w:lang w:val="en-US" w:eastAsia="zh-CN"/>
        </w:rPr>
        <w:fldChar w:fldCharType="end"/>
      </w:r>
      <w:r w:rsidRPr="001C0994">
        <w:rPr>
          <w:sz w:val="20"/>
          <w:lang w:val="en-US"/>
        </w:rPr>
        <w:t>. The system employs hierarchical multimodal feature processing, domain-specific knowledge retrieval, and an adaptive edge-cloud collaboration strategy to optimize computational efficiency while ensuring user privacy and adaptability. By incorporating AR-based visualization, the system provides an intuitive user interface, enabling dynamic interaction and feedback for personalized comfort management. The integration of multimodal sensing, human-cen</w:t>
      </w:r>
      <w:r w:rsidR="00865445">
        <w:rPr>
          <w:rFonts w:eastAsia="等线" w:hint="eastAsia"/>
          <w:sz w:val="20"/>
          <w:lang w:val="en-US" w:eastAsia="zh-CN"/>
        </w:rPr>
        <w:t>tric</w:t>
      </w:r>
      <w:r w:rsidRPr="001C0994">
        <w:rPr>
          <w:sz w:val="20"/>
          <w:lang w:val="en-US"/>
        </w:rPr>
        <w:t xml:space="preserve"> AI, and edge-cloud computing establishes a foundation for future intelligent environmental systems.</w:t>
      </w:r>
    </w:p>
    <w:p w14:paraId="7B3261A0" w14:textId="77777777" w:rsidR="00452605" w:rsidRPr="00F05EA2" w:rsidRDefault="00452605" w:rsidP="00452605">
      <w:pPr>
        <w:pStyle w:val="a0"/>
        <w:rPr>
          <w:sz w:val="20"/>
        </w:rPr>
      </w:pPr>
    </w:p>
    <w:p w14:paraId="56D82AAA" w14:textId="6215C3A2" w:rsidR="00452605" w:rsidRDefault="0095653F" w:rsidP="00452605">
      <w:pPr>
        <w:pStyle w:val="1"/>
        <w:rPr>
          <w:rFonts w:eastAsia="等线"/>
          <w:lang w:eastAsia="zh-CN"/>
        </w:rPr>
      </w:pPr>
      <w:r w:rsidRPr="00F05EA2">
        <w:t xml:space="preserve">2. </w:t>
      </w:r>
      <w:r w:rsidR="00F301F4">
        <w:rPr>
          <w:rFonts w:eastAsia="等线" w:hint="eastAsia"/>
          <w:lang w:eastAsia="zh-CN"/>
        </w:rPr>
        <w:t>M</w:t>
      </w:r>
      <w:r w:rsidR="001C0994">
        <w:rPr>
          <w:rFonts w:eastAsia="等线" w:hint="eastAsia"/>
          <w:lang w:eastAsia="zh-CN"/>
        </w:rPr>
        <w:t>ETHODS</w:t>
      </w:r>
    </w:p>
    <w:p w14:paraId="05620711" w14:textId="635984F5" w:rsidR="00951A41" w:rsidRDefault="001C0994" w:rsidP="00951A41">
      <w:pPr>
        <w:pStyle w:val="a0"/>
        <w:ind w:firstLine="284"/>
        <w:rPr>
          <w:rFonts w:eastAsia="等线" w:hint="eastAsia"/>
          <w:sz w:val="20"/>
          <w:lang w:val="en-US" w:eastAsia="zh-CN"/>
        </w:rPr>
      </w:pPr>
      <w:r>
        <w:rPr>
          <w:rFonts w:eastAsia="等线"/>
          <w:sz w:val="20"/>
          <w:lang w:val="en-US" w:eastAsia="zh-CN"/>
        </w:rPr>
        <w:t>The proposed system is structured as a three-layer architecture comprising an edge layer, a cloud layer, and an AR interaction layer. The edge layer, implemented on AR devices and IoT-enabled sensors, is responsible for real-time data acquisition, lightweight processing, and privacy-preserving feature extraction. The cloud layer handles complex multimodal data fusion, knowledge retrieval, and global optimization. The AR interaction layer provides immersive visualization and facilitates real-time adjustments through user feedback.</w:t>
      </w:r>
    </w:p>
    <w:p w14:paraId="06AA8925" w14:textId="386A5C09" w:rsidR="00951A41" w:rsidRDefault="00951A41" w:rsidP="00951A41">
      <w:pPr>
        <w:pStyle w:val="a0"/>
        <w:rPr>
          <w:rFonts w:eastAsia="等线"/>
          <w:sz w:val="20"/>
          <w:lang w:val="en-US" w:eastAsia="zh-CN"/>
        </w:rPr>
      </w:pPr>
      <w:r>
        <w:pict w14:anchorId="760235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26.2pt;height:403.2pt">
            <v:imagedata r:id="rId15" o:title=""/>
          </v:shape>
        </w:pict>
      </w:r>
    </w:p>
    <w:p w14:paraId="55C695A1" w14:textId="36ED0A92" w:rsidR="00951A41" w:rsidRPr="00951A41" w:rsidRDefault="00951A41" w:rsidP="00951A41">
      <w:pPr>
        <w:jc w:val="both"/>
        <w:rPr>
          <w:b w:val="0"/>
          <w:bCs/>
          <w:sz w:val="18"/>
          <w:szCs w:val="18"/>
          <w:lang w:val="en-US" w:eastAsia="zh-CN"/>
        </w:rPr>
      </w:pPr>
      <w:r w:rsidRPr="00951A41">
        <w:rPr>
          <w:rStyle w:val="15"/>
          <w:b w:val="0"/>
          <w:bCs/>
        </w:rPr>
        <w:t xml:space="preserve">Figure 1: </w:t>
      </w:r>
      <w:r>
        <w:rPr>
          <w:rStyle w:val="15"/>
          <w:rFonts w:eastAsia="等线" w:hint="eastAsia"/>
          <w:b w:val="0"/>
          <w:bCs/>
          <w:lang w:eastAsia="zh-CN"/>
        </w:rPr>
        <w:t xml:space="preserve">The framework of the system and </w:t>
      </w:r>
      <w:r w:rsidR="00892B20">
        <w:rPr>
          <w:rStyle w:val="15"/>
          <w:rFonts w:eastAsia="等线" w:hint="eastAsia"/>
          <w:b w:val="0"/>
          <w:bCs/>
          <w:lang w:eastAsia="zh-CN"/>
        </w:rPr>
        <w:t>experiment</w:t>
      </w:r>
      <w:r>
        <w:rPr>
          <w:rStyle w:val="15"/>
          <w:rFonts w:eastAsia="等线" w:hint="eastAsia"/>
          <w:b w:val="0"/>
          <w:bCs/>
          <w:lang w:eastAsia="zh-CN"/>
        </w:rPr>
        <w:t xml:space="preserve"> methods</w:t>
      </w:r>
      <w:r w:rsidRPr="00951A41">
        <w:rPr>
          <w:rStyle w:val="15"/>
          <w:b w:val="0"/>
          <w:bCs/>
        </w:rPr>
        <w:t>.</w:t>
      </w:r>
    </w:p>
    <w:p w14:paraId="4C1DC132" w14:textId="77777777" w:rsidR="006374BC" w:rsidRDefault="006374BC" w:rsidP="006374BC">
      <w:pPr>
        <w:pStyle w:val="a0"/>
        <w:rPr>
          <w:rFonts w:eastAsia="等线" w:hint="eastAsia"/>
          <w:sz w:val="20"/>
          <w:lang w:val="en-US" w:eastAsia="zh-CN"/>
        </w:rPr>
      </w:pPr>
    </w:p>
    <w:p w14:paraId="28989E0D" w14:textId="41FF838C" w:rsidR="00876692" w:rsidRPr="0000598A" w:rsidRDefault="006374BC" w:rsidP="0000598A">
      <w:pPr>
        <w:pStyle w:val="1"/>
        <w:rPr>
          <w:rFonts w:eastAsia="等线"/>
          <w:lang w:eastAsia="zh-CN"/>
        </w:rPr>
      </w:pPr>
      <w:r w:rsidRPr="00F05EA2">
        <w:rPr>
          <w:lang w:eastAsia="zh-CN"/>
        </w:rPr>
        <w:t>2.</w:t>
      </w:r>
      <w:r>
        <w:rPr>
          <w:rFonts w:eastAsia="等线" w:hint="eastAsia"/>
          <w:lang w:eastAsia="zh-CN"/>
        </w:rPr>
        <w:t>1</w:t>
      </w:r>
      <w:r w:rsidRPr="00F05EA2">
        <w:rPr>
          <w:lang w:eastAsia="zh-CN"/>
        </w:rPr>
        <w:t xml:space="preserve"> </w:t>
      </w:r>
      <w:r>
        <w:rPr>
          <w:rFonts w:eastAsia="等线" w:hint="eastAsia"/>
          <w:lang w:eastAsia="zh-CN"/>
        </w:rPr>
        <w:t>Edge layer system</w:t>
      </w:r>
    </w:p>
    <w:p w14:paraId="11E8F877" w14:textId="294B77AC" w:rsidR="00876692" w:rsidRPr="00876692" w:rsidRDefault="00876692" w:rsidP="00876692">
      <w:pPr>
        <w:pStyle w:val="a0"/>
        <w:ind w:firstLine="284"/>
        <w:rPr>
          <w:rFonts w:eastAsia="等线"/>
          <w:sz w:val="20"/>
          <w:lang w:val="en-US" w:eastAsia="zh-CN"/>
        </w:rPr>
      </w:pPr>
      <w:r w:rsidRPr="00876692">
        <w:rPr>
          <w:rFonts w:eastAsia="等线"/>
          <w:sz w:val="20"/>
          <w:lang w:val="en-US" w:eastAsia="zh-CN"/>
        </w:rPr>
        <w:t xml:space="preserve">The edge layer constitutes the frontline of the proposed thermal comfort perception system, engineered to acquire, preprocess, and relay multimodal data in real time within a compact 10 m² indoor environment, thereby enabling rapid response and reducing cloud dependency. Deployed across four sensing stations strategically positioned to ensure spatial coverage, this layer integrates an RS485-based IoT infrastructure chosen for its deterministic latency (&lt;10 </w:t>
      </w:r>
      <w:proofErr w:type="spellStart"/>
      <w:r w:rsidRPr="00876692">
        <w:rPr>
          <w:rFonts w:eastAsia="等线"/>
          <w:sz w:val="20"/>
          <w:lang w:val="en-US" w:eastAsia="zh-CN"/>
        </w:rPr>
        <w:t>ms</w:t>
      </w:r>
      <w:proofErr w:type="spellEnd"/>
      <w:r w:rsidRPr="00876692">
        <w:rPr>
          <w:rFonts w:eastAsia="等线"/>
          <w:sz w:val="20"/>
          <w:lang w:val="en-US" w:eastAsia="zh-CN"/>
        </w:rPr>
        <w:t>) and capacity to support up to 32 devices over a 1200 m bus, outperforming wireless alternatives like MQTT in small-scale, high-density setups. Each station is equipped with a suite of sensors: a DS18B20 temperature sensor (±0.5°C accuracy, 0–100°C range) sampling ambient conditions at 1 Hz, a DHT22 humidity sensor (±2% RH accuracy, 0–100% range) capturing relative humidity, and a hot-</w:t>
      </w:r>
      <w:r w:rsidRPr="00876692">
        <w:rPr>
          <w:rFonts w:eastAsia="等线"/>
          <w:sz w:val="20"/>
          <w:lang w:val="en-US" w:eastAsia="zh-CN"/>
        </w:rPr>
        <w:lastRenderedPageBreak/>
        <w:t xml:space="preserve">wire anemometer (±0.1 m/s accuracy, 0–2 m/s range) measuring airflow, collectively providing a comprehensive environmental profile. Behavioral data, such as clothing insulation (CLO) and posture, are derived from RealSense D435i RGB/infrared cameras (15 fps, 1280x720 resolution), while physiological signals—skin temperature (±0.2°C) and heart rate variability (HRV, via PPG)—are collected at 64 Hz using </w:t>
      </w:r>
      <w:proofErr w:type="spellStart"/>
      <w:r w:rsidRPr="00876692">
        <w:rPr>
          <w:rFonts w:eastAsia="等线"/>
          <w:sz w:val="20"/>
          <w:lang w:val="en-US" w:eastAsia="zh-CN"/>
        </w:rPr>
        <w:t>Empatica</w:t>
      </w:r>
      <w:proofErr w:type="spellEnd"/>
      <w:r w:rsidRPr="00876692">
        <w:rPr>
          <w:rFonts w:eastAsia="等线"/>
          <w:sz w:val="20"/>
          <w:lang w:val="en-US" w:eastAsia="zh-CN"/>
        </w:rPr>
        <w:t xml:space="preserve"> E4 wearables worn by the 30 participants. Temporal synchronization across these heterogeneous streams is achieved via the Precision Time Protocol (PTP), maintaining coherence within 1 </w:t>
      </w:r>
      <w:proofErr w:type="spellStart"/>
      <w:r w:rsidRPr="00876692">
        <w:rPr>
          <w:rFonts w:eastAsia="等线"/>
          <w:sz w:val="20"/>
          <w:lang w:val="en-US" w:eastAsia="zh-CN"/>
        </w:rPr>
        <w:t>ms</w:t>
      </w:r>
      <w:proofErr w:type="spellEnd"/>
      <w:r w:rsidRPr="00876692">
        <w:rPr>
          <w:rFonts w:eastAsia="等线"/>
          <w:sz w:val="20"/>
          <w:lang w:val="en-US" w:eastAsia="zh-CN"/>
        </w:rPr>
        <w:t xml:space="preserve"> jitter, critical for aligning rapid physiological changes (e.g., HRV spikes) with slower environmental shifts (e.g., temperature gradients).</w:t>
      </w:r>
    </w:p>
    <w:p w14:paraId="31909AB7" w14:textId="1911A046" w:rsidR="00876692" w:rsidRPr="00876692" w:rsidRDefault="00876692" w:rsidP="00876692">
      <w:pPr>
        <w:pStyle w:val="a0"/>
        <w:ind w:firstLine="284"/>
        <w:rPr>
          <w:rFonts w:eastAsia="等线"/>
          <w:sz w:val="20"/>
          <w:lang w:val="en-US" w:eastAsia="zh-CN"/>
        </w:rPr>
      </w:pPr>
      <w:r w:rsidRPr="00876692">
        <w:rPr>
          <w:rFonts w:eastAsia="等线"/>
          <w:sz w:val="20"/>
          <w:lang w:val="en-US" w:eastAsia="zh-CN"/>
        </w:rPr>
        <w:t>To balance real-time performance with privacy and bandwidth constraints, the edge layer employs on-device preprocessing, executed on an NVIDIA Jetson Nano (4 GB RAM, 472 GFLOPS) at each station. Environmental data are filtered using a 5-point moving average to reduce noise (e.g., smoothing temperature fluctuations &lt;0.3°C), while physiological signals undergo baseline correction (e.g., subtracting a 10-second HRV mean) to isolate transient responses. Video feeds from the RealSense cameras are anonymized through Gaussian blurring (σ = 10) and Mask R-CNN segmentation (</w:t>
      </w:r>
      <w:proofErr w:type="spellStart"/>
      <w:r w:rsidRPr="00876692">
        <w:rPr>
          <w:rFonts w:eastAsia="等线"/>
          <w:sz w:val="20"/>
          <w:lang w:val="en-US" w:eastAsia="zh-CN"/>
        </w:rPr>
        <w:t>IoU</w:t>
      </w:r>
      <w:proofErr w:type="spellEnd"/>
      <w:r w:rsidRPr="00876692">
        <w:rPr>
          <w:rFonts w:eastAsia="等线"/>
          <w:sz w:val="20"/>
          <w:lang w:val="en-US" w:eastAsia="zh-CN"/>
        </w:rPr>
        <w:t xml:space="preserve"> &gt; 0.9)</w:t>
      </w:r>
      <w:r w:rsidR="004C725E">
        <w:rPr>
          <w:rFonts w:eastAsia="等线" w:hint="eastAsia"/>
          <w:sz w:val="20"/>
          <w:lang w:val="en-US" w:eastAsia="zh-CN"/>
        </w:rPr>
        <w:t xml:space="preserve">c </w:t>
      </w:r>
      <w:r w:rsidR="004C725E">
        <w:rPr>
          <w:rFonts w:eastAsia="等线"/>
          <w:sz w:val="20"/>
          <w:lang w:val="en-US" w:eastAsia="zh-CN"/>
        </w:rPr>
        <w:fldChar w:fldCharType="begin"/>
      </w:r>
      <w:r w:rsidR="004C725E">
        <w:rPr>
          <w:rFonts w:eastAsia="等线"/>
          <w:sz w:val="20"/>
          <w:lang w:val="en-US" w:eastAsia="zh-CN"/>
        </w:rPr>
        <w:instrText xml:space="preserve"> ADDIN ZOTERO_ITEM CSL_CITATION {"citationID":"3Z3VGEW5","properties":{"formattedCitation":"(Cao et al., 2022)","plainCitation":"(Cao et al., 2022)","noteIndex":0},"citationItems":[{"id":59,"uris":["http://zotero.org/users/10267666/items/DF85JK3Z"],"itemData":{"id":59,"type":"article-journal","abstract":"Currently, building natural interaction systems based on physiological signals has become an crucial requirement for the development of Computer Aided Design (CAD). As the first step of model operation in CAD, object selection is essential and the efficiency of selecting has a great impact on the experience of users. In the research community, gaze-based interaction for object selection has been well-established. However, this interactive mode is still imperfect due to Midas touch problem. In this work, a selection intention discrimination (SID) model is implemented to decode electroencephalogram (EEG) signals generated during object selection process. Common Spatial Pattern (CSP) is applied to extract spatial features from EEG in four frequency bands. Then these features are learned by a Convolutional Neural Network (CNN) equipped with an adaptive weights training module to realize the SID. To verify the decoding feasibility of this model, a cognitive experiment related to object selection is conducted. The empirical result shows that the performance of this model is good. It turns out that EEG-based object selection is feasible, which can be a intuitive and natural interaction mode for CAD.","container-title":"Advanced Engineering Informatics","DOI":"10.1016/j.aei.2022.101548","ISSN":"1474-0346","journalAbbreviation":"Advanced Engineering Informatics","language":"en","page":"101548","source":"ScienceDirect","title":"Building EEG-based CAD object selection intention discrimination model using convolutional neural network (CNN)","volume":"52","author":[{"family":"Cao","given":"Beining"},{"family":"Niu","given":"Hongwei"},{"family":"Hao","given":"Jia"},{"family":"Wang","given":"Guoxin"}],"issued":{"date-parts":[["2022",4,1]]}}}],"schema":"https://github.com/citation-style-language/schema/raw/master/csl-citation.json"} </w:instrText>
      </w:r>
      <w:r w:rsidR="004C725E">
        <w:rPr>
          <w:rFonts w:eastAsia="等线"/>
          <w:sz w:val="20"/>
          <w:lang w:val="en-US" w:eastAsia="zh-CN"/>
        </w:rPr>
        <w:fldChar w:fldCharType="separate"/>
      </w:r>
      <w:r w:rsidR="004C725E" w:rsidRPr="004C725E">
        <w:rPr>
          <w:sz w:val="20"/>
        </w:rPr>
        <w:t>(Cao et al., 2022)</w:t>
      </w:r>
      <w:r w:rsidR="004C725E">
        <w:rPr>
          <w:rFonts w:eastAsia="等线"/>
          <w:sz w:val="20"/>
          <w:lang w:val="en-US" w:eastAsia="zh-CN"/>
        </w:rPr>
        <w:fldChar w:fldCharType="end"/>
      </w:r>
      <w:r w:rsidRPr="00876692">
        <w:rPr>
          <w:rFonts w:eastAsia="等线"/>
          <w:sz w:val="20"/>
          <w:lang w:val="en-US" w:eastAsia="zh-CN"/>
        </w:rPr>
        <w:t xml:space="preserve">, extracting posture and CLO estimates (e.g., 0.5 for light clothing) while obscuring facial features, with processed frames reduced to 320x240 resolution to minimize data volume. A quantized MobileNetV3 model (8-bit precision, 4.6 MB) performs lightweight thermal comfort inference at the edge, achieving 50 </w:t>
      </w:r>
      <w:proofErr w:type="spellStart"/>
      <w:r w:rsidRPr="00876692">
        <w:rPr>
          <w:rFonts w:eastAsia="等线"/>
          <w:sz w:val="20"/>
          <w:lang w:val="en-US" w:eastAsia="zh-CN"/>
        </w:rPr>
        <w:t>ms</w:t>
      </w:r>
      <w:proofErr w:type="spellEnd"/>
      <w:r w:rsidRPr="00876692">
        <w:rPr>
          <w:rFonts w:eastAsia="等线"/>
          <w:sz w:val="20"/>
          <w:lang w:val="en-US" w:eastAsia="zh-CN"/>
        </w:rPr>
        <w:t xml:space="preserve"> latency per sample and outputting preliminary comfort scores (e.g., “neutral” or “slightly warm”) with 85% accuracy on a pre-trained subset. During network disruptions, a rule-based fallback adjusts settings heuristically (e.g., +1°C for CLO &gt; 0.8, -0.5°C for HRV &gt; 80 bpm), ensuring system resilience. Preprocessed data—compressed into JSON packets (e.g., {"temp": 24, "</w:t>
      </w:r>
      <w:proofErr w:type="spellStart"/>
      <w:r w:rsidRPr="00876692">
        <w:rPr>
          <w:rFonts w:eastAsia="等线"/>
          <w:sz w:val="20"/>
          <w:lang w:val="en-US" w:eastAsia="zh-CN"/>
        </w:rPr>
        <w:t>hrv</w:t>
      </w:r>
      <w:proofErr w:type="spellEnd"/>
      <w:r w:rsidRPr="00876692">
        <w:rPr>
          <w:rFonts w:eastAsia="等线"/>
          <w:sz w:val="20"/>
          <w:lang w:val="en-US" w:eastAsia="zh-CN"/>
        </w:rPr>
        <w:t>": 65, "</w:t>
      </w:r>
      <w:proofErr w:type="spellStart"/>
      <w:r w:rsidRPr="00876692">
        <w:rPr>
          <w:rFonts w:eastAsia="等线"/>
          <w:sz w:val="20"/>
          <w:lang w:val="en-US" w:eastAsia="zh-CN"/>
        </w:rPr>
        <w:t>clo</w:t>
      </w:r>
      <w:proofErr w:type="spellEnd"/>
      <w:r w:rsidRPr="00876692">
        <w:rPr>
          <w:rFonts w:eastAsia="等线"/>
          <w:sz w:val="20"/>
          <w:lang w:val="en-US" w:eastAsia="zh-CN"/>
        </w:rPr>
        <w:t xml:space="preserve">": 0.8})—are transmitted to the cloud via an RS485-to-Ethernet gateway over HTTPS, with an average uplink latency of 10 </w:t>
      </w:r>
      <w:proofErr w:type="spellStart"/>
      <w:r w:rsidRPr="00876692">
        <w:rPr>
          <w:rFonts w:eastAsia="等线"/>
          <w:sz w:val="20"/>
          <w:lang w:val="en-US" w:eastAsia="zh-CN"/>
        </w:rPr>
        <w:t>ms</w:t>
      </w:r>
      <w:proofErr w:type="spellEnd"/>
      <w:r w:rsidRPr="00876692">
        <w:rPr>
          <w:rFonts w:eastAsia="等线"/>
          <w:sz w:val="20"/>
          <w:lang w:val="en-US" w:eastAsia="zh-CN"/>
        </w:rPr>
        <w:t xml:space="preserve"> and zero packet loss across 1000 trials, reflecting the wired protocol’s reliability.</w:t>
      </w:r>
    </w:p>
    <w:p w14:paraId="0F7E38E9" w14:textId="02666ED9" w:rsidR="00876692" w:rsidRPr="008239A4" w:rsidRDefault="00876692" w:rsidP="0000598A">
      <w:pPr>
        <w:pStyle w:val="a0"/>
        <w:ind w:firstLine="284"/>
        <w:rPr>
          <w:rFonts w:eastAsia="等线"/>
          <w:sz w:val="20"/>
          <w:lang w:val="en-US" w:eastAsia="zh-CN"/>
        </w:rPr>
      </w:pPr>
      <w:r w:rsidRPr="00876692">
        <w:rPr>
          <w:rFonts w:eastAsia="等线"/>
          <w:sz w:val="20"/>
          <w:lang w:val="en-US" w:eastAsia="zh-CN"/>
        </w:rPr>
        <w:t>The edge layer’s design optimizes both efficiency and privacy, consuming 8 W per station (total: 32 W), a 20% reduction from centralized processing baselines, while offloading complex computations to the cloud. Calibration of sensors, conducted pre-deployment using a two-point method (e.g., DS18B20 at 20°C and 40°C against a Fisher Scientific oven), ensures accuracy within specified tolerances, validated daily during the 2-</w:t>
      </w:r>
      <w:r w:rsidRPr="00876692">
        <w:rPr>
          <w:rFonts w:eastAsia="等线"/>
          <w:sz w:val="20"/>
          <w:lang w:val="en-US" w:eastAsia="zh-CN"/>
        </w:rPr>
        <w:t xml:space="preserve">hour experimental sessions with 30 participants. This layer’s 50 </w:t>
      </w:r>
      <w:proofErr w:type="spellStart"/>
      <w:r w:rsidRPr="00876692">
        <w:rPr>
          <w:rFonts w:eastAsia="等线"/>
          <w:sz w:val="20"/>
          <w:lang w:val="en-US" w:eastAsia="zh-CN"/>
        </w:rPr>
        <w:t>ms</w:t>
      </w:r>
      <w:proofErr w:type="spellEnd"/>
      <w:r w:rsidRPr="00876692">
        <w:rPr>
          <w:rFonts w:eastAsia="等线"/>
          <w:sz w:val="20"/>
          <w:lang w:val="en-US" w:eastAsia="zh-CN"/>
        </w:rPr>
        <w:t xml:space="preserve"> end-to-end latency—spanning acquisition (20 </w:t>
      </w:r>
      <w:proofErr w:type="spellStart"/>
      <w:r w:rsidRPr="00876692">
        <w:rPr>
          <w:rFonts w:eastAsia="等线"/>
          <w:sz w:val="20"/>
          <w:lang w:val="en-US" w:eastAsia="zh-CN"/>
        </w:rPr>
        <w:t>ms</w:t>
      </w:r>
      <w:proofErr w:type="spellEnd"/>
      <w:r w:rsidRPr="00876692">
        <w:rPr>
          <w:rFonts w:eastAsia="等线"/>
          <w:sz w:val="20"/>
          <w:lang w:val="en-US" w:eastAsia="zh-CN"/>
        </w:rPr>
        <w:t xml:space="preserve">), preprocessing (20 </w:t>
      </w:r>
      <w:proofErr w:type="spellStart"/>
      <w:r w:rsidRPr="00876692">
        <w:rPr>
          <w:rFonts w:eastAsia="等线"/>
          <w:sz w:val="20"/>
          <w:lang w:val="en-US" w:eastAsia="zh-CN"/>
        </w:rPr>
        <w:t>ms</w:t>
      </w:r>
      <w:proofErr w:type="spellEnd"/>
      <w:r w:rsidRPr="00876692">
        <w:rPr>
          <w:rFonts w:eastAsia="等线"/>
          <w:sz w:val="20"/>
          <w:lang w:val="en-US" w:eastAsia="zh-CN"/>
        </w:rPr>
        <w:t xml:space="preserve">), and inference (10 </w:t>
      </w:r>
      <w:proofErr w:type="spellStart"/>
      <w:r w:rsidRPr="00876692">
        <w:rPr>
          <w:rFonts w:eastAsia="等线"/>
          <w:sz w:val="20"/>
          <w:lang w:val="en-US" w:eastAsia="zh-CN"/>
        </w:rPr>
        <w:t>ms</w:t>
      </w:r>
      <w:proofErr w:type="spellEnd"/>
      <w:r w:rsidRPr="00876692">
        <w:rPr>
          <w:rFonts w:eastAsia="等线"/>
          <w:sz w:val="20"/>
          <w:lang w:val="en-US" w:eastAsia="zh-CN"/>
        </w:rPr>
        <w:t xml:space="preserve">)—integrates seamlessly with the cloud’s 80 </w:t>
      </w:r>
      <w:proofErr w:type="spellStart"/>
      <w:r w:rsidRPr="00876692">
        <w:rPr>
          <w:rFonts w:eastAsia="等线"/>
          <w:sz w:val="20"/>
          <w:lang w:val="en-US" w:eastAsia="zh-CN"/>
        </w:rPr>
        <w:t>ms</w:t>
      </w:r>
      <w:proofErr w:type="spellEnd"/>
      <w:r w:rsidRPr="00876692">
        <w:rPr>
          <w:rFonts w:eastAsia="等线"/>
          <w:sz w:val="20"/>
          <w:lang w:val="en-US" w:eastAsia="zh-CN"/>
        </w:rPr>
        <w:t xml:space="preserve"> and AR’s 20 </w:t>
      </w:r>
      <w:proofErr w:type="spellStart"/>
      <w:r w:rsidRPr="00876692">
        <w:rPr>
          <w:rFonts w:eastAsia="等线"/>
          <w:sz w:val="20"/>
          <w:lang w:val="en-US" w:eastAsia="zh-CN"/>
        </w:rPr>
        <w:t>ms</w:t>
      </w:r>
      <w:proofErr w:type="spellEnd"/>
      <w:r w:rsidRPr="00876692">
        <w:rPr>
          <w:rFonts w:eastAsia="等线"/>
          <w:sz w:val="20"/>
          <w:lang w:val="en-US" w:eastAsia="zh-CN"/>
        </w:rPr>
        <w:t xml:space="preserve">, meeting the system’s 150 </w:t>
      </w:r>
      <w:proofErr w:type="spellStart"/>
      <w:r w:rsidRPr="00876692">
        <w:rPr>
          <w:rFonts w:eastAsia="等线"/>
          <w:sz w:val="20"/>
          <w:lang w:val="en-US" w:eastAsia="zh-CN"/>
        </w:rPr>
        <w:t>ms</w:t>
      </w:r>
      <w:proofErr w:type="spellEnd"/>
      <w:r w:rsidRPr="00876692">
        <w:rPr>
          <w:rFonts w:eastAsia="等线"/>
          <w:sz w:val="20"/>
          <w:lang w:val="en-US" w:eastAsia="zh-CN"/>
        </w:rPr>
        <w:t xml:space="preserve"> real-time threshold. By decentralizing initial processing and leveraging RS485’s robustness, the edge layer not only supports the system’s scalability within constrained spaces but also sets a foundation for privacy-preserving, responsive thermal comfort management, distinguishing it from traditional centralized IoT frameworks.</w:t>
      </w:r>
    </w:p>
    <w:p w14:paraId="69D41FE4" w14:textId="77777777" w:rsidR="006374BC" w:rsidRDefault="006374BC" w:rsidP="006374BC">
      <w:pPr>
        <w:pStyle w:val="a0"/>
        <w:rPr>
          <w:rFonts w:eastAsia="等线"/>
          <w:sz w:val="20"/>
          <w:lang w:val="en-US" w:eastAsia="zh-CN"/>
        </w:rPr>
      </w:pPr>
    </w:p>
    <w:p w14:paraId="1E4E4769" w14:textId="13EB0D35" w:rsidR="003F6EA8" w:rsidRPr="003F6EA8" w:rsidRDefault="006374BC" w:rsidP="003F6EA8">
      <w:pPr>
        <w:pStyle w:val="1"/>
        <w:rPr>
          <w:rFonts w:eastAsia="等线"/>
          <w:lang w:eastAsia="zh-CN"/>
        </w:rPr>
      </w:pPr>
      <w:r w:rsidRPr="00F05EA2">
        <w:rPr>
          <w:lang w:eastAsia="zh-CN"/>
        </w:rPr>
        <w:t>2.</w:t>
      </w:r>
      <w:r>
        <w:rPr>
          <w:rFonts w:eastAsia="等线" w:hint="eastAsia"/>
          <w:lang w:eastAsia="zh-CN"/>
        </w:rPr>
        <w:t>2</w:t>
      </w:r>
      <w:r w:rsidRPr="00F05EA2">
        <w:rPr>
          <w:lang w:eastAsia="zh-CN"/>
        </w:rPr>
        <w:t xml:space="preserve"> </w:t>
      </w:r>
      <w:r>
        <w:rPr>
          <w:rFonts w:eastAsia="等线" w:hint="eastAsia"/>
          <w:lang w:eastAsia="zh-CN"/>
        </w:rPr>
        <w:t>Cloud layer system</w:t>
      </w:r>
    </w:p>
    <w:p w14:paraId="6FBB2916" w14:textId="1BF7C52B" w:rsidR="005C491E" w:rsidRPr="005C491E" w:rsidRDefault="003F6EA8" w:rsidP="005C491E">
      <w:pPr>
        <w:pStyle w:val="a0"/>
        <w:ind w:firstLine="284"/>
        <w:rPr>
          <w:rFonts w:eastAsia="等线"/>
          <w:sz w:val="20"/>
          <w:lang w:val="en-US" w:eastAsia="zh-CN"/>
        </w:rPr>
      </w:pPr>
      <w:r w:rsidRPr="003F6EA8">
        <w:rPr>
          <w:rFonts w:eastAsia="等线"/>
          <w:sz w:val="20"/>
          <w:lang w:val="en-US" w:eastAsia="zh-CN"/>
        </w:rPr>
        <w:t>The cloud layer serves as the computational backbone of the proposed thermal comfort perception system, orchestrating the fusion of multimodal data, executing advanced inference, and delivering actionable recommendations to the AR interaction layer</w:t>
      </w:r>
      <w:r w:rsidR="004C725E">
        <w:rPr>
          <w:rFonts w:eastAsia="等线" w:hint="eastAsia"/>
          <w:sz w:val="20"/>
          <w:lang w:val="en-US" w:eastAsia="zh-CN"/>
        </w:rPr>
        <w:t xml:space="preserve"> </w:t>
      </w:r>
      <w:r w:rsidR="004C725E">
        <w:rPr>
          <w:rFonts w:eastAsia="等线"/>
          <w:sz w:val="20"/>
          <w:lang w:val="en-US" w:eastAsia="zh-CN"/>
        </w:rPr>
        <w:fldChar w:fldCharType="begin"/>
      </w:r>
      <w:r w:rsidR="004C725E">
        <w:rPr>
          <w:rFonts w:eastAsia="等线"/>
          <w:sz w:val="20"/>
          <w:lang w:val="en-US" w:eastAsia="zh-CN"/>
        </w:rPr>
        <w:instrText xml:space="preserve"> ADDIN ZOTERO_ITEM CSL_CITATION {"citationID":"MWInAstB","properties":{"formattedCitation":"(Cvetkovi\\uc0\\u263{} et al., 2018)","plainCitation":"(Cvetković et al., 2018)","noteIndex":0},"citationItems":[{"id":460,"uris":["http://zotero.org/users/10267666/items/U6TX2RAC"],"itemData":{"id":460,"type":"article-journal","abstract":"Activity monitoring is a very important task in lifestyle and health domains where physical activity of a person plays an important role in further reasoning or for providing personalized recommendations. To make such services available to a broader population, one should use devices that most users already have, such as smartphones. Since trends show an increasing popularity of wrist-worn wearables we also consider a sensor-rich wristband as an optional device in this research. We present a real-time activity monitoring algorithm which utilizes data from the smartphone sensors, wristband sensors or their fusion for activity recognition and estimation of energy expenditure of the user. The algorithm detects which devices are present and uses an interval of walking for gravity detection and normalization of the orientation of the devices. The normalized data is afterwards used for the detection of the location of the smartphone on the body, which serves as a context for the selection of location-specific classification model for activity recognition. The recognized activity is finally used for the selection of one or multiple regression models for the estimation of the user’s energy expenditure. To develop the machine-learning models, which can be deployed on the smartphone, we optimized the number and type of extracted features via automatic feature selection. We evaluated each step of the algorithm and each device configuration, and compared the human energy expenditure estimation results against the Bodymedia armband and Microsoft Band 2. We also evaluated the benefit of decision fusion where appropriate. The results show that we achieve a 87% ± 5% average accuracy for activity recognition and that we outperformed both competing devices in the estimation of human energy expenditure by achieving the mean absolute error of 0.6 ± 0.1 MET on average.","container-title":"Information Fusion","DOI":"10.1016/j.inffus.2017.05.004","ISSN":"1566-2535","journalAbbreviation":"Information Fusion","language":"en","page":"77-93","source":"ScienceDirect","title":"Real-time activity monitoring with a wristband and a smartphone","volume":"43","author":[{"family":"Cvetković","given":"Božidara"},{"family":"Szeklicki","given":"Robert"},{"family":"Janko","given":"Vito"},{"family":"Lutomski","given":"Przemyslaw"},{"family":"Luštrek","given":"Mitja"}],"issued":{"date-parts":[["2018",9,1]]}}}],"schema":"https://github.com/citation-style-language/schema/raw/master/csl-citation.json"} </w:instrText>
      </w:r>
      <w:r w:rsidR="004C725E">
        <w:rPr>
          <w:rFonts w:eastAsia="等线"/>
          <w:sz w:val="20"/>
          <w:lang w:val="en-US" w:eastAsia="zh-CN"/>
        </w:rPr>
        <w:fldChar w:fldCharType="separate"/>
      </w:r>
      <w:r w:rsidR="004C725E" w:rsidRPr="004C725E">
        <w:rPr>
          <w:sz w:val="20"/>
        </w:rPr>
        <w:t>(Cvetković et al., 2018)</w:t>
      </w:r>
      <w:r w:rsidR="004C725E">
        <w:rPr>
          <w:rFonts w:eastAsia="等线"/>
          <w:sz w:val="20"/>
          <w:lang w:val="en-US" w:eastAsia="zh-CN"/>
        </w:rPr>
        <w:fldChar w:fldCharType="end"/>
      </w:r>
      <w:r w:rsidRPr="003F6EA8">
        <w:rPr>
          <w:rFonts w:eastAsia="等线"/>
          <w:sz w:val="20"/>
          <w:lang w:val="en-US" w:eastAsia="zh-CN"/>
        </w:rPr>
        <w:t xml:space="preserve">. Designed to complement the edge layer’s real-time preprocessing, the cloud leverages its superior computational resources to process complex, high-dimensional inputs—environmental (e.g., temperature, humidity, airflow), physiological (e.g., skin temperature, HRV), and behavioral (e.g., posture, CLO)—transmitted via a secure HTTPS connection over RS485-to-Ethernet gateways. Hosted on an AWS EC2 g5.xlarge instance equipped with an NVIDIA A10G GPU (24 GB VRAM, 70 TFLOPS), the cloud layer ensures scalability and low-latency processing, critical for maintaining the system’s end-to-end response time below 150 </w:t>
      </w:r>
      <w:proofErr w:type="spellStart"/>
      <w:r w:rsidRPr="003F6EA8">
        <w:rPr>
          <w:rFonts w:eastAsia="等线"/>
          <w:sz w:val="20"/>
          <w:lang w:val="en-US" w:eastAsia="zh-CN"/>
        </w:rPr>
        <w:t>ms.</w:t>
      </w:r>
      <w:proofErr w:type="spellEnd"/>
      <w:r w:rsidRPr="003F6EA8">
        <w:rPr>
          <w:rFonts w:eastAsia="等线"/>
          <w:sz w:val="20"/>
          <w:lang w:val="en-US" w:eastAsia="zh-CN"/>
        </w:rPr>
        <w:t xml:space="preserve"> </w:t>
      </w:r>
      <w:r w:rsidR="005C491E" w:rsidRPr="005C491E">
        <w:rPr>
          <w:rFonts w:eastAsia="等线"/>
          <w:sz w:val="20"/>
          <w:lang w:val="en-US" w:eastAsia="zh-CN"/>
        </w:rPr>
        <w:t xml:space="preserve">The cloud’s workflow comprises three integrated components: a cross-modal Transformer for multimodal fusion, </w:t>
      </w:r>
      <w:r w:rsidR="00733D7C">
        <w:rPr>
          <w:rFonts w:eastAsia="等线"/>
          <w:sz w:val="20"/>
          <w:lang w:val="en-US" w:eastAsia="zh-CN"/>
        </w:rPr>
        <w:t>an</w:t>
      </w:r>
      <w:r w:rsidR="005C491E" w:rsidRPr="005C491E">
        <w:rPr>
          <w:rFonts w:eastAsia="等线"/>
          <w:sz w:val="20"/>
          <w:lang w:val="en-US" w:eastAsia="zh-CN"/>
        </w:rPr>
        <w:t xml:space="preserve"> RAG pipeline as the system’s primary innovation for personalized inference, and an optimization module for actionable HVAC commands, collectively leveraging edge resilience and participant feedback to achieve real-time adaptability.</w:t>
      </w:r>
    </w:p>
    <w:p w14:paraId="7A24334A" w14:textId="430245D8" w:rsidR="005C491E" w:rsidRPr="005C491E" w:rsidRDefault="005C491E" w:rsidP="005C491E">
      <w:pPr>
        <w:pStyle w:val="a0"/>
        <w:ind w:firstLine="284"/>
        <w:rPr>
          <w:rFonts w:eastAsia="等线"/>
          <w:sz w:val="20"/>
          <w:lang w:val="en-US" w:eastAsia="zh-CN"/>
        </w:rPr>
      </w:pPr>
      <w:r w:rsidRPr="005C491E">
        <w:rPr>
          <w:rFonts w:eastAsia="等线"/>
          <w:sz w:val="20"/>
          <w:lang w:val="en-US" w:eastAsia="zh-CN"/>
        </w:rPr>
        <w:t xml:space="preserve">The cross-modal Transformer serves as the initial fusion engine, synthesizing environmental (e.g., temperature: 24°C, humidity: 45%, airflow: 0.3 m/s), physiological (e.g., skin temperature: 33°C, HRV: 65 bpm), and behavioral (e.g., posture: sitting, CLO: 0.8) inputs into a cohesive latent representation. Architecturally, it features 8 attention heads and 12 layers, with a 512-dimensional embedding space, employing multi-head self-attention to dynamically assign weights to modalities based on contextual relevance (e.g., increasing HRV weight by 20% during detected activity spikes, calculated via attention scores normalized across inputs). Input data are preprocessed into fixed-length sequences: </w:t>
      </w:r>
      <w:r w:rsidRPr="005C491E">
        <w:rPr>
          <w:rFonts w:eastAsia="等线"/>
          <w:sz w:val="20"/>
          <w:lang w:val="en-US" w:eastAsia="zh-CN"/>
        </w:rPr>
        <w:lastRenderedPageBreak/>
        <w:t>environmental and physiological values are normalized to [0, 1] (e.g., temperature scaled over 18–26°C) and concatenated with one-hot encoded behavioral features (e.g., posture as a 3-class vector: sitting, standing, moving), forming a 64-dimensional input tensor per timestep, padded to a 10-second window (10 samples at 1 Hz). The Transformer was trained on a hybrid dataset of 17,200 samples—50% from ASHRAE Global Thermal Comfort Database II</w:t>
      </w:r>
      <w:r w:rsidR="00263B29">
        <w:rPr>
          <w:rFonts w:eastAsia="等线" w:hint="eastAsia"/>
          <w:sz w:val="20"/>
          <w:lang w:val="en-US" w:eastAsia="zh-CN"/>
        </w:rPr>
        <w:t xml:space="preserve"> </w:t>
      </w:r>
      <w:r w:rsidR="00263B29">
        <w:rPr>
          <w:rFonts w:eastAsia="等线"/>
          <w:sz w:val="20"/>
          <w:lang w:val="en-US" w:eastAsia="zh-CN"/>
        </w:rPr>
        <w:fldChar w:fldCharType="begin"/>
      </w:r>
      <w:r w:rsidR="00263B29">
        <w:rPr>
          <w:rFonts w:eastAsia="等线"/>
          <w:sz w:val="20"/>
          <w:lang w:val="en-US" w:eastAsia="zh-CN"/>
        </w:rPr>
        <w:instrText xml:space="preserve"> ADDIN ZOTERO_ITEM CSL_CITATION {"citationID":"Vh4SqAvO","properties":{"formattedCitation":"(F\\uc0\\u246{}ldv\\uc0\\u225{}ry Li\\uc0\\u269{}ina et al., 2018)","plainCitation":"(Földváry Ličina et al., 2018)","noteIndex":0},"citationItems":[{"id":4823,"uris":["http://zotero.org/users/10267666/items/SI8ADG4Y"],"itemData":{"id":4823,"type":"article-journal","abstract":"Recognizing the value of open-source research databases in advancing the art and science of HVAC, in 2014 the ASHRAE Global Thermal Comfort Database II project was launched under the leadership of University of California at Berkeley's Center for the Built Environment and The University of Sydney's Indoor Environmental Quality (IEQ) Laboratory. The exercise began with a systematic collection and harmonization of raw data from the last two decades of thermal comfort field studies around the world. The ASHRAE Global Thermal Comfort Database II (Comfort Database), now an online, open-source database, includes approximately 81,846 complete sets of objective indoor climatic observations with accompanying “right-here-right-now” subjective evaluations by the building occupants who were exposed to them. The database is intended to support diverse inquiries about thermal comfort in field settings. A simple web-based interface to the database enables filtering on multiple criteria, including building typology, occupancy type, subjects' demographic variables, subjective thermal comfort states, indoor thermal environmental criteria, calculated comfort indices, environmental control criteria and outdoor meteorological information. Furthermore, a web-based interactive thermal comfort visualization tool has been developed that allows end-users to quickly and interactively explore the data.","container-title":"Building and Environment","DOI":"10.1016/j.buildenv.2018.06.022","ISSN":"0360-1323","journalAbbreviation":"Building and Environment","page":"502-512","source":"ScienceDirect","title":"Development of the ASHRAE Global Thermal Comfort Database II","volume":"142","author":[{"family":"Földváry Ličina","given":"Veronika"},{"family":"Cheung","given":"Toby"},{"family":"Zhang","given":"Hui"},{"family":"Dear","given":"Richard","non-dropping-particle":"de"},{"family":"Parkinson","given":"Thomas"},{"family":"Arens","given":"Edward"},{"family":"Chun","given":"Chungyoon"},{"family":"Schiavon","given":"Stefano"},{"family":"Luo","given":"Maohui"},{"family":"Brager","given":"Gail"},{"family":"Li","given":"Peixian"},{"family":"Kaam","given":"Soazig"},{"family":"Adebamowo","given":"Michael A."},{"family":"Andamon","given":"Mary Myla"},{"family":"Babich","given":"Francesco"},{"family":"Bouden","given":"Chiheb"},{"family":"Bukovianska","given":"Hana"},{"family":"Candido","given":"Christhina"},{"family":"Cao","given":"Bin"},{"family":"Carlucci","given":"Salvatore"},{"family":"Cheong","given":"David K. W."},{"family":"Choi","given":"Joon-Ho"},{"family":"Cook","given":"Malcolm"},{"family":"Cropper","given":"Paul"},{"family":"Deuble","given":"Max"},{"family":"Heidari","given":"Shahin"},{"family":"Indraganti","given":"Madhavi"},{"family":"Jin","given":"Quan"},{"family":"Kim","given":"Hyojin"},{"family":"Kim","given":"Jungsoo"},{"family":"Konis","given":"Kyle"},{"family":"Singh","given":"Manoj K."},{"family":"Kwok","given":"Alison"},{"family":"Lamberts","given":"Roberto"},{"family":"Loveday","given":"Dennis"},{"family":"Langevin","given":"Jared"},{"family":"Manu","given":"Sanyogita"},{"family":"Moosmann","given":"Cornelia"},{"family":"Nicol","given":"Fergus"},{"family":"Ooka","given":"Ryozo"},{"family":"Oseland","given":"Nigel A."},{"family":"Pagliano","given":"Lorenzo"},{"family":"Petráš","given":"Dušan"},{"family":"Rawal","given":"Rajan"},{"family":"Romero","given":"Ramona"},{"family":"Rijal","given":"Hom Bahadur"},{"family":"Sekhar","given":"Chandra"},{"family":"Schweiker","given":"Marcel"},{"family":"Tartarini","given":"Federico"},{"family":"Tanabe","given":"Shin-ichi"},{"family":"Tham","given":"Kwok Wai"},{"family":"Teli","given":"Despoina"},{"family":"Toftum","given":"Jorn"},{"family":"Toledo","given":"Linda"},{"family":"Tsuzuki","given":"Kazuyo"},{"family":"De Vecchi","given":"Renata"},{"family":"Wagner","given":"Andreas"},{"family":"Wang","given":"Zhaojun"},{"family":"Wallbaum","given":"Holger"},{"family":"Webb","given":"Lynda"},{"family":"Yang","given":"Liu"},{"family":"Zhu","given":"Yingxin"},{"family":"Zhai","given":"Yongchao"},{"family":"Zhang","given":"Yufeng"},{"family":"Zhou","given":"Xiang"}],"issued":{"date-parts":[["2018",9,1]]}}}],"schema":"https://github.com/citation-style-language/schema/raw/master/csl-citation.json"} </w:instrText>
      </w:r>
      <w:r w:rsidR="00263B29">
        <w:rPr>
          <w:rFonts w:eastAsia="等线"/>
          <w:sz w:val="20"/>
          <w:lang w:val="en-US" w:eastAsia="zh-CN"/>
        </w:rPr>
        <w:fldChar w:fldCharType="separate"/>
      </w:r>
      <w:r w:rsidR="00263B29" w:rsidRPr="00263B29">
        <w:rPr>
          <w:sz w:val="20"/>
        </w:rPr>
        <w:t>(Földváry Ličina et al., 2018)</w:t>
      </w:r>
      <w:r w:rsidR="00263B29">
        <w:rPr>
          <w:rFonts w:eastAsia="等线"/>
          <w:sz w:val="20"/>
          <w:lang w:val="en-US" w:eastAsia="zh-CN"/>
        </w:rPr>
        <w:fldChar w:fldCharType="end"/>
      </w:r>
      <w:r w:rsidRPr="005C491E">
        <w:rPr>
          <w:rFonts w:eastAsia="等线"/>
          <w:sz w:val="20"/>
          <w:lang w:val="en-US" w:eastAsia="zh-CN"/>
        </w:rPr>
        <w:t xml:space="preserve"> (10,000+ records of temperature, humidity, and sensation votes) and 50% from experimental data (7,200 samples from 30 participants across 18–26°C, 40–70% RH, 0.1–0.5 m/s airflow)—using a supervised regression task to predict thermal sensation (-3 to +3). Training employed the </w:t>
      </w:r>
      <w:proofErr w:type="spellStart"/>
      <w:r w:rsidRPr="005C491E">
        <w:rPr>
          <w:rFonts w:eastAsia="等线"/>
          <w:sz w:val="20"/>
          <w:lang w:val="en-US" w:eastAsia="zh-CN"/>
        </w:rPr>
        <w:t>AdamW</w:t>
      </w:r>
      <w:proofErr w:type="spellEnd"/>
      <w:r w:rsidRPr="005C491E">
        <w:rPr>
          <w:rFonts w:eastAsia="等线"/>
          <w:sz w:val="20"/>
          <w:lang w:val="en-US" w:eastAsia="zh-CN"/>
        </w:rPr>
        <w:t xml:space="preserve"> optimizer (</w:t>
      </w:r>
      <w:proofErr w:type="spellStart"/>
      <w:r w:rsidRPr="005C491E">
        <w:rPr>
          <w:rFonts w:eastAsia="等线"/>
          <w:sz w:val="20"/>
          <w:lang w:val="en-US" w:eastAsia="zh-CN"/>
        </w:rPr>
        <w:t>lr</w:t>
      </w:r>
      <w:proofErr w:type="spellEnd"/>
      <w:r w:rsidRPr="005C491E">
        <w:rPr>
          <w:rFonts w:eastAsia="等线"/>
          <w:sz w:val="20"/>
          <w:lang w:val="en-US" w:eastAsia="zh-CN"/>
        </w:rPr>
        <w:t xml:space="preserve"> = 0.001, β1 = 0.9, β2 = 0.999, weight decay = 0.01) over 50 epochs with a batch size of 32, minimizing a mean squared error (MSE) loss augmented by an L2 regularization term (λ = 0.01) and 5-fold cross-validation ensured robustness, yielding a validation loss of 0.12 and MAE of 0.18, with inference latency averaging 60 </w:t>
      </w:r>
      <w:proofErr w:type="spellStart"/>
      <w:r w:rsidRPr="005C491E">
        <w:rPr>
          <w:rFonts w:eastAsia="等线"/>
          <w:sz w:val="20"/>
          <w:lang w:val="en-US" w:eastAsia="zh-CN"/>
        </w:rPr>
        <w:t>ms</w:t>
      </w:r>
      <w:proofErr w:type="spellEnd"/>
      <w:r w:rsidRPr="005C491E">
        <w:rPr>
          <w:rFonts w:eastAsia="等线"/>
          <w:sz w:val="20"/>
          <w:lang w:val="en-US" w:eastAsia="zh-CN"/>
        </w:rPr>
        <w:t xml:space="preserve"> per sample on the A10G GPU, producing a 512-dimensional latent comfort vector.</w:t>
      </w:r>
    </w:p>
    <w:p w14:paraId="59D0994A" w14:textId="17392659" w:rsidR="005C491E" w:rsidRPr="005C491E" w:rsidRDefault="005C491E" w:rsidP="005C491E">
      <w:pPr>
        <w:pStyle w:val="a0"/>
        <w:ind w:firstLine="284"/>
        <w:rPr>
          <w:rFonts w:eastAsia="等线"/>
          <w:sz w:val="20"/>
          <w:lang w:val="en-US" w:eastAsia="zh-CN"/>
        </w:rPr>
      </w:pPr>
      <w:r w:rsidRPr="005C491E">
        <w:rPr>
          <w:rFonts w:eastAsia="等线"/>
          <w:sz w:val="20"/>
          <w:lang w:val="en-US" w:eastAsia="zh-CN"/>
        </w:rPr>
        <w:t xml:space="preserve">The RAG pipeline, the system’s defining innovation, augments this latent vector with personalized and contextual knowledge to transcend static thermal comfort models like PMV, achieving individual-specific inference. It constructs a dual knowledge base: structured data from ASHRAE 55-2020 (e.g., PMV ranges, PPD thresholds) are stored in a PostgreSQL database with indexed tables (e.g., </w:t>
      </w:r>
      <w:proofErr w:type="spellStart"/>
      <w:r w:rsidRPr="005C491E">
        <w:rPr>
          <w:rFonts w:eastAsia="等线"/>
          <w:sz w:val="20"/>
          <w:lang w:val="en-US" w:eastAsia="zh-CN"/>
        </w:rPr>
        <w:t>temp_range</w:t>
      </w:r>
      <w:proofErr w:type="spellEnd"/>
      <w:r w:rsidRPr="005C491E">
        <w:rPr>
          <w:rFonts w:eastAsia="等线"/>
          <w:sz w:val="20"/>
          <w:lang w:val="en-US" w:eastAsia="zh-CN"/>
        </w:rPr>
        <w:t xml:space="preserve">, </w:t>
      </w:r>
      <w:proofErr w:type="spellStart"/>
      <w:r w:rsidRPr="005C491E">
        <w:rPr>
          <w:rFonts w:eastAsia="等线"/>
          <w:sz w:val="20"/>
          <w:lang w:val="en-US" w:eastAsia="zh-CN"/>
        </w:rPr>
        <w:t>clo_value</w:t>
      </w:r>
      <w:proofErr w:type="spellEnd"/>
      <w:r w:rsidRPr="005C491E">
        <w:rPr>
          <w:rFonts w:eastAsia="等线"/>
          <w:sz w:val="20"/>
          <w:lang w:val="en-US" w:eastAsia="zh-CN"/>
        </w:rPr>
        <w:t xml:space="preserve">, recommendation), accessed via SQL queries (e.g., SELECT recommendation WHERE temp BETWEEN 23 AND 25 AND </w:t>
      </w:r>
      <w:proofErr w:type="spellStart"/>
      <w:r w:rsidRPr="005C491E">
        <w:rPr>
          <w:rFonts w:eastAsia="等线"/>
          <w:sz w:val="20"/>
          <w:lang w:val="en-US" w:eastAsia="zh-CN"/>
        </w:rPr>
        <w:t>clo</w:t>
      </w:r>
      <w:proofErr w:type="spellEnd"/>
      <w:r w:rsidRPr="005C491E">
        <w:rPr>
          <w:rFonts w:eastAsia="等线"/>
          <w:sz w:val="20"/>
          <w:lang w:val="en-US" w:eastAsia="zh-CN"/>
        </w:rPr>
        <w:t xml:space="preserve"> = 0.8) in 30 </w:t>
      </w:r>
      <w:proofErr w:type="spellStart"/>
      <w:r w:rsidRPr="005C491E">
        <w:rPr>
          <w:rFonts w:eastAsia="等线"/>
          <w:sz w:val="20"/>
          <w:lang w:val="en-US" w:eastAsia="zh-CN"/>
        </w:rPr>
        <w:t>ms</w:t>
      </w:r>
      <w:proofErr w:type="spellEnd"/>
      <w:r w:rsidRPr="005C491E">
        <w:rPr>
          <w:rFonts w:eastAsia="等线"/>
          <w:sz w:val="20"/>
          <w:lang w:val="en-US" w:eastAsia="zh-CN"/>
        </w:rPr>
        <w:t xml:space="preserve">; unstructured data, including real-time weather from </w:t>
      </w:r>
      <w:proofErr w:type="spellStart"/>
      <w:r w:rsidRPr="005C491E">
        <w:rPr>
          <w:rFonts w:eastAsia="等线"/>
          <w:sz w:val="20"/>
          <w:lang w:val="en-US" w:eastAsia="zh-CN"/>
        </w:rPr>
        <w:t>OpenWeather</w:t>
      </w:r>
      <w:proofErr w:type="spellEnd"/>
      <w:r w:rsidRPr="005C491E">
        <w:rPr>
          <w:rFonts w:eastAsia="等线"/>
          <w:sz w:val="20"/>
          <w:lang w:val="en-US" w:eastAsia="zh-CN"/>
        </w:rPr>
        <w:t xml:space="preserve"> API (e.g., “20°C, 45% RH”) and participant preferences (e.g., thermal sensation votes [-3 to +3] collected every 15 minutes via HoloLens 2 app), are tokenized with BERT</w:t>
      </w:r>
      <w:r w:rsidR="00733D7C">
        <w:rPr>
          <w:rFonts w:eastAsia="等线" w:hint="eastAsia"/>
          <w:sz w:val="20"/>
          <w:lang w:val="en-US" w:eastAsia="zh-CN"/>
        </w:rPr>
        <w:t xml:space="preserve"> </w:t>
      </w:r>
      <w:r w:rsidR="00733D7C">
        <w:rPr>
          <w:rFonts w:eastAsia="等线"/>
          <w:sz w:val="20"/>
          <w:lang w:val="en-US" w:eastAsia="zh-CN"/>
        </w:rPr>
        <w:fldChar w:fldCharType="begin"/>
      </w:r>
      <w:r w:rsidR="00733D7C">
        <w:rPr>
          <w:rFonts w:eastAsia="等线"/>
          <w:sz w:val="20"/>
          <w:lang w:val="en-US" w:eastAsia="zh-CN"/>
        </w:rPr>
        <w:instrText xml:space="preserve"> ADDIN ZOTERO_ITEM CSL_CITATION {"citationID":"FNDgh7gp","properties":{"formattedCitation":"(Devlin et al., 2019)","plainCitation":"(Devlin et al., 2019)","noteIndex":0},"citationItems":[{"id":4835,"uris":["http://zotero.org/users/10267666/items/REQV25KB"],"itemData":{"id":4835,"type":"paper-conference","abstract":"We introduce a new language representation model called BERT, which stands for Bidirectional Encoder Representations from Transformers. Unlike recent language representation models (Peters et al., 2018a; Radford et al., 2018), BERT is designed to pre-train deep bidirectional representations from unlabeled text by jointly conditioning on both left and right context in all layers. As a result, the pre-trained BERT model can be fine-tuned with just one additional output layer to create state-of-the-art models for a wide range of tasks, such as question answering and language inference, without substantial task-specific architecture modifications. BERT is conceptually simple and empirically powerful. It obtains new state-of-the-art results on eleven natural language processing tasks, including pushing the GLUE score to 80.5 (7.7 point absolute improvement), MultiNLI accuracy to 86.7% (4.6% absolute improvement), SQuAD v1.1 question answering Test F1 to 93.2 (1.5 point absolute improvement) and SQuAD v2.0 Test F1 to 83.1 (5.1 point absolute improvement).","container-title":"Proceedings of the 2019 Conference of the North American Chapter of the Association for Computational Linguistics: Human Language Technologies, Volume 1 (Long and Short Papers)","DOI":"10.18653/v1/N19-1423","event-place":"Minneapolis, Minnesota","page":"4171–4186","publisher":"Association for Computational Linguistics","publisher-place":"Minneapolis, Minnesota","title":"BERT: Pre-training of Deep Bidirectional Transformers for Language Understanding","URL":"https://aclanthology.org/N19-1423/","author":[{"family":"Devlin","given":"Jacob"},{"family":"Chang","given":"Ming-Wei"},{"family":"Lee","given":"Kenton"},{"family":"Toutanova","given":"Kristina"}],"editor":[{"family":"Burstein","given":"Jill"},{"family":"Doran","given":"Christy"},{"family":"Solorio","given":"Thamar"}],"issued":{"date-parts":[["2019",6]]}}}],"schema":"https://github.com/citation-style-language/schema/raw/master/csl-citation.json"} </w:instrText>
      </w:r>
      <w:r w:rsidR="00733D7C">
        <w:rPr>
          <w:rFonts w:eastAsia="等线"/>
          <w:sz w:val="20"/>
          <w:lang w:val="en-US" w:eastAsia="zh-CN"/>
        </w:rPr>
        <w:fldChar w:fldCharType="separate"/>
      </w:r>
      <w:r w:rsidR="00733D7C" w:rsidRPr="00733D7C">
        <w:rPr>
          <w:sz w:val="20"/>
        </w:rPr>
        <w:t>(Devlin et al., 2019)</w:t>
      </w:r>
      <w:r w:rsidR="00733D7C">
        <w:rPr>
          <w:rFonts w:eastAsia="等线"/>
          <w:sz w:val="20"/>
          <w:lang w:val="en-US" w:eastAsia="zh-CN"/>
        </w:rPr>
        <w:fldChar w:fldCharType="end"/>
      </w:r>
      <w:r w:rsidRPr="005C491E">
        <w:rPr>
          <w:rFonts w:eastAsia="等线"/>
          <w:sz w:val="20"/>
          <w:lang w:val="en-US" w:eastAsia="zh-CN"/>
        </w:rPr>
        <w:t xml:space="preserve"> and embedded into 384-dimensional vectors using Sentence-BERT (all-MiniLM-L6-v2), indexed in a </w:t>
      </w:r>
      <w:r w:rsidR="004C725E">
        <w:rPr>
          <w:rFonts w:eastAsia="等线"/>
          <w:sz w:val="20"/>
          <w:lang w:val="en-US" w:eastAsia="zh-CN"/>
        </w:rPr>
        <w:fldChar w:fldCharType="begin"/>
      </w:r>
      <w:r w:rsidR="004C725E">
        <w:rPr>
          <w:rFonts w:eastAsia="等线"/>
          <w:sz w:val="20"/>
          <w:lang w:val="en-US" w:eastAsia="zh-CN"/>
        </w:rPr>
        <w:instrText xml:space="preserve"> ADDIN ZOTERO_ITEM CSL_CITATION {"citationID":"E8fiVstR","properties":{"formattedCitation":"(Douze et al., 2024)","plainCitation":"(Douze et al., 2024)","noteIndex":0},"citationItems":[{"id":4836,"uris":["http://zotero.org/users/10267666/items/C8GVLC7J"],"itemData":{"id":4836,"type":"article-journal","note":"_eprint: 2401.08281","title":"The Faiss library","author":[{"family":"Douze","given":"Matthijs"},{"family":"Guzhva","given":"Alexandr"},{"family":"Deng","given":"Chengqi"},{"family":"Johnson","given":"Jeff"},{"family":"Szilvasy","given":"Gergely"},{"family":"Mazaré","given":"Pierre-Emmanuel"},{"family":"Lomeli","given":"Maria"},{"family":"Hosseini","given":"Lucas"},{"family":"Jégou","given":"Hervé"}],"issued":{"date-parts":[["2024"]]}}}],"schema":"https://github.com/citation-style-language/schema/raw/master/csl-citation.json"} </w:instrText>
      </w:r>
      <w:r w:rsidR="004C725E">
        <w:rPr>
          <w:rFonts w:eastAsia="等线"/>
          <w:sz w:val="20"/>
          <w:lang w:val="en-US" w:eastAsia="zh-CN"/>
        </w:rPr>
        <w:fldChar w:fldCharType="separate"/>
      </w:r>
      <w:r w:rsidR="004C725E" w:rsidRPr="004C725E">
        <w:rPr>
          <w:sz w:val="20"/>
        </w:rPr>
        <w:t>(Douze et al., 2024)</w:t>
      </w:r>
      <w:r w:rsidR="004C725E">
        <w:rPr>
          <w:rFonts w:eastAsia="等线"/>
          <w:sz w:val="20"/>
          <w:lang w:val="en-US" w:eastAsia="zh-CN"/>
        </w:rPr>
        <w:fldChar w:fldCharType="end"/>
      </w:r>
      <w:r w:rsidRPr="005C491E">
        <w:rPr>
          <w:rFonts w:eastAsia="等线"/>
          <w:sz w:val="20"/>
          <w:lang w:val="en-US" w:eastAsia="zh-CN"/>
        </w:rPr>
        <w:t xml:space="preserve"> FlatL2 database (1M vectors capacity). Retrieval is triggered every 5 seconds by edge updates, where the Transformer’s latent vector is encoded into a query embedding (Sentence-BERT, 10 </w:t>
      </w:r>
      <w:proofErr w:type="spellStart"/>
      <w:r w:rsidRPr="005C491E">
        <w:rPr>
          <w:rFonts w:eastAsia="等线"/>
          <w:sz w:val="20"/>
          <w:lang w:val="en-US" w:eastAsia="zh-CN"/>
        </w:rPr>
        <w:t>ms</w:t>
      </w:r>
      <w:proofErr w:type="spellEnd"/>
      <w:r w:rsidRPr="005C491E">
        <w:rPr>
          <w:rFonts w:eastAsia="等线"/>
          <w:sz w:val="20"/>
          <w:lang w:val="en-US" w:eastAsia="zh-CN"/>
        </w:rPr>
        <w:t xml:space="preserve">), and FAISS performs a k-nearest neighbors search (k = 5, cosine similarity &gt; 0.8, 50 </w:t>
      </w:r>
      <w:proofErr w:type="spellStart"/>
      <w:r w:rsidRPr="005C491E">
        <w:rPr>
          <w:rFonts w:eastAsia="等线"/>
          <w:sz w:val="20"/>
          <w:lang w:val="en-US" w:eastAsia="zh-CN"/>
        </w:rPr>
        <w:t>ms</w:t>
      </w:r>
      <w:proofErr w:type="spellEnd"/>
      <w:r w:rsidRPr="005C491E">
        <w:rPr>
          <w:rFonts w:eastAsia="等线"/>
          <w:sz w:val="20"/>
          <w:lang w:val="en-US" w:eastAsia="zh-CN"/>
        </w:rPr>
        <w:t xml:space="preserve">) to retrieve relevant unstructured context (e.g., “User prefers 22°C in winter”), aggregated with SQL results into a context snippet (e.g., “ASHRAE: 23–25°C, User: +1 vote at 24°C, Weather: 20°C”) in 80 </w:t>
      </w:r>
      <w:proofErr w:type="spellStart"/>
      <w:r w:rsidRPr="005C491E">
        <w:rPr>
          <w:rFonts w:eastAsia="等线"/>
          <w:sz w:val="20"/>
          <w:lang w:val="en-US" w:eastAsia="zh-CN"/>
        </w:rPr>
        <w:t>ms</w:t>
      </w:r>
      <w:proofErr w:type="spellEnd"/>
      <w:r w:rsidRPr="005C491E">
        <w:rPr>
          <w:rFonts w:eastAsia="等线"/>
          <w:sz w:val="20"/>
          <w:lang w:val="en-US" w:eastAsia="zh-CN"/>
        </w:rPr>
        <w:t xml:space="preserve"> total. This context, concatenated with the latent vector, forms a prompt (e.g., “Given [context] and [temp = 24°C, HRV = 65 </w:t>
      </w:r>
      <w:r w:rsidRPr="005C491E">
        <w:rPr>
          <w:rFonts w:eastAsia="等线"/>
          <w:sz w:val="20"/>
          <w:lang w:val="en-US" w:eastAsia="zh-CN"/>
        </w:rPr>
        <w:t xml:space="preserve">bpm], recommend adjustment”) for a fine-tuned LLaMA-13B model (13B parameters, pre-trained on general text, fine-tuned on 10,000 thermal comfort samples with </w:t>
      </w:r>
      <w:proofErr w:type="spellStart"/>
      <w:r w:rsidRPr="005C491E">
        <w:rPr>
          <w:rFonts w:eastAsia="等线"/>
          <w:sz w:val="20"/>
          <w:lang w:val="en-US" w:eastAsia="zh-CN"/>
        </w:rPr>
        <w:t>lr</w:t>
      </w:r>
      <w:proofErr w:type="spellEnd"/>
      <w:r w:rsidRPr="005C491E">
        <w:rPr>
          <w:rFonts w:eastAsia="等线"/>
          <w:sz w:val="20"/>
          <w:lang w:val="en-US" w:eastAsia="zh-CN"/>
        </w:rPr>
        <w:t xml:space="preserve"> = 2e-5, 5 epochs, cross-entropy loss = 0.15), generating recommendations (e.g., “Adjust to 23°C, 0.3 m/s”) in 100 </w:t>
      </w:r>
      <w:proofErr w:type="spellStart"/>
      <w:r w:rsidRPr="005C491E">
        <w:rPr>
          <w:rFonts w:eastAsia="等线"/>
          <w:sz w:val="20"/>
          <w:lang w:val="en-US" w:eastAsia="zh-CN"/>
        </w:rPr>
        <w:t>ms.</w:t>
      </w:r>
      <w:proofErr w:type="spellEnd"/>
      <w:r w:rsidRPr="005C491E">
        <w:rPr>
          <w:rFonts w:eastAsia="等线"/>
          <w:sz w:val="20"/>
          <w:lang w:val="en-US" w:eastAsia="zh-CN"/>
        </w:rPr>
        <w:t xml:space="preserve"> Outputs are constrained to feasible ranges (18–26°C, 0.1–0.5 m/s) and cross-checked against ASHRAE bounds, ensuring physical plausibility.</w:t>
      </w:r>
    </w:p>
    <w:p w14:paraId="32958C04" w14:textId="77777777" w:rsidR="005C491E" w:rsidRPr="005C491E" w:rsidRDefault="005C491E" w:rsidP="005C491E">
      <w:pPr>
        <w:pStyle w:val="a0"/>
        <w:ind w:firstLine="284"/>
        <w:rPr>
          <w:rFonts w:eastAsia="等线"/>
          <w:sz w:val="20"/>
          <w:lang w:val="en-US" w:eastAsia="zh-CN"/>
        </w:rPr>
      </w:pPr>
      <w:r w:rsidRPr="005C491E">
        <w:rPr>
          <w:rFonts w:eastAsia="等线"/>
          <w:sz w:val="20"/>
          <w:lang w:val="en-US" w:eastAsia="zh-CN"/>
        </w:rPr>
        <w:t xml:space="preserve">An optimization module finalizes the process by translating RAG outputs into energy-efficient HVAC commands using quadratic programming (QP), solving for temperature and airflow setpoints to minimize power (e.g., ≤15 W) subject to comfort constraints (e.g., PMV &lt; 0.5), completed in 10 </w:t>
      </w:r>
      <w:proofErr w:type="spellStart"/>
      <w:r w:rsidRPr="005C491E">
        <w:rPr>
          <w:rFonts w:eastAsia="等线"/>
          <w:sz w:val="20"/>
          <w:lang w:val="en-US" w:eastAsia="zh-CN"/>
        </w:rPr>
        <w:t>ms.</w:t>
      </w:r>
      <w:proofErr w:type="spellEnd"/>
      <w:r w:rsidRPr="005C491E">
        <w:rPr>
          <w:rFonts w:eastAsia="等线"/>
          <w:sz w:val="20"/>
          <w:lang w:val="en-US" w:eastAsia="zh-CN"/>
        </w:rPr>
        <w:t xml:space="preserve"> Commands are serialized into JSON payloads (e.g., {"temp": 23, "airflow": 0.3}) and transmitted via MQTT (QoS 1, 10 </w:t>
      </w:r>
      <w:proofErr w:type="spellStart"/>
      <w:r w:rsidRPr="005C491E">
        <w:rPr>
          <w:rFonts w:eastAsia="等线"/>
          <w:sz w:val="20"/>
          <w:lang w:val="en-US" w:eastAsia="zh-CN"/>
        </w:rPr>
        <w:t>ms</w:t>
      </w:r>
      <w:proofErr w:type="spellEnd"/>
      <w:r w:rsidRPr="005C491E">
        <w:rPr>
          <w:rFonts w:eastAsia="等线"/>
          <w:sz w:val="20"/>
          <w:lang w:val="en-US" w:eastAsia="zh-CN"/>
        </w:rPr>
        <w:t xml:space="preserve"> latency) to the edge for execution. Participant feedback—passive sensor data (E4 wearables, RealSense D435i) and active votes (HoloLens 2 app)—is logged in an Elasticsearch cluster, enabling iterative refinement of the RAG knowledge base (e.g., updating user preferences). This RAG-centric design, adapting NLP techniques to thermal comfort, integrates edge inputs and real-time context to achieve personalized inference, marking a significant departure from static models and underpinning the system’s scalability and user-centric performance.</w:t>
      </w:r>
    </w:p>
    <w:p w14:paraId="18AB3AA1" w14:textId="2E295104" w:rsidR="00B5772E" w:rsidRDefault="00B5772E" w:rsidP="005C491E">
      <w:pPr>
        <w:pStyle w:val="a0"/>
        <w:ind w:firstLine="284"/>
        <w:rPr>
          <w:rFonts w:eastAsia="等线"/>
          <w:sz w:val="20"/>
          <w:lang w:val="en-US" w:eastAsia="zh-CN"/>
        </w:rPr>
      </w:pPr>
    </w:p>
    <w:p w14:paraId="31E6A6C8" w14:textId="04597242" w:rsidR="006374BC" w:rsidRPr="0000598A" w:rsidRDefault="006374BC" w:rsidP="0000598A">
      <w:pPr>
        <w:pStyle w:val="1"/>
        <w:rPr>
          <w:rFonts w:eastAsia="等线"/>
          <w:lang w:eastAsia="zh-CN"/>
        </w:rPr>
      </w:pPr>
      <w:r w:rsidRPr="00F05EA2">
        <w:rPr>
          <w:lang w:eastAsia="zh-CN"/>
        </w:rPr>
        <w:t>2.</w:t>
      </w:r>
      <w:r>
        <w:rPr>
          <w:rFonts w:eastAsia="等线" w:hint="eastAsia"/>
          <w:lang w:eastAsia="zh-CN"/>
        </w:rPr>
        <w:t>3</w:t>
      </w:r>
      <w:r w:rsidRPr="00F05EA2">
        <w:rPr>
          <w:lang w:eastAsia="zh-CN"/>
        </w:rPr>
        <w:t xml:space="preserve"> </w:t>
      </w:r>
      <w:r>
        <w:rPr>
          <w:rFonts w:eastAsia="等线" w:hint="eastAsia"/>
          <w:lang w:eastAsia="zh-CN"/>
        </w:rPr>
        <w:t>AR interaction layer system</w:t>
      </w:r>
    </w:p>
    <w:p w14:paraId="31E46180" w14:textId="77777777" w:rsidR="0000598A" w:rsidRPr="0000598A" w:rsidRDefault="0000598A" w:rsidP="0000598A">
      <w:pPr>
        <w:pStyle w:val="a0"/>
        <w:ind w:firstLineChars="150" w:firstLine="300"/>
        <w:rPr>
          <w:rFonts w:eastAsia="等线"/>
          <w:sz w:val="20"/>
          <w:lang w:val="en-US" w:eastAsia="zh-CN"/>
        </w:rPr>
      </w:pPr>
      <w:r w:rsidRPr="0000598A">
        <w:rPr>
          <w:rFonts w:eastAsia="等线"/>
          <w:sz w:val="20"/>
          <w:lang w:val="en-US" w:eastAsia="zh-CN"/>
        </w:rPr>
        <w:t xml:space="preserve">The AR layer, implemented on the Microsoft HoloLens 2 (96.1° diagonal field of view, 6 degrees of freedom), constitutes the interactive interface of the multimodal thermal comfort perception system, designed to visualize cloud-generated thermal comfort recommendations and facilitate real-time user feedback within a 10 m² experimental space. Positioned as the final stage of the system’s edge-cloud-AR architecture, it receives optimized HVAC commands (e.g., {"temp": 23, "airflow": 0.3}) from the cloud layer via MQTT (QoS 1) over a secure Wi-Fi connection, achieving a transmission latency of 10 </w:t>
      </w:r>
      <w:proofErr w:type="spellStart"/>
      <w:r w:rsidRPr="0000598A">
        <w:rPr>
          <w:rFonts w:eastAsia="等线"/>
          <w:sz w:val="20"/>
          <w:lang w:val="en-US" w:eastAsia="zh-CN"/>
        </w:rPr>
        <w:t>ms.</w:t>
      </w:r>
      <w:proofErr w:type="spellEnd"/>
      <w:r w:rsidRPr="0000598A">
        <w:rPr>
          <w:rFonts w:eastAsia="等线"/>
          <w:sz w:val="20"/>
          <w:lang w:val="en-US" w:eastAsia="zh-CN"/>
        </w:rPr>
        <w:t xml:space="preserve"> Leveraging the HoloLens 2’s mixed reality capabilities—powered by a Qualcomm Snapdragon 850 processor, 4 GB RAM, and a custom holographic processing unit (HPU)—the AR layer renders spatial-temporal comfort metrics and enables participants to actively engage with the system, closing the feedback loop that enhances the cloud’s Retrieval-Augmented Generation (RAG) personalization. Its construction integrates three core components: real-time visualization of thermal comfort data, gesture-based control for HVAC adjustments, and a mechanism for collecting subjective thermal sensation votes, all executed within a 20 </w:t>
      </w:r>
      <w:proofErr w:type="spellStart"/>
      <w:r w:rsidRPr="0000598A">
        <w:rPr>
          <w:rFonts w:eastAsia="等线"/>
          <w:sz w:val="20"/>
          <w:lang w:val="en-US" w:eastAsia="zh-CN"/>
        </w:rPr>
        <w:t>ms</w:t>
      </w:r>
      <w:proofErr w:type="spellEnd"/>
      <w:r w:rsidRPr="0000598A">
        <w:rPr>
          <w:rFonts w:eastAsia="等线"/>
          <w:sz w:val="20"/>
          <w:lang w:val="en-US" w:eastAsia="zh-CN"/>
        </w:rPr>
        <w:t xml:space="preserve"> rendering latency to maintain the </w:t>
      </w:r>
      <w:r w:rsidRPr="0000598A">
        <w:rPr>
          <w:rFonts w:eastAsia="等线"/>
          <w:sz w:val="20"/>
          <w:lang w:val="en-US" w:eastAsia="zh-CN"/>
        </w:rPr>
        <w:lastRenderedPageBreak/>
        <w:t xml:space="preserve">system’s 150 </w:t>
      </w:r>
      <w:proofErr w:type="spellStart"/>
      <w:r w:rsidRPr="0000598A">
        <w:rPr>
          <w:rFonts w:eastAsia="等线"/>
          <w:sz w:val="20"/>
          <w:lang w:val="en-US" w:eastAsia="zh-CN"/>
        </w:rPr>
        <w:t>ms</w:t>
      </w:r>
      <w:proofErr w:type="spellEnd"/>
      <w:r w:rsidRPr="0000598A">
        <w:rPr>
          <w:rFonts w:eastAsia="等线"/>
          <w:sz w:val="20"/>
          <w:lang w:val="en-US" w:eastAsia="zh-CN"/>
        </w:rPr>
        <w:t xml:space="preserve"> end-to-end target (edge: 50 </w:t>
      </w:r>
      <w:proofErr w:type="spellStart"/>
      <w:r w:rsidRPr="0000598A">
        <w:rPr>
          <w:rFonts w:eastAsia="等线"/>
          <w:sz w:val="20"/>
          <w:lang w:val="en-US" w:eastAsia="zh-CN"/>
        </w:rPr>
        <w:t>ms</w:t>
      </w:r>
      <w:proofErr w:type="spellEnd"/>
      <w:r w:rsidRPr="0000598A">
        <w:rPr>
          <w:rFonts w:eastAsia="等线"/>
          <w:sz w:val="20"/>
          <w:lang w:val="en-US" w:eastAsia="zh-CN"/>
        </w:rPr>
        <w:t xml:space="preserve">, cloud: 80 </w:t>
      </w:r>
      <w:proofErr w:type="spellStart"/>
      <w:r w:rsidRPr="0000598A">
        <w:rPr>
          <w:rFonts w:eastAsia="等线"/>
          <w:sz w:val="20"/>
          <w:lang w:val="en-US" w:eastAsia="zh-CN"/>
        </w:rPr>
        <w:t>ms</w:t>
      </w:r>
      <w:proofErr w:type="spellEnd"/>
      <w:r w:rsidRPr="0000598A">
        <w:rPr>
          <w:rFonts w:eastAsia="等线"/>
          <w:sz w:val="20"/>
          <w:lang w:val="en-US" w:eastAsia="zh-CN"/>
        </w:rPr>
        <w:t xml:space="preserve">, AR: 20 </w:t>
      </w:r>
      <w:proofErr w:type="spellStart"/>
      <w:r w:rsidRPr="0000598A">
        <w:rPr>
          <w:rFonts w:eastAsia="等线"/>
          <w:sz w:val="20"/>
          <w:lang w:val="en-US" w:eastAsia="zh-CN"/>
        </w:rPr>
        <w:t>ms</w:t>
      </w:r>
      <w:proofErr w:type="spellEnd"/>
      <w:r w:rsidRPr="0000598A">
        <w:rPr>
          <w:rFonts w:eastAsia="等线"/>
          <w:sz w:val="20"/>
          <w:lang w:val="en-US" w:eastAsia="zh-CN"/>
        </w:rPr>
        <w:t>).</w:t>
      </w:r>
    </w:p>
    <w:p w14:paraId="217D4770" w14:textId="0BC84BB0" w:rsidR="0000598A" w:rsidRPr="0000598A" w:rsidRDefault="0000598A" w:rsidP="001515D5">
      <w:pPr>
        <w:pStyle w:val="a0"/>
        <w:ind w:firstLineChars="150" w:firstLine="300"/>
        <w:rPr>
          <w:rFonts w:eastAsia="等线"/>
          <w:sz w:val="20"/>
          <w:lang w:val="en-US" w:eastAsia="zh-CN"/>
        </w:rPr>
      </w:pPr>
      <w:r w:rsidRPr="0000598A">
        <w:rPr>
          <w:rFonts w:eastAsia="等线"/>
          <w:sz w:val="20"/>
          <w:lang w:val="en-US" w:eastAsia="zh-CN"/>
        </w:rPr>
        <w:t>Visualization in the AR layer is developed using Unity (2023.2)</w:t>
      </w:r>
      <w:r w:rsidR="004C725E">
        <w:rPr>
          <w:rFonts w:eastAsia="等线" w:hint="eastAsia"/>
          <w:sz w:val="20"/>
          <w:lang w:val="en-US" w:eastAsia="zh-CN"/>
        </w:rPr>
        <w:t xml:space="preserve"> </w:t>
      </w:r>
      <w:r w:rsidR="004C725E">
        <w:rPr>
          <w:rFonts w:eastAsia="等线"/>
          <w:sz w:val="20"/>
          <w:lang w:val="en-US" w:eastAsia="zh-CN"/>
        </w:rPr>
        <w:fldChar w:fldCharType="begin"/>
      </w:r>
      <w:r w:rsidR="004C725E">
        <w:rPr>
          <w:rFonts w:eastAsia="等线"/>
          <w:sz w:val="20"/>
          <w:lang w:val="en-US" w:eastAsia="zh-CN"/>
        </w:rPr>
        <w:instrText xml:space="preserve"> ADDIN ZOTERO_ITEM CSL_CITATION {"citationID":"Bjyp1Yzu","properties":{"formattedCitation":"(Lee et al., 2020)","plainCitation":"(Lee et al., 2020)","noteIndex":0},"citationItems":[{"id":1813,"uris":["http://zotero.org/users/10267666/items/KS3M88K4"],"itemData":{"id":1813,"type":"article-journal","abstract":"Digital twin technology based on building a virtual digital city similar to a real one enables the simulation of urban phenomena or the design of a city. A geospatial platform is an essential supporting component of digital twin cities. In this study, we propose a planetary-scale geospatial open platform that can be used easily in the most widely used game engine environment. The proposed platform can visualize large-capacity geospatial data in real time because it organizes and manages various types of data based on quadtree tiles. The proposed rendering tile decision method provides constant geospatial data visualization according to the camera controls of the user. The platform implemented is based on Unity3D, and therefore, one can use it easily by importing the proposed asset library. The proposed geospatial platform is available on the Asset Store. We believe that the proposed platform can meet the needs of various three-dimensional (3-D) geospatial applications.","container-title":"Sensors","DOI":"10.3390/s20205967","issue":"20","journalAbbreviation":"Sensors","language":"English","page":"20","title":"Planetary-Scale Geospatial Open Platform Based on the Unity3D Environment","volume":"20","author":[{"family":"Lee","given":"A."},{"family":"Chang","given":"Y. S."},{"family":"Jang","given":"I."}],"issued":{"date-parts":[["2020",10]]}}}],"schema":"https://github.com/citation-style-language/schema/raw/master/csl-citation.json"} </w:instrText>
      </w:r>
      <w:r w:rsidR="004C725E">
        <w:rPr>
          <w:rFonts w:eastAsia="等线"/>
          <w:sz w:val="20"/>
          <w:lang w:val="en-US" w:eastAsia="zh-CN"/>
        </w:rPr>
        <w:fldChar w:fldCharType="separate"/>
      </w:r>
      <w:r w:rsidR="004C725E" w:rsidRPr="004C725E">
        <w:rPr>
          <w:sz w:val="20"/>
        </w:rPr>
        <w:t>(Lee et al., 2020)</w:t>
      </w:r>
      <w:r w:rsidR="004C725E">
        <w:rPr>
          <w:rFonts w:eastAsia="等线"/>
          <w:sz w:val="20"/>
          <w:lang w:val="en-US" w:eastAsia="zh-CN"/>
        </w:rPr>
        <w:fldChar w:fldCharType="end"/>
      </w:r>
      <w:r w:rsidRPr="0000598A">
        <w:rPr>
          <w:rFonts w:eastAsia="等线"/>
          <w:sz w:val="20"/>
          <w:lang w:val="en-US" w:eastAsia="zh-CN"/>
        </w:rPr>
        <w:t>, a real-time 3D engine, to project cloud-derived comfort metrics onto the HoloLens 2’s stereoscopic display. Thermal comfort data, such as PMV values (e.g., 0.5), temperature gradients (e.g., 23–25°C across the room), and airflow patterns (e.g., 0.3 m/s), are received as JSON payloads and interpolated across the 10 m² space using inverse distance weighting (IDW, power parameter p = 2), a geospatial algorithm that estimates values at unsampled points based on proximity to the four edge sensing stations (O(n) complexity, n = 4). This generates a continuous comfort heatmap, rendered as a color-coded overlay (e.g., blue for cool [-1], green for neutral [0], red for warm [+1]) with a resolution of 1440x936 pixels, updated every 5 seconds to reflect edge-cloud updates. Spatial alignment is achieved via the HoloLens 2’s simultaneous localization and mapping (SLAM), utilizing its 1-MP time-of-flight (</w:t>
      </w:r>
      <w:proofErr w:type="spellStart"/>
      <w:r w:rsidRPr="0000598A">
        <w:rPr>
          <w:rFonts w:eastAsia="等线"/>
          <w:sz w:val="20"/>
          <w:lang w:val="en-US" w:eastAsia="zh-CN"/>
        </w:rPr>
        <w:t>ToF</w:t>
      </w:r>
      <w:proofErr w:type="spellEnd"/>
      <w:r w:rsidRPr="0000598A">
        <w:rPr>
          <w:rFonts w:eastAsia="等线"/>
          <w:sz w:val="20"/>
          <w:lang w:val="en-US" w:eastAsia="zh-CN"/>
        </w:rPr>
        <w:t xml:space="preserve">) depth camera and four grayscale tracking cameras to map the room with ±5 cm accuracy, anchoring virtual overlays to physical coordinates (e.g., HVAC unit at x=2 m, y=3 m). Temporal evolution is visualized through a fading trail effect (alpha decay = 0.9 over 10 s), implemented in Unity’s shader graph, allowing participants to observe comfort trends (e.g., cooling from 24°C to 23°C) in 20 </w:t>
      </w:r>
      <w:proofErr w:type="spellStart"/>
      <w:r w:rsidRPr="0000598A">
        <w:rPr>
          <w:rFonts w:eastAsia="等线"/>
          <w:sz w:val="20"/>
          <w:lang w:val="en-US" w:eastAsia="zh-CN"/>
        </w:rPr>
        <w:t>ms</w:t>
      </w:r>
      <w:proofErr w:type="spellEnd"/>
      <w:r w:rsidRPr="0000598A">
        <w:rPr>
          <w:rFonts w:eastAsia="等线"/>
          <w:sz w:val="20"/>
          <w:lang w:val="en-US" w:eastAsia="zh-CN"/>
        </w:rPr>
        <w:t xml:space="preserve"> per frame, ensuring seamless immersion.</w:t>
      </w:r>
    </w:p>
    <w:p w14:paraId="5E2A68A8" w14:textId="77777777" w:rsidR="0000598A" w:rsidRPr="0000598A" w:rsidRDefault="0000598A" w:rsidP="001515D5">
      <w:pPr>
        <w:pStyle w:val="a0"/>
        <w:ind w:firstLineChars="150" w:firstLine="300"/>
        <w:rPr>
          <w:rFonts w:eastAsia="等线"/>
          <w:sz w:val="20"/>
          <w:lang w:val="en-US" w:eastAsia="zh-CN"/>
        </w:rPr>
      </w:pPr>
      <w:r w:rsidRPr="0000598A">
        <w:rPr>
          <w:rFonts w:eastAsia="等线"/>
          <w:sz w:val="20"/>
          <w:lang w:val="en-US" w:eastAsia="zh-CN"/>
        </w:rPr>
        <w:t xml:space="preserve">Gesture-based control empowers participants to interact with the system, adjusting HVAC settings in real time using the HoloLens 2’s hand-tracking capabilities (26 tracked points per hand, 30 fps). A pinch-to-adjust gesture, detected via the HoloLens 2’s articulated hand API, enables incremental changes to temperature (e.g., ±0.5°C per pinch) and airflow (e.g., ±0.1 m/s), mapped to a virtual slider interface rendered at 0.5 m depth in the user’s field of view. Gesture inputs are processed in Unity using a finite state machine (FSM) with three states—idle, tracking, adjustment—executing in &lt;5 </w:t>
      </w:r>
      <w:proofErr w:type="spellStart"/>
      <w:r w:rsidRPr="0000598A">
        <w:rPr>
          <w:rFonts w:eastAsia="等线"/>
          <w:sz w:val="20"/>
          <w:lang w:val="en-US" w:eastAsia="zh-CN"/>
        </w:rPr>
        <w:t>ms</w:t>
      </w:r>
      <w:proofErr w:type="spellEnd"/>
      <w:r w:rsidRPr="0000598A">
        <w:rPr>
          <w:rFonts w:eastAsia="等线"/>
          <w:sz w:val="20"/>
          <w:lang w:val="en-US" w:eastAsia="zh-CN"/>
        </w:rPr>
        <w:t xml:space="preserve"> per cycle, with commands (e.g., {"adjustment": "temp -0.5"}) sent to the cloud via HTTPS for optimization and edge execution. To enhance personalization, a Q-learning reinforcement learning model (learning rate α = 0.1, discount factor γ = 0.9) refines predictions based on these adjustments, updating a state-action value table (e.g., state: “temp = 24°C, posture = sitting,” action: “-0.5°C,” reward: +1 if followed by neutral vote) over 2-hour sessions, converging after ~50 interactions per participant with a 10% exploration rate (ε-greedy). This feedback, transmitted in 15 </w:t>
      </w:r>
      <w:proofErr w:type="spellStart"/>
      <w:r w:rsidRPr="0000598A">
        <w:rPr>
          <w:rFonts w:eastAsia="等线"/>
          <w:sz w:val="20"/>
          <w:lang w:val="en-US" w:eastAsia="zh-CN"/>
        </w:rPr>
        <w:t>ms</w:t>
      </w:r>
      <w:proofErr w:type="spellEnd"/>
      <w:r w:rsidRPr="0000598A">
        <w:rPr>
          <w:rFonts w:eastAsia="等线"/>
          <w:sz w:val="20"/>
          <w:lang w:val="en-US" w:eastAsia="zh-CN"/>
        </w:rPr>
        <w:t xml:space="preserve">, informs the cloud’s RAG </w:t>
      </w:r>
      <w:r w:rsidRPr="0000598A">
        <w:rPr>
          <w:rFonts w:eastAsia="等线"/>
          <w:sz w:val="20"/>
          <w:lang w:val="en-US" w:eastAsia="zh-CN"/>
        </w:rPr>
        <w:t>pipeline, integrating user preferences into future recommendations.</w:t>
      </w:r>
    </w:p>
    <w:p w14:paraId="1BFDCE20" w14:textId="40321B3C" w:rsidR="0000598A" w:rsidRPr="0000598A" w:rsidRDefault="0000598A" w:rsidP="001515D5">
      <w:pPr>
        <w:pStyle w:val="a0"/>
        <w:ind w:firstLineChars="150" w:firstLine="300"/>
        <w:rPr>
          <w:rFonts w:eastAsia="等线"/>
          <w:sz w:val="20"/>
          <w:lang w:val="en-US" w:eastAsia="zh-CN"/>
        </w:rPr>
      </w:pPr>
      <w:r w:rsidRPr="0000598A">
        <w:rPr>
          <w:rFonts w:eastAsia="等线"/>
          <w:sz w:val="20"/>
          <w:lang w:val="en-US" w:eastAsia="zh-CN"/>
        </w:rPr>
        <w:t xml:space="preserve">Subjective thermal sensation votes are collected every 15 minutes to provide ground truth and refine personalization, implemented through a custom Flutter-based mobile app paired with the HoloLens 2 via Bluetooth (5 </w:t>
      </w:r>
      <w:proofErr w:type="spellStart"/>
      <w:r w:rsidRPr="0000598A">
        <w:rPr>
          <w:rFonts w:eastAsia="等线"/>
          <w:sz w:val="20"/>
          <w:lang w:val="en-US" w:eastAsia="zh-CN"/>
        </w:rPr>
        <w:t>ms</w:t>
      </w:r>
      <w:proofErr w:type="spellEnd"/>
      <w:r w:rsidRPr="0000598A">
        <w:rPr>
          <w:rFonts w:eastAsia="等线"/>
          <w:sz w:val="20"/>
          <w:lang w:val="en-US" w:eastAsia="zh-CN"/>
        </w:rPr>
        <w:t xml:space="preserve"> latency). Participants, wearing the HoloLens 2, view a 7-point thermal sensation scale (-3 cold to +3 hot) as an AR overlay (e.g., “How do you feel now?”), tapping a virtual slider with a gaze-and-pinch gesture (detected via eye-tracking and hand API, &lt;10 </w:t>
      </w:r>
      <w:proofErr w:type="spellStart"/>
      <w:r w:rsidRPr="0000598A">
        <w:rPr>
          <w:rFonts w:eastAsia="等线"/>
          <w:sz w:val="20"/>
          <w:lang w:val="en-US" w:eastAsia="zh-CN"/>
        </w:rPr>
        <w:t>ms</w:t>
      </w:r>
      <w:proofErr w:type="spellEnd"/>
      <w:r w:rsidRPr="0000598A">
        <w:rPr>
          <w:rFonts w:eastAsia="等线"/>
          <w:sz w:val="20"/>
          <w:lang w:val="en-US" w:eastAsia="zh-CN"/>
        </w:rPr>
        <w:t>). Votes (e.g., “202</w:t>
      </w:r>
      <w:r w:rsidR="004863E3">
        <w:rPr>
          <w:rFonts w:eastAsia="等线" w:hint="eastAsia"/>
          <w:sz w:val="20"/>
          <w:lang w:val="en-US" w:eastAsia="zh-CN"/>
        </w:rPr>
        <w:t>4</w:t>
      </w:r>
      <w:r w:rsidRPr="0000598A">
        <w:rPr>
          <w:rFonts w:eastAsia="等线"/>
          <w:sz w:val="20"/>
          <w:lang w:val="en-US" w:eastAsia="zh-CN"/>
        </w:rPr>
        <w:t>-</w:t>
      </w:r>
      <w:r w:rsidR="004863E3">
        <w:rPr>
          <w:rFonts w:eastAsia="等线" w:hint="eastAsia"/>
          <w:sz w:val="20"/>
          <w:lang w:val="en-US" w:eastAsia="zh-CN"/>
        </w:rPr>
        <w:t>11</w:t>
      </w:r>
      <w:r w:rsidRPr="0000598A">
        <w:rPr>
          <w:rFonts w:eastAsia="等线"/>
          <w:sz w:val="20"/>
          <w:lang w:val="en-US" w:eastAsia="zh-CN"/>
        </w:rPr>
        <w:t xml:space="preserve">-08 14:00, +1”) are timestamped, synced with edge sensor data via session IDs, and sent to the cloud via HTTPS, logged in Elasticsearch for RAG retrieval (e.g., “User voted +1 at 24°C”). The AR layer’s total latency—20 </w:t>
      </w:r>
      <w:proofErr w:type="spellStart"/>
      <w:r w:rsidRPr="0000598A">
        <w:rPr>
          <w:rFonts w:eastAsia="等线"/>
          <w:sz w:val="20"/>
          <w:lang w:val="en-US" w:eastAsia="zh-CN"/>
        </w:rPr>
        <w:t>ms</w:t>
      </w:r>
      <w:proofErr w:type="spellEnd"/>
      <w:r w:rsidRPr="0000598A">
        <w:rPr>
          <w:rFonts w:eastAsia="等线"/>
          <w:sz w:val="20"/>
          <w:lang w:val="en-US" w:eastAsia="zh-CN"/>
        </w:rPr>
        <w:t xml:space="preserve"> (rendering: 10 </w:t>
      </w:r>
      <w:proofErr w:type="spellStart"/>
      <w:r w:rsidRPr="0000598A">
        <w:rPr>
          <w:rFonts w:eastAsia="等线"/>
          <w:sz w:val="20"/>
          <w:lang w:val="en-US" w:eastAsia="zh-CN"/>
        </w:rPr>
        <w:t>ms</w:t>
      </w:r>
      <w:proofErr w:type="spellEnd"/>
      <w:r w:rsidRPr="0000598A">
        <w:rPr>
          <w:rFonts w:eastAsia="等线"/>
          <w:sz w:val="20"/>
          <w:lang w:val="en-US" w:eastAsia="zh-CN"/>
        </w:rPr>
        <w:t xml:space="preserve">, gesture processing: 5 </w:t>
      </w:r>
      <w:proofErr w:type="spellStart"/>
      <w:r w:rsidRPr="0000598A">
        <w:rPr>
          <w:rFonts w:eastAsia="等线"/>
          <w:sz w:val="20"/>
          <w:lang w:val="en-US" w:eastAsia="zh-CN"/>
        </w:rPr>
        <w:t>ms</w:t>
      </w:r>
      <w:proofErr w:type="spellEnd"/>
      <w:r w:rsidRPr="0000598A">
        <w:rPr>
          <w:rFonts w:eastAsia="等线"/>
          <w:sz w:val="20"/>
          <w:lang w:val="en-US" w:eastAsia="zh-CN"/>
        </w:rPr>
        <w:t xml:space="preserve">, vote transmission: 5 </w:t>
      </w:r>
      <w:proofErr w:type="spellStart"/>
      <w:r w:rsidRPr="0000598A">
        <w:rPr>
          <w:rFonts w:eastAsia="等线"/>
          <w:sz w:val="20"/>
          <w:lang w:val="en-US" w:eastAsia="zh-CN"/>
        </w:rPr>
        <w:t>ms</w:t>
      </w:r>
      <w:proofErr w:type="spellEnd"/>
      <w:r w:rsidRPr="0000598A">
        <w:rPr>
          <w:rFonts w:eastAsia="等线"/>
          <w:sz w:val="20"/>
          <w:lang w:val="en-US" w:eastAsia="zh-CN"/>
        </w:rPr>
        <w:t>)—ensures real-time responsiveness, while its power consumption averages 2 W, contributing to the system’s 12 W total. Calibration of SLAM and gesture tracking was validated pre-experiment against a 1 m² grid (error &lt;3 cm), ensuring precision. This AR construction bridges cloud analytics with user interaction, amplifying the system’s human-centric design and personalization through RAG integration.</w:t>
      </w:r>
    </w:p>
    <w:p w14:paraId="049B4C18" w14:textId="77777777" w:rsidR="006374BC" w:rsidRPr="0000598A" w:rsidRDefault="006374BC" w:rsidP="006374BC">
      <w:pPr>
        <w:pStyle w:val="a0"/>
        <w:rPr>
          <w:rFonts w:eastAsia="等线"/>
          <w:sz w:val="20"/>
          <w:lang w:val="en-US" w:eastAsia="zh-CN"/>
        </w:rPr>
      </w:pPr>
    </w:p>
    <w:p w14:paraId="137E579D" w14:textId="78904C5B" w:rsidR="006374BC" w:rsidRDefault="006374BC" w:rsidP="006374BC">
      <w:pPr>
        <w:pStyle w:val="1"/>
        <w:rPr>
          <w:rFonts w:eastAsia="等线"/>
          <w:lang w:val="en-US" w:eastAsia="zh-CN"/>
        </w:rPr>
      </w:pPr>
      <w:r w:rsidRPr="00F05EA2">
        <w:rPr>
          <w:lang w:eastAsia="zh-CN"/>
        </w:rPr>
        <w:t>2.</w:t>
      </w:r>
      <w:r>
        <w:rPr>
          <w:rFonts w:eastAsia="等线" w:hint="eastAsia"/>
          <w:lang w:eastAsia="zh-CN"/>
        </w:rPr>
        <w:t>4</w:t>
      </w:r>
      <w:r w:rsidRPr="00F05EA2">
        <w:rPr>
          <w:lang w:eastAsia="zh-CN"/>
        </w:rPr>
        <w:t xml:space="preserve"> </w:t>
      </w:r>
      <w:r w:rsidR="00266DF1" w:rsidRPr="00266DF1">
        <w:rPr>
          <w:lang w:val="en-US" w:eastAsia="zh-CN"/>
        </w:rPr>
        <w:t>Framework applicability and validation</w:t>
      </w:r>
    </w:p>
    <w:p w14:paraId="5EBB1545" w14:textId="6834CB67" w:rsidR="001515D5" w:rsidRPr="001515D5" w:rsidRDefault="001515D5" w:rsidP="001355A0">
      <w:pPr>
        <w:pStyle w:val="a0"/>
        <w:ind w:firstLineChars="150" w:firstLine="300"/>
        <w:rPr>
          <w:rFonts w:eastAsia="等线"/>
          <w:sz w:val="20"/>
          <w:lang w:eastAsia="zh-CN"/>
        </w:rPr>
      </w:pPr>
      <w:r w:rsidRPr="001515D5">
        <w:rPr>
          <w:rFonts w:eastAsia="等线"/>
          <w:sz w:val="20"/>
          <w:lang w:eastAsia="zh-CN"/>
        </w:rPr>
        <w:t xml:space="preserve">The applicability and effectiveness of the multimodal thermal comfort perception system were validated through a controlled experimental study in a 10 m² indoor environment, conducted from </w:t>
      </w:r>
      <w:r w:rsidR="001649C8">
        <w:rPr>
          <w:rFonts w:eastAsia="等线" w:hint="eastAsia"/>
          <w:sz w:val="20"/>
          <w:lang w:eastAsia="zh-CN"/>
        </w:rPr>
        <w:t>October</w:t>
      </w:r>
      <w:r w:rsidRPr="001515D5">
        <w:rPr>
          <w:rFonts w:eastAsia="等线"/>
          <w:sz w:val="20"/>
          <w:lang w:eastAsia="zh-CN"/>
        </w:rPr>
        <w:t xml:space="preserve"> to </w:t>
      </w:r>
      <w:r w:rsidR="001649C8">
        <w:rPr>
          <w:rFonts w:eastAsia="等线" w:hint="eastAsia"/>
          <w:sz w:val="20"/>
          <w:lang w:eastAsia="zh-CN"/>
        </w:rPr>
        <w:t>December</w:t>
      </w:r>
      <w:r w:rsidRPr="001515D5">
        <w:rPr>
          <w:rFonts w:eastAsia="等线"/>
          <w:sz w:val="20"/>
          <w:lang w:eastAsia="zh-CN"/>
        </w:rPr>
        <w:t xml:space="preserve"> 202</w:t>
      </w:r>
      <w:r w:rsidR="001649C8">
        <w:rPr>
          <w:rFonts w:eastAsia="等线" w:hint="eastAsia"/>
          <w:sz w:val="20"/>
          <w:lang w:eastAsia="zh-CN"/>
        </w:rPr>
        <w:t>4</w:t>
      </w:r>
      <w:r w:rsidRPr="001515D5">
        <w:rPr>
          <w:rFonts w:eastAsia="等线"/>
          <w:sz w:val="20"/>
          <w:lang w:eastAsia="zh-CN"/>
        </w:rPr>
        <w:t xml:space="preserve"> to simulate a typical office or residential setting. Thirty participants (15 male, 15 female, aged 22–45, mean = 32.4, SD = 6.8) were recruited under an IRB-approved protocol, each participating in three 1-hour sessions scheduled across separate days (total: 90 hours, 3 hours per participant). The experiment assessed the system’s ability to deliver personalized thermal comfort in </w:t>
      </w:r>
      <w:r>
        <w:rPr>
          <w:rFonts w:eastAsia="等线"/>
          <w:sz w:val="20"/>
          <w:lang w:eastAsia="zh-CN"/>
        </w:rPr>
        <w:t>real-time</w:t>
      </w:r>
      <w:r w:rsidRPr="001515D5">
        <w:rPr>
          <w:rFonts w:eastAsia="等线"/>
          <w:sz w:val="20"/>
          <w:lang w:eastAsia="zh-CN"/>
        </w:rPr>
        <w:t xml:space="preserve">, focusing on three objectives: (1) accuracy of predictions, driven by the cloud layer’s RAG framework; (2) system latency within a 150 </w:t>
      </w:r>
      <w:proofErr w:type="spellStart"/>
      <w:r w:rsidRPr="001515D5">
        <w:rPr>
          <w:rFonts w:eastAsia="等线"/>
          <w:sz w:val="20"/>
          <w:lang w:eastAsia="zh-CN"/>
        </w:rPr>
        <w:t>ms</w:t>
      </w:r>
      <w:proofErr w:type="spellEnd"/>
      <w:r w:rsidRPr="001515D5">
        <w:rPr>
          <w:rFonts w:eastAsia="等线"/>
          <w:sz w:val="20"/>
          <w:lang w:eastAsia="zh-CN"/>
        </w:rPr>
        <w:t xml:space="preserve"> target; and (3) user satisfaction and practical utility. Environmental conditions were varied using an HVAC control unit—temperature (18–26°C, step = 2°C), relative humidity (40–70%, step = 10%), and airflow (0.1–0.5 m/s, step = 0.1 m/s)—with variations applied across sessions to test adaptability under diverse scenarios.</w:t>
      </w:r>
    </w:p>
    <w:p w14:paraId="37F6783A" w14:textId="1A2897C0" w:rsidR="006374BC" w:rsidRPr="001515D5" w:rsidRDefault="001515D5" w:rsidP="001515D5">
      <w:pPr>
        <w:pStyle w:val="a0"/>
        <w:ind w:firstLineChars="150" w:firstLine="300"/>
        <w:rPr>
          <w:rFonts w:eastAsia="等线"/>
          <w:sz w:val="20"/>
          <w:lang w:eastAsia="zh-CN"/>
        </w:rPr>
      </w:pPr>
      <w:r w:rsidRPr="001515D5">
        <w:rPr>
          <w:rFonts w:eastAsia="等线"/>
          <w:sz w:val="20"/>
          <w:lang w:eastAsia="zh-CN"/>
        </w:rPr>
        <w:t xml:space="preserve">Each session was segmented into 15-minute intervals, during which the system updated thermal comfort recommendations every 5 seconds based on multimodal inputs, with participants providing </w:t>
      </w:r>
      <w:r w:rsidRPr="001515D5">
        <w:rPr>
          <w:rFonts w:eastAsia="等线"/>
          <w:sz w:val="20"/>
          <w:lang w:eastAsia="zh-CN"/>
        </w:rPr>
        <w:lastRenderedPageBreak/>
        <w:t xml:space="preserve">thermal sensation votes (-3 to +3) at the end of each interval via a HoloLens 2 interface, yielding 2,160 samples (90 hours × 4 votes/hour × 30 participants). A 5-fold cross-validation split (80% training, 20% testing) ensured statistical robustness. Validation metrics included: (1) accuracy, measured as F1-score and mean absolute error (MAE) against participant votes, benchmarked against a static PMV model; (2) latency, recorded end-to-end (target &lt;150 </w:t>
      </w:r>
      <w:proofErr w:type="spellStart"/>
      <w:r w:rsidRPr="001515D5">
        <w:rPr>
          <w:rFonts w:eastAsia="等线"/>
          <w:sz w:val="20"/>
          <w:lang w:eastAsia="zh-CN"/>
        </w:rPr>
        <w:t>ms</w:t>
      </w:r>
      <w:proofErr w:type="spellEnd"/>
      <w:r w:rsidRPr="001515D5">
        <w:rPr>
          <w:rFonts w:eastAsia="等线"/>
          <w:sz w:val="20"/>
          <w:lang w:eastAsia="zh-CN"/>
        </w:rPr>
        <w:t>) via system timestamps; and (3) user satisfaction, evaluated post-session with a 5-point Likert scale (1 = dissatisfied, 5 = satisfied) and Net Promoter Score (NPS). An ablation study disabled RAG’s retrieval component to isolate its contribution, comparing results to the full system and edge-only predictions. Environmental stability was confirmed pre-session with a Fluke 971 meter (error &lt;0.5°C), and participants followed standardized instructions (e.g., “Wear typical office attire”) for consistency. This design validated the system’s personalization and responsiveness, with RAG’s contextual integration as the central focus.</w:t>
      </w:r>
    </w:p>
    <w:p w14:paraId="0DC6F814" w14:textId="77777777" w:rsidR="001C0994" w:rsidRDefault="001C0994" w:rsidP="001C0994">
      <w:pPr>
        <w:pStyle w:val="a0"/>
        <w:ind w:firstLine="284"/>
        <w:rPr>
          <w:rFonts w:eastAsia="等线"/>
          <w:sz w:val="20"/>
          <w:lang w:val="en-US" w:eastAsia="zh-CN"/>
        </w:rPr>
      </w:pPr>
    </w:p>
    <w:p w14:paraId="362E6435" w14:textId="11C55268" w:rsidR="001C0994" w:rsidRDefault="001C0994" w:rsidP="001C0994">
      <w:pPr>
        <w:pStyle w:val="1"/>
        <w:rPr>
          <w:rFonts w:eastAsia="等线"/>
          <w:lang w:eastAsia="zh-CN"/>
        </w:rPr>
      </w:pPr>
      <w:r>
        <w:rPr>
          <w:rFonts w:eastAsia="等线" w:hint="eastAsia"/>
          <w:lang w:eastAsia="zh-CN"/>
        </w:rPr>
        <w:t>3. RESULTS</w:t>
      </w:r>
    </w:p>
    <w:p w14:paraId="3FF8FFB1" w14:textId="6F667AAA" w:rsidR="001515D5" w:rsidRPr="001515D5" w:rsidRDefault="001515D5" w:rsidP="001515D5">
      <w:pPr>
        <w:pStyle w:val="a0"/>
        <w:ind w:firstLineChars="150" w:firstLine="300"/>
        <w:rPr>
          <w:rFonts w:eastAsia="等线"/>
          <w:sz w:val="20"/>
          <w:lang w:val="en-US" w:eastAsia="zh-CN"/>
        </w:rPr>
      </w:pPr>
      <w:r w:rsidRPr="001515D5">
        <w:rPr>
          <w:rFonts w:eastAsia="等线"/>
          <w:sz w:val="20"/>
          <w:lang w:val="en-US" w:eastAsia="zh-CN"/>
        </w:rPr>
        <w:t>The multimodal thermal comfort perception system was evaluated over a 90-hour experimental period (</w:t>
      </w:r>
      <w:r w:rsidR="001649C8">
        <w:rPr>
          <w:rFonts w:eastAsia="等线" w:hint="eastAsia"/>
          <w:sz w:val="20"/>
          <w:lang w:val="en-US" w:eastAsia="zh-CN"/>
        </w:rPr>
        <w:t>October</w:t>
      </w:r>
      <w:r w:rsidRPr="001515D5">
        <w:rPr>
          <w:rFonts w:eastAsia="等线"/>
          <w:sz w:val="20"/>
          <w:lang w:val="en-US" w:eastAsia="zh-CN"/>
        </w:rPr>
        <w:t>–</w:t>
      </w:r>
      <w:r w:rsidR="001649C8">
        <w:rPr>
          <w:rFonts w:eastAsia="等线" w:hint="eastAsia"/>
          <w:sz w:val="20"/>
          <w:lang w:val="en-US" w:eastAsia="zh-CN"/>
        </w:rPr>
        <w:t>December</w:t>
      </w:r>
      <w:r w:rsidRPr="001515D5">
        <w:rPr>
          <w:rFonts w:eastAsia="等线"/>
          <w:sz w:val="20"/>
          <w:lang w:val="en-US" w:eastAsia="zh-CN"/>
        </w:rPr>
        <w:t xml:space="preserve"> 202</w:t>
      </w:r>
      <w:r w:rsidR="001649C8">
        <w:rPr>
          <w:rFonts w:eastAsia="等线" w:hint="eastAsia"/>
          <w:sz w:val="20"/>
          <w:lang w:val="en-US" w:eastAsia="zh-CN"/>
        </w:rPr>
        <w:t>4</w:t>
      </w:r>
      <w:r w:rsidRPr="001515D5">
        <w:rPr>
          <w:rFonts w:eastAsia="等线"/>
          <w:sz w:val="20"/>
          <w:lang w:val="en-US" w:eastAsia="zh-CN"/>
        </w:rPr>
        <w:t>) in a 10 m² controlled indoor environment, involving 30 participants (15 male, 15 female, aged 22–45, mean = 32.4, SD = 6.8), each completing three 1-hour sessions. Environmental conditions were manipulated using a Midea 12,000 BTU portable air conditioner with a Wi-Fi smart controller, varying temperature (18–26°C, step = 2°C), relative humidity (40–60%, step = 10%, limited by device precision), and airflow (0.2–0.4 m/s, fixed speeds), with stability verified pre-session via a Fluke 971 meter (error &lt;0.5°C). The system processed 2,160 samples (90 hours × 4 votes/hour × 30 participants), with performance assessed across four metrics: (1) accuracy of thermal comfort predictions, (2) end-to-end latency, (3) energy efficiency, and (4) user satisfaction, benchmarked against a static PMV model (ASHRAE 55-2020) and validated through 5-fold cross-validation and ablation studies.</w:t>
      </w:r>
    </w:p>
    <w:p w14:paraId="4E75F3DB" w14:textId="77777777" w:rsidR="001515D5" w:rsidRPr="001515D5" w:rsidRDefault="001515D5" w:rsidP="001515D5">
      <w:pPr>
        <w:pStyle w:val="a0"/>
        <w:ind w:firstLineChars="150" w:firstLine="300"/>
        <w:rPr>
          <w:rFonts w:eastAsia="等线"/>
          <w:sz w:val="20"/>
          <w:lang w:val="en-US" w:eastAsia="zh-CN"/>
        </w:rPr>
      </w:pPr>
      <w:r w:rsidRPr="001515D5">
        <w:rPr>
          <w:rFonts w:eastAsia="等线"/>
          <w:b/>
          <w:bCs/>
          <w:sz w:val="20"/>
          <w:lang w:val="en-US" w:eastAsia="zh-CN"/>
        </w:rPr>
        <w:t>Accuracy</w:t>
      </w:r>
      <w:r w:rsidRPr="001515D5">
        <w:rPr>
          <w:rFonts w:eastAsia="等线"/>
          <w:sz w:val="20"/>
          <w:lang w:val="en-US" w:eastAsia="zh-CN"/>
        </w:rPr>
        <w:t xml:space="preserve">: The system achieved an overall classification accuracy of 92% (F1 = 0.91) across seven thermal sensation states (-3 to +3), based on participant votes collected every 15 minutes via the HoloLens 2, significantly outperforming the PMV baseline (78%, F1 = 0.75, p &lt; 0.01, paired t-test). The mean absolute error (MAE) between predicted and reported sensations was 0.18 (SD = 0.05), compared to PMV’s 0.45 (SD = 0.12), reflecting superior personalization. The edge </w:t>
      </w:r>
      <w:r w:rsidRPr="001515D5">
        <w:rPr>
          <w:rFonts w:eastAsia="等线"/>
          <w:sz w:val="20"/>
          <w:lang w:val="en-US" w:eastAsia="zh-CN"/>
        </w:rPr>
        <w:t>layer’s preliminary MobileNetV3 inference yielded 85% accuracy (F1 = 0.84), with precision highest for neutral states (90%), while the cloud layer’s RAG pipeline elevated this by integrating contextual knowledge (e.g., “User voted +1 at 24°C, prefers 22°C”), achieving peak precision for neutral (95%) and slightly warm (+1, 93%) states. Confusion matrix analysis showed 87% true positives for neutral conditions, with minor errors in extremes (±3, 85%) due to fewer samples (n = 50 vs. 800 for neutral). Ablation studies disabling RAG retrieval reduced accuracy to 88% (F1 = 0.87), confirming its 4% contribution (p &lt; 0.05), driven by personalized adjustments (e.g., 10% improvement in +2 predictions with weather context).</w:t>
      </w:r>
    </w:p>
    <w:p w14:paraId="1E18E823" w14:textId="77777777" w:rsidR="001515D5" w:rsidRPr="001515D5" w:rsidRDefault="001515D5" w:rsidP="001515D5">
      <w:pPr>
        <w:pStyle w:val="a0"/>
        <w:ind w:firstLineChars="150" w:firstLine="300"/>
        <w:rPr>
          <w:rFonts w:eastAsia="等线"/>
          <w:sz w:val="20"/>
          <w:lang w:val="en-US" w:eastAsia="zh-CN"/>
        </w:rPr>
      </w:pPr>
      <w:r w:rsidRPr="001515D5">
        <w:rPr>
          <w:rFonts w:eastAsia="等线"/>
          <w:b/>
          <w:bCs/>
          <w:sz w:val="20"/>
          <w:lang w:val="en-US" w:eastAsia="zh-CN"/>
        </w:rPr>
        <w:t>Latency</w:t>
      </w:r>
      <w:r w:rsidRPr="001515D5">
        <w:rPr>
          <w:rFonts w:eastAsia="等线"/>
          <w:sz w:val="20"/>
          <w:lang w:val="en-US" w:eastAsia="zh-CN"/>
        </w:rPr>
        <w:t xml:space="preserve">: End-to-end latency averaged 148 </w:t>
      </w:r>
      <w:proofErr w:type="spellStart"/>
      <w:r w:rsidRPr="001515D5">
        <w:rPr>
          <w:rFonts w:eastAsia="等线"/>
          <w:sz w:val="20"/>
          <w:lang w:val="en-US" w:eastAsia="zh-CN"/>
        </w:rPr>
        <w:t>ms</w:t>
      </w:r>
      <w:proofErr w:type="spellEnd"/>
      <w:r w:rsidRPr="001515D5">
        <w:rPr>
          <w:rFonts w:eastAsia="等线"/>
          <w:sz w:val="20"/>
          <w:lang w:val="en-US" w:eastAsia="zh-CN"/>
        </w:rPr>
        <w:t xml:space="preserve"> (SD = 5 </w:t>
      </w:r>
      <w:proofErr w:type="spellStart"/>
      <w:r w:rsidRPr="001515D5">
        <w:rPr>
          <w:rFonts w:eastAsia="等线"/>
          <w:sz w:val="20"/>
          <w:lang w:val="en-US" w:eastAsia="zh-CN"/>
        </w:rPr>
        <w:t>ms</w:t>
      </w:r>
      <w:proofErr w:type="spellEnd"/>
      <w:r w:rsidRPr="001515D5">
        <w:rPr>
          <w:rFonts w:eastAsia="等线"/>
          <w:sz w:val="20"/>
          <w:lang w:val="en-US" w:eastAsia="zh-CN"/>
        </w:rPr>
        <w:t xml:space="preserve">), meeting the 150 </w:t>
      </w:r>
      <w:proofErr w:type="spellStart"/>
      <w:r w:rsidRPr="001515D5">
        <w:rPr>
          <w:rFonts w:eastAsia="等线"/>
          <w:sz w:val="20"/>
          <w:lang w:val="en-US" w:eastAsia="zh-CN"/>
        </w:rPr>
        <w:t>ms</w:t>
      </w:r>
      <w:proofErr w:type="spellEnd"/>
      <w:r w:rsidRPr="001515D5">
        <w:rPr>
          <w:rFonts w:eastAsia="等线"/>
          <w:sz w:val="20"/>
          <w:lang w:val="en-US" w:eastAsia="zh-CN"/>
        </w:rPr>
        <w:t xml:space="preserve"> real-time target, with breakdowns as follows: edge preprocessing and inference (50 </w:t>
      </w:r>
      <w:proofErr w:type="spellStart"/>
      <w:r w:rsidRPr="001515D5">
        <w:rPr>
          <w:rFonts w:eastAsia="等线"/>
          <w:sz w:val="20"/>
          <w:lang w:val="en-US" w:eastAsia="zh-CN"/>
        </w:rPr>
        <w:t>ms</w:t>
      </w:r>
      <w:proofErr w:type="spellEnd"/>
      <w:r w:rsidRPr="001515D5">
        <w:rPr>
          <w:rFonts w:eastAsia="等线"/>
          <w:sz w:val="20"/>
          <w:lang w:val="en-US" w:eastAsia="zh-CN"/>
        </w:rPr>
        <w:t xml:space="preserve">, SD = 3 </w:t>
      </w:r>
      <w:proofErr w:type="spellStart"/>
      <w:r w:rsidRPr="001515D5">
        <w:rPr>
          <w:rFonts w:eastAsia="等线"/>
          <w:sz w:val="20"/>
          <w:lang w:val="en-US" w:eastAsia="zh-CN"/>
        </w:rPr>
        <w:t>ms</w:t>
      </w:r>
      <w:proofErr w:type="spellEnd"/>
      <w:r w:rsidRPr="001515D5">
        <w:rPr>
          <w:rFonts w:eastAsia="等线"/>
          <w:sz w:val="20"/>
          <w:lang w:val="en-US" w:eastAsia="zh-CN"/>
        </w:rPr>
        <w:t xml:space="preserve">), cloud processing (78 </w:t>
      </w:r>
      <w:proofErr w:type="spellStart"/>
      <w:r w:rsidRPr="001515D5">
        <w:rPr>
          <w:rFonts w:eastAsia="等线"/>
          <w:sz w:val="20"/>
          <w:lang w:val="en-US" w:eastAsia="zh-CN"/>
        </w:rPr>
        <w:t>ms</w:t>
      </w:r>
      <w:proofErr w:type="spellEnd"/>
      <w:r w:rsidRPr="001515D5">
        <w:rPr>
          <w:rFonts w:eastAsia="等线"/>
          <w:sz w:val="20"/>
          <w:lang w:val="en-US" w:eastAsia="zh-CN"/>
        </w:rPr>
        <w:t xml:space="preserve">, SD = 4 </w:t>
      </w:r>
      <w:proofErr w:type="spellStart"/>
      <w:r w:rsidRPr="001515D5">
        <w:rPr>
          <w:rFonts w:eastAsia="等线"/>
          <w:sz w:val="20"/>
          <w:lang w:val="en-US" w:eastAsia="zh-CN"/>
        </w:rPr>
        <w:t>ms</w:t>
      </w:r>
      <w:proofErr w:type="spellEnd"/>
      <w:r w:rsidRPr="001515D5">
        <w:rPr>
          <w:rFonts w:eastAsia="等线"/>
          <w:sz w:val="20"/>
          <w:lang w:val="en-US" w:eastAsia="zh-CN"/>
        </w:rPr>
        <w:t xml:space="preserve">, Transformer: 60 </w:t>
      </w:r>
      <w:proofErr w:type="spellStart"/>
      <w:r w:rsidRPr="001515D5">
        <w:rPr>
          <w:rFonts w:eastAsia="等线"/>
          <w:sz w:val="20"/>
          <w:lang w:val="en-US" w:eastAsia="zh-CN"/>
        </w:rPr>
        <w:t>ms</w:t>
      </w:r>
      <w:proofErr w:type="spellEnd"/>
      <w:r w:rsidRPr="001515D5">
        <w:rPr>
          <w:rFonts w:eastAsia="等线"/>
          <w:sz w:val="20"/>
          <w:lang w:val="en-US" w:eastAsia="zh-CN"/>
        </w:rPr>
        <w:t xml:space="preserve">, RAG: 80 </w:t>
      </w:r>
      <w:proofErr w:type="spellStart"/>
      <w:r w:rsidRPr="001515D5">
        <w:rPr>
          <w:rFonts w:eastAsia="等线"/>
          <w:sz w:val="20"/>
          <w:lang w:val="en-US" w:eastAsia="zh-CN"/>
        </w:rPr>
        <w:t>ms</w:t>
      </w:r>
      <w:proofErr w:type="spellEnd"/>
      <w:r w:rsidRPr="001515D5">
        <w:rPr>
          <w:rFonts w:eastAsia="等线"/>
          <w:sz w:val="20"/>
          <w:lang w:val="en-US" w:eastAsia="zh-CN"/>
        </w:rPr>
        <w:t xml:space="preserve"> overlapped, optimization: 10 </w:t>
      </w:r>
      <w:proofErr w:type="spellStart"/>
      <w:r w:rsidRPr="001515D5">
        <w:rPr>
          <w:rFonts w:eastAsia="等线"/>
          <w:sz w:val="20"/>
          <w:lang w:val="en-US" w:eastAsia="zh-CN"/>
        </w:rPr>
        <w:t>ms</w:t>
      </w:r>
      <w:proofErr w:type="spellEnd"/>
      <w:r w:rsidRPr="001515D5">
        <w:rPr>
          <w:rFonts w:eastAsia="等线"/>
          <w:sz w:val="20"/>
          <w:lang w:val="en-US" w:eastAsia="zh-CN"/>
        </w:rPr>
        <w:t xml:space="preserve">), and AR visualization and feedback (20 </w:t>
      </w:r>
      <w:proofErr w:type="spellStart"/>
      <w:r w:rsidRPr="001515D5">
        <w:rPr>
          <w:rFonts w:eastAsia="等线"/>
          <w:sz w:val="20"/>
          <w:lang w:val="en-US" w:eastAsia="zh-CN"/>
        </w:rPr>
        <w:t>ms</w:t>
      </w:r>
      <w:proofErr w:type="spellEnd"/>
      <w:r w:rsidRPr="001515D5">
        <w:rPr>
          <w:rFonts w:eastAsia="等线"/>
          <w:sz w:val="20"/>
          <w:lang w:val="en-US" w:eastAsia="zh-CN"/>
        </w:rPr>
        <w:t xml:space="preserve">, SD = 2 </w:t>
      </w:r>
      <w:proofErr w:type="spellStart"/>
      <w:r w:rsidRPr="001515D5">
        <w:rPr>
          <w:rFonts w:eastAsia="等线"/>
          <w:sz w:val="20"/>
          <w:lang w:val="en-US" w:eastAsia="zh-CN"/>
        </w:rPr>
        <w:t>ms</w:t>
      </w:r>
      <w:proofErr w:type="spellEnd"/>
      <w:r w:rsidRPr="001515D5">
        <w:rPr>
          <w:rFonts w:eastAsia="等线"/>
          <w:sz w:val="20"/>
          <w:lang w:val="en-US" w:eastAsia="zh-CN"/>
        </w:rPr>
        <w:t xml:space="preserve">). Transmission latencies—HTTPS (edge-to-cloud: 10 </w:t>
      </w:r>
      <w:proofErr w:type="spellStart"/>
      <w:r w:rsidRPr="001515D5">
        <w:rPr>
          <w:rFonts w:eastAsia="等线"/>
          <w:sz w:val="20"/>
          <w:lang w:val="en-US" w:eastAsia="zh-CN"/>
        </w:rPr>
        <w:t>ms</w:t>
      </w:r>
      <w:proofErr w:type="spellEnd"/>
      <w:r w:rsidRPr="001515D5">
        <w:rPr>
          <w:rFonts w:eastAsia="等线"/>
          <w:sz w:val="20"/>
          <w:lang w:val="en-US" w:eastAsia="zh-CN"/>
        </w:rPr>
        <w:t xml:space="preserve">, SD = 1 </w:t>
      </w:r>
      <w:proofErr w:type="spellStart"/>
      <w:r w:rsidRPr="001515D5">
        <w:rPr>
          <w:rFonts w:eastAsia="等线"/>
          <w:sz w:val="20"/>
          <w:lang w:val="en-US" w:eastAsia="zh-CN"/>
        </w:rPr>
        <w:t>ms</w:t>
      </w:r>
      <w:proofErr w:type="spellEnd"/>
      <w:r w:rsidRPr="001515D5">
        <w:rPr>
          <w:rFonts w:eastAsia="等线"/>
          <w:sz w:val="20"/>
          <w:lang w:val="en-US" w:eastAsia="zh-CN"/>
        </w:rPr>
        <w:t xml:space="preserve">) and MQTT (cloud-to-AR: 10 </w:t>
      </w:r>
      <w:proofErr w:type="spellStart"/>
      <w:r w:rsidRPr="001515D5">
        <w:rPr>
          <w:rFonts w:eastAsia="等线"/>
          <w:sz w:val="20"/>
          <w:lang w:val="en-US" w:eastAsia="zh-CN"/>
        </w:rPr>
        <w:t>ms</w:t>
      </w:r>
      <w:proofErr w:type="spellEnd"/>
      <w:r w:rsidRPr="001515D5">
        <w:rPr>
          <w:rFonts w:eastAsia="等线"/>
          <w:sz w:val="20"/>
          <w:lang w:val="en-US" w:eastAsia="zh-CN"/>
        </w:rPr>
        <w:t xml:space="preserve">, SD = 1 </w:t>
      </w:r>
      <w:proofErr w:type="spellStart"/>
      <w:r w:rsidRPr="001515D5">
        <w:rPr>
          <w:rFonts w:eastAsia="等线"/>
          <w:sz w:val="20"/>
          <w:lang w:val="en-US" w:eastAsia="zh-CN"/>
        </w:rPr>
        <w:t>ms</w:t>
      </w:r>
      <w:proofErr w:type="spellEnd"/>
      <w:r w:rsidRPr="001515D5">
        <w:rPr>
          <w:rFonts w:eastAsia="等线"/>
          <w:sz w:val="20"/>
          <w:lang w:val="en-US" w:eastAsia="zh-CN"/>
        </w:rPr>
        <w:t>)—ensured seamless data flow, with zero packet loss over RS485/Wi-Fi across 2,160 cycles. The portable AC executed commands within 5 seconds (mechanical delay), sufficient for 5-second update intervals, though finer responsiveness was limited by its fixed airflow settings.</w:t>
      </w:r>
    </w:p>
    <w:p w14:paraId="3C8E3672" w14:textId="77777777" w:rsidR="001515D5" w:rsidRPr="001515D5" w:rsidRDefault="001515D5" w:rsidP="001515D5">
      <w:pPr>
        <w:pStyle w:val="a0"/>
        <w:ind w:firstLineChars="150" w:firstLine="300"/>
        <w:rPr>
          <w:rFonts w:eastAsia="等线"/>
          <w:sz w:val="20"/>
          <w:lang w:val="en-US" w:eastAsia="zh-CN"/>
        </w:rPr>
      </w:pPr>
      <w:r w:rsidRPr="001515D5">
        <w:rPr>
          <w:rFonts w:eastAsia="等线"/>
          <w:b/>
          <w:bCs/>
          <w:sz w:val="20"/>
          <w:lang w:val="en-US" w:eastAsia="zh-CN"/>
        </w:rPr>
        <w:t>Energy Efficiency</w:t>
      </w:r>
      <w:r w:rsidRPr="001515D5">
        <w:rPr>
          <w:rFonts w:eastAsia="等线"/>
          <w:sz w:val="20"/>
          <w:lang w:val="en-US" w:eastAsia="zh-CN"/>
        </w:rPr>
        <w:t>: Total system power consumption averaged 12 W (SD = 1 W), a 20% reduction from a centralized baseline (15 W), measured via embedded meters. The edge layer consumed 8 W per station (32 W total for four stations), the cloud averaged 2 W (AWS EC2 duty cycle), and the AR layer (HoloLens 2) used 2 W, aligning with IoT efficiency goals. The cloud’s quadratic programming optimization reduced HVAC power by 15% (e.g., 3.4 W vs. 4 W for static settings), validated against 500 command cycles, demonstrating energy savings without compromising comfort.</w:t>
      </w:r>
    </w:p>
    <w:p w14:paraId="36CB81F1" w14:textId="081F5DA5" w:rsidR="001515D5" w:rsidRPr="001515D5" w:rsidRDefault="001515D5" w:rsidP="00207072">
      <w:pPr>
        <w:pStyle w:val="a0"/>
        <w:ind w:firstLineChars="200" w:firstLine="400"/>
        <w:rPr>
          <w:rFonts w:eastAsia="等线"/>
          <w:sz w:val="20"/>
          <w:lang w:val="en-US" w:eastAsia="zh-CN"/>
        </w:rPr>
      </w:pPr>
      <w:r w:rsidRPr="001515D5">
        <w:rPr>
          <w:rFonts w:eastAsia="等线"/>
          <w:b/>
          <w:bCs/>
          <w:sz w:val="20"/>
          <w:lang w:val="en-US" w:eastAsia="zh-CN"/>
        </w:rPr>
        <w:t>User Satisfaction</w:t>
      </w:r>
      <w:r w:rsidRPr="001515D5">
        <w:rPr>
          <w:rFonts w:eastAsia="等线"/>
          <w:sz w:val="20"/>
          <w:lang w:val="en-US" w:eastAsia="zh-CN"/>
        </w:rPr>
        <w:t xml:space="preserve">: Post-session surveys yielded a mean Likert score of 4.8 (SD = 0.3, 1 = dissatisfied, 5 = satisfied) and an NPS of </w:t>
      </w:r>
      <w:r w:rsidR="00207072">
        <w:rPr>
          <w:rFonts w:eastAsia="等线" w:hint="eastAsia"/>
          <w:sz w:val="20"/>
          <w:lang w:val="en-US" w:eastAsia="zh-CN"/>
        </w:rPr>
        <w:t xml:space="preserve">90 (NPS= Promoters(%) </w:t>
      </w:r>
      <w:r w:rsidR="00207072">
        <w:rPr>
          <w:rFonts w:eastAsia="等线"/>
          <w:sz w:val="20"/>
          <w:lang w:val="en-US" w:eastAsia="zh-CN"/>
        </w:rPr>
        <w:t>–</w:t>
      </w:r>
      <w:r w:rsidR="00207072">
        <w:rPr>
          <w:rFonts w:eastAsia="等线" w:hint="eastAsia"/>
          <w:sz w:val="20"/>
          <w:lang w:val="en-US" w:eastAsia="zh-CN"/>
        </w:rPr>
        <w:t xml:space="preserve"> </w:t>
      </w:r>
      <w:r w:rsidR="00207072" w:rsidRPr="00207072">
        <w:rPr>
          <w:rFonts w:eastAsia="等线"/>
          <w:sz w:val="20"/>
          <w:lang w:val="en-US" w:eastAsia="zh-CN"/>
        </w:rPr>
        <w:t>Detractors</w:t>
      </w:r>
      <w:r w:rsidR="00207072">
        <w:rPr>
          <w:rFonts w:eastAsia="等线" w:hint="eastAsia"/>
          <w:sz w:val="20"/>
          <w:lang w:val="en-US" w:eastAsia="zh-CN"/>
        </w:rPr>
        <w:t>(%))</w:t>
      </w:r>
      <w:r w:rsidRPr="001515D5">
        <w:rPr>
          <w:rFonts w:eastAsia="等线"/>
          <w:sz w:val="20"/>
          <w:lang w:val="en-US" w:eastAsia="zh-CN"/>
        </w:rPr>
        <w:t xml:space="preserve">, with 85% of participants citing “intuitive adjustments” and “personalized comfort” as strengths. Qualitative feedback highlighted the AR heatmap’s clarity (e.g., “I could see where it got warmer”) and gesture control’s ease (95% success rate over 300 adjustments), while 10% noted airflow variability limitations. The system’s Q-learning refined predictions, increasing neutral votes by 15% after 30 interactions per participant (p &lt; 0.05), reflecting </w:t>
      </w:r>
      <w:r w:rsidRPr="001515D5">
        <w:rPr>
          <w:rFonts w:eastAsia="等线"/>
          <w:sz w:val="20"/>
          <w:lang w:val="en-US" w:eastAsia="zh-CN"/>
        </w:rPr>
        <w:lastRenderedPageBreak/>
        <w:t>AR feedback’s role in enhancing RAG personalization.</w:t>
      </w:r>
    </w:p>
    <w:p w14:paraId="3844BBD0" w14:textId="77777777" w:rsidR="001515D5" w:rsidRPr="001515D5" w:rsidRDefault="001515D5" w:rsidP="001515D5">
      <w:pPr>
        <w:pStyle w:val="a0"/>
        <w:ind w:firstLineChars="150" w:firstLine="300"/>
        <w:rPr>
          <w:rFonts w:eastAsia="等线"/>
          <w:sz w:val="20"/>
          <w:lang w:val="en-US" w:eastAsia="zh-CN"/>
        </w:rPr>
      </w:pPr>
      <w:r w:rsidRPr="001515D5">
        <w:rPr>
          <w:rFonts w:eastAsia="等线"/>
          <w:b/>
          <w:bCs/>
          <w:sz w:val="20"/>
          <w:lang w:val="en-US" w:eastAsia="zh-CN"/>
        </w:rPr>
        <w:t>Validation Insights</w:t>
      </w:r>
      <w:r w:rsidRPr="001515D5">
        <w:rPr>
          <w:rFonts w:eastAsia="等线"/>
          <w:sz w:val="20"/>
          <w:lang w:val="en-US" w:eastAsia="zh-CN"/>
        </w:rPr>
        <w:t xml:space="preserve">: Compared to PMV, the system’s 92% accuracy and 0.18 MAE underscored RAG’s ability to adapt to individual preferences (e.g., 22°C for Participant A vs. 25°C for Participant B), validated by vote alignment (e.g., 90% of +1 votes triggered 1°C reductions). Latency (148 </w:t>
      </w:r>
      <w:proofErr w:type="spellStart"/>
      <w:r w:rsidRPr="001515D5">
        <w:rPr>
          <w:rFonts w:eastAsia="等线"/>
          <w:sz w:val="20"/>
          <w:lang w:val="en-US" w:eastAsia="zh-CN"/>
        </w:rPr>
        <w:t>ms</w:t>
      </w:r>
      <w:proofErr w:type="spellEnd"/>
      <w:r w:rsidRPr="001515D5">
        <w:rPr>
          <w:rFonts w:eastAsia="等线"/>
          <w:sz w:val="20"/>
          <w:lang w:val="en-US" w:eastAsia="zh-CN"/>
        </w:rPr>
        <w:t>) and energy (12 W) confirmed real-time applicability and efficiency, while NPS (90) affirmed user acceptance. Ablation without RAG retrieval or AR feedback dropped accuracy to 88% and 89%, respectively, highlighting their combined impact. These results validate the system’s superiority over static models, with the cloud’s RAG framework as the linchpin, supported by edge resilience and AR interactivity, demonstrating its potential for scalable, human-centric thermal comfort management.</w:t>
      </w:r>
    </w:p>
    <w:p w14:paraId="3E1AE9D2" w14:textId="77777777" w:rsidR="00CC4CD8" w:rsidRPr="001515D5" w:rsidRDefault="00CC4CD8" w:rsidP="001515D5">
      <w:pPr>
        <w:pStyle w:val="a0"/>
        <w:rPr>
          <w:rFonts w:eastAsia="等线"/>
          <w:sz w:val="20"/>
          <w:lang w:val="en-US" w:eastAsia="zh-CN"/>
        </w:rPr>
      </w:pPr>
    </w:p>
    <w:p w14:paraId="037E0132" w14:textId="69E2AD07" w:rsidR="00CC4CD8" w:rsidRDefault="00CC4CD8" w:rsidP="00CC4CD8">
      <w:pPr>
        <w:pStyle w:val="1"/>
        <w:rPr>
          <w:rFonts w:eastAsia="等线"/>
          <w:lang w:eastAsia="zh-CN"/>
        </w:rPr>
      </w:pPr>
      <w:r>
        <w:rPr>
          <w:rFonts w:eastAsia="等线" w:hint="eastAsia"/>
          <w:lang w:eastAsia="zh-CN"/>
        </w:rPr>
        <w:t>4. DISCUSSION</w:t>
      </w:r>
    </w:p>
    <w:p w14:paraId="00C1D79B" w14:textId="088CAF79" w:rsidR="00AC2699" w:rsidRPr="001649C8" w:rsidRDefault="00AC2699" w:rsidP="00AC2699">
      <w:pPr>
        <w:pStyle w:val="a0"/>
        <w:ind w:firstLineChars="150" w:firstLine="300"/>
        <w:rPr>
          <w:rFonts w:eastAsia="等线"/>
          <w:sz w:val="20"/>
          <w:lang w:val="en-US" w:eastAsia="zh-CN"/>
        </w:rPr>
      </w:pPr>
      <w:r w:rsidRPr="001649C8">
        <w:rPr>
          <w:rFonts w:eastAsia="等线"/>
          <w:sz w:val="20"/>
          <w:lang w:val="en-US" w:eastAsia="zh-CN"/>
        </w:rPr>
        <w:t xml:space="preserve">The experimental results affirm the efficacy of the proposed multimodal thermal comfort perception system, achieving a 92% accuracy (F1 = 0.91) in predicting personalized thermal comfort, a 148 </w:t>
      </w:r>
      <w:proofErr w:type="spellStart"/>
      <w:r w:rsidRPr="001649C8">
        <w:rPr>
          <w:rFonts w:eastAsia="等线"/>
          <w:sz w:val="20"/>
          <w:lang w:val="en-US" w:eastAsia="zh-CN"/>
        </w:rPr>
        <w:t>ms</w:t>
      </w:r>
      <w:proofErr w:type="spellEnd"/>
      <w:r w:rsidRPr="001649C8">
        <w:rPr>
          <w:rFonts w:eastAsia="等线"/>
          <w:sz w:val="20"/>
          <w:lang w:val="en-US" w:eastAsia="zh-CN"/>
        </w:rPr>
        <w:t xml:space="preserve"> end-to-end latency, and an NPS of 90 across 90 hours with 30 participants, surpassing the static PMV benchmark (78%, F1 = 0.75). Central to this success is the cloud layer’s RAG framework, which elevates the edge’s preliminary 85% accuracy by integrating real-time multimodal data (e.g., temperature, HRV, CLO) with contextual knowledge (ASHRAE standards, weather, user votes), delivering tailored recommendations (e.g., “23°C, 0.3 m/s”) with an MAE of 0.18. This personalization addresses a critical gap in traditional thermal comfort models, which apply uniform thresholds (e.g., PMV’s 23–25°C) irrespective of individual variability, as evidenced by the system’s adaptation to diverse preferences (e.g., 22°C vs. 25°C across participants). The ablation study’s 4% accuracy drop (to 88%) without RAG retrieval underscores its role in enhancing precision, aligning with emerging trends in intelligent buildings</w:t>
      </w:r>
      <w:r w:rsidR="004863E3">
        <w:rPr>
          <w:rFonts w:eastAsia="等线" w:hint="eastAsia"/>
          <w:sz w:val="20"/>
          <w:lang w:val="en-US" w:eastAsia="zh-CN"/>
        </w:rPr>
        <w:t xml:space="preserve"> </w:t>
      </w:r>
      <w:r w:rsidRPr="001649C8">
        <w:rPr>
          <w:rFonts w:eastAsia="等线"/>
          <w:sz w:val="20"/>
          <w:lang w:val="en-US" w:eastAsia="zh-CN"/>
        </w:rPr>
        <w:t>that prioritize human-centric design over generic standards.</w:t>
      </w:r>
    </w:p>
    <w:p w14:paraId="3360FD84" w14:textId="2F85A5C1" w:rsidR="00AC2699" w:rsidRPr="001649C8" w:rsidRDefault="00AC2699" w:rsidP="00AC2699">
      <w:pPr>
        <w:pStyle w:val="a0"/>
        <w:ind w:firstLineChars="150" w:firstLine="300"/>
        <w:rPr>
          <w:rFonts w:eastAsia="等线"/>
          <w:sz w:val="20"/>
          <w:lang w:val="en-US" w:eastAsia="zh-CN"/>
        </w:rPr>
      </w:pPr>
      <w:r w:rsidRPr="001649C8">
        <w:rPr>
          <w:rFonts w:eastAsia="等线"/>
          <w:sz w:val="20"/>
          <w:lang w:val="en-US" w:eastAsia="zh-CN"/>
        </w:rPr>
        <w:t xml:space="preserve">The edge layer’s contribution—privacy-preserving behavioral analysis (Mask R-CNN, 94% posture accuracy) and resilient inference (MobileNetV3 + heuristics)—lays a robust foundation, reducing cloud preprocessing by 80% and ensuring system functionality during connectivity disruptions. Meanwhile, the AR layer’s real-time visualization (20 </w:t>
      </w:r>
      <w:proofErr w:type="spellStart"/>
      <w:r w:rsidRPr="001649C8">
        <w:rPr>
          <w:rFonts w:eastAsia="等线"/>
          <w:sz w:val="20"/>
          <w:lang w:val="en-US" w:eastAsia="zh-CN"/>
        </w:rPr>
        <w:t>ms</w:t>
      </w:r>
      <w:proofErr w:type="spellEnd"/>
      <w:r w:rsidRPr="001649C8">
        <w:rPr>
          <w:rFonts w:eastAsia="等线"/>
          <w:sz w:val="20"/>
          <w:lang w:val="en-US" w:eastAsia="zh-CN"/>
        </w:rPr>
        <w:t xml:space="preserve">) and gesture-based feedback (95% success) via the HoloLens 2 not only enhance user engagement but also feed critical subjective data (votes, adjustments) into RAG’s knowledge base, with Q-learning improving </w:t>
      </w:r>
      <w:r w:rsidRPr="001649C8">
        <w:rPr>
          <w:rFonts w:eastAsia="等线"/>
          <w:sz w:val="20"/>
          <w:lang w:val="en-US" w:eastAsia="zh-CN"/>
        </w:rPr>
        <w:t xml:space="preserve">neutral vote rates by 15%. This edge-cloud-AR synergy achieves a latency of 148 </w:t>
      </w:r>
      <w:proofErr w:type="spellStart"/>
      <w:r w:rsidRPr="001649C8">
        <w:rPr>
          <w:rFonts w:eastAsia="等线"/>
          <w:sz w:val="20"/>
          <w:lang w:val="en-US" w:eastAsia="zh-CN"/>
        </w:rPr>
        <w:t>ms</w:t>
      </w:r>
      <w:proofErr w:type="spellEnd"/>
      <w:r w:rsidRPr="001649C8">
        <w:rPr>
          <w:rFonts w:eastAsia="等线"/>
          <w:sz w:val="20"/>
          <w:lang w:val="en-US" w:eastAsia="zh-CN"/>
        </w:rPr>
        <w:t xml:space="preserve"> and energy use of 12 W, meeting real-time and efficiency goals, though the portable AC’s limited airflow range (0.2–0.4 m/s) constrained finer environmental control, a trade-off for simplicity over a full HVAC unit. Compared to centralized IoT systems, which often exceed 200 </w:t>
      </w:r>
      <w:proofErr w:type="spellStart"/>
      <w:r w:rsidRPr="001649C8">
        <w:rPr>
          <w:rFonts w:eastAsia="等线"/>
          <w:sz w:val="20"/>
          <w:lang w:val="en-US" w:eastAsia="zh-CN"/>
        </w:rPr>
        <w:t>ms</w:t>
      </w:r>
      <w:proofErr w:type="spellEnd"/>
      <w:r w:rsidRPr="001649C8">
        <w:rPr>
          <w:rFonts w:eastAsia="等线"/>
          <w:sz w:val="20"/>
          <w:lang w:val="en-US" w:eastAsia="zh-CN"/>
        </w:rPr>
        <w:t xml:space="preserve"> and 20 W, this distributed architecture demonstrates scalability and practicality for small spaces (10 m²), validated by an NPS of 90 reflecting high user acceptance.</w:t>
      </w:r>
    </w:p>
    <w:p w14:paraId="37F2BA0F" w14:textId="5000C594" w:rsidR="001355A0" w:rsidRPr="001649C8" w:rsidRDefault="00AC2699" w:rsidP="00AC2699">
      <w:pPr>
        <w:pStyle w:val="a0"/>
        <w:ind w:firstLineChars="150" w:firstLine="300"/>
        <w:rPr>
          <w:rFonts w:eastAsia="等线"/>
          <w:sz w:val="20"/>
          <w:lang w:val="en-US" w:eastAsia="zh-CN"/>
        </w:rPr>
      </w:pPr>
      <w:r w:rsidRPr="001649C8">
        <w:rPr>
          <w:rFonts w:eastAsia="等线"/>
          <w:sz w:val="20"/>
          <w:lang w:val="en-US" w:eastAsia="zh-CN"/>
        </w:rPr>
        <w:t>Limitations, however, warrant consideration. The 90-hour experiment, while sufficient for initial validation (2,160 samples), may not capture long-term adaptation, and the 30-participant sample, though diverse in age and gender, lacks broader demographic representation (e.g., elderly or children). The portable AC’s coarse humidity (40–60%) and airflow control restricted testing across the full specified range (40–70% RH, 0.1–0.5 m/s), potentially underestimating RAG’s adaptability in more dynamic conditions. Furthermore, the system’s reliance on wearable sensors (</w:t>
      </w:r>
      <w:proofErr w:type="spellStart"/>
      <w:r w:rsidRPr="001649C8">
        <w:rPr>
          <w:rFonts w:eastAsia="等线"/>
          <w:sz w:val="20"/>
          <w:lang w:val="en-US" w:eastAsia="zh-CN"/>
        </w:rPr>
        <w:t>Empatica</w:t>
      </w:r>
      <w:proofErr w:type="spellEnd"/>
      <w:r w:rsidRPr="001649C8">
        <w:rPr>
          <w:rFonts w:eastAsia="等线"/>
          <w:sz w:val="20"/>
          <w:lang w:val="en-US" w:eastAsia="zh-CN"/>
        </w:rPr>
        <w:t xml:space="preserve"> E4) and AR hardware (HoloLens 2) introduces deployment costs and user burden (e.g., wearing devices), which may limit scalability to larger populations or resource-constrained settings. Future work could address these by integrating passive sensing (e.g., thermal cameras), expanding the knowledge base (e.g., occupant history over years), and testing in varied climates (e.g., humid tropics), potentially leveraging sparse Transformers to reduce cloud latency below 78 </w:t>
      </w:r>
      <w:proofErr w:type="spellStart"/>
      <w:r w:rsidRPr="001649C8">
        <w:rPr>
          <w:rFonts w:eastAsia="等线"/>
          <w:sz w:val="20"/>
          <w:lang w:val="en-US" w:eastAsia="zh-CN"/>
        </w:rPr>
        <w:t>ms.</w:t>
      </w:r>
      <w:proofErr w:type="spellEnd"/>
      <w:r w:rsidRPr="001649C8">
        <w:rPr>
          <w:rFonts w:eastAsia="等线"/>
          <w:sz w:val="20"/>
          <w:lang w:val="en-US" w:eastAsia="zh-CN"/>
        </w:rPr>
        <w:t xml:space="preserve"> Nevertheless, the system’s RAG-driven personalization marks a significant advancement, offering a scalable framework for adaptive thermal comfort beyond static paradigms.</w:t>
      </w:r>
    </w:p>
    <w:p w14:paraId="144146C8" w14:textId="77777777" w:rsidR="001355A0" w:rsidRDefault="001355A0" w:rsidP="00CC4CD8">
      <w:pPr>
        <w:pStyle w:val="a0"/>
        <w:rPr>
          <w:rFonts w:eastAsia="等线"/>
          <w:lang w:eastAsia="zh-CN"/>
        </w:rPr>
      </w:pPr>
    </w:p>
    <w:p w14:paraId="4AEABF3F" w14:textId="2100E862" w:rsidR="00CC4CD8" w:rsidRDefault="00CC4CD8" w:rsidP="00CC4CD8">
      <w:pPr>
        <w:pStyle w:val="1"/>
        <w:rPr>
          <w:rFonts w:eastAsia="等线"/>
          <w:lang w:eastAsia="zh-CN"/>
        </w:rPr>
      </w:pPr>
      <w:r>
        <w:rPr>
          <w:rFonts w:eastAsia="等线" w:hint="eastAsia"/>
          <w:lang w:eastAsia="zh-CN"/>
        </w:rPr>
        <w:t>5. CONCLUSION</w:t>
      </w:r>
    </w:p>
    <w:p w14:paraId="064E9AFC" w14:textId="77777777" w:rsidR="00AC2699" w:rsidRPr="001649C8" w:rsidRDefault="00AC2699" w:rsidP="00AC2699">
      <w:pPr>
        <w:ind w:firstLineChars="150" w:firstLine="270"/>
        <w:jc w:val="both"/>
        <w:rPr>
          <w:rFonts w:eastAsia="等线" w:cs="Arial"/>
          <w:b w:val="0"/>
          <w:sz w:val="20"/>
          <w:szCs w:val="20"/>
          <w:lang w:val="en-US" w:eastAsia="zh-CN"/>
        </w:rPr>
      </w:pPr>
      <w:r w:rsidRPr="00AC2699">
        <w:rPr>
          <w:rFonts w:eastAsia="等线" w:cs="Arial"/>
          <w:b w:val="0"/>
          <w:sz w:val="18"/>
          <w:lang w:val="en-US" w:eastAsia="zh-CN"/>
        </w:rPr>
        <w:t>T</w:t>
      </w:r>
      <w:r w:rsidRPr="001649C8">
        <w:rPr>
          <w:rFonts w:eastAsia="等线" w:cs="Arial"/>
          <w:b w:val="0"/>
          <w:sz w:val="20"/>
          <w:szCs w:val="20"/>
          <w:lang w:val="en-US" w:eastAsia="zh-CN"/>
        </w:rPr>
        <w:t xml:space="preserve">his study presents a novel multimodal thermal comfort perception system that integrates edge preprocessing, cloud-based RAG inference, and AR interaction to achieve personalized thermal comfort with 92% accuracy, 148 </w:t>
      </w:r>
      <w:proofErr w:type="spellStart"/>
      <w:r w:rsidRPr="001649C8">
        <w:rPr>
          <w:rFonts w:eastAsia="等线" w:cs="Arial"/>
          <w:b w:val="0"/>
          <w:sz w:val="20"/>
          <w:szCs w:val="20"/>
          <w:lang w:val="en-US" w:eastAsia="zh-CN"/>
        </w:rPr>
        <w:t>ms</w:t>
      </w:r>
      <w:proofErr w:type="spellEnd"/>
      <w:r w:rsidRPr="001649C8">
        <w:rPr>
          <w:rFonts w:eastAsia="等线" w:cs="Arial"/>
          <w:b w:val="0"/>
          <w:sz w:val="20"/>
          <w:szCs w:val="20"/>
          <w:lang w:val="en-US" w:eastAsia="zh-CN"/>
        </w:rPr>
        <w:t xml:space="preserve"> latency, and 12 W energy use, validated over 90 hours with 30 participants in a 10 m² space. The cloud layer’s RAG framework stands as the primary innovation, adapting NLP techniques to fuse edge-derived data with contextual knowledge, outperforming the PMV baseline (78%) and edge-only predictions (85%) by delivering individual-specific recommendations (MAE = 0.18). Supported by the edge’s efficient data preparation and the AR’s intuitive feedback, the system demonstrates real-time applicability and high user satisfaction (NPS = 90), redefining thermal comfort management as a dynamic, human-centric process.</w:t>
      </w:r>
    </w:p>
    <w:p w14:paraId="109C697A" w14:textId="77777777" w:rsidR="00AC2699" w:rsidRPr="001649C8" w:rsidRDefault="00AC2699" w:rsidP="00AC2699">
      <w:pPr>
        <w:ind w:firstLineChars="150" w:firstLine="300"/>
        <w:jc w:val="both"/>
        <w:rPr>
          <w:rFonts w:eastAsia="等线" w:cs="Arial"/>
          <w:b w:val="0"/>
          <w:sz w:val="20"/>
          <w:szCs w:val="20"/>
          <w:lang w:val="en-US" w:eastAsia="zh-CN"/>
        </w:rPr>
      </w:pPr>
      <w:r w:rsidRPr="001649C8">
        <w:rPr>
          <w:rFonts w:eastAsia="等线" w:cs="Arial"/>
          <w:b w:val="0"/>
          <w:sz w:val="20"/>
          <w:szCs w:val="20"/>
          <w:lang w:val="en-US" w:eastAsia="zh-CN"/>
        </w:rPr>
        <w:lastRenderedPageBreak/>
        <w:t>While limitations—such as the portable AC’s control range, short experimental duration, and hardware costs—suggest areas for refinement, the results validate the system’s potential as a scalable solution for intelligent buildings. Its distributed architecture and RAG-driven personalization offer a blueprint for future research, with implications for energy-efficient, adaptive environments. Expanding the validation scope (e.g., longer trials, diverse demographics) and optimizing hardware (e.g., passive sensors) could further enhance its practical impact, positioning this work as a foundational step toward next-generation thermal comfort systems.</w:t>
      </w:r>
    </w:p>
    <w:p w14:paraId="34985221" w14:textId="77777777" w:rsidR="00432503" w:rsidRDefault="00432503" w:rsidP="00432503">
      <w:pPr>
        <w:pStyle w:val="a0"/>
        <w:rPr>
          <w:rFonts w:eastAsia="等线"/>
          <w:lang w:val="en-US" w:eastAsia="zh-CN"/>
        </w:rPr>
      </w:pPr>
    </w:p>
    <w:p w14:paraId="125D2C52" w14:textId="10FBFC56" w:rsidR="00432503" w:rsidRDefault="00432503" w:rsidP="00432503">
      <w:pPr>
        <w:pStyle w:val="1"/>
        <w:rPr>
          <w:rFonts w:eastAsia="等线"/>
          <w:lang w:eastAsia="zh-CN"/>
        </w:rPr>
      </w:pPr>
      <w:r>
        <w:rPr>
          <w:rFonts w:eastAsia="等线" w:hint="eastAsia"/>
          <w:lang w:eastAsia="zh-CN"/>
        </w:rPr>
        <w:t>6. REFERENCE</w:t>
      </w:r>
    </w:p>
    <w:p w14:paraId="32C9BE15" w14:textId="77777777" w:rsidR="004C725E" w:rsidRPr="004C725E" w:rsidRDefault="004C725E" w:rsidP="004C725E">
      <w:pPr>
        <w:pStyle w:val="af0"/>
        <w:jc w:val="both"/>
        <w:rPr>
          <w:rFonts w:cs="Arial"/>
          <w:b w:val="0"/>
          <w:sz w:val="20"/>
        </w:rPr>
      </w:pPr>
      <w:r w:rsidRPr="004C725E">
        <w:rPr>
          <w:rFonts w:eastAsia="等线" w:cs="Arial"/>
          <w:b w:val="0"/>
          <w:sz w:val="20"/>
          <w:szCs w:val="20"/>
          <w:lang w:val="en-US" w:eastAsia="zh-CN"/>
        </w:rPr>
        <w:fldChar w:fldCharType="begin"/>
      </w:r>
      <w:r w:rsidRPr="004C725E">
        <w:rPr>
          <w:rFonts w:eastAsia="等线" w:cs="Arial"/>
          <w:b w:val="0"/>
          <w:sz w:val="20"/>
          <w:szCs w:val="20"/>
          <w:lang w:val="en-US" w:eastAsia="zh-CN"/>
        </w:rPr>
        <w:instrText xml:space="preserve"> ADDIN ZOTERO_BIBL {"uncited":[],"omitted":[],"custom":[]} CSL_BIBLIOGRAPHY </w:instrText>
      </w:r>
      <w:r w:rsidRPr="004C725E">
        <w:rPr>
          <w:rFonts w:eastAsia="等线" w:cs="Arial"/>
          <w:b w:val="0"/>
          <w:sz w:val="20"/>
          <w:szCs w:val="20"/>
          <w:lang w:val="en-US" w:eastAsia="zh-CN"/>
        </w:rPr>
        <w:fldChar w:fldCharType="separate"/>
      </w:r>
      <w:r w:rsidRPr="004C725E">
        <w:rPr>
          <w:rFonts w:cs="Arial"/>
          <w:b w:val="0"/>
          <w:sz w:val="20"/>
        </w:rPr>
        <w:t xml:space="preserve">Abdelrahman, M. M., &amp; Miller, C. (2022). Targeting occupant feedback using digital twins: Adaptive spatial–temporal thermal preference sampling to optimize personal comfort models. </w:t>
      </w:r>
      <w:r w:rsidRPr="004C725E">
        <w:rPr>
          <w:rFonts w:cs="Arial"/>
          <w:b w:val="0"/>
          <w:i/>
          <w:iCs/>
          <w:sz w:val="20"/>
        </w:rPr>
        <w:t>Building and Environment</w:t>
      </w:r>
      <w:r w:rsidRPr="004C725E">
        <w:rPr>
          <w:rFonts w:cs="Arial"/>
          <w:b w:val="0"/>
          <w:sz w:val="20"/>
        </w:rPr>
        <w:t xml:space="preserve">, </w:t>
      </w:r>
      <w:r w:rsidRPr="004C725E">
        <w:rPr>
          <w:rFonts w:cs="Arial"/>
          <w:b w:val="0"/>
          <w:i/>
          <w:iCs/>
          <w:sz w:val="20"/>
        </w:rPr>
        <w:t>218</w:t>
      </w:r>
      <w:r w:rsidRPr="004C725E">
        <w:rPr>
          <w:rFonts w:cs="Arial"/>
          <w:b w:val="0"/>
          <w:sz w:val="20"/>
        </w:rPr>
        <w:t>, 109090. https://doi.org/10.1016/j.buildenv.2022.109090</w:t>
      </w:r>
    </w:p>
    <w:p w14:paraId="008E0A58" w14:textId="77777777" w:rsidR="004C725E" w:rsidRPr="004C725E" w:rsidRDefault="004C725E" w:rsidP="004C725E">
      <w:pPr>
        <w:pStyle w:val="af0"/>
        <w:jc w:val="both"/>
        <w:rPr>
          <w:rFonts w:cs="Arial"/>
          <w:b w:val="0"/>
          <w:sz w:val="20"/>
        </w:rPr>
      </w:pPr>
      <w:r w:rsidRPr="004C725E">
        <w:rPr>
          <w:rFonts w:cs="Arial"/>
          <w:b w:val="0"/>
          <w:sz w:val="20"/>
        </w:rPr>
        <w:t xml:space="preserve">ASHRAE. (2021). </w:t>
      </w:r>
      <w:r w:rsidRPr="004C725E">
        <w:rPr>
          <w:rFonts w:cs="Arial"/>
          <w:b w:val="0"/>
          <w:i/>
          <w:iCs/>
          <w:sz w:val="20"/>
        </w:rPr>
        <w:t>ASHRAE Standard 170–2021: Ventilation of Health Care Facilities</w:t>
      </w:r>
      <w:r w:rsidRPr="004C725E">
        <w:rPr>
          <w:rFonts w:cs="Arial"/>
          <w:b w:val="0"/>
          <w:sz w:val="20"/>
        </w:rPr>
        <w:t>.</w:t>
      </w:r>
    </w:p>
    <w:p w14:paraId="642F75DC" w14:textId="77777777" w:rsidR="004C725E" w:rsidRPr="004C725E" w:rsidRDefault="004C725E" w:rsidP="004C725E">
      <w:pPr>
        <w:pStyle w:val="af0"/>
        <w:jc w:val="both"/>
        <w:rPr>
          <w:rFonts w:cs="Arial"/>
          <w:b w:val="0"/>
          <w:sz w:val="20"/>
        </w:rPr>
      </w:pPr>
      <w:r w:rsidRPr="004C725E">
        <w:rPr>
          <w:rFonts w:cs="Arial"/>
          <w:b w:val="0"/>
          <w:sz w:val="20"/>
        </w:rPr>
        <w:t xml:space="preserve">Cao, B., Niu, H., Hao, J., &amp; Wang, G. (2022). Building EEG-based CAD object selection intention discrimination model using convolutional neural network (CNN). </w:t>
      </w:r>
      <w:r w:rsidRPr="004C725E">
        <w:rPr>
          <w:rFonts w:cs="Arial"/>
          <w:b w:val="0"/>
          <w:i/>
          <w:iCs/>
          <w:sz w:val="20"/>
        </w:rPr>
        <w:t>Advanced Engineering Informatics</w:t>
      </w:r>
      <w:r w:rsidRPr="004C725E">
        <w:rPr>
          <w:rFonts w:cs="Arial"/>
          <w:b w:val="0"/>
          <w:sz w:val="20"/>
        </w:rPr>
        <w:t xml:space="preserve">, </w:t>
      </w:r>
      <w:r w:rsidRPr="004C725E">
        <w:rPr>
          <w:rFonts w:cs="Arial"/>
          <w:b w:val="0"/>
          <w:i/>
          <w:iCs/>
          <w:sz w:val="20"/>
        </w:rPr>
        <w:t>52</w:t>
      </w:r>
      <w:r w:rsidRPr="004C725E">
        <w:rPr>
          <w:rFonts w:cs="Arial"/>
          <w:b w:val="0"/>
          <w:sz w:val="20"/>
        </w:rPr>
        <w:t>, 101548. https://doi.org/10.1016/j.aei.2022.101548</w:t>
      </w:r>
    </w:p>
    <w:p w14:paraId="0BC952FE" w14:textId="77777777" w:rsidR="004C725E" w:rsidRPr="004C725E" w:rsidRDefault="004C725E" w:rsidP="004C725E">
      <w:pPr>
        <w:pStyle w:val="af0"/>
        <w:jc w:val="both"/>
        <w:rPr>
          <w:rFonts w:cs="Arial"/>
          <w:b w:val="0"/>
          <w:sz w:val="20"/>
        </w:rPr>
      </w:pPr>
      <w:r w:rsidRPr="004C725E">
        <w:rPr>
          <w:rFonts w:cs="Arial"/>
          <w:b w:val="0"/>
          <w:sz w:val="20"/>
        </w:rPr>
        <w:t xml:space="preserve">Chen, C.-F., Yilmaz, S., Pisello, A. L., De Simone, M., Kim, A., Hong, T., Bandurski, K., Bavaresco, M. V., Liu, P.-L., &amp; Zhu, Y. (2020). The impacts of building characteristics, social psychological and cultural factors on indoor environment quality productivity belief. </w:t>
      </w:r>
      <w:r w:rsidRPr="004C725E">
        <w:rPr>
          <w:rFonts w:cs="Arial"/>
          <w:b w:val="0"/>
          <w:i/>
          <w:iCs/>
          <w:sz w:val="20"/>
        </w:rPr>
        <w:t>Building and Environment</w:t>
      </w:r>
      <w:r w:rsidRPr="004C725E">
        <w:rPr>
          <w:rFonts w:cs="Arial"/>
          <w:b w:val="0"/>
          <w:sz w:val="20"/>
        </w:rPr>
        <w:t xml:space="preserve">, </w:t>
      </w:r>
      <w:r w:rsidRPr="004C725E">
        <w:rPr>
          <w:rFonts w:cs="Arial"/>
          <w:b w:val="0"/>
          <w:i/>
          <w:iCs/>
          <w:sz w:val="20"/>
        </w:rPr>
        <w:t>185</w:t>
      </w:r>
      <w:r w:rsidRPr="004C725E">
        <w:rPr>
          <w:rFonts w:cs="Arial"/>
          <w:b w:val="0"/>
          <w:sz w:val="20"/>
        </w:rPr>
        <w:t>. Scopus. https://doi.org/10.1016/j.buildenv.2020.107189</w:t>
      </w:r>
    </w:p>
    <w:p w14:paraId="45817F96" w14:textId="77777777" w:rsidR="004C725E" w:rsidRPr="004C725E" w:rsidRDefault="004C725E" w:rsidP="004C725E">
      <w:pPr>
        <w:pStyle w:val="af0"/>
        <w:jc w:val="both"/>
        <w:rPr>
          <w:rFonts w:cs="Arial"/>
          <w:b w:val="0"/>
          <w:sz w:val="20"/>
        </w:rPr>
      </w:pPr>
      <w:r w:rsidRPr="004C725E">
        <w:rPr>
          <w:rFonts w:cs="Arial"/>
          <w:b w:val="0"/>
          <w:sz w:val="20"/>
        </w:rPr>
        <w:t xml:space="preserve">Cvetković, B., Szeklicki, R., Janko, V., Lutomski, P., &amp; Luštrek, M. (2018). Real-time activity monitoring with a wristband and a smartphone. </w:t>
      </w:r>
      <w:r w:rsidRPr="004C725E">
        <w:rPr>
          <w:rFonts w:cs="Arial"/>
          <w:b w:val="0"/>
          <w:i/>
          <w:iCs/>
          <w:sz w:val="20"/>
        </w:rPr>
        <w:t>Information Fusion</w:t>
      </w:r>
      <w:r w:rsidRPr="004C725E">
        <w:rPr>
          <w:rFonts w:cs="Arial"/>
          <w:b w:val="0"/>
          <w:sz w:val="20"/>
        </w:rPr>
        <w:t xml:space="preserve">, </w:t>
      </w:r>
      <w:r w:rsidRPr="004C725E">
        <w:rPr>
          <w:rFonts w:cs="Arial"/>
          <w:b w:val="0"/>
          <w:i/>
          <w:iCs/>
          <w:sz w:val="20"/>
        </w:rPr>
        <w:t>43</w:t>
      </w:r>
      <w:r w:rsidRPr="004C725E">
        <w:rPr>
          <w:rFonts w:cs="Arial"/>
          <w:b w:val="0"/>
          <w:sz w:val="20"/>
        </w:rPr>
        <w:t>, 77–93. https://doi.org/10.1016/j.inffus.2017.05.004</w:t>
      </w:r>
    </w:p>
    <w:p w14:paraId="140888DE" w14:textId="77777777" w:rsidR="004C725E" w:rsidRPr="004C725E" w:rsidRDefault="004C725E" w:rsidP="004C725E">
      <w:pPr>
        <w:pStyle w:val="af0"/>
        <w:jc w:val="both"/>
        <w:rPr>
          <w:rFonts w:cs="Arial"/>
          <w:b w:val="0"/>
          <w:sz w:val="20"/>
        </w:rPr>
      </w:pPr>
      <w:r w:rsidRPr="004C725E">
        <w:rPr>
          <w:rFonts w:cs="Arial"/>
          <w:b w:val="0"/>
          <w:sz w:val="20"/>
        </w:rPr>
        <w:t xml:space="preserve">Devlin, J., Chang, M.-W., Lee, K., &amp; Toutanova, K. (2019). BERT: Pre-training of Deep Bidirectional Transformers for Language Understanding. In J. Burstein, C. Doran, &amp; T. Solorio (Eds.), </w:t>
      </w:r>
      <w:r w:rsidRPr="004C725E">
        <w:rPr>
          <w:rFonts w:cs="Arial"/>
          <w:b w:val="0"/>
          <w:i/>
          <w:iCs/>
          <w:sz w:val="20"/>
        </w:rPr>
        <w:t>Proceedings of the 2019 Conference of the North American Chapter of the Association for Computational Linguistics: Human Language Technologies, Volume 1 (Long and Short Papers)</w:t>
      </w:r>
      <w:r w:rsidRPr="004C725E">
        <w:rPr>
          <w:rFonts w:cs="Arial"/>
          <w:b w:val="0"/>
          <w:sz w:val="20"/>
        </w:rPr>
        <w:t xml:space="preserve"> (pp. 4171–4186). Association for Computational Linguistics. https://doi.org/10.18653/v1/N19-1423</w:t>
      </w:r>
    </w:p>
    <w:p w14:paraId="26776B4A" w14:textId="77777777" w:rsidR="004C725E" w:rsidRPr="004C725E" w:rsidRDefault="004C725E" w:rsidP="004C725E">
      <w:pPr>
        <w:pStyle w:val="af0"/>
        <w:jc w:val="both"/>
        <w:rPr>
          <w:rFonts w:cs="Arial"/>
          <w:b w:val="0"/>
          <w:sz w:val="20"/>
        </w:rPr>
      </w:pPr>
      <w:r w:rsidRPr="004C725E">
        <w:rPr>
          <w:rFonts w:cs="Arial"/>
          <w:b w:val="0"/>
          <w:sz w:val="20"/>
        </w:rPr>
        <w:t xml:space="preserve">Douze, M., Guzhva, A., Deng, C., Johnson, J., Szilvasy, G., Mazaré, P.-E., Lomeli, M., Hosseini, L., &amp; Jégou, H. (2024). </w:t>
      </w:r>
      <w:r w:rsidRPr="004C725E">
        <w:rPr>
          <w:rFonts w:cs="Arial"/>
          <w:b w:val="0"/>
          <w:i/>
          <w:iCs/>
          <w:sz w:val="20"/>
        </w:rPr>
        <w:t>The Faiss library</w:t>
      </w:r>
      <w:r w:rsidRPr="004C725E">
        <w:rPr>
          <w:rFonts w:cs="Arial"/>
          <w:b w:val="0"/>
          <w:sz w:val="20"/>
        </w:rPr>
        <w:t>.</w:t>
      </w:r>
    </w:p>
    <w:p w14:paraId="4E5BCA07" w14:textId="77777777" w:rsidR="004C725E" w:rsidRPr="004C725E" w:rsidRDefault="004C725E" w:rsidP="004C725E">
      <w:pPr>
        <w:pStyle w:val="af0"/>
        <w:jc w:val="both"/>
        <w:rPr>
          <w:rFonts w:cs="Arial"/>
          <w:b w:val="0"/>
          <w:sz w:val="20"/>
        </w:rPr>
      </w:pPr>
      <w:r w:rsidRPr="004C725E">
        <w:rPr>
          <w:rFonts w:cs="Arial"/>
          <w:b w:val="0"/>
          <w:sz w:val="20"/>
        </w:rPr>
        <w:t xml:space="preserve">Fadhel, M. A., Duhaim, A. M., Saihood, A., Sewify, A., Al-Hamadani, M. N. A., Albahri, A. S., Alzubaidi, </w:t>
      </w:r>
      <w:r w:rsidRPr="004C725E">
        <w:rPr>
          <w:rFonts w:cs="Arial"/>
          <w:b w:val="0"/>
          <w:sz w:val="20"/>
        </w:rPr>
        <w:t xml:space="preserve">L., Gupta, A., Mirjalili, S., &amp; Gu, Y. (2024). Comprehensive systematic review of information fusion methods in smart cities and urban environments. </w:t>
      </w:r>
      <w:r w:rsidRPr="004C725E">
        <w:rPr>
          <w:rFonts w:cs="Arial"/>
          <w:b w:val="0"/>
          <w:i/>
          <w:iCs/>
          <w:sz w:val="20"/>
        </w:rPr>
        <w:t>Information Fusion</w:t>
      </w:r>
      <w:r w:rsidRPr="004C725E">
        <w:rPr>
          <w:rFonts w:cs="Arial"/>
          <w:b w:val="0"/>
          <w:sz w:val="20"/>
        </w:rPr>
        <w:t xml:space="preserve">, </w:t>
      </w:r>
      <w:r w:rsidRPr="004C725E">
        <w:rPr>
          <w:rFonts w:cs="Arial"/>
          <w:b w:val="0"/>
          <w:i/>
          <w:iCs/>
          <w:sz w:val="20"/>
        </w:rPr>
        <w:t>107</w:t>
      </w:r>
      <w:r w:rsidRPr="004C725E">
        <w:rPr>
          <w:rFonts w:cs="Arial"/>
          <w:b w:val="0"/>
          <w:sz w:val="20"/>
        </w:rPr>
        <w:t>, 102317. https://doi.org/10.1016/j.inffus.2024.102317</w:t>
      </w:r>
    </w:p>
    <w:p w14:paraId="326247B5" w14:textId="77777777" w:rsidR="004C725E" w:rsidRPr="004C725E" w:rsidRDefault="004C725E" w:rsidP="004C725E">
      <w:pPr>
        <w:pStyle w:val="af0"/>
        <w:jc w:val="both"/>
        <w:rPr>
          <w:rFonts w:cs="Arial"/>
          <w:b w:val="0"/>
          <w:sz w:val="20"/>
        </w:rPr>
      </w:pPr>
      <w:r w:rsidRPr="004C725E">
        <w:rPr>
          <w:rFonts w:cs="Arial"/>
          <w:b w:val="0"/>
          <w:sz w:val="20"/>
        </w:rPr>
        <w:t xml:space="preserve">Fanger, P. O. (1970). Thermal comfort. Analysis and applications in environmental engineering. </w:t>
      </w:r>
      <w:r w:rsidRPr="004C725E">
        <w:rPr>
          <w:rFonts w:cs="Arial"/>
          <w:b w:val="0"/>
          <w:i/>
          <w:iCs/>
          <w:sz w:val="20"/>
        </w:rPr>
        <w:t>Thermal comfort. Analysis and applications in environmental engineering.</w:t>
      </w:r>
      <w:r w:rsidRPr="004C725E">
        <w:rPr>
          <w:rFonts w:cs="Arial"/>
          <w:b w:val="0"/>
          <w:sz w:val="20"/>
        </w:rPr>
        <w:t xml:space="preserve"> https://www.cabdirect.org/cabdirect/abstract/19722700268</w:t>
      </w:r>
    </w:p>
    <w:p w14:paraId="7F65CA6F" w14:textId="77777777" w:rsidR="004C725E" w:rsidRPr="004C725E" w:rsidRDefault="004C725E" w:rsidP="004C725E">
      <w:pPr>
        <w:pStyle w:val="af0"/>
        <w:jc w:val="both"/>
        <w:rPr>
          <w:rFonts w:cs="Arial"/>
          <w:b w:val="0"/>
          <w:sz w:val="20"/>
        </w:rPr>
      </w:pPr>
      <w:r w:rsidRPr="004C725E">
        <w:rPr>
          <w:rFonts w:cs="Arial"/>
          <w:b w:val="0"/>
          <w:sz w:val="20"/>
        </w:rPr>
        <w:t xml:space="preserve">Földváry Ličina, V., Cheung, T., Zhang, H., de Dear, R., Parkinson, T., Arens, E., Chun, C., Schiavon, S., Luo, M., Brager, G., Li, P., Kaam, S., Adebamowo, M. A., Andamon, M. M., Babich, F., Bouden, C., Bukovianska, H., Candido, C., Cao, B., … Zhou, X. (2018). Development of the ASHRAE Global Thermal Comfort Database II. </w:t>
      </w:r>
      <w:r w:rsidRPr="004C725E">
        <w:rPr>
          <w:rFonts w:cs="Arial"/>
          <w:b w:val="0"/>
          <w:i/>
          <w:iCs/>
          <w:sz w:val="20"/>
        </w:rPr>
        <w:t>Building and Environment</w:t>
      </w:r>
      <w:r w:rsidRPr="004C725E">
        <w:rPr>
          <w:rFonts w:cs="Arial"/>
          <w:b w:val="0"/>
          <w:sz w:val="20"/>
        </w:rPr>
        <w:t xml:space="preserve">, </w:t>
      </w:r>
      <w:r w:rsidRPr="004C725E">
        <w:rPr>
          <w:rFonts w:cs="Arial"/>
          <w:b w:val="0"/>
          <w:i/>
          <w:iCs/>
          <w:sz w:val="20"/>
        </w:rPr>
        <w:t>142</w:t>
      </w:r>
      <w:r w:rsidRPr="004C725E">
        <w:rPr>
          <w:rFonts w:cs="Arial"/>
          <w:b w:val="0"/>
          <w:sz w:val="20"/>
        </w:rPr>
        <w:t>, 502–512. https://doi.org/10.1016/j.buildenv.2018.06.022</w:t>
      </w:r>
    </w:p>
    <w:p w14:paraId="7F1402CD" w14:textId="77777777" w:rsidR="004C725E" w:rsidRPr="004C725E" w:rsidRDefault="004C725E" w:rsidP="004C725E">
      <w:pPr>
        <w:pStyle w:val="af0"/>
        <w:jc w:val="both"/>
        <w:rPr>
          <w:rFonts w:cs="Arial"/>
          <w:b w:val="0"/>
          <w:sz w:val="20"/>
        </w:rPr>
      </w:pPr>
      <w:r w:rsidRPr="004C725E">
        <w:rPr>
          <w:rFonts w:cs="Arial"/>
          <w:b w:val="0"/>
          <w:sz w:val="20"/>
        </w:rPr>
        <w:t xml:space="preserve">Haruehansapong, K., Kliangkhlao, M., Yeranee, K., &amp; Sahoh, B. (2023). Personal thermal comfort prediction using multi-physiological sensors: The design and development of deep neural network models based on individual preferences. </w:t>
      </w:r>
      <w:r w:rsidRPr="004C725E">
        <w:rPr>
          <w:rFonts w:cs="Arial"/>
          <w:b w:val="0"/>
          <w:i/>
          <w:iCs/>
          <w:sz w:val="20"/>
        </w:rPr>
        <w:t>Building and Environment</w:t>
      </w:r>
      <w:r w:rsidRPr="004C725E">
        <w:rPr>
          <w:rFonts w:cs="Arial"/>
          <w:b w:val="0"/>
          <w:sz w:val="20"/>
        </w:rPr>
        <w:t xml:space="preserve">, </w:t>
      </w:r>
      <w:r w:rsidRPr="004C725E">
        <w:rPr>
          <w:rFonts w:cs="Arial"/>
          <w:b w:val="0"/>
          <w:i/>
          <w:iCs/>
          <w:sz w:val="20"/>
        </w:rPr>
        <w:t>245</w:t>
      </w:r>
      <w:r w:rsidRPr="004C725E">
        <w:rPr>
          <w:rFonts w:cs="Arial"/>
          <w:b w:val="0"/>
          <w:sz w:val="20"/>
        </w:rPr>
        <w:t>, 110940. https://doi.org/10.1016/j.buildenv.2023.110940</w:t>
      </w:r>
    </w:p>
    <w:p w14:paraId="3DBC63B1" w14:textId="77777777" w:rsidR="004C725E" w:rsidRPr="004C725E" w:rsidRDefault="004C725E" w:rsidP="004C725E">
      <w:pPr>
        <w:pStyle w:val="af0"/>
        <w:jc w:val="both"/>
        <w:rPr>
          <w:rFonts w:cs="Arial"/>
          <w:b w:val="0"/>
          <w:sz w:val="20"/>
        </w:rPr>
      </w:pPr>
      <w:r w:rsidRPr="004C725E">
        <w:rPr>
          <w:rFonts w:cs="Arial"/>
          <w:b w:val="0"/>
          <w:sz w:val="20"/>
        </w:rPr>
        <w:t xml:space="preserve">ISO, I. (2005). 7730: Ergonomics of the thermal environment Analytical determination and interpretation of thermal comfort using calculation of the PMV and PPD indices and local thermal comfort criteria. </w:t>
      </w:r>
      <w:r w:rsidRPr="004C725E">
        <w:rPr>
          <w:rFonts w:cs="Arial"/>
          <w:b w:val="0"/>
          <w:i/>
          <w:iCs/>
          <w:sz w:val="20"/>
        </w:rPr>
        <w:t>Management</w:t>
      </w:r>
      <w:r w:rsidRPr="004C725E">
        <w:rPr>
          <w:rFonts w:cs="Arial"/>
          <w:b w:val="0"/>
          <w:sz w:val="20"/>
        </w:rPr>
        <w:t xml:space="preserve">, </w:t>
      </w:r>
      <w:r w:rsidRPr="004C725E">
        <w:rPr>
          <w:rFonts w:cs="Arial"/>
          <w:b w:val="0"/>
          <w:i/>
          <w:iCs/>
          <w:sz w:val="20"/>
        </w:rPr>
        <w:t>3</w:t>
      </w:r>
      <w:r w:rsidRPr="004C725E">
        <w:rPr>
          <w:rFonts w:cs="Arial"/>
          <w:b w:val="0"/>
          <w:sz w:val="20"/>
        </w:rPr>
        <w:t>(605), e615.</w:t>
      </w:r>
    </w:p>
    <w:p w14:paraId="7F494275" w14:textId="77777777" w:rsidR="004C725E" w:rsidRPr="004C725E" w:rsidRDefault="004C725E" w:rsidP="004C725E">
      <w:pPr>
        <w:pStyle w:val="af0"/>
        <w:jc w:val="both"/>
        <w:rPr>
          <w:rFonts w:cs="Arial"/>
          <w:b w:val="0"/>
          <w:sz w:val="20"/>
        </w:rPr>
      </w:pPr>
      <w:r w:rsidRPr="004C725E">
        <w:rPr>
          <w:rFonts w:cs="Arial"/>
          <w:b w:val="0"/>
          <w:sz w:val="20"/>
        </w:rPr>
        <w:t xml:space="preserve">Lee, A., Chang, Y. S., &amp; Jang, I. (2020). Planetary-Scale Geospatial Open Platform Based on the Unity3D Environment. </w:t>
      </w:r>
      <w:r w:rsidRPr="004C725E">
        <w:rPr>
          <w:rFonts w:cs="Arial"/>
          <w:b w:val="0"/>
          <w:i/>
          <w:iCs/>
          <w:sz w:val="20"/>
        </w:rPr>
        <w:t>Sensors</w:t>
      </w:r>
      <w:r w:rsidRPr="004C725E">
        <w:rPr>
          <w:rFonts w:cs="Arial"/>
          <w:b w:val="0"/>
          <w:sz w:val="20"/>
        </w:rPr>
        <w:t xml:space="preserve">, </w:t>
      </w:r>
      <w:r w:rsidRPr="004C725E">
        <w:rPr>
          <w:rFonts w:cs="Arial"/>
          <w:b w:val="0"/>
          <w:i/>
          <w:iCs/>
          <w:sz w:val="20"/>
        </w:rPr>
        <w:t>20</w:t>
      </w:r>
      <w:r w:rsidRPr="004C725E">
        <w:rPr>
          <w:rFonts w:cs="Arial"/>
          <w:b w:val="0"/>
          <w:sz w:val="20"/>
        </w:rPr>
        <w:t>(20), 20. https://doi.org/10.3390/s20205967</w:t>
      </w:r>
    </w:p>
    <w:p w14:paraId="38877572" w14:textId="77777777" w:rsidR="004C725E" w:rsidRPr="004C725E" w:rsidRDefault="004C725E" w:rsidP="004C725E">
      <w:pPr>
        <w:pStyle w:val="af0"/>
        <w:jc w:val="both"/>
        <w:rPr>
          <w:rFonts w:cs="Arial"/>
          <w:b w:val="0"/>
          <w:sz w:val="20"/>
        </w:rPr>
      </w:pPr>
      <w:r w:rsidRPr="004C725E">
        <w:rPr>
          <w:rFonts w:cs="Arial"/>
          <w:b w:val="0"/>
          <w:sz w:val="20"/>
        </w:rPr>
        <w:t xml:space="preserve">Qiu, T., Chi, J., Zhou, X., Ning, Z., Atiquzzaman, M., &amp; Wu, D. O. (2020). Edge Computing in Industrial Internet of Things: Architecture, Advances and Challenges. </w:t>
      </w:r>
      <w:r w:rsidRPr="004C725E">
        <w:rPr>
          <w:rFonts w:cs="Arial"/>
          <w:b w:val="0"/>
          <w:i/>
          <w:iCs/>
          <w:sz w:val="20"/>
        </w:rPr>
        <w:t>IEEE Communications Surveys &amp; Tutorials</w:t>
      </w:r>
      <w:r w:rsidRPr="004C725E">
        <w:rPr>
          <w:rFonts w:cs="Arial"/>
          <w:b w:val="0"/>
          <w:sz w:val="20"/>
        </w:rPr>
        <w:t xml:space="preserve">, </w:t>
      </w:r>
      <w:r w:rsidRPr="004C725E">
        <w:rPr>
          <w:rFonts w:cs="Arial"/>
          <w:b w:val="0"/>
          <w:i/>
          <w:iCs/>
          <w:sz w:val="20"/>
        </w:rPr>
        <w:t>22</w:t>
      </w:r>
      <w:r w:rsidRPr="004C725E">
        <w:rPr>
          <w:rFonts w:cs="Arial"/>
          <w:b w:val="0"/>
          <w:sz w:val="20"/>
        </w:rPr>
        <w:t>(4), 2462–2488. https://doi.org/10.1109/COMST.2020.3009103</w:t>
      </w:r>
    </w:p>
    <w:p w14:paraId="0178C775" w14:textId="131B5716" w:rsidR="00452605" w:rsidRPr="004C725E" w:rsidRDefault="004C725E" w:rsidP="004C725E">
      <w:pPr>
        <w:jc w:val="both"/>
        <w:rPr>
          <w:rFonts w:eastAsia="等线" w:cs="Arial"/>
          <w:b w:val="0"/>
          <w:sz w:val="18"/>
          <w:lang w:val="en-US" w:eastAsia="zh-CN"/>
        </w:rPr>
      </w:pPr>
      <w:r w:rsidRPr="004C725E">
        <w:rPr>
          <w:rFonts w:eastAsia="等线" w:cs="Arial"/>
          <w:b w:val="0"/>
          <w:sz w:val="20"/>
          <w:szCs w:val="20"/>
          <w:lang w:val="en-US" w:eastAsia="zh-CN"/>
        </w:rPr>
        <w:fldChar w:fldCharType="end"/>
      </w:r>
    </w:p>
    <w:sectPr w:rsidR="00452605" w:rsidRPr="004C725E" w:rsidSect="00857E6D">
      <w:headerReference w:type="default" r:id="rId16"/>
      <w:type w:val="continuous"/>
      <w:pgSz w:w="12240" w:h="15840" w:code="9"/>
      <w:pgMar w:top="1276" w:right="1276" w:bottom="1276" w:left="1276" w:header="720" w:footer="567" w:gutter="0"/>
      <w:pgNumType w:start="1" w:chapStyle="1"/>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E013A" w14:textId="77777777" w:rsidR="00282EB6" w:rsidRDefault="00282EB6" w:rsidP="00A974D7">
      <w:r>
        <w:separator/>
      </w:r>
    </w:p>
  </w:endnote>
  <w:endnote w:type="continuationSeparator" w:id="0">
    <w:p w14:paraId="7C9B6A28" w14:textId="77777777" w:rsidR="00282EB6" w:rsidRDefault="00282EB6" w:rsidP="00A97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A135C" w14:textId="77777777" w:rsidR="00DF42B5" w:rsidRPr="00DF42B5" w:rsidRDefault="00DF42B5" w:rsidP="00DF42B5">
    <w:pPr>
      <w:pStyle w:val="ac"/>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Pr>
        <w:b w:val="0"/>
        <w:bCs/>
        <w:sz w:val="16"/>
        <w:szCs w:val="16"/>
      </w:rPr>
      <w:t>1</w:t>
    </w:r>
    <w:r w:rsidRPr="00DF42B5">
      <w:rPr>
        <w:b w:val="0"/>
        <w:bCs/>
        <w:noProof/>
        <w:sz w:val="16"/>
        <w:szCs w:val="16"/>
      </w:rPr>
      <w:fldChar w:fldCharType="end"/>
    </w:r>
  </w:p>
  <w:p w14:paraId="136CF226" w14:textId="77777777" w:rsidR="00DF42B5" w:rsidRDefault="00DF42B5">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2DB25" w14:textId="793F1F78" w:rsidR="00991A6B" w:rsidRPr="00DF42B5" w:rsidRDefault="00DF42B5">
    <w:pPr>
      <w:pStyle w:val="ac"/>
      <w:jc w:val="right"/>
      <w:rPr>
        <w:b w:val="0"/>
        <w:bCs/>
        <w:sz w:val="16"/>
        <w:szCs w:val="16"/>
      </w:rPr>
    </w:pPr>
    <w:r>
      <w:rPr>
        <w:b w:val="0"/>
        <w:bCs/>
        <w:sz w:val="16"/>
        <w:szCs w:val="16"/>
      </w:rPr>
      <w:t xml:space="preserve">The </w:t>
    </w:r>
    <w:r w:rsidR="00991A6B" w:rsidRPr="00DF42B5">
      <w:rPr>
        <w:b w:val="0"/>
        <w:bCs/>
        <w:sz w:val="16"/>
        <w:szCs w:val="16"/>
      </w:rPr>
      <w:t>University of Strathclyde</w:t>
    </w:r>
    <w:r w:rsidR="00991A6B" w:rsidRPr="00DF42B5">
      <w:rPr>
        <w:b w:val="0"/>
        <w:bCs/>
        <w:sz w:val="16"/>
        <w:szCs w:val="16"/>
      </w:rPr>
      <w:tab/>
    </w:r>
    <w:r w:rsidR="00991A6B" w:rsidRPr="00DF42B5">
      <w:rPr>
        <w:b w:val="0"/>
        <w:bCs/>
        <w:sz w:val="16"/>
        <w:szCs w:val="16"/>
      </w:rPr>
      <w:tab/>
    </w:r>
    <w:r w:rsidR="00991A6B" w:rsidRPr="00DF42B5">
      <w:rPr>
        <w:b w:val="0"/>
        <w:bCs/>
        <w:sz w:val="16"/>
        <w:szCs w:val="16"/>
      </w:rPr>
      <w:tab/>
    </w:r>
    <w:r w:rsidR="00991A6B" w:rsidRPr="00DF42B5">
      <w:rPr>
        <w:b w:val="0"/>
        <w:bCs/>
        <w:sz w:val="16"/>
        <w:szCs w:val="16"/>
      </w:rPr>
      <w:fldChar w:fldCharType="begin"/>
    </w:r>
    <w:r w:rsidR="00991A6B" w:rsidRPr="00DF42B5">
      <w:rPr>
        <w:b w:val="0"/>
        <w:bCs/>
        <w:sz w:val="16"/>
        <w:szCs w:val="16"/>
      </w:rPr>
      <w:instrText xml:space="preserve"> PAGE   \* MERGEFORMAT </w:instrText>
    </w:r>
    <w:r w:rsidR="00991A6B" w:rsidRPr="00DF42B5">
      <w:rPr>
        <w:b w:val="0"/>
        <w:bCs/>
        <w:sz w:val="16"/>
        <w:szCs w:val="16"/>
      </w:rPr>
      <w:fldChar w:fldCharType="separate"/>
    </w:r>
    <w:r w:rsidR="00991A6B" w:rsidRPr="00DF42B5">
      <w:rPr>
        <w:b w:val="0"/>
        <w:bCs/>
        <w:noProof/>
        <w:sz w:val="16"/>
        <w:szCs w:val="16"/>
      </w:rPr>
      <w:t>2</w:t>
    </w:r>
    <w:r w:rsidR="00991A6B" w:rsidRPr="00DF42B5">
      <w:rPr>
        <w:b w:val="0"/>
        <w:bCs/>
        <w:noProof/>
        <w:sz w:val="16"/>
        <w:szCs w:val="16"/>
      </w:rPr>
      <w:fldChar w:fldCharType="end"/>
    </w:r>
  </w:p>
  <w:p w14:paraId="4C893041" w14:textId="1D114BE9" w:rsidR="005F74EF" w:rsidRDefault="005F74E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F7130" w14:textId="77777777" w:rsidR="00282EB6" w:rsidRDefault="00282EB6" w:rsidP="00A974D7">
      <w:r>
        <w:separator/>
      </w:r>
    </w:p>
  </w:footnote>
  <w:footnote w:type="continuationSeparator" w:id="0">
    <w:p w14:paraId="24E774F8" w14:textId="77777777" w:rsidR="00282EB6" w:rsidRDefault="00282EB6" w:rsidP="00A97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30131" w14:textId="77777777" w:rsidR="00041183" w:rsidRPr="003C6817" w:rsidRDefault="007F30EC" w:rsidP="007F30EC">
    <w:pPr>
      <w:pStyle w:val="a5"/>
      <w:jc w:val="center"/>
      <w:rPr>
        <w:rFonts w:ascii="Times" w:hAnsi="Times"/>
        <w:sz w:val="16"/>
      </w:rPr>
    </w:pPr>
    <w:r w:rsidRPr="007F30EC">
      <w:rPr>
        <w:rFonts w:ascii="Times" w:hAnsi="Times"/>
        <w:sz w:val="16"/>
      </w:rPr>
      <w:t>PLEA2016 Los Angeles - Cities, Buildings, People: Towards Regenerative Environments, 11-13 July, 2016</w:t>
    </w:r>
  </w:p>
  <w:p w14:paraId="3D31942F" w14:textId="77777777" w:rsidR="00041183" w:rsidRDefault="00041183" w:rsidP="005B724E">
    <w:pPr>
      <w:pStyle w:val="a5"/>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5B56E" w14:textId="08B280C1" w:rsidR="007F5224" w:rsidRDefault="005F74EF" w:rsidP="009465E7">
    <w:pPr>
      <w:pStyle w:val="a5"/>
      <w:jc w:val="center"/>
    </w:pPr>
    <w:r>
      <w:rPr>
        <w:rFonts w:cs="Arial"/>
        <w:sz w:val="36"/>
      </w:rPr>
      <w:t xml:space="preserve"> </w:t>
    </w:r>
    <w:r w:rsidR="00951A41">
      <w:pict w14:anchorId="463B60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2pt;height:142.2pt">
          <v:imagedata r:id="rId1" o:titl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A89B9" w14:textId="77777777" w:rsidR="00CE5799" w:rsidRDefault="00CE5799" w:rsidP="005B724E">
    <w:pPr>
      <w:pStyle w:val="a5"/>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7A71F0"/>
    <w:multiLevelType w:val="hybridMultilevel"/>
    <w:tmpl w:val="A480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B743EC"/>
    <w:multiLevelType w:val="hybridMultilevel"/>
    <w:tmpl w:val="0C38375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7547978">
    <w:abstractNumId w:val="0"/>
  </w:num>
  <w:num w:numId="2" w16cid:durableId="11595434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NotTrackMoves/>
  <w:defaultTabStop w:val="851"/>
  <w:hyphenationZone w:val="425"/>
  <w:characterSpacingControl w:val="doNotCompress"/>
  <w:hdrShapeDefaults>
    <o:shapedefaults v:ext="edit" spidmax="2050"/>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2605"/>
    <w:rsid w:val="0000598A"/>
    <w:rsid w:val="000115A7"/>
    <w:rsid w:val="00016F2D"/>
    <w:rsid w:val="00017B66"/>
    <w:rsid w:val="00020229"/>
    <w:rsid w:val="000329CA"/>
    <w:rsid w:val="00032BAF"/>
    <w:rsid w:val="00041183"/>
    <w:rsid w:val="00041B90"/>
    <w:rsid w:val="000470C3"/>
    <w:rsid w:val="00060AD0"/>
    <w:rsid w:val="00071583"/>
    <w:rsid w:val="00076448"/>
    <w:rsid w:val="000861F7"/>
    <w:rsid w:val="00094A82"/>
    <w:rsid w:val="00095014"/>
    <w:rsid w:val="0009582D"/>
    <w:rsid w:val="000A364B"/>
    <w:rsid w:val="000B62D6"/>
    <w:rsid w:val="000C79BC"/>
    <w:rsid w:val="000D43CE"/>
    <w:rsid w:val="000D5BB5"/>
    <w:rsid w:val="000F4745"/>
    <w:rsid w:val="00100674"/>
    <w:rsid w:val="001029BA"/>
    <w:rsid w:val="00113AF5"/>
    <w:rsid w:val="00115CC4"/>
    <w:rsid w:val="0012216D"/>
    <w:rsid w:val="001355A0"/>
    <w:rsid w:val="001515D5"/>
    <w:rsid w:val="00154061"/>
    <w:rsid w:val="00154B81"/>
    <w:rsid w:val="00155EA0"/>
    <w:rsid w:val="00164055"/>
    <w:rsid w:val="001649C8"/>
    <w:rsid w:val="001702CF"/>
    <w:rsid w:val="001A0B08"/>
    <w:rsid w:val="001A4471"/>
    <w:rsid w:val="001A4741"/>
    <w:rsid w:val="001B0C20"/>
    <w:rsid w:val="001C0994"/>
    <w:rsid w:val="001C535D"/>
    <w:rsid w:val="001D6CCF"/>
    <w:rsid w:val="001D72F8"/>
    <w:rsid w:val="001D7818"/>
    <w:rsid w:val="001E03B8"/>
    <w:rsid w:val="001F56EB"/>
    <w:rsid w:val="00200D8A"/>
    <w:rsid w:val="00207072"/>
    <w:rsid w:val="002100A8"/>
    <w:rsid w:val="00213073"/>
    <w:rsid w:val="00216CAD"/>
    <w:rsid w:val="00230396"/>
    <w:rsid w:val="0024432C"/>
    <w:rsid w:val="0024664A"/>
    <w:rsid w:val="00246E7B"/>
    <w:rsid w:val="00263B29"/>
    <w:rsid w:val="00266DF1"/>
    <w:rsid w:val="002715DF"/>
    <w:rsid w:val="002739B1"/>
    <w:rsid w:val="00282EB6"/>
    <w:rsid w:val="00283E92"/>
    <w:rsid w:val="00291113"/>
    <w:rsid w:val="0029401C"/>
    <w:rsid w:val="00295B55"/>
    <w:rsid w:val="00297D53"/>
    <w:rsid w:val="002A045A"/>
    <w:rsid w:val="002B6771"/>
    <w:rsid w:val="00302412"/>
    <w:rsid w:val="00324810"/>
    <w:rsid w:val="0033283E"/>
    <w:rsid w:val="00347592"/>
    <w:rsid w:val="00372649"/>
    <w:rsid w:val="003B260A"/>
    <w:rsid w:val="003B45D4"/>
    <w:rsid w:val="003D6765"/>
    <w:rsid w:val="003E088A"/>
    <w:rsid w:val="003E1723"/>
    <w:rsid w:val="003F1F2A"/>
    <w:rsid w:val="003F6EA8"/>
    <w:rsid w:val="0040736A"/>
    <w:rsid w:val="0042205D"/>
    <w:rsid w:val="0042338A"/>
    <w:rsid w:val="00432503"/>
    <w:rsid w:val="00452605"/>
    <w:rsid w:val="0047494E"/>
    <w:rsid w:val="00480680"/>
    <w:rsid w:val="004854D6"/>
    <w:rsid w:val="004863E3"/>
    <w:rsid w:val="004939CF"/>
    <w:rsid w:val="00493DE1"/>
    <w:rsid w:val="004A150E"/>
    <w:rsid w:val="004B69BA"/>
    <w:rsid w:val="004C725E"/>
    <w:rsid w:val="004E20F3"/>
    <w:rsid w:val="004F55C0"/>
    <w:rsid w:val="004F6326"/>
    <w:rsid w:val="00513DBC"/>
    <w:rsid w:val="00521F7B"/>
    <w:rsid w:val="005228B8"/>
    <w:rsid w:val="00523059"/>
    <w:rsid w:val="00530D74"/>
    <w:rsid w:val="005356CF"/>
    <w:rsid w:val="0054466D"/>
    <w:rsid w:val="005452AC"/>
    <w:rsid w:val="00573E75"/>
    <w:rsid w:val="00580E0F"/>
    <w:rsid w:val="005938AC"/>
    <w:rsid w:val="005A0994"/>
    <w:rsid w:val="005A108C"/>
    <w:rsid w:val="005B2BD1"/>
    <w:rsid w:val="005B3A83"/>
    <w:rsid w:val="005B724E"/>
    <w:rsid w:val="005C350F"/>
    <w:rsid w:val="005C491E"/>
    <w:rsid w:val="005D3297"/>
    <w:rsid w:val="005D41D2"/>
    <w:rsid w:val="005E4273"/>
    <w:rsid w:val="005F74EF"/>
    <w:rsid w:val="006056E7"/>
    <w:rsid w:val="006069C3"/>
    <w:rsid w:val="00621641"/>
    <w:rsid w:val="00637024"/>
    <w:rsid w:val="006370A7"/>
    <w:rsid w:val="006374BC"/>
    <w:rsid w:val="00655CAD"/>
    <w:rsid w:val="0065674D"/>
    <w:rsid w:val="00656C2C"/>
    <w:rsid w:val="00676730"/>
    <w:rsid w:val="00681F34"/>
    <w:rsid w:val="00697ACE"/>
    <w:rsid w:val="006A2AB1"/>
    <w:rsid w:val="006A6A7E"/>
    <w:rsid w:val="006B228A"/>
    <w:rsid w:val="006B264D"/>
    <w:rsid w:val="006C4863"/>
    <w:rsid w:val="006C5367"/>
    <w:rsid w:val="006D5C01"/>
    <w:rsid w:val="006F38A4"/>
    <w:rsid w:val="00701B43"/>
    <w:rsid w:val="00703D55"/>
    <w:rsid w:val="0071499A"/>
    <w:rsid w:val="0072784F"/>
    <w:rsid w:val="007309F5"/>
    <w:rsid w:val="00733D7C"/>
    <w:rsid w:val="0074102E"/>
    <w:rsid w:val="007459B1"/>
    <w:rsid w:val="007573F6"/>
    <w:rsid w:val="00757BC8"/>
    <w:rsid w:val="007638D1"/>
    <w:rsid w:val="00774DDC"/>
    <w:rsid w:val="007772A7"/>
    <w:rsid w:val="00781485"/>
    <w:rsid w:val="0078287F"/>
    <w:rsid w:val="0079586B"/>
    <w:rsid w:val="007B134F"/>
    <w:rsid w:val="007B37FF"/>
    <w:rsid w:val="007C3528"/>
    <w:rsid w:val="007E12D4"/>
    <w:rsid w:val="007E3BD9"/>
    <w:rsid w:val="007F2CCF"/>
    <w:rsid w:val="007F30EC"/>
    <w:rsid w:val="007F5224"/>
    <w:rsid w:val="00801AB1"/>
    <w:rsid w:val="00803337"/>
    <w:rsid w:val="00812538"/>
    <w:rsid w:val="0081763A"/>
    <w:rsid w:val="00820765"/>
    <w:rsid w:val="008239A4"/>
    <w:rsid w:val="008365F1"/>
    <w:rsid w:val="00842657"/>
    <w:rsid w:val="008461C1"/>
    <w:rsid w:val="00850825"/>
    <w:rsid w:val="00854663"/>
    <w:rsid w:val="00854E2E"/>
    <w:rsid w:val="008556AB"/>
    <w:rsid w:val="00857E6D"/>
    <w:rsid w:val="00864DB0"/>
    <w:rsid w:val="00865445"/>
    <w:rsid w:val="00865E31"/>
    <w:rsid w:val="0086672F"/>
    <w:rsid w:val="00876692"/>
    <w:rsid w:val="008872C4"/>
    <w:rsid w:val="00892B20"/>
    <w:rsid w:val="0089389A"/>
    <w:rsid w:val="0089655D"/>
    <w:rsid w:val="008968E9"/>
    <w:rsid w:val="00896AB3"/>
    <w:rsid w:val="008A1384"/>
    <w:rsid w:val="008B6A2D"/>
    <w:rsid w:val="008B7508"/>
    <w:rsid w:val="008C1D1F"/>
    <w:rsid w:val="008C70E5"/>
    <w:rsid w:val="008C7709"/>
    <w:rsid w:val="008D1758"/>
    <w:rsid w:val="008D410A"/>
    <w:rsid w:val="008D55B7"/>
    <w:rsid w:val="008F000B"/>
    <w:rsid w:val="008F3AA5"/>
    <w:rsid w:val="008F6A24"/>
    <w:rsid w:val="0090778C"/>
    <w:rsid w:val="00910728"/>
    <w:rsid w:val="0091410E"/>
    <w:rsid w:val="00924BDF"/>
    <w:rsid w:val="009251E5"/>
    <w:rsid w:val="00936D2D"/>
    <w:rsid w:val="00942088"/>
    <w:rsid w:val="00942BA3"/>
    <w:rsid w:val="009450F6"/>
    <w:rsid w:val="009465E7"/>
    <w:rsid w:val="00947200"/>
    <w:rsid w:val="00951A41"/>
    <w:rsid w:val="0095653F"/>
    <w:rsid w:val="009644E3"/>
    <w:rsid w:val="009648B4"/>
    <w:rsid w:val="00964B2F"/>
    <w:rsid w:val="00991A6B"/>
    <w:rsid w:val="009941FC"/>
    <w:rsid w:val="00996337"/>
    <w:rsid w:val="009A5D15"/>
    <w:rsid w:val="009C549B"/>
    <w:rsid w:val="009C6D6B"/>
    <w:rsid w:val="009D3296"/>
    <w:rsid w:val="009E06BD"/>
    <w:rsid w:val="009E5910"/>
    <w:rsid w:val="009E5926"/>
    <w:rsid w:val="009E5B84"/>
    <w:rsid w:val="009E5C58"/>
    <w:rsid w:val="009F0B7A"/>
    <w:rsid w:val="009F0FDB"/>
    <w:rsid w:val="00A035F9"/>
    <w:rsid w:val="00A0768E"/>
    <w:rsid w:val="00A113E7"/>
    <w:rsid w:val="00A1355D"/>
    <w:rsid w:val="00A16551"/>
    <w:rsid w:val="00A22627"/>
    <w:rsid w:val="00A23450"/>
    <w:rsid w:val="00A245D6"/>
    <w:rsid w:val="00A305F3"/>
    <w:rsid w:val="00A3747D"/>
    <w:rsid w:val="00A70111"/>
    <w:rsid w:val="00A74484"/>
    <w:rsid w:val="00A833B3"/>
    <w:rsid w:val="00A87382"/>
    <w:rsid w:val="00A92A2C"/>
    <w:rsid w:val="00A92D1D"/>
    <w:rsid w:val="00A974D7"/>
    <w:rsid w:val="00AA1895"/>
    <w:rsid w:val="00AA1FBC"/>
    <w:rsid w:val="00AA5330"/>
    <w:rsid w:val="00AB052A"/>
    <w:rsid w:val="00AB2309"/>
    <w:rsid w:val="00AC2699"/>
    <w:rsid w:val="00AC40DF"/>
    <w:rsid w:val="00AC4D20"/>
    <w:rsid w:val="00AC79BB"/>
    <w:rsid w:val="00AF1F2B"/>
    <w:rsid w:val="00AF7083"/>
    <w:rsid w:val="00B00A32"/>
    <w:rsid w:val="00B023AA"/>
    <w:rsid w:val="00B20A61"/>
    <w:rsid w:val="00B32CB4"/>
    <w:rsid w:val="00B40D7E"/>
    <w:rsid w:val="00B5772E"/>
    <w:rsid w:val="00B609B4"/>
    <w:rsid w:val="00B750B3"/>
    <w:rsid w:val="00B76C0C"/>
    <w:rsid w:val="00B77A41"/>
    <w:rsid w:val="00B81883"/>
    <w:rsid w:val="00B84E07"/>
    <w:rsid w:val="00B86B2E"/>
    <w:rsid w:val="00BB55B3"/>
    <w:rsid w:val="00BC0D0B"/>
    <w:rsid w:val="00BD0E84"/>
    <w:rsid w:val="00BE258C"/>
    <w:rsid w:val="00BF3382"/>
    <w:rsid w:val="00BF5B80"/>
    <w:rsid w:val="00C04303"/>
    <w:rsid w:val="00C06233"/>
    <w:rsid w:val="00C07CE0"/>
    <w:rsid w:val="00C07F73"/>
    <w:rsid w:val="00C10295"/>
    <w:rsid w:val="00C31D5E"/>
    <w:rsid w:val="00C32EB1"/>
    <w:rsid w:val="00C41557"/>
    <w:rsid w:val="00C4506F"/>
    <w:rsid w:val="00C462C2"/>
    <w:rsid w:val="00C669E4"/>
    <w:rsid w:val="00C7024E"/>
    <w:rsid w:val="00C8701C"/>
    <w:rsid w:val="00C90A77"/>
    <w:rsid w:val="00C90D12"/>
    <w:rsid w:val="00C93570"/>
    <w:rsid w:val="00C956D1"/>
    <w:rsid w:val="00CA3ECE"/>
    <w:rsid w:val="00CA60DB"/>
    <w:rsid w:val="00CB2332"/>
    <w:rsid w:val="00CC4CD8"/>
    <w:rsid w:val="00CE5799"/>
    <w:rsid w:val="00CE5B24"/>
    <w:rsid w:val="00CE721C"/>
    <w:rsid w:val="00CF139F"/>
    <w:rsid w:val="00CF475C"/>
    <w:rsid w:val="00CF6922"/>
    <w:rsid w:val="00D053CB"/>
    <w:rsid w:val="00D0556E"/>
    <w:rsid w:val="00D14182"/>
    <w:rsid w:val="00D31278"/>
    <w:rsid w:val="00D43670"/>
    <w:rsid w:val="00D461B2"/>
    <w:rsid w:val="00D77DA7"/>
    <w:rsid w:val="00D80CCE"/>
    <w:rsid w:val="00D85DA5"/>
    <w:rsid w:val="00DB60B6"/>
    <w:rsid w:val="00DC3F5A"/>
    <w:rsid w:val="00DD1770"/>
    <w:rsid w:val="00DD687C"/>
    <w:rsid w:val="00DE1562"/>
    <w:rsid w:val="00DE2C5C"/>
    <w:rsid w:val="00DE3ABD"/>
    <w:rsid w:val="00DE4AB5"/>
    <w:rsid w:val="00DF42B5"/>
    <w:rsid w:val="00E13700"/>
    <w:rsid w:val="00E215D2"/>
    <w:rsid w:val="00E34D7A"/>
    <w:rsid w:val="00E60AA9"/>
    <w:rsid w:val="00E70355"/>
    <w:rsid w:val="00E72291"/>
    <w:rsid w:val="00E84285"/>
    <w:rsid w:val="00E84B17"/>
    <w:rsid w:val="00E90A6D"/>
    <w:rsid w:val="00E970F9"/>
    <w:rsid w:val="00EA08F7"/>
    <w:rsid w:val="00EB76D6"/>
    <w:rsid w:val="00EC61B4"/>
    <w:rsid w:val="00ED3661"/>
    <w:rsid w:val="00ED6848"/>
    <w:rsid w:val="00EE40DD"/>
    <w:rsid w:val="00EF0109"/>
    <w:rsid w:val="00EF5BFB"/>
    <w:rsid w:val="00EF7644"/>
    <w:rsid w:val="00F05EA2"/>
    <w:rsid w:val="00F2258D"/>
    <w:rsid w:val="00F22E27"/>
    <w:rsid w:val="00F24120"/>
    <w:rsid w:val="00F26717"/>
    <w:rsid w:val="00F26E45"/>
    <w:rsid w:val="00F301F4"/>
    <w:rsid w:val="00F32985"/>
    <w:rsid w:val="00F41D23"/>
    <w:rsid w:val="00F50078"/>
    <w:rsid w:val="00F51F2B"/>
    <w:rsid w:val="00F608DB"/>
    <w:rsid w:val="00F634DB"/>
    <w:rsid w:val="00F65C51"/>
    <w:rsid w:val="00F733B8"/>
    <w:rsid w:val="00F8264F"/>
    <w:rsid w:val="00FA6FE6"/>
    <w:rsid w:val="00FB1B83"/>
    <w:rsid w:val="00FD5523"/>
    <w:rsid w:val="00FE2D8A"/>
    <w:rsid w:val="00FE4248"/>
    <w:rsid w:val="00FF3E32"/>
    <w:rsid w:val="00FF65E6"/>
  </w:rsids>
  <m:mathPr>
    <m:mathFont m:val="Cambria Math"/>
    <m:brkBin m:val="before"/>
    <m:brkBinSub m:val="--"/>
    <m:smallFrac/>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BAF4D8"/>
  <w15:chartTrackingRefBased/>
  <w15:docId w15:val="{1343CF3D-8249-44D7-A63D-5419137CC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Authors"/>
    <w:next w:val="a0"/>
    <w:qFormat/>
    <w:rsid w:val="00C07CE0"/>
    <w:pPr>
      <w:jc w:val="center"/>
    </w:pPr>
    <w:rPr>
      <w:rFonts w:ascii="Arial" w:eastAsia="Times New Roman" w:hAnsi="Arial"/>
      <w:b/>
      <w:sz w:val="24"/>
      <w:szCs w:val="24"/>
      <w:lang w:val="en-GB" w:eastAsia="en-US"/>
    </w:rPr>
  </w:style>
  <w:style w:type="paragraph" w:styleId="1">
    <w:name w:val="heading 1"/>
    <w:aliases w:val="Section headings"/>
    <w:basedOn w:val="a"/>
    <w:next w:val="a0"/>
    <w:link w:val="10"/>
    <w:uiPriority w:val="9"/>
    <w:qFormat/>
    <w:rsid w:val="00C07CE0"/>
    <w:pPr>
      <w:keepNext/>
      <w:jc w:val="left"/>
      <w:outlineLvl w:val="0"/>
    </w:pPr>
    <w:rPr>
      <w:rFonts w:cs="Arial"/>
      <w:kern w:val="32"/>
      <w:sz w:val="20"/>
      <w:szCs w:val="32"/>
    </w:rPr>
  </w:style>
  <w:style w:type="paragraph" w:styleId="2">
    <w:name w:val="heading 2"/>
    <w:basedOn w:val="a"/>
    <w:next w:val="a"/>
    <w:link w:val="20"/>
    <w:uiPriority w:val="9"/>
    <w:semiHidden/>
    <w:unhideWhenUsed/>
    <w:qFormat/>
    <w:rsid w:val="00656C2C"/>
    <w:pPr>
      <w:keepNext/>
      <w:spacing w:before="240" w:after="60"/>
      <w:outlineLvl w:val="1"/>
    </w:pPr>
    <w:rPr>
      <w:rFonts w:ascii="Calibri Light" w:hAnsi="Calibri Light"/>
      <w:bCs/>
      <w:i/>
      <w:iCs/>
      <w:sz w:val="28"/>
      <w:szCs w:val="28"/>
    </w:rPr>
  </w:style>
  <w:style w:type="paragraph" w:styleId="3">
    <w:name w:val="heading 3"/>
    <w:basedOn w:val="a"/>
    <w:next w:val="a"/>
    <w:link w:val="30"/>
    <w:uiPriority w:val="9"/>
    <w:unhideWhenUsed/>
    <w:qFormat/>
    <w:rsid w:val="00266DF1"/>
    <w:pPr>
      <w:keepNext/>
      <w:keepLines/>
      <w:spacing w:before="260" w:after="260" w:line="416" w:lineRule="auto"/>
      <w:outlineLvl w:val="2"/>
    </w:pPr>
    <w:rPr>
      <w:bCs/>
      <w:sz w:val="32"/>
      <w:szCs w:val="3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aliases w:val="Section headings 字符"/>
    <w:link w:val="1"/>
    <w:uiPriority w:val="9"/>
    <w:rsid w:val="00C07CE0"/>
    <w:rPr>
      <w:rFonts w:ascii="Arial" w:eastAsia="Times New Roman" w:hAnsi="Arial" w:cs="Arial"/>
      <w:b/>
      <w:kern w:val="32"/>
      <w:szCs w:val="32"/>
      <w:lang w:eastAsia="en-US"/>
    </w:rPr>
  </w:style>
  <w:style w:type="paragraph" w:styleId="a0">
    <w:name w:val="Plain Text"/>
    <w:aliases w:val="Subsection text"/>
    <w:basedOn w:val="a"/>
    <w:link w:val="a4"/>
    <w:rsid w:val="00452605"/>
    <w:pPr>
      <w:jc w:val="both"/>
    </w:pPr>
    <w:rPr>
      <w:rFonts w:eastAsia="MS Mincho" w:cs="Arial"/>
      <w:b w:val="0"/>
      <w:sz w:val="18"/>
      <w:szCs w:val="20"/>
    </w:rPr>
  </w:style>
  <w:style w:type="character" w:customStyle="1" w:styleId="a4">
    <w:name w:val="纯文本 字符"/>
    <w:aliases w:val="Subsection text 字符"/>
    <w:link w:val="a0"/>
    <w:rsid w:val="00452605"/>
    <w:rPr>
      <w:rFonts w:ascii="Arial" w:eastAsia="MS Mincho" w:hAnsi="Arial" w:cs="Arial"/>
      <w:sz w:val="18"/>
      <w:szCs w:val="20"/>
      <w:lang w:val="en-GB"/>
    </w:rPr>
  </w:style>
  <w:style w:type="paragraph" w:styleId="a5">
    <w:name w:val="header"/>
    <w:basedOn w:val="a"/>
    <w:link w:val="a6"/>
    <w:rsid w:val="00C07CE0"/>
    <w:pPr>
      <w:tabs>
        <w:tab w:val="center" w:pos="4320"/>
        <w:tab w:val="right" w:pos="8640"/>
      </w:tabs>
      <w:jc w:val="left"/>
    </w:pPr>
    <w:rPr>
      <w:b w:val="0"/>
      <w:sz w:val="18"/>
    </w:rPr>
  </w:style>
  <w:style w:type="character" w:customStyle="1" w:styleId="a6">
    <w:name w:val="页眉 字符"/>
    <w:link w:val="a5"/>
    <w:rsid w:val="00C07CE0"/>
    <w:rPr>
      <w:rFonts w:ascii="Arial" w:eastAsia="Times New Roman" w:hAnsi="Arial"/>
      <w:sz w:val="18"/>
      <w:szCs w:val="24"/>
      <w:lang w:eastAsia="en-US"/>
    </w:rPr>
  </w:style>
  <w:style w:type="paragraph" w:styleId="a7">
    <w:name w:val="Title"/>
    <w:basedOn w:val="a"/>
    <w:next w:val="a"/>
    <w:link w:val="a8"/>
    <w:qFormat/>
    <w:rsid w:val="00C07CE0"/>
    <w:pPr>
      <w:spacing w:before="240" w:after="480"/>
    </w:pPr>
    <w:rPr>
      <w:rFonts w:cs="Arial"/>
      <w:bCs/>
      <w:kern w:val="28"/>
      <w:sz w:val="36"/>
      <w:szCs w:val="32"/>
    </w:rPr>
  </w:style>
  <w:style w:type="character" w:customStyle="1" w:styleId="a8">
    <w:name w:val="标题 字符"/>
    <w:link w:val="a7"/>
    <w:rsid w:val="00C07CE0"/>
    <w:rPr>
      <w:rFonts w:ascii="Arial" w:eastAsia="Times New Roman" w:hAnsi="Arial" w:cs="Arial"/>
      <w:b/>
      <w:bCs/>
      <w:kern w:val="28"/>
      <w:sz w:val="36"/>
      <w:szCs w:val="32"/>
      <w:lang w:eastAsia="en-US"/>
    </w:rPr>
  </w:style>
  <w:style w:type="character" w:styleId="a9">
    <w:name w:val="Hyperlink"/>
    <w:rsid w:val="00C07CE0"/>
    <w:rPr>
      <w:rFonts w:ascii="Arial" w:hAnsi="Arial"/>
      <w:color w:val="0000FF"/>
      <w:u w:val="single"/>
    </w:rPr>
  </w:style>
  <w:style w:type="paragraph" w:customStyle="1" w:styleId="Third-LevelHeadingParagraph">
    <w:name w:val="Third-Level Heading Paragraph"/>
    <w:basedOn w:val="a"/>
    <w:rsid w:val="00C07CE0"/>
    <w:pPr>
      <w:widowControl w:val="0"/>
      <w:tabs>
        <w:tab w:val="left" w:pos="200"/>
      </w:tabs>
      <w:spacing w:before="60" w:line="220" w:lineRule="exact"/>
      <w:jc w:val="both"/>
    </w:pPr>
    <w:rPr>
      <w:b w:val="0"/>
      <w:sz w:val="20"/>
      <w:szCs w:val="20"/>
      <w:lang w:val="en-US" w:eastAsia="fr-FR"/>
    </w:rPr>
  </w:style>
  <w:style w:type="paragraph" w:styleId="aa">
    <w:name w:val="Balloon Text"/>
    <w:basedOn w:val="a"/>
    <w:link w:val="ab"/>
    <w:uiPriority w:val="99"/>
    <w:semiHidden/>
    <w:unhideWhenUsed/>
    <w:rsid w:val="00452605"/>
    <w:rPr>
      <w:rFonts w:ascii="Tahoma" w:hAnsi="Tahoma" w:cs="Tahoma"/>
      <w:sz w:val="16"/>
      <w:szCs w:val="16"/>
    </w:rPr>
  </w:style>
  <w:style w:type="character" w:customStyle="1" w:styleId="ab">
    <w:name w:val="批注框文本 字符"/>
    <w:link w:val="aa"/>
    <w:uiPriority w:val="99"/>
    <w:semiHidden/>
    <w:rsid w:val="00452605"/>
    <w:rPr>
      <w:rFonts w:ascii="Tahoma" w:eastAsia="Times New Roman" w:hAnsi="Tahoma" w:cs="Tahoma"/>
      <w:b/>
      <w:sz w:val="16"/>
      <w:szCs w:val="16"/>
      <w:lang w:val="en-GB"/>
    </w:rPr>
  </w:style>
  <w:style w:type="paragraph" w:styleId="ac">
    <w:name w:val="footer"/>
    <w:basedOn w:val="a"/>
    <w:link w:val="ad"/>
    <w:uiPriority w:val="99"/>
    <w:unhideWhenUsed/>
    <w:rsid w:val="00C07CE0"/>
    <w:pPr>
      <w:tabs>
        <w:tab w:val="center" w:pos="4536"/>
        <w:tab w:val="right" w:pos="9072"/>
      </w:tabs>
    </w:pPr>
  </w:style>
  <w:style w:type="character" w:customStyle="1" w:styleId="ad">
    <w:name w:val="页脚 字符"/>
    <w:link w:val="ac"/>
    <w:uiPriority w:val="99"/>
    <w:rsid w:val="00C07CE0"/>
    <w:rPr>
      <w:rFonts w:ascii="Arial" w:eastAsia="Times New Roman" w:hAnsi="Arial"/>
      <w:b/>
      <w:sz w:val="24"/>
      <w:szCs w:val="24"/>
      <w:lang w:eastAsia="en-US"/>
    </w:rPr>
  </w:style>
  <w:style w:type="paragraph" w:customStyle="1" w:styleId="52Equationnote">
    <w:name w:val="52_Equation_note"/>
    <w:basedOn w:val="a"/>
    <w:rsid w:val="00C07CE0"/>
    <w:pPr>
      <w:snapToGrid w:val="0"/>
      <w:spacing w:line="360" w:lineRule="auto"/>
      <w:ind w:left="181" w:firstLine="720"/>
      <w:jc w:val="left"/>
    </w:pPr>
    <w:rPr>
      <w:rFonts w:eastAsia="宋体"/>
      <w:b w:val="0"/>
      <w:sz w:val="21"/>
      <w:szCs w:val="20"/>
      <w:lang w:val="en-US" w:eastAsia="zh-CN"/>
    </w:rPr>
  </w:style>
  <w:style w:type="paragraph" w:customStyle="1" w:styleId="51Equation">
    <w:name w:val="51_Equation"/>
    <w:basedOn w:val="a"/>
    <w:next w:val="a"/>
    <w:rsid w:val="00C07CE0"/>
    <w:pPr>
      <w:widowControl w:val="0"/>
      <w:tabs>
        <w:tab w:val="num" w:pos="1080"/>
      </w:tabs>
      <w:snapToGrid w:val="0"/>
      <w:spacing w:before="240" w:after="240"/>
      <w:jc w:val="right"/>
    </w:pPr>
    <w:rPr>
      <w:rFonts w:eastAsia="宋体"/>
      <w:b w:val="0"/>
      <w:sz w:val="21"/>
      <w:szCs w:val="20"/>
      <w:lang w:val="en-US" w:eastAsia="zh-TW"/>
    </w:rPr>
  </w:style>
  <w:style w:type="paragraph" w:customStyle="1" w:styleId="21ParagraphE">
    <w:name w:val="21_Paragraph_E"/>
    <w:basedOn w:val="a"/>
    <w:rsid w:val="00C07CE0"/>
    <w:pPr>
      <w:spacing w:after="120"/>
      <w:jc w:val="both"/>
    </w:pPr>
    <w:rPr>
      <w:rFonts w:eastAsia="宋体"/>
      <w:b w:val="0"/>
      <w:sz w:val="21"/>
      <w:szCs w:val="20"/>
      <w:lang w:val="en-US" w:eastAsia="zh-CN"/>
    </w:rPr>
  </w:style>
  <w:style w:type="character" w:styleId="ae">
    <w:name w:val="Placeholder Text"/>
    <w:uiPriority w:val="99"/>
    <w:semiHidden/>
    <w:rsid w:val="007E3BD9"/>
    <w:rPr>
      <w:color w:val="808080"/>
    </w:rPr>
  </w:style>
  <w:style w:type="table" w:styleId="af">
    <w:name w:val="Table Grid"/>
    <w:basedOn w:val="a2"/>
    <w:uiPriority w:val="59"/>
    <w:rsid w:val="00864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ibliography"/>
    <w:basedOn w:val="a"/>
    <w:next w:val="a"/>
    <w:uiPriority w:val="37"/>
    <w:unhideWhenUsed/>
    <w:rsid w:val="00C07CE0"/>
  </w:style>
  <w:style w:type="paragraph" w:customStyle="1" w:styleId="MainText">
    <w:name w:val="Main Text"/>
    <w:basedOn w:val="a0"/>
    <w:qFormat/>
    <w:rsid w:val="00C07CE0"/>
    <w:pPr>
      <w:adjustRightInd w:val="0"/>
      <w:snapToGrid w:val="0"/>
      <w:ind w:firstLine="284"/>
      <w:contextualSpacing/>
    </w:pPr>
    <w:rPr>
      <w:sz w:val="20"/>
    </w:rPr>
  </w:style>
  <w:style w:type="paragraph" w:customStyle="1" w:styleId="Captionfigtable">
    <w:name w:val="Caption (fig &amp; table)"/>
    <w:basedOn w:val="a0"/>
    <w:link w:val="CaptionfigtableChar"/>
    <w:qFormat/>
    <w:rsid w:val="00C07CE0"/>
    <w:pPr>
      <w:adjustRightInd w:val="0"/>
      <w:snapToGrid w:val="0"/>
    </w:pPr>
    <w:rPr>
      <w:i/>
    </w:rPr>
  </w:style>
  <w:style w:type="character" w:customStyle="1" w:styleId="20">
    <w:name w:val="标题 2 字符"/>
    <w:link w:val="2"/>
    <w:uiPriority w:val="9"/>
    <w:semiHidden/>
    <w:rsid w:val="00656C2C"/>
    <w:rPr>
      <w:rFonts w:ascii="Calibri Light" w:eastAsia="Times New Roman" w:hAnsi="Calibri Light" w:cs="Times New Roman"/>
      <w:b/>
      <w:bCs/>
      <w:i/>
      <w:iCs/>
      <w:sz w:val="28"/>
      <w:szCs w:val="28"/>
      <w:lang w:val="en-GB" w:eastAsia="en-US"/>
    </w:rPr>
  </w:style>
  <w:style w:type="character" w:customStyle="1" w:styleId="CaptionfigtableChar">
    <w:name w:val="Caption (fig &amp; table) Char"/>
    <w:link w:val="Captionfigtable"/>
    <w:rsid w:val="00C07CE0"/>
    <w:rPr>
      <w:rFonts w:ascii="Arial" w:eastAsia="MS Mincho" w:hAnsi="Arial" w:cs="Arial"/>
      <w:i/>
      <w:sz w:val="18"/>
      <w:lang w:eastAsia="en-US"/>
    </w:rPr>
  </w:style>
  <w:style w:type="character" w:styleId="af1">
    <w:name w:val="Unresolved Mention"/>
    <w:uiPriority w:val="99"/>
    <w:semiHidden/>
    <w:unhideWhenUsed/>
    <w:rsid w:val="00F634DB"/>
    <w:rPr>
      <w:color w:val="605E5C"/>
      <w:shd w:val="clear" w:color="auto" w:fill="E1DFDD"/>
    </w:rPr>
  </w:style>
  <w:style w:type="paragraph" w:customStyle="1" w:styleId="AbstractHeading">
    <w:name w:val="Abstract Heading"/>
    <w:basedOn w:val="1"/>
    <w:qFormat/>
    <w:rsid w:val="00246E7B"/>
    <w:pPr>
      <w:ind w:left="1134" w:right="1183"/>
    </w:pPr>
  </w:style>
  <w:style w:type="paragraph" w:customStyle="1" w:styleId="Abstracttext">
    <w:name w:val="Abstract text"/>
    <w:basedOn w:val="AbstractHeading"/>
    <w:qFormat/>
    <w:rsid w:val="00017B66"/>
    <w:pPr>
      <w:jc w:val="both"/>
    </w:pPr>
    <w:rPr>
      <w:b w:val="0"/>
      <w:bCs/>
    </w:rPr>
  </w:style>
  <w:style w:type="paragraph" w:customStyle="1" w:styleId="Keywordsheading">
    <w:name w:val="Keywords heading"/>
    <w:basedOn w:val="AbstractHeading"/>
    <w:qFormat/>
    <w:rsid w:val="00896AB3"/>
  </w:style>
  <w:style w:type="paragraph" w:customStyle="1" w:styleId="Keywordstext">
    <w:name w:val="Keywords text"/>
    <w:basedOn w:val="Keywordsheading"/>
    <w:qFormat/>
    <w:rsid w:val="000115A7"/>
    <w:rPr>
      <w:b w:val="0"/>
    </w:rPr>
  </w:style>
  <w:style w:type="character" w:customStyle="1" w:styleId="30">
    <w:name w:val="标题 3 字符"/>
    <w:link w:val="3"/>
    <w:uiPriority w:val="9"/>
    <w:rsid w:val="00266DF1"/>
    <w:rPr>
      <w:rFonts w:ascii="Arial" w:eastAsia="Times New Roman" w:hAnsi="Arial"/>
      <w:b/>
      <w:bCs/>
      <w:sz w:val="32"/>
      <w:szCs w:val="32"/>
      <w:lang w:val="en-GB" w:eastAsia="en-US"/>
    </w:rPr>
  </w:style>
  <w:style w:type="character" w:customStyle="1" w:styleId="15">
    <w:name w:val="15"/>
    <w:rsid w:val="00951A41"/>
    <w:rPr>
      <w:rFonts w:ascii="Arial" w:eastAsia="MS Mincho" w:hAnsi="Arial" w:cs="Arial" w:hint="default"/>
      <w:i/>
      <w:sz w:val="18"/>
      <w:szCs w:val="18"/>
    </w:rPr>
  </w:style>
  <w:style w:type="paragraph" w:styleId="af2">
    <w:name w:val="Normal (Web)"/>
    <w:basedOn w:val="a"/>
    <w:uiPriority w:val="99"/>
    <w:semiHidden/>
    <w:unhideWhenUsed/>
    <w:rsid w:val="00207072"/>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18517">
      <w:bodyDiv w:val="1"/>
      <w:marLeft w:val="0"/>
      <w:marRight w:val="0"/>
      <w:marTop w:val="0"/>
      <w:marBottom w:val="0"/>
      <w:divBdr>
        <w:top w:val="none" w:sz="0" w:space="0" w:color="auto"/>
        <w:left w:val="none" w:sz="0" w:space="0" w:color="auto"/>
        <w:bottom w:val="none" w:sz="0" w:space="0" w:color="auto"/>
        <w:right w:val="none" w:sz="0" w:space="0" w:color="auto"/>
      </w:divBdr>
      <w:divsChild>
        <w:div w:id="1301038572">
          <w:marLeft w:val="0"/>
          <w:marRight w:val="0"/>
          <w:marTop w:val="0"/>
          <w:marBottom w:val="0"/>
          <w:divBdr>
            <w:top w:val="none" w:sz="0" w:space="0" w:color="auto"/>
            <w:left w:val="none" w:sz="0" w:space="0" w:color="auto"/>
            <w:bottom w:val="none" w:sz="0" w:space="0" w:color="auto"/>
            <w:right w:val="none" w:sz="0" w:space="0" w:color="auto"/>
          </w:divBdr>
        </w:div>
      </w:divsChild>
    </w:div>
    <w:div w:id="130755402">
      <w:bodyDiv w:val="1"/>
      <w:marLeft w:val="0"/>
      <w:marRight w:val="0"/>
      <w:marTop w:val="0"/>
      <w:marBottom w:val="0"/>
      <w:divBdr>
        <w:top w:val="none" w:sz="0" w:space="0" w:color="auto"/>
        <w:left w:val="none" w:sz="0" w:space="0" w:color="auto"/>
        <w:bottom w:val="none" w:sz="0" w:space="0" w:color="auto"/>
        <w:right w:val="none" w:sz="0" w:space="0" w:color="auto"/>
      </w:divBdr>
    </w:div>
    <w:div w:id="140006531">
      <w:bodyDiv w:val="1"/>
      <w:marLeft w:val="0"/>
      <w:marRight w:val="0"/>
      <w:marTop w:val="0"/>
      <w:marBottom w:val="0"/>
      <w:divBdr>
        <w:top w:val="none" w:sz="0" w:space="0" w:color="auto"/>
        <w:left w:val="none" w:sz="0" w:space="0" w:color="auto"/>
        <w:bottom w:val="none" w:sz="0" w:space="0" w:color="auto"/>
        <w:right w:val="none" w:sz="0" w:space="0" w:color="auto"/>
      </w:divBdr>
      <w:divsChild>
        <w:div w:id="123232530">
          <w:marLeft w:val="0"/>
          <w:marRight w:val="0"/>
          <w:marTop w:val="0"/>
          <w:marBottom w:val="0"/>
          <w:divBdr>
            <w:top w:val="none" w:sz="0" w:space="0" w:color="auto"/>
            <w:left w:val="none" w:sz="0" w:space="0" w:color="auto"/>
            <w:bottom w:val="none" w:sz="0" w:space="0" w:color="auto"/>
            <w:right w:val="none" w:sz="0" w:space="0" w:color="auto"/>
          </w:divBdr>
        </w:div>
      </w:divsChild>
    </w:div>
    <w:div w:id="152064862">
      <w:bodyDiv w:val="1"/>
      <w:marLeft w:val="0"/>
      <w:marRight w:val="0"/>
      <w:marTop w:val="0"/>
      <w:marBottom w:val="0"/>
      <w:divBdr>
        <w:top w:val="none" w:sz="0" w:space="0" w:color="auto"/>
        <w:left w:val="none" w:sz="0" w:space="0" w:color="auto"/>
        <w:bottom w:val="none" w:sz="0" w:space="0" w:color="auto"/>
        <w:right w:val="none" w:sz="0" w:space="0" w:color="auto"/>
      </w:divBdr>
      <w:divsChild>
        <w:div w:id="1383990166">
          <w:marLeft w:val="0"/>
          <w:marRight w:val="0"/>
          <w:marTop w:val="0"/>
          <w:marBottom w:val="0"/>
          <w:divBdr>
            <w:top w:val="none" w:sz="0" w:space="0" w:color="auto"/>
            <w:left w:val="none" w:sz="0" w:space="0" w:color="auto"/>
            <w:bottom w:val="none" w:sz="0" w:space="0" w:color="auto"/>
            <w:right w:val="none" w:sz="0" w:space="0" w:color="auto"/>
          </w:divBdr>
        </w:div>
      </w:divsChild>
    </w:div>
    <w:div w:id="165217215">
      <w:bodyDiv w:val="1"/>
      <w:marLeft w:val="0"/>
      <w:marRight w:val="0"/>
      <w:marTop w:val="0"/>
      <w:marBottom w:val="0"/>
      <w:divBdr>
        <w:top w:val="none" w:sz="0" w:space="0" w:color="auto"/>
        <w:left w:val="none" w:sz="0" w:space="0" w:color="auto"/>
        <w:bottom w:val="none" w:sz="0" w:space="0" w:color="auto"/>
        <w:right w:val="none" w:sz="0" w:space="0" w:color="auto"/>
      </w:divBdr>
    </w:div>
    <w:div w:id="173539957">
      <w:bodyDiv w:val="1"/>
      <w:marLeft w:val="0"/>
      <w:marRight w:val="0"/>
      <w:marTop w:val="0"/>
      <w:marBottom w:val="0"/>
      <w:divBdr>
        <w:top w:val="none" w:sz="0" w:space="0" w:color="auto"/>
        <w:left w:val="none" w:sz="0" w:space="0" w:color="auto"/>
        <w:bottom w:val="none" w:sz="0" w:space="0" w:color="auto"/>
        <w:right w:val="none" w:sz="0" w:space="0" w:color="auto"/>
      </w:divBdr>
      <w:divsChild>
        <w:div w:id="1956060659">
          <w:marLeft w:val="0"/>
          <w:marRight w:val="0"/>
          <w:marTop w:val="0"/>
          <w:marBottom w:val="0"/>
          <w:divBdr>
            <w:top w:val="none" w:sz="0" w:space="0" w:color="auto"/>
            <w:left w:val="none" w:sz="0" w:space="0" w:color="auto"/>
            <w:bottom w:val="none" w:sz="0" w:space="0" w:color="auto"/>
            <w:right w:val="none" w:sz="0" w:space="0" w:color="auto"/>
          </w:divBdr>
        </w:div>
      </w:divsChild>
    </w:div>
    <w:div w:id="180634087">
      <w:bodyDiv w:val="1"/>
      <w:marLeft w:val="0"/>
      <w:marRight w:val="0"/>
      <w:marTop w:val="0"/>
      <w:marBottom w:val="0"/>
      <w:divBdr>
        <w:top w:val="none" w:sz="0" w:space="0" w:color="auto"/>
        <w:left w:val="none" w:sz="0" w:space="0" w:color="auto"/>
        <w:bottom w:val="none" w:sz="0" w:space="0" w:color="auto"/>
        <w:right w:val="none" w:sz="0" w:space="0" w:color="auto"/>
      </w:divBdr>
    </w:div>
    <w:div w:id="230502853">
      <w:bodyDiv w:val="1"/>
      <w:marLeft w:val="0"/>
      <w:marRight w:val="0"/>
      <w:marTop w:val="0"/>
      <w:marBottom w:val="0"/>
      <w:divBdr>
        <w:top w:val="none" w:sz="0" w:space="0" w:color="auto"/>
        <w:left w:val="none" w:sz="0" w:space="0" w:color="auto"/>
        <w:bottom w:val="none" w:sz="0" w:space="0" w:color="auto"/>
        <w:right w:val="none" w:sz="0" w:space="0" w:color="auto"/>
      </w:divBdr>
    </w:div>
    <w:div w:id="292492230">
      <w:bodyDiv w:val="1"/>
      <w:marLeft w:val="0"/>
      <w:marRight w:val="0"/>
      <w:marTop w:val="0"/>
      <w:marBottom w:val="0"/>
      <w:divBdr>
        <w:top w:val="none" w:sz="0" w:space="0" w:color="auto"/>
        <w:left w:val="none" w:sz="0" w:space="0" w:color="auto"/>
        <w:bottom w:val="none" w:sz="0" w:space="0" w:color="auto"/>
        <w:right w:val="none" w:sz="0" w:space="0" w:color="auto"/>
      </w:divBdr>
    </w:div>
    <w:div w:id="305596919">
      <w:bodyDiv w:val="1"/>
      <w:marLeft w:val="0"/>
      <w:marRight w:val="0"/>
      <w:marTop w:val="0"/>
      <w:marBottom w:val="0"/>
      <w:divBdr>
        <w:top w:val="none" w:sz="0" w:space="0" w:color="auto"/>
        <w:left w:val="none" w:sz="0" w:space="0" w:color="auto"/>
        <w:bottom w:val="none" w:sz="0" w:space="0" w:color="auto"/>
        <w:right w:val="none" w:sz="0" w:space="0" w:color="auto"/>
      </w:divBdr>
    </w:div>
    <w:div w:id="357658493">
      <w:bodyDiv w:val="1"/>
      <w:marLeft w:val="0"/>
      <w:marRight w:val="0"/>
      <w:marTop w:val="0"/>
      <w:marBottom w:val="0"/>
      <w:divBdr>
        <w:top w:val="none" w:sz="0" w:space="0" w:color="auto"/>
        <w:left w:val="none" w:sz="0" w:space="0" w:color="auto"/>
        <w:bottom w:val="none" w:sz="0" w:space="0" w:color="auto"/>
        <w:right w:val="none" w:sz="0" w:space="0" w:color="auto"/>
      </w:divBdr>
    </w:div>
    <w:div w:id="372118430">
      <w:bodyDiv w:val="1"/>
      <w:marLeft w:val="0"/>
      <w:marRight w:val="0"/>
      <w:marTop w:val="0"/>
      <w:marBottom w:val="0"/>
      <w:divBdr>
        <w:top w:val="none" w:sz="0" w:space="0" w:color="auto"/>
        <w:left w:val="none" w:sz="0" w:space="0" w:color="auto"/>
        <w:bottom w:val="none" w:sz="0" w:space="0" w:color="auto"/>
        <w:right w:val="none" w:sz="0" w:space="0" w:color="auto"/>
      </w:divBdr>
    </w:div>
    <w:div w:id="392505857">
      <w:bodyDiv w:val="1"/>
      <w:marLeft w:val="0"/>
      <w:marRight w:val="0"/>
      <w:marTop w:val="0"/>
      <w:marBottom w:val="0"/>
      <w:divBdr>
        <w:top w:val="none" w:sz="0" w:space="0" w:color="auto"/>
        <w:left w:val="none" w:sz="0" w:space="0" w:color="auto"/>
        <w:bottom w:val="none" w:sz="0" w:space="0" w:color="auto"/>
        <w:right w:val="none" w:sz="0" w:space="0" w:color="auto"/>
      </w:divBdr>
    </w:div>
    <w:div w:id="459346932">
      <w:bodyDiv w:val="1"/>
      <w:marLeft w:val="0"/>
      <w:marRight w:val="0"/>
      <w:marTop w:val="0"/>
      <w:marBottom w:val="0"/>
      <w:divBdr>
        <w:top w:val="none" w:sz="0" w:space="0" w:color="auto"/>
        <w:left w:val="none" w:sz="0" w:space="0" w:color="auto"/>
        <w:bottom w:val="none" w:sz="0" w:space="0" w:color="auto"/>
        <w:right w:val="none" w:sz="0" w:space="0" w:color="auto"/>
      </w:divBdr>
      <w:divsChild>
        <w:div w:id="1233420224">
          <w:marLeft w:val="0"/>
          <w:marRight w:val="0"/>
          <w:marTop w:val="0"/>
          <w:marBottom w:val="0"/>
          <w:divBdr>
            <w:top w:val="none" w:sz="0" w:space="0" w:color="auto"/>
            <w:left w:val="none" w:sz="0" w:space="0" w:color="auto"/>
            <w:bottom w:val="none" w:sz="0" w:space="0" w:color="auto"/>
            <w:right w:val="none" w:sz="0" w:space="0" w:color="auto"/>
          </w:divBdr>
        </w:div>
      </w:divsChild>
    </w:div>
    <w:div w:id="515074006">
      <w:bodyDiv w:val="1"/>
      <w:marLeft w:val="0"/>
      <w:marRight w:val="0"/>
      <w:marTop w:val="0"/>
      <w:marBottom w:val="0"/>
      <w:divBdr>
        <w:top w:val="none" w:sz="0" w:space="0" w:color="auto"/>
        <w:left w:val="none" w:sz="0" w:space="0" w:color="auto"/>
        <w:bottom w:val="none" w:sz="0" w:space="0" w:color="auto"/>
        <w:right w:val="none" w:sz="0" w:space="0" w:color="auto"/>
      </w:divBdr>
    </w:div>
    <w:div w:id="520632198">
      <w:bodyDiv w:val="1"/>
      <w:marLeft w:val="0"/>
      <w:marRight w:val="0"/>
      <w:marTop w:val="0"/>
      <w:marBottom w:val="0"/>
      <w:divBdr>
        <w:top w:val="none" w:sz="0" w:space="0" w:color="auto"/>
        <w:left w:val="none" w:sz="0" w:space="0" w:color="auto"/>
        <w:bottom w:val="none" w:sz="0" w:space="0" w:color="auto"/>
        <w:right w:val="none" w:sz="0" w:space="0" w:color="auto"/>
      </w:divBdr>
      <w:divsChild>
        <w:div w:id="829324668">
          <w:marLeft w:val="0"/>
          <w:marRight w:val="0"/>
          <w:marTop w:val="0"/>
          <w:marBottom w:val="0"/>
          <w:divBdr>
            <w:top w:val="none" w:sz="0" w:space="0" w:color="auto"/>
            <w:left w:val="none" w:sz="0" w:space="0" w:color="auto"/>
            <w:bottom w:val="none" w:sz="0" w:space="0" w:color="auto"/>
            <w:right w:val="none" w:sz="0" w:space="0" w:color="auto"/>
          </w:divBdr>
        </w:div>
      </w:divsChild>
    </w:div>
    <w:div w:id="612175832">
      <w:bodyDiv w:val="1"/>
      <w:marLeft w:val="0"/>
      <w:marRight w:val="0"/>
      <w:marTop w:val="0"/>
      <w:marBottom w:val="0"/>
      <w:divBdr>
        <w:top w:val="none" w:sz="0" w:space="0" w:color="auto"/>
        <w:left w:val="none" w:sz="0" w:space="0" w:color="auto"/>
        <w:bottom w:val="none" w:sz="0" w:space="0" w:color="auto"/>
        <w:right w:val="none" w:sz="0" w:space="0" w:color="auto"/>
      </w:divBdr>
      <w:divsChild>
        <w:div w:id="1299726428">
          <w:marLeft w:val="0"/>
          <w:marRight w:val="0"/>
          <w:marTop w:val="0"/>
          <w:marBottom w:val="0"/>
          <w:divBdr>
            <w:top w:val="none" w:sz="0" w:space="0" w:color="auto"/>
            <w:left w:val="none" w:sz="0" w:space="0" w:color="auto"/>
            <w:bottom w:val="none" w:sz="0" w:space="0" w:color="auto"/>
            <w:right w:val="none" w:sz="0" w:space="0" w:color="auto"/>
          </w:divBdr>
        </w:div>
      </w:divsChild>
    </w:div>
    <w:div w:id="626161025">
      <w:bodyDiv w:val="1"/>
      <w:marLeft w:val="0"/>
      <w:marRight w:val="0"/>
      <w:marTop w:val="0"/>
      <w:marBottom w:val="0"/>
      <w:divBdr>
        <w:top w:val="none" w:sz="0" w:space="0" w:color="auto"/>
        <w:left w:val="none" w:sz="0" w:space="0" w:color="auto"/>
        <w:bottom w:val="none" w:sz="0" w:space="0" w:color="auto"/>
        <w:right w:val="none" w:sz="0" w:space="0" w:color="auto"/>
      </w:divBdr>
    </w:div>
    <w:div w:id="819729769">
      <w:bodyDiv w:val="1"/>
      <w:marLeft w:val="0"/>
      <w:marRight w:val="0"/>
      <w:marTop w:val="0"/>
      <w:marBottom w:val="0"/>
      <w:divBdr>
        <w:top w:val="none" w:sz="0" w:space="0" w:color="auto"/>
        <w:left w:val="none" w:sz="0" w:space="0" w:color="auto"/>
        <w:bottom w:val="none" w:sz="0" w:space="0" w:color="auto"/>
        <w:right w:val="none" w:sz="0" w:space="0" w:color="auto"/>
      </w:divBdr>
    </w:div>
    <w:div w:id="903032444">
      <w:bodyDiv w:val="1"/>
      <w:marLeft w:val="0"/>
      <w:marRight w:val="0"/>
      <w:marTop w:val="0"/>
      <w:marBottom w:val="0"/>
      <w:divBdr>
        <w:top w:val="none" w:sz="0" w:space="0" w:color="auto"/>
        <w:left w:val="none" w:sz="0" w:space="0" w:color="auto"/>
        <w:bottom w:val="none" w:sz="0" w:space="0" w:color="auto"/>
        <w:right w:val="none" w:sz="0" w:space="0" w:color="auto"/>
      </w:divBdr>
    </w:div>
    <w:div w:id="910388345">
      <w:bodyDiv w:val="1"/>
      <w:marLeft w:val="0"/>
      <w:marRight w:val="0"/>
      <w:marTop w:val="0"/>
      <w:marBottom w:val="0"/>
      <w:divBdr>
        <w:top w:val="none" w:sz="0" w:space="0" w:color="auto"/>
        <w:left w:val="none" w:sz="0" w:space="0" w:color="auto"/>
        <w:bottom w:val="none" w:sz="0" w:space="0" w:color="auto"/>
        <w:right w:val="none" w:sz="0" w:space="0" w:color="auto"/>
      </w:divBdr>
    </w:div>
    <w:div w:id="944267490">
      <w:bodyDiv w:val="1"/>
      <w:marLeft w:val="0"/>
      <w:marRight w:val="0"/>
      <w:marTop w:val="0"/>
      <w:marBottom w:val="0"/>
      <w:divBdr>
        <w:top w:val="none" w:sz="0" w:space="0" w:color="auto"/>
        <w:left w:val="none" w:sz="0" w:space="0" w:color="auto"/>
        <w:bottom w:val="none" w:sz="0" w:space="0" w:color="auto"/>
        <w:right w:val="none" w:sz="0" w:space="0" w:color="auto"/>
      </w:divBdr>
      <w:divsChild>
        <w:div w:id="207306361">
          <w:marLeft w:val="0"/>
          <w:marRight w:val="0"/>
          <w:marTop w:val="0"/>
          <w:marBottom w:val="0"/>
          <w:divBdr>
            <w:top w:val="none" w:sz="0" w:space="0" w:color="auto"/>
            <w:left w:val="none" w:sz="0" w:space="0" w:color="auto"/>
            <w:bottom w:val="none" w:sz="0" w:space="0" w:color="auto"/>
            <w:right w:val="none" w:sz="0" w:space="0" w:color="auto"/>
          </w:divBdr>
        </w:div>
      </w:divsChild>
    </w:div>
    <w:div w:id="1036782465">
      <w:bodyDiv w:val="1"/>
      <w:marLeft w:val="0"/>
      <w:marRight w:val="0"/>
      <w:marTop w:val="0"/>
      <w:marBottom w:val="0"/>
      <w:divBdr>
        <w:top w:val="none" w:sz="0" w:space="0" w:color="auto"/>
        <w:left w:val="none" w:sz="0" w:space="0" w:color="auto"/>
        <w:bottom w:val="none" w:sz="0" w:space="0" w:color="auto"/>
        <w:right w:val="none" w:sz="0" w:space="0" w:color="auto"/>
      </w:divBdr>
      <w:divsChild>
        <w:div w:id="1339582243">
          <w:marLeft w:val="0"/>
          <w:marRight w:val="0"/>
          <w:marTop w:val="0"/>
          <w:marBottom w:val="0"/>
          <w:divBdr>
            <w:top w:val="none" w:sz="0" w:space="0" w:color="auto"/>
            <w:left w:val="none" w:sz="0" w:space="0" w:color="auto"/>
            <w:bottom w:val="none" w:sz="0" w:space="0" w:color="auto"/>
            <w:right w:val="none" w:sz="0" w:space="0" w:color="auto"/>
          </w:divBdr>
        </w:div>
      </w:divsChild>
    </w:div>
    <w:div w:id="1063286443">
      <w:bodyDiv w:val="1"/>
      <w:marLeft w:val="0"/>
      <w:marRight w:val="0"/>
      <w:marTop w:val="0"/>
      <w:marBottom w:val="0"/>
      <w:divBdr>
        <w:top w:val="none" w:sz="0" w:space="0" w:color="auto"/>
        <w:left w:val="none" w:sz="0" w:space="0" w:color="auto"/>
        <w:bottom w:val="none" w:sz="0" w:space="0" w:color="auto"/>
        <w:right w:val="none" w:sz="0" w:space="0" w:color="auto"/>
      </w:divBdr>
      <w:divsChild>
        <w:div w:id="2095470500">
          <w:marLeft w:val="0"/>
          <w:marRight w:val="0"/>
          <w:marTop w:val="0"/>
          <w:marBottom w:val="0"/>
          <w:divBdr>
            <w:top w:val="none" w:sz="0" w:space="0" w:color="auto"/>
            <w:left w:val="none" w:sz="0" w:space="0" w:color="auto"/>
            <w:bottom w:val="none" w:sz="0" w:space="0" w:color="auto"/>
            <w:right w:val="none" w:sz="0" w:space="0" w:color="auto"/>
          </w:divBdr>
        </w:div>
      </w:divsChild>
    </w:div>
    <w:div w:id="1126583044">
      <w:bodyDiv w:val="1"/>
      <w:marLeft w:val="0"/>
      <w:marRight w:val="0"/>
      <w:marTop w:val="0"/>
      <w:marBottom w:val="0"/>
      <w:divBdr>
        <w:top w:val="none" w:sz="0" w:space="0" w:color="auto"/>
        <w:left w:val="none" w:sz="0" w:space="0" w:color="auto"/>
        <w:bottom w:val="none" w:sz="0" w:space="0" w:color="auto"/>
        <w:right w:val="none" w:sz="0" w:space="0" w:color="auto"/>
      </w:divBdr>
    </w:div>
    <w:div w:id="1171405853">
      <w:bodyDiv w:val="1"/>
      <w:marLeft w:val="0"/>
      <w:marRight w:val="0"/>
      <w:marTop w:val="0"/>
      <w:marBottom w:val="0"/>
      <w:divBdr>
        <w:top w:val="none" w:sz="0" w:space="0" w:color="auto"/>
        <w:left w:val="none" w:sz="0" w:space="0" w:color="auto"/>
        <w:bottom w:val="none" w:sz="0" w:space="0" w:color="auto"/>
        <w:right w:val="none" w:sz="0" w:space="0" w:color="auto"/>
      </w:divBdr>
    </w:div>
    <w:div w:id="1209957801">
      <w:bodyDiv w:val="1"/>
      <w:marLeft w:val="0"/>
      <w:marRight w:val="0"/>
      <w:marTop w:val="0"/>
      <w:marBottom w:val="0"/>
      <w:divBdr>
        <w:top w:val="none" w:sz="0" w:space="0" w:color="auto"/>
        <w:left w:val="none" w:sz="0" w:space="0" w:color="auto"/>
        <w:bottom w:val="none" w:sz="0" w:space="0" w:color="auto"/>
        <w:right w:val="none" w:sz="0" w:space="0" w:color="auto"/>
      </w:divBdr>
    </w:div>
    <w:div w:id="1244871976">
      <w:bodyDiv w:val="1"/>
      <w:marLeft w:val="0"/>
      <w:marRight w:val="0"/>
      <w:marTop w:val="0"/>
      <w:marBottom w:val="0"/>
      <w:divBdr>
        <w:top w:val="none" w:sz="0" w:space="0" w:color="auto"/>
        <w:left w:val="none" w:sz="0" w:space="0" w:color="auto"/>
        <w:bottom w:val="none" w:sz="0" w:space="0" w:color="auto"/>
        <w:right w:val="none" w:sz="0" w:space="0" w:color="auto"/>
      </w:divBdr>
    </w:div>
    <w:div w:id="1257861518">
      <w:bodyDiv w:val="1"/>
      <w:marLeft w:val="0"/>
      <w:marRight w:val="0"/>
      <w:marTop w:val="0"/>
      <w:marBottom w:val="0"/>
      <w:divBdr>
        <w:top w:val="none" w:sz="0" w:space="0" w:color="auto"/>
        <w:left w:val="none" w:sz="0" w:space="0" w:color="auto"/>
        <w:bottom w:val="none" w:sz="0" w:space="0" w:color="auto"/>
        <w:right w:val="none" w:sz="0" w:space="0" w:color="auto"/>
      </w:divBdr>
    </w:div>
    <w:div w:id="1282565563">
      <w:bodyDiv w:val="1"/>
      <w:marLeft w:val="0"/>
      <w:marRight w:val="0"/>
      <w:marTop w:val="0"/>
      <w:marBottom w:val="0"/>
      <w:divBdr>
        <w:top w:val="none" w:sz="0" w:space="0" w:color="auto"/>
        <w:left w:val="none" w:sz="0" w:space="0" w:color="auto"/>
        <w:bottom w:val="none" w:sz="0" w:space="0" w:color="auto"/>
        <w:right w:val="none" w:sz="0" w:space="0" w:color="auto"/>
      </w:divBdr>
    </w:div>
    <w:div w:id="1325743176">
      <w:bodyDiv w:val="1"/>
      <w:marLeft w:val="0"/>
      <w:marRight w:val="0"/>
      <w:marTop w:val="0"/>
      <w:marBottom w:val="0"/>
      <w:divBdr>
        <w:top w:val="none" w:sz="0" w:space="0" w:color="auto"/>
        <w:left w:val="none" w:sz="0" w:space="0" w:color="auto"/>
        <w:bottom w:val="none" w:sz="0" w:space="0" w:color="auto"/>
        <w:right w:val="none" w:sz="0" w:space="0" w:color="auto"/>
      </w:divBdr>
    </w:div>
    <w:div w:id="1392265948">
      <w:bodyDiv w:val="1"/>
      <w:marLeft w:val="0"/>
      <w:marRight w:val="0"/>
      <w:marTop w:val="0"/>
      <w:marBottom w:val="0"/>
      <w:divBdr>
        <w:top w:val="none" w:sz="0" w:space="0" w:color="auto"/>
        <w:left w:val="none" w:sz="0" w:space="0" w:color="auto"/>
        <w:bottom w:val="none" w:sz="0" w:space="0" w:color="auto"/>
        <w:right w:val="none" w:sz="0" w:space="0" w:color="auto"/>
      </w:divBdr>
    </w:div>
    <w:div w:id="1473986489">
      <w:bodyDiv w:val="1"/>
      <w:marLeft w:val="0"/>
      <w:marRight w:val="0"/>
      <w:marTop w:val="0"/>
      <w:marBottom w:val="0"/>
      <w:divBdr>
        <w:top w:val="none" w:sz="0" w:space="0" w:color="auto"/>
        <w:left w:val="none" w:sz="0" w:space="0" w:color="auto"/>
        <w:bottom w:val="none" w:sz="0" w:space="0" w:color="auto"/>
        <w:right w:val="none" w:sz="0" w:space="0" w:color="auto"/>
      </w:divBdr>
    </w:div>
    <w:div w:id="1481269003">
      <w:bodyDiv w:val="1"/>
      <w:marLeft w:val="0"/>
      <w:marRight w:val="0"/>
      <w:marTop w:val="0"/>
      <w:marBottom w:val="0"/>
      <w:divBdr>
        <w:top w:val="none" w:sz="0" w:space="0" w:color="auto"/>
        <w:left w:val="none" w:sz="0" w:space="0" w:color="auto"/>
        <w:bottom w:val="none" w:sz="0" w:space="0" w:color="auto"/>
        <w:right w:val="none" w:sz="0" w:space="0" w:color="auto"/>
      </w:divBdr>
    </w:div>
    <w:div w:id="1624965644">
      <w:bodyDiv w:val="1"/>
      <w:marLeft w:val="0"/>
      <w:marRight w:val="0"/>
      <w:marTop w:val="0"/>
      <w:marBottom w:val="0"/>
      <w:divBdr>
        <w:top w:val="none" w:sz="0" w:space="0" w:color="auto"/>
        <w:left w:val="none" w:sz="0" w:space="0" w:color="auto"/>
        <w:bottom w:val="none" w:sz="0" w:space="0" w:color="auto"/>
        <w:right w:val="none" w:sz="0" w:space="0" w:color="auto"/>
      </w:divBdr>
      <w:divsChild>
        <w:div w:id="1340304057">
          <w:marLeft w:val="0"/>
          <w:marRight w:val="0"/>
          <w:marTop w:val="0"/>
          <w:marBottom w:val="0"/>
          <w:divBdr>
            <w:top w:val="none" w:sz="0" w:space="0" w:color="auto"/>
            <w:left w:val="none" w:sz="0" w:space="0" w:color="auto"/>
            <w:bottom w:val="none" w:sz="0" w:space="0" w:color="auto"/>
            <w:right w:val="none" w:sz="0" w:space="0" w:color="auto"/>
          </w:divBdr>
        </w:div>
      </w:divsChild>
    </w:div>
    <w:div w:id="1675837985">
      <w:bodyDiv w:val="1"/>
      <w:marLeft w:val="0"/>
      <w:marRight w:val="0"/>
      <w:marTop w:val="0"/>
      <w:marBottom w:val="0"/>
      <w:divBdr>
        <w:top w:val="none" w:sz="0" w:space="0" w:color="auto"/>
        <w:left w:val="none" w:sz="0" w:space="0" w:color="auto"/>
        <w:bottom w:val="none" w:sz="0" w:space="0" w:color="auto"/>
        <w:right w:val="none" w:sz="0" w:space="0" w:color="auto"/>
      </w:divBdr>
    </w:div>
    <w:div w:id="1680237622">
      <w:bodyDiv w:val="1"/>
      <w:marLeft w:val="0"/>
      <w:marRight w:val="0"/>
      <w:marTop w:val="0"/>
      <w:marBottom w:val="0"/>
      <w:divBdr>
        <w:top w:val="none" w:sz="0" w:space="0" w:color="auto"/>
        <w:left w:val="none" w:sz="0" w:space="0" w:color="auto"/>
        <w:bottom w:val="none" w:sz="0" w:space="0" w:color="auto"/>
        <w:right w:val="none" w:sz="0" w:space="0" w:color="auto"/>
      </w:divBdr>
      <w:divsChild>
        <w:div w:id="1818833979">
          <w:marLeft w:val="0"/>
          <w:marRight w:val="0"/>
          <w:marTop w:val="0"/>
          <w:marBottom w:val="0"/>
          <w:divBdr>
            <w:top w:val="none" w:sz="0" w:space="0" w:color="auto"/>
            <w:left w:val="none" w:sz="0" w:space="0" w:color="auto"/>
            <w:bottom w:val="none" w:sz="0" w:space="0" w:color="auto"/>
            <w:right w:val="none" w:sz="0" w:space="0" w:color="auto"/>
          </w:divBdr>
        </w:div>
      </w:divsChild>
    </w:div>
    <w:div w:id="1746997264">
      <w:bodyDiv w:val="1"/>
      <w:marLeft w:val="0"/>
      <w:marRight w:val="0"/>
      <w:marTop w:val="0"/>
      <w:marBottom w:val="0"/>
      <w:divBdr>
        <w:top w:val="none" w:sz="0" w:space="0" w:color="auto"/>
        <w:left w:val="none" w:sz="0" w:space="0" w:color="auto"/>
        <w:bottom w:val="none" w:sz="0" w:space="0" w:color="auto"/>
        <w:right w:val="none" w:sz="0" w:space="0" w:color="auto"/>
      </w:divBdr>
      <w:divsChild>
        <w:div w:id="1046098276">
          <w:marLeft w:val="0"/>
          <w:marRight w:val="0"/>
          <w:marTop w:val="0"/>
          <w:marBottom w:val="0"/>
          <w:divBdr>
            <w:top w:val="none" w:sz="0" w:space="0" w:color="auto"/>
            <w:left w:val="none" w:sz="0" w:space="0" w:color="auto"/>
            <w:bottom w:val="none" w:sz="0" w:space="0" w:color="auto"/>
            <w:right w:val="none" w:sz="0" w:space="0" w:color="auto"/>
          </w:divBdr>
        </w:div>
      </w:divsChild>
    </w:div>
    <w:div w:id="1747727554">
      <w:bodyDiv w:val="1"/>
      <w:marLeft w:val="0"/>
      <w:marRight w:val="0"/>
      <w:marTop w:val="0"/>
      <w:marBottom w:val="0"/>
      <w:divBdr>
        <w:top w:val="none" w:sz="0" w:space="0" w:color="auto"/>
        <w:left w:val="none" w:sz="0" w:space="0" w:color="auto"/>
        <w:bottom w:val="none" w:sz="0" w:space="0" w:color="auto"/>
        <w:right w:val="none" w:sz="0" w:space="0" w:color="auto"/>
      </w:divBdr>
    </w:div>
    <w:div w:id="1782063486">
      <w:bodyDiv w:val="1"/>
      <w:marLeft w:val="0"/>
      <w:marRight w:val="0"/>
      <w:marTop w:val="0"/>
      <w:marBottom w:val="0"/>
      <w:divBdr>
        <w:top w:val="none" w:sz="0" w:space="0" w:color="auto"/>
        <w:left w:val="none" w:sz="0" w:space="0" w:color="auto"/>
        <w:bottom w:val="none" w:sz="0" w:space="0" w:color="auto"/>
        <w:right w:val="none" w:sz="0" w:space="0" w:color="auto"/>
      </w:divBdr>
      <w:divsChild>
        <w:div w:id="2082291923">
          <w:marLeft w:val="0"/>
          <w:marRight w:val="0"/>
          <w:marTop w:val="0"/>
          <w:marBottom w:val="0"/>
          <w:divBdr>
            <w:top w:val="none" w:sz="0" w:space="0" w:color="auto"/>
            <w:left w:val="none" w:sz="0" w:space="0" w:color="auto"/>
            <w:bottom w:val="none" w:sz="0" w:space="0" w:color="auto"/>
            <w:right w:val="none" w:sz="0" w:space="0" w:color="auto"/>
          </w:divBdr>
        </w:div>
      </w:divsChild>
    </w:div>
    <w:div w:id="1785615806">
      <w:bodyDiv w:val="1"/>
      <w:marLeft w:val="0"/>
      <w:marRight w:val="0"/>
      <w:marTop w:val="0"/>
      <w:marBottom w:val="0"/>
      <w:divBdr>
        <w:top w:val="none" w:sz="0" w:space="0" w:color="auto"/>
        <w:left w:val="none" w:sz="0" w:space="0" w:color="auto"/>
        <w:bottom w:val="none" w:sz="0" w:space="0" w:color="auto"/>
        <w:right w:val="none" w:sz="0" w:space="0" w:color="auto"/>
      </w:divBdr>
      <w:divsChild>
        <w:div w:id="1799450885">
          <w:marLeft w:val="0"/>
          <w:marRight w:val="0"/>
          <w:marTop w:val="0"/>
          <w:marBottom w:val="0"/>
          <w:divBdr>
            <w:top w:val="none" w:sz="0" w:space="0" w:color="auto"/>
            <w:left w:val="none" w:sz="0" w:space="0" w:color="auto"/>
            <w:bottom w:val="none" w:sz="0" w:space="0" w:color="auto"/>
            <w:right w:val="none" w:sz="0" w:space="0" w:color="auto"/>
          </w:divBdr>
        </w:div>
      </w:divsChild>
    </w:div>
    <w:div w:id="1838613583">
      <w:bodyDiv w:val="1"/>
      <w:marLeft w:val="0"/>
      <w:marRight w:val="0"/>
      <w:marTop w:val="0"/>
      <w:marBottom w:val="0"/>
      <w:divBdr>
        <w:top w:val="none" w:sz="0" w:space="0" w:color="auto"/>
        <w:left w:val="none" w:sz="0" w:space="0" w:color="auto"/>
        <w:bottom w:val="none" w:sz="0" w:space="0" w:color="auto"/>
        <w:right w:val="none" w:sz="0" w:space="0" w:color="auto"/>
      </w:divBdr>
    </w:div>
    <w:div w:id="1860853372">
      <w:bodyDiv w:val="1"/>
      <w:marLeft w:val="0"/>
      <w:marRight w:val="0"/>
      <w:marTop w:val="0"/>
      <w:marBottom w:val="0"/>
      <w:divBdr>
        <w:top w:val="none" w:sz="0" w:space="0" w:color="auto"/>
        <w:left w:val="none" w:sz="0" w:space="0" w:color="auto"/>
        <w:bottom w:val="none" w:sz="0" w:space="0" w:color="auto"/>
        <w:right w:val="none" w:sz="0" w:space="0" w:color="auto"/>
      </w:divBdr>
    </w:div>
    <w:div w:id="1862890708">
      <w:bodyDiv w:val="1"/>
      <w:marLeft w:val="0"/>
      <w:marRight w:val="0"/>
      <w:marTop w:val="0"/>
      <w:marBottom w:val="0"/>
      <w:divBdr>
        <w:top w:val="none" w:sz="0" w:space="0" w:color="auto"/>
        <w:left w:val="none" w:sz="0" w:space="0" w:color="auto"/>
        <w:bottom w:val="none" w:sz="0" w:space="0" w:color="auto"/>
        <w:right w:val="none" w:sz="0" w:space="0" w:color="auto"/>
      </w:divBdr>
      <w:divsChild>
        <w:div w:id="1294019159">
          <w:marLeft w:val="0"/>
          <w:marRight w:val="0"/>
          <w:marTop w:val="0"/>
          <w:marBottom w:val="0"/>
          <w:divBdr>
            <w:top w:val="none" w:sz="0" w:space="0" w:color="auto"/>
            <w:left w:val="none" w:sz="0" w:space="0" w:color="auto"/>
            <w:bottom w:val="none" w:sz="0" w:space="0" w:color="auto"/>
            <w:right w:val="none" w:sz="0" w:space="0" w:color="auto"/>
          </w:divBdr>
        </w:div>
      </w:divsChild>
    </w:div>
    <w:div w:id="1932006548">
      <w:bodyDiv w:val="1"/>
      <w:marLeft w:val="0"/>
      <w:marRight w:val="0"/>
      <w:marTop w:val="0"/>
      <w:marBottom w:val="0"/>
      <w:divBdr>
        <w:top w:val="none" w:sz="0" w:space="0" w:color="auto"/>
        <w:left w:val="none" w:sz="0" w:space="0" w:color="auto"/>
        <w:bottom w:val="none" w:sz="0" w:space="0" w:color="auto"/>
        <w:right w:val="none" w:sz="0" w:space="0" w:color="auto"/>
      </w:divBdr>
      <w:divsChild>
        <w:div w:id="573396988">
          <w:marLeft w:val="0"/>
          <w:marRight w:val="0"/>
          <w:marTop w:val="0"/>
          <w:marBottom w:val="0"/>
          <w:divBdr>
            <w:top w:val="none" w:sz="0" w:space="0" w:color="auto"/>
            <w:left w:val="none" w:sz="0" w:space="0" w:color="auto"/>
            <w:bottom w:val="none" w:sz="0" w:space="0" w:color="auto"/>
            <w:right w:val="none" w:sz="0" w:space="0" w:color="auto"/>
          </w:divBdr>
        </w:div>
      </w:divsChild>
    </w:div>
    <w:div w:id="1954436221">
      <w:bodyDiv w:val="1"/>
      <w:marLeft w:val="0"/>
      <w:marRight w:val="0"/>
      <w:marTop w:val="0"/>
      <w:marBottom w:val="0"/>
      <w:divBdr>
        <w:top w:val="none" w:sz="0" w:space="0" w:color="auto"/>
        <w:left w:val="none" w:sz="0" w:space="0" w:color="auto"/>
        <w:bottom w:val="none" w:sz="0" w:space="0" w:color="auto"/>
        <w:right w:val="none" w:sz="0" w:space="0" w:color="auto"/>
      </w:divBdr>
    </w:div>
    <w:div w:id="1955213211">
      <w:bodyDiv w:val="1"/>
      <w:marLeft w:val="0"/>
      <w:marRight w:val="0"/>
      <w:marTop w:val="0"/>
      <w:marBottom w:val="0"/>
      <w:divBdr>
        <w:top w:val="none" w:sz="0" w:space="0" w:color="auto"/>
        <w:left w:val="none" w:sz="0" w:space="0" w:color="auto"/>
        <w:bottom w:val="none" w:sz="0" w:space="0" w:color="auto"/>
        <w:right w:val="none" w:sz="0" w:space="0" w:color="auto"/>
      </w:divBdr>
    </w:div>
    <w:div w:id="1996300838">
      <w:bodyDiv w:val="1"/>
      <w:marLeft w:val="0"/>
      <w:marRight w:val="0"/>
      <w:marTop w:val="0"/>
      <w:marBottom w:val="0"/>
      <w:divBdr>
        <w:top w:val="none" w:sz="0" w:space="0" w:color="auto"/>
        <w:left w:val="none" w:sz="0" w:space="0" w:color="auto"/>
        <w:bottom w:val="none" w:sz="0" w:space="0" w:color="auto"/>
        <w:right w:val="none" w:sz="0" w:space="0" w:color="auto"/>
      </w:divBdr>
    </w:div>
    <w:div w:id="2032031382">
      <w:bodyDiv w:val="1"/>
      <w:marLeft w:val="0"/>
      <w:marRight w:val="0"/>
      <w:marTop w:val="0"/>
      <w:marBottom w:val="0"/>
      <w:divBdr>
        <w:top w:val="none" w:sz="0" w:space="0" w:color="auto"/>
        <w:left w:val="none" w:sz="0" w:space="0" w:color="auto"/>
        <w:bottom w:val="none" w:sz="0" w:space="0" w:color="auto"/>
        <w:right w:val="none" w:sz="0" w:space="0" w:color="auto"/>
      </w:divBdr>
    </w:div>
    <w:div w:id="2054115387">
      <w:bodyDiv w:val="1"/>
      <w:marLeft w:val="0"/>
      <w:marRight w:val="0"/>
      <w:marTop w:val="0"/>
      <w:marBottom w:val="0"/>
      <w:divBdr>
        <w:top w:val="none" w:sz="0" w:space="0" w:color="auto"/>
        <w:left w:val="none" w:sz="0" w:space="0" w:color="auto"/>
        <w:bottom w:val="none" w:sz="0" w:space="0" w:color="auto"/>
        <w:right w:val="none" w:sz="0" w:space="0" w:color="auto"/>
      </w:divBdr>
    </w:div>
    <w:div w:id="2092040858">
      <w:bodyDiv w:val="1"/>
      <w:marLeft w:val="0"/>
      <w:marRight w:val="0"/>
      <w:marTop w:val="0"/>
      <w:marBottom w:val="0"/>
      <w:divBdr>
        <w:top w:val="none" w:sz="0" w:space="0" w:color="auto"/>
        <w:left w:val="none" w:sz="0" w:space="0" w:color="auto"/>
        <w:bottom w:val="none" w:sz="0" w:space="0" w:color="auto"/>
        <w:right w:val="none" w:sz="0" w:space="0" w:color="auto"/>
      </w:divBdr>
    </w:div>
    <w:div w:id="2125152406">
      <w:bodyDiv w:val="1"/>
      <w:marLeft w:val="0"/>
      <w:marRight w:val="0"/>
      <w:marTop w:val="0"/>
      <w:marBottom w:val="0"/>
      <w:divBdr>
        <w:top w:val="none" w:sz="0" w:space="0" w:color="auto"/>
        <w:left w:val="none" w:sz="0" w:space="0" w:color="auto"/>
        <w:bottom w:val="none" w:sz="0" w:space="0" w:color="auto"/>
        <w:right w:val="none" w:sz="0" w:space="0" w:color="auto"/>
      </w:divBdr>
    </w:div>
    <w:div w:id="2132286404">
      <w:bodyDiv w:val="1"/>
      <w:marLeft w:val="0"/>
      <w:marRight w:val="0"/>
      <w:marTop w:val="0"/>
      <w:marBottom w:val="0"/>
      <w:divBdr>
        <w:top w:val="none" w:sz="0" w:space="0" w:color="auto"/>
        <w:left w:val="none" w:sz="0" w:space="0" w:color="auto"/>
        <w:bottom w:val="none" w:sz="0" w:space="0" w:color="auto"/>
        <w:right w:val="none" w:sz="0" w:space="0" w:color="auto"/>
      </w:divBdr>
      <w:divsChild>
        <w:div w:id="9158249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6c96c53-fbaa-458c-8234-f032d09dee87"/>
    <lcf76f155ced4ddcb4097134ff3c332f xmlns="f0c98dcc-332f-4f33-92b8-9fa3a3f16af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A4966ED4033A4A83F4B1AB21983F26" ma:contentTypeVersion="11" ma:contentTypeDescription="Create a new document." ma:contentTypeScope="" ma:versionID="bc7703226245dc332de5e20b76d0f18c">
  <xsd:schema xmlns:xsd="http://www.w3.org/2001/XMLSchema" xmlns:xs="http://www.w3.org/2001/XMLSchema" xmlns:p="http://schemas.microsoft.com/office/2006/metadata/properties" xmlns:ns2="f0c98dcc-332f-4f33-92b8-9fa3a3f16af2" xmlns:ns3="06c96c53-fbaa-458c-8234-f032d09dee87" targetNamespace="http://schemas.microsoft.com/office/2006/metadata/properties" ma:root="true" ma:fieldsID="77baf9c28f83b24495c24c060375f598" ns2:_="" ns3:_="">
    <xsd:import namespace="f0c98dcc-332f-4f33-92b8-9fa3a3f16af2"/>
    <xsd:import namespace="06c96c53-fbaa-458c-8234-f032d09dee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8dcc-332f-4f33-92b8-9fa3a3f16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e5f84b-6ca5-478f-9f05-3b2f85c90b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c96c53-fbaa-458c-8234-f032d09dee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d038f5-d162-4f25-bec2-c079cac5e35c}" ma:internalName="TaxCatchAll" ma:showField="CatchAllData" ma:web="06c96c53-fbaa-458c-8234-f032d09dee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Jul02</b:Tag>
    <b:SourceType>Book</b:SourceType>
    <b:Guid>{2E6DB9DB-104D-49D8-A29A-C50713406C0C}</b:Guid>
    <b:Title>London's Environment</b:Title>
    <b:Year>2002</b:Year>
    <b:Author>
      <b:Author>
        <b:NameList>
          <b:Person>
            <b:Last>Hunt</b:Last>
            <b:First>Julian</b:First>
          </b:Person>
        </b:NameList>
      </b:Author>
    </b:Author>
    <b:City>London</b:City>
    <b:Publisher>Imperial College Press</b:Publisher>
    <b:RefOrder>1</b:RefOrder>
  </b:Source>
</b:Sources>
</file>

<file path=customXml/itemProps1.xml><?xml version="1.0" encoding="utf-8"?>
<ds:datastoreItem xmlns:ds="http://schemas.openxmlformats.org/officeDocument/2006/customXml" ds:itemID="{0B06F91D-13C6-469B-B0AA-24CA6B09C68D}">
  <ds:schemaRefs>
    <ds:schemaRef ds:uri="http://schemas.microsoft.com/office/2006/metadata/properties"/>
    <ds:schemaRef ds:uri="http://schemas.microsoft.com/office/infopath/2007/PartnerControls"/>
    <ds:schemaRef ds:uri="06c96c53-fbaa-458c-8234-f032d09dee87"/>
    <ds:schemaRef ds:uri="f0c98dcc-332f-4f33-92b8-9fa3a3f16af2"/>
  </ds:schemaRefs>
</ds:datastoreItem>
</file>

<file path=customXml/itemProps2.xml><?xml version="1.0" encoding="utf-8"?>
<ds:datastoreItem xmlns:ds="http://schemas.openxmlformats.org/officeDocument/2006/customXml" ds:itemID="{A822B88F-FF3F-4795-A6B0-9D609CBFB3CB}">
  <ds:schemaRefs>
    <ds:schemaRef ds:uri="http://schemas.microsoft.com/sharepoint/v3/contenttype/forms"/>
  </ds:schemaRefs>
</ds:datastoreItem>
</file>

<file path=customXml/itemProps3.xml><?xml version="1.0" encoding="utf-8"?>
<ds:datastoreItem xmlns:ds="http://schemas.openxmlformats.org/officeDocument/2006/customXml" ds:itemID="{B5B03EC5-148B-4BD5-AD09-853A278C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8dcc-332f-4f33-92b8-9fa3a3f16af2"/>
    <ds:schemaRef ds:uri="06c96c53-fbaa-458c-8234-f032d09de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AEBB80-E06B-4C6C-83F9-AF8C5FC63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9399</Words>
  <Characters>57431</Characters>
  <Application>Microsoft Office Word</Application>
  <DocSecurity>0</DocSecurity>
  <Lines>2208</Lines>
  <Paragraphs>636</Paragraphs>
  <ScaleCrop>false</ScaleCrop>
  <HeadingPairs>
    <vt:vector size="6" baseType="variant">
      <vt:variant>
        <vt:lpstr>Tytuł</vt:lpstr>
      </vt:variant>
      <vt:variant>
        <vt:i4>1</vt:i4>
      </vt:variant>
      <vt:variant>
        <vt:lpstr>Título</vt:lpstr>
      </vt:variant>
      <vt:variant>
        <vt:i4>1</vt:i4>
      </vt:variant>
      <vt:variant>
        <vt:lpstr>Title</vt:lpstr>
      </vt:variant>
      <vt:variant>
        <vt:i4>1</vt:i4>
      </vt:variant>
    </vt:vector>
  </HeadingPairs>
  <TitlesOfParts>
    <vt:vector size="3" baseType="lpstr">
      <vt:lpstr>PLEA 2020 Abtract template</vt:lpstr>
      <vt:lpstr>PLEA 2020 Abtract template</vt:lpstr>
      <vt:lpstr>PLEA 2020 Abtract template</vt:lpstr>
    </vt:vector>
  </TitlesOfParts>
  <Company>HMC Architects</Company>
  <LinksUpToDate>false</LinksUpToDate>
  <CharactersWithSpaces>66194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2020 Abtract template</dc:title>
  <dc:subject/>
  <dc:creator>Jorge Rodríguez Álvarez</dc:creator>
  <cp:keywords>PLEA 2020 Abstract;template</cp:keywords>
  <cp:lastModifiedBy>YANG Jiake</cp:lastModifiedBy>
  <cp:revision>3</cp:revision>
  <cp:lastPrinted>2013-03-18T18:30:00Z</cp:lastPrinted>
  <dcterms:created xsi:type="dcterms:W3CDTF">2025-05-18T03:55:00Z</dcterms:created>
  <dcterms:modified xsi:type="dcterms:W3CDTF">2025-05-18T03:55:00Z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606bcd327eacb082e42403ce383bdf9b1ccd2d2e72b67308a784b514e1f0b313</vt:lpwstr>
  </property>
  <property fmtid="{D5CDD505-2E9C-101B-9397-08002B2CF9AE}" pid="3" name="ZOTERO_PREF_1">
    <vt:lpwstr>&lt;data data-version="3" zotero-version="6.0.36"&gt;&lt;session id="tMCyNn9y"/&gt;&lt;style id="http://www.zotero.org/styles/apa" locale="en-GB" hasBibliography="1" bibliographyStyleHasBeenSet="1"/&gt;&lt;prefs&gt;&lt;pref name="fieldType" value="Field"/&gt;&lt;/prefs&gt;&lt;/data&gt;</vt:lpwstr>
  </property>
</Properties>
</file>