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196F6" w14:textId="4661ABA9" w:rsidR="005076E1" w:rsidRPr="00D6057A" w:rsidRDefault="00EB6953" w:rsidP="006E77D5">
      <w:pPr>
        <w:jc w:val="center"/>
        <w:rPr>
          <w:b/>
          <w:sz w:val="28"/>
          <w:szCs w:val="28"/>
        </w:rPr>
      </w:pPr>
      <w:r w:rsidRPr="00EB6953">
        <w:rPr>
          <w:b/>
          <w:sz w:val="28"/>
          <w:szCs w:val="28"/>
        </w:rPr>
        <w:t xml:space="preserve">Enhancing Early-Stage BIM–LCA Integration: </w:t>
      </w:r>
      <w:r w:rsidR="00FF3919">
        <w:rPr>
          <w:b/>
          <w:sz w:val="28"/>
          <w:szCs w:val="28"/>
        </w:rPr>
        <w:br/>
      </w:r>
      <w:r w:rsidR="00496BB0" w:rsidRPr="004D2D0D">
        <w:rPr>
          <w:b/>
          <w:sz w:val="28"/>
          <w:szCs w:val="28"/>
        </w:rPr>
        <w:t xml:space="preserve">bLCA as a </w:t>
      </w:r>
      <w:r w:rsidRPr="00EB6953">
        <w:rPr>
          <w:b/>
          <w:sz w:val="28"/>
          <w:szCs w:val="28"/>
        </w:rPr>
        <w:t>Further Development of the eLCA Platform</w:t>
      </w:r>
    </w:p>
    <w:p w14:paraId="0C3B0385" w14:textId="2BB19DBC" w:rsidR="005076E1" w:rsidRPr="00C638B4" w:rsidRDefault="00EB6953" w:rsidP="006D615B">
      <w:pPr>
        <w:pStyle w:val="Author"/>
        <w:spacing w:after="40"/>
        <w:jc w:val="center"/>
        <w:rPr>
          <w:rFonts w:ascii="Calibri" w:hAnsi="Calibri" w:cs="Calibri"/>
          <w:sz w:val="22"/>
          <w:szCs w:val="22"/>
          <w:lang w:val="de-DE"/>
        </w:rPr>
      </w:pPr>
      <w:r w:rsidRPr="00C638B4">
        <w:rPr>
          <w:rFonts w:ascii="Calibri" w:hAnsi="Calibri" w:cs="Calibri"/>
          <w:sz w:val="22"/>
          <w:szCs w:val="22"/>
          <w:lang w:val="de-DE"/>
        </w:rPr>
        <w:t>Cemre Karaoglan</w:t>
      </w:r>
      <w:r w:rsidRPr="00C638B4">
        <w:rPr>
          <w:rFonts w:ascii="Calibri" w:hAnsi="Calibri" w:cs="Calibri"/>
          <w:sz w:val="22"/>
          <w:szCs w:val="22"/>
          <w:vertAlign w:val="superscript"/>
          <w:lang w:val="de-DE"/>
        </w:rPr>
        <w:t>1, *</w:t>
      </w:r>
      <w:r w:rsidR="005076E1" w:rsidRPr="00C638B4">
        <w:rPr>
          <w:rFonts w:ascii="Calibri" w:hAnsi="Calibri" w:cs="Calibri"/>
          <w:sz w:val="22"/>
          <w:szCs w:val="22"/>
          <w:lang w:val="de-DE"/>
        </w:rPr>
        <w:t xml:space="preserve">, </w:t>
      </w:r>
      <w:r w:rsidRPr="00C638B4">
        <w:rPr>
          <w:rFonts w:ascii="Calibri" w:hAnsi="Calibri" w:cs="Calibri"/>
          <w:sz w:val="22"/>
          <w:szCs w:val="22"/>
          <w:lang w:val="de-DE"/>
        </w:rPr>
        <w:t>Elias Kufeld</w:t>
      </w:r>
      <w:r w:rsidRPr="00C638B4">
        <w:rPr>
          <w:rFonts w:ascii="Calibri" w:hAnsi="Calibri" w:cs="Calibri"/>
          <w:sz w:val="22"/>
          <w:szCs w:val="22"/>
          <w:vertAlign w:val="superscript"/>
          <w:lang w:val="de-DE"/>
        </w:rPr>
        <w:t>1</w:t>
      </w:r>
      <w:r w:rsidRPr="00C638B4">
        <w:rPr>
          <w:rFonts w:ascii="Calibri" w:hAnsi="Calibri" w:cs="Calibri"/>
          <w:sz w:val="22"/>
          <w:szCs w:val="22"/>
          <w:lang w:val="de-DE"/>
        </w:rPr>
        <w:t>, Malte Junge</w:t>
      </w:r>
      <w:r w:rsidRPr="00C638B4">
        <w:rPr>
          <w:rFonts w:ascii="Calibri" w:hAnsi="Calibri" w:cs="Calibri"/>
          <w:sz w:val="22"/>
          <w:szCs w:val="22"/>
          <w:vertAlign w:val="superscript"/>
          <w:lang w:val="de-DE"/>
        </w:rPr>
        <w:t>1</w:t>
      </w:r>
      <w:r w:rsidRPr="00C638B4">
        <w:rPr>
          <w:rFonts w:ascii="Calibri" w:hAnsi="Calibri" w:cs="Calibri"/>
          <w:sz w:val="22"/>
          <w:szCs w:val="22"/>
          <w:lang w:val="de-DE"/>
        </w:rPr>
        <w:t>,</w:t>
      </w:r>
      <w:r w:rsidR="007620F0" w:rsidRPr="00C638B4">
        <w:rPr>
          <w:rFonts w:ascii="Calibri" w:hAnsi="Calibri" w:cs="Calibri"/>
          <w:sz w:val="22"/>
          <w:szCs w:val="22"/>
          <w:lang w:val="de-DE"/>
        </w:rPr>
        <w:t xml:space="preserve"> </w:t>
      </w:r>
      <w:r w:rsidR="006D615B" w:rsidRPr="00C638B4">
        <w:rPr>
          <w:rFonts w:ascii="Calibri" w:hAnsi="Calibri" w:cs="Calibri"/>
          <w:sz w:val="22"/>
          <w:szCs w:val="22"/>
          <w:lang w:val="de-DE"/>
        </w:rPr>
        <w:t>Hossamelden Elmalah</w:t>
      </w:r>
      <w:r w:rsidR="006D615B" w:rsidRPr="00C638B4">
        <w:rPr>
          <w:rFonts w:ascii="Calibri" w:hAnsi="Calibri" w:cs="Calibri"/>
          <w:sz w:val="22"/>
          <w:szCs w:val="22"/>
          <w:vertAlign w:val="superscript"/>
          <w:lang w:val="de-DE"/>
        </w:rPr>
        <w:t>1</w:t>
      </w:r>
      <w:r w:rsidR="006D615B" w:rsidRPr="00C638B4">
        <w:rPr>
          <w:rFonts w:ascii="Calibri" w:hAnsi="Calibri" w:cs="Calibri"/>
          <w:sz w:val="22"/>
          <w:szCs w:val="22"/>
          <w:lang w:val="de-DE"/>
        </w:rPr>
        <w:t xml:space="preserve">, </w:t>
      </w:r>
      <w:r w:rsidR="007620F0" w:rsidRPr="00C638B4">
        <w:rPr>
          <w:rFonts w:ascii="Calibri" w:hAnsi="Calibri" w:cs="Calibri"/>
          <w:sz w:val="22"/>
          <w:szCs w:val="22"/>
          <w:lang w:val="de-DE"/>
        </w:rPr>
        <w:t>Linda Hildebrand</w:t>
      </w:r>
      <w:r w:rsidR="007620F0" w:rsidRPr="00C638B4">
        <w:rPr>
          <w:rFonts w:ascii="Calibri" w:hAnsi="Calibri" w:cs="Calibri"/>
          <w:sz w:val="22"/>
          <w:szCs w:val="22"/>
          <w:vertAlign w:val="superscript"/>
          <w:lang w:val="de-DE"/>
        </w:rPr>
        <w:t>2</w:t>
      </w:r>
      <w:r w:rsidR="007620F0" w:rsidRPr="00C638B4">
        <w:rPr>
          <w:rFonts w:ascii="Calibri" w:hAnsi="Calibri" w:cs="Calibri"/>
          <w:sz w:val="22"/>
          <w:szCs w:val="22"/>
          <w:lang w:val="de-DE"/>
        </w:rPr>
        <w:t>,</w:t>
      </w:r>
      <w:r w:rsidRPr="00C638B4">
        <w:rPr>
          <w:rFonts w:ascii="Calibri" w:hAnsi="Calibri" w:cs="Calibri"/>
          <w:sz w:val="22"/>
          <w:szCs w:val="22"/>
          <w:lang w:val="de-DE"/>
        </w:rPr>
        <w:t xml:space="preserve"> Jakob Beetz</w:t>
      </w:r>
      <w:r w:rsidRPr="00C638B4">
        <w:rPr>
          <w:rFonts w:ascii="Calibri" w:hAnsi="Calibri" w:cs="Calibri"/>
          <w:sz w:val="22"/>
          <w:szCs w:val="22"/>
          <w:vertAlign w:val="superscript"/>
          <w:lang w:val="de-DE"/>
        </w:rPr>
        <w:t>1</w:t>
      </w:r>
    </w:p>
    <w:p w14:paraId="4F02CD79" w14:textId="0361D5FD" w:rsidR="005076E1" w:rsidRDefault="005076E1" w:rsidP="419CEB5F">
      <w:pPr>
        <w:pStyle w:val="Author"/>
        <w:spacing w:after="40" w:line="240" w:lineRule="auto"/>
        <w:rPr>
          <w:rFonts w:ascii="Calibri" w:hAnsi="Calibri" w:cs="Calibri"/>
          <w:sz w:val="22"/>
          <w:szCs w:val="22"/>
        </w:rPr>
      </w:pPr>
      <w:r w:rsidRPr="419CEB5F">
        <w:rPr>
          <w:rFonts w:ascii="Calibri" w:hAnsi="Calibri" w:cs="Calibri"/>
          <w:sz w:val="22"/>
          <w:szCs w:val="22"/>
          <w:vertAlign w:val="superscript"/>
        </w:rPr>
        <w:t xml:space="preserve">1 </w:t>
      </w:r>
      <w:r w:rsidR="00EB6953" w:rsidRPr="419CEB5F">
        <w:rPr>
          <w:rFonts w:ascii="Calibri" w:hAnsi="Calibri" w:cs="Calibri"/>
          <w:sz w:val="22"/>
          <w:szCs w:val="22"/>
        </w:rPr>
        <w:t>RWTH Aachen University</w:t>
      </w:r>
      <w:r w:rsidRPr="419CEB5F">
        <w:rPr>
          <w:rFonts w:ascii="Calibri" w:hAnsi="Calibri" w:cs="Calibri"/>
          <w:sz w:val="22"/>
          <w:szCs w:val="22"/>
        </w:rPr>
        <w:t xml:space="preserve">, </w:t>
      </w:r>
      <w:r w:rsidR="00EB6953" w:rsidRPr="419CEB5F">
        <w:rPr>
          <w:rFonts w:ascii="Calibri" w:hAnsi="Calibri" w:cs="Calibri"/>
          <w:sz w:val="22"/>
          <w:szCs w:val="22"/>
        </w:rPr>
        <w:t>Aachen</w:t>
      </w:r>
      <w:r w:rsidRPr="419CEB5F">
        <w:rPr>
          <w:rFonts w:ascii="Calibri" w:hAnsi="Calibri" w:cs="Calibri"/>
          <w:sz w:val="22"/>
          <w:szCs w:val="22"/>
        </w:rPr>
        <w:t xml:space="preserve">, </w:t>
      </w:r>
      <w:r w:rsidR="00EB6953" w:rsidRPr="419CEB5F">
        <w:rPr>
          <w:rFonts w:ascii="Calibri" w:hAnsi="Calibri" w:cs="Calibri"/>
          <w:sz w:val="22"/>
          <w:szCs w:val="22"/>
        </w:rPr>
        <w:t>Germany</w:t>
      </w:r>
    </w:p>
    <w:p w14:paraId="61409BC9" w14:textId="7260C8A6" w:rsidR="00CA2BAD" w:rsidRDefault="007620F0" w:rsidP="419CEB5F">
      <w:pPr>
        <w:pStyle w:val="Author"/>
        <w:spacing w:after="40" w:line="240" w:lineRule="auto"/>
        <w:rPr>
          <w:rFonts w:ascii="Calibri" w:hAnsi="Calibri" w:cs="Calibri"/>
          <w:sz w:val="22"/>
          <w:szCs w:val="22"/>
        </w:rPr>
      </w:pPr>
      <w:r>
        <w:rPr>
          <w:rFonts w:ascii="Calibri" w:hAnsi="Calibri" w:cs="Calibri"/>
          <w:sz w:val="22"/>
          <w:szCs w:val="22"/>
          <w:vertAlign w:val="superscript"/>
        </w:rPr>
        <w:t>2</w:t>
      </w:r>
      <w:r w:rsidRPr="419CEB5F">
        <w:rPr>
          <w:rFonts w:ascii="Calibri" w:hAnsi="Calibri" w:cs="Calibri"/>
          <w:sz w:val="22"/>
          <w:szCs w:val="22"/>
          <w:vertAlign w:val="superscript"/>
        </w:rPr>
        <w:t xml:space="preserve"> </w:t>
      </w:r>
      <w:r w:rsidR="00CA2BAD" w:rsidRPr="00CA2BAD">
        <w:rPr>
          <w:rFonts w:ascii="Calibri" w:hAnsi="Calibri" w:cs="Calibri"/>
          <w:sz w:val="22"/>
          <w:szCs w:val="22"/>
        </w:rPr>
        <w:t>c u b e - Circularity in the built environment</w:t>
      </w:r>
      <w:r w:rsidR="00C2523D">
        <w:rPr>
          <w:rFonts w:ascii="Calibri" w:hAnsi="Calibri" w:cs="Calibri"/>
          <w:sz w:val="22"/>
          <w:szCs w:val="22"/>
        </w:rPr>
        <w:t>, Berlin, Germany</w:t>
      </w:r>
    </w:p>
    <w:p w14:paraId="6330E787" w14:textId="5BA4EDB8" w:rsidR="005076E1" w:rsidRDefault="005076E1" w:rsidP="419CEB5F">
      <w:pPr>
        <w:pStyle w:val="Author"/>
        <w:spacing w:after="40" w:line="240" w:lineRule="auto"/>
        <w:rPr>
          <w:rFonts w:ascii="Calibri" w:hAnsi="Calibri" w:cs="Calibri"/>
          <w:color w:val="EE0000"/>
          <w:sz w:val="22"/>
          <w:szCs w:val="22"/>
        </w:rPr>
      </w:pPr>
      <w:r w:rsidRPr="419CEB5F">
        <w:rPr>
          <w:rFonts w:ascii="Calibri" w:hAnsi="Calibri" w:cs="Calibri"/>
          <w:i/>
          <w:iCs/>
          <w:sz w:val="22"/>
          <w:szCs w:val="22"/>
          <w:vertAlign w:val="superscript"/>
        </w:rPr>
        <w:t>*</w:t>
      </w:r>
      <w:r w:rsidRPr="419CEB5F">
        <w:rPr>
          <w:rFonts w:ascii="Calibri" w:hAnsi="Calibri" w:cs="Calibri"/>
          <w:i/>
          <w:iCs/>
          <w:sz w:val="22"/>
          <w:szCs w:val="22"/>
        </w:rPr>
        <w:t xml:space="preserve">Corresponding email: </w:t>
      </w:r>
      <w:r w:rsidR="00EB6953" w:rsidRPr="419CEB5F">
        <w:rPr>
          <w:rFonts w:ascii="Calibri" w:hAnsi="Calibri" w:cs="Calibri"/>
          <w:i/>
          <w:iCs/>
          <w:sz w:val="22"/>
          <w:szCs w:val="22"/>
        </w:rPr>
        <w:t>karaoglan@dc.rwth-aachen.de</w:t>
      </w:r>
      <w:r w:rsidRPr="419CEB5F">
        <w:rPr>
          <w:rFonts w:ascii="Calibri" w:hAnsi="Calibri" w:cs="Calibri"/>
          <w:sz w:val="22"/>
          <w:szCs w:val="22"/>
        </w:rPr>
        <w:t xml:space="preserve"> </w:t>
      </w:r>
    </w:p>
    <w:p w14:paraId="62A03868" w14:textId="77777777" w:rsidR="00EB6953" w:rsidRPr="00D6057A" w:rsidRDefault="00EB6953" w:rsidP="00EB6953">
      <w:pPr>
        <w:pStyle w:val="Author"/>
        <w:spacing w:after="40"/>
        <w:rPr>
          <w:rFonts w:ascii="Calibri" w:hAnsi="Calibri" w:cs="Calibri"/>
        </w:rPr>
      </w:pPr>
    </w:p>
    <w:p w14:paraId="662F0B45" w14:textId="39AD7740" w:rsidR="005076E1" w:rsidRPr="00D6057A" w:rsidRDefault="005076E1" w:rsidP="006E77D5">
      <w:pPr>
        <w:ind w:left="1134" w:right="1088"/>
        <w:rPr>
          <w:b/>
          <w:sz w:val="28"/>
          <w:szCs w:val="28"/>
        </w:rPr>
      </w:pPr>
      <w:r w:rsidRPr="00D6057A">
        <w:rPr>
          <w:b/>
          <w:sz w:val="28"/>
          <w:szCs w:val="28"/>
        </w:rPr>
        <w:t xml:space="preserve">ABSTRACT </w:t>
      </w:r>
    </w:p>
    <w:p w14:paraId="242D180E" w14:textId="45A76391" w:rsidR="005076E1" w:rsidRPr="00D6057A" w:rsidRDefault="00201134" w:rsidP="00F01469">
      <w:pPr>
        <w:ind w:left="1134" w:right="1088"/>
        <w:jc w:val="both"/>
      </w:pPr>
      <w:r w:rsidRPr="00201134">
        <w:t>Life Cycle Assessment (LCA) is increasingly integrated into Building Information Modelling (BIM) workflows to support environmentally aware design processes. Despite significant progress, conducting meaningful LCA in the early design phases remains challenging. Early-stage models are typically characterised by low Levels of Development (LOD), incomplete material specifications, and high uncertainty</w:t>
      </w:r>
      <w:r w:rsidR="00FF3919">
        <w:t>;</w:t>
      </w:r>
      <w:r w:rsidRPr="00201134">
        <w:t xml:space="preserve"> conditions under which many existing open-source BIM–LCA workflows struggle to deliver robust results and user-friendly interfaces. To address this gap, this study presents bLCA, a further development of the web-based eLCA tool that enhances its IFC-based BIM workflow. The proposed workflow consists of three main steps: (1) model classification according to DIN 276</w:t>
      </w:r>
      <w:r w:rsidR="00FF3919">
        <w:t xml:space="preserve"> cost groups</w:t>
      </w:r>
      <w:r w:rsidRPr="00201134">
        <w:t xml:space="preserve">, (2) semi-automated product/material assignment for environmental data mapping, and (3) intuitive visualisation of LCA results tailored to the needs of architects and planners. Although </w:t>
      </w:r>
      <w:r w:rsidR="004D2D0D">
        <w:t xml:space="preserve">still </w:t>
      </w:r>
      <w:r w:rsidR="478F26E4">
        <w:t xml:space="preserve">in </w:t>
      </w:r>
      <w:r w:rsidR="004D2D0D">
        <w:t>development</w:t>
      </w:r>
      <w:r w:rsidRPr="00201134">
        <w:t xml:space="preserve">, the prototype </w:t>
      </w:r>
      <w:r w:rsidR="009069D5" w:rsidRPr="009069D5">
        <w:t xml:space="preserve">shows potential </w:t>
      </w:r>
      <w:r w:rsidR="00FF3919">
        <w:t xml:space="preserve">to meet the initial requirements set through practitioner workshops. </w:t>
      </w:r>
      <w:r w:rsidRPr="00201134">
        <w:t>The overarching aim is to facilitate informed decision-making in early planning stages by lowering methodological barriers, increasing transparency, and embedding LCA more seamlessly into BIM-based design processes.</w:t>
      </w:r>
    </w:p>
    <w:p w14:paraId="5E226D3F" w14:textId="76F3B07B" w:rsidR="00F01A85" w:rsidRDefault="005076E1" w:rsidP="00F01A85">
      <w:pPr>
        <w:pStyle w:val="Heading1"/>
      </w:pPr>
      <w:r w:rsidRPr="00D6057A">
        <w:t xml:space="preserve">INTRODUCTION </w:t>
      </w:r>
    </w:p>
    <w:p w14:paraId="7BD3CB8F" w14:textId="47A52247" w:rsidR="00454431" w:rsidRDefault="00EE2F14" w:rsidP="00EE2F14">
      <w:r w:rsidRPr="00E8020C">
        <w:t xml:space="preserve">The construction industry and the built environment have a critical environmental impact, accounting for 36% of global final energy use, 39% of energy-related CO₂ emissions </w:t>
      </w:r>
      <w:r w:rsidR="005F7F24" w:rsidRPr="00E8020C">
        <w:fldChar w:fldCharType="begin"/>
      </w:r>
      <w:r w:rsidR="007B523F" w:rsidRPr="00E8020C">
        <w:instrText xml:space="preserve"> ADDIN ZOTERO_ITEM CSL_CITATION {"citationID":"6Kw4CBUW","properties":{"unsorted":false,"formattedCitation":"(GlobalABC, 2019)","plainCitation":"(GlobalABC, 2019)","noteIndex":0},"citationItems":[{"id":29765,"uris":["http://zotero.org/groups/5639246/items/V5AXCKB5"],"itemData":{"id":29765,"type":"report","citation-key":"2019GlobalStatus2019b","ISBN":"978-92-807-3768-4","language":"spa","note":"OCLC: 1337297046","publisher":"International Energy Agency: Global Alliance for Buildings and Construction","publisher-place":"Paris","source":"Open WorldCat","title":"2019 global status report for buildings and construction","author":[{"family":"GlobalABC","given":""}],"issued":{"date-parts":[["2019"]]}}}],"schema":"https://github.com/citation-style-language/schema/raw/master/csl-citation.json"} </w:instrText>
      </w:r>
      <w:r w:rsidR="005F7F24" w:rsidRPr="00E8020C">
        <w:fldChar w:fldCharType="separate"/>
      </w:r>
      <w:r w:rsidR="007B523F" w:rsidRPr="00E8020C">
        <w:t>(GlobalABC, 2019)</w:t>
      </w:r>
      <w:r w:rsidR="005F7F24" w:rsidRPr="00E8020C">
        <w:fldChar w:fldCharType="end"/>
      </w:r>
      <w:r w:rsidR="00BB0656" w:rsidRPr="00E8020C">
        <w:t>, and nearly half of all global resource extraction</w:t>
      </w:r>
      <w:r w:rsidR="005A0DE9" w:rsidRPr="00E8020C">
        <w:t xml:space="preserve"> </w:t>
      </w:r>
      <w:r w:rsidR="005A0DE9" w:rsidRPr="00E8020C">
        <w:fldChar w:fldCharType="begin"/>
      </w:r>
      <w:r w:rsidR="005A0DE9" w:rsidRPr="00E8020C">
        <w:instrText xml:space="preserve"> ADDIN ZOTERO_ITEM CSL_CITATION {"citationID":"xK2Fd1rv","properties":{"unsorted":false,"formattedCitation":"(Calle M\\uc0\\u252{}ller et al., 2024)","plainCitation":"(Calle Müller et al., 2024)","noteIndex":0},"citationItems":[{"id":29766,"uris":["http://zotero.org/groups/5639246/items/JZKJ58Z9"],"itemData":{"id":29766,"type":"article-journal","abstract":"Purpose\n              The built environment is responsible for approximately 40% of the world’s energy consumption, 30% of raw material use, 25% of solid waste, 25% of water use, 12% of land use and 33% of greenhouse gas emissions. Thus, environmental improvement and decarbonization are becoming increasingly critical objectives for the construction industry. Sustainable construction can be achieved through several practices, including: considering life-cycle assessment, circular construction, resource efficiency and waste management and providing eco-efficient materials, reducing energy demands and consumption and incorporating low-carbon technologies and renewable energy sources. To achieve sustainable construction goals, it is critical to educate the future workforce about decarbonization, circular construction and how to overcome the challenges involved in transitioning to sustainable construction. This study aims to understand the gap in student knowledge related to decarbonization and circular construction and the importance of incorporating these topics in civil engineering and construction management curricula.\n            \n            \n              Design/methodology/approach\n              This study surveyed 120 undergraduate and graduate students at one of the largest minority-serving institutions in the USA to understand the gap in student knowledge related to decarbonization and circular construction as well as the importance of incorporating these topics in civil engineering and construction management curricula. The authors conducted several statistical measures to assess the consistency, reliability and adequacy of the sample size, including the Kaiser–Meyer–Olkin measure of sampling adequacy, the normality test to evaluate the appropriateness of using an ordered probit regression analysis and a multicollinearity test to observe the correlation between independent variables. The data was analyzed using ordered probit regression analysis to investigate the need for a curriculum that serves in educating students about decarbonization and circular construction.\n            \n            \n              Findings\n              The results of this research highlight the gaps in students’ knowledge pertaining to sustainable practices and the importance of providing future construction workforce with such knowledge to tackle global inevitable challenges.\n            \n            \n              Originality/value\n              The findings of this study contribute to sustainable construction bodies of knowledge by advocating for a reformed curriculum to prepare the future workforce and adopt less carbonized, more circular approaches within the engineering and construction industry.","citation-key":"callemullerPathwaysDecarbonizationCircular2024","container-title":"International Journal of Sustainability in Higher Education","DOI":"10.1108/IJSHE-09-2023-0400","ISSN":"1467-6370, 1467-6370","issue":"6","journalAbbreviation":"IJSHE","language":"en","license":"https://www.emerald.com/insight/site-policies","page":"1315-1332","source":"DOI.org (Crossref)","title":"Pathways to decarbonization, circular construction, and sustainability in the built environment","volume":"25","author":[{"family":"Calle Müller","given":"Claudia"},{"family":"Pradhananga","given":"Piyush"},{"family":"ElZomor","given":"Mohamed"}],"issued":{"date-parts":[["2024",7,19]]}}}],"schema":"https://github.com/citation-style-language/schema/raw/master/csl-citation.json"} </w:instrText>
      </w:r>
      <w:r w:rsidR="005A0DE9" w:rsidRPr="00E8020C">
        <w:fldChar w:fldCharType="separate"/>
      </w:r>
      <w:r w:rsidR="005A0DE9" w:rsidRPr="00E8020C">
        <w:t>(Calle Müller et al., 2024)</w:t>
      </w:r>
      <w:r w:rsidR="005A0DE9" w:rsidRPr="00E8020C">
        <w:fldChar w:fldCharType="end"/>
      </w:r>
      <w:r w:rsidR="00897036" w:rsidRPr="00E8020C">
        <w:t xml:space="preserve">. </w:t>
      </w:r>
      <w:r w:rsidR="00FF3919">
        <w:t>However, digitalisation strategies and informed decision-making embedded from the start can mitigate this impact</w:t>
      </w:r>
      <w:r w:rsidR="00E841D8" w:rsidRPr="00E8020C">
        <w:t xml:space="preserve">. </w:t>
      </w:r>
      <w:r w:rsidR="00AA7936" w:rsidRPr="00E8020C">
        <w:t xml:space="preserve">In response, </w:t>
      </w:r>
      <w:r w:rsidR="00377B7A" w:rsidRPr="00E8020C">
        <w:t>integrating</w:t>
      </w:r>
      <w:r w:rsidR="00E841D8" w:rsidRPr="00E8020C">
        <w:t xml:space="preserve"> Life Cycle Assessm</w:t>
      </w:r>
      <w:r w:rsidR="0008585A" w:rsidRPr="00E8020C">
        <w:t>ent</w:t>
      </w:r>
      <w:r w:rsidR="00463682" w:rsidRPr="00E8020C">
        <w:t xml:space="preserve"> (LCA)</w:t>
      </w:r>
      <w:r w:rsidR="00D56CC4" w:rsidRPr="00E8020C">
        <w:t xml:space="preserve"> and Building Information </w:t>
      </w:r>
      <w:r w:rsidR="00E849B5" w:rsidRPr="00E8020C">
        <w:t>Modelling</w:t>
      </w:r>
      <w:r w:rsidR="00D56CC4" w:rsidRPr="00E8020C">
        <w:t xml:space="preserve"> (BIM) </w:t>
      </w:r>
      <w:r w:rsidR="00351BD1" w:rsidRPr="00E8020C">
        <w:t xml:space="preserve">offers </w:t>
      </w:r>
      <w:r w:rsidR="00106160" w:rsidRPr="00E8020C">
        <w:t>an opportunity to quantify</w:t>
      </w:r>
      <w:r w:rsidR="00941770" w:rsidRPr="00E8020C">
        <w:t xml:space="preserve"> the environmental impacts of design decisions within digital construction workflows</w:t>
      </w:r>
      <w:r w:rsidR="7E47FBED" w:rsidRPr="00E8020C">
        <w:t>.</w:t>
      </w:r>
      <w:r w:rsidR="000E6936" w:rsidRPr="00E8020C">
        <w:t xml:space="preserve"> Despite significant progress, conducting </w:t>
      </w:r>
      <w:r w:rsidR="00C73067" w:rsidRPr="00E8020C">
        <w:t xml:space="preserve">BIM-based </w:t>
      </w:r>
      <w:r w:rsidR="000E6936" w:rsidRPr="00E8020C">
        <w:t>LCA in the early design phases remains challengin</w:t>
      </w:r>
      <w:r w:rsidR="000E6936" w:rsidRPr="000E6936">
        <w:t>g. Early-stage models are typically characterised by low Levels of Development (LOD)</w:t>
      </w:r>
      <w:r w:rsidR="000E1A5A">
        <w:t xml:space="preserve">, creating a mismatch between the model data and environmental databases. </w:t>
      </w:r>
      <w:r w:rsidR="00405322" w:rsidRPr="00405322">
        <w:t xml:space="preserve">Incomplete layer and material information in early-phase models, frequent design changes, iterative </w:t>
      </w:r>
      <w:r w:rsidR="00405322" w:rsidRPr="00405322">
        <w:lastRenderedPageBreak/>
        <w:t>project updates, high onboarding costs for existing tools, limited time and LCA expertise, and black-box calculations all contribute to these challenges</w:t>
      </w:r>
      <w:r w:rsidR="00CD0AD6">
        <w:t>.</w:t>
      </w:r>
      <w:r w:rsidR="00DF4F89">
        <w:t xml:space="preserve"> </w:t>
      </w:r>
      <w:r w:rsidR="007C1CC8" w:rsidRPr="007C1CC8">
        <w:t>At the same time, only a limited</w:t>
      </w:r>
      <w:r w:rsidR="00EB2D31">
        <w:t xml:space="preserve"> number of open-source solutions</w:t>
      </w:r>
      <w:r w:rsidR="00C65585">
        <w:t xml:space="preserve"> are available</w:t>
      </w:r>
      <w:r w:rsidR="00EB2D31">
        <w:t xml:space="preserve">, most of which </w:t>
      </w:r>
      <w:r w:rsidR="00FC0F18">
        <w:t>lack</w:t>
      </w:r>
      <w:r w:rsidR="00EB2D31">
        <w:t xml:space="preserve"> user-friendly, intuitive interfaces</w:t>
      </w:r>
      <w:r w:rsidR="00721D01">
        <w:t>,</w:t>
      </w:r>
      <w:r w:rsidR="00EB2D31">
        <w:t xml:space="preserve"> robust, transparent calculations</w:t>
      </w:r>
      <w:r w:rsidR="00721D01">
        <w:t>, or both</w:t>
      </w:r>
      <w:r w:rsidR="00FC0F18">
        <w:t xml:space="preserve"> </w:t>
      </w:r>
      <w:r w:rsidR="00FC0F18">
        <w:fldChar w:fldCharType="begin"/>
      </w:r>
      <w:r w:rsidR="00FC0F18">
        <w:instrText xml:space="preserve"> ADDIN ZOTERO_ITEM CSL_CITATION {"citationID":"KFgM3Ktl","properties":{"unsorted":false,"formattedCitation":"(Kufeld et al., 2025)","plainCitation":"(Kufeld et al., 2025)","noteIndex":0},"citationItems":[{"id":29582,"uris":["http://zotero.org/groups/5639246/items/H4YTNZDZ"],"itemData":{"id":29582,"type":"paper-conference","citation-key":"kufeldEarlyPhaseBIMLCATools2025","collection-title":"SBE Conference Series","container-title":"Sustainable Built Environment Conference 2025 Zurich - Extended Abstracts","DOI":"10.3929/ethz-c-000785700","event-title":"Sustainable Built Environment Conference (SBE25)","language":"en","publisher":"ETH Zurich","publisher-place":"Zurich","title":"Early-Phase BIM-LCA Tools: Performance Gaps and  Insights from Literature and Practice","URL":"https://www.research-collection.ethz.ch/entities/publication/6172b5fe-239f-4dce-bc47-1aaa0b8ab083","author":[{"family":"Kufeld","given":"Elias"},{"family":"Karaoglan","given":"Cemre"},{"family":"Hildebrand","given":"Linda"},{"family":"Beetz","given":"Jakob"}],"issued":{"date-parts":[["2025"]]}}}],"schema":"https://github.com/citation-style-language/schema/raw/master/csl-citation.json"} </w:instrText>
      </w:r>
      <w:r w:rsidR="00FC0F18">
        <w:fldChar w:fldCharType="separate"/>
      </w:r>
      <w:r w:rsidR="00FC0F18" w:rsidRPr="00FC0F18">
        <w:t>(Kufeld et al., 2025)</w:t>
      </w:r>
      <w:r w:rsidR="00FC0F18">
        <w:fldChar w:fldCharType="end"/>
      </w:r>
      <w:r w:rsidR="00862F03">
        <w:t>.</w:t>
      </w:r>
      <w:r w:rsidR="00E46596">
        <w:t xml:space="preserve"> </w:t>
      </w:r>
      <w:r w:rsidR="00EE4CA5">
        <w:t xml:space="preserve">As </w:t>
      </w:r>
      <w:r w:rsidR="00CD0AD6">
        <w:t>a result, LCA is mostly conducted at the end of the project</w:t>
      </w:r>
      <w:r w:rsidR="00106160">
        <w:t xml:space="preserve"> as documentation and certification rather than as</w:t>
      </w:r>
      <w:r w:rsidR="00DF4F89">
        <w:t xml:space="preserve"> part of the design </w:t>
      </w:r>
      <w:r w:rsidR="00EB7D69">
        <w:t xml:space="preserve">decision </w:t>
      </w:r>
      <w:r w:rsidR="00DF4F89">
        <w:t>process.</w:t>
      </w:r>
    </w:p>
    <w:p w14:paraId="040E2D74" w14:textId="4D7F09DB" w:rsidR="004D4866" w:rsidRDefault="002F69D6" w:rsidP="004D4866">
      <w:r w:rsidRPr="000E6936">
        <w:t xml:space="preserve">To address this gap, this study presents </w:t>
      </w:r>
      <w:r w:rsidR="00B93395">
        <w:t>the bLCA</w:t>
      </w:r>
      <w:r w:rsidRPr="000E6936">
        <w:t xml:space="preserve"> </w:t>
      </w:r>
      <w:r w:rsidR="00997AC8">
        <w:t xml:space="preserve">tool as a </w:t>
      </w:r>
      <w:r w:rsidRPr="000E6936">
        <w:t xml:space="preserve">further </w:t>
      </w:r>
      <w:r w:rsidR="00997AC8">
        <w:t xml:space="preserve">BIM-based </w:t>
      </w:r>
      <w:r w:rsidRPr="000E6936">
        <w:t>development of the web-based eLCA tool</w:t>
      </w:r>
      <w:r w:rsidR="006B1D47">
        <w:t xml:space="preserve"> </w:t>
      </w:r>
      <w:r w:rsidR="006B1D47">
        <w:fldChar w:fldCharType="begin"/>
      </w:r>
      <w:r w:rsidR="00C33916">
        <w:instrText xml:space="preserve"> ADDIN ZOTERO_ITEM CSL_CITATION {"citationID":"4p8a1XW9","properties":{"unsorted":false,"formattedCitation":"(BBSR, n.d.)","plainCitation":"(BBSR, n.d.)","noteIndex":0},"citationItems":[{"id":17624,"uris":["http://zotero.org/groups/5639246/items/LELUHCZZ"],"itemData":{"id":17624,"type":"webpage","citation-key":"bbsrELCA","container-title":"eLCA","title":"Ökobilanzierungstool eLCA","URL":"https://bauteileditor.de/","author":[{"family":"BBSR","given":""}],"accessed":{"date-parts":[["2026",6,28]]}}}],"schema":"https://github.com/citation-style-language/schema/raw/master/csl-citation.json"} </w:instrText>
      </w:r>
      <w:r w:rsidR="006B1D47">
        <w:fldChar w:fldCharType="separate"/>
      </w:r>
      <w:r w:rsidR="0026039E" w:rsidRPr="0026039E">
        <w:t>(BBSR, n.d.)</w:t>
      </w:r>
      <w:r w:rsidR="006B1D47">
        <w:fldChar w:fldCharType="end"/>
      </w:r>
      <w:r w:rsidR="00997AC8">
        <w:t>.</w:t>
      </w:r>
      <w:r w:rsidR="00EB7D69">
        <w:t xml:space="preserve"> It is currently possibl</w:t>
      </w:r>
      <w:r w:rsidR="00E35A98">
        <w:t xml:space="preserve">e to work with Industry Foundation Classes (IFC) models within the eLCA interface, yet there are many </w:t>
      </w:r>
      <w:r w:rsidR="002739BA">
        <w:t>areas for improvement in</w:t>
      </w:r>
      <w:r w:rsidR="00E35A98">
        <w:t xml:space="preserve"> </w:t>
      </w:r>
      <w:r w:rsidR="002739BA">
        <w:t xml:space="preserve">interpreting model data and in </w:t>
      </w:r>
      <w:r w:rsidR="00382655">
        <w:t>visual interaction</w:t>
      </w:r>
      <w:r w:rsidR="002739BA">
        <w:t>s</w:t>
      </w:r>
      <w:r w:rsidR="002B2910">
        <w:t xml:space="preserve">. </w:t>
      </w:r>
      <w:r w:rsidR="00106160">
        <w:t>To address this, bLCA introduces a new 3D viewer interface (Alan, 2026) and a new workflow that connects the different steps of the process</w:t>
      </w:r>
      <w:r w:rsidR="00D30351">
        <w:t xml:space="preserve">. </w:t>
      </w:r>
      <w:r w:rsidR="00382655" w:rsidRPr="00EB6953">
        <w:t xml:space="preserve">The proposed workflow consists of </w:t>
      </w:r>
      <w:r w:rsidR="00382655">
        <w:t>three</w:t>
      </w:r>
      <w:r w:rsidR="00382655" w:rsidRPr="00EB6953">
        <w:t xml:space="preserve"> main steps: (1) model classification to </w:t>
      </w:r>
      <w:r w:rsidR="006270D0">
        <w:t>label</w:t>
      </w:r>
      <w:r w:rsidR="00382655" w:rsidRPr="00EB6953">
        <w:t xml:space="preserve"> BIM elements</w:t>
      </w:r>
      <w:r w:rsidR="00C32EE3">
        <w:t xml:space="preserve"> according to DIN</w:t>
      </w:r>
      <w:r w:rsidR="002C06DC">
        <w:t xml:space="preserve"> </w:t>
      </w:r>
      <w:r w:rsidR="00C32EE3">
        <w:t xml:space="preserve">276 </w:t>
      </w:r>
      <w:r w:rsidR="00C32EE3">
        <w:fldChar w:fldCharType="begin"/>
      </w:r>
      <w:r w:rsidR="00C32EE3">
        <w:instrText xml:space="preserve"> ADDIN ZOTERO_ITEM CSL_CITATION {"citationID":"h0ZAxRoW","properties":{"unsorted":false,"formattedCitation":"(Deutsches Institut f\\uc0\\u252{}r Normung e. V., 2018)","plainCitation":"(Deutsches Institut für Normung e. V., 2018)","noteIndex":0},"citationItems":[{"id":29761,"uris":["http://zotero.org/groups/5639246/items/ZCSJPMY4"],"itemData":{"id":29761,"type":"standard","citation-key":"DIN276201812","DOI":"10.31030/2873248","publisher":"DIN Media GmbH","publisher-place":"Berlin","source":"DOI.org (Crossref)","title":"DIN 276:2018-12, Kosten im Bauwesen","title-short":"DIN 276","URL":"https://www.dinmedia.de/de/-/-/293154016","author":[{"family":"Deutsches Institut für Normung e. V.","given":""}],"accessed":{"date-parts":[["2026",6,22]]},"issued":{"date-parts":[["2018"]]}}}],"schema":"https://github.com/citation-style-language/schema/raw/master/csl-citation.json"} </w:instrText>
      </w:r>
      <w:r w:rsidR="00C32EE3">
        <w:fldChar w:fldCharType="separate"/>
      </w:r>
      <w:r w:rsidR="00C32EE3" w:rsidRPr="00C32EE3">
        <w:rPr>
          <w:szCs w:val="24"/>
        </w:rPr>
        <w:t>(Deutsches Institut für Normung e. V., 2018)</w:t>
      </w:r>
      <w:r w:rsidR="00C32EE3">
        <w:fldChar w:fldCharType="end"/>
      </w:r>
      <w:r w:rsidR="00382655" w:rsidRPr="00EB6953">
        <w:t xml:space="preserve">, (2) </w:t>
      </w:r>
      <w:r w:rsidR="00CF3F4B">
        <w:t xml:space="preserve">(semi-)automated </w:t>
      </w:r>
      <w:r w:rsidR="00382655" w:rsidRPr="00EB6953">
        <w:t xml:space="preserve">product and material </w:t>
      </w:r>
      <w:r w:rsidR="006270D0">
        <w:t>assignment</w:t>
      </w:r>
      <w:r w:rsidR="00496D06">
        <w:t xml:space="preserve"> for environmental data mapping</w:t>
      </w:r>
      <w:r w:rsidR="00382655" w:rsidRPr="00EB6953">
        <w:t>, and (</w:t>
      </w:r>
      <w:r w:rsidR="00382655">
        <w:t>3</w:t>
      </w:r>
      <w:r w:rsidR="00382655" w:rsidRPr="00EB6953">
        <w:t>) intuitive visualisation of assessment results tailored to the needs of architects</w:t>
      </w:r>
      <w:r w:rsidR="00B82129">
        <w:t xml:space="preserve"> and planners with </w:t>
      </w:r>
      <w:r w:rsidR="006829F1">
        <w:t>limited LCA</w:t>
      </w:r>
      <w:r w:rsidR="00B82129">
        <w:t xml:space="preserve"> experti</w:t>
      </w:r>
      <w:r w:rsidR="006829F1">
        <w:t>se</w:t>
      </w:r>
      <w:r w:rsidR="00382655" w:rsidRPr="00EB6953">
        <w:t xml:space="preserve">. </w:t>
      </w:r>
      <w:r w:rsidR="00106160">
        <w:t>This paper therefore focuses on designing and implementing</w:t>
      </w:r>
      <w:r w:rsidR="002A1568" w:rsidRPr="002A1568">
        <w:t xml:space="preserve"> an open-source prototype that operationalises practitioner-derived requirements for early-stage BIM-LCA workflows.</w:t>
      </w:r>
      <w:r w:rsidR="000633C8">
        <w:t xml:space="preserve"> With bLCA</w:t>
      </w:r>
      <w:r w:rsidR="00D555FA">
        <w:t>,</w:t>
      </w:r>
      <w:r w:rsidR="000633C8">
        <w:t xml:space="preserve"> w</w:t>
      </w:r>
      <w:r w:rsidR="000633C8" w:rsidRPr="00FB2C20">
        <w:t>e contribute: (1) an ML-based DIN 276 classifier for early-phase models, (2) a three-tier LOD-aware material assignment workflow, and (3) an integrated 3D visual feedback and transparency dashboard.</w:t>
      </w:r>
      <w:r w:rsidR="00214EBB">
        <w:t xml:space="preserve"> </w:t>
      </w:r>
      <w:r w:rsidR="00B00883" w:rsidRPr="00B00883">
        <w:t>These contributions correspond to the following research questions:</w:t>
      </w:r>
    </w:p>
    <w:p w14:paraId="02049BFF" w14:textId="48230A59" w:rsidR="000633C8" w:rsidRDefault="000633C8" w:rsidP="004D4866">
      <w:pPr>
        <w:ind w:left="1440" w:hanging="720"/>
      </w:pPr>
      <w:r>
        <w:t>•</w:t>
      </w:r>
      <w:r w:rsidR="00936055">
        <w:t xml:space="preserve"> </w:t>
      </w:r>
      <w:r>
        <w:t>RQ1: How can cost-group classification be automated under low-LOD, heterogeneous IFC conditions?</w:t>
      </w:r>
    </w:p>
    <w:p w14:paraId="05E14255" w14:textId="4C2ECF97" w:rsidR="000633C8" w:rsidRDefault="000633C8" w:rsidP="000633C8">
      <w:r>
        <w:t>•</w:t>
      </w:r>
      <w:r w:rsidR="00936055">
        <w:t xml:space="preserve"> </w:t>
      </w:r>
      <w:r>
        <w:t>RQ2: How can material/product assignment be aligned with LOD and uncertainty?</w:t>
      </w:r>
    </w:p>
    <w:p w14:paraId="3F3C1DB6" w14:textId="665CA771" w:rsidR="00430EB6" w:rsidRDefault="000633C8" w:rsidP="004D4866">
      <w:r>
        <w:t>•</w:t>
      </w:r>
      <w:r w:rsidR="00936055">
        <w:t xml:space="preserve"> </w:t>
      </w:r>
      <w:r>
        <w:t>RQ3: How can results be visualised to support non-expert design decisions?</w:t>
      </w:r>
    </w:p>
    <w:p w14:paraId="423EA688" w14:textId="50E4623F" w:rsidR="00224DEE" w:rsidRDefault="00224DEE" w:rsidP="00224DEE">
      <w:pPr>
        <w:ind w:firstLine="0"/>
      </w:pPr>
      <w:r w:rsidRPr="00224DEE">
        <w:t>The remainder of the paper situates these questions within existing BIM-LCA research, presents the bLCA prototype, and discusses its current limitations</w:t>
      </w:r>
      <w:r>
        <w:t>.</w:t>
      </w:r>
    </w:p>
    <w:p w14:paraId="4FD79F7C" w14:textId="72FCD978" w:rsidR="00AD5D8B" w:rsidRPr="00AD5D8B" w:rsidRDefault="008B1F75" w:rsidP="008B1F75">
      <w:pPr>
        <w:pStyle w:val="Heading1"/>
      </w:pPr>
      <w:r>
        <w:t>STATE OF THE ART</w:t>
      </w:r>
    </w:p>
    <w:p w14:paraId="646D5E02" w14:textId="77777777" w:rsidR="004D2D0D" w:rsidRDefault="21E7FC56" w:rsidP="00E4355D">
      <w:pPr>
        <w:ind w:firstLine="851"/>
      </w:pPr>
      <w:r w:rsidRPr="21E7FC56">
        <w:rPr>
          <w:rFonts w:eastAsia="Calibri"/>
        </w:rPr>
        <w:t xml:space="preserve">The integration of BIM and LCA has been widely investigated in recent years, with research spanning critical reviews of methodological approaches </w:t>
      </w:r>
      <w:r w:rsidR="00717A4C">
        <w:rPr>
          <w:rFonts w:eastAsia="Calibri"/>
        </w:rPr>
        <w:fldChar w:fldCharType="begin"/>
      </w:r>
      <w:r w:rsidR="004D2D0D">
        <w:rPr>
          <w:rFonts w:eastAsia="Calibri"/>
        </w:rPr>
        <w:instrText xml:space="preserve"> ADDIN ZOTERO_ITEM CSL_CITATION {"citationID":"7NyeetXC","properties":{"unsorted":false,"formattedCitation":"(Bolognesi et al., 2025; Bueno et al., 2018; Soust-Verdaguer et al., 2017)","plainCitation":"(Bolognesi et al., 2025; Bueno et al., 2018; Soust-Verdaguer et al., 2017)","noteIndex":0},"citationItems":[{"id":29774,"uris":["http://zotero.org/groups/5639246/items/MBFUICQ7"],"itemData":{"id":29774,"type":"article-journal","abstract":"The integration of Life Cycle Assessment (LCA) into Building Information Modeling (BIM) processes is becoming increasingly important for enhancing the environmental performance of construction projects. This scoping review examines how LCA methods and environmental data are currently integrated into BIM workflows, focusing on automation, data standardization, and visualization strategies. We selected 43 peer-reviewed studies (January 2010–May 2025) via structured searches in five major academic databases. The review identifies five main types of BIM–LCA integration workflows; the most common approach involves exporting quantity data from BIM models to external LCA tools. More recent studies explore the use of artificial intelligence for improving automation and accuracy in data mapping between BIM objects and LCA databases. Key challenges include inconsistent levels of data granularity, a lack of harmonized EPD formats, and limited interoperability between BIM and LCA software environments. Visualization methods such as color-coded 3D models are used to support early-stage decision-making, although uncertainty representation remains limited. To address these issues, future research should focus on standardizing EPD data structures, enriching BIM objects with validated environmental information, and developing explainable AI solutions for automated classification and matching. These advancements would improve the reliability and usability of LCA in BIM-based design, contributing to more informed decisions in sustainable construction.","citation-key":"bolognesiOverviewLCAIntegration2025","container-title":"Digital","DOI":"10.3390/digital5030031","ISSN":"2673-6470","issue":"3","journalAbbreviation":"Digital","language":"en","page":"31","source":"DOI.org (Crossref)","title":"An Overview on LCA Integration in BIM: Tools, Applications, and Future Trends","title-short":"An Overview on LCA Integration in BIM","volume":"5","author":[{"family":"Bolognesi","given":"Cecilia"},{"family":"Bassorizzi","given":"Deida"},{"family":"Balin","given":"Simone"},{"family":"Manfredi","given":"Vasili"}],"issued":{"date-parts":[["2025",7,31]]}}},{"id":18008,"uris":["http://zotero.org/groups/5639246/items/RV3CEHY4"],"itemData":{"id":18008,"type":"article-journal","citation-key":"Bueno2018332","container-title":"Architectural Engineering and Design Management","DOI":"10.1080/17452007.2018.1458593","issue":"5","note":"type: Article\ntex.publication_stage: Final\ntex.source: Scopus","page":"332 – 346","title":"Life cycle assessment and environmental-based choices at the early design stages: an application using building information modelling","volume":"14","author":[{"family":"Bueno","given":"Cristiane"},{"family":"Pereira","given":"Lucas Melchiori"},{"family":"Fabricio","given":"Márcio Minto"}],"issued":{"date-parts":[["2018"]]}}},{"id":16856,"uris":["http://zotero.org/groups/5639246/items/JK33BRHR"],"itemData":{"id":16856,"type":"article-journal","abstract":"Current environmental problems arising from the building sector require tools to help reduce resource consumption and environmental impact. Life Cycle Assessment (LCA) is a widely used tool to quantify the environmental impacts of the building sector. The literature recognizes the need to simplify the method application, especially to reduce and optimize data acquisition. Building Information Modeling (BIM) is deﬁned as a virtual 3D building model which integrates with a database of their building elements. Several studies recognize that the integration of BIM and LCA can simplify data acquisition of the building as well as provide both tools with feedback. This paper reviews recent studies centered on BIM-based LCA, and also carries out a methodological analysis of their integration, focusing on the way that BIM can contribute to simplifying data input, and optimize output data and results during the LCA application in buildings. The results show the viability to develop methods based on BIM models for organizing building information used to estimate environmental and energy consumption impacts based on LCA, including: templates and plug-ins for BIM software, and the integration of automated processes combining different data and software. Reviewed papers are simpliﬁed LCA applications, mostly focused on CO2 emission calculation during the early stages of design. Finally, methodological challenges and recommendations for BIM and LCA tools are propose.","citation-key":"soust-verdaguerCriticalReviewBimbased2017","container-title":"Energy and Buildings","DOI":"10.1016/j.enbuild.2016.12.009","ISSN":"03787788","journalAbbreviation":"Energy and Buildings","language":"en","page":"110-120","source":"DOI.org (Crossref)","title":"Critical review of bim-based LCA method to buildings","volume":"136","author":[{"family":"Soust-Verdaguer","given":"Bernardette"},{"family":"Llatas","given":"Carmen"},{"family":"García-Martínez","given":"Antonio"}],"issued":{"date-parts":[["2017",2]]}}}],"schema":"https://github.com/citation-style-language/schema/raw/master/csl-citation.json"} </w:instrText>
      </w:r>
      <w:r w:rsidR="00717A4C">
        <w:rPr>
          <w:rFonts w:eastAsia="Calibri"/>
        </w:rPr>
        <w:fldChar w:fldCharType="separate"/>
      </w:r>
      <w:r w:rsidR="004D2D0D" w:rsidRPr="004D2D0D">
        <w:t>(</w:t>
      </w:r>
      <w:proofErr w:type="spellStart"/>
      <w:r w:rsidR="004D2D0D" w:rsidRPr="004D2D0D">
        <w:t>Bolognesi</w:t>
      </w:r>
      <w:proofErr w:type="spellEnd"/>
      <w:r w:rsidR="004D2D0D" w:rsidRPr="004D2D0D">
        <w:t xml:space="preserve"> et al., 2025; Bueno et al., 2018; </w:t>
      </w:r>
      <w:proofErr w:type="spellStart"/>
      <w:r w:rsidR="004D2D0D" w:rsidRPr="004D2D0D">
        <w:t>Soust-Verdaguer</w:t>
      </w:r>
      <w:proofErr w:type="spellEnd"/>
      <w:r w:rsidR="004D2D0D" w:rsidRPr="004D2D0D">
        <w:t xml:space="preserve"> et al., 2017)</w:t>
      </w:r>
      <w:r w:rsidR="00717A4C">
        <w:rPr>
          <w:rFonts w:eastAsia="Calibri"/>
        </w:rPr>
        <w:fldChar w:fldCharType="end"/>
      </w:r>
      <w:r w:rsidRPr="21E7FC56">
        <w:rPr>
          <w:rFonts w:eastAsia="Calibri"/>
        </w:rPr>
        <w:t xml:space="preserve">, comparative assessments of existing software tools </w:t>
      </w:r>
      <w:r w:rsidR="00A56F9B">
        <w:rPr>
          <w:rFonts w:eastAsia="Calibri"/>
        </w:rPr>
        <w:fldChar w:fldCharType="begin"/>
      </w:r>
      <w:r w:rsidR="00A56F9B">
        <w:rPr>
          <w:rFonts w:eastAsia="Calibri"/>
        </w:rPr>
        <w:instrText xml:space="preserve"> ADDIN ZOTERO_ITEM CSL_CITATION {"citationID":"VwhKKBUc","properties":{"unsorted":false,"formattedCitation":"(Dharmarathna et al., 2024; Karunaratne and Dharmarathna, 2022; Schultz et al., 2016)","plainCitation":"(Dharmarathna et al., 2024; Karunaratne and Dharmarathna, 2022; Schultz et al., 2016)","noteIndex":0},"citationItems":[{"id":17597,"uris":["http://zotero.org/groups/5639246/items/BISQZRAJ"],"itemData":{"id":17597,"type":"article-journal","abstract":"Abstract\n            Buildings contribute close to 40% of the global annual energy-related greenhouse gas (GHG) emissions. To achieve the goals of the Paris Agreement, all emissions need to halve by 2030 and reach net zero by 2050. Life Cycle Assessment (LCA) is a comprehensive, holistic, and systemic approach to quantify the environmental impacts of a building. Built environment professionals rely on building LCA software tools (BLCA STs) to simplify the modelling needed to inform decision-making. However, BLCA STs are not widely used by the building industry. This has been attributed to a lack of data, time constraints, compatibility issues and the complexity of conducting LCA studies. In parallel, the variety of stakeholders involved, tools available, and intended use during the building’s life cycle means that the requirements expected from BLCA STs can vary substantially. In a first step towards mainstreaming the use of these tools, this study reviews the scope of existing BLCA STs in terms of their attributes and relevance to the building life cycle workflow. This review identifies hindrances in data availability, consistency, transparency, and global coverage during BLCA STs integration. Building Information Modelling (BIM) and Machine Learning (ML) integration, design optimization features and links to certifications can further streamline the BLCA process. While this review is based on the academic perspectives of BLCA STs, there is a significant gap and need for an in–depth understanding of these tools from the perspective of the stakeholders within the building value chain and how they utilize them.","citation-key":"dharmarathnaReviewBuildingLife2024","container-title":"IOP Conference Series: Earth and Environmental Science","DOI":"10.1088/1755-1315/1363/1/012063","ISSN":"1755-1307, 1755-1315","issue":"1","journalAbbreviation":"IOP Conf. Ser.: Earth Environ. Sci.","page":"012063","source":"DOI.org (Crossref)","title":"A review of building life cycle assessment software tools: Challenges and future directions","title-short":"A review of building life cycle assessment software tools","volume":"1363","author":[{"family":"Dharmarathna","given":"Dilshi"},{"family":"Bunster","given":"Victor"},{"family":"Graham","given":"Peter"}],"issued":{"date-parts":[["2024",6,1]]}}},{"id":17595,"uris":["http://zotero.org/groups/5639246/items/NYY53HEL"],"itemData":{"id":17595,"type":"article-journal","citation-key":"karunaratneReviewComprehensivenessUserfriendliness2022","container-title":"Building and Environment","DOI":"10.1016/j.buildenv.2022.108784","ISSN":"03601323","journalAbbreviation":"Building and Environment","language":"en","page":"108784","source":"DOI.org (Crossref)","title":"A review of comprehensiveness, user-friendliness, and contribution for sustainable design of whole building environmental life cycle assessment software tools","volume":"212","author":[{"family":"Karunaratne","given":"Shiromi"},{"family":"Dharmarathna","given":"Dilshi"}],"issued":{"date-parts":[["2022",3]]}}},{"id":17353,"uris":["http://zotero.org/groups/5639246/items/52I2NHMM"],"itemData":{"id":17353,"type":"article-journal","abstract":"As comprehensive sustainable design methods advance, whole-building life-cycle assessment (LCA) is becoming an important part of sustainable practices. The goal of this research is to evaluate the LCA tool Tally to establish a baseline process for LCA based on building information modelling (BIM). In order to generate benchmarks for whole-building LCA, the architecture, engineering, and construction industry must agree with the United States (US) government on a standard method of measuring embodied carbon in conjunction with a design tool. This paper involves a literature review and two case studies as a comparative software analysis between two whole-building LCA tools: the Autodesk-Revit-based Tally plugin and the Athena Impact Estimator (IE). The case studies include two different unit spaces – walls only in Case 1 and walls, windows, doors, floors, and roof in Case 2 – that were analysed in Tally and the Athena IE to compare the user input parameters, outputs, life-cycle inventory (LCI) databases, and interfaces. The findings highlight the discrepancies between the two environments’ inputs and outputs, and offer best practice guidelines towards a BIM-based LCA process. While the emergence of BIM-based LCA tools offers to help users such as architects, engineers, and contractors who are not LCA practitioners, this research shows that the tools include specific data input biases and methods which impact LCA outcomes. Thus a deeper understanding on the part of the users is needed, along with improvements to the software interfaces.","citation-key":"schultzBenchmarkStudyBIMbased2016","container-title":"International Journal of Sustainable Building Technology and Urban Development","DOI":"10.1080/2093761X.2017.1302839","ISSN":"2093-761X, 2093-7628","issue":"3-4","journalAbbreviation":"International Journal of Sustainable Building Technology and Urban Development","language":"en","page":"219-229","source":"DOI.org (Crossref)","title":"A benchmark study of BIM-based whole-building life-cycle assessment tools and processes","volume":"7","author":[{"family":"Schultz","given":"Joshua"},{"family":"Ku","given":"Kihong"},{"family":"Gindlesparger","given":"Matthew"},{"family":"Doerfler","given":"James"}],"issued":{"date-parts":[["2016",10]]}}}],"schema":"https://github.com/citation-style-language/schema/raw/master/csl-citation.json"} </w:instrText>
      </w:r>
      <w:r w:rsidR="00A56F9B">
        <w:rPr>
          <w:rFonts w:eastAsia="Calibri"/>
        </w:rPr>
        <w:fldChar w:fldCharType="separate"/>
      </w:r>
      <w:r w:rsidR="00A56F9B" w:rsidRPr="00A56F9B">
        <w:t>(Dharmarathna et al., 2024; Karunaratne and Dharmarathna, 2022; Schultz et al., 2016)</w:t>
      </w:r>
      <w:r w:rsidR="00A56F9B">
        <w:rPr>
          <w:rFonts w:eastAsia="Calibri"/>
        </w:rPr>
        <w:fldChar w:fldCharType="end"/>
      </w:r>
      <w:r w:rsidR="006F1DC6">
        <w:rPr>
          <w:rFonts w:eastAsia="Calibri"/>
        </w:rPr>
        <w:t xml:space="preserve"> </w:t>
      </w:r>
      <w:r w:rsidRPr="21E7FC56">
        <w:rPr>
          <w:rFonts w:eastAsia="Calibri"/>
        </w:rPr>
        <w:t>and the development of new tool prototypes and plug-ins</w:t>
      </w:r>
      <w:r w:rsidR="006F1DC6">
        <w:rPr>
          <w:rFonts w:eastAsia="Calibri"/>
        </w:rPr>
        <w:t xml:space="preserve"> </w:t>
      </w:r>
      <w:r w:rsidR="006F1DC6">
        <w:rPr>
          <w:rFonts w:eastAsia="Calibri"/>
        </w:rPr>
        <w:fldChar w:fldCharType="begin"/>
      </w:r>
      <w:r w:rsidR="00A1303F">
        <w:rPr>
          <w:rFonts w:eastAsia="Calibri"/>
        </w:rPr>
        <w:instrText xml:space="preserve"> ADDIN ZOTERO_ITEM CSL_CITATION {"citationID":"DXWIgYA5","properties":{"unsorted":false,"formattedCitation":"(Kanafani et al., 2021; Rezaei et al., 2019; Tam et al., 2023)","plainCitation":"(Kanafani et al., 2021; Rezaei et al., 2019; Tam et al., 2023)","noteIndex":0},"citationItems":[{"id":17479,"uris":["http://zotero.org/groups/5639246/items/G4LKY5KD"],"itemData":{"id":17479,"type":"article-journal","abstract":"Buildings are a major cause of global resource consumption, greenhouse gas (GHG) emissions and other impacts on the environment, originating from both operational energy and material use. Informed design decisions can help mitigate potential impacts on the environment, by the use of life cycle assessment (LCA) in the early project stages. In order to mitigate building environment impacts throughout the industry, architects and engineers need tools that are integrated in the design workflow and based on the information available. Existing LCA tools for building design professionals are predominantly embedded in a specific context such as a country or a sustainability scheme. This paper provides learnings for the development of context-tailored tools for building-LCA using the case of Denmark, with specific focus on GHG-emissions that are in focus worldwide. Based on stakeholder involvement, four key areas were defined: Default information, flexibility, environmental design feedback and transparent results. Tool functions include a component library and a quantity estimator for bridging incomplete building information. A comparison monitor displays the performance of design solutions selected in the model, while a number of graphs and tables provide analysis of inventory and results. Finally, a customisable model data export, a complete input/output file for revision and custom analysis are among key functions for transparency.","citation-key":"kanafaniLearningsDevelopingContextSpecific2021","container-title":"Sustainability","DOI":"10.3390/su13031508","ISSN":"2071-1050","issue":"3","journalAbbreviation":"Sustainability","language":"en","license":"https://creativecommons.org/licenses/by/4.0/","page":"1508","source":"DOI.org (Crossref)","title":"Learnings from Developing a Context-Specific LCA Tool for Buildings—The Case of LCAbyg 4","volume":"13","author":[{"family":"Kanafani","given":"Kai"},{"family":"Kjær Zimmermann","given":"Regitze"},{"family":"Nygaard Rasmussen","given":"Freja"},{"family":"Birgisdóttir","given":"Harpa"}],"issued":{"date-parts":[["2021",2,1]]}}},{"id":17376,"uris":["http://zotero.org/groups/5639246/items/5RCFYNSW"],"itemData":{"id":17376,"type":"article-journal","abstract":"In the early building design stage, there are numerous uncertainties due to the lack of information on materials and processes. Designers therefore cannot quantify the environmental impacts of buildings in order to evaluate the environmental performance of their designs early on. In this paper, life cycle assessment (LCA) and building information modeling (BIM) are carried out in the early and detailed building design stages. The method is applied to a residential building in Québec, Canada. The BIM is conducted with Revit, and the LCA with openLCA. To prepare the Revit outputs as the appropriate inputs of the LCA model, a functional database was developed. It includes all building assemblies, layers and possible materials commonly found in residential buildings in Québec. The ecoinvent database was used to source of life cycle inventory (LCI) data for each material. To manage information uncertainty in the early design stage, a probability function was assigned to each material. At the detailed design stage, all material types and quantities were specified in BIM file, which was used in the LCA study. The environmental impacts of the building stages and assemblies were calculated to determine the best building assembly options from an environmental perspective—a process that could guide building designers in the environmental assessments of their designs, making it possible to select more sustainable materials for each assembly and thus reduce the environmental impacts of the building.","citation-key":"rezaeiIntegratingBuildingInformation2019","container-title":"Building and Environment","DOI":"10.1016/j.buildenv.2019.01.034","ISSN":"03601323","journalAbbreviation":"Building and Environment","language":"en","page":"158-167","source":"DOI.org (Crossref)","title":"Integrating building information modeling and life cycle assessment in the early and detailed building design stages","volume":"153","author":[{"family":"Rezaei","given":"Farzaneh"},{"family":"Bulle","given":"Cécile"},{"family":"Lesage","given":"Pascal"}],"issued":{"date-parts":[["2019",4]]}}},{"id":17306,"uris":["http://zotero.org/groups/5639246/items/NLYW3FJJ"],"itemData":{"id":17306,"type":"article-journal","citation-key":"tamOptimalBIMLCA2023","container-title":"Journal of Cleaner Production","DOI":"10.1016/j.jclepro.2022.135605","ISSN":"09596526","journalAbbreviation":"Journal of Cleaner Production","language":"en","page":"135605","source":"DOI.org (Crossref)","title":"Optimal BIM and LCA integration approach for embodied environmental impact assessment","volume":"385","author":[{"family":"Tam","given":"V.W."},{"family":"Zhou","given":"Yijun"},{"family":"Shen","given":"Liyin"},{"family":"Le","given":"Khoa N."}],"issued":{"date-parts":[["2023",1]]}}}],"schema":"https://github.com/citation-style-language/schema/raw/master/csl-citation.json"} </w:instrText>
      </w:r>
      <w:r w:rsidR="006F1DC6">
        <w:rPr>
          <w:rFonts w:eastAsia="Calibri"/>
        </w:rPr>
        <w:fldChar w:fldCharType="separate"/>
      </w:r>
      <w:r w:rsidR="006F1DC6" w:rsidRPr="00206F01">
        <w:t>(Kanafani et al., 2021; Rezaei et al., 2019; Tam et al., 2023)</w:t>
      </w:r>
      <w:r w:rsidR="006F1DC6">
        <w:rPr>
          <w:rFonts w:eastAsia="Calibri"/>
        </w:rPr>
        <w:fldChar w:fldCharType="end"/>
      </w:r>
      <w:r w:rsidRPr="00206F01">
        <w:rPr>
          <w:rFonts w:eastAsia="Calibri"/>
        </w:rPr>
        <w:t xml:space="preserve">. </w:t>
      </w:r>
      <w:r w:rsidRPr="21E7FC56">
        <w:rPr>
          <w:rFonts w:eastAsia="Calibri"/>
        </w:rPr>
        <w:t xml:space="preserve">A recurring finding across these studies is that early-phase BIM-LCA integration requires more than data exchange. It demands continuous feedback loops between design decisions and environmental outcomes </w:t>
      </w:r>
      <w:r w:rsidR="00DC5EF6">
        <w:rPr>
          <w:rFonts w:eastAsia="Calibri"/>
        </w:rPr>
        <w:fldChar w:fldCharType="begin"/>
      </w:r>
      <w:r w:rsidR="002B53AC">
        <w:rPr>
          <w:rFonts w:eastAsia="Calibri"/>
        </w:rPr>
        <w:instrText xml:space="preserve"> ADDIN ZOTERO_ITEM CSL_CITATION {"citationID":"ARy4FgaV","properties":{"unsorted":false,"formattedCitation":"(Cavalliere et al., 2019; Kamari and Schultz, 2024; Prideaux et al., 2024)","plainCitation":"(Cavalliere et al., 2019; Kamari and Schultz, 2024; Prideaux et al., 2024)","noteIndex":0},"citationItems":[{"id":17370,"uris":["http://zotero.org/groups/5639246/items/YPMZ5FX8"],"itemData":{"id":17370,"type":"article-journal","abstract":"Life Cycle Assessment (LCA) is a suitable method to analyse and improve the environmental impact of buildings. However, it is complex to apply in the design phase. Building Information Modelling (BIM) can help to perform LCA during the design process. Current BIM-LCA approaches follow two trends. Either they use complex models in detailed design phases, when it is late for major changes, or they are based on simpliﬁed approaches only applicable in early design stages. This paper proposes a novel method for applying LCA continuously over the entire building design process to assess the embodied environmental impacts by using the data provided by BIM with as much accuracy as possible in each stage. The method uses different LCA databases with different levels of detail for the speciﬁc level of development (LOD) of the BIM. Since different building elements are not modelled with identical LODs in each design phase, the assessment of embodied environmental impacts is conducted by consistently mixing the LCA databases, which is possible as long as the databases use identical background data. The method is applied to ﬁve design stages of a building case study. The results show that it is now possible to calculate the embodied impacts in all design stages while being consistent with the results from the completed project. The environmental impact in a certain design phase is always within the range of variability of the previous phase. Therefore, the method allows to estimate the ﬁnal embodied environmental impact with increasing accuracy and by that provide information for decision-making throughout the whole design process.","citation-key":"cavalliereContinuousBIMbasedAssessment2019","container-title":"Journal of Cleaner Production","DOI":"10.1016/j.jclepro.2018.11.247","ISSN":"09596526","journalAbbreviation":"Journal of Cleaner Production","language":"en","page":"941-952","source":"DOI.org (Crossref)","title":"Continuous BIM-based assessment of embodied environmental impacts throughout the design process","volume":"211","author":[{"family":"Cavalliere","given":"Carmine"},{"family":"Habert","given":"Guillaume"},{"family":"Dell'Osso","given":"Guido Raffaele"},{"family":"Hollberg","given":"Alexander"}],"issued":{"date-parts":[["2019",2]]}}},{"id":29768,"uris":["http://zotero.org/groups/5639246/items/SLQ7DEDM"],"itemData":{"id":29768,"type":"article-journal","abstract":"Life cycle assessment (LCA) is rapidly evolving in the EU and around the world, and it is used to calculate and assess the environmental impact of buildings throughout their life cycle. Many EU countries have decided to add new embodied carbon regulations in their building codes, and thus, the calculation of environmental impact is becoming mandatory. We present a decision support system based on Building Information Modelling (BIM) that provides architects and engineers with streamlined LCA information on highly uncertain designs at an early stage. The system is designed to be extremely simple and easy to comprehend, and it executes LCA calculations fast enough for real-time use. Our key contribution is to elaborate, comprehensively implement, and evaluate the new sustainability opportunity metric (SOM) that we had briefly introduced in our earlier work. Assigned to BIM model components, the metric intends to identify sustainability opportunities and risks by quickly evaluating numerous independent building elements despite early-stage design uncertainty. In this paper, we demonstrate the first fully integrated toolchain and tools prototypes as a plug-in for Revit. We develop the tool to conduct visualisation and usability experiments, and empirically evaluate it on five complex BIM-based high-rise projects.","citation-key":"kamariStreamliningBIMintegratedLCA2025a","container-title":"Architecture, Structures and Construction","DOI":"10.1007/s44150-024-00122-2","ISSN":"2730-9886, 2730-9894","issue":"1","journalAbbreviation":"Archit. Struct. Constr.","language":"en","page":"5","source":"DOI.org (Crossref)","title":"Streamlining BIM-integrated LCA for rapid-iterative-informed-early stage upfront carbon assessment by architects and engineers","volume":"5","author":[{"family":"Kamari","given":"Aliakbar"},{"family":"Schultz","given":"Carl"}],"issued":{"date-parts":[["2024",6]]}}},{"id":17409,"uris":["http://zotero.org/groups/5639246/items/S9S8BUBV"],"itemData":{"id":17409,"type":"article-journal","abstract":"The environmental effects associated with buildings are significant and include considerable contributions towards global greenhouse gas emissions, energy use, and waste generation. Until recently, mitigation efforts have concentrated on improving the operational energy efficiency of buildings, largely ignoring embodied environmental effects. However, focusing solely on increasing energy efficiency can inadvertently cause an rise in embodied effects. It is therefore critical that embodied effects are considered alongside operational effects and are actively integrated into design decisions throughout the building design process. Life cycle assessment (LCA) can be used to achieve this, however, it is often perceived as difficult to incorporate into design workflows, or requiring specialist knowledge. Additionally, it is not always clear how well aligned LCA approaches are with the building design process. To address this gap, this study aims to provide a detailed analysis of LCA approaches, to assess how well they align with building design stages, and to identify key characteristics, including LCA tools and environmental data used to conduct assessments. A review of academic and grey literature is conducted. Three primary approaches are identified for integrating LCA into the building design process: simplified, detailed and incremental LCA. Simplified LCA uses streamlined data inputs and typically targets a specific design stage. Detailed LCA follows a traditional approach with comprehensive user inputs and results. Incremental LCA progressively evolves the assessment based on design requirements and available building data at each design stage. An analysis of each approach is performed, and key user requirements are mapped against the early design, and detailed design stages. Results reveal that no single approach fully satisfies all design requirements. Findings also highlight a lack of incremental LCA approaches and challenges operationalising these techniques. These approaches often rely on complicated methods or tools not suitable for common design workflows, or they are in early development and require additional verification before implementation.","citation-key":"prideauxIntegratingLifeCycle2024","container-title":"Environmental Research: Infrastructure and Sustainability","DOI":"10.1088/2634-4505/ad3577","ISSN":"2634-4505","issue":"2","journalAbbreviation":"Environ. Res.: Infrastruct. Sustain.","language":"en","page":"022001","source":"DOI.org (Crossref)","title":"Integrating life cycle assessment into the building design process—a review","volume":"4","author":[{"family":"Prideaux","given":"Fabian"},{"family":"Allacker","given":"Karen"},{"family":"Crawford","given":"Robert"},{"family":"Stephan","given":"André"}],"issued":{"date-parts":[["2024",6,1]]}}}],"schema":"https://github.com/citation-style-language/schema/raw/master/csl-citation.json"} </w:instrText>
      </w:r>
      <w:r w:rsidR="00DC5EF6">
        <w:rPr>
          <w:rFonts w:eastAsia="Calibri"/>
        </w:rPr>
        <w:fldChar w:fldCharType="separate"/>
      </w:r>
      <w:r w:rsidR="002B53AC" w:rsidRPr="002B53AC">
        <w:t>(Cavalliere et al., 2019; Kamari and Schultz, 2024; Prideaux et al., 2024)</w:t>
      </w:r>
      <w:r w:rsidR="00DC5EF6">
        <w:rPr>
          <w:rFonts w:eastAsia="Calibri"/>
        </w:rPr>
        <w:fldChar w:fldCharType="end"/>
      </w:r>
      <w:r w:rsidR="00A86B4B">
        <w:rPr>
          <w:rFonts w:eastAsia="Calibri"/>
        </w:rPr>
        <w:t xml:space="preserve">. </w:t>
      </w:r>
      <w:r w:rsidRPr="21E7FC56">
        <w:rPr>
          <w:rFonts w:eastAsia="Calibri"/>
        </w:rPr>
        <w:t xml:space="preserve">Several authors have converged on a set of key requirements for such tools: hot-spot analysis of environmental impacts mapped onto the building model, an interactive 3D viewer for intuitive interpretation, benchmarking against reference values, and transparent calculation methods </w:t>
      </w:r>
      <w:r w:rsidR="00A86B4B">
        <w:rPr>
          <w:rFonts w:eastAsia="Calibri"/>
        </w:rPr>
        <w:fldChar w:fldCharType="begin"/>
      </w:r>
      <w:r w:rsidR="0081589E">
        <w:rPr>
          <w:rFonts w:eastAsia="Calibri"/>
        </w:rPr>
        <w:instrText xml:space="preserve"> ADDIN ZOTERO_ITEM CSL_CITATION {"citationID":"BFTDBLak","properties":{"unsorted":false,"formattedCitation":"(Dalla Mora et al., 2020; Forth, 2024; Hollberg et al., 2021; Sartori et al., 2021)","plainCitation":"(Dalla Mora et al., 2020; Forth, 2024; Hollberg et al., 2021; Sartori et al., 2021)","noteIndex":0},"citationItems":[{"id":17173,"uris":["http://zotero.org/groups/5639246/items/8NL79PXM"],"itemData":{"id":17173,"type":"article-journal","abstract":"The construction sector is responsible for 40% of carbon emissions, 14% of water consumption and 60% of waste production in the world, generating a state of unsustainability. In order to keep these values under control and make the most sustainable choices starting from the earliest stages of building design, a Life Cycle Assessment (LCA) can be used. This consists of an analysis of the environmental impacts of a product, activity or process throughout all phases of the life cycle. The fundamental problem of implementing this analysis process in the construction sector is the difficulty in managing the fragmented building information that covers all aspects of buildings life stages in an integrated way. The Building Information Modeling (BIM) approach offers the possibility of managing a complex information system in an integrated manner. The BIM-LCA integration solutions proposed in recent years made LCA analysis faster, cheaper and usable by more professionals. This paper proposes an analysis of the state of the art of the research published in the last ten years regarding the integration of BIM-LCA as a methodology whereby the BIM approach can support and simplify data management for LCA analysis. The aim was to present the work methodologies tested so far and to describe all the factors that were considered in applying the BIM-LCA integration. The novelty of this review consists of identifying a series of more recurrent parameters and measures used by most researchers deriving a trend of possible and consolidated workflows. The result is, therefore, to present evidence of a general heterogenous framework and to define the common and widespread approaches identifying the main features.","citation-key":"dallamoraKeyParametersFeaturing2020","container-title":"Sustainability","DOI":"10.3390/su12177182","ISSN":"2071-1050","issue":"17","journalAbbreviation":"Sustainability","language":"en","license":"https://creativecommons.org/licenses/by/4.0/","page":"7182","source":"DOI.org (Crossref)","title":"Key Parameters Featuring BIM-LCA Integration in Buildings: A Practical Review of the Current Trends","title-short":"Key Parameters Featuring BIM-LCA Integration in Buildings","volume":"12","author":[{"family":"Dalla Mora","given":"Tiziano"},{"family":"Bolzonello","given":"Erika"},{"family":"Cavalliere","given":"Carmine"},{"family":"Peron","given":"Fabio"}],"issued":{"date-parts":[["2020",9,2]]}}},{"id":17235,"uris":["http://zotero.org/groups/5639246/items/SBC88XSL"],"itemData":{"id":17235,"type":"thesis","citation-key":"forthBIMbasedSemanticEnrichment2024","genre":"Doctoral Thesis","publisher":"Technische Universität München","title":"BIM-based semantic enrichment for environmental analyses using Large Language Models","author":[{"family":"Forth","given":"Kasimir"}],"issued":{"date-parts":[["2024"]]}}},{"id":17265,"uris":["http://zotero.org/groups/5639246/items/PAIAHQJ7"],"itemData":{"id":17265,"type":"article-journal","abstract":"Life Cycle Assessment (LCA) is increasingly used for decision-making in the design process of buildings and neighbourhoods. Therefore, visualisation of LCA results to support interpretation and decision-making becomes more important. The number of building LCA tools and the published literature has increased substantially in recent years. Most of them include some type of visualisation. However, there are currently no clear guidelines and no harmonised way of presenting LCA results. In this paper, we review the current state of the art in visualising LCA results to provide a structured overview. Furthermore, we discuss recent and potential future developments. The review results show a great variety in visualisation options. By matching them with common LCA goals we provide a structured basis for future developments. Case studies combining different kinds of visualisations within the design environment, interactive dashboards, and immersive technologies, such as virtual reality, show a big potential for facilitating the interpretation of LCA results and collaborative design processes. The overview and recommendations presented in this paper provide a basis for future development of intuitive and design-integrated visualisation of LCA results to support decision-making.","citation-key":"hollbergReviewVisualisingLCA2021","container-title":"Building and Environment","DOI":"10.1016/j.buildenv.2020.107530","ISSN":"03601323","journalAbbreviation":"Building and Environment","language":"en","page":"107530","source":"DOI.org (Crossref)","title":"Review of visualising LCA results in the design process of buildings","volume":"190","author":[{"family":"Hollberg","given":"Alexander"},{"family":"Kiss","given":"Benedek"},{"family":"Röck","given":"Martin"},{"family":"Soust-Verdaguer","given":"Bernardette"},{"family":"Wiberg","given":"Aoife Houlihan"},{"family":"Lasvaux","given":"Sebastien"},{"family":"Galimshina","given":"Alina"},{"family":"Habert","given":"Guillaume"}],"issued":{"date-parts":[["2021",3]]}}},{"id":17596,"uris":["http://zotero.org/groups/5639246/items/SMHJKUMZ"],"itemData":{"id":17596,"type":"article-journal","citation-key":"sartoriSchematicFrameworkLife2021","container-title":"Journal of Building Engineering","DOI":"10.1016/j.jobe.2021.102180","ISSN":"23527102","journalAbbreviation":"Journal of Building Engineering","language":"en","page":"102180","source":"DOI.org (Crossref)","title":"A schematic framework for Life Cycle Assessment (LCA) and Green Building Rating System (GBRS)","volume":"38","author":[{"family":"Sartori","given":"Thais"},{"family":"Drogemuller","given":"Robin"},{"family":"Omrani","given":"Sara"},{"family":"Lamari","given":"Fiona"}],"issued":{"date-parts":[["2021",6]]}}}],"schema":"https://github.com/citation-style-language/schema/raw/master/csl-citation.json"} </w:instrText>
      </w:r>
      <w:r w:rsidR="00A86B4B">
        <w:rPr>
          <w:rFonts w:eastAsia="Calibri"/>
        </w:rPr>
        <w:fldChar w:fldCharType="separate"/>
      </w:r>
      <w:r w:rsidR="00A86B4B" w:rsidRPr="00A86B4B">
        <w:t>(Dalla Mora et al., 2020; Forth, 2024; Hollberg et al., 2021; Sartori et al., 2021)</w:t>
      </w:r>
      <w:r w:rsidR="00A86B4B">
        <w:rPr>
          <w:rFonts w:eastAsia="Calibri"/>
        </w:rPr>
        <w:fldChar w:fldCharType="end"/>
      </w:r>
      <w:r w:rsidR="00F60AEB">
        <w:rPr>
          <w:rFonts w:eastAsia="Calibri"/>
        </w:rPr>
        <w:t xml:space="preserve">. </w:t>
      </w:r>
      <w:r w:rsidRPr="21E7FC56">
        <w:rPr>
          <w:rFonts w:eastAsia="Calibri"/>
        </w:rPr>
        <w:t>Building on these findings and informed by structured practitioner workshops</w:t>
      </w:r>
      <w:r w:rsidR="000709E9">
        <w:rPr>
          <w:rFonts w:eastAsia="Calibri"/>
        </w:rPr>
        <w:t xml:space="preserve"> with BIM Allianz </w:t>
      </w:r>
      <w:r w:rsidR="000709E9">
        <w:rPr>
          <w:rFonts w:eastAsia="Calibri"/>
        </w:rPr>
        <w:fldChar w:fldCharType="begin"/>
      </w:r>
      <w:r w:rsidR="000709E9">
        <w:rPr>
          <w:rFonts w:eastAsia="Calibri"/>
        </w:rPr>
        <w:instrText xml:space="preserve"> ADDIN ZOTERO_ITEM CSL_CITATION {"citationID":"tChiRMLO","properties":{"unsorted":false,"formattedCitation":"(BIM-Allianz e.V., n.d.)","plainCitation":"(BIM-Allianz e.V., n.d.)","noteIndex":0},"citationItems":[{"id":17618,"uris":["http://zotero.org/groups/5639246/items/YIVL5FZD"],"itemData":{"id":17618,"type":"webpage","citation-key":"bim-allianze.v.BIMAllianz","title":"BIM Allianz","URL":"https://www.bim-allianz.de/","author":[{"family":"BIM-Allianz e.V.","given":""}],"accessed":{"date-parts":[["2025",2,25]]}}}],"schema":"https://github.com/citation-style-language/schema/raw/master/csl-citation.json"} </w:instrText>
      </w:r>
      <w:r w:rsidR="000709E9">
        <w:rPr>
          <w:rFonts w:eastAsia="Calibri"/>
        </w:rPr>
        <w:fldChar w:fldCharType="separate"/>
      </w:r>
      <w:r w:rsidR="000709E9" w:rsidRPr="000709E9">
        <w:t>(BIM-Allianz e.V., n.d.)</w:t>
      </w:r>
      <w:r w:rsidR="000709E9">
        <w:rPr>
          <w:rFonts w:eastAsia="Calibri"/>
        </w:rPr>
        <w:fldChar w:fldCharType="end"/>
      </w:r>
      <w:r w:rsidRPr="21E7FC56">
        <w:rPr>
          <w:rFonts w:eastAsia="Calibri"/>
        </w:rPr>
        <w:t xml:space="preserve">, we have </w:t>
      </w:r>
      <w:r w:rsidR="0081611E">
        <w:rPr>
          <w:rFonts w:eastAsia="Calibri"/>
        </w:rPr>
        <w:t xml:space="preserve">developed a </w:t>
      </w:r>
      <w:r w:rsidR="0081611E">
        <w:rPr>
          <w:rFonts w:eastAsia="Calibri"/>
        </w:rPr>
        <w:lastRenderedPageBreak/>
        <w:t xml:space="preserve">set of design guidelines for the bLCA tool </w:t>
      </w:r>
      <w:r w:rsidRPr="21E7FC56">
        <w:rPr>
          <w:rFonts w:eastAsia="Calibri"/>
        </w:rPr>
        <w:t>to address the most persistent gaps identified in both the literature and current practice</w:t>
      </w:r>
      <w:r w:rsidR="00E4355D">
        <w:rPr>
          <w:rFonts w:eastAsia="Calibri"/>
        </w:rPr>
        <w:t xml:space="preserve"> </w:t>
      </w:r>
      <w:r w:rsidR="6E0EADA9">
        <w:fldChar w:fldCharType="begin"/>
      </w:r>
      <w:r w:rsidR="00A1303F">
        <w:instrText xml:space="preserve"> ADDIN ZOTERO_ITEM CSL_CITATION {"citationID":"tPAMkchC","properties":{"unsorted":false,"formattedCitation":"(Karaoglan et al., 2025)","plainCitation":"(Karaoglan et al., 2025)","noteIndex":0},"citationItems":[{"id":29580,"uris":["http://zotero.org/groups/5639246/items/B9TPG5WP"],"itemData":{"id":29580,"type":"paper-conference","citation-key":"karaoglanEARLYPHASEBIMLCAINTEGRATION2025","container-title":"Proceedings of the 2025 European Conference on Computing in Construction","DOI":"10.35490/EC3.2025.509","event-title":"European Conference on Computing in Construction","language":"en","publisher-place":"Porto","source":"Zotero","title":"Early-Phase BIM-LCA Integration: Practice-Based Challenges and Research-Informed Solutions","author":[{"family":"Karaoglan","given":"Cemre"},{"family":"Kufeld","given":"Elias"},{"family":"Hildebrand","given":"Linda"},{"family":"Beetz","given":"Jakob"}],"issued":{"date-parts":[["2025"]]}}}],"schema":"https://github.com/citation-style-language/schema/raw/master/csl-citation.json"} </w:instrText>
      </w:r>
      <w:r w:rsidR="6E0EADA9">
        <w:fldChar w:fldCharType="separate"/>
      </w:r>
      <w:r w:rsidR="00C32EE3" w:rsidRPr="00C32EE3">
        <w:t>(Karaoglan et al., 2025)</w:t>
      </w:r>
      <w:r w:rsidR="6E0EADA9">
        <w:fldChar w:fldCharType="end"/>
      </w:r>
      <w:r w:rsidR="63181C6C">
        <w:t>.</w:t>
      </w:r>
      <w:r w:rsidR="00E4355D">
        <w:t xml:space="preserve"> </w:t>
      </w:r>
    </w:p>
    <w:p w14:paraId="37B22246" w14:textId="0D1C2FAB" w:rsidR="00855D96" w:rsidRPr="00E4355D" w:rsidRDefault="00855D96" w:rsidP="00E4355D">
      <w:pPr>
        <w:ind w:firstLine="851"/>
        <w:rPr>
          <w:rFonts w:eastAsia="Calibri"/>
        </w:rPr>
      </w:pPr>
      <w:r>
        <w:t xml:space="preserve">The first step in developing the bLCA tool is to understand the current BIM integration in the eLCA tool </w:t>
      </w:r>
      <w:r>
        <w:fldChar w:fldCharType="begin"/>
      </w:r>
      <w:r w:rsidR="00C33916">
        <w:instrText xml:space="preserve"> ADDIN ZOTERO_ITEM CSL_CITATION {"citationID":"deinoYxd","properties":{"unsorted":false,"formattedCitation":"(BBSR, n.d.)","plainCitation":"(BBSR, n.d.)","noteIndex":0},"citationItems":[{"id":17624,"uris":["http://zotero.org/groups/5639246/items/LELUHCZZ"],"itemData":{"id":17624,"type":"webpage","citation-key":"bbsrELCA","container-title":"eLCA","title":"Ökobilanzierungstool eLCA","URL":"https://bauteileditor.de/","author":[{"family":"BBSR","given":""}],"accessed":{"date-parts":[["2026",6,28]]}}}],"schema":"https://github.com/citation-style-language/schema/raw/master/csl-citation.json"} </w:instrText>
      </w:r>
      <w:r>
        <w:fldChar w:fldCharType="separate"/>
      </w:r>
      <w:r w:rsidR="00372B81" w:rsidRPr="00372B81">
        <w:t>(BBSR, n.d.)</w:t>
      </w:r>
      <w:r>
        <w:fldChar w:fldCharType="end"/>
      </w:r>
      <w:r>
        <w:t xml:space="preserve">, which </w:t>
      </w:r>
      <w:r w:rsidR="00106160">
        <w:t>forms the basis of</w:t>
      </w:r>
      <w:r>
        <w:t xml:space="preserve"> this study. </w:t>
      </w:r>
      <w:r w:rsidR="00106160">
        <w:t>Users can</w:t>
      </w:r>
      <w:r>
        <w:t xml:space="preserve"> import IFC models via </w:t>
      </w:r>
      <w:proofErr w:type="spellStart"/>
      <w:r>
        <w:t>eLCA’s</w:t>
      </w:r>
      <w:proofErr w:type="spellEnd"/>
      <w:r>
        <w:t xml:space="preserve"> free-to-use web interface and obtain results by entering the necessary data on a single page for the listed building elements. The workflow similarly follows </w:t>
      </w:r>
      <w:r w:rsidR="00106160">
        <w:t xml:space="preserve">three steps: building element classification, environmental data mapping with the pre-curated building element templates in the eLCA library, and </w:t>
      </w:r>
      <w:r>
        <w:t xml:space="preserve">display of LCA results. The building element classification algorithm performs well on complete IFC models, and the building element template logic helps assign objects </w:t>
      </w:r>
      <w:r w:rsidR="00106160">
        <w:t>using</w:t>
      </w:r>
      <w:r>
        <w:t xml:space="preserve"> the German ÖKOBAUDAT environmental database. </w:t>
      </w:r>
      <w:r w:rsidR="000E5416" w:rsidRPr="000E5416">
        <w:t xml:space="preserve">However, several shortcomings remain in the current IFC </w:t>
      </w:r>
      <w:r w:rsidR="00753913">
        <w:t>import workflow. Accordingly, the current prototype addresses these limitations through</w:t>
      </w:r>
      <w:r w:rsidR="000E5416" w:rsidRPr="000E5416">
        <w:t xml:space="preserve"> </w:t>
      </w:r>
      <w:r w:rsidR="00753913">
        <w:t xml:space="preserve">three central improvements: </w:t>
      </w:r>
      <w:r w:rsidR="000E5416" w:rsidRPr="000E5416">
        <w:t>an alternative classification method, LOD-aware material assignment, and enhanced visual feedback of LCA results</w:t>
      </w:r>
      <w:r w:rsidR="00753913">
        <w:t>.</w:t>
      </w:r>
    </w:p>
    <w:p w14:paraId="5C9941CB" w14:textId="7F21AA49" w:rsidR="0033397A" w:rsidRDefault="0033397A" w:rsidP="0033397A">
      <w:pPr>
        <w:pStyle w:val="Heading1"/>
      </w:pPr>
      <w:r w:rsidRPr="0033397A">
        <w:t>PROTOTYPE DESIGN AND IMPLEMENTATION</w:t>
      </w:r>
    </w:p>
    <w:p w14:paraId="63C886D7" w14:textId="6D292640" w:rsidR="00224DEE" w:rsidRDefault="00E9038F" w:rsidP="00EC7E66">
      <w:r w:rsidRPr="00E9038F">
        <w:t xml:space="preserve">As a further development of the eLCA tool, bLCA aims to offer a more visual alternative for working with IFC models. The geometric data here </w:t>
      </w:r>
      <w:r w:rsidR="00B97748">
        <w:t xml:space="preserve">serves as a helper for a more intuitive experience, whereas the </w:t>
      </w:r>
      <w:r w:rsidRPr="00E9038F">
        <w:t>semantic data from the IFC sets the basis for the assessment. Although continuous and at times iterative, the workflow is divided into three main steps: Model classification, material/product selection, and visualisation of results</w:t>
      </w:r>
      <w:r w:rsidR="001461A0">
        <w:t xml:space="preserve"> </w:t>
      </w:r>
      <w:r w:rsidR="001958D6">
        <w:t>(</w:t>
      </w:r>
      <w:r w:rsidR="001958D6">
        <w:fldChar w:fldCharType="begin"/>
      </w:r>
      <w:r w:rsidR="001958D6">
        <w:instrText xml:space="preserve"> REF _Ref233666389 \h </w:instrText>
      </w:r>
      <w:r w:rsidR="001958D6">
        <w:fldChar w:fldCharType="separate"/>
      </w:r>
      <w:r w:rsidR="000815F4">
        <w:t xml:space="preserve">Figure </w:t>
      </w:r>
      <w:r w:rsidR="000815F4">
        <w:rPr>
          <w:noProof/>
        </w:rPr>
        <w:t>1</w:t>
      </w:r>
      <w:r w:rsidR="001958D6">
        <w:fldChar w:fldCharType="end"/>
      </w:r>
      <w:r w:rsidR="001958D6">
        <w:t>)</w:t>
      </w:r>
      <w:r w:rsidRPr="00E9038F">
        <w:t>.</w:t>
      </w:r>
      <w:r w:rsidR="008D7ADB">
        <w:t xml:space="preserve"> </w:t>
      </w:r>
      <w:r w:rsidR="003D5BE1" w:rsidRPr="00E9038F">
        <w:t>From project creation through the results section, each step includes a 3D viewer to display the IFC geometry</w:t>
      </w:r>
      <w:r w:rsidR="001958D6">
        <w:t>.</w:t>
      </w:r>
    </w:p>
    <w:p w14:paraId="4AC515CB" w14:textId="07E47E28" w:rsidR="00224DEE" w:rsidRDefault="00224DEE" w:rsidP="00224DEE">
      <w:pPr>
        <w:pStyle w:val="CIB-image"/>
      </w:pPr>
      <w:r>
        <w:drawing>
          <wp:inline distT="0" distB="0" distL="0" distR="0" wp14:anchorId="118ED448" wp14:editId="751303DE">
            <wp:extent cx="6052786" cy="2556164"/>
            <wp:effectExtent l="0" t="0" r="5715" b="0"/>
            <wp:docPr id="12888536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853695" name="drawing"/>
                    <pic:cNvPicPr/>
                  </pic:nvPicPr>
                  <pic:blipFill rotWithShape="1">
                    <a:blip r:embed="rId8" cstate="print">
                      <a:extLst>
                        <a:ext uri="{28A0092B-C50C-407E-A947-70E740481C1C}">
                          <a14:useLocalDpi xmlns:a14="http://schemas.microsoft.com/office/drawing/2010/main" val="0"/>
                        </a:ext>
                      </a:extLst>
                    </a:blip>
                    <a:srcRect l="512" r="-423"/>
                    <a:stretch/>
                  </pic:blipFill>
                  <pic:spPr bwMode="auto">
                    <a:xfrm>
                      <a:off x="0" y="0"/>
                      <a:ext cx="6070209" cy="2563522"/>
                    </a:xfrm>
                    <a:prstGeom prst="rect">
                      <a:avLst/>
                    </a:prstGeom>
                    <a:ln>
                      <a:noFill/>
                    </a:ln>
                    <a:extLst>
                      <a:ext uri="{53640926-AAD7-44D8-BBD7-CCE9431645EC}">
                        <a14:shadowObscured xmlns:a14="http://schemas.microsoft.com/office/drawing/2010/main"/>
                      </a:ext>
                    </a:extLst>
                  </pic:spPr>
                </pic:pic>
              </a:graphicData>
            </a:graphic>
          </wp:inline>
        </w:drawing>
      </w:r>
    </w:p>
    <w:p w14:paraId="4B6AC7F0" w14:textId="0AF3DF0E" w:rsidR="008D7ADB" w:rsidRDefault="00224DEE" w:rsidP="00F5546E">
      <w:pPr>
        <w:pStyle w:val="CIB-caption"/>
      </w:pPr>
      <w:bookmarkStart w:id="0" w:name="_Ref233666389"/>
      <w:r>
        <w:t xml:space="preserve">Figure </w:t>
      </w:r>
      <w:r>
        <w:fldChar w:fldCharType="begin"/>
      </w:r>
      <w:r>
        <w:instrText>SEQ Figure \* ARABIC</w:instrText>
      </w:r>
      <w:r>
        <w:fldChar w:fldCharType="separate"/>
      </w:r>
      <w:r w:rsidR="000815F4">
        <w:rPr>
          <w:noProof/>
        </w:rPr>
        <w:t>1</w:t>
      </w:r>
      <w:r>
        <w:fldChar w:fldCharType="end"/>
      </w:r>
      <w:bookmarkEnd w:id="0"/>
      <w:r>
        <w:t>: bLCA Tool Workflow.</w:t>
      </w:r>
    </w:p>
    <w:p w14:paraId="1181BE13" w14:textId="12E66D49" w:rsidR="00E9038F" w:rsidRPr="00E9038F" w:rsidRDefault="00FD6137" w:rsidP="00E9038F">
      <w:r w:rsidRPr="00FD6137">
        <w:t xml:space="preserve">The methodological approach </w:t>
      </w:r>
      <w:r w:rsidR="00237BFB">
        <w:t xml:space="preserve">starts by identifying </w:t>
      </w:r>
      <w:r w:rsidR="00C638B4">
        <w:t>workflow bottlenecks</w:t>
      </w:r>
      <w:r w:rsidR="00237BFB">
        <w:t xml:space="preserve"> and the requirements for a BIM-LCA tool</w:t>
      </w:r>
      <w:r w:rsidR="00753913">
        <w:t>. The</w:t>
      </w:r>
      <w:r w:rsidR="00023FAA">
        <w:t xml:space="preserve">se </w:t>
      </w:r>
      <w:r w:rsidR="00237BFB">
        <w:t xml:space="preserve">are derived from the </w:t>
      </w:r>
      <w:r w:rsidRPr="00FD6137">
        <w:t>literature and practitioner workshops</w:t>
      </w:r>
      <w:r w:rsidR="00023FAA">
        <w:t xml:space="preserve"> </w:t>
      </w:r>
      <w:r w:rsidR="00237BFB">
        <w:fldChar w:fldCharType="begin"/>
      </w:r>
      <w:r w:rsidR="00A1303F">
        <w:instrText xml:space="preserve"> ADDIN ZOTERO_ITEM CSL_CITATION {"citationID":"5nTqmNyc","properties":{"unsorted":false,"formattedCitation":"(Karaoglan et al., 2025)","plainCitation":"(Karaoglan et al., 2025)","noteIndex":0},"citationItems":[{"id":29580,"uris":["http://zotero.org/groups/5639246/items/B9TPG5WP"],"itemData":{"id":29580,"type":"paper-conference","citation-key":"karaoglanEARLYPHASEBIMLCAINTEGRATION2025","container-title":"Proceedings of the 2025 European Conference on Computing in Construction","DOI":"10.35490/EC3.2025.509","event-title":"European Conference on Computing in Construction","language":"en","publisher-place":"Porto","source":"Zotero","title":"Early-Phase BIM-LCA Integration: Practice-Based Challenges and Research-Informed Solutions","author":[{"family":"Karaoglan","given":"Cemre"},{"family":"Kufeld","given":"Elias"},{"family":"Hildebrand","given":"Linda"},{"family":"Beetz","given":"Jakob"}],"issued":{"date-parts":[["2025"]]}}}],"schema":"https://github.com/citation-style-language/schema/raw/master/csl-citation.json"} </w:instrText>
      </w:r>
      <w:r w:rsidR="00237BFB">
        <w:fldChar w:fldCharType="separate"/>
      </w:r>
      <w:r w:rsidR="00237BFB" w:rsidRPr="00237BFB">
        <w:t>(Karaoglan et al., 2025)</w:t>
      </w:r>
      <w:r w:rsidR="00237BFB">
        <w:fldChar w:fldCharType="end"/>
      </w:r>
      <w:r w:rsidR="00EF1F1C">
        <w:t>. T</w:t>
      </w:r>
      <w:r w:rsidRPr="00FD6137">
        <w:t>hese requirements</w:t>
      </w:r>
      <w:r w:rsidR="00810C2E">
        <w:t xml:space="preserve"> and potential solutions</w:t>
      </w:r>
      <w:r w:rsidRPr="00FD6137">
        <w:t xml:space="preserve"> are </w:t>
      </w:r>
      <w:r w:rsidR="00D70E82">
        <w:t>translated</w:t>
      </w:r>
      <w:r w:rsidRPr="00FD6137">
        <w:t xml:space="preserve"> into design strategies</w:t>
      </w:r>
      <w:r w:rsidR="00EF1F1C">
        <w:t xml:space="preserve">, which are then </w:t>
      </w:r>
      <w:r w:rsidRPr="00FD6137">
        <w:t>implemented in a prototype.</w:t>
      </w:r>
      <w:r>
        <w:t xml:space="preserve"> </w:t>
      </w:r>
      <w:r w:rsidR="0064238E" w:rsidRPr="0064238E">
        <w:t>The following subsections therefore describe how each strategy is operationalised in th</w:t>
      </w:r>
      <w:r w:rsidR="0064238E">
        <w:t>is</w:t>
      </w:r>
      <w:r w:rsidR="0064238E" w:rsidRPr="0064238E">
        <w:t xml:space="preserve"> prototype.</w:t>
      </w:r>
    </w:p>
    <w:p w14:paraId="39F54C2F" w14:textId="25C6B5D6" w:rsidR="21E7FC56" w:rsidRDefault="21E7FC56" w:rsidP="21E7FC56">
      <w:pPr>
        <w:pStyle w:val="Heading2"/>
        <w:ind w:left="714" w:hanging="357"/>
      </w:pPr>
      <w:r>
        <w:lastRenderedPageBreak/>
        <w:t>Building Element Classification</w:t>
      </w:r>
    </w:p>
    <w:p w14:paraId="4D26E282" w14:textId="24DC42D4" w:rsidR="00AC53F4" w:rsidRDefault="21E7FC56" w:rsidP="00B02658">
      <w:r>
        <w:t xml:space="preserve">Classification of all building construction elements according to DIN 276 </w:t>
      </w:r>
      <w:r w:rsidR="182A6140">
        <w:fldChar w:fldCharType="begin"/>
      </w:r>
      <w:r w:rsidR="182A6140">
        <w:instrText xml:space="preserve"> ADDIN ZOTERO_ITEM CSL_CITATION {"citationID":"1zq95pi5","properties":{"unsorted":false,"formattedCitation":"(Deutsches Institut f\\uc0\\u252{}r Normung e. V., 2018)","plainCitation":"(Deutsches Institut für Normung e. V., 2018)","noteIndex":0},"citationItems":[{"id":29761,"uris":["http://zotero.org/groups/5639246/items/ZCSJPMY4"],"itemData":{"id":29761,"type":"standard","citation-key":"DIN276201812","DOI":"10.31030/2873248","publisher":"DIN Media GmbH","publisher-place":"Berlin","source":"DOI.org (Crossref)","title":"DIN 276:2018-12, Kosten im Bauwesen","title-short":"DIN 276","URL":"https://www.dinmedia.de/de/-/-/293154016","author":[{"family":"Deutsches Institut für Normung e. V.","given":""}],"accessed":{"date-parts":[["2026",6,22]]},"issued":{"date-parts":[["2018"]]}}}],"schema":"https://github.com/citation-style-language/schema/raw/master/csl-citation.json"} </w:instrText>
      </w:r>
      <w:r w:rsidR="182A6140">
        <w:fldChar w:fldCharType="separate"/>
      </w:r>
      <w:r>
        <w:t>(Deutsches Institut für Normung e. V., 2018)</w:t>
      </w:r>
      <w:r w:rsidR="182A6140">
        <w:fldChar w:fldCharType="end"/>
      </w:r>
      <w:r>
        <w:t xml:space="preserve"> is a mandatory preliminary step in the current eLCA workflow. DIN 276 is the German technical standard that classifies building elements into hierarchically structured classes, </w:t>
      </w:r>
      <w:r w:rsidR="008C2885">
        <w:t>so-called</w:t>
      </w:r>
      <w:r>
        <w:t xml:space="preserve"> cost groups (</w:t>
      </w:r>
      <w:proofErr w:type="spellStart"/>
      <w:r w:rsidRPr="003B31F8">
        <w:rPr>
          <w:i/>
          <w:iCs/>
        </w:rPr>
        <w:t>Kostengruppen</w:t>
      </w:r>
      <w:proofErr w:type="spellEnd"/>
      <w:r>
        <w:t xml:space="preserve">). In eLCA, these cost groups </w:t>
      </w:r>
      <w:r w:rsidR="00CB09AA">
        <w:t xml:space="preserve">serve as the structural backbone of the life cycle assessment and as the filter for the building element template library </w:t>
      </w:r>
      <w:r>
        <w:t xml:space="preserve">in the next step. </w:t>
      </w:r>
    </w:p>
    <w:p w14:paraId="4EB05432" w14:textId="0E715337" w:rsidR="00AC53F4" w:rsidRDefault="21E7FC56" w:rsidP="00B02658">
      <w:r>
        <w:t xml:space="preserve">eLCA already provides a classifier that attempts to determine a DIN 276 cost group for each </w:t>
      </w:r>
      <w:proofErr w:type="spellStart"/>
      <w:r w:rsidR="00E8020C" w:rsidRPr="00E8020C">
        <w:rPr>
          <w:rStyle w:val="CIBIdentifiersChar"/>
        </w:rPr>
        <w:t>IfcProduct</w:t>
      </w:r>
      <w:proofErr w:type="spellEnd"/>
      <w:r w:rsidR="00E8020C">
        <w:t xml:space="preserve"> </w:t>
      </w:r>
      <w:r>
        <w:t xml:space="preserve">by passing it through </w:t>
      </w:r>
      <w:r w:rsidRPr="00023FAA">
        <w:t>a decision tree</w:t>
      </w:r>
      <w:r w:rsidR="00247486" w:rsidRPr="00023FAA">
        <w:rPr>
          <w:rStyle w:val="FootnoteReference"/>
        </w:rPr>
        <w:footnoteReference w:id="2"/>
      </w:r>
      <w:r w:rsidR="00247486" w:rsidRPr="00023FAA">
        <w:t xml:space="preserve"> </w:t>
      </w:r>
      <w:r w:rsidR="00247486">
        <w:t>based on its IFC class and a few native properties,</w:t>
      </w:r>
      <w:r>
        <w:t xml:space="preserve"> such as the </w:t>
      </w:r>
      <w:r w:rsidR="00247486">
        <w:t>Boolean</w:t>
      </w:r>
      <w:r>
        <w:t xml:space="preserve"> flags or </w:t>
      </w:r>
      <w:proofErr w:type="spellStart"/>
      <w:r w:rsidRPr="00247486">
        <w:rPr>
          <w:rStyle w:val="CIBIdentifiersChar"/>
        </w:rPr>
        <w:t>LoadBearing</w:t>
      </w:r>
      <w:proofErr w:type="spellEnd"/>
      <w:r>
        <w:t xml:space="preserve">. This works only where those properties are present and correct. Early-phase IFC models are often sparsely attributed, and a fixed decision tree cannot reliably resolve a large, hierarchically structured and at times ambiguous category system from a handful of general properties. As a result, cost group assignments usually must be corrected or completed element by element by hand. </w:t>
      </w:r>
    </w:p>
    <w:p w14:paraId="04E42F22" w14:textId="2A7AD893" w:rsidR="00AC53F4" w:rsidRDefault="21E7FC56" w:rsidP="21E7FC56">
      <w:r>
        <w:t xml:space="preserve">bLCA addresses this with a machine learning (ML) classifier trained on element names, paired with a confidence estimate that either commits to a precise prediction, falls back to a coarser grouping, or flags uncertain cases for user review. Experimental classifier models were trained and evaluated on six </w:t>
      </w:r>
      <w:r w:rsidR="00F60AEB">
        <w:t xml:space="preserve">datasets </w:t>
      </w:r>
      <w:r>
        <w:t xml:space="preserve">extracted from human-named, cost-group-classified building models. To account for real-world heterogeneity, the corpus includes data from several sources of varied quality and design development </w:t>
      </w:r>
      <w:r w:rsidR="00F60AEB">
        <w:t>phases</w:t>
      </w:r>
      <w:r>
        <w:t xml:space="preserve">. </w:t>
      </w:r>
      <w:r w:rsidR="00091268" w:rsidRPr="00091268">
        <w:t xml:space="preserve">In preliminary offline </w:t>
      </w:r>
      <w:r w:rsidR="00091268">
        <w:t>experiments</w:t>
      </w:r>
      <w:r w:rsidR="008C2885">
        <w:t xml:space="preserve"> on a large set of structured Revit-type names (roughly 14,000 elements from 49 commercial projects), the classifier achieved about 94% accuracy across 43 cost groups when evaluated on</w:t>
      </w:r>
      <w:r>
        <w:t xml:space="preserve"> held-out data. A much smaller dataset of 736 samples from a corpus of models by architecture students only reached about 49%. Evaluation of a combined model</w:t>
      </w:r>
      <w:r w:rsidR="00881C9C">
        <w:t xml:space="preserve"> that unifies all datasets with tuned weights for optimal generalisation</w:t>
      </w:r>
      <w:r>
        <w:t xml:space="preserve"> is still pending, as practitioner testing of the bLCA tool is about to begin.</w:t>
      </w:r>
    </w:p>
    <w:p w14:paraId="556E9963" w14:textId="763AF903" w:rsidR="00AC53F4" w:rsidRDefault="21E7FC56" w:rsidP="21E7FC56">
      <w:r>
        <w:t xml:space="preserve">To </w:t>
      </w:r>
      <w:r w:rsidR="00023FAA">
        <w:t xml:space="preserve">let </w:t>
      </w:r>
      <w:proofErr w:type="gramStart"/>
      <w:r w:rsidR="00023FAA">
        <w:t>users</w:t>
      </w:r>
      <w:proofErr w:type="gramEnd"/>
      <w:r w:rsidR="00023FAA">
        <w:t xml:space="preserve"> validate and adjust the automated cost group classification, the </w:t>
      </w:r>
      <w:r>
        <w:t>user interface tools are combined with a 3D viewer (</w:t>
      </w:r>
      <w:r w:rsidR="005E49BC">
        <w:fldChar w:fldCharType="begin"/>
      </w:r>
      <w:r w:rsidR="005E49BC">
        <w:instrText xml:space="preserve"> REF _Ref233572899 \h </w:instrText>
      </w:r>
      <w:r w:rsidR="005E49BC">
        <w:fldChar w:fldCharType="separate"/>
      </w:r>
      <w:r w:rsidR="000815F4">
        <w:t xml:space="preserve">Figure </w:t>
      </w:r>
      <w:r w:rsidR="000815F4">
        <w:rPr>
          <w:noProof/>
        </w:rPr>
        <w:t>2</w:t>
      </w:r>
      <w:r w:rsidR="005E49BC">
        <w:fldChar w:fldCharType="end"/>
      </w:r>
      <w:r>
        <w:t>).  Model elements are overlaid with different colours based on their cost group classification, enabling initial visual validation. Highlighting selected list elements in the 3D viewer, along with show/hide/isolate</w:t>
      </w:r>
      <w:r w:rsidR="0089293E">
        <w:t xml:space="preserve"> </w:t>
      </w:r>
      <w:r>
        <w:t xml:space="preserve">options, </w:t>
      </w:r>
      <w:r w:rsidR="007E2AAD">
        <w:t>further supports this</w:t>
      </w:r>
      <w:r>
        <w:t xml:space="preserve">. The tool offers three ways to obtain the codes and lets the user switch between them to compare the results: the new ML classifier, the previous decision-tree-based classifier, or, where cost groups have already been modelled manually, a direct read-out from the corresponding </w:t>
      </w:r>
      <w:proofErr w:type="spellStart"/>
      <w:r w:rsidRPr="00247486">
        <w:rPr>
          <w:rStyle w:val="CIBIdentifiersChar"/>
        </w:rPr>
        <w:t>IfcProperty</w:t>
      </w:r>
      <w:proofErr w:type="spellEnd"/>
      <w:r>
        <w:t>. The option to change the classification is always provided: users can select multiple elements and drag-and-drop them onto an existing cost group or create a new one from the drop-down list. This way, even if missing or faulty IFC model data leads to incorrect classifications, it is possible to correct them without reimporting the model.</w:t>
      </w:r>
      <w:r w:rsidR="00BC1BF0">
        <w:t xml:space="preserve"> </w:t>
      </w:r>
    </w:p>
    <w:p w14:paraId="3D2AF969" w14:textId="77777777" w:rsidR="0017421B" w:rsidRDefault="0017421B" w:rsidP="0017421B">
      <w:pPr>
        <w:pStyle w:val="CIB-image"/>
      </w:pPr>
      <w:r w:rsidRPr="005E49BC">
        <w:lastRenderedPageBreak/>
        <w:drawing>
          <wp:inline distT="0" distB="0" distL="0" distR="0" wp14:anchorId="3AD4F0C1" wp14:editId="7ADD637F">
            <wp:extent cx="5400000" cy="2749417"/>
            <wp:effectExtent l="0" t="0" r="0" b="0"/>
            <wp:docPr id="13433261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988387" name="Picture 711988387"/>
                    <pic:cNvPicPr/>
                  </pic:nvPicPr>
                  <pic:blipFill>
                    <a:blip r:embed="rId9">
                      <a:extLst>
                        <a:ext uri="{28A0092B-C50C-407E-A947-70E740481C1C}">
                          <a14:useLocalDpi xmlns:a14="http://schemas.microsoft.com/office/drawing/2010/main"/>
                        </a:ext>
                      </a:extLst>
                    </a:blip>
                    <a:stretch>
                      <a:fillRect/>
                    </a:stretch>
                  </pic:blipFill>
                  <pic:spPr>
                    <a:xfrm>
                      <a:off x="0" y="0"/>
                      <a:ext cx="5400000" cy="2749417"/>
                    </a:xfrm>
                    <a:prstGeom prst="rect">
                      <a:avLst/>
                    </a:prstGeom>
                  </pic:spPr>
                </pic:pic>
              </a:graphicData>
            </a:graphic>
          </wp:inline>
        </w:drawing>
      </w:r>
    </w:p>
    <w:p w14:paraId="1473E528" w14:textId="169C8ED1" w:rsidR="0017421B" w:rsidRDefault="0017421B" w:rsidP="0017421B">
      <w:pPr>
        <w:pStyle w:val="CIB-caption"/>
      </w:pPr>
      <w:bookmarkStart w:id="1" w:name="_Ref233572899"/>
      <w:r>
        <w:t xml:space="preserve">Figure </w:t>
      </w:r>
      <w:fldSimple w:instr=" SEQ Figure \* ARABIC ">
        <w:r w:rsidR="000815F4">
          <w:rPr>
            <w:noProof/>
          </w:rPr>
          <w:t>2</w:t>
        </w:r>
      </w:fldSimple>
      <w:bookmarkEnd w:id="1"/>
      <w:r>
        <w:t xml:space="preserve">:  bLCA </w:t>
      </w:r>
      <w:r w:rsidRPr="005E49BC">
        <w:t>material</w:t>
      </w:r>
      <w:r>
        <w:t xml:space="preserve"> classification according to DIN 276 - user interface.</w:t>
      </w:r>
    </w:p>
    <w:p w14:paraId="751C138C" w14:textId="6B8AF256" w:rsidR="220EE70C" w:rsidRDefault="00755247" w:rsidP="00EC1B96">
      <w:pPr>
        <w:pStyle w:val="Heading2"/>
      </w:pPr>
      <w:bookmarkStart w:id="2" w:name="_Ref233036899"/>
      <w:r>
        <w:t>Material / Product Selection</w:t>
      </w:r>
      <w:bookmarkEnd w:id="2"/>
    </w:p>
    <w:p w14:paraId="1D716602" w14:textId="362A4C47" w:rsidR="00DE6BC7" w:rsidRDefault="00CF5908">
      <w:pPr>
        <w:rPr>
          <w:rFonts w:eastAsia="Calibri"/>
        </w:rPr>
      </w:pPr>
      <w:r>
        <w:rPr>
          <w:rFonts w:eastAsia="Calibri"/>
        </w:rPr>
        <w:t>Assigning a material (</w:t>
      </w:r>
      <w:r w:rsidRPr="00E80934">
        <w:rPr>
          <w:rFonts w:eastAsia="Calibri"/>
          <w:i/>
          <w:iCs/>
        </w:rPr>
        <w:t>generic, average LCA data</w:t>
      </w:r>
      <w:r>
        <w:rPr>
          <w:rFonts w:eastAsia="Calibri"/>
        </w:rPr>
        <w:t xml:space="preserve">) </w:t>
      </w:r>
      <w:r w:rsidR="00055ACA">
        <w:rPr>
          <w:rFonts w:eastAsia="Calibri"/>
        </w:rPr>
        <w:t>or a</w:t>
      </w:r>
      <w:r>
        <w:rPr>
          <w:rFonts w:eastAsia="Calibri"/>
        </w:rPr>
        <w:t xml:space="preserve"> product (</w:t>
      </w:r>
      <w:r w:rsidRPr="00E80934">
        <w:rPr>
          <w:rFonts w:eastAsia="Calibri"/>
          <w:i/>
          <w:iCs/>
        </w:rPr>
        <w:t>specific LCA data, EPDs</w:t>
      </w:r>
      <w:r>
        <w:rPr>
          <w:rFonts w:eastAsia="Calibri"/>
        </w:rPr>
        <w:t xml:space="preserve">) </w:t>
      </w:r>
      <w:r w:rsidR="00E06BBD">
        <w:rPr>
          <w:rFonts w:eastAsia="Calibri"/>
        </w:rPr>
        <w:t xml:space="preserve">from </w:t>
      </w:r>
      <w:r w:rsidR="004934D7">
        <w:rPr>
          <w:rFonts w:eastAsia="Calibri"/>
        </w:rPr>
        <w:t xml:space="preserve">the </w:t>
      </w:r>
      <w:r w:rsidR="00E06BBD">
        <w:rPr>
          <w:rFonts w:eastAsia="Calibri"/>
        </w:rPr>
        <w:t>environmental database</w:t>
      </w:r>
      <w:r w:rsidR="004934D7">
        <w:rPr>
          <w:rFonts w:eastAsia="Calibri"/>
        </w:rPr>
        <w:t>, in this case Ökobaudat</w:t>
      </w:r>
      <w:r w:rsidR="00473EA0">
        <w:rPr>
          <w:rStyle w:val="FootnoteReference"/>
        </w:rPr>
        <w:footnoteReference w:id="3"/>
      </w:r>
      <w:r w:rsidR="00473EA0">
        <w:rPr>
          <w:rFonts w:eastAsia="Calibri"/>
        </w:rPr>
        <w:t xml:space="preserve"> </w:t>
      </w:r>
      <w:r w:rsidR="00055ACA">
        <w:rPr>
          <w:rFonts w:eastAsia="Calibri"/>
        </w:rPr>
        <w:t xml:space="preserve">to each layer in </w:t>
      </w:r>
      <w:r w:rsidR="00FB5451">
        <w:rPr>
          <w:rFonts w:eastAsia="Calibri"/>
        </w:rPr>
        <w:t>each</w:t>
      </w:r>
      <w:r w:rsidR="00055ACA">
        <w:rPr>
          <w:rFonts w:eastAsia="Calibri"/>
        </w:rPr>
        <w:t xml:space="preserve"> building element </w:t>
      </w:r>
      <w:r w:rsidR="00B87066">
        <w:rPr>
          <w:rFonts w:eastAsia="Calibri"/>
        </w:rPr>
        <w:t>with</w:t>
      </w:r>
      <w:r w:rsidR="00055ACA">
        <w:rPr>
          <w:rFonts w:eastAsia="Calibri"/>
        </w:rPr>
        <w:t xml:space="preserve">in the </w:t>
      </w:r>
      <w:r w:rsidR="006D615B">
        <w:rPr>
          <w:rFonts w:eastAsia="Calibri"/>
        </w:rPr>
        <w:t>project</w:t>
      </w:r>
      <w:r w:rsidR="00055ACA">
        <w:rPr>
          <w:rFonts w:eastAsia="Calibri"/>
        </w:rPr>
        <w:t xml:space="preserve"> is one of the most time-consuming steps</w:t>
      </w:r>
      <w:r w:rsidR="00BA7526">
        <w:rPr>
          <w:rFonts w:eastAsia="Calibri"/>
        </w:rPr>
        <w:t xml:space="preserve"> in the classical </w:t>
      </w:r>
      <w:r w:rsidR="00B87066">
        <w:rPr>
          <w:rFonts w:eastAsia="Calibri"/>
        </w:rPr>
        <w:t>IFC-imported</w:t>
      </w:r>
      <w:r w:rsidR="00BA7526">
        <w:rPr>
          <w:rFonts w:eastAsia="Calibri"/>
        </w:rPr>
        <w:t xml:space="preserve"> eLCA workflow.</w:t>
      </w:r>
      <w:r w:rsidR="00DE6BC7">
        <w:rPr>
          <w:rFonts w:eastAsia="Calibri"/>
        </w:rPr>
        <w:t xml:space="preserve"> </w:t>
      </w:r>
      <w:r w:rsidR="006D615B">
        <w:rPr>
          <w:rFonts w:eastAsia="Calibri"/>
        </w:rPr>
        <w:t>As a solution, th</w:t>
      </w:r>
      <w:r w:rsidR="00554411" w:rsidRPr="00554411">
        <w:rPr>
          <w:rFonts w:eastAsia="Calibri"/>
        </w:rPr>
        <w:t xml:space="preserve">ree assignment systems are </w:t>
      </w:r>
      <w:r w:rsidR="006D615B">
        <w:rPr>
          <w:rFonts w:eastAsia="Calibri"/>
        </w:rPr>
        <w:t>presented where</w:t>
      </w:r>
      <w:r w:rsidR="00554411" w:rsidRPr="00554411">
        <w:rPr>
          <w:rFonts w:eastAsia="Calibri"/>
        </w:rPr>
        <w:t xml:space="preserve"> the user can </w:t>
      </w:r>
      <w:r w:rsidR="006D615B">
        <w:rPr>
          <w:rFonts w:eastAsia="Calibri"/>
        </w:rPr>
        <w:t>approach this step according to their need</w:t>
      </w:r>
      <w:r w:rsidR="00FF3919">
        <w:rPr>
          <w:rFonts w:eastAsia="Calibri"/>
        </w:rPr>
        <w:t xml:space="preserve"> and the LOD of the building model</w:t>
      </w:r>
      <w:r w:rsidR="00554411" w:rsidRPr="00554411">
        <w:rPr>
          <w:rFonts w:eastAsia="Calibri"/>
        </w:rPr>
        <w:t xml:space="preserve"> </w:t>
      </w:r>
      <w:r w:rsidR="00BD1BBD">
        <w:rPr>
          <w:rFonts w:eastAsia="Calibri"/>
        </w:rPr>
        <w:t>(</w:t>
      </w:r>
      <w:r w:rsidR="00BD1BBD">
        <w:rPr>
          <w:rFonts w:eastAsia="Calibri"/>
        </w:rPr>
        <w:fldChar w:fldCharType="begin"/>
      </w:r>
      <w:r w:rsidR="00BD1BBD">
        <w:rPr>
          <w:rFonts w:eastAsia="Calibri"/>
        </w:rPr>
        <w:instrText xml:space="preserve"> REF _Ref233666502 \h </w:instrText>
      </w:r>
      <w:r w:rsidR="00BD1BBD">
        <w:rPr>
          <w:rFonts w:eastAsia="Calibri"/>
        </w:rPr>
      </w:r>
      <w:r w:rsidR="00BD1BBD">
        <w:rPr>
          <w:rFonts w:eastAsia="Calibri"/>
        </w:rPr>
        <w:fldChar w:fldCharType="separate"/>
      </w:r>
      <w:r w:rsidR="000815F4">
        <w:t xml:space="preserve">Figure </w:t>
      </w:r>
      <w:r w:rsidR="000815F4">
        <w:rPr>
          <w:noProof/>
        </w:rPr>
        <w:t>3</w:t>
      </w:r>
      <w:r w:rsidR="00BD1BBD">
        <w:rPr>
          <w:rFonts w:eastAsia="Calibri"/>
        </w:rPr>
        <w:fldChar w:fldCharType="end"/>
      </w:r>
      <w:r w:rsidR="00BD1BBD">
        <w:rPr>
          <w:rFonts w:eastAsia="Calibri"/>
        </w:rPr>
        <w:t>)</w:t>
      </w:r>
      <w:r w:rsidR="00554411">
        <w:rPr>
          <w:rFonts w:eastAsia="Calibri"/>
        </w:rPr>
        <w:t>:</w:t>
      </w:r>
    </w:p>
    <w:p w14:paraId="1DA0B2B2" w14:textId="2CD7EED8" w:rsidR="00417582" w:rsidRPr="00417582" w:rsidRDefault="0087234A" w:rsidP="00417582">
      <w:pPr>
        <w:pStyle w:val="ListParagraph"/>
        <w:numPr>
          <w:ilvl w:val="0"/>
          <w:numId w:val="17"/>
        </w:numPr>
        <w:spacing w:before="120"/>
      </w:pPr>
      <w:r w:rsidRPr="00417582">
        <w:rPr>
          <w:b/>
          <w:bCs/>
        </w:rPr>
        <w:t>Archetype</w:t>
      </w:r>
      <w:r w:rsidR="00CD7D12" w:rsidRPr="00417582">
        <w:rPr>
          <w:b/>
          <w:bCs/>
        </w:rPr>
        <w:t>-based system</w:t>
      </w:r>
      <w:r w:rsidR="005843CB" w:rsidRPr="00417582">
        <w:rPr>
          <w:b/>
          <w:bCs/>
        </w:rPr>
        <w:t xml:space="preserve"> (low-LOD)</w:t>
      </w:r>
      <w:r w:rsidRPr="00417582">
        <w:rPr>
          <w:b/>
          <w:bCs/>
        </w:rPr>
        <w:t>:</w:t>
      </w:r>
      <w:r>
        <w:t xml:space="preserve"> A</w:t>
      </w:r>
      <w:r w:rsidR="005843CB">
        <w:t xml:space="preserve"> </w:t>
      </w:r>
      <w:r>
        <w:t>library composed of</w:t>
      </w:r>
      <w:r w:rsidR="00AF2D29">
        <w:t xml:space="preserve"> </w:t>
      </w:r>
      <w:r w:rsidR="00D0394D">
        <w:t xml:space="preserve">the </w:t>
      </w:r>
      <w:r w:rsidR="00AF2D29">
        <w:t>most</w:t>
      </w:r>
      <w:r>
        <w:t xml:space="preserve"> commonly used </w:t>
      </w:r>
      <w:r w:rsidR="00AF2D29">
        <w:t>building elements</w:t>
      </w:r>
      <w:r>
        <w:t xml:space="preserve"> </w:t>
      </w:r>
      <w:r w:rsidR="00AF2D29">
        <w:t>is</w:t>
      </w:r>
      <w:r w:rsidR="00917F0A">
        <w:t xml:space="preserve"> </w:t>
      </w:r>
      <w:r w:rsidR="007E7521">
        <w:t>presented to the user</w:t>
      </w:r>
      <w:r w:rsidR="00AF2D29">
        <w:t>.</w:t>
      </w:r>
      <w:r w:rsidR="008729CF">
        <w:t xml:space="preserve"> An example here would be </w:t>
      </w:r>
      <w:r w:rsidR="006D4B2B">
        <w:t xml:space="preserve">a </w:t>
      </w:r>
      <w:r w:rsidR="008729CF">
        <w:t xml:space="preserve">load-bearing </w:t>
      </w:r>
      <w:r w:rsidR="00B375DD">
        <w:t>exterior wall</w:t>
      </w:r>
      <w:r w:rsidR="004B14CD">
        <w:t>, insulated from the inside and the outside,</w:t>
      </w:r>
      <w:r w:rsidR="006D4B2B">
        <w:t xml:space="preserve"> as two</w:t>
      </w:r>
      <w:r w:rsidR="004B14CD">
        <w:t xml:space="preserve"> different</w:t>
      </w:r>
      <w:r w:rsidR="006D4B2B">
        <w:t xml:space="preserve"> archetypes</w:t>
      </w:r>
      <w:r w:rsidR="00B375DD">
        <w:t>.</w:t>
      </w:r>
      <w:r w:rsidR="00AF2D29">
        <w:t xml:space="preserve"> Each</w:t>
      </w:r>
      <w:r w:rsidR="007A4C61">
        <w:t xml:space="preserve"> layer </w:t>
      </w:r>
      <w:r w:rsidR="008729CF">
        <w:t xml:space="preserve">in each </w:t>
      </w:r>
      <w:r w:rsidR="00D0394D">
        <w:t>archetype</w:t>
      </w:r>
      <w:r w:rsidR="008729CF">
        <w:t xml:space="preserve"> </w:t>
      </w:r>
      <w:r w:rsidR="00F577E8">
        <w:t xml:space="preserve">represents multiple </w:t>
      </w:r>
      <w:r w:rsidR="00821C53">
        <w:t>possible</w:t>
      </w:r>
      <w:r w:rsidR="009F3509">
        <w:t xml:space="preserve"> </w:t>
      </w:r>
      <w:r w:rsidR="006D615B">
        <w:t>matches</w:t>
      </w:r>
      <w:r w:rsidR="009F3509">
        <w:t xml:space="preserve"> from the database</w:t>
      </w:r>
      <w:r w:rsidR="00F577E8">
        <w:t xml:space="preserve">, so the LCA </w:t>
      </w:r>
      <w:r w:rsidR="009F3509">
        <w:t xml:space="preserve">data is a </w:t>
      </w:r>
      <w:r w:rsidR="00F06EDE">
        <w:t>min-max range</w:t>
      </w:r>
      <w:r w:rsidR="009F3509">
        <w:t xml:space="preserve"> rather than </w:t>
      </w:r>
      <w:r w:rsidR="00A6120F">
        <w:t>a</w:t>
      </w:r>
      <w:r w:rsidR="009F3509">
        <w:t xml:space="preserve"> single </w:t>
      </w:r>
      <w:r w:rsidR="006D615B">
        <w:t>value</w:t>
      </w:r>
      <w:r w:rsidR="009F3509">
        <w:t xml:space="preserve">. </w:t>
      </w:r>
      <w:r w:rsidR="005843CB">
        <w:t>With each decision</w:t>
      </w:r>
      <w:r w:rsidR="00EF4C2F">
        <w:t xml:space="preserve">, the pool of possible candidates shrinks, narrowing the possible min-max </w:t>
      </w:r>
      <w:r w:rsidR="00C85685">
        <w:t>LCA result ranges for the project</w:t>
      </w:r>
      <w:r w:rsidR="00EF4C2F">
        <w:t>.</w:t>
      </w:r>
    </w:p>
    <w:p w14:paraId="5F0FE0FE" w14:textId="79273511" w:rsidR="00417582" w:rsidRDefault="00CD7D12" w:rsidP="00417582">
      <w:pPr>
        <w:pStyle w:val="ListParagraph"/>
        <w:numPr>
          <w:ilvl w:val="0"/>
          <w:numId w:val="17"/>
        </w:numPr>
        <w:spacing w:before="120"/>
      </w:pPr>
      <w:r w:rsidRPr="00417582">
        <w:rPr>
          <w:b/>
          <w:bCs/>
        </w:rPr>
        <w:t>Building element-based system</w:t>
      </w:r>
      <w:r w:rsidR="005843CB" w:rsidRPr="00417582">
        <w:rPr>
          <w:b/>
          <w:bCs/>
        </w:rPr>
        <w:t xml:space="preserve"> (mid-</w:t>
      </w:r>
      <w:r w:rsidR="00417582">
        <w:rPr>
          <w:b/>
          <w:bCs/>
        </w:rPr>
        <w:t>L</w:t>
      </w:r>
      <w:r w:rsidR="005843CB" w:rsidRPr="00417582">
        <w:rPr>
          <w:b/>
          <w:bCs/>
        </w:rPr>
        <w:t>OD)</w:t>
      </w:r>
      <w:r w:rsidRPr="00417582">
        <w:rPr>
          <w:b/>
          <w:bCs/>
        </w:rPr>
        <w:t>:</w:t>
      </w:r>
      <w:r w:rsidR="00917F0A" w:rsidRPr="00417582">
        <w:rPr>
          <w:b/>
          <w:bCs/>
        </w:rPr>
        <w:t xml:space="preserve"> </w:t>
      </w:r>
      <w:r w:rsidR="006D615B">
        <w:t>The same library system in the classical eLCA</w:t>
      </w:r>
      <w:r w:rsidR="005843CB">
        <w:t xml:space="preserve"> </w:t>
      </w:r>
      <w:r w:rsidR="005843CB">
        <w:fldChar w:fldCharType="begin"/>
      </w:r>
      <w:r w:rsidR="005843CB">
        <w:instrText xml:space="preserve"> ADDIN ZOTERO_ITEM CSL_CITATION {"citationID":"StQJ6xmM","properties":{"unsorted":false,"formattedCitation":"(BBSR, 2022)","plainCitation":"(BBSR, 2022)","noteIndex":0},"citationItems":[{"id":16016,"uris":["http://zotero.org/groups/5639246/items/7GCQHAGF"],"itemData":{"id":16016,"type":"dataset","citation-key":"bbsrELCABauteilkatalog2022","title":"eLCA Bauteilkatalog","author":[{"literal":"BBSR"}],"issued":{"date-parts":[["2022"]]}}}],"schema":"https://github.com/citation-style-language/schema/raw/master/csl-citation.json"} </w:instrText>
      </w:r>
      <w:r w:rsidR="005843CB">
        <w:fldChar w:fldCharType="separate"/>
      </w:r>
      <w:r w:rsidR="005843CB" w:rsidRPr="005843CB">
        <w:t>(BBSR, 2022)</w:t>
      </w:r>
      <w:r w:rsidR="005843CB">
        <w:fldChar w:fldCharType="end"/>
      </w:r>
      <w:r w:rsidR="006D615B">
        <w:t xml:space="preserve"> is adapted,</w:t>
      </w:r>
      <w:r w:rsidR="00C85685">
        <w:t xml:space="preserve"> where</w:t>
      </w:r>
      <w:r w:rsidR="006D615B">
        <w:t xml:space="preserve"> </w:t>
      </w:r>
      <w:r w:rsidR="00A1303F">
        <w:t xml:space="preserve">users can create a library of custom building-element templates and assign them to selected </w:t>
      </w:r>
      <w:r w:rsidR="00C638B4">
        <w:t>model objects</w:t>
      </w:r>
      <w:r w:rsidR="00A1303F">
        <w:t xml:space="preserve">. </w:t>
      </w:r>
      <w:r w:rsidR="00C85685">
        <w:t>A t</w:t>
      </w:r>
      <w:r w:rsidR="00A1303F">
        <w:t xml:space="preserve">emplate </w:t>
      </w:r>
      <w:r w:rsidR="00EF4C2F">
        <w:t>consist</w:t>
      </w:r>
      <w:r w:rsidR="00C85685">
        <w:t>s</w:t>
      </w:r>
      <w:r w:rsidR="00EF4C2F">
        <w:t xml:space="preserve"> of</w:t>
      </w:r>
      <w:r w:rsidR="006D615B">
        <w:t xml:space="preserve"> different layer compositions, </w:t>
      </w:r>
      <w:r w:rsidR="00A1303F">
        <w:t>each</w:t>
      </w:r>
      <w:r w:rsidR="00C85685">
        <w:t xml:space="preserve"> layer</w:t>
      </w:r>
      <w:r w:rsidR="00A1303F">
        <w:t xml:space="preserve"> </w:t>
      </w:r>
      <w:r w:rsidR="00F766B9">
        <w:t xml:space="preserve">mapped to an </w:t>
      </w:r>
      <w:r w:rsidR="006D615B">
        <w:t>Ökobaudat</w:t>
      </w:r>
      <w:r w:rsidR="00473EA0">
        <w:t xml:space="preserve"> </w:t>
      </w:r>
      <w:r w:rsidR="00A1303F">
        <w:fldChar w:fldCharType="begin"/>
      </w:r>
      <w:r w:rsidR="00473EA0">
        <w:instrText xml:space="preserve"> ADDIN ZOTERO_ITEM CSL_CITATION {"citationID":"Yq03sHd1","properties":{"unsorted":false,"formattedCitation":"(BMWSB, n.d.)","plainCitation":"(BMWSB, n.d.)","dontUpdate":true,"noteIndex":0},"citationItems":[{"id":29772,"uris":["http://zotero.org/groups/5639246/items/67HPXKBB"],"itemData":{"id":29772,"type":"webpage","citation-key":"oekobaudat20xx","container-title":"Ökobaudat","language":"de","publisher":"BBSR (Federal Institute for Research on Building, Urban Affairs and Spatial Development)","title":"ÖKOBAUDAT (the German federal LCA database for building products)","URL":"https://www.oekobaudat.de/","author":[{"family":"BMWSB","given":""}],"accessed":{"date-parts":[["2024",11,5]]}}}],"schema":"https://github.com/citation-style-language/schema/raw/master/csl-citation.json"} </w:instrText>
      </w:r>
      <w:r w:rsidR="00FD05DB">
        <w:fldChar w:fldCharType="separate"/>
      </w:r>
      <w:r w:rsidR="00A1303F">
        <w:fldChar w:fldCharType="end"/>
      </w:r>
      <w:r w:rsidR="00F766B9">
        <w:t>entr</w:t>
      </w:r>
      <w:r w:rsidR="00EF4C2F">
        <w:t>y</w:t>
      </w:r>
      <w:r w:rsidR="00F766B9">
        <w:t>.</w:t>
      </w:r>
      <w:r w:rsidR="005843CB">
        <w:t xml:space="preserve"> </w:t>
      </w:r>
      <w:r w:rsidR="00C85685">
        <w:t xml:space="preserve">The user can search the database </w:t>
      </w:r>
      <w:r w:rsidR="00D521B6">
        <w:t xml:space="preserve">by </w:t>
      </w:r>
      <w:r w:rsidR="00C85685">
        <w:t>input</w:t>
      </w:r>
      <w:r w:rsidR="00D521B6">
        <w:t>ting</w:t>
      </w:r>
      <w:r w:rsidR="00C85685">
        <w:t xml:space="preserve"> keywords and assign </w:t>
      </w:r>
      <w:r w:rsidR="00D521B6">
        <w:t xml:space="preserve">a </w:t>
      </w:r>
      <w:r w:rsidR="00C85685">
        <w:t>selected match</w:t>
      </w:r>
      <w:r w:rsidR="00D521B6">
        <w:t xml:space="preserve"> </w:t>
      </w:r>
      <w:r w:rsidR="00C85685">
        <w:t xml:space="preserve">to the new layer they would create. </w:t>
      </w:r>
      <w:r w:rsidR="00B373EC" w:rsidRPr="00B373EC">
        <w:t xml:space="preserve">The same </w:t>
      </w:r>
      <w:r w:rsidR="00B373EC" w:rsidRPr="00417582">
        <w:rPr>
          <w:sz w:val="18"/>
          <w:szCs w:val="18"/>
        </w:rPr>
        <w:t>‘</w:t>
      </w:r>
      <w:r w:rsidR="00B373EC" w:rsidRPr="00417582">
        <w:rPr>
          <w:i/>
          <w:iCs/>
        </w:rPr>
        <w:t>recommender</w:t>
      </w:r>
      <w:r w:rsidR="00B373EC" w:rsidRPr="00417582">
        <w:rPr>
          <w:i/>
          <w:iCs/>
          <w:sz w:val="18"/>
          <w:szCs w:val="18"/>
        </w:rPr>
        <w:t>’</w:t>
      </w:r>
      <w:r w:rsidR="00B373EC" w:rsidRPr="00417582">
        <w:rPr>
          <w:sz w:val="18"/>
          <w:szCs w:val="18"/>
        </w:rPr>
        <w:t xml:space="preserve"> </w:t>
      </w:r>
      <w:r w:rsidR="00B373EC" w:rsidRPr="00B373EC">
        <w:t>service described below also powers this keyword search.</w:t>
      </w:r>
      <w:r w:rsidR="00EF4C2F">
        <w:t xml:space="preserve"> </w:t>
      </w:r>
      <w:r w:rsidR="00820205" w:rsidRPr="00820205">
        <w:t>Th</w:t>
      </w:r>
      <w:r w:rsidR="00D521B6">
        <w:t xml:space="preserve">is </w:t>
      </w:r>
      <w:r w:rsidR="00820205" w:rsidRPr="00820205">
        <w:t>template mechanism could</w:t>
      </w:r>
      <w:r w:rsidR="00CF0A58">
        <w:t xml:space="preserve">, in principle, ingest the BKI Konstruktionsatlas (BKI, 2023) to </w:t>
      </w:r>
      <w:r w:rsidR="00D521B6">
        <w:t>use</w:t>
      </w:r>
      <w:r w:rsidR="00CF0A58">
        <w:t xml:space="preserve"> cost as an additional parameter; however, </w:t>
      </w:r>
      <w:r w:rsidR="00820205" w:rsidRPr="00820205">
        <w:t>this is not part of the current imp</w:t>
      </w:r>
      <w:r w:rsidR="005A04FE">
        <w:t>l</w:t>
      </w:r>
      <w:r w:rsidR="00820205" w:rsidRPr="00820205">
        <w:t>ementation due to the catalogue's licensing restrictions.</w:t>
      </w:r>
    </w:p>
    <w:p w14:paraId="61F1174A" w14:textId="097D90B4" w:rsidR="00E26C97" w:rsidRDefault="00917F0A" w:rsidP="00FD05DB">
      <w:pPr>
        <w:pStyle w:val="ListParagraph"/>
        <w:numPr>
          <w:ilvl w:val="0"/>
          <w:numId w:val="17"/>
        </w:numPr>
        <w:spacing w:before="120"/>
        <w:ind w:left="357" w:firstLine="0"/>
        <w:contextualSpacing w:val="0"/>
      </w:pPr>
      <w:r w:rsidRPr="0017421B">
        <w:rPr>
          <w:b/>
          <w:bCs/>
        </w:rPr>
        <w:t>Layer-based system</w:t>
      </w:r>
      <w:r w:rsidR="005843CB" w:rsidRPr="0017421B">
        <w:rPr>
          <w:b/>
          <w:bCs/>
        </w:rPr>
        <w:t xml:space="preserve"> (high-LOD)</w:t>
      </w:r>
      <w:r w:rsidR="00427681" w:rsidRPr="0017421B">
        <w:rPr>
          <w:b/>
          <w:bCs/>
        </w:rPr>
        <w:t>:</w:t>
      </w:r>
      <w:r w:rsidR="00F75D6F" w:rsidRPr="0017421B">
        <w:rPr>
          <w:b/>
          <w:bCs/>
        </w:rPr>
        <w:t xml:space="preserve"> </w:t>
      </w:r>
      <w:r w:rsidR="00B373EC" w:rsidRPr="00B373EC">
        <w:t xml:space="preserve">In this option, users can list the layers in the building model and use </w:t>
      </w:r>
      <w:r w:rsidR="00B373EC">
        <w:t>the ‘</w:t>
      </w:r>
      <w:r w:rsidR="00B373EC" w:rsidRPr="0017421B">
        <w:rPr>
          <w:i/>
          <w:iCs/>
        </w:rPr>
        <w:t xml:space="preserve">recommender’ </w:t>
      </w:r>
      <w:r w:rsidR="00B373EC" w:rsidRPr="00B373EC">
        <w:t>service to match each layer to an Ökobaudat material or product</w:t>
      </w:r>
      <w:r w:rsidR="00BC1BF0">
        <w:t xml:space="preserve"> </w:t>
      </w:r>
      <w:r w:rsidR="00BC1BF0">
        <w:lastRenderedPageBreak/>
        <w:fldChar w:fldCharType="begin"/>
      </w:r>
      <w:r w:rsidR="00BC1BF0">
        <w:instrText xml:space="preserve"> ADDIN ZOTERO_ITEM CSL_CITATION {"citationID":"Gxu021FR","properties":{"unsorted":false,"formattedCitation":"(Elmalah, 2026)","plainCitation":"(Elmalah, 2026)","noteIndex":0},"citationItems":[{"id":29776,"uris":["http://zotero.org/groups/5639246/items/QRV2MLLG"],"itemData":{"id":29776,"type":"thesis","citation-key":"zotero-item-29776","genre":"Master's Thesis","number-of-pages":"75","publisher":"RWTH Aachen University","publisher-place":"Aachen","title":"AI-Powered Semantic Engine for Contextual BIM-Based LCA","author":[{"family":"Elmalah","given":"Hossamelden"}],"issued":{"date-parts":[["2026"]]}}}],"schema":"https://github.com/citation-style-language/schema/raw/master/csl-citation.json"} </w:instrText>
      </w:r>
      <w:r w:rsidR="00BC1BF0">
        <w:fldChar w:fldCharType="separate"/>
      </w:r>
      <w:r w:rsidR="00BC1BF0" w:rsidRPr="00BC1BF0">
        <w:t>(Elmalah, 2026)</w:t>
      </w:r>
      <w:r w:rsidR="00BC1BF0">
        <w:fldChar w:fldCharType="end"/>
      </w:r>
      <w:r w:rsidR="00B373EC" w:rsidRPr="00B373EC">
        <w:t xml:space="preserve">. The </w:t>
      </w:r>
      <w:r w:rsidR="00B373EC" w:rsidRPr="0017421B">
        <w:rPr>
          <w:i/>
          <w:iCs/>
        </w:rPr>
        <w:t>recommender</w:t>
      </w:r>
      <w:r w:rsidR="00B373EC" w:rsidRPr="00B373EC">
        <w:t xml:space="preserve"> </w:t>
      </w:r>
      <w:r w:rsidR="00E26C97">
        <w:t>operates on</w:t>
      </w:r>
      <w:r w:rsidR="00B373EC" w:rsidRPr="00B373EC">
        <w:t xml:space="preserve"> a pre-built index of the Ökobaudat catalogue</w:t>
      </w:r>
      <w:r w:rsidR="00E26C97">
        <w:t xml:space="preserve">, combining </w:t>
      </w:r>
      <w:r w:rsidR="00B373EC" w:rsidRPr="00B373EC">
        <w:t xml:space="preserve">field-weighted lexical statistics </w:t>
      </w:r>
      <w:r w:rsidR="00E26C97">
        <w:t>with BGE-M3</w:t>
      </w:r>
      <w:r w:rsidR="00B373EC" w:rsidRPr="00B373EC">
        <w:t xml:space="preserve"> embeddings. For each layer, a </w:t>
      </w:r>
      <w:r w:rsidR="00E26C97">
        <w:t xml:space="preserve">search </w:t>
      </w:r>
      <w:r w:rsidR="00B373EC" w:rsidRPr="00B373EC">
        <w:t xml:space="preserve">query is </w:t>
      </w:r>
      <w:r w:rsidR="00E26C97">
        <w:t>generated</w:t>
      </w:r>
      <w:r w:rsidR="00B373EC" w:rsidRPr="00B373EC">
        <w:t xml:space="preserve"> from the material name</w:t>
      </w:r>
      <w:r w:rsidR="00E26C97">
        <w:t>, and a</w:t>
      </w:r>
      <w:r w:rsidR="00B373EC" w:rsidRPr="00B373EC">
        <w:t xml:space="preserve"> multilingual dense ranker (</w:t>
      </w:r>
      <w:r w:rsidR="00E26C97">
        <w:t>BGE-M</w:t>
      </w:r>
      <w:r w:rsidR="00B373EC" w:rsidRPr="00B373EC">
        <w:t>3) retrieves candidate</w:t>
      </w:r>
      <w:r w:rsidR="00E26C97">
        <w:t xml:space="preserve"> matche</w:t>
      </w:r>
      <w:r w:rsidR="00B373EC" w:rsidRPr="00B373EC">
        <w:t>s</w:t>
      </w:r>
      <w:r w:rsidR="00E26C97">
        <w:t>. A</w:t>
      </w:r>
      <w:r w:rsidR="00B373EC" w:rsidRPr="00B373EC">
        <w:t xml:space="preserve"> cross-encoder then re-</w:t>
      </w:r>
      <w:r w:rsidR="00E26C97">
        <w:t>ranks</w:t>
      </w:r>
      <w:r w:rsidR="00B373EC" w:rsidRPr="00B373EC">
        <w:t xml:space="preserve"> the top 20 </w:t>
      </w:r>
      <w:r w:rsidR="00E26C97">
        <w:t xml:space="preserve">candidates </w:t>
      </w:r>
      <w:r w:rsidR="00B373EC" w:rsidRPr="00B373EC">
        <w:t xml:space="preserve">by jointly comparing </w:t>
      </w:r>
      <w:r w:rsidR="00B373EC">
        <w:t xml:space="preserve">the query </w:t>
      </w:r>
      <w:r w:rsidR="00E26C97">
        <w:t>with</w:t>
      </w:r>
      <w:r w:rsidR="00B373EC">
        <w:t xml:space="preserve"> the</w:t>
      </w:r>
      <w:r w:rsidR="00E26C97">
        <w:t xml:space="preserve"> corresponding catalogue entries</w:t>
      </w:r>
      <w:r w:rsidR="00B373EC" w:rsidRPr="00B373EC">
        <w:t xml:space="preserve">. </w:t>
      </w:r>
      <w:r w:rsidR="00E26C97">
        <w:t>The resulting suggestions are expressed as calibrated confidence scores rather than raw similarity scores. If dense retrieval does not yield usable candidates, a field-weighted BM25F ranking based on the material name is used as a fallback.</w:t>
      </w:r>
      <w:r w:rsidR="0017421B">
        <w:t xml:space="preserve"> </w:t>
      </w:r>
      <w:r w:rsidR="00E26C97">
        <w:t xml:space="preserve">Following re-ranking, suggestions with a confidence score above </w:t>
      </w:r>
      <w:r w:rsidR="00BC1BF0">
        <w:t>50%</w:t>
      </w:r>
      <w:r w:rsidR="00E26C97">
        <w:t xml:space="preserve"> are automatically assigned and presented with a confirm/reject control, while lower-confidence matches are displayed as a ranked shortlist. A separate keyword-based search remains available to allow users to override the ranked recommendations. Evaluation on two public Revit sample models, each containing 54 materials, resulted in a usable Ökobaudat match at </w:t>
      </w:r>
      <w:r w:rsidR="00E26C97">
        <w:rPr>
          <w:rStyle w:val="Emphasis"/>
        </w:rPr>
        <w:t>k</w:t>
      </w:r>
      <w:r w:rsidR="00E26C97">
        <w:t xml:space="preserve">@1 of 44% and </w:t>
      </w:r>
      <w:r w:rsidR="00E26C97">
        <w:rPr>
          <w:rStyle w:val="Emphasis"/>
        </w:rPr>
        <w:t>k</w:t>
      </w:r>
      <w:r w:rsidR="00E26C97">
        <w:t>@20 of 85% for the English model, compared with 35% and 74%, respectively, for the German model. Although these results are insufficient to support fully unsupervised material assignment, they demonstrate the potential of the approach for a semi-automated workflow in which users oversee and validate the recommendations. IFC type and cost group were initially incorporated as additional matching cues; however, their inclusion reduced retrieval quality, and therefore only the material name was retained for re-ranking. Air and void layers are excluded because they do not contain material information. Framing layers, such as studs or joists, are instead recognised and assigned a default, editable area fraction of 20%.</w:t>
      </w:r>
    </w:p>
    <w:p w14:paraId="69FBE454" w14:textId="77777777" w:rsidR="00BC1BF0" w:rsidRDefault="00BC1BF0" w:rsidP="00BC1BF0">
      <w:pPr>
        <w:pStyle w:val="CIB-image"/>
      </w:pPr>
      <w:r>
        <w:drawing>
          <wp:inline distT="0" distB="0" distL="0" distR="0" wp14:anchorId="09C3872A" wp14:editId="47CD380E">
            <wp:extent cx="5400000" cy="2767388"/>
            <wp:effectExtent l="0" t="0" r="0" b="0"/>
            <wp:docPr id="15958642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033325" name="Picture 1570033325"/>
                    <pic:cNvPicPr/>
                  </pic:nvPicPr>
                  <pic:blipFill>
                    <a:blip r:embed="rId10">
                      <a:extLst>
                        <a:ext uri="{28A0092B-C50C-407E-A947-70E740481C1C}">
                          <a14:useLocalDpi xmlns:a14="http://schemas.microsoft.com/office/drawing/2010/main"/>
                        </a:ext>
                      </a:extLst>
                    </a:blip>
                    <a:stretch>
                      <a:fillRect/>
                    </a:stretch>
                  </pic:blipFill>
                  <pic:spPr>
                    <a:xfrm>
                      <a:off x="0" y="0"/>
                      <a:ext cx="5400000" cy="2767388"/>
                    </a:xfrm>
                    <a:prstGeom prst="rect">
                      <a:avLst/>
                    </a:prstGeom>
                  </pic:spPr>
                </pic:pic>
              </a:graphicData>
            </a:graphic>
          </wp:inline>
        </w:drawing>
      </w:r>
    </w:p>
    <w:p w14:paraId="429BB1AC" w14:textId="681F3D1B" w:rsidR="00BC1BF0" w:rsidRDefault="00BC1BF0" w:rsidP="00BC1BF0">
      <w:pPr>
        <w:pStyle w:val="CIB-caption"/>
      </w:pPr>
      <w:bookmarkStart w:id="3" w:name="_Ref233666502"/>
      <w:r>
        <w:t xml:space="preserve">Figure </w:t>
      </w:r>
      <w:fldSimple w:instr=" SEQ Figure \* ARABIC ">
        <w:r w:rsidR="000815F4">
          <w:rPr>
            <w:noProof/>
          </w:rPr>
          <w:t>3</w:t>
        </w:r>
      </w:fldSimple>
      <w:bookmarkEnd w:id="3"/>
      <w:r>
        <w:t>: Material/Product selection - user interface.</w:t>
      </w:r>
    </w:p>
    <w:p w14:paraId="50D62190" w14:textId="7864FD22" w:rsidR="00D1449A" w:rsidRDefault="00473EA0" w:rsidP="00473EA0">
      <w:pPr>
        <w:spacing w:before="120"/>
        <w:ind w:firstLine="0"/>
      </w:pPr>
      <w:r>
        <w:t>C</w:t>
      </w:r>
      <w:r w:rsidR="00881C9C">
        <w:t xml:space="preserve">onsidering </w:t>
      </w:r>
      <w:r w:rsidR="00C638B4">
        <w:t xml:space="preserve">that </w:t>
      </w:r>
      <w:r w:rsidR="00881C9C">
        <w:t xml:space="preserve">an average IFC model has hundreds of building elements, it is necessary to group objects with the same layer compositions and treat them as the same ‘type’ of building element to enable parametric assignment. This way, </w:t>
      </w:r>
      <w:r w:rsidR="00D521B6">
        <w:t>one can change</w:t>
      </w:r>
      <w:r w:rsidR="00881C9C">
        <w:t xml:space="preserve"> the whole group by editing only one </w:t>
      </w:r>
      <w:r w:rsidR="00417582">
        <w:t>m</w:t>
      </w:r>
      <w:r w:rsidR="00881C9C">
        <w:t>ember. Individual elements can also be broken out of their group, allowing modelling mistakes to be corrected or design changes to be applied after the fact.</w:t>
      </w:r>
      <w:r w:rsidR="00A657AD">
        <w:t xml:space="preserve"> </w:t>
      </w:r>
      <w:r w:rsidR="007B0490">
        <w:t xml:space="preserve"> </w:t>
      </w:r>
    </w:p>
    <w:p w14:paraId="6C65D2F3" w14:textId="77777777" w:rsidR="00206F01" w:rsidRPr="00EB6953" w:rsidRDefault="00206F01" w:rsidP="00206F01">
      <w:pPr>
        <w:pStyle w:val="Heading2"/>
      </w:pPr>
      <w:r>
        <w:lastRenderedPageBreak/>
        <w:t>Visualisation of the Results</w:t>
      </w:r>
    </w:p>
    <w:p w14:paraId="2D76853B" w14:textId="13E5B7F5" w:rsidR="00881C9C" w:rsidRDefault="00206F01" w:rsidP="00E26C97">
      <w:r>
        <w:t xml:space="preserve">Once the LCA is computed, the result is projected back onto the IFC model in the 3D viewer. Each building element is coloured on a green-to-red scale, normalised in one of two ways: </w:t>
      </w:r>
      <w:r w:rsidRPr="00462235">
        <w:t>the relative mode compares each element to the largest single contributor in the current variant and shows where the impact is concentrated</w:t>
      </w:r>
      <w:r>
        <w:t xml:space="preserve">, while </w:t>
      </w:r>
      <w:r w:rsidRPr="005A04FE">
        <w:rPr>
          <w:i/>
          <w:iCs/>
        </w:rPr>
        <w:t xml:space="preserve">the BNB mode </w:t>
      </w:r>
      <w:r>
        <w:t>compares each element's per-m²·</w:t>
      </w:r>
      <w:proofErr w:type="spellStart"/>
      <w:proofErr w:type="gramStart"/>
      <w:r>
        <w:t>a</w:t>
      </w:r>
      <w:proofErr w:type="spellEnd"/>
      <w:proofErr w:type="gramEnd"/>
      <w:r>
        <w:t xml:space="preserve"> impact to the Global Warming Potential (GWP) reference value of the project's BNB/DGNB benchmark version and shows how much of the available budget is being consumed. A hotspot filter keeps only elements above a chosen threshold or the top-N contributors for any indicator, whereas the rest are ghosted at low opacity so the building context stays readable</w:t>
      </w:r>
      <w:r w:rsidR="00225608">
        <w:t xml:space="preserve"> (</w:t>
      </w:r>
      <w:r w:rsidR="00225608">
        <w:fldChar w:fldCharType="begin"/>
      </w:r>
      <w:r w:rsidR="00225608">
        <w:instrText xml:space="preserve"> REF _Ref233666529 \h </w:instrText>
      </w:r>
      <w:r w:rsidR="00225608">
        <w:fldChar w:fldCharType="separate"/>
      </w:r>
      <w:r w:rsidR="000815F4">
        <w:t xml:space="preserve">Figure </w:t>
      </w:r>
      <w:r w:rsidR="000815F4">
        <w:rPr>
          <w:noProof/>
        </w:rPr>
        <w:t>4</w:t>
      </w:r>
      <w:r w:rsidR="00225608">
        <w:fldChar w:fldCharType="end"/>
      </w:r>
      <w:r w:rsidR="00225608">
        <w:t>)</w:t>
      </w:r>
      <w:r>
        <w:t>.</w:t>
      </w:r>
    </w:p>
    <w:p w14:paraId="7E78AC09" w14:textId="52DAA0CC" w:rsidR="00206F01" w:rsidRDefault="005A04FE" w:rsidP="00C333EF">
      <w:r>
        <w:t xml:space="preserve">For design decision support and iterative testing, users can create variants by selecting alternative materials/products from the database. </w:t>
      </w:r>
      <w:r w:rsidR="00106160">
        <w:t xml:space="preserve">Users can open up to four independent computations on the same IFC model </w:t>
      </w:r>
      <w:r>
        <w:t xml:space="preserve">side by side in a synchronised layout. The colour scale is also shared across loaded variants, so </w:t>
      </w:r>
      <w:r w:rsidR="00DC6F0B" w:rsidRPr="00DC6F0B">
        <w:t>higher-impact variants appear redder</w:t>
      </w:r>
      <w:r w:rsidR="00DC6F0B">
        <w:t xml:space="preserve"> </w:t>
      </w:r>
      <w:r>
        <w:t xml:space="preserve">instead of each viewport self-normalising to look the same. </w:t>
      </w:r>
    </w:p>
    <w:p w14:paraId="4A52382F" w14:textId="44474D98" w:rsidR="00206F01" w:rsidRDefault="21E7FC56" w:rsidP="00D24490">
      <w:r>
        <w:t xml:space="preserve">Calculation transparency was one of the biggest concerns raised in the workshop. For this reason, any element in the list can be expanded to reveal the underlying eLCA formula and the values fed into it (layer thickness, quantity, service life, Ökobaudat entry), broken down per EN 15978 </w:t>
      </w:r>
      <w:r w:rsidR="00206F01">
        <w:t xml:space="preserve">life-cycle module. A separate calculation basis dialogue lets the user choose which modules feed into the results and into the BNB score, and recomputes both consistently. </w:t>
      </w:r>
      <w:r w:rsidR="00206F01" w:rsidRPr="0043779E">
        <w:t xml:space="preserve">The resulting dashboard state can be exported as a printable, eLCA-styled </w:t>
      </w:r>
      <w:r w:rsidR="00206F01">
        <w:t>report.</w:t>
      </w:r>
    </w:p>
    <w:p w14:paraId="05C17815" w14:textId="77777777" w:rsidR="00D33F54" w:rsidRDefault="00D33F54" w:rsidP="00D33F54">
      <w:pPr>
        <w:pStyle w:val="CIB-image"/>
        <w:keepNext/>
        <w:rPr>
          <w:rFonts w:eastAsia="Calibri"/>
        </w:rPr>
      </w:pPr>
      <w:r w:rsidRPr="00E24851">
        <w:rPr>
          <w:rFonts w:eastAsia="Calibri"/>
        </w:rPr>
        <w:drawing>
          <wp:inline distT="0" distB="0" distL="0" distR="0" wp14:anchorId="2D7C3F7D" wp14:editId="6CFC8CC1">
            <wp:extent cx="5400000" cy="27664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00000" cy="2766409"/>
                    </a:xfrm>
                    <a:prstGeom prst="rect">
                      <a:avLst/>
                    </a:prstGeom>
                  </pic:spPr>
                </pic:pic>
              </a:graphicData>
            </a:graphic>
          </wp:inline>
        </w:drawing>
      </w:r>
    </w:p>
    <w:p w14:paraId="0BDBAE7C" w14:textId="0E8E486D" w:rsidR="00D33F54" w:rsidRDefault="00D33F54" w:rsidP="00D33F54">
      <w:pPr>
        <w:pStyle w:val="CIB-caption"/>
      </w:pPr>
      <w:bookmarkStart w:id="4" w:name="_Ref233666529"/>
      <w:r>
        <w:t xml:space="preserve">Figure </w:t>
      </w:r>
      <w:r>
        <w:fldChar w:fldCharType="begin"/>
      </w:r>
      <w:r>
        <w:instrText>SEQ Figure \* ARABIC</w:instrText>
      </w:r>
      <w:r>
        <w:fldChar w:fldCharType="separate"/>
      </w:r>
      <w:r w:rsidR="000815F4">
        <w:rPr>
          <w:noProof/>
        </w:rPr>
        <w:t>4</w:t>
      </w:r>
      <w:r>
        <w:fldChar w:fldCharType="end"/>
      </w:r>
      <w:bookmarkEnd w:id="4"/>
      <w:r>
        <w:t>: Visualisation of the results - user interface.</w:t>
      </w:r>
    </w:p>
    <w:p w14:paraId="403F2659" w14:textId="1DA5746B" w:rsidR="00476B17" w:rsidRPr="00D6057A" w:rsidRDefault="3EA96DFF" w:rsidP="3EA96DFF">
      <w:pPr>
        <w:pStyle w:val="Heading1"/>
      </w:pPr>
      <w:r>
        <w:lastRenderedPageBreak/>
        <w:t>DISCUSSION</w:t>
      </w:r>
    </w:p>
    <w:p w14:paraId="12E927F5" w14:textId="70E6CF84" w:rsidR="0018072E" w:rsidRDefault="0018072E">
      <w:r w:rsidRPr="0018072E">
        <w:t xml:space="preserve">During the practitioner workshop, several requirements for a BIM-based LCA tool </w:t>
      </w:r>
      <w:r w:rsidR="00106160">
        <w:t xml:space="preserve">emerged, </w:t>
      </w:r>
      <w:r w:rsidR="00B76FE5">
        <w:t>and shaped many of the</w:t>
      </w:r>
      <w:r w:rsidR="00106160">
        <w:t xml:space="preserve"> </w:t>
      </w:r>
      <w:r w:rsidRPr="0018072E">
        <w:t>design decisions in bLCA. The discussion below revisits these requirements and reflects on how far the current prototype addresses them.</w:t>
      </w:r>
    </w:p>
    <w:p w14:paraId="3134461A" w14:textId="284EA69E" w:rsidR="00B76FE5" w:rsidRDefault="21E7FC56" w:rsidP="00B76FE5">
      <w:pPr>
        <w:ind w:firstLine="0"/>
      </w:pPr>
      <w:r>
        <w:t xml:space="preserve">The cost group classifier shows both the potential and the current limits of automating model classification. Even </w:t>
      </w:r>
      <w:r w:rsidR="00881C9C">
        <w:t xml:space="preserve">for very large models, it </w:t>
      </w:r>
      <w:r w:rsidR="00B76FE5">
        <w:t xml:space="preserve">can be a viable solution </w:t>
      </w:r>
      <w:r w:rsidR="00B76FE5" w:rsidRPr="00B76FE5">
        <w:t xml:space="preserve">when the naming </w:t>
      </w:r>
      <w:r w:rsidR="00B76FE5">
        <w:t>closely matches</w:t>
      </w:r>
      <w:r w:rsidR="00B76FE5" w:rsidRPr="00B76FE5">
        <w:t xml:space="preserve"> its training corpus</w:t>
      </w:r>
      <w:r>
        <w:t>. Its reliability drops, however, on models it is less prepared for. Suitable training data is scarce</w:t>
      </w:r>
      <w:r w:rsidR="00106160">
        <w:t xml:space="preserve"> because well-labelled industry models are difficult to share due to copyright and confidentiality, so cost groups </w:t>
      </w:r>
      <w:r>
        <w:t>underrepresented in training or elements with unconventional naming are classified less accurately. Closing this gap requires training data spanning a wider range of authoring styles. Expanding and balancing the training corpus is the priority for making automated classification dependable across a wider variety of real-world models.</w:t>
      </w:r>
      <w:r w:rsidR="00B76FE5">
        <w:t xml:space="preserve"> </w:t>
      </w:r>
      <w:r w:rsidR="00B76FE5" w:rsidRPr="00B76FE5">
        <w:t>For material and product assignment, the three systems reflect</w:t>
      </w:r>
      <w:r w:rsidR="00B76FE5">
        <w:t xml:space="preserve"> the system's adaptability to LOD</w:t>
      </w:r>
      <w:r w:rsidR="00B76FE5" w:rsidRPr="00B76FE5">
        <w:t>. Users can run a rough screening with automated matches or go into layer-level detail</w:t>
      </w:r>
      <w:r w:rsidR="00B76FE5">
        <w:t xml:space="preserve">. </w:t>
      </w:r>
      <w:r w:rsidR="00DC6BA2">
        <w:t>The option to save</w:t>
      </w:r>
      <w:r w:rsidR="00B76FE5" w:rsidRPr="00B76FE5">
        <w:t xml:space="preserve"> custom </w:t>
      </w:r>
      <w:r w:rsidR="00DC6BA2">
        <w:t>templates</w:t>
      </w:r>
      <w:r w:rsidR="00B76FE5" w:rsidRPr="00B76FE5">
        <w:t xml:space="preserve"> has clear potential for offices that want to build an internal library over time.</w:t>
      </w:r>
      <w:r w:rsidR="00B76FE5">
        <w:t xml:space="preserve"> </w:t>
      </w:r>
      <w:r w:rsidR="00B76FE5" w:rsidRPr="0018072E">
        <w:t xml:space="preserve">Grouping elements with the same layer composition and treating them as </w:t>
      </w:r>
      <w:r w:rsidR="00B76FE5">
        <w:t xml:space="preserve">one </w:t>
      </w:r>
      <w:r w:rsidR="00B76FE5" w:rsidRPr="0018072E">
        <w:t>parametric “type” is a substantial improvement over assigning hundreds of elements individually, and is essential for scaling the workflow to real-world building models</w:t>
      </w:r>
      <w:r w:rsidR="00B76FE5" w:rsidRPr="00433E9F">
        <w:rPr>
          <w:color w:val="FF0000"/>
        </w:rPr>
        <w:t xml:space="preserve">. </w:t>
      </w:r>
    </w:p>
    <w:p w14:paraId="683FEA67" w14:textId="7C43B7D3" w:rsidR="003176A5" w:rsidRDefault="003176A5" w:rsidP="007D1932">
      <w:r w:rsidRPr="003176A5">
        <w:t xml:space="preserve">On the results side, </w:t>
      </w:r>
      <w:r w:rsidR="00106160">
        <w:t>the dashboard provides visual feedback, calculation transparency, and variant comparison</w:t>
      </w:r>
      <w:r w:rsidRPr="003176A5">
        <w:t xml:space="preserve">. A further workshop requirement, integration with BIM-authoring tools for iterative testing, is still in progress, with a Bonsai add-on for Blender as the first target. The interactive 3D viewer is present throughout the workflow, from project creation to results. Its bidirectional link with the element list makes the interaction more intuitive, because users no longer have to work with two disconnected representations of the same model. Closely related is the requirement to edit or fix faulty IFC models without leaving the tool. This is supported </w:t>
      </w:r>
      <w:r w:rsidR="00A67F82">
        <w:t xml:space="preserve">in both the cost-group classification and </w:t>
      </w:r>
      <w:r w:rsidRPr="003176A5">
        <w:t xml:space="preserve">the layer assignment, where users can override automated results, create missing groups, or fall back to manual search. In practice, this means that models with </w:t>
      </w:r>
      <w:r w:rsidR="00A67F82">
        <w:t>incorrect or missing data can still be made usable without a full round-trip</w:t>
      </w:r>
      <w:r w:rsidRPr="003176A5">
        <w:t xml:space="preserve"> back to the BIM authoring tool.</w:t>
      </w:r>
      <w:r w:rsidR="008542DA">
        <w:t xml:space="preserve"> </w:t>
      </w:r>
    </w:p>
    <w:p w14:paraId="2F061380" w14:textId="52E6EB8A" w:rsidR="00F77372" w:rsidRDefault="00E627C3" w:rsidP="00F77372">
      <w:r w:rsidRPr="00E627C3">
        <w:t xml:space="preserve">These features are especially relevant because </w:t>
      </w:r>
      <w:r w:rsidR="00106160">
        <w:t xml:space="preserve">few </w:t>
      </w:r>
      <w:r w:rsidR="00F77372">
        <w:t xml:space="preserve">free, open-source solutions exist for early-phase BIM-based LCA (Kufeld et al., 2025), yet the current implementation has several limitations. The archetype system remains an early prototype with a limited number of examples. For routine use, it would require a more comprehensive library, complemented by decision trees that guide planners through early design choices. Although the min–max ranges defined within the archetypes provide a useful way to represent uncertainty, they are not yet integrated into the results page. The </w:t>
      </w:r>
      <w:r w:rsidR="00F77372" w:rsidRPr="00F77372">
        <w:rPr>
          <w:i/>
          <w:iCs/>
        </w:rPr>
        <w:t>recommender</w:t>
      </w:r>
      <w:r w:rsidR="00F77372">
        <w:t xml:space="preserve"> system likewise requires further testing. Its performance still depends to some extent on IFC quality, particularly consistent material naming, although manual overrides and keyword-based search provide alternative paths when automated matching is unsuccessful. The current auto-assignment threshold of 50% is a fixed heuristic rather than a learned or empirically calibrated value. Furthermore, the embedding and cross-encoder models have not yet been fine-tuned on domain-specific IFC material–Ökobaudat pairs. The assignment interface (</w:t>
      </w:r>
      <w:r w:rsidR="00F77372">
        <w:fldChar w:fldCharType="begin"/>
      </w:r>
      <w:r w:rsidR="00F77372">
        <w:instrText xml:space="preserve"> REF _Ref233666502 \h </w:instrText>
      </w:r>
      <w:r w:rsidR="00F77372">
        <w:fldChar w:fldCharType="separate"/>
      </w:r>
      <w:r w:rsidR="000815F4">
        <w:t xml:space="preserve">Figure </w:t>
      </w:r>
      <w:r w:rsidR="000815F4">
        <w:rPr>
          <w:noProof/>
        </w:rPr>
        <w:t>3</w:t>
      </w:r>
      <w:r w:rsidR="00F77372">
        <w:fldChar w:fldCharType="end"/>
      </w:r>
      <w:r w:rsidR="00F77372">
        <w:t xml:space="preserve">) is also </w:t>
      </w:r>
      <w:r w:rsidR="00F77372">
        <w:lastRenderedPageBreak/>
        <w:t>currently information-dense and may overwhelm first-time users. A more streamlined and polished layout is therefore planned to improve usability.</w:t>
      </w:r>
    </w:p>
    <w:p w14:paraId="64DA33D5" w14:textId="30B3E97B" w:rsidR="00BE2AFF" w:rsidRPr="00F77372" w:rsidRDefault="00F77372" w:rsidP="00F77372">
      <w:r w:rsidRPr="00F77372">
        <w:t xml:space="preserve">The present paper should consequently be understood as a prototype implementation study rather than a completed validation. A systematic evaluation of bLCA is planned in collaboration with BIM Allianz, including a comparison with existing early-phase BIM-LCA tools using the benchmarks introduced in a companion publication </w:t>
      </w:r>
      <w:r w:rsidRPr="00F77372">
        <w:fldChar w:fldCharType="begin"/>
      </w:r>
      <w:r w:rsidRPr="00F77372">
        <w:instrText xml:space="preserve"> ADDIN ZOTERO_ITEM CSL_CITATION {"citationID":"4auJ6oVE","properties":{"unsorted":false,"formattedCitation":"(Kufeld et al., 2025)","plainCitation":"(Kufeld et al., 2025)","noteIndex":0},"citationItems":[{"id":29582,"uris":["http://zotero.org/groups/5639246/items/H4YTNZDZ"],"itemData":{"id":29582,"type":"paper-conference","citation-key":"kufeldEarlyPhaseBIMLCATools2025","collection-title":"SBE Conference Series","container-title":"Sustainable Built Environment Conference 2025 Zurich - Extended Abstracts","DOI":"10.3929/ethz-c-000785700","event-title":"Sustainable Built Environment Conference (SBE25)","language":"en","publisher":"ETH Zurich","publisher-place":"Zurich","title":"Early-Phase BIM-LCA Tools: Performance Gaps and  Insights from Literature and Practice","URL":"https://www.research-collection.ethz.ch/entities/publication/6172b5fe-239f-4dce-bc47-1aaa0b8ab083","author":[{"family":"Kufeld","given":"Elias"},{"family":"Karaoglan","given":"Cemre"},{"family":"Hildebrand","given":"Linda"},{"family":"Beetz","given":"Jakob"}],"issued":{"date-parts":[["2025"]]}}}],"schema":"https://github.com/citation-style-language/schema/raw/master/csl-citation.json"} </w:instrText>
      </w:r>
      <w:r w:rsidRPr="00F77372">
        <w:fldChar w:fldCharType="separate"/>
      </w:r>
      <w:r w:rsidRPr="00F77372">
        <w:t>(Kufeld et al., 2025)</w:t>
      </w:r>
      <w:r w:rsidRPr="00F77372">
        <w:fldChar w:fldCharType="end"/>
      </w:r>
      <w:r w:rsidRPr="00F77372">
        <w:t>. The results of this evaluation will be reported separately.</w:t>
      </w:r>
    </w:p>
    <w:p w14:paraId="22A73B4A" w14:textId="7A210AB4" w:rsidR="00D6057A" w:rsidRPr="00EB6953" w:rsidRDefault="007D1932" w:rsidP="007D1932">
      <w:pPr>
        <w:pStyle w:val="Heading1"/>
      </w:pPr>
      <w:r>
        <w:t>CO</w:t>
      </w:r>
      <w:r w:rsidR="3EA96DFF">
        <w:t>NCLUSION</w:t>
      </w:r>
    </w:p>
    <w:p w14:paraId="1FF58D8A" w14:textId="711FECB5" w:rsidR="00CA552B" w:rsidRPr="00CA552B" w:rsidRDefault="00CA552B" w:rsidP="00CA552B">
      <w:r w:rsidRPr="00CA552B">
        <w:t>This paper presented bLCA as a prototype extension of the open-source eLCA platform for early-stage BIM-LCA workflows. The implementation addresses three recurring barriers identified in the literature and practitioner workshops: limited interaction with IFC geometry, insufficient support for low-LOD material assignment, and a lack of transparent visual feedback on LCA results. By linking a 3D viewer to classification, material assignment, and result interpretation, bLCA lowers the practical threshold for using LCA during design rather than only for later documentation.</w:t>
      </w:r>
    </w:p>
    <w:p w14:paraId="7F49FBEF" w14:textId="7DCE56D9" w:rsidR="00CA552B" w:rsidRPr="00CA552B" w:rsidRDefault="00CA552B" w:rsidP="00CA552B">
      <w:r w:rsidRPr="00CA552B">
        <w:t xml:space="preserve">Several directions remain open for future work. The environmental database entries can be enriched with information from external data dictionaries and similar online sources to improve the quality of automated matches and the recommender's coverage. The archetype library, currently </w:t>
      </w:r>
      <w:r w:rsidR="00106160">
        <w:t>a small prototype, should be expanded</w:t>
      </w:r>
      <w:r w:rsidRPr="00CA552B">
        <w:t xml:space="preserve"> into a more comprehensive collection with decision trees that guide planners through early design choices. Individual workflow steps can also be exposed as modular components or plug-ins, allowing integration into other BIM-authoring environments.</w:t>
      </w:r>
    </w:p>
    <w:p w14:paraId="54F41556" w14:textId="40A99A44" w:rsidR="00CA552B" w:rsidRDefault="00CA552B" w:rsidP="00CA552B">
      <w:pPr>
        <w:rPr>
          <w:b/>
        </w:rPr>
      </w:pPr>
      <w:r w:rsidRPr="00CA552B">
        <w:t xml:space="preserve">A qualitative and quantitative evaluation of bLCA with practitioners is planned </w:t>
      </w:r>
      <w:r w:rsidR="00106160">
        <w:t xml:space="preserve">for fall </w:t>
      </w:r>
      <w:r w:rsidRPr="00CA552B">
        <w:t xml:space="preserve">2026 in collaboration with BIM Allianz, and its results will be reported in a follow-up publication. With those findings, the tool can be iteratively refined towards the ambition stated at the outset: making environmental considerations part of early design decision-making rather than a </w:t>
      </w:r>
      <w:r w:rsidR="0029272D">
        <w:t xml:space="preserve">mere </w:t>
      </w:r>
      <w:r w:rsidRPr="00CA552B">
        <w:t xml:space="preserve">certification </w:t>
      </w:r>
      <w:r w:rsidR="0029272D">
        <w:t>procedure</w:t>
      </w:r>
      <w:r w:rsidRPr="00CA552B">
        <w:t>.</w:t>
      </w:r>
    </w:p>
    <w:p w14:paraId="0C04582E" w14:textId="1C1E6421" w:rsidR="00D6057A" w:rsidRPr="00D6057A" w:rsidRDefault="00D6057A" w:rsidP="00CA552B">
      <w:pPr>
        <w:pStyle w:val="Heading1"/>
        <w:numPr>
          <w:ilvl w:val="0"/>
          <w:numId w:val="0"/>
        </w:numPr>
        <w:tabs>
          <w:tab w:val="left" w:pos="5835"/>
        </w:tabs>
        <w:ind w:firstLine="720"/>
      </w:pPr>
      <w:r w:rsidRPr="00D6057A">
        <w:t>ACKNOWLEDGEMENTS</w:t>
      </w:r>
      <w:r w:rsidR="003F149B">
        <w:tab/>
      </w:r>
    </w:p>
    <w:p w14:paraId="5CDF6826" w14:textId="3E0C46DC" w:rsidR="00513249" w:rsidRPr="00D33F54" w:rsidRDefault="00513249" w:rsidP="002D0846">
      <w:r w:rsidRPr="00D33F54">
        <w:t xml:space="preserve">This work is part of the project BIM-based Life Cycle Assessment: Enhancement of the eLCA Tool with </w:t>
      </w:r>
      <w:proofErr w:type="spellStart"/>
      <w:r w:rsidRPr="00D33F54">
        <w:t>OpenBIM</w:t>
      </w:r>
      <w:proofErr w:type="spellEnd"/>
      <w:r w:rsidRPr="00D33F54">
        <w:t xml:space="preserve"> Standards, funded by the </w:t>
      </w:r>
      <w:proofErr w:type="spellStart"/>
      <w:r w:rsidRPr="00D33F54">
        <w:t>ZukunftBau</w:t>
      </w:r>
      <w:proofErr w:type="spellEnd"/>
      <w:r w:rsidRPr="00D33F54">
        <w:t xml:space="preserve"> innovation program. We </w:t>
      </w:r>
      <w:r w:rsidR="00106160">
        <w:t>thank our project partners for their continued</w:t>
      </w:r>
      <w:r w:rsidRPr="00D33F54">
        <w:t xml:space="preserve"> support. We also acknowledge BIM Allianz </w:t>
      </w:r>
      <w:proofErr w:type="spellStart"/>
      <w:r w:rsidRPr="00D33F54">
        <w:t>e.V.</w:t>
      </w:r>
      <w:proofErr w:type="spellEnd"/>
      <w:r w:rsidRPr="00D33F54">
        <w:t xml:space="preserve"> for their valuable input. </w:t>
      </w:r>
    </w:p>
    <w:p w14:paraId="51A5047C" w14:textId="4694A973" w:rsidR="00EC32A2" w:rsidRDefault="00D6057A" w:rsidP="00EC32A2">
      <w:pPr>
        <w:pStyle w:val="Heading1"/>
        <w:numPr>
          <w:ilvl w:val="0"/>
          <w:numId w:val="0"/>
        </w:numPr>
        <w:ind w:left="714"/>
      </w:pPr>
      <w:r w:rsidRPr="00717A4C">
        <w:t xml:space="preserve">REFERENCES </w:t>
      </w:r>
    </w:p>
    <w:p w14:paraId="1BB5885D" w14:textId="77777777" w:rsidR="00F77372" w:rsidRPr="00F77372" w:rsidRDefault="21E7FC56" w:rsidP="00F77372">
      <w:pPr>
        <w:pStyle w:val="CIB-Bib"/>
        <w:rPr>
          <w:sz w:val="18"/>
          <w:lang w:val="de-DE"/>
        </w:rPr>
      </w:pPr>
      <w:r w:rsidRPr="00F77372">
        <w:rPr>
          <w:sz w:val="18"/>
          <w:szCs w:val="20"/>
        </w:rPr>
        <w:fldChar w:fldCharType="begin"/>
      </w:r>
      <w:r w:rsidR="00F77372" w:rsidRPr="00F77372">
        <w:rPr>
          <w:sz w:val="18"/>
          <w:szCs w:val="20"/>
          <w:lang w:val="de-DE"/>
        </w:rPr>
        <w:instrText xml:space="preserve"> ADDIN ZOTERO_BIBL {"uncited":[],"omitted":[],"custom":[]} CSL_BIBLIOGRAPHY </w:instrText>
      </w:r>
      <w:r w:rsidRPr="00F77372">
        <w:rPr>
          <w:sz w:val="18"/>
          <w:szCs w:val="20"/>
        </w:rPr>
        <w:fldChar w:fldCharType="separate"/>
      </w:r>
      <w:r w:rsidR="00F77372" w:rsidRPr="00F77372">
        <w:rPr>
          <w:sz w:val="18"/>
          <w:lang w:val="de-DE"/>
        </w:rPr>
        <w:t>BBSR, 2022. eLCA Bauteilkatalog.</w:t>
      </w:r>
    </w:p>
    <w:p w14:paraId="1E3D0AD0" w14:textId="77777777" w:rsidR="00F77372" w:rsidRPr="00F77372" w:rsidRDefault="00F77372" w:rsidP="00F77372">
      <w:pPr>
        <w:pStyle w:val="CIB-Bib"/>
        <w:rPr>
          <w:sz w:val="18"/>
        </w:rPr>
      </w:pPr>
      <w:r w:rsidRPr="00F77372">
        <w:rPr>
          <w:sz w:val="18"/>
          <w:lang w:val="de-DE"/>
        </w:rPr>
        <w:t xml:space="preserve">BBSR, </w:t>
      </w:r>
      <w:proofErr w:type="spellStart"/>
      <w:r w:rsidRPr="00F77372">
        <w:rPr>
          <w:sz w:val="18"/>
          <w:lang w:val="de-DE"/>
        </w:rPr>
        <w:t>n.d</w:t>
      </w:r>
      <w:proofErr w:type="spellEnd"/>
      <w:r w:rsidRPr="00F77372">
        <w:rPr>
          <w:sz w:val="18"/>
          <w:lang w:val="de-DE"/>
        </w:rPr>
        <w:t xml:space="preserve">. Ökobilanzierungstool eLCA [WWW </w:t>
      </w:r>
      <w:proofErr w:type="spellStart"/>
      <w:r w:rsidRPr="00F77372">
        <w:rPr>
          <w:sz w:val="18"/>
          <w:lang w:val="de-DE"/>
        </w:rPr>
        <w:t>Document</w:t>
      </w:r>
      <w:proofErr w:type="spellEnd"/>
      <w:r w:rsidRPr="00F77372">
        <w:rPr>
          <w:sz w:val="18"/>
          <w:lang w:val="de-DE"/>
        </w:rPr>
        <w:t xml:space="preserve">]. eLCA. </w:t>
      </w:r>
      <w:r w:rsidRPr="00F77372">
        <w:rPr>
          <w:sz w:val="18"/>
        </w:rPr>
        <w:t>URL https://bauteileditor.de/ (accessed 6.28.26).</w:t>
      </w:r>
    </w:p>
    <w:p w14:paraId="26D49BCA" w14:textId="77777777" w:rsidR="00F77372" w:rsidRPr="00F77372" w:rsidRDefault="00F77372" w:rsidP="00F77372">
      <w:pPr>
        <w:pStyle w:val="CIB-Bib"/>
        <w:rPr>
          <w:sz w:val="18"/>
        </w:rPr>
      </w:pPr>
      <w:r w:rsidRPr="00F77372">
        <w:rPr>
          <w:sz w:val="18"/>
          <w:lang w:val="de-DE"/>
        </w:rPr>
        <w:t xml:space="preserve">BIM-Allianz e.V., </w:t>
      </w:r>
      <w:proofErr w:type="spellStart"/>
      <w:r w:rsidRPr="00F77372">
        <w:rPr>
          <w:sz w:val="18"/>
          <w:lang w:val="de-DE"/>
        </w:rPr>
        <w:t>n.d</w:t>
      </w:r>
      <w:proofErr w:type="spellEnd"/>
      <w:r w:rsidRPr="00F77372">
        <w:rPr>
          <w:sz w:val="18"/>
          <w:lang w:val="de-DE"/>
        </w:rPr>
        <w:t xml:space="preserve">. BIM Allianz [WWW </w:t>
      </w:r>
      <w:proofErr w:type="spellStart"/>
      <w:r w:rsidRPr="00F77372">
        <w:rPr>
          <w:sz w:val="18"/>
          <w:lang w:val="de-DE"/>
        </w:rPr>
        <w:t>Document</w:t>
      </w:r>
      <w:proofErr w:type="spellEnd"/>
      <w:r w:rsidRPr="00F77372">
        <w:rPr>
          <w:sz w:val="18"/>
          <w:lang w:val="de-DE"/>
        </w:rPr>
        <w:t xml:space="preserve">]. </w:t>
      </w:r>
      <w:r w:rsidRPr="00F77372">
        <w:rPr>
          <w:sz w:val="18"/>
        </w:rPr>
        <w:t>URL https://www.bim-allianz.de/ (accessed 2.25.25).</w:t>
      </w:r>
    </w:p>
    <w:p w14:paraId="45696023" w14:textId="77777777" w:rsidR="00F77372" w:rsidRPr="00F77372" w:rsidRDefault="00F77372" w:rsidP="00F77372">
      <w:pPr>
        <w:pStyle w:val="CIB-Bib"/>
        <w:rPr>
          <w:sz w:val="18"/>
        </w:rPr>
      </w:pPr>
      <w:r w:rsidRPr="00F77372">
        <w:rPr>
          <w:sz w:val="18"/>
        </w:rPr>
        <w:t>BMWSB, n.d. ÖKOBAUDAT (the German federal LCA database for building products) [WWW Document]. Ökobaudat. URL https://www.oekobaudat.de/ (accessed 11.5.24).</w:t>
      </w:r>
    </w:p>
    <w:p w14:paraId="7699EAB0" w14:textId="77777777" w:rsidR="00F77372" w:rsidRPr="00F77372" w:rsidRDefault="00F77372" w:rsidP="00F77372">
      <w:pPr>
        <w:pStyle w:val="CIB-Bib"/>
        <w:rPr>
          <w:sz w:val="18"/>
        </w:rPr>
      </w:pPr>
      <w:proofErr w:type="spellStart"/>
      <w:r w:rsidRPr="00F77372">
        <w:rPr>
          <w:sz w:val="18"/>
        </w:rPr>
        <w:t>Bolognesi</w:t>
      </w:r>
      <w:proofErr w:type="spellEnd"/>
      <w:r w:rsidRPr="00F77372">
        <w:rPr>
          <w:sz w:val="18"/>
        </w:rPr>
        <w:t xml:space="preserve">, C., </w:t>
      </w:r>
      <w:proofErr w:type="spellStart"/>
      <w:r w:rsidRPr="00F77372">
        <w:rPr>
          <w:sz w:val="18"/>
        </w:rPr>
        <w:t>Bassorizzi</w:t>
      </w:r>
      <w:proofErr w:type="spellEnd"/>
      <w:r w:rsidRPr="00F77372">
        <w:rPr>
          <w:sz w:val="18"/>
        </w:rPr>
        <w:t xml:space="preserve">, D., </w:t>
      </w:r>
      <w:proofErr w:type="spellStart"/>
      <w:r w:rsidRPr="00F77372">
        <w:rPr>
          <w:sz w:val="18"/>
        </w:rPr>
        <w:t>Balin</w:t>
      </w:r>
      <w:proofErr w:type="spellEnd"/>
      <w:r w:rsidRPr="00F77372">
        <w:rPr>
          <w:sz w:val="18"/>
        </w:rPr>
        <w:t>, S., Manfredi, V., 2025. An Overview on LCA Integration in BIM: Tools, Applications, and Future Trends. Digital 5, 31. https://doi.org/10.3390/digital5030031</w:t>
      </w:r>
    </w:p>
    <w:p w14:paraId="09CD6930" w14:textId="77777777" w:rsidR="00F77372" w:rsidRPr="00F77372" w:rsidRDefault="00F77372" w:rsidP="00F77372">
      <w:pPr>
        <w:pStyle w:val="CIB-Bib"/>
        <w:rPr>
          <w:sz w:val="18"/>
          <w:lang w:val="de-DE"/>
        </w:rPr>
      </w:pPr>
      <w:r w:rsidRPr="00F77372">
        <w:rPr>
          <w:sz w:val="18"/>
        </w:rPr>
        <w:lastRenderedPageBreak/>
        <w:t xml:space="preserve">Bueno, C., Pereira, L.M., Fabricio, M.M., 2018. Life cycle assessment and environmental-based choices at the early design stages: an application using building information modelling. </w:t>
      </w:r>
      <w:proofErr w:type="spellStart"/>
      <w:r w:rsidRPr="00F77372">
        <w:rPr>
          <w:sz w:val="18"/>
          <w:lang w:val="de-DE"/>
        </w:rPr>
        <w:t>Archit</w:t>
      </w:r>
      <w:proofErr w:type="spellEnd"/>
      <w:r w:rsidRPr="00F77372">
        <w:rPr>
          <w:sz w:val="18"/>
          <w:lang w:val="de-DE"/>
        </w:rPr>
        <w:t xml:space="preserve">. Eng. Des. </w:t>
      </w:r>
      <w:proofErr w:type="spellStart"/>
      <w:r w:rsidRPr="00F77372">
        <w:rPr>
          <w:sz w:val="18"/>
          <w:lang w:val="de-DE"/>
        </w:rPr>
        <w:t>Manag</w:t>
      </w:r>
      <w:proofErr w:type="spellEnd"/>
      <w:r w:rsidRPr="00F77372">
        <w:rPr>
          <w:sz w:val="18"/>
          <w:lang w:val="de-DE"/>
        </w:rPr>
        <w:t>. https://doi.org/10.1080/17452007.2018.1458593</w:t>
      </w:r>
    </w:p>
    <w:p w14:paraId="284904AC" w14:textId="77777777" w:rsidR="00F77372" w:rsidRPr="00F77372" w:rsidRDefault="00F77372" w:rsidP="00F77372">
      <w:pPr>
        <w:pStyle w:val="CIB-Bib"/>
        <w:rPr>
          <w:sz w:val="18"/>
        </w:rPr>
      </w:pPr>
      <w:r w:rsidRPr="00F77372">
        <w:rPr>
          <w:sz w:val="18"/>
          <w:lang w:val="de-DE"/>
        </w:rPr>
        <w:t xml:space="preserve">Calle Müller, C., </w:t>
      </w:r>
      <w:proofErr w:type="spellStart"/>
      <w:r w:rsidRPr="00F77372">
        <w:rPr>
          <w:sz w:val="18"/>
          <w:lang w:val="de-DE"/>
        </w:rPr>
        <w:t>Pradhananga</w:t>
      </w:r>
      <w:proofErr w:type="spellEnd"/>
      <w:r w:rsidRPr="00F77372">
        <w:rPr>
          <w:sz w:val="18"/>
          <w:lang w:val="de-DE"/>
        </w:rPr>
        <w:t xml:space="preserve">, P., </w:t>
      </w:r>
      <w:proofErr w:type="spellStart"/>
      <w:r w:rsidRPr="00F77372">
        <w:rPr>
          <w:sz w:val="18"/>
          <w:lang w:val="de-DE"/>
        </w:rPr>
        <w:t>ElZomor</w:t>
      </w:r>
      <w:proofErr w:type="spellEnd"/>
      <w:r w:rsidRPr="00F77372">
        <w:rPr>
          <w:sz w:val="18"/>
          <w:lang w:val="de-DE"/>
        </w:rPr>
        <w:t xml:space="preserve">, M., 2024. </w:t>
      </w:r>
      <w:r w:rsidRPr="00F77372">
        <w:rPr>
          <w:sz w:val="18"/>
        </w:rPr>
        <w:t>Pathways to decarbonization, circular construction, and sustainability in the built environment. Int. J. Sustain. High. Educ. 25, 1315–1332. https://doi.org/10.1108/IJSHE-09-2023-0400</w:t>
      </w:r>
    </w:p>
    <w:p w14:paraId="1444F0BC" w14:textId="77777777" w:rsidR="00F77372" w:rsidRPr="00F77372" w:rsidRDefault="00F77372" w:rsidP="00F77372">
      <w:pPr>
        <w:pStyle w:val="CIB-Bib"/>
        <w:rPr>
          <w:sz w:val="18"/>
        </w:rPr>
      </w:pPr>
      <w:proofErr w:type="spellStart"/>
      <w:r w:rsidRPr="00F77372">
        <w:rPr>
          <w:sz w:val="18"/>
        </w:rPr>
        <w:t>Cavalliere</w:t>
      </w:r>
      <w:proofErr w:type="spellEnd"/>
      <w:r w:rsidRPr="00F77372">
        <w:rPr>
          <w:sz w:val="18"/>
        </w:rPr>
        <w:t xml:space="preserve">, C., </w:t>
      </w:r>
      <w:proofErr w:type="spellStart"/>
      <w:r w:rsidRPr="00F77372">
        <w:rPr>
          <w:sz w:val="18"/>
        </w:rPr>
        <w:t>Habert</w:t>
      </w:r>
      <w:proofErr w:type="spellEnd"/>
      <w:r w:rsidRPr="00F77372">
        <w:rPr>
          <w:sz w:val="18"/>
        </w:rPr>
        <w:t xml:space="preserve">, G., </w:t>
      </w:r>
      <w:proofErr w:type="spellStart"/>
      <w:r w:rsidRPr="00F77372">
        <w:rPr>
          <w:sz w:val="18"/>
        </w:rPr>
        <w:t>Dell’Osso</w:t>
      </w:r>
      <w:proofErr w:type="spellEnd"/>
      <w:r w:rsidRPr="00F77372">
        <w:rPr>
          <w:sz w:val="18"/>
        </w:rPr>
        <w:t xml:space="preserve">, G.R., </w:t>
      </w:r>
      <w:proofErr w:type="spellStart"/>
      <w:r w:rsidRPr="00F77372">
        <w:rPr>
          <w:sz w:val="18"/>
        </w:rPr>
        <w:t>Hollberg</w:t>
      </w:r>
      <w:proofErr w:type="spellEnd"/>
      <w:r w:rsidRPr="00F77372">
        <w:rPr>
          <w:sz w:val="18"/>
        </w:rPr>
        <w:t>, A., 2019. Continuous BIM-based assessment of embodied environmental impacts throughout the design process. J. Clean. Prod. 211, 941–952. https://doi.org/10.1016/j.jclepro.2018.11.247</w:t>
      </w:r>
    </w:p>
    <w:p w14:paraId="33D42341" w14:textId="77777777" w:rsidR="00F77372" w:rsidRPr="00F77372" w:rsidRDefault="00F77372" w:rsidP="00F77372">
      <w:pPr>
        <w:pStyle w:val="CIB-Bib"/>
        <w:rPr>
          <w:sz w:val="18"/>
          <w:lang w:val="de-DE"/>
        </w:rPr>
      </w:pPr>
      <w:r w:rsidRPr="00F77372">
        <w:rPr>
          <w:sz w:val="18"/>
        </w:rPr>
        <w:t xml:space="preserve">Dalla Mora, T., </w:t>
      </w:r>
      <w:proofErr w:type="spellStart"/>
      <w:r w:rsidRPr="00F77372">
        <w:rPr>
          <w:sz w:val="18"/>
        </w:rPr>
        <w:t>Bolzonello</w:t>
      </w:r>
      <w:proofErr w:type="spellEnd"/>
      <w:r w:rsidRPr="00F77372">
        <w:rPr>
          <w:sz w:val="18"/>
        </w:rPr>
        <w:t xml:space="preserve">, E., </w:t>
      </w:r>
      <w:proofErr w:type="spellStart"/>
      <w:r w:rsidRPr="00F77372">
        <w:rPr>
          <w:sz w:val="18"/>
        </w:rPr>
        <w:t>Cavalliere</w:t>
      </w:r>
      <w:proofErr w:type="spellEnd"/>
      <w:r w:rsidRPr="00F77372">
        <w:rPr>
          <w:sz w:val="18"/>
        </w:rPr>
        <w:t xml:space="preserve">, C., Peron, F., 2020. Key Parameters Featuring BIM-LCA Integration in Buildings: A Practical Review of the Current Trends. </w:t>
      </w:r>
      <w:proofErr w:type="spellStart"/>
      <w:r w:rsidRPr="00F77372">
        <w:rPr>
          <w:sz w:val="18"/>
          <w:lang w:val="de-DE"/>
        </w:rPr>
        <w:t>Sustainability</w:t>
      </w:r>
      <w:proofErr w:type="spellEnd"/>
      <w:r w:rsidRPr="00F77372">
        <w:rPr>
          <w:sz w:val="18"/>
          <w:lang w:val="de-DE"/>
        </w:rPr>
        <w:t xml:space="preserve"> 12, 7182. https://doi.org/10.3390/su12177182</w:t>
      </w:r>
    </w:p>
    <w:p w14:paraId="6C594EF9" w14:textId="77777777" w:rsidR="00F77372" w:rsidRPr="00F77372" w:rsidRDefault="00F77372" w:rsidP="00F77372">
      <w:pPr>
        <w:pStyle w:val="CIB-Bib"/>
        <w:rPr>
          <w:sz w:val="18"/>
          <w:lang w:val="de-DE"/>
        </w:rPr>
      </w:pPr>
      <w:r w:rsidRPr="00F77372">
        <w:rPr>
          <w:sz w:val="18"/>
          <w:lang w:val="de-DE"/>
        </w:rPr>
        <w:t>Deutsches Institut für Normung e. V., 2018. DIN 276:2018-12, Kosten im Bauwesen. https://doi.org/10.31030/2873248</w:t>
      </w:r>
    </w:p>
    <w:p w14:paraId="3937A8E8" w14:textId="77777777" w:rsidR="00F77372" w:rsidRPr="00F77372" w:rsidRDefault="00F77372" w:rsidP="00F77372">
      <w:pPr>
        <w:pStyle w:val="CIB-Bib"/>
        <w:rPr>
          <w:sz w:val="18"/>
        </w:rPr>
      </w:pPr>
      <w:proofErr w:type="spellStart"/>
      <w:r w:rsidRPr="00F77372">
        <w:rPr>
          <w:sz w:val="18"/>
        </w:rPr>
        <w:t>Dharmarathna</w:t>
      </w:r>
      <w:proofErr w:type="spellEnd"/>
      <w:r w:rsidRPr="00F77372">
        <w:rPr>
          <w:sz w:val="18"/>
        </w:rPr>
        <w:t xml:space="preserve">, D., </w:t>
      </w:r>
      <w:proofErr w:type="spellStart"/>
      <w:r w:rsidRPr="00F77372">
        <w:rPr>
          <w:sz w:val="18"/>
        </w:rPr>
        <w:t>Bunster</w:t>
      </w:r>
      <w:proofErr w:type="spellEnd"/>
      <w:r w:rsidRPr="00F77372">
        <w:rPr>
          <w:sz w:val="18"/>
        </w:rPr>
        <w:t>, V., Graham, P., 2024. A review of building life cycle assessment software tools: Challenges and future directions. IOP Conf. Ser. Earth Environ. Sci. 1363, 012063. https://doi.org/10.1088/1755-1315/1363/1/012063</w:t>
      </w:r>
    </w:p>
    <w:p w14:paraId="2757AF43" w14:textId="77777777" w:rsidR="00F77372" w:rsidRPr="00F77372" w:rsidRDefault="00F77372" w:rsidP="00F77372">
      <w:pPr>
        <w:pStyle w:val="CIB-Bib"/>
        <w:rPr>
          <w:sz w:val="18"/>
        </w:rPr>
      </w:pPr>
      <w:r w:rsidRPr="00F77372">
        <w:rPr>
          <w:sz w:val="18"/>
        </w:rPr>
        <w:t>Elmalah, H., 2026. AI-Powered Semantic Engine for Contextual BIM-Based LCA (Master’s Thesis). RWTH Aachen University, Aachen.</w:t>
      </w:r>
    </w:p>
    <w:p w14:paraId="69EB7527" w14:textId="77777777" w:rsidR="00F77372" w:rsidRPr="00F77372" w:rsidRDefault="00F77372" w:rsidP="00F77372">
      <w:pPr>
        <w:pStyle w:val="CIB-Bib"/>
        <w:rPr>
          <w:sz w:val="18"/>
        </w:rPr>
      </w:pPr>
      <w:r w:rsidRPr="00F77372">
        <w:rPr>
          <w:sz w:val="18"/>
        </w:rPr>
        <w:t xml:space="preserve">Forth, K., 2024. BIM-based semantic enrichment for environmental analyses using Large Language Models (Doctoral Thesis). </w:t>
      </w:r>
      <w:proofErr w:type="spellStart"/>
      <w:r w:rsidRPr="00F77372">
        <w:rPr>
          <w:sz w:val="18"/>
        </w:rPr>
        <w:t>Technische</w:t>
      </w:r>
      <w:proofErr w:type="spellEnd"/>
      <w:r w:rsidRPr="00F77372">
        <w:rPr>
          <w:sz w:val="18"/>
        </w:rPr>
        <w:t xml:space="preserve"> Universität München.</w:t>
      </w:r>
    </w:p>
    <w:p w14:paraId="08FA54E1" w14:textId="77777777" w:rsidR="00F77372" w:rsidRPr="00F77372" w:rsidRDefault="00F77372" w:rsidP="00F77372">
      <w:pPr>
        <w:pStyle w:val="CIB-Bib"/>
        <w:rPr>
          <w:sz w:val="18"/>
        </w:rPr>
      </w:pPr>
      <w:proofErr w:type="spellStart"/>
      <w:r w:rsidRPr="00F77372">
        <w:rPr>
          <w:sz w:val="18"/>
        </w:rPr>
        <w:t>GlobalABC</w:t>
      </w:r>
      <w:proofErr w:type="spellEnd"/>
      <w:r w:rsidRPr="00F77372">
        <w:rPr>
          <w:sz w:val="18"/>
        </w:rPr>
        <w:t>, 2019. 2019 global status report for buildings and construction. International Energy Agency: Global Alliance for Buildings and Construction, Paris.</w:t>
      </w:r>
    </w:p>
    <w:p w14:paraId="0696EAF2" w14:textId="77777777" w:rsidR="00F77372" w:rsidRPr="00F77372" w:rsidRDefault="00F77372" w:rsidP="00F77372">
      <w:pPr>
        <w:pStyle w:val="CIB-Bib"/>
        <w:rPr>
          <w:sz w:val="18"/>
        </w:rPr>
      </w:pPr>
      <w:proofErr w:type="spellStart"/>
      <w:r w:rsidRPr="00F77372">
        <w:rPr>
          <w:sz w:val="18"/>
          <w:lang w:val="de-DE"/>
        </w:rPr>
        <w:t>Hollberg</w:t>
      </w:r>
      <w:proofErr w:type="spellEnd"/>
      <w:r w:rsidRPr="00F77372">
        <w:rPr>
          <w:sz w:val="18"/>
          <w:lang w:val="de-DE"/>
        </w:rPr>
        <w:t xml:space="preserve">, A., Kiss, B., Röck, M., </w:t>
      </w:r>
      <w:proofErr w:type="spellStart"/>
      <w:r w:rsidRPr="00F77372">
        <w:rPr>
          <w:sz w:val="18"/>
          <w:lang w:val="de-DE"/>
        </w:rPr>
        <w:t>Soust-Verdaguer</w:t>
      </w:r>
      <w:proofErr w:type="spellEnd"/>
      <w:r w:rsidRPr="00F77372">
        <w:rPr>
          <w:sz w:val="18"/>
          <w:lang w:val="de-DE"/>
        </w:rPr>
        <w:t xml:space="preserve">, B., Wiberg, A.H., </w:t>
      </w:r>
      <w:proofErr w:type="spellStart"/>
      <w:r w:rsidRPr="00F77372">
        <w:rPr>
          <w:sz w:val="18"/>
          <w:lang w:val="de-DE"/>
        </w:rPr>
        <w:t>Lasvaux</w:t>
      </w:r>
      <w:proofErr w:type="spellEnd"/>
      <w:r w:rsidRPr="00F77372">
        <w:rPr>
          <w:sz w:val="18"/>
          <w:lang w:val="de-DE"/>
        </w:rPr>
        <w:t xml:space="preserve">, S., </w:t>
      </w:r>
      <w:proofErr w:type="spellStart"/>
      <w:r w:rsidRPr="00F77372">
        <w:rPr>
          <w:sz w:val="18"/>
          <w:lang w:val="de-DE"/>
        </w:rPr>
        <w:t>Galimshina</w:t>
      </w:r>
      <w:proofErr w:type="spellEnd"/>
      <w:r w:rsidRPr="00F77372">
        <w:rPr>
          <w:sz w:val="18"/>
          <w:lang w:val="de-DE"/>
        </w:rPr>
        <w:t xml:space="preserve">, A., Habert, G., 2021. </w:t>
      </w:r>
      <w:r w:rsidRPr="00F77372">
        <w:rPr>
          <w:sz w:val="18"/>
        </w:rPr>
        <w:t>Review of visualising LCA results in the design process of buildings. Build. Environ. 190, 107530. https://doi.org/10.1016/j.buildenv.2020.107530</w:t>
      </w:r>
    </w:p>
    <w:p w14:paraId="66C00A06" w14:textId="77777777" w:rsidR="00F77372" w:rsidRPr="00F77372" w:rsidRDefault="00F77372" w:rsidP="00F77372">
      <w:pPr>
        <w:pStyle w:val="CIB-Bib"/>
        <w:rPr>
          <w:sz w:val="18"/>
        </w:rPr>
      </w:pPr>
      <w:r w:rsidRPr="00F77372">
        <w:rPr>
          <w:sz w:val="18"/>
        </w:rPr>
        <w:t>Kamari, A., Schultz, C., 2024. Streamlining BIM-integrated LCA for rapid-iterative-informed-</w:t>
      </w:r>
      <w:proofErr w:type="gramStart"/>
      <w:r w:rsidRPr="00F77372">
        <w:rPr>
          <w:sz w:val="18"/>
        </w:rPr>
        <w:t>early stage</w:t>
      </w:r>
      <w:proofErr w:type="gramEnd"/>
      <w:r w:rsidRPr="00F77372">
        <w:rPr>
          <w:sz w:val="18"/>
        </w:rPr>
        <w:t xml:space="preserve"> upfront carbon assessment by architects and engineers. Archit. Struct. Constr. 5, 5. https://doi.org/10.1007/s44150-024-00122-2</w:t>
      </w:r>
    </w:p>
    <w:p w14:paraId="704D6649" w14:textId="77777777" w:rsidR="00F77372" w:rsidRPr="00F77372" w:rsidRDefault="00F77372" w:rsidP="00F77372">
      <w:pPr>
        <w:pStyle w:val="CIB-Bib"/>
        <w:rPr>
          <w:sz w:val="18"/>
        </w:rPr>
      </w:pPr>
      <w:r w:rsidRPr="00F77372">
        <w:rPr>
          <w:sz w:val="18"/>
        </w:rPr>
        <w:t xml:space="preserve">Kanafani, K., </w:t>
      </w:r>
      <w:proofErr w:type="spellStart"/>
      <w:r w:rsidRPr="00F77372">
        <w:rPr>
          <w:sz w:val="18"/>
        </w:rPr>
        <w:t>Kjær</w:t>
      </w:r>
      <w:proofErr w:type="spellEnd"/>
      <w:r w:rsidRPr="00F77372">
        <w:rPr>
          <w:sz w:val="18"/>
        </w:rPr>
        <w:t xml:space="preserve"> Zimmermann, R., Nygaard Rasmussen, F., </w:t>
      </w:r>
      <w:proofErr w:type="spellStart"/>
      <w:r w:rsidRPr="00F77372">
        <w:rPr>
          <w:sz w:val="18"/>
        </w:rPr>
        <w:t>Birgisdóttir</w:t>
      </w:r>
      <w:proofErr w:type="spellEnd"/>
      <w:r w:rsidRPr="00F77372">
        <w:rPr>
          <w:sz w:val="18"/>
        </w:rPr>
        <w:t xml:space="preserve">, H., 2021. Learnings from Developing a Context-Specific LCA Tool for Buildings—The Case of </w:t>
      </w:r>
      <w:proofErr w:type="spellStart"/>
      <w:r w:rsidRPr="00F77372">
        <w:rPr>
          <w:sz w:val="18"/>
        </w:rPr>
        <w:t>LCAbyg</w:t>
      </w:r>
      <w:proofErr w:type="spellEnd"/>
      <w:r w:rsidRPr="00F77372">
        <w:rPr>
          <w:sz w:val="18"/>
        </w:rPr>
        <w:t xml:space="preserve"> 4. Sustainability 13, 1508. https://doi.org/10.3390/su13031508</w:t>
      </w:r>
    </w:p>
    <w:p w14:paraId="645A041D" w14:textId="77777777" w:rsidR="00F77372" w:rsidRPr="00F77372" w:rsidRDefault="00F77372" w:rsidP="00F77372">
      <w:pPr>
        <w:pStyle w:val="CIB-Bib"/>
        <w:rPr>
          <w:sz w:val="18"/>
        </w:rPr>
      </w:pPr>
      <w:r w:rsidRPr="00F77372">
        <w:rPr>
          <w:sz w:val="18"/>
        </w:rPr>
        <w:t>Karaoglan, C., Kufeld, E., Hildebrand, L., Beetz, J., 2025. Early-Phase BIM-LCA Integration: Practice-Based Challenges and Research-Informed Solutions, in: Proceedings of the 2025 European Conference on Computing in Construction. Presented at the European Conference on Computing in Construction, Porto. https://doi.org/10.35490/EC3.2025.509</w:t>
      </w:r>
    </w:p>
    <w:p w14:paraId="6C5CC7A4" w14:textId="77777777" w:rsidR="00F77372" w:rsidRPr="00F77372" w:rsidRDefault="00F77372" w:rsidP="00F77372">
      <w:pPr>
        <w:pStyle w:val="CIB-Bib"/>
        <w:rPr>
          <w:sz w:val="18"/>
        </w:rPr>
      </w:pPr>
      <w:r w:rsidRPr="00F77372">
        <w:rPr>
          <w:sz w:val="18"/>
        </w:rPr>
        <w:t xml:space="preserve">Karunaratne, S., </w:t>
      </w:r>
      <w:proofErr w:type="spellStart"/>
      <w:r w:rsidRPr="00F77372">
        <w:rPr>
          <w:sz w:val="18"/>
        </w:rPr>
        <w:t>Dharmarathna</w:t>
      </w:r>
      <w:proofErr w:type="spellEnd"/>
      <w:r w:rsidRPr="00F77372">
        <w:rPr>
          <w:sz w:val="18"/>
        </w:rPr>
        <w:t>, D., 2022. A review of comprehensiveness, user-friendliness, and contribution for sustainable design of whole building environmental life cycle assessment software tools. Build. Environ. 212, 108784. https://doi.org/10.1016/j.buildenv.2022.108784</w:t>
      </w:r>
    </w:p>
    <w:p w14:paraId="3E63C920" w14:textId="77777777" w:rsidR="00F77372" w:rsidRPr="00F77372" w:rsidRDefault="00F77372" w:rsidP="00F77372">
      <w:pPr>
        <w:pStyle w:val="CIB-Bib"/>
        <w:rPr>
          <w:sz w:val="18"/>
        </w:rPr>
      </w:pPr>
      <w:r w:rsidRPr="00F77372">
        <w:rPr>
          <w:sz w:val="18"/>
        </w:rPr>
        <w:t xml:space="preserve">Kufeld, E., Karaoglan, C., Hildebrand, L., Beetz, J., 2025. Early-Phase BIM-LCA Tools: Performance Gaps </w:t>
      </w:r>
      <w:proofErr w:type="gramStart"/>
      <w:r w:rsidRPr="00F77372">
        <w:rPr>
          <w:sz w:val="18"/>
        </w:rPr>
        <w:t>and  Insights</w:t>
      </w:r>
      <w:proofErr w:type="gramEnd"/>
      <w:r w:rsidRPr="00F77372">
        <w:rPr>
          <w:sz w:val="18"/>
        </w:rPr>
        <w:t xml:space="preserve"> from Literature and Practice, in: Sustainable Built Environment Conference 2025 Zurich - Extended Abstracts, SBE Conference Series. Presented at the Sustainable Built Environment Conference (SBE25), ETH Zurich, Zurich. https://doi.org/10.3929/ethz-c-000785700</w:t>
      </w:r>
    </w:p>
    <w:p w14:paraId="1527B5DB" w14:textId="77777777" w:rsidR="00F77372" w:rsidRPr="00F77372" w:rsidRDefault="00F77372" w:rsidP="00F77372">
      <w:pPr>
        <w:pStyle w:val="CIB-Bib"/>
        <w:rPr>
          <w:sz w:val="18"/>
        </w:rPr>
      </w:pPr>
      <w:proofErr w:type="spellStart"/>
      <w:r w:rsidRPr="00F77372">
        <w:rPr>
          <w:sz w:val="18"/>
        </w:rPr>
        <w:t>Prideaux</w:t>
      </w:r>
      <w:proofErr w:type="spellEnd"/>
      <w:r w:rsidRPr="00F77372">
        <w:rPr>
          <w:sz w:val="18"/>
        </w:rPr>
        <w:t xml:space="preserve">, F., </w:t>
      </w:r>
      <w:proofErr w:type="spellStart"/>
      <w:r w:rsidRPr="00F77372">
        <w:rPr>
          <w:sz w:val="18"/>
        </w:rPr>
        <w:t>Allacker</w:t>
      </w:r>
      <w:proofErr w:type="spellEnd"/>
      <w:r w:rsidRPr="00F77372">
        <w:rPr>
          <w:sz w:val="18"/>
        </w:rPr>
        <w:t xml:space="preserve">, K., Crawford, R., Stephan, A., 2024. Integrating life cycle assessment into the building design process—a review. Environ. Res. </w:t>
      </w:r>
      <w:proofErr w:type="spellStart"/>
      <w:r w:rsidRPr="00F77372">
        <w:rPr>
          <w:sz w:val="18"/>
        </w:rPr>
        <w:t>Infrastruct</w:t>
      </w:r>
      <w:proofErr w:type="spellEnd"/>
      <w:r w:rsidRPr="00F77372">
        <w:rPr>
          <w:sz w:val="18"/>
        </w:rPr>
        <w:t>. Sustain. 4, 022001. https://doi.org/10.1088/2634-4505/ad3577</w:t>
      </w:r>
    </w:p>
    <w:p w14:paraId="2F78553F" w14:textId="77777777" w:rsidR="00F77372" w:rsidRPr="00F77372" w:rsidRDefault="00F77372" w:rsidP="00F77372">
      <w:pPr>
        <w:pStyle w:val="CIB-Bib"/>
        <w:rPr>
          <w:sz w:val="18"/>
        </w:rPr>
      </w:pPr>
      <w:r w:rsidRPr="00F77372">
        <w:rPr>
          <w:sz w:val="18"/>
        </w:rPr>
        <w:t xml:space="preserve">Rezaei, F., </w:t>
      </w:r>
      <w:proofErr w:type="spellStart"/>
      <w:r w:rsidRPr="00F77372">
        <w:rPr>
          <w:sz w:val="18"/>
        </w:rPr>
        <w:t>Bulle</w:t>
      </w:r>
      <w:proofErr w:type="spellEnd"/>
      <w:r w:rsidRPr="00F77372">
        <w:rPr>
          <w:sz w:val="18"/>
        </w:rPr>
        <w:t xml:space="preserve">, C., Lesage, P., 2019. Integrating building information </w:t>
      </w:r>
      <w:proofErr w:type="spellStart"/>
      <w:r w:rsidRPr="00F77372">
        <w:rPr>
          <w:sz w:val="18"/>
        </w:rPr>
        <w:t>modeling</w:t>
      </w:r>
      <w:proofErr w:type="spellEnd"/>
      <w:r w:rsidRPr="00F77372">
        <w:rPr>
          <w:sz w:val="18"/>
        </w:rPr>
        <w:t xml:space="preserve"> and life cycle assessment in the early and detailed building design stages. Build. Environ. 153, 158–167. https://doi.org/10.1016/j.buildenv.2019.01.034</w:t>
      </w:r>
    </w:p>
    <w:p w14:paraId="366B1EB0" w14:textId="77777777" w:rsidR="00F77372" w:rsidRPr="00F77372" w:rsidRDefault="00F77372" w:rsidP="00F77372">
      <w:pPr>
        <w:pStyle w:val="CIB-Bib"/>
        <w:rPr>
          <w:sz w:val="18"/>
          <w:lang w:val="de-DE"/>
        </w:rPr>
      </w:pPr>
      <w:r w:rsidRPr="00F77372">
        <w:rPr>
          <w:sz w:val="18"/>
        </w:rPr>
        <w:t xml:space="preserve">Sartori, T., </w:t>
      </w:r>
      <w:proofErr w:type="spellStart"/>
      <w:r w:rsidRPr="00F77372">
        <w:rPr>
          <w:sz w:val="18"/>
        </w:rPr>
        <w:t>Drogemuller</w:t>
      </w:r>
      <w:proofErr w:type="spellEnd"/>
      <w:r w:rsidRPr="00F77372">
        <w:rPr>
          <w:sz w:val="18"/>
        </w:rPr>
        <w:t xml:space="preserve">, R., </w:t>
      </w:r>
      <w:proofErr w:type="spellStart"/>
      <w:r w:rsidRPr="00F77372">
        <w:rPr>
          <w:sz w:val="18"/>
        </w:rPr>
        <w:t>Omrani</w:t>
      </w:r>
      <w:proofErr w:type="spellEnd"/>
      <w:r w:rsidRPr="00F77372">
        <w:rPr>
          <w:sz w:val="18"/>
        </w:rPr>
        <w:t xml:space="preserve">, S., </w:t>
      </w:r>
      <w:proofErr w:type="spellStart"/>
      <w:r w:rsidRPr="00F77372">
        <w:rPr>
          <w:sz w:val="18"/>
        </w:rPr>
        <w:t>Lamari</w:t>
      </w:r>
      <w:proofErr w:type="spellEnd"/>
      <w:r w:rsidRPr="00F77372">
        <w:rPr>
          <w:sz w:val="18"/>
        </w:rPr>
        <w:t xml:space="preserve">, F., 2021. A schematic framework for Life Cycle Assessment (LCA) and Green Building Rating System (GBRS). </w:t>
      </w:r>
      <w:r w:rsidRPr="00F77372">
        <w:rPr>
          <w:sz w:val="18"/>
          <w:lang w:val="de-DE"/>
        </w:rPr>
        <w:t xml:space="preserve">J. </w:t>
      </w:r>
      <w:proofErr w:type="spellStart"/>
      <w:r w:rsidRPr="00F77372">
        <w:rPr>
          <w:sz w:val="18"/>
          <w:lang w:val="de-DE"/>
        </w:rPr>
        <w:t>Build</w:t>
      </w:r>
      <w:proofErr w:type="spellEnd"/>
      <w:r w:rsidRPr="00F77372">
        <w:rPr>
          <w:sz w:val="18"/>
          <w:lang w:val="de-DE"/>
        </w:rPr>
        <w:t>. Eng. 38, 102180. https://doi.org/10.1016/j.jobe.2021.102180</w:t>
      </w:r>
    </w:p>
    <w:p w14:paraId="468526BF" w14:textId="77777777" w:rsidR="00F77372" w:rsidRPr="00F77372" w:rsidRDefault="00F77372" w:rsidP="00F77372">
      <w:pPr>
        <w:pStyle w:val="CIB-Bib"/>
        <w:rPr>
          <w:sz w:val="18"/>
        </w:rPr>
      </w:pPr>
      <w:r w:rsidRPr="00F77372">
        <w:rPr>
          <w:sz w:val="18"/>
          <w:lang w:val="de-DE"/>
        </w:rPr>
        <w:t xml:space="preserve">Schultz, J., </w:t>
      </w:r>
      <w:proofErr w:type="spellStart"/>
      <w:r w:rsidRPr="00F77372">
        <w:rPr>
          <w:sz w:val="18"/>
          <w:lang w:val="de-DE"/>
        </w:rPr>
        <w:t>Ku</w:t>
      </w:r>
      <w:proofErr w:type="spellEnd"/>
      <w:r w:rsidRPr="00F77372">
        <w:rPr>
          <w:sz w:val="18"/>
          <w:lang w:val="de-DE"/>
        </w:rPr>
        <w:t xml:space="preserve">, K., </w:t>
      </w:r>
      <w:proofErr w:type="spellStart"/>
      <w:r w:rsidRPr="00F77372">
        <w:rPr>
          <w:sz w:val="18"/>
          <w:lang w:val="de-DE"/>
        </w:rPr>
        <w:t>Gindlesparger</w:t>
      </w:r>
      <w:proofErr w:type="spellEnd"/>
      <w:r w:rsidRPr="00F77372">
        <w:rPr>
          <w:sz w:val="18"/>
          <w:lang w:val="de-DE"/>
        </w:rPr>
        <w:t xml:space="preserve">, M., </w:t>
      </w:r>
      <w:proofErr w:type="spellStart"/>
      <w:r w:rsidRPr="00F77372">
        <w:rPr>
          <w:sz w:val="18"/>
          <w:lang w:val="de-DE"/>
        </w:rPr>
        <w:t>Doerfler</w:t>
      </w:r>
      <w:proofErr w:type="spellEnd"/>
      <w:r w:rsidRPr="00F77372">
        <w:rPr>
          <w:sz w:val="18"/>
          <w:lang w:val="de-DE"/>
        </w:rPr>
        <w:t xml:space="preserve">, J., 2016. </w:t>
      </w:r>
      <w:r w:rsidRPr="00F77372">
        <w:rPr>
          <w:sz w:val="18"/>
        </w:rPr>
        <w:t>A benchmark study of BIM-based whole-building life-cycle assessment tools and processes. Int. J. Sustain. Build. Technol. Urban Dev. 7, 219–229. https://doi.org/10.1080/2093761X.2017.1302839</w:t>
      </w:r>
    </w:p>
    <w:p w14:paraId="7D2C3AEF" w14:textId="77777777" w:rsidR="00F77372" w:rsidRPr="00F77372" w:rsidRDefault="00F77372" w:rsidP="00F77372">
      <w:pPr>
        <w:pStyle w:val="CIB-Bib"/>
        <w:rPr>
          <w:sz w:val="18"/>
        </w:rPr>
      </w:pPr>
      <w:proofErr w:type="spellStart"/>
      <w:r w:rsidRPr="00F77372">
        <w:rPr>
          <w:sz w:val="18"/>
          <w:lang w:val="de-DE"/>
        </w:rPr>
        <w:t>Soust-Verdaguer</w:t>
      </w:r>
      <w:proofErr w:type="spellEnd"/>
      <w:r w:rsidRPr="00F77372">
        <w:rPr>
          <w:sz w:val="18"/>
          <w:lang w:val="de-DE"/>
        </w:rPr>
        <w:t xml:space="preserve">, B., </w:t>
      </w:r>
      <w:proofErr w:type="spellStart"/>
      <w:r w:rsidRPr="00F77372">
        <w:rPr>
          <w:sz w:val="18"/>
          <w:lang w:val="de-DE"/>
        </w:rPr>
        <w:t>Llatas</w:t>
      </w:r>
      <w:proofErr w:type="spellEnd"/>
      <w:r w:rsidRPr="00F77372">
        <w:rPr>
          <w:sz w:val="18"/>
          <w:lang w:val="de-DE"/>
        </w:rPr>
        <w:t xml:space="preserve">, C., García-Martínez, A., 2017. </w:t>
      </w:r>
      <w:r w:rsidRPr="00F77372">
        <w:rPr>
          <w:sz w:val="18"/>
        </w:rPr>
        <w:t xml:space="preserve">Critical review of </w:t>
      </w:r>
      <w:proofErr w:type="spellStart"/>
      <w:r w:rsidRPr="00F77372">
        <w:rPr>
          <w:sz w:val="18"/>
        </w:rPr>
        <w:t>bim</w:t>
      </w:r>
      <w:proofErr w:type="spellEnd"/>
      <w:r w:rsidRPr="00F77372">
        <w:rPr>
          <w:sz w:val="18"/>
        </w:rPr>
        <w:t>-based LCA method to buildings. Energy Build. 136, 110–120. https://doi.org/10.1016/j.enbuild.2016.12.009</w:t>
      </w:r>
    </w:p>
    <w:p w14:paraId="24DDE2F4" w14:textId="77777777" w:rsidR="00F77372" w:rsidRPr="00F77372" w:rsidRDefault="00F77372" w:rsidP="00F77372">
      <w:pPr>
        <w:pStyle w:val="CIB-Bib"/>
        <w:rPr>
          <w:sz w:val="18"/>
        </w:rPr>
      </w:pPr>
      <w:r w:rsidRPr="00F77372">
        <w:rPr>
          <w:sz w:val="18"/>
        </w:rPr>
        <w:t>Tam, V.W., Zhou, Y., Shen, L., Le, K.N., 2023. Optimal BIM and LCA integration approach for embodied environmental impact assessment. J. Clean. Prod. 385, 135605. https://doi.org/10.1016/j.jclepro.2022.135605</w:t>
      </w:r>
    </w:p>
    <w:p w14:paraId="66553AAD" w14:textId="2FA04E39" w:rsidR="21E7FC56" w:rsidRPr="00F77372" w:rsidRDefault="21E7FC56" w:rsidP="00F77372">
      <w:pPr>
        <w:pStyle w:val="CIB-Bib"/>
        <w:rPr>
          <w:sz w:val="16"/>
          <w:szCs w:val="16"/>
        </w:rPr>
      </w:pPr>
      <w:r w:rsidRPr="00F77372">
        <w:rPr>
          <w:sz w:val="16"/>
          <w:szCs w:val="16"/>
        </w:rPr>
        <w:fldChar w:fldCharType="end"/>
      </w:r>
    </w:p>
    <w:sectPr w:rsidR="21E7FC56" w:rsidRPr="00F77372">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A3E74" w14:textId="77777777" w:rsidR="004E2EB2" w:rsidRDefault="004E2EB2" w:rsidP="005076E1">
      <w:pPr>
        <w:spacing w:after="0"/>
      </w:pPr>
      <w:r>
        <w:separator/>
      </w:r>
    </w:p>
  </w:endnote>
  <w:endnote w:type="continuationSeparator" w:id="0">
    <w:p w14:paraId="667916A9" w14:textId="77777777" w:rsidR="004E2EB2" w:rsidRDefault="004E2EB2" w:rsidP="005076E1">
      <w:pPr>
        <w:spacing w:after="0"/>
      </w:pPr>
      <w:r>
        <w:continuationSeparator/>
      </w:r>
    </w:p>
  </w:endnote>
  <w:endnote w:type="continuationNotice" w:id="1">
    <w:p w14:paraId="6A174A41" w14:textId="77777777" w:rsidR="004E2EB2" w:rsidRDefault="004E2E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Console">
    <w:panose1 w:val="020B0609040504020204"/>
    <w:charset w:val="00"/>
    <w:family w:val="modern"/>
    <w:pitch w:val="fixed"/>
    <w:sig w:usb0="8000028F" w:usb1="00001800" w:usb2="00000000" w:usb3="00000000" w:csb0="0000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3598C" w14:textId="77777777" w:rsidR="004E2EB2" w:rsidRDefault="004E2EB2" w:rsidP="005076E1">
      <w:pPr>
        <w:spacing w:after="0"/>
      </w:pPr>
      <w:r>
        <w:separator/>
      </w:r>
    </w:p>
  </w:footnote>
  <w:footnote w:type="continuationSeparator" w:id="0">
    <w:p w14:paraId="6B4420EB" w14:textId="77777777" w:rsidR="004E2EB2" w:rsidRDefault="004E2EB2" w:rsidP="005076E1">
      <w:pPr>
        <w:spacing w:after="0"/>
      </w:pPr>
      <w:r>
        <w:continuationSeparator/>
      </w:r>
    </w:p>
  </w:footnote>
  <w:footnote w:type="continuationNotice" w:id="1">
    <w:p w14:paraId="071C1DAB" w14:textId="77777777" w:rsidR="004E2EB2" w:rsidRDefault="004E2EB2">
      <w:pPr>
        <w:spacing w:after="0" w:line="240" w:lineRule="auto"/>
      </w:pPr>
    </w:p>
  </w:footnote>
  <w:footnote w:id="2">
    <w:p w14:paraId="1122A0AD" w14:textId="34DD9603" w:rsidR="00247486" w:rsidRPr="00BC1BF0" w:rsidRDefault="00247486">
      <w:pPr>
        <w:pStyle w:val="FootnoteText"/>
      </w:pPr>
      <w:r w:rsidRPr="00BC1BF0">
        <w:rPr>
          <w:rStyle w:val="FootnoteReference"/>
        </w:rPr>
        <w:footnoteRef/>
      </w:r>
      <w:r w:rsidRPr="00BC1BF0">
        <w:t xml:space="preserve"> </w:t>
      </w:r>
      <w:r w:rsidRPr="00BC1BF0">
        <w:rPr>
          <w:sz w:val="18"/>
          <w:szCs w:val="18"/>
        </w:rPr>
        <w:t xml:space="preserve">The decision tree </w:t>
      </w:r>
      <w:r w:rsidR="00DE1EF4" w:rsidRPr="00BC1BF0">
        <w:rPr>
          <w:sz w:val="18"/>
          <w:szCs w:val="18"/>
        </w:rPr>
        <w:t xml:space="preserve">for the cost group classification </w:t>
      </w:r>
      <w:r w:rsidRPr="00BC1BF0">
        <w:rPr>
          <w:sz w:val="18"/>
          <w:szCs w:val="18"/>
        </w:rPr>
        <w:t xml:space="preserve">in the eLCA IFC parser (KG.py): </w:t>
      </w:r>
      <w:hyperlink r:id="rId1" w:history="1">
        <w:r w:rsidRPr="00BC1BF0">
          <w:rPr>
            <w:rStyle w:val="Hyperlink"/>
            <w:color w:val="auto"/>
            <w:sz w:val="18"/>
            <w:szCs w:val="18"/>
          </w:rPr>
          <w:t>https://bitbucket.org/beibob/elca/src/master/lib/ifcparser/KG.py</w:t>
        </w:r>
      </w:hyperlink>
      <w:r w:rsidRPr="00BC1BF0">
        <w:rPr>
          <w:sz w:val="18"/>
          <w:szCs w:val="18"/>
        </w:rPr>
        <w:t xml:space="preserve"> (accessed 7</w:t>
      </w:r>
      <w:r w:rsidR="00DE1EF4" w:rsidRPr="00BC1BF0">
        <w:rPr>
          <w:sz w:val="18"/>
          <w:szCs w:val="18"/>
        </w:rPr>
        <w:t>th</w:t>
      </w:r>
      <w:r w:rsidRPr="00BC1BF0">
        <w:rPr>
          <w:sz w:val="18"/>
          <w:szCs w:val="18"/>
        </w:rPr>
        <w:t xml:space="preserve"> September 2026).</w:t>
      </w:r>
    </w:p>
  </w:footnote>
  <w:footnote w:id="3">
    <w:p w14:paraId="5B77AB7A" w14:textId="77777777" w:rsidR="00473EA0" w:rsidRPr="00023FAA" w:rsidRDefault="00473EA0" w:rsidP="00473EA0">
      <w:pPr>
        <w:pStyle w:val="FootnoteText"/>
        <w:rPr>
          <w:sz w:val="18"/>
          <w:szCs w:val="18"/>
        </w:rPr>
      </w:pPr>
      <w:r w:rsidRPr="00023FAA">
        <w:rPr>
          <w:rStyle w:val="FootnoteReference"/>
          <w:sz w:val="18"/>
          <w:szCs w:val="18"/>
        </w:rPr>
        <w:footnoteRef/>
      </w:r>
      <w:r w:rsidRPr="00023FAA">
        <w:rPr>
          <w:sz w:val="18"/>
          <w:szCs w:val="18"/>
        </w:rPr>
        <w:t xml:space="preserve"> </w:t>
      </w:r>
      <w:r w:rsidRPr="00023FAA">
        <w:rPr>
          <w:sz w:val="16"/>
          <w:szCs w:val="16"/>
        </w:rPr>
        <w:t xml:space="preserve">BMWSB / BBSR (n.d.) ÖKOBAUDAT Database Platform: </w:t>
      </w:r>
      <w:hyperlink r:id="rId2" w:history="1">
        <w:r w:rsidRPr="00023FAA">
          <w:rPr>
            <w:rStyle w:val="Hyperlink"/>
            <w:sz w:val="16"/>
            <w:szCs w:val="16"/>
          </w:rPr>
          <w:t>https://www.oekobaudat.de/</w:t>
        </w:r>
      </w:hyperlink>
      <w:r w:rsidRPr="00023FAA">
        <w:rPr>
          <w:sz w:val="16"/>
          <w:szCs w:val="16"/>
        </w:rPr>
        <w:t xml:space="preserve"> (accessed 9</w:t>
      </w:r>
      <w:r w:rsidRPr="00023FAA">
        <w:rPr>
          <w:sz w:val="16"/>
          <w:szCs w:val="16"/>
          <w:vertAlign w:val="superscript"/>
        </w:rPr>
        <w:t>th</w:t>
      </w:r>
      <w:r w:rsidRPr="00023FAA">
        <w:rPr>
          <w:sz w:val="16"/>
          <w:szCs w:val="16"/>
        </w:rPr>
        <w:t xml:space="preserve"> September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E7718"/>
    <w:multiLevelType w:val="hybridMultilevel"/>
    <w:tmpl w:val="CCD47950"/>
    <w:lvl w:ilvl="0" w:tplc="97DA2AC8">
      <w:start w:val="1"/>
      <w:numFmt w:val="bullet"/>
      <w:lvlText w:val="-"/>
      <w:lvlJc w:val="left"/>
      <w:pPr>
        <w:ind w:left="1800" w:hanging="360"/>
      </w:pPr>
      <w:rPr>
        <w:rFonts w:ascii="Aptos" w:hAnsi="Aptos" w:hint="default"/>
      </w:rPr>
    </w:lvl>
    <w:lvl w:ilvl="1" w:tplc="AE00D276">
      <w:start w:val="1"/>
      <w:numFmt w:val="bullet"/>
      <w:lvlText w:val="o"/>
      <w:lvlJc w:val="left"/>
      <w:pPr>
        <w:ind w:left="2520" w:hanging="360"/>
      </w:pPr>
      <w:rPr>
        <w:rFonts w:ascii="Courier New" w:hAnsi="Courier New" w:hint="default"/>
      </w:rPr>
    </w:lvl>
    <w:lvl w:ilvl="2" w:tplc="A0BA7DA4">
      <w:start w:val="1"/>
      <w:numFmt w:val="bullet"/>
      <w:lvlText w:val=""/>
      <w:lvlJc w:val="left"/>
      <w:pPr>
        <w:ind w:left="3240" w:hanging="360"/>
      </w:pPr>
      <w:rPr>
        <w:rFonts w:ascii="Wingdings" w:hAnsi="Wingdings" w:hint="default"/>
      </w:rPr>
    </w:lvl>
    <w:lvl w:ilvl="3" w:tplc="6E3692B6">
      <w:start w:val="1"/>
      <w:numFmt w:val="bullet"/>
      <w:lvlText w:val=""/>
      <w:lvlJc w:val="left"/>
      <w:pPr>
        <w:ind w:left="3960" w:hanging="360"/>
      </w:pPr>
      <w:rPr>
        <w:rFonts w:ascii="Symbol" w:hAnsi="Symbol" w:hint="default"/>
      </w:rPr>
    </w:lvl>
    <w:lvl w:ilvl="4" w:tplc="F96682B4">
      <w:start w:val="1"/>
      <w:numFmt w:val="bullet"/>
      <w:lvlText w:val="o"/>
      <w:lvlJc w:val="left"/>
      <w:pPr>
        <w:ind w:left="4680" w:hanging="360"/>
      </w:pPr>
      <w:rPr>
        <w:rFonts w:ascii="Courier New" w:hAnsi="Courier New" w:hint="default"/>
      </w:rPr>
    </w:lvl>
    <w:lvl w:ilvl="5" w:tplc="943C590C">
      <w:start w:val="1"/>
      <w:numFmt w:val="bullet"/>
      <w:lvlText w:val=""/>
      <w:lvlJc w:val="left"/>
      <w:pPr>
        <w:ind w:left="5400" w:hanging="360"/>
      </w:pPr>
      <w:rPr>
        <w:rFonts w:ascii="Wingdings" w:hAnsi="Wingdings" w:hint="default"/>
      </w:rPr>
    </w:lvl>
    <w:lvl w:ilvl="6" w:tplc="7E5CF464">
      <w:start w:val="1"/>
      <w:numFmt w:val="bullet"/>
      <w:lvlText w:val=""/>
      <w:lvlJc w:val="left"/>
      <w:pPr>
        <w:ind w:left="6120" w:hanging="360"/>
      </w:pPr>
      <w:rPr>
        <w:rFonts w:ascii="Symbol" w:hAnsi="Symbol" w:hint="default"/>
      </w:rPr>
    </w:lvl>
    <w:lvl w:ilvl="7" w:tplc="4F7832E0">
      <w:start w:val="1"/>
      <w:numFmt w:val="bullet"/>
      <w:lvlText w:val="o"/>
      <w:lvlJc w:val="left"/>
      <w:pPr>
        <w:ind w:left="6840" w:hanging="360"/>
      </w:pPr>
      <w:rPr>
        <w:rFonts w:ascii="Courier New" w:hAnsi="Courier New" w:hint="default"/>
      </w:rPr>
    </w:lvl>
    <w:lvl w:ilvl="8" w:tplc="1886386E">
      <w:start w:val="1"/>
      <w:numFmt w:val="bullet"/>
      <w:lvlText w:val=""/>
      <w:lvlJc w:val="left"/>
      <w:pPr>
        <w:ind w:left="7560" w:hanging="360"/>
      </w:pPr>
      <w:rPr>
        <w:rFonts w:ascii="Wingdings" w:hAnsi="Wingdings" w:hint="default"/>
      </w:rPr>
    </w:lvl>
  </w:abstractNum>
  <w:abstractNum w:abstractNumId="1" w15:restartNumberingAfterBreak="0">
    <w:nsid w:val="2410065F"/>
    <w:multiLevelType w:val="hybridMultilevel"/>
    <w:tmpl w:val="8E26E8F6"/>
    <w:lvl w:ilvl="0" w:tplc="E2CAE292">
      <w:start w:val="1"/>
      <w:numFmt w:val="bullet"/>
      <w:lvlText w:val=""/>
      <w:lvlJc w:val="left"/>
      <w:pPr>
        <w:ind w:left="1800" w:hanging="360"/>
      </w:pPr>
      <w:rPr>
        <w:rFonts w:ascii="Symbol" w:hAnsi="Symbol" w:hint="default"/>
      </w:rPr>
    </w:lvl>
    <w:lvl w:ilvl="1" w:tplc="9402B960">
      <w:start w:val="1"/>
      <w:numFmt w:val="bullet"/>
      <w:lvlText w:val="o"/>
      <w:lvlJc w:val="left"/>
      <w:pPr>
        <w:ind w:left="2520" w:hanging="360"/>
      </w:pPr>
      <w:rPr>
        <w:rFonts w:ascii="Courier New" w:hAnsi="Courier New" w:hint="default"/>
      </w:rPr>
    </w:lvl>
    <w:lvl w:ilvl="2" w:tplc="4614E5EE">
      <w:start w:val="1"/>
      <w:numFmt w:val="bullet"/>
      <w:lvlText w:val=""/>
      <w:lvlJc w:val="left"/>
      <w:pPr>
        <w:ind w:left="3240" w:hanging="360"/>
      </w:pPr>
      <w:rPr>
        <w:rFonts w:ascii="Wingdings" w:hAnsi="Wingdings" w:hint="default"/>
      </w:rPr>
    </w:lvl>
    <w:lvl w:ilvl="3" w:tplc="85BE3B22">
      <w:start w:val="1"/>
      <w:numFmt w:val="bullet"/>
      <w:lvlText w:val=""/>
      <w:lvlJc w:val="left"/>
      <w:pPr>
        <w:ind w:left="3960" w:hanging="360"/>
      </w:pPr>
      <w:rPr>
        <w:rFonts w:ascii="Symbol" w:hAnsi="Symbol" w:hint="default"/>
      </w:rPr>
    </w:lvl>
    <w:lvl w:ilvl="4" w:tplc="014641FA">
      <w:start w:val="1"/>
      <w:numFmt w:val="bullet"/>
      <w:lvlText w:val="o"/>
      <w:lvlJc w:val="left"/>
      <w:pPr>
        <w:ind w:left="4680" w:hanging="360"/>
      </w:pPr>
      <w:rPr>
        <w:rFonts w:ascii="Courier New" w:hAnsi="Courier New" w:hint="default"/>
      </w:rPr>
    </w:lvl>
    <w:lvl w:ilvl="5" w:tplc="843C8600">
      <w:start w:val="1"/>
      <w:numFmt w:val="bullet"/>
      <w:lvlText w:val=""/>
      <w:lvlJc w:val="left"/>
      <w:pPr>
        <w:ind w:left="5400" w:hanging="360"/>
      </w:pPr>
      <w:rPr>
        <w:rFonts w:ascii="Wingdings" w:hAnsi="Wingdings" w:hint="default"/>
      </w:rPr>
    </w:lvl>
    <w:lvl w:ilvl="6" w:tplc="377AC140">
      <w:start w:val="1"/>
      <w:numFmt w:val="bullet"/>
      <w:lvlText w:val=""/>
      <w:lvlJc w:val="left"/>
      <w:pPr>
        <w:ind w:left="6120" w:hanging="360"/>
      </w:pPr>
      <w:rPr>
        <w:rFonts w:ascii="Symbol" w:hAnsi="Symbol" w:hint="default"/>
      </w:rPr>
    </w:lvl>
    <w:lvl w:ilvl="7" w:tplc="27BA4E92">
      <w:start w:val="1"/>
      <w:numFmt w:val="bullet"/>
      <w:lvlText w:val="o"/>
      <w:lvlJc w:val="left"/>
      <w:pPr>
        <w:ind w:left="6840" w:hanging="360"/>
      </w:pPr>
      <w:rPr>
        <w:rFonts w:ascii="Courier New" w:hAnsi="Courier New" w:hint="default"/>
      </w:rPr>
    </w:lvl>
    <w:lvl w:ilvl="8" w:tplc="CD7CAF88">
      <w:start w:val="1"/>
      <w:numFmt w:val="bullet"/>
      <w:lvlText w:val=""/>
      <w:lvlJc w:val="left"/>
      <w:pPr>
        <w:ind w:left="7560" w:hanging="360"/>
      </w:pPr>
      <w:rPr>
        <w:rFonts w:ascii="Wingdings" w:hAnsi="Wingdings" w:hint="default"/>
      </w:rPr>
    </w:lvl>
  </w:abstractNum>
  <w:abstractNum w:abstractNumId="2" w15:restartNumberingAfterBreak="0">
    <w:nsid w:val="2EB03FA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0667519"/>
    <w:multiLevelType w:val="hybridMultilevel"/>
    <w:tmpl w:val="47002594"/>
    <w:lvl w:ilvl="0" w:tplc="A3600B00">
      <w:start w:val="1"/>
      <w:numFmt w:val="decimal"/>
      <w:lvlText w:val="Figure %1:"/>
      <w:lvlJc w:val="center"/>
      <w:pPr>
        <w:ind w:left="1440" w:hanging="360"/>
      </w:pPr>
      <w:rPr>
        <w:rFonts w:ascii="Calibri" w:hAnsi="Calibri" w:hint="default"/>
        <w:b w:val="0"/>
        <w:i/>
        <w:sz w:val="20"/>
      </w:r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4" w15:restartNumberingAfterBreak="0">
    <w:nsid w:val="33032590"/>
    <w:multiLevelType w:val="hybridMultilevel"/>
    <w:tmpl w:val="689A38E8"/>
    <w:lvl w:ilvl="0" w:tplc="0407001B">
      <w:start w:val="1"/>
      <w:numFmt w:val="lowerRoman"/>
      <w:lvlText w:val="%1."/>
      <w:lvlJc w:val="righ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4710744E"/>
    <w:multiLevelType w:val="multilevel"/>
    <w:tmpl w:val="417E047C"/>
    <w:lvl w:ilvl="0">
      <w:start w:val="1"/>
      <w:numFmt w:val="decimal"/>
      <w:pStyle w:val="Heading1"/>
      <w:suff w:val="space"/>
      <w:lvlText w:val="%1."/>
      <w:lvlJc w:val="left"/>
      <w:pPr>
        <w:ind w:left="360" w:hanging="360"/>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48D544EE"/>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2B00056"/>
    <w:multiLevelType w:val="hybridMultilevel"/>
    <w:tmpl w:val="41166424"/>
    <w:lvl w:ilvl="0" w:tplc="720E2206">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30EAFDB"/>
    <w:multiLevelType w:val="hybridMultilevel"/>
    <w:tmpl w:val="E7E4B504"/>
    <w:lvl w:ilvl="0" w:tplc="D6609E46">
      <w:start w:val="1"/>
      <w:numFmt w:val="bullet"/>
      <w:lvlText w:val="-"/>
      <w:lvlJc w:val="left"/>
      <w:pPr>
        <w:ind w:left="1800" w:hanging="360"/>
      </w:pPr>
      <w:rPr>
        <w:rFonts w:ascii="Aptos" w:hAnsi="Aptos" w:hint="default"/>
      </w:rPr>
    </w:lvl>
    <w:lvl w:ilvl="1" w:tplc="8F949BD6">
      <w:start w:val="1"/>
      <w:numFmt w:val="bullet"/>
      <w:lvlText w:val="o"/>
      <w:lvlJc w:val="left"/>
      <w:pPr>
        <w:ind w:left="2520" w:hanging="360"/>
      </w:pPr>
      <w:rPr>
        <w:rFonts w:ascii="Courier New" w:hAnsi="Courier New" w:hint="default"/>
      </w:rPr>
    </w:lvl>
    <w:lvl w:ilvl="2" w:tplc="D21297D0">
      <w:start w:val="1"/>
      <w:numFmt w:val="bullet"/>
      <w:lvlText w:val=""/>
      <w:lvlJc w:val="left"/>
      <w:pPr>
        <w:ind w:left="3240" w:hanging="360"/>
      </w:pPr>
      <w:rPr>
        <w:rFonts w:ascii="Wingdings" w:hAnsi="Wingdings" w:hint="default"/>
      </w:rPr>
    </w:lvl>
    <w:lvl w:ilvl="3" w:tplc="7B4A6A6E">
      <w:start w:val="1"/>
      <w:numFmt w:val="bullet"/>
      <w:lvlText w:val=""/>
      <w:lvlJc w:val="left"/>
      <w:pPr>
        <w:ind w:left="3960" w:hanging="360"/>
      </w:pPr>
      <w:rPr>
        <w:rFonts w:ascii="Symbol" w:hAnsi="Symbol" w:hint="default"/>
      </w:rPr>
    </w:lvl>
    <w:lvl w:ilvl="4" w:tplc="5E3EEB24">
      <w:start w:val="1"/>
      <w:numFmt w:val="bullet"/>
      <w:lvlText w:val="o"/>
      <w:lvlJc w:val="left"/>
      <w:pPr>
        <w:ind w:left="4680" w:hanging="360"/>
      </w:pPr>
      <w:rPr>
        <w:rFonts w:ascii="Courier New" w:hAnsi="Courier New" w:hint="default"/>
      </w:rPr>
    </w:lvl>
    <w:lvl w:ilvl="5" w:tplc="5426B778">
      <w:start w:val="1"/>
      <w:numFmt w:val="bullet"/>
      <w:lvlText w:val=""/>
      <w:lvlJc w:val="left"/>
      <w:pPr>
        <w:ind w:left="5400" w:hanging="360"/>
      </w:pPr>
      <w:rPr>
        <w:rFonts w:ascii="Wingdings" w:hAnsi="Wingdings" w:hint="default"/>
      </w:rPr>
    </w:lvl>
    <w:lvl w:ilvl="6" w:tplc="EDFEC46C">
      <w:start w:val="1"/>
      <w:numFmt w:val="bullet"/>
      <w:lvlText w:val=""/>
      <w:lvlJc w:val="left"/>
      <w:pPr>
        <w:ind w:left="6120" w:hanging="360"/>
      </w:pPr>
      <w:rPr>
        <w:rFonts w:ascii="Symbol" w:hAnsi="Symbol" w:hint="default"/>
      </w:rPr>
    </w:lvl>
    <w:lvl w:ilvl="7" w:tplc="ED66074A">
      <w:start w:val="1"/>
      <w:numFmt w:val="bullet"/>
      <w:lvlText w:val="o"/>
      <w:lvlJc w:val="left"/>
      <w:pPr>
        <w:ind w:left="6840" w:hanging="360"/>
      </w:pPr>
      <w:rPr>
        <w:rFonts w:ascii="Courier New" w:hAnsi="Courier New" w:hint="default"/>
      </w:rPr>
    </w:lvl>
    <w:lvl w:ilvl="8" w:tplc="0A1AC374">
      <w:start w:val="1"/>
      <w:numFmt w:val="bullet"/>
      <w:lvlText w:val=""/>
      <w:lvlJc w:val="left"/>
      <w:pPr>
        <w:ind w:left="7560" w:hanging="360"/>
      </w:pPr>
      <w:rPr>
        <w:rFonts w:ascii="Wingdings" w:hAnsi="Wingdings" w:hint="default"/>
      </w:rPr>
    </w:lvl>
  </w:abstractNum>
  <w:abstractNum w:abstractNumId="9" w15:restartNumberingAfterBreak="0">
    <w:nsid w:val="53BF1DCC"/>
    <w:multiLevelType w:val="multilevel"/>
    <w:tmpl w:val="2856F958"/>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5D6C5342"/>
    <w:multiLevelType w:val="hybridMultilevel"/>
    <w:tmpl w:val="97CE4C04"/>
    <w:lvl w:ilvl="0" w:tplc="36468B6E">
      <w:start w:val="1"/>
      <w:numFmt w:val="lowerRoman"/>
      <w:suff w:val="space"/>
      <w:lvlText w:val="%1."/>
      <w:lvlJc w:val="righ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61072667"/>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293094B"/>
    <w:multiLevelType w:val="hybridMultilevel"/>
    <w:tmpl w:val="AA6A3492"/>
    <w:lvl w:ilvl="0" w:tplc="128834BA">
      <w:start w:val="1"/>
      <w:numFmt w:val="bullet"/>
      <w:lvlText w:val="-"/>
      <w:lvlJc w:val="left"/>
      <w:pPr>
        <w:ind w:left="1080" w:hanging="360"/>
      </w:pPr>
      <w:rPr>
        <w:rFonts w:ascii="Aptos" w:hAnsi="Aptos" w:hint="default"/>
      </w:rPr>
    </w:lvl>
    <w:lvl w:ilvl="1" w:tplc="53DA25E4">
      <w:start w:val="1"/>
      <w:numFmt w:val="bullet"/>
      <w:lvlText w:val="o"/>
      <w:lvlJc w:val="left"/>
      <w:pPr>
        <w:ind w:left="1800" w:hanging="360"/>
      </w:pPr>
      <w:rPr>
        <w:rFonts w:ascii="Courier New" w:hAnsi="Courier New" w:hint="default"/>
      </w:rPr>
    </w:lvl>
    <w:lvl w:ilvl="2" w:tplc="DE0E7CF4">
      <w:start w:val="1"/>
      <w:numFmt w:val="bullet"/>
      <w:lvlText w:val=""/>
      <w:lvlJc w:val="left"/>
      <w:pPr>
        <w:ind w:left="2520" w:hanging="360"/>
      </w:pPr>
      <w:rPr>
        <w:rFonts w:ascii="Wingdings" w:hAnsi="Wingdings" w:hint="default"/>
      </w:rPr>
    </w:lvl>
    <w:lvl w:ilvl="3" w:tplc="1AC698C6">
      <w:start w:val="1"/>
      <w:numFmt w:val="bullet"/>
      <w:lvlText w:val=""/>
      <w:lvlJc w:val="left"/>
      <w:pPr>
        <w:ind w:left="3240" w:hanging="360"/>
      </w:pPr>
      <w:rPr>
        <w:rFonts w:ascii="Symbol" w:hAnsi="Symbol" w:hint="default"/>
      </w:rPr>
    </w:lvl>
    <w:lvl w:ilvl="4" w:tplc="7174F110">
      <w:start w:val="1"/>
      <w:numFmt w:val="bullet"/>
      <w:lvlText w:val="o"/>
      <w:lvlJc w:val="left"/>
      <w:pPr>
        <w:ind w:left="3960" w:hanging="360"/>
      </w:pPr>
      <w:rPr>
        <w:rFonts w:ascii="Courier New" w:hAnsi="Courier New" w:hint="default"/>
      </w:rPr>
    </w:lvl>
    <w:lvl w:ilvl="5" w:tplc="9D7C3A40">
      <w:start w:val="1"/>
      <w:numFmt w:val="bullet"/>
      <w:lvlText w:val=""/>
      <w:lvlJc w:val="left"/>
      <w:pPr>
        <w:ind w:left="4680" w:hanging="360"/>
      </w:pPr>
      <w:rPr>
        <w:rFonts w:ascii="Wingdings" w:hAnsi="Wingdings" w:hint="default"/>
      </w:rPr>
    </w:lvl>
    <w:lvl w:ilvl="6" w:tplc="2B5001D4">
      <w:start w:val="1"/>
      <w:numFmt w:val="bullet"/>
      <w:lvlText w:val=""/>
      <w:lvlJc w:val="left"/>
      <w:pPr>
        <w:ind w:left="5400" w:hanging="360"/>
      </w:pPr>
      <w:rPr>
        <w:rFonts w:ascii="Symbol" w:hAnsi="Symbol" w:hint="default"/>
      </w:rPr>
    </w:lvl>
    <w:lvl w:ilvl="7" w:tplc="5CF6B5A8">
      <w:start w:val="1"/>
      <w:numFmt w:val="bullet"/>
      <w:lvlText w:val="o"/>
      <w:lvlJc w:val="left"/>
      <w:pPr>
        <w:ind w:left="6120" w:hanging="360"/>
      </w:pPr>
      <w:rPr>
        <w:rFonts w:ascii="Courier New" w:hAnsi="Courier New" w:hint="default"/>
      </w:rPr>
    </w:lvl>
    <w:lvl w:ilvl="8" w:tplc="8FAAEE70">
      <w:start w:val="1"/>
      <w:numFmt w:val="bullet"/>
      <w:lvlText w:val=""/>
      <w:lvlJc w:val="left"/>
      <w:pPr>
        <w:ind w:left="6840" w:hanging="360"/>
      </w:pPr>
      <w:rPr>
        <w:rFonts w:ascii="Wingdings" w:hAnsi="Wingdings" w:hint="default"/>
      </w:rPr>
    </w:lvl>
  </w:abstractNum>
  <w:abstractNum w:abstractNumId="13" w15:restartNumberingAfterBreak="0">
    <w:nsid w:val="62941B7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11"/>
  </w:num>
  <w:num w:numId="3">
    <w:abstractNumId w:val="14"/>
  </w:num>
  <w:num w:numId="4">
    <w:abstractNumId w:val="2"/>
  </w:num>
  <w:num w:numId="5">
    <w:abstractNumId w:val="5"/>
  </w:num>
  <w:num w:numId="6">
    <w:abstractNumId w:val="11"/>
  </w:num>
  <w:num w:numId="7">
    <w:abstractNumId w:val="13"/>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7"/>
  </w:num>
  <w:num w:numId="11">
    <w:abstractNumId w:val="9"/>
  </w:num>
  <w:num w:numId="12">
    <w:abstractNumId w:val="12"/>
  </w:num>
  <w:num w:numId="13">
    <w:abstractNumId w:val="8"/>
  </w:num>
  <w:num w:numId="14">
    <w:abstractNumId w:val="0"/>
  </w:num>
  <w:num w:numId="15">
    <w:abstractNumId w:val="3"/>
  </w:num>
  <w:num w:numId="16">
    <w:abstractNumId w:val="1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045D"/>
    <w:rsid w:val="00001647"/>
    <w:rsid w:val="0000502E"/>
    <w:rsid w:val="0000643B"/>
    <w:rsid w:val="000110EB"/>
    <w:rsid w:val="0001598B"/>
    <w:rsid w:val="00023FAA"/>
    <w:rsid w:val="00027744"/>
    <w:rsid w:val="00027F9D"/>
    <w:rsid w:val="0003016F"/>
    <w:rsid w:val="000325C7"/>
    <w:rsid w:val="00032E32"/>
    <w:rsid w:val="000358B3"/>
    <w:rsid w:val="00036408"/>
    <w:rsid w:val="00036634"/>
    <w:rsid w:val="00044114"/>
    <w:rsid w:val="000465DD"/>
    <w:rsid w:val="00051608"/>
    <w:rsid w:val="000526E5"/>
    <w:rsid w:val="000528E9"/>
    <w:rsid w:val="00055ACA"/>
    <w:rsid w:val="00060F8F"/>
    <w:rsid w:val="00062D76"/>
    <w:rsid w:val="000633C8"/>
    <w:rsid w:val="00065946"/>
    <w:rsid w:val="00067DE5"/>
    <w:rsid w:val="0007092F"/>
    <w:rsid w:val="000709E9"/>
    <w:rsid w:val="000815F4"/>
    <w:rsid w:val="000828CB"/>
    <w:rsid w:val="00083206"/>
    <w:rsid w:val="00083319"/>
    <w:rsid w:val="0008585A"/>
    <w:rsid w:val="00090E31"/>
    <w:rsid w:val="00091268"/>
    <w:rsid w:val="00096E4A"/>
    <w:rsid w:val="000A10DA"/>
    <w:rsid w:val="000A3CF7"/>
    <w:rsid w:val="000A6A44"/>
    <w:rsid w:val="000E079D"/>
    <w:rsid w:val="000E1A5A"/>
    <w:rsid w:val="000E5416"/>
    <w:rsid w:val="000E6936"/>
    <w:rsid w:val="000E724A"/>
    <w:rsid w:val="000E7850"/>
    <w:rsid w:val="000F2A31"/>
    <w:rsid w:val="00100248"/>
    <w:rsid w:val="00102464"/>
    <w:rsid w:val="001045DA"/>
    <w:rsid w:val="00106160"/>
    <w:rsid w:val="001071F6"/>
    <w:rsid w:val="00112DB9"/>
    <w:rsid w:val="0011425D"/>
    <w:rsid w:val="0011459C"/>
    <w:rsid w:val="001172E6"/>
    <w:rsid w:val="001337D5"/>
    <w:rsid w:val="00141650"/>
    <w:rsid w:val="00142A2D"/>
    <w:rsid w:val="0014548C"/>
    <w:rsid w:val="001461A0"/>
    <w:rsid w:val="00146895"/>
    <w:rsid w:val="001549FD"/>
    <w:rsid w:val="00155561"/>
    <w:rsid w:val="0017090B"/>
    <w:rsid w:val="00172D66"/>
    <w:rsid w:val="0017421B"/>
    <w:rsid w:val="0018072E"/>
    <w:rsid w:val="001807A6"/>
    <w:rsid w:val="00190022"/>
    <w:rsid w:val="001958D6"/>
    <w:rsid w:val="001972AE"/>
    <w:rsid w:val="001A302C"/>
    <w:rsid w:val="001B0F82"/>
    <w:rsid w:val="001B6415"/>
    <w:rsid w:val="001C2FF4"/>
    <w:rsid w:val="001C3E5A"/>
    <w:rsid w:val="001C7136"/>
    <w:rsid w:val="001D0414"/>
    <w:rsid w:val="001D2DCA"/>
    <w:rsid w:val="001D3519"/>
    <w:rsid w:val="001D7ACD"/>
    <w:rsid w:val="001E15AA"/>
    <w:rsid w:val="001E1A14"/>
    <w:rsid w:val="001E44BE"/>
    <w:rsid w:val="001E651A"/>
    <w:rsid w:val="001E6A15"/>
    <w:rsid w:val="001F1F74"/>
    <w:rsid w:val="001F6281"/>
    <w:rsid w:val="00201134"/>
    <w:rsid w:val="00202B68"/>
    <w:rsid w:val="00206F01"/>
    <w:rsid w:val="002139F9"/>
    <w:rsid w:val="0021403D"/>
    <w:rsid w:val="00214EBB"/>
    <w:rsid w:val="00222D51"/>
    <w:rsid w:val="0022492E"/>
    <w:rsid w:val="00224DEE"/>
    <w:rsid w:val="00225608"/>
    <w:rsid w:val="00231947"/>
    <w:rsid w:val="00237BFB"/>
    <w:rsid w:val="0024342E"/>
    <w:rsid w:val="00243822"/>
    <w:rsid w:val="00245458"/>
    <w:rsid w:val="002463C4"/>
    <w:rsid w:val="00247486"/>
    <w:rsid w:val="0026039E"/>
    <w:rsid w:val="00262650"/>
    <w:rsid w:val="00270AA0"/>
    <w:rsid w:val="0027180C"/>
    <w:rsid w:val="002739BA"/>
    <w:rsid w:val="0027743E"/>
    <w:rsid w:val="0028652A"/>
    <w:rsid w:val="0029272D"/>
    <w:rsid w:val="00292B8F"/>
    <w:rsid w:val="00292FD9"/>
    <w:rsid w:val="0029345D"/>
    <w:rsid w:val="00295F94"/>
    <w:rsid w:val="002967BE"/>
    <w:rsid w:val="002A1568"/>
    <w:rsid w:val="002A6DDE"/>
    <w:rsid w:val="002B2910"/>
    <w:rsid w:val="002B53AC"/>
    <w:rsid w:val="002C06DC"/>
    <w:rsid w:val="002C3333"/>
    <w:rsid w:val="002D0533"/>
    <w:rsid w:val="002D0846"/>
    <w:rsid w:val="002E0C7E"/>
    <w:rsid w:val="002E45F6"/>
    <w:rsid w:val="002F69D6"/>
    <w:rsid w:val="002F7257"/>
    <w:rsid w:val="003176A5"/>
    <w:rsid w:val="00320861"/>
    <w:rsid w:val="00320B79"/>
    <w:rsid w:val="00331A62"/>
    <w:rsid w:val="0033397A"/>
    <w:rsid w:val="0034365D"/>
    <w:rsid w:val="0034390C"/>
    <w:rsid w:val="00351BD1"/>
    <w:rsid w:val="00353ADB"/>
    <w:rsid w:val="00354DFA"/>
    <w:rsid w:val="0035591F"/>
    <w:rsid w:val="00364145"/>
    <w:rsid w:val="00372B81"/>
    <w:rsid w:val="003739C4"/>
    <w:rsid w:val="00377B7A"/>
    <w:rsid w:val="0038002E"/>
    <w:rsid w:val="00380137"/>
    <w:rsid w:val="00382655"/>
    <w:rsid w:val="003A1DCB"/>
    <w:rsid w:val="003B31F8"/>
    <w:rsid w:val="003C32FB"/>
    <w:rsid w:val="003C3F79"/>
    <w:rsid w:val="003C6284"/>
    <w:rsid w:val="003C6BB2"/>
    <w:rsid w:val="003D1987"/>
    <w:rsid w:val="003D5BE1"/>
    <w:rsid w:val="003E3FB3"/>
    <w:rsid w:val="003E6237"/>
    <w:rsid w:val="003F0F70"/>
    <w:rsid w:val="003F149B"/>
    <w:rsid w:val="003F655A"/>
    <w:rsid w:val="00405322"/>
    <w:rsid w:val="004073F0"/>
    <w:rsid w:val="00411F14"/>
    <w:rsid w:val="004168BF"/>
    <w:rsid w:val="00417582"/>
    <w:rsid w:val="00427681"/>
    <w:rsid w:val="00430EB6"/>
    <w:rsid w:val="00433E9F"/>
    <w:rsid w:val="004371FA"/>
    <w:rsid w:val="0043779E"/>
    <w:rsid w:val="00454431"/>
    <w:rsid w:val="0045486A"/>
    <w:rsid w:val="00462235"/>
    <w:rsid w:val="004622E4"/>
    <w:rsid w:val="00463682"/>
    <w:rsid w:val="00465D46"/>
    <w:rsid w:val="00466F2A"/>
    <w:rsid w:val="00470DBF"/>
    <w:rsid w:val="00472DA8"/>
    <w:rsid w:val="00473EA0"/>
    <w:rsid w:val="00476B17"/>
    <w:rsid w:val="00480C74"/>
    <w:rsid w:val="004934D7"/>
    <w:rsid w:val="00496BB0"/>
    <w:rsid w:val="00496D06"/>
    <w:rsid w:val="004A3E0C"/>
    <w:rsid w:val="004B022E"/>
    <w:rsid w:val="004B0772"/>
    <w:rsid w:val="004B14CD"/>
    <w:rsid w:val="004B542D"/>
    <w:rsid w:val="004C0830"/>
    <w:rsid w:val="004C6D72"/>
    <w:rsid w:val="004D0DBB"/>
    <w:rsid w:val="004D2D0D"/>
    <w:rsid w:val="004D4590"/>
    <w:rsid w:val="004D4866"/>
    <w:rsid w:val="004D6F6B"/>
    <w:rsid w:val="004E0497"/>
    <w:rsid w:val="004E2EB2"/>
    <w:rsid w:val="004E5456"/>
    <w:rsid w:val="004F0392"/>
    <w:rsid w:val="004F0B84"/>
    <w:rsid w:val="004F26AE"/>
    <w:rsid w:val="005076E1"/>
    <w:rsid w:val="00513249"/>
    <w:rsid w:val="00514634"/>
    <w:rsid w:val="005172DA"/>
    <w:rsid w:val="0052046A"/>
    <w:rsid w:val="00525AAA"/>
    <w:rsid w:val="00527264"/>
    <w:rsid w:val="005279E8"/>
    <w:rsid w:val="00531D7C"/>
    <w:rsid w:val="00535AAE"/>
    <w:rsid w:val="005360A8"/>
    <w:rsid w:val="00541DC7"/>
    <w:rsid w:val="00550C46"/>
    <w:rsid w:val="00554411"/>
    <w:rsid w:val="00555B63"/>
    <w:rsid w:val="00556740"/>
    <w:rsid w:val="0055746E"/>
    <w:rsid w:val="00560A08"/>
    <w:rsid w:val="00576FA5"/>
    <w:rsid w:val="005843CB"/>
    <w:rsid w:val="005A04FE"/>
    <w:rsid w:val="005A0DE9"/>
    <w:rsid w:val="005A13CA"/>
    <w:rsid w:val="005A2C3A"/>
    <w:rsid w:val="005A505B"/>
    <w:rsid w:val="005A5620"/>
    <w:rsid w:val="005B0A2E"/>
    <w:rsid w:val="005B39FC"/>
    <w:rsid w:val="005B3D43"/>
    <w:rsid w:val="005C61C1"/>
    <w:rsid w:val="005E49BC"/>
    <w:rsid w:val="005F1B6D"/>
    <w:rsid w:val="005F33DF"/>
    <w:rsid w:val="005F4E9A"/>
    <w:rsid w:val="005F7F24"/>
    <w:rsid w:val="00601CB0"/>
    <w:rsid w:val="00606427"/>
    <w:rsid w:val="00613558"/>
    <w:rsid w:val="006270D0"/>
    <w:rsid w:val="00632CC7"/>
    <w:rsid w:val="00632D60"/>
    <w:rsid w:val="0064238E"/>
    <w:rsid w:val="0064494E"/>
    <w:rsid w:val="00645A8F"/>
    <w:rsid w:val="0066051E"/>
    <w:rsid w:val="0066056F"/>
    <w:rsid w:val="00667A5A"/>
    <w:rsid w:val="00674A8C"/>
    <w:rsid w:val="00675F5D"/>
    <w:rsid w:val="006829F1"/>
    <w:rsid w:val="0068584B"/>
    <w:rsid w:val="0068595A"/>
    <w:rsid w:val="00691771"/>
    <w:rsid w:val="00691F72"/>
    <w:rsid w:val="006922B2"/>
    <w:rsid w:val="0069455F"/>
    <w:rsid w:val="00696FB1"/>
    <w:rsid w:val="00697445"/>
    <w:rsid w:val="006A0D98"/>
    <w:rsid w:val="006A2A0A"/>
    <w:rsid w:val="006B1D47"/>
    <w:rsid w:val="006B1FBE"/>
    <w:rsid w:val="006B314A"/>
    <w:rsid w:val="006C3910"/>
    <w:rsid w:val="006D0BEA"/>
    <w:rsid w:val="006D1AB1"/>
    <w:rsid w:val="006D4B2B"/>
    <w:rsid w:val="006D615B"/>
    <w:rsid w:val="006E5DD4"/>
    <w:rsid w:val="006E77D5"/>
    <w:rsid w:val="006F1DC6"/>
    <w:rsid w:val="006F58BC"/>
    <w:rsid w:val="006F5D10"/>
    <w:rsid w:val="0070364F"/>
    <w:rsid w:val="00703F0C"/>
    <w:rsid w:val="00704256"/>
    <w:rsid w:val="00717A4C"/>
    <w:rsid w:val="00721D01"/>
    <w:rsid w:val="00723721"/>
    <w:rsid w:val="00726BBF"/>
    <w:rsid w:val="00726C5E"/>
    <w:rsid w:val="00733CA1"/>
    <w:rsid w:val="007404FC"/>
    <w:rsid w:val="00742796"/>
    <w:rsid w:val="00742F82"/>
    <w:rsid w:val="00743DF1"/>
    <w:rsid w:val="00746AC6"/>
    <w:rsid w:val="0075121F"/>
    <w:rsid w:val="00753289"/>
    <w:rsid w:val="00753913"/>
    <w:rsid w:val="00755247"/>
    <w:rsid w:val="007620F0"/>
    <w:rsid w:val="00762BA1"/>
    <w:rsid w:val="0077110C"/>
    <w:rsid w:val="00773BCC"/>
    <w:rsid w:val="00782774"/>
    <w:rsid w:val="007A1C63"/>
    <w:rsid w:val="007A4C61"/>
    <w:rsid w:val="007A59EE"/>
    <w:rsid w:val="007B0490"/>
    <w:rsid w:val="007B3189"/>
    <w:rsid w:val="007B33EA"/>
    <w:rsid w:val="007B523F"/>
    <w:rsid w:val="007B6B63"/>
    <w:rsid w:val="007C1CC8"/>
    <w:rsid w:val="007D1932"/>
    <w:rsid w:val="007D5F61"/>
    <w:rsid w:val="007D7019"/>
    <w:rsid w:val="007E00FC"/>
    <w:rsid w:val="007E2AAD"/>
    <w:rsid w:val="007E41E8"/>
    <w:rsid w:val="007E7521"/>
    <w:rsid w:val="007F070F"/>
    <w:rsid w:val="007F3A6D"/>
    <w:rsid w:val="007F66A3"/>
    <w:rsid w:val="008017B5"/>
    <w:rsid w:val="00803BFC"/>
    <w:rsid w:val="008047B4"/>
    <w:rsid w:val="00810C2E"/>
    <w:rsid w:val="008126A5"/>
    <w:rsid w:val="0081589E"/>
    <w:rsid w:val="0081611E"/>
    <w:rsid w:val="00820205"/>
    <w:rsid w:val="00821C53"/>
    <w:rsid w:val="00822596"/>
    <w:rsid w:val="00822C16"/>
    <w:rsid w:val="00831EEC"/>
    <w:rsid w:val="00831F1E"/>
    <w:rsid w:val="0083221A"/>
    <w:rsid w:val="0083524A"/>
    <w:rsid w:val="0084120F"/>
    <w:rsid w:val="00843EEC"/>
    <w:rsid w:val="008542DA"/>
    <w:rsid w:val="00855D96"/>
    <w:rsid w:val="0085723B"/>
    <w:rsid w:val="00862F03"/>
    <w:rsid w:val="00862F69"/>
    <w:rsid w:val="0087234A"/>
    <w:rsid w:val="008729CF"/>
    <w:rsid w:val="0087577C"/>
    <w:rsid w:val="00877F90"/>
    <w:rsid w:val="00881C9C"/>
    <w:rsid w:val="00885420"/>
    <w:rsid w:val="00887C19"/>
    <w:rsid w:val="0089293E"/>
    <w:rsid w:val="008968EA"/>
    <w:rsid w:val="00897036"/>
    <w:rsid w:val="00897519"/>
    <w:rsid w:val="008A135C"/>
    <w:rsid w:val="008A13FB"/>
    <w:rsid w:val="008A7956"/>
    <w:rsid w:val="008B1F75"/>
    <w:rsid w:val="008B419C"/>
    <w:rsid w:val="008B440E"/>
    <w:rsid w:val="008C2885"/>
    <w:rsid w:val="008C5E32"/>
    <w:rsid w:val="008D7ADB"/>
    <w:rsid w:val="008E19AF"/>
    <w:rsid w:val="008E2022"/>
    <w:rsid w:val="008E5AD3"/>
    <w:rsid w:val="008E6A59"/>
    <w:rsid w:val="008F43DE"/>
    <w:rsid w:val="008F5433"/>
    <w:rsid w:val="009014DF"/>
    <w:rsid w:val="009031A6"/>
    <w:rsid w:val="00904DE2"/>
    <w:rsid w:val="009069D5"/>
    <w:rsid w:val="00917F0A"/>
    <w:rsid w:val="00921B5D"/>
    <w:rsid w:val="009229F0"/>
    <w:rsid w:val="009230EE"/>
    <w:rsid w:val="0093133E"/>
    <w:rsid w:val="00932AC0"/>
    <w:rsid w:val="00934A3B"/>
    <w:rsid w:val="00936055"/>
    <w:rsid w:val="00937A75"/>
    <w:rsid w:val="009402CB"/>
    <w:rsid w:val="00941770"/>
    <w:rsid w:val="00946994"/>
    <w:rsid w:val="00953457"/>
    <w:rsid w:val="00954CF5"/>
    <w:rsid w:val="00960B61"/>
    <w:rsid w:val="009634F0"/>
    <w:rsid w:val="00975620"/>
    <w:rsid w:val="00986DCF"/>
    <w:rsid w:val="00987079"/>
    <w:rsid w:val="00987D37"/>
    <w:rsid w:val="009973B6"/>
    <w:rsid w:val="00997AC8"/>
    <w:rsid w:val="009A3DCB"/>
    <w:rsid w:val="009C20EE"/>
    <w:rsid w:val="009D3D83"/>
    <w:rsid w:val="009D52B4"/>
    <w:rsid w:val="009E1005"/>
    <w:rsid w:val="009E2560"/>
    <w:rsid w:val="009E4F10"/>
    <w:rsid w:val="009F2CEE"/>
    <w:rsid w:val="009F3509"/>
    <w:rsid w:val="009F65C5"/>
    <w:rsid w:val="00A04C3E"/>
    <w:rsid w:val="00A10631"/>
    <w:rsid w:val="00A1303F"/>
    <w:rsid w:val="00A1441D"/>
    <w:rsid w:val="00A23A28"/>
    <w:rsid w:val="00A23FE3"/>
    <w:rsid w:val="00A3520F"/>
    <w:rsid w:val="00A41496"/>
    <w:rsid w:val="00A54215"/>
    <w:rsid w:val="00A5568B"/>
    <w:rsid w:val="00A56F9B"/>
    <w:rsid w:val="00A6120F"/>
    <w:rsid w:val="00A62365"/>
    <w:rsid w:val="00A657AD"/>
    <w:rsid w:val="00A66468"/>
    <w:rsid w:val="00A67F82"/>
    <w:rsid w:val="00A707AC"/>
    <w:rsid w:val="00A86B4B"/>
    <w:rsid w:val="00A9132B"/>
    <w:rsid w:val="00A95DE7"/>
    <w:rsid w:val="00AA03E5"/>
    <w:rsid w:val="00AA07BA"/>
    <w:rsid w:val="00AA24E7"/>
    <w:rsid w:val="00AA4228"/>
    <w:rsid w:val="00AA6471"/>
    <w:rsid w:val="00AA6F01"/>
    <w:rsid w:val="00AA7936"/>
    <w:rsid w:val="00AB465D"/>
    <w:rsid w:val="00AB7337"/>
    <w:rsid w:val="00AC3F36"/>
    <w:rsid w:val="00AC4DE3"/>
    <w:rsid w:val="00AC4F4D"/>
    <w:rsid w:val="00AC53F4"/>
    <w:rsid w:val="00AC7446"/>
    <w:rsid w:val="00AD46FE"/>
    <w:rsid w:val="00AD5D8B"/>
    <w:rsid w:val="00AE1735"/>
    <w:rsid w:val="00AF04B5"/>
    <w:rsid w:val="00AF2D29"/>
    <w:rsid w:val="00AF4FF5"/>
    <w:rsid w:val="00B00883"/>
    <w:rsid w:val="00B02658"/>
    <w:rsid w:val="00B11151"/>
    <w:rsid w:val="00B115D7"/>
    <w:rsid w:val="00B12638"/>
    <w:rsid w:val="00B13EDD"/>
    <w:rsid w:val="00B217B5"/>
    <w:rsid w:val="00B25A58"/>
    <w:rsid w:val="00B3414C"/>
    <w:rsid w:val="00B35704"/>
    <w:rsid w:val="00B373EC"/>
    <w:rsid w:val="00B3746E"/>
    <w:rsid w:val="00B375DD"/>
    <w:rsid w:val="00B400B1"/>
    <w:rsid w:val="00B42868"/>
    <w:rsid w:val="00B51A28"/>
    <w:rsid w:val="00B53434"/>
    <w:rsid w:val="00B61D00"/>
    <w:rsid w:val="00B620CF"/>
    <w:rsid w:val="00B6235F"/>
    <w:rsid w:val="00B6548A"/>
    <w:rsid w:val="00B7213F"/>
    <w:rsid w:val="00B728B4"/>
    <w:rsid w:val="00B72D78"/>
    <w:rsid w:val="00B76FE5"/>
    <w:rsid w:val="00B77274"/>
    <w:rsid w:val="00B82129"/>
    <w:rsid w:val="00B82434"/>
    <w:rsid w:val="00B84465"/>
    <w:rsid w:val="00B84CD7"/>
    <w:rsid w:val="00B860EB"/>
    <w:rsid w:val="00B87066"/>
    <w:rsid w:val="00B91CC0"/>
    <w:rsid w:val="00B92381"/>
    <w:rsid w:val="00B93395"/>
    <w:rsid w:val="00B95BA4"/>
    <w:rsid w:val="00B97748"/>
    <w:rsid w:val="00BA229F"/>
    <w:rsid w:val="00BA4AD8"/>
    <w:rsid w:val="00BA4B93"/>
    <w:rsid w:val="00BA6C95"/>
    <w:rsid w:val="00BA7526"/>
    <w:rsid w:val="00BA7778"/>
    <w:rsid w:val="00BB0656"/>
    <w:rsid w:val="00BB7926"/>
    <w:rsid w:val="00BB7B58"/>
    <w:rsid w:val="00BC1BF0"/>
    <w:rsid w:val="00BC3B5A"/>
    <w:rsid w:val="00BC5BA4"/>
    <w:rsid w:val="00BD1BBD"/>
    <w:rsid w:val="00BD3902"/>
    <w:rsid w:val="00BD3D23"/>
    <w:rsid w:val="00BD46C1"/>
    <w:rsid w:val="00BD6809"/>
    <w:rsid w:val="00BD7630"/>
    <w:rsid w:val="00BE2AFF"/>
    <w:rsid w:val="00BE6562"/>
    <w:rsid w:val="00BE77A8"/>
    <w:rsid w:val="00BF7A3E"/>
    <w:rsid w:val="00C00B92"/>
    <w:rsid w:val="00C04C30"/>
    <w:rsid w:val="00C10F2E"/>
    <w:rsid w:val="00C2436D"/>
    <w:rsid w:val="00C24D08"/>
    <w:rsid w:val="00C250B6"/>
    <w:rsid w:val="00C2523D"/>
    <w:rsid w:val="00C30934"/>
    <w:rsid w:val="00C32EE3"/>
    <w:rsid w:val="00C333EF"/>
    <w:rsid w:val="00C33916"/>
    <w:rsid w:val="00C40168"/>
    <w:rsid w:val="00C4427D"/>
    <w:rsid w:val="00C46670"/>
    <w:rsid w:val="00C63214"/>
    <w:rsid w:val="00C638B4"/>
    <w:rsid w:val="00C63BE7"/>
    <w:rsid w:val="00C640AF"/>
    <w:rsid w:val="00C6444F"/>
    <w:rsid w:val="00C65585"/>
    <w:rsid w:val="00C6584C"/>
    <w:rsid w:val="00C711F8"/>
    <w:rsid w:val="00C73067"/>
    <w:rsid w:val="00C74FE4"/>
    <w:rsid w:val="00C85685"/>
    <w:rsid w:val="00C86720"/>
    <w:rsid w:val="00C9294D"/>
    <w:rsid w:val="00C95EA1"/>
    <w:rsid w:val="00CA2BAD"/>
    <w:rsid w:val="00CA552B"/>
    <w:rsid w:val="00CB09AA"/>
    <w:rsid w:val="00CB317E"/>
    <w:rsid w:val="00CB51E3"/>
    <w:rsid w:val="00CC36AF"/>
    <w:rsid w:val="00CC45C2"/>
    <w:rsid w:val="00CC56DE"/>
    <w:rsid w:val="00CD0AD6"/>
    <w:rsid w:val="00CD7D12"/>
    <w:rsid w:val="00CE3F6B"/>
    <w:rsid w:val="00CE6DF7"/>
    <w:rsid w:val="00CF0A58"/>
    <w:rsid w:val="00CF3F4B"/>
    <w:rsid w:val="00CF5908"/>
    <w:rsid w:val="00D0071A"/>
    <w:rsid w:val="00D01319"/>
    <w:rsid w:val="00D01A64"/>
    <w:rsid w:val="00D0314A"/>
    <w:rsid w:val="00D0394D"/>
    <w:rsid w:val="00D10720"/>
    <w:rsid w:val="00D1449A"/>
    <w:rsid w:val="00D24490"/>
    <w:rsid w:val="00D275AD"/>
    <w:rsid w:val="00D30351"/>
    <w:rsid w:val="00D33F54"/>
    <w:rsid w:val="00D430E8"/>
    <w:rsid w:val="00D521B6"/>
    <w:rsid w:val="00D53CAB"/>
    <w:rsid w:val="00D5428B"/>
    <w:rsid w:val="00D549A2"/>
    <w:rsid w:val="00D555FA"/>
    <w:rsid w:val="00D56CC4"/>
    <w:rsid w:val="00D6057A"/>
    <w:rsid w:val="00D61053"/>
    <w:rsid w:val="00D66538"/>
    <w:rsid w:val="00D70E82"/>
    <w:rsid w:val="00D73BE2"/>
    <w:rsid w:val="00D85B6F"/>
    <w:rsid w:val="00D952F2"/>
    <w:rsid w:val="00DA0D19"/>
    <w:rsid w:val="00DA4EFF"/>
    <w:rsid w:val="00DA5458"/>
    <w:rsid w:val="00DA7112"/>
    <w:rsid w:val="00DB271A"/>
    <w:rsid w:val="00DB5D8C"/>
    <w:rsid w:val="00DB7E7B"/>
    <w:rsid w:val="00DC0134"/>
    <w:rsid w:val="00DC194B"/>
    <w:rsid w:val="00DC246A"/>
    <w:rsid w:val="00DC5EF6"/>
    <w:rsid w:val="00DC6BA2"/>
    <w:rsid w:val="00DC6F0B"/>
    <w:rsid w:val="00DD7C3B"/>
    <w:rsid w:val="00DE1EF4"/>
    <w:rsid w:val="00DE3CFE"/>
    <w:rsid w:val="00DE6BC7"/>
    <w:rsid w:val="00DF46A8"/>
    <w:rsid w:val="00DF4F89"/>
    <w:rsid w:val="00E06BBD"/>
    <w:rsid w:val="00E07BD3"/>
    <w:rsid w:val="00E152AC"/>
    <w:rsid w:val="00E15A0B"/>
    <w:rsid w:val="00E21CC8"/>
    <w:rsid w:val="00E24851"/>
    <w:rsid w:val="00E24DEC"/>
    <w:rsid w:val="00E26C97"/>
    <w:rsid w:val="00E31104"/>
    <w:rsid w:val="00E35A98"/>
    <w:rsid w:val="00E4355D"/>
    <w:rsid w:val="00E46596"/>
    <w:rsid w:val="00E511D0"/>
    <w:rsid w:val="00E54495"/>
    <w:rsid w:val="00E627C3"/>
    <w:rsid w:val="00E73972"/>
    <w:rsid w:val="00E8020C"/>
    <w:rsid w:val="00E80934"/>
    <w:rsid w:val="00E841D8"/>
    <w:rsid w:val="00E84806"/>
    <w:rsid w:val="00E84894"/>
    <w:rsid w:val="00E849B5"/>
    <w:rsid w:val="00E9038F"/>
    <w:rsid w:val="00EA4D19"/>
    <w:rsid w:val="00EA4D65"/>
    <w:rsid w:val="00EB2D31"/>
    <w:rsid w:val="00EB6953"/>
    <w:rsid w:val="00EB7D69"/>
    <w:rsid w:val="00EC1B96"/>
    <w:rsid w:val="00EC32A2"/>
    <w:rsid w:val="00EC5886"/>
    <w:rsid w:val="00EC7CC5"/>
    <w:rsid w:val="00EC7E66"/>
    <w:rsid w:val="00ED1FB3"/>
    <w:rsid w:val="00ED2E98"/>
    <w:rsid w:val="00ED4FD2"/>
    <w:rsid w:val="00EE2F14"/>
    <w:rsid w:val="00EE4CA5"/>
    <w:rsid w:val="00EF1F1C"/>
    <w:rsid w:val="00EF4C2F"/>
    <w:rsid w:val="00F01469"/>
    <w:rsid w:val="00F01A4D"/>
    <w:rsid w:val="00F01A85"/>
    <w:rsid w:val="00F0451B"/>
    <w:rsid w:val="00F048A9"/>
    <w:rsid w:val="00F048B9"/>
    <w:rsid w:val="00F06917"/>
    <w:rsid w:val="00F06EDE"/>
    <w:rsid w:val="00F41A63"/>
    <w:rsid w:val="00F469AB"/>
    <w:rsid w:val="00F53CD6"/>
    <w:rsid w:val="00F5546E"/>
    <w:rsid w:val="00F577E8"/>
    <w:rsid w:val="00F60AEB"/>
    <w:rsid w:val="00F73308"/>
    <w:rsid w:val="00F75D6F"/>
    <w:rsid w:val="00F766B9"/>
    <w:rsid w:val="00F77372"/>
    <w:rsid w:val="00F8118A"/>
    <w:rsid w:val="00F8292E"/>
    <w:rsid w:val="00F84510"/>
    <w:rsid w:val="00F854E5"/>
    <w:rsid w:val="00F87687"/>
    <w:rsid w:val="00F91C88"/>
    <w:rsid w:val="00F96D08"/>
    <w:rsid w:val="00FA2FCD"/>
    <w:rsid w:val="00FA5DF5"/>
    <w:rsid w:val="00FB0EF3"/>
    <w:rsid w:val="00FB1FF6"/>
    <w:rsid w:val="00FB2C20"/>
    <w:rsid w:val="00FB3B24"/>
    <w:rsid w:val="00FB4544"/>
    <w:rsid w:val="00FB5451"/>
    <w:rsid w:val="00FB5EFC"/>
    <w:rsid w:val="00FC0F18"/>
    <w:rsid w:val="00FC2D25"/>
    <w:rsid w:val="00FC4EE6"/>
    <w:rsid w:val="00FD05DB"/>
    <w:rsid w:val="00FD1ACA"/>
    <w:rsid w:val="00FD6137"/>
    <w:rsid w:val="00FD6F72"/>
    <w:rsid w:val="00FE1584"/>
    <w:rsid w:val="00FE1CC7"/>
    <w:rsid w:val="00FE27CA"/>
    <w:rsid w:val="00FE3417"/>
    <w:rsid w:val="00FF1126"/>
    <w:rsid w:val="00FF17F6"/>
    <w:rsid w:val="00FF1893"/>
    <w:rsid w:val="00FF3919"/>
    <w:rsid w:val="00FF40B0"/>
    <w:rsid w:val="00FF6133"/>
    <w:rsid w:val="0238F597"/>
    <w:rsid w:val="08DBA68E"/>
    <w:rsid w:val="182A6140"/>
    <w:rsid w:val="21E7FC56"/>
    <w:rsid w:val="220EE70C"/>
    <w:rsid w:val="29CD3C0F"/>
    <w:rsid w:val="30CEBB8C"/>
    <w:rsid w:val="33E7B4B0"/>
    <w:rsid w:val="38C0F874"/>
    <w:rsid w:val="3EA96DFF"/>
    <w:rsid w:val="3EF2938B"/>
    <w:rsid w:val="3FD16A00"/>
    <w:rsid w:val="419CEB5F"/>
    <w:rsid w:val="478F26E4"/>
    <w:rsid w:val="51205082"/>
    <w:rsid w:val="543DBF3B"/>
    <w:rsid w:val="6286B0F7"/>
    <w:rsid w:val="62A2C30B"/>
    <w:rsid w:val="63181C6C"/>
    <w:rsid w:val="6542A920"/>
    <w:rsid w:val="69D3EC4D"/>
    <w:rsid w:val="6B09CF7A"/>
    <w:rsid w:val="6E0EADA9"/>
    <w:rsid w:val="704191AC"/>
    <w:rsid w:val="7E47FB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8D149"/>
  <w15:chartTrackingRefBased/>
  <w15:docId w15:val="{5F6C3943-3F45-4274-9A1C-624F147AD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F74"/>
    <w:pPr>
      <w:spacing w:after="40"/>
      <w:ind w:firstLine="720"/>
    </w:pPr>
    <w:rPr>
      <w:rFonts w:ascii="Calibri" w:hAnsi="Calibri" w:cs="Calibri"/>
      <w:sz w:val="22"/>
      <w:szCs w:val="22"/>
    </w:rPr>
  </w:style>
  <w:style w:type="paragraph" w:styleId="Heading1">
    <w:name w:val="heading 1"/>
    <w:basedOn w:val="Normal"/>
    <w:next w:val="Normal"/>
    <w:link w:val="Heading1Char"/>
    <w:uiPriority w:val="9"/>
    <w:qFormat/>
    <w:rsid w:val="00C10F2E"/>
    <w:pPr>
      <w:keepNext/>
      <w:keepLines/>
      <w:numPr>
        <w:numId w:val="5"/>
      </w:numPr>
      <w:spacing w:before="360" w:after="80"/>
      <w:ind w:left="714" w:hanging="357"/>
      <w:outlineLvl w:val="0"/>
    </w:pPr>
    <w:rPr>
      <w:rFonts w:eastAsiaTheme="majorEastAsia" w:cstheme="majorBidi"/>
      <w:b/>
      <w:sz w:val="28"/>
      <w:szCs w:val="40"/>
    </w:rPr>
  </w:style>
  <w:style w:type="paragraph" w:styleId="Heading2">
    <w:name w:val="heading 2"/>
    <w:basedOn w:val="Heading1"/>
    <w:next w:val="Normal"/>
    <w:link w:val="Heading2Char"/>
    <w:uiPriority w:val="9"/>
    <w:unhideWhenUsed/>
    <w:qFormat/>
    <w:rsid w:val="00EC1B96"/>
    <w:pPr>
      <w:numPr>
        <w:ilvl w:val="1"/>
      </w:numPr>
      <w:spacing w:before="160"/>
      <w:ind w:left="859"/>
      <w:outlineLvl w:val="1"/>
    </w:pPr>
    <w:rPr>
      <w:rFonts w:asciiTheme="majorHAnsi" w:hAnsiTheme="majorHAnsi"/>
      <w:szCs w:val="32"/>
    </w:rPr>
  </w:style>
  <w:style w:type="paragraph" w:styleId="Heading3">
    <w:name w:val="heading 3"/>
    <w:basedOn w:val="Normal"/>
    <w:next w:val="Normal"/>
    <w:link w:val="Heading3Char"/>
    <w:uiPriority w:val="9"/>
    <w:semiHidden/>
    <w:unhideWhenUsed/>
    <w:qFormat/>
    <w:rsid w:val="005076E1"/>
    <w:pPr>
      <w:keepNext/>
      <w:keepLines/>
      <w:numPr>
        <w:ilvl w:val="2"/>
        <w:numId w:val="5"/>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numPr>
        <w:ilvl w:val="3"/>
        <w:numId w:val="5"/>
      </w:numPr>
      <w:spacing w:before="8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numPr>
        <w:ilvl w:val="4"/>
        <w:numId w:val="5"/>
      </w:numPr>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numPr>
        <w:ilvl w:val="5"/>
        <w:numId w:val="5"/>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numPr>
        <w:ilvl w:val="6"/>
        <w:numId w:val="5"/>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29CD3C0F"/>
    <w:pPr>
      <w:keepNext/>
      <w:keepLines/>
      <w:numPr>
        <w:ilvl w:val="7"/>
        <w:numId w:val="5"/>
      </w:numPr>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29CD3C0F"/>
    <w:pPr>
      <w:keepNext/>
      <w:keepLines/>
      <w:numPr>
        <w:ilvl w:val="8"/>
        <w:numId w:val="5"/>
      </w:numPr>
      <w:spacing w:after="0"/>
      <w:outlineLvl w:val="8"/>
    </w:pPr>
    <w:rPr>
      <w:rFonts w:eastAsiaTheme="majorEastAsia" w:cstheme="majorBidi"/>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0F2E"/>
    <w:rPr>
      <w:rFonts w:ascii="Calibri" w:eastAsiaTheme="majorEastAsia" w:hAnsi="Calibri" w:cstheme="majorBidi"/>
      <w:b/>
      <w:sz w:val="28"/>
      <w:szCs w:val="40"/>
    </w:rPr>
  </w:style>
  <w:style w:type="character" w:customStyle="1" w:styleId="Heading2Char">
    <w:name w:val="Heading 2 Char"/>
    <w:basedOn w:val="DefaultParagraphFont"/>
    <w:link w:val="Heading2"/>
    <w:uiPriority w:val="9"/>
    <w:rsid w:val="00EC1B96"/>
    <w:rPr>
      <w:rFonts w:asciiTheme="majorHAnsi" w:eastAsiaTheme="majorEastAsia" w:hAnsiTheme="majorHAnsi" w:cstheme="majorBidi"/>
      <w:b/>
      <w:sz w:val="28"/>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ascii="Calibri" w:eastAsiaTheme="majorEastAsia" w:hAnsi="Calibri" w:cstheme="majorBidi"/>
      <w:i/>
      <w:iCs/>
      <w:color w:val="272727"/>
      <w:sz w:val="22"/>
      <w:szCs w:val="22"/>
    </w:rPr>
  </w:style>
  <w:style w:type="character" w:customStyle="1" w:styleId="Heading9Char">
    <w:name w:val="Heading 9 Char"/>
    <w:basedOn w:val="DefaultParagraphFont"/>
    <w:link w:val="Heading9"/>
    <w:uiPriority w:val="9"/>
    <w:semiHidden/>
    <w:rsid w:val="005076E1"/>
    <w:rPr>
      <w:rFonts w:ascii="Calibri" w:eastAsiaTheme="majorEastAsia" w:hAnsi="Calibri" w:cstheme="majorBidi"/>
      <w:color w:val="272727"/>
      <w:sz w:val="22"/>
      <w:szCs w:val="22"/>
    </w:rPr>
  </w:style>
  <w:style w:type="paragraph" w:styleId="Title">
    <w:name w:val="Title"/>
    <w:basedOn w:val="Normal"/>
    <w:next w:val="Normal"/>
    <w:link w:val="TitleChar"/>
    <w:uiPriority w:val="10"/>
    <w:qFormat/>
    <w:rsid w:val="29CD3C0F"/>
    <w:pPr>
      <w:spacing w:after="8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29CD3C0F"/>
    <w:pPr>
      <w:ind w:firstLine="851"/>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5076E1"/>
    <w:rPr>
      <w:rFonts w:ascii="Calibri" w:eastAsiaTheme="majorEastAsia" w:hAnsi="Calibri" w:cstheme="majorBidi"/>
      <w:color w:val="595959" w:themeColor="text1" w:themeTint="A6"/>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link w:val="ListParagraphChar"/>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uiPriority w:val="1"/>
    <w:rsid w:val="29CD3C0F"/>
    <w:pPr>
      <w:spacing w:after="0"/>
      <w:jc w:val="both"/>
    </w:pPr>
    <w:rPr>
      <w:rFonts w:ascii="Times New Roman" w:hAnsi="Times New Roman" w:cs="Times New Roman"/>
      <w:sz w:val="24"/>
      <w:szCs w:val="24"/>
      <w:lang w:eastAsia="fi-FI"/>
    </w:rPr>
  </w:style>
  <w:style w:type="paragraph" w:styleId="PlainText">
    <w:name w:val="Plain Text"/>
    <w:basedOn w:val="Normal"/>
    <w:link w:val="PlainTextChar"/>
    <w:uiPriority w:val="1"/>
    <w:rsid w:val="29CD3C0F"/>
    <w:pPr>
      <w:spacing w:after="0"/>
      <w:jc w:val="both"/>
    </w:pPr>
    <w:rPr>
      <w:rFonts w:ascii="Arial" w:eastAsia="MS Mincho" w:hAnsi="Arial" w:cs="Arial"/>
      <w:sz w:val="18"/>
      <w:szCs w:val="18"/>
    </w:rPr>
  </w:style>
  <w:style w:type="character" w:customStyle="1" w:styleId="PlainTextChar">
    <w:name w:val="Plain Text Char"/>
    <w:basedOn w:val="DefaultParagraphFont"/>
    <w:link w:val="PlainText"/>
    <w:uiPriority w:val="1"/>
    <w:rsid w:val="00D6057A"/>
    <w:rPr>
      <w:rFonts w:ascii="Arial" w:eastAsia="MS Mincho" w:hAnsi="Arial" w:cs="Arial"/>
      <w:sz w:val="18"/>
      <w:szCs w:val="18"/>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customStyle="1" w:styleId="CIB-image">
    <w:name w:val="CIB-image"/>
    <w:basedOn w:val="Normal"/>
    <w:link w:val="CIB-imageChar"/>
    <w:qFormat/>
    <w:rsid w:val="000E724A"/>
    <w:pPr>
      <w:spacing w:before="160"/>
      <w:ind w:firstLine="0"/>
      <w:jc w:val="center"/>
    </w:pPr>
    <w:rPr>
      <w:noProof/>
    </w:rPr>
  </w:style>
  <w:style w:type="paragraph" w:customStyle="1" w:styleId="CIB-caption">
    <w:name w:val="CIB-caption"/>
    <w:basedOn w:val="Normal"/>
    <w:link w:val="CIB-captionChar"/>
    <w:qFormat/>
    <w:rsid w:val="000E724A"/>
    <w:pPr>
      <w:spacing w:after="120"/>
      <w:ind w:firstLine="0"/>
      <w:jc w:val="center"/>
    </w:pPr>
    <w:rPr>
      <w:i/>
      <w:sz w:val="20"/>
      <w:szCs w:val="20"/>
    </w:rPr>
  </w:style>
  <w:style w:type="character" w:customStyle="1" w:styleId="ListParagraphChar">
    <w:name w:val="List Paragraph Char"/>
    <w:basedOn w:val="DefaultParagraphFont"/>
    <w:link w:val="ListParagraph"/>
    <w:uiPriority w:val="34"/>
    <w:rsid w:val="009634F0"/>
    <w:rPr>
      <w:sz w:val="22"/>
      <w:szCs w:val="22"/>
    </w:rPr>
  </w:style>
  <w:style w:type="character" w:customStyle="1" w:styleId="CIB-imageChar">
    <w:name w:val="CIB-image Char"/>
    <w:basedOn w:val="DefaultParagraphFont"/>
    <w:link w:val="CIB-image"/>
    <w:rsid w:val="000E724A"/>
    <w:rPr>
      <w:rFonts w:ascii="Calibri" w:hAnsi="Calibri" w:cs="Calibri"/>
      <w:noProof/>
      <w:sz w:val="22"/>
      <w:szCs w:val="22"/>
    </w:rPr>
  </w:style>
  <w:style w:type="paragraph" w:styleId="Caption">
    <w:name w:val="caption"/>
    <w:basedOn w:val="Normal"/>
    <w:next w:val="Normal"/>
    <w:uiPriority w:val="35"/>
    <w:unhideWhenUsed/>
    <w:qFormat/>
    <w:rsid w:val="009E4F10"/>
    <w:pPr>
      <w:spacing w:after="200" w:line="240" w:lineRule="auto"/>
    </w:pPr>
    <w:rPr>
      <w:i/>
      <w:iCs/>
      <w:color w:val="0E2841" w:themeColor="text2"/>
      <w:sz w:val="18"/>
      <w:szCs w:val="18"/>
    </w:rPr>
  </w:style>
  <w:style w:type="paragraph" w:styleId="Bibliography">
    <w:name w:val="Bibliography"/>
    <w:basedOn w:val="Normal"/>
    <w:next w:val="Normal"/>
    <w:uiPriority w:val="37"/>
    <w:unhideWhenUsed/>
    <w:rsid w:val="009E2560"/>
    <w:pPr>
      <w:spacing w:after="0" w:line="240" w:lineRule="auto"/>
      <w:ind w:left="720" w:hanging="720"/>
    </w:pPr>
  </w:style>
  <w:style w:type="paragraph" w:customStyle="1" w:styleId="CIB-Bib">
    <w:name w:val="CIB-Bib"/>
    <w:basedOn w:val="Normal"/>
    <w:link w:val="CIB-BibChar"/>
    <w:qFormat/>
    <w:rsid w:val="007B0490"/>
    <w:pPr>
      <w:spacing w:line="240" w:lineRule="auto"/>
      <w:ind w:left="851" w:hanging="851"/>
    </w:pPr>
    <w:rPr>
      <w:sz w:val="19"/>
    </w:rPr>
  </w:style>
  <w:style w:type="character" w:customStyle="1" w:styleId="CIB-captionChar">
    <w:name w:val="CIB-caption Char"/>
    <w:basedOn w:val="DefaultParagraphFont"/>
    <w:link w:val="CIB-caption"/>
    <w:rsid w:val="000E724A"/>
    <w:rPr>
      <w:rFonts w:ascii="Calibri" w:hAnsi="Calibri" w:cs="Calibri"/>
      <w:i/>
      <w:sz w:val="20"/>
      <w:szCs w:val="20"/>
    </w:rPr>
  </w:style>
  <w:style w:type="character" w:customStyle="1" w:styleId="CIB-BibChar">
    <w:name w:val="CIB-Bib Char"/>
    <w:basedOn w:val="DefaultParagraphFont"/>
    <w:link w:val="CIB-Bib"/>
    <w:rsid w:val="007B0490"/>
    <w:rPr>
      <w:rFonts w:ascii="Calibri" w:hAnsi="Calibri" w:cs="Calibri"/>
      <w:sz w:val="19"/>
      <w:szCs w:val="22"/>
    </w:rPr>
  </w:style>
  <w:style w:type="character" w:styleId="CommentReference">
    <w:name w:val="annotation reference"/>
    <w:basedOn w:val="DefaultParagraphFont"/>
    <w:uiPriority w:val="99"/>
    <w:semiHidden/>
    <w:unhideWhenUsed/>
    <w:rsid w:val="00C2523D"/>
    <w:rPr>
      <w:sz w:val="16"/>
      <w:szCs w:val="16"/>
    </w:rPr>
  </w:style>
  <w:style w:type="paragraph" w:styleId="CommentText">
    <w:name w:val="annotation text"/>
    <w:basedOn w:val="Normal"/>
    <w:link w:val="CommentTextChar"/>
    <w:uiPriority w:val="99"/>
    <w:semiHidden/>
    <w:unhideWhenUsed/>
    <w:rsid w:val="00C2523D"/>
    <w:pPr>
      <w:spacing w:line="240" w:lineRule="auto"/>
    </w:pPr>
    <w:rPr>
      <w:sz w:val="20"/>
      <w:szCs w:val="20"/>
    </w:rPr>
  </w:style>
  <w:style w:type="character" w:customStyle="1" w:styleId="CommentTextChar">
    <w:name w:val="Comment Text Char"/>
    <w:basedOn w:val="DefaultParagraphFont"/>
    <w:link w:val="CommentText"/>
    <w:uiPriority w:val="99"/>
    <w:semiHidden/>
    <w:rsid w:val="00C2523D"/>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C2523D"/>
    <w:rPr>
      <w:b/>
      <w:bCs/>
    </w:rPr>
  </w:style>
  <w:style w:type="character" w:customStyle="1" w:styleId="CommentSubjectChar">
    <w:name w:val="Comment Subject Char"/>
    <w:basedOn w:val="CommentTextChar"/>
    <w:link w:val="CommentSubject"/>
    <w:uiPriority w:val="99"/>
    <w:semiHidden/>
    <w:rsid w:val="00C2523D"/>
    <w:rPr>
      <w:rFonts w:ascii="Calibri" w:hAnsi="Calibri" w:cs="Calibri"/>
      <w:b/>
      <w:bCs/>
      <w:sz w:val="20"/>
      <w:szCs w:val="20"/>
    </w:rPr>
  </w:style>
  <w:style w:type="paragraph" w:styleId="NormalWeb">
    <w:name w:val="Normal (Web)"/>
    <w:basedOn w:val="Normal"/>
    <w:uiPriority w:val="99"/>
    <w:unhideWhenUsed/>
    <w:rsid w:val="00E9038F"/>
    <w:pPr>
      <w:spacing w:before="100" w:beforeAutospacing="1" w:after="100" w:afterAutospacing="1" w:line="240" w:lineRule="auto"/>
      <w:ind w:firstLine="0"/>
    </w:pPr>
    <w:rPr>
      <w:rFonts w:ascii="Times New Roman" w:eastAsia="Times New Roman" w:hAnsi="Times New Roman" w:cs="Times New Roman"/>
      <w:kern w:val="0"/>
      <w:sz w:val="24"/>
      <w:szCs w:val="24"/>
      <w:lang w:val="de-DE" w:eastAsia="de-DE"/>
      <w14:ligatures w14:val="none"/>
    </w:rPr>
  </w:style>
  <w:style w:type="paragraph" w:customStyle="1" w:styleId="CIBIdentifiers">
    <w:name w:val="CIB Identifiers"/>
    <w:basedOn w:val="Normal"/>
    <w:link w:val="CIBIdentifiersChar"/>
    <w:qFormat/>
    <w:rsid w:val="00E8020C"/>
    <w:rPr>
      <w:rFonts w:ascii="Lucida Console" w:hAnsi="Lucida Console"/>
      <w:sz w:val="18"/>
    </w:rPr>
  </w:style>
  <w:style w:type="paragraph" w:styleId="EndnoteText">
    <w:name w:val="endnote text"/>
    <w:basedOn w:val="Normal"/>
    <w:link w:val="EndnoteTextChar"/>
    <w:uiPriority w:val="99"/>
    <w:semiHidden/>
    <w:unhideWhenUsed/>
    <w:rsid w:val="00247486"/>
    <w:pPr>
      <w:spacing w:after="0" w:line="240" w:lineRule="auto"/>
    </w:pPr>
    <w:rPr>
      <w:sz w:val="20"/>
      <w:szCs w:val="20"/>
    </w:rPr>
  </w:style>
  <w:style w:type="character" w:customStyle="1" w:styleId="CIBIdentifiersChar">
    <w:name w:val="CIB Identifiers Char"/>
    <w:basedOn w:val="DefaultParagraphFont"/>
    <w:link w:val="CIBIdentifiers"/>
    <w:rsid w:val="00E8020C"/>
    <w:rPr>
      <w:rFonts w:ascii="Lucida Console" w:hAnsi="Lucida Console" w:cs="Calibri"/>
      <w:sz w:val="18"/>
      <w:szCs w:val="22"/>
    </w:rPr>
  </w:style>
  <w:style w:type="character" w:customStyle="1" w:styleId="EndnoteTextChar">
    <w:name w:val="Endnote Text Char"/>
    <w:basedOn w:val="DefaultParagraphFont"/>
    <w:link w:val="EndnoteText"/>
    <w:uiPriority w:val="99"/>
    <w:semiHidden/>
    <w:rsid w:val="00247486"/>
    <w:rPr>
      <w:rFonts w:ascii="Calibri" w:hAnsi="Calibri" w:cs="Calibri"/>
      <w:sz w:val="20"/>
      <w:szCs w:val="20"/>
    </w:rPr>
  </w:style>
  <w:style w:type="character" w:styleId="EndnoteReference">
    <w:name w:val="endnote reference"/>
    <w:basedOn w:val="DefaultParagraphFont"/>
    <w:uiPriority w:val="99"/>
    <w:semiHidden/>
    <w:unhideWhenUsed/>
    <w:rsid w:val="00247486"/>
    <w:rPr>
      <w:vertAlign w:val="superscript"/>
    </w:rPr>
  </w:style>
  <w:style w:type="paragraph" w:styleId="FootnoteText">
    <w:name w:val="footnote text"/>
    <w:basedOn w:val="Normal"/>
    <w:link w:val="FootnoteTextChar"/>
    <w:uiPriority w:val="99"/>
    <w:semiHidden/>
    <w:unhideWhenUsed/>
    <w:rsid w:val="002474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7486"/>
    <w:rPr>
      <w:rFonts w:ascii="Calibri" w:hAnsi="Calibri" w:cs="Calibri"/>
      <w:sz w:val="20"/>
      <w:szCs w:val="20"/>
    </w:rPr>
  </w:style>
  <w:style w:type="character" w:styleId="FootnoteReference">
    <w:name w:val="footnote reference"/>
    <w:basedOn w:val="DefaultParagraphFont"/>
    <w:uiPriority w:val="99"/>
    <w:semiHidden/>
    <w:unhideWhenUsed/>
    <w:rsid w:val="00247486"/>
    <w:rPr>
      <w:vertAlign w:val="superscript"/>
    </w:rPr>
  </w:style>
  <w:style w:type="character" w:styleId="Emphasis">
    <w:name w:val="Emphasis"/>
    <w:basedOn w:val="DefaultParagraphFont"/>
    <w:uiPriority w:val="20"/>
    <w:qFormat/>
    <w:rsid w:val="00E26C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4878">
      <w:bodyDiv w:val="1"/>
      <w:marLeft w:val="0"/>
      <w:marRight w:val="0"/>
      <w:marTop w:val="0"/>
      <w:marBottom w:val="0"/>
      <w:divBdr>
        <w:top w:val="none" w:sz="0" w:space="0" w:color="auto"/>
        <w:left w:val="none" w:sz="0" w:space="0" w:color="auto"/>
        <w:bottom w:val="none" w:sz="0" w:space="0" w:color="auto"/>
        <w:right w:val="none" w:sz="0" w:space="0" w:color="auto"/>
      </w:divBdr>
    </w:div>
    <w:div w:id="395130671">
      <w:bodyDiv w:val="1"/>
      <w:marLeft w:val="0"/>
      <w:marRight w:val="0"/>
      <w:marTop w:val="0"/>
      <w:marBottom w:val="0"/>
      <w:divBdr>
        <w:top w:val="none" w:sz="0" w:space="0" w:color="auto"/>
        <w:left w:val="none" w:sz="0" w:space="0" w:color="auto"/>
        <w:bottom w:val="none" w:sz="0" w:space="0" w:color="auto"/>
        <w:right w:val="none" w:sz="0" w:space="0" w:color="auto"/>
      </w:divBdr>
    </w:div>
    <w:div w:id="466093443">
      <w:bodyDiv w:val="1"/>
      <w:marLeft w:val="0"/>
      <w:marRight w:val="0"/>
      <w:marTop w:val="0"/>
      <w:marBottom w:val="0"/>
      <w:divBdr>
        <w:top w:val="none" w:sz="0" w:space="0" w:color="auto"/>
        <w:left w:val="none" w:sz="0" w:space="0" w:color="auto"/>
        <w:bottom w:val="none" w:sz="0" w:space="0" w:color="auto"/>
        <w:right w:val="none" w:sz="0" w:space="0" w:color="auto"/>
      </w:divBdr>
    </w:div>
    <w:div w:id="630668814">
      <w:bodyDiv w:val="1"/>
      <w:marLeft w:val="0"/>
      <w:marRight w:val="0"/>
      <w:marTop w:val="0"/>
      <w:marBottom w:val="0"/>
      <w:divBdr>
        <w:top w:val="none" w:sz="0" w:space="0" w:color="auto"/>
        <w:left w:val="none" w:sz="0" w:space="0" w:color="auto"/>
        <w:bottom w:val="none" w:sz="0" w:space="0" w:color="auto"/>
        <w:right w:val="none" w:sz="0" w:space="0" w:color="auto"/>
      </w:divBdr>
      <w:divsChild>
        <w:div w:id="1534464152">
          <w:marLeft w:val="0"/>
          <w:marRight w:val="0"/>
          <w:marTop w:val="100"/>
          <w:marBottom w:val="100"/>
          <w:divBdr>
            <w:top w:val="single" w:sz="2" w:space="0" w:color="auto"/>
            <w:left w:val="single" w:sz="2" w:space="0" w:color="auto"/>
            <w:bottom w:val="single" w:sz="2" w:space="0" w:color="auto"/>
            <w:right w:val="single" w:sz="2" w:space="0" w:color="auto"/>
          </w:divBdr>
          <w:divsChild>
            <w:div w:id="893545021">
              <w:marLeft w:val="0"/>
              <w:marRight w:val="0"/>
              <w:marTop w:val="0"/>
              <w:marBottom w:val="0"/>
              <w:divBdr>
                <w:top w:val="single" w:sz="2" w:space="0" w:color="auto"/>
                <w:left w:val="single" w:sz="2" w:space="0" w:color="auto"/>
                <w:bottom w:val="single" w:sz="2" w:space="0" w:color="auto"/>
                <w:right w:val="single" w:sz="2" w:space="0" w:color="auto"/>
              </w:divBdr>
              <w:divsChild>
                <w:div w:id="933635192">
                  <w:marLeft w:val="0"/>
                  <w:marRight w:val="0"/>
                  <w:marTop w:val="0"/>
                  <w:marBottom w:val="0"/>
                  <w:divBdr>
                    <w:top w:val="single" w:sz="2" w:space="0" w:color="auto"/>
                    <w:left w:val="single" w:sz="2" w:space="0" w:color="auto"/>
                    <w:bottom w:val="single" w:sz="2" w:space="0" w:color="auto"/>
                    <w:right w:val="single" w:sz="2" w:space="0" w:color="auto"/>
                  </w:divBdr>
                  <w:divsChild>
                    <w:div w:id="1279066567">
                      <w:marLeft w:val="0"/>
                      <w:marRight w:val="0"/>
                      <w:marTop w:val="0"/>
                      <w:marBottom w:val="0"/>
                      <w:divBdr>
                        <w:top w:val="single" w:sz="2" w:space="0" w:color="auto"/>
                        <w:left w:val="single" w:sz="2" w:space="0" w:color="auto"/>
                        <w:bottom w:val="single" w:sz="2" w:space="0" w:color="auto"/>
                        <w:right w:val="single" w:sz="2" w:space="0" w:color="auto"/>
                      </w:divBdr>
                      <w:divsChild>
                        <w:div w:id="313291599">
                          <w:marLeft w:val="0"/>
                          <w:marRight w:val="0"/>
                          <w:marTop w:val="0"/>
                          <w:marBottom w:val="0"/>
                          <w:divBdr>
                            <w:top w:val="single" w:sz="2" w:space="0" w:color="auto"/>
                            <w:left w:val="single" w:sz="2" w:space="0" w:color="auto"/>
                            <w:bottom w:val="single" w:sz="2" w:space="0" w:color="auto"/>
                            <w:right w:val="single" w:sz="2" w:space="0" w:color="auto"/>
                          </w:divBdr>
                          <w:divsChild>
                            <w:div w:id="8858697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950622787">
      <w:bodyDiv w:val="1"/>
      <w:marLeft w:val="0"/>
      <w:marRight w:val="0"/>
      <w:marTop w:val="0"/>
      <w:marBottom w:val="0"/>
      <w:divBdr>
        <w:top w:val="none" w:sz="0" w:space="0" w:color="auto"/>
        <w:left w:val="none" w:sz="0" w:space="0" w:color="auto"/>
        <w:bottom w:val="none" w:sz="0" w:space="0" w:color="auto"/>
        <w:right w:val="none" w:sz="0" w:space="0" w:color="auto"/>
      </w:divBdr>
    </w:div>
    <w:div w:id="1095856437">
      <w:bodyDiv w:val="1"/>
      <w:marLeft w:val="0"/>
      <w:marRight w:val="0"/>
      <w:marTop w:val="0"/>
      <w:marBottom w:val="0"/>
      <w:divBdr>
        <w:top w:val="none" w:sz="0" w:space="0" w:color="auto"/>
        <w:left w:val="none" w:sz="0" w:space="0" w:color="auto"/>
        <w:bottom w:val="none" w:sz="0" w:space="0" w:color="auto"/>
        <w:right w:val="none" w:sz="0" w:space="0" w:color="auto"/>
      </w:divBdr>
    </w:div>
    <w:div w:id="1222642820">
      <w:bodyDiv w:val="1"/>
      <w:marLeft w:val="0"/>
      <w:marRight w:val="0"/>
      <w:marTop w:val="0"/>
      <w:marBottom w:val="0"/>
      <w:divBdr>
        <w:top w:val="none" w:sz="0" w:space="0" w:color="auto"/>
        <w:left w:val="none" w:sz="0" w:space="0" w:color="auto"/>
        <w:bottom w:val="none" w:sz="0" w:space="0" w:color="auto"/>
        <w:right w:val="none" w:sz="0" w:space="0" w:color="auto"/>
      </w:divBdr>
    </w:div>
    <w:div w:id="1780297947">
      <w:bodyDiv w:val="1"/>
      <w:marLeft w:val="0"/>
      <w:marRight w:val="0"/>
      <w:marTop w:val="0"/>
      <w:marBottom w:val="0"/>
      <w:divBdr>
        <w:top w:val="none" w:sz="0" w:space="0" w:color="auto"/>
        <w:left w:val="none" w:sz="0" w:space="0" w:color="auto"/>
        <w:bottom w:val="none" w:sz="0" w:space="0" w:color="auto"/>
        <w:right w:val="none" w:sz="0" w:space="0" w:color="auto"/>
      </w:divBdr>
    </w:div>
    <w:div w:id="1803424976">
      <w:bodyDiv w:val="1"/>
      <w:marLeft w:val="0"/>
      <w:marRight w:val="0"/>
      <w:marTop w:val="0"/>
      <w:marBottom w:val="0"/>
      <w:divBdr>
        <w:top w:val="none" w:sz="0" w:space="0" w:color="auto"/>
        <w:left w:val="none" w:sz="0" w:space="0" w:color="auto"/>
        <w:bottom w:val="none" w:sz="0" w:space="0" w:color="auto"/>
        <w:right w:val="none" w:sz="0" w:space="0" w:color="auto"/>
      </w:divBdr>
    </w:div>
    <w:div w:id="1849828458">
      <w:bodyDiv w:val="1"/>
      <w:marLeft w:val="0"/>
      <w:marRight w:val="0"/>
      <w:marTop w:val="0"/>
      <w:marBottom w:val="0"/>
      <w:divBdr>
        <w:top w:val="none" w:sz="0" w:space="0" w:color="auto"/>
        <w:left w:val="none" w:sz="0" w:space="0" w:color="auto"/>
        <w:bottom w:val="none" w:sz="0" w:space="0" w:color="auto"/>
        <w:right w:val="none" w:sz="0" w:space="0" w:color="auto"/>
      </w:divBdr>
    </w:div>
    <w:div w:id="1999262539">
      <w:bodyDiv w:val="1"/>
      <w:marLeft w:val="0"/>
      <w:marRight w:val="0"/>
      <w:marTop w:val="0"/>
      <w:marBottom w:val="0"/>
      <w:divBdr>
        <w:top w:val="none" w:sz="0" w:space="0" w:color="auto"/>
        <w:left w:val="none" w:sz="0" w:space="0" w:color="auto"/>
        <w:bottom w:val="none" w:sz="0" w:space="0" w:color="auto"/>
        <w:right w:val="none" w:sz="0" w:space="0" w:color="auto"/>
      </w:divBdr>
    </w:div>
    <w:div w:id="200635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www.oekobaudat.de/" TargetMode="External"/><Relationship Id="rId1" Type="http://schemas.openxmlformats.org/officeDocument/2006/relationships/hyperlink" Target="https://bitbucket.org/beibob/elca/src/master/lib/ifcparser/KG.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AB3C2-55CD-4A31-9E71-7E723346A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10321</Words>
  <Characters>65024</Characters>
  <Application>Microsoft Office Word</Application>
  <DocSecurity>0</DocSecurity>
  <Lines>541</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Fusun Cemre Karaoglan Yazici</cp:lastModifiedBy>
  <cp:revision>3</cp:revision>
  <cp:lastPrinted>2026-09-14T12:56:00Z</cp:lastPrinted>
  <dcterms:created xsi:type="dcterms:W3CDTF">2026-06-29T21:29:00Z</dcterms:created>
  <dcterms:modified xsi:type="dcterms:W3CDTF">2026-09-14T12:56:00Z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y fmtid="{D5CDD505-2E9C-101B-9397-08002B2CF9AE}" pid="3" name="ZOTERO_PREF_1">
    <vt:lpwstr>&lt;data data-version="3" zotero-version="9.0.6"&gt;&lt;session id="ZWQ3RLx4"/&gt;&lt;style id="http://www.zotero.org/styles/elsevier-harvard" hasBibliography="1" bibliographyStyleHasBeenSet="1"/&gt;&lt;prefs&gt;&lt;pref name="fieldType" value="Field"/&gt;&lt;pref name="automaticJournalA</vt:lpwstr>
  </property>
  <property fmtid="{D5CDD505-2E9C-101B-9397-08002B2CF9AE}" pid="4" name="ZOTERO_PREF_2">
    <vt:lpwstr>bbreviations" value="true"/&gt;&lt;/prefs&gt;&lt;/data&gt;</vt:lpwstr>
  </property>
</Properties>
</file>