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4952A8" w14:textId="2A2B7D9A" w:rsidR="005076E1" w:rsidRPr="00FF7847" w:rsidRDefault="00BC7277" w:rsidP="0073049A">
      <w:pPr>
        <w:pStyle w:val="a4"/>
      </w:pPr>
      <w:r w:rsidRPr="00FF7847">
        <w:t>Toward LLM-Executable Commissioning of Construction Robots: Issue-Based Diagnosis of a Simulator-to-Real Excavator Posture Discrepancy</w:t>
      </w:r>
    </w:p>
    <w:p w14:paraId="7EF4B119" w14:textId="25354497" w:rsidR="005076E1" w:rsidRPr="00FF7847" w:rsidRDefault="005D5391" w:rsidP="0073049A">
      <w:pPr>
        <w:pStyle w:val="af2"/>
      </w:pPr>
      <w:r w:rsidRPr="00FF7847">
        <w:t>Ryoko</w:t>
      </w:r>
      <w:r w:rsidRPr="00FF7847">
        <w:rPr>
          <w:rFonts w:hint="eastAsia"/>
        </w:rPr>
        <w:t xml:space="preserve"> Arashida</w:t>
      </w:r>
      <w:proofErr w:type="gramStart"/>
      <w:r w:rsidR="005076E1" w:rsidRPr="00FF7847">
        <w:rPr>
          <w:vertAlign w:val="superscript"/>
        </w:rPr>
        <w:t>1</w:t>
      </w:r>
      <w:r w:rsidRPr="00FF7847">
        <w:rPr>
          <w:rFonts w:hint="eastAsia"/>
          <w:vertAlign w:val="superscript"/>
        </w:rPr>
        <w:t>,</w:t>
      </w:r>
      <w:r w:rsidR="005076E1" w:rsidRPr="00FF7847">
        <w:rPr>
          <w:vertAlign w:val="superscript"/>
        </w:rPr>
        <w:t>*</w:t>
      </w:r>
      <w:proofErr w:type="gramEnd"/>
      <w:r w:rsidR="005076E1" w:rsidRPr="00FF7847">
        <w:t xml:space="preserve">, </w:t>
      </w:r>
      <w:r w:rsidRPr="00FF7847">
        <w:rPr>
          <w:rFonts w:hint="eastAsia"/>
        </w:rPr>
        <w:t>Masahide Horita</w:t>
      </w:r>
      <w:r w:rsidR="005076E1" w:rsidRPr="00FF7847">
        <w:t xml:space="preserve"> </w:t>
      </w:r>
      <w:r w:rsidRPr="00FF7847">
        <w:rPr>
          <w:rFonts w:hint="eastAsia"/>
          <w:vertAlign w:val="superscript"/>
        </w:rPr>
        <w:t>1</w:t>
      </w:r>
    </w:p>
    <w:p w14:paraId="0C3B0385" w14:textId="77777777" w:rsidR="005076E1" w:rsidRPr="00FF7847" w:rsidRDefault="005076E1" w:rsidP="0073049A">
      <w:pPr>
        <w:pStyle w:val="Author"/>
        <w:ind w:firstLine="0"/>
      </w:pPr>
    </w:p>
    <w:p w14:paraId="399171BA" w14:textId="176568EA" w:rsidR="005076E1" w:rsidRPr="00FF7847" w:rsidRDefault="005076E1" w:rsidP="0073049A">
      <w:pPr>
        <w:pStyle w:val="af4"/>
      </w:pPr>
      <w:r w:rsidRPr="00FF7847">
        <w:rPr>
          <w:vertAlign w:val="superscript"/>
        </w:rPr>
        <w:t xml:space="preserve">1 </w:t>
      </w:r>
      <w:r w:rsidR="005D5391" w:rsidRPr="00FF7847">
        <w:t>the</w:t>
      </w:r>
      <w:r w:rsidR="005D5391" w:rsidRPr="00FF7847">
        <w:rPr>
          <w:rFonts w:hint="eastAsia"/>
        </w:rPr>
        <w:t xml:space="preserve"> </w:t>
      </w:r>
      <w:r w:rsidR="005D5391" w:rsidRPr="00FF7847">
        <w:t>University</w:t>
      </w:r>
      <w:r w:rsidR="005D5391" w:rsidRPr="00FF7847">
        <w:rPr>
          <w:rFonts w:hint="eastAsia"/>
        </w:rPr>
        <w:t xml:space="preserve"> of Tokyo</w:t>
      </w:r>
      <w:r w:rsidR="005D5391" w:rsidRPr="00FF7847">
        <w:t xml:space="preserve">, </w:t>
      </w:r>
      <w:r w:rsidR="005D5391" w:rsidRPr="00FF7847">
        <w:rPr>
          <w:rFonts w:hint="eastAsia"/>
        </w:rPr>
        <w:t>Tokyo</w:t>
      </w:r>
      <w:r w:rsidR="005D5391" w:rsidRPr="00FF7847">
        <w:t xml:space="preserve">, </w:t>
      </w:r>
      <w:r w:rsidR="005D5391" w:rsidRPr="00FF7847">
        <w:rPr>
          <w:rFonts w:hint="eastAsia"/>
        </w:rPr>
        <w:t>Japan</w:t>
      </w:r>
    </w:p>
    <w:p w14:paraId="1BC4AD16" w14:textId="661F5117" w:rsidR="005076E1" w:rsidRPr="00FF7847" w:rsidRDefault="005076E1" w:rsidP="0073049A">
      <w:pPr>
        <w:pStyle w:val="mail"/>
      </w:pPr>
      <w:r w:rsidRPr="00FF7847">
        <w:rPr>
          <w:vertAlign w:val="superscript"/>
        </w:rPr>
        <w:t>*</w:t>
      </w:r>
      <w:r w:rsidRPr="00FF7847">
        <w:t xml:space="preserve">Corresponding email: </w:t>
      </w:r>
      <w:r w:rsidR="005D5391" w:rsidRPr="00FF7847">
        <w:t>arashida@i-con.t.u-tokyo.ac.jp</w:t>
      </w:r>
    </w:p>
    <w:p w14:paraId="6330E787" w14:textId="77777777" w:rsidR="005076E1" w:rsidRPr="00FF7847" w:rsidRDefault="005076E1" w:rsidP="001A47C0"/>
    <w:p w14:paraId="662F0B45" w14:textId="527DEFD0" w:rsidR="005076E1" w:rsidRPr="00FF7847" w:rsidRDefault="005076E1" w:rsidP="0073049A">
      <w:pPr>
        <w:pStyle w:val="af6"/>
      </w:pPr>
      <w:r w:rsidRPr="00FF7847">
        <w:t>ABSTRACT</w:t>
      </w:r>
    </w:p>
    <w:p w14:paraId="26D81031" w14:textId="13EEA2E3" w:rsidR="00FF1B59" w:rsidRPr="00FF7847" w:rsidRDefault="00EA15EA" w:rsidP="00FF1B59">
      <w:pPr>
        <w:pStyle w:val="af8"/>
      </w:pPr>
      <w:r w:rsidRPr="00FF7847">
        <w:t xml:space="preserve">Autonomous construction requires a commissioning process that adapts generic simulated motions to site- and machine-specific execution behavior before real deployment. This paper proposes an issue-based, LLM-executable commissioning framework for diagnosing physical simulator-to-real discrepancies in construction robot motions. The framework represents an observed discrepancy as a structured issue and decomposes it into execution stages, branch hypotheses, targeted evidence collection, diagnostic treatment, and reusable corrective actions. OpenAI Codex was used as the LLM-based diagnostic and coding agent, while real-machine execution and physical measurements were supervised by the researcher for safety and practical access to the testbed. </w:t>
      </w:r>
      <w:r w:rsidR="0013307D" w:rsidRPr="0013307D">
        <w:t>The framework was demonstrated in a single commissioning case using a ROS 2 Foxy-based scale-model excavator robot converted from a commercially available radio-controlled excavator.</w:t>
      </w:r>
      <w:r w:rsidRPr="00FF7847">
        <w:t xml:space="preserve"> The case study analyzed a simulator-to-real excavator posture discrepancy in which floor contact was observed although the initial simulator predicted sufficient clearance. The diagnosis led to command-to-posture calibration, bucket geometry updates, lowest-point evaluation, and residual uncertainty registration, reducing the minimum-height error from 3.891 cm to 0.185 cm. </w:t>
      </w:r>
      <w:r w:rsidR="0013307D" w:rsidRPr="0013307D">
        <w:t>The case demonstrates the feasibility of using LLM-executable issue diagnosis to convert a physical sim-to-real discrepancy into reusable simulator and evaluation updates for subsequent motion optimization.</w:t>
      </w:r>
    </w:p>
    <w:p w14:paraId="3D8E7506" w14:textId="77777777" w:rsidR="001A47C0" w:rsidRPr="00FF7847" w:rsidRDefault="001A47C0" w:rsidP="0073049A">
      <w:pPr>
        <w:pStyle w:val="af8"/>
      </w:pPr>
    </w:p>
    <w:p w14:paraId="19E47564" w14:textId="1C9F3B7F" w:rsidR="005076E1" w:rsidRPr="00FF7847" w:rsidRDefault="005076E1" w:rsidP="000A49F2">
      <w:pPr>
        <w:pStyle w:val="1"/>
      </w:pPr>
      <w:r w:rsidRPr="00FF7847">
        <w:t xml:space="preserve">INTRODUCTION </w:t>
      </w:r>
    </w:p>
    <w:p w14:paraId="1CF11293" w14:textId="6905F624" w:rsidR="00FD2980" w:rsidRPr="00FF7847" w:rsidRDefault="00FD2980" w:rsidP="00FD2980">
      <w:r w:rsidRPr="00FF7847">
        <w:t>Autonomous construction is increasingly expected to integrate construction planning, motion optimization, digital simulation, and real-machine execution. Robotic excavator systems and autonomous earthwork machinery have demonstrated progress in excavation, truck loading, planning, control, and digital-twin integration</w:t>
      </w:r>
      <w:r w:rsidRPr="00FF7847">
        <w:rPr>
          <w:rFonts w:hint="eastAsia"/>
          <w:lang w:eastAsia="ja-JP"/>
        </w:rPr>
        <w:t xml:space="preserve"> </w:t>
      </w:r>
      <w:r w:rsidRPr="00FF7847">
        <w:rPr>
          <w:lang w:eastAsia="ja-JP"/>
        </w:rPr>
        <w:fldChar w:fldCharType="begin"/>
      </w:r>
      <w:r w:rsidRPr="00FF7847">
        <w:rPr>
          <w:lang w:eastAsia="ja-JP"/>
        </w:rPr>
        <w:instrText xml:space="preserve"> ADDIN ZOTERO_ITEM CSL_CITATION {"citationID":"MOrpQupV","properties":{"unsorted":false,"formattedCitation":"(Johns, R. L. et al., 2023; Jud, D. et al., 2021; Liu, Z. &amp; Kim, J. I., 2025; Stentz, A. et al., 1999; Terenzi, L. &amp; Hutter, M., 2024)","plainCitation":"(Johns, R. L. et al., 2023; Jud, D. et al., 2021; Liu, Z. &amp; Kim, J. I., 2025; Stentz, A. et al., 1999; Terenzi, L. &amp; Hutter, M., 2024)","noteIndex":0},"citationItems":[{"id":521,"uris":["http://zotero.org/users/18446719/items/LFZ5CZCC"],"itemData":{"id":521,"type":"article-journal","abstract":"Automated building processes that enable efficient in situ resource utilization can facilitate construction in remote locations while simultaneously offering a carbon-reducing alternative to commonplace building practices. Toward these ends, we present a robotic construction pipeline that is capable of planning and building freeform stone walls and landscapes from highly heterogeneous local materials using a robotic excavator equipped with a shovel and gripper. Our system learns from real and simulated data to facilitate the online detection and segmentation of stone instances in spatial maps, enabling robotic grasping and textured 3D scanning of individual stones and rubble elements. Given a limited inventory of these digitized stones, our geometric planning algorithm uses a combination of constrained registration and signed-distance-field classification to determine how these should be positioned toward the formation of stable and explicitly shaped structures. We present a holistic approach for the robotic manipulation of complex objects toward dry stone construction and use the same hardware and mapping to facilitate autonomous terrain-shaping on a single construction site. Our process is demonstrated with the construction of a freestanding stone wall (10 meters by 1.7 meters by 4 meters) and a permanent retaining wall (65.5 meters by 1.8 meters by 6 meters) that is integrated with robotically contoured terraces (665 square meters). The work illustrates the potential of autonomous heavy construction vehicles to build adaptively with highly irregular, abundant, and sustainable materials that require little to no transportation and preprocessing.","container-title":"Science Robotics","DOI":"10.1126/scirobotics.abp9758","issue":"84","journalAbbreviation":"Sci. Robot.","page":"eabp9758","publisher":"American Association for the Advancement of Science","source":"science.org (Atypon)","title":"A framework for robotic excavation and dry stone construction using on-site materials","volume":"8","author":[{"family":"Johns","given":"Ryan Luke"},{"family":"Wermelinger","given":"Martin"},{"family":"Mascaro","given":"Ruben"},{"family":"Jud","given":"Dominic"},{"family":"Hurkxkens","given":"Ilmar"},{"family":"Vasey","given":"Lauren"},{"family":"Chli","given":"Margarita"},{"family":"Gramazio","given":"Fabio"},{"family":"Kohler","given":"Matthias"},{"family":"Hutter","given":"Marco"}],"issued":{"date-parts":[["2023",11,22]]}}},{"id":438,"uris":["http://zotero.org/users/18446719/items/MI37DHAH"],"itemData":{"id":438,"type":"article-journal","abstract":"The demand and the potential for automation in the construction sector is unmatched, particularly for increasing environmental sustainability, improving worker safety and reducing labor shortages. We have developed an autonomous walking excavator - based one of the most versatile machines found on construction sites - as one way to begin fulfilling this potential. This article describes the process of converting an off-the-shelf construction machine into an autonomous robotic system. First we outline the necessary sensing equipment for full autonomy and the novel actuation of the legs, and compare three different complementary actuation principles for the excavator's arm. Second, we solve the state estimation problem for a general wheeled-legged robot. Beside kinematic measurements, it includes GNSS-RTK, to absolutely reference the machine on a construction site. Third, we developed individual controllers for driving, chassis balancing and arm motions allowing for fully autonomous operation. Lastly, we highlight the machine's potential in four different real-world applications, e.g. autonomous trench digging, autonomous assembly of dry stone walls, autonomous forestry work and semi-autonomous teleoperation. On top, we also share some development insights and possible future research directions.","container-title":"Automation in Construction","DOI":"10.1016/j.autcon.2021.103783","ISSN":"0926-5805","journalAbbreviation":"Automation in Construction","page":"103783","source":"ScienceDirect","title":"HEAP - The autonomous walking excavator","volume":"129","author":[{"family":"Jud","given":"Dominic"},{"family":"Kerscher","given":"Simon"},{"family":"Wermelinger","given":"Martin"},{"family":"Jelavic","given":"Edo"},{"family":"Egli","given":"Pascal"},{"family":"Leemann","given":"Philipp"},{"family":"Hottiger","given":"Gabriel"},{"family":"Hutter","given":"Marco"}],"issued":{"date-parts":[["2021",9,1]]}}},{"id":510,"uris":["http://zotero.org/users/18446719/items/WA8RB6GD"],"itemData":{"id":510,"type":"article-journal","container-title":"Buildings","DOI":"10.3390/buildings15142570","issue":"14","page":"2570","publisher":"Multidisciplinary Digital Publishing Institute","source":"Google Scholar","title":"Autonomous Earthwork Machinery for Urban Construction: A Review of Integrated Control, Fleet Coordination, and Safety Assurance","title-short":"Autonomous earthwork machinery for urban construction","volume":"15","author":[{"family":"Liu","given":"Zeru"},{"family":"Kim","given":"Jung In"}],"issued":{"date-parts":[["2025",1]]}}},{"id":450,"uris":["http://zotero.org/users/18446719/items/4KWW8BWG"],"itemData":{"id":450,"type":"article-journal","container-title":"Autonomous Robots","DOI":"10.1023/A:1008914201877","ISSN":"0929-5593, 1573-7527","issue":"2","journalAbbreviation":"Autonomous Robots","license":"https://www.springernature.com/gp/researchers/text-and-data-mining","page":"175-186","source":"DOI.org (Crossref)","title":"A Robotic Excavator for Autonomous Truck Loading","volume":"7","author":[{"family":"Stentz","given":"Anthony"},{"family":"Bares","given":"John"},{"family":"Singh","given":"Sanjiv"},{"family":"Rowe","given":"Patrick"}],"issued":{"date-parts":[["1999",9]]}}},{"id":528,"uris":["http://zotero.org/users/18446719/items/CWDQBYQG"],"itemData":{"id":528,"type":"article-journal","abstract":"Excavation plans are essential in construction projects, dictating the dirt disposal strategy and excavation sequence based on the final geometry and machinery available. While most construction processes rely heavily on coarse sequence planning and local execution planning driven by human expertise and intuition, fully automated planning tools are notably absent from the industry. This article introduces a fully autonomous excavation planning system. Initially, the site is mapped, followed by user selection of the desired excavation geometry. The system then invokes a global planner to determine the sequence of poses for the excavator, ensuring complete site coverage. For each pose, a local excavation planner decides how to move the soil around the machine, and a digging planner subsequently dictates the sequence of digging trajectories to complete a patch. We showcased our system by autonomously excavating the largest pit documented so far, achieving an average digging cycle time of roughly 30 s.","container-title":"IEEE Transactions on Field Robotics","DOI":"10.1109/TFR.2024.3485037","ISSN":"2997-1101","page":"292-317","publisher":"IEEE","source":"IEEE Xplore","title":"Toward Autonomous Excavation Planning","volume":"1","author":[{"family":"Terenzi","given":"Lorenzo"},{"family":"Hutter","given":"Marco"}],"issued":{"date-parts":[["2024"]]}}}],"schema":"https://github.com/citation-style-language/schema/raw/master/csl-citation.json"} </w:instrText>
      </w:r>
      <w:r w:rsidRPr="00FF7847">
        <w:rPr>
          <w:lang w:eastAsia="ja-JP"/>
        </w:rPr>
        <w:fldChar w:fldCharType="separate"/>
      </w:r>
      <w:r w:rsidRPr="00FF7847">
        <w:rPr>
          <w:lang w:eastAsia="ja-JP"/>
        </w:rPr>
        <w:t>(Johns, R. L. et al., 2023; Jud, D. et al., 2021; Liu, Z. &amp; Kim, J. I., 2025; Stentz, A. et al., 1999; Terenzi, L. &amp; Hutter, M., 2024)</w:t>
      </w:r>
      <w:r w:rsidRPr="00FF7847">
        <w:rPr>
          <w:lang w:eastAsia="ja-JP"/>
        </w:rPr>
        <w:fldChar w:fldCharType="end"/>
      </w:r>
      <w:r w:rsidRPr="00FF7847">
        <w:t>. However, practical deployment requires more than generating motion plans in simulation. A selected motion must also be commissioned against the site- and machine-specific execution behavior of the actual construction robot.</w:t>
      </w:r>
    </w:p>
    <w:p w14:paraId="40861713" w14:textId="77777777" w:rsidR="00FD2980" w:rsidRPr="00FF7847" w:rsidRDefault="00FD2980" w:rsidP="00FD2980">
      <w:r w:rsidRPr="00FF7847">
        <w:t>This commissioning step is difficult because the machine available at a site may differ from the assumed simulator in attachment geometry, calibration state, command interpretation, control response, and setup condition. A motion that appears feasible in a generic simulator may therefore fail or diverge when replayed on the real machine. In conventional operation, human operators and engineers can observe the behavior, adjust commands, and avoid problematic motions through experience. In unmanned or minimally supervised construction, this human-centered troubleshooting process cannot be assumed. Moreover, real-machine trials are constrained by safety, equipment load, setup time, and measurement cost. Commissioning therefore requires targeted diagnostic experimentation rather than random or exhaustive parameter tuning.</w:t>
      </w:r>
    </w:p>
    <w:p w14:paraId="13F6B5EF" w14:textId="77777777" w:rsidR="00FD2980" w:rsidRPr="00FF7847" w:rsidRDefault="00FD2980" w:rsidP="00FD2980">
      <w:r w:rsidRPr="00FF7847">
        <w:lastRenderedPageBreak/>
        <w:t>For autonomous construction, the commissioning process itself must eventually be executable without relying on an on-site human operator to formulate hypotheses, decide the next test, and translate observations into model updates. This paper therefore proposes an issue-based LLM-executable commissioning framework for construction robots. The framework treats each simulator-to-real discrepancy as a structured issue and decomposes it into execution stages, cause categories, branch hypotheses, targeted evidence collection, diagnostic treatment, and corrective actions. The objective is not merely to find a command that works on the real machine, but to diagnose why a simulator-selected motion fails or diverges and to convert the finding into reusable planning information, such as simulator updates, evaluation updates, machine-specific constraints, or residual uncertainty items.</w:t>
      </w:r>
    </w:p>
    <w:p w14:paraId="0B6EA398" w14:textId="77777777" w:rsidR="00FD2980" w:rsidRPr="00FF7847" w:rsidRDefault="00FD2980" w:rsidP="00FD2980">
      <w:r w:rsidRPr="00FF7847">
        <w:t>In the proposed framework, the LLM-based agent manages the diagnostic reasoning loop. Its role is to organize hypotheses, request measurements or tests, generate replay and analysis code, inspect logs and simulator outputs, interpret returned evidence, and propose corrective actions. In the present implementation, the physical action layer was human-supervised: the researcher launched real-machine trials and performed physical measurements for safety, equipment protection, and practical access to the testbed. However, the diagnostic workflow was structured so that these physical actions could be replaced by automated sensing, standardized logging, and safety-aware execution modules in future deployments.</w:t>
      </w:r>
    </w:p>
    <w:p w14:paraId="160A1530" w14:textId="030DAC4D" w:rsidR="005D2BB2" w:rsidRPr="00FF7847" w:rsidRDefault="00FD2980" w:rsidP="00FD2980">
      <w:r w:rsidRPr="00FF7847">
        <w:t xml:space="preserve">The framework is demonstrated through excavator motion commissioning using a ROS 2 Foxy-based scale-model excavator robot testbed. The case study analyzes a simulator-to-real excavator posture discrepancy in which the simulator predicted sufficient bucket-floor </w:t>
      </w:r>
      <w:proofErr w:type="gramStart"/>
      <w:r w:rsidRPr="00FF7847">
        <w:t>clearance</w:t>
      </w:r>
      <w:proofErr w:type="gramEnd"/>
      <w:r w:rsidRPr="00FF7847">
        <w:t xml:space="preserve"> but floor contact was observed during real-machine replay. The main contribution of this paper is an issue-based, LLM-executable commissioning framework that enables an LLM-based agent to improve a construction robot simulator through a closed diagnostic loop: decomposing an observed discrepancy into execution stages and testable branch hypotheses, assigning targeted evidence collection, interpreting returned measurements and logs, and converting the diagnosis into simulator updates, candidate-evaluation updates, and residual uncertainty items.</w:t>
      </w:r>
    </w:p>
    <w:p w14:paraId="13326868" w14:textId="77777777" w:rsidR="006E77D5" w:rsidRPr="00FF7847" w:rsidRDefault="006E77D5" w:rsidP="001A47C0"/>
    <w:p w14:paraId="64EA7039" w14:textId="6692FD12" w:rsidR="00D6057A" w:rsidRPr="00FF7847" w:rsidRDefault="0073049A" w:rsidP="001A47C0">
      <w:pPr>
        <w:pStyle w:val="1"/>
      </w:pPr>
      <w:r w:rsidRPr="00FF7847">
        <w:rPr>
          <w:rFonts w:hint="eastAsia"/>
          <w:lang w:eastAsia="ja-JP"/>
        </w:rPr>
        <w:t>RELATED WORK</w:t>
      </w:r>
    </w:p>
    <w:p w14:paraId="236A3959" w14:textId="37D860F6" w:rsidR="00EA15EA" w:rsidRPr="00FF7847" w:rsidRDefault="00EA15EA" w:rsidP="00EA15EA">
      <w:r w:rsidRPr="00FF7847">
        <w:rPr>
          <w:lang w:eastAsia="ja-JP"/>
        </w:rPr>
        <w:t>Autonomous construction robots have been studied for excavation, earthmoving, material handling, assembly, and inspection. In excavation and earthmoving, prior studies have demonstrated autonomous truck loading, full-scale hydraulic excavator operation, excavation planning, and robotic construction using on-site materials</w:t>
      </w:r>
      <w:r w:rsidR="005D2BB2" w:rsidRPr="00FF7847">
        <w:rPr>
          <w:lang w:eastAsia="ja-JP"/>
        </w:rPr>
        <w:t xml:space="preserve"> </w:t>
      </w:r>
      <w:r w:rsidR="005D2BB2" w:rsidRPr="00FF7847">
        <w:rPr>
          <w:lang w:eastAsia="ja-JP"/>
        </w:rPr>
        <w:fldChar w:fldCharType="begin"/>
      </w:r>
      <w:r w:rsidR="005D2BB2" w:rsidRPr="00FF7847">
        <w:rPr>
          <w:lang w:eastAsia="ja-JP"/>
        </w:rPr>
        <w:instrText xml:space="preserve"> ADDIN ZOTERO_ITEM CSL_CITATION {"citationID":"zitHqPog","properties":{"unsorted":false,"formattedCitation":"(Johns, R. L. et al., 2023; Jud, D. et al., 2021; Stentz, A. et al., 1999; Terenzi, L. &amp; Hutter, M., 2024)","plainCitation":"(Johns, R. L. et al., 2023; Jud, D. et al., 2021; Stentz, A. et al., 1999; Terenzi, L. &amp; Hutter, M., 2024)","noteIndex":0},"citationItems":[{"id":521,"uris":["http://zotero.org/users/18446719/items/LFZ5CZCC"],"itemData":{"id":521,"type":"article-journal","abstract":"Automated building processes that enable efficient in situ resource utilization can facilitate construction in remote locations while simultaneously offering a carbon-reducing alternative to commonplace building practices. Toward these ends, we present a robotic construction pipeline that is capable of planning and building freeform stone walls and landscapes from highly heterogeneous local materials using a robotic excavator equipped with a shovel and gripper. Our system learns from real and simulated data to facilitate the online detection and segmentation of stone instances in spatial maps, enabling robotic grasping and textured 3D scanning of individual stones and rubble elements. Given a limited inventory of these digitized stones, our geometric planning algorithm uses a combination of constrained registration and signed-distance-field classification to determine how these should be positioned toward the formation of stable and explicitly shaped structures. We present a holistic approach for the robotic manipulation of complex objects toward dry stone construction and use the same hardware and mapping to facilitate autonomous terrain-shaping on a single construction site. Our process is demonstrated with the construction of a freestanding stone wall (10 meters by 1.7 meters by 4 meters) and a permanent retaining wall (65.5 meters by 1.8 meters by 6 meters) that is integrated with robotically contoured terraces (665 square meters). The work illustrates the potential of autonomous heavy construction vehicles to build adaptively with highly irregular, abundant, and sustainable materials that require little to no transportation and preprocessing.","container-title":"Science Robotics","DOI":"10.1126/scirobotics.abp9758","issue":"84","journalAbbreviation":"Sci. Robot.","page":"eabp9758","publisher":"American Association for the Advancement of Science","source":"science.org (Atypon)","title":"A framework for robotic excavation and dry stone construction using on-site materials","volume":"8","author":[{"family":"Johns","given":"Ryan Luke"},{"family":"Wermelinger","given":"Martin"},{"family":"Mascaro","given":"Ruben"},{"family":"Jud","given":"Dominic"},{"family":"Hurkxkens","given":"Ilmar"},{"family":"Vasey","given":"Lauren"},{"family":"Chli","given":"Margarita"},{"family":"Gramazio","given":"Fabio"},{"family":"Kohler","given":"Matthias"},{"family":"Hutter","given":"Marco"}],"issued":{"date-parts":[["2023",11,22]]}}},{"id":438,"uris":["http://zotero.org/users/18446719/items/MI37DHAH"],"itemData":{"id":438,"type":"article-journal","abstract":"The demand and the potential for automation in the construction sector is unmatched, particularly for increasing environmental sustainability, improving worker safety and reducing labor shortages. We have developed an autonomous walking excavator - based one of the most versatile machines found on construction sites - as one way to begin fulfilling this potential. This article describes the process of converting an off-the-shelf construction machine into an autonomous robotic system. First we outline the necessary sensing equipment for full autonomy and the novel actuation of the legs, and compare three different complementary actuation principles for the excavator's arm. Second, we solve the state estimation problem for a general wheeled-legged robot. Beside kinematic measurements, it includes GNSS-RTK, to absolutely reference the machine on a construction site. Third, we developed individual controllers for driving, chassis balancing and arm motions allowing for fully autonomous operation. Lastly, we highlight the machine's potential in four different real-world applications, e.g. autonomous trench digging, autonomous assembly of dry stone walls, autonomous forestry work and semi-autonomous teleoperation. On top, we also share some development insights and possible future research directions.","container-title":"Automation in Construction","DOI":"10.1016/j.autcon.2021.103783","ISSN":"0926-5805","journalAbbreviation":"Automation in Construction","page":"103783","source":"ScienceDirect","title":"HEAP - The autonomous walking excavator","volume":"129","author":[{"family":"Jud","given":"Dominic"},{"family":"Kerscher","given":"Simon"},{"family":"Wermelinger","given":"Martin"},{"family":"Jelavic","given":"Edo"},{"family":"Egli","given":"Pascal"},{"family":"Leemann","given":"Philipp"},{"family":"Hottiger","given":"Gabriel"},{"family":"Hutter","given":"Marco"}],"issued":{"date-parts":[["2021",9,1]]}}},{"id":450,"uris":["http://zotero.org/users/18446719/items/4KWW8BWG"],"itemData":{"id":450,"type":"article-journal","container-title":"Autonomous Robots","DOI":"10.1023/A:1008914201877","ISSN":"0929-5593, 1573-7527","issue":"2","journalAbbreviation":"Autonomous Robots","license":"https://www.springernature.com/gp/researchers/text-and-data-mining","page":"175-186","source":"DOI.org (Crossref)","title":"A Robotic Excavator for Autonomous Truck Loading","volume":"7","author":[{"family":"Stentz","given":"Anthony"},{"family":"Bares","given":"John"},{"family":"Singh","given":"Sanjiv"},{"family":"Rowe","given":"Patrick"}],"issued":{"date-parts":[["1999",9]]}}},{"id":528,"uris":["http://zotero.org/users/18446719/items/CWDQBYQG"],"itemData":{"id":528,"type":"article-journal","abstract":"Excavation plans are essential in construction projects, dictating the dirt disposal strategy and excavation sequence based on the final geometry and machinery available. While most construction processes rely heavily on coarse sequence planning and local execution planning driven by human expertise and intuition, fully automated planning tools are notably absent from the industry. This article introduces a fully autonomous excavation planning system. Initially, the site is mapped, followed by user selection of the desired excavation geometry. The system then invokes a global planner to determine the sequence of poses for the excavator, ensuring complete site coverage. For each pose, a local excavation planner decides how to move the soil around the machine, and a digging planner subsequently dictates the sequence of digging trajectories to complete a patch. We showcased our system by autonomously excavating the largest pit documented so far, achieving an average digging cycle time of roughly 30 s.","container-title":"IEEE Transactions on Field Robotics","DOI":"10.1109/TFR.2024.3485037","ISSN":"2997-1101","page":"292-317","publisher":"IEEE","source":"IEEE Xplore","title":"Toward Autonomous Excavation Planning","volume":"1","author":[{"family":"Terenzi","given":"Lorenzo"},{"family":"Hutter","given":"Marco"}],"issued":{"date-parts":[["2024"]]}}}],"schema":"https://github.com/citation-style-language/schema/raw/master/csl-citation.json"} </w:instrText>
      </w:r>
      <w:r w:rsidR="005D2BB2" w:rsidRPr="00FF7847">
        <w:rPr>
          <w:lang w:eastAsia="ja-JP"/>
        </w:rPr>
        <w:fldChar w:fldCharType="separate"/>
      </w:r>
      <w:r w:rsidR="005D2BB2" w:rsidRPr="00FF7847">
        <w:rPr>
          <w:lang w:eastAsia="ja-JP"/>
        </w:rPr>
        <w:t>(Johns, R. L. et al., 2023; Jud, D. et al., 2021; Stentz, A. et al., 1999; Terenzi, L. &amp; Hutter, M., 2024)</w:t>
      </w:r>
      <w:r w:rsidR="005D2BB2" w:rsidRPr="00FF7847">
        <w:rPr>
          <w:lang w:eastAsia="ja-JP"/>
        </w:rPr>
        <w:fldChar w:fldCharType="end"/>
      </w:r>
      <w:r w:rsidR="005D2BB2" w:rsidRPr="00FF7847">
        <w:rPr>
          <w:rFonts w:hint="eastAsia"/>
          <w:lang w:eastAsia="ja-JP"/>
        </w:rPr>
        <w:t xml:space="preserve">. </w:t>
      </w:r>
      <w:r w:rsidRPr="00FF7847">
        <w:rPr>
          <w:lang w:eastAsia="ja-JP"/>
        </w:rPr>
        <w:t>Recent reviews further indicate that autonomous earthwork machinery is moving toward integrated control, safety assurance, digital-twin integration, and multi-machine coordination</w:t>
      </w:r>
      <w:r w:rsidR="005D2BB2" w:rsidRPr="00FF7847">
        <w:rPr>
          <w:lang w:eastAsia="ja-JP"/>
        </w:rPr>
        <w:t xml:space="preserve"> </w:t>
      </w:r>
      <w:r w:rsidR="005D2BB2" w:rsidRPr="00FF7847">
        <w:rPr>
          <w:lang w:eastAsia="ja-JP"/>
        </w:rPr>
        <w:fldChar w:fldCharType="begin"/>
      </w:r>
      <w:r w:rsidR="005D2BB2" w:rsidRPr="00FF7847">
        <w:rPr>
          <w:lang w:eastAsia="ja-JP"/>
        </w:rPr>
        <w:instrText xml:space="preserve"> ADDIN ZOTERO_ITEM CSL_CITATION {"citationID":"rJnVUtUE","properties":{"unsorted":false,"formattedCitation":"(Liu, Z. &amp; Kim, J. I., 2025)","plainCitation":"(Liu, Z. &amp; Kim, J. I., 2025)","noteIndex":0},"citationItems":[{"id":510,"uris":["http://zotero.org/users/18446719/items/WA8RB6GD"],"itemData":{"id":510,"type":"article-journal","container-title":"Buildings","DOI":"10.3390/buildings15142570","issue":"14","page":"2570","publisher":"Multidisciplinary Digital Publishing Institute","source":"Google Scholar","title":"Autonomous Earthwork Machinery for Urban Construction: A Review of Integrated Control, Fleet Coordination, and Safety Assurance","title-short":"Autonomous earthwork machinery for urban construction","volume":"15","author":[{"family":"Liu","given":"Zeru"},{"family":"Kim","given":"Jung In"}],"issued":{"date-parts":[["2025",1]]}}}],"schema":"https://github.com/citation-style-language/schema/raw/master/csl-citation.json"} </w:instrText>
      </w:r>
      <w:r w:rsidR="005D2BB2" w:rsidRPr="00FF7847">
        <w:rPr>
          <w:lang w:eastAsia="ja-JP"/>
        </w:rPr>
        <w:fldChar w:fldCharType="separate"/>
      </w:r>
      <w:r w:rsidR="005D2BB2" w:rsidRPr="00FF7847">
        <w:rPr>
          <w:lang w:eastAsia="ja-JP"/>
        </w:rPr>
        <w:t>(Liu, Z. &amp; Kim, J. I., 2025)</w:t>
      </w:r>
      <w:r w:rsidR="005D2BB2" w:rsidRPr="00FF7847">
        <w:rPr>
          <w:lang w:eastAsia="ja-JP"/>
        </w:rPr>
        <w:fldChar w:fldCharType="end"/>
      </w:r>
      <w:r w:rsidR="005D2BB2" w:rsidRPr="00FF7847">
        <w:rPr>
          <w:lang w:eastAsia="ja-JP"/>
        </w:rPr>
        <w:t xml:space="preserve">. </w:t>
      </w:r>
      <w:r w:rsidRPr="00FF7847">
        <w:rPr>
          <w:lang w:eastAsia="ja-JP"/>
        </w:rPr>
        <w:t>Construction digital twins have also been studied as cyber–physical representations that connect design information, sensing, feedback, and model updating</w:t>
      </w:r>
      <w:r w:rsidR="005D2BB2" w:rsidRPr="00FF7847">
        <w:rPr>
          <w:lang w:eastAsia="ja-JP"/>
        </w:rPr>
        <w:t xml:space="preserve"> </w:t>
      </w:r>
      <w:r w:rsidR="005D2BB2" w:rsidRPr="00FF7847">
        <w:rPr>
          <w:lang w:eastAsia="ja-JP"/>
        </w:rPr>
        <w:fldChar w:fldCharType="begin"/>
      </w:r>
      <w:r w:rsidRPr="00FF7847">
        <w:rPr>
          <w:lang w:eastAsia="ja-JP"/>
        </w:rPr>
        <w:instrText xml:space="preserve"> ADDIN ZOTERO_ITEM CSL_CITATION {"citationID":"dd6g5zH0","properties":{"unsorted":false,"formattedCitation":"(Deng, M., Menassa, C. C., &amp; Kamat, V. R., 2021; Karanfil, D. et al., 2026; Wang, X. et al., 2024)","plainCitation":"(Deng, M., Menassa, C. C., &amp; Kamat, V. R., 2021; Karanfil, D. et al., 2026; Wang, X. et al., 2024)","noteIndex":0},"citationItems":[{"id":503,"uris":["http://zotero.org/users/18446719/items/7SFXJAJ6"],"itemData":{"id":503,"type":"article-journal","container-title":"Journal of Information Technology in Construction","DOI":"10.36680/j.itcon.2021.005","journalAbbreviation":"ITcon","page":"58-83","source":"Google Scholar","title":"From BIM to digital twins: A systematic review of the evolution of intelligent building representations in the AEC-FM industry.","title-short":"From BIM to digital twins","volume":"26","author":[{"family":"Deng","given":"Min"},{"family":"Menassa","given":"Carol C."},{"family":"Kamat","given":"Vineet R."}],"issued":{"date-parts":[["2021"]]}}},{"id":494,"uris":["http://zotero.org/users/18446719/items/Z92Q3XWR"],"itemData":{"id":494,"type":"article-journal","container-title":"Digital Twin","DOI":"10.1080/27525783.2025.2592382","ISSN":"2752-5783","issue":"2","journalAbbreviation":"Digital Twin","page":"2592382","publisher":"Taylor &amp; Francis","source":"DOI.org (Crossref)","title":"Developing a calibrated physics-based digital twin for construction vehicles","volume":"3","author":[{"family":"Karanfil","given":"Deniz"},{"family":"Lindmark","given":"Daniel"},{"family":"Servin","given":"Martin"},{"family":"Torick","given":"David"},{"family":"Ravani","given":"Bahram"}],"issued":{"date-parts":[["2026",4,3]]}}},{"id":500,"uris":["http://zotero.org/users/18446719/items/RY5AF7IQ"],"itemData":{"id":500,"type":"article-journal","abstract":"The introduction of assistive construction robots can significantly alleviate physical demands on construction workers while enhancing both the productivity and safety of construction projects. Leveraging a Building Information Model (BIM) offers a natural and promising approach to driving robotic construction workflows. However, because of uncertainties inherent in construction sites, such as discrepancies between the as-designed and as-built components, robots cannot solely rely on a BIM to plan and perform field construction work. Human workers are adept at improvising alternative plans with their creativity and experience and thus can assist robots in overcoming uncertainties and performing construction work successfully. In such scenarios, it is critical to continuously update the BIM as work processes unfold so that it includes as-built information for the ensuing construction and maintenance tasks. This research introduces an interactive closed-loop digital twin framework that integrates a BIM into human-robot collaborative construction workflows. The robot’s functions are primarily driven by the BIM, but it adaptively adjusts its plans based on actual site conditions, while the human co-worker oversees and supervises the process. When necessary, the human co-worker intervenes in the robot’s plan by changing the task sequence or workspace geometry or requesting a new motion plan to help the robot overcome the encountered uncertainties. A drywall installation case study is conducted to verify the proposed workflow. In addition, experiments are carried out to evaluate the system performance using an industrial robotic arm in a research laboratory setting that mimics a construction site and in the Gazebo simulation. Integrating the flexibility of human workers and the autonomy and accuracy afforded by the BIM, the proposed framework offers significant promise of increasing the robustness of construction robots in the performance of field construction work.","container-title":"Computers in Industry","DOI":"10.1016/j.compind.2024.104112","ISSN":"0166-3615","journalAbbreviation":"Computers in Industry","page":"104112","publisher":"Elsevier","source":"ScienceDirect","title":"Enabling Building Information Model-driven human-robot collaborative construction workflows with closed-loop digital twins","volume":"161","author":[{"family":"Wang","given":"Xi"},{"family":"Yu","given":"Hongrui"},{"family":"McGee","given":"Wes"},{"family":"Menassa","given":"Carol C."},{"family":"Kamat","given":"Vineet R."}],"issued":{"date-parts":[["2024",10,1]]}}}],"schema":"https://github.com/citation-style-language/schema/raw/master/csl-citation.json"} </w:instrText>
      </w:r>
      <w:r w:rsidR="005D2BB2" w:rsidRPr="00FF7847">
        <w:rPr>
          <w:lang w:eastAsia="ja-JP"/>
        </w:rPr>
        <w:fldChar w:fldCharType="separate"/>
      </w:r>
      <w:r w:rsidRPr="00FF7847">
        <w:rPr>
          <w:lang w:eastAsia="ja-JP"/>
        </w:rPr>
        <w:t>(Deng, M., Menassa, C. C., &amp; Kamat, V. R., 2021; Karanfil, D. et al., 2026; Wang, X. et al., 2024)</w:t>
      </w:r>
      <w:r w:rsidR="005D2BB2" w:rsidRPr="00FF7847">
        <w:rPr>
          <w:lang w:eastAsia="ja-JP"/>
        </w:rPr>
        <w:fldChar w:fldCharType="end"/>
      </w:r>
      <w:r w:rsidR="005D2BB2" w:rsidRPr="00FF7847">
        <w:rPr>
          <w:lang w:eastAsia="ja-JP"/>
        </w:rPr>
        <w:t xml:space="preserve">. </w:t>
      </w:r>
      <w:r w:rsidRPr="00FF7847">
        <w:rPr>
          <w:lang w:eastAsia="ja-JP"/>
        </w:rPr>
        <w:t>These studies show the importance of linking robot execution with digital models, but they often assume that the relevant model parameter or update target is already identifiable.</w:t>
      </w:r>
    </w:p>
    <w:p w14:paraId="1FD1751F" w14:textId="38868423" w:rsidR="00715889" w:rsidRPr="00FF7847" w:rsidRDefault="00EA15EA" w:rsidP="00EA15EA">
      <w:pPr>
        <w:rPr>
          <w:lang w:eastAsia="ja-JP"/>
        </w:rPr>
      </w:pPr>
      <w:r w:rsidRPr="00FF7847">
        <w:rPr>
          <w:lang w:eastAsia="ja-JP"/>
        </w:rPr>
        <w:t>The mismatch between simulated and real robotic behavior is widely discussed as the reality gap or sim-to-real discrepancy. Existing approaches include system identification, real-to-sim transfer, residual learning, controller calibration, software-stack alignment, and domain randomization</w:t>
      </w:r>
      <w:r w:rsidR="00655D2B" w:rsidRPr="00FF7847">
        <w:rPr>
          <w:lang w:eastAsia="ja-JP"/>
        </w:rPr>
        <w:t xml:space="preserve"> </w:t>
      </w:r>
      <w:r w:rsidR="00655D2B" w:rsidRPr="00FF7847">
        <w:rPr>
          <w:lang w:eastAsia="ja-JP"/>
        </w:rPr>
        <w:fldChar w:fldCharType="begin"/>
      </w:r>
      <w:r w:rsidR="00655D2B" w:rsidRPr="00FF7847">
        <w:rPr>
          <w:lang w:eastAsia="ja-JP"/>
        </w:rPr>
        <w:instrText xml:space="preserve"> ADDIN ZOTERO_ITEM CSL_CITATION {"citationID":"f7RqeYYl","properties":{"unsorted":false,"formattedCitation":"(Aljalbout, E. et al., 2026; Salvato, E. et al., 2021)","plainCitation":"(Aljalbout, E. et al., 2026; Salvato, E. et al., 2021)","noteIndex":0},"citationItems":[{"id":485,"uris":["http://zotero.org/users/18446719/items/M8N2HZ5G"],"itemData":{"id":485,"type":"article-journal","abstract":"Machine learning has facilitated significant advancements across various robotics domains, including navigation, locomotion, and manipulation. Many such achievements have been driven by the extensive use of simulation as a critical tool for training and testing robotic systems prior to their deployment in real-world environments. However, simulations consist of abstractions and approximations that inevitably introduce discrepancies between simulated and real environments, known as the reality gap. These discrepancies significantly hinder the successful transfer of systems from simulation to the real world. Closing this gap remains one of the most pressing challenges in robotics. Recent advances in sim-to-real transfer have demonstrated promising results across various platforms, including locomotion, navigation, and manipulation. By leveraging techniques such as domain randomization, real-to-sim transfer, state and action abstractions, and sim–real cotraining, many works have overcome the reality gap. However, challenges persist, and a deeper understanding of the reality gap's root causes and solutions is necessary. In this survey, we present a comprehensive overview of the sim-to-real landscape, highlighting the causes, solutions, and evaluation metrics for the reality gap and sim-to-real transfer. Our goal is to provide a guide to identifying the challenges and opportunities for future advancements in sim-to-real transfer for robotic systems.","container-title":"Annual Review of Control, Robotics, and Autonomous Systems","DOI":"10.1146/annurev-control-031924-100130","ISSN":"2573-5144","issue":"1","license":"https://creativecommons.org/licenses/by-nc-nd/4.0","page":"403-432","publisher":"Annual Reviews","source":"DOI.org (Crossref)","title":"The Reality Gap in Robotics: Challenges, Solutions, and Best Practices","title-short":"The Reality Gap in Robotics","volume":"9","author":[{"family":"Aljalbout","given":"Elie"},{"family":"Xing","given":"Jiaxu"},{"family":"Romero","given":"Angel"},{"family":"Akinola","given":"Iretiayo"},{"family":"Garrett","given":"Caelan Reed"},{"family":"Heiden","given":"Eric"},{"family":"Gupta","given":"Abhishek"},{"family":"Hermans","given":"Tucker"},{"family":"Narang","given":"Yashraj"},{"family":"Fox","given":"Dieter"},{"family":"Scaramuzza","given":"Davide"},{"family":"Ramos","given":"Fabio"}],"issued":{"date-parts":[["2026",5,5]]}}},{"id":479,"uris":["http://zotero.org/users/18446719/items/WYWQ64CY"],"itemData":{"id":479,"type":"article-journal","container-title":"IEEE Access","DOI":"10.1109/ACCESS.2021.3126658","page":"153171-153187","publisher":"IEEE","source":"IEEE Xplore","title":"Crossing the Reality Gap: A Survey on Sim-to-Real Transferability of Robot Controllers in Reinforcement Learning","title-short":"Crossing the reality gap","volume":"9","author":[{"family":"Salvato","given":"Erica"},{"family":"Fenu","given":"Gianfranco"},{"family":"Medvet","given":"Eric"},{"family":"Pellegrino","given":"Felice Andrea"}],"issued":{"date-parts":[["2021"]]}}}],"schema":"https://github.com/citation-style-language/schema/raw/master/csl-citation.json"} </w:instrText>
      </w:r>
      <w:r w:rsidR="00655D2B" w:rsidRPr="00FF7847">
        <w:rPr>
          <w:lang w:eastAsia="ja-JP"/>
        </w:rPr>
        <w:fldChar w:fldCharType="separate"/>
      </w:r>
      <w:r w:rsidR="00655D2B" w:rsidRPr="00FF7847">
        <w:rPr>
          <w:lang w:eastAsia="ja-JP"/>
        </w:rPr>
        <w:t>(Aljalbout, E. et al., 2026; Salvato, E. et al., 2021)</w:t>
      </w:r>
      <w:r w:rsidR="00655D2B" w:rsidRPr="00FF7847">
        <w:rPr>
          <w:lang w:eastAsia="ja-JP"/>
        </w:rPr>
        <w:fldChar w:fldCharType="end"/>
      </w:r>
      <w:r w:rsidR="00655D2B" w:rsidRPr="00FF7847">
        <w:rPr>
          <w:lang w:eastAsia="ja-JP"/>
        </w:rPr>
        <w:t xml:space="preserve">. </w:t>
      </w:r>
      <w:r w:rsidRPr="00FF7847">
        <w:rPr>
          <w:lang w:eastAsia="ja-JP"/>
        </w:rPr>
        <w:t>Robotic fault detection and diagnosis also provides relevant concepts for identifying abnormal robot behavior, including model-based, data-driven, and knowledge-based diagnosis</w:t>
      </w:r>
      <w:r w:rsidR="00655D2B" w:rsidRPr="00FF7847">
        <w:rPr>
          <w:lang w:eastAsia="ja-JP"/>
        </w:rPr>
        <w:t xml:space="preserve"> </w:t>
      </w:r>
      <w:r w:rsidR="00655D2B" w:rsidRPr="00FF7847">
        <w:rPr>
          <w:lang w:eastAsia="ja-JP"/>
        </w:rPr>
        <w:fldChar w:fldCharType="begin"/>
      </w:r>
      <w:r w:rsidR="00655D2B" w:rsidRPr="00FF7847">
        <w:rPr>
          <w:lang w:eastAsia="ja-JP"/>
        </w:rPr>
        <w:instrText xml:space="preserve"> ADDIN ZOTERO_ITEM CSL_CITATION {"citationID":"Ddi1KXtK","properties":{"unsorted":false,"formattedCitation":"(Khalastchi, E. &amp; Kalech, M., 2019)","plainCitation":"(Khalastchi, E. &amp; Kalech, M., 2019)","noteIndex":0},"citationItems":[{"id":471,"uris":["http://zotero.org/users/18446719/items/X83JQGF6"],"itemData":{"id":471,"type":"article-journal","abstract":"The use of robots in our daily lives is increasing. Different types of robots perform different tasks that are too dangerous or too dull to be done by humans. These sophisticated machines are susceptible to different types of faults. These faults have to be detected and diagnosed in time to allow recovery and continuous operation. The field of Fault Detection and Diagnosis (FDD) has been studied for many years. This research has given birth to many approaches and techniques that are applicable to different types of physical machines. Yet the domain of robotics poses unique requirements that are very challenging for traditional FDD approaches. The study of FDD for robotics is relatively new, and only few surveys were presented. These surveys have focused on traditional FDD approaches and how these approaches may broadly apply to a generic type of robot. Yet robotic systems can be identified by fundamental characteristics, which pose different constraints and requirements from FDD. In this article, we aim to provide the reader with useful insights regarding the use of FDD approaches that best suit the different characteristics of robotic systems. We elaborate on the advantages these approaches have and the challenges they must face. To meet this aim, we use two perspectives: (1) we elaborate on FDD from the perspective of the different characteristics a robotic system may have and give examples of successful FDD approaches, and (2) we elaborate on FDD from the perspective of the different FDD approaches and analyze the advantages and disadvantages of each approach with respect to robotic systems. Finally, we describe research opportunities for robotic systems’ FDD. With these three contributions, readers from the FDD research communities are introduced to FDD for robotic systems, and the robotics research community is introduced to the field of FDD.","container-title":"ACM Computing Surveys (CSUR)","DOI":"10.1145/3146389","ISSN":"0360-0300, 1557-7341","issue":"1","journalAbbreviation":"ACM Comput. Surv.","page":"1-24","source":"DOI.org (Crossref)","title":"On Fault Detection and Diagnosis in Robotic Systems","volume":"51","author":[{"family":"Khalastchi","given":"Eliahu"},{"family":"Kalech","given":"Meir"}],"issued":{"date-parts":[["2019",1,31]]}}}],"schema":"https://github.com/citation-style-language/schema/raw/master/csl-citation.json"} </w:instrText>
      </w:r>
      <w:r w:rsidR="00655D2B" w:rsidRPr="00FF7847">
        <w:rPr>
          <w:lang w:eastAsia="ja-JP"/>
        </w:rPr>
        <w:fldChar w:fldCharType="separate"/>
      </w:r>
      <w:r w:rsidR="00655D2B" w:rsidRPr="00FF7847">
        <w:rPr>
          <w:lang w:eastAsia="ja-JP"/>
        </w:rPr>
        <w:t>(Khalastchi, E. &amp; Kalech, M., 2019)</w:t>
      </w:r>
      <w:r w:rsidR="00655D2B" w:rsidRPr="00FF7847">
        <w:rPr>
          <w:lang w:eastAsia="ja-JP"/>
        </w:rPr>
        <w:fldChar w:fldCharType="end"/>
      </w:r>
      <w:r w:rsidRPr="00FF7847">
        <w:rPr>
          <w:rFonts w:hint="eastAsia"/>
          <w:lang w:eastAsia="ja-JP"/>
        </w:rPr>
        <w:t xml:space="preserve">. </w:t>
      </w:r>
      <w:r w:rsidRPr="00FF7847">
        <w:rPr>
          <w:lang w:eastAsia="ja-JP"/>
        </w:rPr>
        <w:t xml:space="preserve">However, construction robot commissioning requires a prior diagnostic step: identifying which part of the cyber–physical workflow caused the discrepancy and how the correction should be reused in later planning. Commissioning discrepancies are not always component faults; they may reflect incomplete simulator representations, </w:t>
      </w:r>
      <w:r w:rsidRPr="00FF7847">
        <w:rPr>
          <w:lang w:eastAsia="ja-JP"/>
        </w:rPr>
        <w:lastRenderedPageBreak/>
        <w:t>undocumented command semantics, missing collision geometry, insufficient evaluation logic, or residual uncertainty.</w:t>
      </w:r>
    </w:p>
    <w:p w14:paraId="0606BF21" w14:textId="55FC5FDB" w:rsidR="0013307D" w:rsidRPr="0013307D" w:rsidRDefault="00EA15EA" w:rsidP="0013307D">
      <w:r w:rsidRPr="00FF7847">
        <w:rPr>
          <w:lang w:eastAsia="ja-JP"/>
        </w:rPr>
        <w:t xml:space="preserve">Large language models have recently been used as agents for scientific experimentation, tool use, debugging, and root cause analysis. In chemical experimentation, systems such as </w:t>
      </w:r>
      <w:proofErr w:type="spellStart"/>
      <w:r w:rsidRPr="00FF7847">
        <w:rPr>
          <w:lang w:eastAsia="ja-JP"/>
        </w:rPr>
        <w:t>Coscientist</w:t>
      </w:r>
      <w:proofErr w:type="spellEnd"/>
      <w:r w:rsidRPr="00FF7847">
        <w:rPr>
          <w:lang w:eastAsia="ja-JP"/>
        </w:rPr>
        <w:t xml:space="preserve"> and </w:t>
      </w:r>
      <w:proofErr w:type="spellStart"/>
      <w:r w:rsidRPr="00FF7847">
        <w:rPr>
          <w:lang w:eastAsia="ja-JP"/>
        </w:rPr>
        <w:t>ChemCrow</w:t>
      </w:r>
      <w:proofErr w:type="spellEnd"/>
      <w:r w:rsidRPr="00FF7847">
        <w:rPr>
          <w:lang w:eastAsia="ja-JP"/>
        </w:rPr>
        <w:t xml:space="preserve"> show that LLMs can support experimental planning and domain-specific reasoning when grounded through documentation retrieval, code execution, external tools, and laboratory automation</w:t>
      </w:r>
      <w:r w:rsidR="00655D2B" w:rsidRPr="00FF7847">
        <w:rPr>
          <w:lang w:eastAsia="ja-JP"/>
        </w:rPr>
        <w:t xml:space="preserve"> </w:t>
      </w:r>
      <w:r w:rsidR="00655D2B" w:rsidRPr="00FF7847">
        <w:rPr>
          <w:lang w:eastAsia="ja-JP"/>
        </w:rPr>
        <w:fldChar w:fldCharType="begin"/>
      </w:r>
      <w:r w:rsidR="00FD2980" w:rsidRPr="00FF7847">
        <w:rPr>
          <w:lang w:eastAsia="ja-JP"/>
        </w:rPr>
        <w:instrText xml:space="preserve"> ADDIN ZOTERO_ITEM CSL_CITATION {"citationID":"Hdv7BCJG","properties":{"unsorted":false,"formattedCitation":"(Boiko, D. A. et al., 2023; M. Bran, A. et al., 2024)","plainCitation":"(Boiko, D. A. et al., 2023; M. Bran, A. et al., 2024)","noteIndex":0},"citationItems":[{"id":462,"uris":["http://zotero.org/users/18446719/items/BXZZ3RZ2"],"itemData":{"id":462,"type":"article-journal","abstract":"Transformer-based large language models are making significant strides in various fields, such as natural language processing1–5, biology6,7, chemistry8–10 and computer programming11,12. Here, we show the development and capabilities of Coscientist, an artificial intelligence system driven by GPT-4 that autonomously designs, plans and performs complex experiments by incorporating large language models empowered by tools such as internet and documentation search, code execution and experimental automation. Coscientist showcases its potential for accelerating research across six diverse tasks, including the successful reaction optimization of palladium-catalysed cross-couplings, while exhibiting advanced capabilities for (semi-)autonomous experimental design and execution. Our findings demonstrate the versatility, efficacy and explainability of artificial intelligence systems like Coscientist in advancing research.","container-title":"Nature","DOI":"10.1038/s41586-023-06792-0","ISSN":"1476-4687","issue":"7992","license":"2023 The Author(s)","page":"570-578","publisher":"Nature Publishing Group UK London","source":"www.nature.com","title":"Autonomous chemical research with large language models","volume":"624","author":[{"family":"Boiko","given":"Daniil A."},{"family":"MacKnight","given":"Robert"},{"family":"Kline","given":"Ben"},{"family":"Gomes","given":"Gabe"}],"issued":{"date-parts":[["2023",12]]}}},{"id":458,"uris":["http://zotero.org/users/18446719/items/FEW36EC7"],"itemData":{"id":458,"type":"article-journal","container-title":"Nature Machine Intelligence","DOI":"10.1038/s42256-024-00832-8","issue":"5","page":"525–535","publisher":"Nature Publishing Group UK London","source":"Google Scholar","title":"Augmenting large language models with chemistry tools","volume":"6","author":[{"family":"M. Bran","given":"Andres"},{"family":"Cox","given":"Sam"},{"family":"Schilter","given":"Oliver"},{"family":"Baldassari","given":"Carlo"},{"family":"White","given":"Andrew D."},{"family":"Schwaller","given":"Philippe"}],"issued":{"date-parts":[["2024",5]]}}}],"schema":"https://github.com/citation-style-language/schema/raw/master/csl-citation.json"} </w:instrText>
      </w:r>
      <w:r w:rsidR="00655D2B" w:rsidRPr="00FF7847">
        <w:rPr>
          <w:lang w:eastAsia="ja-JP"/>
        </w:rPr>
        <w:fldChar w:fldCharType="separate"/>
      </w:r>
      <w:r w:rsidR="00FD2980" w:rsidRPr="00FF7847">
        <w:rPr>
          <w:lang w:eastAsia="ja-JP"/>
        </w:rPr>
        <w:t>(Boiko, D. A. et al., 2023; M. Bran, A. et al., 2024)</w:t>
      </w:r>
      <w:r w:rsidR="00655D2B" w:rsidRPr="00FF7847">
        <w:rPr>
          <w:lang w:eastAsia="ja-JP"/>
        </w:rPr>
        <w:fldChar w:fldCharType="end"/>
      </w:r>
      <w:r w:rsidR="00655D2B" w:rsidRPr="00FF7847">
        <w:rPr>
          <w:lang w:eastAsia="ja-JP"/>
        </w:rPr>
        <w:t xml:space="preserve">. </w:t>
      </w:r>
      <w:r w:rsidRPr="00FF7847">
        <w:rPr>
          <w:lang w:eastAsia="ja-JP"/>
        </w:rPr>
        <w:t xml:space="preserve">In software diagnosis, systems such as </w:t>
      </w:r>
      <w:proofErr w:type="spellStart"/>
      <w:r w:rsidRPr="00FF7847">
        <w:rPr>
          <w:lang w:eastAsia="ja-JP"/>
        </w:rPr>
        <w:t>OpenRCA</w:t>
      </w:r>
      <w:proofErr w:type="spellEnd"/>
      <w:r w:rsidRPr="00FF7847">
        <w:rPr>
          <w:lang w:eastAsia="ja-JP"/>
        </w:rPr>
        <w:t xml:space="preserve"> and </w:t>
      </w:r>
      <w:proofErr w:type="spellStart"/>
      <w:r w:rsidRPr="00FF7847">
        <w:rPr>
          <w:lang w:eastAsia="ja-JP"/>
        </w:rPr>
        <w:t>ChatDBG</w:t>
      </w:r>
      <w:proofErr w:type="spellEnd"/>
      <w:r w:rsidRPr="00FF7847">
        <w:rPr>
          <w:lang w:eastAsia="ja-JP"/>
        </w:rPr>
        <w:t xml:space="preserve"> show that LLMs can use logs, metrics, traces, system information, and runtime states to support root-cause analysis and debugging</w:t>
      </w:r>
      <w:r w:rsidR="00655D2B" w:rsidRPr="00FF7847">
        <w:rPr>
          <w:lang w:eastAsia="ja-JP"/>
        </w:rPr>
        <w:t xml:space="preserve"> </w:t>
      </w:r>
      <w:r w:rsidR="00655D2B" w:rsidRPr="00FF7847">
        <w:rPr>
          <w:lang w:eastAsia="ja-JP"/>
        </w:rPr>
        <w:fldChar w:fldCharType="begin"/>
      </w:r>
      <w:r w:rsidR="00BD5DB7" w:rsidRPr="00FF7847">
        <w:rPr>
          <w:lang w:eastAsia="ja-JP"/>
        </w:rPr>
        <w:instrText xml:space="preserve"> ADDIN ZOTERO_ITEM CSL_CITATION {"citationID":"fDW65EJ7","properties":{"unsorted":false,"formattedCitation":"(Levin, K. H. et al., 2025; Xu, J. et al., 2025)","plainCitation":"(Levin, K. H. et al., 2025; Xu, J. et al., 2025)","noteIndex":0},"citationItems":[{"id":531,"uris":["http://zotero.org/users/18446719/items/AXJCBA7I"],"itemData":{"id":531,"type":"article-journal","abstract":"Debugging is a critical but challenging task for programmers. This paper proposes ChatDBG, an AI-powered debugging assistant. ChatDBG integrates large language models (LLMs) to significantly enhance the capabilities and user-friendliness of conventional debuggers. ChatDBG lets programmers engage in a collaborative dialogue with the debugger, allowing them to pose complex questions about program state, perform root cause analysis for crashes or assertion failures, and explore open-ended queries like \"why is x null?\". To handle these queries, ChatDBG grants the LLM autonomy to \"take the wheel\": it can act as an independent agent capable of querying and controlling the debugger to navigate through stacks and inspect program state. It then reports its findings and yields back control to the programmer. By leveraging the real-world knowledge embedded in LLMs, ChatDBG can diagnose issues identifiable only through the use of domain-specific reasoning. Our ChatDBG prototype integrates with standard debuggers including LLDB and GDB for native code and Pdb for Python. Our evaluation across a diverse set of code, including C/C++ code with known bugs and a suite of Python code including standalone scripts and Jupyter notebooks, demonstrates that ChatDBG can successfully analyze root causes, explain bugs, and generate accurate fixes for a wide range of real-world errors. For the Python programs, a single query led to an actionable bug fix 67% of the time; one additional follow-up query increased the success rate to 85%. ChatDBG has seen rapid uptake; it has already been downloaded more than 75,000 times.","container-title":"Proceedings of the ACM on Software Engineering","DOI":"10.1145/3729355","issue":"FSE","journalAbbreviation":"Proc. ACM Softw. Eng.","page":"FSE085:1892–FSE085:1913","source":"ACM Digital Library","title":"ChatDBG: Augmenting Debugging with Large Language Models","title-short":"ChatDBG","volume":"2","author":[{"family":"Levin","given":"Kyla H."},{"family":"Kempen","given":"Nicolas","non-dropping-particle":"van"},{"family":"Berger","given":"Emery D."},{"family":"Freund","given":"Stephen N."}],"issued":{"date-parts":[["2025",6,19]]}}},{"id":454,"uris":["http://zotero.org/users/18446719/items/RNMA7E2E"],"itemData":{"id":454,"type":"paper-conference","container-title":"The thirteenth international conference on learning representations","event-title":"ICLR 2025","publisher":"OpenReview.net","source":"Google Scholar","title":"OpenRCA: Can Large Language Models Locate the Root Cause of Software Failures?","title-short":"Openrca","URL":"https://openreview.net/forum?id=M4qNIzQYpd","author":[{"family":"Xu","given":"Junjielong"},{"family":"Zhang","given":"Qinan"},{"family":"Zhong","given":"Zhiqing"},{"family":"He","given":"Shilin"},{"family":"Zhang","given":"Chaoyun"},{"family":"Lin","given":"Qingwei"},{"family":"Pei","given":"Dan"},{"family":"He","given":"Pinjia"},{"family":"Zhang","given":"Dongmei"},{"family":"Zhang","given":"Qi"}],"accessed":{"date-parts":[["2026",6,18]]},"issued":{"date-parts":[["2025"]]}}}],"schema":"https://github.com/citation-style-language/schema/raw/master/csl-citation.json"} </w:instrText>
      </w:r>
      <w:r w:rsidR="00655D2B" w:rsidRPr="00FF7847">
        <w:rPr>
          <w:lang w:eastAsia="ja-JP"/>
        </w:rPr>
        <w:fldChar w:fldCharType="separate"/>
      </w:r>
      <w:r w:rsidR="00BD5DB7" w:rsidRPr="00FF7847">
        <w:rPr>
          <w:lang w:eastAsia="ja-JP"/>
        </w:rPr>
        <w:t>(Levin, K. H. et al., 2025; Xu, J. et al., 2025)</w:t>
      </w:r>
      <w:r w:rsidR="00655D2B" w:rsidRPr="00FF7847">
        <w:rPr>
          <w:lang w:eastAsia="ja-JP"/>
        </w:rPr>
        <w:fldChar w:fldCharType="end"/>
      </w:r>
      <w:r w:rsidR="00655D2B" w:rsidRPr="00FF7847">
        <w:rPr>
          <w:lang w:eastAsia="ja-JP"/>
        </w:rPr>
        <w:t>.</w:t>
      </w:r>
      <w:r w:rsidRPr="00FF7847">
        <w:t xml:space="preserve"> </w:t>
      </w:r>
      <w:r w:rsidR="0013307D" w:rsidRPr="0013307D">
        <w:t xml:space="preserve">These studies suggest that LLM agents can support problem solving when grounded in tools, logs, traces, and domain-specific information. However, existing approaches address different parts of the commissioning problem. </w:t>
      </w:r>
      <w:r w:rsidR="00C63D73" w:rsidRPr="00C63D73">
        <w:t>Sim-to-real and system-identification methods mainly improve transfer performance or estimate predefined parameters; robotic fault diagnosis focuses on component or system faults; and LLM-based debugging primarily operates on software artifacts.</w:t>
      </w:r>
    </w:p>
    <w:p w14:paraId="4BDEF61B" w14:textId="7DCD8AD6" w:rsidR="0013307D" w:rsidRPr="0013307D" w:rsidRDefault="0013307D" w:rsidP="0013307D">
      <w:r w:rsidRPr="0013307D">
        <w:t xml:space="preserve">Construction robot commissioning may instead begin before the correction target is known, with discrepancies arising from command interpretation, machine response, geometry, replay implementation, evaluation logic, or residual uncertainty. </w:t>
      </w:r>
      <w:r w:rsidR="00C63D73" w:rsidRPr="00C63D73">
        <w:t>This study therefore addresses the cross-layer diagnosis of simulator-to-real discrepancies and converts the diagnostic findings into reusable simulator, calibration, evaluation, constraint, or uncertainty updates.</w:t>
      </w:r>
      <w:r w:rsidRPr="0013307D">
        <w:t xml:space="preserve"> Its contribution is not a new calibration algorithm or fault classifier, but an issue-based structure that makes this diagnostic process executable by an LLM-based agent.</w:t>
      </w:r>
    </w:p>
    <w:p w14:paraId="35EE5504" w14:textId="43944E96" w:rsidR="00773804" w:rsidRPr="00FF7847" w:rsidRDefault="00773804" w:rsidP="0013307D">
      <w:pPr>
        <w:rPr>
          <w:lang w:eastAsia="ja-JP"/>
        </w:rPr>
      </w:pPr>
    </w:p>
    <w:p w14:paraId="1347C25B" w14:textId="1186B496" w:rsidR="00715889" w:rsidRPr="00FF7847" w:rsidRDefault="00BD5DB7" w:rsidP="00692719">
      <w:pPr>
        <w:pStyle w:val="1"/>
        <w:rPr>
          <w:lang w:eastAsia="ja-JP"/>
        </w:rPr>
      </w:pPr>
      <w:bookmarkStart w:id="0" w:name="_Ref232784654"/>
      <w:r w:rsidRPr="00FF7847">
        <w:rPr>
          <w:rFonts w:hint="eastAsia"/>
          <w:lang w:eastAsia="ja-JP"/>
        </w:rPr>
        <w:t>ISSUE-BASED LLM-EXECUTABLE COMMISSIONING METHOD</w:t>
      </w:r>
      <w:bookmarkEnd w:id="0"/>
    </w:p>
    <w:p w14:paraId="42F7EAFC" w14:textId="638A4746" w:rsidR="00715889" w:rsidRPr="00FF7847" w:rsidRDefault="00655D2B" w:rsidP="00692719">
      <w:pPr>
        <w:pStyle w:val="2"/>
      </w:pPr>
      <w:r w:rsidRPr="00FF7847">
        <w:t>Framework overview</w:t>
      </w:r>
    </w:p>
    <w:p w14:paraId="340AB55B" w14:textId="77777777" w:rsidR="00EA15EA" w:rsidRPr="00FF7847" w:rsidRDefault="00EA15EA" w:rsidP="00EA15EA">
      <w:pPr>
        <w:rPr>
          <w:lang w:eastAsia="ja-JP"/>
        </w:rPr>
      </w:pPr>
      <w:r w:rsidRPr="00FF7847">
        <w:rPr>
          <w:lang w:eastAsia="ja-JP"/>
        </w:rPr>
        <w:t>The proposed method is designed to make construction robot commissioning executable by an LLM-based diagnostic agent. The starting point is a generic digital simulator rather than a machine-specific calibrated model. The initial simulator generates candidate motions under idealized assumptions and does not fully represent machine-specific effects such as command-to-posture deviation, stopping error, speed-dependent actuation limits, bucket-speed variability, or communication delay.</w:t>
      </w:r>
    </w:p>
    <w:p w14:paraId="087E9979" w14:textId="321148C9" w:rsidR="00BD5DB7" w:rsidRPr="00FF7847" w:rsidRDefault="00EA15EA" w:rsidP="00EA15EA">
      <w:pPr>
        <w:rPr>
          <w:lang w:eastAsia="ja-JP"/>
        </w:rPr>
      </w:pPr>
      <w:r w:rsidRPr="00FF7847">
        <w:rPr>
          <w:lang w:eastAsia="ja-JP"/>
        </w:rPr>
        <w:t>Commissioning begins when a simulator-selected motion is replayed on the real machine and produces a discrepancy from the simulated behavior. The purpose is not merely to find an alternative command that works, but to diagnose why the motion failed or diverged and to convert the finding into reusable planning information.</w:t>
      </w:r>
    </w:p>
    <w:p w14:paraId="1AECF24B" w14:textId="40BFB663" w:rsidR="00EA15EA" w:rsidRPr="00FF7847" w:rsidRDefault="001D1030" w:rsidP="00EA15EA">
      <w:pPr>
        <w:pStyle w:val="figure"/>
        <w:keepNext/>
      </w:pPr>
      <w:r w:rsidRPr="00FF7847">
        <w:rPr>
          <w:noProof/>
        </w:rPr>
        <w:drawing>
          <wp:inline distT="0" distB="0" distL="0" distR="0" wp14:anchorId="15C4CB8F" wp14:editId="3A7FD345">
            <wp:extent cx="5731510" cy="1798955"/>
            <wp:effectExtent l="0" t="0" r="2540" b="0"/>
            <wp:docPr id="156" name="図 155">
              <a:extLst xmlns:a="http://schemas.openxmlformats.org/drawingml/2006/main">
                <a:ext uri="{FF2B5EF4-FFF2-40B4-BE49-F238E27FC236}">
                  <a16:creationId xmlns:a16="http://schemas.microsoft.com/office/drawing/2014/main" id="{7A3B35B6-7706-CBDE-B5E5-F229F7430ED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 name="図 155">
                      <a:extLst>
                        <a:ext uri="{FF2B5EF4-FFF2-40B4-BE49-F238E27FC236}">
                          <a16:creationId xmlns:a16="http://schemas.microsoft.com/office/drawing/2014/main" id="{7A3B35B6-7706-CBDE-B5E5-F229F7430ED5}"/>
                        </a:ext>
                      </a:extLst>
                    </pic:cNvPr>
                    <pic:cNvPicPr>
                      <a:picLocks noChangeAspect="1"/>
                    </pic:cNvPicPr>
                  </pic:nvPicPr>
                  <pic:blipFill>
                    <a:blip r:embed="rId8"/>
                    <a:stretch>
                      <a:fillRect/>
                    </a:stretch>
                  </pic:blipFill>
                  <pic:spPr>
                    <a:xfrm>
                      <a:off x="0" y="0"/>
                      <a:ext cx="5731510" cy="1798955"/>
                    </a:xfrm>
                    <a:prstGeom prst="rect">
                      <a:avLst/>
                    </a:prstGeom>
                  </pic:spPr>
                </pic:pic>
              </a:graphicData>
            </a:graphic>
          </wp:inline>
        </w:drawing>
      </w:r>
    </w:p>
    <w:p w14:paraId="0F17F8B2" w14:textId="195A17A3" w:rsidR="00EA15EA" w:rsidRPr="00FF7847" w:rsidRDefault="00EA15EA" w:rsidP="00EA15EA">
      <w:pPr>
        <w:pStyle w:val="afb"/>
        <w:rPr>
          <w:lang w:eastAsia="ja-JP"/>
        </w:rPr>
      </w:pPr>
      <w:r w:rsidRPr="00FF7847">
        <w:t xml:space="preserve">Figure </w:t>
      </w:r>
      <w:r w:rsidRPr="00FF7847">
        <w:fldChar w:fldCharType="begin"/>
      </w:r>
      <w:r w:rsidRPr="00FF7847">
        <w:instrText xml:space="preserve"> SEQ Figure \* ARABIC </w:instrText>
      </w:r>
      <w:r w:rsidRPr="00FF7847">
        <w:fldChar w:fldCharType="separate"/>
      </w:r>
      <w:r w:rsidR="00AD3633">
        <w:rPr>
          <w:noProof/>
        </w:rPr>
        <w:t>1</w:t>
      </w:r>
      <w:r w:rsidRPr="00FF7847">
        <w:fldChar w:fldCharType="end"/>
      </w:r>
      <w:r w:rsidRPr="00FF7847">
        <w:rPr>
          <w:rFonts w:hint="eastAsia"/>
          <w:lang w:eastAsia="ja-JP"/>
        </w:rPr>
        <w:t xml:space="preserve">: </w:t>
      </w:r>
      <w:r w:rsidRPr="00FF7847">
        <w:rPr>
          <w:lang w:eastAsia="ja-JP"/>
        </w:rPr>
        <w:t>Issue-based diagnostic workflow for LLM-executable commissioning.</w:t>
      </w:r>
    </w:p>
    <w:p w14:paraId="6E1929BC" w14:textId="208BD2D4" w:rsidR="00692719" w:rsidRPr="00FF7847" w:rsidRDefault="00BD5DB7" w:rsidP="00BD5DB7">
      <w:pPr>
        <w:rPr>
          <w:lang w:eastAsia="ja-JP"/>
        </w:rPr>
      </w:pPr>
      <w:r w:rsidRPr="00FF7847">
        <w:rPr>
          <w:lang w:eastAsia="ja-JP"/>
        </w:rPr>
        <w:t>Fig</w:t>
      </w:r>
      <w:r w:rsidRPr="00FF7847">
        <w:rPr>
          <w:rFonts w:hint="eastAsia"/>
          <w:lang w:eastAsia="ja-JP"/>
        </w:rPr>
        <w:t>.</w:t>
      </w:r>
      <w:r w:rsidRPr="00FF7847">
        <w:rPr>
          <w:lang w:eastAsia="ja-JP"/>
        </w:rPr>
        <w:t xml:space="preserve"> 1 </w:t>
      </w:r>
      <w:r w:rsidR="00EA15EA" w:rsidRPr="00FF7847">
        <w:rPr>
          <w:lang w:eastAsia="ja-JP"/>
        </w:rPr>
        <w:t xml:space="preserve">summarizes the proposed issue-based diagnostic workflow. The workflow starts from an observed simulator-to-real discrepancy and decomposes it into execution stages, cause categories, and testable branch hypotheses. Each hypothesis is assigned targeted evidence, such as existing-log </w:t>
      </w:r>
      <w:r w:rsidR="00EA15EA" w:rsidRPr="00FF7847">
        <w:rPr>
          <w:lang w:eastAsia="ja-JP"/>
        </w:rPr>
        <w:lastRenderedPageBreak/>
        <w:t>analysis, simulator checks, physical measurements, image checks, or real-machine trials. The diagnostic result is then classified as a simulator update, calibration update, evaluation-logic update, operational constraint, residual uncertainty item, or rejected explanation, and is fed back to subsequent motion optimization or experiment planning.</w:t>
      </w:r>
    </w:p>
    <w:p w14:paraId="6E881311" w14:textId="77777777" w:rsidR="00692719" w:rsidRPr="00FF7847" w:rsidRDefault="00692719" w:rsidP="005408CD">
      <w:pPr>
        <w:rPr>
          <w:lang w:eastAsia="ja-JP"/>
        </w:rPr>
      </w:pPr>
    </w:p>
    <w:p w14:paraId="48FC1BC1" w14:textId="40090F62" w:rsidR="00692719" w:rsidRPr="00FF7847" w:rsidRDefault="005D2458" w:rsidP="00692719">
      <w:pPr>
        <w:pStyle w:val="2"/>
      </w:pPr>
      <w:r w:rsidRPr="00FF7847">
        <w:t>LLM-managed diagnostic loop and physical action layer</w:t>
      </w:r>
    </w:p>
    <w:p w14:paraId="389D2949" w14:textId="77777777" w:rsidR="0013307D" w:rsidRDefault="0013307D" w:rsidP="0013307D">
      <w:pPr>
        <w:rPr>
          <w:lang w:eastAsia="ja-JP"/>
        </w:rPr>
      </w:pPr>
      <w:r>
        <w:rPr>
          <w:lang w:eastAsia="ja-JP"/>
        </w:rPr>
        <w:t>OpenAI Codex was used as the LLM-based diagnostic and coding agent. It generated and revised hypotheses, experiment plans, replay and analysis code, diagnosis reports, and simulator-update proposals, while requesting and interpreting logs, measurements, and simulator results. Physical measurements and real-machine trials were performed by the researcher for safety, equipment protection, and practical access to the testbed. The objective was not to compare Codex with human experts, but to formalize commissioning activities that currently depend on human observation and engineering judgment for eventual use in unmanned or minimally supervised construction.</w:t>
      </w:r>
    </w:p>
    <w:p w14:paraId="00DB6997" w14:textId="09689080" w:rsidR="00692719" w:rsidRDefault="0013307D" w:rsidP="0013307D">
      <w:pPr>
        <w:rPr>
          <w:lang w:eastAsia="ja-JP"/>
        </w:rPr>
      </w:pPr>
      <w:r>
        <w:rPr>
          <w:lang w:eastAsia="ja-JP"/>
        </w:rPr>
        <w:t>Each branch hypothesis had to define an observable test. Broad explanations such as “the simulator is inaccurate” were therefore replaced by specific statements of what should be measured, inspected, or replayed and what evidence would support or reject them.</w:t>
      </w:r>
    </w:p>
    <w:p w14:paraId="341240D7" w14:textId="77777777" w:rsidR="0013307D" w:rsidRPr="00FF7847" w:rsidRDefault="0013307D" w:rsidP="0013307D">
      <w:pPr>
        <w:rPr>
          <w:lang w:eastAsia="ja-JP"/>
        </w:rPr>
      </w:pPr>
    </w:p>
    <w:p w14:paraId="5A754992" w14:textId="590810D0" w:rsidR="00692719" w:rsidRPr="00FF7847" w:rsidRDefault="005D2458" w:rsidP="00692719">
      <w:pPr>
        <w:pStyle w:val="2"/>
      </w:pPr>
      <w:r w:rsidRPr="00FF7847">
        <w:t>Corrective actions and evaluation concept</w:t>
      </w:r>
    </w:p>
    <w:p w14:paraId="02048F5B" w14:textId="77777777" w:rsidR="000C4253" w:rsidRPr="00FF7847" w:rsidRDefault="000C4253" w:rsidP="000C4253">
      <w:pPr>
        <w:rPr>
          <w:lang w:eastAsia="ja-JP"/>
        </w:rPr>
      </w:pPr>
      <w:r w:rsidRPr="00FF7847">
        <w:rPr>
          <w:lang w:eastAsia="ja-JP"/>
        </w:rPr>
        <w:t>The output of issue diagnosis is classified into reusable forms: simulator or evaluation updates, operational constraints, residual uncertainty items, or rejected explanations. In the case study, the main corrective actions were simulator updates, candidate-evaluation updates, and residual uncertainty registration.</w:t>
      </w:r>
    </w:p>
    <w:p w14:paraId="1A447086" w14:textId="01E2AFD6" w:rsidR="00692719" w:rsidRPr="00FF7847" w:rsidRDefault="000C4253" w:rsidP="000C4253">
      <w:pPr>
        <w:rPr>
          <w:lang w:eastAsia="ja-JP"/>
        </w:rPr>
      </w:pPr>
      <w:r w:rsidRPr="00FF7847">
        <w:rPr>
          <w:lang w:eastAsia="ja-JP"/>
        </w:rPr>
        <w:t>For posture or geometric discrepancies, the outcome can be evaluated by comparing a simulator-predicted quantity with the corresponding measured real-machine quantity. In the following case study, the primary metric is the minimum-height error between the simulator-predicted bucket lowest point and the measured real-machine bucket lowest point.</w:t>
      </w:r>
    </w:p>
    <w:p w14:paraId="039A3682" w14:textId="77777777" w:rsidR="000C4253" w:rsidRPr="00FF7847" w:rsidRDefault="000C4253" w:rsidP="000C4253">
      <w:pPr>
        <w:rPr>
          <w:lang w:eastAsia="ja-JP"/>
        </w:rPr>
      </w:pPr>
    </w:p>
    <w:p w14:paraId="70B45B23" w14:textId="6384DFE6" w:rsidR="00FA5C08" w:rsidRPr="00FF7847" w:rsidRDefault="007121DE" w:rsidP="00FA5C08">
      <w:pPr>
        <w:pStyle w:val="1"/>
        <w:rPr>
          <w:lang w:eastAsia="ja-JP"/>
        </w:rPr>
      </w:pPr>
      <w:r w:rsidRPr="00FF7847">
        <w:rPr>
          <w:lang w:eastAsia="ja-JP"/>
        </w:rPr>
        <w:t>Testbed and Initial Simulator</w:t>
      </w:r>
    </w:p>
    <w:p w14:paraId="1F46E8A5" w14:textId="56AF73F8" w:rsidR="00FA5C08" w:rsidRPr="00FF7847" w:rsidRDefault="007121DE" w:rsidP="00FA5C08">
      <w:pPr>
        <w:pStyle w:val="2"/>
      </w:pPr>
      <w:r w:rsidRPr="00FF7847">
        <w:t>Excavator testbed and command interface</w:t>
      </w:r>
    </w:p>
    <w:p w14:paraId="7E9B0489" w14:textId="213A6AA7" w:rsidR="00FA5C08" w:rsidRPr="00FF7847" w:rsidRDefault="007121DE" w:rsidP="007121DE">
      <w:pPr>
        <w:rPr>
          <w:lang w:eastAsia="ja-JP"/>
        </w:rPr>
      </w:pPr>
      <w:r w:rsidRPr="00FF7847">
        <w:rPr>
          <w:lang w:eastAsia="ja-JP"/>
        </w:rPr>
        <w:t>The case study used a ROS 2 Foxy-based scale-model excavator robot testbed. The testbed was based on a model construction robot system previously developed for construction automation research and education</w:t>
      </w:r>
      <w:r w:rsidR="000E555F" w:rsidRPr="00FF7847">
        <w:rPr>
          <w:rFonts w:hint="eastAsia"/>
          <w:lang w:eastAsia="ja-JP"/>
        </w:rPr>
        <w:t xml:space="preserve"> </w:t>
      </w:r>
      <w:r w:rsidR="000E555F" w:rsidRPr="00FF7847">
        <w:rPr>
          <w:lang w:eastAsia="ja-JP"/>
        </w:rPr>
        <w:fldChar w:fldCharType="begin"/>
      </w:r>
      <w:r w:rsidR="008560CF" w:rsidRPr="00FF7847">
        <w:rPr>
          <w:lang w:eastAsia="ja-JP"/>
        </w:rPr>
        <w:instrText xml:space="preserve"> ADDIN ZOTERO_ITEM CSL_CITATION {"citationID":"4GUEgwJ0","properties":{"unsorted":false,"formattedCitation":"(Yajima, R. et al., 2023)","plainCitation":"(Yajima, R. et al., 2023)","noteIndex":0},"citationItems":[{"id":535,"uris":["http://zotero.org/users/</w:instrText>
      </w:r>
      <w:r w:rsidR="008560CF" w:rsidRPr="00FF7847">
        <w:rPr>
          <w:rFonts w:hint="eastAsia"/>
          <w:lang w:eastAsia="ja-JP"/>
        </w:rPr>
        <w:instrText>18446719/items/GAQDMJWQ"],"itemData":{"id":535,"type":"paper-conference","abstract":"</w:instrText>
      </w:r>
      <w:r w:rsidR="008560CF" w:rsidRPr="00FF7847">
        <w:rPr>
          <w:rFonts w:hint="eastAsia"/>
          <w:lang w:eastAsia="ja-JP"/>
        </w:rPr>
        <w:instrText>我々の研究グループでは，設現場の自動化・自律化に関する研究開発や教育活動に用いるために，小型の模型建設ロボットシステムを開発している．本稿では，この開発したシステムを紹介する．システム全体について述べるとともに，模型自動ショベル，模型自動ダンプトラック，位置情報配信システムの各要素の詳細について解説し，運用を通して明らかになった課題をまとめる．</w:instrText>
      </w:r>
      <w:r w:rsidR="008560CF" w:rsidRPr="00FF7847">
        <w:rPr>
          <w:rFonts w:hint="eastAsia"/>
          <w:lang w:eastAsia="ja-JP"/>
        </w:rPr>
        <w:instrText>","container-title":"Proceedings of the 5th Symposium on the Promotion of i-Construction, Japan Society of Civil Engineers, 2025.","DOI":"10.11532/kensetsumanagement.2023.0_33","language":"in Japanese","page":"33-36","source":"J-Stage","title":"Develop</w:instrText>
      </w:r>
      <w:r w:rsidR="008560CF" w:rsidRPr="00FF7847">
        <w:rPr>
          <w:lang w:eastAsia="ja-JP"/>
        </w:rPr>
        <w:instrText xml:space="preserve">ment of a Model Construction Robot System Using ROS","volume":"2023","author":[{"family":"Yajima","given":"Ryosuke"},{"family":"Muramoto","given":"Izumi"},{"family":"Matsushita","given":"Fumiya"},{"family":"Nagatani","given":"Keiji"},{"family":"Ozawa","given":"Kazumasa"}],"issued":{"date-parts":[["2023"]]}}}],"schema":"https://github.com/citation-style-language/schema/raw/master/csl-citation.json"} </w:instrText>
      </w:r>
      <w:r w:rsidR="000E555F" w:rsidRPr="00FF7847">
        <w:rPr>
          <w:lang w:eastAsia="ja-JP"/>
        </w:rPr>
        <w:fldChar w:fldCharType="separate"/>
      </w:r>
      <w:r w:rsidR="008560CF" w:rsidRPr="00FF7847">
        <w:rPr>
          <w:lang w:eastAsia="ja-JP"/>
        </w:rPr>
        <w:t>(Yajima, R. et al., 2023)</w:t>
      </w:r>
      <w:r w:rsidR="000E555F" w:rsidRPr="00FF7847">
        <w:rPr>
          <w:lang w:eastAsia="ja-JP"/>
        </w:rPr>
        <w:fldChar w:fldCharType="end"/>
      </w:r>
      <w:r w:rsidR="000E555F" w:rsidRPr="00FF7847">
        <w:rPr>
          <w:lang w:eastAsia="ja-JP"/>
        </w:rPr>
        <w:t>.</w:t>
      </w:r>
      <w:r w:rsidRPr="00FF7847">
        <w:t xml:space="preserve"> </w:t>
      </w:r>
      <w:r w:rsidRPr="00FF7847">
        <w:rPr>
          <w:lang w:eastAsia="ja-JP"/>
        </w:rPr>
        <w:t xml:space="preserve">The excavator was represented as a serial mechanism with three main working joints: boom, arm, and bucket. The testbed also included a rotator for upper-structure rotation, but </w:t>
      </w:r>
      <w:r w:rsidR="00BC7277" w:rsidRPr="00FF7847">
        <w:rPr>
          <w:lang w:eastAsia="ja-JP"/>
        </w:rPr>
        <w:t>the commissioning issue analyzed in this paper concerned the side-view posture of the boom, arm, and bucket.</w:t>
      </w:r>
    </w:p>
    <w:p w14:paraId="014B80BF" w14:textId="0EE5DD5B" w:rsidR="007121DE" w:rsidRPr="00FF7847" w:rsidRDefault="007121DE" w:rsidP="007121DE">
      <w:pPr>
        <w:rPr>
          <w:lang w:eastAsia="ja-JP"/>
        </w:rPr>
      </w:pPr>
      <w:r w:rsidRPr="00FF7847">
        <w:rPr>
          <w:lang w:eastAsia="ja-JP"/>
        </w:rPr>
        <w:t xml:space="preserve">The digital model used nominal link dimensions and bucket reference points to compute the side-view posture of the excavator and the height of the bucket tip or lower point. In this paper, (H) denotes the bucket hinge point, and (T) denotes the bucket tip point. These points were used to define bucket posture and to compare simulator-predicted and measured real-machine bucket positions. Fig. </w:t>
      </w:r>
      <w:r w:rsidR="005D2458" w:rsidRPr="00FF7847">
        <w:rPr>
          <w:rFonts w:hint="eastAsia"/>
          <w:lang w:eastAsia="ja-JP"/>
        </w:rPr>
        <w:t>2</w:t>
      </w:r>
      <w:r w:rsidRPr="00FF7847">
        <w:rPr>
          <w:lang w:eastAsia="ja-JP"/>
        </w:rPr>
        <w:t xml:space="preserve"> shows the scale-model excavator, joint definitions, motion ranges, and measured dimensions used in the initial simulator.</w:t>
      </w:r>
    </w:p>
    <w:p w14:paraId="19781A77" w14:textId="2F9C0B6B" w:rsidR="000C4253" w:rsidRPr="00FF7847" w:rsidRDefault="000C4253" w:rsidP="007121DE">
      <w:pPr>
        <w:rPr>
          <w:lang w:eastAsia="ja-JP"/>
        </w:rPr>
      </w:pPr>
      <w:r w:rsidRPr="00FF7847">
        <w:rPr>
          <w:lang w:eastAsia="ja-JP"/>
        </w:rPr>
        <w:t xml:space="preserve">The command interface allowed target joint angles and speed ratios to be published to the excavator through ROS topics. The main command topics were the boom, arm, bucket, and rotator angle topics, each of which accepted a target angle and a speed ratio. The joint-state topic provided subscribed joint angles used for posture comparison. In this paper, speed ratio refers to the relative speed command specified with the target joint angle. Because it is defined relative to the internal </w:t>
      </w:r>
      <w:r w:rsidRPr="00FF7847">
        <w:rPr>
          <w:lang w:eastAsia="ja-JP"/>
        </w:rPr>
        <w:lastRenderedPageBreak/>
        <w:t>maximum speed used by the controller, it does not directly correspond to a fixed physical angular velocity under all postures or operating conditions.</w:t>
      </w:r>
    </w:p>
    <w:p w14:paraId="4E8367CB" w14:textId="7BA00830" w:rsidR="00DD45EF" w:rsidRPr="00FF7847" w:rsidRDefault="00AA0291" w:rsidP="0073049A">
      <w:pPr>
        <w:pStyle w:val="figure"/>
      </w:pPr>
      <w:r w:rsidRPr="00FF7847">
        <w:rPr>
          <w:noProof/>
        </w:rPr>
        <w:drawing>
          <wp:inline distT="0" distB="0" distL="0" distR="0" wp14:anchorId="45670ACE" wp14:editId="7173475E">
            <wp:extent cx="5731510" cy="2430780"/>
            <wp:effectExtent l="0" t="0" r="2540" b="0"/>
            <wp:docPr id="236" name="図 235">
              <a:extLst xmlns:a="http://schemas.openxmlformats.org/drawingml/2006/main">
                <a:ext uri="{FF2B5EF4-FFF2-40B4-BE49-F238E27FC236}">
                  <a16:creationId xmlns:a16="http://schemas.microsoft.com/office/drawing/2014/main" id="{84E05D6F-39E4-1993-6C8F-1BEA0BB5F62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6" name="図 235">
                      <a:extLst>
                        <a:ext uri="{FF2B5EF4-FFF2-40B4-BE49-F238E27FC236}">
                          <a16:creationId xmlns:a16="http://schemas.microsoft.com/office/drawing/2014/main" id="{84E05D6F-39E4-1993-6C8F-1BEA0BB5F621}"/>
                        </a:ext>
                      </a:extLst>
                    </pic:cNvPr>
                    <pic:cNvPicPr>
                      <a:picLocks noChangeAspect="1"/>
                    </pic:cNvPicPr>
                  </pic:nvPicPr>
                  <pic:blipFill>
                    <a:blip r:embed="rId9"/>
                    <a:stretch>
                      <a:fillRect/>
                    </a:stretch>
                  </pic:blipFill>
                  <pic:spPr>
                    <a:xfrm>
                      <a:off x="0" y="0"/>
                      <a:ext cx="5731510" cy="2430780"/>
                    </a:xfrm>
                    <a:prstGeom prst="rect">
                      <a:avLst/>
                    </a:prstGeom>
                  </pic:spPr>
                </pic:pic>
              </a:graphicData>
            </a:graphic>
          </wp:inline>
        </w:drawing>
      </w:r>
    </w:p>
    <w:p w14:paraId="34FDCB2A" w14:textId="420AC25F" w:rsidR="00DD45EF" w:rsidRPr="00FF7847" w:rsidRDefault="00DD45EF" w:rsidP="00DD45EF">
      <w:pPr>
        <w:pStyle w:val="afb"/>
        <w:rPr>
          <w:b/>
          <w:bCs/>
          <w:szCs w:val="20"/>
        </w:rPr>
      </w:pPr>
      <w:bookmarkStart w:id="1" w:name="_Ref232688846"/>
      <w:r w:rsidRPr="00FF7847">
        <w:rPr>
          <w:szCs w:val="20"/>
        </w:rPr>
        <w:t xml:space="preserve">Figure </w:t>
      </w:r>
      <w:r w:rsidRPr="00FF7847">
        <w:rPr>
          <w:szCs w:val="20"/>
        </w:rPr>
        <w:fldChar w:fldCharType="begin"/>
      </w:r>
      <w:r w:rsidRPr="00FF7847">
        <w:rPr>
          <w:szCs w:val="20"/>
        </w:rPr>
        <w:instrText xml:space="preserve"> SEQ Figure \* ARABIC </w:instrText>
      </w:r>
      <w:r w:rsidRPr="00FF7847">
        <w:rPr>
          <w:szCs w:val="20"/>
        </w:rPr>
        <w:fldChar w:fldCharType="separate"/>
      </w:r>
      <w:r w:rsidR="00AD3633">
        <w:rPr>
          <w:noProof/>
          <w:szCs w:val="20"/>
        </w:rPr>
        <w:t>2</w:t>
      </w:r>
      <w:r w:rsidRPr="00FF7847">
        <w:rPr>
          <w:szCs w:val="20"/>
        </w:rPr>
        <w:fldChar w:fldCharType="end"/>
      </w:r>
      <w:bookmarkEnd w:id="1"/>
      <w:r w:rsidRPr="00FF7847">
        <w:rPr>
          <w:rFonts w:hint="eastAsia"/>
          <w:szCs w:val="20"/>
          <w:lang w:eastAsia="ja-JP"/>
        </w:rPr>
        <w:t xml:space="preserve">: </w:t>
      </w:r>
      <w:r w:rsidR="000E555F" w:rsidRPr="00FF7847">
        <w:rPr>
          <w:szCs w:val="20"/>
          <w:lang w:eastAsia="ja-JP"/>
        </w:rPr>
        <w:t>Scale-model excavator robot, joint definitions, motion ranges, and measured dimensions used in the initial simulator.</w:t>
      </w:r>
    </w:p>
    <w:p w14:paraId="3790F391" w14:textId="570A12E6" w:rsidR="005D2458" w:rsidRPr="00FF7847" w:rsidRDefault="005D2458" w:rsidP="000C4253">
      <w:pPr>
        <w:tabs>
          <w:tab w:val="left" w:pos="3045"/>
        </w:tabs>
        <w:ind w:firstLine="0"/>
        <w:rPr>
          <w:lang w:eastAsia="ja-JP"/>
        </w:rPr>
      </w:pPr>
    </w:p>
    <w:p w14:paraId="0A203A3D" w14:textId="1DC4BBFE" w:rsidR="00FA5C08" w:rsidRPr="00FF7847" w:rsidRDefault="007121DE" w:rsidP="000E555F">
      <w:pPr>
        <w:pStyle w:val="2"/>
      </w:pPr>
      <w:r w:rsidRPr="00FF7847">
        <w:t>Initial simulator and replay procedure</w:t>
      </w:r>
    </w:p>
    <w:p w14:paraId="2F01EAE5" w14:textId="77777777" w:rsidR="005D2458" w:rsidRPr="00FF7847" w:rsidRDefault="005D2458" w:rsidP="005D2458">
      <w:pPr>
        <w:rPr>
          <w:lang w:eastAsia="ja-JP"/>
        </w:rPr>
      </w:pPr>
      <w:r w:rsidRPr="00FF7847">
        <w:rPr>
          <w:lang w:eastAsia="ja-JP"/>
        </w:rPr>
        <w:t>The case study focused on the excavator motion component of an ideal-condition simulator. The initial simulator was constructed to generate and evaluate candidate digging postures before increasing the number of real-machine trials. It accepted candidate boom, arm, and bucket angles and computed the corresponding side-view excavator posture using nominal link dimensions, documented joint-angle definitions, bucket reference points, and simple clearance checks.</w:t>
      </w:r>
    </w:p>
    <w:p w14:paraId="63EC5C8B" w14:textId="77777777" w:rsidR="005D2458" w:rsidRPr="00FF7847" w:rsidRDefault="005D2458" w:rsidP="005D2458">
      <w:pPr>
        <w:rPr>
          <w:lang w:eastAsia="ja-JP"/>
        </w:rPr>
      </w:pPr>
      <w:r w:rsidRPr="00FF7847">
        <w:rPr>
          <w:lang w:eastAsia="ja-JP"/>
        </w:rPr>
        <w:t xml:space="preserve">Candidate postures were evaluated based on geometric feasibility, bucket height, and task-level suitability for excavation. The initial model did not include machine-specific execution effects such as command-to-posture deviation, joint stopping error, speed-dependent actuation limits, bucket-speed variability, material-flow uncertainty, or communication delay. Therefore, a posture that appeared feasible in the initial simulator still required real-machine replay and </w:t>
      </w:r>
      <w:proofErr w:type="gramStart"/>
      <w:r w:rsidRPr="00FF7847">
        <w:rPr>
          <w:lang w:eastAsia="ja-JP"/>
        </w:rPr>
        <w:t>commissioning</w:t>
      </w:r>
      <w:proofErr w:type="gramEnd"/>
      <w:r w:rsidRPr="00FF7847">
        <w:rPr>
          <w:lang w:eastAsia="ja-JP"/>
        </w:rPr>
        <w:t xml:space="preserve"> diagnosis before it could be treated as a reliable motion candidate.</w:t>
      </w:r>
    </w:p>
    <w:p w14:paraId="295324FE" w14:textId="75FDF31B" w:rsidR="00FA5C08" w:rsidRPr="00FF7847" w:rsidRDefault="005D2458" w:rsidP="005D2458">
      <w:pPr>
        <w:rPr>
          <w:lang w:eastAsia="ja-JP"/>
        </w:rPr>
      </w:pPr>
      <w:r w:rsidRPr="00FF7847">
        <w:rPr>
          <w:lang w:eastAsia="ja-JP"/>
        </w:rPr>
        <w:t xml:space="preserve">After candidate generation, selected excavator motions were replayed on the real machine. The replay procedure published target boom, arm, and bucket angles together with speed ratios, and recorded command logs, joint-state logs, measurements, and observations of the resulting machine behavior. When the real-machine behavior diverged from the simulated behavior, the discrepancy was registered as an issue and analyzed using the issue-based diagnostic method described in Section </w:t>
      </w:r>
      <w:r w:rsidRPr="00FF7847">
        <w:rPr>
          <w:lang w:eastAsia="ja-JP"/>
        </w:rPr>
        <w:fldChar w:fldCharType="begin"/>
      </w:r>
      <w:r w:rsidRPr="00FF7847">
        <w:rPr>
          <w:lang w:eastAsia="ja-JP"/>
        </w:rPr>
        <w:instrText xml:space="preserve"> REF _Ref232784654 \r \h </w:instrText>
      </w:r>
      <w:r w:rsidR="00FF7847" w:rsidRPr="00FF7847">
        <w:rPr>
          <w:lang w:eastAsia="ja-JP"/>
        </w:rPr>
        <w:instrText xml:space="preserve"> \* MERGEFORMAT </w:instrText>
      </w:r>
      <w:r w:rsidRPr="00FF7847">
        <w:rPr>
          <w:lang w:eastAsia="ja-JP"/>
        </w:rPr>
      </w:r>
      <w:r w:rsidRPr="00FF7847">
        <w:rPr>
          <w:lang w:eastAsia="ja-JP"/>
        </w:rPr>
        <w:fldChar w:fldCharType="separate"/>
      </w:r>
      <w:r w:rsidR="00AD3633">
        <w:rPr>
          <w:lang w:eastAsia="ja-JP"/>
        </w:rPr>
        <w:t>3</w:t>
      </w:r>
      <w:r w:rsidRPr="00FF7847">
        <w:rPr>
          <w:lang w:eastAsia="ja-JP"/>
        </w:rPr>
        <w:fldChar w:fldCharType="end"/>
      </w:r>
      <w:r w:rsidRPr="00FF7847">
        <w:rPr>
          <w:lang w:eastAsia="ja-JP"/>
        </w:rPr>
        <w:t>.</w:t>
      </w:r>
    </w:p>
    <w:p w14:paraId="7430FCCE" w14:textId="77777777" w:rsidR="005D2458" w:rsidRPr="00FF7847" w:rsidRDefault="005D2458" w:rsidP="005D2458">
      <w:pPr>
        <w:rPr>
          <w:lang w:eastAsia="ja-JP"/>
        </w:rPr>
      </w:pPr>
    </w:p>
    <w:p w14:paraId="070CA25B" w14:textId="2AE11F97" w:rsidR="000E555F" w:rsidRPr="00FF7847" w:rsidRDefault="005D2458" w:rsidP="000E555F">
      <w:pPr>
        <w:pStyle w:val="1"/>
        <w:rPr>
          <w:lang w:eastAsia="ja-JP"/>
        </w:rPr>
      </w:pPr>
      <w:r w:rsidRPr="00FF7847">
        <w:rPr>
          <w:rFonts w:hint="eastAsia"/>
          <w:lang w:eastAsia="ja-JP"/>
        </w:rPr>
        <w:t xml:space="preserve">CASE STUDY: SIMULATOR-TO-REAL </w:t>
      </w:r>
      <w:r w:rsidR="00BC7277" w:rsidRPr="00FF7847">
        <w:rPr>
          <w:rFonts w:hint="eastAsia"/>
          <w:lang w:eastAsia="ja-JP"/>
        </w:rPr>
        <w:t xml:space="preserve">EXCAVATOR </w:t>
      </w:r>
      <w:r w:rsidRPr="00FF7847">
        <w:rPr>
          <w:rFonts w:hint="eastAsia"/>
          <w:lang w:eastAsia="ja-JP"/>
        </w:rPr>
        <w:t>POSTURE DISCREPANCY</w:t>
      </w:r>
    </w:p>
    <w:p w14:paraId="424EE815" w14:textId="40E36D08" w:rsidR="007723F9" w:rsidRPr="00FF7847" w:rsidRDefault="005D2458" w:rsidP="007723F9">
      <w:pPr>
        <w:pStyle w:val="2"/>
      </w:pPr>
      <w:r w:rsidRPr="00FF7847">
        <w:t>Observed issue and execution-stage decomposition</w:t>
      </w:r>
    </w:p>
    <w:p w14:paraId="1DCE130B" w14:textId="77777777" w:rsidR="00263A24" w:rsidRPr="00FF7847" w:rsidRDefault="00263A24" w:rsidP="00263A24">
      <w:pPr>
        <w:rPr>
          <w:lang w:eastAsia="ja-JP"/>
        </w:rPr>
      </w:pPr>
      <w:r w:rsidRPr="00FF7847">
        <w:rPr>
          <w:lang w:eastAsia="ja-JP"/>
        </w:rPr>
        <w:t>The commissioning issue was observed during replay of an excavator motion selected from the initial simulator. The simulator predicted that the selected excavator posture would maintain sufficient clearance above the floor. However, during real-machine replay, floor contact was observed around the bucket. The initial minimum-height error between the simulator-predicted bucket lowest point and the measured real-machine bucket lowest point was 3.891 cm, indicating that the discrepancy was not only a qualitative floor-contact observation but also a measurable clearance-prediction error.</w:t>
      </w:r>
    </w:p>
    <w:p w14:paraId="15BD38CB" w14:textId="626E32FF" w:rsidR="00FA7540" w:rsidRPr="00FF7847" w:rsidRDefault="00263A24" w:rsidP="00263A24">
      <w:pPr>
        <w:rPr>
          <w:lang w:eastAsia="ja-JP"/>
        </w:rPr>
      </w:pPr>
      <w:r w:rsidRPr="00FF7847">
        <w:rPr>
          <w:lang w:eastAsia="ja-JP"/>
        </w:rPr>
        <w:lastRenderedPageBreak/>
        <w:t>The observed floor contact was treated as a symptom of a simulator-to-real excavator posture discrepancy, rather than as an isolated contact issue. To diagnose this discrepancy, the issue was decomposed into the execution stages shown in</w:t>
      </w:r>
      <w:r w:rsidR="005D2458" w:rsidRPr="00FF7847">
        <w:rPr>
          <w:lang w:eastAsia="ja-JP"/>
        </w:rPr>
        <w:t xml:space="preserve"> </w:t>
      </w:r>
      <w:r w:rsidR="00FA7540" w:rsidRPr="00FF7847">
        <w:rPr>
          <w:lang w:eastAsia="ja-JP"/>
        </w:rPr>
        <w:fldChar w:fldCharType="begin"/>
      </w:r>
      <w:r w:rsidR="00FA7540" w:rsidRPr="00FF7847">
        <w:rPr>
          <w:lang w:eastAsia="ja-JP"/>
        </w:rPr>
        <w:instrText xml:space="preserve"> REF _Ref232692291 \h </w:instrText>
      </w:r>
      <w:r w:rsidR="00FF7847" w:rsidRPr="00FF7847">
        <w:rPr>
          <w:lang w:eastAsia="ja-JP"/>
        </w:rPr>
        <w:instrText xml:space="preserve"> \* MERGEFORMAT </w:instrText>
      </w:r>
      <w:r w:rsidR="00FA7540" w:rsidRPr="00FF7847">
        <w:rPr>
          <w:lang w:eastAsia="ja-JP"/>
        </w:rPr>
      </w:r>
      <w:r w:rsidR="00FA7540" w:rsidRPr="00FF7847">
        <w:rPr>
          <w:lang w:eastAsia="ja-JP"/>
        </w:rPr>
        <w:fldChar w:fldCharType="separate"/>
      </w:r>
      <w:r w:rsidR="00AD3633" w:rsidRPr="00FF7847">
        <w:t xml:space="preserve">Table </w:t>
      </w:r>
      <w:r w:rsidR="00AD3633">
        <w:rPr>
          <w:noProof/>
        </w:rPr>
        <w:t>1</w:t>
      </w:r>
      <w:r w:rsidR="00FA7540" w:rsidRPr="00FF7847">
        <w:rPr>
          <w:lang w:eastAsia="ja-JP"/>
        </w:rPr>
        <w:fldChar w:fldCharType="end"/>
      </w:r>
      <w:r w:rsidR="00FA7540" w:rsidRPr="00FF7847">
        <w:rPr>
          <w:rFonts w:hint="eastAsia"/>
          <w:lang w:eastAsia="ja-JP"/>
        </w:rPr>
        <w:t>.</w:t>
      </w:r>
    </w:p>
    <w:p w14:paraId="4EB9EFD1" w14:textId="762EC06D" w:rsidR="00AA0291" w:rsidRPr="00FF7847" w:rsidRDefault="00AA0291" w:rsidP="00AA0291">
      <w:pPr>
        <w:pStyle w:val="afb"/>
        <w:rPr>
          <w:lang w:eastAsia="ja-JP"/>
        </w:rPr>
      </w:pPr>
      <w:bookmarkStart w:id="2" w:name="_Ref232692291"/>
      <w:r w:rsidRPr="00FF7847">
        <w:t xml:space="preserve">Table </w:t>
      </w:r>
      <w:r w:rsidRPr="00FF7847">
        <w:fldChar w:fldCharType="begin"/>
      </w:r>
      <w:r w:rsidRPr="00FF7847">
        <w:instrText xml:space="preserve"> SEQ Table \* ARABIC </w:instrText>
      </w:r>
      <w:r w:rsidRPr="00FF7847">
        <w:fldChar w:fldCharType="separate"/>
      </w:r>
      <w:r w:rsidR="00AD3633">
        <w:rPr>
          <w:noProof/>
        </w:rPr>
        <w:t>1</w:t>
      </w:r>
      <w:r w:rsidRPr="00FF7847">
        <w:fldChar w:fldCharType="end"/>
      </w:r>
      <w:bookmarkEnd w:id="2"/>
      <w:r w:rsidRPr="00FF7847">
        <w:rPr>
          <w:rFonts w:hint="eastAsia"/>
          <w:lang w:eastAsia="ja-JP"/>
        </w:rPr>
        <w:t xml:space="preserve">: </w:t>
      </w:r>
      <w:r w:rsidR="00BC7277" w:rsidRPr="00FF7847">
        <w:rPr>
          <w:lang w:eastAsia="ja-JP"/>
        </w:rPr>
        <w:t>Execution stages and diagnostic questions for the simulator-to-real excavator posture discrepancy.</w:t>
      </w:r>
    </w:p>
    <w:tbl>
      <w:tblPr>
        <w:tblW w:w="5000" w:type="pct"/>
        <w:tblCellMar>
          <w:top w:w="57" w:type="dxa"/>
          <w:left w:w="57" w:type="dxa"/>
          <w:bottom w:w="57" w:type="dxa"/>
          <w:right w:w="57" w:type="dxa"/>
        </w:tblCellMar>
        <w:tblLook w:val="04A0" w:firstRow="1" w:lastRow="0" w:firstColumn="1" w:lastColumn="0" w:noHBand="0" w:noVBand="1"/>
      </w:tblPr>
      <w:tblGrid>
        <w:gridCol w:w="832"/>
        <w:gridCol w:w="2049"/>
        <w:gridCol w:w="6145"/>
      </w:tblGrid>
      <w:tr w:rsidR="00AA0291" w:rsidRPr="00FF7847" w14:paraId="3B38572A" w14:textId="77777777" w:rsidTr="00754075">
        <w:trPr>
          <w:trHeight w:val="317"/>
        </w:trPr>
        <w:tc>
          <w:tcPr>
            <w:tcW w:w="461" w:type="pct"/>
            <w:tcBorders>
              <w:top w:val="single" w:sz="4" w:space="0" w:color="auto"/>
              <w:bottom w:val="single" w:sz="4" w:space="0" w:color="auto"/>
            </w:tcBorders>
          </w:tcPr>
          <w:p w14:paraId="4E320B34" w14:textId="77777777" w:rsidR="00AA0291" w:rsidRPr="00FF7847" w:rsidRDefault="00AA0291" w:rsidP="00BA524B">
            <w:pPr>
              <w:pStyle w:val="inTable"/>
              <w:jc w:val="center"/>
            </w:pPr>
            <w:r w:rsidRPr="00FF7847">
              <w:t>Stage</w:t>
            </w:r>
          </w:p>
        </w:tc>
        <w:tc>
          <w:tcPr>
            <w:tcW w:w="1135" w:type="pct"/>
            <w:tcBorders>
              <w:top w:val="single" w:sz="4" w:space="0" w:color="auto"/>
              <w:bottom w:val="single" w:sz="4" w:space="0" w:color="auto"/>
            </w:tcBorders>
          </w:tcPr>
          <w:p w14:paraId="70E4A167" w14:textId="77777777" w:rsidR="00AA0291" w:rsidRPr="00FF7847" w:rsidRDefault="00AA0291" w:rsidP="00BA524B">
            <w:pPr>
              <w:pStyle w:val="inTable"/>
            </w:pPr>
            <w:r w:rsidRPr="00FF7847">
              <w:t>Execution layer</w:t>
            </w:r>
          </w:p>
        </w:tc>
        <w:tc>
          <w:tcPr>
            <w:tcW w:w="3404" w:type="pct"/>
            <w:tcBorders>
              <w:top w:val="single" w:sz="4" w:space="0" w:color="auto"/>
              <w:bottom w:val="single" w:sz="4" w:space="0" w:color="auto"/>
            </w:tcBorders>
          </w:tcPr>
          <w:p w14:paraId="0E10F29E" w14:textId="4A83C5A0" w:rsidR="00AA0291" w:rsidRPr="00FF7847" w:rsidRDefault="00AA0291" w:rsidP="00BA524B">
            <w:pPr>
              <w:pStyle w:val="inTable"/>
            </w:pPr>
            <w:r w:rsidRPr="00FF7847">
              <w:t>Diagnostic question</w:t>
            </w:r>
          </w:p>
        </w:tc>
      </w:tr>
      <w:tr w:rsidR="00AA0291" w:rsidRPr="00FF7847" w14:paraId="2A7667F6" w14:textId="77777777" w:rsidTr="00754075">
        <w:tc>
          <w:tcPr>
            <w:tcW w:w="461" w:type="pct"/>
            <w:tcBorders>
              <w:top w:val="single" w:sz="4" w:space="0" w:color="auto"/>
            </w:tcBorders>
          </w:tcPr>
          <w:p w14:paraId="7B74AFD6" w14:textId="66F43DAC" w:rsidR="00AA0291" w:rsidRPr="00FF7847" w:rsidRDefault="00AA0291" w:rsidP="00AA0291">
            <w:pPr>
              <w:pStyle w:val="inTable"/>
              <w:jc w:val="center"/>
            </w:pPr>
            <w:r w:rsidRPr="00FF7847">
              <w:t>S01</w:t>
            </w:r>
          </w:p>
        </w:tc>
        <w:tc>
          <w:tcPr>
            <w:tcW w:w="1135" w:type="pct"/>
            <w:tcBorders>
              <w:top w:val="single" w:sz="4" w:space="0" w:color="auto"/>
            </w:tcBorders>
          </w:tcPr>
          <w:p w14:paraId="468A8CD1" w14:textId="5EA85B92" w:rsidR="00AA0291" w:rsidRPr="00FF7847" w:rsidRDefault="00AA0291" w:rsidP="00AA0291">
            <w:pPr>
              <w:pStyle w:val="inTable"/>
            </w:pPr>
            <w:r w:rsidRPr="00FF7847">
              <w:t>Point/reference consistency</w:t>
            </w:r>
          </w:p>
        </w:tc>
        <w:tc>
          <w:tcPr>
            <w:tcW w:w="3404" w:type="pct"/>
            <w:tcBorders>
              <w:top w:val="single" w:sz="4" w:space="0" w:color="auto"/>
            </w:tcBorders>
          </w:tcPr>
          <w:p w14:paraId="4C49134E" w14:textId="365385FC" w:rsidR="00AA0291" w:rsidRPr="00FF7847" w:rsidRDefault="00AA0291" w:rsidP="00AA0291">
            <w:pPr>
              <w:pStyle w:val="inTable"/>
            </w:pPr>
            <w:r w:rsidRPr="00FF7847">
              <w:t>Were H, T, and floor references consistent across simulation, measurement, and posture reconstruction?</w:t>
            </w:r>
          </w:p>
        </w:tc>
      </w:tr>
      <w:tr w:rsidR="00AA0291" w:rsidRPr="00FF7847" w14:paraId="6D51A8A5" w14:textId="77777777" w:rsidTr="00754075">
        <w:tc>
          <w:tcPr>
            <w:tcW w:w="461" w:type="pct"/>
          </w:tcPr>
          <w:p w14:paraId="6A645DEF" w14:textId="34D041A3" w:rsidR="00AA0291" w:rsidRPr="00FF7847" w:rsidRDefault="00AA0291" w:rsidP="00AA0291">
            <w:pPr>
              <w:pStyle w:val="inTable"/>
              <w:jc w:val="center"/>
            </w:pPr>
            <w:r w:rsidRPr="00FF7847">
              <w:t>S02</w:t>
            </w:r>
          </w:p>
        </w:tc>
        <w:tc>
          <w:tcPr>
            <w:tcW w:w="1135" w:type="pct"/>
          </w:tcPr>
          <w:p w14:paraId="277476E3" w14:textId="3472E794" w:rsidR="00AA0291" w:rsidRPr="00FF7847" w:rsidRDefault="00AA0291" w:rsidP="00AA0291">
            <w:pPr>
              <w:pStyle w:val="inTable"/>
            </w:pPr>
            <w:r w:rsidRPr="00FF7847">
              <w:t>Geometry model</w:t>
            </w:r>
          </w:p>
        </w:tc>
        <w:tc>
          <w:tcPr>
            <w:tcW w:w="3404" w:type="pct"/>
          </w:tcPr>
          <w:p w14:paraId="3A01ACDF" w14:textId="372AD8AE" w:rsidR="00AA0291" w:rsidRPr="00FF7847" w:rsidRDefault="00AA0291" w:rsidP="00AA0291">
            <w:pPr>
              <w:pStyle w:val="inTable"/>
            </w:pPr>
            <w:r w:rsidRPr="00FF7847">
              <w:t>Did the simulator omit clearance-critical geometry, such as the bucket lower point or H-to-T geometry?</w:t>
            </w:r>
          </w:p>
        </w:tc>
      </w:tr>
      <w:tr w:rsidR="00AA0291" w:rsidRPr="00FF7847" w14:paraId="37685520" w14:textId="77777777" w:rsidTr="00754075">
        <w:tc>
          <w:tcPr>
            <w:tcW w:w="461" w:type="pct"/>
          </w:tcPr>
          <w:p w14:paraId="1B7F0CEE" w14:textId="59235967" w:rsidR="00AA0291" w:rsidRPr="00FF7847" w:rsidRDefault="00AA0291" w:rsidP="00AA0291">
            <w:pPr>
              <w:pStyle w:val="inTable"/>
              <w:jc w:val="center"/>
            </w:pPr>
            <w:r w:rsidRPr="00FF7847">
              <w:t>S03</w:t>
            </w:r>
          </w:p>
        </w:tc>
        <w:tc>
          <w:tcPr>
            <w:tcW w:w="1135" w:type="pct"/>
          </w:tcPr>
          <w:p w14:paraId="741FC1A7" w14:textId="257DBD93" w:rsidR="00AA0291" w:rsidRPr="00FF7847" w:rsidRDefault="00AA0291" w:rsidP="00AA0291">
            <w:pPr>
              <w:pStyle w:val="inTable"/>
            </w:pPr>
            <w:r w:rsidRPr="00FF7847">
              <w:t>Command-to-posture mapping</w:t>
            </w:r>
          </w:p>
        </w:tc>
        <w:tc>
          <w:tcPr>
            <w:tcW w:w="3404" w:type="pct"/>
          </w:tcPr>
          <w:p w14:paraId="0155108B" w14:textId="670EF05F" w:rsidR="00AA0291" w:rsidRPr="00FF7847" w:rsidRDefault="00AA0291" w:rsidP="00AA0291">
            <w:pPr>
              <w:pStyle w:val="inTable"/>
            </w:pPr>
            <w:r w:rsidRPr="00FF7847">
              <w:t>Did the documented angle definitions fail to reproduce the real side-view posture?</w:t>
            </w:r>
          </w:p>
        </w:tc>
      </w:tr>
      <w:tr w:rsidR="00AA0291" w:rsidRPr="00FF7847" w14:paraId="17BEA13D" w14:textId="77777777" w:rsidTr="00754075">
        <w:tc>
          <w:tcPr>
            <w:tcW w:w="461" w:type="pct"/>
          </w:tcPr>
          <w:p w14:paraId="3896820C" w14:textId="7EF6D022" w:rsidR="00AA0291" w:rsidRPr="00FF7847" w:rsidRDefault="00AA0291" w:rsidP="00AA0291">
            <w:pPr>
              <w:pStyle w:val="inTable"/>
              <w:jc w:val="center"/>
            </w:pPr>
            <w:r w:rsidRPr="00FF7847">
              <w:t>S04</w:t>
            </w:r>
          </w:p>
        </w:tc>
        <w:tc>
          <w:tcPr>
            <w:tcW w:w="1135" w:type="pct"/>
          </w:tcPr>
          <w:p w14:paraId="0107C800" w14:textId="390E10C8" w:rsidR="00AA0291" w:rsidRPr="00FF7847" w:rsidRDefault="00AA0291" w:rsidP="00AA0291">
            <w:pPr>
              <w:pStyle w:val="inTable"/>
            </w:pPr>
            <w:r w:rsidRPr="00FF7847">
              <w:t>Candidate evaluation</w:t>
            </w:r>
          </w:p>
        </w:tc>
        <w:tc>
          <w:tcPr>
            <w:tcW w:w="3404" w:type="pct"/>
          </w:tcPr>
          <w:p w14:paraId="22905FF9" w14:textId="6F5EFA37" w:rsidR="00AA0291" w:rsidRPr="00FF7847" w:rsidRDefault="00AA0291" w:rsidP="00AA0291">
            <w:pPr>
              <w:pStyle w:val="inTable"/>
            </w:pPr>
            <w:r w:rsidRPr="00FF7847">
              <w:t>Did endpoint-only evaluation miss intermediate postures, lowest-point changes, or tolerance effects?</w:t>
            </w:r>
          </w:p>
        </w:tc>
      </w:tr>
      <w:tr w:rsidR="00AA0291" w:rsidRPr="00FF7847" w14:paraId="39540276" w14:textId="77777777" w:rsidTr="00754075">
        <w:tc>
          <w:tcPr>
            <w:tcW w:w="461" w:type="pct"/>
          </w:tcPr>
          <w:p w14:paraId="073C4E9C" w14:textId="2E8873CE" w:rsidR="00AA0291" w:rsidRPr="00FF7847" w:rsidRDefault="00AA0291" w:rsidP="00AA0291">
            <w:pPr>
              <w:pStyle w:val="inTable"/>
              <w:jc w:val="center"/>
            </w:pPr>
            <w:r w:rsidRPr="00FF7847">
              <w:t>S05</w:t>
            </w:r>
          </w:p>
        </w:tc>
        <w:tc>
          <w:tcPr>
            <w:tcW w:w="1135" w:type="pct"/>
          </w:tcPr>
          <w:p w14:paraId="2FA05D4C" w14:textId="0A36C377" w:rsidR="00AA0291" w:rsidRPr="00FF7847" w:rsidRDefault="00AA0291" w:rsidP="00AA0291">
            <w:pPr>
              <w:pStyle w:val="inTable"/>
            </w:pPr>
            <w:r w:rsidRPr="00FF7847">
              <w:t>Replay consistency</w:t>
            </w:r>
          </w:p>
        </w:tc>
        <w:tc>
          <w:tcPr>
            <w:tcW w:w="3404" w:type="pct"/>
          </w:tcPr>
          <w:p w14:paraId="36280BA8" w14:textId="6B182EEF" w:rsidR="00AA0291" w:rsidRPr="00FF7847" w:rsidRDefault="00AA0291" w:rsidP="00AA0291">
            <w:pPr>
              <w:pStyle w:val="inTable"/>
            </w:pPr>
            <w:r w:rsidRPr="00FF7847">
              <w:t>Did the replayed command sequence differ from the simulator candidate?</w:t>
            </w:r>
          </w:p>
        </w:tc>
      </w:tr>
      <w:tr w:rsidR="00AA0291" w:rsidRPr="00FF7847" w14:paraId="606D635D" w14:textId="77777777" w:rsidTr="00754075">
        <w:tc>
          <w:tcPr>
            <w:tcW w:w="461" w:type="pct"/>
            <w:tcBorders>
              <w:bottom w:val="single" w:sz="4" w:space="0" w:color="auto"/>
            </w:tcBorders>
          </w:tcPr>
          <w:p w14:paraId="66EF4387" w14:textId="7CD32883" w:rsidR="00AA0291" w:rsidRPr="00FF7847" w:rsidRDefault="00AA0291" w:rsidP="00AA0291">
            <w:pPr>
              <w:pStyle w:val="inTable"/>
              <w:jc w:val="center"/>
            </w:pPr>
            <w:r w:rsidRPr="00FF7847">
              <w:t>S06</w:t>
            </w:r>
          </w:p>
        </w:tc>
        <w:tc>
          <w:tcPr>
            <w:tcW w:w="1135" w:type="pct"/>
            <w:tcBorders>
              <w:bottom w:val="single" w:sz="4" w:space="0" w:color="auto"/>
            </w:tcBorders>
          </w:tcPr>
          <w:p w14:paraId="03FE8A02" w14:textId="0983A1D9" w:rsidR="00AA0291" w:rsidRPr="00FF7847" w:rsidRDefault="00AA0291" w:rsidP="00AA0291">
            <w:pPr>
              <w:pStyle w:val="inTable"/>
            </w:pPr>
            <w:r w:rsidRPr="00FF7847">
              <w:t>Execution response</w:t>
            </w:r>
          </w:p>
        </w:tc>
        <w:tc>
          <w:tcPr>
            <w:tcW w:w="3404" w:type="pct"/>
            <w:tcBorders>
              <w:bottom w:val="single" w:sz="4" w:space="0" w:color="auto"/>
            </w:tcBorders>
          </w:tcPr>
          <w:p w14:paraId="57011AC9" w14:textId="7693834A" w:rsidR="00AA0291" w:rsidRPr="00FF7847" w:rsidRDefault="00AA0291" w:rsidP="00AA0291">
            <w:pPr>
              <w:pStyle w:val="inTable"/>
            </w:pPr>
            <w:r w:rsidRPr="00FF7847">
              <w:t>Did speed ratio, delay, incomplete arrival, or phase-transition residuals cause posture deviation?</w:t>
            </w:r>
          </w:p>
        </w:tc>
      </w:tr>
    </w:tbl>
    <w:p w14:paraId="5F89D886" w14:textId="77777777" w:rsidR="00AA0291" w:rsidRPr="00FF7847" w:rsidRDefault="00AA0291" w:rsidP="00AA0291">
      <w:pPr>
        <w:rPr>
          <w:lang w:eastAsia="ja-JP"/>
        </w:rPr>
      </w:pPr>
    </w:p>
    <w:p w14:paraId="62567375" w14:textId="2F86F13F" w:rsidR="005937DC" w:rsidRPr="00FF7847" w:rsidRDefault="00FA7540" w:rsidP="00AA0291">
      <w:pPr>
        <w:pStyle w:val="2"/>
      </w:pPr>
      <w:r w:rsidRPr="00FF7847">
        <w:t>Branch-explanation diagnosis and updates</w:t>
      </w:r>
    </w:p>
    <w:p w14:paraId="4FDF0210" w14:textId="5A4B87AB" w:rsidR="00AA0291" w:rsidRPr="00FF7847" w:rsidRDefault="00263A24" w:rsidP="00AA0291">
      <w:pPr>
        <w:rPr>
          <w:lang w:eastAsia="ja-JP"/>
        </w:rPr>
      </w:pPr>
      <w:r w:rsidRPr="00FF7847">
        <w:rPr>
          <w:lang w:eastAsia="ja-JP"/>
        </w:rPr>
        <w:t>Because the issue was a compound discrepancy, the diagnosis did not reduce the symptom to a single root cause. Instead, the diagnosis separated rejected explanations, simulator updates, candidate-evaluation updates, and residual uncertainty items.</w:t>
      </w:r>
      <w:r w:rsidR="00FA7540" w:rsidRPr="00FF7847">
        <w:rPr>
          <w:lang w:eastAsia="ja-JP"/>
        </w:rPr>
        <w:t xml:space="preserve"> </w:t>
      </w:r>
      <w:r w:rsidR="00FA7540" w:rsidRPr="00FF7847">
        <w:rPr>
          <w:lang w:eastAsia="ja-JP"/>
        </w:rPr>
        <w:fldChar w:fldCharType="begin"/>
      </w:r>
      <w:r w:rsidR="00FA7540" w:rsidRPr="00FF7847">
        <w:rPr>
          <w:lang w:eastAsia="ja-JP"/>
        </w:rPr>
        <w:instrText xml:space="preserve"> REF _Ref232692529 \h </w:instrText>
      </w:r>
      <w:r w:rsidR="00FF7847" w:rsidRPr="00FF7847">
        <w:rPr>
          <w:lang w:eastAsia="ja-JP"/>
        </w:rPr>
        <w:instrText xml:space="preserve"> \* MERGEFORMAT </w:instrText>
      </w:r>
      <w:r w:rsidR="00FA7540" w:rsidRPr="00FF7847">
        <w:rPr>
          <w:lang w:eastAsia="ja-JP"/>
        </w:rPr>
      </w:r>
      <w:r w:rsidR="00FA7540" w:rsidRPr="00FF7847">
        <w:rPr>
          <w:lang w:eastAsia="ja-JP"/>
        </w:rPr>
        <w:fldChar w:fldCharType="separate"/>
      </w:r>
      <w:r w:rsidR="00AD3633" w:rsidRPr="00FF7847">
        <w:t xml:space="preserve">Table </w:t>
      </w:r>
      <w:r w:rsidR="00AD3633">
        <w:rPr>
          <w:noProof/>
        </w:rPr>
        <w:t>2</w:t>
      </w:r>
      <w:r w:rsidR="00FA7540" w:rsidRPr="00FF7847">
        <w:rPr>
          <w:lang w:eastAsia="ja-JP"/>
        </w:rPr>
        <w:fldChar w:fldCharType="end"/>
      </w:r>
      <w:r w:rsidR="00FA7540" w:rsidRPr="00FF7847">
        <w:rPr>
          <w:lang w:eastAsia="ja-JP"/>
        </w:rPr>
        <w:t xml:space="preserve"> summarizes the branch explanations tested for each execution stage.</w:t>
      </w:r>
    </w:p>
    <w:p w14:paraId="665258B7" w14:textId="77777777" w:rsidR="00263A24" w:rsidRPr="00FF7847" w:rsidRDefault="00263A24" w:rsidP="00263A24">
      <w:pPr>
        <w:rPr>
          <w:lang w:eastAsia="ja-JP"/>
        </w:rPr>
      </w:pPr>
      <w:r w:rsidRPr="00FF7847">
        <w:rPr>
          <w:lang w:eastAsia="ja-JP"/>
        </w:rPr>
        <w:t>The diagnosis converted the floor-contact symptom into simulator and candidate-evaluation updates. The updated simulator incorporated bucket lower-body geometry, H-to-T relative bucket representation, and local command-to-posture calibration. The candidate-evaluation procedure was revised to evaluate intermediate postures and the lowest bucket point rather than only endpoint postures. Remaining effects, including bucket-response variability and residual arrival error, were retained as uncertainty items instead of being forced into a deterministic model.</w:t>
      </w:r>
    </w:p>
    <w:p w14:paraId="51B33E4A" w14:textId="6F30DF9D" w:rsidR="007C7401" w:rsidRPr="00FF7847" w:rsidRDefault="007C7401" w:rsidP="007C7401">
      <w:pPr>
        <w:pStyle w:val="afb"/>
        <w:rPr>
          <w:lang w:eastAsia="ja-JP"/>
        </w:rPr>
      </w:pPr>
      <w:bookmarkStart w:id="3" w:name="_Ref232692529"/>
      <w:r w:rsidRPr="00FF7847">
        <w:t xml:space="preserve">Table </w:t>
      </w:r>
      <w:r w:rsidRPr="00FF7847">
        <w:fldChar w:fldCharType="begin"/>
      </w:r>
      <w:r w:rsidRPr="00FF7847">
        <w:instrText xml:space="preserve"> SEQ Table \* ARABIC </w:instrText>
      </w:r>
      <w:r w:rsidRPr="00FF7847">
        <w:fldChar w:fldCharType="separate"/>
      </w:r>
      <w:r w:rsidR="00AD3633">
        <w:rPr>
          <w:noProof/>
        </w:rPr>
        <w:t>2</w:t>
      </w:r>
      <w:r w:rsidRPr="00FF7847">
        <w:fldChar w:fldCharType="end"/>
      </w:r>
      <w:bookmarkEnd w:id="3"/>
      <w:r w:rsidRPr="00FF7847">
        <w:rPr>
          <w:rFonts w:hint="eastAsia"/>
          <w:lang w:eastAsia="ja-JP"/>
        </w:rPr>
        <w:t xml:space="preserve">: </w:t>
      </w:r>
      <w:r w:rsidR="001D1030" w:rsidRPr="00FF7847">
        <w:rPr>
          <w:lang w:eastAsia="ja-JP"/>
        </w:rPr>
        <w:t>Branch explanations and diagnostic outcomes for the simulator-to-real excavator posture discrepancy.</w:t>
      </w:r>
      <w:r w:rsidR="00754075" w:rsidRPr="00754075">
        <w:rPr>
          <w:i w:val="0"/>
          <w:iCs w:val="0"/>
          <w:sz w:val="22"/>
          <w:szCs w:val="22"/>
        </w:rPr>
        <w:t xml:space="preserve"> </w:t>
      </w:r>
      <w:r w:rsidR="00AD3633" w:rsidRPr="00AD3633">
        <w:rPr>
          <w:lang w:eastAsia="ja-JP"/>
        </w:rPr>
        <w:t>Highlighted rows, marked with *, indicate diagnostic updates assessed in the ablation analysis.</w:t>
      </w:r>
    </w:p>
    <w:tbl>
      <w:tblPr>
        <w:tblW w:w="5000" w:type="pct"/>
        <w:tblCellMar>
          <w:top w:w="57" w:type="dxa"/>
          <w:left w:w="57" w:type="dxa"/>
          <w:bottom w:w="57" w:type="dxa"/>
          <w:right w:w="57" w:type="dxa"/>
        </w:tblCellMar>
        <w:tblLook w:val="04A0" w:firstRow="1" w:lastRow="0" w:firstColumn="1" w:lastColumn="0" w:noHBand="0" w:noVBand="1"/>
      </w:tblPr>
      <w:tblGrid>
        <w:gridCol w:w="688"/>
        <w:gridCol w:w="2874"/>
        <w:gridCol w:w="4157"/>
        <w:gridCol w:w="1307"/>
      </w:tblGrid>
      <w:tr w:rsidR="007C7401" w:rsidRPr="00FF7847" w14:paraId="66F49B33" w14:textId="77777777" w:rsidTr="00754075">
        <w:trPr>
          <w:trHeight w:val="317"/>
        </w:trPr>
        <w:tc>
          <w:tcPr>
            <w:tcW w:w="381" w:type="pct"/>
            <w:tcBorders>
              <w:top w:val="single" w:sz="4" w:space="0" w:color="auto"/>
              <w:bottom w:val="single" w:sz="4" w:space="0" w:color="auto"/>
            </w:tcBorders>
          </w:tcPr>
          <w:p w14:paraId="26D5BEF6" w14:textId="11CEDE2F" w:rsidR="007C7401" w:rsidRPr="00FF7847" w:rsidRDefault="007C7401" w:rsidP="007C7401">
            <w:pPr>
              <w:pStyle w:val="inTable"/>
              <w:jc w:val="center"/>
            </w:pPr>
            <w:r w:rsidRPr="00FF7847">
              <w:t>Stage</w:t>
            </w:r>
          </w:p>
        </w:tc>
        <w:tc>
          <w:tcPr>
            <w:tcW w:w="1592" w:type="pct"/>
            <w:tcBorders>
              <w:top w:val="single" w:sz="4" w:space="0" w:color="auto"/>
              <w:bottom w:val="single" w:sz="4" w:space="0" w:color="auto"/>
            </w:tcBorders>
          </w:tcPr>
          <w:p w14:paraId="710B9BC9" w14:textId="3A6C1D83" w:rsidR="007C7401" w:rsidRPr="00FF7847" w:rsidRDefault="007C7401" w:rsidP="007C7401">
            <w:pPr>
              <w:pStyle w:val="inTable"/>
            </w:pPr>
            <w:r w:rsidRPr="00FF7847">
              <w:t>Tested explanation</w:t>
            </w:r>
          </w:p>
        </w:tc>
        <w:tc>
          <w:tcPr>
            <w:tcW w:w="2303" w:type="pct"/>
            <w:tcBorders>
              <w:top w:val="single" w:sz="4" w:space="0" w:color="auto"/>
              <w:bottom w:val="single" w:sz="4" w:space="0" w:color="auto"/>
            </w:tcBorders>
          </w:tcPr>
          <w:p w14:paraId="6564659A" w14:textId="193E9B3E" w:rsidR="007C7401" w:rsidRPr="00FF7847" w:rsidRDefault="007C7401" w:rsidP="007C7401">
            <w:pPr>
              <w:pStyle w:val="inTable"/>
            </w:pPr>
            <w:r w:rsidRPr="00FF7847">
              <w:t>Evidence from check or test</w:t>
            </w:r>
          </w:p>
        </w:tc>
        <w:tc>
          <w:tcPr>
            <w:tcW w:w="724" w:type="pct"/>
            <w:tcBorders>
              <w:top w:val="single" w:sz="4" w:space="0" w:color="auto"/>
              <w:bottom w:val="single" w:sz="4" w:space="0" w:color="auto"/>
            </w:tcBorders>
          </w:tcPr>
          <w:p w14:paraId="579AC140" w14:textId="5F0CC94F" w:rsidR="007C7401" w:rsidRPr="00FF7847" w:rsidRDefault="001D1030" w:rsidP="007C7401">
            <w:pPr>
              <w:pStyle w:val="inTable"/>
            </w:pPr>
            <w:r w:rsidRPr="00FF7847">
              <w:t>Diagnostic outcome</w:t>
            </w:r>
          </w:p>
        </w:tc>
      </w:tr>
      <w:tr w:rsidR="007C7401" w:rsidRPr="00FF7847" w14:paraId="2EA620ED" w14:textId="77777777" w:rsidTr="00754075">
        <w:tc>
          <w:tcPr>
            <w:tcW w:w="381" w:type="pct"/>
            <w:tcBorders>
              <w:top w:val="single" w:sz="4" w:space="0" w:color="auto"/>
            </w:tcBorders>
          </w:tcPr>
          <w:p w14:paraId="50F2E365" w14:textId="45DE175E" w:rsidR="007C7401" w:rsidRPr="00FF7847" w:rsidRDefault="007C7401" w:rsidP="007C7401">
            <w:pPr>
              <w:pStyle w:val="inTable"/>
              <w:jc w:val="center"/>
            </w:pPr>
            <w:r w:rsidRPr="00FF7847">
              <w:t>S01</w:t>
            </w:r>
          </w:p>
        </w:tc>
        <w:tc>
          <w:tcPr>
            <w:tcW w:w="1592" w:type="pct"/>
            <w:tcBorders>
              <w:top w:val="single" w:sz="4" w:space="0" w:color="auto"/>
            </w:tcBorders>
          </w:tcPr>
          <w:p w14:paraId="110A7ACD" w14:textId="1FFC9483" w:rsidR="007C7401" w:rsidRPr="00FF7847" w:rsidRDefault="00BC7277" w:rsidP="007C7401">
            <w:pPr>
              <w:pStyle w:val="inTable"/>
            </w:pPr>
            <w:r w:rsidRPr="00FF7847">
              <w:t>Inconsistent reference frames or point definitions caused the discrepancy.</w:t>
            </w:r>
          </w:p>
        </w:tc>
        <w:tc>
          <w:tcPr>
            <w:tcW w:w="2303" w:type="pct"/>
            <w:tcBorders>
              <w:top w:val="single" w:sz="4" w:space="0" w:color="auto"/>
            </w:tcBorders>
          </w:tcPr>
          <w:p w14:paraId="5A15CD88" w14:textId="6A5BB0E3" w:rsidR="007C7401" w:rsidRPr="00FF7847" w:rsidRDefault="00BC7277" w:rsidP="007C7401">
            <w:pPr>
              <w:pStyle w:val="inTable"/>
            </w:pPr>
            <w:r w:rsidRPr="00FF7847">
              <w:t>Reference and point-definition checks confirmed that neither a simple reference mix-up nor H/T point confusion sufficiently explained the discrepancy.</w:t>
            </w:r>
          </w:p>
        </w:tc>
        <w:tc>
          <w:tcPr>
            <w:tcW w:w="724" w:type="pct"/>
            <w:tcBorders>
              <w:top w:val="single" w:sz="4" w:space="0" w:color="auto"/>
            </w:tcBorders>
          </w:tcPr>
          <w:p w14:paraId="117ACA0D" w14:textId="4E649BDC" w:rsidR="007C7401" w:rsidRPr="00FF7847" w:rsidRDefault="001D1030" w:rsidP="007C7401">
            <w:pPr>
              <w:pStyle w:val="inTable"/>
            </w:pPr>
            <w:r w:rsidRPr="00FF7847">
              <w:t>Unsupported</w:t>
            </w:r>
          </w:p>
        </w:tc>
      </w:tr>
      <w:tr w:rsidR="007C7401" w:rsidRPr="00FF7847" w14:paraId="7400ACA6" w14:textId="77777777" w:rsidTr="00754075">
        <w:tc>
          <w:tcPr>
            <w:tcW w:w="381" w:type="pct"/>
          </w:tcPr>
          <w:p w14:paraId="2FF1F833" w14:textId="5238D307" w:rsidR="007C7401" w:rsidRPr="00754075" w:rsidRDefault="007C7401" w:rsidP="007C7401">
            <w:pPr>
              <w:pStyle w:val="inTable"/>
              <w:jc w:val="center"/>
              <w:rPr>
                <w:color w:val="EE0000"/>
              </w:rPr>
            </w:pPr>
            <w:r w:rsidRPr="00754075">
              <w:rPr>
                <w:color w:val="EE0000"/>
              </w:rPr>
              <w:t>S02</w:t>
            </w:r>
          </w:p>
        </w:tc>
        <w:tc>
          <w:tcPr>
            <w:tcW w:w="1592" w:type="pct"/>
          </w:tcPr>
          <w:p w14:paraId="70CB7F36" w14:textId="715FBB5D" w:rsidR="007C7401" w:rsidRPr="00754075" w:rsidRDefault="007C7401" w:rsidP="007C7401">
            <w:pPr>
              <w:pStyle w:val="inTable"/>
              <w:rPr>
                <w:color w:val="EE0000"/>
              </w:rPr>
            </w:pPr>
            <w:r w:rsidRPr="00754075">
              <w:rPr>
                <w:color w:val="EE0000"/>
              </w:rPr>
              <w:t>The simulator evaluated only the bucket tip and omitted the bucket lower point.</w:t>
            </w:r>
          </w:p>
        </w:tc>
        <w:tc>
          <w:tcPr>
            <w:tcW w:w="2303" w:type="pct"/>
          </w:tcPr>
          <w:p w14:paraId="49DC2DC8" w14:textId="25BD6EFA" w:rsidR="007C7401" w:rsidRPr="00754075" w:rsidRDefault="007C7401" w:rsidP="007C7401">
            <w:pPr>
              <w:pStyle w:val="inTable"/>
              <w:rPr>
                <w:color w:val="EE0000"/>
              </w:rPr>
            </w:pPr>
            <w:r w:rsidRPr="00754075">
              <w:rPr>
                <w:color w:val="EE0000"/>
              </w:rPr>
              <w:t>Measurements of H-T distance, M/L point, and bucket side geometry showed that tip-only evaluation was insufficient for robust floor-clearance assessment.</w:t>
            </w:r>
          </w:p>
        </w:tc>
        <w:tc>
          <w:tcPr>
            <w:tcW w:w="724" w:type="pct"/>
          </w:tcPr>
          <w:p w14:paraId="1ED5328A" w14:textId="4FF0D8C9" w:rsidR="007C7401" w:rsidRPr="00754075" w:rsidRDefault="001D1030" w:rsidP="007C7401">
            <w:pPr>
              <w:pStyle w:val="inTable"/>
              <w:rPr>
                <w:color w:val="EE0000"/>
                <w:lang w:eastAsia="ja-JP"/>
              </w:rPr>
            </w:pPr>
            <w:r w:rsidRPr="00754075">
              <w:rPr>
                <w:color w:val="EE0000"/>
              </w:rPr>
              <w:t>Model revision</w:t>
            </w:r>
            <w:r w:rsidR="00AD3633">
              <w:rPr>
                <w:rFonts w:hint="eastAsia"/>
                <w:color w:val="EE0000"/>
                <w:lang w:eastAsia="ja-JP"/>
              </w:rPr>
              <w:t>*</w:t>
            </w:r>
          </w:p>
        </w:tc>
      </w:tr>
      <w:tr w:rsidR="007C7401" w:rsidRPr="00FF7847" w14:paraId="63E7161C" w14:textId="77777777" w:rsidTr="00754075">
        <w:tc>
          <w:tcPr>
            <w:tcW w:w="381" w:type="pct"/>
          </w:tcPr>
          <w:p w14:paraId="58EC584F" w14:textId="7BF9E16B" w:rsidR="007C7401" w:rsidRPr="00754075" w:rsidRDefault="007C7401" w:rsidP="007C7401">
            <w:pPr>
              <w:pStyle w:val="inTable"/>
              <w:jc w:val="center"/>
              <w:rPr>
                <w:color w:val="EE0000"/>
              </w:rPr>
            </w:pPr>
            <w:r w:rsidRPr="00754075">
              <w:rPr>
                <w:color w:val="EE0000"/>
              </w:rPr>
              <w:lastRenderedPageBreak/>
              <w:t>S02</w:t>
            </w:r>
          </w:p>
        </w:tc>
        <w:tc>
          <w:tcPr>
            <w:tcW w:w="1592" w:type="pct"/>
          </w:tcPr>
          <w:p w14:paraId="7E04C036" w14:textId="52504ADB" w:rsidR="007C7401" w:rsidRPr="00754075" w:rsidRDefault="007C7401" w:rsidP="007C7401">
            <w:pPr>
              <w:pStyle w:val="inTable"/>
              <w:rPr>
                <w:color w:val="EE0000"/>
              </w:rPr>
            </w:pPr>
            <w:r w:rsidRPr="00754075">
              <w:rPr>
                <w:color w:val="EE0000"/>
              </w:rPr>
              <w:t>The bucket should be represented by H-to-T relative angle and length rather than by absolute bucket position.</w:t>
            </w:r>
          </w:p>
        </w:tc>
        <w:tc>
          <w:tcPr>
            <w:tcW w:w="2303" w:type="pct"/>
          </w:tcPr>
          <w:p w14:paraId="174EDEF1" w14:textId="6103453E" w:rsidR="007C7401" w:rsidRPr="00754075" w:rsidRDefault="007C7401" w:rsidP="007C7401">
            <w:pPr>
              <w:pStyle w:val="inTable"/>
              <w:rPr>
                <w:color w:val="EE0000"/>
              </w:rPr>
            </w:pPr>
            <w:r w:rsidRPr="00754075">
              <w:rPr>
                <w:color w:val="EE0000"/>
              </w:rPr>
              <w:t>Reorganizing bucket measurements using H-to-T length and arm-relative H-to-T angle improved bucket posture reconstruction.</w:t>
            </w:r>
          </w:p>
        </w:tc>
        <w:tc>
          <w:tcPr>
            <w:tcW w:w="724" w:type="pct"/>
          </w:tcPr>
          <w:p w14:paraId="47CB78D3" w14:textId="65B970C8" w:rsidR="007C7401" w:rsidRPr="00754075" w:rsidRDefault="001D1030" w:rsidP="007C7401">
            <w:pPr>
              <w:pStyle w:val="inTable"/>
              <w:rPr>
                <w:color w:val="EE0000"/>
                <w:lang w:eastAsia="ja-JP"/>
              </w:rPr>
            </w:pPr>
            <w:r w:rsidRPr="00754075">
              <w:rPr>
                <w:color w:val="EE0000"/>
              </w:rPr>
              <w:t>Calibration</w:t>
            </w:r>
            <w:r w:rsidR="00AD3633">
              <w:rPr>
                <w:rFonts w:hint="eastAsia"/>
                <w:color w:val="EE0000"/>
                <w:lang w:eastAsia="ja-JP"/>
              </w:rPr>
              <w:t>*</w:t>
            </w:r>
          </w:p>
        </w:tc>
      </w:tr>
      <w:tr w:rsidR="007C7401" w:rsidRPr="00FF7847" w14:paraId="73FF3B81" w14:textId="77777777" w:rsidTr="00754075">
        <w:tc>
          <w:tcPr>
            <w:tcW w:w="381" w:type="pct"/>
          </w:tcPr>
          <w:p w14:paraId="334819BF" w14:textId="6123AA5C" w:rsidR="007C7401" w:rsidRPr="00754075" w:rsidRDefault="007C7401" w:rsidP="007C7401">
            <w:pPr>
              <w:pStyle w:val="inTable"/>
              <w:jc w:val="center"/>
              <w:rPr>
                <w:color w:val="EE0000"/>
              </w:rPr>
            </w:pPr>
            <w:r w:rsidRPr="00754075">
              <w:rPr>
                <w:color w:val="EE0000"/>
              </w:rPr>
              <w:t>S03</w:t>
            </w:r>
          </w:p>
        </w:tc>
        <w:tc>
          <w:tcPr>
            <w:tcW w:w="1592" w:type="pct"/>
          </w:tcPr>
          <w:p w14:paraId="70108B9A" w14:textId="5A2A6DF9" w:rsidR="007C7401" w:rsidRPr="00754075" w:rsidRDefault="007C7401" w:rsidP="007C7401">
            <w:pPr>
              <w:pStyle w:val="inTable"/>
              <w:rPr>
                <w:color w:val="EE0000"/>
              </w:rPr>
            </w:pPr>
            <w:r w:rsidRPr="00754075">
              <w:rPr>
                <w:color w:val="EE0000"/>
              </w:rPr>
              <w:t>The documented joint-angle definitions did not reproduce the real side-view boom/arm posture.</w:t>
            </w:r>
          </w:p>
        </w:tc>
        <w:tc>
          <w:tcPr>
            <w:tcW w:w="2303" w:type="pct"/>
          </w:tcPr>
          <w:p w14:paraId="45C87D45" w14:textId="6086BE92" w:rsidR="007C7401" w:rsidRPr="00754075" w:rsidRDefault="007C7401" w:rsidP="007C7401">
            <w:pPr>
              <w:pStyle w:val="inTable"/>
              <w:rPr>
                <w:color w:val="EE0000"/>
              </w:rPr>
            </w:pPr>
            <w:r w:rsidRPr="00754075">
              <w:rPr>
                <w:color w:val="EE0000"/>
              </w:rPr>
              <w:t>Comparison of commanded joint angles, subscribed ROS angles, measured H/J/T positions, and reconstructed side-view posture showed that the ideal-angle model was insufficient.</w:t>
            </w:r>
          </w:p>
        </w:tc>
        <w:tc>
          <w:tcPr>
            <w:tcW w:w="724" w:type="pct"/>
          </w:tcPr>
          <w:p w14:paraId="377A9051" w14:textId="162899BA" w:rsidR="007C7401" w:rsidRPr="00754075" w:rsidRDefault="001D1030" w:rsidP="007C7401">
            <w:pPr>
              <w:pStyle w:val="inTable"/>
              <w:rPr>
                <w:color w:val="EE0000"/>
                <w:lang w:eastAsia="ja-JP"/>
              </w:rPr>
            </w:pPr>
            <w:r w:rsidRPr="00754075">
              <w:rPr>
                <w:color w:val="EE0000"/>
              </w:rPr>
              <w:t>Calibration</w:t>
            </w:r>
            <w:r w:rsidR="00AD3633">
              <w:rPr>
                <w:rFonts w:hint="eastAsia"/>
                <w:color w:val="EE0000"/>
                <w:lang w:eastAsia="ja-JP"/>
              </w:rPr>
              <w:t>*</w:t>
            </w:r>
          </w:p>
        </w:tc>
      </w:tr>
      <w:tr w:rsidR="007C7401" w:rsidRPr="00FF7847" w14:paraId="327E68C2" w14:textId="77777777" w:rsidTr="00754075">
        <w:tc>
          <w:tcPr>
            <w:tcW w:w="381" w:type="pct"/>
          </w:tcPr>
          <w:p w14:paraId="6DDF4E66" w14:textId="08B980DD" w:rsidR="007C7401" w:rsidRPr="00754075" w:rsidRDefault="007C7401" w:rsidP="007C7401">
            <w:pPr>
              <w:pStyle w:val="inTable"/>
              <w:jc w:val="center"/>
              <w:rPr>
                <w:color w:val="EE0000"/>
              </w:rPr>
            </w:pPr>
            <w:r w:rsidRPr="00754075">
              <w:rPr>
                <w:color w:val="EE0000"/>
              </w:rPr>
              <w:t>S04</w:t>
            </w:r>
          </w:p>
        </w:tc>
        <w:tc>
          <w:tcPr>
            <w:tcW w:w="1592" w:type="pct"/>
          </w:tcPr>
          <w:p w14:paraId="2ACF81F6" w14:textId="4F914672" w:rsidR="007C7401" w:rsidRPr="00754075" w:rsidRDefault="007C7401" w:rsidP="007C7401">
            <w:pPr>
              <w:pStyle w:val="inTable"/>
              <w:rPr>
                <w:color w:val="EE0000"/>
              </w:rPr>
            </w:pPr>
            <w:r w:rsidRPr="00754075">
              <w:rPr>
                <w:color w:val="EE0000"/>
              </w:rPr>
              <w:t>Endpoint-only clearance evaluation missed lower intermediate postures.</w:t>
            </w:r>
          </w:p>
        </w:tc>
        <w:tc>
          <w:tcPr>
            <w:tcW w:w="2303" w:type="pct"/>
          </w:tcPr>
          <w:p w14:paraId="75B98B36" w14:textId="13486B0B" w:rsidR="007C7401" w:rsidRPr="00754075" w:rsidRDefault="007C7401" w:rsidP="007C7401">
            <w:pPr>
              <w:pStyle w:val="inTable"/>
              <w:rPr>
                <w:color w:val="EE0000"/>
              </w:rPr>
            </w:pPr>
            <w:r w:rsidRPr="00754075">
              <w:rPr>
                <w:color w:val="EE0000"/>
              </w:rPr>
              <w:t>Evaluation of phase-intermediate postures and bucket lowest point showed that endpoint-only evaluation was unsafe for clearance checking.</w:t>
            </w:r>
          </w:p>
        </w:tc>
        <w:tc>
          <w:tcPr>
            <w:tcW w:w="724" w:type="pct"/>
          </w:tcPr>
          <w:p w14:paraId="6A1E9671" w14:textId="2E9E2BB8" w:rsidR="007C7401" w:rsidRPr="00754075" w:rsidRDefault="001D1030" w:rsidP="007C7401">
            <w:pPr>
              <w:pStyle w:val="inTable"/>
              <w:rPr>
                <w:color w:val="EE0000"/>
                <w:lang w:eastAsia="ja-JP"/>
              </w:rPr>
            </w:pPr>
            <w:r w:rsidRPr="00754075">
              <w:rPr>
                <w:color w:val="EE0000"/>
              </w:rPr>
              <w:t>Evaluation revision</w:t>
            </w:r>
            <w:r w:rsidR="00AD3633">
              <w:rPr>
                <w:rFonts w:hint="eastAsia"/>
                <w:color w:val="EE0000"/>
                <w:lang w:eastAsia="ja-JP"/>
              </w:rPr>
              <w:t>*</w:t>
            </w:r>
          </w:p>
        </w:tc>
      </w:tr>
      <w:tr w:rsidR="007C7401" w:rsidRPr="00FF7847" w14:paraId="3DD357F9" w14:textId="77777777" w:rsidTr="00754075">
        <w:tc>
          <w:tcPr>
            <w:tcW w:w="381" w:type="pct"/>
          </w:tcPr>
          <w:p w14:paraId="655199C2" w14:textId="0199DDCC" w:rsidR="007C7401" w:rsidRPr="00FF7847" w:rsidRDefault="007C7401" w:rsidP="007C7401">
            <w:pPr>
              <w:pStyle w:val="inTable"/>
              <w:jc w:val="center"/>
            </w:pPr>
            <w:r w:rsidRPr="00FF7847">
              <w:t>S04</w:t>
            </w:r>
          </w:p>
        </w:tc>
        <w:tc>
          <w:tcPr>
            <w:tcW w:w="1592" w:type="pct"/>
          </w:tcPr>
          <w:p w14:paraId="0684866A" w14:textId="06DE7B2F" w:rsidR="007C7401" w:rsidRPr="00FF7847" w:rsidRDefault="007C7401" w:rsidP="007C7401">
            <w:pPr>
              <w:pStyle w:val="inTable"/>
            </w:pPr>
            <w:r w:rsidRPr="00FF7847">
              <w:t xml:space="preserve">Arrival tolerance at phase boundaries </w:t>
            </w:r>
            <w:proofErr w:type="gramStart"/>
            <w:r w:rsidRPr="00FF7847">
              <w:t>shifted</w:t>
            </w:r>
            <w:proofErr w:type="gramEnd"/>
            <w:r w:rsidRPr="00FF7847">
              <w:t xml:space="preserve"> the possible lowest point downward.</w:t>
            </w:r>
          </w:p>
        </w:tc>
        <w:tc>
          <w:tcPr>
            <w:tcW w:w="2303" w:type="pct"/>
          </w:tcPr>
          <w:p w14:paraId="2525494E" w14:textId="202863AA" w:rsidR="007C7401" w:rsidRPr="00FF7847" w:rsidRDefault="007C7401" w:rsidP="007C7401">
            <w:pPr>
              <w:pStyle w:val="inTable"/>
            </w:pPr>
            <w:r w:rsidRPr="00FF7847">
              <w:t>The tolerance envelope for boom, arm, and bucket arrival residuals showed that residual arrival error could affect worst-case clearance.</w:t>
            </w:r>
          </w:p>
        </w:tc>
        <w:tc>
          <w:tcPr>
            <w:tcW w:w="724" w:type="pct"/>
          </w:tcPr>
          <w:p w14:paraId="227A030A" w14:textId="6B2A6BF7" w:rsidR="007C7401" w:rsidRPr="00FF7847" w:rsidRDefault="001D1030" w:rsidP="007C7401">
            <w:pPr>
              <w:pStyle w:val="inTable"/>
            </w:pPr>
            <w:r w:rsidRPr="00FF7847">
              <w:t>Uncertainty treatment</w:t>
            </w:r>
          </w:p>
        </w:tc>
      </w:tr>
      <w:tr w:rsidR="007C7401" w:rsidRPr="00FF7847" w14:paraId="503EE519" w14:textId="77777777" w:rsidTr="00754075">
        <w:tc>
          <w:tcPr>
            <w:tcW w:w="381" w:type="pct"/>
          </w:tcPr>
          <w:p w14:paraId="24DE3F6E" w14:textId="11114C2A" w:rsidR="007C7401" w:rsidRPr="00FF7847" w:rsidRDefault="007C7401" w:rsidP="007C7401">
            <w:pPr>
              <w:pStyle w:val="inTable"/>
              <w:jc w:val="center"/>
            </w:pPr>
            <w:r w:rsidRPr="00FF7847">
              <w:t>S05</w:t>
            </w:r>
          </w:p>
        </w:tc>
        <w:tc>
          <w:tcPr>
            <w:tcW w:w="1592" w:type="pct"/>
          </w:tcPr>
          <w:p w14:paraId="7D342923" w14:textId="5FA3AAD7" w:rsidR="007C7401" w:rsidRPr="00FF7847" w:rsidRDefault="007C7401" w:rsidP="007C7401">
            <w:pPr>
              <w:pStyle w:val="inTable"/>
            </w:pPr>
            <w:r w:rsidRPr="00FF7847">
              <w:t>The replay code sent a different angle sequence from the selected simulator candidate.</w:t>
            </w:r>
          </w:p>
        </w:tc>
        <w:tc>
          <w:tcPr>
            <w:tcW w:w="2303" w:type="pct"/>
          </w:tcPr>
          <w:p w14:paraId="551B1D2C" w14:textId="24DDF42A" w:rsidR="007C7401" w:rsidRPr="00FF7847" w:rsidRDefault="007C7401" w:rsidP="007C7401">
            <w:pPr>
              <w:pStyle w:val="inTable"/>
            </w:pPr>
            <w:r w:rsidRPr="00FF7847">
              <w:t>Comparison of candidate values, replay code, and command logs found no major transcription mismatch for the target replay.</w:t>
            </w:r>
          </w:p>
        </w:tc>
        <w:tc>
          <w:tcPr>
            <w:tcW w:w="724" w:type="pct"/>
          </w:tcPr>
          <w:p w14:paraId="0C3B0BC3" w14:textId="0EEC4261" w:rsidR="007C7401" w:rsidRPr="00FF7847" w:rsidRDefault="001D1030" w:rsidP="007C7401">
            <w:pPr>
              <w:pStyle w:val="inTable"/>
            </w:pPr>
            <w:r w:rsidRPr="00FF7847">
              <w:t>Unsupported</w:t>
            </w:r>
          </w:p>
        </w:tc>
      </w:tr>
      <w:tr w:rsidR="007C7401" w:rsidRPr="00FF7847" w14:paraId="2635457A" w14:textId="77777777" w:rsidTr="00754075">
        <w:tc>
          <w:tcPr>
            <w:tcW w:w="381" w:type="pct"/>
          </w:tcPr>
          <w:p w14:paraId="0598764E" w14:textId="234D7CDE" w:rsidR="007C7401" w:rsidRPr="00FF7847" w:rsidRDefault="007C7401" w:rsidP="007C7401">
            <w:pPr>
              <w:pStyle w:val="inTable"/>
              <w:jc w:val="center"/>
            </w:pPr>
            <w:r w:rsidRPr="00FF7847">
              <w:t>S05</w:t>
            </w:r>
          </w:p>
        </w:tc>
        <w:tc>
          <w:tcPr>
            <w:tcW w:w="1592" w:type="pct"/>
          </w:tcPr>
          <w:p w14:paraId="44FF421D" w14:textId="6EBC2697" w:rsidR="007C7401" w:rsidRPr="00FF7847" w:rsidRDefault="007C7401" w:rsidP="007C7401">
            <w:pPr>
              <w:pStyle w:val="inTable"/>
            </w:pPr>
            <w:r w:rsidRPr="00FF7847">
              <w:t xml:space="preserve">Re-publishing or </w:t>
            </w:r>
            <w:proofErr w:type="gramStart"/>
            <w:r w:rsidRPr="00FF7847">
              <w:t>publish</w:t>
            </w:r>
            <w:proofErr w:type="gramEnd"/>
            <w:r w:rsidRPr="00FF7847">
              <w:t xml:space="preserve"> order caused a general decrease in minimum height.</w:t>
            </w:r>
          </w:p>
        </w:tc>
        <w:tc>
          <w:tcPr>
            <w:tcW w:w="2303" w:type="pct"/>
          </w:tcPr>
          <w:p w14:paraId="0F9819B8" w14:textId="432155CF" w:rsidR="007C7401" w:rsidRPr="00FF7847" w:rsidRDefault="007C7401" w:rsidP="007C7401">
            <w:pPr>
              <w:pStyle w:val="inTable"/>
            </w:pPr>
            <w:r w:rsidRPr="00FF7847">
              <w:t xml:space="preserve">One-shot and repeated publishing tests under controlled initial posture showed that re-publishing or </w:t>
            </w:r>
            <w:proofErr w:type="gramStart"/>
            <w:r w:rsidRPr="00FF7847">
              <w:t>publish</w:t>
            </w:r>
            <w:proofErr w:type="gramEnd"/>
            <w:r w:rsidRPr="00FF7847">
              <w:t xml:space="preserve"> order was not a general primary cause.</w:t>
            </w:r>
          </w:p>
        </w:tc>
        <w:tc>
          <w:tcPr>
            <w:tcW w:w="724" w:type="pct"/>
          </w:tcPr>
          <w:p w14:paraId="591F70BF" w14:textId="2DEC750B" w:rsidR="007C7401" w:rsidRPr="00FF7847" w:rsidRDefault="001D1030" w:rsidP="007C7401">
            <w:pPr>
              <w:pStyle w:val="inTable"/>
            </w:pPr>
            <w:r w:rsidRPr="00FF7847">
              <w:t>Unsupported</w:t>
            </w:r>
          </w:p>
        </w:tc>
      </w:tr>
      <w:tr w:rsidR="007C7401" w:rsidRPr="00FF7847" w14:paraId="024CCC57" w14:textId="77777777" w:rsidTr="00754075">
        <w:tc>
          <w:tcPr>
            <w:tcW w:w="381" w:type="pct"/>
            <w:tcBorders>
              <w:bottom w:val="single" w:sz="4" w:space="0" w:color="auto"/>
            </w:tcBorders>
          </w:tcPr>
          <w:p w14:paraId="219ABA07" w14:textId="070C5E7F" w:rsidR="007C7401" w:rsidRPr="00FF7847" w:rsidRDefault="007C7401" w:rsidP="007C7401">
            <w:pPr>
              <w:pStyle w:val="inTable"/>
              <w:jc w:val="center"/>
            </w:pPr>
            <w:r w:rsidRPr="00FF7847">
              <w:t>S06</w:t>
            </w:r>
          </w:p>
        </w:tc>
        <w:tc>
          <w:tcPr>
            <w:tcW w:w="1592" w:type="pct"/>
            <w:tcBorders>
              <w:bottom w:val="single" w:sz="4" w:space="0" w:color="auto"/>
            </w:tcBorders>
          </w:tcPr>
          <w:p w14:paraId="47DF6341" w14:textId="774138F0" w:rsidR="007C7401" w:rsidRPr="00FF7847" w:rsidRDefault="007C7401" w:rsidP="007C7401">
            <w:pPr>
              <w:pStyle w:val="inTable"/>
            </w:pPr>
            <w:r w:rsidRPr="00FF7847">
              <w:t>Speed-ratio transitions, joint delay, or nonlinear joint response caused the discrepancy.</w:t>
            </w:r>
          </w:p>
        </w:tc>
        <w:tc>
          <w:tcPr>
            <w:tcW w:w="2303" w:type="pct"/>
            <w:tcBorders>
              <w:bottom w:val="single" w:sz="4" w:space="0" w:color="auto"/>
            </w:tcBorders>
          </w:tcPr>
          <w:p w14:paraId="5FEF7DBE" w14:textId="4F3C8223" w:rsidR="007C7401" w:rsidRPr="00FF7847" w:rsidRDefault="007C7401" w:rsidP="007C7401">
            <w:pPr>
              <w:pStyle w:val="inTable"/>
            </w:pPr>
            <w:r w:rsidRPr="00FF7847">
              <w:t xml:space="preserve">Real joint-trajectory analysis under different speed-ratio settings showed that boom/arm response was partially </w:t>
            </w:r>
            <w:proofErr w:type="gramStart"/>
            <w:r w:rsidRPr="00FF7847">
              <w:t>characterizable, but</w:t>
            </w:r>
            <w:proofErr w:type="gramEnd"/>
            <w:r w:rsidRPr="00FF7847">
              <w:t xml:space="preserve"> did not sufficiently explain the representative discrepancy; bucket response remained variable.</w:t>
            </w:r>
          </w:p>
        </w:tc>
        <w:tc>
          <w:tcPr>
            <w:tcW w:w="724" w:type="pct"/>
            <w:tcBorders>
              <w:bottom w:val="single" w:sz="4" w:space="0" w:color="auto"/>
            </w:tcBorders>
          </w:tcPr>
          <w:p w14:paraId="01B7C6A8" w14:textId="42A388D4" w:rsidR="007C7401" w:rsidRPr="00FF7847" w:rsidRDefault="001D1030" w:rsidP="007C7401">
            <w:pPr>
              <w:pStyle w:val="inTable"/>
            </w:pPr>
            <w:r w:rsidRPr="00FF7847">
              <w:t>Uncertainty treatment</w:t>
            </w:r>
          </w:p>
        </w:tc>
      </w:tr>
    </w:tbl>
    <w:p w14:paraId="50CF801A" w14:textId="77777777" w:rsidR="005937DC" w:rsidRPr="00FF7847" w:rsidRDefault="005937DC" w:rsidP="005937DC">
      <w:pPr>
        <w:rPr>
          <w:lang w:eastAsia="ja-JP"/>
        </w:rPr>
      </w:pPr>
    </w:p>
    <w:p w14:paraId="10D026BF" w14:textId="29819A0B" w:rsidR="005937DC" w:rsidRPr="00FF7847" w:rsidRDefault="00FA7540" w:rsidP="007C7401">
      <w:pPr>
        <w:pStyle w:val="2"/>
      </w:pPr>
      <w:r w:rsidRPr="00FF7847">
        <w:t>Quantitative evaluation and corrective action</w:t>
      </w:r>
    </w:p>
    <w:p w14:paraId="08B99D96" w14:textId="607A9062" w:rsidR="00FA7540" w:rsidRPr="00FF7847" w:rsidRDefault="00FA7540" w:rsidP="00FA7540">
      <w:pPr>
        <w:rPr>
          <w:lang w:eastAsia="ja-JP"/>
        </w:rPr>
      </w:pPr>
      <w:r w:rsidRPr="00FF7847">
        <w:rPr>
          <w:lang w:eastAsia="ja-JP"/>
        </w:rPr>
        <w:t>The effect of the simulator updates was evaluated using the minimum-height error between the simulator-predicted bucket lowest point and the measured real-machine bucket lowest point, defined as</w:t>
      </w:r>
      <w:r w:rsidR="007C7401" w:rsidRPr="00FF7847">
        <w:rPr>
          <w:rFonts w:hint="eastAsia"/>
          <w:lang w:eastAsia="ja-JP"/>
        </w:rPr>
        <w:t xml:space="preserve"> </w:t>
      </w:r>
      <m:oMath>
        <m:sSub>
          <m:sSubPr>
            <m:ctrlPr>
              <w:rPr>
                <w:rFonts w:ascii="Cambria Math" w:hAnsi="Cambria Math"/>
                <w:i/>
                <w:lang w:eastAsia="ja-JP"/>
              </w:rPr>
            </m:ctrlPr>
          </m:sSubPr>
          <m:e>
            <m:r>
              <w:rPr>
                <w:rFonts w:ascii="Cambria Math" w:hAnsi="Cambria Math"/>
                <w:lang w:eastAsia="ja-JP"/>
              </w:rPr>
              <m:t>e</m:t>
            </m:r>
          </m:e>
          <m:sub>
            <m:r>
              <w:rPr>
                <w:rFonts w:ascii="Cambria Math" w:hAnsi="Cambria Math"/>
                <w:lang w:eastAsia="ja-JP"/>
              </w:rPr>
              <m:t>z</m:t>
            </m:r>
          </m:sub>
        </m:sSub>
        <m:r>
          <w:rPr>
            <w:rFonts w:ascii="Cambria Math" w:hAnsi="Cambria Math"/>
            <w:lang w:eastAsia="ja-JP"/>
          </w:rPr>
          <m:t xml:space="preserve">= </m:t>
        </m:r>
        <m:d>
          <m:dPr>
            <m:begChr m:val="|"/>
            <m:endChr m:val="|"/>
            <m:ctrlPr>
              <w:rPr>
                <w:rFonts w:ascii="Cambria Math" w:hAnsi="Cambria Math"/>
                <w:i/>
                <w:lang w:eastAsia="ja-JP"/>
              </w:rPr>
            </m:ctrlPr>
          </m:dPr>
          <m:e>
            <m:sSub>
              <m:sSubPr>
                <m:ctrlPr>
                  <w:rPr>
                    <w:rFonts w:ascii="Cambria Math" w:hAnsi="Cambria Math"/>
                    <w:i/>
                    <w:lang w:eastAsia="ja-JP"/>
                  </w:rPr>
                </m:ctrlPr>
              </m:sSubPr>
              <m:e>
                <m:r>
                  <w:rPr>
                    <w:rFonts w:ascii="Cambria Math" w:hAnsi="Cambria Math"/>
                    <w:lang w:eastAsia="ja-JP"/>
                  </w:rPr>
                  <m:t>z</m:t>
                </m:r>
              </m:e>
              <m:sub>
                <m:r>
                  <w:rPr>
                    <w:rFonts w:ascii="Cambria Math" w:hAnsi="Cambria Math"/>
                    <w:lang w:eastAsia="ja-JP"/>
                  </w:rPr>
                  <m:t>sim, min</m:t>
                </m:r>
              </m:sub>
            </m:sSub>
            <m:r>
              <w:rPr>
                <w:rFonts w:ascii="Cambria Math" w:hAnsi="Cambria Math"/>
                <w:lang w:eastAsia="ja-JP"/>
              </w:rPr>
              <m:t>-</m:t>
            </m:r>
            <m:sSub>
              <m:sSubPr>
                <m:ctrlPr>
                  <w:rPr>
                    <w:rFonts w:ascii="Cambria Math" w:hAnsi="Cambria Math"/>
                    <w:i/>
                    <w:lang w:eastAsia="ja-JP"/>
                  </w:rPr>
                </m:ctrlPr>
              </m:sSubPr>
              <m:e>
                <m:r>
                  <w:rPr>
                    <w:rFonts w:ascii="Cambria Math" w:hAnsi="Cambria Math"/>
                    <w:lang w:eastAsia="ja-JP"/>
                  </w:rPr>
                  <m:t>z</m:t>
                </m:r>
              </m:e>
              <m:sub>
                <m:r>
                  <w:rPr>
                    <w:rFonts w:ascii="Cambria Math" w:hAnsi="Cambria Math"/>
                    <w:lang w:eastAsia="ja-JP"/>
                  </w:rPr>
                  <m:t>real, min</m:t>
                </m:r>
              </m:sub>
            </m:sSub>
          </m:e>
        </m:d>
      </m:oMath>
      <w:r w:rsidR="007C7401" w:rsidRPr="00FF7847">
        <w:rPr>
          <w:rFonts w:hint="eastAsia"/>
          <w:lang w:eastAsia="ja-JP"/>
        </w:rPr>
        <w:t xml:space="preserve">, </w:t>
      </w:r>
      <w:r w:rsidR="007C7401" w:rsidRPr="00FF7847">
        <w:rPr>
          <w:lang w:eastAsia="ja-JP"/>
        </w:rPr>
        <w:t xml:space="preserve">where </w:t>
      </w:r>
      <m:oMath>
        <m:sSub>
          <m:sSubPr>
            <m:ctrlPr>
              <w:rPr>
                <w:rFonts w:ascii="Cambria Math" w:hAnsi="Cambria Math"/>
                <w:i/>
                <w:lang w:eastAsia="ja-JP"/>
              </w:rPr>
            </m:ctrlPr>
          </m:sSubPr>
          <m:e>
            <m:r>
              <w:rPr>
                <w:rFonts w:ascii="Cambria Math" w:hAnsi="Cambria Math"/>
                <w:lang w:eastAsia="ja-JP"/>
              </w:rPr>
              <m:t>z</m:t>
            </m:r>
          </m:e>
          <m:sub>
            <m:r>
              <w:rPr>
                <w:rFonts w:ascii="Cambria Math" w:hAnsi="Cambria Math"/>
                <w:lang w:eastAsia="ja-JP"/>
              </w:rPr>
              <m:t>sim, min</m:t>
            </m:r>
          </m:sub>
        </m:sSub>
      </m:oMath>
      <w:r w:rsidR="007C7401" w:rsidRPr="00FF7847">
        <w:rPr>
          <w:lang w:eastAsia="ja-JP"/>
        </w:rPr>
        <w:t xml:space="preserve"> </w:t>
      </w:r>
      <w:r w:rsidR="00BC7277" w:rsidRPr="00FF7847">
        <w:rPr>
          <w:lang w:eastAsia="ja-JP"/>
        </w:rPr>
        <w:t>is the simulator-predicted lowest-point height and</w:t>
      </w:r>
      <w:r w:rsidR="007C7401" w:rsidRPr="00FF7847">
        <w:rPr>
          <w:lang w:eastAsia="ja-JP"/>
        </w:rPr>
        <w:t xml:space="preserve"> </w:t>
      </w:r>
      <m:oMath>
        <m:sSub>
          <m:sSubPr>
            <m:ctrlPr>
              <w:rPr>
                <w:rFonts w:ascii="Cambria Math" w:hAnsi="Cambria Math"/>
                <w:i/>
                <w:lang w:eastAsia="ja-JP"/>
              </w:rPr>
            </m:ctrlPr>
          </m:sSubPr>
          <m:e>
            <m:r>
              <w:rPr>
                <w:rFonts w:ascii="Cambria Math" w:hAnsi="Cambria Math"/>
                <w:lang w:eastAsia="ja-JP"/>
              </w:rPr>
              <m:t>z</m:t>
            </m:r>
          </m:e>
          <m:sub>
            <m:r>
              <w:rPr>
                <w:rFonts w:ascii="Cambria Math" w:hAnsi="Cambria Math"/>
                <w:lang w:eastAsia="ja-JP"/>
              </w:rPr>
              <m:t>real, min</m:t>
            </m:r>
          </m:sub>
        </m:sSub>
      </m:oMath>
      <w:r w:rsidR="007C7401" w:rsidRPr="00FF7847">
        <w:rPr>
          <w:lang w:eastAsia="ja-JP"/>
        </w:rPr>
        <w:t xml:space="preserve"> </w:t>
      </w:r>
      <w:r w:rsidR="00BC7277" w:rsidRPr="00FF7847">
        <w:rPr>
          <w:lang w:eastAsia="ja-JP"/>
        </w:rPr>
        <w:t>is the measured real-machine lowest-point height.</w:t>
      </w:r>
      <w:r w:rsidR="000B36E5" w:rsidRPr="00FF7847">
        <w:rPr>
          <w:lang w:eastAsia="ja-JP"/>
        </w:rPr>
        <w:t xml:space="preserve"> </w:t>
      </w:r>
      <w:r w:rsidRPr="00FF7847">
        <w:rPr>
          <w:lang w:eastAsia="ja-JP"/>
        </w:rPr>
        <w:t>In the Issue02 diagnostic example, the initial evaluation produced a minimum-height error of 3.891 cm. After updating the command-to-posture mapping, relative bucket geometry, and lowest-point evaluation procedure, the final evaluation reduced the minimum-height error to 0.185 cm. This reduction reflects changes in the posture-prediction and clearance-evaluation procedure, rather than a simple height correction applied to an identical simulated posture.</w:t>
      </w:r>
    </w:p>
    <w:p w14:paraId="655A2705" w14:textId="653758EB" w:rsidR="000B36E5" w:rsidRPr="00FF7847" w:rsidRDefault="00FA7540" w:rsidP="00FA7540">
      <w:pPr>
        <w:rPr>
          <w:lang w:eastAsia="ja-JP"/>
        </w:rPr>
      </w:pPr>
      <w:r w:rsidRPr="00FF7847">
        <w:rPr>
          <w:lang w:eastAsia="ja-JP"/>
        </w:rPr>
        <w:t>Fig</w:t>
      </w:r>
      <w:r w:rsidRPr="00FF7847">
        <w:rPr>
          <w:rFonts w:hint="eastAsia"/>
          <w:lang w:eastAsia="ja-JP"/>
        </w:rPr>
        <w:t>.</w:t>
      </w:r>
      <w:r w:rsidRPr="00FF7847">
        <w:rPr>
          <w:lang w:eastAsia="ja-JP"/>
        </w:rPr>
        <w:t xml:space="preserve"> </w:t>
      </w:r>
      <w:r w:rsidR="00263A24" w:rsidRPr="00FF7847">
        <w:rPr>
          <w:rFonts w:hint="eastAsia"/>
          <w:lang w:eastAsia="ja-JP"/>
        </w:rPr>
        <w:t>3</w:t>
      </w:r>
      <w:r w:rsidRPr="00FF7847">
        <w:rPr>
          <w:lang w:eastAsia="ja-JP"/>
        </w:rPr>
        <w:t xml:space="preserve"> provides a visual reference by overlaying the initial simulator result, measured real-machine posture, and updated simulator result for the same commanded joint angles. The measured </w:t>
      </w:r>
      <w:r w:rsidRPr="00FF7847">
        <w:rPr>
          <w:lang w:eastAsia="ja-JP"/>
        </w:rPr>
        <w:lastRenderedPageBreak/>
        <w:t>real-machine posture was obtained from physical measurements and registered to the photograph using corresponding points.</w:t>
      </w:r>
    </w:p>
    <w:p w14:paraId="0076A056" w14:textId="77777777" w:rsidR="00CE578B" w:rsidRPr="00FF7847" w:rsidRDefault="00CE578B" w:rsidP="00CE578B">
      <w:pPr>
        <w:pStyle w:val="figure"/>
        <w:keepNext/>
      </w:pPr>
      <w:r w:rsidRPr="00FF7847">
        <w:rPr>
          <w:noProof/>
        </w:rPr>
        <w:drawing>
          <wp:inline distT="0" distB="0" distL="0" distR="0" wp14:anchorId="73833911" wp14:editId="094298DB">
            <wp:extent cx="5320054" cy="3390900"/>
            <wp:effectExtent l="0" t="0" r="0" b="0"/>
            <wp:docPr id="84" name="図 83">
              <a:extLst xmlns:a="http://schemas.openxmlformats.org/drawingml/2006/main">
                <a:ext uri="{FF2B5EF4-FFF2-40B4-BE49-F238E27FC236}">
                  <a16:creationId xmlns:a16="http://schemas.microsoft.com/office/drawing/2014/main" id="{F564964E-F6D9-F812-16BE-B2D5831ABDD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 name="図 83">
                      <a:extLst>
                        <a:ext uri="{FF2B5EF4-FFF2-40B4-BE49-F238E27FC236}">
                          <a16:creationId xmlns:a16="http://schemas.microsoft.com/office/drawing/2014/main" id="{F564964E-F6D9-F812-16BE-B2D5831ABDD8}"/>
                        </a:ext>
                      </a:extLst>
                    </pic:cNvPr>
                    <pic:cNvPicPr>
                      <a:picLocks noChangeAspect="1"/>
                    </pic:cNvPicPr>
                  </pic:nvPicPr>
                  <pic:blipFill>
                    <a:blip r:embed="rId10"/>
                    <a:stretch>
                      <a:fillRect/>
                    </a:stretch>
                  </pic:blipFill>
                  <pic:spPr>
                    <a:xfrm>
                      <a:off x="0" y="0"/>
                      <a:ext cx="5327148" cy="3395422"/>
                    </a:xfrm>
                    <a:prstGeom prst="rect">
                      <a:avLst/>
                    </a:prstGeom>
                  </pic:spPr>
                </pic:pic>
              </a:graphicData>
            </a:graphic>
          </wp:inline>
        </w:drawing>
      </w:r>
    </w:p>
    <w:p w14:paraId="1B0EE338" w14:textId="63BC920A" w:rsidR="00B142AA" w:rsidRPr="00FF7847" w:rsidRDefault="00CE578B" w:rsidP="00CE578B">
      <w:pPr>
        <w:pStyle w:val="afb"/>
        <w:rPr>
          <w:lang w:eastAsia="ja-JP"/>
        </w:rPr>
      </w:pPr>
      <w:r w:rsidRPr="00FF7847">
        <w:t xml:space="preserve">Figure </w:t>
      </w:r>
      <w:r w:rsidRPr="00FF7847">
        <w:fldChar w:fldCharType="begin"/>
      </w:r>
      <w:r w:rsidRPr="00FF7847">
        <w:instrText xml:space="preserve"> SEQ Figure \* ARABIC </w:instrText>
      </w:r>
      <w:r w:rsidRPr="00FF7847">
        <w:fldChar w:fldCharType="separate"/>
      </w:r>
      <w:r w:rsidR="00AD3633">
        <w:rPr>
          <w:noProof/>
        </w:rPr>
        <w:t>3</w:t>
      </w:r>
      <w:r w:rsidRPr="00FF7847">
        <w:fldChar w:fldCharType="end"/>
      </w:r>
      <w:r w:rsidRPr="00FF7847">
        <w:rPr>
          <w:rFonts w:hint="eastAsia"/>
          <w:lang w:eastAsia="ja-JP"/>
        </w:rPr>
        <w:t xml:space="preserve">: </w:t>
      </w:r>
      <w:r w:rsidRPr="00FF7847">
        <w:rPr>
          <w:lang w:eastAsia="ja-JP"/>
        </w:rPr>
        <w:t>Visual comparison of the initial simulator, measured real-machine posture, and updated simulator under the same commanded joint angles. The measured posture was registered to the photograph using corresponding points.</w:t>
      </w:r>
    </w:p>
    <w:p w14:paraId="5483FF10" w14:textId="1256027C" w:rsidR="00754075" w:rsidRPr="00FF7847" w:rsidRDefault="00754075" w:rsidP="00754075">
      <w:pPr>
        <w:rPr>
          <w:lang w:eastAsia="ja-JP"/>
        </w:rPr>
      </w:pPr>
      <w:r w:rsidRPr="00FF7847">
        <w:rPr>
          <w:lang w:eastAsia="ja-JP"/>
        </w:rPr>
        <w:fldChar w:fldCharType="begin"/>
      </w:r>
      <w:r w:rsidRPr="00FF7847">
        <w:rPr>
          <w:lang w:eastAsia="ja-JP"/>
        </w:rPr>
        <w:instrText xml:space="preserve"> REF _Ref232693480 \h  \* MERGEFORMAT </w:instrText>
      </w:r>
      <w:r w:rsidRPr="00FF7847">
        <w:rPr>
          <w:lang w:eastAsia="ja-JP"/>
        </w:rPr>
      </w:r>
      <w:r w:rsidRPr="00FF7847">
        <w:rPr>
          <w:lang w:eastAsia="ja-JP"/>
        </w:rPr>
        <w:fldChar w:fldCharType="separate"/>
      </w:r>
      <w:r w:rsidR="00AD3633" w:rsidRPr="00FF7847">
        <w:t xml:space="preserve">Table </w:t>
      </w:r>
      <w:r w:rsidR="00AD3633">
        <w:rPr>
          <w:noProof/>
        </w:rPr>
        <w:t>3</w:t>
      </w:r>
      <w:r w:rsidRPr="00FF7847">
        <w:rPr>
          <w:lang w:eastAsia="ja-JP"/>
        </w:rPr>
        <w:fldChar w:fldCharType="end"/>
      </w:r>
      <w:r w:rsidRPr="00FF7847">
        <w:rPr>
          <w:rFonts w:hint="eastAsia"/>
          <w:lang w:eastAsia="ja-JP"/>
        </w:rPr>
        <w:t xml:space="preserve"> </w:t>
      </w:r>
      <w:r w:rsidRPr="00754075">
        <w:rPr>
          <w:lang w:eastAsia="ja-JP"/>
        </w:rPr>
        <w:t>summarizes the ablation analysis of the diagnostic updates incorporated into the final simulator and evaluation procedure. The purpose is not to assign independent contribution rates to individual updates, but to show that the final improvement depended on multiple interacting corrections. Each row reports</w:t>
      </w:r>
      <w:r w:rsidRPr="00FF7847">
        <w:rPr>
          <w:lang w:eastAsia="ja-JP"/>
        </w:rPr>
        <w:t xml:space="preserve"> </w:t>
      </w:r>
      <m:oMath>
        <m:sSub>
          <m:sSubPr>
            <m:ctrlPr>
              <w:rPr>
                <w:rFonts w:ascii="Cambria Math" w:hAnsi="Cambria Math"/>
                <w:i/>
                <w:lang w:eastAsia="ja-JP"/>
              </w:rPr>
            </m:ctrlPr>
          </m:sSubPr>
          <m:e>
            <m:r>
              <w:rPr>
                <w:rFonts w:ascii="Cambria Math" w:hAnsi="Cambria Math"/>
                <w:lang w:eastAsia="ja-JP"/>
              </w:rPr>
              <m:t>∆e</m:t>
            </m:r>
          </m:e>
          <m:sub>
            <m:r>
              <w:rPr>
                <w:rFonts w:ascii="Cambria Math" w:hAnsi="Cambria Math"/>
                <w:lang w:eastAsia="ja-JP"/>
              </w:rPr>
              <m:t>z</m:t>
            </m:r>
          </m:sub>
        </m:sSub>
      </m:oMath>
      <w:r w:rsidRPr="00754075">
        <w:rPr>
          <w:lang w:eastAsia="ja-JP"/>
        </w:rPr>
        <w:t>, the increase in minimum-height error when the corresponding update is excluded from the final model. Because the values are not additive, they should be interpreted as evidence that the discrepancy was compound rather than caused by a single isolated factor.</w:t>
      </w:r>
      <w:r w:rsidRPr="00754075">
        <w:t xml:space="preserve"> </w:t>
      </w:r>
      <w:r w:rsidRPr="00754075">
        <w:rPr>
          <w:lang w:eastAsia="ja-JP"/>
        </w:rPr>
        <w:t xml:space="preserve">This result supports the diagnostic treatment in </w:t>
      </w:r>
      <w:r>
        <w:rPr>
          <w:lang w:eastAsia="ja-JP"/>
        </w:rPr>
        <w:fldChar w:fldCharType="begin"/>
      </w:r>
      <w:r>
        <w:rPr>
          <w:lang w:eastAsia="ja-JP"/>
        </w:rPr>
        <w:instrText xml:space="preserve"> REF _Ref232692529 \h </w:instrText>
      </w:r>
      <w:r>
        <w:rPr>
          <w:lang w:eastAsia="ja-JP"/>
        </w:rPr>
      </w:r>
      <w:r>
        <w:rPr>
          <w:lang w:eastAsia="ja-JP"/>
        </w:rPr>
        <w:fldChar w:fldCharType="separate"/>
      </w:r>
      <w:r w:rsidR="00AD3633" w:rsidRPr="00FF7847">
        <w:t xml:space="preserve">Table </w:t>
      </w:r>
      <w:r w:rsidR="00AD3633">
        <w:rPr>
          <w:noProof/>
        </w:rPr>
        <w:t>2</w:t>
      </w:r>
      <w:r>
        <w:rPr>
          <w:lang w:eastAsia="ja-JP"/>
        </w:rPr>
        <w:fldChar w:fldCharType="end"/>
      </w:r>
      <w:r w:rsidRPr="00754075">
        <w:rPr>
          <w:lang w:eastAsia="ja-JP"/>
        </w:rPr>
        <w:t>: the discrepancy was not attributable to a single isolated factor, but required a combination of calibration, geometry representation, evaluation revision, and uncertainty treatment.</w:t>
      </w:r>
    </w:p>
    <w:p w14:paraId="5FDB9F1B" w14:textId="0C9E6796" w:rsidR="00ED72A0" w:rsidRPr="00FF7847" w:rsidRDefault="00ED72A0" w:rsidP="00ED72A0">
      <w:pPr>
        <w:pStyle w:val="afb"/>
        <w:rPr>
          <w:lang w:eastAsia="ja-JP"/>
        </w:rPr>
      </w:pPr>
      <w:bookmarkStart w:id="4" w:name="_Ref232693480"/>
      <w:r w:rsidRPr="00FF7847">
        <w:t xml:space="preserve">Table </w:t>
      </w:r>
      <w:r w:rsidRPr="00FF7847">
        <w:fldChar w:fldCharType="begin"/>
      </w:r>
      <w:r w:rsidRPr="00FF7847">
        <w:instrText xml:space="preserve"> SEQ Table \* ARABIC </w:instrText>
      </w:r>
      <w:r w:rsidRPr="00FF7847">
        <w:fldChar w:fldCharType="separate"/>
      </w:r>
      <w:r w:rsidR="00AD3633">
        <w:rPr>
          <w:noProof/>
        </w:rPr>
        <w:t>3</w:t>
      </w:r>
      <w:r w:rsidRPr="00FF7847">
        <w:fldChar w:fldCharType="end"/>
      </w:r>
      <w:bookmarkEnd w:id="4"/>
      <w:r w:rsidRPr="00FF7847">
        <w:rPr>
          <w:rFonts w:hint="eastAsia"/>
          <w:lang w:eastAsia="ja-JP"/>
        </w:rPr>
        <w:t xml:space="preserve">: </w:t>
      </w:r>
      <w:r w:rsidR="00AD3633" w:rsidRPr="00AD3633">
        <w:rPr>
          <w:lang w:eastAsia="ja-JP"/>
        </w:rPr>
        <w:t>Ablation effects of diagnostic updates for the simulator-to-real excavator posture discrepancy.</w:t>
      </w:r>
    </w:p>
    <w:tbl>
      <w:tblPr>
        <w:tblW w:w="5101" w:type="pct"/>
        <w:tblCellMar>
          <w:top w:w="57" w:type="dxa"/>
          <w:left w:w="57" w:type="dxa"/>
          <w:bottom w:w="57" w:type="dxa"/>
          <w:right w:w="57" w:type="dxa"/>
        </w:tblCellMar>
        <w:tblLook w:val="04A0" w:firstRow="1" w:lastRow="0" w:firstColumn="1" w:lastColumn="0" w:noHBand="0" w:noVBand="1"/>
      </w:tblPr>
      <w:tblGrid>
        <w:gridCol w:w="2828"/>
        <w:gridCol w:w="1282"/>
        <w:gridCol w:w="5098"/>
      </w:tblGrid>
      <w:tr w:rsidR="00ED72A0" w:rsidRPr="00FF7847" w14:paraId="423F9DC0" w14:textId="77777777" w:rsidTr="00754075">
        <w:trPr>
          <w:trHeight w:val="317"/>
        </w:trPr>
        <w:tc>
          <w:tcPr>
            <w:tcW w:w="1536" w:type="pct"/>
            <w:tcBorders>
              <w:top w:val="single" w:sz="4" w:space="0" w:color="auto"/>
              <w:bottom w:val="single" w:sz="4" w:space="0" w:color="auto"/>
            </w:tcBorders>
          </w:tcPr>
          <w:p w14:paraId="1D76AD6C" w14:textId="59B48B56" w:rsidR="00ED72A0" w:rsidRPr="00FF7847" w:rsidRDefault="00754075" w:rsidP="00ED72A0">
            <w:pPr>
              <w:pStyle w:val="inTable"/>
            </w:pPr>
            <w:r w:rsidRPr="00754075">
              <w:t>Diagnostic update</w:t>
            </w:r>
          </w:p>
        </w:tc>
        <w:tc>
          <w:tcPr>
            <w:tcW w:w="696" w:type="pct"/>
            <w:tcBorders>
              <w:top w:val="single" w:sz="4" w:space="0" w:color="auto"/>
              <w:bottom w:val="single" w:sz="4" w:space="0" w:color="auto"/>
            </w:tcBorders>
          </w:tcPr>
          <w:p w14:paraId="126957A9" w14:textId="4FAD8C6C" w:rsidR="00ED72A0" w:rsidRPr="00FF7847" w:rsidRDefault="00000000" w:rsidP="00ED72A0">
            <w:pPr>
              <w:pStyle w:val="inTable"/>
            </w:pPr>
            <m:oMath>
              <m:sSub>
                <m:sSubPr>
                  <m:ctrlPr>
                    <w:rPr>
                      <w:rFonts w:ascii="Cambria Math" w:hAnsi="Cambria Math"/>
                      <w:i/>
                      <w:lang w:eastAsia="ja-JP"/>
                    </w:rPr>
                  </m:ctrlPr>
                </m:sSubPr>
                <m:e>
                  <m:r>
                    <w:rPr>
                      <w:rFonts w:ascii="Cambria Math" w:hAnsi="Cambria Math"/>
                      <w:lang w:eastAsia="ja-JP"/>
                    </w:rPr>
                    <m:t>∆e</m:t>
                  </m:r>
                </m:e>
                <m:sub>
                  <m:r>
                    <w:rPr>
                      <w:rFonts w:ascii="Cambria Math" w:hAnsi="Cambria Math"/>
                      <w:lang w:eastAsia="ja-JP"/>
                    </w:rPr>
                    <m:t>z</m:t>
                  </m:r>
                </m:sub>
              </m:sSub>
            </m:oMath>
            <w:r w:rsidR="00ED72A0" w:rsidRPr="00FF7847">
              <w:rPr>
                <w:rFonts w:hint="eastAsia"/>
                <w:lang w:eastAsia="ja-JP"/>
              </w:rPr>
              <w:t xml:space="preserve"> </w:t>
            </w:r>
            <w:r w:rsidR="00AD3633" w:rsidRPr="00AD3633">
              <w:rPr>
                <w:lang w:eastAsia="ja-JP"/>
              </w:rPr>
              <w:t>when excluded</w:t>
            </w:r>
          </w:p>
        </w:tc>
        <w:tc>
          <w:tcPr>
            <w:tcW w:w="2768" w:type="pct"/>
            <w:tcBorders>
              <w:top w:val="single" w:sz="4" w:space="0" w:color="auto"/>
              <w:bottom w:val="single" w:sz="4" w:space="0" w:color="auto"/>
            </w:tcBorders>
          </w:tcPr>
          <w:p w14:paraId="6E54B20D" w14:textId="59A3A4C0" w:rsidR="00ED72A0" w:rsidRPr="00FF7847" w:rsidRDefault="00ED72A0" w:rsidP="00ED72A0">
            <w:pPr>
              <w:pStyle w:val="inTable"/>
            </w:pPr>
            <w:r w:rsidRPr="00FF7847">
              <w:t>Interpretation</w:t>
            </w:r>
          </w:p>
        </w:tc>
      </w:tr>
      <w:tr w:rsidR="00ED72A0" w:rsidRPr="00FF7847" w14:paraId="693AD71F" w14:textId="77777777" w:rsidTr="00754075">
        <w:tc>
          <w:tcPr>
            <w:tcW w:w="1536" w:type="pct"/>
            <w:tcBorders>
              <w:top w:val="single" w:sz="4" w:space="0" w:color="auto"/>
            </w:tcBorders>
          </w:tcPr>
          <w:p w14:paraId="1D93A080" w14:textId="17CB7DF0" w:rsidR="00ED72A0" w:rsidRPr="00FF7847" w:rsidRDefault="00754075" w:rsidP="00ED72A0">
            <w:pPr>
              <w:pStyle w:val="inTable"/>
            </w:pPr>
            <w:r w:rsidRPr="00754075">
              <w:t>Model revision: bucket lower-point geometry</w:t>
            </w:r>
          </w:p>
        </w:tc>
        <w:tc>
          <w:tcPr>
            <w:tcW w:w="696" w:type="pct"/>
            <w:tcBorders>
              <w:top w:val="single" w:sz="4" w:space="0" w:color="auto"/>
            </w:tcBorders>
          </w:tcPr>
          <w:p w14:paraId="482FBA3E" w14:textId="60983F26" w:rsidR="00ED72A0" w:rsidRPr="00FF7847" w:rsidRDefault="00ED72A0" w:rsidP="00ED72A0">
            <w:pPr>
              <w:pStyle w:val="inTable"/>
            </w:pPr>
            <w:r w:rsidRPr="00FF7847">
              <w:t>0.000 cm</w:t>
            </w:r>
          </w:p>
        </w:tc>
        <w:tc>
          <w:tcPr>
            <w:tcW w:w="2768" w:type="pct"/>
            <w:tcBorders>
              <w:top w:val="single" w:sz="4" w:space="0" w:color="auto"/>
            </w:tcBorders>
          </w:tcPr>
          <w:p w14:paraId="6A08A8A6" w14:textId="75282CB7" w:rsidR="00ED72A0" w:rsidRPr="00FF7847" w:rsidRDefault="00ED72A0" w:rsidP="00ED72A0">
            <w:pPr>
              <w:pStyle w:val="inTable"/>
            </w:pPr>
            <w:r w:rsidRPr="00FF7847">
              <w:t xml:space="preserve">Retained because the bucket body can become lower than the </w:t>
            </w:r>
            <w:proofErr w:type="gramStart"/>
            <w:r w:rsidRPr="00FF7847">
              <w:t>cutting edge</w:t>
            </w:r>
            <w:proofErr w:type="gramEnd"/>
            <w:r w:rsidRPr="00FF7847">
              <w:t xml:space="preserve"> tip in other postures.</w:t>
            </w:r>
          </w:p>
        </w:tc>
      </w:tr>
      <w:tr w:rsidR="00ED72A0" w:rsidRPr="00FF7847" w14:paraId="79540B0F" w14:textId="77777777" w:rsidTr="00754075">
        <w:tc>
          <w:tcPr>
            <w:tcW w:w="1536" w:type="pct"/>
          </w:tcPr>
          <w:p w14:paraId="115BB2E8" w14:textId="78C6B8CD" w:rsidR="00ED72A0" w:rsidRPr="00FF7847" w:rsidRDefault="00754075" w:rsidP="00ED72A0">
            <w:pPr>
              <w:pStyle w:val="inTable"/>
            </w:pPr>
            <w:r w:rsidRPr="00754075">
              <w:t>Calibration: command-to-posture mapping</w:t>
            </w:r>
          </w:p>
        </w:tc>
        <w:tc>
          <w:tcPr>
            <w:tcW w:w="696" w:type="pct"/>
          </w:tcPr>
          <w:p w14:paraId="27F6A719" w14:textId="7CCEF402" w:rsidR="00ED72A0" w:rsidRPr="00FF7847" w:rsidRDefault="00ED72A0" w:rsidP="00ED72A0">
            <w:pPr>
              <w:pStyle w:val="inTable"/>
            </w:pPr>
            <w:r w:rsidRPr="00FF7847">
              <w:t>3.839 cm</w:t>
            </w:r>
          </w:p>
        </w:tc>
        <w:tc>
          <w:tcPr>
            <w:tcW w:w="2768" w:type="pct"/>
          </w:tcPr>
          <w:p w14:paraId="3C754139" w14:textId="39C410AE" w:rsidR="00ED72A0" w:rsidRPr="00FF7847" w:rsidRDefault="00ED72A0" w:rsidP="00ED72A0">
            <w:pPr>
              <w:pStyle w:val="inTable"/>
            </w:pPr>
            <w:r w:rsidRPr="00FF7847">
              <w:t>Had the largest effect; the documented ideal-angle model did not reproduce the real boom/arm posture.</w:t>
            </w:r>
          </w:p>
        </w:tc>
      </w:tr>
      <w:tr w:rsidR="00ED72A0" w:rsidRPr="00FF7847" w14:paraId="6873B4EF" w14:textId="77777777" w:rsidTr="00754075">
        <w:tc>
          <w:tcPr>
            <w:tcW w:w="1536" w:type="pct"/>
          </w:tcPr>
          <w:p w14:paraId="2839391C" w14:textId="37A641E0" w:rsidR="00ED72A0" w:rsidRPr="00FF7847" w:rsidRDefault="00754075" w:rsidP="00ED72A0">
            <w:pPr>
              <w:pStyle w:val="inTable"/>
            </w:pPr>
            <w:r w:rsidRPr="00754075">
              <w:t>Calibration: H-to-T relative bucket representation</w:t>
            </w:r>
          </w:p>
        </w:tc>
        <w:tc>
          <w:tcPr>
            <w:tcW w:w="696" w:type="pct"/>
          </w:tcPr>
          <w:p w14:paraId="4F494CF5" w14:textId="7D9CA6C4" w:rsidR="00ED72A0" w:rsidRPr="00FF7847" w:rsidRDefault="00ED72A0" w:rsidP="00ED72A0">
            <w:pPr>
              <w:pStyle w:val="inTable"/>
            </w:pPr>
            <w:r w:rsidRPr="00FF7847">
              <w:t>0.175 cm</w:t>
            </w:r>
          </w:p>
        </w:tc>
        <w:tc>
          <w:tcPr>
            <w:tcW w:w="2768" w:type="pct"/>
          </w:tcPr>
          <w:p w14:paraId="4A1A27BF" w14:textId="62BFF0C4" w:rsidR="00ED72A0" w:rsidRPr="00FF7847" w:rsidRDefault="00ED72A0" w:rsidP="00ED72A0">
            <w:pPr>
              <w:pStyle w:val="inTable"/>
            </w:pPr>
            <w:r w:rsidRPr="00FF7847">
              <w:t>Improved consistency by representing the bucket using H-to-T relative angle and length.</w:t>
            </w:r>
          </w:p>
        </w:tc>
      </w:tr>
      <w:tr w:rsidR="00ED72A0" w:rsidRPr="00FF7847" w14:paraId="317A9EB1" w14:textId="77777777" w:rsidTr="00754075">
        <w:tc>
          <w:tcPr>
            <w:tcW w:w="1536" w:type="pct"/>
            <w:tcBorders>
              <w:bottom w:val="single" w:sz="4" w:space="0" w:color="auto"/>
            </w:tcBorders>
          </w:tcPr>
          <w:p w14:paraId="11650681" w14:textId="2310C33E" w:rsidR="00ED72A0" w:rsidRPr="00FF7847" w:rsidRDefault="00754075" w:rsidP="00ED72A0">
            <w:pPr>
              <w:pStyle w:val="inTable"/>
            </w:pPr>
            <w:r w:rsidRPr="00754075">
              <w:t>Evaluation revision: intermediate-pose and lowest-point evaluation</w:t>
            </w:r>
          </w:p>
        </w:tc>
        <w:tc>
          <w:tcPr>
            <w:tcW w:w="696" w:type="pct"/>
            <w:tcBorders>
              <w:bottom w:val="single" w:sz="4" w:space="0" w:color="auto"/>
            </w:tcBorders>
          </w:tcPr>
          <w:p w14:paraId="703367B0" w14:textId="03F0732D" w:rsidR="00ED72A0" w:rsidRPr="00FF7847" w:rsidRDefault="00ED72A0" w:rsidP="00ED72A0">
            <w:pPr>
              <w:pStyle w:val="inTable"/>
            </w:pPr>
            <w:r w:rsidRPr="00FF7847">
              <w:t>0.310 cm</w:t>
            </w:r>
          </w:p>
        </w:tc>
        <w:tc>
          <w:tcPr>
            <w:tcW w:w="2768" w:type="pct"/>
            <w:tcBorders>
              <w:bottom w:val="single" w:sz="4" w:space="0" w:color="auto"/>
            </w:tcBorders>
          </w:tcPr>
          <w:p w14:paraId="7F1DB375" w14:textId="3B01E75D" w:rsidR="00ED72A0" w:rsidRPr="00FF7847" w:rsidRDefault="00ED72A0" w:rsidP="00ED72A0">
            <w:pPr>
              <w:pStyle w:val="inTable"/>
            </w:pPr>
            <w:r w:rsidRPr="00FF7847">
              <w:t>Reduced clearance underestimation caused by endpoint-only evaluation.</w:t>
            </w:r>
          </w:p>
        </w:tc>
      </w:tr>
    </w:tbl>
    <w:p w14:paraId="5670BD97" w14:textId="77777777" w:rsidR="005937DC" w:rsidRPr="00FF7847" w:rsidRDefault="005937DC" w:rsidP="005937DC">
      <w:pPr>
        <w:rPr>
          <w:lang w:eastAsia="ja-JP"/>
        </w:rPr>
      </w:pPr>
    </w:p>
    <w:p w14:paraId="3B38192E" w14:textId="22077D30" w:rsidR="00FA7540" w:rsidRPr="00FF7847" w:rsidRDefault="00FA7540" w:rsidP="00FA7540">
      <w:pPr>
        <w:pStyle w:val="1"/>
        <w:rPr>
          <w:lang w:eastAsia="ja-JP"/>
        </w:rPr>
      </w:pPr>
      <w:r w:rsidRPr="00FF7847">
        <w:rPr>
          <w:rFonts w:hint="eastAsia"/>
          <w:lang w:eastAsia="ja-JP"/>
        </w:rPr>
        <w:lastRenderedPageBreak/>
        <w:t>CONCLUSION</w:t>
      </w:r>
    </w:p>
    <w:p w14:paraId="5A05A6A2" w14:textId="77777777" w:rsidR="00D148D2" w:rsidRPr="00FF7847" w:rsidRDefault="00D148D2" w:rsidP="00D148D2">
      <w:pPr>
        <w:rPr>
          <w:lang w:eastAsia="ja-JP"/>
        </w:rPr>
      </w:pPr>
      <w:r w:rsidRPr="00FF7847">
        <w:rPr>
          <w:lang w:eastAsia="ja-JP"/>
        </w:rPr>
        <w:t>This paper proposed an issue-based LLM-executable commissioning framework for adapting generic construction robot simulations to machine-specific execution behavior. The framework is designed to make the commissioning process itself executable by an LLM-based diagnostic agent. Starting from an observed simulator-to-real discrepancy, the agent decomposes the issue into execution stages and testable branch hypotheses, requests targeted evidence, interprets returned measurements and logs, and converts the diagnosis into reusable simulator updates, evaluation updates, constraints, or uncertainty items.</w:t>
      </w:r>
    </w:p>
    <w:p w14:paraId="2EB4AA39" w14:textId="77777777" w:rsidR="00D148D2" w:rsidRPr="00FF7847" w:rsidRDefault="00D148D2" w:rsidP="00D148D2">
      <w:pPr>
        <w:rPr>
          <w:lang w:eastAsia="ja-JP"/>
        </w:rPr>
      </w:pPr>
      <w:r w:rsidRPr="00FF7847">
        <w:rPr>
          <w:lang w:eastAsia="ja-JP"/>
        </w:rPr>
        <w:t>The framework was demonstrated using a ROS 2 Foxy-based scale-model excavator testbed. The case study focused on a simulator-to-real excavator posture discrepancy in which the initial simulator predicted sufficient bucket-floor clearance, whereas floor contact was observed during real-machine replay. The diagnosis identified multiple relevant layers, including bucket geometry representation, command-to-posture calibration, candidate-evaluation logic, replay consistency, and residual execution uncertainty. By incorporating the correctable factors into the simulator and evaluation procedure, the minimum-height error was reduced from 3.891 cm to 0.185 cm.</w:t>
      </w:r>
    </w:p>
    <w:p w14:paraId="015FC2F1" w14:textId="48AEFBAE" w:rsidR="00D148D2" w:rsidRPr="00FF7847" w:rsidRDefault="00D148D2" w:rsidP="00D148D2">
      <w:pPr>
        <w:rPr>
          <w:lang w:eastAsia="ja-JP"/>
        </w:rPr>
      </w:pPr>
      <w:r w:rsidRPr="00FF7847">
        <w:rPr>
          <w:lang w:eastAsia="ja-JP"/>
        </w:rPr>
        <w:t>In the present implementation, real-machine trials and physical measurements were supervised by the researcher for safety, equipment protection, and practical access to the testbed. Within this human-supervised physical action layer, the LLM-based agent managed the diagnostic reasoning loop by generating hypotheses, requesting evidence, interpreting returned measurements and logs, and proposing simulator-update actions</w:t>
      </w:r>
      <w:r w:rsidR="00AD3633">
        <w:rPr>
          <w:rFonts w:hint="eastAsia"/>
          <w:lang w:eastAsia="ja-JP"/>
        </w:rPr>
        <w:t>.</w:t>
      </w:r>
      <w:r w:rsidR="0013307D">
        <w:rPr>
          <w:rFonts w:hint="eastAsia"/>
          <w:lang w:eastAsia="ja-JP"/>
        </w:rPr>
        <w:t xml:space="preserve"> </w:t>
      </w:r>
      <w:r w:rsidR="00C63D73" w:rsidRPr="00C63D73">
        <w:rPr>
          <w:lang w:eastAsia="ja-JP"/>
        </w:rPr>
        <w:t xml:space="preserve">The present study is limited to a single posture-related commissioning issue on one scale-model excavator platform and therefore does not establish generalizability across discrepancy types, construction tasks, or robot platforms. Computational performance was not formally benchmarked. </w:t>
      </w:r>
      <w:r w:rsidR="0013307D" w:rsidRPr="0013307D">
        <w:rPr>
          <w:lang w:eastAsia="ja-JP"/>
        </w:rPr>
        <w:t>Future scalability assessments should consider the number of branch hypotheses, the volume of logs and sensor data, simulator complexity, and the number of commissioning issues processed concurrently.</w:t>
      </w:r>
    </w:p>
    <w:p w14:paraId="55C12744" w14:textId="77777777" w:rsidR="0013307D" w:rsidRPr="0013307D" w:rsidRDefault="0013307D" w:rsidP="0013307D">
      <w:pPr>
        <w:rPr>
          <w:lang w:eastAsia="ja-JP"/>
        </w:rPr>
      </w:pPr>
      <w:r w:rsidRPr="0013307D">
        <w:rPr>
          <w:lang w:eastAsia="ja-JP"/>
        </w:rPr>
        <w:t xml:space="preserve">Future work should first examine the framework across multiple commissioning issues, including discrepancies associated with control response, perception, communication, geometry, and task performance, </w:t>
      </w:r>
      <w:proofErr w:type="gramStart"/>
      <w:r w:rsidRPr="0013307D">
        <w:rPr>
          <w:lang w:eastAsia="ja-JP"/>
        </w:rPr>
        <w:t>and across</w:t>
      </w:r>
      <w:proofErr w:type="gramEnd"/>
      <w:r w:rsidRPr="0013307D">
        <w:rPr>
          <w:lang w:eastAsia="ja-JP"/>
        </w:rPr>
        <w:t xml:space="preserve"> different construction robot platforms. The method should also be integrated into broader construction planning, where diagnosed simulator updates, evaluation updates, constraints, and uncertainty items are fed back not only to individual motion candidates but also to task sequencing, machine allocation, and multi-machine coordination. Such extensions are necessary to evaluate both the generalizability and scalability of LLM-executable commissioning at the planning-system level.</w:t>
      </w:r>
    </w:p>
    <w:p w14:paraId="0E7FDE7E" w14:textId="77777777" w:rsidR="00FA7540" w:rsidRPr="00FF7847" w:rsidRDefault="00FA7540" w:rsidP="00FA7540">
      <w:pPr>
        <w:rPr>
          <w:lang w:eastAsia="ja-JP"/>
        </w:rPr>
      </w:pPr>
    </w:p>
    <w:p w14:paraId="5929056C" w14:textId="557D1948" w:rsidR="00ED72A0" w:rsidRPr="00FF7847" w:rsidRDefault="008560CF" w:rsidP="00FA7540">
      <w:pPr>
        <w:pStyle w:val="1"/>
        <w:numPr>
          <w:ilvl w:val="0"/>
          <w:numId w:val="0"/>
        </w:numPr>
        <w:rPr>
          <w:lang w:eastAsia="ja-JP"/>
        </w:rPr>
      </w:pPr>
      <w:r w:rsidRPr="00FF7847">
        <w:rPr>
          <w:lang w:eastAsia="ja-JP"/>
        </w:rPr>
        <w:t>ACKNOWLEDGEMENTS</w:t>
      </w:r>
    </w:p>
    <w:p w14:paraId="309D4D12" w14:textId="7E679D74" w:rsidR="008560CF" w:rsidRPr="00FF7847" w:rsidRDefault="008560CF" w:rsidP="008560CF">
      <w:pPr>
        <w:rPr>
          <w:lang w:eastAsia="ja-JP"/>
        </w:rPr>
      </w:pPr>
      <w:r w:rsidRPr="00FF7847">
        <w:rPr>
          <w:lang w:eastAsia="ja-JP"/>
        </w:rPr>
        <w:t>This work was supported by</w:t>
      </w:r>
      <w:r w:rsidR="00D148D2" w:rsidRPr="00FF7847">
        <w:rPr>
          <w:rFonts w:hint="eastAsia"/>
          <w:lang w:eastAsia="ja-JP"/>
        </w:rPr>
        <w:t xml:space="preserve"> </w:t>
      </w:r>
      <w:r w:rsidR="00D148D2" w:rsidRPr="00FF7847">
        <w:rPr>
          <w:lang w:eastAsia="ja-JP"/>
        </w:rPr>
        <w:t>JSPS KAKENHI Grant Number</w:t>
      </w:r>
      <w:r w:rsidR="00D148D2" w:rsidRPr="00FF7847">
        <w:rPr>
          <w:rFonts w:hint="eastAsia"/>
          <w:lang w:eastAsia="ja-JP"/>
        </w:rPr>
        <w:t xml:space="preserve"> </w:t>
      </w:r>
      <w:r w:rsidR="00D148D2" w:rsidRPr="00FF7847">
        <w:rPr>
          <w:lang w:eastAsia="ja-JP"/>
        </w:rPr>
        <w:t>JP25K01302</w:t>
      </w:r>
      <w:r w:rsidR="00D148D2" w:rsidRPr="00FF7847">
        <w:rPr>
          <w:rFonts w:hint="eastAsia"/>
          <w:lang w:eastAsia="ja-JP"/>
        </w:rPr>
        <w:t xml:space="preserve"> and</w:t>
      </w:r>
      <w:r w:rsidRPr="00FF7847">
        <w:rPr>
          <w:lang w:eastAsia="ja-JP"/>
        </w:rPr>
        <w:t xml:space="preserve"> the </w:t>
      </w:r>
      <w:proofErr w:type="spellStart"/>
      <w:r w:rsidRPr="00FF7847">
        <w:rPr>
          <w:lang w:eastAsia="ja-JP"/>
        </w:rPr>
        <w:t>i</w:t>
      </w:r>
      <w:proofErr w:type="spellEnd"/>
      <w:r w:rsidRPr="00FF7847">
        <w:rPr>
          <w:lang w:eastAsia="ja-JP"/>
        </w:rPr>
        <w:t>-Construction System Studies Endowed Chair, Faculty of Engineering, The University of Tokyo</w:t>
      </w:r>
      <w:r w:rsidR="00D148D2" w:rsidRPr="00FF7847">
        <w:rPr>
          <w:rFonts w:hint="eastAsia"/>
          <w:lang w:eastAsia="ja-JP"/>
        </w:rPr>
        <w:t>.</w:t>
      </w:r>
    </w:p>
    <w:p w14:paraId="37339572" w14:textId="77777777" w:rsidR="008560CF" w:rsidRPr="00FF7847" w:rsidRDefault="008560CF" w:rsidP="008560CF">
      <w:pPr>
        <w:rPr>
          <w:lang w:eastAsia="ja-JP"/>
        </w:rPr>
      </w:pPr>
    </w:p>
    <w:p w14:paraId="6D79F3D6" w14:textId="2E883F80" w:rsidR="008560CF" w:rsidRPr="00FF7847" w:rsidRDefault="008560CF" w:rsidP="008560CF">
      <w:pPr>
        <w:pStyle w:val="1"/>
        <w:numPr>
          <w:ilvl w:val="0"/>
          <w:numId w:val="0"/>
        </w:numPr>
        <w:ind w:left="357" w:hanging="357"/>
        <w:rPr>
          <w:lang w:eastAsia="ja-JP"/>
        </w:rPr>
      </w:pPr>
      <w:r w:rsidRPr="00FF7847">
        <w:rPr>
          <w:lang w:eastAsia="ja-JP"/>
        </w:rPr>
        <w:t>REFERENCES</w:t>
      </w:r>
    </w:p>
    <w:p w14:paraId="4C6B0031" w14:textId="77777777" w:rsidR="000C4253" w:rsidRPr="00FF7847" w:rsidRDefault="008560CF" w:rsidP="000C4253">
      <w:pPr>
        <w:pStyle w:val="afa"/>
      </w:pPr>
      <w:r w:rsidRPr="00FF7847">
        <w:rPr>
          <w:lang w:eastAsia="ja-JP"/>
        </w:rPr>
        <w:fldChar w:fldCharType="begin"/>
      </w:r>
      <w:r w:rsidR="000C4253" w:rsidRPr="00FF7847">
        <w:rPr>
          <w:lang w:eastAsia="ja-JP"/>
        </w:rPr>
        <w:instrText xml:space="preserve"> ADDIN ZOTERO_BIBL {"uncited":[],"omitted":[],"custom":[]} CSL_BIBLIOGRAPHY </w:instrText>
      </w:r>
      <w:r w:rsidRPr="00FF7847">
        <w:rPr>
          <w:lang w:eastAsia="ja-JP"/>
        </w:rPr>
        <w:fldChar w:fldCharType="separate"/>
      </w:r>
      <w:r w:rsidR="000C4253" w:rsidRPr="00FF7847">
        <w:t>Aljalbout, E., Xing, J., Romero, A., Akinola, I., Garrett, C. R., Heiden, E., Gupta, A., Hermans, T., Narang, Y., Fox, D., Scaramuzza, D., &amp; Ramos, F., (2026). The Reality Gap in Robotics: Challenges, Solutions, and Best Practices. Annual Review of Control, Robotics, and Autonomous Systems, 9(1): p. 403–432. DOI: 10.1146/annurev-control-031924-100130.</w:t>
      </w:r>
    </w:p>
    <w:p w14:paraId="3FF341C0" w14:textId="77777777" w:rsidR="000C4253" w:rsidRPr="00FF7847" w:rsidRDefault="000C4253" w:rsidP="000C4253">
      <w:pPr>
        <w:pStyle w:val="afa"/>
      </w:pPr>
      <w:r w:rsidRPr="00FF7847">
        <w:t>Boiko, D. A., MacKnight, R., Kline, B., &amp; Gomes, G., (2023). Autonomous chemical research with large language models. Nature, 624(7992): p. 570–578. DOI: 10.1038/s41586-023-06792-0.</w:t>
      </w:r>
    </w:p>
    <w:p w14:paraId="722E3671" w14:textId="77777777" w:rsidR="000C4253" w:rsidRPr="00FF7847" w:rsidRDefault="000C4253" w:rsidP="000C4253">
      <w:pPr>
        <w:pStyle w:val="afa"/>
      </w:pPr>
      <w:r w:rsidRPr="00FF7847">
        <w:t>Deng, M., Menassa, C. C., &amp; Kamat, V. R., (2021). From BIM to digital twins: A systematic review of the evolution of intelligent building representations in the AEC-FM industry. Journal of Information Technology in Construction, 26: p. 58–83. DOI: 10.36680/j.itcon.2021.005.</w:t>
      </w:r>
    </w:p>
    <w:p w14:paraId="71EB8921" w14:textId="77777777" w:rsidR="000C4253" w:rsidRPr="00FF7847" w:rsidRDefault="000C4253" w:rsidP="000C4253">
      <w:pPr>
        <w:pStyle w:val="afa"/>
      </w:pPr>
      <w:r w:rsidRPr="00FF7847">
        <w:lastRenderedPageBreak/>
        <w:t>Johns, R. L., Wermelinger, M., Mascaro, R., Jud, D., Hurkxkens, I., Vasey, L., Chli, M., Gramazio, F., Kohler, M., &amp; Hutter, M., (2023). A framework for robotic excavation and dry stone construction using on-site materials. Science Robotics, 8(84): p. eabp9758. DOI: 10.1126/scirobotics.abp9758.</w:t>
      </w:r>
    </w:p>
    <w:p w14:paraId="73F8AF65" w14:textId="77777777" w:rsidR="000C4253" w:rsidRPr="00FF7847" w:rsidRDefault="000C4253" w:rsidP="000C4253">
      <w:pPr>
        <w:pStyle w:val="afa"/>
      </w:pPr>
      <w:r w:rsidRPr="00FF7847">
        <w:t>Jud, D., Kerscher, S., Wermelinger, M., Jelavic, E., Egli, P., Leemann, P., Hottiger, G., &amp; Hutter, M., (2021). HEAP - The autonomous walking excavator. Automation in Construction, 129: p. 103783. DOI: 10.1016/j.autcon.2021.103783.</w:t>
      </w:r>
    </w:p>
    <w:p w14:paraId="266DB200" w14:textId="77777777" w:rsidR="000C4253" w:rsidRPr="00FF7847" w:rsidRDefault="000C4253" w:rsidP="000C4253">
      <w:pPr>
        <w:pStyle w:val="afa"/>
      </w:pPr>
      <w:r w:rsidRPr="00FF7847">
        <w:t>Karanfil, D., Lindmark, D., Servin, M., Torick, D., &amp; Ravani, B., (2026). Developing a calibrated physics-based digital twin for construction vehicles. Digital Twin, 3(2): p. 2592382. DOI: 10.1080/27525783.2025.2592382.</w:t>
      </w:r>
    </w:p>
    <w:p w14:paraId="59526AA9" w14:textId="77777777" w:rsidR="000C4253" w:rsidRPr="00FF7847" w:rsidRDefault="000C4253" w:rsidP="000C4253">
      <w:pPr>
        <w:pStyle w:val="afa"/>
      </w:pPr>
      <w:r w:rsidRPr="00FF7847">
        <w:t>Khalastchi, E. &amp; Kalech, M., (2019). On Fault Detection and Diagnosis in Robotic Systems. ACM Computing Surveys (CSUR), 51(1): p. 1–24. DOI: 10.1145/3146389.</w:t>
      </w:r>
    </w:p>
    <w:p w14:paraId="49D2CC3B" w14:textId="77777777" w:rsidR="000C4253" w:rsidRPr="00FF7847" w:rsidRDefault="000C4253" w:rsidP="000C4253">
      <w:pPr>
        <w:pStyle w:val="afa"/>
      </w:pPr>
      <w:r w:rsidRPr="00FF7847">
        <w:t>Levin, K. H., van Kempen, N., Berger, E. D., &amp; Freund, S. N., (2025). ChatDBG: Augmenting Debugging with Large Language Models. Proceedings of the ACM on Software Engineering, 2(FSE): p. FSE085:1892-FSE085:1913. DOI: 10.1145/3729355.</w:t>
      </w:r>
    </w:p>
    <w:p w14:paraId="36F1D06C" w14:textId="77777777" w:rsidR="000C4253" w:rsidRPr="00FF7847" w:rsidRDefault="000C4253" w:rsidP="000C4253">
      <w:pPr>
        <w:pStyle w:val="afa"/>
      </w:pPr>
      <w:r w:rsidRPr="00FF7847">
        <w:t>Liu, Z. &amp; Kim, J. I., (2025). Autonomous Earthwork Machinery for Urban Construction: A Review of Integrated Control, Fleet Coordination, and Safety Assurance. Buildings, 15(14): p. 2570. DOI: 10.3390/buildings15142570.</w:t>
      </w:r>
    </w:p>
    <w:p w14:paraId="75D582AB" w14:textId="77777777" w:rsidR="000C4253" w:rsidRPr="00FF7847" w:rsidRDefault="000C4253" w:rsidP="000C4253">
      <w:pPr>
        <w:pStyle w:val="afa"/>
      </w:pPr>
      <w:r w:rsidRPr="00FF7847">
        <w:t>M. Bran, A., Cox, S., Schilter, O., Baldassari, C., White, A. D., &amp; Schwaller, P., (2024). Augmenting large language models with chemistry tools. Nature Machine Intelligence, 6(5): p. 525–535. DOI: 10.1038/s42256-024-00832-8.</w:t>
      </w:r>
    </w:p>
    <w:p w14:paraId="1B02C63F" w14:textId="77777777" w:rsidR="000C4253" w:rsidRPr="00FF7847" w:rsidRDefault="000C4253" w:rsidP="000C4253">
      <w:pPr>
        <w:pStyle w:val="afa"/>
      </w:pPr>
      <w:r w:rsidRPr="00FF7847">
        <w:t>Salvato, E., Fenu, G., Medvet, E., &amp; Pellegrino, F. A., (2021). Crossing the Reality Gap: A Survey on Sim-to-Real Transferability of Robot Controllers in Reinforcement Learning. IEEE Access, 9: p. 153171–153187. DOI: 10.1109/ACCESS.2021.3126658.</w:t>
      </w:r>
    </w:p>
    <w:p w14:paraId="547C168F" w14:textId="77777777" w:rsidR="000C4253" w:rsidRPr="00FF7847" w:rsidRDefault="000C4253" w:rsidP="000C4253">
      <w:pPr>
        <w:pStyle w:val="afa"/>
      </w:pPr>
      <w:r w:rsidRPr="00FF7847">
        <w:t>Stentz, A., Bares, J., Singh, S., &amp; Rowe, P., (1999). A Robotic Excavator for Autonomous Truck Loading. Autonomous Robots, 7(2): p. 175–186. DOI: 10.1023/A:1008914201877.</w:t>
      </w:r>
    </w:p>
    <w:p w14:paraId="377A4437" w14:textId="77777777" w:rsidR="000C4253" w:rsidRPr="00FF7847" w:rsidRDefault="000C4253" w:rsidP="000C4253">
      <w:pPr>
        <w:pStyle w:val="afa"/>
      </w:pPr>
      <w:r w:rsidRPr="00FF7847">
        <w:t>Terenzi, L. &amp; Hutter, M., (2024). Toward Autonomous Excavation Planning. IEEE Transactions on Field Robotics, 1: p. 292–317. DOI: 10.1109/TFR.2024.3485037.</w:t>
      </w:r>
    </w:p>
    <w:p w14:paraId="6897CAC5" w14:textId="77777777" w:rsidR="000C4253" w:rsidRPr="00FF7847" w:rsidRDefault="000C4253" w:rsidP="000C4253">
      <w:pPr>
        <w:pStyle w:val="afa"/>
      </w:pPr>
      <w:r w:rsidRPr="00FF7847">
        <w:t>Wang, X., Yu, H., McGee, W., Menassa, C. C., &amp; Kamat, V. R., (2024). Enabling Building Information Model-driven human-robot collaborative construction workflows with closed-loop digital twins. Computers in Industry, 161: p. 104112. DOI: 10.1016/j.compind.2024.104112.</w:t>
      </w:r>
    </w:p>
    <w:p w14:paraId="224ACAC6" w14:textId="77777777" w:rsidR="000C4253" w:rsidRPr="00FF7847" w:rsidRDefault="000C4253" w:rsidP="000C4253">
      <w:pPr>
        <w:pStyle w:val="afa"/>
      </w:pPr>
      <w:r w:rsidRPr="00FF7847">
        <w:t>Xu, J., Zhang, Q., Zhong, Z., He, S., Zhang, C., Lin, Q., Pei, D., He, P., Zhang, D., &amp; Zhang, Q., (2025). OpenRCA: Can Large Language Models Locate the Root Cause of Software Failures? In ICLR 2025.</w:t>
      </w:r>
    </w:p>
    <w:p w14:paraId="2A51D44A" w14:textId="77777777" w:rsidR="000C4253" w:rsidRPr="00FF7847" w:rsidRDefault="000C4253" w:rsidP="000C4253">
      <w:pPr>
        <w:pStyle w:val="afa"/>
      </w:pPr>
      <w:r w:rsidRPr="00FF7847">
        <w:t>Yajima, R., Muramoto, I., Matsushita, F., Nagatani, K., &amp; Ozawa, K., (2023). Development of a Model Construction Robot System Using ROS [in Japanese]. In Proceedings of the 5th Symposium on the Promotion of i-Construction, Japan Society of Civil Engineers, 2025. DOI: 10.11532/kensetsumanagement.2023.0_33.</w:t>
      </w:r>
    </w:p>
    <w:p w14:paraId="5674E545" w14:textId="4DB76BFA" w:rsidR="008560CF" w:rsidRPr="008560CF" w:rsidRDefault="008560CF" w:rsidP="008560CF">
      <w:pPr>
        <w:ind w:firstLine="0"/>
        <w:rPr>
          <w:lang w:eastAsia="ja-JP"/>
        </w:rPr>
      </w:pPr>
      <w:r w:rsidRPr="00FF7847">
        <w:rPr>
          <w:lang w:eastAsia="ja-JP"/>
        </w:rPr>
        <w:fldChar w:fldCharType="end"/>
      </w:r>
    </w:p>
    <w:sectPr w:rsidR="008560CF" w:rsidRPr="008560CF">
      <w:headerReference w:type="default" r:id="rId11"/>
      <w:footerReference w:type="default" r:id="rId1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91FE98" w14:textId="77777777" w:rsidR="005C4090" w:rsidRPr="001A47C0" w:rsidRDefault="005C4090" w:rsidP="001A47C0">
      <w:r w:rsidRPr="001A47C0">
        <w:separator/>
      </w:r>
    </w:p>
  </w:endnote>
  <w:endnote w:type="continuationSeparator" w:id="0">
    <w:p w14:paraId="505F7ED2" w14:textId="77777777" w:rsidR="005C4090" w:rsidRPr="001A47C0" w:rsidRDefault="005C4090" w:rsidP="001A47C0">
      <w:r w:rsidRPr="001A47C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ＭＳ 明朝">
    <w:altName w:val="MS Mincho"/>
    <w:panose1 w:val="02020609040205080304"/>
    <w:charset w:val="80"/>
    <w:family w:val="roma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Arial">
    <w:panose1 w:val="020B0604020202020204"/>
    <w:charset w:val="00"/>
    <w:family w:val="swiss"/>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Cambria Math">
    <w:panose1 w:val="02040503050406030204"/>
    <w:charset w:val="00"/>
    <w:family w:val="roman"/>
    <w:pitch w:val="variable"/>
    <w:sig w:usb0="E00006FF" w:usb1="420024FF" w:usb2="02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A73924" w14:textId="5F62D05D" w:rsidR="006E77D5" w:rsidRPr="001A47C0" w:rsidRDefault="006E77D5" w:rsidP="001A47C0">
    <w:pPr>
      <w:pStyle w:val="ac"/>
    </w:pPr>
    <w:r w:rsidRPr="001A47C0">
      <w:rPr>
        <w:noProof/>
      </w:rPr>
      <w:drawing>
        <wp:anchor distT="0" distB="0" distL="114300" distR="114300" simplePos="0" relativeHeight="251658240" behindDoc="1" locked="0" layoutInCell="1" allowOverlap="1" wp14:anchorId="394287AA" wp14:editId="6CE06C34">
          <wp:simplePos x="0" y="0"/>
          <wp:positionH relativeFrom="margin">
            <wp:align>right</wp:align>
          </wp:positionH>
          <wp:positionV relativeFrom="paragraph">
            <wp:posOffset>4445</wp:posOffset>
          </wp:positionV>
          <wp:extent cx="1393825" cy="447675"/>
          <wp:effectExtent l="0" t="0" r="0" b="9525"/>
          <wp:wrapTight wrapText="bothSides">
            <wp:wrapPolygon edited="0">
              <wp:start x="8561" y="0"/>
              <wp:lineTo x="7380" y="3677"/>
              <wp:lineTo x="5609" y="11949"/>
              <wp:lineTo x="5609" y="15626"/>
              <wp:lineTo x="6790" y="21140"/>
              <wp:lineTo x="7676" y="21140"/>
              <wp:lineTo x="13580" y="21140"/>
              <wp:lineTo x="14466" y="21140"/>
              <wp:lineTo x="15942" y="15626"/>
              <wp:lineTo x="16237" y="11949"/>
              <wp:lineTo x="14466" y="5515"/>
              <wp:lineTo x="11809" y="0"/>
              <wp:lineTo x="8561" y="0"/>
            </wp:wrapPolygon>
          </wp:wrapTight>
          <wp:docPr id="132697292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rotWithShape="1">
                  <a:blip r:embed="rId1">
                    <a:extLst>
                      <a:ext uri="{28A0092B-C50C-407E-A947-70E740481C1C}">
                        <a14:useLocalDpi xmlns:a14="http://schemas.microsoft.com/office/drawing/2010/main" val="0"/>
                      </a:ext>
                    </a:extLst>
                  </a:blip>
                  <a:srcRect t="20520" b="31244"/>
                  <a:stretch>
                    <a:fillRect/>
                  </a:stretch>
                </pic:blipFill>
                <pic:spPr bwMode="auto">
                  <a:xfrm>
                    <a:off x="0" y="0"/>
                    <a:ext cx="1393825" cy="447675"/>
                  </a:xfrm>
                  <a:prstGeom prst="rect">
                    <a:avLst/>
                  </a:prstGeom>
                  <a:noFill/>
                  <a:ln>
                    <a:noFill/>
                  </a:ln>
                  <a:extLst>
                    <a:ext uri="{53640926-AAD7-44D8-BBD7-CCE9431645EC}">
                      <a14:shadowObscured xmlns:a14="http://schemas.microsoft.com/office/drawing/2010/main"/>
                    </a:ext>
                  </a:extLst>
                </pic:spPr>
              </pic:pic>
            </a:graphicData>
          </a:graphic>
        </wp:anchor>
      </w:drawing>
    </w:r>
  </w:p>
  <w:p w14:paraId="50A76650" w14:textId="7D05B7A3" w:rsidR="006E77D5" w:rsidRPr="001A47C0" w:rsidRDefault="006E77D5" w:rsidP="001A47C0">
    <w:pPr>
      <w:pStyle w:val="ac"/>
    </w:pPr>
    <w:r w:rsidRPr="001A47C0">
      <w:t>6</w:t>
    </w:r>
    <w:r w:rsidRPr="001A47C0">
      <w:rPr>
        <w:vertAlign w:val="superscript"/>
      </w:rPr>
      <w:t>th</w:t>
    </w:r>
    <w:r w:rsidRPr="001A47C0">
      <w:t xml:space="preserve"> to the 8</w:t>
    </w:r>
    <w:r w:rsidRPr="001A47C0">
      <w:rPr>
        <w:vertAlign w:val="superscript"/>
      </w:rPr>
      <w:t>th</w:t>
    </w:r>
    <w:r w:rsidRPr="001A47C0">
      <w:t xml:space="preserve"> of October 2026 </w:t>
    </w:r>
    <w:r w:rsidRPr="001A47C0">
      <w:tab/>
    </w:r>
    <w:r w:rsidRPr="001A47C0">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F2E4D6" w14:textId="77777777" w:rsidR="005C4090" w:rsidRPr="001A47C0" w:rsidRDefault="005C4090" w:rsidP="001A47C0">
      <w:r w:rsidRPr="001A47C0">
        <w:separator/>
      </w:r>
    </w:p>
  </w:footnote>
  <w:footnote w:type="continuationSeparator" w:id="0">
    <w:p w14:paraId="16AAF37B" w14:textId="77777777" w:rsidR="005C4090" w:rsidRPr="001A47C0" w:rsidRDefault="005C4090" w:rsidP="001A47C0">
      <w:r w:rsidRPr="001A47C0">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0CF128" w14:textId="77777777" w:rsidR="005076E1" w:rsidRPr="001A47C0" w:rsidRDefault="005076E1" w:rsidP="001A47C0">
    <w:pPr>
      <w:pStyle w:val="aa"/>
    </w:pPr>
    <w:r w:rsidRPr="001A47C0">
      <w:t xml:space="preserve">43rd International CIB W78 Conference </w:t>
    </w:r>
  </w:p>
  <w:p w14:paraId="1E8C4CA5" w14:textId="77777777" w:rsidR="005076E1" w:rsidRPr="001A47C0" w:rsidRDefault="005076E1" w:rsidP="001A47C0">
    <w:pPr>
      <w:pStyle w:val="aa"/>
    </w:pPr>
    <w:r w:rsidRPr="001A47C0">
      <w:t>IT in Construction</w:t>
    </w:r>
  </w:p>
  <w:p w14:paraId="076529DD" w14:textId="77777777" w:rsidR="005076E1" w:rsidRPr="001A47C0" w:rsidRDefault="005076E1" w:rsidP="001A47C0">
    <w:pPr>
      <w:pStyle w:val="aa"/>
    </w:pPr>
    <w:r w:rsidRPr="001A47C0">
      <w:t>New Delhi, India</w:t>
    </w:r>
  </w:p>
  <w:p w14:paraId="47C5E8E2" w14:textId="77777777" w:rsidR="005076E1" w:rsidRPr="001A47C0" w:rsidRDefault="005076E1" w:rsidP="001A47C0">
    <w:pPr>
      <w:pStyle w:val="a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7342F6"/>
    <w:multiLevelType w:val="multilevel"/>
    <w:tmpl w:val="0409001D"/>
    <w:lvl w:ilvl="0">
      <w:start w:val="1"/>
      <w:numFmt w:val="decimal"/>
      <w:lvlText w:val="%1"/>
      <w:lvlJc w:val="left"/>
      <w:pPr>
        <w:ind w:left="425" w:hanging="425"/>
      </w:pPr>
    </w:lvl>
    <w:lvl w:ilvl="1">
      <w:start w:val="1"/>
      <w:numFmt w:val="decimal"/>
      <w:lvlText w:val="%1.%2"/>
      <w:lvlJc w:val="left"/>
      <w:pPr>
        <w:ind w:left="992" w:hanging="567"/>
      </w:pPr>
    </w:lvl>
    <w:lvl w:ilvl="2">
      <w:start w:val="1"/>
      <w:numFmt w:val="decimal"/>
      <w:lvlText w:val="%1.%2.%3"/>
      <w:lvlJc w:val="left"/>
      <w:pPr>
        <w:ind w:left="1418" w:hanging="567"/>
      </w:pPr>
    </w:lvl>
    <w:lvl w:ilvl="3">
      <w:start w:val="1"/>
      <w:numFmt w:val="decimal"/>
      <w:lvlText w:val="%1.%2.%3.%4"/>
      <w:lvlJc w:val="left"/>
      <w:pPr>
        <w:ind w:left="1984" w:hanging="708"/>
      </w:pPr>
    </w:lvl>
    <w:lvl w:ilvl="4">
      <w:start w:val="1"/>
      <w:numFmt w:val="decimal"/>
      <w:lvlText w:val="%1.%2.%3.%4.%5"/>
      <w:lvlJc w:val="left"/>
      <w:pPr>
        <w:ind w:left="2551" w:hanging="850"/>
      </w:pPr>
    </w:lvl>
    <w:lvl w:ilvl="5">
      <w:start w:val="1"/>
      <w:numFmt w:val="decimal"/>
      <w:lvlText w:val="%1.%2.%3.%4.%5.%6"/>
      <w:lvlJc w:val="left"/>
      <w:pPr>
        <w:ind w:left="3260" w:hanging="1134"/>
      </w:pPr>
    </w:lvl>
    <w:lvl w:ilvl="6">
      <w:start w:val="1"/>
      <w:numFmt w:val="decimal"/>
      <w:lvlText w:val="%1.%2.%3.%4.%5.%6.%7"/>
      <w:lvlJc w:val="left"/>
      <w:pPr>
        <w:ind w:left="3827" w:hanging="1276"/>
      </w:pPr>
    </w:lvl>
    <w:lvl w:ilvl="7">
      <w:start w:val="1"/>
      <w:numFmt w:val="decimal"/>
      <w:lvlText w:val="%1.%2.%3.%4.%5.%6.%7.%8"/>
      <w:lvlJc w:val="left"/>
      <w:pPr>
        <w:ind w:left="4394" w:hanging="1418"/>
      </w:pPr>
    </w:lvl>
    <w:lvl w:ilvl="8">
      <w:start w:val="1"/>
      <w:numFmt w:val="decimal"/>
      <w:lvlText w:val="%1.%2.%3.%4.%5.%6.%7.%8.%9"/>
      <w:lvlJc w:val="left"/>
      <w:pPr>
        <w:ind w:left="5102" w:hanging="1700"/>
      </w:pPr>
    </w:lvl>
  </w:abstractNum>
  <w:abstractNum w:abstractNumId="1" w15:restartNumberingAfterBreak="0">
    <w:nsid w:val="61072667"/>
    <w:multiLevelType w:val="multilevel"/>
    <w:tmpl w:val="149E51E2"/>
    <w:lvl w:ilvl="0">
      <w:start w:val="1"/>
      <w:numFmt w:val="decimal"/>
      <w:pStyle w:val="1"/>
      <w:lvlText w:val="%1."/>
      <w:lvlJc w:val="left"/>
      <w:pPr>
        <w:ind w:left="720" w:hanging="360"/>
      </w:pPr>
      <w:rPr>
        <w:rFonts w:hint="default"/>
      </w:rPr>
    </w:lvl>
    <w:lvl w:ilvl="1">
      <w:start w:val="1"/>
      <w:numFmt w:val="decimal"/>
      <w:pStyle w:val="2"/>
      <w:lvlText w:val="%1.%2"/>
      <w:lvlJc w:val="left"/>
      <w:pPr>
        <w:ind w:left="1440" w:hanging="360"/>
      </w:pPr>
      <w:rPr>
        <w:rFonts w:hint="eastAsia"/>
      </w:rPr>
    </w:lvl>
    <w:lvl w:ilvl="2">
      <w:start w:val="1"/>
      <w:numFmt w:val="lowerRoman"/>
      <w:lvlText w:val="%3."/>
      <w:lvlJc w:val="right"/>
      <w:pPr>
        <w:ind w:left="2160" w:hanging="180"/>
      </w:pPr>
      <w:rPr>
        <w:rFonts w:hint="eastAsia"/>
      </w:rPr>
    </w:lvl>
    <w:lvl w:ilvl="3">
      <w:start w:val="1"/>
      <w:numFmt w:val="decimal"/>
      <w:lvlText w:val="%4."/>
      <w:lvlJc w:val="left"/>
      <w:pPr>
        <w:ind w:left="2880" w:hanging="360"/>
      </w:pPr>
      <w:rPr>
        <w:rFonts w:hint="eastAsia"/>
      </w:rPr>
    </w:lvl>
    <w:lvl w:ilvl="4">
      <w:start w:val="1"/>
      <w:numFmt w:val="lowerLetter"/>
      <w:lvlText w:val="%5."/>
      <w:lvlJc w:val="left"/>
      <w:pPr>
        <w:ind w:left="3600" w:hanging="360"/>
      </w:pPr>
      <w:rPr>
        <w:rFonts w:hint="eastAsia"/>
      </w:rPr>
    </w:lvl>
    <w:lvl w:ilvl="5">
      <w:start w:val="1"/>
      <w:numFmt w:val="lowerRoman"/>
      <w:lvlText w:val="%6."/>
      <w:lvlJc w:val="right"/>
      <w:pPr>
        <w:ind w:left="4320" w:hanging="180"/>
      </w:pPr>
      <w:rPr>
        <w:rFonts w:hint="eastAsia"/>
      </w:rPr>
    </w:lvl>
    <w:lvl w:ilvl="6">
      <w:start w:val="1"/>
      <w:numFmt w:val="decimal"/>
      <w:lvlText w:val="%7."/>
      <w:lvlJc w:val="left"/>
      <w:pPr>
        <w:ind w:left="5040" w:hanging="360"/>
      </w:pPr>
      <w:rPr>
        <w:rFonts w:hint="eastAsia"/>
      </w:rPr>
    </w:lvl>
    <w:lvl w:ilvl="7">
      <w:start w:val="1"/>
      <w:numFmt w:val="lowerLetter"/>
      <w:lvlText w:val="%8."/>
      <w:lvlJc w:val="left"/>
      <w:pPr>
        <w:ind w:left="5760" w:hanging="360"/>
      </w:pPr>
      <w:rPr>
        <w:rFonts w:hint="eastAsia"/>
      </w:rPr>
    </w:lvl>
    <w:lvl w:ilvl="8">
      <w:start w:val="1"/>
      <w:numFmt w:val="lowerRoman"/>
      <w:lvlText w:val="%9."/>
      <w:lvlJc w:val="right"/>
      <w:pPr>
        <w:ind w:left="6480" w:hanging="180"/>
      </w:pPr>
      <w:rPr>
        <w:rFonts w:hint="eastAsia"/>
      </w:rPr>
    </w:lvl>
  </w:abstractNum>
  <w:abstractNum w:abstractNumId="2" w15:restartNumberingAfterBreak="0">
    <w:nsid w:val="718B3ABE"/>
    <w:multiLevelType w:val="hybridMultilevel"/>
    <w:tmpl w:val="BBF8CA5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523710480">
    <w:abstractNumId w:val="1"/>
  </w:num>
  <w:num w:numId="2" w16cid:durableId="971980657">
    <w:abstractNumId w:val="2"/>
  </w:num>
  <w:num w:numId="3" w16cid:durableId="94542969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6"/>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076E1"/>
    <w:rsid w:val="000A49F2"/>
    <w:rsid w:val="000B36E5"/>
    <w:rsid w:val="000C4253"/>
    <w:rsid w:val="000E555F"/>
    <w:rsid w:val="00104291"/>
    <w:rsid w:val="00110D7F"/>
    <w:rsid w:val="0013307D"/>
    <w:rsid w:val="00162880"/>
    <w:rsid w:val="001752B9"/>
    <w:rsid w:val="00176989"/>
    <w:rsid w:val="001A47C0"/>
    <w:rsid w:val="001D1030"/>
    <w:rsid w:val="001D79E5"/>
    <w:rsid w:val="00200430"/>
    <w:rsid w:val="00231C93"/>
    <w:rsid w:val="00233456"/>
    <w:rsid w:val="00263A24"/>
    <w:rsid w:val="004C2AFB"/>
    <w:rsid w:val="004F2CBC"/>
    <w:rsid w:val="005076E1"/>
    <w:rsid w:val="00516668"/>
    <w:rsid w:val="005408CD"/>
    <w:rsid w:val="005937DC"/>
    <w:rsid w:val="005C4090"/>
    <w:rsid w:val="005D2458"/>
    <w:rsid w:val="005D2BB2"/>
    <w:rsid w:val="005D5391"/>
    <w:rsid w:val="00622ADE"/>
    <w:rsid w:val="006509AB"/>
    <w:rsid w:val="00655D2B"/>
    <w:rsid w:val="00692719"/>
    <w:rsid w:val="006965EB"/>
    <w:rsid w:val="006E77D5"/>
    <w:rsid w:val="007121DE"/>
    <w:rsid w:val="00715889"/>
    <w:rsid w:val="0073049A"/>
    <w:rsid w:val="00754075"/>
    <w:rsid w:val="007723F9"/>
    <w:rsid w:val="00773804"/>
    <w:rsid w:val="007C7401"/>
    <w:rsid w:val="008560CF"/>
    <w:rsid w:val="008758E4"/>
    <w:rsid w:val="009007F9"/>
    <w:rsid w:val="0091382C"/>
    <w:rsid w:val="00971FCC"/>
    <w:rsid w:val="00A1441D"/>
    <w:rsid w:val="00AA0291"/>
    <w:rsid w:val="00AD3633"/>
    <w:rsid w:val="00B142AA"/>
    <w:rsid w:val="00B42868"/>
    <w:rsid w:val="00BC7277"/>
    <w:rsid w:val="00BD4230"/>
    <w:rsid w:val="00BD5DB7"/>
    <w:rsid w:val="00C5054C"/>
    <w:rsid w:val="00C63D73"/>
    <w:rsid w:val="00C7563B"/>
    <w:rsid w:val="00CE578B"/>
    <w:rsid w:val="00D148D2"/>
    <w:rsid w:val="00D6057A"/>
    <w:rsid w:val="00DD45EF"/>
    <w:rsid w:val="00EA15EA"/>
    <w:rsid w:val="00ED72A0"/>
    <w:rsid w:val="00EF7200"/>
    <w:rsid w:val="00F56018"/>
    <w:rsid w:val="00F837E9"/>
    <w:rsid w:val="00FA5C08"/>
    <w:rsid w:val="00FA7540"/>
    <w:rsid w:val="00FD2980"/>
    <w:rsid w:val="00FF1B59"/>
    <w:rsid w:val="00FF7847"/>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3E8D149"/>
  <w15:chartTrackingRefBased/>
  <w15:docId w15:val="{F1843248-A720-4D32-8369-D967B42974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ＭＳ 明朝"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D72A0"/>
    <w:pPr>
      <w:spacing w:after="40" w:line="240" w:lineRule="auto"/>
      <w:ind w:firstLine="851"/>
      <w:jc w:val="both"/>
    </w:pPr>
    <w:rPr>
      <w:rFonts w:ascii="Calibri" w:hAnsi="Calibri" w:cs="Calibri"/>
      <w:sz w:val="22"/>
      <w:szCs w:val="22"/>
      <w:lang w:val="en-US"/>
    </w:rPr>
  </w:style>
  <w:style w:type="paragraph" w:styleId="1">
    <w:name w:val="heading 1"/>
    <w:basedOn w:val="a0"/>
    <w:next w:val="a"/>
    <w:link w:val="10"/>
    <w:uiPriority w:val="9"/>
    <w:qFormat/>
    <w:rsid w:val="0073049A"/>
    <w:pPr>
      <w:numPr>
        <w:numId w:val="1"/>
      </w:numPr>
      <w:ind w:left="357" w:hanging="357"/>
      <w:outlineLvl w:val="0"/>
    </w:pPr>
    <w:rPr>
      <w:b/>
      <w:bCs/>
      <w:sz w:val="28"/>
      <w:szCs w:val="28"/>
    </w:rPr>
  </w:style>
  <w:style w:type="paragraph" w:styleId="2">
    <w:name w:val="heading 2"/>
    <w:basedOn w:val="a0"/>
    <w:next w:val="a"/>
    <w:link w:val="20"/>
    <w:uiPriority w:val="9"/>
    <w:unhideWhenUsed/>
    <w:qFormat/>
    <w:rsid w:val="007723F9"/>
    <w:pPr>
      <w:numPr>
        <w:ilvl w:val="1"/>
        <w:numId w:val="1"/>
      </w:numPr>
      <w:ind w:left="414" w:hanging="414"/>
      <w:outlineLvl w:val="1"/>
    </w:pPr>
    <w:rPr>
      <w:b/>
      <w:sz w:val="28"/>
      <w:lang w:eastAsia="ja-JP"/>
    </w:rPr>
  </w:style>
  <w:style w:type="paragraph" w:styleId="3">
    <w:name w:val="heading 3"/>
    <w:basedOn w:val="a"/>
    <w:next w:val="a"/>
    <w:link w:val="30"/>
    <w:uiPriority w:val="9"/>
    <w:semiHidden/>
    <w:unhideWhenUsed/>
    <w:qFormat/>
    <w:rsid w:val="005076E1"/>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rsid w:val="005076E1"/>
    <w:pPr>
      <w:keepNext/>
      <w:keepLines/>
      <w:spacing w:before="8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5076E1"/>
    <w:pPr>
      <w:keepNext/>
      <w:keepLines/>
      <w:spacing w:before="8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5076E1"/>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5076E1"/>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5076E1"/>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5076E1"/>
    <w:pPr>
      <w:keepNext/>
      <w:keepLines/>
      <w:spacing w:after="0"/>
      <w:outlineLvl w:val="8"/>
    </w:pPr>
    <w:rPr>
      <w:rFonts w:eastAsiaTheme="majorEastAsia" w:cstheme="majorBidi"/>
      <w:color w:val="272727" w:themeColor="text1" w:themeTint="D8"/>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見出し 1 (文字)"/>
    <w:basedOn w:val="a1"/>
    <w:link w:val="1"/>
    <w:uiPriority w:val="9"/>
    <w:rsid w:val="0073049A"/>
    <w:rPr>
      <w:rFonts w:ascii="Calibri" w:hAnsi="Calibri" w:cs="Calibri"/>
      <w:b/>
      <w:bCs/>
      <w:sz w:val="28"/>
      <w:szCs w:val="28"/>
      <w:lang w:val="en-US"/>
    </w:rPr>
  </w:style>
  <w:style w:type="character" w:customStyle="1" w:styleId="20">
    <w:name w:val="見出し 2 (文字)"/>
    <w:basedOn w:val="a1"/>
    <w:link w:val="2"/>
    <w:uiPriority w:val="9"/>
    <w:rsid w:val="007723F9"/>
    <w:rPr>
      <w:rFonts w:ascii="Calibri" w:hAnsi="Calibri" w:cs="Calibri"/>
      <w:b/>
      <w:sz w:val="28"/>
      <w:szCs w:val="22"/>
      <w:lang w:val="en-US" w:eastAsia="ja-JP"/>
    </w:rPr>
  </w:style>
  <w:style w:type="character" w:customStyle="1" w:styleId="30">
    <w:name w:val="見出し 3 (文字)"/>
    <w:basedOn w:val="a1"/>
    <w:link w:val="3"/>
    <w:uiPriority w:val="9"/>
    <w:semiHidden/>
    <w:rsid w:val="005076E1"/>
    <w:rPr>
      <w:rFonts w:eastAsiaTheme="majorEastAsia" w:cstheme="majorBidi"/>
      <w:color w:val="0F4761" w:themeColor="accent1" w:themeShade="BF"/>
      <w:sz w:val="28"/>
      <w:szCs w:val="28"/>
    </w:rPr>
  </w:style>
  <w:style w:type="character" w:customStyle="1" w:styleId="40">
    <w:name w:val="見出し 4 (文字)"/>
    <w:basedOn w:val="a1"/>
    <w:link w:val="4"/>
    <w:uiPriority w:val="9"/>
    <w:semiHidden/>
    <w:rsid w:val="005076E1"/>
    <w:rPr>
      <w:rFonts w:eastAsiaTheme="majorEastAsia" w:cstheme="majorBidi"/>
      <w:i/>
      <w:iCs/>
      <w:color w:val="0F4761" w:themeColor="accent1" w:themeShade="BF"/>
    </w:rPr>
  </w:style>
  <w:style w:type="character" w:customStyle="1" w:styleId="50">
    <w:name w:val="見出し 5 (文字)"/>
    <w:basedOn w:val="a1"/>
    <w:link w:val="5"/>
    <w:uiPriority w:val="9"/>
    <w:semiHidden/>
    <w:rsid w:val="005076E1"/>
    <w:rPr>
      <w:rFonts w:eastAsiaTheme="majorEastAsia" w:cstheme="majorBidi"/>
      <w:color w:val="0F4761" w:themeColor="accent1" w:themeShade="BF"/>
    </w:rPr>
  </w:style>
  <w:style w:type="character" w:customStyle="1" w:styleId="60">
    <w:name w:val="見出し 6 (文字)"/>
    <w:basedOn w:val="a1"/>
    <w:link w:val="6"/>
    <w:uiPriority w:val="9"/>
    <w:semiHidden/>
    <w:rsid w:val="005076E1"/>
    <w:rPr>
      <w:rFonts w:eastAsiaTheme="majorEastAsia" w:cstheme="majorBidi"/>
      <w:i/>
      <w:iCs/>
      <w:color w:val="595959" w:themeColor="text1" w:themeTint="A6"/>
    </w:rPr>
  </w:style>
  <w:style w:type="character" w:customStyle="1" w:styleId="70">
    <w:name w:val="見出し 7 (文字)"/>
    <w:basedOn w:val="a1"/>
    <w:link w:val="7"/>
    <w:uiPriority w:val="9"/>
    <w:semiHidden/>
    <w:rsid w:val="005076E1"/>
    <w:rPr>
      <w:rFonts w:eastAsiaTheme="majorEastAsia" w:cstheme="majorBidi"/>
      <w:color w:val="595959" w:themeColor="text1" w:themeTint="A6"/>
    </w:rPr>
  </w:style>
  <w:style w:type="character" w:customStyle="1" w:styleId="80">
    <w:name w:val="見出し 8 (文字)"/>
    <w:basedOn w:val="a1"/>
    <w:link w:val="8"/>
    <w:uiPriority w:val="9"/>
    <w:semiHidden/>
    <w:rsid w:val="005076E1"/>
    <w:rPr>
      <w:rFonts w:eastAsiaTheme="majorEastAsia" w:cstheme="majorBidi"/>
      <w:i/>
      <w:iCs/>
      <w:color w:val="272727" w:themeColor="text1" w:themeTint="D8"/>
    </w:rPr>
  </w:style>
  <w:style w:type="character" w:customStyle="1" w:styleId="90">
    <w:name w:val="見出し 9 (文字)"/>
    <w:basedOn w:val="a1"/>
    <w:link w:val="9"/>
    <w:uiPriority w:val="9"/>
    <w:semiHidden/>
    <w:rsid w:val="005076E1"/>
    <w:rPr>
      <w:rFonts w:eastAsiaTheme="majorEastAsia" w:cstheme="majorBidi"/>
      <w:color w:val="272727" w:themeColor="text1" w:themeTint="D8"/>
    </w:rPr>
  </w:style>
  <w:style w:type="paragraph" w:styleId="a4">
    <w:name w:val="Title"/>
    <w:next w:val="a"/>
    <w:link w:val="a5"/>
    <w:uiPriority w:val="10"/>
    <w:qFormat/>
    <w:rsid w:val="0073049A"/>
    <w:pPr>
      <w:spacing w:after="40" w:line="240" w:lineRule="auto"/>
      <w:jc w:val="center"/>
    </w:pPr>
    <w:rPr>
      <w:rFonts w:ascii="Calibri" w:hAnsi="Calibri" w:cs="Calibri"/>
      <w:b/>
      <w:bCs/>
      <w:sz w:val="28"/>
      <w:szCs w:val="28"/>
      <w:lang w:val="en-US"/>
    </w:rPr>
  </w:style>
  <w:style w:type="character" w:customStyle="1" w:styleId="a5">
    <w:name w:val="表題 (文字)"/>
    <w:basedOn w:val="a1"/>
    <w:link w:val="a4"/>
    <w:uiPriority w:val="10"/>
    <w:rsid w:val="0073049A"/>
    <w:rPr>
      <w:rFonts w:ascii="Calibri" w:hAnsi="Calibri" w:cs="Calibri"/>
      <w:b/>
      <w:bCs/>
      <w:sz w:val="28"/>
      <w:szCs w:val="28"/>
      <w:lang w:val="en-US"/>
    </w:rPr>
  </w:style>
  <w:style w:type="paragraph" w:styleId="a6">
    <w:name w:val="Subtitle"/>
    <w:basedOn w:val="a"/>
    <w:next w:val="a"/>
    <w:link w:val="a7"/>
    <w:uiPriority w:val="11"/>
    <w:qFormat/>
    <w:rsid w:val="005D5391"/>
    <w:pPr>
      <w:jc w:val="center"/>
    </w:pPr>
    <w:rPr>
      <w:sz w:val="24"/>
      <w:szCs w:val="24"/>
    </w:rPr>
  </w:style>
  <w:style w:type="character" w:customStyle="1" w:styleId="a7">
    <w:name w:val="副題 (文字)"/>
    <w:basedOn w:val="a1"/>
    <w:link w:val="a6"/>
    <w:uiPriority w:val="11"/>
    <w:rsid w:val="005D5391"/>
    <w:rPr>
      <w:rFonts w:ascii="Calibri" w:hAnsi="Calibri" w:cs="Calibri"/>
    </w:rPr>
  </w:style>
  <w:style w:type="paragraph" w:styleId="a8">
    <w:name w:val="Quote"/>
    <w:basedOn w:val="a"/>
    <w:next w:val="a"/>
    <w:link w:val="a9"/>
    <w:uiPriority w:val="29"/>
    <w:qFormat/>
    <w:rsid w:val="005076E1"/>
    <w:pPr>
      <w:spacing w:before="160"/>
      <w:jc w:val="center"/>
    </w:pPr>
    <w:rPr>
      <w:i/>
      <w:iCs/>
      <w:color w:val="404040" w:themeColor="text1" w:themeTint="BF"/>
    </w:rPr>
  </w:style>
  <w:style w:type="character" w:customStyle="1" w:styleId="a9">
    <w:name w:val="引用文 (文字)"/>
    <w:basedOn w:val="a1"/>
    <w:link w:val="a8"/>
    <w:uiPriority w:val="29"/>
    <w:rsid w:val="005076E1"/>
    <w:rPr>
      <w:i/>
      <w:iCs/>
      <w:color w:val="404040" w:themeColor="text1" w:themeTint="BF"/>
    </w:rPr>
  </w:style>
  <w:style w:type="paragraph" w:styleId="a0">
    <w:name w:val="List Paragraph"/>
    <w:basedOn w:val="a"/>
    <w:uiPriority w:val="34"/>
    <w:qFormat/>
    <w:rsid w:val="005076E1"/>
    <w:pPr>
      <w:ind w:left="720"/>
      <w:contextualSpacing/>
    </w:pPr>
  </w:style>
  <w:style w:type="character" w:styleId="21">
    <w:name w:val="Intense Emphasis"/>
    <w:basedOn w:val="a1"/>
    <w:uiPriority w:val="21"/>
    <w:qFormat/>
    <w:rsid w:val="005076E1"/>
    <w:rPr>
      <w:i/>
      <w:iCs/>
      <w:color w:val="0F4761" w:themeColor="accent1" w:themeShade="BF"/>
    </w:rPr>
  </w:style>
  <w:style w:type="paragraph" w:styleId="22">
    <w:name w:val="Intense Quote"/>
    <w:basedOn w:val="a"/>
    <w:next w:val="a"/>
    <w:link w:val="23"/>
    <w:uiPriority w:val="30"/>
    <w:qFormat/>
    <w:rsid w:val="005076E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1"/>
    <w:link w:val="22"/>
    <w:uiPriority w:val="30"/>
    <w:rsid w:val="005076E1"/>
    <w:rPr>
      <w:i/>
      <w:iCs/>
      <w:color w:val="0F4761" w:themeColor="accent1" w:themeShade="BF"/>
    </w:rPr>
  </w:style>
  <w:style w:type="character" w:styleId="24">
    <w:name w:val="Intense Reference"/>
    <w:basedOn w:val="a1"/>
    <w:uiPriority w:val="32"/>
    <w:qFormat/>
    <w:rsid w:val="005076E1"/>
    <w:rPr>
      <w:b/>
      <w:bCs/>
      <w:smallCaps/>
      <w:color w:val="0F4761" w:themeColor="accent1" w:themeShade="BF"/>
      <w:spacing w:val="5"/>
    </w:rPr>
  </w:style>
  <w:style w:type="paragraph" w:styleId="aa">
    <w:name w:val="header"/>
    <w:basedOn w:val="a"/>
    <w:link w:val="ab"/>
    <w:uiPriority w:val="99"/>
    <w:unhideWhenUsed/>
    <w:rsid w:val="005076E1"/>
    <w:pPr>
      <w:tabs>
        <w:tab w:val="center" w:pos="4513"/>
        <w:tab w:val="right" w:pos="9026"/>
      </w:tabs>
      <w:spacing w:after="0"/>
    </w:pPr>
  </w:style>
  <w:style w:type="character" w:customStyle="1" w:styleId="ab">
    <w:name w:val="ヘッダー (文字)"/>
    <w:basedOn w:val="a1"/>
    <w:link w:val="aa"/>
    <w:uiPriority w:val="99"/>
    <w:rsid w:val="005076E1"/>
  </w:style>
  <w:style w:type="paragraph" w:styleId="ac">
    <w:name w:val="footer"/>
    <w:basedOn w:val="a"/>
    <w:link w:val="ad"/>
    <w:uiPriority w:val="99"/>
    <w:unhideWhenUsed/>
    <w:rsid w:val="005076E1"/>
    <w:pPr>
      <w:tabs>
        <w:tab w:val="center" w:pos="4513"/>
        <w:tab w:val="right" w:pos="9026"/>
      </w:tabs>
      <w:spacing w:after="0"/>
    </w:pPr>
  </w:style>
  <w:style w:type="character" w:customStyle="1" w:styleId="ad">
    <w:name w:val="フッター (文字)"/>
    <w:basedOn w:val="a1"/>
    <w:link w:val="ac"/>
    <w:uiPriority w:val="99"/>
    <w:rsid w:val="005076E1"/>
  </w:style>
  <w:style w:type="character" w:styleId="ae">
    <w:name w:val="Hyperlink"/>
    <w:basedOn w:val="a1"/>
    <w:uiPriority w:val="99"/>
    <w:unhideWhenUsed/>
    <w:rsid w:val="005076E1"/>
    <w:rPr>
      <w:color w:val="0000FF"/>
      <w:u w:val="single"/>
    </w:rPr>
  </w:style>
  <w:style w:type="paragraph" w:customStyle="1" w:styleId="Author">
    <w:name w:val="Author"/>
    <w:basedOn w:val="a"/>
    <w:link w:val="Author0"/>
    <w:rsid w:val="005076E1"/>
    <w:pPr>
      <w:spacing w:after="0"/>
    </w:pPr>
    <w:rPr>
      <w:rFonts w:ascii="Times New Roman" w:hAnsi="Times New Roman" w:cs="Times New Roman"/>
      <w:kern w:val="0"/>
      <w:sz w:val="24"/>
      <w:szCs w:val="24"/>
      <w:lang w:eastAsia="fi-FI"/>
      <w14:ligatures w14:val="none"/>
    </w:rPr>
  </w:style>
  <w:style w:type="paragraph" w:styleId="af">
    <w:name w:val="Plain Text"/>
    <w:aliases w:val="Subsection text"/>
    <w:basedOn w:val="a"/>
    <w:link w:val="af0"/>
    <w:rsid w:val="00D6057A"/>
    <w:pPr>
      <w:spacing w:after="0"/>
    </w:pPr>
    <w:rPr>
      <w:rFonts w:ascii="Arial" w:hAnsi="Arial" w:cs="Arial"/>
      <w:kern w:val="0"/>
      <w:sz w:val="18"/>
      <w:szCs w:val="20"/>
      <w14:ligatures w14:val="none"/>
    </w:rPr>
  </w:style>
  <w:style w:type="character" w:customStyle="1" w:styleId="af0">
    <w:name w:val="書式なし (文字)"/>
    <w:aliases w:val="Subsection text (文字)"/>
    <w:basedOn w:val="a1"/>
    <w:link w:val="af"/>
    <w:rsid w:val="00D6057A"/>
    <w:rPr>
      <w:rFonts w:ascii="Arial" w:eastAsia="ＭＳ 明朝" w:hAnsi="Arial" w:cs="Arial"/>
      <w:kern w:val="0"/>
      <w:sz w:val="18"/>
      <w:szCs w:val="20"/>
      <w14:ligatures w14:val="none"/>
    </w:rPr>
  </w:style>
  <w:style w:type="character" w:styleId="af1">
    <w:name w:val="Unresolved Mention"/>
    <w:basedOn w:val="a1"/>
    <w:uiPriority w:val="99"/>
    <w:semiHidden/>
    <w:unhideWhenUsed/>
    <w:rsid w:val="00D6057A"/>
    <w:rPr>
      <w:color w:val="605E5C"/>
      <w:shd w:val="clear" w:color="auto" w:fill="E1DFDD"/>
    </w:rPr>
  </w:style>
  <w:style w:type="paragraph" w:customStyle="1" w:styleId="af2">
    <w:name w:val="著者名"/>
    <w:basedOn w:val="Author"/>
    <w:link w:val="af3"/>
    <w:qFormat/>
    <w:rsid w:val="0073049A"/>
    <w:pPr>
      <w:spacing w:after="40"/>
      <w:ind w:firstLine="0"/>
      <w:jc w:val="center"/>
    </w:pPr>
    <w:rPr>
      <w:rFonts w:ascii="Calibri" w:eastAsiaTheme="minorEastAsia" w:hAnsi="Calibri" w:cs="Calibri"/>
      <w:sz w:val="22"/>
      <w:szCs w:val="22"/>
    </w:rPr>
  </w:style>
  <w:style w:type="character" w:customStyle="1" w:styleId="Author0">
    <w:name w:val="Author (文字)"/>
    <w:basedOn w:val="a1"/>
    <w:link w:val="Author"/>
    <w:rsid w:val="005D5391"/>
    <w:rPr>
      <w:rFonts w:ascii="Times New Roman" w:hAnsi="Times New Roman" w:cs="Times New Roman"/>
      <w:kern w:val="0"/>
      <w:lang w:eastAsia="fi-FI"/>
      <w14:ligatures w14:val="none"/>
    </w:rPr>
  </w:style>
  <w:style w:type="character" w:customStyle="1" w:styleId="af3">
    <w:name w:val="著者名 (文字)"/>
    <w:basedOn w:val="Author0"/>
    <w:link w:val="af2"/>
    <w:rsid w:val="0073049A"/>
    <w:rPr>
      <w:rFonts w:ascii="Calibri" w:eastAsiaTheme="minorEastAsia" w:hAnsi="Calibri" w:cs="Calibri"/>
      <w:kern w:val="0"/>
      <w:sz w:val="22"/>
      <w:szCs w:val="22"/>
      <w:lang w:val="en-US" w:eastAsia="fi-FI"/>
      <w14:ligatures w14:val="none"/>
    </w:rPr>
  </w:style>
  <w:style w:type="paragraph" w:customStyle="1" w:styleId="af4">
    <w:name w:val="所属"/>
    <w:basedOn w:val="Author"/>
    <w:link w:val="af5"/>
    <w:qFormat/>
    <w:rsid w:val="0073049A"/>
    <w:pPr>
      <w:spacing w:after="40"/>
      <w:ind w:firstLine="0"/>
    </w:pPr>
    <w:rPr>
      <w:rFonts w:ascii="Calibri" w:hAnsi="Calibri" w:cs="Calibri"/>
      <w:sz w:val="22"/>
      <w:szCs w:val="22"/>
    </w:rPr>
  </w:style>
  <w:style w:type="character" w:customStyle="1" w:styleId="af5">
    <w:name w:val="所属 (文字)"/>
    <w:basedOn w:val="Author0"/>
    <w:link w:val="af4"/>
    <w:rsid w:val="0073049A"/>
    <w:rPr>
      <w:rFonts w:ascii="Calibri" w:hAnsi="Calibri" w:cs="Calibri"/>
      <w:kern w:val="0"/>
      <w:sz w:val="22"/>
      <w:szCs w:val="22"/>
      <w:lang w:val="en-US" w:eastAsia="fi-FI"/>
      <w14:ligatures w14:val="none"/>
    </w:rPr>
  </w:style>
  <w:style w:type="paragraph" w:customStyle="1" w:styleId="mail">
    <w:name w:val="mail"/>
    <w:basedOn w:val="Author"/>
    <w:link w:val="mail0"/>
    <w:qFormat/>
    <w:rsid w:val="0073049A"/>
    <w:pPr>
      <w:spacing w:after="40"/>
      <w:ind w:firstLine="0"/>
    </w:pPr>
    <w:rPr>
      <w:rFonts w:ascii="Calibri" w:hAnsi="Calibri" w:cs="Calibri"/>
      <w:i/>
      <w:iCs/>
      <w:sz w:val="22"/>
      <w:szCs w:val="22"/>
    </w:rPr>
  </w:style>
  <w:style w:type="character" w:customStyle="1" w:styleId="mail0">
    <w:name w:val="mail (文字)"/>
    <w:basedOn w:val="Author0"/>
    <w:link w:val="mail"/>
    <w:rsid w:val="0073049A"/>
    <w:rPr>
      <w:rFonts w:ascii="Calibri" w:hAnsi="Calibri" w:cs="Calibri"/>
      <w:i/>
      <w:iCs/>
      <w:kern w:val="0"/>
      <w:sz w:val="22"/>
      <w:szCs w:val="22"/>
      <w:lang w:val="en-US" w:eastAsia="fi-FI"/>
      <w14:ligatures w14:val="none"/>
    </w:rPr>
  </w:style>
  <w:style w:type="paragraph" w:customStyle="1" w:styleId="af6">
    <w:name w:val="アブスト表題"/>
    <w:basedOn w:val="a"/>
    <w:link w:val="af7"/>
    <w:qFormat/>
    <w:rsid w:val="0073049A"/>
    <w:pPr>
      <w:ind w:left="1134" w:right="1089" w:firstLine="0"/>
    </w:pPr>
    <w:rPr>
      <w:b/>
      <w:bCs/>
      <w:sz w:val="28"/>
      <w:szCs w:val="28"/>
    </w:rPr>
  </w:style>
  <w:style w:type="character" w:customStyle="1" w:styleId="af7">
    <w:name w:val="アブスト表題 (文字)"/>
    <w:basedOn w:val="a1"/>
    <w:link w:val="af6"/>
    <w:rsid w:val="0073049A"/>
    <w:rPr>
      <w:rFonts w:ascii="Calibri" w:hAnsi="Calibri" w:cs="Calibri"/>
      <w:b/>
      <w:bCs/>
      <w:sz w:val="28"/>
      <w:szCs w:val="28"/>
      <w:lang w:val="en-US"/>
    </w:rPr>
  </w:style>
  <w:style w:type="paragraph" w:customStyle="1" w:styleId="af8">
    <w:name w:val="アブスト"/>
    <w:basedOn w:val="a"/>
    <w:link w:val="af9"/>
    <w:qFormat/>
    <w:rsid w:val="0073049A"/>
    <w:pPr>
      <w:ind w:left="1134" w:right="1089" w:firstLine="0"/>
    </w:pPr>
  </w:style>
  <w:style w:type="character" w:customStyle="1" w:styleId="af9">
    <w:name w:val="アブスト (文字)"/>
    <w:basedOn w:val="a1"/>
    <w:link w:val="af8"/>
    <w:rsid w:val="0073049A"/>
    <w:rPr>
      <w:rFonts w:ascii="Calibri" w:hAnsi="Calibri" w:cs="Calibri"/>
      <w:sz w:val="22"/>
      <w:szCs w:val="22"/>
      <w:lang w:val="en-US"/>
    </w:rPr>
  </w:style>
  <w:style w:type="paragraph" w:styleId="afa">
    <w:name w:val="Bibliography"/>
    <w:basedOn w:val="a"/>
    <w:next w:val="a"/>
    <w:uiPriority w:val="37"/>
    <w:unhideWhenUsed/>
    <w:rsid w:val="00516668"/>
    <w:pPr>
      <w:spacing w:after="0"/>
      <w:ind w:left="720" w:hanging="720"/>
    </w:pPr>
  </w:style>
  <w:style w:type="paragraph" w:styleId="Web">
    <w:name w:val="Normal (Web)"/>
    <w:basedOn w:val="a"/>
    <w:uiPriority w:val="99"/>
    <w:semiHidden/>
    <w:unhideWhenUsed/>
    <w:rsid w:val="00692719"/>
    <w:rPr>
      <w:rFonts w:ascii="Times New Roman" w:hAnsi="Times New Roman" w:cs="Times New Roman"/>
      <w:sz w:val="24"/>
      <w:szCs w:val="24"/>
    </w:rPr>
  </w:style>
  <w:style w:type="paragraph" w:styleId="afb">
    <w:name w:val="caption"/>
    <w:next w:val="a"/>
    <w:uiPriority w:val="35"/>
    <w:unhideWhenUsed/>
    <w:qFormat/>
    <w:rsid w:val="00BD4230"/>
    <w:pPr>
      <w:spacing w:after="40" w:line="240" w:lineRule="atLeast"/>
      <w:jc w:val="center"/>
    </w:pPr>
    <w:rPr>
      <w:rFonts w:ascii="Calibri" w:hAnsi="Calibri" w:cs="Calibri"/>
      <w:i/>
      <w:iCs/>
      <w:sz w:val="20"/>
      <w:szCs w:val="18"/>
      <w:lang w:val="en-US"/>
    </w:rPr>
  </w:style>
  <w:style w:type="paragraph" w:customStyle="1" w:styleId="figure">
    <w:name w:val="figure"/>
    <w:basedOn w:val="a"/>
    <w:link w:val="figure0"/>
    <w:qFormat/>
    <w:rsid w:val="0073049A"/>
    <w:pPr>
      <w:ind w:firstLine="0"/>
      <w:jc w:val="center"/>
    </w:pPr>
    <w:rPr>
      <w:lang w:eastAsia="ja-JP"/>
    </w:rPr>
  </w:style>
  <w:style w:type="character" w:customStyle="1" w:styleId="figure0">
    <w:name w:val="figure (文字)"/>
    <w:basedOn w:val="a1"/>
    <w:link w:val="figure"/>
    <w:rsid w:val="0073049A"/>
    <w:rPr>
      <w:rFonts w:ascii="Calibri" w:hAnsi="Calibri" w:cs="Calibri"/>
      <w:sz w:val="22"/>
      <w:szCs w:val="22"/>
      <w:lang w:val="en-US" w:eastAsia="ja-JP"/>
    </w:rPr>
  </w:style>
  <w:style w:type="paragraph" w:customStyle="1" w:styleId="inTable">
    <w:name w:val="inTable"/>
    <w:basedOn w:val="af"/>
    <w:link w:val="inTable0"/>
    <w:qFormat/>
    <w:rsid w:val="007723F9"/>
    <w:pPr>
      <w:spacing w:after="40"/>
      <w:ind w:firstLine="0"/>
      <w:jc w:val="left"/>
    </w:pPr>
    <w:rPr>
      <w:rFonts w:ascii="Calibri" w:hAnsi="Calibri" w:cs="Calibri"/>
      <w:sz w:val="22"/>
      <w:szCs w:val="22"/>
    </w:rPr>
  </w:style>
  <w:style w:type="character" w:customStyle="1" w:styleId="inTable0">
    <w:name w:val="inTable (文字)"/>
    <w:basedOn w:val="af0"/>
    <w:link w:val="inTable"/>
    <w:rsid w:val="007723F9"/>
    <w:rPr>
      <w:rFonts w:ascii="Calibri" w:eastAsia="ＭＳ 明朝" w:hAnsi="Calibri" w:cs="Calibri"/>
      <w:kern w:val="0"/>
      <w:sz w:val="22"/>
      <w:szCs w:val="22"/>
      <w:lang w:val="en-US"/>
      <w14:ligatures w14:val="none"/>
    </w:rPr>
  </w:style>
  <w:style w:type="character" w:styleId="afc">
    <w:name w:val="Placeholder Text"/>
    <w:basedOn w:val="a1"/>
    <w:uiPriority w:val="99"/>
    <w:semiHidden/>
    <w:rsid w:val="007C7401"/>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D0F6996-EEE6-4FB0-AAD7-6E83593A01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10</Pages>
  <Words>9872</Words>
  <Characters>56271</Characters>
  <Application>Microsoft Office Word</Application>
  <DocSecurity>0</DocSecurity>
  <Lines>468</Lines>
  <Paragraphs>132</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66011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Alejandro Moreno-Rangel</dc:creator>
  <cp:keywords/>
  <dc:description/>
  <cp:lastModifiedBy>涼子 嵐田</cp:lastModifiedBy>
  <cp:revision>4</cp:revision>
  <cp:lastPrinted>2026-06-19T10:17:00Z</cp:lastPrinted>
  <dcterms:created xsi:type="dcterms:W3CDTF">2026-07-28T05:35:00Z</dcterms:created>
  <dcterms:modified xsi:type="dcterms:W3CDTF">2026-07-28T05:42:00Z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8f2bba0a-281b-4142-a2ca-d59ee9df0230</vt:lpwstr>
  </property>
  <property fmtid="{D5CDD505-2E9C-101B-9397-08002B2CF9AE}" pid="3" name="ZOTERO_PREF_1">
    <vt:lpwstr>&lt;data data-version="3" zotero-version="9.0.5"&gt;&lt;session id="ABQD2dEI"/&gt;&lt;style id="http://www.zotero.org/styles/elsevier-harvard" hasBibliography="1" bibliographyStyleHasBeenSet="1"/&gt;&lt;prefs&gt;&lt;pref name="fieldType" value="Field"/&gt;&lt;/prefs&gt;&lt;/data&gt;</vt:lpwstr>
  </property>
</Properties>
</file>