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45A7A" w14:textId="77777777" w:rsidR="00031D57" w:rsidRPr="00B01C90" w:rsidRDefault="000D3967">
      <w:pPr>
        <w:pStyle w:val="Title"/>
        <w:spacing w:after="0"/>
        <w:jc w:val="both"/>
        <w:rPr>
          <w:color w:val="FF0000"/>
        </w:rPr>
      </w:pPr>
      <w:r w:rsidRPr="00B01C90">
        <w:t>Workflow Automation using Digital Twins and Smart Contracts</w:t>
      </w:r>
    </w:p>
    <w:p w14:paraId="03FFE074" w14:textId="4F19C8DE" w:rsidR="00031D57" w:rsidRPr="00B01C90" w:rsidRDefault="000D3967">
      <w:pPr>
        <w:spacing w:after="200"/>
        <w:rPr>
          <w:rFonts w:cs="Arial"/>
          <w:b w:val="0"/>
          <w:color w:val="FF0000"/>
          <w:sz w:val="32"/>
        </w:rPr>
      </w:pPr>
      <w:r w:rsidRPr="00B01C90">
        <w:rPr>
          <w:rFonts w:cs="Arial"/>
          <w:b w:val="0"/>
          <w:sz w:val="32"/>
        </w:rPr>
        <w:t>— A Decentrali</w:t>
      </w:r>
      <w:r w:rsidR="003F66ED" w:rsidRPr="00B01C90">
        <w:rPr>
          <w:rFonts w:cs="Arial"/>
          <w:b w:val="0"/>
          <w:sz w:val="32"/>
        </w:rPr>
        <w:t>s</w:t>
      </w:r>
      <w:r w:rsidRPr="00B01C90">
        <w:rPr>
          <w:rFonts w:cs="Arial"/>
          <w:b w:val="0"/>
          <w:sz w:val="32"/>
        </w:rPr>
        <w:t>ed Framework for Precast Concrete Production</w:t>
      </w:r>
    </w:p>
    <w:p w14:paraId="3576D409" w14:textId="5EB388C0" w:rsidR="00133342" w:rsidRPr="00133342" w:rsidRDefault="00133342" w:rsidP="00133342">
      <w:pPr>
        <w:rPr>
          <w:rFonts w:ascii="Calibri" w:eastAsia="MS Mincho" w:hAnsi="Calibri" w:cs="Calibri"/>
          <w:b w:val="0"/>
          <w:caps/>
          <w:szCs w:val="20"/>
        </w:rPr>
      </w:pPr>
      <w:r w:rsidRPr="00133342">
        <w:rPr>
          <w:rFonts w:ascii="Calibri" w:eastAsia="MS Mincho" w:hAnsi="Calibri" w:cs="Calibri"/>
          <w:b w:val="0"/>
          <w:caps/>
          <w:szCs w:val="20"/>
        </w:rPr>
        <w:t xml:space="preserve">Xuling Ye, </w:t>
      </w:r>
      <w:r w:rsidRPr="00133342">
        <w:rPr>
          <w:rFonts w:ascii="Calibri" w:eastAsia="MS Mincho" w:hAnsi="Calibri" w:cs="Calibri"/>
          <w:b w:val="0"/>
          <w:caps/>
          <w:szCs w:val="20"/>
        </w:rPr>
        <w:t>Simon Kosse, Philipp Hagedorn, Markus König</w:t>
      </w:r>
    </w:p>
    <w:p w14:paraId="2AB14040" w14:textId="77777777" w:rsidR="00133342" w:rsidRPr="00B261E6" w:rsidRDefault="00133342" w:rsidP="00133342">
      <w:pPr>
        <w:pStyle w:val="PlainText"/>
      </w:pPr>
    </w:p>
    <w:p w14:paraId="681AF484" w14:textId="2F3A5C98" w:rsidR="00133342" w:rsidRPr="00B261E6" w:rsidRDefault="00133342" w:rsidP="00133342">
      <w:pPr>
        <w:rPr>
          <w:rFonts w:ascii="Calibri" w:eastAsia="MS Mincho" w:hAnsi="Calibri" w:cs="Calibri"/>
          <w:b w:val="0"/>
          <w:sz w:val="20"/>
          <w:szCs w:val="20"/>
        </w:rPr>
      </w:pPr>
      <w:r>
        <w:rPr>
          <w:rFonts w:ascii="Calibri" w:eastAsia="MS Mincho" w:hAnsi="Calibri" w:cs="Calibri"/>
          <w:b w:val="0"/>
          <w:sz w:val="20"/>
          <w:szCs w:val="20"/>
        </w:rPr>
        <w:t xml:space="preserve">Computing in Engineering, </w:t>
      </w:r>
      <w:r w:rsidRPr="00133342">
        <w:rPr>
          <w:rFonts w:ascii="Calibri" w:eastAsia="MS Mincho" w:hAnsi="Calibri" w:cs="Calibri"/>
          <w:b w:val="0"/>
          <w:sz w:val="20"/>
          <w:szCs w:val="20"/>
        </w:rPr>
        <w:t>Department of Civil and Environmental Engineering</w:t>
      </w:r>
      <w:r w:rsidRPr="002E4B2F">
        <w:rPr>
          <w:rFonts w:ascii="Calibri" w:eastAsia="MS Mincho" w:hAnsi="Calibri" w:cs="Calibri"/>
          <w:b w:val="0"/>
          <w:sz w:val="20"/>
          <w:szCs w:val="20"/>
        </w:rPr>
        <w:t xml:space="preserve">, </w:t>
      </w:r>
      <w:r>
        <w:rPr>
          <w:rFonts w:ascii="Calibri" w:eastAsia="MS Mincho" w:hAnsi="Calibri" w:cs="Calibri"/>
          <w:b w:val="0"/>
          <w:sz w:val="20"/>
          <w:szCs w:val="20"/>
        </w:rPr>
        <w:t>Ruhr University Bochum, Bochum, Germany</w:t>
      </w:r>
    </w:p>
    <w:p w14:paraId="6D2367F5" w14:textId="77777777" w:rsidR="00133342" w:rsidRPr="006D1F09" w:rsidRDefault="00133342" w:rsidP="00133342">
      <w:pPr>
        <w:pStyle w:val="PlainText"/>
        <w:ind w:left="567" w:right="567" w:hanging="567"/>
        <w:rPr>
          <w:rFonts w:ascii="Calibri" w:hAnsi="Calibri"/>
          <w:sz w:val="20"/>
        </w:rPr>
      </w:pPr>
    </w:p>
    <w:p w14:paraId="6CECF7A6" w14:textId="77777777" w:rsidR="00031D57" w:rsidRPr="00B01C90" w:rsidRDefault="00031D57">
      <w:pPr>
        <w:pStyle w:val="PlainText"/>
      </w:pPr>
    </w:p>
    <w:p w14:paraId="59E59A02" w14:textId="77777777" w:rsidR="00031D57" w:rsidRPr="00B01C90" w:rsidRDefault="000D3967">
      <w:pPr>
        <w:pStyle w:val="AbstractHeading"/>
      </w:pPr>
      <w:r w:rsidRPr="00B01C90">
        <w:t xml:space="preserve">ABSTRACT: </w:t>
      </w:r>
    </w:p>
    <w:p w14:paraId="58521E8F" w14:textId="6D93629A" w:rsidR="00031D57" w:rsidRPr="00B01C90" w:rsidRDefault="000D3967">
      <w:pPr>
        <w:pStyle w:val="Abstracttext"/>
        <w:outlineLvl w:val="9"/>
      </w:pPr>
      <w:r w:rsidRPr="00B01C90">
        <w:t xml:space="preserve">In the precast concrete </w:t>
      </w:r>
      <w:r w:rsidR="00A8524A">
        <w:t>domain</w:t>
      </w:r>
      <w:r w:rsidRPr="00B01C90">
        <w:t xml:space="preserve">, automating production workflows is essential for improving efficiency and reducing reliance on manual </w:t>
      </w:r>
      <w:r w:rsidR="00D744CE" w:rsidRPr="00B01C90">
        <w:t>labour</w:t>
      </w:r>
      <w:r w:rsidRPr="00B01C90">
        <w:t>. This paper presents a framework for automating workflow execution using IOTA-enabled smart contracts and Digital Twins (DT). The approach integrates real-time sensor data, managed via the Asset Administration Shell (AAS), to trigger predefined process tasks</w:t>
      </w:r>
      <w:r w:rsidR="00B35E71" w:rsidRPr="00B01C90">
        <w:t xml:space="preserve"> by smart contracts</w:t>
      </w:r>
      <w:r w:rsidRPr="00B01C90">
        <w:t xml:space="preserve">. </w:t>
      </w:r>
      <w:r w:rsidR="00B35E71" w:rsidRPr="00B01C90">
        <w:t>These s</w:t>
      </w:r>
      <w:r w:rsidR="00EF463E" w:rsidRPr="00B01C90">
        <w:t>mart contracts automate tasks such as monitoring and controlling process parameters based on predefined conditions, reducing the need for manual intervention.</w:t>
      </w:r>
      <w:r w:rsidR="00D744CE" w:rsidRPr="00B01C90">
        <w:t xml:space="preserve"> </w:t>
      </w:r>
      <w:r w:rsidRPr="00B01C90">
        <w:t xml:space="preserve">The implementation of this framework is demonstrated through a use case in precast concrete production, where smart contracts automate the curing process by adjusting a </w:t>
      </w:r>
      <w:r w:rsidR="000A0CC8" w:rsidRPr="00B01C90">
        <w:t xml:space="preserve">series </w:t>
      </w:r>
      <w:r w:rsidRPr="00B01C90">
        <w:t>of actions based on both temperature data and curing time. A proof of concept is provided to show the feasibility of automating workflow tasks in construction, illustrating the potential for increased efficiency and data-driven decision-making in production environments.</w:t>
      </w:r>
    </w:p>
    <w:p w14:paraId="699CFAF9" w14:textId="77777777" w:rsidR="00031D57" w:rsidRPr="00B01C90" w:rsidRDefault="00031D57">
      <w:pPr>
        <w:pStyle w:val="Keywordsheading"/>
        <w:outlineLvl w:val="9"/>
      </w:pPr>
    </w:p>
    <w:p w14:paraId="46550EA7" w14:textId="77777777" w:rsidR="00031D57" w:rsidRPr="00B01C90" w:rsidRDefault="000D3967">
      <w:pPr>
        <w:pStyle w:val="Keywordsheading"/>
      </w:pPr>
      <w:r w:rsidRPr="00B01C90">
        <w:t xml:space="preserve">KEYWORDS: </w:t>
      </w:r>
    </w:p>
    <w:p w14:paraId="48200199" w14:textId="37816466" w:rsidR="00031D57" w:rsidRPr="00B01C90" w:rsidRDefault="000D3967">
      <w:pPr>
        <w:pStyle w:val="Keywordstext"/>
        <w:outlineLvl w:val="9"/>
      </w:pPr>
      <w:r w:rsidRPr="00B01C90">
        <w:t>Workflow Automation, Smart Contract, IOTA, Construction Digital Twins, Asset Administration Shell</w:t>
      </w:r>
    </w:p>
    <w:p w14:paraId="0EEA17C3" w14:textId="77777777" w:rsidR="00031D57" w:rsidRPr="00B01C90" w:rsidRDefault="00031D57">
      <w:pPr>
        <w:pStyle w:val="PlainText"/>
        <w:ind w:left="567" w:right="567"/>
      </w:pPr>
    </w:p>
    <w:p w14:paraId="459E4AC3" w14:textId="77777777" w:rsidR="00031D57" w:rsidRPr="00B01C90" w:rsidRDefault="00031D57">
      <w:pPr>
        <w:pStyle w:val="PlainText"/>
        <w:ind w:left="567" w:right="567"/>
        <w:rPr>
          <w:i/>
        </w:rPr>
      </w:pPr>
    </w:p>
    <w:p w14:paraId="2EFAEA5A" w14:textId="77777777" w:rsidR="00031D57" w:rsidRPr="00B01C90" w:rsidRDefault="00031D57">
      <w:pPr>
        <w:pStyle w:val="PlainText"/>
        <w:ind w:right="567"/>
        <w:sectPr w:rsidR="00031D57" w:rsidRPr="00B01C90">
          <w:headerReference w:type="default" r:id="rId11"/>
          <w:footerReference w:type="default" r:id="rId12"/>
          <w:headerReference w:type="first" r:id="rId13"/>
          <w:footerReference w:type="first" r:id="rId14"/>
          <w:pgSz w:w="12240" w:h="15840"/>
          <w:pgMar w:top="1276" w:right="1276" w:bottom="1276" w:left="1276" w:header="720" w:footer="567" w:gutter="0"/>
          <w:pgNumType w:start="1" w:chapStyle="1"/>
          <w:cols w:space="567"/>
          <w:titlePg/>
          <w15:footnoteColumns w:val="1"/>
        </w:sectPr>
      </w:pPr>
    </w:p>
    <w:p w14:paraId="6AFD40A1" w14:textId="77777777" w:rsidR="00031D57" w:rsidRPr="00B01C90" w:rsidRDefault="000D3967">
      <w:pPr>
        <w:pStyle w:val="Heading1"/>
      </w:pPr>
      <w:r w:rsidRPr="00B01C90">
        <w:t xml:space="preserve">1. INTRODUCTION </w:t>
      </w:r>
    </w:p>
    <w:p w14:paraId="10A55AB3" w14:textId="596A2CF9" w:rsidR="00031D57" w:rsidRPr="00B01C90" w:rsidRDefault="000D3967">
      <w:pPr>
        <w:pStyle w:val="MainText"/>
      </w:pPr>
      <w:r w:rsidRPr="00B01C90">
        <w:t>Nowadays</w:t>
      </w:r>
      <w:r w:rsidR="000A0CC8" w:rsidRPr="00B01C90">
        <w:t>,</w:t>
      </w:r>
      <w:r w:rsidRPr="00B01C90">
        <w:t xml:space="preserve"> the level of automation in precast concrete plants varies widely, depending on factors such as plant size, production volume, and available technology. In most plants, only a limited number of sub-processes are automated, with many operations still relying heavily on manual </w:t>
      </w:r>
      <w:r w:rsidR="00D744CE" w:rsidRPr="00B01C90">
        <w:t>labour</w:t>
      </w:r>
      <w:r w:rsidRPr="00B01C90">
        <w:t xml:space="preserve"> </w:t>
      </w:r>
      <w:r w:rsidR="002254CF">
        <w:t>(Friedrich, T., 2019)</w:t>
      </w:r>
      <w:r w:rsidRPr="00B01C90">
        <w:t xml:space="preserve">. However, advances in Industry 4.0 (I4.0) technologies such as the Internet of Things (IoT), Digital Twin (DT), Artificial Intelligence (AI), and robotics are expected to significantly increase the level of automation, thereby improving efficiency, accuracy, and flexibility of production processes. The increasing alignment of precast </w:t>
      </w:r>
      <w:r w:rsidRPr="00B01C90">
        <w:t>concrete production with I4.0 principles allows for more efficient and data-driven manufacturing processes. I4.0 introduces automation, IoT-enabled devices, and advanced analytics into production, enabling real-time monitoring and optimi</w:t>
      </w:r>
      <w:r w:rsidR="003F66ED" w:rsidRPr="00B01C90">
        <w:t>s</w:t>
      </w:r>
      <w:r w:rsidRPr="00B01C90">
        <w:t xml:space="preserve">ation of critical operations such as concrete mixing, curing, and reinforcement placement </w:t>
      </w:r>
      <w:r w:rsidR="002254CF">
        <w:t>(Kagermann, H., Wahlster, W. &amp; Helbig, J., 2013)</w:t>
      </w:r>
      <w:r w:rsidR="00132D64" w:rsidRPr="00B01C90">
        <w:t>.</w:t>
      </w:r>
    </w:p>
    <w:p w14:paraId="4142C0BA" w14:textId="28D72291" w:rsidR="00031D57" w:rsidRPr="00B01C90" w:rsidRDefault="000D3967">
      <w:pPr>
        <w:pStyle w:val="MainText"/>
      </w:pPr>
      <w:r w:rsidRPr="00B01C90">
        <w:t xml:space="preserve">A challenge in automating production systems for </w:t>
      </w:r>
      <w:r w:rsidR="000A0CC8" w:rsidRPr="00B01C90">
        <w:t>producing</w:t>
      </w:r>
      <w:r w:rsidRPr="00B01C90">
        <w:t xml:space="preserve"> precast concrete elements is to achieve seamless orchestration of tasks and processes, which requires effective coordination of predefined rules, real-time data inputs, and integrated digital systems </w:t>
      </w:r>
      <w:r w:rsidR="002254CF">
        <w:t>(Neubauer, R., 2017)</w:t>
      </w:r>
      <w:r w:rsidRPr="00B01C90">
        <w:t xml:space="preserve">. </w:t>
      </w:r>
      <w:r w:rsidRPr="00B01C90">
        <w:lastRenderedPageBreak/>
        <w:t xml:space="preserve">Automated workflow execution in precast production refers to automatically initiating, monitoring, and completing tasks based on predefined rules. It can be achieved by the seamless and autonomous management of production processes using digital tools and technologies, such as IoT devices, smart contracts, and integrated data systems. Smart contracts—self-executing </w:t>
      </w:r>
      <w:r w:rsidR="005E7B0D" w:rsidRPr="00B01C90">
        <w:t>agreements</w:t>
      </w:r>
      <w:r w:rsidRPr="00B01C90">
        <w:t xml:space="preserve"> operating on decentrali</w:t>
      </w:r>
      <w:r w:rsidR="003F66ED" w:rsidRPr="00B01C90">
        <w:t>s</w:t>
      </w:r>
      <w:r w:rsidRPr="00B01C90">
        <w:t xml:space="preserve">ed platforms like blockchain—operate based on predefined rules embedded in their code and automatically trigger actions when certain conditions are met </w:t>
      </w:r>
      <w:r w:rsidR="002254CF">
        <w:t>(Ye, X.</w:t>
      </w:r>
      <w:r w:rsidR="002254CF" w:rsidRPr="002254CF">
        <w:rPr>
          <w:i/>
        </w:rPr>
        <w:t xml:space="preserve"> et al.</w:t>
      </w:r>
      <w:r w:rsidR="002254CF" w:rsidRPr="002254CF">
        <w:t>, 2024)</w:t>
      </w:r>
      <w:r w:rsidRPr="00B01C90">
        <w:t xml:space="preserve">. For example, curing cycles can be automatically adjusted based on temperature sensor readings, or quality inspections can be triggered when certain thresholds are met. </w:t>
      </w:r>
    </w:p>
    <w:p w14:paraId="38E878E3" w14:textId="5D271866" w:rsidR="00031D57" w:rsidRPr="00B01C90" w:rsidRDefault="000D3967">
      <w:pPr>
        <w:pStyle w:val="MainText"/>
      </w:pPr>
      <w:r w:rsidRPr="00B01C90">
        <w:t xml:space="preserve">This research proposes an approach for automated workflow execution based on IOTA-enabled smart contracts in construction DTs. The Asset Administration Shell (AAS), the established implementation of the DT in I4.0, has already been applied in previous research to the production of precast concrete elements and is also used for implementing the DT in this work </w:t>
      </w:r>
      <w:r w:rsidR="002254CF">
        <w:t>(Kosse, S.</w:t>
      </w:r>
      <w:r w:rsidR="002254CF" w:rsidRPr="002254CF">
        <w:rPr>
          <w:i/>
        </w:rPr>
        <w:t xml:space="preserve"> et al.</w:t>
      </w:r>
      <w:r w:rsidR="002254CF" w:rsidRPr="002254CF">
        <w:t>, 2022)</w:t>
      </w:r>
      <w:r w:rsidRPr="00B01C90">
        <w:t>. Smart contracts enable the automated execution of predefined workflows, with the resultant transactional data being immutably recorded within the IOTA</w:t>
      </w:r>
      <w:r w:rsidR="00FB759A" w:rsidRPr="00B01C90">
        <w:rPr>
          <w:rStyle w:val="FootnoteReference"/>
        </w:rPr>
        <w:footnoteReference w:id="1"/>
      </w:r>
      <w:r w:rsidRPr="00B01C90">
        <w:t xml:space="preserve"> distributed ledger framework, providing a decentrali</w:t>
      </w:r>
      <w:r w:rsidR="003F66ED" w:rsidRPr="00B01C90">
        <w:t>s</w:t>
      </w:r>
      <w:r w:rsidRPr="00B01C90">
        <w:t>ed and scalable solution explicitly designed for IoT and data-driven environments. IOTA</w:t>
      </w:r>
      <w:r w:rsidR="00936777" w:rsidRPr="00B01C90">
        <w:t>’</w:t>
      </w:r>
      <w:r w:rsidRPr="00B01C90">
        <w:t>s smart contract protocol enables the execution of complex logic across distributed systems, facilitating automated and tamper-proof workflow execution. The proposed approach is demonstrated through a use case of automated curing in precast concrete production, where IoT sensors enable real-time monitoring of temperature and humidity. This data is continuously updated in the DT via the AAS, enabling dynamic control of the curing process via smart contracts.</w:t>
      </w:r>
    </w:p>
    <w:p w14:paraId="497263B9" w14:textId="77777777" w:rsidR="00031D57" w:rsidRPr="00B01C90" w:rsidRDefault="00031D57">
      <w:pPr>
        <w:pStyle w:val="PlainText"/>
        <w:rPr>
          <w:sz w:val="20"/>
        </w:rPr>
      </w:pPr>
    </w:p>
    <w:p w14:paraId="44688015" w14:textId="77777777" w:rsidR="00031D57" w:rsidRPr="00B01C90" w:rsidRDefault="000D3967">
      <w:pPr>
        <w:pStyle w:val="Heading1"/>
      </w:pPr>
      <w:r w:rsidRPr="00B01C90">
        <w:t xml:space="preserve">2. </w:t>
      </w:r>
      <w:r w:rsidRPr="00B01C90">
        <w:rPr>
          <w:caps/>
        </w:rPr>
        <w:t>Literature Review</w:t>
      </w:r>
    </w:p>
    <w:p w14:paraId="7806713A" w14:textId="154DB9D6" w:rsidR="00031D57" w:rsidRPr="00B01C90" w:rsidRDefault="000D3967">
      <w:pPr>
        <w:pStyle w:val="PlainText"/>
        <w:rPr>
          <w:sz w:val="20"/>
        </w:rPr>
      </w:pPr>
      <w:r w:rsidRPr="00B01C90">
        <w:rPr>
          <w:b/>
          <w:sz w:val="20"/>
        </w:rPr>
        <w:t>2.1 Distributed</w:t>
      </w:r>
      <w:r w:rsidR="00B36490" w:rsidRPr="00B01C90">
        <w:rPr>
          <w:b/>
          <w:sz w:val="20"/>
        </w:rPr>
        <w:t xml:space="preserve"> </w:t>
      </w:r>
      <w:r w:rsidR="00AA6036">
        <w:rPr>
          <w:b/>
          <w:sz w:val="20"/>
        </w:rPr>
        <w:t>L</w:t>
      </w:r>
      <w:r w:rsidRPr="00B01C90">
        <w:rPr>
          <w:b/>
          <w:sz w:val="20"/>
        </w:rPr>
        <w:t xml:space="preserve">edger </w:t>
      </w:r>
      <w:r w:rsidR="00AA6036">
        <w:rPr>
          <w:b/>
          <w:sz w:val="20"/>
        </w:rPr>
        <w:t>T</w:t>
      </w:r>
      <w:r w:rsidRPr="00B01C90">
        <w:rPr>
          <w:b/>
          <w:sz w:val="20"/>
        </w:rPr>
        <w:t xml:space="preserve">echnologies in </w:t>
      </w:r>
      <w:r w:rsidR="00AA6036">
        <w:rPr>
          <w:b/>
          <w:sz w:val="20"/>
        </w:rPr>
        <w:t>C</w:t>
      </w:r>
      <w:r w:rsidRPr="00B01C90">
        <w:rPr>
          <w:b/>
          <w:sz w:val="20"/>
        </w:rPr>
        <w:t>onstruction</w:t>
      </w:r>
    </w:p>
    <w:p w14:paraId="794FA2DD" w14:textId="1240548B" w:rsidR="00031D57" w:rsidRPr="00B01C90" w:rsidRDefault="000D3967">
      <w:pPr>
        <w:pStyle w:val="PlainText"/>
        <w:ind w:firstLine="284"/>
        <w:rPr>
          <w:sz w:val="20"/>
        </w:rPr>
      </w:pPr>
      <w:r w:rsidRPr="00B01C90">
        <w:rPr>
          <w:sz w:val="20"/>
        </w:rPr>
        <w:t>Distributed</w:t>
      </w:r>
      <w:r w:rsidR="00B36490" w:rsidRPr="00B01C90">
        <w:rPr>
          <w:sz w:val="20"/>
        </w:rPr>
        <w:t xml:space="preserve"> </w:t>
      </w:r>
      <w:r w:rsidRPr="00B01C90">
        <w:rPr>
          <w:sz w:val="20"/>
        </w:rPr>
        <w:t xml:space="preserve">Ledger Technologies (DLTs) are systems that allow the recording of transactions and data across multiple nodes in a network in a secure, transparent, and immutable manner </w:t>
      </w:r>
      <w:r w:rsidR="002254CF">
        <w:rPr>
          <w:sz w:val="20"/>
        </w:rPr>
        <w:t xml:space="preserve">(El </w:t>
      </w:r>
      <w:proofErr w:type="spellStart"/>
      <w:r w:rsidR="002254CF">
        <w:rPr>
          <w:sz w:val="20"/>
        </w:rPr>
        <w:t>Ioini</w:t>
      </w:r>
      <w:proofErr w:type="spellEnd"/>
      <w:r w:rsidR="002254CF">
        <w:rPr>
          <w:sz w:val="20"/>
        </w:rPr>
        <w:t>, N. &amp; Pahl, C., 2018)</w:t>
      </w:r>
      <w:r w:rsidRPr="00B01C90">
        <w:rPr>
          <w:sz w:val="20"/>
        </w:rPr>
        <w:t xml:space="preserve">. These systems ensure that data is tamper-proof and verifiable, providing robust solutions for various industries, including construction. The most well-known form of DLT is blockchain, which records transactional data in a series of interconnected blocks that are cryptographically linked, ensuring data cannot be </w:t>
      </w:r>
      <w:r w:rsidRPr="00B01C90">
        <w:rPr>
          <w:sz w:val="20"/>
        </w:rPr>
        <w:t>altered once recorded</w:t>
      </w:r>
      <w:r w:rsidR="00936777" w:rsidRPr="00B01C90">
        <w:rPr>
          <w:sz w:val="20"/>
        </w:rPr>
        <w:t xml:space="preserve"> </w:t>
      </w:r>
      <w:r w:rsidRPr="00B01C90">
        <w:rPr>
          <w:sz w:val="20"/>
        </w:rPr>
        <w:t xml:space="preserve"> </w:t>
      </w:r>
      <w:r w:rsidR="002254CF">
        <w:rPr>
          <w:sz w:val="20"/>
        </w:rPr>
        <w:t>(Li, J. &amp; Kassem, M., 2021)</w:t>
      </w:r>
      <w:r w:rsidRPr="00B01C90">
        <w:rPr>
          <w:sz w:val="20"/>
        </w:rPr>
        <w:t xml:space="preserve">. Another innovative type of DLT is IOTA, which employs a Directed Acyclic Graph (DAG) structure called the Tangle </w:t>
      </w:r>
      <w:r w:rsidR="002254CF">
        <w:rPr>
          <w:sz w:val="20"/>
        </w:rPr>
        <w:t>(Denis, N., Chabridon, S. &amp; Laurent, M., 2024)</w:t>
      </w:r>
      <w:r w:rsidRPr="00B01C90">
        <w:rPr>
          <w:sz w:val="20"/>
        </w:rPr>
        <w:t>. IOTA</w:t>
      </w:r>
      <w:r w:rsidR="00893400" w:rsidRPr="00B01C90">
        <w:rPr>
          <w:sz w:val="20"/>
        </w:rPr>
        <w:t>’</w:t>
      </w:r>
      <w:r w:rsidRPr="00B01C90">
        <w:rPr>
          <w:sz w:val="20"/>
        </w:rPr>
        <w:t>s standout features include feeless transactions and high scalability, making it ideal for the IoT, where microtransactions are common. IOTA</w:t>
      </w:r>
      <w:r w:rsidR="003E0B49" w:rsidRPr="00B01C90">
        <w:rPr>
          <w:sz w:val="20"/>
        </w:rPr>
        <w:t>’</w:t>
      </w:r>
      <w:r w:rsidRPr="00B01C90">
        <w:rPr>
          <w:sz w:val="20"/>
        </w:rPr>
        <w:t xml:space="preserve">s unique features and benefits present a promising opportunity for the construction industry. Its scalability, feeless transactions, and enhanced security capabilities make IOTA a compelling candidate for driving efficiency and innovation in construction projects. Additionally, </w:t>
      </w:r>
      <w:r w:rsidR="000A0CC8" w:rsidRPr="00B01C90">
        <w:rPr>
          <w:sz w:val="20"/>
        </w:rPr>
        <w:t>integrating</w:t>
      </w:r>
      <w:r w:rsidRPr="00B01C90">
        <w:rPr>
          <w:sz w:val="20"/>
        </w:rPr>
        <w:t xml:space="preserve"> smart contracts</w:t>
      </w:r>
      <w:r w:rsidR="00262CDA" w:rsidRPr="00B01C90">
        <w:rPr>
          <w:sz w:val="20"/>
        </w:rPr>
        <w:t xml:space="preserve"> </w:t>
      </w:r>
      <w:r w:rsidRPr="00B01C90">
        <w:rPr>
          <w:sz w:val="20"/>
        </w:rPr>
        <w:t xml:space="preserve">within these DLTs can further automate and streamline processes </w:t>
      </w:r>
      <w:r w:rsidR="002254CF">
        <w:rPr>
          <w:sz w:val="20"/>
        </w:rPr>
        <w:t>(Ye, X., Zeng, N. &amp; König, M., 2022)</w:t>
      </w:r>
      <w:r w:rsidRPr="00B01C90">
        <w:rPr>
          <w:sz w:val="20"/>
        </w:rPr>
        <w:t>. Smart contracts ensure that agreements are executed automatically when predefined conditions are met, enhancing trust, transparency, and efficiency in construction transactions.</w:t>
      </w:r>
    </w:p>
    <w:p w14:paraId="20AC2EB1" w14:textId="17BC969D" w:rsidR="00031D57" w:rsidRPr="00B01C90" w:rsidRDefault="000D3967">
      <w:pPr>
        <w:pStyle w:val="PlainText"/>
        <w:ind w:firstLine="284"/>
        <w:rPr>
          <w:sz w:val="20"/>
        </w:rPr>
      </w:pPr>
      <w:r w:rsidRPr="00B01C90">
        <w:rPr>
          <w:sz w:val="20"/>
        </w:rPr>
        <w:t xml:space="preserve">Numerous studies have demonstrated the transformative potential of DLT in the construction industry, with a primary focus on blockchain and smart contract applications. Several review papers have highlighted the advancements specific to this field. For instance, </w:t>
      </w:r>
      <w:r w:rsidR="002254CF">
        <w:rPr>
          <w:sz w:val="20"/>
        </w:rPr>
        <w:t>Li, J. &amp; Kassem, M.</w:t>
      </w:r>
      <w:r w:rsidR="00132D64" w:rsidRPr="00B01C90">
        <w:rPr>
          <w:sz w:val="20"/>
        </w:rPr>
        <w:t xml:space="preserve"> </w:t>
      </w:r>
      <w:r w:rsidR="002254CF">
        <w:rPr>
          <w:sz w:val="20"/>
        </w:rPr>
        <w:t>(2021)</w:t>
      </w:r>
      <w:r w:rsidR="00132D64" w:rsidRPr="00B01C90">
        <w:rPr>
          <w:sz w:val="20"/>
        </w:rPr>
        <w:t xml:space="preserve"> </w:t>
      </w:r>
      <w:r w:rsidR="000A0CC8" w:rsidRPr="00B01C90">
        <w:rPr>
          <w:sz w:val="20"/>
        </w:rPr>
        <w:t>comprehensively analy</w:t>
      </w:r>
      <w:r w:rsidR="00725CCD" w:rsidRPr="00B01C90">
        <w:rPr>
          <w:sz w:val="20"/>
        </w:rPr>
        <w:t>s</w:t>
      </w:r>
      <w:r w:rsidR="000A0CC8" w:rsidRPr="00B01C90">
        <w:rPr>
          <w:sz w:val="20"/>
        </w:rPr>
        <w:t>e</w:t>
      </w:r>
      <w:r w:rsidRPr="00B01C90">
        <w:rPr>
          <w:sz w:val="20"/>
        </w:rPr>
        <w:t xml:space="preserve"> blockchain applications, including improving information management, enhancing transparency, and integrating with technologies like Building Information </w:t>
      </w:r>
      <w:proofErr w:type="spellStart"/>
      <w:r w:rsidRPr="00B01C90">
        <w:rPr>
          <w:sz w:val="20"/>
        </w:rPr>
        <w:t>Modeling</w:t>
      </w:r>
      <w:proofErr w:type="spellEnd"/>
      <w:r w:rsidRPr="00B01C90">
        <w:rPr>
          <w:sz w:val="20"/>
        </w:rPr>
        <w:t xml:space="preserve"> (BIM) and the IoT. Similarly, </w:t>
      </w:r>
      <w:r w:rsidR="002254CF">
        <w:rPr>
          <w:sz w:val="20"/>
        </w:rPr>
        <w:t>Ye, X., Zeng, N. &amp; König, M.</w:t>
      </w:r>
      <w:r w:rsidR="00132D64" w:rsidRPr="00B01C90">
        <w:rPr>
          <w:sz w:val="20"/>
        </w:rPr>
        <w:t xml:space="preserve"> </w:t>
      </w:r>
      <w:r w:rsidR="002254CF">
        <w:rPr>
          <w:sz w:val="20"/>
        </w:rPr>
        <w:t>(2022)</w:t>
      </w:r>
      <w:r w:rsidR="00132D64" w:rsidRPr="00B01C90">
        <w:rPr>
          <w:sz w:val="20"/>
        </w:rPr>
        <w:t xml:space="preserve"> </w:t>
      </w:r>
      <w:r w:rsidRPr="00B01C90">
        <w:rPr>
          <w:sz w:val="20"/>
        </w:rPr>
        <w:t xml:space="preserve">explore blockchain-based smart contract applications for automating payment systems and contract execution, identifying strategies to overcome adoption barriers and enhance efficiency in construction projects. </w:t>
      </w:r>
      <w:r w:rsidR="002254CF">
        <w:rPr>
          <w:sz w:val="20"/>
        </w:rPr>
        <w:t>Sun, W.</w:t>
      </w:r>
      <w:r w:rsidR="002254CF" w:rsidRPr="002254CF">
        <w:rPr>
          <w:i/>
          <w:sz w:val="20"/>
        </w:rPr>
        <w:t>, et al.</w:t>
      </w:r>
      <w:r w:rsidR="00132D64" w:rsidRPr="00B01C90">
        <w:rPr>
          <w:sz w:val="20"/>
        </w:rPr>
        <w:t xml:space="preserve"> </w:t>
      </w:r>
      <w:r w:rsidR="002254CF">
        <w:rPr>
          <w:sz w:val="20"/>
        </w:rPr>
        <w:t>(2023)</w:t>
      </w:r>
      <w:r w:rsidRPr="00B01C90">
        <w:rPr>
          <w:sz w:val="20"/>
        </w:rPr>
        <w:t xml:space="preserve"> emphasi</w:t>
      </w:r>
      <w:r w:rsidR="003F66ED" w:rsidRPr="00B01C90">
        <w:rPr>
          <w:sz w:val="20"/>
        </w:rPr>
        <w:t>s</w:t>
      </w:r>
      <w:r w:rsidRPr="00B01C90">
        <w:rPr>
          <w:sz w:val="20"/>
        </w:rPr>
        <w:t xml:space="preserve">e the increasing maturity of blockchain applications, with a noticeable shift from conceptual discussions to practical case studies and technical implementations over the past five years. Recent research, such as </w:t>
      </w:r>
      <w:r w:rsidR="002254CF">
        <w:rPr>
          <w:sz w:val="20"/>
        </w:rPr>
        <w:t>Celik, B., Abraham, Y. &amp; Attaran, M.</w:t>
      </w:r>
      <w:r w:rsidR="00132D64" w:rsidRPr="00B01C90">
        <w:rPr>
          <w:sz w:val="20"/>
        </w:rPr>
        <w:t xml:space="preserve"> </w:t>
      </w:r>
      <w:r w:rsidR="002254CF">
        <w:rPr>
          <w:sz w:val="20"/>
        </w:rPr>
        <w:t>(2024)</w:t>
      </w:r>
      <w:r w:rsidRPr="00B01C90">
        <w:rPr>
          <w:sz w:val="20"/>
        </w:rPr>
        <w:t>, reviews the use of blockchain for purposes like automating contract management, streamlining payments, and enhancing supply chain transparency.</w:t>
      </w:r>
    </w:p>
    <w:p w14:paraId="08881146" w14:textId="226A4688" w:rsidR="00031D57" w:rsidRPr="00B01C90" w:rsidRDefault="000D3967">
      <w:pPr>
        <w:pStyle w:val="PlainText"/>
        <w:ind w:firstLine="284"/>
        <w:rPr>
          <w:sz w:val="20"/>
        </w:rPr>
      </w:pPr>
      <w:r w:rsidRPr="00B01C90">
        <w:rPr>
          <w:sz w:val="20"/>
        </w:rPr>
        <w:t>However, IOTA has yet to be adapted to the construction industry.</w:t>
      </w:r>
      <w:r w:rsidR="00262CDA" w:rsidRPr="00B01C90">
        <w:rPr>
          <w:sz w:val="20"/>
        </w:rPr>
        <w:t xml:space="preserve"> </w:t>
      </w:r>
      <w:r w:rsidRPr="00B01C90">
        <w:rPr>
          <w:sz w:val="20"/>
        </w:rPr>
        <w:t>Its unique features and benefits present a promising opportunity. The industry could potentially leverage IOTA to achieve efficient, cost-effective microtransactions and secure data management.</w:t>
      </w:r>
    </w:p>
    <w:p w14:paraId="3A01A03F" w14:textId="77777777" w:rsidR="00031D57" w:rsidRPr="00B01C90" w:rsidRDefault="00031D57">
      <w:pPr>
        <w:pStyle w:val="PlainText"/>
        <w:rPr>
          <w:sz w:val="20"/>
        </w:rPr>
      </w:pPr>
    </w:p>
    <w:p w14:paraId="6B6D6D1F" w14:textId="522FAF89" w:rsidR="00031D57" w:rsidRPr="00B01C90" w:rsidRDefault="000D3967">
      <w:pPr>
        <w:pStyle w:val="PlainText"/>
        <w:rPr>
          <w:sz w:val="20"/>
        </w:rPr>
      </w:pPr>
      <w:r w:rsidRPr="00B01C90">
        <w:rPr>
          <w:b/>
          <w:sz w:val="20"/>
        </w:rPr>
        <w:t xml:space="preserve">2.2 Integrating DTs and DLT in </w:t>
      </w:r>
      <w:r w:rsidR="00AA6036">
        <w:rPr>
          <w:b/>
          <w:sz w:val="20"/>
        </w:rPr>
        <w:t>C</w:t>
      </w:r>
      <w:r w:rsidRPr="00B01C90">
        <w:rPr>
          <w:b/>
          <w:sz w:val="20"/>
        </w:rPr>
        <w:t>onstruction</w:t>
      </w:r>
    </w:p>
    <w:p w14:paraId="021BE791" w14:textId="6E59F1F0" w:rsidR="00031D57" w:rsidRPr="00B01C90" w:rsidRDefault="000D3967">
      <w:pPr>
        <w:pStyle w:val="PlainText"/>
        <w:pBdr>
          <w:top w:val="none" w:sz="4" w:space="0" w:color="000000"/>
          <w:left w:val="none" w:sz="4" w:space="0" w:color="000000"/>
          <w:bottom w:val="none" w:sz="4" w:space="0" w:color="000000"/>
          <w:right w:val="none" w:sz="4" w:space="0" w:color="000000"/>
        </w:pBdr>
        <w:ind w:firstLine="284"/>
        <w:rPr>
          <w:sz w:val="20"/>
        </w:rPr>
      </w:pPr>
      <w:r w:rsidRPr="00B01C90">
        <w:rPr>
          <w:sz w:val="20"/>
        </w:rPr>
        <w:t xml:space="preserve">According to </w:t>
      </w:r>
      <w:r w:rsidR="002254CF">
        <w:rPr>
          <w:sz w:val="20"/>
        </w:rPr>
        <w:t>Boje, C.</w:t>
      </w:r>
      <w:r w:rsidR="002254CF" w:rsidRPr="002254CF">
        <w:rPr>
          <w:i/>
          <w:sz w:val="20"/>
        </w:rPr>
        <w:t>, et al.</w:t>
      </w:r>
      <w:r w:rsidR="005E7B0D" w:rsidRPr="00B01C90">
        <w:rPr>
          <w:sz w:val="20"/>
        </w:rPr>
        <w:t xml:space="preserve"> </w:t>
      </w:r>
      <w:r w:rsidR="002254CF">
        <w:rPr>
          <w:sz w:val="20"/>
        </w:rPr>
        <w:t>(2020)</w:t>
      </w:r>
      <w:r w:rsidRPr="00B01C90">
        <w:rPr>
          <w:sz w:val="20"/>
        </w:rPr>
        <w:t xml:space="preserve">, a DT in construction is a real-time, dynamic digital </w:t>
      </w:r>
      <w:r w:rsidRPr="00B01C90">
        <w:rPr>
          <w:sz w:val="20"/>
        </w:rPr>
        <w:lastRenderedPageBreak/>
        <w:t>representation of a physical asset, system, or process that integrates sensor data, simulations, and historical information. Unlike traditional BIM, it continuously updates and synchroni</w:t>
      </w:r>
      <w:r w:rsidR="003F66ED" w:rsidRPr="00B01C90">
        <w:rPr>
          <w:sz w:val="20"/>
        </w:rPr>
        <w:t>s</w:t>
      </w:r>
      <w:r w:rsidRPr="00B01C90">
        <w:rPr>
          <w:sz w:val="20"/>
        </w:rPr>
        <w:t>es with the physical environment, enabling monitoring, analysis, and optimi</w:t>
      </w:r>
      <w:r w:rsidR="003F66ED" w:rsidRPr="00B01C90">
        <w:rPr>
          <w:sz w:val="20"/>
        </w:rPr>
        <w:t>s</w:t>
      </w:r>
      <w:r w:rsidRPr="00B01C90">
        <w:rPr>
          <w:sz w:val="20"/>
        </w:rPr>
        <w:t xml:space="preserve">ation throughout the construction lifecycle. Although the number of DTs in construction is steadily increasing </w:t>
      </w:r>
      <w:r w:rsidR="002254CF">
        <w:rPr>
          <w:sz w:val="20"/>
        </w:rPr>
        <w:t>(Opoku, D.-G.J.</w:t>
      </w:r>
      <w:r w:rsidR="002254CF" w:rsidRPr="002254CF">
        <w:rPr>
          <w:i/>
          <w:sz w:val="20"/>
        </w:rPr>
        <w:t xml:space="preserve"> et al.</w:t>
      </w:r>
      <w:r w:rsidR="002254CF" w:rsidRPr="002254CF">
        <w:rPr>
          <w:sz w:val="20"/>
        </w:rPr>
        <w:t>, 2021)</w:t>
      </w:r>
      <w:r w:rsidRPr="00B01C90">
        <w:rPr>
          <w:sz w:val="20"/>
        </w:rPr>
        <w:t>, significant challenges remain to their widespread adoption. One of the biggest challenges in implementing DTs in the construction industry is reliable data management and visibility (Yang et al., 2024). As large amounts of real-time data from multiple sources are brought together, it is important to ensure data integrity and traceability to avoid manipulation and errors. Security and distributed collaboration are closely related, as many parties</w:t>
      </w:r>
      <w:r w:rsidR="005E7B0D" w:rsidRPr="00B01C90">
        <w:t>—</w:t>
      </w:r>
      <w:r w:rsidR="000A0CC8" w:rsidRPr="00B01C90">
        <w:rPr>
          <w:sz w:val="20"/>
        </w:rPr>
        <w:t>contractors, architects, and</w:t>
      </w:r>
      <w:r w:rsidRPr="00B01C90">
        <w:rPr>
          <w:sz w:val="20"/>
        </w:rPr>
        <w:t xml:space="preserve"> government</w:t>
      </w:r>
      <w:r w:rsidR="005E7B0D" w:rsidRPr="00B01C90">
        <w:t>—</w:t>
      </w:r>
      <w:r w:rsidRPr="00B01C90">
        <w:rPr>
          <w:sz w:val="20"/>
        </w:rPr>
        <w:t xml:space="preserve">need to access the same data. This requires robust access controls and protection mechanisms against cyber-attacks </w:t>
      </w:r>
      <w:r w:rsidR="002254CF" w:rsidRPr="001A426D">
        <w:rPr>
          <w:sz w:val="20"/>
          <w:lang w:val="en-US"/>
        </w:rPr>
        <w:t>(</w:t>
      </w:r>
      <w:proofErr w:type="spellStart"/>
      <w:r w:rsidR="002254CF" w:rsidRPr="001A426D">
        <w:rPr>
          <w:sz w:val="20"/>
          <w:lang w:val="en-US"/>
        </w:rPr>
        <w:t>Teisserenc</w:t>
      </w:r>
      <w:proofErr w:type="spellEnd"/>
      <w:r w:rsidR="002254CF" w:rsidRPr="001A426D">
        <w:rPr>
          <w:sz w:val="20"/>
          <w:lang w:val="en-US"/>
        </w:rPr>
        <w:t xml:space="preserve">, B. &amp; </w:t>
      </w:r>
      <w:proofErr w:type="spellStart"/>
      <w:r w:rsidR="002254CF" w:rsidRPr="001A426D">
        <w:rPr>
          <w:sz w:val="20"/>
          <w:lang w:val="en-US"/>
        </w:rPr>
        <w:t>Sepasgozar</w:t>
      </w:r>
      <w:proofErr w:type="spellEnd"/>
      <w:r w:rsidR="002254CF" w:rsidRPr="001A426D">
        <w:rPr>
          <w:sz w:val="20"/>
          <w:lang w:val="en-US"/>
        </w:rPr>
        <w:t xml:space="preserve">, S., 2021; Reim, W., Andersson, E. &amp; </w:t>
      </w:r>
      <w:proofErr w:type="spellStart"/>
      <w:r w:rsidR="002254CF" w:rsidRPr="001A426D">
        <w:rPr>
          <w:sz w:val="20"/>
          <w:lang w:val="en-US"/>
        </w:rPr>
        <w:t>Eckerwall</w:t>
      </w:r>
      <w:proofErr w:type="spellEnd"/>
      <w:r w:rsidR="002254CF" w:rsidRPr="001A426D">
        <w:rPr>
          <w:sz w:val="20"/>
          <w:lang w:val="en-US"/>
        </w:rPr>
        <w:t>, K., 2023)</w:t>
      </w:r>
      <w:r w:rsidRPr="001A426D">
        <w:rPr>
          <w:sz w:val="20"/>
          <w:lang w:val="en-US"/>
        </w:rPr>
        <w:t xml:space="preserve">. </w:t>
      </w:r>
      <w:r w:rsidRPr="00B01C90">
        <w:rPr>
          <w:sz w:val="20"/>
        </w:rPr>
        <w:t>Legal and regulatory frameworks also play an important role, particularly concerning data protection, liability, and standardi</w:t>
      </w:r>
      <w:r w:rsidR="003F66ED" w:rsidRPr="00B01C90">
        <w:rPr>
          <w:sz w:val="20"/>
        </w:rPr>
        <w:t>s</w:t>
      </w:r>
      <w:r w:rsidRPr="00B01C90">
        <w:rPr>
          <w:sz w:val="20"/>
        </w:rPr>
        <w:t xml:space="preserve">ation of data formats and interfaces. Without clear guidelines and secure infrastructures, the widespread use of DTs in the construction industry remains challenging </w:t>
      </w:r>
      <w:r w:rsidR="002254CF">
        <w:rPr>
          <w:sz w:val="20"/>
        </w:rPr>
        <w:t>(Opoku, D.-G.J.</w:t>
      </w:r>
      <w:r w:rsidR="002254CF" w:rsidRPr="002254CF">
        <w:rPr>
          <w:i/>
          <w:sz w:val="20"/>
        </w:rPr>
        <w:t xml:space="preserve"> et al.</w:t>
      </w:r>
      <w:r w:rsidR="002254CF" w:rsidRPr="002254CF">
        <w:rPr>
          <w:sz w:val="20"/>
        </w:rPr>
        <w:t>, 2021)</w:t>
      </w:r>
      <w:r w:rsidRPr="00B01C90">
        <w:rPr>
          <w:sz w:val="20"/>
        </w:rPr>
        <w:t xml:space="preserve">. DLTs (especially blockchain) present innovative solutions to overcome key challenges in implementing DTs in construction. </w:t>
      </w:r>
      <w:r w:rsidR="002254CF">
        <w:rPr>
          <w:sz w:val="20"/>
        </w:rPr>
        <w:t>Cao, X.</w:t>
      </w:r>
      <w:r w:rsidR="002254CF" w:rsidRPr="002254CF">
        <w:rPr>
          <w:i/>
          <w:sz w:val="20"/>
        </w:rPr>
        <w:t>, et al.</w:t>
      </w:r>
      <w:r w:rsidR="00C80874" w:rsidRPr="00B01C90">
        <w:rPr>
          <w:sz w:val="20"/>
        </w:rPr>
        <w:t xml:space="preserve"> </w:t>
      </w:r>
      <w:r w:rsidR="002254CF">
        <w:rPr>
          <w:sz w:val="20"/>
        </w:rPr>
        <w:t>(2022)</w:t>
      </w:r>
      <w:r w:rsidRPr="00B01C90">
        <w:rPr>
          <w:sz w:val="20"/>
        </w:rPr>
        <w:t xml:space="preserve"> demonstrate how integrating blockchain with DTs enhances data management and transparency, leveraging blockchain</w:t>
      </w:r>
      <w:r w:rsidR="003E0B49" w:rsidRPr="00B01C90">
        <w:rPr>
          <w:sz w:val="20"/>
        </w:rPr>
        <w:t>’</w:t>
      </w:r>
      <w:r w:rsidRPr="00B01C90">
        <w:rPr>
          <w:sz w:val="20"/>
        </w:rPr>
        <w:t>s decentrali</w:t>
      </w:r>
      <w:r w:rsidR="003F66ED" w:rsidRPr="00B01C90">
        <w:rPr>
          <w:sz w:val="20"/>
        </w:rPr>
        <w:t>s</w:t>
      </w:r>
      <w:r w:rsidRPr="00B01C90">
        <w:rPr>
          <w:sz w:val="20"/>
        </w:rPr>
        <w:t xml:space="preserve">ation, immutability, and security features to establish a highly trusted platform for data sharing. Similarly, </w:t>
      </w:r>
      <w:r w:rsidR="002254CF">
        <w:rPr>
          <w:sz w:val="20"/>
        </w:rPr>
        <w:t>(Putz, B.</w:t>
      </w:r>
      <w:r w:rsidR="002254CF" w:rsidRPr="002254CF">
        <w:rPr>
          <w:i/>
          <w:sz w:val="20"/>
        </w:rPr>
        <w:t xml:space="preserve"> et al.</w:t>
      </w:r>
      <w:r w:rsidR="002254CF" w:rsidRPr="002254CF">
        <w:rPr>
          <w:sz w:val="20"/>
        </w:rPr>
        <w:t>, 2021)</w:t>
      </w:r>
      <w:r w:rsidRPr="00B01C90">
        <w:rPr>
          <w:sz w:val="20"/>
        </w:rPr>
        <w:t xml:space="preserve"> introduce a component-based data model and an access control framework tailored for lifecycle participants. Their </w:t>
      </w:r>
      <w:proofErr w:type="spellStart"/>
      <w:r w:rsidRPr="00B01C90">
        <w:rPr>
          <w:sz w:val="20"/>
        </w:rPr>
        <w:t>EtherTwin</w:t>
      </w:r>
      <w:proofErr w:type="spellEnd"/>
      <w:r w:rsidRPr="00B01C90">
        <w:rPr>
          <w:sz w:val="20"/>
        </w:rPr>
        <w:t xml:space="preserve"> prototype ensures confidentiality through encryption and decentrali</w:t>
      </w:r>
      <w:r w:rsidR="003F66ED" w:rsidRPr="00B01C90">
        <w:rPr>
          <w:sz w:val="20"/>
        </w:rPr>
        <w:t>s</w:t>
      </w:r>
      <w:r w:rsidRPr="00B01C90">
        <w:rPr>
          <w:sz w:val="20"/>
        </w:rPr>
        <w:t xml:space="preserve">ed data sharing, eliminating the need for </w:t>
      </w:r>
      <w:r w:rsidR="00B07D79" w:rsidRPr="00B01C90">
        <w:rPr>
          <w:sz w:val="20"/>
        </w:rPr>
        <w:t>central</w:t>
      </w:r>
      <w:r w:rsidRPr="00B01C90">
        <w:rPr>
          <w:sz w:val="20"/>
        </w:rPr>
        <w:t xml:space="preserve"> authority. </w:t>
      </w:r>
      <w:proofErr w:type="spellStart"/>
      <w:r w:rsidR="002254CF">
        <w:rPr>
          <w:sz w:val="20"/>
        </w:rPr>
        <w:t>Teisserenc</w:t>
      </w:r>
      <w:proofErr w:type="spellEnd"/>
      <w:r w:rsidR="002254CF">
        <w:rPr>
          <w:sz w:val="20"/>
        </w:rPr>
        <w:t xml:space="preserve">, B. &amp; </w:t>
      </w:r>
      <w:proofErr w:type="spellStart"/>
      <w:r w:rsidR="002254CF">
        <w:rPr>
          <w:sz w:val="20"/>
        </w:rPr>
        <w:t>Sepasgozar</w:t>
      </w:r>
      <w:proofErr w:type="spellEnd"/>
      <w:r w:rsidR="002254CF">
        <w:rPr>
          <w:sz w:val="20"/>
        </w:rPr>
        <w:t>, S.</w:t>
      </w:r>
      <w:r w:rsidR="00C80874" w:rsidRPr="00B01C90">
        <w:rPr>
          <w:sz w:val="20"/>
        </w:rPr>
        <w:t xml:space="preserve"> </w:t>
      </w:r>
      <w:r w:rsidR="002254CF">
        <w:rPr>
          <w:sz w:val="20"/>
        </w:rPr>
        <w:t>(2021)</w:t>
      </w:r>
      <w:r w:rsidRPr="00B01C90">
        <w:rPr>
          <w:sz w:val="20"/>
        </w:rPr>
        <w:t xml:space="preserve"> address critical security and data protection challenges in the construction industry, emphasi</w:t>
      </w:r>
      <w:r w:rsidR="003F66ED" w:rsidRPr="00B01C90">
        <w:rPr>
          <w:sz w:val="20"/>
        </w:rPr>
        <w:t>s</w:t>
      </w:r>
      <w:r w:rsidRPr="00B01C90">
        <w:rPr>
          <w:sz w:val="20"/>
        </w:rPr>
        <w:t>ing the necessity of robust access control mechanisms and effective cybersecurity measures to mitigate risks associated with distributed collaboration. Given the inherently decentrali</w:t>
      </w:r>
      <w:r w:rsidR="003F66ED" w:rsidRPr="00B01C90">
        <w:rPr>
          <w:sz w:val="20"/>
        </w:rPr>
        <w:t>s</w:t>
      </w:r>
      <w:r w:rsidRPr="00B01C90">
        <w:rPr>
          <w:sz w:val="20"/>
        </w:rPr>
        <w:t xml:space="preserve">ed nature of data exchange in construction projects, the authors highlight blockchain technology as a fundamental solution for enhancing information security within common data environments. </w:t>
      </w:r>
      <w:r w:rsidR="002254CF">
        <w:rPr>
          <w:sz w:val="20"/>
        </w:rPr>
        <w:t>Lee, D.</w:t>
      </w:r>
      <w:r w:rsidR="002254CF" w:rsidRPr="002254CF">
        <w:rPr>
          <w:i/>
          <w:sz w:val="20"/>
        </w:rPr>
        <w:t>, et al.</w:t>
      </w:r>
      <w:r w:rsidR="00C80874" w:rsidRPr="00B01C90">
        <w:rPr>
          <w:sz w:val="20"/>
        </w:rPr>
        <w:t xml:space="preserve"> </w:t>
      </w:r>
      <w:r w:rsidR="002254CF">
        <w:rPr>
          <w:sz w:val="20"/>
        </w:rPr>
        <w:t>(2021)</w:t>
      </w:r>
      <w:r w:rsidRPr="00B01C90">
        <w:rPr>
          <w:sz w:val="20"/>
        </w:rPr>
        <w:t xml:space="preserve"> developed an integrated framework that combines </w:t>
      </w:r>
      <w:r w:rsidR="00AA6036">
        <w:rPr>
          <w:sz w:val="20"/>
        </w:rPr>
        <w:t>DT</w:t>
      </w:r>
      <w:r w:rsidRPr="00B01C90">
        <w:rPr>
          <w:sz w:val="20"/>
        </w:rPr>
        <w:t xml:space="preserve"> technology with blockchain to enhance information sharing in construction projects </w:t>
      </w:r>
      <w:r w:rsidR="000A0CC8" w:rsidRPr="00B01C90">
        <w:rPr>
          <w:sz w:val="20"/>
        </w:rPr>
        <w:t>to address</w:t>
      </w:r>
      <w:r w:rsidRPr="00B01C90">
        <w:rPr>
          <w:sz w:val="20"/>
        </w:rPr>
        <w:t xml:space="preserve"> challenges related to data authenticity, traceability, and security.</w:t>
      </w:r>
    </w:p>
    <w:p w14:paraId="038F6778" w14:textId="601356B3" w:rsidR="00031D57" w:rsidRPr="00B01C90" w:rsidRDefault="000D3967">
      <w:pPr>
        <w:pStyle w:val="PlainText"/>
        <w:ind w:firstLine="284"/>
        <w:rPr>
          <w:sz w:val="20"/>
        </w:rPr>
      </w:pPr>
      <w:r w:rsidRPr="00B01C90">
        <w:rPr>
          <w:sz w:val="20"/>
        </w:rPr>
        <w:t xml:space="preserve">The precast concrete industry is at the early stages of automation, with low productivity and limited technological adoption compared to other industries. While some processes, such as concrete mixing and component handling, have seen moderate automation, others, like formwork preparation and reinforcement placement, remain </w:t>
      </w:r>
      <w:r w:rsidR="00B07D79" w:rsidRPr="00B01C90">
        <w:rPr>
          <w:sz w:val="20"/>
        </w:rPr>
        <w:t xml:space="preserve">primarily </w:t>
      </w:r>
      <w:r w:rsidRPr="00B01C90">
        <w:rPr>
          <w:sz w:val="20"/>
        </w:rPr>
        <w:t xml:space="preserve">manual </w:t>
      </w:r>
      <w:r w:rsidR="002254CF">
        <w:rPr>
          <w:sz w:val="20"/>
        </w:rPr>
        <w:t>(Reichenbach, S. &amp; Kromoser, B., 2021)</w:t>
      </w:r>
      <w:r w:rsidRPr="00B01C90">
        <w:rPr>
          <w:sz w:val="20"/>
        </w:rPr>
        <w:t xml:space="preserve">. Recently, driven by the goal of integrating the I4.0 paradigm into the construction sector, significant advancements have been made in applying DT technology to </w:t>
      </w:r>
      <w:r w:rsidR="00B07D79" w:rsidRPr="00B01C90">
        <w:rPr>
          <w:sz w:val="20"/>
        </w:rPr>
        <w:t>produce</w:t>
      </w:r>
      <w:r w:rsidRPr="00B01C90">
        <w:rPr>
          <w:sz w:val="20"/>
        </w:rPr>
        <w:t xml:space="preserve"> precast concrete elements. In their research, </w:t>
      </w:r>
      <w:r w:rsidR="002254CF">
        <w:rPr>
          <w:sz w:val="20"/>
        </w:rPr>
        <w:t>Kosse, S.</w:t>
      </w:r>
      <w:r w:rsidR="002254CF" w:rsidRPr="002254CF">
        <w:rPr>
          <w:i/>
          <w:sz w:val="20"/>
        </w:rPr>
        <w:t>, et al.</w:t>
      </w:r>
      <w:r w:rsidR="00813C44" w:rsidRPr="00B01C90">
        <w:rPr>
          <w:sz w:val="20"/>
        </w:rPr>
        <w:t xml:space="preserve"> </w:t>
      </w:r>
      <w:r w:rsidR="002254CF">
        <w:rPr>
          <w:sz w:val="20"/>
        </w:rPr>
        <w:t>(2022; 2024)</w:t>
      </w:r>
      <w:r w:rsidRPr="00B01C90">
        <w:rPr>
          <w:sz w:val="20"/>
        </w:rPr>
        <w:t xml:space="preserve"> employ the AAS to integrate DT technology into precast concrete production, enabling standardi</w:t>
      </w:r>
      <w:r w:rsidR="00CB3921" w:rsidRPr="00B01C90">
        <w:rPr>
          <w:sz w:val="20"/>
        </w:rPr>
        <w:t>s</w:t>
      </w:r>
      <w:r w:rsidRPr="00B01C90">
        <w:rPr>
          <w:sz w:val="20"/>
        </w:rPr>
        <w:t>ed data exchange and process automation. The AAS serves as a digital representation of physical assets, consolidating design, material, and real-time production data to enhance monitoring, quality control, and efficiency in line with I4.0 principles. However, while research has advanced DT technology and data integration in precast concrete production, process automation remains unexplored. Studies focus on monitoring and quality control, but the automation of workflows and decision-making still lacks academic attention, requiring further investigation for full I4.0 adoption. Smart contracts offer a promising solution for process automation in precast concrete production by enabling secure, autonomous execution of predefined tasks without intermediaries</w:t>
      </w:r>
      <w:r w:rsidRPr="00B01C90">
        <w:rPr>
          <w:rFonts w:eastAsia="SimSun"/>
          <w:sz w:val="20"/>
          <w:lang w:eastAsia="zh-CN"/>
        </w:rPr>
        <w:t xml:space="preserve"> </w:t>
      </w:r>
      <w:r w:rsidR="002254CF">
        <w:rPr>
          <w:rFonts w:eastAsia="SimSun"/>
          <w:sz w:val="20"/>
          <w:lang w:eastAsia="zh-CN"/>
        </w:rPr>
        <w:t>(Ye, X., Liu, L. &amp; König, M., 2024)</w:t>
      </w:r>
      <w:r w:rsidRPr="00B01C90">
        <w:rPr>
          <w:sz w:val="20"/>
        </w:rPr>
        <w:t xml:space="preserve">. By leveraging blockchain technology, they ensure transparency, traceability, and real-time validation of production workflows </w:t>
      </w:r>
      <w:r w:rsidR="002254CF">
        <w:rPr>
          <w:sz w:val="20"/>
        </w:rPr>
        <w:t>(Wang, Z.</w:t>
      </w:r>
      <w:r w:rsidR="002254CF" w:rsidRPr="002254CF">
        <w:rPr>
          <w:i/>
          <w:sz w:val="20"/>
        </w:rPr>
        <w:t xml:space="preserve"> et al.</w:t>
      </w:r>
      <w:r w:rsidR="002254CF" w:rsidRPr="002254CF">
        <w:rPr>
          <w:sz w:val="20"/>
        </w:rPr>
        <w:t>, 2020)</w:t>
      </w:r>
      <w:r w:rsidRPr="00B01C90">
        <w:rPr>
          <w:sz w:val="20"/>
        </w:rPr>
        <w:t xml:space="preserve">. IOTA, a distributed ledger-based framework, has already been successfully integrated with the AAS to enable secure and scalable data exchange in industrial applications </w:t>
      </w:r>
      <w:r w:rsidR="002254CF">
        <w:rPr>
          <w:sz w:val="20"/>
        </w:rPr>
        <w:t>(Dogan, A.</w:t>
      </w:r>
      <w:r w:rsidR="002254CF" w:rsidRPr="002254CF">
        <w:rPr>
          <w:i/>
          <w:sz w:val="20"/>
        </w:rPr>
        <w:t xml:space="preserve"> et al.</w:t>
      </w:r>
      <w:r w:rsidR="002254CF" w:rsidRPr="002254CF">
        <w:rPr>
          <w:sz w:val="20"/>
        </w:rPr>
        <w:t>, 2020)</w:t>
      </w:r>
      <w:r w:rsidR="00813C44" w:rsidRPr="00B01C90">
        <w:rPr>
          <w:sz w:val="20"/>
        </w:rPr>
        <w:t>.</w:t>
      </w:r>
    </w:p>
    <w:p w14:paraId="3ED289B0" w14:textId="06EE31A1" w:rsidR="00031D57" w:rsidRPr="00B01C90" w:rsidRDefault="00031D57" w:rsidP="00262CDA">
      <w:pPr>
        <w:pStyle w:val="PlainText"/>
        <w:ind w:firstLine="284"/>
        <w:rPr>
          <w:sz w:val="20"/>
        </w:rPr>
      </w:pPr>
    </w:p>
    <w:p w14:paraId="2DF9060C" w14:textId="77777777" w:rsidR="00031D57" w:rsidRPr="00B01C90" w:rsidRDefault="000D3967">
      <w:pPr>
        <w:pStyle w:val="Heading1"/>
        <w:rPr>
          <w:rFonts w:eastAsia="SimSun"/>
          <w:lang w:eastAsia="zh-CN"/>
        </w:rPr>
      </w:pPr>
      <w:r w:rsidRPr="00B01C90">
        <w:t xml:space="preserve">3. </w:t>
      </w:r>
      <w:r w:rsidRPr="00B01C90">
        <w:rPr>
          <w:caps/>
        </w:rPr>
        <w:t>Concept</w:t>
      </w:r>
    </w:p>
    <w:p w14:paraId="673F0278" w14:textId="3B21C6BF" w:rsidR="00846CC0" w:rsidRPr="00B01C90" w:rsidRDefault="000D3967" w:rsidP="00846CC0">
      <w:pPr>
        <w:pStyle w:val="PlainText"/>
        <w:ind w:firstLine="284"/>
        <w:rPr>
          <w:rFonts w:eastAsia="Times New Roman"/>
          <w:sz w:val="20"/>
          <w:szCs w:val="24"/>
        </w:rPr>
      </w:pPr>
      <w:r w:rsidRPr="00B01C90">
        <w:rPr>
          <w:rFonts w:eastAsia="Times New Roman"/>
          <w:sz w:val="20"/>
          <w:szCs w:val="24"/>
        </w:rPr>
        <w:t xml:space="preserve">The reviewed literature has shown that </w:t>
      </w:r>
      <w:r w:rsidR="000A0CC8" w:rsidRPr="00B01C90">
        <w:rPr>
          <w:rFonts w:eastAsia="Times New Roman"/>
          <w:sz w:val="20"/>
          <w:szCs w:val="24"/>
        </w:rPr>
        <w:t>integrating</w:t>
      </w:r>
      <w:r w:rsidRPr="00B01C90">
        <w:rPr>
          <w:rFonts w:eastAsia="Times New Roman"/>
          <w:sz w:val="20"/>
          <w:szCs w:val="24"/>
        </w:rPr>
        <w:t xml:space="preserve"> IOTA into the DT can offer advantages for automatically </w:t>
      </w:r>
      <w:r w:rsidR="00AA6036" w:rsidRPr="00AA6036">
        <w:rPr>
          <w:rFonts w:eastAsia="Times New Roman"/>
          <w:sz w:val="20"/>
          <w:szCs w:val="24"/>
        </w:rPr>
        <w:t>controlling</w:t>
      </w:r>
      <w:r w:rsidR="00AA6036">
        <w:rPr>
          <w:rFonts w:eastAsia="Times New Roman"/>
          <w:sz w:val="20"/>
          <w:szCs w:val="24"/>
        </w:rPr>
        <w:t xml:space="preserve"> </w:t>
      </w:r>
      <w:r w:rsidRPr="00B01C90">
        <w:rPr>
          <w:rFonts w:eastAsia="Times New Roman"/>
          <w:sz w:val="20"/>
          <w:szCs w:val="24"/>
        </w:rPr>
        <w:t xml:space="preserve">production in a precast concrete plant. However, the application of IOTA in the construction domain is little researched, and thus, </w:t>
      </w:r>
      <w:r w:rsidR="00C74DE8">
        <w:rPr>
          <w:rFonts w:eastAsia="Times New Roman"/>
          <w:sz w:val="20"/>
          <w:szCs w:val="24"/>
        </w:rPr>
        <w:t xml:space="preserve">following our previous research (Ye, X., Liu, L. &amp; König, M., 2024), </w:t>
      </w:r>
      <w:r w:rsidRPr="00B01C90">
        <w:rPr>
          <w:rFonts w:eastAsia="Times New Roman"/>
          <w:sz w:val="20"/>
          <w:szCs w:val="24"/>
        </w:rPr>
        <w:t>th</w:t>
      </w:r>
      <w:r w:rsidR="000A0CC8" w:rsidRPr="00B01C90">
        <w:rPr>
          <w:rFonts w:eastAsia="Times New Roman"/>
          <w:sz w:val="20"/>
          <w:szCs w:val="24"/>
        </w:rPr>
        <w:t>is paper aim</w:t>
      </w:r>
      <w:r w:rsidRPr="00B01C90">
        <w:rPr>
          <w:rFonts w:eastAsia="Times New Roman"/>
          <w:sz w:val="20"/>
          <w:szCs w:val="24"/>
        </w:rPr>
        <w:t xml:space="preserve">s to present a prototype implementation for an IOTA-based DT of a production system that can monitor and control processes using the workflows defined in smart contracts. With this prototype, we do not aim to present a productive solution yet, but to lay the groundwork for exploring and demonstrating the </w:t>
      </w:r>
      <w:r w:rsidRPr="00B01C90">
        <w:rPr>
          <w:rFonts w:eastAsia="Times New Roman"/>
          <w:sz w:val="20"/>
          <w:szCs w:val="24"/>
        </w:rPr>
        <w:lastRenderedPageBreak/>
        <w:t>capabilities of a system built upon the AAS and IOTA.</w:t>
      </w:r>
    </w:p>
    <w:p w14:paraId="0494A185" w14:textId="4C6A7DEF" w:rsidR="00031D57" w:rsidRPr="00B01C90" w:rsidRDefault="009835E2">
      <w:pPr>
        <w:pStyle w:val="PlainText"/>
        <w:ind w:firstLine="284"/>
        <w:rPr>
          <w:rFonts w:eastAsia="Times New Roman"/>
          <w:sz w:val="20"/>
          <w:szCs w:val="24"/>
        </w:rPr>
      </w:pPr>
      <w:r w:rsidRPr="00B01C90">
        <w:rPr>
          <w:rFonts w:eastAsia="Times New Roman"/>
          <w:sz w:val="20"/>
          <w:szCs w:val="24"/>
        </w:rPr>
        <w:t xml:space="preserve">Figure 1 shows the concept developed in this research for automating process tasks using IOTA smart contracts. The core of this approach is using sensor data as a trigger mechanism, where, for example, exceeding a predefined critical sensor value activates the smart contract. The sensor data is collected via an </w:t>
      </w:r>
      <w:proofErr w:type="spellStart"/>
      <w:r w:rsidRPr="00B01C90">
        <w:rPr>
          <w:rFonts w:eastAsia="Times New Roman"/>
          <w:sz w:val="20"/>
          <w:szCs w:val="24"/>
        </w:rPr>
        <w:t>InfluxDB</w:t>
      </w:r>
      <w:proofErr w:type="spellEnd"/>
      <w:r w:rsidRPr="00B01C90">
        <w:rPr>
          <w:rFonts w:eastAsia="Times New Roman"/>
          <w:sz w:val="20"/>
          <w:szCs w:val="24"/>
        </w:rPr>
        <w:t xml:space="preserve"> time-series database</w:t>
      </w:r>
      <w:r w:rsidR="003E0B49" w:rsidRPr="00B01C90">
        <w:rPr>
          <w:rFonts w:eastAsia="Times New Roman"/>
          <w:sz w:val="20"/>
          <w:szCs w:val="24"/>
        </w:rPr>
        <w:t>,</w:t>
      </w:r>
      <w:r w:rsidRPr="00B01C90">
        <w:rPr>
          <w:rFonts w:eastAsia="Times New Roman"/>
          <w:sz w:val="20"/>
          <w:szCs w:val="24"/>
        </w:rPr>
        <w:t xml:space="preserve"> while referencing the data series takes place in the AAS of the respective asset. A monitoring service accesses the required endpoint information from the AAS to ensure access to the relevant sensor data. When a defined condition is met, such as exceeding a threshold, the service initiates the appropriate process task. The automatic execution of process tasks is achieved through rule-based smart contracts, enabling efficient and scalable process automation. </w:t>
      </w:r>
    </w:p>
    <w:p w14:paraId="55051127" w14:textId="189ADBE2" w:rsidR="00031D57" w:rsidRPr="00B01C90" w:rsidRDefault="00FB759A">
      <w:pPr>
        <w:pStyle w:val="PlainText"/>
        <w:ind w:firstLine="284"/>
        <w:rPr>
          <w:rFonts w:eastAsia="Times New Roman"/>
          <w:sz w:val="20"/>
          <w:szCs w:val="24"/>
        </w:rPr>
      </w:pPr>
      <w:r w:rsidRPr="00B01C90">
        <w:rPr>
          <w:noProof/>
        </w:rPr>
        <w:drawing>
          <wp:anchor distT="0" distB="0" distL="114300" distR="114300" simplePos="0" relativeHeight="9" behindDoc="0" locked="0" layoutInCell="1" allowOverlap="1" wp14:anchorId="39948CBE" wp14:editId="0D4415A2">
            <wp:simplePos x="0" y="0"/>
            <wp:positionH relativeFrom="margin">
              <wp:align>right</wp:align>
            </wp:positionH>
            <wp:positionV relativeFrom="page">
              <wp:posOffset>6038850</wp:posOffset>
            </wp:positionV>
            <wp:extent cx="6113145" cy="2996565"/>
            <wp:effectExtent l="0" t="0" r="1905" b="0"/>
            <wp:wrapTopAndBottom/>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113145" cy="2996565"/>
                    </a:xfrm>
                    <a:prstGeom prst="rect">
                      <a:avLst/>
                    </a:prstGeom>
                    <a:noFill/>
                  </pic:spPr>
                </pic:pic>
              </a:graphicData>
            </a:graphic>
            <wp14:sizeRelH relativeFrom="page">
              <wp14:pctWidth>0</wp14:pctWidth>
            </wp14:sizeRelH>
            <wp14:sizeRelV relativeFrom="page">
              <wp14:pctHeight>0</wp14:pctHeight>
            </wp14:sizeRelV>
          </wp:anchor>
        </w:drawing>
      </w:r>
      <w:r w:rsidR="009835E2" w:rsidRPr="00B01C90">
        <w:rPr>
          <w:rFonts w:eastAsia="Times New Roman"/>
          <w:sz w:val="20"/>
          <w:szCs w:val="24"/>
        </w:rPr>
        <w:t>Activating a process task triggers its associated smart contract, which executes the predefined functions. These smart contracts are deployed on the IOTA network, where all associated AASs undergo verification to ensure proper authori</w:t>
      </w:r>
      <w:r w:rsidR="00725CCD" w:rsidRPr="00B01C90">
        <w:rPr>
          <w:rFonts w:eastAsia="Times New Roman"/>
          <w:sz w:val="20"/>
          <w:szCs w:val="24"/>
        </w:rPr>
        <w:t>s</w:t>
      </w:r>
      <w:r w:rsidR="009835E2" w:rsidRPr="00B01C90">
        <w:rPr>
          <w:rFonts w:eastAsia="Times New Roman"/>
          <w:sz w:val="20"/>
          <w:szCs w:val="24"/>
        </w:rPr>
        <w:t>ation for task execution. In the next step, process-integrated actions are selected to achieve specific objectives, such as executing commands via IoT devices or controlling robotics. Each action is clustered as a bundle of predefined functions within dedicated action-specific smart contracts. In the third step</w:t>
      </w:r>
      <w:r w:rsidR="00EF463E" w:rsidRPr="00B01C90">
        <w:t>, which</w:t>
      </w:r>
      <w:r w:rsidR="000A0CC8" w:rsidRPr="00B01C90">
        <w:t xml:space="preserve"> activates systems or linked physical devices</w:t>
      </w:r>
      <w:r w:rsidR="009835E2" w:rsidRPr="00B01C90">
        <w:rPr>
          <w:rFonts w:eastAsia="Times New Roman"/>
          <w:sz w:val="20"/>
          <w:szCs w:val="24"/>
        </w:rPr>
        <w:t xml:space="preserve"> to execute the selected actions. During execution, each action’s associated AAS reference is stored in the corresponding transaction to establish a clear link to the relevant AAS. Each </w:t>
      </w:r>
      <w:r w:rsidR="009835E2" w:rsidRPr="00B01C90">
        <w:rPr>
          <w:rFonts w:eastAsia="Times New Roman"/>
          <w:sz w:val="20"/>
          <w:szCs w:val="24"/>
        </w:rPr>
        <w:t xml:space="preserve">executed smart contract function generates a transaction, which will be further stored in the IOTA network. Once all functions of the selected actions have been completed, the executed transactions of this process task are grouped into a process-integrated data structure with the task identifier, corresponding </w:t>
      </w:r>
      <w:r w:rsidR="00B35E71" w:rsidRPr="00B01C90">
        <w:rPr>
          <w:rFonts w:eastAsia="Times New Roman"/>
          <w:sz w:val="20"/>
          <w:szCs w:val="24"/>
        </w:rPr>
        <w:t>actions</w:t>
      </w:r>
      <w:r w:rsidR="00820143" w:rsidRPr="00B01C90">
        <w:rPr>
          <w:rFonts w:eastAsia="Times New Roman"/>
          <w:sz w:val="20"/>
          <w:szCs w:val="24"/>
        </w:rPr>
        <w:t xml:space="preserve">’ </w:t>
      </w:r>
      <w:r w:rsidR="009835E2" w:rsidRPr="00B01C90">
        <w:rPr>
          <w:rFonts w:eastAsia="Times New Roman"/>
          <w:sz w:val="20"/>
          <w:szCs w:val="24"/>
        </w:rPr>
        <w:t>information</w:t>
      </w:r>
      <w:r w:rsidR="003E0B49" w:rsidRPr="00B01C90">
        <w:rPr>
          <w:rFonts w:eastAsia="Times New Roman"/>
          <w:sz w:val="20"/>
          <w:szCs w:val="24"/>
        </w:rPr>
        <w:t xml:space="preserve">, </w:t>
      </w:r>
      <w:r w:rsidR="009835E2" w:rsidRPr="00B01C90">
        <w:rPr>
          <w:rFonts w:eastAsia="Times New Roman"/>
          <w:sz w:val="20"/>
          <w:szCs w:val="24"/>
        </w:rPr>
        <w:t>and the referenced AAS, which stores the task</w:t>
      </w:r>
      <w:r w:rsidR="00A97076" w:rsidRPr="00B01C90">
        <w:rPr>
          <w:rFonts w:eastAsia="Times New Roman"/>
          <w:sz w:val="20"/>
          <w:szCs w:val="24"/>
        </w:rPr>
        <w:t>’</w:t>
      </w:r>
      <w:r w:rsidR="009835E2" w:rsidRPr="00B01C90">
        <w:rPr>
          <w:rFonts w:eastAsia="Times New Roman"/>
          <w:sz w:val="20"/>
          <w:szCs w:val="24"/>
        </w:rPr>
        <w:t>s historical data. Consequently, all AAS-related transactions and their respective references are maintained in the IOTA ledger and can be linked back to their corresponding AASs. Historical information on any AAS can be queried within the IOTA network.</w:t>
      </w:r>
    </w:p>
    <w:p w14:paraId="55FCF9F7" w14:textId="73C350BC" w:rsidR="00031D57" w:rsidRPr="00B01C90" w:rsidRDefault="000D3967">
      <w:pPr>
        <w:pStyle w:val="PlainText"/>
        <w:ind w:firstLine="284"/>
      </w:pPr>
      <w:r w:rsidRPr="00B01C90">
        <w:rPr>
          <w:rFonts w:eastAsia="Times New Roman"/>
          <w:sz w:val="20"/>
          <w:szCs w:val="24"/>
        </w:rPr>
        <w:t>This research contributes to the digital transformation of the precast concrete industry by integrating smart contracts and DTs to enable automated workflow execution. This approach supports data-driven decision-making by providing accurate, real-time insights into production processes. The automated activation of smart contracts facilitates the seamless progression of production steps, reducing the need for manual intervention and minimi</w:t>
      </w:r>
      <w:r w:rsidR="003F66ED" w:rsidRPr="00B01C90">
        <w:rPr>
          <w:rFonts w:eastAsia="Times New Roman"/>
          <w:sz w:val="20"/>
          <w:szCs w:val="24"/>
        </w:rPr>
        <w:t>s</w:t>
      </w:r>
      <w:r w:rsidRPr="00B01C90">
        <w:rPr>
          <w:rFonts w:eastAsia="Times New Roman"/>
          <w:sz w:val="20"/>
          <w:szCs w:val="24"/>
        </w:rPr>
        <w:t>ing delays. Additionally, it enhances quality control by ensuring that subsequent tasks are initiated only when predefined conditions, such as material readiness, are satisfied.</w:t>
      </w:r>
    </w:p>
    <w:p w14:paraId="650E5DF5" w14:textId="005F979B" w:rsidR="00031D57" w:rsidRPr="00B01C90" w:rsidRDefault="000D3967">
      <w:pPr>
        <w:pStyle w:val="PlainText"/>
        <w:ind w:firstLine="284"/>
        <w:rPr>
          <w:rFonts w:eastAsia="Times New Roman"/>
          <w:i/>
          <w:iCs/>
          <w:szCs w:val="22"/>
        </w:rPr>
      </w:pPr>
      <w:r w:rsidRPr="00B01C90">
        <w:rPr>
          <w:rFonts w:eastAsia="Times New Roman"/>
          <w:i/>
          <w:iCs/>
          <w:szCs w:val="22"/>
        </w:rPr>
        <w:t xml:space="preserve"> </w:t>
      </w:r>
    </w:p>
    <w:p w14:paraId="7337690D" w14:textId="4EBB6DB4" w:rsidR="00031D57" w:rsidRPr="00B01C90" w:rsidRDefault="000D3967">
      <w:pPr>
        <w:pStyle w:val="Heading1"/>
        <w:rPr>
          <w:caps/>
        </w:rPr>
      </w:pPr>
      <w:r w:rsidRPr="00B01C90">
        <w:t xml:space="preserve">4. </w:t>
      </w:r>
      <w:r w:rsidRPr="00B01C90">
        <w:rPr>
          <w:caps/>
        </w:rPr>
        <w:t xml:space="preserve">Implementation </w:t>
      </w:r>
    </w:p>
    <w:p w14:paraId="121F6389" w14:textId="2B520CAC" w:rsidR="00FB759A" w:rsidRDefault="00FB759A" w:rsidP="004D29AC">
      <w:pPr>
        <w:pStyle w:val="MainText"/>
      </w:pPr>
      <w:r w:rsidRPr="00B01C90">
        <w:rPr>
          <w:noProof/>
        </w:rPr>
        <mc:AlternateContent>
          <mc:Choice Requires="wps">
            <w:drawing>
              <wp:anchor distT="0" distB="0" distL="114300" distR="114300" simplePos="0" relativeHeight="3" behindDoc="0" locked="0" layoutInCell="1" allowOverlap="1" wp14:anchorId="1C0A5973" wp14:editId="0E30BC38">
                <wp:simplePos x="0" y="0"/>
                <wp:positionH relativeFrom="margin">
                  <wp:posOffset>-19685</wp:posOffset>
                </wp:positionH>
                <wp:positionV relativeFrom="margin">
                  <wp:posOffset>8219440</wp:posOffset>
                </wp:positionV>
                <wp:extent cx="6122035" cy="217805"/>
                <wp:effectExtent l="0" t="0" r="0" b="0"/>
                <wp:wrapSquare wrapText="bothSides"/>
                <wp:docPr id="1000582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22035" cy="217805"/>
                        </a:xfrm>
                        <a:prstGeom prst="rect">
                          <a:avLst/>
                        </a:prstGeom>
                        <a:solidFill>
                          <a:srgbClr val="FFFFFF"/>
                        </a:solidFill>
                        <a:ln>
                          <a:noFill/>
                        </a:ln>
                      </wps:spPr>
                      <wps:txbx>
                        <w:txbxContent>
                          <w:p w14:paraId="0C6568AA" w14:textId="77777777" w:rsidR="00031D57" w:rsidRPr="004D29AC" w:rsidRDefault="000D3967" w:rsidP="004D29AC">
                            <w:pPr>
                              <w:pStyle w:val="Caption"/>
                              <w:spacing w:before="120" w:after="120"/>
                              <w:rPr>
                                <w:b w:val="0"/>
                                <w:bCs/>
                                <w:color w:val="auto"/>
                              </w:rPr>
                            </w:pPr>
                            <w:r w:rsidRPr="004D29AC">
                              <w:rPr>
                                <w:b w:val="0"/>
                                <w:bCs/>
                                <w:color w:val="auto"/>
                              </w:rPr>
                              <w:t>Figure 1: Overall proposed framework.</w:t>
                            </w:r>
                          </w:p>
                        </w:txbxContent>
                      </wps:txbx>
                      <wps:bodyPr wrap="square" lIns="0" tIns="0" rIns="0" bIns="0" upright="1">
                        <a:noAutofit/>
                      </wps:bodyPr>
                    </wps:wsp>
                  </a:graphicData>
                </a:graphic>
                <wp14:sizeRelH relativeFrom="page">
                  <wp14:pctWidth>0</wp14:pctWidth>
                </wp14:sizeRelH>
                <wp14:sizeRelV relativeFrom="page">
                  <wp14:pctHeight>0</wp14:pctHeight>
                </wp14:sizeRelV>
              </wp:anchor>
            </w:drawing>
          </mc:Choice>
          <mc:Fallback>
            <w:pict>
              <v:shapetype w14:anchorId="1C0A5973" id="_x0000_t202" coordsize="21600,21600" o:spt="202" path="m,l,21600r21600,l21600,xe">
                <v:stroke joinstyle="miter"/>
                <v:path gradientshapeok="t" o:connecttype="rect"/>
              </v:shapetype>
              <v:shape id="Text Box 5" o:spid="_x0000_s1027" type="#_x0000_t202" style="position:absolute;left:0;text-align:left;margin-left:-1.55pt;margin-top:647.2pt;width:482.05pt;height:17.15pt;z-index: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" stroked="f">
                <v:textbox inset="0,0,0,0">
                  <w:txbxContent>
                    <w:p w14:paraId="0C6568AA" w14:textId="77777777" w:rsidR="00031D57" w:rsidRPr="004D29AC" w:rsidRDefault="000D3967" w:rsidP="004D29AC">
                      <w:pPr>
                        <w:pStyle w:val="Caption"/>
                        <w:spacing w:before="120" w:after="120"/>
                        <w:rPr>
                          <w:b w:val="0"/>
                          <w:bCs/>
                          <w:color w:val="auto"/>
                        </w:rPr>
                      </w:pPr>
                      <w:r w:rsidRPr="004D29AC">
                        <w:rPr>
                          <w:b w:val="0"/>
                          <w:bCs/>
                          <w:color w:val="auto"/>
                        </w:rPr>
                        <w:t>Figure 1: Overall proposed framework.</w:t>
                      </w:r>
                    </w:p>
                  </w:txbxContent>
                </v:textbox>
                <w10:wrap type="square" anchorx="margin" anchory="margin"/>
              </v:shape>
            </w:pict>
          </mc:Fallback>
        </mc:AlternateContent>
      </w:r>
      <w:r w:rsidR="009835E2" w:rsidRPr="00B01C90">
        <w:t xml:space="preserve">The proposed framework is theoretically applicable to various industrial automation cases. However, since the specific implementation of AAS and smart contract actions varies from case to case, this paper focuses on a specific use case to demonstrate the implementation details. This section introduces the selected use case, presents </w:t>
      </w:r>
      <w:r w:rsidR="009835E2" w:rsidRPr="00B01C90">
        <w:lastRenderedPageBreak/>
        <w:t>a sequence diagram of the interactions between components in the system, explains the implementation steps, and provides a general structure for the smart contract logic.</w:t>
      </w:r>
    </w:p>
    <w:p w14:paraId="14F9264B" w14:textId="77777777" w:rsidR="00C74DE8" w:rsidRPr="00B01C90" w:rsidRDefault="00C74DE8" w:rsidP="004D29AC">
      <w:pPr>
        <w:pStyle w:val="MainText"/>
      </w:pPr>
    </w:p>
    <w:p w14:paraId="1F0135DA" w14:textId="1D64923B" w:rsidR="00031D57" w:rsidRPr="00B01C90" w:rsidRDefault="000D3967">
      <w:pPr>
        <w:pStyle w:val="PlainText"/>
        <w:rPr>
          <w:b/>
          <w:bCs/>
          <w:sz w:val="20"/>
        </w:rPr>
      </w:pPr>
      <w:r w:rsidRPr="00B01C90">
        <w:rPr>
          <w:b/>
          <w:sz w:val="20"/>
        </w:rPr>
        <w:t>4.1 Use Case</w:t>
      </w:r>
    </w:p>
    <w:p w14:paraId="10CA8DB4" w14:textId="5375B449" w:rsidR="00031D57" w:rsidRPr="00B01C90" w:rsidRDefault="00D31087" w:rsidP="001F42B8">
      <w:pPr>
        <w:pStyle w:val="MainText"/>
      </w:pPr>
      <w:r w:rsidRPr="00B01C90">
        <w:rPr>
          <w:noProof/>
        </w:rPr>
        <w:drawing>
          <wp:anchor distT="71755" distB="0" distL="114300" distR="114300" simplePos="0" relativeHeight="6" behindDoc="0" locked="0" layoutInCell="1" allowOverlap="1" wp14:anchorId="1D5BD5F7" wp14:editId="2DAC02CF">
            <wp:simplePos x="0" y="0"/>
            <wp:positionH relativeFrom="margin">
              <wp:posOffset>-19050</wp:posOffset>
            </wp:positionH>
            <wp:positionV relativeFrom="page">
              <wp:posOffset>4056380</wp:posOffset>
            </wp:positionV>
            <wp:extent cx="6159500" cy="4906645"/>
            <wp:effectExtent l="0" t="0" r="0" b="8255"/>
            <wp:wrapTopAndBottom/>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159500" cy="4906645"/>
                    </a:xfrm>
                    <a:prstGeom prst="rect">
                      <a:avLst/>
                    </a:prstGeom>
                    <a:noFill/>
                  </pic:spPr>
                </pic:pic>
              </a:graphicData>
            </a:graphic>
            <wp14:sizeRelH relativeFrom="margin">
              <wp14:pctWidth>0</wp14:pctWidth>
            </wp14:sizeRelH>
            <wp14:sizeRelV relativeFrom="margin">
              <wp14:pctHeight>0</wp14:pctHeight>
            </wp14:sizeRelV>
          </wp:anchor>
        </w:drawing>
      </w:r>
      <w:r w:rsidR="00936777" w:rsidRPr="00B01C90">
        <w:rPr>
          <w:noProof/>
        </w:rPr>
        <mc:AlternateContent>
          <mc:Choice Requires="wps">
            <w:drawing>
              <wp:anchor distT="0" distB="0" distL="114300" distR="114300" simplePos="0" relativeHeight="5" behindDoc="0" locked="0" layoutInCell="1" allowOverlap="1" wp14:anchorId="60CB7AEA" wp14:editId="6D2D20F2">
                <wp:simplePos x="0" y="0"/>
                <wp:positionH relativeFrom="column">
                  <wp:posOffset>0</wp:posOffset>
                </wp:positionH>
                <wp:positionV relativeFrom="page">
                  <wp:posOffset>8985885</wp:posOffset>
                </wp:positionV>
                <wp:extent cx="6139815" cy="252095"/>
                <wp:effectExtent l="635" t="3810" r="3175" b="1270"/>
                <wp:wrapTopAndBottom/>
                <wp:docPr id="18596081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F9562" w14:textId="339E8658" w:rsidR="00031D57" w:rsidRPr="004D29AC" w:rsidRDefault="000D3967" w:rsidP="004D29AC">
                            <w:pPr>
                              <w:pStyle w:val="Caption"/>
                              <w:spacing w:before="120" w:after="120"/>
                              <w:rPr>
                                <w:rFonts w:eastAsia="MS Mincho" w:cs="Arial"/>
                                <w:b w:val="0"/>
                                <w:bCs/>
                                <w:color w:val="auto"/>
                                <w:sz w:val="20"/>
                                <w:szCs w:val="20"/>
                              </w:rPr>
                            </w:pPr>
                            <w:r w:rsidRPr="004D29AC">
                              <w:rPr>
                                <w:b w:val="0"/>
                                <w:bCs/>
                                <w:color w:val="auto"/>
                              </w:rPr>
                              <w:t>Figure 2</w:t>
                            </w:r>
                            <w:r w:rsidR="004D29AC" w:rsidRPr="004D29AC">
                              <w:rPr>
                                <w:b w:val="0"/>
                                <w:bCs/>
                                <w:color w:val="auto"/>
                              </w:rPr>
                              <w:t>:</w:t>
                            </w:r>
                            <w:r w:rsidRPr="004D29AC">
                              <w:rPr>
                                <w:b w:val="0"/>
                                <w:bCs/>
                                <w:color w:val="auto"/>
                              </w:rPr>
                              <w:t xml:space="preserve"> Sequence diagram </w:t>
                            </w:r>
                            <w:r w:rsidR="00223888" w:rsidRPr="004D29AC">
                              <w:rPr>
                                <w:b w:val="0"/>
                                <w:bCs/>
                                <w:color w:val="auto"/>
                              </w:rPr>
                              <w:t>of the proposed framework in the precast concrete products</w:t>
                            </w:r>
                            <w:r w:rsidR="003E0B49" w:rsidRPr="004D29AC">
                              <w:rPr>
                                <w:b w:val="0"/>
                                <w:bCs/>
                                <w:color w:val="auto"/>
                              </w:rPr>
                              <w:t xml:space="preserve">’ </w:t>
                            </w:r>
                            <w:r w:rsidR="00223888" w:rsidRPr="004D29AC">
                              <w:rPr>
                                <w:b w:val="0"/>
                                <w:bCs/>
                                <w:color w:val="auto"/>
                              </w:rPr>
                              <w:t>curing process</w:t>
                            </w:r>
                            <w:r w:rsidR="004D29AC" w:rsidRPr="004D29AC">
                              <w:rPr>
                                <w:b w:val="0"/>
                                <w:bCs/>
                                <w:color w:val="auto"/>
                              </w:rPr>
                              <w:t>.</w:t>
                            </w:r>
                            <w:r w:rsidR="00223888" w:rsidRPr="004D29AC">
                              <w:rPr>
                                <w:b w:val="0"/>
                                <w:bCs/>
                                <w:color w:val="auto"/>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B7AEA" id="Text Box 6" o:spid="_x0000_s1028" type="#_x0000_t202" style="position:absolute;left:0;text-align:left;margin-left:0;margin-top:707.55pt;width:483.45pt;height:19.85pt;z-index: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" stroked="f">
                <v:textbox inset="0,0,0,0">
                  <w:txbxContent>
                    <w:p w14:paraId="487F9562" w14:textId="339E8658" w:rsidR="00031D57" w:rsidRPr="004D29AC" w:rsidRDefault="000D3967" w:rsidP="004D29AC">
                      <w:pPr>
                        <w:pStyle w:val="Caption"/>
                        <w:spacing w:before="120" w:after="120"/>
                        <w:rPr>
                          <w:rFonts w:eastAsia="MS Mincho" w:cs="Arial"/>
                          <w:b w:val="0"/>
                          <w:bCs/>
                          <w:color w:val="auto"/>
                          <w:sz w:val="20"/>
                          <w:szCs w:val="20"/>
                        </w:rPr>
                      </w:pPr>
                      <w:r w:rsidRPr="004D29AC">
                        <w:rPr>
                          <w:b w:val="0"/>
                          <w:bCs/>
                          <w:color w:val="auto"/>
                        </w:rPr>
                        <w:t>Figure 2</w:t>
                      </w:r>
                      <w:r w:rsidR="004D29AC" w:rsidRPr="004D29AC">
                        <w:rPr>
                          <w:b w:val="0"/>
                          <w:bCs/>
                          <w:color w:val="auto"/>
                        </w:rPr>
                        <w:t>:</w:t>
                      </w:r>
                      <w:r w:rsidRPr="004D29AC">
                        <w:rPr>
                          <w:b w:val="0"/>
                          <w:bCs/>
                          <w:color w:val="auto"/>
                        </w:rPr>
                        <w:t xml:space="preserve"> Sequence diagram </w:t>
                      </w:r>
                      <w:r w:rsidR="00223888" w:rsidRPr="004D29AC">
                        <w:rPr>
                          <w:b w:val="0"/>
                          <w:bCs/>
                          <w:color w:val="auto"/>
                        </w:rPr>
                        <w:t>of the proposed framework in the precast concrete products</w:t>
                      </w:r>
                      <w:r w:rsidR="003E0B49" w:rsidRPr="004D29AC">
                        <w:rPr>
                          <w:b w:val="0"/>
                          <w:bCs/>
                          <w:color w:val="auto"/>
                        </w:rPr>
                        <w:t xml:space="preserve">’ </w:t>
                      </w:r>
                      <w:r w:rsidR="00223888" w:rsidRPr="004D29AC">
                        <w:rPr>
                          <w:b w:val="0"/>
                          <w:bCs/>
                          <w:color w:val="auto"/>
                        </w:rPr>
                        <w:t>curing process</w:t>
                      </w:r>
                      <w:r w:rsidR="004D29AC" w:rsidRPr="004D29AC">
                        <w:rPr>
                          <w:b w:val="0"/>
                          <w:bCs/>
                          <w:color w:val="auto"/>
                        </w:rPr>
                        <w:t>.</w:t>
                      </w:r>
                      <w:r w:rsidR="00223888" w:rsidRPr="004D29AC">
                        <w:rPr>
                          <w:b w:val="0"/>
                          <w:bCs/>
                          <w:color w:val="auto"/>
                        </w:rPr>
                        <w:t xml:space="preserve">  </w:t>
                      </w:r>
                    </w:p>
                  </w:txbxContent>
                </v:textbox>
                <w10:wrap type="topAndBottom" anchory="page"/>
              </v:shape>
            </w:pict>
          </mc:Fallback>
        </mc:AlternateContent>
      </w:r>
      <w:r w:rsidR="000A0CC8" w:rsidRPr="00B01C90">
        <w:t>Curing</w:t>
      </w:r>
      <w:r w:rsidR="000D3967" w:rsidRPr="00B01C90">
        <w:t xml:space="preserve"> precast concrete products by rapid heat treatment is a promising method for significantly reducing production times and increasing the efficiency of industrial manufacturing processes. Targeted heating in the </w:t>
      </w:r>
      <w:r w:rsidR="007542A3">
        <w:t>oven</w:t>
      </w:r>
      <w:r w:rsidR="000D3967" w:rsidRPr="00B01C90">
        <w:t xml:space="preserve"> accelerates the hydration of the cement so that the otherwise lengthy c</w:t>
      </w:r>
      <w:r w:rsidR="000A0CC8" w:rsidRPr="00B01C90">
        <w:t>oncrete curing</w:t>
      </w:r>
      <w:r w:rsidR="000D3967" w:rsidRPr="00B01C90">
        <w:t xml:space="preserve"> can be achieved within a few hours. However, precise temperature control is critical to the success of this method, as excessive temperature gradients can lead to stresses in the material and, hence, structural damage. T</w:t>
      </w:r>
      <w:r w:rsidR="000A0CC8" w:rsidRPr="00B01C90">
        <w:t>his research presents a control system that uses a smart contract to make automated process adjustments to address these challenge</w:t>
      </w:r>
      <w:r w:rsidR="000D3967" w:rsidRPr="00B01C90">
        <w:t xml:space="preserve">s. The system monitors the temperature development and </w:t>
      </w:r>
      <w:r w:rsidR="000D3967" w:rsidRPr="00B01C90">
        <w:t xml:space="preserve">regulates the heating process to ensure uniform heating. At the same time, </w:t>
      </w:r>
      <w:r w:rsidR="00820143" w:rsidRPr="00B01C90">
        <w:t xml:space="preserve">once the heat treatment is completed, </w:t>
      </w:r>
      <w:r w:rsidR="000D3967" w:rsidRPr="00B01C90">
        <w:t xml:space="preserve">the system automatically initiates subsequent production steps, such as </w:t>
      </w:r>
      <w:r w:rsidR="00994014" w:rsidRPr="00B01C90">
        <w:t>demoulding</w:t>
      </w:r>
      <w:r w:rsidR="000D3967" w:rsidRPr="00B01C90">
        <w:t xml:space="preserve"> or quality control.</w:t>
      </w:r>
    </w:p>
    <w:p w14:paraId="26354F08" w14:textId="303F5441" w:rsidR="00E40667" w:rsidRPr="00B01C90" w:rsidRDefault="00223888">
      <w:pPr>
        <w:pStyle w:val="MainText"/>
      </w:pPr>
      <w:r w:rsidRPr="00B01C90">
        <w:t>As shown in Figure 2, t</w:t>
      </w:r>
      <w:r w:rsidR="000D3967" w:rsidRPr="00B01C90">
        <w:t xml:space="preserve">he process involves five key components that work together to control and automate the rapid heat treatment of precast concrete products. </w:t>
      </w:r>
      <w:r w:rsidRPr="00B01C90">
        <w:t xml:space="preserve">First, an </w:t>
      </w:r>
      <w:proofErr w:type="spellStart"/>
      <w:r w:rsidRPr="00B01C90">
        <w:t>InfluxDB</w:t>
      </w:r>
      <w:proofErr w:type="spellEnd"/>
      <w:r w:rsidRPr="00B01C90">
        <w:t xml:space="preserve"> instance continuously records temperature and strain data from sensors embedded in the precast concrete part</w:t>
      </w:r>
      <w:r w:rsidR="000A0CC8" w:rsidRPr="00B01C90">
        <w:t>, making</w:t>
      </w:r>
      <w:r w:rsidRPr="00B01C90">
        <w:t xml:space="preserve"> it available for process monitoring and optimi</w:t>
      </w:r>
      <w:r w:rsidR="003F66ED" w:rsidRPr="00B01C90">
        <w:t>s</w:t>
      </w:r>
      <w:r w:rsidRPr="00B01C90">
        <w:t>ation. Second</w:t>
      </w:r>
      <w:r w:rsidR="000D3967" w:rsidRPr="00B01C90">
        <w:t xml:space="preserve">, a higher-level service provides process control and smart contract activation. </w:t>
      </w:r>
      <w:r w:rsidRPr="00B01C90">
        <w:t>Third</w:t>
      </w:r>
      <w:r w:rsidR="000D3967" w:rsidRPr="00B01C90">
        <w:t>, the DT of the precast concrete element</w:t>
      </w:r>
      <w:r w:rsidRPr="00B01C90">
        <w:t xml:space="preserve"> (i.e.</w:t>
      </w:r>
      <w:r w:rsidR="006C57E9" w:rsidRPr="00B01C90">
        <w:t xml:space="preserve">, </w:t>
      </w:r>
      <w:r w:rsidR="003E0B49" w:rsidRPr="00B01C90">
        <w:t>“</w:t>
      </w:r>
      <w:r w:rsidRPr="00B01C90">
        <w:t>:</w:t>
      </w:r>
      <w:proofErr w:type="spellStart"/>
      <w:r w:rsidRPr="00B01C90">
        <w:t>AAS_PCElement</w:t>
      </w:r>
      <w:proofErr w:type="spellEnd"/>
      <w:r w:rsidR="003E0B49" w:rsidRPr="00B01C90">
        <w:t>”</w:t>
      </w:r>
      <w:r w:rsidRPr="00B01C90">
        <w:t>)</w:t>
      </w:r>
      <w:r w:rsidR="000D3967" w:rsidRPr="00B01C90">
        <w:t xml:space="preserve"> provides key parameters such as target temperature and process duration to enable precise control of the heat treatment. </w:t>
      </w:r>
      <w:r w:rsidRPr="00B01C90">
        <w:t>Fourth</w:t>
      </w:r>
      <w:r w:rsidR="000D3967" w:rsidRPr="00B01C90">
        <w:t xml:space="preserve">, the DT of the </w:t>
      </w:r>
      <w:r w:rsidR="007542A3">
        <w:t>oven</w:t>
      </w:r>
      <w:r w:rsidR="000D3967" w:rsidRPr="00B01C90">
        <w:t xml:space="preserve"> acts as an interface to the </w:t>
      </w:r>
      <w:r w:rsidR="007542A3">
        <w:t>oven</w:t>
      </w:r>
      <w:r w:rsidR="000D3967" w:rsidRPr="00B01C90">
        <w:t xml:space="preserve"> control system and ensures that the specified temperature profiles are </w:t>
      </w:r>
      <w:r w:rsidR="000D3967" w:rsidRPr="00B01C90">
        <w:lastRenderedPageBreak/>
        <w:t xml:space="preserve">implemented according to the rules. </w:t>
      </w:r>
      <w:r w:rsidRPr="00B01C90">
        <w:t>Fifth</w:t>
      </w:r>
      <w:r w:rsidR="000D3967" w:rsidRPr="00B01C90">
        <w:t>, an IOTA-based smart contract</w:t>
      </w:r>
      <w:r w:rsidRPr="00B01C90">
        <w:t xml:space="preserve"> (i.e., </w:t>
      </w:r>
      <w:r w:rsidR="003E0B49" w:rsidRPr="00B01C90">
        <w:t>“</w:t>
      </w:r>
      <w:r w:rsidRPr="00B01C90">
        <w:t>:</w:t>
      </w:r>
      <w:proofErr w:type="spellStart"/>
      <w:r w:rsidRPr="00B01C90">
        <w:t>IOTA_SmartContract</w:t>
      </w:r>
      <w:proofErr w:type="spellEnd"/>
      <w:r w:rsidR="003E0B49" w:rsidRPr="00B01C90">
        <w:t>”</w:t>
      </w:r>
      <w:r w:rsidRPr="00B01C90">
        <w:t>)</w:t>
      </w:r>
      <w:r w:rsidR="000D3967" w:rsidRPr="00B01C90">
        <w:t xml:space="preserve"> is used to ensure the automation of the entire process and to enable transparent and tamper-proof execution through its decentrali</w:t>
      </w:r>
      <w:r w:rsidR="00CB3921" w:rsidRPr="00B01C90">
        <w:t>s</w:t>
      </w:r>
      <w:r w:rsidR="000D3967" w:rsidRPr="00B01C90">
        <w:t xml:space="preserve">ed structure. </w:t>
      </w:r>
    </w:p>
    <w:p w14:paraId="4E9EF210" w14:textId="7F59724F" w:rsidR="00E40667" w:rsidRPr="00B01C90" w:rsidRDefault="000D3967">
      <w:pPr>
        <w:pStyle w:val="MainText"/>
      </w:pPr>
      <w:r w:rsidRPr="00B01C90">
        <w:t>The curing process starts with the rapid heat treatment initiali</w:t>
      </w:r>
      <w:r w:rsidR="00CB3921" w:rsidRPr="00B01C90">
        <w:t>s</w:t>
      </w:r>
      <w:r w:rsidRPr="00B01C90">
        <w:t xml:space="preserve">ation, which activates the central control service. In the first phase of the process, the service retrieves the relevant query parameters, including the </w:t>
      </w:r>
      <w:proofErr w:type="spellStart"/>
      <w:r w:rsidRPr="00B01C90">
        <w:t>InfluxDB</w:t>
      </w:r>
      <w:proofErr w:type="spellEnd"/>
      <w:r w:rsidRPr="00B01C90">
        <w:t xml:space="preserve"> endpoint and the specific query string, from the DT of the precast concrete element. It also queries the process parameters defined for the heat treatment, such as the target temperature and duration. The service then establishes a continuous connection to </w:t>
      </w:r>
      <w:proofErr w:type="spellStart"/>
      <w:r w:rsidRPr="00B01C90">
        <w:t>InfluxDB</w:t>
      </w:r>
      <w:proofErr w:type="spellEnd"/>
      <w:r w:rsidRPr="00B01C90">
        <w:t xml:space="preserve"> to collect temperature and strain sensor data from the sensors embedded in the precast concrete element. This data is continuously compared with the pre</w:t>
      </w:r>
      <w:r w:rsidR="00EF463E" w:rsidRPr="00B01C90">
        <w:t>defined</w:t>
      </w:r>
      <w:r w:rsidRPr="00B01C90">
        <w:t xml:space="preserve"> heat treatment parameters to ensure accurate monitoring of the curing process. Based on the temperature curve and elapsed process time, the service decides on further process control measures. </w:t>
      </w:r>
    </w:p>
    <w:p w14:paraId="45AAE9B0" w14:textId="5260678D" w:rsidR="00031D57" w:rsidRPr="00B01C90" w:rsidRDefault="000D3967">
      <w:pPr>
        <w:pStyle w:val="MainText"/>
        <w:rPr>
          <w:highlight w:val="yellow"/>
        </w:rPr>
      </w:pPr>
      <w:r w:rsidRPr="00B01C90">
        <w:t xml:space="preserve">An IOTA-based smart contract is activated to </w:t>
      </w:r>
      <w:r w:rsidR="00EF463E" w:rsidRPr="00B01C90">
        <w:t xml:space="preserve">adjust the </w:t>
      </w:r>
      <w:r w:rsidR="007542A3">
        <w:t>oven</w:t>
      </w:r>
      <w:r w:rsidR="00EF463E" w:rsidRPr="00B01C90">
        <w:t xml:space="preserve"> temperature or terminate</w:t>
      </w:r>
      <w:r w:rsidRPr="00B01C90">
        <w:t xml:space="preserve"> the heat treatment process. The smart contract plays a central role in process automation by first checking the permissions of the control service and then selecting appropriate actions based on this. </w:t>
      </w:r>
      <w:r w:rsidR="00D3487D">
        <w:t>As shown i</w:t>
      </w:r>
      <w:r w:rsidRPr="00B01C90">
        <w:t xml:space="preserve">n the </w:t>
      </w:r>
      <w:r w:rsidR="00D3487D" w:rsidRPr="00B01C90">
        <w:t>presented</w:t>
      </w:r>
      <w:r w:rsidR="00D3487D">
        <w:t xml:space="preserve"> s</w:t>
      </w:r>
      <w:r w:rsidR="00D3487D" w:rsidRPr="00D3487D">
        <w:t xml:space="preserve">equence </w:t>
      </w:r>
      <w:r w:rsidR="00D3487D">
        <w:t>diagram</w:t>
      </w:r>
      <w:r w:rsidRPr="00B01C90">
        <w:t xml:space="preserve">, either the </w:t>
      </w:r>
      <w:r w:rsidR="00D3487D">
        <w:t>oven</w:t>
      </w:r>
      <w:r w:rsidRPr="00B01C90">
        <w:t xml:space="preserve"> temperature is adjusted or the heat treatment process is stopped. In the case of a temperature adjustment, the control of the DT of the </w:t>
      </w:r>
      <w:r w:rsidR="00D3487D">
        <w:t>oven</w:t>
      </w:r>
      <w:r w:rsidRPr="00B01C90">
        <w:t xml:space="preserve"> is modified accordingly. Through the existing bidirectional coupling between the DT and the physical </w:t>
      </w:r>
      <w:r w:rsidR="00D3487D">
        <w:t>oven</w:t>
      </w:r>
      <w:r w:rsidRPr="00B01C90">
        <w:t>, the change in the digital representation is directly transferred to the physical system, ensuring that the temperature in the physical twin is adjusted. When the process is complete</w:t>
      </w:r>
      <w:r w:rsidR="00D3487D">
        <w:t>d</w:t>
      </w:r>
      <w:r w:rsidRPr="00B01C90">
        <w:t xml:space="preserve">, the smart contract automatically initiates the cooling process of the </w:t>
      </w:r>
      <w:r w:rsidR="00D3487D">
        <w:t>oven</w:t>
      </w:r>
      <w:r w:rsidRPr="00B01C90">
        <w:t xml:space="preserve"> and updates the status of the precast concrete element</w:t>
      </w:r>
      <w:r w:rsidR="00A8524A">
        <w:t xml:space="preserve"> via its</w:t>
      </w:r>
      <w:r w:rsidR="00A8524A" w:rsidRPr="00A8524A">
        <w:t xml:space="preserve"> Smart Contract Oracle (SCO)</w:t>
      </w:r>
      <w:r w:rsidR="00A8524A">
        <w:t xml:space="preserve">, which is </w:t>
      </w:r>
      <w:r w:rsidR="00A8524A" w:rsidRPr="00A8524A">
        <w:t>a trusted service to bridge on-chain smart contracts and off-chain data or systems</w:t>
      </w:r>
      <w:r w:rsidRPr="00B01C90">
        <w:t xml:space="preserve">. </w:t>
      </w:r>
      <w:r w:rsidR="000A0CC8" w:rsidRPr="00B01C90">
        <w:t>The smart contract and AAS-based DTs communicate</w:t>
      </w:r>
      <w:r w:rsidRPr="00B01C90">
        <w:t xml:space="preserve"> via AAS </w:t>
      </w:r>
      <w:r w:rsidR="00B01C90" w:rsidRPr="00B01C90">
        <w:t xml:space="preserve">Representational State Transfer </w:t>
      </w:r>
      <w:r w:rsidR="00D84C96" w:rsidRPr="00B01C90">
        <w:t>(</w:t>
      </w:r>
      <w:r w:rsidR="00B01C90" w:rsidRPr="00B01C90">
        <w:t>REST</w:t>
      </w:r>
      <w:r w:rsidR="00D84C96" w:rsidRPr="00B01C90">
        <w:t xml:space="preserve">) </w:t>
      </w:r>
      <w:r w:rsidR="00B01C90" w:rsidRPr="00B01C90">
        <w:t xml:space="preserve">Application Programming Interfaces </w:t>
      </w:r>
      <w:r w:rsidR="00D84C96" w:rsidRPr="00B01C90">
        <w:t>(</w:t>
      </w:r>
      <w:r w:rsidR="00B01C90" w:rsidRPr="00B01C90">
        <w:t>APIs</w:t>
      </w:r>
      <w:r w:rsidR="00D84C96" w:rsidRPr="00B01C90">
        <w:t>)</w:t>
      </w:r>
      <w:r w:rsidRPr="00B01C90">
        <w:t xml:space="preserve">. Finally, the </w:t>
      </w:r>
      <w:r w:rsidR="000A0CC8" w:rsidRPr="00B01C90">
        <w:t>smart contract schedules the control service for the rapid heat treatmen</w:t>
      </w:r>
      <w:r w:rsidRPr="00B01C90">
        <w:t>t, efficiently completing the entire process and freeing up resources for subsequent production cycles.</w:t>
      </w:r>
    </w:p>
    <w:p w14:paraId="48D3E0B9" w14:textId="77777777" w:rsidR="00031D57" w:rsidRDefault="00031D57">
      <w:pPr>
        <w:pStyle w:val="MainText"/>
        <w:rPr>
          <w:highlight w:val="yellow"/>
        </w:rPr>
      </w:pPr>
    </w:p>
    <w:p w14:paraId="7DC72480" w14:textId="77777777" w:rsidR="00C74DE8" w:rsidRDefault="00C74DE8">
      <w:pPr>
        <w:pStyle w:val="MainText"/>
        <w:rPr>
          <w:highlight w:val="yellow"/>
        </w:rPr>
      </w:pPr>
    </w:p>
    <w:p w14:paraId="5F14AB24" w14:textId="77777777" w:rsidR="00C74DE8" w:rsidRPr="00B01C90" w:rsidRDefault="00C74DE8">
      <w:pPr>
        <w:pStyle w:val="MainText"/>
        <w:rPr>
          <w:highlight w:val="yellow"/>
        </w:rPr>
      </w:pPr>
    </w:p>
    <w:p w14:paraId="0361069B" w14:textId="77777777" w:rsidR="00031D57" w:rsidRPr="00B01C90" w:rsidRDefault="000D3967">
      <w:pPr>
        <w:pStyle w:val="PlainText"/>
        <w:rPr>
          <w:b/>
          <w:sz w:val="20"/>
        </w:rPr>
      </w:pPr>
      <w:r w:rsidRPr="00B01C90">
        <w:rPr>
          <w:b/>
          <w:sz w:val="20"/>
        </w:rPr>
        <w:t>4.2 Implementation</w:t>
      </w:r>
    </w:p>
    <w:p w14:paraId="3C472347" w14:textId="5677C362" w:rsidR="00031D57" w:rsidRPr="00B01C90" w:rsidRDefault="000D3967">
      <w:pPr>
        <w:pStyle w:val="MainText"/>
      </w:pPr>
      <w:r w:rsidRPr="00B01C90">
        <w:t xml:space="preserve">This section presents the implementation details of the proposed automation framework, focusing on the interaction between the IOTA smart contract and the </w:t>
      </w:r>
      <w:r w:rsidR="00334088" w:rsidRPr="00B01C90">
        <w:t>SCO</w:t>
      </w:r>
      <w:r w:rsidR="00A8524A">
        <w:t xml:space="preserve"> </w:t>
      </w:r>
      <w:r w:rsidRPr="00B01C90">
        <w:t xml:space="preserve">to manage the curing process in the precast concrete industry. </w:t>
      </w:r>
      <w:r w:rsidR="00334088" w:rsidRPr="00B01C90">
        <w:t xml:space="preserve">Since smart contracts cannot directly access external data or trigger actions in external systems for security reasons, a SCO is developed to address this limitation by securely fetching real-world data or interacting with off-chain services and delivering that information to smart contracts. </w:t>
      </w:r>
      <w:r w:rsidRPr="00B01C90">
        <w:t>The implementation includes a</w:t>
      </w:r>
      <w:r w:rsidR="00825E57" w:rsidRPr="00B01C90">
        <w:t xml:space="preserve"> </w:t>
      </w:r>
      <w:r w:rsidRPr="00B01C90">
        <w:t>smart contract</w:t>
      </w:r>
      <w:r w:rsidR="00825E57" w:rsidRPr="00B01C90">
        <w:t xml:space="preserve"> (coded in Solidity</w:t>
      </w:r>
      <w:r w:rsidR="00825E57" w:rsidRPr="00B01C90">
        <w:rPr>
          <w:rStyle w:val="FootnoteReference"/>
        </w:rPr>
        <w:footnoteReference w:id="2"/>
      </w:r>
      <w:r w:rsidR="00825E57" w:rsidRPr="00B01C90">
        <w:t>)</w:t>
      </w:r>
      <w:r w:rsidRPr="00B01C90">
        <w:t xml:space="preserve"> deployed </w:t>
      </w:r>
      <w:bookmarkStart w:id="0" w:name="_Hlk192710722"/>
      <w:r w:rsidRPr="00B01C90">
        <w:t xml:space="preserve">on the IOTA EVM </w:t>
      </w:r>
      <w:proofErr w:type="spellStart"/>
      <w:r w:rsidRPr="00B01C90">
        <w:t>Testnet</w:t>
      </w:r>
      <w:proofErr w:type="spellEnd"/>
      <w:r w:rsidRPr="00B01C90">
        <w:t xml:space="preserve"> </w:t>
      </w:r>
      <w:bookmarkEnd w:id="0"/>
      <w:r w:rsidRPr="00B01C90">
        <w:t xml:space="preserve">and a </w:t>
      </w:r>
      <w:r w:rsidR="00334088" w:rsidRPr="00B01C90">
        <w:t>SCO</w:t>
      </w:r>
      <w:r w:rsidRPr="00B01C90">
        <w:t xml:space="preserve"> </w:t>
      </w:r>
      <w:r w:rsidR="00825E57" w:rsidRPr="00B01C90">
        <w:t xml:space="preserve">(coded in Node.js) </w:t>
      </w:r>
      <w:r w:rsidRPr="00B01C90">
        <w:t xml:space="preserve">that enables </w:t>
      </w:r>
      <w:r w:rsidR="00825E57" w:rsidRPr="00B01C90">
        <w:t>the smart contract to communicate</w:t>
      </w:r>
      <w:r w:rsidRPr="00B01C90">
        <w:t xml:space="preserve"> with the AAS</w:t>
      </w:r>
      <w:r w:rsidR="00825E57" w:rsidRPr="00B01C90">
        <w:t>s</w:t>
      </w:r>
      <w:r w:rsidRPr="00B01C90">
        <w:t xml:space="preserve"> through REST API calls.</w:t>
      </w:r>
    </w:p>
    <w:p w14:paraId="55671F75" w14:textId="188B054E" w:rsidR="00BB64E7" w:rsidRPr="00B01C90" w:rsidRDefault="000D3967" w:rsidP="00BB64E7">
      <w:pPr>
        <w:pStyle w:val="MainText"/>
      </w:pPr>
      <w:r w:rsidRPr="00B01C90">
        <w:t>The IOTA smart contract</w:t>
      </w:r>
      <w:r w:rsidR="00C06AF0" w:rsidRPr="00B01C90">
        <w:t>,</w:t>
      </w:r>
      <w:r w:rsidRPr="00B01C90">
        <w:t xml:space="preserve"> implemented for the use case</w:t>
      </w:r>
      <w:r w:rsidR="00C06AF0" w:rsidRPr="00B01C90">
        <w:t xml:space="preserve"> </w:t>
      </w:r>
      <w:r w:rsidRPr="00B01C90">
        <w:t xml:space="preserve">called </w:t>
      </w:r>
      <w:proofErr w:type="spellStart"/>
      <w:r w:rsidRPr="00B01C90">
        <w:rPr>
          <w:i/>
          <w:iCs/>
        </w:rPr>
        <w:t>CuringProcessAutomation</w:t>
      </w:r>
      <w:proofErr w:type="spellEnd"/>
      <w:r w:rsidRPr="00B01C90">
        <w:t xml:space="preserve">, is designed to automate </w:t>
      </w:r>
      <w:r w:rsidR="00C06AF0" w:rsidRPr="00B01C90">
        <w:t>value</w:t>
      </w:r>
      <w:r w:rsidRPr="00B01C90">
        <w:t xml:space="preserve"> updates in the AAS service by emitting events that </w:t>
      </w:r>
      <w:r w:rsidR="00C06AF0" w:rsidRPr="00B01C90">
        <w:t>the SCO</w:t>
      </w:r>
      <w:r w:rsidRPr="00B01C90">
        <w:t xml:space="preserve"> monitors. It is deployed with published code on the IOTA EVM </w:t>
      </w:r>
      <w:proofErr w:type="spellStart"/>
      <w:r w:rsidRPr="00B01C90">
        <w:t>Testne</w:t>
      </w:r>
      <w:r w:rsidRPr="00B01C90">
        <w:rPr>
          <w:bCs/>
        </w:rPr>
        <w:t>t</w:t>
      </w:r>
      <w:proofErr w:type="spellEnd"/>
      <w:r w:rsidRPr="00B01C90">
        <w:rPr>
          <w:rStyle w:val="FootnoteReference"/>
        </w:rPr>
        <w:footnoteReference w:id="3"/>
      </w:r>
      <w:r w:rsidRPr="00B01C90">
        <w:t xml:space="preserve"> via Remix IDE (Figure 3).</w:t>
      </w:r>
      <w:r w:rsidR="00C06AF0" w:rsidRPr="00B01C90">
        <w:t xml:space="preserve"> </w:t>
      </w:r>
      <w:r w:rsidRPr="00B01C90">
        <w:t xml:space="preserve">The automation is triggered by sensor data, such as temperature readings exceeding a predefined threshold, which activates a series of smart contract functions. Specifically, when the temperature </w:t>
      </w:r>
      <w:r w:rsidR="00C06AF0" w:rsidRPr="00B01C90">
        <w:t>or the process</w:t>
      </w:r>
      <w:r w:rsidR="00EF463E" w:rsidRPr="00B01C90">
        <w:t>ing</w:t>
      </w:r>
      <w:r w:rsidR="00C06AF0" w:rsidRPr="00B01C90">
        <w:t xml:space="preserve"> time </w:t>
      </w:r>
      <w:r w:rsidRPr="00B01C90">
        <w:t xml:space="preserve">reaches the set threshold, </w:t>
      </w:r>
      <w:r w:rsidR="00A8524A">
        <w:t>the</w:t>
      </w:r>
      <w:r w:rsidRPr="00B01C90">
        <w:t xml:space="preserve"> smart contract functions </w:t>
      </w:r>
      <w:r w:rsidR="003E0B49" w:rsidRPr="00B01C90">
        <w:t>“</w:t>
      </w:r>
      <w:proofErr w:type="spellStart"/>
      <w:r w:rsidR="00C06AF0" w:rsidRPr="00B01C90">
        <w:t>updateOvenTemperature</w:t>
      </w:r>
      <w:proofErr w:type="spellEnd"/>
      <w:r w:rsidR="003E0B49" w:rsidRPr="00B01C90">
        <w:t>”</w:t>
      </w:r>
      <w:r w:rsidRPr="00B01C90">
        <w:t xml:space="preserve">, </w:t>
      </w:r>
      <w:r w:rsidR="003E0B49" w:rsidRPr="00B01C90">
        <w:t>“</w:t>
      </w:r>
      <w:proofErr w:type="spellStart"/>
      <w:r w:rsidR="00C06AF0" w:rsidRPr="00B01C90">
        <w:t>updateOvenStatus</w:t>
      </w:r>
      <w:proofErr w:type="spellEnd"/>
      <w:r w:rsidR="003E0B49" w:rsidRPr="00B01C90">
        <w:t>”</w:t>
      </w:r>
      <w:r w:rsidRPr="00B01C90">
        <w:t xml:space="preserve">, and </w:t>
      </w:r>
      <w:r w:rsidR="003E0B49" w:rsidRPr="00B01C90">
        <w:t>“</w:t>
      </w:r>
      <w:proofErr w:type="spellStart"/>
      <w:r w:rsidR="00C06AF0" w:rsidRPr="00B01C90">
        <w:t>updateElementStatus</w:t>
      </w:r>
      <w:proofErr w:type="spellEnd"/>
      <w:r w:rsidR="003E0B49" w:rsidRPr="00B01C90">
        <w:t>”</w:t>
      </w:r>
      <w:r w:rsidRPr="00B01C90">
        <w:t xml:space="preserve"> are called, corresponding to the actions required for the curing process. Each </w:t>
      </w:r>
      <w:r w:rsidR="00FC54B6" w:rsidRPr="00B01C90">
        <w:t xml:space="preserve">smart contract </w:t>
      </w:r>
      <w:r w:rsidRPr="00B01C90">
        <w:t>function directly interacts with the AAS of the respective assets</w:t>
      </w:r>
      <w:r w:rsidR="00414F09">
        <w:t xml:space="preserve">, namely the </w:t>
      </w:r>
      <w:r w:rsidRPr="00B01C90">
        <w:t>oven</w:t>
      </w:r>
      <w:r w:rsidR="00C06AF0" w:rsidRPr="00B01C90">
        <w:t xml:space="preserve"> and </w:t>
      </w:r>
      <w:r w:rsidR="00414F09">
        <w:t xml:space="preserve">the </w:t>
      </w:r>
      <w:r w:rsidRPr="00B01C90">
        <w:t>precast element</w:t>
      </w:r>
      <w:r w:rsidR="00414F09">
        <w:t xml:space="preserve">, </w:t>
      </w:r>
      <w:r w:rsidRPr="00B01C90">
        <w:t xml:space="preserve">through </w:t>
      </w:r>
      <w:r w:rsidR="00334088" w:rsidRPr="00B01C90">
        <w:t>the SCO</w:t>
      </w:r>
      <w:r w:rsidR="00312164" w:rsidRPr="00B01C90">
        <w:t xml:space="preserve"> (via event </w:t>
      </w:r>
      <w:r w:rsidR="003E0B49" w:rsidRPr="00B01C90">
        <w:t>“</w:t>
      </w:r>
      <w:proofErr w:type="spellStart"/>
      <w:r w:rsidR="00312164" w:rsidRPr="00B01C90">
        <w:t>requestAASUpdate</w:t>
      </w:r>
      <w:proofErr w:type="spellEnd"/>
      <w:r w:rsidR="003E0B49" w:rsidRPr="00B01C90">
        <w:t>”</w:t>
      </w:r>
      <w:r w:rsidR="00312164" w:rsidRPr="00B01C90">
        <w:t>)</w:t>
      </w:r>
      <w:r w:rsidRPr="00B01C90">
        <w:t xml:space="preserve"> that facilitates REST API calls to update their statuses, such as </w:t>
      </w:r>
      <w:r w:rsidR="00FC54B6" w:rsidRPr="00B01C90">
        <w:t>changing</w:t>
      </w:r>
      <w:r w:rsidRPr="00B01C90">
        <w:t xml:space="preserve"> the oven</w:t>
      </w:r>
      <w:r w:rsidR="003E0B49" w:rsidRPr="00B01C90">
        <w:t>’</w:t>
      </w:r>
      <w:r w:rsidR="00FC54B6" w:rsidRPr="00B01C90">
        <w:t>s temperature</w:t>
      </w:r>
      <w:r w:rsidRPr="00B01C90">
        <w:t xml:space="preserve">, </w:t>
      </w:r>
      <w:r w:rsidR="00FC54B6" w:rsidRPr="00B01C90">
        <w:t xml:space="preserve">cooling down the oven, and </w:t>
      </w:r>
      <w:r w:rsidRPr="00B01C90">
        <w:t xml:space="preserve">completing the curing process. </w:t>
      </w:r>
    </w:p>
    <w:p w14:paraId="1B869E0C" w14:textId="77777777" w:rsidR="00B01C90" w:rsidRPr="00B01C90" w:rsidRDefault="00B01C90" w:rsidP="00BB64E7">
      <w:pPr>
        <w:pStyle w:val="MainText"/>
      </w:pPr>
    </w:p>
    <w:p w14:paraId="7472D261" w14:textId="44662B8C" w:rsidR="000847C0" w:rsidRPr="00B01C90" w:rsidRDefault="00936777" w:rsidP="00B01C90">
      <w:pPr>
        <w:pStyle w:val="MainText"/>
      </w:pPr>
      <w:r w:rsidRPr="00B01C90">
        <w:rPr>
          <w:noProof/>
        </w:rPr>
        <w:lastRenderedPageBreak/>
        <mc:AlternateContent>
          <mc:Choice Requires="wps">
            <w:drawing>
              <wp:anchor distT="0" distB="0" distL="114300" distR="114300" simplePos="0" relativeHeight="4" behindDoc="0" locked="0" layoutInCell="1" allowOverlap="1" wp14:anchorId="17947A72" wp14:editId="772B01F0">
                <wp:simplePos x="0" y="0"/>
                <wp:positionH relativeFrom="margin">
                  <wp:posOffset>-635</wp:posOffset>
                </wp:positionH>
                <wp:positionV relativeFrom="page">
                  <wp:posOffset>4314825</wp:posOffset>
                </wp:positionV>
                <wp:extent cx="6124575" cy="204470"/>
                <wp:effectExtent l="0" t="0" r="9525" b="5080"/>
                <wp:wrapSquare wrapText="bothSides"/>
                <wp:docPr id="10669263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63F621" w14:textId="74F33187" w:rsidR="00031D57" w:rsidRPr="00B01C90" w:rsidRDefault="000D3967">
                            <w:pPr>
                              <w:pStyle w:val="Caption"/>
                              <w:rPr>
                                <w:rFonts w:eastAsia="MS Mincho" w:cs="Arial"/>
                                <w:b w:val="0"/>
                                <w:bCs/>
                                <w:color w:val="auto"/>
                                <w:sz w:val="20"/>
                                <w:szCs w:val="20"/>
                              </w:rPr>
                            </w:pPr>
                            <w:r w:rsidRPr="00B01C90">
                              <w:rPr>
                                <w:b w:val="0"/>
                                <w:bCs/>
                                <w:color w:val="auto"/>
                              </w:rPr>
                              <w:t>Figure 3</w:t>
                            </w:r>
                            <w:r w:rsidR="00B01C90">
                              <w:rPr>
                                <w:b w:val="0"/>
                                <w:bCs/>
                                <w:color w:val="auto"/>
                              </w:rPr>
                              <w:t>:</w:t>
                            </w:r>
                            <w:r w:rsidRPr="00B01C90">
                              <w:rPr>
                                <w:b w:val="0"/>
                                <w:bCs/>
                                <w:color w:val="auto"/>
                              </w:rPr>
                              <w:t xml:space="preserve"> The IOTA smart contract results shown in Remix IDE</w:t>
                            </w:r>
                            <w:r w:rsidR="00B01C90">
                              <w:rPr>
                                <w:b w:val="0"/>
                                <w:bCs/>
                                <w:color w:val="auto"/>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47A72" id="Text Box 4" o:spid="_x0000_s1029" type="#_x0000_t202" style="position:absolute;left:0;text-align:left;margin-left:-.05pt;margin-top:339.75pt;width:482.25pt;height:16.1pt;z-index: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" stroked="f">
                <v:textbox inset="0,0,0,0">
                  <w:txbxContent>
                    <w:p w14:paraId="3963F621" w14:textId="74F33187" w:rsidR="00031D57" w:rsidRPr="00B01C90" w:rsidRDefault="000D3967">
                      <w:pPr>
                        <w:pStyle w:val="Caption"/>
                        <w:rPr>
                          <w:rFonts w:eastAsia="MS Mincho" w:cs="Arial"/>
                          <w:b w:val="0"/>
                          <w:bCs/>
                          <w:color w:val="auto"/>
                          <w:sz w:val="20"/>
                          <w:szCs w:val="20"/>
                        </w:rPr>
                      </w:pPr>
                      <w:r w:rsidRPr="00B01C90">
                        <w:rPr>
                          <w:b w:val="0"/>
                          <w:bCs/>
                          <w:color w:val="auto"/>
                        </w:rPr>
                        <w:t>Figure 3</w:t>
                      </w:r>
                      <w:r w:rsidR="00B01C90">
                        <w:rPr>
                          <w:b w:val="0"/>
                          <w:bCs/>
                          <w:color w:val="auto"/>
                        </w:rPr>
                        <w:t>:</w:t>
                      </w:r>
                      <w:r w:rsidRPr="00B01C90">
                        <w:rPr>
                          <w:b w:val="0"/>
                          <w:bCs/>
                          <w:color w:val="auto"/>
                        </w:rPr>
                        <w:t xml:space="preserve"> The IOTA smart contract results shown in Remix IDE</w:t>
                      </w:r>
                      <w:r w:rsidR="00B01C90">
                        <w:rPr>
                          <w:b w:val="0"/>
                          <w:bCs/>
                          <w:color w:val="auto"/>
                        </w:rPr>
                        <w:t>.</w:t>
                      </w:r>
                    </w:p>
                  </w:txbxContent>
                </v:textbox>
                <w10:wrap type="square" anchorx="margin" anchory="page"/>
              </v:shape>
            </w:pict>
          </mc:Fallback>
        </mc:AlternateContent>
      </w:r>
      <w:r w:rsidRPr="00B01C90">
        <w:rPr>
          <w:noProof/>
        </w:rPr>
        <w:drawing>
          <wp:anchor distT="0" distB="0" distL="114300" distR="114300" simplePos="0" relativeHeight="10" behindDoc="0" locked="0" layoutInCell="1" allowOverlap="1" wp14:anchorId="452D8EC9" wp14:editId="0C746EDA">
            <wp:simplePos x="0" y="0"/>
            <wp:positionH relativeFrom="column">
              <wp:posOffset>635</wp:posOffset>
            </wp:positionH>
            <wp:positionV relativeFrom="page">
              <wp:posOffset>802640</wp:posOffset>
            </wp:positionV>
            <wp:extent cx="6124575" cy="3467735"/>
            <wp:effectExtent l="0" t="0" r="0" b="0"/>
            <wp:wrapTopAndBottom/>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4575" cy="3467735"/>
                    </a:xfrm>
                    <a:prstGeom prst="rect">
                      <a:avLst/>
                    </a:prstGeom>
                    <a:noFill/>
                  </pic:spPr>
                </pic:pic>
              </a:graphicData>
            </a:graphic>
            <wp14:sizeRelH relativeFrom="page">
              <wp14:pctWidth>0</wp14:pctWidth>
            </wp14:sizeRelH>
            <wp14:sizeRelV relativeFrom="page">
              <wp14:pctHeight>0</wp14:pctHeight>
            </wp14:sizeRelV>
          </wp:anchor>
        </w:drawing>
      </w:r>
      <w:r w:rsidR="00312164" w:rsidRPr="00B01C90">
        <w:t xml:space="preserve"> </w:t>
      </w:r>
      <w:r w:rsidR="00B01C90" w:rsidRPr="00B01C90">
        <w:t>The SCO (shown as Node.js code in Figure 4) is used to listen for events emitted by the smart contract (via “</w:t>
      </w:r>
      <w:proofErr w:type="spellStart"/>
      <w:r w:rsidR="00B01C90" w:rsidRPr="00B01C90">
        <w:t>requestAASUpdate</w:t>
      </w:r>
      <w:proofErr w:type="spellEnd"/>
      <w:r w:rsidR="00B01C90" w:rsidRPr="00B01C90">
        <w:t xml:space="preserve">” event, Lines 25 of Figure 4) and makes the appropriate REST API calls to the AASs, ensuring that the system operates autonomously. </w:t>
      </w:r>
      <w:r w:rsidR="00B01C90" w:rsidRPr="00B01C90">
        <w:rPr>
          <w:bCs/>
        </w:rPr>
        <w:t>Both the oven AAS (Line 14 of Figure 4) and precast concrete element AAS (Line 15 of Figure 4) are deployed locally for testing based on the AAS API provided by Plattform_i40</w:t>
      </w:r>
      <w:r w:rsidR="00B01C90" w:rsidRPr="00B01C90">
        <w:rPr>
          <w:rStyle w:val="FootnoteReference"/>
          <w:bCs/>
        </w:rPr>
        <w:footnoteReference w:id="4"/>
      </w:r>
      <w:r w:rsidR="00B01C90" w:rsidRPr="00B01C90">
        <w:t xml:space="preserve">. </w:t>
      </w:r>
    </w:p>
    <w:p w14:paraId="3B84AE5E" w14:textId="4D33DAAE" w:rsidR="00AB5601" w:rsidRPr="00B01C90" w:rsidRDefault="00312164" w:rsidP="003E0B49">
      <w:pPr>
        <w:pStyle w:val="MainText"/>
      </w:pPr>
      <w:r w:rsidRPr="00B01C90">
        <w:t>Upon receiving an update request from the smart contract, the SCO determines the appropriate AAS API URL based on the AAS type (</w:t>
      </w:r>
      <w:r w:rsidR="000847C0" w:rsidRPr="00B01C90">
        <w:t>i.e.,</w:t>
      </w:r>
      <w:r w:rsidRPr="00B01C90">
        <w:t xml:space="preserve"> oven or precast concrete element). It then sends a POST request to the corresponding API, updating the </w:t>
      </w:r>
      <w:r w:rsidR="000847C0" w:rsidRPr="00B01C90">
        <w:t>AAS</w:t>
      </w:r>
      <w:r w:rsidRPr="00B01C90">
        <w:t>'s data (such as temperature or status) by modifying the relevant key-value pair in the AAS.</w:t>
      </w:r>
      <w:r w:rsidR="000847C0" w:rsidRPr="00B01C90">
        <w:t xml:space="preserve"> </w:t>
      </w:r>
      <w:r w:rsidRPr="00B01C90">
        <w:t xml:space="preserve">This process ensures seamless communication between the </w:t>
      </w:r>
      <w:r w:rsidR="000847C0" w:rsidRPr="00B01C90">
        <w:t xml:space="preserve">IOTA </w:t>
      </w:r>
      <w:r w:rsidRPr="00B01C90">
        <w:t>smart contract and the AAS, enabling real-time control and monitoring of physical assets in an automated and decentrali</w:t>
      </w:r>
      <w:r w:rsidR="00CB3921" w:rsidRPr="00B01C90">
        <w:t>s</w:t>
      </w:r>
      <w:r w:rsidRPr="00B01C90">
        <w:t xml:space="preserve">ed manner. </w:t>
      </w:r>
    </w:p>
    <w:p w14:paraId="6049E752" w14:textId="31B20313" w:rsidR="005E30A3" w:rsidRPr="00B01C90" w:rsidRDefault="00936777" w:rsidP="00B01C90">
      <w:pPr>
        <w:pStyle w:val="MainText"/>
        <w:ind w:firstLine="0"/>
        <w:rPr>
          <w:bCs/>
        </w:rPr>
      </w:pPr>
      <w:r w:rsidRPr="00B01C90">
        <w:rPr>
          <w:noProof/>
        </w:rPr>
        <w:drawing>
          <wp:inline distT="0" distB="0" distL="0" distR="0" wp14:anchorId="7CC2C2AF" wp14:editId="724CEF4E">
            <wp:extent cx="2924866" cy="4118951"/>
            <wp:effectExtent l="0" t="0" r="889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36249" cy="4134981"/>
                    </a:xfrm>
                    <a:prstGeom prst="rect">
                      <a:avLst/>
                    </a:prstGeom>
                    <a:noFill/>
                    <a:ln>
                      <a:noFill/>
                    </a:ln>
                  </pic:spPr>
                </pic:pic>
              </a:graphicData>
            </a:graphic>
          </wp:inline>
        </w:drawing>
      </w:r>
    </w:p>
    <w:p w14:paraId="7F3C9C97" w14:textId="49C01E21" w:rsidR="00031D57" w:rsidRPr="00B01C90" w:rsidRDefault="000D3967" w:rsidP="003F3C97">
      <w:pPr>
        <w:pStyle w:val="Caption"/>
        <w:spacing w:after="0"/>
        <w:rPr>
          <w:rFonts w:cs="Arial"/>
          <w:b w:val="0"/>
          <w:bCs/>
          <w:color w:val="auto"/>
          <w:lang w:val="it-IT"/>
        </w:rPr>
      </w:pPr>
      <w:r w:rsidRPr="00B01C90">
        <w:rPr>
          <w:rFonts w:cs="Arial"/>
          <w:b w:val="0"/>
          <w:bCs/>
          <w:color w:val="auto"/>
          <w:lang w:val="it-IT"/>
        </w:rPr>
        <w:t>Figure 4</w:t>
      </w:r>
      <w:r w:rsidR="00B01C90" w:rsidRPr="00B01C90">
        <w:rPr>
          <w:rFonts w:cs="Arial"/>
          <w:b w:val="0"/>
          <w:bCs/>
          <w:color w:val="auto"/>
          <w:lang w:val="it-IT"/>
        </w:rPr>
        <w:t>:</w:t>
      </w:r>
      <w:r w:rsidRPr="00B01C90">
        <w:rPr>
          <w:rFonts w:cs="Arial"/>
          <w:b w:val="0"/>
          <w:bCs/>
          <w:color w:val="auto"/>
          <w:lang w:val="it-IT"/>
        </w:rPr>
        <w:t xml:space="preserve"> </w:t>
      </w:r>
      <w:r w:rsidR="00705660" w:rsidRPr="00B01C90">
        <w:rPr>
          <w:rFonts w:cs="Arial"/>
          <w:b w:val="0"/>
          <w:bCs/>
          <w:color w:val="auto"/>
          <w:lang w:val="it-IT"/>
        </w:rPr>
        <w:t>SCO</w:t>
      </w:r>
      <w:r w:rsidRPr="00B01C90">
        <w:rPr>
          <w:rFonts w:cs="Arial"/>
          <w:b w:val="0"/>
          <w:bCs/>
          <w:color w:val="auto"/>
          <w:lang w:val="it-IT"/>
        </w:rPr>
        <w:t xml:space="preserve"> </w:t>
      </w:r>
      <w:proofErr w:type="spellStart"/>
      <w:r w:rsidRPr="00B01C90">
        <w:rPr>
          <w:rFonts w:cs="Arial"/>
          <w:b w:val="0"/>
          <w:bCs/>
          <w:color w:val="auto"/>
          <w:lang w:val="it-IT"/>
        </w:rPr>
        <w:t>implementation</w:t>
      </w:r>
      <w:proofErr w:type="spellEnd"/>
      <w:r w:rsidRPr="00B01C90">
        <w:rPr>
          <w:rFonts w:cs="Arial"/>
          <w:b w:val="0"/>
          <w:bCs/>
          <w:color w:val="auto"/>
          <w:lang w:val="it-IT"/>
        </w:rPr>
        <w:t xml:space="preserve"> via Node.js</w:t>
      </w:r>
    </w:p>
    <w:p w14:paraId="67078F69" w14:textId="7A6B3C2B" w:rsidR="00031D57" w:rsidRPr="00B01C90" w:rsidRDefault="000D3967">
      <w:pPr>
        <w:pStyle w:val="Heading1"/>
        <w:rPr>
          <w:caps/>
        </w:rPr>
      </w:pPr>
      <w:r w:rsidRPr="00B01C90">
        <w:lastRenderedPageBreak/>
        <w:t xml:space="preserve">5. </w:t>
      </w:r>
      <w:r w:rsidRPr="00B01C90">
        <w:rPr>
          <w:caps/>
        </w:rPr>
        <w:t xml:space="preserve">Proof of </w:t>
      </w:r>
      <w:r w:rsidR="001A426D">
        <w:rPr>
          <w:caps/>
        </w:rPr>
        <w:t>C</w:t>
      </w:r>
      <w:r w:rsidRPr="00B01C90">
        <w:rPr>
          <w:caps/>
        </w:rPr>
        <w:t>oncept</w:t>
      </w:r>
    </w:p>
    <w:p w14:paraId="594E0C4C" w14:textId="372BEC03" w:rsidR="00246CFB" w:rsidRPr="00B01C90" w:rsidRDefault="000D3967" w:rsidP="00A97076">
      <w:pPr>
        <w:pStyle w:val="MainText"/>
      </w:pPr>
      <w:r w:rsidRPr="00B01C90">
        <w:t xml:space="preserve">As part of the proof of concept, the accelerated curing of a </w:t>
      </w:r>
      <w:bookmarkStart w:id="1" w:name="_Hlk192894352"/>
      <w:r w:rsidRPr="00B01C90">
        <w:t xml:space="preserve">precast concrete </w:t>
      </w:r>
      <w:r w:rsidR="00143260" w:rsidRPr="00B01C90">
        <w:t>element</w:t>
      </w:r>
      <w:r w:rsidRPr="00B01C90">
        <w:t xml:space="preserve"> </w:t>
      </w:r>
      <w:bookmarkEnd w:id="1"/>
      <w:r w:rsidRPr="00B01C90">
        <w:t xml:space="preserve">is investigated to demonstrate the presented approach. The Y-module presented in </w:t>
      </w:r>
      <w:r w:rsidR="002254CF">
        <w:t>(Kosse, S.</w:t>
      </w:r>
      <w:r w:rsidR="002254CF" w:rsidRPr="002254CF">
        <w:rPr>
          <w:i/>
        </w:rPr>
        <w:t xml:space="preserve"> et al.</w:t>
      </w:r>
      <w:r w:rsidR="002254CF" w:rsidRPr="002254CF">
        <w:t>, 2023)</w:t>
      </w:r>
      <w:r w:rsidRPr="00B01C90">
        <w:t xml:space="preserve"> is used, which has been specifically designed to optimi</w:t>
      </w:r>
      <w:r w:rsidR="00CB3921" w:rsidRPr="00B01C90">
        <w:t>s</w:t>
      </w:r>
      <w:r w:rsidRPr="00B01C90">
        <w:t xml:space="preserve">e manufacturability and assembly efficiency. Its suitability for rapid heat treatment makes it particularly suitable for serial production. </w:t>
      </w:r>
      <w:r w:rsidR="00143260" w:rsidRPr="00B01C90">
        <w:t>The element has integrated temperature sensors that record readings every ten minutes to continuously capture the temperature curve (Figure 5). The proof of concept considers the scenario in which the core temperature of the element exceeds a temperature threshold at 80°C, resulting in a correction of the oven temperature to ensure optimal curing conditions.</w:t>
      </w:r>
    </w:p>
    <w:p w14:paraId="47738E3E" w14:textId="357571D7" w:rsidR="00312164" w:rsidRPr="003F3C97" w:rsidRDefault="003F3C97" w:rsidP="003F3C97">
      <w:pPr>
        <w:pStyle w:val="MainText"/>
      </w:pPr>
      <w:r w:rsidRPr="00B01C90">
        <w:rPr>
          <w:b/>
          <w:bCs/>
          <w:noProof/>
        </w:rPr>
        <w:drawing>
          <wp:anchor distT="0" distB="0" distL="114300" distR="114300" simplePos="0" relativeHeight="251658240" behindDoc="0" locked="0" layoutInCell="1" allowOverlap="1" wp14:anchorId="36AA44D7" wp14:editId="186FCC01">
            <wp:simplePos x="0" y="0"/>
            <wp:positionH relativeFrom="margin">
              <wp:align>center</wp:align>
            </wp:positionH>
            <wp:positionV relativeFrom="page">
              <wp:posOffset>5875655</wp:posOffset>
            </wp:positionV>
            <wp:extent cx="4365625" cy="2619375"/>
            <wp:effectExtent l="0" t="0" r="0" b="9525"/>
            <wp:wrapTopAndBottom/>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365625" cy="2619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01C90">
        <w:rPr>
          <w:b/>
          <w:bCs/>
          <w:noProof/>
        </w:rPr>
        <mc:AlternateContent>
          <mc:Choice Requires="wps">
            <w:drawing>
              <wp:anchor distT="0" distB="0" distL="114300" distR="114300" simplePos="0" relativeHeight="251660288" behindDoc="0" locked="0" layoutInCell="1" allowOverlap="1" wp14:anchorId="12ED46C7" wp14:editId="759D1A5F">
                <wp:simplePos x="0" y="0"/>
                <wp:positionH relativeFrom="margin">
                  <wp:posOffset>-1270</wp:posOffset>
                </wp:positionH>
                <wp:positionV relativeFrom="margin">
                  <wp:posOffset>7724140</wp:posOffset>
                </wp:positionV>
                <wp:extent cx="6150610" cy="190500"/>
                <wp:effectExtent l="0" t="0" r="2540" b="0"/>
                <wp:wrapSquare wrapText="bothSides"/>
                <wp:docPr id="1493704143" name="Text Box 1"/>
                <wp:cNvGraphicFramePr/>
                <a:graphic xmlns:a="http://schemas.openxmlformats.org/drawingml/2006/main">
                  <a:graphicData uri="http://schemas.microsoft.com/office/word/2010/wordprocessingShape">
                    <wps:wsp>
                      <wps:cNvSpPr txBox="1"/>
                      <wps:spPr>
                        <a:xfrm>
                          <a:off x="0" y="0"/>
                          <a:ext cx="6150610" cy="190500"/>
                        </a:xfrm>
                        <a:prstGeom prst="rect">
                          <a:avLst/>
                        </a:prstGeom>
                        <a:solidFill>
                          <a:prstClr val="white"/>
                        </a:solidFill>
                        <a:ln>
                          <a:noFill/>
                        </a:ln>
                      </wps:spPr>
                      <wps:txbx>
                        <w:txbxContent>
                          <w:p w14:paraId="66DC7512" w14:textId="3ED3655E" w:rsidR="00A97076" w:rsidRPr="00B01C90" w:rsidRDefault="00A97076" w:rsidP="00A97076">
                            <w:pPr>
                              <w:pStyle w:val="Caption"/>
                              <w:rPr>
                                <w:rFonts w:cs="Arial"/>
                                <w:b w:val="0"/>
                                <w:bCs/>
                                <w:noProof/>
                                <w:color w:val="auto"/>
                              </w:rPr>
                            </w:pPr>
                            <w:r w:rsidRPr="00B01C90">
                              <w:rPr>
                                <w:b w:val="0"/>
                                <w:bCs/>
                                <w:color w:val="auto"/>
                              </w:rPr>
                              <w:t>Figure 5</w:t>
                            </w:r>
                            <w:r w:rsidR="00B01C90" w:rsidRPr="00B01C90">
                              <w:rPr>
                                <w:b w:val="0"/>
                                <w:bCs/>
                                <w:color w:val="auto"/>
                              </w:rPr>
                              <w:t>:</w:t>
                            </w:r>
                            <w:r w:rsidRPr="00B01C90">
                              <w:rPr>
                                <w:b w:val="0"/>
                                <w:bCs/>
                                <w:color w:val="auto"/>
                              </w:rPr>
                              <w:t xml:space="preserve"> Temperature graph of the precast concrete element reaching 80°C</w:t>
                            </w:r>
                            <w:r w:rsidR="00B01C90" w:rsidRPr="00B01C90">
                              <w:rPr>
                                <w:b w:val="0"/>
                                <w:bCs/>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D46C7" id="Text Box 1" o:spid="_x0000_s1030" type="#_x0000_t202" style="position:absolute;left:0;text-align:left;margin-left:-.1pt;margin-top:608.2pt;width:484.3pt;height: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" stroked="f">
                <v:textbox inset="0,0,0,0">
                  <w:txbxContent>
                    <w:p w14:paraId="66DC7512" w14:textId="3ED3655E" w:rsidR="00A97076" w:rsidRPr="00B01C90" w:rsidRDefault="00A97076" w:rsidP="00A97076">
                      <w:pPr>
                        <w:pStyle w:val="Caption"/>
                        <w:rPr>
                          <w:rFonts w:cs="Arial"/>
                          <w:b w:val="0"/>
                          <w:bCs/>
                          <w:noProof/>
                          <w:color w:val="auto"/>
                        </w:rPr>
                      </w:pPr>
                      <w:r w:rsidRPr="00B01C90">
                        <w:rPr>
                          <w:b w:val="0"/>
                          <w:bCs/>
                          <w:color w:val="auto"/>
                        </w:rPr>
                        <w:t>Figure 5</w:t>
                      </w:r>
                      <w:r w:rsidR="00B01C90" w:rsidRPr="00B01C90">
                        <w:rPr>
                          <w:b w:val="0"/>
                          <w:bCs/>
                          <w:color w:val="auto"/>
                        </w:rPr>
                        <w:t>:</w:t>
                      </w:r>
                      <w:r w:rsidRPr="00B01C90">
                        <w:rPr>
                          <w:b w:val="0"/>
                          <w:bCs/>
                          <w:color w:val="auto"/>
                        </w:rPr>
                        <w:t xml:space="preserve"> Temperature graph of the precast concrete element reaching 80°C</w:t>
                      </w:r>
                      <w:r w:rsidR="00B01C90" w:rsidRPr="00B01C90">
                        <w:rPr>
                          <w:b w:val="0"/>
                          <w:bCs/>
                          <w:color w:val="auto"/>
                        </w:rPr>
                        <w:t>.</w:t>
                      </w:r>
                    </w:p>
                  </w:txbxContent>
                </v:textbox>
                <w10:wrap type="square" anchorx="margin" anchory="margin"/>
              </v:shape>
            </w:pict>
          </mc:Fallback>
        </mc:AlternateContent>
      </w:r>
      <w:r w:rsidR="00602EFB" w:rsidRPr="00B01C90">
        <w:t xml:space="preserve">Once </w:t>
      </w:r>
      <w:r w:rsidR="00143260" w:rsidRPr="00B01C90">
        <w:t>the element reach</w:t>
      </w:r>
      <w:r w:rsidR="00602EFB" w:rsidRPr="00B01C90">
        <w:t>es</w:t>
      </w:r>
      <w:r w:rsidR="00143260" w:rsidRPr="00B01C90">
        <w:t xml:space="preserve"> 8</w:t>
      </w:r>
      <w:r w:rsidR="00936777" w:rsidRPr="00B01C90">
        <w:t>0°</w:t>
      </w:r>
      <w:r w:rsidR="00143260" w:rsidRPr="00B01C90">
        <w:t>C, the oven temperature should be corrected to 8</w:t>
      </w:r>
      <w:r w:rsidR="00936777" w:rsidRPr="00B01C90">
        <w:t>0°</w:t>
      </w:r>
      <w:r w:rsidR="00143260" w:rsidRPr="00B01C90">
        <w:t xml:space="preserve">C for optimal curing conditions. In this case, the service triggers the </w:t>
      </w:r>
      <w:r w:rsidR="00936777" w:rsidRPr="00B01C90">
        <w:t>“</w:t>
      </w:r>
      <w:proofErr w:type="spellStart"/>
      <w:r w:rsidR="00143260" w:rsidRPr="00B01C90">
        <w:t>updateOvenTemperature</w:t>
      </w:r>
      <w:proofErr w:type="spellEnd"/>
      <w:r w:rsidR="00936777" w:rsidRPr="00B01C90">
        <w:t>”</w:t>
      </w:r>
      <w:r w:rsidR="00EF463E" w:rsidRPr="00B01C90">
        <w:t xml:space="preserve"> </w:t>
      </w:r>
      <w:r w:rsidR="00143260" w:rsidRPr="00B01C90">
        <w:t>smart contract function to update the oven temperature to 80</w:t>
      </w:r>
      <w:r w:rsidR="00936777" w:rsidRPr="00B01C90">
        <w:t>°</w:t>
      </w:r>
      <w:r w:rsidR="00143260" w:rsidRPr="00B01C90">
        <w:t xml:space="preserve">C. After </w:t>
      </w:r>
      <w:r w:rsidR="00EF463E" w:rsidRPr="00B01C90">
        <w:t>curing the precast concrete element, the oven is cooled down, and the element curing process is</w:t>
      </w:r>
      <w:r w:rsidR="00143260" w:rsidRPr="00B01C90">
        <w:t xml:space="preserve"> completed. In this case, both </w:t>
      </w:r>
      <w:r w:rsidR="00602EFB" w:rsidRPr="00B01C90">
        <w:t xml:space="preserve">the </w:t>
      </w:r>
      <w:r w:rsidR="00936777" w:rsidRPr="00B01C90">
        <w:t>“</w:t>
      </w:r>
      <w:proofErr w:type="spellStart"/>
      <w:r w:rsidR="00143260" w:rsidRPr="00B01C90">
        <w:t>updateOvenStatus</w:t>
      </w:r>
      <w:proofErr w:type="spellEnd"/>
      <w:r w:rsidR="00936777" w:rsidRPr="00B01C90">
        <w:t>”</w:t>
      </w:r>
      <w:r w:rsidR="00EF463E" w:rsidRPr="00B01C90">
        <w:t xml:space="preserve"> </w:t>
      </w:r>
      <w:r w:rsidR="00143260" w:rsidRPr="00B01C90">
        <w:t xml:space="preserve">and </w:t>
      </w:r>
      <w:r w:rsidR="00936777" w:rsidRPr="00B01C90">
        <w:t>“</w:t>
      </w:r>
      <w:proofErr w:type="spellStart"/>
      <w:r w:rsidR="00143260" w:rsidRPr="00B01C90">
        <w:t>updateElementStatus</w:t>
      </w:r>
      <w:proofErr w:type="spellEnd"/>
      <w:r w:rsidR="00936777" w:rsidRPr="00B01C90">
        <w:t>”</w:t>
      </w:r>
      <w:r w:rsidR="00EF463E" w:rsidRPr="00B01C90">
        <w:t xml:space="preserve"> </w:t>
      </w:r>
      <w:r w:rsidR="00143260" w:rsidRPr="00B01C90">
        <w:t xml:space="preserve">smart contract functions are triggered, </w:t>
      </w:r>
      <w:r w:rsidR="002501C7" w:rsidRPr="00B01C90">
        <w:t xml:space="preserve">resulting </w:t>
      </w:r>
      <w:r w:rsidR="00602EFB" w:rsidRPr="00B01C90">
        <w:t xml:space="preserve">in </w:t>
      </w:r>
      <w:r w:rsidR="002501C7" w:rsidRPr="00B01C90">
        <w:t>the oven status chang</w:t>
      </w:r>
      <w:r w:rsidR="00602EFB" w:rsidRPr="00B01C90">
        <w:t>ing</w:t>
      </w:r>
      <w:r w:rsidR="002501C7" w:rsidRPr="00B01C90">
        <w:t xml:space="preserve"> to </w:t>
      </w:r>
      <w:r w:rsidR="00994014" w:rsidRPr="00B01C90">
        <w:rPr>
          <w:bCs/>
        </w:rPr>
        <w:t>“</w:t>
      </w:r>
      <w:r w:rsidR="002501C7" w:rsidRPr="00B01C90">
        <w:rPr>
          <w:bCs/>
        </w:rPr>
        <w:t>cooldown</w:t>
      </w:r>
      <w:r w:rsidR="006C57E9" w:rsidRPr="00B01C90">
        <w:rPr>
          <w:bCs/>
        </w:rPr>
        <w:t>”</w:t>
      </w:r>
      <w:r w:rsidR="00EF463E" w:rsidRPr="00B01C90">
        <w:rPr>
          <w:bCs/>
        </w:rPr>
        <w:t xml:space="preserve"> </w:t>
      </w:r>
      <w:r w:rsidR="002501C7" w:rsidRPr="00B01C90">
        <w:rPr>
          <w:bCs/>
        </w:rPr>
        <w:t xml:space="preserve">and </w:t>
      </w:r>
      <w:r w:rsidR="00602EFB" w:rsidRPr="00B01C90">
        <w:rPr>
          <w:bCs/>
        </w:rPr>
        <w:t xml:space="preserve">the </w:t>
      </w:r>
      <w:r w:rsidR="002501C7" w:rsidRPr="00B01C90">
        <w:rPr>
          <w:bCs/>
        </w:rPr>
        <w:t xml:space="preserve">element status </w:t>
      </w:r>
      <w:r w:rsidR="00602EFB" w:rsidRPr="00B01C90">
        <w:rPr>
          <w:bCs/>
        </w:rPr>
        <w:t xml:space="preserve">changing </w:t>
      </w:r>
      <w:r w:rsidR="002501C7" w:rsidRPr="00B01C90">
        <w:rPr>
          <w:bCs/>
        </w:rPr>
        <w:t xml:space="preserve">to </w:t>
      </w:r>
      <w:r w:rsidR="006C57E9" w:rsidRPr="00B01C90">
        <w:rPr>
          <w:bCs/>
        </w:rPr>
        <w:t>“</w:t>
      </w:r>
      <w:r w:rsidR="002501C7" w:rsidRPr="00B01C90">
        <w:rPr>
          <w:bCs/>
        </w:rPr>
        <w:t>cured</w:t>
      </w:r>
      <w:r w:rsidR="006C57E9" w:rsidRPr="00B01C90">
        <w:rPr>
          <w:bCs/>
        </w:rPr>
        <w:t>”</w:t>
      </w:r>
      <w:r w:rsidR="00EF463E" w:rsidRPr="00B01C90">
        <w:rPr>
          <w:bCs/>
        </w:rPr>
        <w:t xml:space="preserve">. </w:t>
      </w:r>
      <w:r w:rsidR="00143260" w:rsidRPr="00B01C90">
        <w:t>This demonstrates a fully automated process for managing the curing phase in precast concrete production.</w:t>
      </w:r>
      <w:r w:rsidR="00825E57" w:rsidRPr="00B01C90">
        <w:t xml:space="preserve"> </w:t>
      </w:r>
      <w:r w:rsidR="00AA716D" w:rsidRPr="00B01C90">
        <w:t xml:space="preserve">The transaction results of the smart contract execution can be viewed in the IOTA EVM </w:t>
      </w:r>
      <w:proofErr w:type="spellStart"/>
      <w:r w:rsidR="00AA716D" w:rsidRPr="00B01C90">
        <w:t>Testnet</w:t>
      </w:r>
      <w:proofErr w:type="spellEnd"/>
      <w:r w:rsidR="00803080" w:rsidRPr="00B01C90">
        <w:t xml:space="preserve"> explorer </w:t>
      </w:r>
      <w:r w:rsidR="00825E57" w:rsidRPr="00B01C90">
        <w:t>(Figure 6)</w:t>
      </w:r>
      <w:r w:rsidR="00994014" w:rsidRPr="00B01C90">
        <w:rPr>
          <w:rStyle w:val="FootnoteReference"/>
        </w:rPr>
        <w:footnoteReference w:id="5"/>
      </w:r>
      <w:r w:rsidR="00994014" w:rsidRPr="00B01C90">
        <w:t>.</w:t>
      </w:r>
    </w:p>
    <w:p w14:paraId="0BB8E397" w14:textId="77777777" w:rsidR="00031D57" w:rsidRPr="00B01C90" w:rsidRDefault="000D3967">
      <w:pPr>
        <w:pStyle w:val="Heading1"/>
      </w:pPr>
      <w:r w:rsidRPr="00B01C90">
        <w:t>6. CONCLUSION</w:t>
      </w:r>
    </w:p>
    <w:p w14:paraId="4EFFDB24" w14:textId="19C998F6" w:rsidR="00031D57" w:rsidRPr="00B01C90" w:rsidRDefault="000D3967">
      <w:pPr>
        <w:pStyle w:val="MainText"/>
        <w:rPr>
          <w:rFonts w:eastAsia="SimSun"/>
          <w:lang w:eastAsia="zh-CN"/>
        </w:rPr>
      </w:pPr>
      <w:r w:rsidRPr="00B01C90">
        <w:t>This paper presents a decentrali</w:t>
      </w:r>
      <w:r w:rsidR="00CB3921" w:rsidRPr="00B01C90">
        <w:t>s</w:t>
      </w:r>
      <w:r w:rsidRPr="00B01C90">
        <w:t xml:space="preserve">ed framework for automating construction industrial workflows using IOTA smart contracts and </w:t>
      </w:r>
      <w:r w:rsidR="00AA6036">
        <w:t>DT</w:t>
      </w:r>
      <w:r w:rsidRPr="00B01C90">
        <w:t>s. The proposed concept uses sensor data as a trigger mechanism, where predefined thresholds automatically activate IOTA smart contracts to execute process tasks. These smart contracts are designed to interact with AAS</w:t>
      </w:r>
      <w:r w:rsidR="001F42B8" w:rsidRPr="00B01C90">
        <w:t>s</w:t>
      </w:r>
      <w:r w:rsidRPr="00B01C90">
        <w:t xml:space="preserve">, enabling the system to update asset status based on sensor inputs. A use case in the precast concrete industry and its corresponding concept implementation are presented to demonstrate the feasibility of our proposed concept. The implemented IOTA smart contract successfully interacted with the AAS service via the implemented Oracle and automated key steps, including stopping the oven, updating the curing status, and initiating the transportation of curing elements. Results show that the concept can support automated process control, improving efficiency, </w:t>
      </w:r>
      <w:r w:rsidR="00EF463E" w:rsidRPr="00B01C90">
        <w:t xml:space="preserve">and </w:t>
      </w:r>
      <w:r w:rsidRPr="00B01C90">
        <w:t>traceability, reducing the need for human intervention throughout the production process.</w:t>
      </w:r>
    </w:p>
    <w:p w14:paraId="02FBB70C" w14:textId="683DBCE9" w:rsidR="00031D57" w:rsidRPr="00B01C90" w:rsidRDefault="000D3967">
      <w:pPr>
        <w:pStyle w:val="MainText"/>
      </w:pPr>
      <w:r w:rsidRPr="00B01C90">
        <w:t xml:space="preserve">While the framework successfully automates critical process tasks, there are opportunities for further improvement. Expanding the </w:t>
      </w:r>
      <w:r w:rsidR="00EF463E" w:rsidRPr="00B01C90">
        <w:t xml:space="preserve">framework's </w:t>
      </w:r>
      <w:r w:rsidRPr="00B01C90">
        <w:t>adaptability to larger and more complex construction environments could enhance its scalability. Additionally, optimi</w:t>
      </w:r>
      <w:r w:rsidR="008751DC" w:rsidRPr="00B01C90">
        <w:t>s</w:t>
      </w:r>
      <w:r w:rsidRPr="00B01C90">
        <w:t xml:space="preserve">ing data flow among framework components may improve performance in scenarios with high data volume. Future work could also explore more flexible condition-triggering mechanisms to extend the </w:t>
      </w:r>
      <w:r w:rsidR="00EF463E" w:rsidRPr="00B01C90">
        <w:t>framework</w:t>
      </w:r>
      <w:r w:rsidR="00994014" w:rsidRPr="00B01C90">
        <w:t>’</w:t>
      </w:r>
      <w:r w:rsidR="00EF463E" w:rsidRPr="00B01C90">
        <w:t xml:space="preserve">s </w:t>
      </w:r>
      <w:r w:rsidRPr="00B01C90">
        <w:t xml:space="preserve">ability to </w:t>
      </w:r>
      <w:r w:rsidR="00A120A2" w:rsidRPr="00B01C90">
        <w:rPr>
          <w:noProof/>
        </w:rPr>
        <w:lastRenderedPageBreak/>
        <mc:AlternateContent>
          <mc:Choice Requires="wps">
            <w:drawing>
              <wp:anchor distT="0" distB="0" distL="114300" distR="114300" simplePos="0" relativeHeight="11" behindDoc="0" locked="0" layoutInCell="1" allowOverlap="1" wp14:anchorId="1354E092" wp14:editId="199CC037">
                <wp:simplePos x="0" y="0"/>
                <wp:positionH relativeFrom="margin">
                  <wp:posOffset>47625</wp:posOffset>
                </wp:positionH>
                <wp:positionV relativeFrom="page">
                  <wp:posOffset>4044950</wp:posOffset>
                </wp:positionV>
                <wp:extent cx="6134735" cy="326390"/>
                <wp:effectExtent l="0" t="0" r="0" b="0"/>
                <wp:wrapTopAndBottom/>
                <wp:docPr id="165930995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735" cy="326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380CA4" w14:textId="54B98BA4" w:rsidR="00246CFB" w:rsidRPr="00A120A2" w:rsidRDefault="00246CFB" w:rsidP="00A120A2">
                            <w:pPr>
                              <w:pStyle w:val="Caption"/>
                              <w:spacing w:before="120" w:line="276" w:lineRule="auto"/>
                              <w:rPr>
                                <w:b w:val="0"/>
                                <w:bCs/>
                                <w:noProof/>
                                <w:color w:val="auto"/>
                              </w:rPr>
                            </w:pPr>
                            <w:r w:rsidRPr="00A120A2">
                              <w:rPr>
                                <w:b w:val="0"/>
                                <w:bCs/>
                                <w:color w:val="auto"/>
                              </w:rPr>
                              <w:t>Figure 6</w:t>
                            </w:r>
                            <w:r w:rsidR="00A120A2" w:rsidRPr="00A120A2">
                              <w:rPr>
                                <w:b w:val="0"/>
                                <w:bCs/>
                                <w:color w:val="auto"/>
                              </w:rPr>
                              <w:t>:</w:t>
                            </w:r>
                            <w:r w:rsidRPr="00A120A2">
                              <w:rPr>
                                <w:b w:val="0"/>
                                <w:bCs/>
                                <w:color w:val="auto"/>
                              </w:rPr>
                              <w:t xml:space="preserve"> The smart contract transaction records of the precast concrete element curing process</w:t>
                            </w:r>
                            <w:r w:rsidR="00A120A2" w:rsidRPr="00A120A2">
                              <w:rPr>
                                <w:b w:val="0"/>
                                <w:bCs/>
                                <w:color w:val="auto"/>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4E092" id="Text Box 29" o:spid="_x0000_s1031" type="#_x0000_t202" style="position:absolute;left:0;text-align:left;margin-left:3.75pt;margin-top:318.5pt;width:483.05pt;height:25.7pt;z-index:1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" stroked="f">
                <v:textbox inset="0,0,0,0">
                  <w:txbxContent>
                    <w:p w14:paraId="3A380CA4" w14:textId="54B98BA4" w:rsidR="00246CFB" w:rsidRPr="00A120A2" w:rsidRDefault="00246CFB" w:rsidP="00A120A2">
                      <w:pPr>
                        <w:pStyle w:val="Caption"/>
                        <w:spacing w:before="120" w:line="276" w:lineRule="auto"/>
                        <w:rPr>
                          <w:b w:val="0"/>
                          <w:bCs/>
                          <w:noProof/>
                          <w:color w:val="auto"/>
                        </w:rPr>
                      </w:pPr>
                      <w:r w:rsidRPr="00A120A2">
                        <w:rPr>
                          <w:b w:val="0"/>
                          <w:bCs/>
                          <w:color w:val="auto"/>
                        </w:rPr>
                        <w:t>Figure 6</w:t>
                      </w:r>
                      <w:r w:rsidR="00A120A2" w:rsidRPr="00A120A2">
                        <w:rPr>
                          <w:b w:val="0"/>
                          <w:bCs/>
                          <w:color w:val="auto"/>
                        </w:rPr>
                        <w:t>:</w:t>
                      </w:r>
                      <w:r w:rsidRPr="00A120A2">
                        <w:rPr>
                          <w:b w:val="0"/>
                          <w:bCs/>
                          <w:color w:val="auto"/>
                        </w:rPr>
                        <w:t xml:space="preserve"> The smart contract transaction records of the precast concrete element curing process</w:t>
                      </w:r>
                      <w:r w:rsidR="00A120A2" w:rsidRPr="00A120A2">
                        <w:rPr>
                          <w:b w:val="0"/>
                          <w:bCs/>
                          <w:color w:val="auto"/>
                        </w:rPr>
                        <w:t>.</w:t>
                      </w:r>
                    </w:p>
                  </w:txbxContent>
                </v:textbox>
                <w10:wrap type="topAndBottom" anchorx="margin" anchory="page"/>
              </v:shape>
            </w:pict>
          </mc:Fallback>
        </mc:AlternateContent>
      </w:r>
      <w:r w:rsidRPr="00B01C90">
        <w:t xml:space="preserve">handle dynamic production environments. These </w:t>
      </w:r>
      <w:r w:rsidR="00A120A2" w:rsidRPr="00B01C90">
        <w:rPr>
          <w:noProof/>
        </w:rPr>
        <w:drawing>
          <wp:anchor distT="0" distB="0" distL="114300" distR="114300" simplePos="0" relativeHeight="12" behindDoc="0" locked="0" layoutInCell="1" allowOverlap="1" wp14:anchorId="55383D4D" wp14:editId="6CFEF7C7">
            <wp:simplePos x="0" y="0"/>
            <wp:positionH relativeFrom="margin">
              <wp:align>center</wp:align>
            </wp:positionH>
            <wp:positionV relativeFrom="margin">
              <wp:align>top</wp:align>
            </wp:positionV>
            <wp:extent cx="6154420" cy="3236595"/>
            <wp:effectExtent l="0" t="0" r="0" b="1905"/>
            <wp:wrapSquare wrapText="bothSides"/>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54420" cy="3236595"/>
                    </a:xfrm>
                    <a:prstGeom prst="rect">
                      <a:avLst/>
                    </a:prstGeom>
                    <a:noFill/>
                  </pic:spPr>
                </pic:pic>
              </a:graphicData>
            </a:graphic>
            <wp14:sizeRelH relativeFrom="page">
              <wp14:pctWidth>0</wp14:pctWidth>
            </wp14:sizeRelH>
            <wp14:sizeRelV relativeFrom="page">
              <wp14:pctHeight>0</wp14:pctHeight>
            </wp14:sizeRelV>
          </wp:anchor>
        </w:drawing>
      </w:r>
      <w:r w:rsidRPr="00B01C90">
        <w:t xml:space="preserve">enhancements would further strengthen the </w:t>
      </w:r>
      <w:r w:rsidR="00EF463E" w:rsidRPr="00B01C90">
        <w:t>framework</w:t>
      </w:r>
      <w:r w:rsidR="00994014" w:rsidRPr="00B01C90">
        <w:t>’</w:t>
      </w:r>
      <w:r w:rsidR="00EF463E" w:rsidRPr="00B01C90">
        <w:t xml:space="preserve">s </w:t>
      </w:r>
      <w:r w:rsidRPr="00B01C90">
        <w:t>ability to support efficient and data-driven decision-making in construction industrial automation.</w:t>
      </w:r>
    </w:p>
    <w:p w14:paraId="0873D4B5" w14:textId="18DE7299" w:rsidR="006C57E9" w:rsidRPr="00B01C90" w:rsidRDefault="006C57E9">
      <w:pPr>
        <w:pStyle w:val="MainText"/>
      </w:pPr>
    </w:p>
    <w:p w14:paraId="0DAA0507" w14:textId="522B8F09" w:rsidR="00031D57" w:rsidRPr="00B01C90" w:rsidRDefault="000D3967">
      <w:pPr>
        <w:pStyle w:val="Heading1"/>
      </w:pPr>
      <w:r w:rsidRPr="00B01C90">
        <w:t>ACKNOWLEDGEMENTS</w:t>
      </w:r>
    </w:p>
    <w:p w14:paraId="778CD507" w14:textId="578685BD" w:rsidR="00031D57" w:rsidRPr="00B01C90" w:rsidRDefault="000D3967">
      <w:pPr>
        <w:pStyle w:val="MainText"/>
      </w:pPr>
      <w:r w:rsidRPr="00B01C90">
        <w:t xml:space="preserve">This research is funded under Grant No. 423963709 by the German Research Foundation as part of the priority program </w:t>
      </w:r>
      <w:r w:rsidR="003E0B49" w:rsidRPr="00B01C90">
        <w:t>“</w:t>
      </w:r>
      <w:r w:rsidRPr="00B01C90">
        <w:t>SPP2187 – Adaptive modularized constructions made in flux</w:t>
      </w:r>
      <w:r w:rsidR="003F3C97">
        <w:t>”</w:t>
      </w:r>
      <w:r w:rsidR="003E0B49" w:rsidRPr="00B01C90">
        <w:t>.</w:t>
      </w:r>
    </w:p>
    <w:p w14:paraId="5900CAC2" w14:textId="77777777" w:rsidR="000E1C65" w:rsidRPr="003F3C97" w:rsidRDefault="000E1C65" w:rsidP="003F3C97">
      <w:pPr>
        <w:jc w:val="both"/>
        <w:rPr>
          <w:rFonts w:eastAsia="MS Mincho"/>
          <w:sz w:val="20"/>
          <w:szCs w:val="20"/>
        </w:rPr>
      </w:pPr>
    </w:p>
    <w:p w14:paraId="610AAA98" w14:textId="0B542619" w:rsidR="002254CF" w:rsidRPr="002254CF" w:rsidRDefault="002254CF" w:rsidP="002254CF">
      <w:pPr>
        <w:pStyle w:val="CitaviBibliographyHeading"/>
        <w:rPr>
          <w:rFonts w:eastAsia="MS Mincho"/>
          <w:caps/>
          <w:szCs w:val="20"/>
        </w:rPr>
      </w:pPr>
      <w:r w:rsidRPr="002254CF">
        <w:rPr>
          <w:rFonts w:eastAsia="MS Mincho"/>
          <w:caps/>
          <w:szCs w:val="20"/>
        </w:rPr>
        <w:t>References</w:t>
      </w:r>
    </w:p>
    <w:p w14:paraId="6C8DB6E7" w14:textId="31BEB231" w:rsidR="002254CF" w:rsidRPr="002254CF" w:rsidRDefault="002254CF" w:rsidP="002254CF">
      <w:pPr>
        <w:pStyle w:val="CitaviBibliographyEntry"/>
        <w:rPr>
          <w:rFonts w:eastAsia="MS Mincho"/>
          <w:b w:val="0"/>
          <w:sz w:val="20"/>
          <w:szCs w:val="20"/>
        </w:rPr>
      </w:pPr>
      <w:bookmarkStart w:id="2" w:name="_CTVL001a314deba71f14f37b4eee91e98976e32"/>
      <w:r w:rsidRPr="002254CF">
        <w:rPr>
          <w:rFonts w:eastAsia="MS Mincho"/>
          <w:b w:val="0"/>
          <w:sz w:val="20"/>
          <w:szCs w:val="20"/>
        </w:rPr>
        <w:t>Boje, C., Guerriero, A., Kubicki, S. &amp; Rezgui, Y. (2020) Towards a semantic Construction Digital Twin: Directions for future research.</w:t>
      </w:r>
      <w:bookmarkEnd w:id="2"/>
      <w:r w:rsidRPr="002254CF">
        <w:rPr>
          <w:rFonts w:eastAsia="MS Mincho"/>
          <w:b w:val="0"/>
          <w:sz w:val="20"/>
          <w:szCs w:val="20"/>
        </w:rPr>
        <w:t xml:space="preserve"> </w:t>
      </w:r>
      <w:r w:rsidRPr="002254CF">
        <w:rPr>
          <w:rFonts w:eastAsia="MS Mincho"/>
          <w:b w:val="0"/>
          <w:i/>
          <w:sz w:val="20"/>
          <w:szCs w:val="20"/>
        </w:rPr>
        <w:t>Automation in Construction</w:t>
      </w:r>
      <w:r w:rsidRPr="002254CF">
        <w:rPr>
          <w:rFonts w:eastAsia="MS Mincho"/>
          <w:b w:val="0"/>
          <w:sz w:val="20"/>
          <w:szCs w:val="20"/>
        </w:rPr>
        <w:t xml:space="preserve">, 114, 103179. Available from: </w:t>
      </w:r>
      <w:hyperlink r:id="rId21" w:history="1">
        <w:r w:rsidR="00F328E8" w:rsidRPr="00292335">
          <w:rPr>
            <w:rStyle w:val="Hyperlink"/>
            <w:rFonts w:eastAsia="MS Mincho"/>
            <w:b w:val="0"/>
            <w:sz w:val="20"/>
            <w:szCs w:val="20"/>
          </w:rPr>
          <w:t>https://doi.org/10.1016/j.autcon.2020.103179</w:t>
        </w:r>
      </w:hyperlink>
      <w:r w:rsidRPr="002254CF">
        <w:rPr>
          <w:rFonts w:eastAsia="MS Mincho"/>
          <w:b w:val="0"/>
          <w:sz w:val="20"/>
          <w:szCs w:val="20"/>
        </w:rPr>
        <w:t>.</w:t>
      </w:r>
    </w:p>
    <w:p w14:paraId="41637159" w14:textId="77777777" w:rsidR="002254CF" w:rsidRPr="002254CF" w:rsidRDefault="002254CF" w:rsidP="002254CF">
      <w:pPr>
        <w:pStyle w:val="CitaviBibliographyEntry"/>
        <w:rPr>
          <w:rFonts w:eastAsia="MS Mincho"/>
          <w:b w:val="0"/>
          <w:sz w:val="20"/>
          <w:szCs w:val="20"/>
        </w:rPr>
      </w:pPr>
      <w:bookmarkStart w:id="3" w:name="_CTVL001dfc7b421a01e499ca256b7cbedd22b3e"/>
      <w:r w:rsidRPr="002254CF">
        <w:rPr>
          <w:rFonts w:eastAsia="MS Mincho"/>
          <w:b w:val="0"/>
          <w:sz w:val="20"/>
          <w:szCs w:val="20"/>
        </w:rPr>
        <w:t>Cao, X., Li, X., Xiao, Y., Yao, Y., Tan, S. &amp; Wang, P. (2022) BDTwins: Blockchain-based Digital Twins Lifecycle Management. In:</w:t>
      </w:r>
      <w:bookmarkEnd w:id="3"/>
      <w:r w:rsidRPr="002254CF">
        <w:rPr>
          <w:rFonts w:eastAsia="MS Mincho"/>
          <w:b w:val="0"/>
          <w:sz w:val="20"/>
          <w:szCs w:val="20"/>
        </w:rPr>
        <w:t xml:space="preserve"> </w:t>
      </w:r>
      <w:r w:rsidRPr="002254CF">
        <w:rPr>
          <w:rFonts w:eastAsia="MS Mincho"/>
          <w:b w:val="0"/>
          <w:i/>
          <w:sz w:val="20"/>
          <w:szCs w:val="20"/>
        </w:rPr>
        <w:t>2022 IEEE SmartWorld, ubiquitous intelligence &amp; computing, autonomous &amp; trusted vehicles, scalable computing &amp; communications, digital twin, privacy computing, metaverse (SmartWorld/UIC/ATC/ScalCom/DigitalTwin/PriComp/Metaverse): Haikou, China, 15-18 December 2022 : proceedings, The 8</w:t>
      </w:r>
      <w:r w:rsidRPr="00F328E8">
        <w:rPr>
          <w:rFonts w:eastAsia="MS Mincho"/>
          <w:b w:val="0"/>
          <w:i/>
          <w:sz w:val="20"/>
          <w:szCs w:val="20"/>
          <w:vertAlign w:val="superscript"/>
        </w:rPr>
        <w:t>th</w:t>
      </w:r>
      <w:r w:rsidRPr="002254CF">
        <w:rPr>
          <w:rFonts w:eastAsia="MS Mincho"/>
          <w:b w:val="0"/>
          <w:i/>
          <w:sz w:val="20"/>
          <w:szCs w:val="20"/>
        </w:rPr>
        <w:t xml:space="preserve"> IEEE Smart World Congress (SmartWorld 2022)</w:t>
      </w:r>
      <w:r w:rsidRPr="002254CF">
        <w:rPr>
          <w:rFonts w:eastAsia="MS Mincho"/>
          <w:b w:val="0"/>
          <w:sz w:val="20"/>
          <w:szCs w:val="20"/>
        </w:rPr>
        <w:t>, Haikou, China, Dec. 15 - 18. IEEE: Piscataway, NJ, pp. 2003–2010.</w:t>
      </w:r>
    </w:p>
    <w:p w14:paraId="3799EA69" w14:textId="202037C9" w:rsidR="002254CF" w:rsidRPr="002254CF" w:rsidRDefault="002254CF" w:rsidP="002254CF">
      <w:pPr>
        <w:pStyle w:val="CitaviBibliographyEntry"/>
        <w:rPr>
          <w:rFonts w:eastAsia="MS Mincho"/>
          <w:b w:val="0"/>
          <w:sz w:val="20"/>
          <w:szCs w:val="20"/>
        </w:rPr>
      </w:pPr>
      <w:bookmarkStart w:id="4" w:name="_CTVL001a6728f9c3da246d982c162462c9e726d"/>
      <w:r w:rsidRPr="002254CF">
        <w:rPr>
          <w:rFonts w:eastAsia="MS Mincho"/>
          <w:b w:val="0"/>
          <w:sz w:val="20"/>
          <w:szCs w:val="20"/>
        </w:rPr>
        <w:t>Celik, B.G., Abraham, Y.S. &amp; Attaran, M. (2024) Unlocking Blockchain in Construction: A Systematic Review of Applications and Barriers.</w:t>
      </w:r>
      <w:bookmarkEnd w:id="4"/>
      <w:r w:rsidRPr="002254CF">
        <w:rPr>
          <w:rFonts w:eastAsia="MS Mincho"/>
          <w:b w:val="0"/>
          <w:sz w:val="20"/>
          <w:szCs w:val="20"/>
        </w:rPr>
        <w:t xml:space="preserve"> </w:t>
      </w:r>
      <w:r w:rsidRPr="002254CF">
        <w:rPr>
          <w:rFonts w:eastAsia="MS Mincho"/>
          <w:b w:val="0"/>
          <w:i/>
          <w:sz w:val="20"/>
          <w:szCs w:val="20"/>
        </w:rPr>
        <w:t>Buildings</w:t>
      </w:r>
      <w:r w:rsidRPr="002254CF">
        <w:rPr>
          <w:rFonts w:eastAsia="MS Mincho"/>
          <w:b w:val="0"/>
          <w:sz w:val="20"/>
          <w:szCs w:val="20"/>
        </w:rPr>
        <w:t xml:space="preserve">, 14(6), 1600. Available from: </w:t>
      </w:r>
      <w:hyperlink r:id="rId22" w:history="1">
        <w:r w:rsidR="00F328E8" w:rsidRPr="00292335">
          <w:rPr>
            <w:rStyle w:val="Hyperlink"/>
            <w:rFonts w:eastAsia="MS Mincho"/>
            <w:b w:val="0"/>
            <w:sz w:val="20"/>
            <w:szCs w:val="20"/>
          </w:rPr>
          <w:t>https://doi.org/10.3390/buildings14061600</w:t>
        </w:r>
      </w:hyperlink>
      <w:r w:rsidRPr="002254CF">
        <w:rPr>
          <w:rFonts w:eastAsia="MS Mincho"/>
          <w:b w:val="0"/>
          <w:sz w:val="20"/>
          <w:szCs w:val="20"/>
        </w:rPr>
        <w:t>.</w:t>
      </w:r>
    </w:p>
    <w:p w14:paraId="769E1378" w14:textId="1E63C9F4" w:rsidR="002254CF" w:rsidRPr="002254CF" w:rsidRDefault="002254CF" w:rsidP="002254CF">
      <w:pPr>
        <w:pStyle w:val="CitaviBibliographyEntry"/>
        <w:rPr>
          <w:rFonts w:eastAsia="MS Mincho"/>
          <w:b w:val="0"/>
          <w:sz w:val="20"/>
          <w:szCs w:val="20"/>
        </w:rPr>
      </w:pPr>
      <w:bookmarkStart w:id="5" w:name="_CTVL0013c4578adfa184b2f8e28eddbefdcd345"/>
      <w:r w:rsidRPr="002254CF">
        <w:rPr>
          <w:rFonts w:eastAsia="MS Mincho"/>
          <w:b w:val="0"/>
          <w:sz w:val="20"/>
          <w:szCs w:val="20"/>
        </w:rPr>
        <w:t>Denis, N., Chabridon, S. &amp; Laurent, M. (2024) Bringing privacy, security and performance to the Internet of Things using IOTA and usage control.</w:t>
      </w:r>
      <w:bookmarkEnd w:id="5"/>
      <w:r w:rsidRPr="002254CF">
        <w:rPr>
          <w:rFonts w:eastAsia="MS Mincho"/>
          <w:b w:val="0"/>
          <w:sz w:val="20"/>
          <w:szCs w:val="20"/>
        </w:rPr>
        <w:t xml:space="preserve"> </w:t>
      </w:r>
      <w:r w:rsidRPr="002254CF">
        <w:rPr>
          <w:rFonts w:eastAsia="MS Mincho"/>
          <w:b w:val="0"/>
          <w:i/>
          <w:sz w:val="20"/>
          <w:szCs w:val="20"/>
        </w:rPr>
        <w:t>Annals of Telecommunications</w:t>
      </w:r>
      <w:r w:rsidRPr="002254CF">
        <w:rPr>
          <w:rFonts w:eastAsia="MS Mincho"/>
          <w:b w:val="0"/>
          <w:sz w:val="20"/>
          <w:szCs w:val="20"/>
        </w:rPr>
        <w:t xml:space="preserve">, 79(7-8), 585–601. Available from: </w:t>
      </w:r>
      <w:hyperlink r:id="rId23" w:history="1">
        <w:r w:rsidR="00F328E8" w:rsidRPr="00292335">
          <w:rPr>
            <w:rStyle w:val="Hyperlink"/>
            <w:rFonts w:eastAsia="MS Mincho"/>
            <w:b w:val="0"/>
            <w:sz w:val="20"/>
            <w:szCs w:val="20"/>
          </w:rPr>
          <w:t>https://doi.org/10.1007/s12243-023-01005-1</w:t>
        </w:r>
      </w:hyperlink>
      <w:r w:rsidRPr="002254CF">
        <w:rPr>
          <w:rFonts w:eastAsia="MS Mincho"/>
          <w:b w:val="0"/>
          <w:sz w:val="20"/>
          <w:szCs w:val="20"/>
        </w:rPr>
        <w:t>.</w:t>
      </w:r>
    </w:p>
    <w:p w14:paraId="0858250E" w14:textId="77777777" w:rsidR="002254CF" w:rsidRPr="002254CF" w:rsidRDefault="002254CF" w:rsidP="002254CF">
      <w:pPr>
        <w:pStyle w:val="CitaviBibliographyEntry"/>
        <w:rPr>
          <w:rFonts w:eastAsia="MS Mincho"/>
          <w:b w:val="0"/>
          <w:sz w:val="20"/>
          <w:szCs w:val="20"/>
        </w:rPr>
      </w:pPr>
      <w:bookmarkStart w:id="6" w:name="_CTVL001112c7118fc824b5f9411d3d43e38faf3"/>
      <w:r w:rsidRPr="002254CF">
        <w:rPr>
          <w:rFonts w:eastAsia="MS Mincho"/>
          <w:b w:val="0"/>
          <w:sz w:val="20"/>
          <w:szCs w:val="20"/>
        </w:rPr>
        <w:t>Dogan, A., Belyaev, A., Nagel, J., Rijo, G., Bondza, A. &amp; Block, C. et al. (2020)</w:t>
      </w:r>
      <w:bookmarkEnd w:id="6"/>
      <w:r w:rsidRPr="002254CF">
        <w:rPr>
          <w:rFonts w:eastAsia="MS Mincho"/>
          <w:b w:val="0"/>
          <w:sz w:val="20"/>
          <w:szCs w:val="20"/>
        </w:rPr>
        <w:t xml:space="preserve"> </w:t>
      </w:r>
      <w:r w:rsidRPr="002254CF">
        <w:rPr>
          <w:rFonts w:eastAsia="MS Mincho"/>
          <w:b w:val="0"/>
          <w:i/>
          <w:sz w:val="20"/>
          <w:szCs w:val="20"/>
        </w:rPr>
        <w:t>Distrubuted Ledger-based Infrastructure for Industrial Digital twins: 5 use cases enabled by Blockchain, IOTA Tangle and ECLASS</w:t>
      </w:r>
      <w:r w:rsidRPr="002254CF">
        <w:rPr>
          <w:rFonts w:eastAsia="MS Mincho"/>
          <w:b w:val="0"/>
          <w:sz w:val="20"/>
          <w:szCs w:val="20"/>
        </w:rPr>
        <w:t>.</w:t>
      </w:r>
    </w:p>
    <w:p w14:paraId="2D4E6499" w14:textId="77777777" w:rsidR="002254CF" w:rsidRPr="002254CF" w:rsidRDefault="002254CF" w:rsidP="002254CF">
      <w:pPr>
        <w:pStyle w:val="CitaviBibliographyEntry"/>
        <w:rPr>
          <w:rFonts w:eastAsia="MS Mincho"/>
          <w:b w:val="0"/>
          <w:sz w:val="20"/>
          <w:szCs w:val="20"/>
        </w:rPr>
      </w:pPr>
      <w:bookmarkStart w:id="7" w:name="_CTVL0017cc4d3abf0a14420b71666f8ad37853b"/>
      <w:r w:rsidRPr="002254CF">
        <w:rPr>
          <w:rFonts w:eastAsia="MS Mincho"/>
          <w:b w:val="0"/>
          <w:sz w:val="20"/>
          <w:szCs w:val="20"/>
        </w:rPr>
        <w:t xml:space="preserve">El Ioini, N. &amp; Pahl, C. (2018) A Review of Distributed Ledger Technologies. </w:t>
      </w:r>
      <w:r w:rsidRPr="002254CF">
        <w:rPr>
          <w:rFonts w:eastAsia="MS Mincho"/>
          <w:b w:val="0"/>
          <w:sz w:val="20"/>
          <w:szCs w:val="20"/>
          <w:lang w:val="it-IT"/>
        </w:rPr>
        <w:t>In: Panetto, H., Debruyne, C., Proper, H.A., Ardagna, C.A., Roman, D. &amp; Meersman, R. (Eds.)</w:t>
      </w:r>
      <w:bookmarkEnd w:id="7"/>
      <w:r w:rsidRPr="002254CF">
        <w:rPr>
          <w:rFonts w:eastAsia="MS Mincho"/>
          <w:b w:val="0"/>
          <w:sz w:val="20"/>
          <w:szCs w:val="20"/>
          <w:lang w:val="it-IT"/>
        </w:rPr>
        <w:t xml:space="preserve"> </w:t>
      </w:r>
      <w:r w:rsidRPr="002254CF">
        <w:rPr>
          <w:rFonts w:eastAsia="MS Mincho"/>
          <w:b w:val="0"/>
          <w:i/>
          <w:sz w:val="20"/>
          <w:szCs w:val="20"/>
        </w:rPr>
        <w:t xml:space="preserve">On the Move to Meaningful Internet Systems. OTM 2018 Conferences. </w:t>
      </w:r>
      <w:r w:rsidRPr="002254CF">
        <w:rPr>
          <w:rFonts w:eastAsia="MS Mincho"/>
          <w:b w:val="0"/>
          <w:sz w:val="20"/>
          <w:szCs w:val="20"/>
        </w:rPr>
        <w:t>Springer International Publishing: Cham, pp. 277–288.</w:t>
      </w:r>
    </w:p>
    <w:p w14:paraId="31D000BC" w14:textId="77777777" w:rsidR="002254CF" w:rsidRPr="002254CF" w:rsidRDefault="002254CF" w:rsidP="002254CF">
      <w:pPr>
        <w:pStyle w:val="CitaviBibliographyEntry"/>
        <w:rPr>
          <w:rFonts w:eastAsia="MS Mincho"/>
          <w:b w:val="0"/>
          <w:sz w:val="20"/>
          <w:szCs w:val="20"/>
        </w:rPr>
      </w:pPr>
      <w:bookmarkStart w:id="8" w:name="_CTVL001e53850c6e4604bb59d53d6bf31d70a4d"/>
      <w:r w:rsidRPr="002254CF">
        <w:rPr>
          <w:rFonts w:eastAsia="MS Mincho"/>
          <w:b w:val="0"/>
          <w:sz w:val="20"/>
          <w:szCs w:val="20"/>
          <w:lang w:val="de-DE"/>
        </w:rPr>
        <w:t>Friedrich, T. (2019) Computergesteuerte Fertigung im Betonfertigteilwerk.</w:t>
      </w:r>
      <w:bookmarkEnd w:id="8"/>
      <w:r w:rsidRPr="002254CF">
        <w:rPr>
          <w:rFonts w:eastAsia="MS Mincho"/>
          <w:b w:val="0"/>
          <w:sz w:val="20"/>
          <w:szCs w:val="20"/>
          <w:lang w:val="de-DE"/>
        </w:rPr>
        <w:t xml:space="preserve"> </w:t>
      </w:r>
      <w:r w:rsidRPr="002254CF">
        <w:rPr>
          <w:rFonts w:eastAsia="MS Mincho"/>
          <w:b w:val="0"/>
          <w:i/>
          <w:sz w:val="20"/>
          <w:szCs w:val="20"/>
        </w:rPr>
        <w:t>BetonWerk International (BWI)</w:t>
      </w:r>
      <w:r w:rsidRPr="002254CF">
        <w:rPr>
          <w:rFonts w:eastAsia="MS Mincho"/>
          <w:b w:val="0"/>
          <w:sz w:val="20"/>
          <w:szCs w:val="20"/>
        </w:rPr>
        <w:t>, (5), 142–149.</w:t>
      </w:r>
    </w:p>
    <w:p w14:paraId="14B3AB53" w14:textId="3FF82626" w:rsidR="002254CF" w:rsidRPr="002254CF" w:rsidRDefault="002254CF" w:rsidP="002254CF">
      <w:pPr>
        <w:pStyle w:val="CitaviBibliographyEntry"/>
        <w:rPr>
          <w:rFonts w:eastAsia="MS Mincho"/>
          <w:b w:val="0"/>
          <w:sz w:val="20"/>
          <w:szCs w:val="20"/>
        </w:rPr>
      </w:pPr>
      <w:bookmarkStart w:id="9" w:name="_CTVL0016a8735521e0e42019a14a9939a49e734"/>
      <w:r w:rsidRPr="002254CF">
        <w:rPr>
          <w:rFonts w:eastAsia="MS Mincho"/>
          <w:b w:val="0"/>
          <w:sz w:val="20"/>
          <w:szCs w:val="20"/>
        </w:rPr>
        <w:t>Kagermann, H., Wahlster, W. &amp; Helbig, J. (2013)</w:t>
      </w:r>
      <w:bookmarkEnd w:id="9"/>
      <w:r w:rsidRPr="002254CF">
        <w:rPr>
          <w:rFonts w:eastAsia="MS Mincho"/>
          <w:b w:val="0"/>
          <w:sz w:val="20"/>
          <w:szCs w:val="20"/>
        </w:rPr>
        <w:t xml:space="preserve"> </w:t>
      </w:r>
      <w:r w:rsidRPr="002254CF">
        <w:rPr>
          <w:rFonts w:eastAsia="MS Mincho"/>
          <w:b w:val="0"/>
          <w:i/>
          <w:sz w:val="20"/>
          <w:szCs w:val="20"/>
        </w:rPr>
        <w:t xml:space="preserve">Recommendations for Implementing the Strategic Initiative INDUSTRIE 4.0 </w:t>
      </w:r>
      <w:r w:rsidRPr="002254CF">
        <w:rPr>
          <w:rFonts w:ascii="Cambria Math" w:eastAsia="MS Mincho" w:hAnsi="Cambria Math" w:cs="Cambria Math"/>
          <w:b w:val="0"/>
          <w:i/>
          <w:sz w:val="20"/>
          <w:szCs w:val="20"/>
        </w:rPr>
        <w:t>‐</w:t>
      </w:r>
      <w:r w:rsidRPr="002254CF">
        <w:rPr>
          <w:rFonts w:eastAsia="MS Mincho"/>
          <w:b w:val="0"/>
          <w:i/>
          <w:sz w:val="20"/>
          <w:szCs w:val="20"/>
        </w:rPr>
        <w:t xml:space="preserve"> Securing the Future of German Manufacturing Industry</w:t>
      </w:r>
      <w:r w:rsidRPr="002254CF">
        <w:rPr>
          <w:rFonts w:eastAsia="MS Mincho"/>
          <w:b w:val="0"/>
          <w:sz w:val="20"/>
          <w:szCs w:val="20"/>
        </w:rPr>
        <w:t xml:space="preserve">. Final Report of the Industrie 4.0 Working Group, München. Available from: </w:t>
      </w:r>
      <w:hyperlink r:id="rId24" w:history="1">
        <w:r w:rsidR="00F328E8" w:rsidRPr="00292335">
          <w:rPr>
            <w:rStyle w:val="Hyperlink"/>
            <w:rFonts w:eastAsia="MS Mincho"/>
            <w:b w:val="0"/>
            <w:sz w:val="20"/>
            <w:szCs w:val="20"/>
          </w:rPr>
          <w:t>http://​forschungsunion.de​/​pdf/​industrie_​4_​0_​final_​report.pdf</w:t>
        </w:r>
      </w:hyperlink>
      <w:r w:rsidRPr="002254CF">
        <w:rPr>
          <w:rFonts w:eastAsia="MS Mincho"/>
          <w:b w:val="0"/>
          <w:sz w:val="20"/>
          <w:szCs w:val="20"/>
        </w:rPr>
        <w:t>.</w:t>
      </w:r>
    </w:p>
    <w:p w14:paraId="34FDB7F7" w14:textId="4CDA68D1" w:rsidR="002254CF" w:rsidRPr="002254CF" w:rsidRDefault="002254CF" w:rsidP="002254CF">
      <w:pPr>
        <w:pStyle w:val="CitaviBibliographyEntry"/>
        <w:rPr>
          <w:rFonts w:eastAsia="MS Mincho"/>
          <w:b w:val="0"/>
          <w:sz w:val="20"/>
          <w:szCs w:val="20"/>
        </w:rPr>
      </w:pPr>
      <w:bookmarkStart w:id="10" w:name="_CTVL0011465ee12347b44c1b8d6f40138ad3620"/>
      <w:r w:rsidRPr="002254CF">
        <w:rPr>
          <w:rFonts w:eastAsia="MS Mincho"/>
          <w:b w:val="0"/>
          <w:sz w:val="20"/>
          <w:szCs w:val="20"/>
        </w:rPr>
        <w:lastRenderedPageBreak/>
        <w:t>Kosse, S., Betker, V., Hagedorn, P., König, M. &amp; Schmidt, T. (2024) A Semantic Digital Twin for the Dynamic Scheduling of Industry 4.0-based Production of Precast Concrete Elements.</w:t>
      </w:r>
      <w:bookmarkEnd w:id="10"/>
      <w:r w:rsidRPr="002254CF">
        <w:rPr>
          <w:rFonts w:eastAsia="MS Mincho"/>
          <w:b w:val="0"/>
          <w:sz w:val="20"/>
          <w:szCs w:val="20"/>
        </w:rPr>
        <w:t xml:space="preserve"> </w:t>
      </w:r>
      <w:r w:rsidRPr="002254CF">
        <w:rPr>
          <w:rFonts w:eastAsia="MS Mincho"/>
          <w:b w:val="0"/>
          <w:i/>
          <w:sz w:val="20"/>
          <w:szCs w:val="20"/>
        </w:rPr>
        <w:t>Advanced Engineering Informatics</w:t>
      </w:r>
      <w:r w:rsidRPr="002254CF">
        <w:rPr>
          <w:rFonts w:eastAsia="MS Mincho"/>
          <w:b w:val="0"/>
          <w:sz w:val="20"/>
          <w:szCs w:val="20"/>
        </w:rPr>
        <w:t xml:space="preserve">, 62, 102677. Available from: </w:t>
      </w:r>
      <w:hyperlink r:id="rId25" w:history="1">
        <w:r w:rsidR="00F328E8" w:rsidRPr="00292335">
          <w:rPr>
            <w:rStyle w:val="Hyperlink"/>
            <w:rFonts w:eastAsia="MS Mincho"/>
            <w:b w:val="0"/>
            <w:sz w:val="20"/>
            <w:szCs w:val="20"/>
          </w:rPr>
          <w:t>https://doi.org/10.1016/j.aei.2024.102677</w:t>
        </w:r>
      </w:hyperlink>
      <w:r w:rsidRPr="002254CF">
        <w:rPr>
          <w:rFonts w:eastAsia="MS Mincho"/>
          <w:b w:val="0"/>
          <w:sz w:val="20"/>
          <w:szCs w:val="20"/>
        </w:rPr>
        <w:t>.</w:t>
      </w:r>
    </w:p>
    <w:p w14:paraId="61E41999" w14:textId="77777777" w:rsidR="002254CF" w:rsidRPr="002254CF" w:rsidRDefault="002254CF" w:rsidP="002254CF">
      <w:pPr>
        <w:pStyle w:val="CitaviBibliographyEntry"/>
        <w:rPr>
          <w:rFonts w:eastAsia="MS Mincho"/>
          <w:b w:val="0"/>
          <w:sz w:val="20"/>
          <w:szCs w:val="20"/>
        </w:rPr>
      </w:pPr>
      <w:bookmarkStart w:id="11" w:name="_CTVL0014371ed94c20d4d0d8f20e995354556a6"/>
      <w:r w:rsidRPr="002254CF">
        <w:rPr>
          <w:rFonts w:eastAsia="MS Mincho"/>
          <w:b w:val="0"/>
          <w:sz w:val="20"/>
          <w:szCs w:val="20"/>
        </w:rPr>
        <w:t>Kosse, S., Forman, P., Stindt, J., Hoppe, J., König, M. &amp; Mark, P. (2023) Industry 4.0 Enabled Modular Precast Concrete Components: A Case Study. In:,</w:t>
      </w:r>
      <w:bookmarkEnd w:id="11"/>
      <w:r w:rsidRPr="002254CF">
        <w:rPr>
          <w:rFonts w:eastAsia="MS Mincho"/>
          <w:b w:val="0"/>
          <w:sz w:val="20"/>
          <w:szCs w:val="20"/>
        </w:rPr>
        <w:t xml:space="preserve"> </w:t>
      </w:r>
      <w:r w:rsidRPr="002254CF">
        <w:rPr>
          <w:rFonts w:eastAsia="MS Mincho"/>
          <w:b w:val="0"/>
          <w:i/>
          <w:sz w:val="20"/>
          <w:szCs w:val="20"/>
        </w:rPr>
        <w:t xml:space="preserve">International RILEM Conference on Synergising expertise towards sustainability and robustness of CBMs and concrete structures. </w:t>
      </w:r>
      <w:r w:rsidRPr="002254CF">
        <w:rPr>
          <w:rFonts w:eastAsia="MS Mincho"/>
          <w:b w:val="0"/>
          <w:sz w:val="20"/>
          <w:szCs w:val="20"/>
        </w:rPr>
        <w:t>Springer, Cham, pp. 229–240.</w:t>
      </w:r>
    </w:p>
    <w:p w14:paraId="54AAE0FB" w14:textId="61BBECEA" w:rsidR="002254CF" w:rsidRPr="002254CF" w:rsidRDefault="002254CF" w:rsidP="002254CF">
      <w:pPr>
        <w:pStyle w:val="CitaviBibliographyEntry"/>
        <w:rPr>
          <w:rFonts w:eastAsia="MS Mincho"/>
          <w:b w:val="0"/>
          <w:sz w:val="20"/>
          <w:szCs w:val="20"/>
        </w:rPr>
      </w:pPr>
      <w:bookmarkStart w:id="12" w:name="_CTVL0018c5fbbd1379247628b55e955d445f74e"/>
      <w:r w:rsidRPr="002254CF">
        <w:rPr>
          <w:rFonts w:eastAsia="MS Mincho"/>
          <w:b w:val="0"/>
          <w:sz w:val="20"/>
          <w:szCs w:val="20"/>
        </w:rPr>
        <w:t>Kosse, S., Vogt, O., Wolf, M., König, M. &amp; Gerhard, D. (2022) Digital Twin Framework for Enabling Serial Construction.</w:t>
      </w:r>
      <w:bookmarkEnd w:id="12"/>
      <w:r w:rsidRPr="002254CF">
        <w:rPr>
          <w:rFonts w:eastAsia="MS Mincho"/>
          <w:b w:val="0"/>
          <w:sz w:val="20"/>
          <w:szCs w:val="20"/>
        </w:rPr>
        <w:t xml:space="preserve"> </w:t>
      </w:r>
      <w:r w:rsidRPr="002254CF">
        <w:rPr>
          <w:rFonts w:eastAsia="MS Mincho"/>
          <w:b w:val="0"/>
          <w:i/>
          <w:sz w:val="20"/>
          <w:szCs w:val="20"/>
        </w:rPr>
        <w:t>Frontiers in Built Environment</w:t>
      </w:r>
      <w:r w:rsidRPr="002254CF">
        <w:rPr>
          <w:rFonts w:eastAsia="MS Mincho"/>
          <w:b w:val="0"/>
          <w:sz w:val="20"/>
          <w:szCs w:val="20"/>
        </w:rPr>
        <w:t xml:space="preserve">, 8. Available from: </w:t>
      </w:r>
      <w:hyperlink r:id="rId26" w:history="1">
        <w:r w:rsidR="00F328E8" w:rsidRPr="00292335">
          <w:rPr>
            <w:rStyle w:val="Hyperlink"/>
            <w:rFonts w:eastAsia="MS Mincho"/>
            <w:b w:val="0"/>
            <w:sz w:val="20"/>
            <w:szCs w:val="20"/>
          </w:rPr>
          <w:t>https://doi.org/10.3389/fbuil.2022.864722</w:t>
        </w:r>
      </w:hyperlink>
      <w:r w:rsidRPr="002254CF">
        <w:rPr>
          <w:rFonts w:eastAsia="MS Mincho"/>
          <w:b w:val="0"/>
          <w:sz w:val="20"/>
          <w:szCs w:val="20"/>
        </w:rPr>
        <w:t>.</w:t>
      </w:r>
    </w:p>
    <w:p w14:paraId="2C9C34A4" w14:textId="7D310987" w:rsidR="002254CF" w:rsidRPr="002254CF" w:rsidRDefault="002254CF" w:rsidP="002254CF">
      <w:pPr>
        <w:pStyle w:val="CitaviBibliographyEntry"/>
        <w:rPr>
          <w:rFonts w:eastAsia="MS Mincho"/>
          <w:b w:val="0"/>
          <w:sz w:val="20"/>
          <w:szCs w:val="20"/>
        </w:rPr>
      </w:pPr>
      <w:bookmarkStart w:id="13" w:name="_CTVL001260c8a7c9f494af8a66569fe2d2adce4"/>
      <w:r w:rsidRPr="002254CF">
        <w:rPr>
          <w:rFonts w:eastAsia="MS Mincho"/>
          <w:b w:val="0"/>
          <w:sz w:val="20"/>
          <w:szCs w:val="20"/>
        </w:rPr>
        <w:t>Lee, D., Lee, S.H., Masoud, N., Krishnan, M.S. &amp; Li, V.C. (2021) Integrated digital twin and blockchain framework to support accountable information sharing in construction projects.</w:t>
      </w:r>
      <w:bookmarkEnd w:id="13"/>
      <w:r w:rsidRPr="002254CF">
        <w:rPr>
          <w:rFonts w:eastAsia="MS Mincho"/>
          <w:b w:val="0"/>
          <w:sz w:val="20"/>
          <w:szCs w:val="20"/>
        </w:rPr>
        <w:t xml:space="preserve"> </w:t>
      </w:r>
      <w:r w:rsidRPr="002254CF">
        <w:rPr>
          <w:rFonts w:eastAsia="MS Mincho"/>
          <w:b w:val="0"/>
          <w:i/>
          <w:sz w:val="20"/>
          <w:szCs w:val="20"/>
        </w:rPr>
        <w:t>Automation in Construction</w:t>
      </w:r>
      <w:r w:rsidRPr="002254CF">
        <w:rPr>
          <w:rFonts w:eastAsia="MS Mincho"/>
          <w:b w:val="0"/>
          <w:sz w:val="20"/>
          <w:szCs w:val="20"/>
        </w:rPr>
        <w:t xml:space="preserve">, 127, 103688. Available from: </w:t>
      </w:r>
      <w:hyperlink r:id="rId27" w:history="1">
        <w:r w:rsidR="00F328E8" w:rsidRPr="00292335">
          <w:rPr>
            <w:rStyle w:val="Hyperlink"/>
            <w:rFonts w:eastAsia="MS Mincho"/>
            <w:b w:val="0"/>
            <w:sz w:val="20"/>
            <w:szCs w:val="20"/>
          </w:rPr>
          <w:t>https://doi.org/10.1016/j.autcon.2021.103688</w:t>
        </w:r>
      </w:hyperlink>
      <w:r w:rsidRPr="002254CF">
        <w:rPr>
          <w:rFonts w:eastAsia="MS Mincho"/>
          <w:b w:val="0"/>
          <w:sz w:val="20"/>
          <w:szCs w:val="20"/>
        </w:rPr>
        <w:t>.</w:t>
      </w:r>
    </w:p>
    <w:p w14:paraId="246D00A1" w14:textId="17AAD569" w:rsidR="002254CF" w:rsidRPr="002254CF" w:rsidRDefault="002254CF" w:rsidP="002254CF">
      <w:pPr>
        <w:pStyle w:val="CitaviBibliographyEntry"/>
        <w:rPr>
          <w:rFonts w:eastAsia="MS Mincho"/>
          <w:b w:val="0"/>
          <w:sz w:val="20"/>
          <w:szCs w:val="20"/>
        </w:rPr>
      </w:pPr>
      <w:bookmarkStart w:id="14" w:name="_CTVL001423ca86e72734dc7b05cd1e849a590a7"/>
      <w:r w:rsidRPr="002254CF">
        <w:rPr>
          <w:rFonts w:eastAsia="MS Mincho"/>
          <w:b w:val="0"/>
          <w:sz w:val="20"/>
          <w:szCs w:val="20"/>
        </w:rPr>
        <w:t>Li, J. &amp; Kassem, M. (2021) Applications of distributed ledger technology (DLT) and Blockchain-enabled smart contracts in construction.</w:t>
      </w:r>
      <w:bookmarkEnd w:id="14"/>
      <w:r w:rsidRPr="002254CF">
        <w:rPr>
          <w:rFonts w:eastAsia="MS Mincho"/>
          <w:b w:val="0"/>
          <w:sz w:val="20"/>
          <w:szCs w:val="20"/>
        </w:rPr>
        <w:t xml:space="preserve"> </w:t>
      </w:r>
      <w:r w:rsidRPr="002254CF">
        <w:rPr>
          <w:rFonts w:eastAsia="MS Mincho"/>
          <w:b w:val="0"/>
          <w:i/>
          <w:sz w:val="20"/>
          <w:szCs w:val="20"/>
        </w:rPr>
        <w:t>Automation in Construction</w:t>
      </w:r>
      <w:r w:rsidRPr="002254CF">
        <w:rPr>
          <w:rFonts w:eastAsia="MS Mincho"/>
          <w:b w:val="0"/>
          <w:sz w:val="20"/>
          <w:szCs w:val="20"/>
        </w:rPr>
        <w:t xml:space="preserve">, 132, 103955. Available from: </w:t>
      </w:r>
      <w:hyperlink r:id="rId28" w:history="1">
        <w:r w:rsidR="00F328E8" w:rsidRPr="00292335">
          <w:rPr>
            <w:rStyle w:val="Hyperlink"/>
            <w:rFonts w:eastAsia="MS Mincho"/>
            <w:b w:val="0"/>
            <w:sz w:val="20"/>
            <w:szCs w:val="20"/>
          </w:rPr>
          <w:t>https://doi.org/10.1016/j.autcon.2021.103955</w:t>
        </w:r>
      </w:hyperlink>
      <w:r w:rsidRPr="002254CF">
        <w:rPr>
          <w:rFonts w:eastAsia="MS Mincho"/>
          <w:b w:val="0"/>
          <w:sz w:val="20"/>
          <w:szCs w:val="20"/>
        </w:rPr>
        <w:t>.</w:t>
      </w:r>
    </w:p>
    <w:p w14:paraId="74D902B4" w14:textId="77777777" w:rsidR="002254CF" w:rsidRPr="002254CF" w:rsidRDefault="002254CF" w:rsidP="002254CF">
      <w:pPr>
        <w:pStyle w:val="CitaviBibliographyEntry"/>
        <w:rPr>
          <w:rFonts w:eastAsia="MS Mincho"/>
          <w:b w:val="0"/>
          <w:sz w:val="20"/>
          <w:szCs w:val="20"/>
        </w:rPr>
      </w:pPr>
      <w:bookmarkStart w:id="15" w:name="_CTVL0012ced34888a6a4496aa8d2b024dd2a60e"/>
      <w:r w:rsidRPr="002254CF">
        <w:rPr>
          <w:rFonts w:eastAsia="MS Mincho"/>
          <w:b w:val="0"/>
          <w:sz w:val="20"/>
          <w:szCs w:val="20"/>
        </w:rPr>
        <w:t>Neubauer, R. (2017) Mechanisation and Automation in Concrete Production. In: Elliott, K.S. &amp; Hamid, Z.A. (Eds.)</w:t>
      </w:r>
      <w:bookmarkEnd w:id="15"/>
      <w:r w:rsidRPr="002254CF">
        <w:rPr>
          <w:rFonts w:eastAsia="MS Mincho"/>
          <w:b w:val="0"/>
          <w:sz w:val="20"/>
          <w:szCs w:val="20"/>
        </w:rPr>
        <w:t xml:space="preserve"> </w:t>
      </w:r>
      <w:r w:rsidRPr="002254CF">
        <w:rPr>
          <w:rFonts w:eastAsia="MS Mincho"/>
          <w:b w:val="0"/>
          <w:i/>
          <w:sz w:val="20"/>
          <w:szCs w:val="20"/>
        </w:rPr>
        <w:t xml:space="preserve">Modernisation, Mechanisation and Industrialisation of Concrete Structures. </w:t>
      </w:r>
      <w:r w:rsidRPr="002254CF">
        <w:rPr>
          <w:rFonts w:eastAsia="MS Mincho"/>
          <w:b w:val="0"/>
          <w:sz w:val="20"/>
          <w:szCs w:val="20"/>
        </w:rPr>
        <w:t>Wiley, pp. 210–300.</w:t>
      </w:r>
    </w:p>
    <w:p w14:paraId="1B701CB7" w14:textId="2880BA79" w:rsidR="002254CF" w:rsidRPr="002254CF" w:rsidRDefault="002254CF" w:rsidP="002254CF">
      <w:pPr>
        <w:pStyle w:val="CitaviBibliographyEntry"/>
        <w:rPr>
          <w:rFonts w:eastAsia="MS Mincho"/>
          <w:b w:val="0"/>
          <w:sz w:val="20"/>
          <w:szCs w:val="20"/>
        </w:rPr>
      </w:pPr>
      <w:bookmarkStart w:id="16" w:name="_CTVL0016fdc9fae8e544cabb81cc05fbcc5f15e"/>
      <w:r w:rsidRPr="002254CF">
        <w:rPr>
          <w:rFonts w:eastAsia="MS Mincho"/>
          <w:b w:val="0"/>
          <w:sz w:val="20"/>
          <w:szCs w:val="20"/>
        </w:rPr>
        <w:t>Opoku, D.-G.J., Perera, S., Osei-Kyei, R. &amp; Rashidi, M. (2021) Digital twin application in the construction industry: A literature review.</w:t>
      </w:r>
      <w:bookmarkEnd w:id="16"/>
      <w:r w:rsidRPr="002254CF">
        <w:rPr>
          <w:rFonts w:eastAsia="MS Mincho"/>
          <w:b w:val="0"/>
          <w:sz w:val="20"/>
          <w:szCs w:val="20"/>
        </w:rPr>
        <w:t xml:space="preserve"> </w:t>
      </w:r>
      <w:r w:rsidRPr="002254CF">
        <w:rPr>
          <w:rFonts w:eastAsia="MS Mincho"/>
          <w:b w:val="0"/>
          <w:i/>
          <w:sz w:val="20"/>
          <w:szCs w:val="20"/>
        </w:rPr>
        <w:t>Journal of Building Engineering</w:t>
      </w:r>
      <w:r w:rsidRPr="002254CF">
        <w:rPr>
          <w:rFonts w:eastAsia="MS Mincho"/>
          <w:b w:val="0"/>
          <w:sz w:val="20"/>
          <w:szCs w:val="20"/>
        </w:rPr>
        <w:t xml:space="preserve">, 40, 102726. Available from: </w:t>
      </w:r>
      <w:hyperlink r:id="rId29" w:history="1">
        <w:r w:rsidR="00F328E8" w:rsidRPr="00292335">
          <w:rPr>
            <w:rStyle w:val="Hyperlink"/>
            <w:rFonts w:eastAsia="MS Mincho"/>
            <w:b w:val="0"/>
            <w:sz w:val="20"/>
            <w:szCs w:val="20"/>
          </w:rPr>
          <w:t>https://doi.org/10.1016/j.jobe.2021.102726</w:t>
        </w:r>
      </w:hyperlink>
      <w:r w:rsidRPr="002254CF">
        <w:rPr>
          <w:rFonts w:eastAsia="MS Mincho"/>
          <w:b w:val="0"/>
          <w:sz w:val="20"/>
          <w:szCs w:val="20"/>
        </w:rPr>
        <w:t>.</w:t>
      </w:r>
    </w:p>
    <w:p w14:paraId="17B96A95" w14:textId="426012C1" w:rsidR="002254CF" w:rsidRPr="002254CF" w:rsidRDefault="002254CF" w:rsidP="002254CF">
      <w:pPr>
        <w:pStyle w:val="CitaviBibliographyEntry"/>
        <w:rPr>
          <w:rFonts w:eastAsia="MS Mincho"/>
          <w:b w:val="0"/>
          <w:sz w:val="20"/>
          <w:szCs w:val="20"/>
        </w:rPr>
      </w:pPr>
      <w:bookmarkStart w:id="17" w:name="_CTVL001d0127670c2e04d0bac87609721d8123f"/>
      <w:r w:rsidRPr="002254CF">
        <w:rPr>
          <w:rFonts w:eastAsia="MS Mincho"/>
          <w:b w:val="0"/>
          <w:sz w:val="20"/>
          <w:szCs w:val="20"/>
        </w:rPr>
        <w:t>Putz, B., Dietz, M., Empl, P. &amp; Pernul, G. (2021) EtherTwin: Blockchain-based Secure Digital Twin Information Management.</w:t>
      </w:r>
      <w:bookmarkEnd w:id="17"/>
      <w:r w:rsidRPr="002254CF">
        <w:rPr>
          <w:rFonts w:eastAsia="MS Mincho"/>
          <w:b w:val="0"/>
          <w:sz w:val="20"/>
          <w:szCs w:val="20"/>
        </w:rPr>
        <w:t xml:space="preserve"> </w:t>
      </w:r>
      <w:r w:rsidRPr="002254CF">
        <w:rPr>
          <w:rFonts w:eastAsia="MS Mincho"/>
          <w:b w:val="0"/>
          <w:i/>
          <w:sz w:val="20"/>
          <w:szCs w:val="20"/>
        </w:rPr>
        <w:t>Information Processing &amp; Management</w:t>
      </w:r>
      <w:r w:rsidRPr="002254CF">
        <w:rPr>
          <w:rFonts w:eastAsia="MS Mincho"/>
          <w:b w:val="0"/>
          <w:sz w:val="20"/>
          <w:szCs w:val="20"/>
        </w:rPr>
        <w:t xml:space="preserve">, 58(1), 102425. Available from: </w:t>
      </w:r>
      <w:hyperlink r:id="rId30" w:history="1">
        <w:r w:rsidR="00F328E8" w:rsidRPr="00292335">
          <w:rPr>
            <w:rStyle w:val="Hyperlink"/>
            <w:rFonts w:eastAsia="MS Mincho"/>
            <w:b w:val="0"/>
            <w:sz w:val="20"/>
            <w:szCs w:val="20"/>
          </w:rPr>
          <w:t>https://doi.org/10.1016/j.ipm.2020.102425</w:t>
        </w:r>
      </w:hyperlink>
      <w:r w:rsidRPr="002254CF">
        <w:rPr>
          <w:rFonts w:eastAsia="MS Mincho"/>
          <w:b w:val="0"/>
          <w:sz w:val="20"/>
          <w:szCs w:val="20"/>
        </w:rPr>
        <w:t>.</w:t>
      </w:r>
    </w:p>
    <w:p w14:paraId="0C01F6C9" w14:textId="1AA8B30E" w:rsidR="002254CF" w:rsidRPr="002254CF" w:rsidRDefault="002254CF" w:rsidP="002254CF">
      <w:pPr>
        <w:pStyle w:val="CitaviBibliographyEntry"/>
        <w:rPr>
          <w:rFonts w:eastAsia="MS Mincho"/>
          <w:b w:val="0"/>
          <w:sz w:val="20"/>
          <w:szCs w:val="20"/>
        </w:rPr>
      </w:pPr>
      <w:bookmarkStart w:id="18" w:name="_CTVL00106d29c695ba04e209fad9e689fb0653f"/>
      <w:r w:rsidRPr="002254CF">
        <w:rPr>
          <w:rFonts w:eastAsia="MS Mincho"/>
          <w:b w:val="0"/>
          <w:sz w:val="20"/>
          <w:szCs w:val="20"/>
        </w:rPr>
        <w:t>Reichenbach, S. &amp; Kromoser, B. (2021) State of practice of automation in precast concrete production.</w:t>
      </w:r>
      <w:bookmarkEnd w:id="18"/>
      <w:r w:rsidRPr="002254CF">
        <w:rPr>
          <w:rFonts w:eastAsia="MS Mincho"/>
          <w:b w:val="0"/>
          <w:sz w:val="20"/>
          <w:szCs w:val="20"/>
        </w:rPr>
        <w:t xml:space="preserve"> </w:t>
      </w:r>
      <w:r w:rsidRPr="002254CF">
        <w:rPr>
          <w:rFonts w:eastAsia="MS Mincho"/>
          <w:b w:val="0"/>
          <w:i/>
          <w:sz w:val="20"/>
          <w:szCs w:val="20"/>
        </w:rPr>
        <w:t>Journal of Building Engineering</w:t>
      </w:r>
      <w:r w:rsidRPr="002254CF">
        <w:rPr>
          <w:rFonts w:eastAsia="MS Mincho"/>
          <w:b w:val="0"/>
          <w:sz w:val="20"/>
          <w:szCs w:val="20"/>
        </w:rPr>
        <w:t xml:space="preserve">, 43, 102527. Available from: </w:t>
      </w:r>
      <w:hyperlink r:id="rId31" w:history="1">
        <w:r w:rsidR="00F328E8" w:rsidRPr="00292335">
          <w:rPr>
            <w:rStyle w:val="Hyperlink"/>
            <w:rFonts w:eastAsia="MS Mincho"/>
            <w:b w:val="0"/>
            <w:sz w:val="20"/>
            <w:szCs w:val="20"/>
          </w:rPr>
          <w:t>https://doi.org/10.1016/j.jobe.2021.102527</w:t>
        </w:r>
      </w:hyperlink>
      <w:r w:rsidRPr="002254CF">
        <w:rPr>
          <w:rFonts w:eastAsia="MS Mincho"/>
          <w:b w:val="0"/>
          <w:sz w:val="20"/>
          <w:szCs w:val="20"/>
        </w:rPr>
        <w:t>.</w:t>
      </w:r>
    </w:p>
    <w:p w14:paraId="461270B5" w14:textId="3E351857" w:rsidR="002254CF" w:rsidRPr="002254CF" w:rsidRDefault="002254CF" w:rsidP="002254CF">
      <w:pPr>
        <w:pStyle w:val="CitaviBibliographyEntry"/>
        <w:rPr>
          <w:rFonts w:eastAsia="MS Mincho"/>
          <w:b w:val="0"/>
          <w:sz w:val="20"/>
          <w:szCs w:val="20"/>
        </w:rPr>
      </w:pPr>
      <w:bookmarkStart w:id="19" w:name="_CTVL0018aa25a75997443db8d46e25a11c92000"/>
      <w:r w:rsidRPr="002254CF">
        <w:rPr>
          <w:rFonts w:eastAsia="MS Mincho"/>
          <w:b w:val="0"/>
          <w:sz w:val="20"/>
          <w:szCs w:val="20"/>
        </w:rPr>
        <w:t xml:space="preserve">Reim, W., Andersson, E. &amp; Eckerwall, K. (2023) Enabling collaboration on digital platforms: a </w:t>
      </w:r>
      <w:r w:rsidRPr="002254CF">
        <w:rPr>
          <w:rFonts w:eastAsia="MS Mincho"/>
          <w:b w:val="0"/>
          <w:sz w:val="20"/>
          <w:szCs w:val="20"/>
        </w:rPr>
        <w:t>study of digital twins.</w:t>
      </w:r>
      <w:bookmarkEnd w:id="19"/>
      <w:r w:rsidRPr="002254CF">
        <w:rPr>
          <w:rFonts w:eastAsia="MS Mincho"/>
          <w:b w:val="0"/>
          <w:sz w:val="20"/>
          <w:szCs w:val="20"/>
        </w:rPr>
        <w:t xml:space="preserve"> </w:t>
      </w:r>
      <w:r w:rsidRPr="002254CF">
        <w:rPr>
          <w:rFonts w:eastAsia="MS Mincho"/>
          <w:b w:val="0"/>
          <w:i/>
          <w:sz w:val="20"/>
          <w:szCs w:val="20"/>
        </w:rPr>
        <w:t>International Journal of Production Research</w:t>
      </w:r>
      <w:r w:rsidRPr="002254CF">
        <w:rPr>
          <w:rFonts w:eastAsia="MS Mincho"/>
          <w:b w:val="0"/>
          <w:sz w:val="20"/>
          <w:szCs w:val="20"/>
        </w:rPr>
        <w:t xml:space="preserve">, 61(12), 3926–3942. Available from: </w:t>
      </w:r>
      <w:hyperlink r:id="rId32" w:history="1">
        <w:r w:rsidR="00F328E8" w:rsidRPr="00292335">
          <w:rPr>
            <w:rStyle w:val="Hyperlink"/>
            <w:rFonts w:eastAsia="MS Mincho"/>
            <w:b w:val="0"/>
            <w:sz w:val="20"/>
            <w:szCs w:val="20"/>
          </w:rPr>
          <w:t>https://doi.org/10.1080/00207543.2022.2116499</w:t>
        </w:r>
      </w:hyperlink>
      <w:r w:rsidRPr="002254CF">
        <w:rPr>
          <w:rFonts w:eastAsia="MS Mincho"/>
          <w:b w:val="0"/>
          <w:sz w:val="20"/>
          <w:szCs w:val="20"/>
        </w:rPr>
        <w:t>.</w:t>
      </w:r>
    </w:p>
    <w:p w14:paraId="689AEF5C" w14:textId="739EF4C0" w:rsidR="002254CF" w:rsidRPr="002254CF" w:rsidRDefault="002254CF" w:rsidP="002254CF">
      <w:pPr>
        <w:pStyle w:val="CitaviBibliographyEntry"/>
        <w:rPr>
          <w:rFonts w:eastAsia="MS Mincho"/>
          <w:b w:val="0"/>
          <w:sz w:val="20"/>
          <w:szCs w:val="20"/>
        </w:rPr>
      </w:pPr>
      <w:bookmarkStart w:id="20" w:name="_CTVL00177754814f3a34f90852daf1caca19684"/>
      <w:r w:rsidRPr="002254CF">
        <w:rPr>
          <w:rFonts w:eastAsia="MS Mincho"/>
          <w:b w:val="0"/>
          <w:sz w:val="20"/>
          <w:szCs w:val="20"/>
        </w:rPr>
        <w:t>Sun, W., Antwi-Afari, M.F., Mehmood, I., Anwer, S. &amp; Umer, W. (2023) Critical success factors for implementing blockchain technology in construction.</w:t>
      </w:r>
      <w:bookmarkEnd w:id="20"/>
      <w:r w:rsidRPr="002254CF">
        <w:rPr>
          <w:rFonts w:eastAsia="MS Mincho"/>
          <w:b w:val="0"/>
          <w:sz w:val="20"/>
          <w:szCs w:val="20"/>
        </w:rPr>
        <w:t xml:space="preserve"> </w:t>
      </w:r>
      <w:r w:rsidRPr="002254CF">
        <w:rPr>
          <w:rFonts w:eastAsia="MS Mincho"/>
          <w:b w:val="0"/>
          <w:i/>
          <w:sz w:val="20"/>
          <w:szCs w:val="20"/>
        </w:rPr>
        <w:t>Automation in Construction</w:t>
      </w:r>
      <w:r w:rsidRPr="002254CF">
        <w:rPr>
          <w:rFonts w:eastAsia="MS Mincho"/>
          <w:b w:val="0"/>
          <w:sz w:val="20"/>
          <w:szCs w:val="20"/>
        </w:rPr>
        <w:t xml:space="preserve">, 156, 105135. Available from: </w:t>
      </w:r>
      <w:hyperlink r:id="rId33" w:history="1">
        <w:r w:rsidR="00F328E8" w:rsidRPr="00292335">
          <w:rPr>
            <w:rStyle w:val="Hyperlink"/>
            <w:rFonts w:eastAsia="MS Mincho"/>
            <w:b w:val="0"/>
            <w:sz w:val="20"/>
            <w:szCs w:val="20"/>
          </w:rPr>
          <w:t>https://doi.org/10.1016/j.autcon.2023.105135</w:t>
        </w:r>
      </w:hyperlink>
      <w:r w:rsidRPr="002254CF">
        <w:rPr>
          <w:rFonts w:eastAsia="MS Mincho"/>
          <w:b w:val="0"/>
          <w:sz w:val="20"/>
          <w:szCs w:val="20"/>
        </w:rPr>
        <w:t>.</w:t>
      </w:r>
    </w:p>
    <w:p w14:paraId="2724D5DE" w14:textId="58062340" w:rsidR="002254CF" w:rsidRPr="002254CF" w:rsidRDefault="002254CF" w:rsidP="002254CF">
      <w:pPr>
        <w:pStyle w:val="CitaviBibliographyEntry"/>
        <w:rPr>
          <w:rFonts w:eastAsia="MS Mincho"/>
          <w:b w:val="0"/>
          <w:sz w:val="20"/>
          <w:szCs w:val="20"/>
        </w:rPr>
      </w:pPr>
      <w:bookmarkStart w:id="21" w:name="_CTVL0013872971e75534d2a9d53db186f10fb1a"/>
      <w:r w:rsidRPr="002254CF">
        <w:rPr>
          <w:rFonts w:eastAsia="MS Mincho"/>
          <w:b w:val="0"/>
          <w:sz w:val="20"/>
          <w:szCs w:val="20"/>
        </w:rPr>
        <w:t>Teisserenc, B. &amp; Sepasgozar, S. (2021) Adoption of Blockchain Technology through Digital Twins in the Construction Industry 4.0: A PESTELS Approach.</w:t>
      </w:r>
      <w:bookmarkEnd w:id="21"/>
      <w:r w:rsidRPr="002254CF">
        <w:rPr>
          <w:rFonts w:eastAsia="MS Mincho"/>
          <w:b w:val="0"/>
          <w:sz w:val="20"/>
          <w:szCs w:val="20"/>
        </w:rPr>
        <w:t xml:space="preserve"> </w:t>
      </w:r>
      <w:r w:rsidRPr="002254CF">
        <w:rPr>
          <w:rFonts w:eastAsia="MS Mincho"/>
          <w:b w:val="0"/>
          <w:i/>
          <w:sz w:val="20"/>
          <w:szCs w:val="20"/>
        </w:rPr>
        <w:t>Buildings</w:t>
      </w:r>
      <w:r w:rsidRPr="002254CF">
        <w:rPr>
          <w:rFonts w:eastAsia="MS Mincho"/>
          <w:b w:val="0"/>
          <w:sz w:val="20"/>
          <w:szCs w:val="20"/>
        </w:rPr>
        <w:t xml:space="preserve">, 11(12), 670. Available from: </w:t>
      </w:r>
      <w:hyperlink r:id="rId34" w:history="1">
        <w:r w:rsidR="00F328E8" w:rsidRPr="00292335">
          <w:rPr>
            <w:rStyle w:val="Hyperlink"/>
            <w:rFonts w:eastAsia="MS Mincho"/>
            <w:b w:val="0"/>
            <w:sz w:val="20"/>
            <w:szCs w:val="20"/>
          </w:rPr>
          <w:t>https://doi.org/10.3390/buildings11120670</w:t>
        </w:r>
      </w:hyperlink>
      <w:r w:rsidRPr="002254CF">
        <w:rPr>
          <w:rFonts w:eastAsia="MS Mincho"/>
          <w:b w:val="0"/>
          <w:sz w:val="20"/>
          <w:szCs w:val="20"/>
        </w:rPr>
        <w:t>.</w:t>
      </w:r>
    </w:p>
    <w:p w14:paraId="45D59A10" w14:textId="36855C99" w:rsidR="002254CF" w:rsidRPr="002254CF" w:rsidRDefault="002254CF" w:rsidP="002254CF">
      <w:pPr>
        <w:pStyle w:val="CitaviBibliographyEntry"/>
        <w:rPr>
          <w:rFonts w:eastAsia="MS Mincho"/>
          <w:b w:val="0"/>
          <w:sz w:val="20"/>
          <w:szCs w:val="20"/>
        </w:rPr>
      </w:pPr>
      <w:bookmarkStart w:id="22" w:name="_CTVL001f2526ccd0153422285eaeaaeb01137d9"/>
      <w:r w:rsidRPr="002254CF">
        <w:rPr>
          <w:rFonts w:eastAsia="MS Mincho"/>
          <w:b w:val="0"/>
          <w:sz w:val="20"/>
          <w:szCs w:val="20"/>
        </w:rPr>
        <w:t>Wang, Z., Wang, T., Hu, H., Gong, J., Ren, X. &amp; Xiao, Q. (2020) Blockchain-based framework for improving supply chain traceability and information sharing in precast construction.</w:t>
      </w:r>
      <w:bookmarkEnd w:id="22"/>
      <w:r w:rsidRPr="002254CF">
        <w:rPr>
          <w:rFonts w:eastAsia="MS Mincho"/>
          <w:b w:val="0"/>
          <w:sz w:val="20"/>
          <w:szCs w:val="20"/>
        </w:rPr>
        <w:t xml:space="preserve"> </w:t>
      </w:r>
      <w:r w:rsidRPr="002254CF">
        <w:rPr>
          <w:rFonts w:eastAsia="MS Mincho"/>
          <w:b w:val="0"/>
          <w:i/>
          <w:sz w:val="20"/>
          <w:szCs w:val="20"/>
        </w:rPr>
        <w:t>Automation in Construction</w:t>
      </w:r>
      <w:r w:rsidRPr="002254CF">
        <w:rPr>
          <w:rFonts w:eastAsia="MS Mincho"/>
          <w:b w:val="0"/>
          <w:sz w:val="20"/>
          <w:szCs w:val="20"/>
        </w:rPr>
        <w:t xml:space="preserve">, 111, 103063. Available from: </w:t>
      </w:r>
      <w:hyperlink r:id="rId35" w:history="1">
        <w:r w:rsidR="00F328E8" w:rsidRPr="00292335">
          <w:rPr>
            <w:rStyle w:val="Hyperlink"/>
            <w:rFonts w:eastAsia="MS Mincho"/>
            <w:b w:val="0"/>
            <w:sz w:val="20"/>
            <w:szCs w:val="20"/>
          </w:rPr>
          <w:t>https://doi.org/10.1016/j.autcon.2019.103063</w:t>
        </w:r>
      </w:hyperlink>
      <w:r w:rsidRPr="002254CF">
        <w:rPr>
          <w:rFonts w:eastAsia="MS Mincho"/>
          <w:b w:val="0"/>
          <w:sz w:val="20"/>
          <w:szCs w:val="20"/>
        </w:rPr>
        <w:t>.</w:t>
      </w:r>
    </w:p>
    <w:p w14:paraId="2971B806" w14:textId="77777777" w:rsidR="002254CF" w:rsidRPr="002254CF" w:rsidRDefault="002254CF" w:rsidP="002254CF">
      <w:pPr>
        <w:pStyle w:val="CitaviBibliographyEntry"/>
        <w:rPr>
          <w:rFonts w:eastAsia="MS Mincho"/>
          <w:b w:val="0"/>
          <w:sz w:val="20"/>
          <w:szCs w:val="20"/>
        </w:rPr>
      </w:pPr>
      <w:bookmarkStart w:id="23" w:name="_CTVL0010c293b3480e9486ba0e87ffbea335671"/>
      <w:r w:rsidRPr="002254CF">
        <w:rPr>
          <w:rFonts w:eastAsia="MS Mincho"/>
          <w:b w:val="0"/>
          <w:sz w:val="20"/>
          <w:szCs w:val="20"/>
        </w:rPr>
        <w:t>Ye, X., Liu, L. &amp; König, M. (2024) Improving Data and Process Management for Digital Twins: A Smart Contract-Driven Solution Integrating CDE and Blockchain for the Construction Industry. In:</w:t>
      </w:r>
      <w:bookmarkEnd w:id="23"/>
      <w:r w:rsidRPr="002254CF">
        <w:rPr>
          <w:rFonts w:eastAsia="MS Mincho"/>
          <w:b w:val="0"/>
          <w:sz w:val="20"/>
          <w:szCs w:val="20"/>
        </w:rPr>
        <w:t xml:space="preserve"> </w:t>
      </w:r>
      <w:r w:rsidRPr="002254CF">
        <w:rPr>
          <w:rFonts w:eastAsia="MS Mincho"/>
          <w:b w:val="0"/>
          <w:i/>
          <w:sz w:val="20"/>
          <w:szCs w:val="20"/>
        </w:rPr>
        <w:t>Computing in Civil Engineering 2024, ASCE International Conference on Computing in Civil Engineering</w:t>
      </w:r>
      <w:r w:rsidRPr="002254CF">
        <w:rPr>
          <w:rFonts w:eastAsia="MS Mincho"/>
          <w:b w:val="0"/>
          <w:sz w:val="20"/>
          <w:szCs w:val="20"/>
        </w:rPr>
        <w:t>, Pittsburgh, USA, July 28-31.</w:t>
      </w:r>
    </w:p>
    <w:p w14:paraId="0B61A620" w14:textId="45AFBC70" w:rsidR="002254CF" w:rsidRPr="002254CF" w:rsidRDefault="002254CF" w:rsidP="002254CF">
      <w:pPr>
        <w:pStyle w:val="CitaviBibliographyEntry"/>
        <w:rPr>
          <w:rFonts w:eastAsia="MS Mincho"/>
          <w:b w:val="0"/>
          <w:sz w:val="20"/>
          <w:szCs w:val="20"/>
        </w:rPr>
      </w:pPr>
      <w:bookmarkStart w:id="24" w:name="_CTVL0014f40fc4afe3c4638ae5196b9a686a485"/>
      <w:r w:rsidRPr="002254CF">
        <w:rPr>
          <w:rFonts w:eastAsia="MS Mincho"/>
          <w:b w:val="0"/>
          <w:sz w:val="20"/>
          <w:szCs w:val="20"/>
        </w:rPr>
        <w:t>Ye, X., Zeng, N. &amp; König, M. (2022) Systematic literature review on smart contracts in the construction industry: Potentials, benefits, and challenges.</w:t>
      </w:r>
      <w:bookmarkEnd w:id="24"/>
      <w:r w:rsidRPr="002254CF">
        <w:rPr>
          <w:rFonts w:eastAsia="MS Mincho"/>
          <w:b w:val="0"/>
          <w:sz w:val="20"/>
          <w:szCs w:val="20"/>
        </w:rPr>
        <w:t xml:space="preserve"> </w:t>
      </w:r>
      <w:r w:rsidRPr="002254CF">
        <w:rPr>
          <w:rFonts w:eastAsia="MS Mincho"/>
          <w:b w:val="0"/>
          <w:i/>
          <w:sz w:val="20"/>
          <w:szCs w:val="20"/>
        </w:rPr>
        <w:t>Frontiers of Engineering Management</w:t>
      </w:r>
      <w:r w:rsidRPr="002254CF">
        <w:rPr>
          <w:rFonts w:eastAsia="MS Mincho"/>
          <w:b w:val="0"/>
          <w:sz w:val="20"/>
          <w:szCs w:val="20"/>
        </w:rPr>
        <w:t xml:space="preserve">, 9(2), 196–213. Available from: </w:t>
      </w:r>
      <w:hyperlink r:id="rId36" w:history="1">
        <w:r w:rsidR="00F328E8" w:rsidRPr="00292335">
          <w:rPr>
            <w:rStyle w:val="Hyperlink"/>
            <w:rFonts w:eastAsia="MS Mincho"/>
            <w:b w:val="0"/>
            <w:sz w:val="20"/>
            <w:szCs w:val="20"/>
          </w:rPr>
          <w:t>https://doi.org/10.1007/s42524-022-0188-2</w:t>
        </w:r>
      </w:hyperlink>
      <w:r w:rsidRPr="002254CF">
        <w:rPr>
          <w:rFonts w:eastAsia="MS Mincho"/>
          <w:b w:val="0"/>
          <w:sz w:val="20"/>
          <w:szCs w:val="20"/>
        </w:rPr>
        <w:t>.</w:t>
      </w:r>
    </w:p>
    <w:p w14:paraId="29D4FECD" w14:textId="72B28041" w:rsidR="005D5D1A" w:rsidRPr="00B01C90" w:rsidRDefault="002254CF" w:rsidP="002254CF">
      <w:pPr>
        <w:pStyle w:val="CitaviBibliographyEntry"/>
        <w:rPr>
          <w:rFonts w:eastAsia="MS Mincho"/>
        </w:rPr>
      </w:pPr>
      <w:bookmarkStart w:id="25" w:name="_CTVL0019f699d515280416b83a7b2652bd68863"/>
      <w:r w:rsidRPr="002254CF">
        <w:rPr>
          <w:rFonts w:eastAsia="MS Mincho"/>
          <w:b w:val="0"/>
          <w:sz w:val="20"/>
          <w:szCs w:val="20"/>
        </w:rPr>
        <w:t>Ye, X., Zeng, N., Tao, X., Han, D. &amp; König, M. (2024) Smart Contract Generation and Visualization for Construction Business Process Collaboration and Automation: Upgraded Workflow Engine.</w:t>
      </w:r>
      <w:bookmarkEnd w:id="25"/>
      <w:r w:rsidRPr="002254CF">
        <w:rPr>
          <w:rFonts w:eastAsia="MS Mincho"/>
          <w:b w:val="0"/>
          <w:sz w:val="20"/>
          <w:szCs w:val="20"/>
        </w:rPr>
        <w:t xml:space="preserve"> </w:t>
      </w:r>
      <w:r w:rsidRPr="002254CF">
        <w:rPr>
          <w:rFonts w:eastAsia="MS Mincho"/>
          <w:b w:val="0"/>
          <w:i/>
          <w:sz w:val="20"/>
          <w:szCs w:val="20"/>
        </w:rPr>
        <w:t>Journal of Computing in Civil Engineering</w:t>
      </w:r>
      <w:r w:rsidRPr="002254CF">
        <w:rPr>
          <w:rFonts w:eastAsia="MS Mincho"/>
          <w:b w:val="0"/>
          <w:sz w:val="20"/>
          <w:szCs w:val="20"/>
        </w:rPr>
        <w:t xml:space="preserve">, 38(6), 4024030. Available from: </w:t>
      </w:r>
      <w:hyperlink r:id="rId37" w:history="1">
        <w:r w:rsidR="00F328E8" w:rsidRPr="00292335">
          <w:rPr>
            <w:rStyle w:val="Hyperlink"/>
            <w:rFonts w:eastAsia="MS Mincho"/>
            <w:b w:val="0"/>
            <w:sz w:val="20"/>
            <w:szCs w:val="20"/>
          </w:rPr>
          <w:t>https://doi.org/10.1061/JCCEE5.CPENG-5938</w:t>
        </w:r>
      </w:hyperlink>
      <w:r w:rsidRPr="002254CF">
        <w:rPr>
          <w:rFonts w:eastAsia="MS Mincho"/>
          <w:b w:val="0"/>
          <w:sz w:val="20"/>
          <w:szCs w:val="20"/>
        </w:rPr>
        <w:t>.</w:t>
      </w:r>
    </w:p>
    <w:p w14:paraId="61B5030C" w14:textId="77777777" w:rsidR="005D5D1A" w:rsidRPr="00B01C90" w:rsidRDefault="005D5D1A" w:rsidP="005D5D1A">
      <w:pPr>
        <w:rPr>
          <w:rFonts w:eastAsia="MS Mincho"/>
        </w:rPr>
      </w:pPr>
    </w:p>
    <w:sectPr w:rsidR="005D5D1A" w:rsidRPr="00B01C90">
      <w:headerReference w:type="default" r:id="rId38"/>
      <w:type w:val="continuous"/>
      <w:pgSz w:w="12240" w:h="15840"/>
      <w:pgMar w:top="1276" w:right="1276" w:bottom="1276" w:left="1276" w:header="720" w:footer="567" w:gutter="0"/>
      <w:pgNumType w:start="1" w:chapStyle="1"/>
      <w:cols w:num="2" w:space="567"/>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B85BF" w14:textId="77777777" w:rsidR="004B5294" w:rsidRPr="00B36490" w:rsidRDefault="004B5294">
      <w:r w:rsidRPr="00B36490">
        <w:separator/>
      </w:r>
    </w:p>
  </w:endnote>
  <w:endnote w:type="continuationSeparator" w:id="0">
    <w:p w14:paraId="79D45591" w14:textId="77777777" w:rsidR="004B5294" w:rsidRPr="00B36490" w:rsidRDefault="004B5294">
      <w:r w:rsidRPr="00B364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7E764" w14:textId="77777777" w:rsidR="00031D57" w:rsidRPr="00B36490" w:rsidRDefault="000D3967">
    <w:pPr>
      <w:pStyle w:val="Footer"/>
      <w:jc w:val="right"/>
      <w:rPr>
        <w:b w:val="0"/>
        <w:bCs/>
        <w:sz w:val="16"/>
        <w:szCs w:val="16"/>
      </w:rPr>
    </w:pPr>
    <w:r w:rsidRPr="00B36490">
      <w:rPr>
        <w:b w:val="0"/>
        <w:bCs/>
        <w:sz w:val="16"/>
        <w:szCs w:val="16"/>
      </w:rPr>
      <w:t>The University of Strathclyde</w:t>
    </w:r>
    <w:r w:rsidRPr="00B36490">
      <w:rPr>
        <w:b w:val="0"/>
        <w:bCs/>
        <w:sz w:val="16"/>
        <w:szCs w:val="16"/>
      </w:rPr>
      <w:tab/>
    </w:r>
    <w:r w:rsidRPr="00B36490">
      <w:rPr>
        <w:b w:val="0"/>
        <w:bCs/>
        <w:sz w:val="16"/>
        <w:szCs w:val="16"/>
      </w:rPr>
      <w:tab/>
    </w:r>
    <w:r w:rsidRPr="00B36490">
      <w:rPr>
        <w:b w:val="0"/>
        <w:bCs/>
        <w:sz w:val="16"/>
        <w:szCs w:val="16"/>
      </w:rPr>
      <w:tab/>
    </w:r>
    <w:r w:rsidRPr="00B36490">
      <w:rPr>
        <w:b w:val="0"/>
        <w:bCs/>
        <w:sz w:val="16"/>
        <w:szCs w:val="16"/>
      </w:rPr>
      <w:fldChar w:fldCharType="begin"/>
    </w:r>
    <w:r w:rsidRPr="00B36490">
      <w:rPr>
        <w:b w:val="0"/>
        <w:bCs/>
        <w:sz w:val="16"/>
        <w:szCs w:val="16"/>
      </w:rPr>
      <w:instrText xml:space="preserve"> PAGE   \* MERGEFORMAT </w:instrText>
    </w:r>
    <w:r w:rsidRPr="00B36490">
      <w:rPr>
        <w:b w:val="0"/>
        <w:bCs/>
        <w:sz w:val="16"/>
        <w:szCs w:val="16"/>
      </w:rPr>
      <w:fldChar w:fldCharType="separate"/>
    </w:r>
    <w:r w:rsidRPr="00B36490">
      <w:rPr>
        <w:b w:val="0"/>
        <w:bCs/>
        <w:sz w:val="16"/>
        <w:szCs w:val="16"/>
      </w:rPr>
      <w:t>1</w:t>
    </w:r>
    <w:r w:rsidRPr="00B36490">
      <w:rPr>
        <w:b w:val="0"/>
        <w:bCs/>
        <w:sz w:val="16"/>
        <w:szCs w:val="16"/>
      </w:rPr>
      <w:fldChar w:fldCharType="end"/>
    </w:r>
  </w:p>
  <w:p w14:paraId="33D4C3B7" w14:textId="77777777" w:rsidR="00031D57" w:rsidRPr="00B36490" w:rsidRDefault="00031D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06EB" w14:textId="77777777" w:rsidR="00031D57" w:rsidRPr="00B36490" w:rsidRDefault="000D3967">
    <w:pPr>
      <w:pStyle w:val="Footer"/>
      <w:jc w:val="right"/>
      <w:rPr>
        <w:b w:val="0"/>
        <w:bCs/>
        <w:sz w:val="16"/>
        <w:szCs w:val="16"/>
      </w:rPr>
    </w:pPr>
    <w:r w:rsidRPr="00B36490">
      <w:rPr>
        <w:b w:val="0"/>
        <w:bCs/>
        <w:sz w:val="16"/>
        <w:szCs w:val="16"/>
      </w:rPr>
      <w:t>The University of Strathclyde</w:t>
    </w:r>
    <w:r w:rsidRPr="00B36490">
      <w:rPr>
        <w:b w:val="0"/>
        <w:bCs/>
        <w:sz w:val="16"/>
        <w:szCs w:val="16"/>
      </w:rPr>
      <w:tab/>
    </w:r>
    <w:r w:rsidRPr="00B36490">
      <w:rPr>
        <w:b w:val="0"/>
        <w:bCs/>
        <w:sz w:val="16"/>
        <w:szCs w:val="16"/>
      </w:rPr>
      <w:tab/>
    </w:r>
    <w:r w:rsidRPr="00B36490">
      <w:rPr>
        <w:b w:val="0"/>
        <w:bCs/>
        <w:sz w:val="16"/>
        <w:szCs w:val="16"/>
      </w:rPr>
      <w:tab/>
    </w:r>
    <w:r w:rsidRPr="00B36490">
      <w:rPr>
        <w:b w:val="0"/>
        <w:bCs/>
        <w:sz w:val="16"/>
        <w:szCs w:val="16"/>
      </w:rPr>
      <w:fldChar w:fldCharType="begin"/>
    </w:r>
    <w:r w:rsidRPr="00B36490">
      <w:rPr>
        <w:b w:val="0"/>
        <w:bCs/>
        <w:sz w:val="16"/>
        <w:szCs w:val="16"/>
      </w:rPr>
      <w:instrText xml:space="preserve"> PAGE   \* MERGEFORMAT </w:instrText>
    </w:r>
    <w:r w:rsidRPr="00B36490">
      <w:rPr>
        <w:b w:val="0"/>
        <w:bCs/>
        <w:sz w:val="16"/>
        <w:szCs w:val="16"/>
      </w:rPr>
      <w:fldChar w:fldCharType="separate"/>
    </w:r>
    <w:r w:rsidRPr="00B36490">
      <w:rPr>
        <w:b w:val="0"/>
        <w:bCs/>
        <w:sz w:val="16"/>
        <w:szCs w:val="16"/>
      </w:rPr>
      <w:t>2</w:t>
    </w:r>
    <w:r w:rsidRPr="00B36490">
      <w:rPr>
        <w:b w:val="0"/>
        <w:bCs/>
        <w:sz w:val="16"/>
        <w:szCs w:val="16"/>
      </w:rPr>
      <w:fldChar w:fldCharType="end"/>
    </w:r>
  </w:p>
  <w:p w14:paraId="3AD24056" w14:textId="77777777" w:rsidR="00031D57" w:rsidRPr="00B36490" w:rsidRDefault="00031D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17B86" w14:textId="77777777" w:rsidR="004B5294" w:rsidRPr="00B36490" w:rsidRDefault="004B5294" w:rsidP="00A40ABF">
      <w:pPr>
        <w:jc w:val="both"/>
      </w:pPr>
      <w:r w:rsidRPr="00B36490">
        <w:separator/>
      </w:r>
    </w:p>
  </w:footnote>
  <w:footnote w:type="continuationSeparator" w:id="0">
    <w:p w14:paraId="0CC97E55" w14:textId="77777777" w:rsidR="004B5294" w:rsidRPr="00B36490" w:rsidRDefault="004B5294">
      <w:r w:rsidRPr="00B36490">
        <w:continuationSeparator/>
      </w:r>
    </w:p>
  </w:footnote>
  <w:footnote w:id="1">
    <w:p w14:paraId="557D12CF" w14:textId="53B3EEA6" w:rsidR="00FB759A" w:rsidRPr="00FB759A" w:rsidRDefault="00FB759A" w:rsidP="00FB759A">
      <w:pPr>
        <w:pStyle w:val="FootnoteText"/>
        <w:ind w:firstLine="284"/>
        <w:jc w:val="left"/>
      </w:pPr>
      <w:r w:rsidRPr="00FB759A">
        <w:rPr>
          <w:rStyle w:val="FootnoteReference"/>
          <w:b w:val="0"/>
          <w:bCs/>
        </w:rPr>
        <w:footnoteRef/>
      </w:r>
      <w:r w:rsidRPr="00FB759A">
        <w:rPr>
          <w:rStyle w:val="Hyperlink"/>
          <w:rFonts w:eastAsia="MS Mincho"/>
          <w:b w:val="0"/>
        </w:rPr>
        <w:t xml:space="preserve"> </w:t>
      </w:r>
      <w:hyperlink r:id="rId1" w:history="1">
        <w:r w:rsidRPr="00B01C90">
          <w:rPr>
            <w:rStyle w:val="Hyperlink"/>
            <w:b w:val="0"/>
            <w:sz w:val="18"/>
            <w:szCs w:val="18"/>
          </w:rPr>
          <w:t>https://www.iota.org/</w:t>
        </w:r>
      </w:hyperlink>
      <w:r w:rsidRPr="00B01C90">
        <w:rPr>
          <w:b w:val="0"/>
          <w:sz w:val="18"/>
          <w:szCs w:val="18"/>
        </w:rPr>
        <w:t>, last accessed: 26.03.2025</w:t>
      </w:r>
    </w:p>
  </w:footnote>
  <w:footnote w:id="2">
    <w:p w14:paraId="2B67899C" w14:textId="5AAF74E3" w:rsidR="00825E57" w:rsidRPr="00994014" w:rsidRDefault="00825E57" w:rsidP="00994014">
      <w:pPr>
        <w:pStyle w:val="MainText"/>
      </w:pPr>
      <w:r>
        <w:rPr>
          <w:rStyle w:val="FootnoteReference"/>
        </w:rPr>
        <w:footnoteRef/>
      </w:r>
      <w:r w:rsidRPr="00D84C96">
        <w:rPr>
          <w:rStyle w:val="FootnoteReference"/>
        </w:rPr>
        <w:t xml:space="preserve"> </w:t>
      </w:r>
      <w:hyperlink r:id="rId2" w:history="1">
        <w:r w:rsidR="00FF6EA3" w:rsidRPr="00B01C90">
          <w:rPr>
            <w:rStyle w:val="Hyperlink"/>
            <w:sz w:val="18"/>
            <w:szCs w:val="18"/>
          </w:rPr>
          <w:t>https://soliditylang.org/</w:t>
        </w:r>
      </w:hyperlink>
      <w:r w:rsidR="00FF6EA3" w:rsidRPr="00B01C90">
        <w:rPr>
          <w:sz w:val="18"/>
          <w:szCs w:val="18"/>
        </w:rPr>
        <w:t>, last accessed: 23.03.2025</w:t>
      </w:r>
    </w:p>
  </w:footnote>
  <w:footnote w:id="3">
    <w:p w14:paraId="46C03242" w14:textId="114BCDAF" w:rsidR="00031D57" w:rsidRPr="00B01C90" w:rsidRDefault="000D3967" w:rsidP="00B01C90">
      <w:pPr>
        <w:pStyle w:val="MainText"/>
      </w:pPr>
      <w:r w:rsidRPr="00B36490">
        <w:rPr>
          <w:rStyle w:val="FootnoteReference"/>
        </w:rPr>
        <w:footnoteRef/>
      </w:r>
      <w:hyperlink r:id="rId3" w:history="1">
        <w:r w:rsidR="00BB64E7" w:rsidRPr="00B01C90">
          <w:rPr>
            <w:rStyle w:val="Hyperlink"/>
            <w:sz w:val="18"/>
            <w:szCs w:val="18"/>
          </w:rPr>
          <w:t>https://explorer.evm.testnet.iotaledger.net/address/0x9198925404981DB871D0B33716F95035dFA353B1?tab=contract</w:t>
        </w:r>
      </w:hyperlink>
      <w:r w:rsidR="00FF6EA3" w:rsidRPr="00B01C90">
        <w:rPr>
          <w:sz w:val="18"/>
          <w:szCs w:val="18"/>
        </w:rPr>
        <w:t>, last accessed: 23.03.2025</w:t>
      </w:r>
    </w:p>
  </w:footnote>
  <w:footnote w:id="4">
    <w:p w14:paraId="30AADA9E" w14:textId="77777777" w:rsidR="00B01C90" w:rsidRPr="00FF5FE4" w:rsidRDefault="00B01C90" w:rsidP="00B01C90">
      <w:pPr>
        <w:pStyle w:val="MainText"/>
      </w:pPr>
      <w:r w:rsidRPr="00B36490">
        <w:rPr>
          <w:rStyle w:val="FootnoteReference"/>
        </w:rPr>
        <w:footnoteRef/>
      </w:r>
      <w:hyperlink r:id="rId4" w:history="1">
        <w:r w:rsidRPr="00B01C90">
          <w:rPr>
            <w:rStyle w:val="Hyperlink"/>
            <w:sz w:val="18"/>
            <w:szCs w:val="18"/>
          </w:rPr>
          <w:t>https://app.swaggerhub.com/apis/Plattform_i40/AssetAdministrationShellServiceSpecification</w:t>
        </w:r>
      </w:hyperlink>
      <w:r w:rsidRPr="00B01C90">
        <w:rPr>
          <w:sz w:val="18"/>
          <w:szCs w:val="18"/>
        </w:rPr>
        <w:t xml:space="preserve">, last accessed: 23.03.2025 </w:t>
      </w:r>
    </w:p>
  </w:footnote>
  <w:footnote w:id="5">
    <w:p w14:paraId="37B65894" w14:textId="3EFCC4E9" w:rsidR="00994014" w:rsidRPr="00936777" w:rsidRDefault="00994014" w:rsidP="00994014">
      <w:pPr>
        <w:pStyle w:val="MainText"/>
        <w:rPr>
          <w:rFonts w:asciiTheme="minorEastAsia" w:hAnsiTheme="minorEastAsia" w:cstheme="minorEastAsia"/>
        </w:rPr>
      </w:pPr>
      <w:r>
        <w:rPr>
          <w:rStyle w:val="FootnoteReference"/>
        </w:rPr>
        <w:footnoteRef/>
      </w:r>
      <w:hyperlink r:id="rId5" w:history="1">
        <w:r w:rsidRPr="00B01C90">
          <w:rPr>
            <w:rStyle w:val="Hyperlink"/>
            <w:rFonts w:asciiTheme="minorEastAsia" w:hAnsiTheme="minorEastAsia" w:cstheme="minorEastAsia" w:hint="eastAsia"/>
            <w:sz w:val="18"/>
            <w:szCs w:val="18"/>
          </w:rPr>
          <w:t>https://explorer.evm.testnet.iotaledger.net/address/0x9198925404981DB871D0B33716F95035dFA353B1?tab=txs</w:t>
        </w:r>
      </w:hyperlink>
      <w:r w:rsidRPr="00B01C90">
        <w:rPr>
          <w:rFonts w:asciiTheme="minorEastAsia" w:hAnsiTheme="minorEastAsia" w:cstheme="minorEastAsia"/>
          <w:sz w:val="18"/>
          <w:szCs w:val="18"/>
        </w:rPr>
        <w:t xml:space="preserve">, </w:t>
      </w:r>
      <w:r w:rsidR="00A40ABF" w:rsidRPr="00B01C90">
        <w:rPr>
          <w:sz w:val="18"/>
          <w:szCs w:val="18"/>
        </w:rPr>
        <w:t>last accessed: 25.03.2025</w:t>
      </w:r>
    </w:p>
    <w:p w14:paraId="7B06B6F8" w14:textId="6970E4B4" w:rsidR="00994014" w:rsidRPr="00994014" w:rsidRDefault="0099401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EBB92" w14:textId="77777777" w:rsidR="00031D57" w:rsidRPr="00B36490" w:rsidRDefault="000D3967">
    <w:pPr>
      <w:pStyle w:val="Header"/>
      <w:jc w:val="center"/>
      <w:rPr>
        <w:rFonts w:ascii="Times" w:hAnsi="Times"/>
        <w:sz w:val="16"/>
      </w:rPr>
    </w:pPr>
    <w:r w:rsidRPr="00B36490">
      <w:rPr>
        <w:rFonts w:ascii="Times" w:hAnsi="Times"/>
        <w:sz w:val="16"/>
      </w:rPr>
      <w:t>PLEA2016 Los Angeles - Cities, Buildings, People: Towards Regenerative Environments, 11-13 July, 2016</w:t>
    </w:r>
  </w:p>
  <w:p w14:paraId="471E98A5" w14:textId="77777777" w:rsidR="00031D57" w:rsidRPr="00B36490" w:rsidRDefault="00031D5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EE8AE" w14:textId="1D3FAFB6" w:rsidR="00031D57" w:rsidRPr="00B36490" w:rsidRDefault="000D3967">
    <w:pPr>
      <w:pStyle w:val="Header"/>
      <w:jc w:val="center"/>
    </w:pPr>
    <w:r w:rsidRPr="00B36490">
      <w:rPr>
        <w:rFonts w:cs="Arial"/>
        <w:sz w:val="36"/>
      </w:rPr>
      <w:t xml:space="preserve"> </w:t>
    </w:r>
    <w:r w:rsidR="00936777">
      <w:rPr>
        <w:noProof/>
      </w:rPr>
      <w:drawing>
        <wp:inline distT="0" distB="0" distL="0" distR="0" wp14:anchorId="21900FD5" wp14:editId="4E93F58B">
          <wp:extent cx="1781175" cy="1781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17811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C706" w14:textId="77777777" w:rsidR="00031D57" w:rsidRPr="00B36490" w:rsidRDefault="00031D5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247F"/>
    <w:multiLevelType w:val="multilevel"/>
    <w:tmpl w:val="A942CA24"/>
    <w:lvl w:ilvl="0">
      <w:start w:val="1"/>
      <w:numFmt w:val="decimal"/>
      <w:pStyle w:val="ListNumber4"/>
      <w:lvlText w:val="%1."/>
      <w:lvlJc w:val="left"/>
      <w:pPr>
        <w:tabs>
          <w:tab w:val="num" w:pos="1209"/>
        </w:tabs>
        <w:ind w:left="1209"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135974A8"/>
    <w:multiLevelType w:val="multilevel"/>
    <w:tmpl w:val="4B3CB790"/>
    <w:lvl w:ilvl="0">
      <w:start w:val="1"/>
      <w:numFmt w:val="decimal"/>
      <w:pStyle w:val="ListNumber2"/>
      <w:lvlText w:val="%1."/>
      <w:lvlJc w:val="left"/>
      <w:pPr>
        <w:tabs>
          <w:tab w:val="num" w:pos="643"/>
        </w:tabs>
        <w:ind w:left="643"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16404828"/>
    <w:multiLevelType w:val="multilevel"/>
    <w:tmpl w:val="E244EFA8"/>
    <w:lvl w:ilvl="0">
      <w:start w:val="1"/>
      <w:numFmt w:val="bullet"/>
      <w:pStyle w:val="ListBullet"/>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1DAC7872"/>
    <w:multiLevelType w:val="multilevel"/>
    <w:tmpl w:val="EFDC8DA4"/>
    <w:lvl w:ilvl="0">
      <w:start w:val="1"/>
      <w:numFmt w:val="decimal"/>
      <w:pStyle w:val="ListNumber5"/>
      <w:lvlText w:val="%1."/>
      <w:lvlJc w:val="left"/>
      <w:pPr>
        <w:tabs>
          <w:tab w:val="num" w:pos="1492"/>
        </w:tabs>
        <w:ind w:left="1492"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1DE91A92"/>
    <w:multiLevelType w:val="multilevel"/>
    <w:tmpl w:val="0150A37A"/>
    <w:lvl w:ilvl="0">
      <w:start w:val="1"/>
      <w:numFmt w:val="decimal"/>
      <w:pStyle w:val="ListNumber"/>
      <w:lvlText w:val="%1."/>
      <w:lvlJc w:val="left"/>
      <w:pPr>
        <w:tabs>
          <w:tab w:val="num" w:pos="360"/>
        </w:tabs>
        <w:ind w:left="36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36E37337"/>
    <w:multiLevelType w:val="multilevel"/>
    <w:tmpl w:val="8B92E546"/>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43525570"/>
    <w:multiLevelType w:val="multilevel"/>
    <w:tmpl w:val="CE5A0E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4D43CAF"/>
    <w:multiLevelType w:val="hybridMultilevel"/>
    <w:tmpl w:val="8B721AA4"/>
    <w:lvl w:ilvl="0" w:tplc="6E24FE16">
      <w:start w:val="1"/>
      <w:numFmt w:val="decimal"/>
      <w:lvlText w:val="%1."/>
      <w:lvlJc w:val="left"/>
      <w:pPr>
        <w:ind w:left="1020" w:hanging="360"/>
      </w:pPr>
    </w:lvl>
    <w:lvl w:ilvl="1" w:tplc="2E7222F0">
      <w:start w:val="1"/>
      <w:numFmt w:val="decimal"/>
      <w:lvlText w:val="%2."/>
      <w:lvlJc w:val="left"/>
      <w:pPr>
        <w:ind w:left="1020" w:hanging="360"/>
      </w:pPr>
    </w:lvl>
    <w:lvl w:ilvl="2" w:tplc="BEAA2D78">
      <w:start w:val="1"/>
      <w:numFmt w:val="decimal"/>
      <w:lvlText w:val="%3."/>
      <w:lvlJc w:val="left"/>
      <w:pPr>
        <w:ind w:left="1020" w:hanging="360"/>
      </w:pPr>
    </w:lvl>
    <w:lvl w:ilvl="3" w:tplc="BFCED270">
      <w:start w:val="1"/>
      <w:numFmt w:val="decimal"/>
      <w:lvlText w:val="%4."/>
      <w:lvlJc w:val="left"/>
      <w:pPr>
        <w:ind w:left="1020" w:hanging="360"/>
      </w:pPr>
    </w:lvl>
    <w:lvl w:ilvl="4" w:tplc="C64609E2">
      <w:start w:val="1"/>
      <w:numFmt w:val="decimal"/>
      <w:lvlText w:val="%5."/>
      <w:lvlJc w:val="left"/>
      <w:pPr>
        <w:ind w:left="1020" w:hanging="360"/>
      </w:pPr>
    </w:lvl>
    <w:lvl w:ilvl="5" w:tplc="7C008BCA">
      <w:start w:val="1"/>
      <w:numFmt w:val="decimal"/>
      <w:lvlText w:val="%6."/>
      <w:lvlJc w:val="left"/>
      <w:pPr>
        <w:ind w:left="1020" w:hanging="360"/>
      </w:pPr>
    </w:lvl>
    <w:lvl w:ilvl="6" w:tplc="5A26DCE0">
      <w:start w:val="1"/>
      <w:numFmt w:val="decimal"/>
      <w:lvlText w:val="%7."/>
      <w:lvlJc w:val="left"/>
      <w:pPr>
        <w:ind w:left="1020" w:hanging="360"/>
      </w:pPr>
    </w:lvl>
    <w:lvl w:ilvl="7" w:tplc="F9F26598">
      <w:start w:val="1"/>
      <w:numFmt w:val="decimal"/>
      <w:lvlText w:val="%8."/>
      <w:lvlJc w:val="left"/>
      <w:pPr>
        <w:ind w:left="1020" w:hanging="360"/>
      </w:pPr>
    </w:lvl>
    <w:lvl w:ilvl="8" w:tplc="EEF4AFFC">
      <w:start w:val="1"/>
      <w:numFmt w:val="decimal"/>
      <w:lvlText w:val="%9."/>
      <w:lvlJc w:val="left"/>
      <w:pPr>
        <w:ind w:left="1020" w:hanging="360"/>
      </w:pPr>
    </w:lvl>
  </w:abstractNum>
  <w:abstractNum w:abstractNumId="8" w15:restartNumberingAfterBreak="0">
    <w:nsid w:val="4C0E72C0"/>
    <w:multiLevelType w:val="multilevel"/>
    <w:tmpl w:val="054C9EEE"/>
    <w:lvl w:ilvl="0">
      <w:start w:val="1"/>
      <w:numFmt w:val="bullet"/>
      <w:pStyle w:val="ListBullet5"/>
      <w:lvlText w:val=""/>
      <w:lvlJc w:val="left"/>
      <w:pPr>
        <w:tabs>
          <w:tab w:val="num" w:pos="1492"/>
        </w:tabs>
        <w:ind w:left="1492"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51876CB6"/>
    <w:multiLevelType w:val="multilevel"/>
    <w:tmpl w:val="825C8EF2"/>
    <w:lvl w:ilvl="0">
      <w:numFmt w:val="bullet"/>
      <w:lvlText w:val="—"/>
      <w:lvlJc w:val="left"/>
      <w:pPr>
        <w:ind w:left="720" w:hanging="360"/>
      </w:pPr>
      <w:rPr>
        <w:rFonts w:ascii="Arial" w:eastAsia="Times New Roman" w:hAnsi="Arial" w:cs="Aria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3C74496"/>
    <w:multiLevelType w:val="multilevel"/>
    <w:tmpl w:val="013E0180"/>
    <w:lvl w:ilvl="0">
      <w:start w:val="1"/>
      <w:numFmt w:val="bullet"/>
      <w:pStyle w:val="ListBullet4"/>
      <w:lvlText w:val=""/>
      <w:lvlJc w:val="left"/>
      <w:pPr>
        <w:tabs>
          <w:tab w:val="num" w:pos="1209"/>
        </w:tabs>
        <w:ind w:left="1209"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64F66FA3"/>
    <w:multiLevelType w:val="multilevel"/>
    <w:tmpl w:val="FACAADA6"/>
    <w:lvl w:ilvl="0">
      <w:start w:val="1"/>
      <w:numFmt w:val="bullet"/>
      <w:pStyle w:val="ListBullet2"/>
      <w:lvlText w:val=""/>
      <w:lvlJc w:val="left"/>
      <w:pPr>
        <w:tabs>
          <w:tab w:val="num" w:pos="643"/>
        </w:tabs>
        <w:ind w:left="643"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 w15:restartNumberingAfterBreak="0">
    <w:nsid w:val="66366316"/>
    <w:multiLevelType w:val="multilevel"/>
    <w:tmpl w:val="F97E121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3" w15:restartNumberingAfterBreak="0">
    <w:nsid w:val="6A690D25"/>
    <w:multiLevelType w:val="multilevel"/>
    <w:tmpl w:val="F8743160"/>
    <w:lvl w:ilvl="0">
      <w:start w:val="1"/>
      <w:numFmt w:val="decimal"/>
      <w:pStyle w:val="ListNumber3"/>
      <w:lvlText w:val="%1."/>
      <w:lvlJc w:val="left"/>
      <w:pPr>
        <w:tabs>
          <w:tab w:val="num" w:pos="926"/>
        </w:tabs>
        <w:ind w:left="926"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 w15:restartNumberingAfterBreak="0">
    <w:nsid w:val="6BD766ED"/>
    <w:multiLevelType w:val="multilevel"/>
    <w:tmpl w:val="D6D2F0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38D2B76"/>
    <w:multiLevelType w:val="multilevel"/>
    <w:tmpl w:val="1C706F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3CD43B4"/>
    <w:multiLevelType w:val="multilevel"/>
    <w:tmpl w:val="4BA0B5BA"/>
    <w:lvl w:ilvl="0">
      <w:start w:val="1"/>
      <w:numFmt w:val="bullet"/>
      <w:pStyle w:val="ListBullet3"/>
      <w:lvlText w:val=""/>
      <w:lvlJc w:val="left"/>
      <w:pPr>
        <w:tabs>
          <w:tab w:val="num" w:pos="926"/>
        </w:tabs>
        <w:ind w:left="926"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7" w15:restartNumberingAfterBreak="0">
    <w:nsid w:val="7F4A0A20"/>
    <w:multiLevelType w:val="multilevel"/>
    <w:tmpl w:val="54940C2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55761631">
    <w:abstractNumId w:val="6"/>
  </w:num>
  <w:num w:numId="2" w16cid:durableId="1732341106">
    <w:abstractNumId w:val="17"/>
  </w:num>
  <w:num w:numId="3" w16cid:durableId="637534946">
    <w:abstractNumId w:val="9"/>
  </w:num>
  <w:num w:numId="4" w16cid:durableId="1072310910">
    <w:abstractNumId w:val="12"/>
  </w:num>
  <w:num w:numId="5" w16cid:durableId="1555508950">
    <w:abstractNumId w:val="3"/>
  </w:num>
  <w:num w:numId="6" w16cid:durableId="2063602266">
    <w:abstractNumId w:val="0"/>
  </w:num>
  <w:num w:numId="7" w16cid:durableId="815413185">
    <w:abstractNumId w:val="13"/>
  </w:num>
  <w:num w:numId="8" w16cid:durableId="739713388">
    <w:abstractNumId w:val="1"/>
  </w:num>
  <w:num w:numId="9" w16cid:durableId="1546409486">
    <w:abstractNumId w:val="8"/>
  </w:num>
  <w:num w:numId="10" w16cid:durableId="1375421419">
    <w:abstractNumId w:val="10"/>
  </w:num>
  <w:num w:numId="11" w16cid:durableId="2060472792">
    <w:abstractNumId w:val="16"/>
  </w:num>
  <w:num w:numId="12" w16cid:durableId="604197380">
    <w:abstractNumId w:val="11"/>
  </w:num>
  <w:num w:numId="13" w16cid:durableId="773860019">
    <w:abstractNumId w:val="4"/>
  </w:num>
  <w:num w:numId="14" w16cid:durableId="1210730609">
    <w:abstractNumId w:val="2"/>
  </w:num>
  <w:num w:numId="15" w16cid:durableId="197276735">
    <w:abstractNumId w:val="15"/>
  </w:num>
  <w:num w:numId="16" w16cid:durableId="1707947683">
    <w:abstractNumId w:val="5"/>
  </w:num>
  <w:num w:numId="17" w16cid:durableId="460926428">
    <w:abstractNumId w:val="14"/>
  </w:num>
  <w:num w:numId="18" w16cid:durableId="17339678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M0sTA0MDI1NDG0NLdU0lEKTi0uzszPAykwqgUAUTQjfSwAAAA="/>
  </w:docVars>
  <w:rsids>
    <w:rsidRoot w:val="00031D57"/>
    <w:rsid w:val="00000B9A"/>
    <w:rsid w:val="00013BDC"/>
    <w:rsid w:val="00031D57"/>
    <w:rsid w:val="000847C0"/>
    <w:rsid w:val="000971F4"/>
    <w:rsid w:val="000A0CC8"/>
    <w:rsid w:val="000A2691"/>
    <w:rsid w:val="000C2C52"/>
    <w:rsid w:val="000D3967"/>
    <w:rsid w:val="000E1C65"/>
    <w:rsid w:val="00106F52"/>
    <w:rsid w:val="00132D64"/>
    <w:rsid w:val="00133342"/>
    <w:rsid w:val="00143260"/>
    <w:rsid w:val="00171125"/>
    <w:rsid w:val="001802D9"/>
    <w:rsid w:val="00181D94"/>
    <w:rsid w:val="001A426D"/>
    <w:rsid w:val="001E0719"/>
    <w:rsid w:val="001F42B8"/>
    <w:rsid w:val="00223888"/>
    <w:rsid w:val="002254CF"/>
    <w:rsid w:val="00246CFB"/>
    <w:rsid w:val="002501C7"/>
    <w:rsid w:val="00262CDA"/>
    <w:rsid w:val="00275B01"/>
    <w:rsid w:val="00312164"/>
    <w:rsid w:val="003130E5"/>
    <w:rsid w:val="003322EF"/>
    <w:rsid w:val="00334088"/>
    <w:rsid w:val="003343AD"/>
    <w:rsid w:val="00365093"/>
    <w:rsid w:val="00373015"/>
    <w:rsid w:val="003842AB"/>
    <w:rsid w:val="003E0B49"/>
    <w:rsid w:val="003E38A0"/>
    <w:rsid w:val="003E4BD2"/>
    <w:rsid w:val="003F261F"/>
    <w:rsid w:val="003F3C97"/>
    <w:rsid w:val="003F66ED"/>
    <w:rsid w:val="00414F09"/>
    <w:rsid w:val="004A1E0A"/>
    <w:rsid w:val="004B5294"/>
    <w:rsid w:val="004D29AC"/>
    <w:rsid w:val="004E7B7F"/>
    <w:rsid w:val="00541208"/>
    <w:rsid w:val="00570BBD"/>
    <w:rsid w:val="005D5D1A"/>
    <w:rsid w:val="005E30A3"/>
    <w:rsid w:val="005E7B0D"/>
    <w:rsid w:val="00602EFB"/>
    <w:rsid w:val="0064268D"/>
    <w:rsid w:val="006A5B8B"/>
    <w:rsid w:val="006C57E9"/>
    <w:rsid w:val="006C5DFF"/>
    <w:rsid w:val="00702DD7"/>
    <w:rsid w:val="00705660"/>
    <w:rsid w:val="00720D47"/>
    <w:rsid w:val="00723D6D"/>
    <w:rsid w:val="00725CCD"/>
    <w:rsid w:val="007514D5"/>
    <w:rsid w:val="007542A3"/>
    <w:rsid w:val="00773212"/>
    <w:rsid w:val="00781B9C"/>
    <w:rsid w:val="007C20F6"/>
    <w:rsid w:val="007D5C1B"/>
    <w:rsid w:val="007D608C"/>
    <w:rsid w:val="00803080"/>
    <w:rsid w:val="00813C44"/>
    <w:rsid w:val="00820143"/>
    <w:rsid w:val="00825E57"/>
    <w:rsid w:val="00846CC0"/>
    <w:rsid w:val="00860EE8"/>
    <w:rsid w:val="00862812"/>
    <w:rsid w:val="0087141A"/>
    <w:rsid w:val="008751DC"/>
    <w:rsid w:val="008760CB"/>
    <w:rsid w:val="00893400"/>
    <w:rsid w:val="00932467"/>
    <w:rsid w:val="00936777"/>
    <w:rsid w:val="00960F8A"/>
    <w:rsid w:val="00962AE6"/>
    <w:rsid w:val="009835E2"/>
    <w:rsid w:val="00994014"/>
    <w:rsid w:val="009A1701"/>
    <w:rsid w:val="00A03DD0"/>
    <w:rsid w:val="00A120A2"/>
    <w:rsid w:val="00A21BB8"/>
    <w:rsid w:val="00A4004F"/>
    <w:rsid w:val="00A40ABF"/>
    <w:rsid w:val="00A8524A"/>
    <w:rsid w:val="00A97076"/>
    <w:rsid w:val="00AA6036"/>
    <w:rsid w:val="00AA716D"/>
    <w:rsid w:val="00AB5601"/>
    <w:rsid w:val="00AE4D06"/>
    <w:rsid w:val="00AF3EAE"/>
    <w:rsid w:val="00B01C90"/>
    <w:rsid w:val="00B03EF2"/>
    <w:rsid w:val="00B07D79"/>
    <w:rsid w:val="00B15B70"/>
    <w:rsid w:val="00B35E71"/>
    <w:rsid w:val="00B36490"/>
    <w:rsid w:val="00BB64E7"/>
    <w:rsid w:val="00BC13BB"/>
    <w:rsid w:val="00BC6387"/>
    <w:rsid w:val="00BC6D4C"/>
    <w:rsid w:val="00BF2706"/>
    <w:rsid w:val="00C06AF0"/>
    <w:rsid w:val="00C14285"/>
    <w:rsid w:val="00C14454"/>
    <w:rsid w:val="00C74DE8"/>
    <w:rsid w:val="00C80874"/>
    <w:rsid w:val="00CB3921"/>
    <w:rsid w:val="00CE1F84"/>
    <w:rsid w:val="00D20C0B"/>
    <w:rsid w:val="00D31087"/>
    <w:rsid w:val="00D3487D"/>
    <w:rsid w:val="00D54790"/>
    <w:rsid w:val="00D744CE"/>
    <w:rsid w:val="00D84C96"/>
    <w:rsid w:val="00DF3370"/>
    <w:rsid w:val="00E018F2"/>
    <w:rsid w:val="00E40667"/>
    <w:rsid w:val="00E66640"/>
    <w:rsid w:val="00E67353"/>
    <w:rsid w:val="00E731A2"/>
    <w:rsid w:val="00E86321"/>
    <w:rsid w:val="00EB1D7A"/>
    <w:rsid w:val="00EC3FAF"/>
    <w:rsid w:val="00EF463E"/>
    <w:rsid w:val="00F27791"/>
    <w:rsid w:val="00F328E8"/>
    <w:rsid w:val="00F90AFD"/>
    <w:rsid w:val="00FA11FA"/>
    <w:rsid w:val="00FB759A"/>
    <w:rsid w:val="00FC54B6"/>
    <w:rsid w:val="00FD552F"/>
    <w:rsid w:val="00FE5ABE"/>
    <w:rsid w:val="00FF5FE4"/>
    <w:rsid w:val="00FF6E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598DDE"/>
  <w15:docId w15:val="{CFC46B40-962E-4B54-92B4-2F14C6CB2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PlainText"/>
    <w:qFormat/>
    <w:pPr>
      <w:jc w:val="center"/>
    </w:pPr>
    <w:rPr>
      <w:rFonts w:ascii="Arial" w:eastAsia="Times New Roman" w:hAnsi="Arial"/>
      <w:b/>
      <w:sz w:val="24"/>
      <w:szCs w:val="24"/>
      <w:lang w:val="en-GB" w:eastAsia="en-US"/>
    </w:rPr>
  </w:style>
  <w:style w:type="paragraph" w:styleId="Heading1">
    <w:name w:val="heading 1"/>
    <w:basedOn w:val="Normal"/>
    <w:next w:val="PlainText"/>
    <w:link w:val="Heading1Char"/>
    <w:uiPriority w:val="9"/>
    <w:qFormat/>
    <w:pPr>
      <w:keepNext/>
      <w:jc w:val="left"/>
      <w:outlineLvl w:val="0"/>
    </w:pPr>
    <w:rPr>
      <w:rFonts w:cs="Arial"/>
      <w:sz w:val="20"/>
      <w:szCs w:val="32"/>
    </w:rPr>
  </w:style>
  <w:style w:type="paragraph" w:styleId="Heading2">
    <w:name w:val="heading 2"/>
    <w:basedOn w:val="Normal"/>
    <w:next w:val="Normal"/>
    <w:link w:val="Heading2Char"/>
    <w:uiPriority w:val="9"/>
    <w:semiHidden/>
    <w:unhideWhenUsed/>
    <w:qFormat/>
    <w:pPr>
      <w:keepNext/>
      <w:spacing w:before="240" w:after="60"/>
      <w:outlineLvl w:val="1"/>
    </w:pPr>
    <w:rPr>
      <w:rFonts w:ascii="Calibri Light" w:hAnsi="Calibri Light"/>
      <w:bCs/>
      <w:i/>
      <w:iCs/>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Arial" w:cs="Arial"/>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Arial" w:cs="Arial"/>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Arial" w:cs="Arial"/>
      <w:color w:val="0F4761"/>
    </w:rPr>
  </w:style>
  <w:style w:type="paragraph" w:styleId="Heading6">
    <w:name w:val="heading 6"/>
    <w:basedOn w:val="Normal"/>
    <w:next w:val="Normal"/>
    <w:link w:val="Heading6Char"/>
    <w:uiPriority w:val="9"/>
    <w:unhideWhenUsed/>
    <w:qFormat/>
    <w:pPr>
      <w:keepNext/>
      <w:keepLines/>
      <w:spacing w:before="40"/>
      <w:outlineLvl w:val="5"/>
    </w:pPr>
    <w:rPr>
      <w:rFonts w:eastAsia="Arial" w:cs="Arial"/>
      <w:i/>
      <w:iCs/>
      <w:color w:val="595959"/>
    </w:rPr>
  </w:style>
  <w:style w:type="paragraph" w:styleId="Heading7">
    <w:name w:val="heading 7"/>
    <w:basedOn w:val="Normal"/>
    <w:next w:val="Normal"/>
    <w:link w:val="Heading7Char"/>
    <w:uiPriority w:val="9"/>
    <w:unhideWhenUsed/>
    <w:qFormat/>
    <w:pPr>
      <w:keepNext/>
      <w:keepLines/>
      <w:spacing w:before="40"/>
      <w:outlineLvl w:val="6"/>
    </w:pPr>
    <w:rPr>
      <w:rFonts w:eastAsia="Arial" w:cs="Arial"/>
      <w:color w:val="595959"/>
    </w:rPr>
  </w:style>
  <w:style w:type="paragraph" w:styleId="Heading8">
    <w:name w:val="heading 8"/>
    <w:basedOn w:val="Normal"/>
    <w:next w:val="Normal"/>
    <w:link w:val="Heading8Char"/>
    <w:uiPriority w:val="9"/>
    <w:unhideWhenUsed/>
    <w:qFormat/>
    <w:pPr>
      <w:keepNext/>
      <w:keepLines/>
      <w:outlineLvl w:val="7"/>
    </w:pPr>
    <w:rPr>
      <w:rFonts w:eastAsia="Arial" w:cs="Arial"/>
      <w:i/>
      <w:iCs/>
      <w:color w:val="272727"/>
    </w:rPr>
  </w:style>
  <w:style w:type="paragraph" w:styleId="Heading9">
    <w:name w:val="heading 9"/>
    <w:basedOn w:val="Normal"/>
    <w:next w:val="Normal"/>
    <w:link w:val="Heading9Char"/>
    <w:uiPriority w:val="9"/>
    <w:unhideWhenUsed/>
    <w:qFormat/>
    <w:pPr>
      <w:keepNext/>
      <w:keepLines/>
      <w:outlineLvl w:val="8"/>
    </w:pPr>
    <w:rPr>
      <w:rFonts w:eastAsia="Arial" w:cs="Arial"/>
      <w:i/>
      <w:iCs/>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GridTable1Light-Accent1">
    <w:name w:val="Grid Table 1 Light Accent 1"/>
    <w:basedOn w:val="TableNormal"/>
    <w:uiPriority w:val="99"/>
    <w:tblPr>
      <w:tblStyleRowBandSize w:val="1"/>
      <w:tblStyleColBandSize w:val="1"/>
      <w:tblBorders>
        <w:top w:val="single" w:sz="4" w:space="0" w:color="81C9EA"/>
        <w:left w:val="single" w:sz="4" w:space="0" w:color="81C9EA"/>
        <w:bottom w:val="single" w:sz="4" w:space="0" w:color="81C9EA"/>
        <w:right w:val="single" w:sz="4" w:space="0" w:color="81C9EA"/>
        <w:insideH w:val="single" w:sz="4" w:space="0" w:color="81C9EA"/>
        <w:insideV w:val="single" w:sz="4" w:space="0" w:color="81C9EA"/>
      </w:tblBorders>
    </w:tblPr>
    <w:tblStylePr w:type="firstRow">
      <w:rPr>
        <w:b/>
        <w:color w:val="404040"/>
      </w:rPr>
      <w:tblPr/>
      <w:tcPr>
        <w:tcBorders>
          <w:bottom w:val="single" w:sz="12" w:space="0" w:color="4AB2E1"/>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left w:val="single" w:sz="4" w:space="0" w:color="81C9EA"/>
          <w:bottom w:val="single" w:sz="4" w:space="0" w:color="81C9EA"/>
          <w:right w:val="single" w:sz="4" w:space="0" w:color="81C9EA"/>
        </w:tcBorders>
      </w:tcPr>
    </w:tblStylePr>
  </w:style>
  <w:style w:type="table" w:styleId="GridTable1Light-Accent2">
    <w:name w:val="Grid Table 1 Light Accent 2"/>
    <w:basedOn w:val="TableNormal"/>
    <w:uiPriority w:val="99"/>
    <w:tblPr>
      <w:tblStyleRowBandSize w:val="1"/>
      <w:tblStyleColBandSize w:val="1"/>
      <w:tblBorders>
        <w:top w:val="single" w:sz="4" w:space="0" w:color="F6C5AB"/>
        <w:left w:val="single" w:sz="4" w:space="0" w:color="F6C5AB"/>
        <w:bottom w:val="single" w:sz="4" w:space="0" w:color="F6C5AB"/>
        <w:right w:val="single" w:sz="4" w:space="0" w:color="F6C5AB"/>
        <w:insideH w:val="single" w:sz="4" w:space="0" w:color="F6C5AB"/>
        <w:insideV w:val="single" w:sz="4" w:space="0" w:color="F6C5AB"/>
      </w:tblBorders>
    </w:tblPr>
    <w:tblStylePr w:type="firstRow">
      <w:rPr>
        <w:b/>
        <w:color w:val="404040"/>
      </w:rPr>
      <w:tblPr/>
      <w:tcPr>
        <w:tcBorders>
          <w:bottom w:val="single" w:sz="12" w:space="0" w:color="F2AB87"/>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left w:val="single" w:sz="4" w:space="0" w:color="F6C5AB"/>
          <w:bottom w:val="single" w:sz="4" w:space="0" w:color="F6C5AB"/>
          <w:right w:val="single" w:sz="4" w:space="0" w:color="F6C5AB"/>
        </w:tcBorders>
      </w:tcPr>
    </w:tblStylePr>
  </w:style>
  <w:style w:type="table" w:styleId="GridTable1Light-Accent3">
    <w:name w:val="Grid Table 1 Light Accent 3"/>
    <w:basedOn w:val="TableNormal"/>
    <w:uiPriority w:val="99"/>
    <w:tblPr>
      <w:tblStyleRowBandSize w:val="1"/>
      <w:tblStyleColBandSize w:val="1"/>
      <w:tblBorders>
        <w:top w:val="single" w:sz="4" w:space="0" w:color="83E28F"/>
        <w:left w:val="single" w:sz="4" w:space="0" w:color="83E28F"/>
        <w:bottom w:val="single" w:sz="4" w:space="0" w:color="83E28F"/>
        <w:right w:val="single" w:sz="4" w:space="0" w:color="83E28F"/>
        <w:insideH w:val="single" w:sz="4" w:space="0" w:color="83E28F"/>
        <w:insideV w:val="single" w:sz="4" w:space="0" w:color="83E28F"/>
      </w:tblBorders>
    </w:tblPr>
    <w:tblStylePr w:type="firstRow">
      <w:rPr>
        <w:b/>
        <w:color w:val="404040"/>
      </w:rPr>
      <w:tblPr/>
      <w:tcPr>
        <w:tcBorders>
          <w:bottom w:val="single" w:sz="12" w:space="0" w:color="4BD55E"/>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left w:val="single" w:sz="4" w:space="0" w:color="83E28F"/>
          <w:bottom w:val="single" w:sz="4" w:space="0" w:color="83E28F"/>
          <w:right w:val="single" w:sz="4" w:space="0" w:color="83E28F"/>
        </w:tcBorders>
      </w:tcPr>
    </w:tblStylePr>
  </w:style>
  <w:style w:type="table" w:styleId="GridTable1Light-Accent4">
    <w:name w:val="Grid Table 1 Light Accent 4"/>
    <w:basedOn w:val="TableNormal"/>
    <w:uiPriority w:val="99"/>
    <w:tblPr>
      <w:tblStyleRowBandSize w:val="1"/>
      <w:tblStyleColBandSize w:val="1"/>
      <w:tblBorders>
        <w:top w:val="single" w:sz="4" w:space="0" w:color="94DBF7"/>
        <w:left w:val="single" w:sz="4" w:space="0" w:color="94DBF7"/>
        <w:bottom w:val="single" w:sz="4" w:space="0" w:color="94DBF7"/>
        <w:right w:val="single" w:sz="4" w:space="0" w:color="94DBF7"/>
        <w:insideH w:val="single" w:sz="4" w:space="0" w:color="94DBF7"/>
        <w:insideV w:val="single" w:sz="4" w:space="0" w:color="94DBF7"/>
      </w:tblBorders>
    </w:tblPr>
    <w:tblStylePr w:type="firstRow">
      <w:rPr>
        <w:b/>
        <w:color w:val="404040"/>
      </w:rPr>
      <w:tblPr/>
      <w:tcPr>
        <w:tcBorders>
          <w:bottom w:val="single" w:sz="12" w:space="0" w:color="64CCF4"/>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left w:val="single" w:sz="4" w:space="0" w:color="94DBF7"/>
          <w:bottom w:val="single" w:sz="4" w:space="0" w:color="94DBF7"/>
          <w:right w:val="single" w:sz="4" w:space="0" w:color="94DBF7"/>
        </w:tcBorders>
      </w:tcPr>
    </w:tblStylePr>
  </w:style>
  <w:style w:type="table" w:styleId="GridTable1Light-Accent5">
    <w:name w:val="Grid Table 1 Light Accent 5"/>
    <w:basedOn w:val="TableNormal"/>
    <w:uiPriority w:val="99"/>
    <w:tblPr>
      <w:tblStyleRowBandSize w:val="1"/>
      <w:tblStyleColBandSize w:val="1"/>
      <w:tblBorders>
        <w:top w:val="single" w:sz="4" w:space="0" w:color="E49DDC"/>
        <w:left w:val="single" w:sz="4" w:space="0" w:color="E49DDC"/>
        <w:bottom w:val="single" w:sz="4" w:space="0" w:color="E49DDC"/>
        <w:right w:val="single" w:sz="4" w:space="0" w:color="E49DDC"/>
        <w:insideH w:val="single" w:sz="4" w:space="0" w:color="E49DDC"/>
        <w:insideV w:val="single" w:sz="4" w:space="0" w:color="E49DDC"/>
      </w:tblBorders>
    </w:tblPr>
    <w:tblStylePr w:type="firstRow">
      <w:rPr>
        <w:b/>
        <w:color w:val="404040"/>
      </w:rPr>
      <w:tblPr/>
      <w:tcPr>
        <w:tcBorders>
          <w:bottom w:val="single" w:sz="12" w:space="0" w:color="D971C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left w:val="single" w:sz="4" w:space="0" w:color="E49DDC"/>
          <w:bottom w:val="single" w:sz="4" w:space="0" w:color="E49DDC"/>
          <w:right w:val="single" w:sz="4" w:space="0" w:color="E49DDC"/>
        </w:tcBorders>
      </w:tcPr>
    </w:tblStylePr>
  </w:style>
  <w:style w:type="table" w:styleId="GridTable1Light-Accent6">
    <w:name w:val="Grid Table 1 Light Accent 6"/>
    <w:basedOn w:val="TableNormal"/>
    <w:uiPriority w:val="99"/>
    <w:tblPr>
      <w:tblStyleRowBandSize w:val="1"/>
      <w:tblStyleColBandSize w:val="1"/>
      <w:tblBorders>
        <w:top w:val="single" w:sz="4" w:space="0" w:color="B2E5A0"/>
        <w:left w:val="single" w:sz="4" w:space="0" w:color="B2E5A0"/>
        <w:bottom w:val="single" w:sz="4" w:space="0" w:color="B2E5A0"/>
        <w:right w:val="single" w:sz="4" w:space="0" w:color="B2E5A0"/>
        <w:insideH w:val="single" w:sz="4" w:space="0" w:color="B2E5A0"/>
        <w:insideV w:val="single" w:sz="4" w:space="0" w:color="B2E5A0"/>
      </w:tblBorders>
    </w:tblPr>
    <w:tblStylePr w:type="firstRow">
      <w:rPr>
        <w:b/>
        <w:color w:val="404040"/>
      </w:rPr>
      <w:tblPr/>
      <w:tcPr>
        <w:tcBorders>
          <w:bottom w:val="single" w:sz="12" w:space="0" w:color="90D97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left w:val="single" w:sz="4" w:space="0" w:color="B2E5A0"/>
          <w:bottom w:val="single" w:sz="4" w:space="0" w:color="B2E5A0"/>
          <w:right w:val="single" w:sz="4" w:space="0" w:color="B2E5A0"/>
        </w:tcBorders>
      </w:tcPr>
    </w:tblStylePr>
  </w:style>
  <w:style w:type="table" w:styleId="GridTable2-Accent1">
    <w:name w:val="Grid Table 2 Accent 1"/>
    <w:basedOn w:val="TableNormal"/>
    <w:uiPriority w:val="99"/>
    <w:tblPr>
      <w:tblStyleRowBandSize w:val="1"/>
      <w:tblStyleColBandSize w:val="1"/>
      <w:tblBorders>
        <w:bottom w:val="single" w:sz="4" w:space="0" w:color="19729B"/>
        <w:insideH w:val="single" w:sz="4" w:space="0" w:color="19729B"/>
        <w:insideV w:val="single" w:sz="4" w:space="0" w:color="19729B"/>
      </w:tblBorders>
    </w:tblPr>
    <w:tblStylePr w:type="firstRow">
      <w:rPr>
        <w:b/>
        <w:color w:val="404040"/>
      </w:rPr>
      <w:tblPr/>
      <w:tcPr>
        <w:tcBorders>
          <w:top w:val="none" w:sz="4" w:space="0" w:color="000000"/>
          <w:left w:val="none" w:sz="4" w:space="0" w:color="000000"/>
          <w:bottom w:val="single" w:sz="12" w:space="0" w:color="19729B"/>
          <w:right w:val="none" w:sz="4" w:space="0" w:color="000000"/>
        </w:tcBorders>
        <w:shd w:val="clear" w:color="FFFFFF" w:fill="auto"/>
      </w:tcPr>
    </w:tblStylePr>
    <w:tblStylePr w:type="lastRow">
      <w:rPr>
        <w:b/>
        <w:color w:val="404040"/>
      </w:rPr>
      <w:tblPr/>
      <w:tcPr>
        <w:tcBorders>
          <w:top w:val="single" w:sz="4" w:space="0" w:color="19729B"/>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fill="BFE4F4"/>
      </w:tcPr>
    </w:tblStylePr>
    <w:tblStylePr w:type="band1Horz">
      <w:rPr>
        <w:rFonts w:ascii="Arial" w:hAnsi="Arial"/>
        <w:color w:val="404040"/>
        <w:sz w:val="22"/>
      </w:rPr>
      <w:tblPr/>
      <w:tcPr>
        <w:shd w:val="clear" w:color="BFE4F4" w:fill="BFE4F4"/>
      </w:tcPr>
    </w:tblStylePr>
  </w:style>
  <w:style w:type="table" w:styleId="GridTable2-Accent2">
    <w:name w:val="Grid Table 2 Accent 2"/>
    <w:basedOn w:val="TableNormal"/>
    <w:uiPriority w:val="99"/>
    <w:tblPr>
      <w:tblStyleRowBandSize w:val="1"/>
      <w:tblStyleColBandSize w:val="1"/>
      <w:tblBorders>
        <w:bottom w:val="single" w:sz="4" w:space="0" w:color="F2AA85"/>
        <w:insideH w:val="single" w:sz="4" w:space="0" w:color="F2AA85"/>
        <w:insideV w:val="single" w:sz="4" w:space="0" w:color="F2AA85"/>
      </w:tblBorders>
    </w:tblPr>
    <w:tblStylePr w:type="firstRow">
      <w:rPr>
        <w:b/>
        <w:color w:val="404040"/>
      </w:rPr>
      <w:tblPr/>
      <w:tcPr>
        <w:tcBorders>
          <w:top w:val="none" w:sz="4" w:space="0" w:color="000000"/>
          <w:left w:val="none" w:sz="4" w:space="0" w:color="000000"/>
          <w:bottom w:val="single" w:sz="12" w:space="0" w:color="F2AA85"/>
          <w:right w:val="none" w:sz="4" w:space="0" w:color="000000"/>
        </w:tcBorders>
        <w:shd w:val="clear" w:color="FFFFFF" w:fill="auto"/>
      </w:tcPr>
    </w:tblStylePr>
    <w:tblStylePr w:type="lastRow">
      <w:rPr>
        <w:b/>
        <w:color w:val="404040"/>
      </w:rPr>
      <w:tblPr/>
      <w:tcPr>
        <w:tcBorders>
          <w:top w:val="single" w:sz="4" w:space="0" w:color="F2AA8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fill="FAE2D6"/>
      </w:tcPr>
    </w:tblStylePr>
    <w:tblStylePr w:type="band1Horz">
      <w:rPr>
        <w:rFonts w:ascii="Arial" w:hAnsi="Arial"/>
        <w:color w:val="404040"/>
        <w:sz w:val="22"/>
      </w:rPr>
      <w:tblPr/>
      <w:tcPr>
        <w:shd w:val="clear" w:color="FAE2D6" w:fill="FAE2D6"/>
      </w:tcPr>
    </w:tblStylePr>
  </w:style>
  <w:style w:type="table" w:styleId="GridTable2-Accent3">
    <w:name w:val="Grid Table 2 Accent 3"/>
    <w:basedOn w:val="TableNormal"/>
    <w:uiPriority w:val="99"/>
    <w:tblPr>
      <w:tblStyleRowBandSize w:val="1"/>
      <w:tblStyleColBandSize w:val="1"/>
      <w:tblBorders>
        <w:bottom w:val="single" w:sz="4" w:space="0" w:color="196C24"/>
        <w:insideH w:val="single" w:sz="4" w:space="0" w:color="196C24"/>
        <w:insideV w:val="single" w:sz="4" w:space="0" w:color="196C24"/>
      </w:tblBorders>
    </w:tblPr>
    <w:tblStylePr w:type="firstRow">
      <w:rPr>
        <w:b/>
        <w:color w:val="404040"/>
      </w:rPr>
      <w:tblPr/>
      <w:tcPr>
        <w:tcBorders>
          <w:top w:val="none" w:sz="4" w:space="0" w:color="000000"/>
          <w:left w:val="none" w:sz="4" w:space="0" w:color="000000"/>
          <w:bottom w:val="single" w:sz="12" w:space="0" w:color="196C24"/>
          <w:right w:val="none" w:sz="4" w:space="0" w:color="000000"/>
        </w:tcBorders>
        <w:shd w:val="clear" w:color="FFFFFF" w:fill="auto"/>
      </w:tcPr>
    </w:tblStylePr>
    <w:tblStylePr w:type="lastRow">
      <w:rPr>
        <w:b/>
        <w:color w:val="404040"/>
      </w:rPr>
      <w:tblPr/>
      <w:tcPr>
        <w:tcBorders>
          <w:top w:val="single" w:sz="4" w:space="0" w:color="196C2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fill="C0F0C6"/>
      </w:tcPr>
    </w:tblStylePr>
    <w:tblStylePr w:type="band1Horz">
      <w:rPr>
        <w:rFonts w:ascii="Arial" w:hAnsi="Arial"/>
        <w:color w:val="404040"/>
        <w:sz w:val="22"/>
      </w:rPr>
      <w:tblPr/>
      <w:tcPr>
        <w:shd w:val="clear" w:color="C0F0C6" w:fill="C0F0C6"/>
      </w:tcPr>
    </w:tblStylePr>
  </w:style>
  <w:style w:type="table" w:styleId="GridTable2-Accent4">
    <w:name w:val="Grid Table 2 Accent 4"/>
    <w:basedOn w:val="TableNormal"/>
    <w:uiPriority w:val="99"/>
    <w:tblPr>
      <w:tblStyleRowBandSize w:val="1"/>
      <w:tblStyleColBandSize w:val="1"/>
      <w:tblBorders>
        <w:bottom w:val="single" w:sz="4" w:space="0" w:color="5FCAF3"/>
        <w:insideH w:val="single" w:sz="4" w:space="0" w:color="5FCAF3"/>
        <w:insideV w:val="single" w:sz="4" w:space="0" w:color="5FCAF3"/>
      </w:tblBorders>
    </w:tblPr>
    <w:tblStylePr w:type="firstRow">
      <w:rPr>
        <w:b/>
        <w:color w:val="404040"/>
      </w:rPr>
      <w:tblPr/>
      <w:tcPr>
        <w:tcBorders>
          <w:top w:val="none" w:sz="4" w:space="0" w:color="000000"/>
          <w:left w:val="none" w:sz="4" w:space="0" w:color="000000"/>
          <w:bottom w:val="single" w:sz="12" w:space="0" w:color="5FCAF3"/>
          <w:right w:val="none" w:sz="4" w:space="0" w:color="000000"/>
        </w:tcBorders>
        <w:shd w:val="clear" w:color="FFFFFF" w:fill="auto"/>
      </w:tcPr>
    </w:tblStylePr>
    <w:tblStylePr w:type="lastRow">
      <w:rPr>
        <w:b/>
        <w:color w:val="404040"/>
      </w:rPr>
      <w:tblPr/>
      <w:tcPr>
        <w:tcBorders>
          <w:top w:val="single" w:sz="4" w:space="0" w:color="5FCAF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fill="C9EDFB"/>
      </w:tcPr>
    </w:tblStylePr>
    <w:tblStylePr w:type="band1Horz">
      <w:rPr>
        <w:rFonts w:ascii="Arial" w:hAnsi="Arial"/>
        <w:color w:val="404040"/>
        <w:sz w:val="22"/>
      </w:rPr>
      <w:tblPr/>
      <w:tcPr>
        <w:shd w:val="clear" w:color="C9EDFB" w:fill="C9EDFB"/>
      </w:tcPr>
    </w:tblStylePr>
  </w:style>
  <w:style w:type="table" w:styleId="GridTable2-Accent5">
    <w:name w:val="Grid Table 2 Accent 5"/>
    <w:basedOn w:val="TableNormal"/>
    <w:uiPriority w:val="99"/>
    <w:tblPr>
      <w:tblStyleRowBandSize w:val="1"/>
      <w:tblStyleColBandSize w:val="1"/>
      <w:tblBorders>
        <w:bottom w:val="single" w:sz="4" w:space="0" w:color="A02B93"/>
        <w:insideH w:val="single" w:sz="4" w:space="0" w:color="A02B93"/>
        <w:insideV w:val="single" w:sz="4" w:space="0" w:color="A02B93"/>
      </w:tblBorders>
    </w:tblPr>
    <w:tblStylePr w:type="firstRow">
      <w:rPr>
        <w:b/>
        <w:color w:val="404040"/>
      </w:rPr>
      <w:tblPr/>
      <w:tcPr>
        <w:tcBorders>
          <w:top w:val="none" w:sz="4" w:space="0" w:color="000000"/>
          <w:left w:val="none" w:sz="4" w:space="0" w:color="000000"/>
          <w:bottom w:val="single" w:sz="12" w:space="0" w:color="A02B93"/>
          <w:right w:val="none" w:sz="4" w:space="0" w:color="000000"/>
        </w:tcBorders>
        <w:shd w:val="clear" w:color="FFFFFF" w:fill="auto"/>
      </w:tcPr>
    </w:tblStylePr>
    <w:tblStylePr w:type="lastRow">
      <w:rPr>
        <w:b/>
        <w:color w:val="404040"/>
      </w:rPr>
      <w:tblPr/>
      <w:tcPr>
        <w:tcBorders>
          <w:top w:val="single" w:sz="4" w:space="0" w:color="A02B9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fill="F1CDED"/>
      </w:tcPr>
    </w:tblStylePr>
    <w:tblStylePr w:type="band1Horz">
      <w:rPr>
        <w:rFonts w:ascii="Arial" w:hAnsi="Arial"/>
        <w:color w:val="404040"/>
        <w:sz w:val="22"/>
      </w:rPr>
      <w:tblPr/>
      <w:tcPr>
        <w:shd w:val="clear" w:color="F1CDED" w:fill="F1CDED"/>
      </w:tcPr>
    </w:tblStylePr>
  </w:style>
  <w:style w:type="table" w:styleId="GridTable2-Accent6">
    <w:name w:val="Grid Table 2 Accent 6"/>
    <w:basedOn w:val="TableNormal"/>
    <w:uiPriority w:val="99"/>
    <w:tblPr>
      <w:tblStyleRowBandSize w:val="1"/>
      <w:tblStyleColBandSize w:val="1"/>
      <w:tblBorders>
        <w:bottom w:val="single" w:sz="4" w:space="0" w:color="4EA72E"/>
        <w:insideH w:val="single" w:sz="4" w:space="0" w:color="4EA72E"/>
        <w:insideV w:val="single" w:sz="4" w:space="0" w:color="4EA72E"/>
      </w:tblBorders>
    </w:tblPr>
    <w:tblStylePr w:type="firstRow">
      <w:rPr>
        <w:b/>
        <w:color w:val="404040"/>
      </w:rPr>
      <w:tblPr/>
      <w:tcPr>
        <w:tcBorders>
          <w:top w:val="none" w:sz="4" w:space="0" w:color="000000"/>
          <w:left w:val="none" w:sz="4" w:space="0" w:color="000000"/>
          <w:bottom w:val="single" w:sz="12" w:space="0" w:color="4EA72E"/>
          <w:right w:val="none" w:sz="4" w:space="0" w:color="000000"/>
        </w:tcBorders>
        <w:shd w:val="clear" w:color="FFFFFF" w:fill="auto"/>
      </w:tcPr>
    </w:tblStylePr>
    <w:tblStylePr w:type="lastRow">
      <w:rPr>
        <w:b/>
        <w:color w:val="404040"/>
      </w:rPr>
      <w:tblPr/>
      <w:tcPr>
        <w:tcBorders>
          <w:top w:val="single" w:sz="4" w:space="0" w:color="4EA72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fill="D8F2CF"/>
      </w:tcPr>
    </w:tblStylePr>
    <w:tblStylePr w:type="band1Horz">
      <w:rPr>
        <w:rFonts w:ascii="Arial" w:hAnsi="Arial"/>
        <w:color w:val="404040"/>
        <w:sz w:val="22"/>
      </w:rPr>
      <w:tblPr/>
      <w:tcPr>
        <w:shd w:val="clear" w:color="D8F2CF" w:fill="D8F2CF"/>
      </w:tcPr>
    </w:tblStylePr>
  </w:style>
  <w:style w:type="table" w:styleId="GridTable3-Accent1">
    <w:name w:val="Grid Table 3 Accent 1"/>
    <w:basedOn w:val="TableNormal"/>
    <w:uiPriority w:val="99"/>
    <w:tblPr>
      <w:tblStyleRowBandSize w:val="1"/>
      <w:tblStyleColBandSize w:val="1"/>
      <w:tblBorders>
        <w:bottom w:val="single" w:sz="4" w:space="0" w:color="19729B"/>
        <w:insideH w:val="single" w:sz="4" w:space="0" w:color="19729B"/>
        <w:insideV w:val="single" w:sz="4" w:space="0" w:color="19729B"/>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fill="BFE4F4"/>
      </w:tcPr>
    </w:tblStylePr>
    <w:tblStylePr w:type="band1Horz">
      <w:rPr>
        <w:rFonts w:ascii="Arial" w:hAnsi="Arial"/>
        <w:color w:val="404040"/>
        <w:sz w:val="22"/>
      </w:rPr>
      <w:tblPr/>
      <w:tcPr>
        <w:shd w:val="clear" w:color="BFE4F4" w:fill="BFE4F4"/>
      </w:tcPr>
    </w:tblStylePr>
  </w:style>
  <w:style w:type="table" w:styleId="GridTable3-Accent2">
    <w:name w:val="Grid Table 3 Accent 2"/>
    <w:basedOn w:val="TableNormal"/>
    <w:uiPriority w:val="99"/>
    <w:tblPr>
      <w:tblStyleRowBandSize w:val="1"/>
      <w:tblStyleColBandSize w:val="1"/>
      <w:tblBorders>
        <w:bottom w:val="single" w:sz="4" w:space="0" w:color="F2AA85"/>
        <w:insideH w:val="single" w:sz="4" w:space="0" w:color="F2AA85"/>
        <w:insideV w:val="single" w:sz="4" w:space="0" w:color="F2AA8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fill="FAE2D6"/>
      </w:tcPr>
    </w:tblStylePr>
    <w:tblStylePr w:type="band1Horz">
      <w:rPr>
        <w:rFonts w:ascii="Arial" w:hAnsi="Arial"/>
        <w:color w:val="404040"/>
        <w:sz w:val="22"/>
      </w:rPr>
      <w:tblPr/>
      <w:tcPr>
        <w:shd w:val="clear" w:color="FAE2D6" w:fill="FAE2D6"/>
      </w:tcPr>
    </w:tblStylePr>
  </w:style>
  <w:style w:type="table" w:styleId="GridTable3-Accent3">
    <w:name w:val="Grid Table 3 Accent 3"/>
    <w:basedOn w:val="TableNormal"/>
    <w:uiPriority w:val="99"/>
    <w:tblPr>
      <w:tblStyleRowBandSize w:val="1"/>
      <w:tblStyleColBandSize w:val="1"/>
      <w:tblBorders>
        <w:bottom w:val="single" w:sz="4" w:space="0" w:color="196C24"/>
        <w:insideH w:val="single" w:sz="4" w:space="0" w:color="196C24"/>
        <w:insideV w:val="single" w:sz="4" w:space="0" w:color="196C2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fill="C0F0C6"/>
      </w:tcPr>
    </w:tblStylePr>
    <w:tblStylePr w:type="band1Horz">
      <w:rPr>
        <w:rFonts w:ascii="Arial" w:hAnsi="Arial"/>
        <w:color w:val="404040"/>
        <w:sz w:val="22"/>
      </w:rPr>
      <w:tblPr/>
      <w:tcPr>
        <w:shd w:val="clear" w:color="C0F0C6" w:fill="C0F0C6"/>
      </w:tcPr>
    </w:tblStylePr>
  </w:style>
  <w:style w:type="table" w:styleId="GridTable3-Accent4">
    <w:name w:val="Grid Table 3 Accent 4"/>
    <w:basedOn w:val="TableNormal"/>
    <w:uiPriority w:val="99"/>
    <w:tblPr>
      <w:tblStyleRowBandSize w:val="1"/>
      <w:tblStyleColBandSize w:val="1"/>
      <w:tblBorders>
        <w:bottom w:val="single" w:sz="4" w:space="0" w:color="5FCAF3"/>
        <w:insideH w:val="single" w:sz="4" w:space="0" w:color="5FCAF3"/>
        <w:insideV w:val="single" w:sz="4" w:space="0" w:color="5FCAF3"/>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fill="C9EDFB"/>
      </w:tcPr>
    </w:tblStylePr>
    <w:tblStylePr w:type="band1Horz">
      <w:rPr>
        <w:rFonts w:ascii="Arial" w:hAnsi="Arial"/>
        <w:color w:val="404040"/>
        <w:sz w:val="22"/>
      </w:rPr>
      <w:tblPr/>
      <w:tcPr>
        <w:shd w:val="clear" w:color="C9EDFB" w:fill="C9EDFB"/>
      </w:tcPr>
    </w:tblStylePr>
  </w:style>
  <w:style w:type="table" w:styleId="GridTable3-Accent5">
    <w:name w:val="Grid Table 3 Accent 5"/>
    <w:basedOn w:val="TableNormal"/>
    <w:uiPriority w:val="99"/>
    <w:tblPr>
      <w:tblStyleRowBandSize w:val="1"/>
      <w:tblStyleColBandSize w:val="1"/>
      <w:tblBorders>
        <w:bottom w:val="single" w:sz="4" w:space="0" w:color="A02B93"/>
        <w:insideH w:val="single" w:sz="4" w:space="0" w:color="A02B93"/>
        <w:insideV w:val="single" w:sz="4" w:space="0" w:color="A02B93"/>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fill="F1CDED"/>
      </w:tcPr>
    </w:tblStylePr>
    <w:tblStylePr w:type="band1Horz">
      <w:rPr>
        <w:rFonts w:ascii="Arial" w:hAnsi="Arial"/>
        <w:color w:val="404040"/>
        <w:sz w:val="22"/>
      </w:rPr>
      <w:tblPr/>
      <w:tcPr>
        <w:shd w:val="clear" w:color="F1CDED" w:fill="F1CDED"/>
      </w:tcPr>
    </w:tblStylePr>
  </w:style>
  <w:style w:type="table" w:styleId="GridTable3-Accent6">
    <w:name w:val="Grid Table 3 Accent 6"/>
    <w:basedOn w:val="TableNormal"/>
    <w:uiPriority w:val="99"/>
    <w:tblPr>
      <w:tblStyleRowBandSize w:val="1"/>
      <w:tblStyleColBandSize w:val="1"/>
      <w:tblBorders>
        <w:bottom w:val="single" w:sz="4" w:space="0" w:color="4EA72E"/>
        <w:insideH w:val="single" w:sz="4" w:space="0" w:color="4EA72E"/>
        <w:insideV w:val="single" w:sz="4" w:space="0" w:color="4EA72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fill="D8F2CF"/>
      </w:tcPr>
    </w:tblStylePr>
    <w:tblStylePr w:type="band1Horz">
      <w:rPr>
        <w:rFonts w:ascii="Arial" w:hAnsi="Arial"/>
        <w:color w:val="404040"/>
        <w:sz w:val="22"/>
      </w:rPr>
      <w:tblPr/>
      <w:tcPr>
        <w:shd w:val="clear" w:color="D8F2CF" w:fill="D8F2CF"/>
      </w:tcPr>
    </w:tblStylePr>
  </w:style>
  <w:style w:type="table" w:styleId="GridTable4-Accent1">
    <w:name w:val="Grid Table 4 Accent 1"/>
    <w:basedOn w:val="TableNormal"/>
    <w:uiPriority w:val="59"/>
    <w:tblPr>
      <w:tblStyleRowBandSize w:val="1"/>
      <w:tblStyleColBandSize w:val="1"/>
      <w:tblBorders>
        <w:top w:val="single" w:sz="4" w:space="0" w:color="50B4E2"/>
        <w:left w:val="single" w:sz="4" w:space="0" w:color="50B4E2"/>
        <w:bottom w:val="single" w:sz="4" w:space="0" w:color="50B4E2"/>
        <w:right w:val="single" w:sz="4" w:space="0" w:color="50B4E2"/>
        <w:insideH w:val="single" w:sz="4" w:space="0" w:color="50B4E2"/>
        <w:insideV w:val="single" w:sz="4" w:space="0" w:color="50B4E2"/>
      </w:tblBorders>
    </w:tblPr>
    <w:tblStylePr w:type="firstRow">
      <w:rPr>
        <w:rFonts w:ascii="Arial" w:hAnsi="Arial"/>
        <w:b/>
        <w:color w:val="FFFFFF"/>
        <w:sz w:val="22"/>
      </w:rPr>
      <w:tblPr/>
      <w:tcPr>
        <w:tcBorders>
          <w:top w:val="single" w:sz="4" w:space="0" w:color="19729B"/>
          <w:left w:val="single" w:sz="4" w:space="0" w:color="19729B"/>
          <w:bottom w:val="single" w:sz="4" w:space="0" w:color="19729B"/>
          <w:right w:val="single" w:sz="4" w:space="0" w:color="19729B"/>
        </w:tcBorders>
        <w:shd w:val="clear" w:color="19729B" w:fill="19729B"/>
      </w:tcPr>
    </w:tblStylePr>
    <w:tblStylePr w:type="lastRow">
      <w:rPr>
        <w:b/>
        <w:color w:val="404040"/>
      </w:rPr>
      <w:tblPr/>
      <w:tcPr>
        <w:tcBorders>
          <w:top w:val="single" w:sz="4" w:space="0" w:color="19729B"/>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fill="C2E5F5"/>
      </w:tcPr>
    </w:tblStylePr>
    <w:tblStylePr w:type="band1Horz">
      <w:rPr>
        <w:rFonts w:ascii="Arial" w:hAnsi="Arial"/>
        <w:color w:val="404040"/>
        <w:sz w:val="22"/>
      </w:rPr>
      <w:tblPr/>
      <w:tcPr>
        <w:shd w:val="clear" w:color="C2E5F5" w:fill="C2E5F5"/>
      </w:tcPr>
    </w:tblStylePr>
  </w:style>
  <w:style w:type="table" w:styleId="GridTable4-Accent2">
    <w:name w:val="Grid Table 4 Accent 2"/>
    <w:basedOn w:val="TableNormal"/>
    <w:uiPriority w:val="59"/>
    <w:tblPr>
      <w:tblStyleRowBandSize w:val="1"/>
      <w:tblStyleColBandSize w:val="1"/>
      <w:tblBorders>
        <w:top w:val="single" w:sz="4" w:space="0" w:color="F2AE8B"/>
        <w:left w:val="single" w:sz="4" w:space="0" w:color="F2AE8B"/>
        <w:bottom w:val="single" w:sz="4" w:space="0" w:color="F2AE8B"/>
        <w:right w:val="single" w:sz="4" w:space="0" w:color="F2AE8B"/>
        <w:insideH w:val="single" w:sz="4" w:space="0" w:color="F2AE8B"/>
        <w:insideV w:val="single" w:sz="4" w:space="0" w:color="F2AE8B"/>
      </w:tblBorders>
    </w:tblPr>
    <w:tblStylePr w:type="firstRow">
      <w:rPr>
        <w:rFonts w:ascii="Arial" w:hAnsi="Arial"/>
        <w:b/>
        <w:color w:val="FFFFFF"/>
        <w:sz w:val="22"/>
      </w:rPr>
      <w:tblPr/>
      <w:tcPr>
        <w:tcBorders>
          <w:top w:val="single" w:sz="4" w:space="0" w:color="F2AA85"/>
          <w:left w:val="single" w:sz="4" w:space="0" w:color="F2AA85"/>
          <w:bottom w:val="single" w:sz="4" w:space="0" w:color="F2AA85"/>
          <w:right w:val="single" w:sz="4" w:space="0" w:color="F2AA85"/>
        </w:tcBorders>
        <w:shd w:val="clear" w:color="F2AA85" w:fill="F2AA85"/>
      </w:tcPr>
    </w:tblStylePr>
    <w:tblStylePr w:type="lastRow">
      <w:rPr>
        <w:b/>
        <w:color w:val="404040"/>
      </w:rPr>
      <w:tblPr/>
      <w:tcPr>
        <w:tcBorders>
          <w:top w:val="single" w:sz="4" w:space="0" w:color="F2AA8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fill="FAE2D6"/>
      </w:tcPr>
    </w:tblStylePr>
    <w:tblStylePr w:type="band1Horz">
      <w:rPr>
        <w:rFonts w:ascii="Arial" w:hAnsi="Arial"/>
        <w:color w:val="404040"/>
        <w:sz w:val="22"/>
      </w:rPr>
      <w:tblPr/>
      <w:tcPr>
        <w:shd w:val="clear" w:color="FAE2D6" w:fill="FAE2D6"/>
      </w:tcPr>
    </w:tblStylePr>
  </w:style>
  <w:style w:type="table" w:styleId="GridTable4-Accent3">
    <w:name w:val="Grid Table 4 Accent 3"/>
    <w:basedOn w:val="TableNormal"/>
    <w:uiPriority w:val="59"/>
    <w:tblPr>
      <w:tblStyleRowBandSize w:val="1"/>
      <w:tblStyleColBandSize w:val="1"/>
      <w:tblBorders>
        <w:top w:val="single" w:sz="4" w:space="0" w:color="51D663"/>
        <w:left w:val="single" w:sz="4" w:space="0" w:color="51D663"/>
        <w:bottom w:val="single" w:sz="4" w:space="0" w:color="51D663"/>
        <w:right w:val="single" w:sz="4" w:space="0" w:color="51D663"/>
        <w:insideH w:val="single" w:sz="4" w:space="0" w:color="51D663"/>
        <w:insideV w:val="single" w:sz="4" w:space="0" w:color="51D663"/>
      </w:tblBorders>
    </w:tblPr>
    <w:tblStylePr w:type="firstRow">
      <w:rPr>
        <w:rFonts w:ascii="Arial" w:hAnsi="Arial"/>
        <w:b/>
        <w:color w:val="FFFFFF"/>
        <w:sz w:val="22"/>
      </w:rPr>
      <w:tblPr/>
      <w:tcPr>
        <w:tcBorders>
          <w:top w:val="single" w:sz="4" w:space="0" w:color="196C24"/>
          <w:left w:val="single" w:sz="4" w:space="0" w:color="196C24"/>
          <w:bottom w:val="single" w:sz="4" w:space="0" w:color="196C24"/>
          <w:right w:val="single" w:sz="4" w:space="0" w:color="196C24"/>
        </w:tcBorders>
        <w:shd w:val="clear" w:color="196C24" w:fill="196C24"/>
      </w:tcPr>
    </w:tblStylePr>
    <w:tblStylePr w:type="lastRow">
      <w:rPr>
        <w:b/>
        <w:color w:val="404040"/>
      </w:rPr>
      <w:tblPr/>
      <w:tcPr>
        <w:tcBorders>
          <w:top w:val="single" w:sz="4" w:space="0" w:color="196C2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fill="C0F0C6"/>
      </w:tcPr>
    </w:tblStylePr>
    <w:tblStylePr w:type="band1Horz">
      <w:rPr>
        <w:rFonts w:ascii="Arial" w:hAnsi="Arial"/>
        <w:color w:val="404040"/>
        <w:sz w:val="22"/>
      </w:rPr>
      <w:tblPr/>
      <w:tcPr>
        <w:shd w:val="clear" w:color="C0F0C6" w:fill="C0F0C6"/>
      </w:tcPr>
    </w:tblStylePr>
  </w:style>
  <w:style w:type="table" w:styleId="GridTable4-Accent4">
    <w:name w:val="Grid Table 4 Accent 4"/>
    <w:basedOn w:val="TableNormal"/>
    <w:uiPriority w:val="59"/>
    <w:tblPr>
      <w:tblStyleRowBandSize w:val="1"/>
      <w:tblStyleColBandSize w:val="1"/>
      <w:tblBorders>
        <w:top w:val="single" w:sz="4" w:space="0" w:color="6ACDF4"/>
        <w:left w:val="single" w:sz="4" w:space="0" w:color="6ACDF4"/>
        <w:bottom w:val="single" w:sz="4" w:space="0" w:color="6ACDF4"/>
        <w:right w:val="single" w:sz="4" w:space="0" w:color="6ACDF4"/>
        <w:insideH w:val="single" w:sz="4" w:space="0" w:color="6ACDF4"/>
        <w:insideV w:val="single" w:sz="4" w:space="0" w:color="6ACDF4"/>
      </w:tblBorders>
    </w:tblPr>
    <w:tblStylePr w:type="firstRow">
      <w:rPr>
        <w:rFonts w:ascii="Arial" w:hAnsi="Arial"/>
        <w:b/>
        <w:color w:val="FFFFFF"/>
        <w:sz w:val="22"/>
      </w:rPr>
      <w:tblPr/>
      <w:tcPr>
        <w:tcBorders>
          <w:top w:val="single" w:sz="4" w:space="0" w:color="5FCAF3"/>
          <w:left w:val="single" w:sz="4" w:space="0" w:color="5FCAF3"/>
          <w:bottom w:val="single" w:sz="4" w:space="0" w:color="5FCAF3"/>
          <w:right w:val="single" w:sz="4" w:space="0" w:color="5FCAF3"/>
        </w:tcBorders>
        <w:shd w:val="clear" w:color="5FCAF3" w:fill="5FCAF3"/>
      </w:tcPr>
    </w:tblStylePr>
    <w:tblStylePr w:type="lastRow">
      <w:rPr>
        <w:b/>
        <w:color w:val="404040"/>
      </w:rPr>
      <w:tblPr/>
      <w:tcPr>
        <w:tcBorders>
          <w:top w:val="single" w:sz="4" w:space="0" w:color="5FCAF3"/>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fill="C9EDFB"/>
      </w:tcPr>
    </w:tblStylePr>
    <w:tblStylePr w:type="band1Horz">
      <w:rPr>
        <w:rFonts w:ascii="Arial" w:hAnsi="Arial"/>
        <w:color w:val="404040"/>
        <w:sz w:val="22"/>
      </w:rPr>
      <w:tblPr/>
      <w:tcPr>
        <w:shd w:val="clear" w:color="C9EDFB" w:fill="C9EDFB"/>
      </w:tcPr>
    </w:tblStylePr>
  </w:style>
  <w:style w:type="table" w:styleId="GridTable4-Accent5">
    <w:name w:val="Grid Table 4 Accent 5"/>
    <w:basedOn w:val="TableNormal"/>
    <w:uiPriority w:val="59"/>
    <w:tblPr>
      <w:tblStyleRowBandSize w:val="1"/>
      <w:tblStyleColBandSize w:val="1"/>
      <w:tblBorders>
        <w:top w:val="single" w:sz="4" w:space="0" w:color="DA76CE"/>
        <w:left w:val="single" w:sz="4" w:space="0" w:color="DA76CE"/>
        <w:bottom w:val="single" w:sz="4" w:space="0" w:color="DA76CE"/>
        <w:right w:val="single" w:sz="4" w:space="0" w:color="DA76CE"/>
        <w:insideH w:val="single" w:sz="4" w:space="0" w:color="DA76CE"/>
        <w:insideV w:val="single" w:sz="4" w:space="0" w:color="DA76CE"/>
      </w:tblBorders>
    </w:tblPr>
    <w:tblStylePr w:type="firstRow">
      <w:rPr>
        <w:rFonts w:ascii="Arial" w:hAnsi="Arial"/>
        <w:b/>
        <w:color w:val="FFFFFF"/>
        <w:sz w:val="22"/>
      </w:rPr>
      <w:tblPr/>
      <w:tcPr>
        <w:tcBorders>
          <w:top w:val="single" w:sz="4" w:space="0" w:color="A02B93"/>
          <w:left w:val="single" w:sz="4" w:space="0" w:color="A02B93"/>
          <w:bottom w:val="single" w:sz="4" w:space="0" w:color="A02B93"/>
          <w:right w:val="single" w:sz="4" w:space="0" w:color="A02B93"/>
        </w:tcBorders>
        <w:shd w:val="clear" w:color="A02B93" w:fill="A02B93"/>
      </w:tcPr>
    </w:tblStylePr>
    <w:tblStylePr w:type="lastRow">
      <w:rPr>
        <w:b/>
        <w:color w:val="404040"/>
      </w:rPr>
      <w:tblPr/>
      <w:tcPr>
        <w:tcBorders>
          <w:top w:val="single" w:sz="4" w:space="0" w:color="A02B93"/>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fill="F1CDED"/>
      </w:tcPr>
    </w:tblStylePr>
    <w:tblStylePr w:type="band1Horz">
      <w:rPr>
        <w:rFonts w:ascii="Arial" w:hAnsi="Arial"/>
        <w:color w:val="404040"/>
        <w:sz w:val="22"/>
      </w:rPr>
      <w:tblPr/>
      <w:tcPr>
        <w:shd w:val="clear" w:color="F1CDED" w:fill="F1CDED"/>
      </w:tcPr>
    </w:tblStylePr>
  </w:style>
  <w:style w:type="table" w:styleId="GridTable4-Accent6">
    <w:name w:val="Grid Table 4 Accent 6"/>
    <w:basedOn w:val="TableNormal"/>
    <w:uiPriority w:val="59"/>
    <w:tblPr>
      <w:tblStyleRowBandSize w:val="1"/>
      <w:tblStyleColBandSize w:val="1"/>
      <w:tblBorders>
        <w:top w:val="single" w:sz="4" w:space="0" w:color="94DA7B"/>
        <w:left w:val="single" w:sz="4" w:space="0" w:color="94DA7B"/>
        <w:bottom w:val="single" w:sz="4" w:space="0" w:color="94DA7B"/>
        <w:right w:val="single" w:sz="4" w:space="0" w:color="94DA7B"/>
        <w:insideH w:val="single" w:sz="4" w:space="0" w:color="94DA7B"/>
        <w:insideV w:val="single" w:sz="4" w:space="0" w:color="94DA7B"/>
      </w:tblBorders>
    </w:tblPr>
    <w:tblStylePr w:type="firstRow">
      <w:rPr>
        <w:rFonts w:ascii="Arial" w:hAnsi="Arial"/>
        <w:b/>
        <w:color w:val="FFFFFF"/>
        <w:sz w:val="22"/>
      </w:rPr>
      <w:tblPr/>
      <w:tcPr>
        <w:tcBorders>
          <w:top w:val="single" w:sz="4" w:space="0" w:color="4EA72E"/>
          <w:left w:val="single" w:sz="4" w:space="0" w:color="4EA72E"/>
          <w:bottom w:val="single" w:sz="4" w:space="0" w:color="4EA72E"/>
          <w:right w:val="single" w:sz="4" w:space="0" w:color="4EA72E"/>
        </w:tcBorders>
        <w:shd w:val="clear" w:color="4EA72E" w:fill="4EA72E"/>
      </w:tcPr>
    </w:tblStylePr>
    <w:tblStylePr w:type="lastRow">
      <w:rPr>
        <w:b/>
        <w:color w:val="404040"/>
      </w:rPr>
      <w:tblPr/>
      <w:tcPr>
        <w:tcBorders>
          <w:top w:val="single" w:sz="4" w:space="0" w:color="4EA72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fill="D8F2CF"/>
      </w:tcPr>
    </w:tblStylePr>
    <w:tblStylePr w:type="band1Horz">
      <w:rPr>
        <w:rFonts w:ascii="Arial" w:hAnsi="Arial"/>
        <w:color w:val="404040"/>
        <w:sz w:val="22"/>
      </w:rPr>
      <w:tblPr/>
      <w:tcPr>
        <w:shd w:val="clear" w:color="D8F2CF" w:fill="D8F2CF"/>
      </w:tcPr>
    </w:tblStylePr>
  </w:style>
  <w:style w:type="table" w:styleId="GridTable5Dark-Accent2">
    <w:name w:val="Grid Table 5 Dark Accent 2"/>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AE2D6" w:fill="FAE2D6"/>
    </w:tblPr>
    <w:tblStylePr w:type="firstRow">
      <w:rPr>
        <w:rFonts w:ascii="Arial" w:hAnsi="Arial"/>
        <w:b/>
        <w:color w:val="FFFFFF"/>
        <w:sz w:val="22"/>
      </w:rPr>
      <w:tblPr/>
      <w:tcPr>
        <w:shd w:val="clear" w:color="E97132" w:fill="E97132"/>
      </w:tcPr>
    </w:tblStylePr>
    <w:tblStylePr w:type="lastRow">
      <w:rPr>
        <w:rFonts w:ascii="Arial" w:hAnsi="Arial"/>
        <w:b/>
        <w:color w:val="FFFFFF"/>
        <w:sz w:val="22"/>
      </w:rPr>
      <w:tblPr/>
      <w:tcPr>
        <w:tcBorders>
          <w:top w:val="single" w:sz="4" w:space="0" w:color="FFFFFF"/>
        </w:tcBorders>
        <w:shd w:val="clear" w:color="E97132" w:fill="E97132"/>
      </w:tcPr>
    </w:tblStylePr>
    <w:tblStylePr w:type="firstCol">
      <w:rPr>
        <w:rFonts w:ascii="Arial" w:hAnsi="Arial"/>
        <w:b/>
        <w:color w:val="FFFFFF"/>
        <w:sz w:val="22"/>
      </w:rPr>
      <w:tblPr/>
      <w:tcPr>
        <w:shd w:val="clear" w:color="E97132" w:fill="E97132"/>
      </w:tcPr>
    </w:tblStylePr>
    <w:tblStylePr w:type="lastCol">
      <w:rPr>
        <w:rFonts w:ascii="Arial" w:hAnsi="Arial"/>
        <w:b/>
        <w:color w:val="FFFFFF"/>
        <w:sz w:val="22"/>
      </w:rPr>
      <w:tblPr/>
      <w:tcPr>
        <w:shd w:val="clear" w:color="E97132" w:fill="E97132"/>
      </w:tcPr>
    </w:tblStylePr>
    <w:tblStylePr w:type="band1Vert">
      <w:tblPr/>
      <w:tcPr>
        <w:shd w:val="clear" w:color="F5BDA0" w:fill="F5BDA0"/>
      </w:tcPr>
    </w:tblStylePr>
    <w:tblStylePr w:type="band1Horz">
      <w:tblPr/>
      <w:tcPr>
        <w:shd w:val="clear" w:color="F5BDA0" w:fill="F5BDA0"/>
      </w:tcPr>
    </w:tblStylePr>
  </w:style>
  <w:style w:type="table" w:styleId="GridTable5Dark-Accent3">
    <w:name w:val="Grid Table 5 Dark Accent 3"/>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C0F0C6" w:fill="C0F0C6"/>
    </w:tblPr>
    <w:tblStylePr w:type="firstRow">
      <w:rPr>
        <w:rFonts w:ascii="Arial" w:hAnsi="Arial"/>
        <w:b/>
        <w:color w:val="FFFFFF"/>
        <w:sz w:val="22"/>
      </w:rPr>
      <w:tblPr/>
      <w:tcPr>
        <w:shd w:val="clear" w:color="196B24" w:fill="196B24"/>
      </w:tcPr>
    </w:tblStylePr>
    <w:tblStylePr w:type="lastRow">
      <w:rPr>
        <w:rFonts w:ascii="Arial" w:hAnsi="Arial"/>
        <w:b/>
        <w:color w:val="FFFFFF"/>
        <w:sz w:val="22"/>
      </w:rPr>
      <w:tblPr/>
      <w:tcPr>
        <w:tcBorders>
          <w:top w:val="single" w:sz="4" w:space="0" w:color="FFFFFF"/>
        </w:tcBorders>
        <w:shd w:val="clear" w:color="196B24" w:fill="196B24"/>
      </w:tcPr>
    </w:tblStylePr>
    <w:tblStylePr w:type="firstCol">
      <w:rPr>
        <w:rFonts w:ascii="Arial" w:hAnsi="Arial"/>
        <w:b/>
        <w:color w:val="FFFFFF"/>
        <w:sz w:val="22"/>
      </w:rPr>
      <w:tblPr/>
      <w:tcPr>
        <w:shd w:val="clear" w:color="196B24" w:fill="196B24"/>
      </w:tcPr>
    </w:tblStylePr>
    <w:tblStylePr w:type="lastCol">
      <w:rPr>
        <w:rFonts w:ascii="Arial" w:hAnsi="Arial"/>
        <w:b/>
        <w:color w:val="FFFFFF"/>
        <w:sz w:val="22"/>
      </w:rPr>
      <w:tblPr/>
      <w:tcPr>
        <w:shd w:val="clear" w:color="196B24" w:fill="196B24"/>
      </w:tcPr>
    </w:tblStylePr>
    <w:tblStylePr w:type="band1Vert">
      <w:tblPr/>
      <w:tcPr>
        <w:shd w:val="clear" w:color="72DE80" w:fill="72DE80"/>
      </w:tcPr>
    </w:tblStylePr>
    <w:tblStylePr w:type="band1Horz">
      <w:tblPr/>
      <w:tcPr>
        <w:shd w:val="clear" w:color="72DE80" w:fill="72DE80"/>
      </w:tcPr>
    </w:tblStylePr>
  </w:style>
  <w:style w:type="table" w:styleId="GridTable5Dark-Accent5">
    <w:name w:val="Grid Table 5 Dark Accent 5"/>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1CDED" w:fill="F1CDED"/>
    </w:tblPr>
    <w:tblStylePr w:type="firstRow">
      <w:rPr>
        <w:rFonts w:ascii="Arial" w:hAnsi="Arial"/>
        <w:b/>
        <w:color w:val="FFFFFF"/>
        <w:sz w:val="22"/>
      </w:rPr>
      <w:tblPr/>
      <w:tcPr>
        <w:shd w:val="clear" w:color="A02B93" w:fill="A02B93"/>
      </w:tcPr>
    </w:tblStylePr>
    <w:tblStylePr w:type="lastRow">
      <w:rPr>
        <w:rFonts w:ascii="Arial" w:hAnsi="Arial"/>
        <w:b/>
        <w:color w:val="FFFFFF"/>
        <w:sz w:val="22"/>
      </w:rPr>
      <w:tblPr/>
      <w:tcPr>
        <w:tcBorders>
          <w:top w:val="single" w:sz="4" w:space="0" w:color="FFFFFF"/>
        </w:tcBorders>
        <w:shd w:val="clear" w:color="A02B93" w:fill="A02B93"/>
      </w:tcPr>
    </w:tblStylePr>
    <w:tblStylePr w:type="firstCol">
      <w:rPr>
        <w:rFonts w:ascii="Arial" w:hAnsi="Arial"/>
        <w:b/>
        <w:color w:val="FFFFFF"/>
        <w:sz w:val="22"/>
      </w:rPr>
      <w:tblPr/>
      <w:tcPr>
        <w:shd w:val="clear" w:color="A02B93" w:fill="A02B93"/>
      </w:tcPr>
    </w:tblStylePr>
    <w:tblStylePr w:type="lastCol">
      <w:rPr>
        <w:rFonts w:ascii="Arial" w:hAnsi="Arial"/>
        <w:b/>
        <w:color w:val="FFFFFF"/>
        <w:sz w:val="22"/>
      </w:rPr>
      <w:tblPr/>
      <w:tcPr>
        <w:shd w:val="clear" w:color="A02B93" w:fill="A02B93"/>
      </w:tcPr>
    </w:tblStylePr>
    <w:tblStylePr w:type="band1Vert">
      <w:tblPr/>
      <w:tcPr>
        <w:shd w:val="clear" w:color="E18FD7" w:fill="E18FD7"/>
      </w:tcPr>
    </w:tblStylePr>
    <w:tblStylePr w:type="band1Horz">
      <w:tblPr/>
      <w:tcPr>
        <w:shd w:val="clear" w:color="E18FD7" w:fill="E18FD7"/>
      </w:tcPr>
    </w:tblStylePr>
  </w:style>
  <w:style w:type="table" w:styleId="GridTable5Dark-Accent6">
    <w:name w:val="Grid Table 5 Dark Accent 6"/>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F2CF" w:fill="D8F2CF"/>
    </w:tblPr>
    <w:tblStylePr w:type="firstRow">
      <w:rPr>
        <w:rFonts w:ascii="Arial" w:hAnsi="Arial"/>
        <w:b/>
        <w:color w:val="FFFFFF"/>
        <w:sz w:val="22"/>
      </w:rPr>
      <w:tblPr/>
      <w:tcPr>
        <w:shd w:val="clear" w:color="4EA72E" w:fill="4EA72E"/>
      </w:tcPr>
    </w:tblStylePr>
    <w:tblStylePr w:type="lastRow">
      <w:rPr>
        <w:rFonts w:ascii="Arial" w:hAnsi="Arial"/>
        <w:b/>
        <w:color w:val="FFFFFF"/>
        <w:sz w:val="22"/>
      </w:rPr>
      <w:tblPr/>
      <w:tcPr>
        <w:tcBorders>
          <w:top w:val="single" w:sz="4" w:space="0" w:color="FFFFFF"/>
        </w:tcBorders>
        <w:shd w:val="clear" w:color="4EA72E" w:fill="4EA72E"/>
      </w:tcPr>
    </w:tblStylePr>
    <w:tblStylePr w:type="firstCol">
      <w:rPr>
        <w:rFonts w:ascii="Arial" w:hAnsi="Arial"/>
        <w:b/>
        <w:color w:val="FFFFFF"/>
        <w:sz w:val="22"/>
      </w:rPr>
      <w:tblPr/>
      <w:tcPr>
        <w:shd w:val="clear" w:color="4EA72E" w:fill="4EA72E"/>
      </w:tcPr>
    </w:tblStylePr>
    <w:tblStylePr w:type="lastCol">
      <w:rPr>
        <w:rFonts w:ascii="Arial" w:hAnsi="Arial"/>
        <w:b/>
        <w:color w:val="FFFFFF"/>
        <w:sz w:val="22"/>
      </w:rPr>
      <w:tblPr/>
      <w:tcPr>
        <w:shd w:val="clear" w:color="4EA72E" w:fill="4EA72E"/>
      </w:tcPr>
    </w:tblStylePr>
    <w:tblStylePr w:type="band1Vert">
      <w:tblPr/>
      <w:tcPr>
        <w:shd w:val="clear" w:color="A8E194" w:fill="A8E194"/>
      </w:tcPr>
    </w:tblStylePr>
    <w:tblStylePr w:type="band1Horz">
      <w:tblPr/>
      <w:tcPr>
        <w:shd w:val="clear" w:color="A8E194" w:fill="A8E194"/>
      </w:tcPr>
    </w:tblStylePr>
  </w:style>
  <w:style w:type="table" w:styleId="GridTable6Colorful-Accent1">
    <w:name w:val="Grid Table 6 Colorful Accent 1"/>
    <w:basedOn w:val="TableNormal"/>
    <w:uiPriority w:val="99"/>
    <w:tblPr>
      <w:tblStyleRowBandSize w:val="1"/>
      <w:tblStyleColBandSize w:val="1"/>
      <w:tblBorders>
        <w:top w:val="single" w:sz="4" w:space="0" w:color="63BDE6"/>
        <w:left w:val="single" w:sz="4" w:space="0" w:color="63BDE6"/>
        <w:bottom w:val="single" w:sz="4" w:space="0" w:color="63BDE6"/>
        <w:right w:val="single" w:sz="4" w:space="0" w:color="63BDE6"/>
        <w:insideH w:val="single" w:sz="4" w:space="0" w:color="63BDE6"/>
        <w:insideV w:val="single" w:sz="4" w:space="0" w:color="63BDE6"/>
      </w:tblBorders>
    </w:tblPr>
    <w:tblStylePr w:type="firstRow">
      <w:rPr>
        <w:b/>
        <w:color w:val="63BDE6"/>
      </w:rPr>
      <w:tblPr/>
      <w:tcPr>
        <w:tcBorders>
          <w:bottom w:val="single" w:sz="12" w:space="0" w:color="63BDE6"/>
        </w:tcBorders>
      </w:tcPr>
    </w:tblStylePr>
    <w:tblStylePr w:type="lastRow">
      <w:rPr>
        <w:b/>
        <w:color w:val="63BDE6"/>
      </w:rPr>
    </w:tblStylePr>
    <w:tblStylePr w:type="firstCol">
      <w:rPr>
        <w:b/>
        <w:color w:val="63BDE6"/>
      </w:rPr>
    </w:tblStylePr>
    <w:tblStylePr w:type="lastCol">
      <w:rPr>
        <w:b/>
        <w:color w:val="63BDE6"/>
      </w:rPr>
    </w:tblStylePr>
    <w:tblStylePr w:type="band1Vert">
      <w:tblPr/>
      <w:tcPr>
        <w:shd w:val="clear" w:color="BFE4F4" w:fill="BFE4F4"/>
      </w:tcPr>
    </w:tblStylePr>
    <w:tblStylePr w:type="band1Horz">
      <w:rPr>
        <w:rFonts w:ascii="Arial" w:hAnsi="Arial"/>
        <w:color w:val="63BDE6"/>
        <w:sz w:val="22"/>
      </w:rPr>
      <w:tblPr/>
      <w:tcPr>
        <w:shd w:val="clear" w:color="BFE4F4" w:fill="BFE4F4"/>
      </w:tcPr>
    </w:tblStylePr>
    <w:tblStylePr w:type="band2Horz">
      <w:rPr>
        <w:rFonts w:ascii="Arial" w:hAnsi="Arial"/>
        <w:color w:val="63BDE6"/>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F2AA85"/>
        <w:left w:val="single" w:sz="4" w:space="0" w:color="F2AA85"/>
        <w:bottom w:val="single" w:sz="4" w:space="0" w:color="F2AA85"/>
        <w:right w:val="single" w:sz="4" w:space="0" w:color="F2AA85"/>
        <w:insideH w:val="single" w:sz="4" w:space="0" w:color="F2AA85"/>
        <w:insideV w:val="single" w:sz="4" w:space="0" w:color="F2AA85"/>
      </w:tblBorders>
    </w:tblPr>
    <w:tblStylePr w:type="firstRow">
      <w:rPr>
        <w:b/>
        <w:color w:val="F2AA85"/>
      </w:rPr>
      <w:tblPr/>
      <w:tcPr>
        <w:tcBorders>
          <w:bottom w:val="single" w:sz="12" w:space="0" w:color="F2AA85"/>
        </w:tcBorders>
      </w:tcPr>
    </w:tblStylePr>
    <w:tblStylePr w:type="lastRow">
      <w:rPr>
        <w:b/>
        <w:color w:val="F2AA85"/>
      </w:rPr>
    </w:tblStylePr>
    <w:tblStylePr w:type="firstCol">
      <w:rPr>
        <w:b/>
        <w:color w:val="F2AA85"/>
      </w:rPr>
    </w:tblStylePr>
    <w:tblStylePr w:type="lastCol">
      <w:rPr>
        <w:b/>
        <w:color w:val="F2AA85"/>
      </w:rPr>
    </w:tblStylePr>
    <w:tblStylePr w:type="band1Vert">
      <w:tblPr/>
      <w:tcPr>
        <w:shd w:val="clear" w:color="FAE2D6" w:fill="FAE2D6"/>
      </w:tcPr>
    </w:tblStylePr>
    <w:tblStylePr w:type="band1Horz">
      <w:rPr>
        <w:rFonts w:ascii="Arial" w:hAnsi="Arial"/>
        <w:color w:val="F2AA85"/>
        <w:sz w:val="22"/>
      </w:rPr>
      <w:tblPr/>
      <w:tcPr>
        <w:shd w:val="clear" w:color="FAE2D6" w:fill="FAE2D6"/>
      </w:tcPr>
    </w:tblStylePr>
    <w:tblStylePr w:type="band2Horz">
      <w:rPr>
        <w:rFonts w:ascii="Arial" w:hAnsi="Arial"/>
        <w:color w:val="F2AA8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196C24"/>
        <w:left w:val="single" w:sz="4" w:space="0" w:color="196C24"/>
        <w:bottom w:val="single" w:sz="4" w:space="0" w:color="196C24"/>
        <w:right w:val="single" w:sz="4" w:space="0" w:color="196C24"/>
        <w:insideH w:val="single" w:sz="4" w:space="0" w:color="196C24"/>
        <w:insideV w:val="single" w:sz="4" w:space="0" w:color="196C24"/>
      </w:tblBorders>
    </w:tblPr>
    <w:tblStylePr w:type="firstRow">
      <w:rPr>
        <w:b/>
        <w:color w:val="196C24"/>
      </w:rPr>
      <w:tblPr/>
      <w:tcPr>
        <w:tcBorders>
          <w:bottom w:val="single" w:sz="12" w:space="0" w:color="196C24"/>
        </w:tcBorders>
      </w:tcPr>
    </w:tblStylePr>
    <w:tblStylePr w:type="lastRow">
      <w:rPr>
        <w:b/>
        <w:color w:val="196C24"/>
      </w:rPr>
    </w:tblStylePr>
    <w:tblStylePr w:type="firstCol">
      <w:rPr>
        <w:b/>
        <w:color w:val="196C24"/>
      </w:rPr>
    </w:tblStylePr>
    <w:tblStylePr w:type="lastCol">
      <w:rPr>
        <w:b/>
        <w:color w:val="196C24"/>
      </w:rPr>
    </w:tblStylePr>
    <w:tblStylePr w:type="band1Vert">
      <w:tblPr/>
      <w:tcPr>
        <w:shd w:val="clear" w:color="C0F0C6" w:fill="C0F0C6"/>
      </w:tcPr>
    </w:tblStylePr>
    <w:tblStylePr w:type="band1Horz">
      <w:rPr>
        <w:rFonts w:ascii="Arial" w:hAnsi="Arial"/>
        <w:color w:val="196C24"/>
        <w:sz w:val="22"/>
      </w:rPr>
      <w:tblPr/>
      <w:tcPr>
        <w:shd w:val="clear" w:color="C0F0C6" w:fill="C0F0C6"/>
      </w:tcPr>
    </w:tblStylePr>
    <w:tblStylePr w:type="band2Horz">
      <w:rPr>
        <w:rFonts w:ascii="Arial" w:hAnsi="Arial"/>
        <w:color w:val="196C24"/>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5FCAF3"/>
        <w:left w:val="single" w:sz="4" w:space="0" w:color="5FCAF3"/>
        <w:bottom w:val="single" w:sz="4" w:space="0" w:color="5FCAF3"/>
        <w:right w:val="single" w:sz="4" w:space="0" w:color="5FCAF3"/>
        <w:insideH w:val="single" w:sz="4" w:space="0" w:color="5FCAF3"/>
        <w:insideV w:val="single" w:sz="4" w:space="0" w:color="5FCAF3"/>
      </w:tblBorders>
    </w:tblPr>
    <w:tblStylePr w:type="firstRow">
      <w:rPr>
        <w:b/>
        <w:color w:val="5FCAF3"/>
      </w:rPr>
      <w:tblPr/>
      <w:tcPr>
        <w:tcBorders>
          <w:bottom w:val="single" w:sz="12" w:space="0" w:color="5FCAF3"/>
        </w:tcBorders>
      </w:tcPr>
    </w:tblStylePr>
    <w:tblStylePr w:type="lastRow">
      <w:rPr>
        <w:b/>
        <w:color w:val="5FCAF3"/>
      </w:rPr>
    </w:tblStylePr>
    <w:tblStylePr w:type="firstCol">
      <w:rPr>
        <w:b/>
        <w:color w:val="5FCAF3"/>
      </w:rPr>
    </w:tblStylePr>
    <w:tblStylePr w:type="lastCol">
      <w:rPr>
        <w:b/>
        <w:color w:val="5FCAF3"/>
      </w:rPr>
    </w:tblStylePr>
    <w:tblStylePr w:type="band1Vert">
      <w:tblPr/>
      <w:tcPr>
        <w:shd w:val="clear" w:color="C9EDFB" w:fill="C9EDFB"/>
      </w:tcPr>
    </w:tblStylePr>
    <w:tblStylePr w:type="band1Horz">
      <w:rPr>
        <w:rFonts w:ascii="Arial" w:hAnsi="Arial"/>
        <w:color w:val="5FCAF3"/>
        <w:sz w:val="22"/>
      </w:rPr>
      <w:tblPr/>
      <w:tcPr>
        <w:shd w:val="clear" w:color="C9EDFB" w:fill="C9EDFB"/>
      </w:tcPr>
    </w:tblStylePr>
    <w:tblStylePr w:type="band2Horz">
      <w:rPr>
        <w:rFonts w:ascii="Arial" w:hAnsi="Arial"/>
        <w:color w:val="5FCAF3"/>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A02B93"/>
        <w:left w:val="single" w:sz="4" w:space="0" w:color="A02B93"/>
        <w:bottom w:val="single" w:sz="4" w:space="0" w:color="A02B93"/>
        <w:right w:val="single" w:sz="4" w:space="0" w:color="A02B93"/>
        <w:insideH w:val="single" w:sz="4" w:space="0" w:color="A02B93"/>
        <w:insideV w:val="single" w:sz="4" w:space="0" w:color="A02B93"/>
      </w:tblBorders>
    </w:tblPr>
    <w:tblStylePr w:type="firstRow">
      <w:rPr>
        <w:b/>
        <w:color w:val="5D1955"/>
      </w:rPr>
      <w:tblPr/>
      <w:tcPr>
        <w:tcBorders>
          <w:bottom w:val="single" w:sz="12" w:space="0" w:color="A02B93"/>
        </w:tcBorders>
      </w:tcPr>
    </w:tblStylePr>
    <w:tblStylePr w:type="lastRow">
      <w:rPr>
        <w:b/>
        <w:color w:val="5D1955"/>
      </w:rPr>
    </w:tblStylePr>
    <w:tblStylePr w:type="firstCol">
      <w:rPr>
        <w:b/>
        <w:color w:val="5D1955"/>
      </w:rPr>
    </w:tblStylePr>
    <w:tblStylePr w:type="lastCol">
      <w:rPr>
        <w:b/>
        <w:color w:val="5D1955"/>
      </w:rPr>
    </w:tblStylePr>
    <w:tblStylePr w:type="band1Vert">
      <w:tblPr/>
      <w:tcPr>
        <w:shd w:val="clear" w:color="F1CDED" w:fill="F1CDED"/>
      </w:tcPr>
    </w:tblStylePr>
    <w:tblStylePr w:type="band1Horz">
      <w:rPr>
        <w:rFonts w:ascii="Arial" w:hAnsi="Arial"/>
        <w:color w:val="5D1955"/>
        <w:sz w:val="22"/>
      </w:rPr>
      <w:tblPr/>
      <w:tcPr>
        <w:shd w:val="clear" w:color="F1CDED" w:fill="F1CDED"/>
      </w:tcPr>
    </w:tblStylePr>
    <w:tblStylePr w:type="band2Horz">
      <w:rPr>
        <w:rFonts w:ascii="Arial" w:hAnsi="Arial"/>
        <w:color w:val="5D195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4EA72E"/>
        <w:left w:val="single" w:sz="4" w:space="0" w:color="4EA72E"/>
        <w:bottom w:val="single" w:sz="4" w:space="0" w:color="4EA72E"/>
        <w:right w:val="single" w:sz="4" w:space="0" w:color="4EA72E"/>
        <w:insideH w:val="single" w:sz="4" w:space="0" w:color="4EA72E"/>
        <w:insideV w:val="single" w:sz="4" w:space="0" w:color="4EA72E"/>
      </w:tblBorders>
    </w:tblPr>
    <w:tblStylePr w:type="firstRow">
      <w:rPr>
        <w:b/>
        <w:color w:val="5D1955"/>
      </w:rPr>
      <w:tblPr/>
      <w:tcPr>
        <w:tcBorders>
          <w:bottom w:val="single" w:sz="12" w:space="0" w:color="4EA72E"/>
        </w:tcBorders>
      </w:tcPr>
    </w:tblStylePr>
    <w:tblStylePr w:type="lastRow">
      <w:rPr>
        <w:b/>
        <w:color w:val="5D1955"/>
      </w:rPr>
    </w:tblStylePr>
    <w:tblStylePr w:type="firstCol">
      <w:rPr>
        <w:b/>
        <w:color w:val="5D1955"/>
      </w:rPr>
    </w:tblStylePr>
    <w:tblStylePr w:type="lastCol">
      <w:rPr>
        <w:b/>
        <w:color w:val="5D1955"/>
      </w:rPr>
    </w:tblStylePr>
    <w:tblStylePr w:type="band1Vert">
      <w:tblPr/>
      <w:tcPr>
        <w:shd w:val="clear" w:color="D8F2CF" w:fill="D8F2CF"/>
      </w:tcPr>
    </w:tblStylePr>
    <w:tblStylePr w:type="band1Horz">
      <w:rPr>
        <w:rFonts w:ascii="Arial" w:hAnsi="Arial"/>
        <w:color w:val="5D1955"/>
        <w:sz w:val="22"/>
      </w:rPr>
      <w:tblPr/>
      <w:tcPr>
        <w:shd w:val="clear" w:color="D8F2CF" w:fill="D8F2CF"/>
      </w:tcPr>
    </w:tblStylePr>
    <w:tblStylePr w:type="band2Horz">
      <w:rPr>
        <w:rFonts w:ascii="Arial" w:hAnsi="Arial"/>
        <w:color w:val="5D195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63BDE6"/>
        <w:right w:val="single" w:sz="4" w:space="0" w:color="63BDE6"/>
        <w:insideH w:val="single" w:sz="4" w:space="0" w:color="63BDE6"/>
        <w:insideV w:val="single" w:sz="4" w:space="0" w:color="63BDE6"/>
      </w:tblBorders>
    </w:tblPr>
    <w:tblStylePr w:type="firstRow">
      <w:rPr>
        <w:rFonts w:ascii="Arial" w:hAnsi="Arial"/>
        <w:b/>
        <w:color w:val="63BDE6"/>
        <w:sz w:val="22"/>
      </w:rPr>
      <w:tblPr/>
      <w:tcPr>
        <w:tcBorders>
          <w:top w:val="none" w:sz="0" w:space="0" w:color="000000"/>
          <w:left w:val="none" w:sz="0" w:space="0" w:color="000000"/>
          <w:bottom w:val="single" w:sz="4" w:space="0" w:color="63BDE6"/>
          <w:right w:val="none" w:sz="0" w:space="0" w:color="000000"/>
        </w:tcBorders>
        <w:shd w:val="clear" w:color="FFFFFF" w:fill="FFFFFF"/>
      </w:tcPr>
    </w:tblStylePr>
    <w:tblStylePr w:type="lastRow">
      <w:rPr>
        <w:rFonts w:ascii="Arial" w:hAnsi="Arial"/>
        <w:b/>
        <w:color w:val="63BDE6"/>
        <w:sz w:val="22"/>
      </w:rPr>
      <w:tblPr/>
      <w:tcPr>
        <w:tcBorders>
          <w:top w:val="single" w:sz="4" w:space="0" w:color="63BDE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63BDE6"/>
        <w:sz w:val="22"/>
      </w:rPr>
      <w:tblPr/>
      <w:tcPr>
        <w:tcBorders>
          <w:top w:val="none" w:sz="0" w:space="0" w:color="000000"/>
          <w:left w:val="none" w:sz="0" w:space="0" w:color="000000"/>
          <w:bottom w:val="none" w:sz="0" w:space="0" w:color="000000"/>
          <w:right w:val="single" w:sz="4" w:space="0" w:color="63BDE6"/>
        </w:tcBorders>
        <w:shd w:val="clear" w:color="FFFFFF" w:fill="auto"/>
      </w:tcPr>
    </w:tblStylePr>
    <w:tblStylePr w:type="lastCol">
      <w:rPr>
        <w:rFonts w:ascii="Arial" w:hAnsi="Arial"/>
        <w:i/>
        <w:color w:val="63BDE6"/>
        <w:sz w:val="22"/>
      </w:rPr>
      <w:tblPr/>
      <w:tcPr>
        <w:tcBorders>
          <w:top w:val="none" w:sz="0" w:space="0" w:color="000000"/>
          <w:left w:val="single" w:sz="4" w:space="0" w:color="63BDE6"/>
          <w:bottom w:val="none" w:sz="0" w:space="0" w:color="000000"/>
          <w:right w:val="none" w:sz="0" w:space="0" w:color="000000"/>
        </w:tcBorders>
        <w:shd w:val="clear" w:color="FFFFFF" w:fill="auto"/>
      </w:tcPr>
    </w:tblStylePr>
    <w:tblStylePr w:type="band1Vert">
      <w:tblPr/>
      <w:tcPr>
        <w:shd w:val="clear" w:color="BFE4F4" w:fill="BFE4F4"/>
      </w:tcPr>
    </w:tblStylePr>
    <w:tblStylePr w:type="band1Horz">
      <w:rPr>
        <w:rFonts w:ascii="Arial" w:hAnsi="Arial"/>
        <w:color w:val="63BDE6"/>
        <w:sz w:val="22"/>
      </w:rPr>
      <w:tblPr/>
      <w:tcPr>
        <w:shd w:val="clear" w:color="BFE4F4" w:fill="BFE4F4"/>
      </w:tcPr>
    </w:tblStylePr>
    <w:tblStylePr w:type="band2Horz">
      <w:rPr>
        <w:rFonts w:ascii="Arial" w:hAnsi="Arial"/>
        <w:color w:val="63BDE6"/>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F2AA85"/>
        <w:right w:val="single" w:sz="4" w:space="0" w:color="F2AA85"/>
        <w:insideH w:val="single" w:sz="4" w:space="0" w:color="F2AA85"/>
        <w:insideV w:val="single" w:sz="4" w:space="0" w:color="F2AA85"/>
      </w:tblBorders>
    </w:tblPr>
    <w:tblStylePr w:type="firstRow">
      <w:rPr>
        <w:rFonts w:ascii="Arial" w:hAnsi="Arial"/>
        <w:b/>
        <w:color w:val="F2AA85"/>
        <w:sz w:val="22"/>
      </w:rPr>
      <w:tblPr/>
      <w:tcPr>
        <w:tcBorders>
          <w:top w:val="none" w:sz="0" w:space="0" w:color="000000"/>
          <w:left w:val="none" w:sz="0" w:space="0" w:color="000000"/>
          <w:bottom w:val="single" w:sz="4" w:space="0" w:color="F2AA85"/>
          <w:right w:val="none" w:sz="0" w:space="0" w:color="000000"/>
        </w:tcBorders>
        <w:shd w:val="clear" w:color="FFFFFF" w:fill="FFFFFF"/>
      </w:tcPr>
    </w:tblStylePr>
    <w:tblStylePr w:type="lastRow">
      <w:rPr>
        <w:rFonts w:ascii="Arial" w:hAnsi="Arial"/>
        <w:b/>
        <w:color w:val="F2AA85"/>
        <w:sz w:val="22"/>
      </w:rPr>
      <w:tblPr/>
      <w:tcPr>
        <w:tcBorders>
          <w:top w:val="single" w:sz="4" w:space="0" w:color="F2AA8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2AA85"/>
        <w:sz w:val="22"/>
      </w:rPr>
      <w:tblPr/>
      <w:tcPr>
        <w:tcBorders>
          <w:top w:val="none" w:sz="0" w:space="0" w:color="000000"/>
          <w:left w:val="none" w:sz="0" w:space="0" w:color="000000"/>
          <w:bottom w:val="none" w:sz="0" w:space="0" w:color="000000"/>
          <w:right w:val="single" w:sz="4" w:space="0" w:color="F2AA85"/>
        </w:tcBorders>
        <w:shd w:val="clear" w:color="FFFFFF" w:fill="auto"/>
      </w:tcPr>
    </w:tblStylePr>
    <w:tblStylePr w:type="lastCol">
      <w:rPr>
        <w:rFonts w:ascii="Arial" w:hAnsi="Arial"/>
        <w:i/>
        <w:color w:val="F2AA85"/>
        <w:sz w:val="22"/>
      </w:rPr>
      <w:tblPr/>
      <w:tcPr>
        <w:tcBorders>
          <w:top w:val="none" w:sz="0" w:space="0" w:color="000000"/>
          <w:left w:val="single" w:sz="4" w:space="0" w:color="F2AA85"/>
          <w:bottom w:val="none" w:sz="0" w:space="0" w:color="000000"/>
          <w:right w:val="none" w:sz="0" w:space="0" w:color="000000"/>
        </w:tcBorders>
        <w:shd w:val="clear" w:color="FFFFFF" w:fill="auto"/>
      </w:tcPr>
    </w:tblStylePr>
    <w:tblStylePr w:type="band1Vert">
      <w:tblPr/>
      <w:tcPr>
        <w:shd w:val="clear" w:color="FAE2D6" w:fill="FAE2D6"/>
      </w:tcPr>
    </w:tblStylePr>
    <w:tblStylePr w:type="band1Horz">
      <w:rPr>
        <w:rFonts w:ascii="Arial" w:hAnsi="Arial"/>
        <w:color w:val="F2AA85"/>
        <w:sz w:val="22"/>
      </w:rPr>
      <w:tblPr/>
      <w:tcPr>
        <w:shd w:val="clear" w:color="FAE2D6" w:fill="FAE2D6"/>
      </w:tcPr>
    </w:tblStylePr>
    <w:tblStylePr w:type="band2Horz">
      <w:rPr>
        <w:rFonts w:ascii="Arial" w:hAnsi="Arial"/>
        <w:color w:val="F2AA8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196C24"/>
        <w:right w:val="single" w:sz="4" w:space="0" w:color="196C24"/>
        <w:insideH w:val="single" w:sz="4" w:space="0" w:color="196C24"/>
        <w:insideV w:val="single" w:sz="4" w:space="0" w:color="196C24"/>
      </w:tblBorders>
    </w:tblPr>
    <w:tblStylePr w:type="firstRow">
      <w:rPr>
        <w:rFonts w:ascii="Arial" w:hAnsi="Arial"/>
        <w:b/>
        <w:color w:val="196C24"/>
        <w:sz w:val="22"/>
      </w:rPr>
      <w:tblPr/>
      <w:tcPr>
        <w:tcBorders>
          <w:top w:val="none" w:sz="0" w:space="0" w:color="000000"/>
          <w:left w:val="none" w:sz="0" w:space="0" w:color="000000"/>
          <w:bottom w:val="single" w:sz="4" w:space="0" w:color="196C24"/>
          <w:right w:val="none" w:sz="0" w:space="0" w:color="000000"/>
        </w:tcBorders>
        <w:shd w:val="clear" w:color="FFFFFF" w:fill="FFFFFF"/>
      </w:tcPr>
    </w:tblStylePr>
    <w:tblStylePr w:type="lastRow">
      <w:rPr>
        <w:rFonts w:ascii="Arial" w:hAnsi="Arial"/>
        <w:b/>
        <w:color w:val="196C24"/>
        <w:sz w:val="22"/>
      </w:rPr>
      <w:tblPr/>
      <w:tcPr>
        <w:tcBorders>
          <w:top w:val="single" w:sz="4" w:space="0" w:color="196C24"/>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196C24"/>
        <w:sz w:val="22"/>
      </w:rPr>
      <w:tblPr/>
      <w:tcPr>
        <w:tcBorders>
          <w:top w:val="none" w:sz="0" w:space="0" w:color="000000"/>
          <w:left w:val="none" w:sz="0" w:space="0" w:color="000000"/>
          <w:bottom w:val="none" w:sz="0" w:space="0" w:color="000000"/>
          <w:right w:val="single" w:sz="4" w:space="0" w:color="196C24"/>
        </w:tcBorders>
        <w:shd w:val="clear" w:color="FFFFFF" w:fill="auto"/>
      </w:tcPr>
    </w:tblStylePr>
    <w:tblStylePr w:type="lastCol">
      <w:rPr>
        <w:rFonts w:ascii="Arial" w:hAnsi="Arial"/>
        <w:i/>
        <w:color w:val="196C24"/>
        <w:sz w:val="22"/>
      </w:rPr>
      <w:tblPr/>
      <w:tcPr>
        <w:tcBorders>
          <w:top w:val="none" w:sz="0" w:space="0" w:color="000000"/>
          <w:left w:val="single" w:sz="4" w:space="0" w:color="196C24"/>
          <w:bottom w:val="none" w:sz="0" w:space="0" w:color="000000"/>
          <w:right w:val="none" w:sz="0" w:space="0" w:color="000000"/>
        </w:tcBorders>
        <w:shd w:val="clear" w:color="FFFFFF" w:fill="auto"/>
      </w:tcPr>
    </w:tblStylePr>
    <w:tblStylePr w:type="band1Vert">
      <w:tblPr/>
      <w:tcPr>
        <w:shd w:val="clear" w:color="C0F0C6" w:fill="C0F0C6"/>
      </w:tcPr>
    </w:tblStylePr>
    <w:tblStylePr w:type="band1Horz">
      <w:rPr>
        <w:rFonts w:ascii="Arial" w:hAnsi="Arial"/>
        <w:color w:val="196C24"/>
        <w:sz w:val="22"/>
      </w:rPr>
      <w:tblPr/>
      <w:tcPr>
        <w:shd w:val="clear" w:color="C0F0C6" w:fill="C0F0C6"/>
      </w:tcPr>
    </w:tblStylePr>
    <w:tblStylePr w:type="band2Horz">
      <w:rPr>
        <w:rFonts w:ascii="Arial" w:hAnsi="Arial"/>
        <w:color w:val="196C24"/>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5FCAF3"/>
        <w:right w:val="single" w:sz="4" w:space="0" w:color="5FCAF3"/>
        <w:insideH w:val="single" w:sz="4" w:space="0" w:color="5FCAF3"/>
        <w:insideV w:val="single" w:sz="4" w:space="0" w:color="5FCAF3"/>
      </w:tblBorders>
    </w:tblPr>
    <w:tblStylePr w:type="firstRow">
      <w:rPr>
        <w:rFonts w:ascii="Arial" w:hAnsi="Arial"/>
        <w:b/>
        <w:color w:val="5FCAF3"/>
        <w:sz w:val="22"/>
      </w:rPr>
      <w:tblPr/>
      <w:tcPr>
        <w:tcBorders>
          <w:top w:val="none" w:sz="0" w:space="0" w:color="000000"/>
          <w:left w:val="none" w:sz="0" w:space="0" w:color="000000"/>
          <w:bottom w:val="single" w:sz="4" w:space="0" w:color="5FCAF3"/>
          <w:right w:val="none" w:sz="0" w:space="0" w:color="000000"/>
        </w:tcBorders>
        <w:shd w:val="clear" w:color="FFFFFF" w:fill="FFFFFF"/>
      </w:tcPr>
    </w:tblStylePr>
    <w:tblStylePr w:type="lastRow">
      <w:rPr>
        <w:rFonts w:ascii="Arial" w:hAnsi="Arial"/>
        <w:b/>
        <w:color w:val="5FCAF3"/>
        <w:sz w:val="22"/>
      </w:rPr>
      <w:tblPr/>
      <w:tcPr>
        <w:tcBorders>
          <w:top w:val="single" w:sz="4" w:space="0" w:color="5FCAF3"/>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5FCAF3"/>
        <w:sz w:val="22"/>
      </w:rPr>
      <w:tblPr/>
      <w:tcPr>
        <w:tcBorders>
          <w:top w:val="none" w:sz="0" w:space="0" w:color="000000"/>
          <w:left w:val="none" w:sz="0" w:space="0" w:color="000000"/>
          <w:bottom w:val="none" w:sz="0" w:space="0" w:color="000000"/>
          <w:right w:val="single" w:sz="4" w:space="0" w:color="5FCAF3"/>
        </w:tcBorders>
        <w:shd w:val="clear" w:color="FFFFFF" w:fill="auto"/>
      </w:tcPr>
    </w:tblStylePr>
    <w:tblStylePr w:type="lastCol">
      <w:rPr>
        <w:rFonts w:ascii="Arial" w:hAnsi="Arial"/>
        <w:i/>
        <w:color w:val="5FCAF3"/>
        <w:sz w:val="22"/>
      </w:rPr>
      <w:tblPr/>
      <w:tcPr>
        <w:tcBorders>
          <w:top w:val="none" w:sz="0" w:space="0" w:color="000000"/>
          <w:left w:val="single" w:sz="4" w:space="0" w:color="5FCAF3"/>
          <w:bottom w:val="none" w:sz="0" w:space="0" w:color="000000"/>
          <w:right w:val="none" w:sz="0" w:space="0" w:color="000000"/>
        </w:tcBorders>
        <w:shd w:val="clear" w:color="FFFFFF" w:fill="auto"/>
      </w:tcPr>
    </w:tblStylePr>
    <w:tblStylePr w:type="band1Vert">
      <w:tblPr/>
      <w:tcPr>
        <w:shd w:val="clear" w:color="C9EDFB" w:fill="C9EDFB"/>
      </w:tcPr>
    </w:tblStylePr>
    <w:tblStylePr w:type="band1Horz">
      <w:rPr>
        <w:rFonts w:ascii="Arial" w:hAnsi="Arial"/>
        <w:color w:val="5FCAF3"/>
        <w:sz w:val="22"/>
      </w:rPr>
      <w:tblPr/>
      <w:tcPr>
        <w:shd w:val="clear" w:color="C9EDFB" w:fill="C9EDFB"/>
      </w:tcPr>
    </w:tblStylePr>
    <w:tblStylePr w:type="band2Horz">
      <w:rPr>
        <w:rFonts w:ascii="Arial" w:hAnsi="Arial"/>
        <w:color w:val="5FCAF3"/>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DA76CE"/>
        <w:right w:val="single" w:sz="4" w:space="0" w:color="DA76CE"/>
        <w:insideH w:val="single" w:sz="4" w:space="0" w:color="DA76CE"/>
        <w:insideV w:val="single" w:sz="4" w:space="0" w:color="DA76CE"/>
      </w:tblBorders>
    </w:tblPr>
    <w:tblStylePr w:type="firstRow">
      <w:rPr>
        <w:rFonts w:ascii="Arial" w:hAnsi="Arial"/>
        <w:b/>
        <w:color w:val="5D1955"/>
        <w:sz w:val="22"/>
      </w:rPr>
      <w:tblPr/>
      <w:tcPr>
        <w:tcBorders>
          <w:top w:val="none" w:sz="0" w:space="0" w:color="000000"/>
          <w:left w:val="none" w:sz="0" w:space="0" w:color="000000"/>
          <w:bottom w:val="single" w:sz="4" w:space="0" w:color="DA76CE"/>
          <w:right w:val="none" w:sz="0" w:space="0" w:color="000000"/>
        </w:tcBorders>
        <w:shd w:val="clear" w:color="FFFFFF" w:fill="FFFFFF"/>
      </w:tcPr>
    </w:tblStylePr>
    <w:tblStylePr w:type="lastRow">
      <w:rPr>
        <w:rFonts w:ascii="Arial" w:hAnsi="Arial"/>
        <w:b/>
        <w:color w:val="5D1955"/>
        <w:sz w:val="22"/>
      </w:rPr>
      <w:tblPr/>
      <w:tcPr>
        <w:tcBorders>
          <w:top w:val="single" w:sz="4" w:space="0" w:color="DA76C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5D1955"/>
        <w:sz w:val="22"/>
      </w:rPr>
      <w:tblPr/>
      <w:tcPr>
        <w:tcBorders>
          <w:top w:val="none" w:sz="0" w:space="0" w:color="000000"/>
          <w:left w:val="none" w:sz="0" w:space="0" w:color="000000"/>
          <w:bottom w:val="none" w:sz="0" w:space="0" w:color="000000"/>
          <w:right w:val="single" w:sz="4" w:space="0" w:color="DA76CE"/>
        </w:tcBorders>
        <w:shd w:val="clear" w:color="FFFFFF" w:fill="auto"/>
      </w:tcPr>
    </w:tblStylePr>
    <w:tblStylePr w:type="lastCol">
      <w:rPr>
        <w:rFonts w:ascii="Arial" w:hAnsi="Arial"/>
        <w:i/>
        <w:color w:val="5D1955"/>
        <w:sz w:val="22"/>
      </w:rPr>
      <w:tblPr/>
      <w:tcPr>
        <w:tcBorders>
          <w:top w:val="none" w:sz="0" w:space="0" w:color="000000"/>
          <w:left w:val="single" w:sz="4" w:space="0" w:color="DA76CE"/>
          <w:bottom w:val="none" w:sz="0" w:space="0" w:color="000000"/>
          <w:right w:val="none" w:sz="0" w:space="0" w:color="000000"/>
        </w:tcBorders>
        <w:shd w:val="clear" w:color="FFFFFF" w:fill="auto"/>
      </w:tcPr>
    </w:tblStylePr>
    <w:tblStylePr w:type="band1Vert">
      <w:tblPr/>
      <w:tcPr>
        <w:shd w:val="clear" w:color="F1CDED" w:fill="F1CDED"/>
      </w:tcPr>
    </w:tblStylePr>
    <w:tblStylePr w:type="band1Horz">
      <w:rPr>
        <w:rFonts w:ascii="Arial" w:hAnsi="Arial"/>
        <w:color w:val="5D1955"/>
        <w:sz w:val="22"/>
      </w:rPr>
      <w:tblPr/>
      <w:tcPr>
        <w:shd w:val="clear" w:color="F1CDED" w:fill="F1CDED"/>
      </w:tcPr>
    </w:tblStylePr>
    <w:tblStylePr w:type="band2Horz">
      <w:rPr>
        <w:rFonts w:ascii="Arial" w:hAnsi="Arial"/>
        <w:color w:val="5D195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94DA7B"/>
        <w:right w:val="single" w:sz="4" w:space="0" w:color="94DA7B"/>
        <w:insideH w:val="single" w:sz="4" w:space="0" w:color="94DA7B"/>
        <w:insideV w:val="single" w:sz="4" w:space="0" w:color="94DA7B"/>
      </w:tblBorders>
    </w:tblPr>
    <w:tblStylePr w:type="firstRow">
      <w:rPr>
        <w:rFonts w:ascii="Arial" w:hAnsi="Arial"/>
        <w:b/>
        <w:color w:val="2D611B"/>
        <w:sz w:val="22"/>
      </w:rPr>
      <w:tblPr/>
      <w:tcPr>
        <w:tcBorders>
          <w:top w:val="none" w:sz="0" w:space="0" w:color="000000"/>
          <w:left w:val="none" w:sz="0" w:space="0" w:color="000000"/>
          <w:bottom w:val="single" w:sz="4" w:space="0" w:color="94DA7B"/>
          <w:right w:val="none" w:sz="0" w:space="0" w:color="000000"/>
        </w:tcBorders>
        <w:shd w:val="clear" w:color="FFFFFF" w:fill="FFFFFF"/>
      </w:tcPr>
    </w:tblStylePr>
    <w:tblStylePr w:type="lastRow">
      <w:rPr>
        <w:rFonts w:ascii="Arial" w:hAnsi="Arial"/>
        <w:b/>
        <w:color w:val="2D611B"/>
        <w:sz w:val="22"/>
      </w:rPr>
      <w:tblPr/>
      <w:tcPr>
        <w:tcBorders>
          <w:top w:val="single" w:sz="4" w:space="0" w:color="94DA7B"/>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D611B"/>
        <w:sz w:val="22"/>
      </w:rPr>
      <w:tblPr/>
      <w:tcPr>
        <w:tcBorders>
          <w:top w:val="none" w:sz="0" w:space="0" w:color="000000"/>
          <w:left w:val="none" w:sz="0" w:space="0" w:color="000000"/>
          <w:bottom w:val="none" w:sz="0" w:space="0" w:color="000000"/>
          <w:right w:val="single" w:sz="4" w:space="0" w:color="94DA7B"/>
        </w:tcBorders>
        <w:shd w:val="clear" w:color="FFFFFF" w:fill="auto"/>
      </w:tcPr>
    </w:tblStylePr>
    <w:tblStylePr w:type="lastCol">
      <w:rPr>
        <w:rFonts w:ascii="Arial" w:hAnsi="Arial"/>
        <w:i/>
        <w:color w:val="2D611B"/>
        <w:sz w:val="22"/>
      </w:rPr>
      <w:tblPr/>
      <w:tcPr>
        <w:tcBorders>
          <w:top w:val="none" w:sz="0" w:space="0" w:color="000000"/>
          <w:left w:val="single" w:sz="4" w:space="0" w:color="94DA7B"/>
          <w:bottom w:val="none" w:sz="0" w:space="0" w:color="000000"/>
          <w:right w:val="none" w:sz="0" w:space="0" w:color="000000"/>
        </w:tcBorders>
        <w:shd w:val="clear" w:color="FFFFFF" w:fill="auto"/>
      </w:tcPr>
    </w:tblStylePr>
    <w:tblStylePr w:type="band1Vert">
      <w:tblPr/>
      <w:tcPr>
        <w:shd w:val="clear" w:color="D8F2CF" w:fill="D8F2CF"/>
      </w:tcPr>
    </w:tblStylePr>
    <w:tblStylePr w:type="band1Horz">
      <w:rPr>
        <w:rFonts w:ascii="Arial" w:hAnsi="Arial"/>
        <w:color w:val="2D611B"/>
        <w:sz w:val="22"/>
      </w:rPr>
      <w:tblPr/>
      <w:tcPr>
        <w:shd w:val="clear" w:color="D8F2CF" w:fill="D8F2CF"/>
      </w:tcPr>
    </w:tblStylePr>
    <w:tblStylePr w:type="band2Horz">
      <w:rPr>
        <w:rFonts w:ascii="Arial" w:hAnsi="Arial"/>
        <w:color w:val="2D611B"/>
        <w:sz w:val="22"/>
      </w:r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56082"/>
          <w:right w:val="none" w:sz="4" w:space="0" w:color="000000"/>
        </w:tcBorders>
      </w:tcPr>
    </w:tblStylePr>
    <w:tblStylePr w:type="lastRow">
      <w:rPr>
        <w:b/>
        <w:color w:val="404040"/>
      </w:rPr>
      <w:tblPr/>
      <w:tcPr>
        <w:tcBorders>
          <w:top w:val="single" w:sz="4" w:space="0" w:color="15608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fill="B1DEF2"/>
      </w:tcPr>
    </w:tblStylePr>
    <w:tblStylePr w:type="band1Horz">
      <w:tblPr/>
      <w:tcPr>
        <w:shd w:val="clear" w:color="B1DEF2" w:fill="B1DEF2"/>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97132"/>
          <w:right w:val="none" w:sz="4" w:space="0" w:color="000000"/>
        </w:tcBorders>
      </w:tcPr>
    </w:tblStylePr>
    <w:tblStylePr w:type="lastRow">
      <w:rPr>
        <w:b/>
        <w:color w:val="404040"/>
      </w:rPr>
      <w:tblPr/>
      <w:tcPr>
        <w:tcBorders>
          <w:top w:val="single" w:sz="4" w:space="0" w:color="E9713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fill="F9DBCB"/>
      </w:tcPr>
    </w:tblStylePr>
    <w:tblStylePr w:type="band1Horz">
      <w:tblPr/>
      <w:tcPr>
        <w:shd w:val="clear" w:color="F9DBCB" w:fill="F9DBCB"/>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96B24"/>
          <w:right w:val="none" w:sz="4" w:space="0" w:color="000000"/>
        </w:tcBorders>
      </w:tcPr>
    </w:tblStylePr>
    <w:tblStylePr w:type="lastRow">
      <w:rPr>
        <w:b/>
        <w:color w:val="404040"/>
      </w:rPr>
      <w:tblPr/>
      <w:tcPr>
        <w:tcBorders>
          <w:top w:val="single" w:sz="4" w:space="0" w:color="196B2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fill="B2EDB9"/>
      </w:tcPr>
    </w:tblStylePr>
    <w:tblStylePr w:type="band1Horz">
      <w:tblPr/>
      <w:tcPr>
        <w:shd w:val="clear" w:color="B2EDB9" w:fill="B2EDB9"/>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F9ED5"/>
          <w:right w:val="none" w:sz="4" w:space="0" w:color="000000"/>
        </w:tcBorders>
      </w:tcPr>
    </w:tblStylePr>
    <w:tblStylePr w:type="lastRow">
      <w:rPr>
        <w:b/>
        <w:color w:val="404040"/>
      </w:rPr>
      <w:tblPr/>
      <w:tcPr>
        <w:tcBorders>
          <w:top w:val="single" w:sz="4" w:space="0" w:color="0F9E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fill="BCE9FA"/>
      </w:tcPr>
    </w:tblStylePr>
    <w:tblStylePr w:type="band1Horz">
      <w:tblPr/>
      <w:tcPr>
        <w:shd w:val="clear" w:color="BCE9FA" w:fill="BCE9FA"/>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02B93"/>
          <w:right w:val="none" w:sz="4" w:space="0" w:color="000000"/>
        </w:tcBorders>
      </w:tcPr>
    </w:tblStylePr>
    <w:tblStylePr w:type="lastRow">
      <w:rPr>
        <w:b/>
        <w:color w:val="404040"/>
      </w:rPr>
      <w:tblPr/>
      <w:tcPr>
        <w:tcBorders>
          <w:top w:val="single" w:sz="4" w:space="0" w:color="A02B9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fill="EEC2E9"/>
      </w:tcPr>
    </w:tblStylePr>
    <w:tblStylePr w:type="band1Horz">
      <w:tblPr/>
      <w:tcPr>
        <w:shd w:val="clear" w:color="EEC2E9" w:fill="EEC2E9"/>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EA72E"/>
          <w:right w:val="none" w:sz="4" w:space="0" w:color="000000"/>
        </w:tcBorders>
      </w:tcPr>
    </w:tblStylePr>
    <w:tblStylePr w:type="lastRow">
      <w:rPr>
        <w:b/>
        <w:color w:val="404040"/>
      </w:rPr>
      <w:tblPr/>
      <w:tcPr>
        <w:tcBorders>
          <w:top w:val="single" w:sz="4" w:space="0" w:color="4EA72E"/>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fill="CFEFC4"/>
      </w:tcPr>
    </w:tblStylePr>
    <w:tblStylePr w:type="band1Horz">
      <w:tblPr/>
      <w:tcPr>
        <w:shd w:val="clear" w:color="CFEFC4" w:fill="CFEFC4"/>
      </w:tcPr>
    </w:tblStylePr>
  </w:style>
  <w:style w:type="table" w:styleId="ListTable2-Accent1">
    <w:name w:val="List Table 2 Accent 1"/>
    <w:basedOn w:val="TableNormal"/>
    <w:uiPriority w:val="99"/>
    <w:tblPr>
      <w:tblStyleRowBandSize w:val="1"/>
      <w:tblStyleColBandSize w:val="1"/>
      <w:tblBorders>
        <w:top w:val="single" w:sz="4" w:space="0" w:color="50B4E2"/>
        <w:bottom w:val="single" w:sz="4" w:space="0" w:color="50B4E2"/>
        <w:insideH w:val="single" w:sz="4" w:space="0" w:color="50B4E2"/>
      </w:tblBorders>
    </w:tblPr>
    <w:tblStylePr w:type="firstRow">
      <w:rPr>
        <w:rFonts w:ascii="Arial" w:hAnsi="Arial"/>
        <w:b/>
        <w:color w:val="404040"/>
        <w:sz w:val="22"/>
      </w:rPr>
      <w:tblPr/>
      <w:tcPr>
        <w:tcBorders>
          <w:top w:val="single" w:sz="4" w:space="0" w:color="50B4E2"/>
          <w:left w:val="none" w:sz="4" w:space="0" w:color="000000"/>
          <w:bottom w:val="single" w:sz="4" w:space="0" w:color="50B4E2"/>
          <w:right w:val="none" w:sz="4" w:space="0" w:color="000000"/>
        </w:tcBorders>
      </w:tcPr>
    </w:tblStylePr>
    <w:tblStylePr w:type="lastRow">
      <w:rPr>
        <w:rFonts w:ascii="Arial" w:hAnsi="Arial"/>
        <w:b/>
        <w:color w:val="404040"/>
        <w:sz w:val="22"/>
      </w:rPr>
      <w:tblPr/>
      <w:tcPr>
        <w:tcBorders>
          <w:top w:val="single" w:sz="4" w:space="0" w:color="50B4E2"/>
          <w:left w:val="none" w:sz="4" w:space="0" w:color="000000"/>
          <w:bottom w:val="single" w:sz="4" w:space="0" w:color="50B4E2"/>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fill="B1DEF2"/>
      </w:tcPr>
    </w:tblStylePr>
    <w:tblStylePr w:type="band1Horz">
      <w:rPr>
        <w:rFonts w:ascii="Arial" w:hAnsi="Arial"/>
        <w:color w:val="404040"/>
        <w:sz w:val="22"/>
      </w:rPr>
      <w:tblPr/>
      <w:tcPr>
        <w:shd w:val="clear" w:color="B1DEF2" w:fill="B1DEF2"/>
      </w:tcPr>
    </w:tblStylePr>
  </w:style>
  <w:style w:type="table" w:styleId="ListTable2-Accent2">
    <w:name w:val="List Table 2 Accent 2"/>
    <w:basedOn w:val="TableNormal"/>
    <w:uiPriority w:val="99"/>
    <w:tblPr>
      <w:tblStyleRowBandSize w:val="1"/>
      <w:tblStyleColBandSize w:val="1"/>
      <w:tblBorders>
        <w:top w:val="single" w:sz="4" w:space="0" w:color="F2AE8B"/>
        <w:bottom w:val="single" w:sz="4" w:space="0" w:color="F2AE8B"/>
        <w:insideH w:val="single" w:sz="4" w:space="0" w:color="F2AE8B"/>
      </w:tblBorders>
    </w:tblPr>
    <w:tblStylePr w:type="firstRow">
      <w:rPr>
        <w:rFonts w:ascii="Arial" w:hAnsi="Arial"/>
        <w:b/>
        <w:color w:val="404040"/>
        <w:sz w:val="22"/>
      </w:rPr>
      <w:tblPr/>
      <w:tcPr>
        <w:tcBorders>
          <w:top w:val="single" w:sz="4" w:space="0" w:color="F2AE8B"/>
          <w:left w:val="none" w:sz="4" w:space="0" w:color="000000"/>
          <w:bottom w:val="single" w:sz="4" w:space="0" w:color="F2AE8B"/>
          <w:right w:val="none" w:sz="4" w:space="0" w:color="000000"/>
        </w:tcBorders>
      </w:tcPr>
    </w:tblStylePr>
    <w:tblStylePr w:type="lastRow">
      <w:rPr>
        <w:rFonts w:ascii="Arial" w:hAnsi="Arial"/>
        <w:b/>
        <w:color w:val="404040"/>
        <w:sz w:val="22"/>
      </w:rPr>
      <w:tblPr/>
      <w:tcPr>
        <w:tcBorders>
          <w:top w:val="single" w:sz="4" w:space="0" w:color="F2AE8B"/>
          <w:left w:val="none" w:sz="4" w:space="0" w:color="000000"/>
          <w:bottom w:val="single" w:sz="4" w:space="0" w:color="F2AE8B"/>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fill="F9DBCB"/>
      </w:tcPr>
    </w:tblStylePr>
    <w:tblStylePr w:type="band1Horz">
      <w:rPr>
        <w:rFonts w:ascii="Arial" w:hAnsi="Arial"/>
        <w:color w:val="404040"/>
        <w:sz w:val="22"/>
      </w:rPr>
      <w:tblPr/>
      <w:tcPr>
        <w:shd w:val="clear" w:color="F9DBCB" w:fill="F9DBCB"/>
      </w:tcPr>
    </w:tblStylePr>
  </w:style>
  <w:style w:type="table" w:styleId="ListTable2-Accent3">
    <w:name w:val="List Table 2 Accent 3"/>
    <w:basedOn w:val="TableNormal"/>
    <w:uiPriority w:val="99"/>
    <w:tblPr>
      <w:tblStyleRowBandSize w:val="1"/>
      <w:tblStyleColBandSize w:val="1"/>
      <w:tblBorders>
        <w:top w:val="single" w:sz="4" w:space="0" w:color="51D663"/>
        <w:bottom w:val="single" w:sz="4" w:space="0" w:color="51D663"/>
        <w:insideH w:val="single" w:sz="4" w:space="0" w:color="51D663"/>
      </w:tblBorders>
    </w:tblPr>
    <w:tblStylePr w:type="firstRow">
      <w:rPr>
        <w:rFonts w:ascii="Arial" w:hAnsi="Arial"/>
        <w:b/>
        <w:color w:val="404040"/>
        <w:sz w:val="22"/>
      </w:rPr>
      <w:tblPr/>
      <w:tcPr>
        <w:tcBorders>
          <w:top w:val="single" w:sz="4" w:space="0" w:color="51D663"/>
          <w:left w:val="none" w:sz="4" w:space="0" w:color="000000"/>
          <w:bottom w:val="single" w:sz="4" w:space="0" w:color="51D663"/>
          <w:right w:val="none" w:sz="4" w:space="0" w:color="000000"/>
        </w:tcBorders>
      </w:tcPr>
    </w:tblStylePr>
    <w:tblStylePr w:type="lastRow">
      <w:rPr>
        <w:rFonts w:ascii="Arial" w:hAnsi="Arial"/>
        <w:b/>
        <w:color w:val="404040"/>
        <w:sz w:val="22"/>
      </w:rPr>
      <w:tblPr/>
      <w:tcPr>
        <w:tcBorders>
          <w:top w:val="single" w:sz="4" w:space="0" w:color="51D663"/>
          <w:left w:val="none" w:sz="4" w:space="0" w:color="000000"/>
          <w:bottom w:val="single" w:sz="4" w:space="0" w:color="51D663"/>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fill="B2EDB9"/>
      </w:tcPr>
    </w:tblStylePr>
    <w:tblStylePr w:type="band1Horz">
      <w:rPr>
        <w:rFonts w:ascii="Arial" w:hAnsi="Arial"/>
        <w:color w:val="404040"/>
        <w:sz w:val="22"/>
      </w:rPr>
      <w:tblPr/>
      <w:tcPr>
        <w:shd w:val="clear" w:color="B2EDB9" w:fill="B2EDB9"/>
      </w:tcPr>
    </w:tblStylePr>
  </w:style>
  <w:style w:type="table" w:styleId="ListTable2-Accent4">
    <w:name w:val="List Table 2 Accent 4"/>
    <w:basedOn w:val="TableNormal"/>
    <w:uiPriority w:val="99"/>
    <w:tblPr>
      <w:tblStyleRowBandSize w:val="1"/>
      <w:tblStyleColBandSize w:val="1"/>
      <w:tblBorders>
        <w:top w:val="single" w:sz="4" w:space="0" w:color="6ACDF4"/>
        <w:bottom w:val="single" w:sz="4" w:space="0" w:color="6ACDF4"/>
        <w:insideH w:val="single" w:sz="4" w:space="0" w:color="6ACDF4"/>
      </w:tblBorders>
    </w:tblPr>
    <w:tblStylePr w:type="firstRow">
      <w:rPr>
        <w:rFonts w:ascii="Arial" w:hAnsi="Arial"/>
        <w:b/>
        <w:color w:val="404040"/>
        <w:sz w:val="22"/>
      </w:rPr>
      <w:tblPr/>
      <w:tcPr>
        <w:tcBorders>
          <w:top w:val="single" w:sz="4" w:space="0" w:color="6ACDF4"/>
          <w:left w:val="none" w:sz="4" w:space="0" w:color="000000"/>
          <w:bottom w:val="single" w:sz="4" w:space="0" w:color="6ACDF4"/>
          <w:right w:val="none" w:sz="4" w:space="0" w:color="000000"/>
        </w:tcBorders>
      </w:tcPr>
    </w:tblStylePr>
    <w:tblStylePr w:type="lastRow">
      <w:rPr>
        <w:rFonts w:ascii="Arial" w:hAnsi="Arial"/>
        <w:b/>
        <w:color w:val="404040"/>
        <w:sz w:val="22"/>
      </w:rPr>
      <w:tblPr/>
      <w:tcPr>
        <w:tcBorders>
          <w:top w:val="single" w:sz="4" w:space="0" w:color="6ACDF4"/>
          <w:left w:val="none" w:sz="4" w:space="0" w:color="000000"/>
          <w:bottom w:val="single" w:sz="4" w:space="0" w:color="6ACDF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fill="BCE9FA"/>
      </w:tcPr>
    </w:tblStylePr>
    <w:tblStylePr w:type="band1Horz">
      <w:rPr>
        <w:rFonts w:ascii="Arial" w:hAnsi="Arial"/>
        <w:color w:val="404040"/>
        <w:sz w:val="22"/>
      </w:rPr>
      <w:tblPr/>
      <w:tcPr>
        <w:shd w:val="clear" w:color="BCE9FA" w:fill="BCE9FA"/>
      </w:tcPr>
    </w:tblStylePr>
  </w:style>
  <w:style w:type="table" w:styleId="ListTable2-Accent5">
    <w:name w:val="List Table 2 Accent 5"/>
    <w:basedOn w:val="TableNormal"/>
    <w:uiPriority w:val="99"/>
    <w:tblPr>
      <w:tblStyleRowBandSize w:val="1"/>
      <w:tblStyleColBandSize w:val="1"/>
      <w:tblBorders>
        <w:top w:val="single" w:sz="4" w:space="0" w:color="DA76CE"/>
        <w:bottom w:val="single" w:sz="4" w:space="0" w:color="DA76CE"/>
        <w:insideH w:val="single" w:sz="4" w:space="0" w:color="DA76CE"/>
      </w:tblBorders>
    </w:tblPr>
    <w:tblStylePr w:type="firstRow">
      <w:rPr>
        <w:rFonts w:ascii="Arial" w:hAnsi="Arial"/>
        <w:b/>
        <w:color w:val="404040"/>
        <w:sz w:val="22"/>
      </w:rPr>
      <w:tblPr/>
      <w:tcPr>
        <w:tcBorders>
          <w:top w:val="single" w:sz="4" w:space="0" w:color="DA76CE"/>
          <w:left w:val="none" w:sz="4" w:space="0" w:color="000000"/>
          <w:bottom w:val="single" w:sz="4" w:space="0" w:color="DA76CE"/>
          <w:right w:val="none" w:sz="4" w:space="0" w:color="000000"/>
        </w:tcBorders>
      </w:tcPr>
    </w:tblStylePr>
    <w:tblStylePr w:type="lastRow">
      <w:rPr>
        <w:rFonts w:ascii="Arial" w:hAnsi="Arial"/>
        <w:b/>
        <w:color w:val="404040"/>
        <w:sz w:val="22"/>
      </w:rPr>
      <w:tblPr/>
      <w:tcPr>
        <w:tcBorders>
          <w:top w:val="single" w:sz="4" w:space="0" w:color="DA76CE"/>
          <w:left w:val="none" w:sz="4" w:space="0" w:color="000000"/>
          <w:bottom w:val="single" w:sz="4" w:space="0" w:color="DA76C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fill="EEC2E9"/>
      </w:tcPr>
    </w:tblStylePr>
    <w:tblStylePr w:type="band1Horz">
      <w:rPr>
        <w:rFonts w:ascii="Arial" w:hAnsi="Arial"/>
        <w:color w:val="404040"/>
        <w:sz w:val="22"/>
      </w:rPr>
      <w:tblPr/>
      <w:tcPr>
        <w:shd w:val="clear" w:color="EEC2E9" w:fill="EEC2E9"/>
      </w:tcPr>
    </w:tblStylePr>
  </w:style>
  <w:style w:type="table" w:styleId="ListTable2-Accent6">
    <w:name w:val="List Table 2 Accent 6"/>
    <w:basedOn w:val="TableNormal"/>
    <w:uiPriority w:val="99"/>
    <w:tblPr>
      <w:tblStyleRowBandSize w:val="1"/>
      <w:tblStyleColBandSize w:val="1"/>
      <w:tblBorders>
        <w:top w:val="single" w:sz="4" w:space="0" w:color="94DA7B"/>
        <w:bottom w:val="single" w:sz="4" w:space="0" w:color="94DA7B"/>
        <w:insideH w:val="single" w:sz="4" w:space="0" w:color="94DA7B"/>
      </w:tblBorders>
    </w:tblPr>
    <w:tblStylePr w:type="firstRow">
      <w:rPr>
        <w:rFonts w:ascii="Arial" w:hAnsi="Arial"/>
        <w:b/>
        <w:color w:val="404040"/>
        <w:sz w:val="22"/>
      </w:rPr>
      <w:tblPr/>
      <w:tcPr>
        <w:tcBorders>
          <w:top w:val="single" w:sz="4" w:space="0" w:color="94DA7B"/>
          <w:left w:val="none" w:sz="4" w:space="0" w:color="000000"/>
          <w:bottom w:val="single" w:sz="4" w:space="0" w:color="94DA7B"/>
          <w:right w:val="none" w:sz="4" w:space="0" w:color="000000"/>
        </w:tcBorders>
      </w:tcPr>
    </w:tblStylePr>
    <w:tblStylePr w:type="lastRow">
      <w:rPr>
        <w:rFonts w:ascii="Arial" w:hAnsi="Arial"/>
        <w:b/>
        <w:color w:val="404040"/>
        <w:sz w:val="22"/>
      </w:rPr>
      <w:tblPr/>
      <w:tcPr>
        <w:tcBorders>
          <w:top w:val="single" w:sz="4" w:space="0" w:color="94DA7B"/>
          <w:left w:val="none" w:sz="4" w:space="0" w:color="000000"/>
          <w:bottom w:val="single" w:sz="4" w:space="0" w:color="94DA7B"/>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fill="CFEFC4"/>
      </w:tcPr>
    </w:tblStylePr>
    <w:tblStylePr w:type="band1Horz">
      <w:rPr>
        <w:rFonts w:ascii="Arial" w:hAnsi="Arial"/>
        <w:color w:val="404040"/>
        <w:sz w:val="22"/>
      </w:rPr>
      <w:tblPr/>
      <w:tcPr>
        <w:shd w:val="clear" w:color="CFEFC4" w:fill="CFEFC4"/>
      </w:tcPr>
    </w:tblStylePr>
  </w:style>
  <w:style w:type="table" w:styleId="ListTable3-Accent1">
    <w:name w:val="List Table 3 Accent 1"/>
    <w:basedOn w:val="TableNormal"/>
    <w:uiPriority w:val="99"/>
    <w:tblPr>
      <w:tblStyleRowBandSize w:val="1"/>
      <w:tblStyleColBandSize w:val="1"/>
      <w:tblBorders>
        <w:top w:val="single" w:sz="4" w:space="0" w:color="156082"/>
        <w:left w:val="single" w:sz="4" w:space="0" w:color="156082"/>
        <w:bottom w:val="single" w:sz="4" w:space="0" w:color="156082"/>
        <w:right w:val="single" w:sz="4" w:space="0" w:color="156082"/>
      </w:tblBorders>
    </w:tblPr>
    <w:tblStylePr w:type="firstRow">
      <w:rPr>
        <w:rFonts w:ascii="Arial" w:hAnsi="Arial"/>
        <w:b/>
        <w:color w:val="FFFFFF"/>
        <w:sz w:val="22"/>
      </w:rPr>
      <w:tblPr/>
      <w:tcPr>
        <w:shd w:val="clear" w:color="156082" w:fill="15608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right w:val="single" w:sz="4" w:space="0" w:color="156082"/>
        </w:tcBorders>
      </w:tcPr>
    </w:tblStylePr>
    <w:tblStylePr w:type="band1Horz">
      <w:rPr>
        <w:rFonts w:ascii="Arial" w:hAnsi="Arial"/>
        <w:color w:val="404040"/>
        <w:sz w:val="22"/>
      </w:rPr>
      <w:tblPr/>
      <w:tcPr>
        <w:tcBorders>
          <w:top w:val="single" w:sz="4" w:space="0" w:color="156082"/>
          <w:bottom w:val="single" w:sz="4" w:space="0" w:color="156082"/>
        </w:tcBorders>
      </w:tcPr>
    </w:tblStylePr>
  </w:style>
  <w:style w:type="table" w:styleId="ListTable3-Accent2">
    <w:name w:val="List Table 3 Accent 2"/>
    <w:basedOn w:val="TableNormal"/>
    <w:uiPriority w:val="99"/>
    <w:tblPr>
      <w:tblStyleRowBandSize w:val="1"/>
      <w:tblStyleColBandSize w:val="1"/>
      <w:tblBorders>
        <w:top w:val="single" w:sz="4" w:space="0" w:color="F2AA85"/>
        <w:left w:val="single" w:sz="4" w:space="0" w:color="F2AA85"/>
        <w:bottom w:val="single" w:sz="4" w:space="0" w:color="F2AA85"/>
        <w:right w:val="single" w:sz="4" w:space="0" w:color="F2AA85"/>
      </w:tblBorders>
    </w:tblPr>
    <w:tblStylePr w:type="firstRow">
      <w:rPr>
        <w:rFonts w:ascii="Arial" w:hAnsi="Arial"/>
        <w:b/>
        <w:color w:val="FFFFFF"/>
        <w:sz w:val="22"/>
      </w:rPr>
      <w:tblPr/>
      <w:tcPr>
        <w:shd w:val="clear" w:color="F2AA85" w:fill="F2AA8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right w:val="single" w:sz="4" w:space="0" w:color="F2AA85"/>
        </w:tcBorders>
      </w:tcPr>
    </w:tblStylePr>
    <w:tblStylePr w:type="band1Horz">
      <w:rPr>
        <w:rFonts w:ascii="Arial" w:hAnsi="Arial"/>
        <w:color w:val="404040"/>
        <w:sz w:val="22"/>
      </w:rPr>
      <w:tblPr/>
      <w:tcPr>
        <w:tcBorders>
          <w:top w:val="single" w:sz="4" w:space="0" w:color="F2AA85"/>
          <w:bottom w:val="single" w:sz="4" w:space="0" w:color="F2AA85"/>
        </w:tcBorders>
      </w:tcPr>
    </w:tblStylePr>
  </w:style>
  <w:style w:type="table" w:styleId="ListTable3-Accent3">
    <w:name w:val="List Table 3 Accent 3"/>
    <w:basedOn w:val="TableNormal"/>
    <w:uiPriority w:val="99"/>
    <w:tblPr>
      <w:tblStyleRowBandSize w:val="1"/>
      <w:tblStyleColBandSize w:val="1"/>
      <w:tblBorders>
        <w:top w:val="single" w:sz="4" w:space="0" w:color="48D45B"/>
        <w:left w:val="single" w:sz="4" w:space="0" w:color="48D45B"/>
        <w:bottom w:val="single" w:sz="4" w:space="0" w:color="48D45B"/>
        <w:right w:val="single" w:sz="4" w:space="0" w:color="48D45B"/>
      </w:tblBorders>
    </w:tblPr>
    <w:tblStylePr w:type="firstRow">
      <w:rPr>
        <w:rFonts w:ascii="Arial" w:hAnsi="Arial"/>
        <w:b/>
        <w:color w:val="FFFFFF"/>
        <w:sz w:val="22"/>
      </w:rPr>
      <w:tblPr/>
      <w:tcPr>
        <w:shd w:val="clear" w:color="48D45B" w:fill="48D45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right w:val="single" w:sz="4" w:space="0" w:color="48D45B"/>
        </w:tcBorders>
      </w:tcPr>
    </w:tblStylePr>
    <w:tblStylePr w:type="band1Horz">
      <w:rPr>
        <w:rFonts w:ascii="Arial" w:hAnsi="Arial"/>
        <w:color w:val="404040"/>
        <w:sz w:val="22"/>
      </w:rPr>
      <w:tblPr/>
      <w:tcPr>
        <w:tcBorders>
          <w:top w:val="single" w:sz="4" w:space="0" w:color="48D45B"/>
          <w:bottom w:val="single" w:sz="4" w:space="0" w:color="48D45B"/>
        </w:tcBorders>
      </w:tcPr>
    </w:tblStylePr>
  </w:style>
  <w:style w:type="table" w:styleId="ListTable3-Accent4">
    <w:name w:val="List Table 3 Accent 4"/>
    <w:basedOn w:val="TableNormal"/>
    <w:uiPriority w:val="99"/>
    <w:tblPr>
      <w:tblStyleRowBandSize w:val="1"/>
      <w:tblStyleColBandSize w:val="1"/>
      <w:tblBorders>
        <w:top w:val="single" w:sz="4" w:space="0" w:color="5FCAF3"/>
        <w:left w:val="single" w:sz="4" w:space="0" w:color="5FCAF3"/>
        <w:bottom w:val="single" w:sz="4" w:space="0" w:color="5FCAF3"/>
        <w:right w:val="single" w:sz="4" w:space="0" w:color="5FCAF3"/>
      </w:tblBorders>
    </w:tblPr>
    <w:tblStylePr w:type="firstRow">
      <w:rPr>
        <w:rFonts w:ascii="Arial" w:hAnsi="Arial"/>
        <w:b/>
        <w:color w:val="FFFFFF"/>
        <w:sz w:val="22"/>
      </w:rPr>
      <w:tblPr/>
      <w:tcPr>
        <w:shd w:val="clear" w:color="5FCAF3" w:fill="5FCAF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right w:val="single" w:sz="4" w:space="0" w:color="5FCAF3"/>
        </w:tcBorders>
      </w:tcPr>
    </w:tblStylePr>
    <w:tblStylePr w:type="band1Horz">
      <w:rPr>
        <w:rFonts w:ascii="Arial" w:hAnsi="Arial"/>
        <w:color w:val="404040"/>
        <w:sz w:val="22"/>
      </w:rPr>
      <w:tblPr/>
      <w:tcPr>
        <w:tcBorders>
          <w:top w:val="single" w:sz="4" w:space="0" w:color="5FCAF3"/>
          <w:bottom w:val="single" w:sz="4" w:space="0" w:color="5FCAF3"/>
        </w:tcBorders>
      </w:tcPr>
    </w:tblStylePr>
  </w:style>
  <w:style w:type="table" w:styleId="ListTable3-Accent5">
    <w:name w:val="List Table 3 Accent 5"/>
    <w:basedOn w:val="TableNormal"/>
    <w:uiPriority w:val="99"/>
    <w:tblPr>
      <w:tblStyleRowBandSize w:val="1"/>
      <w:tblStyleColBandSize w:val="1"/>
      <w:tblBorders>
        <w:top w:val="single" w:sz="4" w:space="0" w:color="D76CCB"/>
        <w:left w:val="single" w:sz="4" w:space="0" w:color="D76CCB"/>
        <w:bottom w:val="single" w:sz="4" w:space="0" w:color="D76CCB"/>
        <w:right w:val="single" w:sz="4" w:space="0" w:color="D76CCB"/>
      </w:tblBorders>
    </w:tblPr>
    <w:tblStylePr w:type="firstRow">
      <w:rPr>
        <w:rFonts w:ascii="Arial" w:hAnsi="Arial"/>
        <w:b/>
        <w:color w:val="FFFFFF"/>
        <w:sz w:val="22"/>
      </w:rPr>
      <w:tblPr/>
      <w:tcPr>
        <w:shd w:val="clear" w:color="D76CCB" w:fill="D76CC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right w:val="single" w:sz="4" w:space="0" w:color="D76CCB"/>
        </w:tcBorders>
      </w:tcPr>
    </w:tblStylePr>
    <w:tblStylePr w:type="band1Horz">
      <w:rPr>
        <w:rFonts w:ascii="Arial" w:hAnsi="Arial"/>
        <w:color w:val="404040"/>
        <w:sz w:val="22"/>
      </w:rPr>
      <w:tblPr/>
      <w:tcPr>
        <w:tcBorders>
          <w:top w:val="single" w:sz="4" w:space="0" w:color="D76CCB"/>
          <w:bottom w:val="single" w:sz="4" w:space="0" w:color="D76CCB"/>
        </w:tcBorders>
      </w:tcPr>
    </w:tblStylePr>
  </w:style>
  <w:style w:type="table" w:styleId="ListTable3-Accent6">
    <w:name w:val="List Table 3 Accent 6"/>
    <w:basedOn w:val="TableNormal"/>
    <w:uiPriority w:val="99"/>
    <w:tblPr>
      <w:tblStyleRowBandSize w:val="1"/>
      <w:tblStyleColBandSize w:val="1"/>
      <w:tblBorders>
        <w:top w:val="single" w:sz="4" w:space="0" w:color="8ED873"/>
        <w:left w:val="single" w:sz="4" w:space="0" w:color="8ED873"/>
        <w:bottom w:val="single" w:sz="4" w:space="0" w:color="8ED873"/>
        <w:right w:val="single" w:sz="4" w:space="0" w:color="8ED873"/>
      </w:tblBorders>
    </w:tblPr>
    <w:tblStylePr w:type="firstRow">
      <w:rPr>
        <w:rFonts w:ascii="Arial" w:hAnsi="Arial"/>
        <w:b/>
        <w:color w:val="FFFFFF"/>
        <w:sz w:val="22"/>
      </w:rPr>
      <w:tblPr/>
      <w:tcPr>
        <w:shd w:val="clear" w:color="8ED873" w:fill="8ED87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right w:val="single" w:sz="4" w:space="0" w:color="8ED873"/>
        </w:tcBorders>
      </w:tcPr>
    </w:tblStylePr>
    <w:tblStylePr w:type="band1Horz">
      <w:rPr>
        <w:rFonts w:ascii="Arial" w:hAnsi="Arial"/>
        <w:color w:val="404040"/>
        <w:sz w:val="22"/>
      </w:rPr>
      <w:tblPr/>
      <w:tcPr>
        <w:tcBorders>
          <w:top w:val="single" w:sz="4" w:space="0" w:color="8ED873"/>
          <w:bottom w:val="single" w:sz="4" w:space="0" w:color="8ED873"/>
        </w:tcBorders>
      </w:tcPr>
    </w:tblStylePr>
  </w:style>
  <w:style w:type="table" w:styleId="ListTable4-Accent1">
    <w:name w:val="List Table 4 Accent 1"/>
    <w:basedOn w:val="TableNormal"/>
    <w:uiPriority w:val="99"/>
    <w:tblPr>
      <w:tblStyleRowBandSize w:val="1"/>
      <w:tblStyleColBandSize w:val="1"/>
      <w:tblBorders>
        <w:top w:val="single" w:sz="4" w:space="0" w:color="50B4E2"/>
        <w:left w:val="single" w:sz="4" w:space="0" w:color="50B4E2"/>
        <w:bottom w:val="single" w:sz="4" w:space="0" w:color="50B4E2"/>
        <w:right w:val="single" w:sz="4" w:space="0" w:color="50B4E2"/>
        <w:insideH w:val="single" w:sz="4" w:space="0" w:color="50B4E2"/>
      </w:tblBorders>
    </w:tblPr>
    <w:tblStylePr w:type="firstRow">
      <w:rPr>
        <w:rFonts w:ascii="Arial" w:hAnsi="Arial"/>
        <w:b/>
        <w:color w:val="FFFFFF"/>
        <w:sz w:val="22"/>
      </w:rPr>
      <w:tblPr/>
      <w:tcPr>
        <w:shd w:val="clear" w:color="156082" w:fill="15608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fill="B1DEF2"/>
      </w:tcPr>
    </w:tblStylePr>
    <w:tblStylePr w:type="band1Horz">
      <w:rPr>
        <w:rFonts w:ascii="Arial" w:hAnsi="Arial"/>
        <w:color w:val="404040"/>
        <w:sz w:val="22"/>
      </w:rPr>
      <w:tblPr/>
      <w:tcPr>
        <w:shd w:val="clear" w:color="B1DEF2" w:fill="B1DEF2"/>
      </w:tcPr>
    </w:tblStylePr>
  </w:style>
  <w:style w:type="table" w:styleId="ListTable4-Accent2">
    <w:name w:val="List Table 4 Accent 2"/>
    <w:basedOn w:val="TableNormal"/>
    <w:uiPriority w:val="99"/>
    <w:tblPr>
      <w:tblStyleRowBandSize w:val="1"/>
      <w:tblStyleColBandSize w:val="1"/>
      <w:tblBorders>
        <w:top w:val="single" w:sz="4" w:space="0" w:color="F2AE8B"/>
        <w:left w:val="single" w:sz="4" w:space="0" w:color="F2AE8B"/>
        <w:bottom w:val="single" w:sz="4" w:space="0" w:color="F2AE8B"/>
        <w:right w:val="single" w:sz="4" w:space="0" w:color="F2AE8B"/>
        <w:insideH w:val="single" w:sz="4" w:space="0" w:color="F2AE8B"/>
      </w:tblBorders>
    </w:tblPr>
    <w:tblStylePr w:type="firstRow">
      <w:rPr>
        <w:rFonts w:ascii="Arial" w:hAnsi="Arial"/>
        <w:b/>
        <w:color w:val="FFFFFF"/>
        <w:sz w:val="22"/>
      </w:rPr>
      <w:tblPr/>
      <w:tcPr>
        <w:shd w:val="clear" w:color="E97132" w:fill="E9713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fill="F9DBCB"/>
      </w:tcPr>
    </w:tblStylePr>
    <w:tblStylePr w:type="band1Horz">
      <w:rPr>
        <w:rFonts w:ascii="Arial" w:hAnsi="Arial"/>
        <w:color w:val="404040"/>
        <w:sz w:val="22"/>
      </w:rPr>
      <w:tblPr/>
      <w:tcPr>
        <w:shd w:val="clear" w:color="F9DBCB" w:fill="F9DBCB"/>
      </w:tcPr>
    </w:tblStylePr>
  </w:style>
  <w:style w:type="table" w:styleId="ListTable4-Accent3">
    <w:name w:val="List Table 4 Accent 3"/>
    <w:basedOn w:val="TableNormal"/>
    <w:uiPriority w:val="99"/>
    <w:tblPr>
      <w:tblStyleRowBandSize w:val="1"/>
      <w:tblStyleColBandSize w:val="1"/>
      <w:tblBorders>
        <w:top w:val="single" w:sz="4" w:space="0" w:color="51D663"/>
        <w:left w:val="single" w:sz="4" w:space="0" w:color="51D663"/>
        <w:bottom w:val="single" w:sz="4" w:space="0" w:color="51D663"/>
        <w:right w:val="single" w:sz="4" w:space="0" w:color="51D663"/>
        <w:insideH w:val="single" w:sz="4" w:space="0" w:color="51D663"/>
      </w:tblBorders>
    </w:tblPr>
    <w:tblStylePr w:type="firstRow">
      <w:rPr>
        <w:rFonts w:ascii="Arial" w:hAnsi="Arial"/>
        <w:b/>
        <w:color w:val="FFFFFF"/>
        <w:sz w:val="22"/>
      </w:rPr>
      <w:tblPr/>
      <w:tcPr>
        <w:shd w:val="clear" w:color="196B24" w:fill="196B2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fill="B2EDB9"/>
      </w:tcPr>
    </w:tblStylePr>
    <w:tblStylePr w:type="band1Horz">
      <w:rPr>
        <w:rFonts w:ascii="Arial" w:hAnsi="Arial"/>
        <w:color w:val="404040"/>
        <w:sz w:val="22"/>
      </w:rPr>
      <w:tblPr/>
      <w:tcPr>
        <w:shd w:val="clear" w:color="B2EDB9" w:fill="B2EDB9"/>
      </w:tcPr>
    </w:tblStylePr>
  </w:style>
  <w:style w:type="table" w:styleId="ListTable4-Accent4">
    <w:name w:val="List Table 4 Accent 4"/>
    <w:basedOn w:val="TableNormal"/>
    <w:uiPriority w:val="99"/>
    <w:tblPr>
      <w:tblStyleRowBandSize w:val="1"/>
      <w:tblStyleColBandSize w:val="1"/>
      <w:tblBorders>
        <w:top w:val="single" w:sz="4" w:space="0" w:color="6ACDF4"/>
        <w:left w:val="single" w:sz="4" w:space="0" w:color="6ACDF4"/>
        <w:bottom w:val="single" w:sz="4" w:space="0" w:color="6ACDF4"/>
        <w:right w:val="single" w:sz="4" w:space="0" w:color="6ACDF4"/>
        <w:insideH w:val="single" w:sz="4" w:space="0" w:color="6ACDF4"/>
      </w:tblBorders>
    </w:tblPr>
    <w:tblStylePr w:type="firstRow">
      <w:rPr>
        <w:rFonts w:ascii="Arial" w:hAnsi="Arial"/>
        <w:b/>
        <w:color w:val="FFFFFF"/>
        <w:sz w:val="22"/>
      </w:rPr>
      <w:tblPr/>
      <w:tcPr>
        <w:shd w:val="clear" w:color="0F9ED5" w:fill="0F9E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fill="BCE9FA"/>
      </w:tcPr>
    </w:tblStylePr>
    <w:tblStylePr w:type="band1Horz">
      <w:rPr>
        <w:rFonts w:ascii="Arial" w:hAnsi="Arial"/>
        <w:color w:val="404040"/>
        <w:sz w:val="22"/>
      </w:rPr>
      <w:tblPr/>
      <w:tcPr>
        <w:shd w:val="clear" w:color="BCE9FA" w:fill="BCE9FA"/>
      </w:tcPr>
    </w:tblStylePr>
  </w:style>
  <w:style w:type="table" w:styleId="ListTable4-Accent5">
    <w:name w:val="List Table 4 Accent 5"/>
    <w:basedOn w:val="TableNormal"/>
    <w:uiPriority w:val="99"/>
    <w:tblPr>
      <w:tblStyleRowBandSize w:val="1"/>
      <w:tblStyleColBandSize w:val="1"/>
      <w:tblBorders>
        <w:top w:val="single" w:sz="4" w:space="0" w:color="DA76CE"/>
        <w:left w:val="single" w:sz="4" w:space="0" w:color="DA76CE"/>
        <w:bottom w:val="single" w:sz="4" w:space="0" w:color="DA76CE"/>
        <w:right w:val="single" w:sz="4" w:space="0" w:color="DA76CE"/>
        <w:insideH w:val="single" w:sz="4" w:space="0" w:color="DA76CE"/>
      </w:tblBorders>
    </w:tblPr>
    <w:tblStylePr w:type="firstRow">
      <w:rPr>
        <w:rFonts w:ascii="Arial" w:hAnsi="Arial"/>
        <w:b/>
        <w:color w:val="FFFFFF"/>
        <w:sz w:val="22"/>
      </w:rPr>
      <w:tblPr/>
      <w:tcPr>
        <w:shd w:val="clear" w:color="A02B93" w:fill="A02B9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fill="EEC2E9"/>
      </w:tcPr>
    </w:tblStylePr>
    <w:tblStylePr w:type="band1Horz">
      <w:rPr>
        <w:rFonts w:ascii="Arial" w:hAnsi="Arial"/>
        <w:color w:val="404040"/>
        <w:sz w:val="22"/>
      </w:rPr>
      <w:tblPr/>
      <w:tcPr>
        <w:shd w:val="clear" w:color="EEC2E9" w:fill="EEC2E9"/>
      </w:tcPr>
    </w:tblStylePr>
  </w:style>
  <w:style w:type="table" w:styleId="ListTable4-Accent6">
    <w:name w:val="List Table 4 Accent 6"/>
    <w:basedOn w:val="TableNormal"/>
    <w:uiPriority w:val="99"/>
    <w:tblPr>
      <w:tblStyleRowBandSize w:val="1"/>
      <w:tblStyleColBandSize w:val="1"/>
      <w:tblBorders>
        <w:top w:val="single" w:sz="4" w:space="0" w:color="94DA7B"/>
        <w:left w:val="single" w:sz="4" w:space="0" w:color="94DA7B"/>
        <w:bottom w:val="single" w:sz="4" w:space="0" w:color="94DA7B"/>
        <w:right w:val="single" w:sz="4" w:space="0" w:color="94DA7B"/>
        <w:insideH w:val="single" w:sz="4" w:space="0" w:color="94DA7B"/>
      </w:tblBorders>
    </w:tblPr>
    <w:tblStylePr w:type="firstRow">
      <w:rPr>
        <w:rFonts w:ascii="Arial" w:hAnsi="Arial"/>
        <w:b/>
        <w:color w:val="FFFFFF"/>
        <w:sz w:val="22"/>
      </w:rPr>
      <w:tblPr/>
      <w:tcPr>
        <w:shd w:val="clear" w:color="4EA72E" w:fill="4EA72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fill="CFEFC4"/>
      </w:tcPr>
    </w:tblStylePr>
    <w:tblStylePr w:type="band1Horz">
      <w:rPr>
        <w:rFonts w:ascii="Arial" w:hAnsi="Arial"/>
        <w:color w:val="404040"/>
        <w:sz w:val="22"/>
      </w:rPr>
      <w:tblPr/>
      <w:tcPr>
        <w:shd w:val="clear" w:color="CFEFC4" w:fill="CFEFC4"/>
      </w:tcPr>
    </w:tblStylePr>
  </w:style>
  <w:style w:type="table" w:styleId="ListTable5Dark-Accent1">
    <w:name w:val="List Table 5 Dark Accent 1"/>
    <w:basedOn w:val="TableNormal"/>
    <w:uiPriority w:val="99"/>
    <w:tblPr>
      <w:tblStyleRowBandSize w:val="1"/>
      <w:tblStyleColBandSize w:val="1"/>
      <w:tblBorders>
        <w:top w:val="single" w:sz="32" w:space="0" w:color="156082"/>
        <w:left w:val="single" w:sz="32" w:space="0" w:color="156082"/>
        <w:bottom w:val="single" w:sz="32" w:space="0" w:color="156082"/>
        <w:right w:val="single" w:sz="32" w:space="0" w:color="156082"/>
      </w:tblBorders>
      <w:shd w:val="clear" w:color="156082" w:fill="156082"/>
    </w:tblPr>
    <w:tblStylePr w:type="firstRow">
      <w:rPr>
        <w:rFonts w:ascii="Arial" w:hAnsi="Arial"/>
        <w:b/>
        <w:color w:val="FFFFFF"/>
        <w:sz w:val="22"/>
      </w:rPr>
      <w:tblPr/>
      <w:tcPr>
        <w:tcBorders>
          <w:top w:val="single" w:sz="32" w:space="0" w:color="156082"/>
          <w:bottom w:val="single" w:sz="12" w:space="0" w:color="FFFFFF"/>
        </w:tcBorders>
        <w:shd w:val="clear" w:color="156082" w:fill="156082"/>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156082"/>
          <w:right w:val="single" w:sz="4" w:space="0" w:color="FFFFFF"/>
        </w:tcBorders>
      </w:tcPr>
    </w:tblStylePr>
    <w:tblStylePr w:type="lastCol">
      <w:tblPr/>
      <w:tcPr>
        <w:tcBorders>
          <w:left w:val="single" w:sz="4" w:space="0" w:color="FFFFFF"/>
          <w:right w:val="single" w:sz="32" w:space="0" w:color="156082"/>
        </w:tcBorders>
      </w:tcPr>
    </w:tblStylePr>
    <w:tblStylePr w:type="band1Vert">
      <w:tblPr/>
      <w:tcPr>
        <w:tcBorders>
          <w:left w:val="single" w:sz="4" w:space="0" w:color="FFFFFF"/>
          <w:right w:val="single" w:sz="4" w:space="0" w:color="FFFFFF"/>
        </w:tcBorders>
        <w:shd w:val="clear" w:color="156082" w:fill="156082"/>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156082" w:fill="156082"/>
      </w:tcPr>
    </w:tblStylePr>
    <w:tblStylePr w:type="band2Horz">
      <w:tblPr/>
      <w:tcPr>
        <w:tcBorders>
          <w:top w:val="single" w:sz="4" w:space="0" w:color="FFFFFF"/>
          <w:bottom w:val="single" w:sz="4" w:space="0" w:color="FFFFFF"/>
        </w:tcBorders>
        <w:shd w:val="clear" w:color="156082" w:fill="156082"/>
      </w:tcPr>
    </w:tblStylePr>
  </w:style>
  <w:style w:type="table" w:styleId="ListTable5Dark-Accent2">
    <w:name w:val="List Table 5 Dark Accent 2"/>
    <w:basedOn w:val="TableNormal"/>
    <w:uiPriority w:val="99"/>
    <w:tblPr>
      <w:tblStyleRowBandSize w:val="1"/>
      <w:tblStyleColBandSize w:val="1"/>
      <w:tblBorders>
        <w:top w:val="single" w:sz="32" w:space="0" w:color="F2AA85"/>
        <w:left w:val="single" w:sz="32" w:space="0" w:color="F2AA85"/>
        <w:bottom w:val="single" w:sz="32" w:space="0" w:color="F2AA85"/>
        <w:right w:val="single" w:sz="32" w:space="0" w:color="F2AA85"/>
      </w:tblBorders>
      <w:shd w:val="clear" w:color="F2AA85" w:fill="F2AA85"/>
    </w:tblPr>
    <w:tblStylePr w:type="firstRow">
      <w:rPr>
        <w:rFonts w:ascii="Arial" w:hAnsi="Arial"/>
        <w:b/>
        <w:color w:val="FFFFFF"/>
        <w:sz w:val="22"/>
      </w:rPr>
      <w:tblPr/>
      <w:tcPr>
        <w:tcBorders>
          <w:top w:val="single" w:sz="32" w:space="0" w:color="F2AA85"/>
          <w:bottom w:val="single" w:sz="12" w:space="0" w:color="FFFFFF"/>
        </w:tcBorders>
        <w:shd w:val="clear" w:color="F2AA85" w:fill="F2AA8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2AA85"/>
          <w:right w:val="single" w:sz="4" w:space="0" w:color="FFFFFF"/>
        </w:tcBorders>
      </w:tcPr>
    </w:tblStylePr>
    <w:tblStylePr w:type="lastCol">
      <w:tblPr/>
      <w:tcPr>
        <w:tcBorders>
          <w:left w:val="single" w:sz="4" w:space="0" w:color="FFFFFF"/>
          <w:right w:val="single" w:sz="32" w:space="0" w:color="F2AA85"/>
        </w:tcBorders>
      </w:tcPr>
    </w:tblStylePr>
    <w:tblStylePr w:type="band1Vert">
      <w:tblPr/>
      <w:tcPr>
        <w:tcBorders>
          <w:left w:val="single" w:sz="4" w:space="0" w:color="FFFFFF"/>
          <w:right w:val="single" w:sz="4" w:space="0" w:color="FFFFFF"/>
        </w:tcBorders>
        <w:shd w:val="clear" w:color="F2AA85" w:fill="F2AA8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2AA85" w:fill="F2AA85"/>
      </w:tcPr>
    </w:tblStylePr>
    <w:tblStylePr w:type="band2Horz">
      <w:tblPr/>
      <w:tcPr>
        <w:tcBorders>
          <w:top w:val="single" w:sz="4" w:space="0" w:color="FFFFFF"/>
          <w:bottom w:val="single" w:sz="4" w:space="0" w:color="FFFFFF"/>
        </w:tcBorders>
        <w:shd w:val="clear" w:color="F2AA85" w:fill="F2AA85"/>
      </w:tcPr>
    </w:tblStylePr>
  </w:style>
  <w:style w:type="table" w:styleId="ListTable5Dark-Accent3">
    <w:name w:val="List Table 5 Dark Accent 3"/>
    <w:basedOn w:val="TableNormal"/>
    <w:uiPriority w:val="99"/>
    <w:tblPr>
      <w:tblStyleRowBandSize w:val="1"/>
      <w:tblStyleColBandSize w:val="1"/>
      <w:tblBorders>
        <w:top w:val="single" w:sz="32" w:space="0" w:color="48D45B"/>
        <w:left w:val="single" w:sz="32" w:space="0" w:color="48D45B"/>
        <w:bottom w:val="single" w:sz="32" w:space="0" w:color="48D45B"/>
        <w:right w:val="single" w:sz="32" w:space="0" w:color="48D45B"/>
      </w:tblBorders>
      <w:shd w:val="clear" w:color="48D45B" w:fill="48D45B"/>
    </w:tblPr>
    <w:tblStylePr w:type="firstRow">
      <w:rPr>
        <w:rFonts w:ascii="Arial" w:hAnsi="Arial"/>
        <w:b/>
        <w:color w:val="FFFFFF"/>
        <w:sz w:val="22"/>
      </w:rPr>
      <w:tblPr/>
      <w:tcPr>
        <w:tcBorders>
          <w:top w:val="single" w:sz="32" w:space="0" w:color="48D45B"/>
          <w:bottom w:val="single" w:sz="12" w:space="0" w:color="FFFFFF"/>
        </w:tcBorders>
        <w:shd w:val="clear" w:color="48D45B" w:fill="48D45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8D45B"/>
          <w:right w:val="single" w:sz="4" w:space="0" w:color="FFFFFF"/>
        </w:tcBorders>
      </w:tcPr>
    </w:tblStylePr>
    <w:tblStylePr w:type="lastCol">
      <w:tblPr/>
      <w:tcPr>
        <w:tcBorders>
          <w:left w:val="single" w:sz="4" w:space="0" w:color="FFFFFF"/>
          <w:right w:val="single" w:sz="32" w:space="0" w:color="48D45B"/>
        </w:tcBorders>
      </w:tcPr>
    </w:tblStylePr>
    <w:tblStylePr w:type="band1Vert">
      <w:tblPr/>
      <w:tcPr>
        <w:tcBorders>
          <w:left w:val="single" w:sz="4" w:space="0" w:color="FFFFFF"/>
          <w:right w:val="single" w:sz="4" w:space="0" w:color="FFFFFF"/>
        </w:tcBorders>
        <w:shd w:val="clear" w:color="48D45B" w:fill="48D45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8D45B" w:fill="48D45B"/>
      </w:tcPr>
    </w:tblStylePr>
    <w:tblStylePr w:type="band2Horz">
      <w:tblPr/>
      <w:tcPr>
        <w:tcBorders>
          <w:top w:val="single" w:sz="4" w:space="0" w:color="FFFFFF"/>
          <w:bottom w:val="single" w:sz="4" w:space="0" w:color="FFFFFF"/>
        </w:tcBorders>
        <w:shd w:val="clear" w:color="48D45B" w:fill="48D45B"/>
      </w:tcPr>
    </w:tblStylePr>
  </w:style>
  <w:style w:type="table" w:styleId="ListTable5Dark-Accent4">
    <w:name w:val="List Table 5 Dark Accent 4"/>
    <w:basedOn w:val="TableNormal"/>
    <w:uiPriority w:val="99"/>
    <w:tblPr>
      <w:tblStyleRowBandSize w:val="1"/>
      <w:tblStyleColBandSize w:val="1"/>
      <w:tblBorders>
        <w:top w:val="single" w:sz="32" w:space="0" w:color="5FCAF3"/>
        <w:left w:val="single" w:sz="32" w:space="0" w:color="5FCAF3"/>
        <w:bottom w:val="single" w:sz="32" w:space="0" w:color="5FCAF3"/>
        <w:right w:val="single" w:sz="32" w:space="0" w:color="5FCAF3"/>
      </w:tblBorders>
      <w:shd w:val="clear" w:color="5FCAF3" w:fill="5FCAF3"/>
    </w:tblPr>
    <w:tblStylePr w:type="firstRow">
      <w:rPr>
        <w:rFonts w:ascii="Arial" w:hAnsi="Arial"/>
        <w:b/>
        <w:color w:val="FFFFFF"/>
        <w:sz w:val="22"/>
      </w:rPr>
      <w:tblPr/>
      <w:tcPr>
        <w:tcBorders>
          <w:top w:val="single" w:sz="32" w:space="0" w:color="5FCAF3"/>
          <w:bottom w:val="single" w:sz="12" w:space="0" w:color="FFFFFF"/>
        </w:tcBorders>
        <w:shd w:val="clear" w:color="5FCAF3" w:fill="5FCAF3"/>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FCAF3"/>
          <w:right w:val="single" w:sz="4" w:space="0" w:color="FFFFFF"/>
        </w:tcBorders>
      </w:tcPr>
    </w:tblStylePr>
    <w:tblStylePr w:type="lastCol">
      <w:tblPr/>
      <w:tcPr>
        <w:tcBorders>
          <w:left w:val="single" w:sz="4" w:space="0" w:color="FFFFFF"/>
          <w:right w:val="single" w:sz="32" w:space="0" w:color="5FCAF3"/>
        </w:tcBorders>
      </w:tcPr>
    </w:tblStylePr>
    <w:tblStylePr w:type="band1Vert">
      <w:tblPr/>
      <w:tcPr>
        <w:tcBorders>
          <w:left w:val="single" w:sz="4" w:space="0" w:color="FFFFFF"/>
          <w:right w:val="single" w:sz="4" w:space="0" w:color="FFFFFF"/>
        </w:tcBorders>
        <w:shd w:val="clear" w:color="5FCAF3" w:fill="5FCAF3"/>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FCAF3" w:fill="5FCAF3"/>
      </w:tcPr>
    </w:tblStylePr>
    <w:tblStylePr w:type="band2Horz">
      <w:tblPr/>
      <w:tcPr>
        <w:tcBorders>
          <w:top w:val="single" w:sz="4" w:space="0" w:color="FFFFFF"/>
          <w:bottom w:val="single" w:sz="4" w:space="0" w:color="FFFFFF"/>
        </w:tcBorders>
        <w:shd w:val="clear" w:color="5FCAF3" w:fill="5FCAF3"/>
      </w:tcPr>
    </w:tblStylePr>
  </w:style>
  <w:style w:type="table" w:styleId="ListTable5Dark-Accent5">
    <w:name w:val="List Table 5 Dark Accent 5"/>
    <w:basedOn w:val="TableNormal"/>
    <w:uiPriority w:val="99"/>
    <w:tblPr>
      <w:tblStyleRowBandSize w:val="1"/>
      <w:tblStyleColBandSize w:val="1"/>
      <w:tblBorders>
        <w:top w:val="single" w:sz="32" w:space="0" w:color="D76CCB"/>
        <w:left w:val="single" w:sz="32" w:space="0" w:color="D76CCB"/>
        <w:bottom w:val="single" w:sz="32" w:space="0" w:color="D76CCB"/>
        <w:right w:val="single" w:sz="32" w:space="0" w:color="D76CCB"/>
      </w:tblBorders>
      <w:shd w:val="clear" w:color="D76CCB" w:fill="D76CCB"/>
    </w:tblPr>
    <w:tblStylePr w:type="firstRow">
      <w:rPr>
        <w:rFonts w:ascii="Arial" w:hAnsi="Arial"/>
        <w:b/>
        <w:color w:val="FFFFFF"/>
        <w:sz w:val="22"/>
      </w:rPr>
      <w:tblPr/>
      <w:tcPr>
        <w:tcBorders>
          <w:top w:val="single" w:sz="32" w:space="0" w:color="D76CCB"/>
          <w:bottom w:val="single" w:sz="12" w:space="0" w:color="FFFFFF"/>
        </w:tcBorders>
        <w:shd w:val="clear" w:color="D76CCB" w:fill="D76CC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76CCB"/>
          <w:right w:val="single" w:sz="4" w:space="0" w:color="FFFFFF"/>
        </w:tcBorders>
      </w:tcPr>
    </w:tblStylePr>
    <w:tblStylePr w:type="lastCol">
      <w:tblPr/>
      <w:tcPr>
        <w:tcBorders>
          <w:left w:val="single" w:sz="4" w:space="0" w:color="FFFFFF"/>
          <w:right w:val="single" w:sz="32" w:space="0" w:color="D76CCB"/>
        </w:tcBorders>
      </w:tcPr>
    </w:tblStylePr>
    <w:tblStylePr w:type="band1Vert">
      <w:tblPr/>
      <w:tcPr>
        <w:tcBorders>
          <w:left w:val="single" w:sz="4" w:space="0" w:color="FFFFFF"/>
          <w:right w:val="single" w:sz="4" w:space="0" w:color="FFFFFF"/>
        </w:tcBorders>
        <w:shd w:val="clear" w:color="D76CCB" w:fill="D76CC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76CCB" w:fill="D76CCB"/>
      </w:tcPr>
    </w:tblStylePr>
    <w:tblStylePr w:type="band2Horz">
      <w:tblPr/>
      <w:tcPr>
        <w:tcBorders>
          <w:top w:val="single" w:sz="4" w:space="0" w:color="FFFFFF"/>
          <w:bottom w:val="single" w:sz="4" w:space="0" w:color="FFFFFF"/>
        </w:tcBorders>
        <w:shd w:val="clear" w:color="D76CCB" w:fill="D76CCB"/>
      </w:tcPr>
    </w:tblStylePr>
  </w:style>
  <w:style w:type="table" w:styleId="ListTable5Dark-Accent6">
    <w:name w:val="List Table 5 Dark Accent 6"/>
    <w:basedOn w:val="TableNormal"/>
    <w:uiPriority w:val="99"/>
    <w:tblPr>
      <w:tblStyleRowBandSize w:val="1"/>
      <w:tblStyleColBandSize w:val="1"/>
      <w:tblBorders>
        <w:top w:val="single" w:sz="32" w:space="0" w:color="8ED873"/>
        <w:left w:val="single" w:sz="32" w:space="0" w:color="8ED873"/>
        <w:bottom w:val="single" w:sz="32" w:space="0" w:color="8ED873"/>
        <w:right w:val="single" w:sz="32" w:space="0" w:color="8ED873"/>
      </w:tblBorders>
      <w:shd w:val="clear" w:color="8ED873" w:fill="8ED873"/>
    </w:tblPr>
    <w:tblStylePr w:type="firstRow">
      <w:rPr>
        <w:rFonts w:ascii="Arial" w:hAnsi="Arial"/>
        <w:b/>
        <w:color w:val="FFFFFF"/>
        <w:sz w:val="22"/>
      </w:rPr>
      <w:tblPr/>
      <w:tcPr>
        <w:tcBorders>
          <w:top w:val="single" w:sz="32" w:space="0" w:color="8ED873"/>
          <w:bottom w:val="single" w:sz="12" w:space="0" w:color="FFFFFF"/>
        </w:tcBorders>
        <w:shd w:val="clear" w:color="8ED873" w:fill="8ED873"/>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ED873"/>
          <w:right w:val="single" w:sz="4" w:space="0" w:color="FFFFFF"/>
        </w:tcBorders>
      </w:tcPr>
    </w:tblStylePr>
    <w:tblStylePr w:type="lastCol">
      <w:tblPr/>
      <w:tcPr>
        <w:tcBorders>
          <w:left w:val="single" w:sz="4" w:space="0" w:color="FFFFFF"/>
          <w:right w:val="single" w:sz="32" w:space="0" w:color="8ED873"/>
        </w:tcBorders>
      </w:tcPr>
    </w:tblStylePr>
    <w:tblStylePr w:type="band1Vert">
      <w:tblPr/>
      <w:tcPr>
        <w:tcBorders>
          <w:left w:val="single" w:sz="4" w:space="0" w:color="FFFFFF"/>
          <w:right w:val="single" w:sz="4" w:space="0" w:color="FFFFFF"/>
        </w:tcBorders>
        <w:shd w:val="clear" w:color="8ED873" w:fill="8ED873"/>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ED873" w:fill="8ED873"/>
      </w:tcPr>
    </w:tblStylePr>
    <w:tblStylePr w:type="band2Horz">
      <w:tblPr/>
      <w:tcPr>
        <w:tcBorders>
          <w:top w:val="single" w:sz="4" w:space="0" w:color="FFFFFF"/>
          <w:bottom w:val="single" w:sz="4" w:space="0" w:color="FFFFFF"/>
        </w:tcBorders>
        <w:shd w:val="clear" w:color="8ED873" w:fill="8ED873"/>
      </w:tcPr>
    </w:tblStylePr>
  </w:style>
  <w:style w:type="table" w:styleId="ListTable6Colorful-Accent1">
    <w:name w:val="List Table 6 Colorful Accent 1"/>
    <w:basedOn w:val="TableNormal"/>
    <w:uiPriority w:val="99"/>
    <w:tblPr>
      <w:tblStyleRowBandSize w:val="1"/>
      <w:tblStyleColBandSize w:val="1"/>
      <w:tblBorders>
        <w:top w:val="single" w:sz="4" w:space="0" w:color="156082"/>
        <w:bottom w:val="single" w:sz="4" w:space="0" w:color="156082"/>
      </w:tblBorders>
    </w:tblPr>
    <w:tblStylePr w:type="firstRow">
      <w:rPr>
        <w:b/>
        <w:color w:val="0C374B"/>
      </w:rPr>
      <w:tblPr/>
      <w:tcPr>
        <w:tcBorders>
          <w:bottom w:val="single" w:sz="4" w:space="0" w:color="156082"/>
        </w:tcBorders>
      </w:tcPr>
    </w:tblStylePr>
    <w:tblStylePr w:type="lastRow">
      <w:rPr>
        <w:b/>
        <w:color w:val="0C374B"/>
      </w:rPr>
      <w:tblPr/>
      <w:tcPr>
        <w:tcBorders>
          <w:top w:val="single" w:sz="4" w:space="0" w:color="156082"/>
        </w:tcBorders>
      </w:tcPr>
    </w:tblStylePr>
    <w:tblStylePr w:type="firstCol">
      <w:rPr>
        <w:b/>
        <w:color w:val="0C374B"/>
      </w:rPr>
    </w:tblStylePr>
    <w:tblStylePr w:type="lastCol">
      <w:rPr>
        <w:b/>
        <w:color w:val="0C374B"/>
      </w:rPr>
    </w:tblStylePr>
    <w:tblStylePr w:type="band1Vert">
      <w:tblPr/>
      <w:tcPr>
        <w:shd w:val="clear" w:color="B1DEF2" w:fill="B1DEF2"/>
      </w:tcPr>
    </w:tblStylePr>
    <w:tblStylePr w:type="band1Horz">
      <w:rPr>
        <w:rFonts w:ascii="Arial" w:hAnsi="Arial"/>
        <w:color w:val="0C374B"/>
        <w:sz w:val="22"/>
      </w:rPr>
      <w:tblPr/>
      <w:tcPr>
        <w:shd w:val="clear" w:color="B1DEF2" w:fill="B1DEF2"/>
      </w:tcPr>
    </w:tblStylePr>
    <w:tblStylePr w:type="band2Horz">
      <w:rPr>
        <w:rFonts w:ascii="Arial" w:hAnsi="Arial"/>
        <w:color w:val="0C374B"/>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F2AA85"/>
        <w:bottom w:val="single" w:sz="4" w:space="0" w:color="F2AA85"/>
      </w:tblBorders>
    </w:tblPr>
    <w:tblStylePr w:type="firstRow">
      <w:rPr>
        <w:b/>
        <w:color w:val="F2AA85"/>
      </w:rPr>
      <w:tblPr/>
      <w:tcPr>
        <w:tcBorders>
          <w:bottom w:val="single" w:sz="4" w:space="0" w:color="F2AA85"/>
        </w:tcBorders>
      </w:tcPr>
    </w:tblStylePr>
    <w:tblStylePr w:type="lastRow">
      <w:rPr>
        <w:b/>
        <w:color w:val="F2AA85"/>
      </w:rPr>
      <w:tblPr/>
      <w:tcPr>
        <w:tcBorders>
          <w:top w:val="single" w:sz="4" w:space="0" w:color="F2AA85"/>
        </w:tcBorders>
      </w:tcPr>
    </w:tblStylePr>
    <w:tblStylePr w:type="firstCol">
      <w:rPr>
        <w:b/>
        <w:color w:val="F2AA85"/>
      </w:rPr>
    </w:tblStylePr>
    <w:tblStylePr w:type="lastCol">
      <w:rPr>
        <w:b/>
        <w:color w:val="F2AA85"/>
      </w:rPr>
    </w:tblStylePr>
    <w:tblStylePr w:type="band1Vert">
      <w:tblPr/>
      <w:tcPr>
        <w:shd w:val="clear" w:color="F9DBCB" w:fill="F9DBCB"/>
      </w:tcPr>
    </w:tblStylePr>
    <w:tblStylePr w:type="band1Horz">
      <w:rPr>
        <w:rFonts w:ascii="Arial" w:hAnsi="Arial"/>
        <w:color w:val="F2AA85"/>
        <w:sz w:val="22"/>
      </w:rPr>
      <w:tblPr/>
      <w:tcPr>
        <w:shd w:val="clear" w:color="F9DBCB" w:fill="F9DBCB"/>
      </w:tcPr>
    </w:tblStylePr>
    <w:tblStylePr w:type="band2Horz">
      <w:rPr>
        <w:rFonts w:ascii="Arial" w:hAnsi="Arial"/>
        <w:color w:val="F2AA8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48D45B"/>
        <w:bottom w:val="single" w:sz="4" w:space="0" w:color="48D45B"/>
      </w:tblBorders>
    </w:tblPr>
    <w:tblStylePr w:type="firstRow">
      <w:rPr>
        <w:b/>
        <w:color w:val="48D45B"/>
      </w:rPr>
      <w:tblPr/>
      <w:tcPr>
        <w:tcBorders>
          <w:bottom w:val="single" w:sz="4" w:space="0" w:color="48D45B"/>
        </w:tcBorders>
      </w:tcPr>
    </w:tblStylePr>
    <w:tblStylePr w:type="lastRow">
      <w:rPr>
        <w:b/>
        <w:color w:val="48D45B"/>
      </w:rPr>
      <w:tblPr/>
      <w:tcPr>
        <w:tcBorders>
          <w:top w:val="single" w:sz="4" w:space="0" w:color="48D45B"/>
        </w:tcBorders>
      </w:tcPr>
    </w:tblStylePr>
    <w:tblStylePr w:type="firstCol">
      <w:rPr>
        <w:b/>
        <w:color w:val="48D45B"/>
      </w:rPr>
    </w:tblStylePr>
    <w:tblStylePr w:type="lastCol">
      <w:rPr>
        <w:b/>
        <w:color w:val="48D45B"/>
      </w:rPr>
    </w:tblStylePr>
    <w:tblStylePr w:type="band1Vert">
      <w:tblPr/>
      <w:tcPr>
        <w:shd w:val="clear" w:color="B2EDB9" w:fill="B2EDB9"/>
      </w:tcPr>
    </w:tblStylePr>
    <w:tblStylePr w:type="band1Horz">
      <w:rPr>
        <w:rFonts w:ascii="Arial" w:hAnsi="Arial"/>
        <w:color w:val="48D45B"/>
        <w:sz w:val="22"/>
      </w:rPr>
      <w:tblPr/>
      <w:tcPr>
        <w:shd w:val="clear" w:color="B2EDB9" w:fill="B2EDB9"/>
      </w:tcPr>
    </w:tblStylePr>
    <w:tblStylePr w:type="band2Horz">
      <w:rPr>
        <w:rFonts w:ascii="Arial" w:hAnsi="Arial"/>
        <w:color w:val="48D45B"/>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5FCAF3"/>
        <w:bottom w:val="single" w:sz="4" w:space="0" w:color="5FCAF3"/>
      </w:tblBorders>
    </w:tblPr>
    <w:tblStylePr w:type="firstRow">
      <w:rPr>
        <w:b/>
        <w:color w:val="5FCAF3"/>
      </w:rPr>
      <w:tblPr/>
      <w:tcPr>
        <w:tcBorders>
          <w:bottom w:val="single" w:sz="4" w:space="0" w:color="5FCAF3"/>
        </w:tcBorders>
      </w:tcPr>
    </w:tblStylePr>
    <w:tblStylePr w:type="lastRow">
      <w:rPr>
        <w:b/>
        <w:color w:val="5FCAF3"/>
      </w:rPr>
      <w:tblPr/>
      <w:tcPr>
        <w:tcBorders>
          <w:top w:val="single" w:sz="4" w:space="0" w:color="5FCAF3"/>
        </w:tcBorders>
      </w:tcPr>
    </w:tblStylePr>
    <w:tblStylePr w:type="firstCol">
      <w:rPr>
        <w:b/>
        <w:color w:val="5FCAF3"/>
      </w:rPr>
    </w:tblStylePr>
    <w:tblStylePr w:type="lastCol">
      <w:rPr>
        <w:b/>
        <w:color w:val="5FCAF3"/>
      </w:rPr>
    </w:tblStylePr>
    <w:tblStylePr w:type="band1Vert">
      <w:tblPr/>
      <w:tcPr>
        <w:shd w:val="clear" w:color="BCE9FA" w:fill="BCE9FA"/>
      </w:tcPr>
    </w:tblStylePr>
    <w:tblStylePr w:type="band1Horz">
      <w:rPr>
        <w:rFonts w:ascii="Arial" w:hAnsi="Arial"/>
        <w:color w:val="5FCAF3"/>
        <w:sz w:val="22"/>
      </w:rPr>
      <w:tblPr/>
      <w:tcPr>
        <w:shd w:val="clear" w:color="BCE9FA" w:fill="BCE9FA"/>
      </w:tcPr>
    </w:tblStylePr>
    <w:tblStylePr w:type="band2Horz">
      <w:rPr>
        <w:rFonts w:ascii="Arial" w:hAnsi="Arial"/>
        <w:color w:val="5FCAF3"/>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D76CCB"/>
        <w:bottom w:val="single" w:sz="4" w:space="0" w:color="D76CCB"/>
      </w:tblBorders>
    </w:tblPr>
    <w:tblStylePr w:type="firstRow">
      <w:rPr>
        <w:b/>
        <w:color w:val="D76CCB"/>
      </w:rPr>
      <w:tblPr/>
      <w:tcPr>
        <w:tcBorders>
          <w:bottom w:val="single" w:sz="4" w:space="0" w:color="D76CCB"/>
        </w:tcBorders>
      </w:tcPr>
    </w:tblStylePr>
    <w:tblStylePr w:type="lastRow">
      <w:rPr>
        <w:b/>
        <w:color w:val="D76CCB"/>
      </w:rPr>
      <w:tblPr/>
      <w:tcPr>
        <w:tcBorders>
          <w:top w:val="single" w:sz="4" w:space="0" w:color="D76CCB"/>
        </w:tcBorders>
      </w:tcPr>
    </w:tblStylePr>
    <w:tblStylePr w:type="firstCol">
      <w:rPr>
        <w:b/>
        <w:color w:val="D76CCB"/>
      </w:rPr>
    </w:tblStylePr>
    <w:tblStylePr w:type="lastCol">
      <w:rPr>
        <w:b/>
        <w:color w:val="D76CCB"/>
      </w:rPr>
    </w:tblStylePr>
    <w:tblStylePr w:type="band1Vert">
      <w:tblPr/>
      <w:tcPr>
        <w:shd w:val="clear" w:color="EEC2E9" w:fill="EEC2E9"/>
      </w:tcPr>
    </w:tblStylePr>
    <w:tblStylePr w:type="band1Horz">
      <w:rPr>
        <w:rFonts w:ascii="Arial" w:hAnsi="Arial"/>
        <w:color w:val="D76CCB"/>
        <w:sz w:val="22"/>
      </w:rPr>
      <w:tblPr/>
      <w:tcPr>
        <w:shd w:val="clear" w:color="EEC2E9" w:fill="EEC2E9"/>
      </w:tcPr>
    </w:tblStylePr>
    <w:tblStylePr w:type="band2Horz">
      <w:rPr>
        <w:rFonts w:ascii="Arial" w:hAnsi="Arial"/>
        <w:color w:val="D76CCB"/>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8ED873"/>
        <w:bottom w:val="single" w:sz="4" w:space="0" w:color="8ED873"/>
      </w:tblBorders>
    </w:tblPr>
    <w:tblStylePr w:type="firstRow">
      <w:rPr>
        <w:b/>
        <w:color w:val="8ED873"/>
      </w:rPr>
      <w:tblPr/>
      <w:tcPr>
        <w:tcBorders>
          <w:bottom w:val="single" w:sz="4" w:space="0" w:color="8ED873"/>
        </w:tcBorders>
      </w:tcPr>
    </w:tblStylePr>
    <w:tblStylePr w:type="lastRow">
      <w:rPr>
        <w:b/>
        <w:color w:val="8ED873"/>
      </w:rPr>
      <w:tblPr/>
      <w:tcPr>
        <w:tcBorders>
          <w:top w:val="single" w:sz="4" w:space="0" w:color="8ED873"/>
        </w:tcBorders>
      </w:tcPr>
    </w:tblStylePr>
    <w:tblStylePr w:type="firstCol">
      <w:rPr>
        <w:b/>
        <w:color w:val="8ED873"/>
      </w:rPr>
    </w:tblStylePr>
    <w:tblStylePr w:type="lastCol">
      <w:rPr>
        <w:b/>
        <w:color w:val="8ED873"/>
      </w:rPr>
    </w:tblStylePr>
    <w:tblStylePr w:type="band1Vert">
      <w:tblPr/>
      <w:tcPr>
        <w:shd w:val="clear" w:color="CFEFC4" w:fill="CFEFC4"/>
      </w:tcPr>
    </w:tblStylePr>
    <w:tblStylePr w:type="band1Horz">
      <w:rPr>
        <w:rFonts w:ascii="Arial" w:hAnsi="Arial"/>
        <w:color w:val="8ED873"/>
        <w:sz w:val="22"/>
      </w:rPr>
      <w:tblPr/>
      <w:tcPr>
        <w:shd w:val="clear" w:color="CFEFC4" w:fill="CFEFC4"/>
      </w:tcPr>
    </w:tblStylePr>
    <w:tblStylePr w:type="band2Horz">
      <w:rPr>
        <w:rFonts w:ascii="Arial" w:hAnsi="Arial"/>
        <w:color w:val="8ED873"/>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156082"/>
      </w:tblBorders>
    </w:tblPr>
    <w:tblStylePr w:type="firstRow">
      <w:rPr>
        <w:rFonts w:ascii="Arial" w:hAnsi="Arial"/>
        <w:i/>
        <w:color w:val="0C374B"/>
        <w:sz w:val="22"/>
      </w:rPr>
      <w:tblPr/>
      <w:tcPr>
        <w:tcBorders>
          <w:top w:val="none" w:sz="0" w:space="0" w:color="000000"/>
          <w:left w:val="none" w:sz="0" w:space="0" w:color="000000"/>
          <w:bottom w:val="single" w:sz="4" w:space="0" w:color="156082"/>
          <w:right w:val="none" w:sz="0" w:space="0" w:color="000000"/>
        </w:tcBorders>
        <w:shd w:val="clear" w:color="FFFFFF" w:fill="FFFFFF"/>
      </w:tcPr>
    </w:tblStylePr>
    <w:tblStylePr w:type="lastRow">
      <w:rPr>
        <w:rFonts w:ascii="Arial" w:hAnsi="Arial"/>
        <w:i/>
        <w:color w:val="0C374B"/>
        <w:sz w:val="22"/>
      </w:rPr>
      <w:tblPr/>
      <w:tcPr>
        <w:tcBorders>
          <w:top w:val="single" w:sz="4" w:space="0" w:color="156082"/>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0C374B"/>
        <w:sz w:val="22"/>
      </w:rPr>
      <w:tblPr/>
      <w:tcPr>
        <w:tcBorders>
          <w:top w:val="none" w:sz="0" w:space="0" w:color="000000"/>
          <w:left w:val="none" w:sz="0" w:space="0" w:color="000000"/>
          <w:bottom w:val="none" w:sz="0" w:space="0" w:color="000000"/>
          <w:right w:val="single" w:sz="4" w:space="0" w:color="156082"/>
        </w:tcBorders>
        <w:shd w:val="clear" w:color="FFFFFF" w:fill="auto"/>
      </w:tcPr>
    </w:tblStylePr>
    <w:tblStylePr w:type="lastCol">
      <w:rPr>
        <w:rFonts w:ascii="Arial" w:hAnsi="Arial"/>
        <w:i/>
        <w:color w:val="0C374B"/>
        <w:sz w:val="22"/>
      </w:rPr>
      <w:tblPr/>
      <w:tcPr>
        <w:tcBorders>
          <w:top w:val="none" w:sz="0" w:space="0" w:color="000000"/>
          <w:left w:val="single" w:sz="4" w:space="0" w:color="156082"/>
          <w:bottom w:val="none" w:sz="0" w:space="0" w:color="000000"/>
          <w:right w:val="none" w:sz="0" w:space="0" w:color="000000"/>
        </w:tcBorders>
        <w:shd w:val="clear" w:color="FFFFFF" w:fill="auto"/>
      </w:tcPr>
    </w:tblStylePr>
    <w:tblStylePr w:type="band1Vert">
      <w:tblPr/>
      <w:tcPr>
        <w:shd w:val="clear" w:color="B1DEF2" w:fill="B1DEF2"/>
      </w:tcPr>
    </w:tblStylePr>
    <w:tblStylePr w:type="band1Horz">
      <w:rPr>
        <w:rFonts w:ascii="Arial" w:hAnsi="Arial"/>
        <w:color w:val="0C374B"/>
        <w:sz w:val="22"/>
      </w:rPr>
      <w:tblPr/>
      <w:tcPr>
        <w:shd w:val="clear" w:color="B1DEF2" w:fill="B1DEF2"/>
      </w:tcPr>
    </w:tblStylePr>
    <w:tblStylePr w:type="band2Horz">
      <w:rPr>
        <w:rFonts w:ascii="Arial" w:hAnsi="Arial"/>
        <w:color w:val="0C374B"/>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F2AA85"/>
      </w:tblBorders>
    </w:tblPr>
    <w:tblStylePr w:type="firstRow">
      <w:rPr>
        <w:rFonts w:ascii="Arial" w:hAnsi="Arial"/>
        <w:i/>
        <w:color w:val="F2AA85"/>
        <w:sz w:val="22"/>
      </w:rPr>
      <w:tblPr/>
      <w:tcPr>
        <w:tcBorders>
          <w:top w:val="none" w:sz="0" w:space="0" w:color="000000"/>
          <w:left w:val="none" w:sz="0" w:space="0" w:color="000000"/>
          <w:bottom w:val="single" w:sz="4" w:space="0" w:color="F2AA85"/>
          <w:right w:val="none" w:sz="0" w:space="0" w:color="000000"/>
        </w:tcBorders>
        <w:shd w:val="clear" w:color="FFFFFF" w:fill="FFFFFF"/>
      </w:tcPr>
    </w:tblStylePr>
    <w:tblStylePr w:type="lastRow">
      <w:rPr>
        <w:rFonts w:ascii="Arial" w:hAnsi="Arial"/>
        <w:i/>
        <w:color w:val="F2AA85"/>
        <w:sz w:val="22"/>
      </w:rPr>
      <w:tblPr/>
      <w:tcPr>
        <w:tcBorders>
          <w:top w:val="single" w:sz="4" w:space="0" w:color="F2AA8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2AA85"/>
        <w:sz w:val="22"/>
      </w:rPr>
      <w:tblPr/>
      <w:tcPr>
        <w:tcBorders>
          <w:top w:val="none" w:sz="0" w:space="0" w:color="000000"/>
          <w:left w:val="none" w:sz="0" w:space="0" w:color="000000"/>
          <w:bottom w:val="none" w:sz="0" w:space="0" w:color="000000"/>
          <w:right w:val="single" w:sz="4" w:space="0" w:color="F2AA85"/>
        </w:tcBorders>
        <w:shd w:val="clear" w:color="FFFFFF" w:fill="auto"/>
      </w:tcPr>
    </w:tblStylePr>
    <w:tblStylePr w:type="lastCol">
      <w:rPr>
        <w:rFonts w:ascii="Arial" w:hAnsi="Arial"/>
        <w:i/>
        <w:color w:val="F2AA85"/>
        <w:sz w:val="22"/>
      </w:rPr>
      <w:tblPr/>
      <w:tcPr>
        <w:tcBorders>
          <w:top w:val="none" w:sz="0" w:space="0" w:color="000000"/>
          <w:left w:val="single" w:sz="4" w:space="0" w:color="F2AA85"/>
          <w:bottom w:val="none" w:sz="0" w:space="0" w:color="000000"/>
          <w:right w:val="none" w:sz="0" w:space="0" w:color="000000"/>
        </w:tcBorders>
        <w:shd w:val="clear" w:color="FFFFFF" w:fill="auto"/>
      </w:tcPr>
    </w:tblStylePr>
    <w:tblStylePr w:type="band1Vert">
      <w:tblPr/>
      <w:tcPr>
        <w:shd w:val="clear" w:color="F9DBCB" w:fill="F9DBCB"/>
      </w:tcPr>
    </w:tblStylePr>
    <w:tblStylePr w:type="band1Horz">
      <w:rPr>
        <w:rFonts w:ascii="Arial" w:hAnsi="Arial"/>
        <w:color w:val="F2AA85"/>
        <w:sz w:val="22"/>
      </w:rPr>
      <w:tblPr/>
      <w:tcPr>
        <w:shd w:val="clear" w:color="F9DBCB" w:fill="F9DBCB"/>
      </w:tcPr>
    </w:tblStylePr>
    <w:tblStylePr w:type="band2Horz">
      <w:rPr>
        <w:rFonts w:ascii="Arial" w:hAnsi="Arial"/>
        <w:color w:val="F2AA8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48D45B"/>
      </w:tblBorders>
    </w:tblPr>
    <w:tblStylePr w:type="firstRow">
      <w:rPr>
        <w:rFonts w:ascii="Arial" w:hAnsi="Arial"/>
        <w:i/>
        <w:color w:val="48D45B"/>
        <w:sz w:val="22"/>
      </w:rPr>
      <w:tblPr/>
      <w:tcPr>
        <w:tcBorders>
          <w:top w:val="none" w:sz="0" w:space="0" w:color="000000"/>
          <w:left w:val="none" w:sz="0" w:space="0" w:color="000000"/>
          <w:bottom w:val="single" w:sz="4" w:space="0" w:color="48D45B"/>
          <w:right w:val="none" w:sz="0" w:space="0" w:color="000000"/>
        </w:tcBorders>
        <w:shd w:val="clear" w:color="FFFFFF" w:fill="FFFFFF"/>
      </w:tcPr>
    </w:tblStylePr>
    <w:tblStylePr w:type="lastRow">
      <w:rPr>
        <w:rFonts w:ascii="Arial" w:hAnsi="Arial"/>
        <w:i/>
        <w:color w:val="48D45B"/>
        <w:sz w:val="22"/>
      </w:rPr>
      <w:tblPr/>
      <w:tcPr>
        <w:tcBorders>
          <w:top w:val="single" w:sz="4" w:space="0" w:color="48D45B"/>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48D45B"/>
        <w:sz w:val="22"/>
      </w:rPr>
      <w:tblPr/>
      <w:tcPr>
        <w:tcBorders>
          <w:top w:val="none" w:sz="0" w:space="0" w:color="000000"/>
          <w:left w:val="none" w:sz="0" w:space="0" w:color="000000"/>
          <w:bottom w:val="none" w:sz="0" w:space="0" w:color="000000"/>
          <w:right w:val="single" w:sz="4" w:space="0" w:color="48D45B"/>
        </w:tcBorders>
        <w:shd w:val="clear" w:color="FFFFFF" w:fill="auto"/>
      </w:tcPr>
    </w:tblStylePr>
    <w:tblStylePr w:type="lastCol">
      <w:rPr>
        <w:rFonts w:ascii="Arial" w:hAnsi="Arial"/>
        <w:i/>
        <w:color w:val="48D45B"/>
        <w:sz w:val="22"/>
      </w:rPr>
      <w:tblPr/>
      <w:tcPr>
        <w:tcBorders>
          <w:top w:val="none" w:sz="0" w:space="0" w:color="000000"/>
          <w:left w:val="single" w:sz="4" w:space="0" w:color="48D45B"/>
          <w:bottom w:val="none" w:sz="0" w:space="0" w:color="000000"/>
          <w:right w:val="none" w:sz="0" w:space="0" w:color="000000"/>
        </w:tcBorders>
        <w:shd w:val="clear" w:color="FFFFFF" w:fill="auto"/>
      </w:tcPr>
    </w:tblStylePr>
    <w:tblStylePr w:type="band1Vert">
      <w:tblPr/>
      <w:tcPr>
        <w:shd w:val="clear" w:color="B2EDB9" w:fill="B2EDB9"/>
      </w:tcPr>
    </w:tblStylePr>
    <w:tblStylePr w:type="band1Horz">
      <w:rPr>
        <w:rFonts w:ascii="Arial" w:hAnsi="Arial"/>
        <w:color w:val="48D45B"/>
        <w:sz w:val="22"/>
      </w:rPr>
      <w:tblPr/>
      <w:tcPr>
        <w:shd w:val="clear" w:color="B2EDB9" w:fill="B2EDB9"/>
      </w:tcPr>
    </w:tblStylePr>
    <w:tblStylePr w:type="band2Horz">
      <w:rPr>
        <w:rFonts w:ascii="Arial" w:hAnsi="Arial"/>
        <w:color w:val="48D45B"/>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5FCAF3"/>
      </w:tblBorders>
    </w:tblPr>
    <w:tblStylePr w:type="firstRow">
      <w:rPr>
        <w:rFonts w:ascii="Arial" w:hAnsi="Arial"/>
        <w:i/>
        <w:color w:val="5FCAF3"/>
        <w:sz w:val="22"/>
      </w:rPr>
      <w:tblPr/>
      <w:tcPr>
        <w:tcBorders>
          <w:top w:val="none" w:sz="0" w:space="0" w:color="000000"/>
          <w:left w:val="none" w:sz="0" w:space="0" w:color="000000"/>
          <w:bottom w:val="single" w:sz="4" w:space="0" w:color="5FCAF3"/>
          <w:right w:val="none" w:sz="0" w:space="0" w:color="000000"/>
        </w:tcBorders>
        <w:shd w:val="clear" w:color="FFFFFF" w:fill="FFFFFF"/>
      </w:tcPr>
    </w:tblStylePr>
    <w:tblStylePr w:type="lastRow">
      <w:rPr>
        <w:rFonts w:ascii="Arial" w:hAnsi="Arial"/>
        <w:i/>
        <w:color w:val="5FCAF3"/>
        <w:sz w:val="22"/>
      </w:rPr>
      <w:tblPr/>
      <w:tcPr>
        <w:tcBorders>
          <w:top w:val="single" w:sz="4" w:space="0" w:color="5FCAF3"/>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5FCAF3"/>
        <w:sz w:val="22"/>
      </w:rPr>
      <w:tblPr/>
      <w:tcPr>
        <w:tcBorders>
          <w:top w:val="none" w:sz="0" w:space="0" w:color="000000"/>
          <w:left w:val="none" w:sz="0" w:space="0" w:color="000000"/>
          <w:bottom w:val="none" w:sz="0" w:space="0" w:color="000000"/>
          <w:right w:val="single" w:sz="4" w:space="0" w:color="5FCAF3"/>
        </w:tcBorders>
        <w:shd w:val="clear" w:color="FFFFFF" w:fill="auto"/>
      </w:tcPr>
    </w:tblStylePr>
    <w:tblStylePr w:type="lastCol">
      <w:rPr>
        <w:rFonts w:ascii="Arial" w:hAnsi="Arial"/>
        <w:i/>
        <w:color w:val="5FCAF3"/>
        <w:sz w:val="22"/>
      </w:rPr>
      <w:tblPr/>
      <w:tcPr>
        <w:tcBorders>
          <w:top w:val="none" w:sz="0" w:space="0" w:color="000000"/>
          <w:left w:val="single" w:sz="4" w:space="0" w:color="5FCAF3"/>
          <w:bottom w:val="none" w:sz="0" w:space="0" w:color="000000"/>
          <w:right w:val="none" w:sz="0" w:space="0" w:color="000000"/>
        </w:tcBorders>
        <w:shd w:val="clear" w:color="FFFFFF" w:fill="auto"/>
      </w:tcPr>
    </w:tblStylePr>
    <w:tblStylePr w:type="band1Vert">
      <w:tblPr/>
      <w:tcPr>
        <w:shd w:val="clear" w:color="BCE9FA" w:fill="BCE9FA"/>
      </w:tcPr>
    </w:tblStylePr>
    <w:tblStylePr w:type="band1Horz">
      <w:rPr>
        <w:rFonts w:ascii="Arial" w:hAnsi="Arial"/>
        <w:color w:val="5FCAF3"/>
        <w:sz w:val="22"/>
      </w:rPr>
      <w:tblPr/>
      <w:tcPr>
        <w:shd w:val="clear" w:color="BCE9FA" w:fill="BCE9FA"/>
      </w:tcPr>
    </w:tblStylePr>
    <w:tblStylePr w:type="band2Horz">
      <w:rPr>
        <w:rFonts w:ascii="Arial" w:hAnsi="Arial"/>
        <w:color w:val="5FCAF3"/>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D76CCB"/>
      </w:tblBorders>
    </w:tblPr>
    <w:tblStylePr w:type="firstRow">
      <w:rPr>
        <w:rFonts w:ascii="Arial" w:hAnsi="Arial"/>
        <w:i/>
        <w:color w:val="D76CCB"/>
        <w:sz w:val="22"/>
      </w:rPr>
      <w:tblPr/>
      <w:tcPr>
        <w:tcBorders>
          <w:top w:val="none" w:sz="0" w:space="0" w:color="000000"/>
          <w:left w:val="none" w:sz="0" w:space="0" w:color="000000"/>
          <w:bottom w:val="single" w:sz="4" w:space="0" w:color="D76CCB"/>
          <w:right w:val="none" w:sz="0" w:space="0" w:color="000000"/>
        </w:tcBorders>
        <w:shd w:val="clear" w:color="FFFFFF" w:fill="FFFFFF"/>
      </w:tcPr>
    </w:tblStylePr>
    <w:tblStylePr w:type="lastRow">
      <w:rPr>
        <w:rFonts w:ascii="Arial" w:hAnsi="Arial"/>
        <w:i/>
        <w:color w:val="D76CCB"/>
        <w:sz w:val="22"/>
      </w:rPr>
      <w:tblPr/>
      <w:tcPr>
        <w:tcBorders>
          <w:top w:val="single" w:sz="4" w:space="0" w:color="D76CCB"/>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76CCB"/>
        <w:sz w:val="22"/>
      </w:rPr>
      <w:tblPr/>
      <w:tcPr>
        <w:tcBorders>
          <w:top w:val="none" w:sz="0" w:space="0" w:color="000000"/>
          <w:left w:val="none" w:sz="0" w:space="0" w:color="000000"/>
          <w:bottom w:val="none" w:sz="0" w:space="0" w:color="000000"/>
          <w:right w:val="single" w:sz="4" w:space="0" w:color="D76CCB"/>
        </w:tcBorders>
        <w:shd w:val="clear" w:color="FFFFFF" w:fill="auto"/>
      </w:tcPr>
    </w:tblStylePr>
    <w:tblStylePr w:type="lastCol">
      <w:rPr>
        <w:rFonts w:ascii="Arial" w:hAnsi="Arial"/>
        <w:i/>
        <w:color w:val="D76CCB"/>
        <w:sz w:val="22"/>
      </w:rPr>
      <w:tblPr/>
      <w:tcPr>
        <w:tcBorders>
          <w:top w:val="none" w:sz="0" w:space="0" w:color="000000"/>
          <w:left w:val="single" w:sz="4" w:space="0" w:color="D76CCB"/>
          <w:bottom w:val="none" w:sz="0" w:space="0" w:color="000000"/>
          <w:right w:val="none" w:sz="0" w:space="0" w:color="000000"/>
        </w:tcBorders>
        <w:shd w:val="clear" w:color="FFFFFF" w:fill="auto"/>
      </w:tcPr>
    </w:tblStylePr>
    <w:tblStylePr w:type="band1Vert">
      <w:tblPr/>
      <w:tcPr>
        <w:shd w:val="clear" w:color="EEC2E9" w:fill="EEC2E9"/>
      </w:tcPr>
    </w:tblStylePr>
    <w:tblStylePr w:type="band1Horz">
      <w:rPr>
        <w:rFonts w:ascii="Arial" w:hAnsi="Arial"/>
        <w:color w:val="D76CCB"/>
        <w:sz w:val="22"/>
      </w:rPr>
      <w:tblPr/>
      <w:tcPr>
        <w:shd w:val="clear" w:color="EEC2E9" w:fill="EEC2E9"/>
      </w:tcPr>
    </w:tblStylePr>
    <w:tblStylePr w:type="band2Horz">
      <w:rPr>
        <w:rFonts w:ascii="Arial" w:hAnsi="Arial"/>
        <w:color w:val="D76CCB"/>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8ED873"/>
      </w:tblBorders>
    </w:tblPr>
    <w:tblStylePr w:type="firstRow">
      <w:rPr>
        <w:rFonts w:ascii="Arial" w:hAnsi="Arial"/>
        <w:i/>
        <w:color w:val="8ED873"/>
        <w:sz w:val="22"/>
      </w:rPr>
      <w:tblPr/>
      <w:tcPr>
        <w:tcBorders>
          <w:top w:val="none" w:sz="0" w:space="0" w:color="000000"/>
          <w:left w:val="none" w:sz="0" w:space="0" w:color="000000"/>
          <w:bottom w:val="single" w:sz="4" w:space="0" w:color="8ED873"/>
          <w:right w:val="none" w:sz="0" w:space="0" w:color="000000"/>
        </w:tcBorders>
        <w:shd w:val="clear" w:color="FFFFFF" w:fill="FFFFFF"/>
      </w:tcPr>
    </w:tblStylePr>
    <w:tblStylePr w:type="lastRow">
      <w:rPr>
        <w:rFonts w:ascii="Arial" w:hAnsi="Arial"/>
        <w:i/>
        <w:color w:val="8ED873"/>
        <w:sz w:val="22"/>
      </w:rPr>
      <w:tblPr/>
      <w:tcPr>
        <w:tcBorders>
          <w:top w:val="single" w:sz="4" w:space="0" w:color="8ED873"/>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8ED873"/>
        <w:sz w:val="22"/>
      </w:rPr>
      <w:tblPr/>
      <w:tcPr>
        <w:tcBorders>
          <w:top w:val="none" w:sz="0" w:space="0" w:color="000000"/>
          <w:left w:val="none" w:sz="0" w:space="0" w:color="000000"/>
          <w:bottom w:val="none" w:sz="0" w:space="0" w:color="000000"/>
          <w:right w:val="single" w:sz="4" w:space="0" w:color="8ED873"/>
        </w:tcBorders>
        <w:shd w:val="clear" w:color="FFFFFF" w:fill="auto"/>
      </w:tcPr>
    </w:tblStylePr>
    <w:tblStylePr w:type="lastCol">
      <w:rPr>
        <w:rFonts w:ascii="Arial" w:hAnsi="Arial"/>
        <w:i/>
        <w:color w:val="8ED873"/>
        <w:sz w:val="22"/>
      </w:rPr>
      <w:tblPr/>
      <w:tcPr>
        <w:tcBorders>
          <w:top w:val="none" w:sz="0" w:space="0" w:color="000000"/>
          <w:left w:val="single" w:sz="4" w:space="0" w:color="8ED873"/>
          <w:bottom w:val="none" w:sz="0" w:space="0" w:color="000000"/>
          <w:right w:val="none" w:sz="0" w:space="0" w:color="000000"/>
        </w:tcBorders>
        <w:shd w:val="clear" w:color="FFFFFF" w:fill="auto"/>
      </w:tcPr>
    </w:tblStylePr>
    <w:tblStylePr w:type="band1Vert">
      <w:tblPr/>
      <w:tcPr>
        <w:shd w:val="clear" w:color="CFEFC4" w:fill="CFEFC4"/>
      </w:tcPr>
    </w:tblStylePr>
    <w:tblStylePr w:type="band1Horz">
      <w:rPr>
        <w:rFonts w:ascii="Arial" w:hAnsi="Arial"/>
        <w:color w:val="8ED873"/>
        <w:sz w:val="22"/>
      </w:rPr>
      <w:tblPr/>
      <w:tcPr>
        <w:shd w:val="clear" w:color="CFEFC4" w:fill="CFEFC4"/>
      </w:tcPr>
    </w:tblStylePr>
    <w:tblStylePr w:type="band2Horz">
      <w:rPr>
        <w:rFonts w:ascii="Arial" w:hAnsi="Arial"/>
        <w:color w:val="8ED873"/>
        <w:sz w:val="22"/>
      </w:rPr>
    </w:tblStylePr>
  </w:style>
  <w:style w:type="table" w:styleId="PlainTable1">
    <w:name w:val="Plain Table 1"/>
    <w:basedOn w:val="Table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PlainTable2">
    <w:name w:val="Plain Table 2"/>
    <w:basedOn w:val="TableNormal"/>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GridTable1Light">
    <w:name w:val="Grid Table 1 Light"/>
    <w:basedOn w:val="TableNormal"/>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styleId="GridTable2">
    <w:name w:val="Grid Table 2"/>
    <w:basedOn w:val="Table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GridTable3">
    <w:name w:val="Grid Table 3"/>
    <w:basedOn w:val="Table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GridTable4">
    <w:name w:val="Grid Table 4"/>
    <w:basedOn w:val="TableNormal"/>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GridTable5Dark">
    <w:name w:val="Grid Table 5 Dark"/>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E4F4" w:fill="BFE4F4"/>
    </w:tblPr>
    <w:tblStylePr w:type="firstRow">
      <w:rPr>
        <w:rFonts w:ascii="Arial" w:hAnsi="Arial"/>
        <w:b/>
        <w:color w:val="FFFFFF"/>
        <w:sz w:val="22"/>
      </w:rPr>
      <w:tblPr/>
      <w:tcPr>
        <w:shd w:val="clear" w:color="156082" w:fill="156082"/>
      </w:tcPr>
    </w:tblStylePr>
    <w:tblStylePr w:type="lastRow">
      <w:rPr>
        <w:rFonts w:ascii="Arial" w:hAnsi="Arial"/>
        <w:b/>
        <w:color w:val="FFFFFF"/>
        <w:sz w:val="22"/>
      </w:rPr>
      <w:tblPr/>
      <w:tcPr>
        <w:tcBorders>
          <w:top w:val="single" w:sz="4" w:space="0" w:color="FFFFFF"/>
        </w:tcBorders>
        <w:shd w:val="clear" w:color="156082" w:fill="156082"/>
      </w:tcPr>
    </w:tblStylePr>
    <w:tblStylePr w:type="firstCol">
      <w:rPr>
        <w:rFonts w:ascii="Arial" w:hAnsi="Arial"/>
        <w:b/>
        <w:color w:val="FFFFFF"/>
        <w:sz w:val="22"/>
      </w:rPr>
      <w:tblPr/>
      <w:tcPr>
        <w:shd w:val="clear" w:color="156082" w:fill="156082"/>
      </w:tcPr>
    </w:tblStylePr>
    <w:tblStylePr w:type="lastCol">
      <w:rPr>
        <w:rFonts w:ascii="Arial" w:hAnsi="Arial"/>
        <w:b/>
        <w:color w:val="FFFFFF"/>
        <w:sz w:val="22"/>
      </w:rPr>
      <w:tblPr/>
      <w:tcPr>
        <w:shd w:val="clear" w:color="156082" w:fill="156082"/>
      </w:tcPr>
    </w:tblStylePr>
    <w:tblStylePr w:type="band1Vert">
      <w:tblPr/>
      <w:tcPr>
        <w:shd w:val="clear" w:color="70C2E8" w:fill="70C2E8"/>
      </w:tcPr>
    </w:tblStylePr>
    <w:tblStylePr w:type="band1Horz">
      <w:tblPr/>
      <w:tcPr>
        <w:shd w:val="clear" w:color="70C2E8" w:fill="70C2E8"/>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C9EDFB" w:fill="C9EDFB"/>
    </w:tblPr>
    <w:tblStylePr w:type="firstRow">
      <w:rPr>
        <w:rFonts w:ascii="Arial" w:hAnsi="Arial"/>
        <w:b/>
        <w:color w:val="FFFFFF"/>
        <w:sz w:val="22"/>
      </w:rPr>
      <w:tblPr/>
      <w:tcPr>
        <w:shd w:val="clear" w:color="0F9ED5" w:fill="0F9ED5"/>
      </w:tcPr>
    </w:tblStylePr>
    <w:tblStylePr w:type="lastRow">
      <w:rPr>
        <w:rFonts w:ascii="Arial" w:hAnsi="Arial"/>
        <w:b/>
        <w:color w:val="FFFFFF"/>
        <w:sz w:val="22"/>
      </w:rPr>
      <w:tblPr/>
      <w:tcPr>
        <w:tcBorders>
          <w:top w:val="single" w:sz="4" w:space="0" w:color="FFFFFF"/>
        </w:tcBorders>
        <w:shd w:val="clear" w:color="0F9ED5" w:fill="0F9ED5"/>
      </w:tcPr>
    </w:tblStylePr>
    <w:tblStylePr w:type="firstCol">
      <w:rPr>
        <w:rFonts w:ascii="Arial" w:hAnsi="Arial"/>
        <w:b/>
        <w:color w:val="FFFFFF"/>
        <w:sz w:val="22"/>
      </w:rPr>
      <w:tblPr/>
      <w:tcPr>
        <w:shd w:val="clear" w:color="0F9ED5" w:fill="0F9ED5"/>
      </w:tcPr>
    </w:tblStylePr>
    <w:tblStylePr w:type="lastCol">
      <w:rPr>
        <w:rFonts w:ascii="Arial" w:hAnsi="Arial"/>
        <w:b/>
        <w:color w:val="FFFFFF"/>
        <w:sz w:val="22"/>
      </w:rPr>
      <w:tblPr/>
      <w:tcPr>
        <w:shd w:val="clear" w:color="0F9ED5" w:fill="0F9ED5"/>
      </w:tcPr>
    </w:tblStylePr>
    <w:tblStylePr w:type="band1Vert">
      <w:tblPr/>
      <w:tcPr>
        <w:shd w:val="clear" w:color="85D7F6" w:fill="85D7F6"/>
      </w:tcPr>
    </w:tblStylePr>
    <w:tblStylePr w:type="band1Horz">
      <w:tblPr/>
      <w:tcPr>
        <w:shd w:val="clear" w:color="85D7F6" w:fill="85D7F6"/>
      </w:tcPr>
    </w:tblStylePr>
  </w:style>
  <w:style w:type="table" w:styleId="GridTable6Colorful">
    <w:name w:val="Grid Table 6 Colorful"/>
    <w:basedOn w:val="TableNormal"/>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styleId="GridTable7Colorful">
    <w:name w:val="Grid Table 7 Colorful"/>
    <w:basedOn w:val="TableNormal"/>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styleId="ListTable2">
    <w:name w:val="List Table 2"/>
    <w:basedOn w:val="TableNormal"/>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styleId="ListTable3">
    <w:name w:val="List Table 3"/>
    <w:basedOn w:val="TableNormal"/>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styleId="ListTable4">
    <w:name w:val="List Table 4"/>
    <w:basedOn w:val="TableNormal"/>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styleId="ListTable5Dark">
    <w:name w:val="List Table 5 Dark"/>
    <w:basedOn w:val="TableNormal"/>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styleId="ListTable6Colorful">
    <w:name w:val="List Table 6 Colorful"/>
    <w:basedOn w:val="TableNormal"/>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styleId="ListTable7Colorful">
    <w:name w:val="List Table 7 Colorful"/>
    <w:basedOn w:val="TableNormal"/>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ned-Accent">
    <w:name w:val="Lined - Accent"/>
    <w:basedOn w:val="TableNormal"/>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TableNormal"/>
    <w:uiPriority w:val="99"/>
    <w:rPr>
      <w:color w:val="404040"/>
    </w:rPr>
    <w:tblPr>
      <w:tblStyleRowBandSize w:val="1"/>
      <w:tblStyleColBandSize w:val="1"/>
    </w:tblPr>
    <w:tblStylePr w:type="firstRow">
      <w:rPr>
        <w:rFonts w:ascii="Arial" w:hAnsi="Arial"/>
        <w:color w:val="F2F2F2"/>
        <w:sz w:val="22"/>
      </w:rPr>
      <w:tblPr/>
      <w:tcPr>
        <w:shd w:val="clear" w:color="19729B" w:fill="19729B"/>
      </w:tcPr>
    </w:tblStylePr>
    <w:tblStylePr w:type="lastRow">
      <w:rPr>
        <w:rFonts w:ascii="Arial" w:hAnsi="Arial"/>
        <w:color w:val="F2F2F2"/>
        <w:sz w:val="22"/>
      </w:rPr>
      <w:tblPr/>
      <w:tcPr>
        <w:shd w:val="clear" w:color="19729B" w:fill="19729B"/>
      </w:tcPr>
    </w:tblStylePr>
    <w:tblStylePr w:type="firstCol">
      <w:rPr>
        <w:rFonts w:ascii="Arial" w:hAnsi="Arial"/>
        <w:color w:val="F2F2F2"/>
        <w:sz w:val="22"/>
      </w:rPr>
      <w:tblPr/>
      <w:tcPr>
        <w:shd w:val="clear" w:color="19729B" w:fill="19729B"/>
      </w:tcPr>
    </w:tblStylePr>
    <w:tblStylePr w:type="lastCol">
      <w:rPr>
        <w:rFonts w:ascii="Arial" w:hAnsi="Arial"/>
        <w:color w:val="F2F2F2"/>
        <w:sz w:val="22"/>
      </w:rPr>
      <w:tblPr/>
      <w:tcPr>
        <w:shd w:val="clear" w:color="19729B" w:fill="19729B"/>
      </w:tcPr>
    </w:tblStylePr>
    <w:tblStylePr w:type="band1Vert">
      <w:rPr>
        <w:rFonts w:ascii="Arial" w:hAnsi="Arial"/>
        <w:color w:val="404040"/>
        <w:sz w:val="22"/>
      </w:rPr>
    </w:tblStylePr>
    <w:tblStylePr w:type="band2Vert">
      <w:rPr>
        <w:rFonts w:ascii="Arial" w:hAnsi="Arial"/>
        <w:color w:val="404040"/>
        <w:sz w:val="22"/>
      </w:rPr>
      <w:tblPr/>
      <w:tcPr>
        <w:shd w:val="clear" w:color="9ED5EF" w:fill="9ED5EF"/>
      </w:tcPr>
    </w:tblStylePr>
    <w:tblStylePr w:type="band1Horz">
      <w:rPr>
        <w:rFonts w:ascii="Arial" w:hAnsi="Arial"/>
        <w:color w:val="404040"/>
        <w:sz w:val="22"/>
      </w:rPr>
    </w:tblStylePr>
    <w:tblStylePr w:type="band2Horz">
      <w:rPr>
        <w:rFonts w:ascii="Arial" w:hAnsi="Arial"/>
        <w:color w:val="404040"/>
        <w:sz w:val="22"/>
      </w:rPr>
      <w:tblPr/>
      <w:tcPr>
        <w:shd w:val="clear" w:color="9ED5EF" w:fill="9ED5EF"/>
      </w:tcPr>
    </w:tblStylePr>
  </w:style>
  <w:style w:type="table" w:customStyle="1" w:styleId="Lined-Accent2">
    <w:name w:val="Lined - Accent 2"/>
    <w:basedOn w:val="TableNormal"/>
    <w:uiPriority w:val="99"/>
    <w:rPr>
      <w:color w:val="404040"/>
    </w:rPr>
    <w:tblPr>
      <w:tblStyleRowBandSize w:val="1"/>
      <w:tblStyleColBandSize w:val="1"/>
    </w:tblPr>
    <w:tblStylePr w:type="firstRow">
      <w:rPr>
        <w:rFonts w:ascii="Arial" w:hAnsi="Arial"/>
        <w:color w:val="F2F2F2"/>
        <w:sz w:val="22"/>
      </w:rPr>
      <w:tblPr/>
      <w:tcPr>
        <w:shd w:val="clear" w:color="F2AA85" w:fill="F2AA85"/>
      </w:tcPr>
    </w:tblStylePr>
    <w:tblStylePr w:type="lastRow">
      <w:rPr>
        <w:rFonts w:ascii="Arial" w:hAnsi="Arial"/>
        <w:color w:val="F2F2F2"/>
        <w:sz w:val="22"/>
      </w:rPr>
      <w:tblPr/>
      <w:tcPr>
        <w:shd w:val="clear" w:color="F2AA85" w:fill="F2AA85"/>
      </w:tcPr>
    </w:tblStylePr>
    <w:tblStylePr w:type="firstCol">
      <w:rPr>
        <w:rFonts w:ascii="Arial" w:hAnsi="Arial"/>
        <w:color w:val="F2F2F2"/>
        <w:sz w:val="22"/>
      </w:rPr>
      <w:tblPr/>
      <w:tcPr>
        <w:shd w:val="clear" w:color="F2AA85" w:fill="F2AA85"/>
      </w:tcPr>
    </w:tblStylePr>
    <w:tblStylePr w:type="lastCol">
      <w:rPr>
        <w:rFonts w:ascii="Arial" w:hAnsi="Arial"/>
        <w:color w:val="F2F2F2"/>
        <w:sz w:val="22"/>
      </w:rPr>
      <w:tblPr/>
      <w:tcPr>
        <w:shd w:val="clear" w:color="F2AA85" w:fill="F2AA85"/>
      </w:tcPr>
    </w:tblStylePr>
    <w:tblStylePr w:type="band1Vert">
      <w:rPr>
        <w:rFonts w:ascii="Arial" w:hAnsi="Arial"/>
        <w:color w:val="404040"/>
        <w:sz w:val="22"/>
      </w:rPr>
    </w:tblStylePr>
    <w:tblStylePr w:type="band2Vert">
      <w:rPr>
        <w:rFonts w:ascii="Arial" w:hAnsi="Arial"/>
        <w:color w:val="404040"/>
        <w:sz w:val="22"/>
      </w:rPr>
      <w:tblPr/>
      <w:tcPr>
        <w:shd w:val="clear" w:color="FAE2D6" w:fill="FAE2D6"/>
      </w:tcPr>
    </w:tblStylePr>
    <w:tblStylePr w:type="band1Horz">
      <w:rPr>
        <w:rFonts w:ascii="Arial" w:hAnsi="Arial"/>
        <w:color w:val="404040"/>
        <w:sz w:val="22"/>
      </w:rPr>
    </w:tblStylePr>
    <w:tblStylePr w:type="band2Horz">
      <w:rPr>
        <w:rFonts w:ascii="Arial" w:hAnsi="Arial"/>
        <w:color w:val="404040"/>
        <w:sz w:val="22"/>
      </w:rPr>
      <w:tblPr/>
      <w:tcPr>
        <w:shd w:val="clear" w:color="FAE2D6" w:fill="FAE2D6"/>
      </w:tcPr>
    </w:tblStylePr>
  </w:style>
  <w:style w:type="table" w:customStyle="1" w:styleId="Lined-Accent3">
    <w:name w:val="Lined - Accent 3"/>
    <w:basedOn w:val="TableNormal"/>
    <w:uiPriority w:val="99"/>
    <w:rPr>
      <w:color w:val="404040"/>
    </w:rPr>
    <w:tblPr>
      <w:tblStyleRowBandSize w:val="1"/>
      <w:tblStyleColBandSize w:val="1"/>
    </w:tblPr>
    <w:tblStylePr w:type="firstRow">
      <w:rPr>
        <w:rFonts w:ascii="Arial" w:hAnsi="Arial"/>
        <w:color w:val="F2F2F2"/>
        <w:sz w:val="22"/>
      </w:rPr>
      <w:tblPr/>
      <w:tcPr>
        <w:shd w:val="clear" w:color="196C24" w:fill="196C24"/>
      </w:tcPr>
    </w:tblStylePr>
    <w:tblStylePr w:type="lastRow">
      <w:rPr>
        <w:rFonts w:ascii="Arial" w:hAnsi="Arial"/>
        <w:color w:val="F2F2F2"/>
        <w:sz w:val="22"/>
      </w:rPr>
      <w:tblPr/>
      <w:tcPr>
        <w:shd w:val="clear" w:color="196C24" w:fill="196C24"/>
      </w:tcPr>
    </w:tblStylePr>
    <w:tblStylePr w:type="firstCol">
      <w:rPr>
        <w:rFonts w:ascii="Arial" w:hAnsi="Arial"/>
        <w:color w:val="F2F2F2"/>
        <w:sz w:val="22"/>
      </w:rPr>
      <w:tblPr/>
      <w:tcPr>
        <w:shd w:val="clear" w:color="196C24" w:fill="196C24"/>
      </w:tcPr>
    </w:tblStylePr>
    <w:tblStylePr w:type="lastCol">
      <w:rPr>
        <w:rFonts w:ascii="Arial" w:hAnsi="Arial"/>
        <w:color w:val="F2F2F2"/>
        <w:sz w:val="22"/>
      </w:rPr>
      <w:tblPr/>
      <w:tcPr>
        <w:shd w:val="clear" w:color="196C24" w:fill="196C24"/>
      </w:tcPr>
    </w:tblStylePr>
    <w:tblStylePr w:type="band1Vert">
      <w:rPr>
        <w:rFonts w:ascii="Arial" w:hAnsi="Arial"/>
        <w:color w:val="404040"/>
        <w:sz w:val="22"/>
      </w:rPr>
    </w:tblStylePr>
    <w:tblStylePr w:type="band2Vert">
      <w:rPr>
        <w:rFonts w:ascii="Arial" w:hAnsi="Arial"/>
        <w:color w:val="404040"/>
        <w:sz w:val="22"/>
      </w:rPr>
      <w:tblPr/>
      <w:tcPr>
        <w:shd w:val="clear" w:color="C0F0C6" w:fill="C0F0C6"/>
      </w:tcPr>
    </w:tblStylePr>
    <w:tblStylePr w:type="band1Horz">
      <w:rPr>
        <w:rFonts w:ascii="Arial" w:hAnsi="Arial"/>
        <w:color w:val="404040"/>
        <w:sz w:val="22"/>
      </w:rPr>
    </w:tblStylePr>
    <w:tblStylePr w:type="band2Horz">
      <w:rPr>
        <w:rFonts w:ascii="Arial" w:hAnsi="Arial"/>
        <w:color w:val="404040"/>
        <w:sz w:val="22"/>
      </w:rPr>
      <w:tblPr/>
      <w:tcPr>
        <w:shd w:val="clear" w:color="C0F0C6" w:fill="C0F0C6"/>
      </w:tcPr>
    </w:tblStylePr>
  </w:style>
  <w:style w:type="table" w:customStyle="1" w:styleId="Lined-Accent4">
    <w:name w:val="Lined - Accent 4"/>
    <w:basedOn w:val="TableNormal"/>
    <w:uiPriority w:val="99"/>
    <w:rPr>
      <w:color w:val="404040"/>
    </w:rPr>
    <w:tblPr>
      <w:tblStyleRowBandSize w:val="1"/>
      <w:tblStyleColBandSize w:val="1"/>
    </w:tblPr>
    <w:tblStylePr w:type="firstRow">
      <w:rPr>
        <w:rFonts w:ascii="Arial" w:hAnsi="Arial"/>
        <w:color w:val="F2F2F2"/>
        <w:sz w:val="22"/>
      </w:rPr>
      <w:tblPr/>
      <w:tcPr>
        <w:shd w:val="clear" w:color="5FCAF3" w:fill="5FCAF3"/>
      </w:tcPr>
    </w:tblStylePr>
    <w:tblStylePr w:type="lastRow">
      <w:rPr>
        <w:rFonts w:ascii="Arial" w:hAnsi="Arial"/>
        <w:color w:val="F2F2F2"/>
        <w:sz w:val="22"/>
      </w:rPr>
      <w:tblPr/>
      <w:tcPr>
        <w:shd w:val="clear" w:color="5FCAF3" w:fill="5FCAF3"/>
      </w:tcPr>
    </w:tblStylePr>
    <w:tblStylePr w:type="firstCol">
      <w:rPr>
        <w:rFonts w:ascii="Arial" w:hAnsi="Arial"/>
        <w:color w:val="F2F2F2"/>
        <w:sz w:val="22"/>
      </w:rPr>
      <w:tblPr/>
      <w:tcPr>
        <w:shd w:val="clear" w:color="5FCAF3" w:fill="5FCAF3"/>
      </w:tcPr>
    </w:tblStylePr>
    <w:tblStylePr w:type="lastCol">
      <w:rPr>
        <w:rFonts w:ascii="Arial" w:hAnsi="Arial"/>
        <w:color w:val="F2F2F2"/>
        <w:sz w:val="22"/>
      </w:rPr>
      <w:tblPr/>
      <w:tcPr>
        <w:shd w:val="clear" w:color="5FCAF3" w:fill="5FCAF3"/>
      </w:tcPr>
    </w:tblStylePr>
    <w:tblStylePr w:type="band1Vert">
      <w:rPr>
        <w:rFonts w:ascii="Arial" w:hAnsi="Arial"/>
        <w:color w:val="404040"/>
        <w:sz w:val="22"/>
      </w:rPr>
    </w:tblStylePr>
    <w:tblStylePr w:type="band2Vert">
      <w:rPr>
        <w:rFonts w:ascii="Arial" w:hAnsi="Arial"/>
        <w:color w:val="404040"/>
        <w:sz w:val="22"/>
      </w:rPr>
      <w:tblPr/>
      <w:tcPr>
        <w:shd w:val="clear" w:color="C9EDFB" w:fill="C9EDFB"/>
      </w:tcPr>
    </w:tblStylePr>
    <w:tblStylePr w:type="band1Horz">
      <w:rPr>
        <w:rFonts w:ascii="Arial" w:hAnsi="Arial"/>
        <w:color w:val="404040"/>
        <w:sz w:val="22"/>
      </w:rPr>
    </w:tblStylePr>
    <w:tblStylePr w:type="band2Horz">
      <w:rPr>
        <w:rFonts w:ascii="Arial" w:hAnsi="Arial"/>
        <w:color w:val="404040"/>
        <w:sz w:val="22"/>
      </w:rPr>
      <w:tblPr/>
      <w:tcPr>
        <w:shd w:val="clear" w:color="C9EDFB" w:fill="C9EDFB"/>
      </w:tcPr>
    </w:tblStylePr>
  </w:style>
  <w:style w:type="table" w:customStyle="1" w:styleId="Lined-Accent5">
    <w:name w:val="Lined - Accent 5"/>
    <w:basedOn w:val="TableNormal"/>
    <w:uiPriority w:val="99"/>
    <w:rPr>
      <w:color w:val="404040"/>
    </w:rPr>
    <w:tblPr>
      <w:tblStyleRowBandSize w:val="1"/>
      <w:tblStyleColBandSize w:val="1"/>
    </w:tblPr>
    <w:tblStylePr w:type="firstRow">
      <w:rPr>
        <w:rFonts w:ascii="Arial" w:hAnsi="Arial"/>
        <w:color w:val="F2F2F2"/>
        <w:sz w:val="22"/>
      </w:rPr>
      <w:tblPr/>
      <w:tcPr>
        <w:shd w:val="clear" w:color="A02B93" w:fill="A02B93"/>
      </w:tcPr>
    </w:tblStylePr>
    <w:tblStylePr w:type="lastRow">
      <w:rPr>
        <w:rFonts w:ascii="Arial" w:hAnsi="Arial"/>
        <w:color w:val="F2F2F2"/>
        <w:sz w:val="22"/>
      </w:rPr>
      <w:tblPr/>
      <w:tcPr>
        <w:shd w:val="clear" w:color="A02B93" w:fill="A02B93"/>
      </w:tcPr>
    </w:tblStylePr>
    <w:tblStylePr w:type="firstCol">
      <w:rPr>
        <w:rFonts w:ascii="Arial" w:hAnsi="Arial"/>
        <w:color w:val="F2F2F2"/>
        <w:sz w:val="22"/>
      </w:rPr>
      <w:tblPr/>
      <w:tcPr>
        <w:shd w:val="clear" w:color="A02B93" w:fill="A02B93"/>
      </w:tcPr>
    </w:tblStylePr>
    <w:tblStylePr w:type="lastCol">
      <w:rPr>
        <w:rFonts w:ascii="Arial" w:hAnsi="Arial"/>
        <w:color w:val="F2F2F2"/>
        <w:sz w:val="22"/>
      </w:rPr>
      <w:tblPr/>
      <w:tcPr>
        <w:shd w:val="clear" w:color="A02B93" w:fill="A02B93"/>
      </w:tcPr>
    </w:tblStylePr>
    <w:tblStylePr w:type="band1Vert">
      <w:rPr>
        <w:rFonts w:ascii="Arial" w:hAnsi="Arial"/>
        <w:color w:val="404040"/>
        <w:sz w:val="22"/>
      </w:rPr>
    </w:tblStylePr>
    <w:tblStylePr w:type="band2Vert">
      <w:rPr>
        <w:rFonts w:ascii="Arial" w:hAnsi="Arial"/>
        <w:color w:val="404040"/>
        <w:sz w:val="22"/>
      </w:rPr>
      <w:tblPr/>
      <w:tcPr>
        <w:shd w:val="clear" w:color="F1CDED" w:fill="F1CDED"/>
      </w:tcPr>
    </w:tblStylePr>
    <w:tblStylePr w:type="band1Horz">
      <w:rPr>
        <w:rFonts w:ascii="Arial" w:hAnsi="Arial"/>
        <w:color w:val="404040"/>
        <w:sz w:val="22"/>
      </w:rPr>
    </w:tblStylePr>
    <w:tblStylePr w:type="band2Horz">
      <w:rPr>
        <w:rFonts w:ascii="Arial" w:hAnsi="Arial"/>
        <w:color w:val="404040"/>
        <w:sz w:val="22"/>
      </w:rPr>
      <w:tblPr/>
      <w:tcPr>
        <w:shd w:val="clear" w:color="F1CDED" w:fill="F1CDED"/>
      </w:tcPr>
    </w:tblStylePr>
  </w:style>
  <w:style w:type="table" w:customStyle="1" w:styleId="Lined-Accent6">
    <w:name w:val="Lined - Accent 6"/>
    <w:basedOn w:val="TableNormal"/>
    <w:uiPriority w:val="99"/>
    <w:rPr>
      <w:color w:val="404040"/>
    </w:rPr>
    <w:tblPr>
      <w:tblStyleRowBandSize w:val="1"/>
      <w:tblStyleColBandSize w:val="1"/>
    </w:tblPr>
    <w:tblStylePr w:type="firstRow">
      <w:rPr>
        <w:rFonts w:ascii="Arial" w:hAnsi="Arial"/>
        <w:color w:val="F2F2F2"/>
        <w:sz w:val="22"/>
      </w:rPr>
      <w:tblPr/>
      <w:tcPr>
        <w:shd w:val="clear" w:color="4EA72E" w:fill="4EA72E"/>
      </w:tcPr>
    </w:tblStylePr>
    <w:tblStylePr w:type="lastRow">
      <w:rPr>
        <w:rFonts w:ascii="Arial" w:hAnsi="Arial"/>
        <w:color w:val="F2F2F2"/>
        <w:sz w:val="22"/>
      </w:rPr>
      <w:tblPr/>
      <w:tcPr>
        <w:shd w:val="clear" w:color="4EA72E" w:fill="4EA72E"/>
      </w:tcPr>
    </w:tblStylePr>
    <w:tblStylePr w:type="firstCol">
      <w:rPr>
        <w:rFonts w:ascii="Arial" w:hAnsi="Arial"/>
        <w:color w:val="F2F2F2"/>
        <w:sz w:val="22"/>
      </w:rPr>
      <w:tblPr/>
      <w:tcPr>
        <w:shd w:val="clear" w:color="4EA72E" w:fill="4EA72E"/>
      </w:tcPr>
    </w:tblStylePr>
    <w:tblStylePr w:type="lastCol">
      <w:rPr>
        <w:rFonts w:ascii="Arial" w:hAnsi="Arial"/>
        <w:color w:val="F2F2F2"/>
        <w:sz w:val="22"/>
      </w:rPr>
      <w:tblPr/>
      <w:tcPr>
        <w:shd w:val="clear" w:color="4EA72E" w:fill="4EA72E"/>
      </w:tcPr>
    </w:tblStylePr>
    <w:tblStylePr w:type="band1Vert">
      <w:rPr>
        <w:rFonts w:ascii="Arial" w:hAnsi="Arial"/>
        <w:color w:val="404040"/>
        <w:sz w:val="22"/>
      </w:rPr>
    </w:tblStylePr>
    <w:tblStylePr w:type="band2Vert">
      <w:rPr>
        <w:rFonts w:ascii="Arial" w:hAnsi="Arial"/>
        <w:color w:val="404040"/>
        <w:sz w:val="22"/>
      </w:rPr>
      <w:tblPr/>
      <w:tcPr>
        <w:shd w:val="clear" w:color="D8F2CF" w:fill="D8F2CF"/>
      </w:tcPr>
    </w:tblStylePr>
    <w:tblStylePr w:type="band1Horz">
      <w:rPr>
        <w:rFonts w:ascii="Arial" w:hAnsi="Arial"/>
        <w:color w:val="404040"/>
        <w:sz w:val="22"/>
      </w:rPr>
    </w:tblStylePr>
    <w:tblStylePr w:type="band2Horz">
      <w:rPr>
        <w:rFonts w:ascii="Arial" w:hAnsi="Arial"/>
        <w:color w:val="404040"/>
        <w:sz w:val="22"/>
      </w:rPr>
      <w:tblPr/>
      <w:tcPr>
        <w:shd w:val="clear" w:color="D8F2CF" w:fill="D8F2CF"/>
      </w:tcPr>
    </w:tblStylePr>
  </w:style>
  <w:style w:type="table" w:customStyle="1" w:styleId="BorderedLined-Accent">
    <w:name w:val="Bordered &amp; Lined - Accent"/>
    <w:basedOn w:val="TableNormal"/>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0C374B"/>
        <w:left w:val="single" w:sz="4" w:space="0" w:color="0C374B"/>
        <w:bottom w:val="single" w:sz="4" w:space="0" w:color="0C374B"/>
        <w:right w:val="single" w:sz="4" w:space="0" w:color="0C374B"/>
        <w:insideH w:val="single" w:sz="4" w:space="0" w:color="0C374B"/>
        <w:insideV w:val="single" w:sz="4" w:space="0" w:color="0C374B"/>
      </w:tblBorders>
    </w:tblPr>
    <w:tblStylePr w:type="firstRow">
      <w:rPr>
        <w:rFonts w:ascii="Arial" w:hAnsi="Arial"/>
        <w:color w:val="F2F2F2"/>
        <w:sz w:val="22"/>
      </w:rPr>
      <w:tblPr/>
      <w:tcPr>
        <w:shd w:val="clear" w:color="19729B" w:fill="19729B"/>
      </w:tcPr>
    </w:tblStylePr>
    <w:tblStylePr w:type="lastRow">
      <w:rPr>
        <w:rFonts w:ascii="Arial" w:hAnsi="Arial"/>
        <w:color w:val="F2F2F2"/>
        <w:sz w:val="22"/>
      </w:rPr>
      <w:tblPr/>
      <w:tcPr>
        <w:shd w:val="clear" w:color="19729B" w:fill="19729B"/>
      </w:tcPr>
    </w:tblStylePr>
    <w:tblStylePr w:type="firstCol">
      <w:rPr>
        <w:rFonts w:ascii="Arial" w:hAnsi="Arial"/>
        <w:color w:val="F2F2F2"/>
        <w:sz w:val="22"/>
      </w:rPr>
      <w:tblPr/>
      <w:tcPr>
        <w:shd w:val="clear" w:color="19729B" w:fill="19729B"/>
      </w:tcPr>
    </w:tblStylePr>
    <w:tblStylePr w:type="lastCol">
      <w:rPr>
        <w:rFonts w:ascii="Arial" w:hAnsi="Arial"/>
        <w:color w:val="F2F2F2"/>
        <w:sz w:val="22"/>
      </w:rPr>
      <w:tblPr/>
      <w:tcPr>
        <w:shd w:val="clear" w:color="19729B" w:fill="19729B"/>
      </w:tcPr>
    </w:tblStylePr>
    <w:tblStylePr w:type="band1Vert">
      <w:rPr>
        <w:rFonts w:ascii="Arial" w:hAnsi="Arial"/>
        <w:color w:val="404040"/>
        <w:sz w:val="22"/>
      </w:rPr>
    </w:tblStylePr>
    <w:tblStylePr w:type="band2Vert">
      <w:rPr>
        <w:rFonts w:ascii="Arial" w:hAnsi="Arial"/>
        <w:color w:val="404040"/>
        <w:sz w:val="22"/>
      </w:rPr>
      <w:tblPr/>
      <w:tcPr>
        <w:shd w:val="clear" w:color="9ED5EF" w:fill="9ED5EF"/>
      </w:tcPr>
    </w:tblStylePr>
    <w:tblStylePr w:type="band1Horz">
      <w:rPr>
        <w:rFonts w:ascii="Arial" w:hAnsi="Arial"/>
        <w:color w:val="404040"/>
        <w:sz w:val="22"/>
      </w:rPr>
    </w:tblStylePr>
    <w:tblStylePr w:type="band2Horz">
      <w:rPr>
        <w:rFonts w:ascii="Arial" w:hAnsi="Arial"/>
        <w:color w:val="404040"/>
        <w:sz w:val="22"/>
      </w:rPr>
      <w:tblPr/>
      <w:tcPr>
        <w:shd w:val="clear" w:color="9ED5EF" w:fill="9ED5EF"/>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953D10"/>
        <w:left w:val="single" w:sz="4" w:space="0" w:color="953D10"/>
        <w:bottom w:val="single" w:sz="4" w:space="0" w:color="953D10"/>
        <w:right w:val="single" w:sz="4" w:space="0" w:color="953D10"/>
        <w:insideH w:val="single" w:sz="4" w:space="0" w:color="953D10"/>
        <w:insideV w:val="single" w:sz="4" w:space="0" w:color="953D10"/>
      </w:tblBorders>
    </w:tblPr>
    <w:tblStylePr w:type="firstRow">
      <w:rPr>
        <w:rFonts w:ascii="Arial" w:hAnsi="Arial"/>
        <w:color w:val="F2F2F2"/>
        <w:sz w:val="22"/>
      </w:rPr>
      <w:tblPr/>
      <w:tcPr>
        <w:shd w:val="clear" w:color="F2AA85" w:fill="F2AA85"/>
      </w:tcPr>
    </w:tblStylePr>
    <w:tblStylePr w:type="lastRow">
      <w:rPr>
        <w:rFonts w:ascii="Arial" w:hAnsi="Arial"/>
        <w:color w:val="F2F2F2"/>
        <w:sz w:val="22"/>
      </w:rPr>
      <w:tblPr/>
      <w:tcPr>
        <w:shd w:val="clear" w:color="F2AA85" w:fill="F2AA85"/>
      </w:tcPr>
    </w:tblStylePr>
    <w:tblStylePr w:type="firstCol">
      <w:rPr>
        <w:rFonts w:ascii="Arial" w:hAnsi="Arial"/>
        <w:color w:val="F2F2F2"/>
        <w:sz w:val="22"/>
      </w:rPr>
      <w:tblPr/>
      <w:tcPr>
        <w:shd w:val="clear" w:color="F2AA85" w:fill="F2AA85"/>
      </w:tcPr>
    </w:tblStylePr>
    <w:tblStylePr w:type="lastCol">
      <w:rPr>
        <w:rFonts w:ascii="Arial" w:hAnsi="Arial"/>
        <w:color w:val="F2F2F2"/>
        <w:sz w:val="22"/>
      </w:rPr>
      <w:tblPr/>
      <w:tcPr>
        <w:shd w:val="clear" w:color="F2AA85" w:fill="F2AA85"/>
      </w:tcPr>
    </w:tblStylePr>
    <w:tblStylePr w:type="band1Vert">
      <w:rPr>
        <w:rFonts w:ascii="Arial" w:hAnsi="Arial"/>
        <w:color w:val="404040"/>
        <w:sz w:val="22"/>
      </w:rPr>
    </w:tblStylePr>
    <w:tblStylePr w:type="band2Vert">
      <w:rPr>
        <w:rFonts w:ascii="Arial" w:hAnsi="Arial"/>
        <w:color w:val="404040"/>
        <w:sz w:val="22"/>
      </w:rPr>
      <w:tblPr/>
      <w:tcPr>
        <w:shd w:val="clear" w:color="FAE2D6" w:fill="FAE2D6"/>
      </w:tcPr>
    </w:tblStylePr>
    <w:tblStylePr w:type="band1Horz">
      <w:rPr>
        <w:rFonts w:ascii="Arial" w:hAnsi="Arial"/>
        <w:color w:val="404040"/>
        <w:sz w:val="22"/>
      </w:rPr>
    </w:tblStylePr>
    <w:tblStylePr w:type="band2Horz">
      <w:rPr>
        <w:rFonts w:ascii="Arial" w:hAnsi="Arial"/>
        <w:color w:val="404040"/>
        <w:sz w:val="22"/>
      </w:rPr>
      <w:tblPr/>
      <w:tcPr>
        <w:shd w:val="clear" w:color="FAE2D6" w:fill="FAE2D6"/>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0E3E15"/>
        <w:left w:val="single" w:sz="4" w:space="0" w:color="0E3E15"/>
        <w:bottom w:val="single" w:sz="4" w:space="0" w:color="0E3E15"/>
        <w:right w:val="single" w:sz="4" w:space="0" w:color="0E3E15"/>
        <w:insideH w:val="single" w:sz="4" w:space="0" w:color="0E3E15"/>
        <w:insideV w:val="single" w:sz="4" w:space="0" w:color="0E3E15"/>
      </w:tblBorders>
    </w:tblPr>
    <w:tblStylePr w:type="firstRow">
      <w:rPr>
        <w:rFonts w:ascii="Arial" w:hAnsi="Arial"/>
        <w:color w:val="F2F2F2"/>
        <w:sz w:val="22"/>
      </w:rPr>
      <w:tblPr/>
      <w:tcPr>
        <w:shd w:val="clear" w:color="196C24" w:fill="196C24"/>
      </w:tcPr>
    </w:tblStylePr>
    <w:tblStylePr w:type="lastRow">
      <w:rPr>
        <w:rFonts w:ascii="Arial" w:hAnsi="Arial"/>
        <w:color w:val="F2F2F2"/>
        <w:sz w:val="22"/>
      </w:rPr>
      <w:tblPr/>
      <w:tcPr>
        <w:shd w:val="clear" w:color="196C24" w:fill="196C24"/>
      </w:tcPr>
    </w:tblStylePr>
    <w:tblStylePr w:type="firstCol">
      <w:rPr>
        <w:rFonts w:ascii="Arial" w:hAnsi="Arial"/>
        <w:color w:val="F2F2F2"/>
        <w:sz w:val="22"/>
      </w:rPr>
      <w:tblPr/>
      <w:tcPr>
        <w:shd w:val="clear" w:color="196C24" w:fill="196C24"/>
      </w:tcPr>
    </w:tblStylePr>
    <w:tblStylePr w:type="lastCol">
      <w:rPr>
        <w:rFonts w:ascii="Arial" w:hAnsi="Arial"/>
        <w:color w:val="F2F2F2"/>
        <w:sz w:val="22"/>
      </w:rPr>
      <w:tblPr/>
      <w:tcPr>
        <w:shd w:val="clear" w:color="196C24" w:fill="196C24"/>
      </w:tcPr>
    </w:tblStylePr>
    <w:tblStylePr w:type="band1Vert">
      <w:rPr>
        <w:rFonts w:ascii="Arial" w:hAnsi="Arial"/>
        <w:color w:val="404040"/>
        <w:sz w:val="22"/>
      </w:rPr>
    </w:tblStylePr>
    <w:tblStylePr w:type="band2Vert">
      <w:rPr>
        <w:rFonts w:ascii="Arial" w:hAnsi="Arial"/>
        <w:color w:val="404040"/>
        <w:sz w:val="22"/>
      </w:rPr>
      <w:tblPr/>
      <w:tcPr>
        <w:shd w:val="clear" w:color="C0F0C6" w:fill="C0F0C6"/>
      </w:tcPr>
    </w:tblStylePr>
    <w:tblStylePr w:type="band1Horz">
      <w:rPr>
        <w:rFonts w:ascii="Arial" w:hAnsi="Arial"/>
        <w:color w:val="404040"/>
        <w:sz w:val="22"/>
      </w:rPr>
    </w:tblStylePr>
    <w:tblStylePr w:type="band2Horz">
      <w:rPr>
        <w:rFonts w:ascii="Arial" w:hAnsi="Arial"/>
        <w:color w:val="404040"/>
        <w:sz w:val="22"/>
      </w:rPr>
      <w:tblPr/>
      <w:tcPr>
        <w:shd w:val="clear" w:color="C0F0C6" w:fill="C0F0C6"/>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085C7C"/>
        <w:left w:val="single" w:sz="4" w:space="0" w:color="085C7C"/>
        <w:bottom w:val="single" w:sz="4" w:space="0" w:color="085C7C"/>
        <w:right w:val="single" w:sz="4" w:space="0" w:color="085C7C"/>
        <w:insideH w:val="single" w:sz="4" w:space="0" w:color="085C7C"/>
        <w:insideV w:val="single" w:sz="4" w:space="0" w:color="085C7C"/>
      </w:tblBorders>
    </w:tblPr>
    <w:tblStylePr w:type="firstRow">
      <w:rPr>
        <w:rFonts w:ascii="Arial" w:hAnsi="Arial"/>
        <w:color w:val="F2F2F2"/>
        <w:sz w:val="22"/>
      </w:rPr>
      <w:tblPr/>
      <w:tcPr>
        <w:shd w:val="clear" w:color="5FCAF3" w:fill="5FCAF3"/>
      </w:tcPr>
    </w:tblStylePr>
    <w:tblStylePr w:type="lastRow">
      <w:rPr>
        <w:rFonts w:ascii="Arial" w:hAnsi="Arial"/>
        <w:color w:val="F2F2F2"/>
        <w:sz w:val="22"/>
      </w:rPr>
      <w:tblPr/>
      <w:tcPr>
        <w:shd w:val="clear" w:color="5FCAF3" w:fill="5FCAF3"/>
      </w:tcPr>
    </w:tblStylePr>
    <w:tblStylePr w:type="firstCol">
      <w:rPr>
        <w:rFonts w:ascii="Arial" w:hAnsi="Arial"/>
        <w:color w:val="F2F2F2"/>
        <w:sz w:val="22"/>
      </w:rPr>
      <w:tblPr/>
      <w:tcPr>
        <w:shd w:val="clear" w:color="5FCAF3" w:fill="5FCAF3"/>
      </w:tcPr>
    </w:tblStylePr>
    <w:tblStylePr w:type="lastCol">
      <w:rPr>
        <w:rFonts w:ascii="Arial" w:hAnsi="Arial"/>
        <w:color w:val="F2F2F2"/>
        <w:sz w:val="22"/>
      </w:rPr>
      <w:tblPr/>
      <w:tcPr>
        <w:shd w:val="clear" w:color="5FCAF3" w:fill="5FCAF3"/>
      </w:tcPr>
    </w:tblStylePr>
    <w:tblStylePr w:type="band1Vert">
      <w:rPr>
        <w:rFonts w:ascii="Arial" w:hAnsi="Arial"/>
        <w:color w:val="404040"/>
        <w:sz w:val="22"/>
      </w:rPr>
    </w:tblStylePr>
    <w:tblStylePr w:type="band2Vert">
      <w:rPr>
        <w:rFonts w:ascii="Arial" w:hAnsi="Arial"/>
        <w:color w:val="404040"/>
        <w:sz w:val="22"/>
      </w:rPr>
      <w:tblPr/>
      <w:tcPr>
        <w:shd w:val="clear" w:color="C9EDFB" w:fill="C9EDFB"/>
      </w:tcPr>
    </w:tblStylePr>
    <w:tblStylePr w:type="band1Horz">
      <w:rPr>
        <w:rFonts w:ascii="Arial" w:hAnsi="Arial"/>
        <w:color w:val="404040"/>
        <w:sz w:val="22"/>
      </w:rPr>
    </w:tblStylePr>
    <w:tblStylePr w:type="band2Horz">
      <w:rPr>
        <w:rFonts w:ascii="Arial" w:hAnsi="Arial"/>
        <w:color w:val="404040"/>
        <w:sz w:val="22"/>
      </w:rPr>
      <w:tblPr/>
      <w:tcPr>
        <w:shd w:val="clear" w:color="C9EDFB" w:fill="C9EDFB"/>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5D1955"/>
        <w:left w:val="single" w:sz="4" w:space="0" w:color="5D1955"/>
        <w:bottom w:val="single" w:sz="4" w:space="0" w:color="5D1955"/>
        <w:right w:val="single" w:sz="4" w:space="0" w:color="5D1955"/>
        <w:insideH w:val="single" w:sz="4" w:space="0" w:color="5D1955"/>
        <w:insideV w:val="single" w:sz="4" w:space="0" w:color="5D1955"/>
      </w:tblBorders>
    </w:tblPr>
    <w:tblStylePr w:type="firstRow">
      <w:rPr>
        <w:rFonts w:ascii="Arial" w:hAnsi="Arial"/>
        <w:color w:val="F2F2F2"/>
        <w:sz w:val="22"/>
      </w:rPr>
      <w:tblPr/>
      <w:tcPr>
        <w:shd w:val="clear" w:color="A02B93" w:fill="A02B93"/>
      </w:tcPr>
    </w:tblStylePr>
    <w:tblStylePr w:type="lastRow">
      <w:rPr>
        <w:rFonts w:ascii="Arial" w:hAnsi="Arial"/>
        <w:color w:val="F2F2F2"/>
        <w:sz w:val="22"/>
      </w:rPr>
      <w:tblPr/>
      <w:tcPr>
        <w:shd w:val="clear" w:color="A02B93" w:fill="A02B93"/>
      </w:tcPr>
    </w:tblStylePr>
    <w:tblStylePr w:type="firstCol">
      <w:rPr>
        <w:rFonts w:ascii="Arial" w:hAnsi="Arial"/>
        <w:color w:val="F2F2F2"/>
        <w:sz w:val="22"/>
      </w:rPr>
      <w:tblPr/>
      <w:tcPr>
        <w:shd w:val="clear" w:color="A02B93" w:fill="A02B93"/>
      </w:tcPr>
    </w:tblStylePr>
    <w:tblStylePr w:type="lastCol">
      <w:rPr>
        <w:rFonts w:ascii="Arial" w:hAnsi="Arial"/>
        <w:color w:val="F2F2F2"/>
        <w:sz w:val="22"/>
      </w:rPr>
      <w:tblPr/>
      <w:tcPr>
        <w:shd w:val="clear" w:color="A02B93" w:fill="A02B93"/>
      </w:tcPr>
    </w:tblStylePr>
    <w:tblStylePr w:type="band1Vert">
      <w:rPr>
        <w:rFonts w:ascii="Arial" w:hAnsi="Arial"/>
        <w:color w:val="404040"/>
        <w:sz w:val="22"/>
      </w:rPr>
    </w:tblStylePr>
    <w:tblStylePr w:type="band2Vert">
      <w:rPr>
        <w:rFonts w:ascii="Arial" w:hAnsi="Arial"/>
        <w:color w:val="404040"/>
        <w:sz w:val="22"/>
      </w:rPr>
      <w:tblPr/>
      <w:tcPr>
        <w:shd w:val="clear" w:color="F1CDED" w:fill="F1CDED"/>
      </w:tcPr>
    </w:tblStylePr>
    <w:tblStylePr w:type="band1Horz">
      <w:rPr>
        <w:rFonts w:ascii="Arial" w:hAnsi="Arial"/>
        <w:color w:val="404040"/>
        <w:sz w:val="22"/>
      </w:rPr>
    </w:tblStylePr>
    <w:tblStylePr w:type="band2Horz">
      <w:rPr>
        <w:rFonts w:ascii="Arial" w:hAnsi="Arial"/>
        <w:color w:val="404040"/>
        <w:sz w:val="22"/>
      </w:rPr>
      <w:tblPr/>
      <w:tcPr>
        <w:shd w:val="clear" w:color="F1CDED" w:fill="F1CDED"/>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2D611B"/>
        <w:left w:val="single" w:sz="4" w:space="0" w:color="2D611B"/>
        <w:bottom w:val="single" w:sz="4" w:space="0" w:color="2D611B"/>
        <w:right w:val="single" w:sz="4" w:space="0" w:color="2D611B"/>
        <w:insideH w:val="single" w:sz="4" w:space="0" w:color="2D611B"/>
        <w:insideV w:val="single" w:sz="4" w:space="0" w:color="2D611B"/>
      </w:tblBorders>
    </w:tblPr>
    <w:tblStylePr w:type="firstRow">
      <w:rPr>
        <w:rFonts w:ascii="Arial" w:hAnsi="Arial"/>
        <w:color w:val="F2F2F2"/>
        <w:sz w:val="22"/>
      </w:rPr>
      <w:tblPr/>
      <w:tcPr>
        <w:shd w:val="clear" w:color="4EA72E" w:fill="4EA72E"/>
      </w:tcPr>
    </w:tblStylePr>
    <w:tblStylePr w:type="lastRow">
      <w:rPr>
        <w:rFonts w:ascii="Arial" w:hAnsi="Arial"/>
        <w:color w:val="F2F2F2"/>
        <w:sz w:val="22"/>
      </w:rPr>
      <w:tblPr/>
      <w:tcPr>
        <w:shd w:val="clear" w:color="4EA72E" w:fill="4EA72E"/>
      </w:tcPr>
    </w:tblStylePr>
    <w:tblStylePr w:type="firstCol">
      <w:rPr>
        <w:rFonts w:ascii="Arial" w:hAnsi="Arial"/>
        <w:color w:val="F2F2F2"/>
        <w:sz w:val="22"/>
      </w:rPr>
      <w:tblPr/>
      <w:tcPr>
        <w:shd w:val="clear" w:color="4EA72E" w:fill="4EA72E"/>
      </w:tcPr>
    </w:tblStylePr>
    <w:tblStylePr w:type="lastCol">
      <w:rPr>
        <w:rFonts w:ascii="Arial" w:hAnsi="Arial"/>
        <w:color w:val="F2F2F2"/>
        <w:sz w:val="22"/>
      </w:rPr>
      <w:tblPr/>
      <w:tcPr>
        <w:shd w:val="clear" w:color="4EA72E" w:fill="4EA72E"/>
      </w:tcPr>
    </w:tblStylePr>
    <w:tblStylePr w:type="band1Vert">
      <w:rPr>
        <w:rFonts w:ascii="Arial" w:hAnsi="Arial"/>
        <w:color w:val="404040"/>
        <w:sz w:val="22"/>
      </w:rPr>
    </w:tblStylePr>
    <w:tblStylePr w:type="band2Vert">
      <w:rPr>
        <w:rFonts w:ascii="Arial" w:hAnsi="Arial"/>
        <w:color w:val="404040"/>
        <w:sz w:val="22"/>
      </w:rPr>
      <w:tblPr/>
      <w:tcPr>
        <w:shd w:val="clear" w:color="D8F2CF" w:fill="D8F2CF"/>
      </w:tcPr>
    </w:tblStylePr>
    <w:tblStylePr w:type="band1Horz">
      <w:rPr>
        <w:rFonts w:ascii="Arial" w:hAnsi="Arial"/>
        <w:color w:val="404040"/>
        <w:sz w:val="22"/>
      </w:rPr>
    </w:tblStylePr>
    <w:tblStylePr w:type="band2Horz">
      <w:rPr>
        <w:rFonts w:ascii="Arial" w:hAnsi="Arial"/>
        <w:color w:val="404040"/>
        <w:sz w:val="22"/>
      </w:rPr>
      <w:tblPr/>
      <w:tcPr>
        <w:shd w:val="clear" w:color="D8F2CF" w:fill="D8F2CF"/>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81C9EA"/>
        <w:left w:val="single" w:sz="4" w:space="0" w:color="81C9EA"/>
        <w:bottom w:val="single" w:sz="4" w:space="0" w:color="81C9EA"/>
        <w:right w:val="single" w:sz="4" w:space="0" w:color="81C9EA"/>
        <w:insideH w:val="single" w:sz="4" w:space="0" w:color="81C9EA"/>
        <w:insideV w:val="single" w:sz="4" w:space="0" w:color="81C9EA"/>
      </w:tblBorders>
    </w:tblPr>
    <w:tblStylePr w:type="firstRow">
      <w:rPr>
        <w:rFonts w:ascii="Arial" w:hAnsi="Arial"/>
        <w:color w:val="404040"/>
        <w:sz w:val="22"/>
      </w:rPr>
      <w:tblPr/>
      <w:tcPr>
        <w:tcBorders>
          <w:bottom w:val="single" w:sz="12" w:space="0" w:color="156082"/>
        </w:tcBorders>
      </w:tcPr>
    </w:tblStylePr>
    <w:tblStylePr w:type="lastRow">
      <w:rPr>
        <w:rFonts w:ascii="Arial" w:hAnsi="Arial"/>
        <w:color w:val="404040"/>
        <w:sz w:val="22"/>
      </w:rPr>
      <w:tblPr/>
      <w:tcPr>
        <w:tcBorders>
          <w:top w:val="single" w:sz="12" w:space="0" w:color="156082"/>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cBorders>
      </w:tcPr>
    </w:tblStylePr>
    <w:tblStylePr w:type="band1Horz">
      <w:rPr>
        <w:rFonts w:ascii="Arial" w:hAnsi="Arial"/>
        <w:color w:val="404040"/>
        <w:sz w:val="22"/>
      </w:rPr>
      <w:tblPr/>
      <w:tcPr>
        <w:tcBorders>
          <w:top w:val="single" w:sz="4" w:space="0" w:color="81C9EA"/>
          <w:left w:val="single" w:sz="4" w:space="0" w:color="81C9EA"/>
          <w:bottom w:val="single" w:sz="4" w:space="0" w:color="81C9EA"/>
          <w:right w:val="single" w:sz="4" w:space="0" w:color="81C9EA"/>
        </w:tcBorders>
      </w:tcPr>
    </w:tblStylePr>
  </w:style>
  <w:style w:type="table" w:customStyle="1" w:styleId="Bordered-Accent2">
    <w:name w:val="Bordered - Accent 2"/>
    <w:basedOn w:val="TableNormal"/>
    <w:uiPriority w:val="99"/>
    <w:tblPr>
      <w:tblStyleRowBandSize w:val="1"/>
      <w:tblStyleColBandSize w:val="1"/>
      <w:tblBorders>
        <w:top w:val="single" w:sz="4" w:space="0" w:color="F6C5AB"/>
        <w:left w:val="single" w:sz="4" w:space="0" w:color="F6C5AB"/>
        <w:bottom w:val="single" w:sz="4" w:space="0" w:color="F6C5AB"/>
        <w:right w:val="single" w:sz="4" w:space="0" w:color="F6C5AB"/>
        <w:insideH w:val="single" w:sz="4" w:space="0" w:color="F6C5AB"/>
        <w:insideV w:val="single" w:sz="4" w:space="0" w:color="F6C5AB"/>
      </w:tblBorders>
    </w:tblPr>
    <w:tblStylePr w:type="firstRow">
      <w:rPr>
        <w:rFonts w:ascii="Arial" w:hAnsi="Arial"/>
        <w:color w:val="404040"/>
        <w:sz w:val="22"/>
      </w:rPr>
      <w:tblPr/>
      <w:tcPr>
        <w:tcBorders>
          <w:bottom w:val="single" w:sz="12" w:space="0" w:color="F2AA85"/>
        </w:tcBorders>
      </w:tcPr>
    </w:tblStylePr>
    <w:tblStylePr w:type="lastRow">
      <w:rPr>
        <w:rFonts w:ascii="Arial" w:hAnsi="Arial"/>
        <w:color w:val="404040"/>
        <w:sz w:val="22"/>
      </w:rPr>
      <w:tblPr/>
      <w:tcPr>
        <w:tcBorders>
          <w:top w:val="single" w:sz="12" w:space="0" w:color="F2AA8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cBorders>
      </w:tcPr>
    </w:tblStylePr>
    <w:tblStylePr w:type="band1Horz">
      <w:rPr>
        <w:rFonts w:ascii="Arial" w:hAnsi="Arial"/>
        <w:color w:val="404040"/>
        <w:sz w:val="22"/>
      </w:rPr>
      <w:tblPr/>
      <w:tcPr>
        <w:tcBorders>
          <w:top w:val="single" w:sz="4" w:space="0" w:color="F6C5AB"/>
          <w:left w:val="single" w:sz="4" w:space="0" w:color="F6C5AB"/>
          <w:bottom w:val="single" w:sz="4" w:space="0" w:color="F6C5AB"/>
          <w:right w:val="single" w:sz="4" w:space="0" w:color="F6C5AB"/>
        </w:tcBorders>
      </w:tcPr>
    </w:tblStylePr>
  </w:style>
  <w:style w:type="table" w:customStyle="1" w:styleId="Bordered-Accent3">
    <w:name w:val="Bordered - Accent 3"/>
    <w:basedOn w:val="TableNormal"/>
    <w:uiPriority w:val="99"/>
    <w:tblPr>
      <w:tblStyleRowBandSize w:val="1"/>
      <w:tblStyleColBandSize w:val="1"/>
      <w:tblBorders>
        <w:top w:val="single" w:sz="4" w:space="0" w:color="83E28F"/>
        <w:left w:val="single" w:sz="4" w:space="0" w:color="83E28F"/>
        <w:bottom w:val="single" w:sz="4" w:space="0" w:color="83E28F"/>
        <w:right w:val="single" w:sz="4" w:space="0" w:color="83E28F"/>
        <w:insideH w:val="single" w:sz="4" w:space="0" w:color="83E28F"/>
        <w:insideV w:val="single" w:sz="4" w:space="0" w:color="83E28F"/>
      </w:tblBorders>
    </w:tblPr>
    <w:tblStylePr w:type="firstRow">
      <w:rPr>
        <w:rFonts w:ascii="Arial" w:hAnsi="Arial"/>
        <w:color w:val="404040"/>
        <w:sz w:val="22"/>
      </w:rPr>
      <w:tblPr/>
      <w:tcPr>
        <w:tcBorders>
          <w:bottom w:val="single" w:sz="12" w:space="0" w:color="48D45B"/>
        </w:tcBorders>
      </w:tcPr>
    </w:tblStylePr>
    <w:tblStylePr w:type="lastRow">
      <w:rPr>
        <w:rFonts w:ascii="Arial" w:hAnsi="Arial"/>
        <w:color w:val="404040"/>
        <w:sz w:val="22"/>
      </w:rPr>
      <w:tblPr/>
      <w:tcPr>
        <w:tcBorders>
          <w:top w:val="single" w:sz="12" w:space="0" w:color="48D45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cBorders>
      </w:tcPr>
    </w:tblStylePr>
    <w:tblStylePr w:type="band1Horz">
      <w:rPr>
        <w:rFonts w:ascii="Arial" w:hAnsi="Arial"/>
        <w:color w:val="404040"/>
        <w:sz w:val="22"/>
      </w:rPr>
      <w:tblPr/>
      <w:tcPr>
        <w:tcBorders>
          <w:top w:val="single" w:sz="4" w:space="0" w:color="83E28F"/>
          <w:left w:val="single" w:sz="4" w:space="0" w:color="83E28F"/>
          <w:bottom w:val="single" w:sz="4" w:space="0" w:color="83E28F"/>
          <w:right w:val="single" w:sz="4" w:space="0" w:color="83E28F"/>
        </w:tcBorders>
      </w:tcPr>
    </w:tblStylePr>
  </w:style>
  <w:style w:type="table" w:customStyle="1" w:styleId="Bordered-Accent4">
    <w:name w:val="Bordered - Accent 4"/>
    <w:basedOn w:val="TableNormal"/>
    <w:uiPriority w:val="99"/>
    <w:tblPr>
      <w:tblStyleRowBandSize w:val="1"/>
      <w:tblStyleColBandSize w:val="1"/>
      <w:tblBorders>
        <w:top w:val="single" w:sz="4" w:space="0" w:color="94DBF7"/>
        <w:left w:val="single" w:sz="4" w:space="0" w:color="94DBF7"/>
        <w:bottom w:val="single" w:sz="4" w:space="0" w:color="94DBF7"/>
        <w:right w:val="single" w:sz="4" w:space="0" w:color="94DBF7"/>
        <w:insideH w:val="single" w:sz="4" w:space="0" w:color="94DBF7"/>
        <w:insideV w:val="single" w:sz="4" w:space="0" w:color="94DBF7"/>
      </w:tblBorders>
    </w:tblPr>
    <w:tblStylePr w:type="firstRow">
      <w:rPr>
        <w:rFonts w:ascii="Arial" w:hAnsi="Arial"/>
        <w:color w:val="404040"/>
        <w:sz w:val="22"/>
      </w:rPr>
      <w:tblPr/>
      <w:tcPr>
        <w:tcBorders>
          <w:bottom w:val="single" w:sz="12" w:space="0" w:color="5FCAF3"/>
        </w:tcBorders>
      </w:tcPr>
    </w:tblStylePr>
    <w:tblStylePr w:type="lastRow">
      <w:rPr>
        <w:rFonts w:ascii="Arial" w:hAnsi="Arial"/>
        <w:color w:val="404040"/>
        <w:sz w:val="22"/>
      </w:rPr>
      <w:tblPr/>
      <w:tcPr>
        <w:tcBorders>
          <w:top w:val="single" w:sz="12" w:space="0" w:color="5FCAF3"/>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cBorders>
      </w:tcPr>
    </w:tblStylePr>
    <w:tblStylePr w:type="band1Horz">
      <w:rPr>
        <w:rFonts w:ascii="Arial" w:hAnsi="Arial"/>
        <w:color w:val="404040"/>
        <w:sz w:val="22"/>
      </w:rPr>
      <w:tblPr/>
      <w:tcPr>
        <w:tcBorders>
          <w:top w:val="single" w:sz="4" w:space="0" w:color="94DBF7"/>
          <w:left w:val="single" w:sz="4" w:space="0" w:color="94DBF7"/>
          <w:bottom w:val="single" w:sz="4" w:space="0" w:color="94DBF7"/>
          <w:right w:val="single" w:sz="4" w:space="0" w:color="94DBF7"/>
        </w:tcBorders>
      </w:tcPr>
    </w:tblStylePr>
  </w:style>
  <w:style w:type="table" w:customStyle="1" w:styleId="Bordered-Accent5">
    <w:name w:val="Bordered - Accent 5"/>
    <w:basedOn w:val="TableNormal"/>
    <w:uiPriority w:val="99"/>
    <w:tblPr>
      <w:tblStyleRowBandSize w:val="1"/>
      <w:tblStyleColBandSize w:val="1"/>
      <w:tblBorders>
        <w:top w:val="single" w:sz="4" w:space="0" w:color="E49DDC"/>
        <w:left w:val="single" w:sz="4" w:space="0" w:color="E49DDC"/>
        <w:bottom w:val="single" w:sz="4" w:space="0" w:color="E49DDC"/>
        <w:right w:val="single" w:sz="4" w:space="0" w:color="E49DDC"/>
        <w:insideH w:val="single" w:sz="4" w:space="0" w:color="E49DDC"/>
        <w:insideV w:val="single" w:sz="4" w:space="0" w:color="E49DDC"/>
      </w:tblBorders>
    </w:tblPr>
    <w:tblStylePr w:type="firstRow">
      <w:rPr>
        <w:rFonts w:ascii="Arial" w:hAnsi="Arial"/>
        <w:color w:val="404040"/>
        <w:sz w:val="22"/>
      </w:rPr>
      <w:tblPr/>
      <w:tcPr>
        <w:tcBorders>
          <w:bottom w:val="single" w:sz="12" w:space="0" w:color="D76CCB"/>
        </w:tcBorders>
      </w:tcPr>
    </w:tblStylePr>
    <w:tblStylePr w:type="lastRow">
      <w:rPr>
        <w:rFonts w:ascii="Arial" w:hAnsi="Arial"/>
        <w:color w:val="404040"/>
        <w:sz w:val="22"/>
      </w:rPr>
      <w:tblPr/>
      <w:tcPr>
        <w:tcBorders>
          <w:top w:val="single" w:sz="12" w:space="0" w:color="D76CC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cBorders>
      </w:tcPr>
    </w:tblStylePr>
    <w:tblStylePr w:type="band1Horz">
      <w:rPr>
        <w:rFonts w:ascii="Arial" w:hAnsi="Arial"/>
        <w:color w:val="404040"/>
        <w:sz w:val="22"/>
      </w:rPr>
      <w:tblPr/>
      <w:tcPr>
        <w:tcBorders>
          <w:top w:val="single" w:sz="4" w:space="0" w:color="E49DDC"/>
          <w:left w:val="single" w:sz="4" w:space="0" w:color="E49DDC"/>
          <w:bottom w:val="single" w:sz="4" w:space="0" w:color="E49DDC"/>
          <w:right w:val="single" w:sz="4" w:space="0" w:color="E49DDC"/>
        </w:tcBorders>
      </w:tcPr>
    </w:tblStylePr>
  </w:style>
  <w:style w:type="table" w:customStyle="1" w:styleId="Bordered-Accent6">
    <w:name w:val="Bordered - Accent 6"/>
    <w:basedOn w:val="TableNormal"/>
    <w:uiPriority w:val="99"/>
    <w:tblPr>
      <w:tblStyleRowBandSize w:val="1"/>
      <w:tblStyleColBandSize w:val="1"/>
      <w:tblBorders>
        <w:top w:val="single" w:sz="4" w:space="0" w:color="B2E5A0"/>
        <w:left w:val="single" w:sz="4" w:space="0" w:color="B2E5A0"/>
        <w:bottom w:val="single" w:sz="4" w:space="0" w:color="B2E5A0"/>
        <w:right w:val="single" w:sz="4" w:space="0" w:color="B2E5A0"/>
        <w:insideH w:val="single" w:sz="4" w:space="0" w:color="B2E5A0"/>
        <w:insideV w:val="single" w:sz="4" w:space="0" w:color="B2E5A0"/>
      </w:tblBorders>
    </w:tblPr>
    <w:tblStylePr w:type="firstRow">
      <w:rPr>
        <w:rFonts w:ascii="Arial" w:hAnsi="Arial"/>
        <w:color w:val="404040"/>
        <w:sz w:val="22"/>
      </w:rPr>
      <w:tblPr/>
      <w:tcPr>
        <w:tcBorders>
          <w:bottom w:val="single" w:sz="12" w:space="0" w:color="8ED873"/>
        </w:tcBorders>
      </w:tcPr>
    </w:tblStylePr>
    <w:tblStylePr w:type="lastRow">
      <w:rPr>
        <w:rFonts w:ascii="Arial" w:hAnsi="Arial"/>
        <w:color w:val="404040"/>
        <w:sz w:val="22"/>
      </w:rPr>
      <w:tblPr/>
      <w:tcPr>
        <w:tcBorders>
          <w:top w:val="single" w:sz="12" w:space="0" w:color="8ED873"/>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cBorders>
      </w:tcPr>
    </w:tblStylePr>
    <w:tblStylePr w:type="band1Horz">
      <w:rPr>
        <w:rFonts w:ascii="Arial" w:hAnsi="Arial"/>
        <w:color w:val="404040"/>
        <w:sz w:val="22"/>
      </w:rPr>
      <w:tblPr/>
      <w:tcPr>
        <w:tcBorders>
          <w:top w:val="single" w:sz="4" w:space="0" w:color="B2E5A0"/>
          <w:left w:val="single" w:sz="4" w:space="0" w:color="B2E5A0"/>
          <w:bottom w:val="single" w:sz="4" w:space="0" w:color="B2E5A0"/>
          <w:right w:val="single" w:sz="4" w:space="0" w:color="B2E5A0"/>
        </w:tcBorders>
      </w:tcPr>
    </w:tblStylePr>
  </w:style>
  <w:style w:type="character" w:customStyle="1" w:styleId="Heading3Char">
    <w:name w:val="Heading 3 Char"/>
    <w:link w:val="Heading3"/>
    <w:uiPriority w:val="9"/>
    <w:rPr>
      <w:rFonts w:ascii="Arial" w:eastAsia="Arial" w:hAnsi="Arial" w:cs="Arial"/>
      <w:color w:val="0F4761"/>
      <w:sz w:val="28"/>
      <w:szCs w:val="28"/>
    </w:rPr>
  </w:style>
  <w:style w:type="character" w:customStyle="1" w:styleId="Heading4Char">
    <w:name w:val="Heading 4 Char"/>
    <w:link w:val="Heading4"/>
    <w:uiPriority w:val="9"/>
    <w:rPr>
      <w:rFonts w:ascii="Arial" w:eastAsia="Arial" w:hAnsi="Arial" w:cs="Arial"/>
      <w:i/>
      <w:iCs/>
      <w:color w:val="0F4761"/>
    </w:rPr>
  </w:style>
  <w:style w:type="character" w:customStyle="1" w:styleId="Heading5Char">
    <w:name w:val="Heading 5 Char"/>
    <w:link w:val="Heading5"/>
    <w:uiPriority w:val="9"/>
    <w:rPr>
      <w:rFonts w:ascii="Arial" w:eastAsia="Arial" w:hAnsi="Arial" w:cs="Arial"/>
      <w:color w:val="0F4761"/>
    </w:rPr>
  </w:style>
  <w:style w:type="character" w:customStyle="1" w:styleId="Heading6Char">
    <w:name w:val="Heading 6 Char"/>
    <w:link w:val="Heading6"/>
    <w:uiPriority w:val="9"/>
    <w:rPr>
      <w:rFonts w:ascii="Arial" w:eastAsia="Arial" w:hAnsi="Arial" w:cs="Arial"/>
      <w:i/>
      <w:iCs/>
      <w:color w:val="595959"/>
    </w:rPr>
  </w:style>
  <w:style w:type="character" w:customStyle="1" w:styleId="Heading7Char">
    <w:name w:val="Heading 7 Char"/>
    <w:link w:val="Heading7"/>
    <w:uiPriority w:val="9"/>
    <w:rPr>
      <w:rFonts w:ascii="Arial" w:eastAsia="Arial" w:hAnsi="Arial" w:cs="Arial"/>
      <w:color w:val="595959"/>
    </w:rPr>
  </w:style>
  <w:style w:type="character" w:customStyle="1" w:styleId="Heading8Char">
    <w:name w:val="Heading 8 Char"/>
    <w:link w:val="Heading8"/>
    <w:uiPriority w:val="9"/>
    <w:rPr>
      <w:rFonts w:ascii="Arial" w:eastAsia="Arial" w:hAnsi="Arial" w:cs="Arial"/>
      <w:i/>
      <w:iCs/>
      <w:color w:val="272727"/>
    </w:rPr>
  </w:style>
  <w:style w:type="character" w:customStyle="1" w:styleId="Heading9Char">
    <w:name w:val="Heading 9 Char"/>
    <w:link w:val="Heading9"/>
    <w:uiPriority w:val="9"/>
    <w:rPr>
      <w:rFonts w:ascii="Arial" w:eastAsia="Arial" w:hAnsi="Arial" w:cs="Arial"/>
      <w:i/>
      <w:iCs/>
      <w:color w:val="272727"/>
    </w:rPr>
  </w:style>
  <w:style w:type="paragraph" w:styleId="Subtitle">
    <w:name w:val="Subtitle"/>
    <w:basedOn w:val="Normal"/>
    <w:next w:val="Normal"/>
    <w:link w:val="SubtitleChar"/>
    <w:uiPriority w:val="11"/>
    <w:qFormat/>
    <w:pPr>
      <w:numPr>
        <w:ilvl w:val="1"/>
      </w:numPr>
    </w:pPr>
    <w:rPr>
      <w:color w:val="595959"/>
      <w:spacing w:val="15"/>
      <w:sz w:val="28"/>
      <w:szCs w:val="28"/>
    </w:rPr>
  </w:style>
  <w:style w:type="character" w:customStyle="1" w:styleId="SubtitleChar">
    <w:name w:val="Subtitle Char"/>
    <w:link w:val="Subtitle"/>
    <w:uiPriority w:val="11"/>
    <w:rPr>
      <w:color w:val="595959"/>
      <w:spacing w:val="15"/>
      <w:sz w:val="28"/>
      <w:szCs w:val="28"/>
    </w:rPr>
  </w:style>
  <w:style w:type="paragraph" w:styleId="Quote">
    <w:name w:val="Quote"/>
    <w:basedOn w:val="Normal"/>
    <w:next w:val="Normal"/>
    <w:link w:val="QuoteChar"/>
    <w:uiPriority w:val="29"/>
    <w:qFormat/>
    <w:pPr>
      <w:spacing w:before="160"/>
    </w:pPr>
    <w:rPr>
      <w:i/>
      <w:iCs/>
      <w:color w:val="404040"/>
    </w:rPr>
  </w:style>
  <w:style w:type="character" w:customStyle="1" w:styleId="QuoteChar">
    <w:name w:val="Quote Char"/>
    <w:link w:val="Quote"/>
    <w:uiPriority w:val="29"/>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uiPriority w:val="21"/>
    <w:qFormat/>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pPr>
    <w:rPr>
      <w:i/>
      <w:iCs/>
      <w:color w:val="0F4761"/>
    </w:rPr>
  </w:style>
  <w:style w:type="character" w:customStyle="1" w:styleId="IntenseQuoteChar">
    <w:name w:val="Intense Quote Char"/>
    <w:link w:val="IntenseQuote"/>
    <w:uiPriority w:val="30"/>
    <w:rPr>
      <w:i/>
      <w:iCs/>
      <w:color w:val="0F4761"/>
    </w:rPr>
  </w:style>
  <w:style w:type="character" w:styleId="IntenseReference">
    <w:name w:val="Intense Reference"/>
    <w:uiPriority w:val="32"/>
    <w:qFormat/>
    <w:rPr>
      <w:b/>
      <w:bCs/>
      <w:smallCaps/>
      <w:color w:val="0F4761"/>
      <w:spacing w:val="5"/>
    </w:rPr>
  </w:style>
  <w:style w:type="paragraph" w:styleId="NoSpacing">
    <w:name w:val="No Spacing"/>
    <w:basedOn w:val="Normal"/>
    <w:uiPriority w:val="1"/>
    <w:qFormat/>
  </w:style>
  <w:style w:type="character" w:styleId="SubtleEmphasis">
    <w:name w:val="Subtle Emphasis"/>
    <w:uiPriority w:val="19"/>
    <w:qFormat/>
    <w:rPr>
      <w:i/>
      <w:iCs/>
      <w:color w:val="404040"/>
    </w:rPr>
  </w:style>
  <w:style w:type="character" w:styleId="Emphasis">
    <w:name w:val="Emphasis"/>
    <w:uiPriority w:val="20"/>
    <w:qFormat/>
    <w:rPr>
      <w:i/>
      <w:iCs/>
    </w:rPr>
  </w:style>
  <w:style w:type="character" w:styleId="Strong">
    <w:name w:val="Strong"/>
    <w:uiPriority w:val="22"/>
    <w:qFormat/>
    <w:rPr>
      <w:b/>
      <w:bCs/>
    </w:rPr>
  </w:style>
  <w:style w:type="character" w:styleId="SubtleReference">
    <w:name w:val="Subtle Reference"/>
    <w:uiPriority w:val="31"/>
    <w:qFormat/>
    <w:rPr>
      <w:smallCaps/>
      <w:color w:val="5A5A5A"/>
    </w:rPr>
  </w:style>
  <w:style w:type="character" w:styleId="BookTitle">
    <w:name w:val="Book Title"/>
    <w:uiPriority w:val="33"/>
    <w:qFormat/>
    <w:rPr>
      <w:b/>
      <w:bCs/>
      <w:i/>
      <w:iCs/>
      <w:spacing w:val="5"/>
    </w:rPr>
  </w:style>
  <w:style w:type="paragraph" w:styleId="Caption">
    <w:name w:val="caption"/>
    <w:basedOn w:val="Normal"/>
    <w:next w:val="Normal"/>
    <w:uiPriority w:val="35"/>
    <w:unhideWhenUsed/>
    <w:qFormat/>
    <w:pPr>
      <w:spacing w:after="200"/>
    </w:pPr>
    <w:rPr>
      <w:i/>
      <w:iCs/>
      <w:color w:val="0E2841"/>
      <w:sz w:val="18"/>
      <w:szCs w:val="18"/>
    </w:r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link w:val="FootnoteText"/>
    <w:uiPriority w:val="99"/>
    <w:rPr>
      <w:sz w:val="20"/>
      <w:szCs w:val="20"/>
    </w:rPr>
  </w:style>
  <w:style w:type="character" w:styleId="FootnoteReference">
    <w:name w:val="footnote reference"/>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rPr>
      <w:sz w:val="20"/>
      <w:szCs w:val="20"/>
    </w:rPr>
  </w:style>
  <w:style w:type="character" w:styleId="EndnoteReference">
    <w:name w:val="endnote reference"/>
    <w:uiPriority w:val="99"/>
    <w:semiHidden/>
    <w:unhideWhenUsed/>
    <w:rPr>
      <w:vertAlign w:val="superscript"/>
    </w:rPr>
  </w:style>
  <w:style w:type="character" w:styleId="FollowedHyperlink">
    <w:name w:val="FollowedHyperlink"/>
    <w:uiPriority w:val="99"/>
    <w:semiHidden/>
    <w:unhideWhenUsed/>
    <w:rPr>
      <w:color w:val="96607D"/>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paragraph" w:styleId="TOCHeading">
    <w:name w:val="TOC Heading"/>
    <w:uiPriority w:val="39"/>
    <w:unhideWhenUsed/>
    <w:rPr>
      <w:lang w:val="en-US" w:eastAsia="zh-CN"/>
    </w:rPr>
  </w:style>
  <w:style w:type="paragraph" w:styleId="TableofFigures">
    <w:name w:val="table of figures"/>
    <w:basedOn w:val="Normal"/>
    <w:next w:val="Normal"/>
    <w:uiPriority w:val="99"/>
    <w:unhideWhenUsed/>
  </w:style>
  <w:style w:type="character" w:customStyle="1" w:styleId="Heading1Char">
    <w:name w:val="Heading 1 Char"/>
    <w:link w:val="Heading1"/>
    <w:uiPriority w:val="9"/>
    <w:rPr>
      <w:rFonts w:ascii="Arial" w:eastAsia="Times New Roman" w:hAnsi="Arial" w:cs="Arial"/>
      <w:b/>
      <w:szCs w:val="32"/>
      <w:lang w:eastAsia="en-US"/>
    </w:rPr>
  </w:style>
  <w:style w:type="paragraph" w:styleId="PlainText">
    <w:name w:val="Plain Text"/>
    <w:aliases w:val="Subsection text"/>
    <w:basedOn w:val="Normal"/>
    <w:link w:val="PlainTextChar"/>
    <w:pPr>
      <w:jc w:val="both"/>
    </w:pPr>
    <w:rPr>
      <w:rFonts w:eastAsia="MS Mincho" w:cs="Arial"/>
      <w:b w:val="0"/>
      <w:sz w:val="18"/>
      <w:szCs w:val="20"/>
    </w:rPr>
  </w:style>
  <w:style w:type="character" w:customStyle="1" w:styleId="PlainTextChar">
    <w:name w:val="Plain Text Char"/>
    <w:aliases w:val="Subsection text Char"/>
    <w:link w:val="PlainText"/>
    <w:rPr>
      <w:rFonts w:ascii="Arial" w:eastAsia="MS Mincho" w:hAnsi="Arial" w:cs="Arial"/>
      <w:sz w:val="18"/>
      <w:szCs w:val="20"/>
      <w:lang w:val="en-GB"/>
    </w:rPr>
  </w:style>
  <w:style w:type="paragraph" w:styleId="Header">
    <w:name w:val="header"/>
    <w:basedOn w:val="Normal"/>
    <w:link w:val="HeaderChar"/>
    <w:pPr>
      <w:tabs>
        <w:tab w:val="center" w:pos="4320"/>
        <w:tab w:val="right" w:pos="8640"/>
      </w:tabs>
      <w:jc w:val="left"/>
    </w:pPr>
    <w:rPr>
      <w:b w:val="0"/>
      <w:sz w:val="18"/>
    </w:rPr>
  </w:style>
  <w:style w:type="character" w:customStyle="1" w:styleId="HeaderChar">
    <w:name w:val="Header Char"/>
    <w:link w:val="Header"/>
    <w:rPr>
      <w:rFonts w:ascii="Arial" w:eastAsia="Times New Roman" w:hAnsi="Arial"/>
      <w:sz w:val="18"/>
      <w:szCs w:val="24"/>
      <w:lang w:eastAsia="en-US"/>
    </w:rPr>
  </w:style>
  <w:style w:type="paragraph" w:styleId="Title">
    <w:name w:val="Title"/>
    <w:basedOn w:val="Normal"/>
    <w:next w:val="Normal"/>
    <w:link w:val="TitleChar"/>
    <w:qFormat/>
    <w:pPr>
      <w:spacing w:before="240" w:after="480"/>
    </w:pPr>
    <w:rPr>
      <w:rFonts w:cs="Arial"/>
      <w:bCs/>
      <w:sz w:val="36"/>
      <w:szCs w:val="32"/>
    </w:rPr>
  </w:style>
  <w:style w:type="character" w:customStyle="1" w:styleId="TitleChar">
    <w:name w:val="Title Char"/>
    <w:link w:val="Title"/>
    <w:rPr>
      <w:rFonts w:ascii="Arial" w:eastAsia="Times New Roman" w:hAnsi="Arial" w:cs="Arial"/>
      <w:b/>
      <w:bCs/>
      <w:sz w:val="36"/>
      <w:szCs w:val="32"/>
      <w:lang w:eastAsia="en-US"/>
    </w:rPr>
  </w:style>
  <w:style w:type="character" w:styleId="Hyperlink">
    <w:name w:val="Hyperlink"/>
    <w:rPr>
      <w:rFonts w:ascii="Arial" w:hAnsi="Arial"/>
      <w:color w:val="0000FF"/>
      <w:u w:val="single"/>
    </w:rPr>
  </w:style>
  <w:style w:type="paragraph" w:customStyle="1" w:styleId="Third-LevelHeadingParagraph">
    <w:name w:val="Third-Level Heading Paragraph"/>
    <w:basedOn w:val="Normal"/>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b/>
      <w:sz w:val="16"/>
      <w:szCs w:val="16"/>
      <w:lang w:val="en-GB"/>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rFonts w:ascii="Arial" w:eastAsia="Times New Roman" w:hAnsi="Arial"/>
      <w:b/>
      <w:sz w:val="24"/>
      <w:szCs w:val="24"/>
      <w:lang w:eastAsia="en-US"/>
    </w:rPr>
  </w:style>
  <w:style w:type="paragraph" w:customStyle="1" w:styleId="52Equationnote">
    <w:name w:val="52_Equation_note"/>
    <w:basedOn w:val="Normal"/>
    <w:pPr>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pPr>
      <w:widowControl w:val="0"/>
      <w:tabs>
        <w:tab w:val="num" w:pos="1080"/>
      </w:tabs>
      <w:spacing w:before="240" w:after="240"/>
      <w:jc w:val="right"/>
    </w:pPr>
    <w:rPr>
      <w:rFonts w:eastAsia="SimSun"/>
      <w:b w:val="0"/>
      <w:sz w:val="21"/>
      <w:szCs w:val="20"/>
      <w:lang w:val="en-US" w:eastAsia="zh-TW"/>
    </w:rPr>
  </w:style>
  <w:style w:type="paragraph" w:customStyle="1" w:styleId="21ParagraphE">
    <w:name w:val="21_Paragraph_E"/>
    <w:basedOn w:val="Normal"/>
    <w:pPr>
      <w:spacing w:after="120"/>
      <w:jc w:val="both"/>
    </w:pPr>
    <w:rPr>
      <w:rFonts w:eastAsia="SimSun"/>
      <w:b w:val="0"/>
      <w:sz w:val="21"/>
      <w:szCs w:val="20"/>
      <w:lang w:val="en-US" w:eastAsia="zh-CN"/>
    </w:rPr>
  </w:style>
  <w:style w:type="character" w:styleId="PlaceholderText">
    <w:name w:val="Placeholder Text"/>
    <w:uiPriority w:val="99"/>
    <w:semiHidden/>
    <w:rPr>
      <w:color w:val="808080"/>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ibliography">
    <w:name w:val="Bibliography"/>
    <w:basedOn w:val="Normal"/>
    <w:next w:val="Normal"/>
    <w:uiPriority w:val="37"/>
    <w:unhideWhenUsed/>
  </w:style>
  <w:style w:type="paragraph" w:customStyle="1" w:styleId="MainText">
    <w:name w:val="Main Text"/>
    <w:basedOn w:val="PlainText"/>
    <w:qFormat/>
    <w:pPr>
      <w:ind w:firstLine="284"/>
      <w:contextualSpacing/>
    </w:pPr>
    <w:rPr>
      <w:sz w:val="20"/>
    </w:rPr>
  </w:style>
  <w:style w:type="paragraph" w:customStyle="1" w:styleId="Captionfigtable">
    <w:name w:val="Caption (fig &amp; table)"/>
    <w:basedOn w:val="PlainText"/>
    <w:link w:val="CaptionfigtableChar"/>
    <w:qFormat/>
    <w:rPr>
      <w:i/>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Pr>
      <w:rFonts w:ascii="Arial" w:eastAsia="MS Mincho" w:hAnsi="Arial" w:cs="Arial"/>
      <w:i/>
      <w:sz w:val="18"/>
      <w:lang w:eastAsia="en-US"/>
    </w:rPr>
  </w:style>
  <w:style w:type="character" w:styleId="UnresolvedMention">
    <w:name w:val="Unresolved Mention"/>
    <w:uiPriority w:val="99"/>
    <w:semiHidden/>
    <w:unhideWhenUsed/>
    <w:rPr>
      <w:color w:val="605E5C"/>
      <w:shd w:val="clear" w:color="auto" w:fill="E1DFDD"/>
    </w:rPr>
  </w:style>
  <w:style w:type="paragraph" w:customStyle="1" w:styleId="AbstractHeading">
    <w:name w:val="Abstract Heading"/>
    <w:basedOn w:val="Heading1"/>
    <w:qFormat/>
    <w:pPr>
      <w:ind w:left="1134" w:right="1183"/>
    </w:pPr>
  </w:style>
  <w:style w:type="paragraph" w:customStyle="1" w:styleId="Abstracttext">
    <w:name w:val="Abstract text"/>
    <w:basedOn w:val="AbstractHeading"/>
    <w:qFormat/>
    <w:pPr>
      <w:jc w:val="both"/>
    </w:pPr>
    <w:rPr>
      <w:b w:val="0"/>
      <w:bCs/>
    </w:rPr>
  </w:style>
  <w:style w:type="paragraph" w:customStyle="1" w:styleId="Keywordsheading">
    <w:name w:val="Keywords heading"/>
    <w:basedOn w:val="AbstractHeading"/>
    <w:qFormat/>
  </w:style>
  <w:style w:type="paragraph" w:customStyle="1" w:styleId="Keywordstext">
    <w:name w:val="Keywords text"/>
    <w:basedOn w:val="Keywordsheading"/>
    <w:qFormat/>
    <w:rPr>
      <w:b w:val="0"/>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rFonts w:ascii="Arial" w:eastAsia="Times New Roman" w:hAnsi="Arial"/>
      <w:b/>
      <w:lang w:eastAsia="en-US"/>
    </w:rPr>
  </w:style>
  <w:style w:type="paragraph" w:styleId="CommentSubject">
    <w:name w:val="annotation subject"/>
    <w:basedOn w:val="CommentText"/>
    <w:next w:val="CommentText"/>
    <w:link w:val="CommentSubjectChar"/>
    <w:uiPriority w:val="99"/>
    <w:semiHidden/>
    <w:unhideWhenUsed/>
    <w:rPr>
      <w:bCs/>
    </w:rPr>
  </w:style>
  <w:style w:type="character" w:customStyle="1" w:styleId="CommentSubjectChar">
    <w:name w:val="Comment Subject Char"/>
    <w:link w:val="CommentSubject"/>
    <w:uiPriority w:val="99"/>
    <w:semiHidden/>
    <w:rPr>
      <w:rFonts w:ascii="Arial" w:eastAsia="Times New Roman" w:hAnsi="Arial"/>
      <w:b/>
      <w:bCs/>
      <w:lang w:eastAsia="en-US"/>
    </w:rPr>
  </w:style>
  <w:style w:type="paragraph" w:styleId="Revision">
    <w:name w:val="Revision"/>
    <w:hidden/>
    <w:uiPriority w:val="99"/>
    <w:semiHidden/>
    <w:rPr>
      <w:rFonts w:ascii="Arial" w:eastAsia="Times New Roman" w:hAnsi="Arial"/>
      <w:b/>
      <w:sz w:val="24"/>
      <w:szCs w:val="24"/>
      <w:lang w:val="en-GB" w:eastAsia="en-US"/>
    </w:rPr>
  </w:style>
  <w:style w:type="paragraph" w:customStyle="1" w:styleId="CitaviBibliographyEntry">
    <w:name w:val="Citavi Bibliography Entry"/>
    <w:basedOn w:val="Normal"/>
    <w:link w:val="CitaviBibliographyEntryChar"/>
    <w:uiPriority w:val="99"/>
    <w:pPr>
      <w:tabs>
        <w:tab w:val="left" w:pos="283"/>
      </w:tabs>
      <w:ind w:left="283" w:hanging="283"/>
      <w:jc w:val="left"/>
    </w:pPr>
    <w:rPr>
      <w:rFonts w:cs="Arial"/>
    </w:rPr>
  </w:style>
  <w:style w:type="character" w:customStyle="1" w:styleId="CitaviBibliographyEntryChar">
    <w:name w:val="Citavi Bibliography Entry Char"/>
    <w:link w:val="CitaviBibliographyEntry"/>
    <w:uiPriority w:val="99"/>
    <w:rPr>
      <w:rFonts w:ascii="Arial" w:eastAsia="Times New Roman" w:hAnsi="Arial" w:cs="Arial"/>
      <w:b/>
      <w:sz w:val="24"/>
      <w:szCs w:val="24"/>
      <w:lang w:val="en-GB" w:eastAsia="en-US"/>
    </w:rPr>
  </w:style>
  <w:style w:type="paragraph" w:customStyle="1" w:styleId="CitaviBibliographyHeading">
    <w:name w:val="Citavi Bibliography Heading"/>
    <w:basedOn w:val="Heading1"/>
    <w:link w:val="CitaviBibliographyHeadingChar"/>
    <w:uiPriority w:val="99"/>
  </w:style>
  <w:style w:type="character" w:customStyle="1" w:styleId="CitaviBibliographyHeadingChar">
    <w:name w:val="Citavi Bibliography Heading Char"/>
    <w:link w:val="CitaviBibliographyHeading"/>
    <w:uiPriority w:val="99"/>
    <w:rPr>
      <w:rFonts w:ascii="Arial" w:eastAsia="Times New Roman" w:hAnsi="Arial" w:cs="Arial"/>
      <w:b/>
      <w:szCs w:val="32"/>
      <w:lang w:val="en-GB" w:eastAsia="en-US"/>
    </w:rPr>
  </w:style>
  <w:style w:type="paragraph" w:customStyle="1" w:styleId="CitaviChapterBibliographyHeading">
    <w:name w:val="Citavi Chapter Bibliography Heading"/>
    <w:basedOn w:val="Heading2"/>
    <w:link w:val="CitaviChapterBibliographyHeadingChar"/>
    <w:uiPriority w:val="99"/>
    <w:pPr>
      <w:jc w:val="left"/>
    </w:pPr>
  </w:style>
  <w:style w:type="character" w:customStyle="1" w:styleId="CitaviChapterBibliographyHeadingChar">
    <w:name w:val="Citavi Chapter Bibliography Heading Char"/>
    <w:link w:val="CitaviChapterBibliographyHeading"/>
    <w:uiPriority w:val="99"/>
    <w:rPr>
      <w:rFonts w:ascii="Calibri Light" w:eastAsia="Times New Roman" w:hAnsi="Calibri Light" w:cs="Arial"/>
      <w:b/>
      <w:bCs/>
      <w:i/>
      <w:iCs/>
      <w:sz w:val="28"/>
      <w:szCs w:val="28"/>
      <w:lang w:val="en-GB" w:eastAsia="en-US"/>
    </w:rPr>
  </w:style>
  <w:style w:type="paragraph" w:customStyle="1" w:styleId="CitaviBibliographySubheading1">
    <w:name w:val="Citavi Bibliography Subheading 1"/>
    <w:basedOn w:val="Heading2"/>
    <w:link w:val="CitaviBibliographySubheading1Char"/>
    <w:uiPriority w:val="99"/>
    <w:pPr>
      <w:ind w:firstLine="284"/>
      <w:jc w:val="left"/>
      <w:outlineLvl w:val="9"/>
    </w:pPr>
    <w:rPr>
      <w:rFonts w:cs="Arial"/>
    </w:rPr>
  </w:style>
  <w:style w:type="character" w:customStyle="1" w:styleId="CitaviBibliographySubheading1Char">
    <w:name w:val="Citavi Bibliography Subheading 1 Char"/>
    <w:link w:val="CitaviBibliographySubheading1"/>
    <w:uiPriority w:val="99"/>
    <w:rPr>
      <w:rFonts w:ascii="Calibri Light" w:eastAsia="Times New Roman" w:hAnsi="Calibri Light" w:cs="Arial"/>
      <w:b/>
      <w:bCs/>
      <w:i/>
      <w:iCs/>
      <w:sz w:val="28"/>
      <w:szCs w:val="28"/>
      <w:lang w:val="en-GB" w:eastAsia="en-US"/>
    </w:rPr>
  </w:style>
  <w:style w:type="paragraph" w:customStyle="1" w:styleId="CitaviBibliographySubheading2">
    <w:name w:val="Citavi Bibliography Subheading 2"/>
    <w:basedOn w:val="Heading3"/>
    <w:link w:val="CitaviBibliographySubheading2Char"/>
    <w:uiPriority w:val="99"/>
    <w:pPr>
      <w:ind w:firstLine="284"/>
      <w:jc w:val="left"/>
      <w:outlineLvl w:val="9"/>
    </w:pPr>
  </w:style>
  <w:style w:type="character" w:customStyle="1" w:styleId="CitaviBibliographySubheading2Char">
    <w:name w:val="Citavi Bibliography Subheading 2 Char"/>
    <w:link w:val="CitaviBibliographySubheading2"/>
    <w:uiPriority w:val="99"/>
    <w:rPr>
      <w:rFonts w:ascii="Arial" w:eastAsia="Arial" w:hAnsi="Arial" w:cs="Arial"/>
      <w:b/>
      <w:color w:val="0F4761"/>
      <w:sz w:val="28"/>
      <w:szCs w:val="28"/>
      <w:lang w:val="en-GB" w:eastAsia="en-US"/>
    </w:rPr>
  </w:style>
  <w:style w:type="paragraph" w:customStyle="1" w:styleId="CitaviBibliographySubheading3">
    <w:name w:val="Citavi Bibliography Subheading 3"/>
    <w:basedOn w:val="Heading4"/>
    <w:link w:val="CitaviBibliographySubheading3Char"/>
    <w:uiPriority w:val="99"/>
    <w:pPr>
      <w:ind w:firstLine="284"/>
      <w:jc w:val="left"/>
      <w:outlineLvl w:val="9"/>
    </w:pPr>
  </w:style>
  <w:style w:type="character" w:customStyle="1" w:styleId="CitaviBibliographySubheading3Char">
    <w:name w:val="Citavi Bibliography Subheading 3 Char"/>
    <w:link w:val="CitaviBibliographySubheading3"/>
    <w:uiPriority w:val="99"/>
    <w:rPr>
      <w:rFonts w:ascii="Arial" w:eastAsia="Arial" w:hAnsi="Arial" w:cs="Arial"/>
      <w:b/>
      <w:i/>
      <w:iCs/>
      <w:color w:val="0F4761"/>
      <w:sz w:val="24"/>
      <w:szCs w:val="24"/>
      <w:lang w:val="en-GB" w:eastAsia="en-US"/>
    </w:rPr>
  </w:style>
  <w:style w:type="paragraph" w:customStyle="1" w:styleId="CitaviBibliographySubheading4">
    <w:name w:val="Citavi Bibliography Subheading 4"/>
    <w:basedOn w:val="Heading5"/>
    <w:link w:val="CitaviBibliographySubheading4Char"/>
    <w:uiPriority w:val="99"/>
    <w:pPr>
      <w:ind w:firstLine="284"/>
      <w:jc w:val="left"/>
      <w:outlineLvl w:val="9"/>
    </w:pPr>
  </w:style>
  <w:style w:type="character" w:customStyle="1" w:styleId="CitaviBibliographySubheading4Char">
    <w:name w:val="Citavi Bibliography Subheading 4 Char"/>
    <w:link w:val="CitaviBibliographySubheading4"/>
    <w:uiPriority w:val="99"/>
    <w:rPr>
      <w:rFonts w:ascii="Arial" w:eastAsia="Arial" w:hAnsi="Arial" w:cs="Arial"/>
      <w:b/>
      <w:color w:val="0F4761"/>
      <w:sz w:val="24"/>
      <w:szCs w:val="24"/>
      <w:lang w:val="en-GB" w:eastAsia="en-US"/>
    </w:rPr>
  </w:style>
  <w:style w:type="paragraph" w:customStyle="1" w:styleId="CitaviBibliographySubheading5">
    <w:name w:val="Citavi Bibliography Subheading 5"/>
    <w:basedOn w:val="Heading6"/>
    <w:link w:val="CitaviBibliographySubheading5Char"/>
    <w:uiPriority w:val="99"/>
    <w:pPr>
      <w:ind w:firstLine="284"/>
      <w:jc w:val="left"/>
      <w:outlineLvl w:val="9"/>
    </w:pPr>
  </w:style>
  <w:style w:type="character" w:customStyle="1" w:styleId="CitaviBibliographySubheading5Char">
    <w:name w:val="Citavi Bibliography Subheading 5 Char"/>
    <w:link w:val="CitaviBibliographySubheading5"/>
    <w:uiPriority w:val="99"/>
    <w:rPr>
      <w:rFonts w:ascii="Arial" w:eastAsia="Arial" w:hAnsi="Arial" w:cs="Arial"/>
      <w:b/>
      <w:i/>
      <w:iCs/>
      <w:color w:val="595959"/>
      <w:sz w:val="24"/>
      <w:szCs w:val="24"/>
      <w:lang w:val="en-GB" w:eastAsia="en-US"/>
    </w:rPr>
  </w:style>
  <w:style w:type="paragraph" w:customStyle="1" w:styleId="CitaviBibliographySubheading6">
    <w:name w:val="Citavi Bibliography Subheading 6"/>
    <w:basedOn w:val="Heading7"/>
    <w:link w:val="CitaviBibliographySubheading6Char"/>
    <w:uiPriority w:val="99"/>
    <w:pPr>
      <w:ind w:firstLine="284"/>
      <w:jc w:val="left"/>
      <w:outlineLvl w:val="9"/>
    </w:pPr>
  </w:style>
  <w:style w:type="character" w:customStyle="1" w:styleId="CitaviBibliographySubheading6Char">
    <w:name w:val="Citavi Bibliography Subheading 6 Char"/>
    <w:link w:val="CitaviBibliographySubheading6"/>
    <w:uiPriority w:val="99"/>
    <w:rPr>
      <w:rFonts w:ascii="Arial" w:eastAsia="Arial" w:hAnsi="Arial" w:cs="Arial"/>
      <w:b/>
      <w:color w:val="595959"/>
      <w:sz w:val="24"/>
      <w:szCs w:val="24"/>
      <w:lang w:val="en-GB" w:eastAsia="en-US"/>
    </w:rPr>
  </w:style>
  <w:style w:type="paragraph" w:customStyle="1" w:styleId="CitaviBibliographySubheading7">
    <w:name w:val="Citavi Bibliography Subheading 7"/>
    <w:basedOn w:val="Heading8"/>
    <w:link w:val="CitaviBibliographySubheading7Char"/>
    <w:uiPriority w:val="99"/>
    <w:pPr>
      <w:ind w:firstLine="284"/>
      <w:jc w:val="left"/>
      <w:outlineLvl w:val="9"/>
    </w:pPr>
  </w:style>
  <w:style w:type="character" w:customStyle="1" w:styleId="CitaviBibliographySubheading7Char">
    <w:name w:val="Citavi Bibliography Subheading 7 Char"/>
    <w:link w:val="CitaviBibliographySubheading7"/>
    <w:uiPriority w:val="99"/>
    <w:rPr>
      <w:rFonts w:ascii="Arial" w:eastAsia="Arial" w:hAnsi="Arial" w:cs="Arial"/>
      <w:b/>
      <w:i/>
      <w:iCs/>
      <w:color w:val="272727"/>
      <w:sz w:val="24"/>
      <w:szCs w:val="24"/>
      <w:lang w:val="en-GB" w:eastAsia="en-US"/>
    </w:rPr>
  </w:style>
  <w:style w:type="paragraph" w:customStyle="1" w:styleId="CitaviBibliographySubheading8">
    <w:name w:val="Citavi Bibliography Subheading 8"/>
    <w:basedOn w:val="Heading9"/>
    <w:link w:val="CitaviBibliographySubheading8Char"/>
    <w:uiPriority w:val="99"/>
    <w:pPr>
      <w:ind w:firstLine="284"/>
      <w:jc w:val="left"/>
      <w:outlineLvl w:val="9"/>
    </w:pPr>
  </w:style>
  <w:style w:type="character" w:customStyle="1" w:styleId="CitaviBibliographySubheading8Char">
    <w:name w:val="Citavi Bibliography Subheading 8 Char"/>
    <w:link w:val="CitaviBibliographySubheading8"/>
    <w:uiPriority w:val="99"/>
    <w:rPr>
      <w:rFonts w:ascii="Arial" w:eastAsia="Arial" w:hAnsi="Arial" w:cs="Arial"/>
      <w:b/>
      <w:i/>
      <w:iCs/>
      <w:color w:val="272727"/>
      <w:sz w:val="24"/>
      <w:szCs w:val="24"/>
      <w:lang w:val="en-GB" w:eastAsia="en-US"/>
    </w:rPr>
  </w:style>
  <w:style w:type="table" w:styleId="MediumList1-Accent1">
    <w:name w:val="Medium List 1 Accent 1"/>
    <w:basedOn w:val="TableNormal"/>
    <w:uiPriority w:val="65"/>
    <w:semiHidden/>
    <w:unhideWhenUsed/>
    <w:rPr>
      <w:color w:val="000000"/>
    </w:rPr>
    <w:tblPr>
      <w:tblStyleRowBandSize w:val="1"/>
      <w:tblStyleColBandSize w:val="1"/>
      <w:tblBorders>
        <w:top w:val="single" w:sz="8" w:space="0" w:color="156082"/>
        <w:bottom w:val="single" w:sz="8" w:space="0" w:color="156082"/>
      </w:tblBorders>
    </w:tblPr>
    <w:tblStylePr w:type="firstRow">
      <w:rPr>
        <w:rFonts w:ascii="Aptos Display" w:eastAsia="Arial" w:hAnsi="Aptos Display" w:cs="Times New Roman"/>
      </w:rPr>
      <w:tblPr/>
      <w:tcPr>
        <w:tcBorders>
          <w:top w:val="none" w:sz="4" w:space="0" w:color="000000"/>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styleId="MediumShading2-Accent1">
    <w:name w:val="Medium Shading 2 Accent 1"/>
    <w:basedOn w:val="TableNormal"/>
    <w:uiPriority w:val="64"/>
    <w:semiHidden/>
    <w:unhideWhenUsed/>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rPr>
      <w:tblPr/>
      <w:tcPr>
        <w:tcBorders>
          <w:top w:val="single" w:sz="18" w:space="0" w:color="000000"/>
          <w:left w:val="none" w:sz="4" w:space="0" w:color="000000"/>
          <w:bottom w:val="single" w:sz="18" w:space="0" w:color="000000"/>
          <w:right w:val="none" w:sz="4" w:space="0" w:color="000000"/>
        </w:tcBorders>
        <w:shd w:val="clear" w:color="auto" w:fill="156082"/>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cPr>
    </w:tblStylePr>
    <w:tblStylePr w:type="firstCol">
      <w:rPr>
        <w:b/>
        <w:bCs/>
        <w:color w:val="FFFFFF"/>
      </w:rPr>
      <w:tblPr/>
      <w:tcPr>
        <w:tcBorders>
          <w:top w:val="none" w:sz="4" w:space="0" w:color="000000"/>
          <w:left w:val="none" w:sz="4" w:space="0" w:color="000000"/>
          <w:bottom w:val="single" w:sz="18" w:space="0" w:color="000000"/>
          <w:right w:val="none" w:sz="4" w:space="0" w:color="000000"/>
        </w:tcBorders>
        <w:shd w:val="clear" w:color="auto" w:fill="156082"/>
      </w:tcPr>
    </w:tblStylePr>
    <w:tblStylePr w:type="lastCol">
      <w:rPr>
        <w:b/>
        <w:bCs/>
        <w:color w:val="FFFFFF"/>
      </w:rPr>
      <w:tblPr/>
      <w:tcPr>
        <w:tcBorders>
          <w:left w:val="none" w:sz="4" w:space="0" w:color="000000"/>
          <w:right w:val="none" w:sz="4" w:space="0" w:color="000000"/>
        </w:tcBorders>
        <w:shd w:val="clear" w:color="auto" w:fill="156082"/>
      </w:tcPr>
    </w:tblStylePr>
    <w:tblStylePr w:type="band1Vert">
      <w:tblPr/>
      <w:tcPr>
        <w:tcBorders>
          <w:left w:val="none" w:sz="4" w:space="0" w:color="000000"/>
          <w:right w:val="none" w:sz="4" w:space="0" w:color="000000"/>
        </w:tcBorders>
        <w:shd w:val="clear" w:color="auto" w:fill="D8D8D8"/>
      </w:tcPr>
    </w:tblStylePr>
    <w:tblStylePr w:type="band1Horz">
      <w:tblPr/>
      <w:tcPr>
        <w:shd w:val="clear" w:color="auto" w:fill="D8D8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rPr>
      <w:tblPr/>
      <w:tcPr>
        <w:tcBorders>
          <w:top w:val="single" w:sz="18" w:space="0" w:color="000000"/>
          <w:left w:val="none" w:sz="4" w:space="0" w:color="000000"/>
          <w:bottom w:val="single" w:sz="18" w:space="0" w:color="000000"/>
          <w:right w:val="none" w:sz="4" w:space="0" w:color="000000"/>
        </w:tcBorders>
      </w:tcPr>
    </w:tblStylePr>
  </w:style>
  <w:style w:type="table" w:styleId="MediumShading1-Accent1">
    <w:name w:val="Medium Shading 1 Accent 1"/>
    <w:basedOn w:val="TableNormal"/>
    <w:uiPriority w:val="63"/>
    <w:semiHidden/>
    <w:unhideWhenUsed/>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tcBorders>
        <w:shd w:val="clear" w:color="auto" w:fill="156082"/>
      </w:tcPr>
    </w:tblStylePr>
    <w:tblStylePr w:type="lastRow">
      <w:pPr>
        <w:spacing w:before="0" w:after="0" w:line="240" w:lineRule="auto"/>
      </w:pPr>
      <w:rPr>
        <w:b/>
        <w:bCs/>
      </w:rPr>
      <w:tblPr/>
      <w:tcPr>
        <w:tcBorders>
          <w:top w:val="single" w:sz="6" w:space="0" w:color="2198CF"/>
          <w:left w:val="single" w:sz="8" w:space="0" w:color="2198CF"/>
          <w:bottom w:val="single" w:sz="8" w:space="0" w:color="2198CF"/>
          <w:right w:val="single" w:sz="8" w:space="0" w:color="2198CF"/>
        </w:tcBorders>
      </w:tcPr>
    </w:tblStylePr>
    <w:tblStylePr w:type="firstCol">
      <w:rPr>
        <w:b/>
        <w:bCs/>
      </w:rPr>
    </w:tblStylePr>
    <w:tblStylePr w:type="lastCol">
      <w:rPr>
        <w:b/>
        <w:bCs/>
      </w:rPr>
    </w:tblStylePr>
    <w:tblStylePr w:type="band1Vert">
      <w:tblPr/>
      <w:tcPr>
        <w:shd w:val="clear" w:color="auto" w:fill="B2DEF2"/>
      </w:tcPr>
    </w:tblStylePr>
    <w:tblStylePr w:type="band1Horz">
      <w:tblPr/>
      <w:tcPr>
        <w:shd w:val="clear" w:color="auto" w:fill="B2DEF2"/>
      </w:tcPr>
    </w:tblStylePr>
  </w:style>
  <w:style w:type="table" w:styleId="LightGrid-Accent1">
    <w:name w:val="Light Grid Accent 1"/>
    <w:basedOn w:val="TableNormal"/>
    <w:uiPriority w:val="62"/>
    <w:semiHidden/>
    <w:unhideWhenUsed/>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Arial" w:hAnsi="Aptos Display" w:cs="Times New Roman"/>
        <w:b/>
        <w:bCs/>
      </w:rPr>
      <w:tblPr/>
      <w:tcPr>
        <w:tcBorders>
          <w:top w:val="single" w:sz="8" w:space="0" w:color="156082"/>
          <w:left w:val="single" w:sz="8" w:space="0" w:color="156082"/>
          <w:bottom w:val="single" w:sz="18" w:space="0" w:color="156082"/>
          <w:right w:val="single" w:sz="8" w:space="0" w:color="156082"/>
        </w:tcBorders>
      </w:tcPr>
    </w:tblStylePr>
    <w:tblStylePr w:type="lastRow">
      <w:pPr>
        <w:spacing w:before="0" w:after="0" w:line="240" w:lineRule="auto"/>
      </w:pPr>
      <w:rPr>
        <w:rFonts w:ascii="Aptos Display" w:eastAsia="Arial" w:hAnsi="Aptos Display" w:cs="Times New Roman"/>
        <w:b/>
        <w:bCs/>
      </w:rPr>
      <w:tblPr/>
      <w:tcPr>
        <w:tcBorders>
          <w:top w:val="single" w:sz="6" w:space="0" w:color="156082"/>
          <w:left w:val="single" w:sz="8" w:space="0" w:color="156082"/>
          <w:bottom w:val="single" w:sz="8" w:space="0" w:color="156082"/>
          <w:right w:val="single" w:sz="8" w:space="0" w:color="156082"/>
        </w:tcBorders>
      </w:tcPr>
    </w:tblStylePr>
    <w:tblStylePr w:type="firstCol">
      <w:rPr>
        <w:rFonts w:ascii="Aptos Display" w:eastAsia="Arial" w:hAnsi="Aptos Display" w:cs="Times New Roman"/>
        <w:b/>
        <w:bCs/>
      </w:rPr>
    </w:tblStylePr>
    <w:tblStylePr w:type="lastCol">
      <w:rPr>
        <w:rFonts w:ascii="Aptos Display" w:eastAsia="Arial"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tcBorders>
      </w:tcPr>
    </w:tblStylePr>
  </w:style>
  <w:style w:type="table" w:styleId="LightList-Accent1">
    <w:name w:val="Light List Accent 1"/>
    <w:basedOn w:val="TableNormal"/>
    <w:uiPriority w:val="61"/>
    <w:semiHidden/>
    <w:unhideWhenUsed/>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sing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styleId="LightShading-Accent1">
    <w:name w:val="Light Shading Accent 1"/>
    <w:basedOn w:val="TableNormal"/>
    <w:uiPriority w:val="60"/>
    <w:semiHidden/>
    <w:unhideWhenUsed/>
    <w:rPr>
      <w:color w:val="0F4761"/>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one" w:sz="4" w:space="0" w:color="000000"/>
          <w:bottom w:val="single" w:sz="8" w:space="0" w:color="156082"/>
          <w:right w:val="none" w:sz="4" w:space="0" w:color="000000"/>
        </w:tcBorders>
      </w:tcPr>
    </w:tblStylePr>
    <w:tblStylePr w:type="lastRow">
      <w:pPr>
        <w:spacing w:before="0" w:after="0" w:line="240" w:lineRule="auto"/>
      </w:pPr>
      <w:rPr>
        <w:b/>
        <w:bCs/>
      </w:rPr>
      <w:tblPr/>
      <w:tcPr>
        <w:tcBorders>
          <w:top w:val="single" w:sz="8" w:space="0" w:color="156082"/>
          <w:left w:val="none" w:sz="4" w:space="0" w:color="000000"/>
          <w:bottom w:val="single" w:sz="8" w:space="0" w:color="15608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B2DEF2"/>
      </w:tcPr>
    </w:tblStylePr>
    <w:tblStylePr w:type="band1Horz">
      <w:tblPr/>
      <w:tcPr>
        <w:tcBorders>
          <w:left w:val="none" w:sz="4" w:space="0" w:color="000000"/>
          <w:right w:val="none" w:sz="4" w:space="0" w:color="000000"/>
        </w:tcBorders>
        <w:shd w:val="clear" w:color="auto" w:fill="B2DEF2"/>
      </w:tcPr>
    </w:tblStylePr>
  </w:style>
  <w:style w:type="table" w:styleId="ColorfulGrid">
    <w:name w:val="Colorful Grid"/>
    <w:basedOn w:val="TableNormal"/>
    <w:uiPriority w:val="73"/>
    <w:semiHidden/>
    <w:unhideWhenUsed/>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List">
    <w:name w:val="Colorful List"/>
    <w:basedOn w:val="TableNormal"/>
    <w:uiPriority w:val="72"/>
    <w:semiHidden/>
    <w:unhideWhenUse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C0C0C0"/>
      </w:tcPr>
    </w:tblStylePr>
    <w:tblStylePr w:type="band1Horz">
      <w:tblPr/>
      <w:tcPr>
        <w:shd w:val="clear" w:color="auto" w:fill="CCCCCC"/>
      </w:tcPr>
    </w:tblStylePr>
  </w:style>
  <w:style w:type="table" w:styleId="ColorfulShading">
    <w:name w:val="Colorful Shading"/>
    <w:basedOn w:val="TableNormal"/>
    <w:uiPriority w:val="71"/>
    <w:semiHidden/>
    <w:unhideWhenUsed/>
    <w:rPr>
      <w:color w:val="000000"/>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one" w:sz="4" w:space="0" w:color="000000"/>
          <w:left w:val="none" w:sz="4" w:space="0" w:color="000000"/>
          <w:bottom w:val="single" w:sz="24" w:space="0" w:color="E97132"/>
          <w:right w:val="none" w:sz="4" w:space="0" w:color="000000"/>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one" w:sz="4" w:space="0" w:color="000000"/>
          <w:left w:val="none" w:sz="4" w:space="0" w:color="000000"/>
          <w:bottom w:val="none" w:sz="4" w:space="0" w:color="000000"/>
          <w:right w:val="none" w:sz="4" w:space="0" w:color="000000"/>
        </w:tcBorders>
        <w:shd w:val="clear" w:color="auto" w:fill="000000"/>
      </w:tcPr>
    </w:tblStylePr>
    <w:tblStylePr w:type="lastCol">
      <w:rPr>
        <w:color w:val="FFFFFF"/>
      </w:rPr>
      <w:tblPr/>
      <w:tcPr>
        <w:tcBorders>
          <w:top w:val="none" w:sz="4" w:space="0" w:color="000000"/>
          <w:left w:val="none" w:sz="4" w:space="0" w:color="000000"/>
          <w:bottom w:val="none" w:sz="4" w:space="0" w:color="000000"/>
          <w:right w:val="none" w:sz="4" w:space="0" w:color="000000"/>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DarkList">
    <w:name w:val="Dark List"/>
    <w:basedOn w:val="TableNormal"/>
    <w:uiPriority w:val="70"/>
    <w:semiHidden/>
    <w:unhideWhenUsed/>
    <w:rPr>
      <w:color w:val="FFFFFF"/>
    </w:rPr>
    <w:tblPr>
      <w:tblStyleRowBandSize w:val="1"/>
      <w:tblStyleColBandSize w:val="1"/>
    </w:tblPr>
    <w:tcPr>
      <w:shd w:val="clear" w:color="auto" w:fill="000000"/>
    </w:tcPr>
    <w:tblStylePr w:type="firstRow">
      <w:rPr>
        <w:b/>
        <w:bCs/>
      </w:rPr>
      <w:tblPr/>
      <w:tcPr>
        <w:tcBorders>
          <w:top w:val="none" w:sz="4" w:space="0" w:color="000000"/>
          <w:left w:val="none" w:sz="4" w:space="0" w:color="000000"/>
          <w:bottom w:val="single" w:sz="18" w:space="0" w:color="FFFFFF"/>
          <w:right w:val="none" w:sz="4" w:space="0" w:color="000000"/>
        </w:tcBorders>
        <w:shd w:val="clear" w:color="auto" w:fill="000000"/>
      </w:tcPr>
    </w:tblStylePr>
    <w:tblStylePr w:type="lastRow">
      <w:tblPr/>
      <w:tcPr>
        <w:tcBorders>
          <w:top w:val="single" w:sz="18" w:space="0" w:color="FFFFFF"/>
          <w:left w:val="none" w:sz="4" w:space="0" w:color="000000"/>
          <w:bottom w:val="none" w:sz="4" w:space="0" w:color="000000"/>
          <w:right w:val="none" w:sz="4" w:space="0" w:color="000000"/>
        </w:tcBorders>
        <w:shd w:val="clear" w:color="auto" w:fill="000000"/>
      </w:tcPr>
    </w:tblStylePr>
    <w:tblStylePr w:type="firstCol">
      <w:tblPr/>
      <w:tcPr>
        <w:tcBorders>
          <w:top w:val="none" w:sz="4" w:space="0" w:color="000000"/>
          <w:left w:val="none" w:sz="4" w:space="0" w:color="000000"/>
          <w:bottom w:val="none" w:sz="4" w:space="0" w:color="000000"/>
          <w:right w:val="single" w:sz="18" w:space="0" w:color="FFFFFF"/>
        </w:tcBorders>
        <w:shd w:val="clear" w:color="auto" w:fill="000000"/>
      </w:tcPr>
    </w:tblStylePr>
    <w:tblStylePr w:type="lastCol">
      <w:tblPr/>
      <w:tcPr>
        <w:tcBorders>
          <w:top w:val="none" w:sz="4" w:space="0" w:color="000000"/>
          <w:left w:val="single" w:sz="18" w:space="0" w:color="FFFFFF"/>
          <w:bottom w:val="none" w:sz="4" w:space="0" w:color="000000"/>
          <w:right w:val="none" w:sz="4" w:space="0" w:color="000000"/>
        </w:tcBorders>
        <w:shd w:val="clear" w:color="auto" w:fill="000000"/>
      </w:tcPr>
    </w:tblStylePr>
    <w:tblStylePr w:type="band1Vert">
      <w:tblPr/>
      <w:tcPr>
        <w:tcBorders>
          <w:top w:val="none" w:sz="4" w:space="0" w:color="000000"/>
          <w:left w:val="none" w:sz="4" w:space="0" w:color="000000"/>
          <w:bottom w:val="none" w:sz="4" w:space="0" w:color="000000"/>
          <w:right w:val="none" w:sz="4" w:space="0" w:color="000000"/>
        </w:tcBorders>
        <w:shd w:val="clear" w:color="auto" w:fill="000000"/>
      </w:tcPr>
    </w:tblStylePr>
    <w:tblStylePr w:type="band1Horz">
      <w:tblPr/>
      <w:tcPr>
        <w:tcBorders>
          <w:top w:val="none" w:sz="4" w:space="0" w:color="000000"/>
          <w:left w:val="none" w:sz="4" w:space="0" w:color="000000"/>
          <w:bottom w:val="none" w:sz="4" w:space="0" w:color="000000"/>
          <w:right w:val="none" w:sz="4" w:space="0" w:color="000000"/>
        </w:tcBorders>
        <w:shd w:val="clear" w:color="auto" w:fill="000000"/>
      </w:tcPr>
    </w:tblStylePr>
  </w:style>
  <w:style w:type="table" w:styleId="MediumGrid3">
    <w:name w:val="Medium Grid 3"/>
    <w:basedOn w:val="TableNormal"/>
    <w:uiPriority w:val="69"/>
    <w:semiHidden/>
    <w:unhideWhenUs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tcBorders>
        <w:shd w:val="clear" w:color="auto" w:fill="000000"/>
      </w:tcPr>
    </w:tblStylePr>
    <w:tblStylePr w:type="lastCol">
      <w:rPr>
        <w:b/>
        <w:bCs/>
        <w:i w:val="0"/>
        <w:iCs w:val="0"/>
        <w:color w:val="FFFFFF"/>
      </w:rPr>
      <w:tblPr/>
      <w:tcPr>
        <w:tcBorders>
          <w:top w:val="none" w:sz="4" w:space="0" w:color="000000"/>
          <w:left w:val="single" w:sz="24" w:space="0" w:color="FFFFFF"/>
          <w:bottom w:val="none" w:sz="4" w:space="0" w:color="000000"/>
          <w:right w:val="none" w:sz="4" w:space="0" w:color="000000"/>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tcBorders>
        <w:shd w:val="clear" w:color="auto" w:fill="808080"/>
      </w:tcPr>
    </w:tblStylePr>
  </w:style>
  <w:style w:type="table" w:styleId="MediumGrid2">
    <w:name w:val="Medium Grid 2"/>
    <w:basedOn w:val="TableNormal"/>
    <w:uiPriority w:val="68"/>
    <w:semiHidden/>
    <w:unhideWhenUsed/>
    <w:rPr>
      <w:rFonts w:ascii="Aptos Display" w:eastAsia="Arial" w:hAnsi="Aptos Display"/>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one" w:sz="4" w:space="0" w:color="000000"/>
          <w:bottom w:val="none" w:sz="4" w:space="0" w:color="000000"/>
          <w:right w:val="none" w:sz="4" w:space="0" w:color="000000"/>
        </w:tcBorders>
        <w:shd w:val="clear" w:color="auto" w:fill="FFFFFF"/>
      </w:tcPr>
    </w:tblStylePr>
    <w:tblStylePr w:type="firstCol">
      <w:rPr>
        <w:b/>
        <w:bCs/>
        <w:color w:val="00000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b w:val="0"/>
        <w:bCs w:val="0"/>
        <w:color w:val="000000"/>
      </w:rPr>
      <w:tblPr/>
      <w:tcPr>
        <w:tcBorders>
          <w:top w:val="none" w:sz="4" w:space="0" w:color="000000"/>
          <w:left w:val="none" w:sz="4" w:space="0" w:color="000000"/>
          <w:bottom w:val="none" w:sz="4" w:space="0" w:color="000000"/>
          <w:right w:val="none" w:sz="4" w:space="0" w:color="000000"/>
        </w:tcBorders>
        <w:shd w:val="clear" w:color="auto" w:fill="CCCCCC"/>
      </w:tcPr>
    </w:tblStylePr>
    <w:tblStylePr w:type="band1Vert">
      <w:tblPr/>
      <w:tcPr>
        <w:shd w:val="clear" w:color="auto" w:fill="808080"/>
      </w:tcPr>
    </w:tblStylePr>
    <w:tblStylePr w:type="band1Horz">
      <w:tblPr/>
      <w:tcPr>
        <w:shd w:val="clear" w:color="auto" w:fill="808080"/>
      </w:tcPr>
    </w:tblStylePr>
    <w:tblStylePr w:type="nwCell">
      <w:tblPr/>
      <w:tcPr>
        <w:shd w:val="clear" w:color="auto" w:fill="FFFFFF"/>
      </w:tcPr>
    </w:tblStylePr>
  </w:style>
  <w:style w:type="table" w:styleId="MediumGrid1">
    <w:name w:val="Medium Grid 1"/>
    <w:basedOn w:val="TableNormal"/>
    <w:uiPriority w:val="67"/>
    <w:semiHidden/>
    <w:unhideWhenUse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List2">
    <w:name w:val="Medium List 2"/>
    <w:basedOn w:val="TableNormal"/>
    <w:uiPriority w:val="66"/>
    <w:semiHidden/>
    <w:unhideWhenUsed/>
    <w:rPr>
      <w:rFonts w:ascii="Aptos Display" w:eastAsia="Arial" w:hAnsi="Aptos Display"/>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one" w:sz="4" w:space="0" w:color="000000"/>
          <w:left w:val="none" w:sz="4" w:space="0" w:color="000000"/>
          <w:bottom w:val="single" w:sz="24" w:space="0" w:color="000000"/>
          <w:right w:val="none" w:sz="4" w:space="0" w:color="000000"/>
        </w:tcBorders>
        <w:shd w:val="clear" w:color="auto" w:fill="FFFFFF"/>
      </w:tcPr>
    </w:tblStylePr>
    <w:tblStylePr w:type="lastRow">
      <w:tblPr/>
      <w:tcPr>
        <w:tcBorders>
          <w:top w:val="single" w:sz="8" w:space="0" w:color="000000"/>
          <w:left w:val="none" w:sz="4" w:space="0" w:color="000000"/>
          <w:bottom w:val="none" w:sz="4" w:space="0" w:color="000000"/>
          <w:right w:val="none" w:sz="4" w:space="0" w:color="000000"/>
        </w:tcBorders>
        <w:shd w:val="clear" w:color="auto" w:fill="FFFFFF"/>
      </w:tcPr>
    </w:tblStylePr>
    <w:tblStylePr w:type="firstCol">
      <w:tblPr/>
      <w:tcPr>
        <w:tcBorders>
          <w:top w:val="none" w:sz="4" w:space="0" w:color="000000"/>
          <w:left w:val="none" w:sz="4" w:space="0" w:color="000000"/>
          <w:bottom w:val="none" w:sz="4" w:space="0" w:color="000000"/>
          <w:right w:val="single" w:sz="8" w:space="0" w:color="000000"/>
        </w:tcBorders>
        <w:shd w:val="clear" w:color="auto" w:fill="FFFFFF"/>
      </w:tcPr>
    </w:tblStylePr>
    <w:tblStylePr w:type="lastCol">
      <w:tblPr/>
      <w:tcPr>
        <w:tcBorders>
          <w:top w:val="none" w:sz="4" w:space="0" w:color="000000"/>
          <w:left w:val="single" w:sz="8" w:space="0" w:color="000000"/>
          <w:bottom w:val="none" w:sz="4" w:space="0" w:color="000000"/>
          <w:right w:val="none" w:sz="4" w:space="0" w:color="000000"/>
        </w:tcBorders>
        <w:shd w:val="clear" w:color="auto" w:fill="FFFFFF"/>
      </w:tcPr>
    </w:tblStylePr>
    <w:tblStylePr w:type="band1Vert">
      <w:tblPr/>
      <w:tcPr>
        <w:tcBorders>
          <w:left w:val="none" w:sz="4" w:space="0" w:color="000000"/>
          <w:right w:val="none" w:sz="4" w:space="0" w:color="000000"/>
        </w:tcBorders>
        <w:shd w:val="clear" w:color="auto" w:fill="C0C0C0"/>
      </w:tcPr>
    </w:tblStylePr>
    <w:tblStylePr w:type="band1Horz">
      <w:tblPr/>
      <w:tcPr>
        <w:tcBorders>
          <w:top w:val="none" w:sz="4" w:space="0" w:color="000000"/>
          <w:bottom w:val="none" w:sz="4" w:space="0" w:color="000000"/>
        </w:tcBorders>
        <w:shd w:val="clear" w:color="auto" w:fill="C0C0C0"/>
      </w:tcPr>
    </w:tblStylePr>
    <w:tblStylePr w:type="nwCell">
      <w:tblPr/>
      <w:tcPr>
        <w:shd w:val="clear" w:color="auto" w:fill="FFFFFF"/>
      </w:tcPr>
    </w:tblStylePr>
    <w:tblStylePr w:type="swCell">
      <w:tblPr/>
      <w:tcPr>
        <w:tcBorders>
          <w:top w:val="none" w:sz="4" w:space="0" w:color="000000"/>
        </w:tcBorders>
      </w:tcPr>
    </w:tblStylePr>
  </w:style>
  <w:style w:type="table" w:styleId="MediumList1">
    <w:name w:val="Medium List 1"/>
    <w:basedOn w:val="TableNormal"/>
    <w:uiPriority w:val="65"/>
    <w:semiHidden/>
    <w:unhideWhenUsed/>
    <w:rPr>
      <w:color w:val="000000"/>
    </w:rPr>
    <w:tblPr>
      <w:tblStyleRowBandSize w:val="1"/>
      <w:tblStyleColBandSize w:val="1"/>
      <w:tblBorders>
        <w:top w:val="single" w:sz="8" w:space="0" w:color="000000"/>
        <w:bottom w:val="single" w:sz="8" w:space="0" w:color="000000"/>
      </w:tblBorders>
    </w:tblPr>
    <w:tblStylePr w:type="firstRow">
      <w:rPr>
        <w:rFonts w:ascii="Aptos Display" w:eastAsia="Arial" w:hAnsi="Aptos Display" w:cs="Times New Roman"/>
      </w:rPr>
      <w:tblPr/>
      <w:tcPr>
        <w:tcBorders>
          <w:top w:val="none" w:sz="4" w:space="0" w:color="000000"/>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Shading2">
    <w:name w:val="Medium Shading 2"/>
    <w:basedOn w:val="TableNormal"/>
    <w:uiPriority w:val="64"/>
    <w:semiHidden/>
    <w:unhideWhenUsed/>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rPr>
      <w:tblPr/>
      <w:tcPr>
        <w:tcBorders>
          <w:top w:val="single" w:sz="18" w:space="0" w:color="000000"/>
          <w:left w:val="none" w:sz="4" w:space="0" w:color="000000"/>
          <w:bottom w:val="single" w:sz="18" w:space="0" w:color="000000"/>
          <w:right w:val="none" w:sz="4" w:space="0" w:color="000000"/>
        </w:tcBorders>
        <w:shd w:val="clear" w:color="auto" w:fill="000000"/>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cPr>
    </w:tblStylePr>
    <w:tblStylePr w:type="firstCol">
      <w:rPr>
        <w:b/>
        <w:bCs/>
        <w:color w:val="FFFFFF"/>
      </w:rPr>
      <w:tblPr/>
      <w:tcPr>
        <w:tcBorders>
          <w:top w:val="none" w:sz="4" w:space="0" w:color="000000"/>
          <w:left w:val="none" w:sz="4" w:space="0" w:color="000000"/>
          <w:bottom w:val="single" w:sz="18" w:space="0" w:color="000000"/>
          <w:right w:val="none" w:sz="4" w:space="0" w:color="000000"/>
        </w:tcBorders>
        <w:shd w:val="clear" w:color="auto" w:fill="000000"/>
      </w:tcPr>
    </w:tblStylePr>
    <w:tblStylePr w:type="lastCol">
      <w:rPr>
        <w:b/>
        <w:bCs/>
        <w:color w:val="FFFFFF"/>
      </w:rPr>
      <w:tblPr/>
      <w:tcPr>
        <w:tcBorders>
          <w:left w:val="none" w:sz="4" w:space="0" w:color="000000"/>
          <w:right w:val="none" w:sz="4" w:space="0" w:color="000000"/>
        </w:tcBorders>
        <w:shd w:val="clear" w:color="auto" w:fill="000000"/>
      </w:tcPr>
    </w:tblStylePr>
    <w:tblStylePr w:type="band1Vert">
      <w:tblPr/>
      <w:tcPr>
        <w:tcBorders>
          <w:left w:val="none" w:sz="4" w:space="0" w:color="000000"/>
          <w:right w:val="none" w:sz="4" w:space="0" w:color="000000"/>
        </w:tcBorders>
        <w:shd w:val="clear" w:color="auto" w:fill="D8D8D8"/>
      </w:tcPr>
    </w:tblStylePr>
    <w:tblStylePr w:type="band1Horz">
      <w:tblPr/>
      <w:tcPr>
        <w:shd w:val="clear" w:color="auto" w:fill="D8D8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rPr>
      <w:tblPr/>
      <w:tcPr>
        <w:tcBorders>
          <w:top w:val="single" w:sz="18" w:space="0" w:color="000000"/>
          <w:left w:val="none" w:sz="4" w:space="0" w:color="000000"/>
          <w:bottom w:val="single" w:sz="18" w:space="0" w:color="000000"/>
          <w:right w:val="none" w:sz="4" w:space="0" w:color="000000"/>
        </w:tcBorders>
      </w:tcPr>
    </w:tblStylePr>
  </w:style>
  <w:style w:type="table" w:styleId="MediumShading1">
    <w:name w:val="Medium Shading 1"/>
    <w:basedOn w:val="TableNormal"/>
    <w:uiPriority w:val="63"/>
    <w:semiHidden/>
    <w:unhideWhenUse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tcBorders>
        <w:shd w:val="clear" w:color="auto" w:fill="000000"/>
      </w:tcPr>
    </w:tblStylePr>
    <w:tblStylePr w:type="lastRow">
      <w:pPr>
        <w:spacing w:before="0" w:after="0" w:line="240" w:lineRule="auto"/>
      </w:pPr>
      <w:rPr>
        <w:b/>
        <w:bCs/>
      </w:rPr>
      <w:tblPr/>
      <w:tcPr>
        <w:tcBorders>
          <w:top w:val="single" w:sz="6" w:space="0" w:color="404040"/>
          <w:left w:val="single" w:sz="8" w:space="0" w:color="404040"/>
          <w:bottom w:val="single" w:sz="8" w:space="0" w:color="404040"/>
          <w:right w:val="single" w:sz="8" w:space="0" w:color="40404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table" w:styleId="LightGrid">
    <w:name w:val="Light Grid"/>
    <w:basedOn w:val="TableNormal"/>
    <w:uiPriority w:val="62"/>
    <w:semiHidden/>
    <w:unhideWhenUsed/>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Arial" w:hAnsi="Aptos Display" w:cs="Times New Roman"/>
        <w:b/>
        <w:bCs/>
      </w:rPr>
      <w:tblPr/>
      <w:tcPr>
        <w:tcBorders>
          <w:top w:val="single" w:sz="8" w:space="0" w:color="000000"/>
          <w:left w:val="single" w:sz="8" w:space="0" w:color="000000"/>
          <w:bottom w:val="single" w:sz="18" w:space="0" w:color="000000"/>
          <w:right w:val="single" w:sz="8" w:space="0" w:color="000000"/>
        </w:tcBorders>
      </w:tcPr>
    </w:tblStylePr>
    <w:tblStylePr w:type="lastRow">
      <w:pPr>
        <w:spacing w:before="0" w:after="0" w:line="240" w:lineRule="auto"/>
      </w:pPr>
      <w:rPr>
        <w:rFonts w:ascii="Aptos Display" w:eastAsia="Arial" w:hAnsi="Aptos Display" w:cs="Times New Roman"/>
        <w:b/>
        <w:bCs/>
      </w:rPr>
      <w:tblPr/>
      <w:tcPr>
        <w:tcBorders>
          <w:top w:val="single" w:sz="6" w:space="0" w:color="000000"/>
          <w:left w:val="single" w:sz="8" w:space="0" w:color="000000"/>
          <w:bottom w:val="single" w:sz="8" w:space="0" w:color="000000"/>
          <w:right w:val="single" w:sz="8" w:space="0" w:color="000000"/>
        </w:tcBorders>
      </w:tcPr>
    </w:tblStylePr>
    <w:tblStylePr w:type="firstCol">
      <w:rPr>
        <w:rFonts w:ascii="Aptos Display" w:eastAsia="Arial" w:hAnsi="Aptos Display" w:cs="Times New Roman"/>
        <w:b/>
        <w:bCs/>
      </w:rPr>
    </w:tblStylePr>
    <w:tblStylePr w:type="lastCol">
      <w:rPr>
        <w:rFonts w:ascii="Aptos Display" w:eastAsia="Arial"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tcBorders>
      </w:tcPr>
    </w:tblStylePr>
  </w:style>
  <w:style w:type="table" w:styleId="LightList">
    <w:name w:val="Light List"/>
    <w:basedOn w:val="TableNormal"/>
    <w:uiPriority w:val="61"/>
    <w:semiHidden/>
    <w:unhideWhenUse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Shading">
    <w:name w:val="Light Shading"/>
    <w:basedOn w:val="TableNormal"/>
    <w:uiPriority w:val="60"/>
    <w:semiHidden/>
    <w:unhideWhenUse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character" w:styleId="HTMLVariable">
    <w:name w:val="HTML Variable"/>
    <w:uiPriority w:val="99"/>
    <w:semiHidden/>
    <w:unhideWhenUsed/>
    <w:rPr>
      <w:i/>
      <w:iCs/>
    </w:rPr>
  </w:style>
  <w:style w:type="character" w:styleId="HTMLTypewriter">
    <w:name w:val="HTML Typewriter"/>
    <w:uiPriority w:val="99"/>
    <w:semiHidden/>
    <w:unhideWhenUsed/>
    <w:rPr>
      <w:rFonts w:ascii="Courier New" w:hAnsi="Courier New" w:cs="Courier New"/>
      <w:sz w:val="20"/>
      <w:szCs w:val="20"/>
    </w:rPr>
  </w:style>
  <w:style w:type="character" w:styleId="HTMLSample">
    <w:name w:val="HTML Sample"/>
    <w:uiPriority w:val="99"/>
    <w:semiHidden/>
    <w:unhideWhenUsed/>
    <w:rPr>
      <w:rFonts w:ascii="Courier New" w:hAnsi="Courier New" w:cs="Courier New"/>
    </w:rPr>
  </w:style>
  <w:style w:type="paragraph" w:styleId="HTMLPreformatted">
    <w:name w:val="HTML Preformatted"/>
    <w:basedOn w:val="Normal"/>
    <w:link w:val="HTMLPreformattedChar"/>
    <w:uiPriority w:val="99"/>
    <w:semiHidden/>
    <w:unhideWhenUsed/>
    <w:rPr>
      <w:rFonts w:ascii="Courier New" w:hAnsi="Courier New" w:cs="Courier New"/>
      <w:sz w:val="20"/>
      <w:szCs w:val="20"/>
    </w:rPr>
  </w:style>
  <w:style w:type="character" w:customStyle="1" w:styleId="HTMLPreformattedChar">
    <w:name w:val="HTML Preformatted Char"/>
    <w:link w:val="HTMLPreformatted"/>
    <w:uiPriority w:val="99"/>
    <w:semiHidden/>
    <w:rPr>
      <w:rFonts w:ascii="Courier New" w:eastAsia="Times New Roman" w:hAnsi="Courier New" w:cs="Courier New"/>
      <w:b/>
      <w:lang w:val="en-GB" w:eastAsia="en-US"/>
    </w:rPr>
  </w:style>
  <w:style w:type="character" w:styleId="HTMLKeyboard">
    <w:name w:val="HTML Keyboard"/>
    <w:uiPriority w:val="99"/>
    <w:semiHidden/>
    <w:unhideWhenUsed/>
    <w:rPr>
      <w:rFonts w:ascii="Courier New" w:hAnsi="Courier New" w:cs="Courier New"/>
      <w:sz w:val="20"/>
      <w:szCs w:val="20"/>
    </w:rPr>
  </w:style>
  <w:style w:type="character" w:styleId="HTMLDefinition">
    <w:name w:val="HTML Definition"/>
    <w:uiPriority w:val="99"/>
    <w:semiHidden/>
    <w:unhideWhenUsed/>
    <w:rPr>
      <w:i/>
      <w:iCs/>
    </w:rPr>
  </w:style>
  <w:style w:type="character" w:styleId="HTMLCode">
    <w:name w:val="HTML Code"/>
    <w:uiPriority w:val="99"/>
    <w:semiHidden/>
    <w:unhideWhenUsed/>
    <w:rPr>
      <w:rFonts w:ascii="Courier New" w:hAnsi="Courier New" w:cs="Courier New"/>
      <w:sz w:val="20"/>
      <w:szCs w:val="20"/>
    </w:rPr>
  </w:style>
  <w:style w:type="character" w:styleId="HTMLCite">
    <w:name w:val="HTML Cite"/>
    <w:uiPriority w:val="99"/>
    <w:semiHidden/>
    <w:unhideWhenUsed/>
    <w:rPr>
      <w:i/>
      <w:iCs/>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rFonts w:ascii="Arial" w:eastAsia="Times New Roman" w:hAnsi="Arial"/>
      <w:b/>
      <w:i/>
      <w:iCs/>
      <w:sz w:val="24"/>
      <w:szCs w:val="24"/>
      <w:lang w:val="en-GB" w:eastAsia="en-US"/>
    </w:rPr>
  </w:style>
  <w:style w:type="character" w:styleId="HTMLAcronym">
    <w:name w:val="HTML Acronym"/>
    <w:basedOn w:val="DefaultParagraphFont"/>
    <w:uiPriority w:val="99"/>
    <w:semiHidden/>
    <w:unhideWhenUsed/>
  </w:style>
  <w:style w:type="paragraph" w:styleId="NormalWeb">
    <w:name w:val="Normal (Web)"/>
    <w:basedOn w:val="Normal"/>
    <w:uiPriority w:val="99"/>
    <w:semiHidden/>
    <w:unhideWhenUsed/>
    <w:rPr>
      <w:rFonts w:ascii="Times New Roman" w:hAnsi="Times New Roman"/>
    </w:rPr>
  </w:style>
  <w:style w:type="paragraph" w:styleId="DocumentMap">
    <w:name w:val="Document Map"/>
    <w:basedOn w:val="Normal"/>
    <w:link w:val="DocumentMapChar"/>
    <w:uiPriority w:val="99"/>
    <w:semiHidden/>
    <w:unhideWhenUsed/>
    <w:rPr>
      <w:rFonts w:ascii="Segoe UI" w:hAnsi="Segoe UI" w:cs="Segoe UI"/>
      <w:sz w:val="16"/>
      <w:szCs w:val="16"/>
    </w:rPr>
  </w:style>
  <w:style w:type="character" w:customStyle="1" w:styleId="DocumentMapChar">
    <w:name w:val="Document Map Char"/>
    <w:link w:val="DocumentMap"/>
    <w:uiPriority w:val="99"/>
    <w:semiHidden/>
    <w:rPr>
      <w:rFonts w:ascii="Segoe UI" w:eastAsia="Times New Roman" w:hAnsi="Segoe UI" w:cs="Segoe UI"/>
      <w:b/>
      <w:sz w:val="16"/>
      <w:szCs w:val="16"/>
      <w:lang w:val="en-GB" w:eastAsia="en-US"/>
    </w:rPr>
  </w:style>
  <w:style w:type="paragraph" w:styleId="BlockText">
    <w:name w:val="Block Text"/>
    <w:basedOn w:val="Normal"/>
    <w:uiPriority w:val="99"/>
    <w:semiHidden/>
    <w:unhideWhenUsed/>
    <w:pPr>
      <w:spacing w:after="120"/>
      <w:ind w:left="1440" w:right="1440"/>
    </w:p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link w:val="BodyTextIndent3"/>
    <w:uiPriority w:val="99"/>
    <w:semiHidden/>
    <w:rPr>
      <w:rFonts w:ascii="Arial" w:eastAsia="Times New Roman" w:hAnsi="Arial"/>
      <w:b/>
      <w:sz w:val="16"/>
      <w:szCs w:val="16"/>
      <w:lang w:val="en-GB" w:eastAsia="en-US"/>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link w:val="BodyTextIndent2"/>
    <w:uiPriority w:val="99"/>
    <w:semiHidden/>
    <w:rPr>
      <w:rFonts w:ascii="Arial" w:eastAsia="Times New Roman" w:hAnsi="Arial"/>
      <w:b/>
      <w:sz w:val="24"/>
      <w:szCs w:val="24"/>
      <w:lang w:val="en-GB" w:eastAsia="en-US"/>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link w:val="BodyText3"/>
    <w:uiPriority w:val="99"/>
    <w:semiHidden/>
    <w:rPr>
      <w:rFonts w:ascii="Arial" w:eastAsia="Times New Roman" w:hAnsi="Arial"/>
      <w:b/>
      <w:sz w:val="16"/>
      <w:szCs w:val="16"/>
      <w:lang w:val="en-GB" w:eastAsia="en-US"/>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link w:val="BodyText2"/>
    <w:uiPriority w:val="99"/>
    <w:semiHidden/>
    <w:rPr>
      <w:rFonts w:ascii="Arial" w:eastAsia="Times New Roman" w:hAnsi="Arial"/>
      <w:b/>
      <w:sz w:val="24"/>
      <w:szCs w:val="24"/>
      <w:lang w:val="en-GB" w:eastAsia="en-US"/>
    </w:r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rFonts w:ascii="Arial" w:eastAsia="Times New Roman" w:hAnsi="Arial"/>
      <w:b/>
      <w:sz w:val="24"/>
      <w:szCs w:val="24"/>
      <w:lang w:val="en-GB" w:eastAsia="en-US"/>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link w:val="BodyTextIndent"/>
    <w:uiPriority w:val="99"/>
    <w:semiHidden/>
    <w:rPr>
      <w:rFonts w:ascii="Arial" w:eastAsia="Times New Roman" w:hAnsi="Arial"/>
      <w:b/>
      <w:sz w:val="24"/>
      <w:szCs w:val="24"/>
      <w:lang w:val="en-GB" w:eastAsia="en-US"/>
    </w:rPr>
  </w:style>
  <w:style w:type="paragraph" w:styleId="BodyTextFirstIndent2">
    <w:name w:val="Body Text First Indent 2"/>
    <w:basedOn w:val="BodyTextIndent"/>
    <w:link w:val="BodyTextFirstIndent2Char"/>
    <w:uiPriority w:val="99"/>
    <w:semiHidden/>
    <w:unhideWhenUsed/>
    <w:pPr>
      <w:ind w:firstLine="210"/>
    </w:pPr>
  </w:style>
  <w:style w:type="character" w:customStyle="1" w:styleId="BodyTextFirstIndent2Char">
    <w:name w:val="Body Text First Indent 2 Char"/>
    <w:link w:val="BodyTextFirstIndent2"/>
    <w:uiPriority w:val="99"/>
    <w:semiHidden/>
    <w:rPr>
      <w:rFonts w:ascii="Arial" w:eastAsia="Times New Roman" w:hAnsi="Arial"/>
      <w:b/>
      <w:sz w:val="24"/>
      <w:szCs w:val="24"/>
      <w:lang w:val="en-GB" w:eastAsia="en-US"/>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link w:val="BodyText"/>
    <w:uiPriority w:val="99"/>
    <w:semiHidden/>
    <w:rPr>
      <w:rFonts w:ascii="Arial" w:eastAsia="Times New Roman" w:hAnsi="Arial"/>
      <w:b/>
      <w:sz w:val="24"/>
      <w:szCs w:val="24"/>
      <w:lang w:val="en-GB" w:eastAsia="en-US"/>
    </w:rPr>
  </w:style>
  <w:style w:type="paragraph" w:styleId="BodyTextFirstIndent">
    <w:name w:val="Body Text First Indent"/>
    <w:basedOn w:val="BodyText"/>
    <w:link w:val="BodyTextFirstIndentChar"/>
    <w:uiPriority w:val="99"/>
    <w:semiHidden/>
    <w:unhideWhenUsed/>
    <w:pPr>
      <w:ind w:firstLine="210"/>
    </w:pPr>
  </w:style>
  <w:style w:type="character" w:customStyle="1" w:styleId="BodyTextFirstIndentChar">
    <w:name w:val="Body Text First Indent Char"/>
    <w:link w:val="BodyTextFirstIndent"/>
    <w:uiPriority w:val="99"/>
    <w:semiHidden/>
    <w:rPr>
      <w:rFonts w:ascii="Arial" w:eastAsia="Times New Roman" w:hAnsi="Arial"/>
      <w:b/>
      <w:sz w:val="24"/>
      <w:szCs w:val="24"/>
      <w:lang w:val="en-GB" w:eastAsia="en-US"/>
    </w:rPr>
  </w:style>
  <w:style w:type="paragraph" w:styleId="Date">
    <w:name w:val="Date"/>
    <w:basedOn w:val="Normal"/>
    <w:next w:val="Normal"/>
    <w:link w:val="DateChar"/>
    <w:uiPriority w:val="99"/>
    <w:semiHidden/>
    <w:unhideWhenUsed/>
  </w:style>
  <w:style w:type="character" w:customStyle="1" w:styleId="DateChar">
    <w:name w:val="Date Char"/>
    <w:link w:val="Date"/>
    <w:uiPriority w:val="99"/>
    <w:semiHidden/>
    <w:rPr>
      <w:rFonts w:ascii="Arial" w:eastAsia="Times New Roman" w:hAnsi="Arial"/>
      <w:b/>
      <w:sz w:val="24"/>
      <w:szCs w:val="24"/>
      <w:lang w:val="en-GB" w:eastAsia="en-US"/>
    </w:rPr>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rFonts w:ascii="Arial" w:eastAsia="Times New Roman" w:hAnsi="Arial"/>
      <w:b/>
      <w:sz w:val="24"/>
      <w:szCs w:val="24"/>
      <w:lang w:val="en-GB" w:eastAsia="en-US"/>
    </w:rPr>
  </w:style>
  <w:style w:type="paragraph" w:styleId="MessageHeader">
    <w:name w:val="Message Header"/>
    <w:basedOn w:val="Normal"/>
    <w:link w:val="MessageHeaderChar"/>
    <w:uiPriority w:val="99"/>
    <w:semiHidden/>
    <w:unhideWhenUsed/>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ptos Display" w:eastAsia="Arial" w:hAnsi="Aptos Display"/>
    </w:rPr>
  </w:style>
  <w:style w:type="character" w:customStyle="1" w:styleId="MessageHeaderChar">
    <w:name w:val="Message Header Char"/>
    <w:link w:val="MessageHeader"/>
    <w:uiPriority w:val="99"/>
    <w:semiHidden/>
    <w:rPr>
      <w:rFonts w:ascii="Aptos Display" w:eastAsia="Arial" w:hAnsi="Aptos Display" w:cs="Times New Roman"/>
      <w:b/>
      <w:sz w:val="24"/>
      <w:szCs w:val="24"/>
      <w:shd w:val="pct20" w:color="auto" w:fill="auto"/>
      <w:lang w:val="en-GB" w:eastAsia="en-US"/>
    </w:rPr>
  </w:style>
  <w:style w:type="paragraph" w:styleId="ListContinue5">
    <w:name w:val="List Continue 5"/>
    <w:basedOn w:val="Normal"/>
    <w:uiPriority w:val="99"/>
    <w:semiHidden/>
    <w:unhideWhenUsed/>
    <w:pPr>
      <w:spacing w:after="120"/>
      <w:ind w:left="1415"/>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
    <w:name w:val="List Continue"/>
    <w:basedOn w:val="Normal"/>
    <w:uiPriority w:val="99"/>
    <w:semiHidden/>
    <w:unhideWhenUsed/>
    <w:pPr>
      <w:spacing w:after="120"/>
      <w:ind w:left="283"/>
      <w:contextualSpacing/>
    </w:pPr>
  </w:style>
  <w:style w:type="paragraph" w:styleId="Signature">
    <w:name w:val="Signature"/>
    <w:basedOn w:val="Normal"/>
    <w:link w:val="SignatureChar"/>
    <w:uiPriority w:val="99"/>
    <w:semiHidden/>
    <w:unhideWhenUsed/>
    <w:pPr>
      <w:ind w:left="4252"/>
    </w:pPr>
  </w:style>
  <w:style w:type="character" w:customStyle="1" w:styleId="SignatureChar">
    <w:name w:val="Signature Char"/>
    <w:link w:val="Signature"/>
    <w:uiPriority w:val="99"/>
    <w:semiHidden/>
    <w:rPr>
      <w:rFonts w:ascii="Arial" w:eastAsia="Times New Roman" w:hAnsi="Arial"/>
      <w:b/>
      <w:sz w:val="24"/>
      <w:szCs w:val="24"/>
      <w:lang w:val="en-GB" w:eastAsia="en-US"/>
    </w:rPr>
  </w:style>
  <w:style w:type="paragraph" w:styleId="Closing">
    <w:name w:val="Closing"/>
    <w:basedOn w:val="Normal"/>
    <w:link w:val="ClosingChar"/>
    <w:uiPriority w:val="99"/>
    <w:semiHidden/>
    <w:unhideWhenUsed/>
    <w:pPr>
      <w:ind w:left="4252"/>
    </w:pPr>
  </w:style>
  <w:style w:type="character" w:customStyle="1" w:styleId="ClosingChar">
    <w:name w:val="Closing Char"/>
    <w:link w:val="Closing"/>
    <w:uiPriority w:val="99"/>
    <w:semiHidden/>
    <w:rPr>
      <w:rFonts w:ascii="Arial" w:eastAsia="Times New Roman" w:hAnsi="Arial"/>
      <w:b/>
      <w:sz w:val="24"/>
      <w:szCs w:val="24"/>
      <w:lang w:val="en-GB" w:eastAsia="en-US"/>
    </w:rPr>
  </w:style>
  <w:style w:type="paragraph" w:styleId="ListNumber5">
    <w:name w:val="List Number 5"/>
    <w:basedOn w:val="Normal"/>
    <w:uiPriority w:val="99"/>
    <w:semiHidden/>
    <w:unhideWhenUsed/>
    <w:pPr>
      <w:numPr>
        <w:numId w:val="5"/>
      </w:numPr>
      <w:contextualSpacing/>
    </w:pPr>
  </w:style>
  <w:style w:type="paragraph" w:styleId="ListNumber4">
    <w:name w:val="List Number 4"/>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Bullet5">
    <w:name w:val="List Bullet 5"/>
    <w:basedOn w:val="Normal"/>
    <w:uiPriority w:val="99"/>
    <w:semiHidden/>
    <w:unhideWhenUsed/>
    <w:pPr>
      <w:numPr>
        <w:numId w:val="9"/>
      </w:numPr>
      <w:contextualSpacing/>
    </w:pPr>
  </w:style>
  <w:style w:type="paragraph" w:styleId="ListBullet4">
    <w:name w:val="List Bullet 4"/>
    <w:basedOn w:val="Normal"/>
    <w:uiPriority w:val="99"/>
    <w:semiHidden/>
    <w:unhideWhenUsed/>
    <w:pPr>
      <w:numPr>
        <w:numId w:val="10"/>
      </w:numPr>
      <w:contextualSpacing/>
    </w:pPr>
  </w:style>
  <w:style w:type="paragraph" w:styleId="ListBullet3">
    <w:name w:val="List Bullet 3"/>
    <w:basedOn w:val="Normal"/>
    <w:uiPriority w:val="99"/>
    <w:semiHidden/>
    <w:unhideWhenUsed/>
    <w:pPr>
      <w:numPr>
        <w:numId w:val="11"/>
      </w:numPr>
      <w:contextualSpacing/>
    </w:pPr>
  </w:style>
  <w:style w:type="paragraph" w:styleId="ListBullet2">
    <w:name w:val="List Bullet 2"/>
    <w:basedOn w:val="Normal"/>
    <w:uiPriority w:val="99"/>
    <w:semiHidden/>
    <w:unhideWhenUsed/>
    <w:pPr>
      <w:numPr>
        <w:numId w:val="12"/>
      </w:numPr>
      <w:contextualSpacing/>
    </w:pPr>
  </w:style>
  <w:style w:type="paragraph" w:styleId="List5">
    <w:name w:val="List 5"/>
    <w:basedOn w:val="Normal"/>
    <w:uiPriority w:val="99"/>
    <w:semiHidden/>
    <w:unhideWhenUsed/>
    <w:pPr>
      <w:ind w:left="1415" w:hanging="283"/>
      <w:contextualSpacing/>
    </w:pPr>
  </w:style>
  <w:style w:type="paragraph" w:styleId="List4">
    <w:name w:val="List 4"/>
    <w:basedOn w:val="Normal"/>
    <w:uiPriority w:val="99"/>
    <w:semiHidden/>
    <w:unhideWhenUsed/>
    <w:pPr>
      <w:ind w:left="1132" w:hanging="283"/>
      <w:contextualSpacing/>
    </w:pPr>
  </w:style>
  <w:style w:type="paragraph" w:styleId="List3">
    <w:name w:val="List 3"/>
    <w:basedOn w:val="Normal"/>
    <w:uiPriority w:val="99"/>
    <w:semiHidden/>
    <w:unhideWhenUsed/>
    <w:pPr>
      <w:ind w:left="849" w:hanging="283"/>
      <w:contextualSpacing/>
    </w:pPr>
  </w:style>
  <w:style w:type="paragraph" w:styleId="List2">
    <w:name w:val="List 2"/>
    <w:basedOn w:val="Normal"/>
    <w:uiPriority w:val="99"/>
    <w:semiHidden/>
    <w:unhideWhenUsed/>
    <w:pPr>
      <w:ind w:left="566" w:hanging="283"/>
      <w:contextualSpacing/>
    </w:pPr>
  </w:style>
  <w:style w:type="paragraph" w:styleId="ListNumber">
    <w:name w:val="List Number"/>
    <w:basedOn w:val="Normal"/>
    <w:uiPriority w:val="99"/>
    <w:semiHidden/>
    <w:unhideWhenUsed/>
    <w:pPr>
      <w:numPr>
        <w:numId w:val="13"/>
      </w:numPr>
      <w:contextualSpacing/>
    </w:pPr>
  </w:style>
  <w:style w:type="paragraph" w:styleId="ListBullet">
    <w:name w:val="List Bullet"/>
    <w:basedOn w:val="Normal"/>
    <w:uiPriority w:val="99"/>
    <w:semiHidden/>
    <w:unhideWhenUsed/>
    <w:pPr>
      <w:numPr>
        <w:numId w:val="14"/>
      </w:numPr>
      <w:contextualSpacing/>
    </w:pPr>
  </w:style>
  <w:style w:type="paragraph" w:styleId="List">
    <w:name w:val="List"/>
    <w:basedOn w:val="Normal"/>
    <w:uiPriority w:val="99"/>
    <w:semiHidden/>
    <w:unhideWhenUsed/>
    <w:pPr>
      <w:ind w:left="283" w:hanging="283"/>
      <w:contextualSpacing/>
    </w:pPr>
  </w:style>
  <w:style w:type="paragraph" w:styleId="TOAHeading">
    <w:name w:val="toa heading"/>
    <w:basedOn w:val="Normal"/>
    <w:next w:val="Normal"/>
    <w:uiPriority w:val="99"/>
    <w:semiHidden/>
    <w:unhideWhenUsed/>
    <w:pPr>
      <w:spacing w:before="120"/>
    </w:pPr>
    <w:rPr>
      <w:rFonts w:ascii="Aptos Display" w:eastAsia="Arial" w:hAnsi="Aptos Display"/>
      <w:bCs/>
    </w:r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jc w:val="center"/>
    </w:pPr>
    <w:rPr>
      <w:rFonts w:ascii="Courier New" w:eastAsia="Times New Roman" w:hAnsi="Courier New" w:cs="Courier New"/>
      <w:b/>
      <w:lang w:val="en-GB" w:eastAsia="en-US"/>
    </w:rPr>
  </w:style>
  <w:style w:type="character" w:customStyle="1" w:styleId="MacroTextChar">
    <w:name w:val="Macro Text Char"/>
    <w:link w:val="MacroText"/>
    <w:uiPriority w:val="99"/>
    <w:semiHidden/>
    <w:rPr>
      <w:rFonts w:ascii="Courier New" w:eastAsia="Times New Roman" w:hAnsi="Courier New" w:cs="Courier New"/>
      <w:b/>
      <w:lang w:val="en-GB" w:eastAsia="en-US"/>
    </w:rPr>
  </w:style>
  <w:style w:type="paragraph" w:styleId="TableofAuthorities">
    <w:name w:val="table of authorities"/>
    <w:basedOn w:val="Normal"/>
    <w:next w:val="Normal"/>
    <w:uiPriority w:val="99"/>
    <w:semiHidden/>
    <w:unhideWhenUsed/>
    <w:pPr>
      <w:ind w:left="240" w:hanging="240"/>
    </w:pPr>
  </w:style>
  <w:style w:type="character" w:styleId="PageNumber">
    <w:name w:val="page number"/>
    <w:basedOn w:val="DefaultParagraphFont"/>
    <w:uiPriority w:val="99"/>
    <w:semiHidden/>
    <w:unhideWhenUsed/>
  </w:style>
  <w:style w:type="character" w:styleId="LineNumber">
    <w:name w:val="line number"/>
    <w:basedOn w:val="DefaultParagraphFont"/>
    <w:uiPriority w:val="99"/>
    <w:semiHidden/>
    <w:unhideWhenUsed/>
  </w:style>
  <w:style w:type="paragraph" w:styleId="EnvelopeReturn">
    <w:name w:val="envelope return"/>
    <w:basedOn w:val="Normal"/>
    <w:uiPriority w:val="99"/>
    <w:semiHidden/>
    <w:unhideWhenUsed/>
    <w:rPr>
      <w:rFonts w:ascii="Aptos Display" w:eastAsia="Arial" w:hAnsi="Aptos Display"/>
      <w:sz w:val="20"/>
      <w:szCs w:val="20"/>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ascii="Aptos Display" w:eastAsia="Arial" w:hAnsi="Aptos Display"/>
    </w:rPr>
  </w:style>
  <w:style w:type="paragraph" w:styleId="Index1">
    <w:name w:val="index 1"/>
    <w:basedOn w:val="Normal"/>
    <w:next w:val="Normal"/>
    <w:uiPriority w:val="99"/>
    <w:semiHidden/>
    <w:unhideWhenUsed/>
    <w:pPr>
      <w:ind w:left="240" w:hanging="240"/>
    </w:pPr>
  </w:style>
  <w:style w:type="paragraph" w:styleId="IndexHeading">
    <w:name w:val="index heading"/>
    <w:basedOn w:val="Normal"/>
    <w:next w:val="Index1"/>
    <w:uiPriority w:val="99"/>
    <w:semiHidden/>
    <w:unhideWhenUsed/>
    <w:rPr>
      <w:rFonts w:ascii="Aptos Display" w:eastAsia="Arial" w:hAnsi="Aptos Display"/>
      <w:bCs/>
    </w:rPr>
  </w:style>
  <w:style w:type="paragraph" w:styleId="NormalIndent">
    <w:name w:val="Normal Indent"/>
    <w:basedOn w:val="Normal"/>
    <w:uiPriority w:val="99"/>
    <w:semiHidden/>
    <w:unhideWhenUsed/>
    <w:pPr>
      <w:ind w:left="720"/>
    </w:pPr>
  </w:style>
  <w:style w:type="paragraph" w:styleId="Index9">
    <w:name w:val="index 9"/>
    <w:basedOn w:val="Normal"/>
    <w:next w:val="Normal"/>
    <w:uiPriority w:val="99"/>
    <w:semiHidden/>
    <w:unhideWhenUsed/>
    <w:pPr>
      <w:ind w:left="2160" w:hanging="240"/>
    </w:pPr>
  </w:style>
  <w:style w:type="paragraph" w:styleId="Index8">
    <w:name w:val="index 8"/>
    <w:basedOn w:val="Normal"/>
    <w:next w:val="Normal"/>
    <w:uiPriority w:val="99"/>
    <w:semiHidden/>
    <w:unhideWhenUsed/>
    <w:pPr>
      <w:ind w:left="1920" w:hanging="240"/>
    </w:pPr>
  </w:style>
  <w:style w:type="paragraph" w:styleId="Index7">
    <w:name w:val="index 7"/>
    <w:basedOn w:val="Normal"/>
    <w:next w:val="Normal"/>
    <w:uiPriority w:val="99"/>
    <w:semiHidden/>
    <w:unhideWhenUsed/>
    <w:pPr>
      <w:ind w:left="1680" w:hanging="240"/>
    </w:pPr>
  </w:style>
  <w:style w:type="paragraph" w:styleId="Index6">
    <w:name w:val="index 6"/>
    <w:basedOn w:val="Normal"/>
    <w:next w:val="Normal"/>
    <w:uiPriority w:val="99"/>
    <w:semiHidden/>
    <w:unhideWhenUsed/>
    <w:pPr>
      <w:ind w:left="1440" w:hanging="240"/>
    </w:pPr>
  </w:style>
  <w:style w:type="paragraph" w:styleId="Index5">
    <w:name w:val="index 5"/>
    <w:basedOn w:val="Normal"/>
    <w:next w:val="Normal"/>
    <w:uiPriority w:val="99"/>
    <w:semiHidden/>
    <w:unhideWhenUsed/>
    <w:pPr>
      <w:ind w:left="1200" w:hanging="240"/>
    </w:pPr>
  </w:style>
  <w:style w:type="paragraph" w:styleId="Index4">
    <w:name w:val="index 4"/>
    <w:basedOn w:val="Normal"/>
    <w:next w:val="Normal"/>
    <w:uiPriority w:val="99"/>
    <w:semiHidden/>
    <w:unhideWhenUsed/>
    <w:pPr>
      <w:ind w:left="960" w:hanging="240"/>
    </w:pPr>
  </w:style>
  <w:style w:type="paragraph" w:styleId="Index3">
    <w:name w:val="index 3"/>
    <w:basedOn w:val="Normal"/>
    <w:next w:val="Normal"/>
    <w:uiPriority w:val="99"/>
    <w:semiHidden/>
    <w:unhideWhenUsed/>
    <w:pPr>
      <w:ind w:left="720" w:hanging="240"/>
    </w:pPr>
  </w:style>
  <w:style w:type="paragraph" w:styleId="Index2">
    <w:name w:val="index 2"/>
    <w:basedOn w:val="Normal"/>
    <w:next w:val="Normal"/>
    <w:uiPriority w:val="99"/>
    <w:semiHidden/>
    <w:unhideWhenUsed/>
    <w:pPr>
      <w:ind w:left="48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432942">
      <w:bodyDiv w:val="1"/>
      <w:marLeft w:val="0"/>
      <w:marRight w:val="0"/>
      <w:marTop w:val="0"/>
      <w:marBottom w:val="0"/>
      <w:divBdr>
        <w:top w:val="none" w:sz="0" w:space="0" w:color="auto"/>
        <w:left w:val="none" w:sz="0" w:space="0" w:color="auto"/>
        <w:bottom w:val="none" w:sz="0" w:space="0" w:color="auto"/>
        <w:right w:val="none" w:sz="0" w:space="0" w:color="auto"/>
      </w:divBdr>
    </w:div>
    <w:div w:id="546065906">
      <w:bodyDiv w:val="1"/>
      <w:marLeft w:val="0"/>
      <w:marRight w:val="0"/>
      <w:marTop w:val="0"/>
      <w:marBottom w:val="0"/>
      <w:divBdr>
        <w:top w:val="none" w:sz="0" w:space="0" w:color="auto"/>
        <w:left w:val="none" w:sz="0" w:space="0" w:color="auto"/>
        <w:bottom w:val="none" w:sz="0" w:space="0" w:color="auto"/>
        <w:right w:val="none" w:sz="0" w:space="0" w:color="auto"/>
      </w:divBdr>
    </w:div>
    <w:div w:id="1727072030">
      <w:bodyDiv w:val="1"/>
      <w:marLeft w:val="0"/>
      <w:marRight w:val="0"/>
      <w:marTop w:val="0"/>
      <w:marBottom w:val="0"/>
      <w:divBdr>
        <w:top w:val="none" w:sz="0" w:space="0" w:color="auto"/>
        <w:left w:val="none" w:sz="0" w:space="0" w:color="auto"/>
        <w:bottom w:val="none" w:sz="0" w:space="0" w:color="auto"/>
        <w:right w:val="none" w:sz="0" w:space="0" w:color="auto"/>
      </w:divBdr>
    </w:div>
    <w:div w:id="1727072391">
      <w:bodyDiv w:val="1"/>
      <w:marLeft w:val="0"/>
      <w:marRight w:val="0"/>
      <w:marTop w:val="0"/>
      <w:marBottom w:val="0"/>
      <w:divBdr>
        <w:top w:val="none" w:sz="0" w:space="0" w:color="auto"/>
        <w:left w:val="none" w:sz="0" w:space="0" w:color="auto"/>
        <w:bottom w:val="none" w:sz="0" w:space="0" w:color="auto"/>
        <w:right w:val="none" w:sz="0" w:space="0" w:color="auto"/>
      </w:divBdr>
    </w:div>
    <w:div w:id="195134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hyperlink" Target="https://doi.org/10.3389/fbuil.2022.864722" TargetMode="External"/><Relationship Id="rId39" Type="http://schemas.openxmlformats.org/officeDocument/2006/relationships/fontTable" Target="fontTable.xml"/><Relationship Id="rId21" Type="http://schemas.openxmlformats.org/officeDocument/2006/relationships/hyperlink" Target="https://doi.org/10.1016/j.autcon.2020.103179" TargetMode="External"/><Relationship Id="rId34" Type="http://schemas.openxmlformats.org/officeDocument/2006/relationships/hyperlink" Target="https://doi.org/10.3390/buildings11120670"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https://doi.org/10.1016/j.aei.2024.102677" TargetMode="External"/><Relationship Id="rId33" Type="http://schemas.openxmlformats.org/officeDocument/2006/relationships/hyperlink" Target="https://doi.org/10.1016/j.autcon.2023.105135"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doi.org/10.1016/j.jobe.2021.10272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8203;forschungsunion.de&#8203;/&#8203;pdf/&#8203;industrie_&#8203;4_&#8203;0_&#8203;final_&#8203;report.pdf" TargetMode="External"/><Relationship Id="rId32" Type="http://schemas.openxmlformats.org/officeDocument/2006/relationships/hyperlink" Target="https://doi.org/10.1080/00207543.2022.2116499" TargetMode="External"/><Relationship Id="rId37" Type="http://schemas.openxmlformats.org/officeDocument/2006/relationships/hyperlink" Target="https://doi.org/10.1061/JCCEE5.CPENG-5938"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doi.org/10.1007/s12243-023-01005-1" TargetMode="External"/><Relationship Id="rId28" Type="http://schemas.openxmlformats.org/officeDocument/2006/relationships/hyperlink" Target="https://doi.org/10.1016/j.autcon.2021.103955" TargetMode="External"/><Relationship Id="rId36" Type="http://schemas.openxmlformats.org/officeDocument/2006/relationships/hyperlink" Target="https://doi.org/10.1007/s42524-022-0188-2"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doi.org/10.1016/j.jobe.2021.10252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doi.org/10.3390/buildings14061600" TargetMode="External"/><Relationship Id="rId27" Type="http://schemas.openxmlformats.org/officeDocument/2006/relationships/hyperlink" Target="https://doi.org/10.1016/j.autcon.2021.103688" TargetMode="External"/><Relationship Id="rId30" Type="http://schemas.openxmlformats.org/officeDocument/2006/relationships/hyperlink" Target="https://doi.org/10.1016/j.ipm.2020.102425" TargetMode="External"/><Relationship Id="rId35" Type="http://schemas.openxmlformats.org/officeDocument/2006/relationships/hyperlink" Target="https://doi.org/10.1016/j.autcon.2019.103063"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explorer.evm.testnet.iotaledger.net/address/0x9198925404981DB871D0B33716F95035dFA353B1?tab=contract" TargetMode="External"/><Relationship Id="rId2" Type="http://schemas.openxmlformats.org/officeDocument/2006/relationships/hyperlink" Target="https://soliditylang.org/" TargetMode="External"/><Relationship Id="rId1" Type="http://schemas.openxmlformats.org/officeDocument/2006/relationships/hyperlink" Target="https://www.iota.org/" TargetMode="External"/><Relationship Id="rId5" Type="http://schemas.openxmlformats.org/officeDocument/2006/relationships/hyperlink" Target="https://explorer.evm.testnet.iotaledger.net/address/0x9198925404981DB871D0B33716F95035dFA353B1?tab=txs" TargetMode="External"/><Relationship Id="rId4" Type="http://schemas.openxmlformats.org/officeDocument/2006/relationships/hyperlink" Target="https://app.swaggerhub.com/apis/Plattform_i40/AssetAdministrationShellServiceSpecific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Props1.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2.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4.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5119</Words>
  <Characters>29184</Characters>
  <Application>Microsoft Office Word</Application>
  <DocSecurity>0</DocSecurity>
  <Lines>243</Lines>
  <Paragraphs>68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PLEA 2020 Abtract template</vt:lpstr>
      <vt:lpstr>PLEA 2020 Abtract template</vt:lpstr>
    </vt:vector>
  </TitlesOfParts>
  <Company>HMC Architects</Company>
  <LinksUpToDate>false</LinksUpToDate>
  <CharactersWithSpaces>34235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dc:description/>
  <cp:lastModifiedBy>Xuling Ye</cp:lastModifiedBy>
  <cp:revision>6</cp:revision>
  <cp:lastPrinted>2025-03-26T12:38:00Z</cp:lastPrinted>
  <dcterms:created xsi:type="dcterms:W3CDTF">2025-03-26T12:46:00Z</dcterms:created>
  <dcterms:modified xsi:type="dcterms:W3CDTF">2025-05-07T07:40:00Z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270804d1f5d5871f1a1c6a69c08f622ef8b153bcdd1f8e9c8ae339a0f05de9ce</vt:lpwstr>
  </property>
  <property fmtid="{D5CDD505-2E9C-101B-9397-08002B2CF9AE}" pid="3" name="TaxCatchAll">
    <vt:lpwstr/>
  </property>
  <property fmtid="{D5CDD505-2E9C-101B-9397-08002B2CF9AE}" pid="4" name="lcf76f155ced4ddcb4097134ff3c332f">
    <vt:lpwstr/>
  </property>
</Properties>
</file>