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7B9D1" w14:textId="77777777" w:rsidR="00F1714D" w:rsidRDefault="00000000" w:rsidP="00F1714D">
      <w:pPr>
        <w:jc w:val="center"/>
        <w:rPr>
          <w:b/>
          <w:bCs/>
          <w:sz w:val="28"/>
          <w:szCs w:val="28"/>
        </w:rPr>
      </w:pPr>
      <w:bookmarkStart w:id="0" w:name="OLE_LINK1"/>
      <w:r w:rsidRPr="00FF139E">
        <w:rPr>
          <w:b/>
          <w:bCs/>
          <w:sz w:val="28"/>
          <w:szCs w:val="28"/>
        </w:rPr>
        <w:t xml:space="preserve">Tackling Process Amnesia in Construction Workflows: </w:t>
      </w:r>
    </w:p>
    <w:p w14:paraId="331E0A38" w14:textId="2B390D15" w:rsidR="009F2657" w:rsidRPr="00F1714D" w:rsidRDefault="00000000" w:rsidP="00F1714D">
      <w:pPr>
        <w:jc w:val="center"/>
        <w:rPr>
          <w:sz w:val="24"/>
          <w:szCs w:val="24"/>
        </w:rPr>
      </w:pPr>
      <w:r w:rsidRPr="00F1714D">
        <w:rPr>
          <w:sz w:val="24"/>
          <w:szCs w:val="24"/>
        </w:rPr>
        <w:t>A Framework for Workflow Reconstruction from Institutional Records</w:t>
      </w:r>
    </w:p>
    <w:p w14:paraId="227AE462" w14:textId="5352B93B" w:rsidR="009F2657" w:rsidRDefault="00E72B0B" w:rsidP="00F1714D">
      <w:pPr>
        <w:jc w:val="center"/>
        <w:rPr>
          <w:sz w:val="24"/>
          <w:szCs w:val="24"/>
          <w:vertAlign w:val="superscript"/>
        </w:rPr>
      </w:pPr>
      <w:r w:rsidRPr="00FF139E">
        <w:rPr>
          <w:sz w:val="24"/>
          <w:szCs w:val="24"/>
        </w:rPr>
        <w:t>A.Effat Mosa</w:t>
      </w:r>
      <w:r w:rsidRPr="00FF139E">
        <w:rPr>
          <w:sz w:val="24"/>
          <w:szCs w:val="24"/>
          <w:vertAlign w:val="superscript"/>
        </w:rPr>
        <w:t>1,*</w:t>
      </w:r>
      <w:r w:rsidRPr="00FF139E">
        <w:rPr>
          <w:sz w:val="24"/>
          <w:szCs w:val="24"/>
        </w:rPr>
        <w:t>, Tamer El-Diraby</w:t>
      </w:r>
      <w:r w:rsidRPr="00FF139E">
        <w:rPr>
          <w:sz w:val="24"/>
          <w:szCs w:val="24"/>
          <w:vertAlign w:val="superscript"/>
        </w:rPr>
        <w:t>1</w:t>
      </w:r>
    </w:p>
    <w:p w14:paraId="16456D4E" w14:textId="77777777" w:rsidR="00F1714D" w:rsidRPr="00FF139E" w:rsidRDefault="00F1714D" w:rsidP="00F1714D">
      <w:pPr>
        <w:jc w:val="center"/>
      </w:pPr>
    </w:p>
    <w:p w14:paraId="5F984101" w14:textId="77777777" w:rsidR="009F2657" w:rsidRPr="00FF139E" w:rsidRDefault="00000000" w:rsidP="00B94216">
      <w:pPr>
        <w:spacing w:after="40"/>
        <w:jc w:val="both"/>
      </w:pPr>
      <w:r w:rsidRPr="00FF139E">
        <w:rPr>
          <w:sz w:val="24"/>
          <w:szCs w:val="24"/>
          <w:vertAlign w:val="superscript"/>
        </w:rPr>
        <w:t xml:space="preserve">1 </w:t>
      </w:r>
      <w:r w:rsidRPr="00FF139E">
        <w:rPr>
          <w:sz w:val="24"/>
          <w:szCs w:val="24"/>
        </w:rPr>
        <w:t>Department of Civil and Mineral Engineering, University of Toronto, Toronto, Canada</w:t>
      </w:r>
    </w:p>
    <w:p w14:paraId="6F02AACD" w14:textId="77777777" w:rsidR="009F2657" w:rsidRPr="00FF139E" w:rsidRDefault="00000000" w:rsidP="00B94216">
      <w:pPr>
        <w:spacing w:after="160"/>
        <w:jc w:val="both"/>
      </w:pPr>
      <w:r w:rsidRPr="00FF139E">
        <w:rPr>
          <w:i/>
          <w:iCs/>
          <w:sz w:val="24"/>
          <w:szCs w:val="24"/>
          <w:vertAlign w:val="superscript"/>
        </w:rPr>
        <w:t>*</w:t>
      </w:r>
      <w:r w:rsidRPr="00FF139E">
        <w:rPr>
          <w:i/>
          <w:iCs/>
          <w:sz w:val="24"/>
          <w:szCs w:val="24"/>
        </w:rPr>
        <w:t>Corresponding email: ae.mosa@mail.utoronto.ca</w:t>
      </w:r>
    </w:p>
    <w:p w14:paraId="545F5E20" w14:textId="77777777" w:rsidR="009F2657" w:rsidRPr="00FF139E" w:rsidRDefault="00000000" w:rsidP="00B94216">
      <w:pPr>
        <w:spacing w:before="120" w:after="80"/>
        <w:ind w:left="1134" w:right="1088"/>
        <w:jc w:val="both"/>
      </w:pPr>
      <w:r w:rsidRPr="00FF139E">
        <w:rPr>
          <w:b/>
          <w:bCs/>
          <w:caps/>
          <w:sz w:val="28"/>
          <w:szCs w:val="28"/>
        </w:rPr>
        <w:t>Abstract</w:t>
      </w:r>
    </w:p>
    <w:p w14:paraId="56D80346" w14:textId="33D5A611" w:rsidR="001718E7" w:rsidRPr="00FF139E" w:rsidRDefault="001718E7" w:rsidP="001718E7">
      <w:pPr>
        <w:pStyle w:val="PaperBody"/>
        <w:spacing w:after="20"/>
        <w:ind w:left="1134" w:right="1088" w:firstLine="0"/>
      </w:pPr>
      <w:r w:rsidRPr="00FF139E">
        <w:t>Construction is a process</w:t>
      </w:r>
      <w:r w:rsidR="00F159EE" w:rsidRPr="00FF139E">
        <w:t>-</w:t>
      </w:r>
      <w:r w:rsidRPr="00FF139E">
        <w:t>intensive industry, yet knowledge of how work is carried out is often fragmented across institutional records not created for process analysis. Process mining can reveal actual process behaviour when suitable event logs exist, but construction records often lack explicit case boundaries, activities, timing and process relations. This paper frames this condition as Process Amnesia, where records survive but workflow knowledge is not represented in a connected and reusable form.</w:t>
      </w:r>
      <w:r w:rsidR="006A169C" w:rsidRPr="00FF139E">
        <w:t xml:space="preserve"> </w:t>
      </w:r>
      <w:r w:rsidRPr="00FF139E">
        <w:t>The paper proposes a hybrid framework for recovering and qualifying workflow knowledge from such records, using institutional work orders and retrofit as the initial empirical setting. A controlled construction lexicon, Technical Language Processing and cross</w:t>
      </w:r>
      <w:r w:rsidR="00F159EE" w:rsidRPr="00FF139E">
        <w:t>-</w:t>
      </w:r>
      <w:r w:rsidRPr="00FF139E">
        <w:t>checks with structured fields extract candidate process elements into an Evidence Log that retains source, time basis and confidence. For selected typical recurring workflows, normative reference models are manually developed, reviewed with subject matter experts</w:t>
      </w:r>
      <w:r w:rsidR="00BD5A49" w:rsidRPr="00FF139E">
        <w:t>,</w:t>
      </w:r>
      <w:r w:rsidRPr="00FF139E">
        <w:t xml:space="preserve"> and frozen before recovered process instances are reconstructed and aligned against them. The contribution is an upstream method for transforming fragmented institutional records into traceable process evidence that supports workflow reconstruction, practitioner validation and future process knowledge graph</w:t>
      </w:r>
      <w:r w:rsidR="00F159EE" w:rsidRPr="00FF139E">
        <w:t>-</w:t>
      </w:r>
      <w:r w:rsidRPr="00FF139E">
        <w:t>based reuse across projects.</w:t>
      </w:r>
      <w:r w:rsidR="00E34376" w:rsidRPr="00FF139E">
        <w:t xml:space="preserve"> This paper specifies the framework; systematic validation remains future work.</w:t>
      </w:r>
    </w:p>
    <w:p w14:paraId="5BA4FF5D" w14:textId="30823F65" w:rsidR="009F2657" w:rsidRPr="00FF139E" w:rsidRDefault="00000000" w:rsidP="00B94216">
      <w:pPr>
        <w:spacing w:after="140"/>
        <w:jc w:val="both"/>
        <w:rPr>
          <w:color w:val="000000" w:themeColor="text1"/>
        </w:rPr>
      </w:pPr>
      <w:r w:rsidRPr="00FF139E">
        <w:rPr>
          <w:b/>
          <w:bCs/>
          <w:color w:val="000000" w:themeColor="text1"/>
        </w:rPr>
        <w:t>Keywords:</w:t>
      </w:r>
      <w:r w:rsidRPr="00FF139E">
        <w:rPr>
          <w:color w:val="000000" w:themeColor="text1"/>
        </w:rPr>
        <w:t xml:space="preserve"> construction workflow, process amnesia, technical language processing, evidence log</w:t>
      </w:r>
    </w:p>
    <w:p w14:paraId="63E56BB9" w14:textId="77777777" w:rsidR="009F2657" w:rsidRPr="00FF139E" w:rsidRDefault="00000000" w:rsidP="00B94216">
      <w:pPr>
        <w:pStyle w:val="Heading1"/>
        <w:jc w:val="both"/>
      </w:pPr>
      <w:r w:rsidRPr="00FF139E">
        <w:t>1. Introduction</w:t>
      </w:r>
    </w:p>
    <w:p w14:paraId="73628959" w14:textId="015344EF" w:rsidR="009F2657" w:rsidRPr="00FF139E" w:rsidRDefault="00000000" w:rsidP="00B94216">
      <w:pPr>
        <w:pStyle w:val="Heading2"/>
        <w:jc w:val="both"/>
      </w:pPr>
      <w:r w:rsidRPr="00FF139E">
        <w:t>1.1 The problem of process knowledge loss</w:t>
      </w:r>
    </w:p>
    <w:p w14:paraId="1BA8E2C1" w14:textId="1D0E9FED" w:rsidR="003C6ED0" w:rsidRPr="00FF139E" w:rsidRDefault="003C6ED0" w:rsidP="003C6ED0">
      <w:pPr>
        <w:pStyle w:val="PaperBody"/>
        <w:spacing w:after="20"/>
      </w:pPr>
      <w:r w:rsidRPr="00FF139E">
        <w:t>Construction is a process</w:t>
      </w:r>
      <w:r w:rsidR="00F159EE" w:rsidRPr="00FF139E">
        <w:t>-</w:t>
      </w:r>
      <w:r w:rsidRPr="00FF139E">
        <w:t>intensive industry, yet much of its process knowledge is not systematically captured, particularly knowledge of how work is actually carried out</w:t>
      </w:r>
      <w:r w:rsidR="00F159EE" w:rsidRPr="00FF139E">
        <w:t xml:space="preserve"> </w:t>
      </w:r>
      <w:r w:rsidR="00F159EE" w:rsidRPr="00FF139E">
        <w:fldChar w:fldCharType="begin"/>
      </w:r>
      <w:r w:rsidR="00F159EE" w:rsidRPr="00FF139E">
        <w:instrText xml:space="preserve"> ADDIN ZOTERO_ITEM CSL_CITATION {"citationID":"8YGIbVXJ","properties":{"unsorted":false,"formattedCitation":"(Debs and Hubbard, 2023)","plainCitation":"(Debs and Hubbard, 2023)","noteIndex":0},"citationItems":[{"id":1918,"uris":["http://zotero.org/users/17427852/items/T4V4DE94"],"itemData":{"id":1918,"type":"article-journal","abstract":"The importance of knowledge management (KM) in the Architecture, Engineering, and Construction (AEC) industry has risen with the improvement of information and communication technologies. However, the construction industry still struggles to capture and disseminate lessons learned. The present research explores this issue by using interviews and an online questionnaire to provide updated information on lessons learned procedures and their challenges in United States (US) construction companies. To do this, the authors have gathered industry professionals’ perceptions about lessons learned and methods used in their companies for harnessing and disseminating the knowledge generated by them. Our findings indicate that post-project evaluations are frequently conducted, utilize a two-step approach (review of materials followed by meetings), and are mainly organized by project managers. Most often, only key project team members are present in meetings to create a safe environment for discussion. Moreover, our findings echo previous research on the dissemination and reuse of lessons learned, indicating that these procedures are scattered and, most of the time, the information is not effectively reutilized. This suggests that US construction companies still need to revisit how information from lessons learned is currently being harnessed, stored, and especially shared (within and between companies) so that information can be effectively transformed into knowledge that can advance the AEC industry’s productivity.","citation-key":"debsGatheringDisseminatingLessons2023","container-title":"Construction Economics and Building","DOI":"10.5130/AJCEB.v23i1/2.8390","ISSN":"2204-9029","issue":"1/2","journalAbbreviation":"CEB","language":"en","license":"http://creativecommons.org/licenses/by/4.0","source":"DOI.org (Crossref)","title":"Gathering and disseminating lessons learned in construction companies to support knowledge management","URL":"https://epress.lib.uts.edu.au/journals/index.php/AJCEB/article/view/8390","volume":"23","author":[{"family":"Debs","given":"Luciana"},{"family":"Hubbard","given":"Bryan"}],"accessed":{"date-parts":[["2026",4,15]]},"issued":{"date-parts":[["2023",7,12]]}}}],"schema":"https://github.com/citation-style-language/schema/raw/master/csl-citation.json"} </w:instrText>
      </w:r>
      <w:r w:rsidR="00F159EE" w:rsidRPr="00FF139E">
        <w:fldChar w:fldCharType="separate"/>
      </w:r>
      <w:r w:rsidR="00F159EE" w:rsidRPr="00FF139E">
        <w:rPr>
          <w:noProof/>
        </w:rPr>
        <w:t>(Debs and Hubbard, 2023)</w:t>
      </w:r>
      <w:r w:rsidR="00F159EE" w:rsidRPr="00FF139E">
        <w:fldChar w:fldCharType="end"/>
      </w:r>
      <w:r w:rsidR="00F159EE" w:rsidRPr="00FF139E">
        <w:t xml:space="preserve">. </w:t>
      </w:r>
      <w:r w:rsidRPr="00FF139E">
        <w:t>During project execution, teams coordinate tasks, trades, constraints and decisions in response to changing local conditions. The resulting workflow knowledge is often distributed across change orders, emails, work orders, meeting records and the memory of individual practitioners. Projects are delivered, but the reusable understanding of how work was sequenced, coordinated and changed may remain fragmented or be lost. This problem sits within a broader industry context in which construction productivity has remained low relative to sectors such as manufacturing (McKinsey Global Institute, 2017).</w:t>
      </w:r>
    </w:p>
    <w:p w14:paraId="390FBC4A" w14:textId="15C7E33A" w:rsidR="003C6ED0" w:rsidRPr="00FF139E" w:rsidRDefault="003C6ED0" w:rsidP="003C6ED0">
      <w:pPr>
        <w:pStyle w:val="PaperBody"/>
        <w:spacing w:after="20"/>
      </w:pPr>
      <w:r w:rsidRPr="00FF139E">
        <w:t>Business Process Management is a mature discipline</w:t>
      </w:r>
      <w:r w:rsidR="007553BE" w:rsidRPr="00FF139E">
        <w:t xml:space="preserve"> </w:t>
      </w:r>
      <w:r w:rsidR="007553BE" w:rsidRPr="00FF139E">
        <w:fldChar w:fldCharType="begin"/>
      </w:r>
      <w:r w:rsidR="007553BE" w:rsidRPr="00FF139E">
        <w:instrText xml:space="preserve"> ADDIN ZOTERO_ITEM CSL_CITATION {"citationID":"FJem4dpb","properties":{"unsorted":false,"formattedCitation":"(Weske, 2012; Dumas {\\i{}et al.}, 2018)","plainCitation":"(Weske, 2012; Dumas et al., 2018)","noteIndex":0},"citationItems":[{"id":1924,"uris":["http://zotero.org/users/17427852/items/HHTW6G4E"],"itemData":{"id":1924,"type":"book","citation-key":"weskeBusinessProcessManagement2012","DOI":"10.1007/978-3-642-28616-2","ISBN":"978-3-642-28615-5","language":"en","license":"http://www.springer.com/tdm","publisher":"Springer Berlin Heidelberg","publisher-place":"Berlin, Heidelberg","source":"DOI.org (Crossref)","title":"Business Process Management","URL":"http://link.springer.com/10.1007/978-3-642-28616-2","author":[{"family":"Weske","given":"Mathias"}],"accessed":{"date-parts":[["2026",4,14]]},"issued":{"date-parts":[["2012"]]}}},{"id":1923,"uris":["http://zotero.org/users/17427852/items/L2XQTGQI"],"itemData":{"id":1923,"type":"book","citation-key":"dumasFundamentalsBusinessProcess2018","DOI":"10.1007/978-3-662-56509-4","ISBN":"978-3-662-56508-7","language":"en","license":"http://www.springer.com/tdm","publisher":"Springer Berlin Heidelberg","publisher-place":"Berlin, Heidelberg","source":"DOI.org (Crossref)","title":"Fundamentals of Business Process Management","URL":"http://link.springer.com/10.1007/978-3-662-56509-4","author":[{"family":"Dumas","given":"Marlon"},{"family":"La Rosa","given":"Marcello"},{"family":"Mendling","given":"Jan"},{"family":"Reijers","given":"Hajo A."}],"accessed":{"date-parts":[["2026",4,14]]},"issued":{"date-parts":[["2018"]]}}}],"schema":"https://github.com/citation-style-language/schema/raw/master/csl-citation.json"} </w:instrText>
      </w:r>
      <w:r w:rsidR="007553BE" w:rsidRPr="00FF139E">
        <w:fldChar w:fldCharType="separate"/>
      </w:r>
      <w:r w:rsidR="007553BE" w:rsidRPr="00FF139E">
        <w:rPr>
          <w:szCs w:val="24"/>
          <w:lang w:val="en-US"/>
        </w:rPr>
        <w:t xml:space="preserve">(Weske, 2012; Dumas </w:t>
      </w:r>
      <w:r w:rsidR="007553BE" w:rsidRPr="00FF139E">
        <w:rPr>
          <w:i/>
          <w:iCs/>
          <w:szCs w:val="24"/>
          <w:lang w:val="en-US"/>
        </w:rPr>
        <w:t>et al.</w:t>
      </w:r>
      <w:r w:rsidR="007553BE" w:rsidRPr="00FF139E">
        <w:rPr>
          <w:szCs w:val="24"/>
          <w:lang w:val="en-US"/>
        </w:rPr>
        <w:t>, 2018)</w:t>
      </w:r>
      <w:r w:rsidR="007553BE" w:rsidRPr="00FF139E">
        <w:fldChar w:fldCharType="end"/>
      </w:r>
      <w:r w:rsidR="007553BE" w:rsidRPr="00FF139E">
        <w:t xml:space="preserve">, </w:t>
      </w:r>
      <w:r w:rsidRPr="00FF139E">
        <w:t xml:space="preserve"> yet formal process modelling and management remain limited in construction. Where processes are modelled, approaches are often manual, time consuming and dependent on expert interpretation</w:t>
      </w:r>
      <w:r w:rsidR="007553BE" w:rsidRPr="00FF139E">
        <w:t xml:space="preserve"> </w:t>
      </w:r>
      <w:r w:rsidR="007553BE" w:rsidRPr="00FF139E">
        <w:fldChar w:fldCharType="begin"/>
      </w:r>
      <w:r w:rsidR="007553BE" w:rsidRPr="00FF139E">
        <w:instrText xml:space="preserve"> ADDIN ZOTERO_ITEM CSL_CITATION {"citationID":"JD7y9YPd","properties":{"unsorted":false,"formattedCitation":"(Costa {\\i{}et al.}, 2019; Marengo, Nutt and Perktold, 2022)","plainCitation":"(Costa et al., 2019; Marengo, Nutt and Perktold, 2022)","noteIndex":0},"citationItems":[{"id":2114,"uris":["http://zotero.org/users/17427852/items/T4465KR5"],"itemData":{"id":2114,"type":"article-journal","citation-key":"costaChallengesProcessModeling2019","container-title":"Journal of Construction Engineering and Management","DOI":"10.1061/(ASCE)CO.1943-7862.0001575","ISSN":"0733-9364, 1943-7862","issue":"1","journalAbbreviation":"J. Constr. Eng. Manage.","language":"en","page":"05018015","source":"DOI.org (Crossref)","title":"Challenges of Process Modeling in Architecture and Engineering to Execute Projects and Public Works","volume":"145","author":[{"family":"Costa","given":"Lourenço"},{"family":"Barbosa","given":"Mariana Biancucci Apolinário"},{"family":"Baldam","given":"Roquemar De Lima"},{"family":"Coelho","given":"Thalmo De Paiva"}],"issued":{"date-parts":[["2019",1]]}}},{"id":2113,"uris":["http://zotero.org/users/17427852/items/UBJUHK9B"],"itemData":{"id":2113,"type":"article-journal","abstract":"Process modeling has been widely investigated in the literature and several general purpose approaches have been introduced, addressing a variety of domains. However, generality goes to the detriment of the possibility to model details and peculiarities of a particular application domain. As acknowledged by the literature, known approaches predominantly focus on one aspect between control flow and data, thus neglecting the interplay between the two. Moreover, process instances are not considered or considered in isolation, neglecting, among other aspects, synchronization points among them. As a consequence, the model is an approximation of the real process, limiting its reliability and usefulness in particular domains. This observation emerged clearly in the context of a research project in the construction domain, where preliminary attempts to model inter-company processes show the lack of an appropriate language.","citation-key":"marengoCoPModLConstructionProcess2022","container-title":"Information Systems","DOI":"10.1016/j.is.2019.101457","ISSN":"03064379","journalAbbreviation":"Information Systems","language":"en","page":"101457","source":"DOI.org (Crossref)","title":"CoPModL: Construction Process Modeling Language and Satisfiability Checking","title-short":"CoPModL","volume":"103","author":[{"family":"Marengo","given":"Elisa"},{"family":"Nutt","given":"Werner"},{"family":"Perktold","given":"Matthias"}],"issued":{"date-parts":[["2022",1]]}}}],"schema":"https://github.com/citation-style-language/schema/raw/master/csl-citation.json"} </w:instrText>
      </w:r>
      <w:r w:rsidR="007553BE" w:rsidRPr="00FF139E">
        <w:fldChar w:fldCharType="separate"/>
      </w:r>
      <w:r w:rsidR="007553BE" w:rsidRPr="00FF139E">
        <w:rPr>
          <w:szCs w:val="24"/>
          <w:lang w:val="en-US"/>
        </w:rPr>
        <w:t xml:space="preserve">(Costa </w:t>
      </w:r>
      <w:r w:rsidR="007553BE" w:rsidRPr="00FF139E">
        <w:rPr>
          <w:i/>
          <w:iCs/>
          <w:szCs w:val="24"/>
          <w:lang w:val="en-US"/>
        </w:rPr>
        <w:t>et al.</w:t>
      </w:r>
      <w:r w:rsidR="007553BE" w:rsidRPr="00FF139E">
        <w:rPr>
          <w:szCs w:val="24"/>
          <w:lang w:val="en-US"/>
        </w:rPr>
        <w:t>, 2019; Marengo, Nutt and Perktold, 2022)</w:t>
      </w:r>
      <w:r w:rsidR="007553BE" w:rsidRPr="00FF139E">
        <w:fldChar w:fldCharType="end"/>
      </w:r>
      <w:r w:rsidRPr="00FF139E">
        <w:t xml:space="preserve">. One contributing factor is the project oriented nature of the industry: individual projects are treated as distinct delivery efforts, even though many </w:t>
      </w:r>
      <w:r w:rsidRPr="00FF139E">
        <w:lastRenderedPageBreak/>
        <w:t xml:space="preserve">contain recurring processes and subprocesses that could be compared and reused across projects </w:t>
      </w:r>
      <w:r w:rsidR="00F44D25" w:rsidRPr="00FF139E">
        <w:fldChar w:fldCharType="begin"/>
      </w:r>
      <w:r w:rsidR="00F44D25" w:rsidRPr="00FF139E">
        <w:instrText xml:space="preserve"> ADDIN ZOTERO_ITEM CSL_CITATION {"citationID":"nzMW9lqz","properties":{"unsorted":false,"formattedCitation":"(Martinez and Nik-Bakht, 2024)","plainCitation":"(Martinez and Nik-Bakht, 2024)","noteIndex":0},"citationItems":[{"id":2119,"uris":["http://zotero.org/users/17427852/items/EUSLLJI9"],"itemData":{"id":2119,"type":"chapter","citation-key":"martinezEnablingProcessMining2024","container-title":"Proceedings of the Canadian Society for Civil Engineering Annual Conference 2023, Volume 3","DOI":"10.1007/978-3-031-62170-3_8","ISBN":"978-3-031-62169-7","language":"en","note":"collection-title: Lecture Notes in Civil Engineering","page":"103-117","publisher":"Springer Nature Switzerland","publisher-place":"Cham","source":"DOI.org (Crossref)","title":"Enabling Process Mining in the Construction Industry: An Event Log Schema for Change Management Process","title-short":"Enabling Process Mining in the Construction Industry","URL":"https://link.springer.com/10.1007/978-3-031-62170-3_8","volume":"497","editor":[{"family":"Desjardins","given":"Serge"},{"family":"Poitras","given":"Gérard J."},{"family":"Nik-Bakht","given":"Mazdak"}],"author":[{"family":"Martinez","given":"Araham"},{"family":"Nik-Bakht","given":"Mazdak"}],"accessed":{"date-parts":[["2026",6,9]]},"issued":{"date-parts":[["2024"]]}}}],"schema":"https://github.com/citation-style-language/schema/raw/master/csl-citation.json"} </w:instrText>
      </w:r>
      <w:r w:rsidR="00F44D25" w:rsidRPr="00FF139E">
        <w:fldChar w:fldCharType="separate"/>
      </w:r>
      <w:r w:rsidR="00F44D25" w:rsidRPr="00FF139E">
        <w:rPr>
          <w:noProof/>
        </w:rPr>
        <w:t>(Martinez and Nik-Bakht, 2024)</w:t>
      </w:r>
      <w:r w:rsidR="00F44D25" w:rsidRPr="00FF139E">
        <w:fldChar w:fldCharType="end"/>
      </w:r>
      <w:r w:rsidR="00F44D25" w:rsidRPr="00FF139E">
        <w:t>.</w:t>
      </w:r>
    </w:p>
    <w:p w14:paraId="11CF24C5" w14:textId="77777777" w:rsidR="009F2657" w:rsidRPr="00FF139E" w:rsidRDefault="00000000" w:rsidP="00B94216">
      <w:pPr>
        <w:pStyle w:val="Heading2"/>
        <w:jc w:val="both"/>
      </w:pPr>
      <w:r w:rsidRPr="00FF139E">
        <w:t>1.2 Process Amnesia</w:t>
      </w:r>
    </w:p>
    <w:p w14:paraId="53C9062A" w14:textId="539E6F39" w:rsidR="008A73DC" w:rsidRPr="00FF139E" w:rsidRDefault="008A73DC" w:rsidP="008A73DC">
      <w:pPr>
        <w:pStyle w:val="PaperBody"/>
        <w:spacing w:after="20"/>
        <w:rPr>
          <w:color w:val="000000" w:themeColor="text1"/>
        </w:rPr>
      </w:pPr>
      <w:r w:rsidRPr="00FF139E">
        <w:rPr>
          <w:color w:val="000000" w:themeColor="text1"/>
        </w:rPr>
        <w:t>This paper uses the term Process Amnesia to describe a failure to retain and connect workflow knowledge in a reusable form, even when institutional records remain available. This knowledge includes the sequence of activities, coordination between actors, changes made during execution, and the reasoning behind those changes. Figure 1 distinguishes record retention and access problems from workflow representation problems. These conditions can coexist: preserving records alone does not ensure that workflow knowledge can be recovered and reused.</w:t>
      </w:r>
    </w:p>
    <w:p w14:paraId="06801FB0" w14:textId="60B743D3" w:rsidR="008A73DC" w:rsidRPr="00FF139E" w:rsidRDefault="008A73DC" w:rsidP="008A73DC">
      <w:pPr>
        <w:pStyle w:val="PaperBody"/>
        <w:spacing w:after="20"/>
      </w:pPr>
      <w:r w:rsidRPr="00FF139E">
        <w:t>The underlying problem is not new. Related literature has examined knowledge loss in organisations and the failure to capture and reuse lessons from project delivery</w:t>
      </w:r>
      <w:r w:rsidR="002576CD" w:rsidRPr="00FF139E">
        <w:t xml:space="preserve"> </w:t>
      </w:r>
      <w:r w:rsidR="002576CD" w:rsidRPr="00FF139E">
        <w:fldChar w:fldCharType="begin"/>
      </w:r>
      <w:r w:rsidR="002576CD" w:rsidRPr="00FF139E">
        <w:instrText xml:space="preserve"> ADDIN ZOTERO_ITEM CSL_CITATION {"citationID":"r0Bzho4F","properties":{"unsorted":false,"formattedCitation":"(Levallet and Chan, 2019; Debs and Hubbard, 2023)","plainCitation":"(Levallet and Chan, 2019; Debs and Hubbard, 2023)","noteIndex":0},"citationItems":[{"id":1932,"uris":["http://zotero.org/users/17427852/items/6FREWELA"],"itemData":{"id":1932,"type":"article-journal","abstract":"Purpose – This paper aims to examine the effectiveness of organizational information technology (IT)based and non-IT-based knowledge transfer mechanisms (KTMs) for the retention of different types of knowledge from mobile experts. It differentiates among four types of knowledge loss (KL), namely, conscious knowledge (i.e. individual explicit knowledge that can be codified); codified knowledge (i.e. explicit knowledge captured at the social level); automatic knowledge (i.e. implicit individual knowledge); and collective knowledge (i.e. implicit knowledge embedded in the organization).","citation-key":"levalletOrganizationalKnowledgeRetention2019","container-title":"Journal of Knowledge Management","DOI":"10.1108/JKM-08-2017-0358","ISSN":"1367-3270","issue":"1","journalAbbreviation":"JKM","language":"en","license":"https://www.emerald.com/insight/site-policies","page":"176-199","source":"DOI.org (Crossref)","title":"Organizational knowledge retention and knowledge loss","volume":"23","author":[{"family":"Levallet","given":"Nadège"},{"family":"Chan","given":"Yolande E."}],"issued":{"date-parts":[["2019",1,14]]}}},{"id":1918,"uris":["http://zotero.org/users/17427852/items/T4V4DE94"],"itemData":{"id":1918,"type":"article-journal","abstract":"The importance of knowledge management (KM) in the Architecture, Engineering, and Construction (AEC) industry has risen with the improvement of information and communication technologies. However, the construction industry still struggles to capture and disseminate lessons learned. The present research explores this issue by using interviews and an online questionnaire to provide updated information on lessons learned procedures and their challenges in United States (US) construction companies. To do this, the authors have gathered industry professionals’ perceptions about lessons learned and methods used in their companies for harnessing and disseminating the knowledge generated by them. Our findings indicate that post-project evaluations are frequently conducted, utilize a two-step approach (review of materials followed by meetings), and are mainly organized by project managers. Most often, only key project team members are present in meetings to create a safe environment for discussion. Moreover, our findings echo previous research on the dissemination and reuse of lessons learned, indicating that these procedures are scattered and, most of the time, the information is not effectively reutilized. This suggests that US construction companies still need to revisit how information from lessons learned is currently being harnessed, stored, and especially shared (within and between companies) so that information can be effectively transformed into knowledge that can advance the AEC industry’s productivity.","citation-key":"debsGatheringDisseminatingLessons2023","container-title":"Construction Economics and Building","DOI":"10.5130/AJCEB.v23i1/2.8390","ISSN":"2204-9029","issue":"1/2","journalAbbreviation":"CEB","language":"en","license":"http://creativecommons.org/licenses/by/4.0","source":"DOI.org (Crossref)","title":"Gathering and disseminating lessons learned in construction companies to support knowledge management","URL":"https://epress.lib.uts.edu.au/journals/index.php/AJCEB/article/view/8390","volume":"23","author":[{"family":"Debs","given":"Luciana"},{"family":"Hubbard","given":"Bryan"}],"accessed":{"date-parts":[["2026",4,15]]},"issued":{"date-parts":[["2023",7,12]]}}}],"schema":"https://github.com/citation-style-language/schema/raw/master/csl-citation.json"} </w:instrText>
      </w:r>
      <w:r w:rsidR="002576CD" w:rsidRPr="00FF139E">
        <w:fldChar w:fldCharType="separate"/>
      </w:r>
      <w:r w:rsidR="002576CD" w:rsidRPr="00FF139E">
        <w:rPr>
          <w:noProof/>
        </w:rPr>
        <w:t>(Levallet and Chan, 2019; Debs and Hubbard, 2023)</w:t>
      </w:r>
      <w:r w:rsidR="002576CD" w:rsidRPr="00FF139E">
        <w:fldChar w:fldCharType="end"/>
      </w:r>
      <w:r w:rsidR="002576CD" w:rsidRPr="00FF139E">
        <w:t>.</w:t>
      </w:r>
      <w:r w:rsidRPr="00FF139E">
        <w:t xml:space="preserve"> The term focuses attention on the workflow level, where surviving records do not readily preserve or expose the process knowledge required for future reuse.</w:t>
      </w:r>
    </w:p>
    <w:p w14:paraId="4A2C32D3" w14:textId="3E550654" w:rsidR="008C40C5" w:rsidRPr="00FF139E" w:rsidRDefault="00E34376" w:rsidP="007435B2">
      <w:pPr>
        <w:pStyle w:val="PaperBody"/>
        <w:spacing w:after="20"/>
        <w:ind w:firstLine="0"/>
      </w:pPr>
      <w:r w:rsidRPr="00FF139E">
        <w:rPr>
          <w:noProof/>
        </w:rPr>
        <w:drawing>
          <wp:inline distT="0" distB="0" distL="0" distR="0" wp14:anchorId="5EE09703" wp14:editId="0A77C7D5">
            <wp:extent cx="5731510" cy="2569210"/>
            <wp:effectExtent l="0" t="0" r="0" b="0"/>
            <wp:docPr id="880444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44903" name="Picture 8804449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569210"/>
                    </a:xfrm>
                    <a:prstGeom prst="rect">
                      <a:avLst/>
                    </a:prstGeom>
                  </pic:spPr>
                </pic:pic>
              </a:graphicData>
            </a:graphic>
          </wp:inline>
        </w:drawing>
      </w:r>
    </w:p>
    <w:p w14:paraId="1DAF55EC" w14:textId="77777777" w:rsidR="009F2657" w:rsidRPr="00FF139E" w:rsidRDefault="00000000" w:rsidP="00B62947">
      <w:pPr>
        <w:keepLines/>
        <w:spacing w:before="40" w:after="80"/>
        <w:jc w:val="center"/>
      </w:pPr>
      <w:r w:rsidRPr="00FF139E">
        <w:rPr>
          <w:i/>
          <w:iCs/>
          <w:sz w:val="20"/>
          <w:szCs w:val="20"/>
        </w:rPr>
        <w:t>Figure 1. Process Amnesia sits on the knowledge layer.</w:t>
      </w:r>
    </w:p>
    <w:p w14:paraId="6A800025" w14:textId="77777777" w:rsidR="009F2657" w:rsidRPr="00FF139E" w:rsidRDefault="00000000" w:rsidP="00B94216">
      <w:pPr>
        <w:pStyle w:val="Heading2"/>
        <w:jc w:val="both"/>
      </w:pPr>
      <w:r w:rsidRPr="00FF139E">
        <w:t>1.3 Aim and contribution</w:t>
      </w:r>
    </w:p>
    <w:p w14:paraId="331E66DA" w14:textId="6C047325" w:rsidR="00DC2B77" w:rsidRPr="00FF139E" w:rsidRDefault="00DC2B77" w:rsidP="00DC2B77">
      <w:pPr>
        <w:pStyle w:val="PaperBody"/>
        <w:spacing w:after="20"/>
        <w:rPr>
          <w:color w:val="000000" w:themeColor="text1"/>
        </w:rPr>
      </w:pPr>
      <w:r w:rsidRPr="00FF139E">
        <w:rPr>
          <w:color w:val="000000" w:themeColor="text1"/>
        </w:rPr>
        <w:t>The aim of this paper is to propose a hybrid framework for recovering construction workflow knowledge from institutional records that were not created for process analysis. It asks how incomplete records can be converted into auditable process evidence for workflow reconstruction while preserving uncertainty. Retrofit work orders provide the initial application setting.</w:t>
      </w:r>
    </w:p>
    <w:p w14:paraId="32D44A9E" w14:textId="74C30F4D" w:rsidR="00DC2B77" w:rsidRPr="00FF139E" w:rsidRDefault="00DC2B77" w:rsidP="00DC2B77">
      <w:pPr>
        <w:pStyle w:val="PaperBody"/>
        <w:spacing w:after="20"/>
        <w:rPr>
          <w:color w:val="000000" w:themeColor="text1"/>
        </w:rPr>
      </w:pPr>
      <w:r w:rsidRPr="00FF139E">
        <w:rPr>
          <w:color w:val="000000" w:themeColor="text1"/>
        </w:rPr>
        <w:t>The main contribution is an upstream framework for recovering and qualifying evidence. It combines a controlled construction lexicon, Technical Language Processing, cross checks with structured fields and an Evidence Log that retains the source, time basis and confidence of recovered elements. Reconstructed traces are compared with independently developed and frozen reference models for practitioner review. Process Amnesia provides the problem framing; graph integration is a proposed route for later reuse.</w:t>
      </w:r>
    </w:p>
    <w:p w14:paraId="6532A9CA" w14:textId="63A88D5C" w:rsidR="00D35B8B" w:rsidRPr="00FF139E" w:rsidRDefault="00000000" w:rsidP="00D35B8B">
      <w:pPr>
        <w:pStyle w:val="Heading1"/>
      </w:pPr>
      <w:r w:rsidRPr="00FF139E">
        <w:t>2. Background: Process Knowledge, Knowledge Loss and Workflow Capture</w:t>
      </w:r>
    </w:p>
    <w:p w14:paraId="5CAF75AB" w14:textId="77777777" w:rsidR="009F2657" w:rsidRPr="00FF139E" w:rsidRDefault="00000000" w:rsidP="00B94216">
      <w:pPr>
        <w:pStyle w:val="Heading2"/>
        <w:jc w:val="both"/>
      </w:pPr>
      <w:r w:rsidRPr="00FF139E">
        <w:t>2.1 Process knowledge and its value</w:t>
      </w:r>
    </w:p>
    <w:p w14:paraId="32E3EDE8" w14:textId="7ECA2D8B" w:rsidR="000E0C40" w:rsidRPr="00FF139E" w:rsidRDefault="000E0C40" w:rsidP="000E0C40">
      <w:pPr>
        <w:pStyle w:val="PaperBody"/>
        <w:spacing w:after="20"/>
      </w:pPr>
      <w:r w:rsidRPr="00FF139E">
        <w:t>A process can be understood as a set of related activities together with the roles that perform them, the objects being acted upon, and the resources used</w:t>
      </w:r>
      <w:r w:rsidR="002576CD" w:rsidRPr="00FF139E">
        <w:t xml:space="preserve"> </w:t>
      </w:r>
      <w:r w:rsidR="002576CD" w:rsidRPr="00FF139E">
        <w:fldChar w:fldCharType="begin"/>
      </w:r>
      <w:r w:rsidR="002576CD" w:rsidRPr="00FF139E">
        <w:instrText xml:space="preserve"> ADDIN ZOTERO_ITEM CSL_CITATION {"citationID":"qWYTSBm1","properties":{"unsorted":false,"formattedCitation":"(El-Gohary and El-Diraby, 2010)","plainCitation":"(El-Gohary and El-Diraby, 2010)","noteIndex":0},"citationItems":[{"id":931,"uris":["http://zotero.org/users/17427852/items/ZB9YYN2Q"],"itemData":{"id":931,"type":"article-journal","abstract":"With the increasing demands for domain-wide integrated construction and infrastructure development, there is a need for developing a domain ontology to build a knowledge model that describes the multistakeholder project development process. This paper presents a domain ontology for supporting knowledge-enabled process management and coordination across various stakeholders, disciplines, and projects. The ontological model is composed of concepts, relations, and axioms. Concepts represent the “things” in the domain of interest; relations establish the interconcept links; and axioms specify the deﬁnitions of concepts and relations and constraints on their behavior and interpretation. The ontology models the most fundamental concepts in the domain in a structured, extendable, and ﬂexible format to facilitate future evolution and extension of the ontology for representing application-speciﬁc and/or enterprise-speciﬁc knowledge. The ontology was evaluated through technical evaluation and user evaluation. User evaluation was conducted through one-to-one expert evaluation interviews.","citation-key":"el-goharyDomainOntologyProcesses2010","container-title":"Journal of Construction Engineering and Management","DOI":"10.1061/(ASCE)CO.1943-7862.0000178","ISSN":"0733-9364, 1943-7862","issue":"7","journalAbbreviation":"J. Constr. Eng. Manage.","language":"en","page":"730-744","source":"DOI.org (Crossref)","title":"Domain Ontology for Processes in Infrastructure and Construction","volume":"136","author":[{"family":"El-Gohary","given":"Nora M."},{"family":"El-Diraby","given":"Tamer E."}],"issued":{"date-parts":[["2010",7]]}}}],"schema":"https://github.com/citation-style-language/schema/raw/master/csl-citation.json"} </w:instrText>
      </w:r>
      <w:r w:rsidR="002576CD" w:rsidRPr="00FF139E">
        <w:fldChar w:fldCharType="separate"/>
      </w:r>
      <w:r w:rsidR="002576CD" w:rsidRPr="00FF139E">
        <w:rPr>
          <w:noProof/>
        </w:rPr>
        <w:t>(El-Gohary and El-Diraby, 2010)</w:t>
      </w:r>
      <w:r w:rsidR="002576CD" w:rsidRPr="00FF139E">
        <w:fldChar w:fldCharType="end"/>
      </w:r>
      <w:r w:rsidRPr="00FF139E">
        <w:t xml:space="preserve"> </w:t>
      </w:r>
      <w:r w:rsidR="002576CD" w:rsidRPr="00FF139E">
        <w:t>.</w:t>
      </w:r>
      <w:r w:rsidRPr="00FF139E">
        <w:t xml:space="preserve"> A business process coordinates such activities to deliver a product or service</w:t>
      </w:r>
      <w:r w:rsidR="00845FC3" w:rsidRPr="00FF139E">
        <w:t xml:space="preserve"> </w:t>
      </w:r>
      <w:r w:rsidR="00845FC3" w:rsidRPr="00FF139E">
        <w:fldChar w:fldCharType="begin"/>
      </w:r>
      <w:r w:rsidR="00845FC3" w:rsidRPr="00FF139E">
        <w:instrText xml:space="preserve"> ADDIN ZOTERO_ITEM CSL_CITATION {"citationID":"mso4GW4X","properties":{"unsorted":false,"formattedCitation":"(Weske, 2012)","plainCitation":"(Weske, 2012)","noteIndex":0},"citationItems":[{"id":1924,"uris":["http://zotero.org/users/17427852/items/HHTW6G4E"],"itemData":{"id":1924,"type":"book","citation-key":"weskeBusinessProcessManagement2012","DOI":"10.1007/978-3-642-28616-2","ISBN":"978-3-642-28615-5","language":"en","license":"http://www.springer.com/tdm","publisher":"Springer Berlin Heidelberg","publisher-place":"Berlin, Heidelberg","source":"DOI.org (Crossref)","title":"Business Process Management","URL":"http://link.springer.com/10.1007/978-3-642-28616-2","author":[{"family":"Weske","given":"Mathias"}],"accessed":{"date-parts":[["2026",4,14]]},"issued":{"date-parts":[["2012"]]}}}],"schema":"https://github.com/citation-style-language/schema/raw/master/csl-citation.json"} </w:instrText>
      </w:r>
      <w:r w:rsidR="00845FC3" w:rsidRPr="00FF139E">
        <w:fldChar w:fldCharType="separate"/>
      </w:r>
      <w:r w:rsidR="00845FC3" w:rsidRPr="00FF139E">
        <w:rPr>
          <w:noProof/>
        </w:rPr>
        <w:t>(Weske, 2012)</w:t>
      </w:r>
      <w:r w:rsidR="00845FC3" w:rsidRPr="00FF139E">
        <w:fldChar w:fldCharType="end"/>
      </w:r>
      <w:r w:rsidR="00845FC3" w:rsidRPr="00FF139E">
        <w:t>.</w:t>
      </w:r>
      <w:r w:rsidRPr="00FF139E">
        <w:t xml:space="preserve"> Business </w:t>
      </w:r>
      <w:r w:rsidRPr="00FF139E">
        <w:lastRenderedPageBreak/>
        <w:t>Process Model and Notation (BPMN) provides a graphical notation for representing these processes</w:t>
      </w:r>
      <w:r w:rsidR="00845FC3" w:rsidRPr="00FF139E">
        <w:t xml:space="preserve"> </w:t>
      </w:r>
      <w:r w:rsidR="00845FC3" w:rsidRPr="00FF139E">
        <w:fldChar w:fldCharType="begin"/>
      </w:r>
      <w:r w:rsidR="00845FC3" w:rsidRPr="00FF139E">
        <w:instrText xml:space="preserve"> ADDIN ZOTERO_ITEM CSL_CITATION {"citationID":"n3c3R4AG","properties":{"unsorted":false,"formattedCitation":"(Object Management Group, 2011)","plainCitation":"(Object Management Group, 2011)","noteIndex":0},"citationItems":[{"id":2131,"uris":["http://zotero.org/users/17427852/items/9KFMH8BP"],"itemData":{"id":2131,"type":"standard","authority":"Object Management Group","citation-key":"BusinessProcessModel","language":"en","publisher":"Object Management Group","source":"Zotero","title":"Business Process Model and Notation (BPMN), Version 2.0","author":[{"family":"Object Management Group","given":""}],"issued":{"date-parts":[["2011"]]}}}],"schema":"https://github.com/citation-style-language/schema/raw/master/csl-citation.json"} </w:instrText>
      </w:r>
      <w:r w:rsidR="00845FC3" w:rsidRPr="00FF139E">
        <w:fldChar w:fldCharType="separate"/>
      </w:r>
      <w:r w:rsidR="00845FC3" w:rsidRPr="00FF139E">
        <w:rPr>
          <w:noProof/>
        </w:rPr>
        <w:t>(Object Management Group, 2011)</w:t>
      </w:r>
      <w:r w:rsidR="00845FC3" w:rsidRPr="00FF139E">
        <w:fldChar w:fldCharType="end"/>
      </w:r>
      <w:r w:rsidR="00845FC3" w:rsidRPr="00FF139E">
        <w:t>.</w:t>
      </w:r>
    </w:p>
    <w:p w14:paraId="7EFE4302" w14:textId="5A5B4578" w:rsidR="00D35B8B" w:rsidRPr="00FF139E" w:rsidRDefault="00D35B8B" w:rsidP="00D35B8B">
      <w:pPr>
        <w:pStyle w:val="PaperBody"/>
        <w:spacing w:after="20"/>
      </w:pPr>
      <w:r w:rsidRPr="00FF139E">
        <w:t>The business process management literature has established the value of making processes explicit so that they can be analysed, compared and improved. Process models can support greater visibility of how work is performed and provide a basis for identifying deviations, inefficiencies and opportunities for improvement</w:t>
      </w:r>
      <w:r w:rsidR="00E434B7" w:rsidRPr="00FF139E">
        <w:t xml:space="preserve"> </w:t>
      </w:r>
      <w:r w:rsidR="00E434B7" w:rsidRPr="00FF139E">
        <w:fldChar w:fldCharType="begin"/>
      </w:r>
      <w:r w:rsidR="00E434B7" w:rsidRPr="00FF139E">
        <w:instrText xml:space="preserve"> ADDIN ZOTERO_ITEM CSL_CITATION {"citationID":"a8rpnc4p","properties":{"unsorted":false,"formattedCitation":"(Reinkemeyer, 2020)","plainCitation":"(Reinkemeyer, 2020)","noteIndex":0},"citationItems":[{"id":1913,"uris":["http://zotero.org/users/17427852/items/UWIARDJJ"],"itemData":{"id":1913,"type":"book","citation-key":"reinkemeyerProcessMiningAction2020","DOI":"10.1007/978-3-030-40172-6","ISBN":"978-3-030-40171-9","language":"en","license":"http://www.springer.com/tdm","publisher":"Springer International Publishing","publisher-place":"Cham","source":"DOI.org (Crossref)","title":"Process Mining in Action: Principles, Use Cases and Outlook","title-short":"Process Mining in Action","URL":"http://link.springer.com/10.1007/978-3-030-40172-6","editor":[{"family":"Reinkemeyer","given":"Lars"}],"accessed":{"date-parts":[["2026",4,16]]},"issued":{"date-parts":[["2020"]]}}}],"schema":"https://github.com/citation-style-language/schema/raw/master/csl-citation.json"} </w:instrText>
      </w:r>
      <w:r w:rsidR="00E434B7" w:rsidRPr="00FF139E">
        <w:fldChar w:fldCharType="separate"/>
      </w:r>
      <w:r w:rsidR="00E434B7" w:rsidRPr="00FF139E">
        <w:rPr>
          <w:noProof/>
        </w:rPr>
        <w:t>(Reinkemeyer, 2020)</w:t>
      </w:r>
      <w:r w:rsidR="00E434B7" w:rsidRPr="00FF139E">
        <w:fldChar w:fldCharType="end"/>
      </w:r>
      <w:r w:rsidR="00E434B7" w:rsidRPr="00FF139E">
        <w:t xml:space="preserve">. </w:t>
      </w:r>
      <w:r w:rsidRPr="00FF139E">
        <w:t>In construction, this value depends on whether process knowledge can first be captured from the fragmented records and practices through which work is actually executed</w:t>
      </w:r>
      <w:r w:rsidR="00E07543" w:rsidRPr="00FF139E">
        <w:t xml:space="preserve"> </w:t>
      </w:r>
      <w:r w:rsidR="00E07543" w:rsidRPr="00FF139E">
        <w:fldChar w:fldCharType="begin"/>
      </w:r>
      <w:r w:rsidR="00E07543" w:rsidRPr="00FF139E">
        <w:instrText xml:space="preserve"> ADDIN ZOTERO_ITEM CSL_CITATION {"citationID":"JGyU061G","properties":{"unsorted":false,"formattedCitation":"(Martinez and Nik-Bakht, 2024)","plainCitation":"(Martinez and Nik-Bakht, 2024)","noteIndex":0},"citationItems":[{"id":2119,"uris":["http://zotero.org/users/17427852/items/EUSLLJI9"],"itemData":{"id":2119,"type":"chapter","citation-key":"martinezEnablingProcessMining2024","container-title":"Proceedings of the Canadian Society for Civil Engineering Annual Conference 2023, Volume 3","DOI":"10.1007/978-3-031-62170-3_8","ISBN":"978-3-031-62169-7","language":"en","note":"collection-title: Lecture Notes in Civil Engineering","page":"103-117","publisher":"Springer Nature Switzerland","publisher-place":"Cham","source":"DOI.org (Crossref)","title":"Enabling Process Mining in the Construction Industry: An Event Log Schema for Change Management Process","title-short":"Enabling Process Mining in the Construction Industry","URL":"https://link.springer.com/10.1007/978-3-031-62170-3_8","volume":"497","editor":[{"family":"Desjardins","given":"Serge"},{"family":"Poitras","given":"Gérard J."},{"family":"Nik-Bakht","given":"Mazdak"}],"author":[{"family":"Martinez","given":"Araham"},{"family":"Nik-Bakht","given":"Mazdak"}],"accessed":{"date-parts":[["2026",6,9]]},"issued":{"date-parts":[["2024"]]}}}],"schema":"https://github.com/citation-style-language/schema/raw/master/csl-citation.json"} </w:instrText>
      </w:r>
      <w:r w:rsidR="00E07543" w:rsidRPr="00FF139E">
        <w:fldChar w:fldCharType="separate"/>
      </w:r>
      <w:r w:rsidR="00E07543" w:rsidRPr="00FF139E">
        <w:rPr>
          <w:noProof/>
        </w:rPr>
        <w:t>(Martinez and Nik-Bakht, 2024)</w:t>
      </w:r>
      <w:r w:rsidR="00E07543" w:rsidRPr="00FF139E">
        <w:fldChar w:fldCharType="end"/>
      </w:r>
      <w:r w:rsidRPr="00FF139E">
        <w:t>.</w:t>
      </w:r>
    </w:p>
    <w:p w14:paraId="5270EEFC" w14:textId="688F45E0" w:rsidR="009F2657" w:rsidRPr="00FF139E" w:rsidRDefault="00000000" w:rsidP="00B94216">
      <w:pPr>
        <w:pStyle w:val="Heading2"/>
        <w:jc w:val="both"/>
      </w:pPr>
      <w:r w:rsidRPr="00FF139E">
        <w:t xml:space="preserve">2.2 </w:t>
      </w:r>
      <w:r w:rsidR="00E07543" w:rsidRPr="00FF139E">
        <w:t>Process</w:t>
      </w:r>
      <w:r w:rsidRPr="00FF139E">
        <w:t xml:space="preserve"> knowledge los</w:t>
      </w:r>
      <w:r w:rsidR="00E07543" w:rsidRPr="00FF139E">
        <w:t>s</w:t>
      </w:r>
      <w:r w:rsidRPr="00FF139E">
        <w:t xml:space="preserve"> in </w:t>
      </w:r>
      <w:r w:rsidR="00DC2B77" w:rsidRPr="00FF139E">
        <w:t>construction</w:t>
      </w:r>
    </w:p>
    <w:p w14:paraId="1D819513" w14:textId="77777777" w:rsidR="00D35B8B" w:rsidRPr="00FF139E" w:rsidRDefault="00D35B8B" w:rsidP="00D35B8B">
      <w:pPr>
        <w:pStyle w:val="PaperBody"/>
        <w:spacing w:after="20"/>
        <w:ind w:firstLine="0"/>
      </w:pPr>
      <w:r w:rsidRPr="00FF139E">
        <w:t>Construction workflow knowledge is lost for both structural and informational reasons.</w:t>
      </w:r>
    </w:p>
    <w:p w14:paraId="0F40CDC0" w14:textId="442EF475" w:rsidR="00D35B8B" w:rsidRPr="00FF139E" w:rsidRDefault="00D35B8B" w:rsidP="00D35B8B">
      <w:pPr>
        <w:pStyle w:val="PaperBody"/>
        <w:spacing w:after="20"/>
      </w:pPr>
      <w:r w:rsidRPr="00FF139E">
        <w:t>Structurally, the industry is organised around projects. Each project is treated as a distinct delivery effort, which encourages teams to prioritise immediate execution over documenting recurring process patterns for future reuse. Although local conditions vary, many projects share recurring subprocesses such as investigation, shutdown planning, hazardous material handling, trade sequencing, inspection and handover</w:t>
      </w:r>
      <w:r w:rsidR="0012062C" w:rsidRPr="00FF139E">
        <w:t xml:space="preserve"> </w:t>
      </w:r>
      <w:r w:rsidR="0012062C" w:rsidRPr="00FF139E">
        <w:fldChar w:fldCharType="begin"/>
      </w:r>
      <w:r w:rsidR="0012062C" w:rsidRPr="00FF139E">
        <w:instrText xml:space="preserve"> ADDIN ZOTERO_ITEM CSL_CITATION {"citationID":"3E63WTrm","properties":{"unsorted":false,"formattedCitation":"(D\\uc0\\u8217{}Angelo {\\i{}et al.}, 2022; Debs and Hubbard, 2023)","plainCitation":"(D’Angelo et al., 2022; Debs and Hubbard, 2023)","noteIndex":0},"citationItems":[{"id":436,"uris":["http://zotero.org/users/17427852/items/ES9X5BRI"],"itemData":{"id":436,"type":"article-journal","abstract":"The European Union (EU) has developed policies aimed at accelerating the retrofit of existing buildings, with the vision of a decarbonised building stock by 2050. Retrofitting of existing buildings offers significant opportunities to reduce global energy consumption and greenhouse gas emissions. Although there is a wide range of government incentives available, retrofits only affect 0.5–1% of the building stock per year. Thus, this research conducted a literature review in order to identify the barriers preventing retrofitting of existing buildings. These barriers include low financial availability, user awareness, uncertainty in regulatory frameworks and fragmentation of the supply chain. The research presented here overcomes these retrofit barriers by developing a novel step-by-step guideline for building retrofit. The proposed workflow combines the benefits of Building Information Modelling (BIM) with the Business Process Modelling (BPM) technique. BIM is used for its capacity to create and manage information along the full life-cycle of a building. While BPM allows to optimise the retrofit workflow, by providing all relevant stakeholders with (i) the instruments to better understand their roles and responsibilities in the retrofit process, (ii) the technological framework and data needed to efficiently implement BIM within the project. This novel BIM- BPM workflow was demonstrated on a residential pilot building located in Inis Mo´r, Ireland.","citation-key":"dangeloNovelBIMbasedProcess2022","container-title":"Journal of Building Engineering","DOI":"10.1016/j.jobe.2022.104163","ISSN":"23527102","journalAbbreviation":"Journal of Building Engineering","language":"en","page":"104163","source":"DOI.org (Crossref)","title":"A novel BIM-based process workflow for building retrofit","volume":"50","author":[{"family":"D'Angelo","given":"Letizia"},{"family":"Hajdukiewicz","given":"Magdalena"},{"family":"Seri","given":"Federico"},{"family":"Keane","given":"Marcus M."}],"issued":{"date-parts":[["2022",6]]}}},{"id":1918,"uris":["http://zotero.org/users/17427852/items/T4V4DE94"],"itemData":{"id":1918,"type":"article-journal","abstract":"The importance of knowledge management (KM) in the Architecture, Engineering, and Construction (AEC) industry has risen with the improvement of information and communication technologies. However, the construction industry still struggles to capture and disseminate lessons learned. The present research explores this issue by using interviews and an online questionnaire to provide updated information on lessons learned procedures and their challenges in United States (US) construction companies. To do this, the authors have gathered industry professionals’ perceptions about lessons learned and methods used in their companies for harnessing and disseminating the knowledge generated by them. Our findings indicate that post-project evaluations are frequently conducted, utilize a two-step approach (review of materials followed by meetings), and are mainly organized by project managers. Most often, only key project team members are present in meetings to create a safe environment for discussion. Moreover, our findings echo previous research on the dissemination and reuse of lessons learned, indicating that these procedures are scattered and, most of the time, the information is not effectively reutilized. This suggests that US construction companies still need to revisit how information from lessons learned is currently being harnessed, stored, and especially shared (within and between companies) so that information can be effectively transformed into knowledge that can advance the AEC industry’s productivity.","citation-key":"debsGatheringDisseminatingLessons2023","container-title":"Construction Economics and Building","DOI":"10.5130/AJCEB.v23i1/2.8390","ISSN":"2204-9029","issue":"1/2","journalAbbreviation":"CEB","language":"en","license":"http://creativecommons.org/licenses/by/4.0","source":"DOI.org (Crossref)","title":"Gathering and disseminating lessons learned in construction companies to support knowledge management","URL":"https://epress.lib.uts.edu.au/journals/index.php/AJCEB/article/view/8390","volume":"23","author":[{"family":"Debs","given":"Luciana"},{"family":"Hubbard","given":"Bryan"}],"accessed":{"date-parts":[["2026",4,15]]},"issued":{"date-parts":[["2023",7,12]]}}}],"schema":"https://github.com/citation-style-language/schema/raw/master/csl-citation.json"} </w:instrText>
      </w:r>
      <w:r w:rsidR="0012062C" w:rsidRPr="00FF139E">
        <w:fldChar w:fldCharType="separate"/>
      </w:r>
      <w:r w:rsidR="0012062C" w:rsidRPr="00FF139E">
        <w:rPr>
          <w:szCs w:val="24"/>
          <w:lang w:val="en-US"/>
        </w:rPr>
        <w:t xml:space="preserve">(D’Angelo </w:t>
      </w:r>
      <w:r w:rsidR="0012062C" w:rsidRPr="00FF139E">
        <w:rPr>
          <w:i/>
          <w:iCs/>
          <w:szCs w:val="24"/>
          <w:lang w:val="en-US"/>
        </w:rPr>
        <w:t>et al.</w:t>
      </w:r>
      <w:r w:rsidR="0012062C" w:rsidRPr="00FF139E">
        <w:rPr>
          <w:szCs w:val="24"/>
          <w:lang w:val="en-US"/>
        </w:rPr>
        <w:t>, 2022; Debs and Hubbard, 2023)</w:t>
      </w:r>
      <w:r w:rsidR="0012062C" w:rsidRPr="00FF139E">
        <w:fldChar w:fldCharType="end"/>
      </w:r>
      <w:r w:rsidR="0012062C" w:rsidRPr="00FF139E">
        <w:t xml:space="preserve">. </w:t>
      </w:r>
      <w:r w:rsidRPr="00FF139E">
        <w:t>A related difficulty is the use of static planning tools in dynamic project environments. Schedules and formal documents capture intended processes, while site conditions and coordination decisions continue to change during execution</w:t>
      </w:r>
      <w:r w:rsidR="0012062C" w:rsidRPr="00FF139E">
        <w:t xml:space="preserve"> </w:t>
      </w:r>
      <w:r w:rsidR="0012062C" w:rsidRPr="00FF139E">
        <w:fldChar w:fldCharType="begin"/>
      </w:r>
      <w:r w:rsidR="0012062C" w:rsidRPr="00FF139E">
        <w:instrText xml:space="preserve"> ADDIN ZOTERO_ITEM CSL_CITATION {"citationID":"zmOZxSdG","properties":{"unsorted":false,"formattedCitation":"(D\\uc0\\u8217{}Angelo {\\i{}et al.}, 2022)","plainCitation":"(D’Angelo et al., 2022)","noteIndex":0},"citationItems":[{"id":436,"uris":["http://zotero.org/users/17427852/items/ES9X5BRI"],"itemData":{"id":436,"type":"article-journal","abstract":"The European Union (EU) has developed policies aimed at accelerating the retrofit of existing buildings, with the vision of a decarbonised building stock by 2050. Retrofitting of existing buildings offers significant opportunities to reduce global energy consumption and greenhouse gas emissions. Although there is a wide range of government incentives available, retrofits only affect 0.5–1% of the building stock per year. Thus, this research conducted a literature review in order to identify the barriers preventing retrofitting of existing buildings. These barriers include low financial availability, user awareness, uncertainty in regulatory frameworks and fragmentation of the supply chain. The research presented here overcomes these retrofit barriers by developing a novel step-by-step guideline for building retrofit. The proposed workflow combines the benefits of Building Information Modelling (BIM) with the Business Process Modelling (BPM) technique. BIM is used for its capacity to create and manage information along the full life-cycle of a building. While BPM allows to optimise the retrofit workflow, by providing all relevant stakeholders with (i) the instruments to better understand their roles and responsibilities in the retrofit process, (ii) the technological framework and data needed to efficiently implement BIM within the project. This novel BIM- BPM workflow was demonstrated on a residential pilot building located in Inis Mo´r, Ireland.","citation-key":"dangeloNovelBIMbasedProcess2022","container-title":"Journal of Building Engineering","DOI":"10.1016/j.jobe.2022.104163","ISSN":"23527102","journalAbbreviation":"Journal of Building Engineering","language":"en","page":"104163","source":"DOI.org (Crossref)","title":"A novel BIM-based process workflow for building retrofit","volume":"50","author":[{"family":"D'Angelo","given":"Letizia"},{"family":"Hajdukiewicz","given":"Magdalena"},{"family":"Seri","given":"Federico"},{"family":"Keane","given":"Marcus M."}],"issued":{"date-parts":[["2022",6]]}}}],"schema":"https://github.com/citation-style-language/schema/raw/master/csl-citation.json"} </w:instrText>
      </w:r>
      <w:r w:rsidR="0012062C" w:rsidRPr="00FF139E">
        <w:fldChar w:fldCharType="separate"/>
      </w:r>
      <w:r w:rsidR="0012062C" w:rsidRPr="00FF139E">
        <w:rPr>
          <w:szCs w:val="24"/>
          <w:lang w:val="en-US"/>
        </w:rPr>
        <w:t xml:space="preserve">(D’Angelo </w:t>
      </w:r>
      <w:r w:rsidR="0012062C" w:rsidRPr="00FF139E">
        <w:rPr>
          <w:i/>
          <w:iCs/>
          <w:szCs w:val="24"/>
          <w:lang w:val="en-US"/>
        </w:rPr>
        <w:t>et al.</w:t>
      </w:r>
      <w:r w:rsidR="0012062C" w:rsidRPr="00FF139E">
        <w:rPr>
          <w:szCs w:val="24"/>
          <w:lang w:val="en-US"/>
        </w:rPr>
        <w:t>, 2022)</w:t>
      </w:r>
      <w:r w:rsidR="0012062C" w:rsidRPr="00FF139E">
        <w:fldChar w:fldCharType="end"/>
      </w:r>
      <w:r w:rsidR="0012062C" w:rsidRPr="00FF139E">
        <w:t>.</w:t>
      </w:r>
    </w:p>
    <w:p w14:paraId="4421FC0B" w14:textId="5BEF75B2" w:rsidR="00D35B8B" w:rsidRPr="00FF139E" w:rsidRDefault="00D35B8B" w:rsidP="00D35B8B">
      <w:pPr>
        <w:pStyle w:val="PaperBody"/>
        <w:spacing w:after="20"/>
      </w:pPr>
      <w:r w:rsidRPr="00FF139E">
        <w:t xml:space="preserve">Informationally, process evidence is distributed across multiple systems and document types. Work orders, drawings, </w:t>
      </w:r>
      <w:r w:rsidR="00DC2B77" w:rsidRPr="00FF139E">
        <w:t xml:space="preserve">building information models (BIM), requests for information (RFIs), </w:t>
      </w:r>
      <w:r w:rsidRPr="00FF139E">
        <w:t>meeting minutes, schedules, cost records and change orders each preserve only part of the workflow, so surviving records may still fail to become explicit and reusable process knowledge</w:t>
      </w:r>
      <w:r w:rsidR="00185A07" w:rsidRPr="00FF139E">
        <w:t xml:space="preserve"> </w:t>
      </w:r>
      <w:r w:rsidR="00185A07" w:rsidRPr="00FF139E">
        <w:fldChar w:fldCharType="begin"/>
      </w:r>
      <w:r w:rsidR="00881853" w:rsidRPr="00FF139E">
        <w:instrText xml:space="preserve"> ADDIN ZOTERO_ITEM CSL_CITATION {"citationID":"kDsDeBWm","properties":{"unsorted":false,"formattedCitation":"(Levallet and Chan, 2019; Pauwels, Costin and Rasmussen, 2022)","plainCitation":"(Levallet and Chan, 2019; Pauwels, Costin and Rasmussen, 2022)","noteIndex":0},"citationItems":[{"id":1932,"uris":["http://zotero.org/users/17427852/items/6FREWELA"],"itemData":{"id":1932,"type":"article-journal","abstract":"Purpose – This paper aims to examine the effectiveness of organizational information technology (IT)based and non-IT-based knowledge transfer mechanisms (KTMs) for the retention of different types of knowledge from mobile experts. It differentiates among four types of knowledge loss (KL), namely, conscious knowledge (i.e. individual explicit knowledge that can be codified); codified knowledge (i.e. explicit knowledge captured at the social level); automatic knowledge (i.e. implicit individual knowledge); and collective knowledge (i.e. implicit knowledge embedded in the organization).","citation-key":"levalletOrganizationalKnowledgeRetention2019","container-title":"Journal of Knowledge Management","DOI":"10.1108/JKM-08-2017-0358","ISSN":"1367-3270","issue":"1","journalAbbreviation":"JKM","language":"en","license":"https://www.emerald.com/insight/site-policies","page":"176-199","source":"DOI.org (Crossref)","title":"Organizational knowledge retention and knowledge loss","volume":"23","author":[{"family":"Levallet","given":"Nadège"},{"family":"Chan","given":"Yolande E."}],"issued":{"date-parts":[["2019",1,14]]}}},{"id":501,"uris":["http://zotero.org/users/17427852/items/IPEP3QIU"],"itemData":{"id":501,"type":"chapter","abstract":"The built environment in the Industry 4.0 is digitizing rapidly and producing great amounts of data. These data are of different kinds and follow speciﬁc structures and logics, depending on what they are used for and where they come from. This includes vendor-neutral and exchangeable ﬁles, such as the Industry Foundation Classes (IFC), that capture building and infrastructure data in neutral and exchangeable ﬁles; knowledge graphs and linked data that store building data in web-based graph databases; time-series databases that store sensor data values (big data; data lakes); diverse standard ﬁle formats to represent 2D and 3D geometry; and property servers as well as product databases. This chapter will particularly investigate knowledge graphs and linked data. These data technologies promise to represent any data on the web and link them all together. This chapter will explain the most basic parts of the technology, while omitting technical detail. It gives an overview of how these technologies are used in the AEC and smart buildings domains. The chapter ends with a discussion on applicability and limitations of the documented technologies and an outlook into the future.","citation-key":"pauwelsKnowledgeGraphsLinked2022","container-title":"Industry 4.0 for the Built Environment","DOI":"10.1007/978-3-030-82430-3_7","ISBN":"978-3-030-82429-7","language":"en","note":"collection-title: Structural Integrity","page":"157-183","publisher":"Springer International Publishing","publisher-place":"Cham","source":"DOI.org (Crossref)","title":"Knowledge Graphs and Linked Data for the Built Environment","URL":"https://link.springer.com/10.1007/978-3-030-82430-3_7","volume":"20","editor":[{"family":"Bolpagni","given":"Marzia"},{"family":"Gavina","given":"Rui"},{"family":"Ribeiro","given":"Diogo"}],"author":[{"family":"Pauwels","given":"Pieter"},{"family":"Costin","given":"Aaron"},{"family":"Rasmussen","given":"Mads Holten"}],"accessed":{"date-parts":[["2025",8,2]]},"issued":{"date-parts":[["2022"]]}}}],"schema":"https://github.com/citation-style-language/schema/raw/master/csl-citation.json"} </w:instrText>
      </w:r>
      <w:r w:rsidR="00185A07" w:rsidRPr="00FF139E">
        <w:fldChar w:fldCharType="separate"/>
      </w:r>
      <w:r w:rsidR="00881853" w:rsidRPr="00FF139E">
        <w:rPr>
          <w:noProof/>
        </w:rPr>
        <w:t>(Levallet and Chan, 2019; Pauwels, Costin and Rasmussen, 2022)</w:t>
      </w:r>
      <w:r w:rsidR="00185A07" w:rsidRPr="00FF139E">
        <w:fldChar w:fldCharType="end"/>
      </w:r>
      <w:r w:rsidR="00881853" w:rsidRPr="00FF139E">
        <w:t xml:space="preserve">. </w:t>
      </w:r>
      <w:r w:rsidRPr="00FF139E">
        <w:t>Much of this information is also stored in non</w:t>
      </w:r>
      <w:r w:rsidR="00881853" w:rsidRPr="00FF139E">
        <w:t>-process-</w:t>
      </w:r>
      <w:r w:rsidRPr="00FF139E">
        <w:t>aware systems whose schemas were designed for administration or data management rather than process reconstruction</w:t>
      </w:r>
      <w:r w:rsidR="00881853" w:rsidRPr="00FF139E">
        <w:t xml:space="preserve"> </w:t>
      </w:r>
      <w:r w:rsidR="00881853" w:rsidRPr="00FF139E">
        <w:fldChar w:fldCharType="begin"/>
      </w:r>
      <w:r w:rsidR="00881853" w:rsidRPr="00FF139E">
        <w:instrText xml:space="preserve"> ADDIN ZOTERO_ITEM CSL_CITATION {"citationID":"xyfYIRgh","properties":{"unsorted":false,"formattedCitation":"(P\\uc0\\u233{}rez-Castillo {\\i{}et al.}, 2011; Martinez and Nik-Bakht, 2024)","plainCitation":"(Pérez-Castillo et al., 2011; Martinez and Nik-Bakht, 2024)","noteIndex":0},"citationItems":[{"id":2112,"uris":["http://zotero.org/users/17427852/items/FKB6CEEM"],"itemData":{"id":2112,"type":"article-journal","citation-key":"perez-castilloGeneratingEventLogs2011","container-title":"Enterprise Information Systems","DOI":"10.1080/17517575.2011.587545","ISSN":"1751-7575, 1751-7583","issue":"3","journalAbbreviation":"Enterprise Information Systems","language":"en","page":"301-335","source":"DOI.org (Crossref)","title":"Generating event logs from non-process-aware systems enabling business process mining","volume":"5","author":[{"family":"Pérez-Castillo","given":"Ricardo"},{"family":"Weber","given":"Barbara"},{"family":"Pinggera","given":"Jakob"},{"family":"Zugal","given":"Stefan"},{"family":"De Guzmán","given":"Ignacio García-Rodríguez"},{"family":"Piattini","given":"Mario"}],"issued":{"date-parts":[["2011",8]]}}},{"id":2119,"uris":["http://zotero.org/users/17427852/items/EUSLLJI9"],"itemData":{"id":2119,"type":"chapter","citation-key":"martinezEnablingProcessMining2024","container-title":"Proceedings of the Canadian Society for Civil Engineering Annual Conference 2023, Volume 3","DOI":"10.1007/978-3-031-62170-3_8","ISBN":"978-3-031-62169-7","language":"en","note":"collection-title: Lecture Notes in Civil Engineering","page":"103-117","publisher":"Springer Nature Switzerland","publisher-place":"Cham","source":"DOI.org (Crossref)","title":"Enabling Process Mining in the Construction Industry: An Event Log Schema for Change Management Process","title-short":"Enabling Process Mining in the Construction Industry","URL":"https://link.springer.com/10.1007/978-3-031-62170-3_8","volume":"497","editor":[{"family":"Desjardins","given":"Serge"},{"family":"Poitras","given":"Gérard J."},{"family":"Nik-Bakht","given":"Mazdak"}],"author":[{"family":"Martinez","given":"Araham"},{"family":"Nik-Bakht","given":"Mazdak"}],"accessed":{"date-parts":[["2026",6,9]]},"issued":{"date-parts":[["2024"]]}}}],"schema":"https://github.com/citation-style-language/schema/raw/master/csl-citation.json"} </w:instrText>
      </w:r>
      <w:r w:rsidR="00881853" w:rsidRPr="00FF139E">
        <w:fldChar w:fldCharType="separate"/>
      </w:r>
      <w:r w:rsidR="00881853" w:rsidRPr="00FF139E">
        <w:rPr>
          <w:szCs w:val="24"/>
          <w:lang w:val="en-US"/>
        </w:rPr>
        <w:t xml:space="preserve">(Pérez-Castillo </w:t>
      </w:r>
      <w:r w:rsidR="00881853" w:rsidRPr="00FF139E">
        <w:rPr>
          <w:i/>
          <w:iCs/>
          <w:szCs w:val="24"/>
          <w:lang w:val="en-US"/>
        </w:rPr>
        <w:t>et al.</w:t>
      </w:r>
      <w:r w:rsidR="00881853" w:rsidRPr="00FF139E">
        <w:rPr>
          <w:szCs w:val="24"/>
          <w:lang w:val="en-US"/>
        </w:rPr>
        <w:t>, 2011; Martinez and Nik-Bakht, 2024)</w:t>
      </w:r>
      <w:r w:rsidR="00881853" w:rsidRPr="00FF139E">
        <w:fldChar w:fldCharType="end"/>
      </w:r>
      <w:r w:rsidR="00881853" w:rsidRPr="00FF139E">
        <w:t xml:space="preserve">. </w:t>
      </w:r>
      <w:r w:rsidRPr="00FF139E">
        <w:t>Tacit knowledge further compounds this fragmentation because coordination practices and decision reasoning often remain with individual practitioners rather than being systematically captured and transferred.</w:t>
      </w:r>
    </w:p>
    <w:p w14:paraId="66CEFBCC" w14:textId="77777777" w:rsidR="00D35B8B" w:rsidRPr="00FF139E" w:rsidRDefault="00D35B8B" w:rsidP="00D35B8B">
      <w:pPr>
        <w:pStyle w:val="PaperBody"/>
        <w:spacing w:after="20"/>
      </w:pPr>
      <w:r w:rsidRPr="00FF139E">
        <w:t>The result is a recurring pattern in which the planned process is relatively explicit at the outset, while the knowledge of how work was actually sequenced, coordinated and changed becomes fragmented during execution. This condition motivates the Process Amnesia framing used in this paper.</w:t>
      </w:r>
    </w:p>
    <w:p w14:paraId="538A4DA4" w14:textId="128E8070" w:rsidR="009F2657" w:rsidRPr="00FF139E" w:rsidRDefault="00000000" w:rsidP="00B94216">
      <w:pPr>
        <w:pStyle w:val="Heading2"/>
        <w:jc w:val="both"/>
        <w:rPr>
          <w:color w:val="000000" w:themeColor="text1"/>
        </w:rPr>
      </w:pPr>
      <w:r w:rsidRPr="00FF139E">
        <w:rPr>
          <w:color w:val="000000" w:themeColor="text1"/>
        </w:rPr>
        <w:t xml:space="preserve">2.3 </w:t>
      </w:r>
      <w:r w:rsidR="00DC2B77" w:rsidRPr="00FF139E">
        <w:rPr>
          <w:color w:val="000000" w:themeColor="text1"/>
        </w:rPr>
        <w:t>Approaches to process capture</w:t>
      </w:r>
    </w:p>
    <w:p w14:paraId="71DA7399" w14:textId="05AB7E79" w:rsidR="00D35B8B" w:rsidRPr="00FF139E" w:rsidRDefault="00DC2B77" w:rsidP="00D35B8B">
      <w:pPr>
        <w:pStyle w:val="PaperBody"/>
        <w:spacing w:after="20"/>
      </w:pPr>
      <w:r w:rsidRPr="00FF139E">
        <w:t xml:space="preserve">Process capture combines expert modelling with methods that analyse recorded activity. </w:t>
      </w:r>
      <w:r w:rsidR="00D35B8B" w:rsidRPr="00FF139E">
        <w:t>Traditional process modelling relies on workshops, interviews and expert knowledge to describe how work is expected to occur. These methods produce understandable models but can be time</w:t>
      </w:r>
      <w:r w:rsidR="00B87BF3" w:rsidRPr="00FF139E">
        <w:t>-</w:t>
      </w:r>
      <w:r w:rsidR="00D35B8B" w:rsidRPr="00FF139E">
        <w:t>consuming and may reflect prescribed rather than actual practice</w:t>
      </w:r>
      <w:r w:rsidR="00B87BF3" w:rsidRPr="00FF139E">
        <w:fldChar w:fldCharType="begin"/>
      </w:r>
      <w:r w:rsidR="00B87BF3" w:rsidRPr="00FF139E">
        <w:instrText xml:space="preserve"> ADDIN ZOTERO_ITEM CSL_CITATION {"citationID":"vpzEN1BF","properties":{"unsorted":false,"formattedCitation":"(Van Der Aalst, 2018)","plainCitation":"(Van Der Aalst, 2018)","noteIndex":0},"citationItems":[{"id":2093,"uris":["http://zotero.org/users/17427852/items/U7NX427C"],"itemData":{"id":2093,"type":"article-journal","abstract":"Event data are collected in logistics, manufacturing, ﬁnance, healthcare, customer relationship management, e-learning, e-government, and many other domains. The events found in these domains typically refer to activities executed by resources at particular times and for a particular case (i.e., process instances). Process mining techniques are able to exploit such data. In this article, we focus on process discovery. However, process mining also includes conformance checking, performance analysis, decision mining, organizational mining, predictions, recommendations, etc. These techniques help to diagnose problems and improve processes. All process mining techniques involve both event data and process models. Therefore, a typical ﬁrst step is to automatically learn a control-ﬂow model from the event data. This is very challenging, but in recent years many powerful discovery techniques have been developed. It is not easy to compare these techniques since they use diﬀerent representations and make diﬀerent assumptions. Users often need to resort to trying diﬀerent algorithms in an ad-hoc manner. Developers of new techniques are often trying to solve speciﬁc instances of a more general problem. Therefore, we aim to unify existing approaches by focusing on log and model abstractions. These abstractions link observed and modeled behavior: Concrete behaviors recorded in event logs are related to possible behaviors represented by process models. Hence, such behavioral abstractions provide an “interface” between both. We discuss four discovery approaches involving three abstractions and diﬀerent types of process models (Petri nets, block-structured models, and declarative models). The goal is to provide a comprehensive understanding of process discovery and show how to develop new techniques. Examples illustrate the diﬀerent approaches and pointers to software are given. The discussion on abstractions and process representations is also used to reﬂect on the gap between process mining literature and commercial process mining tools. This facilitates users to select an appropriate process discovery technique. Moreover, structuring the role of internal abstractions and representations helps to broaden the view and facilitates the creation of new discovery approaches.","citation-key":"vanderaalstProcessDiscoveryEvent2018","container-title":"WIREs Data Mining and Knowledge Discovery","DOI":"10.1002/widm.1244","ISSN":"1942-4787, 1942-4795","issue":"3","journalAbbreviation":"WIREs Data Min &amp; Knowl","language":"en","license":"http://onlinelibrary.wiley.com/termsAndConditions#vor","page":"e1244","source":"DOI.org (Crossref)","title":"Process discovery from event data: Relating models and logs through abstractions","title-short":"Process discovery from event data","volume":"8","author":[{"family":"Van Der Aalst","given":"Wil M.P."}],"issued":{"date-parts":[["2018",5]]}}}],"schema":"https://github.com/citation-style-language/schema/raw/master/csl-citation.json"} </w:instrText>
      </w:r>
      <w:r w:rsidR="00B87BF3" w:rsidRPr="00FF139E">
        <w:fldChar w:fldCharType="separate"/>
      </w:r>
      <w:r w:rsidR="00B87BF3" w:rsidRPr="00FF139E">
        <w:rPr>
          <w:noProof/>
        </w:rPr>
        <w:t>(Van Der Aalst, 2018)</w:t>
      </w:r>
      <w:r w:rsidR="00B87BF3" w:rsidRPr="00FF139E">
        <w:fldChar w:fldCharType="end"/>
      </w:r>
      <w:r w:rsidR="00B87BF3" w:rsidRPr="00FF139E">
        <w:t>.</w:t>
      </w:r>
      <w:r w:rsidR="00D35B8B" w:rsidRPr="00FF139E">
        <w:t xml:space="preserve"> Process mining introduced a complementary bottom</w:t>
      </w:r>
      <w:r w:rsidR="00B87BF3" w:rsidRPr="00FF139E">
        <w:t>-</w:t>
      </w:r>
      <w:r w:rsidR="00D35B8B" w:rsidRPr="00FF139E">
        <w:t>up approach by discovering process behaviour from event logs generated during execution.</w:t>
      </w:r>
    </w:p>
    <w:p w14:paraId="6491B562" w14:textId="18B4F8DB" w:rsidR="00D35B8B" w:rsidRPr="00FF139E" w:rsidRDefault="00DC2B77" w:rsidP="00D35B8B">
      <w:pPr>
        <w:pStyle w:val="PaperBody"/>
        <w:spacing w:after="20"/>
        <w:rPr>
          <w:color w:val="000000" w:themeColor="text1"/>
        </w:rPr>
      </w:pPr>
      <w:r w:rsidRPr="00FF139E">
        <w:rPr>
          <w:color w:val="000000" w:themeColor="text1"/>
        </w:rPr>
        <w:t xml:space="preserve">Process mining depends </w:t>
      </w:r>
      <w:r w:rsidR="00D35B8B" w:rsidRPr="00FF139E">
        <w:rPr>
          <w:color w:val="000000" w:themeColor="text1"/>
        </w:rPr>
        <w:t>on the availability and quality of those event logs</w:t>
      </w:r>
      <w:r w:rsidR="009D6AA3" w:rsidRPr="00FF139E">
        <w:rPr>
          <w:color w:val="000000" w:themeColor="text1"/>
        </w:rPr>
        <w:t xml:space="preserve"> </w:t>
      </w:r>
      <w:r w:rsidR="009D6AA3" w:rsidRPr="00FF139E">
        <w:rPr>
          <w:color w:val="000000" w:themeColor="text1"/>
        </w:rPr>
        <w:fldChar w:fldCharType="begin"/>
      </w:r>
      <w:r w:rsidR="009D6AA3" w:rsidRPr="00FF139E">
        <w:rPr>
          <w:color w:val="000000" w:themeColor="text1"/>
        </w:rPr>
        <w:instrText xml:space="preserve"> ADDIN ZOTERO_ITEM CSL_CITATION {"citationID":"TmH3ScC4","properties":{"unsorted":false,"formattedCitation":"(Chen {\\i{}et al.}, 2019)","plainCitation":"(Chen et al., 2019)","noteIndex":0},"citationItems":[{"id":2109,"uris":["http://zotero.org/users/17427852/items/87RQFB7U"],"itemData":{"id":2109,"type":"paper-conference","abstract":"Process mining is an emerging tool kit to discover, analyze, and improve workflows. In the construction industry, projects can be large and unique in terms of costs and durations. In such projects, commercial software that support analyses and decision making may be helpful. Process mining software allow construction companies to quickly discover benchmark workflows, conduct conformance checking, and analyze root causes. However, engineers who initially format the event logs, and users who use the event logs for analyses may not share the same knowledge or values. Due to the lack of understanding, knowledge, or experience in these respective domains, companies may not have documented the event logs in the most practical way. With the poorly structured event logs, the software may not be able to provide the most accurate analyses. Therefore, there is a need to pre-process event logs so as to improve their quality. This paper examines a case study on Engineering Change Request (ECR) in the construction industry to explain the importance of pre-processing the event logs before importing them into the commercial process mining software. For large complex projects, the improved quality of event logs will reduce confusion between engineers and analyzers and improve the accuracy of the analysis results produced by the process mining software.","citation-key":"chenImprovingQualityEvent2019","DOI":"10.22260/ISARC2019/0108","event-title":"36th International Symposium on Automation and Robotics in Construction","language":"en","publisher-place":"Banff, AB, Canada","source":"DOI.org (Crossref)","title":"Improving the Quality of Event Logs in the Construction Industry for Process Mining","URL":"http://www.iaarc.org/publications/2019_proceedings_of_the_36th_isarc/improving_the_quality_of_event_logs_in_the_construction_industry_for_process_mining.html","author":[{"family":"Chen","given":"Liyuan"},{"family":"Kang","given":"Seokyoung"},{"family":"Karimidorabati","given":"Shahin"},{"family":"Haas","given":"Carl"}],"accessed":{"date-parts":[["2026",6,10]]},"issued":{"date-parts":[["2019",5,24]]}}}],"schema":"https://github.com/citation-style-language/schema/raw/master/csl-citation.json"} </w:instrText>
      </w:r>
      <w:r w:rsidR="009D6AA3" w:rsidRPr="00FF139E">
        <w:rPr>
          <w:color w:val="000000" w:themeColor="text1"/>
        </w:rPr>
        <w:fldChar w:fldCharType="separate"/>
      </w:r>
      <w:r w:rsidR="009D6AA3" w:rsidRPr="00FF139E">
        <w:rPr>
          <w:color w:val="000000"/>
          <w:szCs w:val="24"/>
          <w:lang w:val="en-US"/>
        </w:rPr>
        <w:t xml:space="preserve">(Chen </w:t>
      </w:r>
      <w:r w:rsidR="009D6AA3" w:rsidRPr="00FF139E">
        <w:rPr>
          <w:i/>
          <w:iCs/>
          <w:color w:val="000000"/>
          <w:szCs w:val="24"/>
          <w:lang w:val="en-US"/>
        </w:rPr>
        <w:t>et al.</w:t>
      </w:r>
      <w:r w:rsidR="009D6AA3" w:rsidRPr="00FF139E">
        <w:rPr>
          <w:color w:val="000000"/>
          <w:szCs w:val="24"/>
          <w:lang w:val="en-US"/>
        </w:rPr>
        <w:t>, 2019)</w:t>
      </w:r>
      <w:r w:rsidR="009D6AA3" w:rsidRPr="00FF139E">
        <w:rPr>
          <w:color w:val="000000" w:themeColor="text1"/>
        </w:rPr>
        <w:fldChar w:fldCharType="end"/>
      </w:r>
      <w:r w:rsidR="00D35B8B" w:rsidRPr="00FF139E">
        <w:rPr>
          <w:color w:val="000000" w:themeColor="text1"/>
        </w:rPr>
        <w:t>. Conventional approaches require identifiable process instances, activities and timing information, while construction records are often distributed across non</w:t>
      </w:r>
      <w:r w:rsidR="00B87BF3" w:rsidRPr="00FF139E">
        <w:rPr>
          <w:color w:val="000000" w:themeColor="text1"/>
        </w:rPr>
        <w:t>-process-</w:t>
      </w:r>
      <w:r w:rsidR="00D35B8B" w:rsidRPr="00FF139E">
        <w:rPr>
          <w:color w:val="000000" w:themeColor="text1"/>
        </w:rPr>
        <w:t xml:space="preserve">aware systems and lack explicit process semantics </w:t>
      </w:r>
      <w:r w:rsidR="009D6AA3" w:rsidRPr="00FF139E">
        <w:rPr>
          <w:color w:val="000000" w:themeColor="text1"/>
        </w:rPr>
        <w:fldChar w:fldCharType="begin"/>
      </w:r>
      <w:r w:rsidR="009D6AA3" w:rsidRPr="00FF139E">
        <w:rPr>
          <w:color w:val="000000" w:themeColor="text1"/>
        </w:rPr>
        <w:instrText xml:space="preserve"> ADDIN ZOTERO_ITEM CSL_CITATION {"citationID":"OjROyQei","properties":{"unsorted":false,"formattedCitation":"(Chen {\\i{}et al.}, 2019; Martinez and Nik-Bakht, 2024)","plainCitation":"(Chen et al., 2019; Martinez and Nik-Bakht, 2024)","noteIndex":0},"citationItems":[{"id":2109,"uris":["http://zotero.org/users/17427852/items/87RQFB7U"],"itemData":{"id":2109,"type":"paper-conference","abstract":"Process mining is an emerging tool kit to discover, analyze, and improve workflows. In the construction industry, projects can be large and unique in terms of costs and durations. In such projects, commercial software that support analyses and decision making may be helpful. Process mining software allow construction companies to quickly discover benchmark workflows, conduct conformance checking, and analyze root causes. However, engineers who initially format the event logs, and users who use the event logs for analyses may not share the same knowledge or values. Due to the lack of understanding, knowledge, or experience in these respective domains, companies may not have documented the event logs in the most practical way. With the poorly structured event logs, the software may not be able to provide the most accurate analyses. Therefore, there is a need to pre-process event logs so as to improve their quality. This paper examines a case study on Engineering Change Request (ECR) in the construction industry to explain the importance of pre-processing the event logs before importing them into the commercial process mining software. For large complex projects, the improved quality of event logs will reduce confusion between engineers and analyzers and improve the accuracy of the analysis results produced by the process mining software.","citation-key":"chenImprovingQualityEvent2019","DOI":"10.22260/ISARC2019/0108","event-title":"36th International Symposium on Automation and Robotics in Construction","language":"en","publisher-place":"Banff, AB, Canada","source":"DOI.org (Crossref)","title":"Improving the Quality of Event Logs in the Construction Industry for Process Mining","URL":"http://www.iaarc.org/publications/2019_proceedings_of_the_36th_isarc/improving_the_quality_of_event_logs_in_the_construction_industry_for_process_mining.html","author":[{"family":"Chen","given":"Liyuan"},{"family":"Kang","given":"Seokyoung"},{"family":"Karimidorabati","given":"Shahin"},{"family":"Haas","given":"Carl"}],"accessed":{"date-parts":[["2026",6,10]]},"issued":{"date-parts":[["2019",5,24]]}}},{"id":2119,"uris":["http://zotero.org/users/17427852/items/EUSLLJI9"],"itemData":{"id":2119,"type":"chapter","citation-key":"martinezEnablingProcessMining2024","container-title":"Proceedings of the Canadian Society for Civil Engineering Annual Conference 2023, Volume 3","DOI":"10.1007/978-3-031-62170-3_8","ISBN":"978-3-031-62169-7","language":"en","note":"collection-title: Lecture Notes in Civil Engineering","page":"103-117","publisher":"Springer Nature Switzerland","publisher-place":"Cham","source":"DOI.org (Crossref)","title":"Enabling Process Mining in the Construction Industry: An Event Log Schema for Change Management Process","title-short":"Enabling Process Mining in the Construction Industry","URL":"https://link.springer.com/10.1007/978-3-031-62170-3_8","volume":"497","editor":[{"family":"Desjardins","given":"Serge"},{"family":"Poitras","given":"Gérard J."},{"family":"Nik-Bakht","given":"Mazdak"}],"author":[{"family":"Martinez","given":"Araham"},{"family":"Nik-Bakht","given":"Mazdak"}],"accessed":{"date-parts":[["2026",6,9]]},"issued":{"date-parts":[["2024"]]}}}],"schema":"https://github.com/citation-style-language/schema/raw/master/csl-citation.json"} </w:instrText>
      </w:r>
      <w:r w:rsidR="009D6AA3" w:rsidRPr="00FF139E">
        <w:rPr>
          <w:color w:val="000000" w:themeColor="text1"/>
        </w:rPr>
        <w:fldChar w:fldCharType="separate"/>
      </w:r>
      <w:r w:rsidR="009D6AA3" w:rsidRPr="00FF139E">
        <w:rPr>
          <w:color w:val="000000"/>
          <w:szCs w:val="24"/>
          <w:lang w:val="en-US"/>
        </w:rPr>
        <w:t xml:space="preserve">(Chen </w:t>
      </w:r>
      <w:r w:rsidR="009D6AA3" w:rsidRPr="00FF139E">
        <w:rPr>
          <w:i/>
          <w:iCs/>
          <w:color w:val="000000"/>
          <w:szCs w:val="24"/>
          <w:lang w:val="en-US"/>
        </w:rPr>
        <w:t>et al.</w:t>
      </w:r>
      <w:r w:rsidR="009D6AA3" w:rsidRPr="00FF139E">
        <w:rPr>
          <w:color w:val="000000"/>
          <w:szCs w:val="24"/>
          <w:lang w:val="en-US"/>
        </w:rPr>
        <w:t>, 2019; Martinez and Nik-Bakht, 2024)</w:t>
      </w:r>
      <w:r w:rsidR="009D6AA3" w:rsidRPr="00FF139E">
        <w:rPr>
          <w:color w:val="000000" w:themeColor="text1"/>
        </w:rPr>
        <w:fldChar w:fldCharType="end"/>
      </w:r>
      <w:r w:rsidR="00D35B8B" w:rsidRPr="00FF139E">
        <w:rPr>
          <w:color w:val="000000" w:themeColor="text1"/>
        </w:rPr>
        <w:t xml:space="preserve">. Generating suitable event logs can therefore require substantial data integration and transformation before process discovery can begin. </w:t>
      </w:r>
    </w:p>
    <w:p w14:paraId="0AA3AF0F" w14:textId="6E8054C1" w:rsidR="00DC2B77" w:rsidRPr="00FF139E" w:rsidRDefault="00DC2B77" w:rsidP="00DC2B77">
      <w:pPr>
        <w:pStyle w:val="PaperBody"/>
        <w:spacing w:after="20"/>
        <w:rPr>
          <w:color w:val="000000" w:themeColor="text1"/>
        </w:rPr>
      </w:pPr>
      <w:r w:rsidRPr="00FF139E">
        <w:rPr>
          <w:color w:val="000000" w:themeColor="text1"/>
        </w:rPr>
        <w:t>Machine learning can support predictive monitoring</w:t>
      </w:r>
      <w:r w:rsidR="00B87BF3" w:rsidRPr="00FF139E">
        <w:rPr>
          <w:color w:val="000000" w:themeColor="text1"/>
        </w:rPr>
        <w:t xml:space="preserve"> </w:t>
      </w:r>
      <w:r w:rsidR="00B87BF3" w:rsidRPr="00FF139E">
        <w:rPr>
          <w:color w:val="000000" w:themeColor="text1"/>
        </w:rPr>
        <w:fldChar w:fldCharType="begin"/>
      </w:r>
      <w:r w:rsidR="00B87BF3" w:rsidRPr="00FF139E">
        <w:rPr>
          <w:color w:val="000000" w:themeColor="text1"/>
        </w:rPr>
        <w:instrText xml:space="preserve"> ADDIN ZOTERO_ITEM CSL_CITATION {"citationID":"uGR4F1A5","properties":{"unsorted":false,"formattedCitation":"(Harl {\\i{}et al.}, 2020)","plainCitation":"(Harl et al., 2020)","noteIndex":0},"citationItems":[{"id":532,"uris":["http://zotero.org/users/17427852/items/LEX8BLNC"],"itemData":{"id":532,"type":"article-journal","abstract":"Predictive business process monitoring (PBPM) is a class of techniques designed to forecast future behaviour of a running process instance or the value of process-related metrics like times and frequencies. PBPM systems support process workers and process managers in making operational decisions. State-of-the-art PBPM systems apply deep-learning techniques with multiple hidden layers to infer from data which makes it difficult for system users to understand why a prediction was made. However, the user needs to see deeper causes to identify intervention mechanisms that secure process performance. The main contribution of this paper is a technique that makes a prediction more explainable by visualising how much the different activities included in a process impacted the prediction. This work is the first to use gated graph neural networks (GGNNs) to make decisions more explainable, and it’s also GGNN’s first application to PBPM. We use a process event data set to demonstrate our approach.","citation-key":"harlExplainablePredictiveBusiness2020","container-title":"Journal of Decision Systems","DOI":"10.1080/12460125.2020.1780780","ISSN":"1246-0125, 2116-7052","issue":"sup1","journalAbbreviation":"Journal of Decision Systems","language":"en","page":"312-327","source":"DOI.org (Crossref)","title":"Explainable predictive business process monitoring using gated graph neural networks","volume":"29","author":[{"family":"Harl","given":"Maximilian"},{"family":"Weinzierl","given":"Sven"},{"family":"Stierle","given":"Mathias"},{"family":"Matzner","given":"Martin"}],"issued":{"date-parts":[["2020",8,18]]}}}],"schema":"https://github.com/citation-style-language/schema/raw/master/csl-citation.json"} </w:instrText>
      </w:r>
      <w:r w:rsidR="00B87BF3" w:rsidRPr="00FF139E">
        <w:rPr>
          <w:color w:val="000000" w:themeColor="text1"/>
        </w:rPr>
        <w:fldChar w:fldCharType="separate"/>
      </w:r>
      <w:r w:rsidR="00B87BF3" w:rsidRPr="00FF139E">
        <w:rPr>
          <w:color w:val="000000"/>
          <w:szCs w:val="24"/>
          <w:lang w:val="en-US"/>
        </w:rPr>
        <w:t xml:space="preserve">(Harl </w:t>
      </w:r>
      <w:r w:rsidR="00B87BF3" w:rsidRPr="00FF139E">
        <w:rPr>
          <w:i/>
          <w:iCs/>
          <w:color w:val="000000"/>
          <w:szCs w:val="24"/>
          <w:lang w:val="en-US"/>
        </w:rPr>
        <w:t>et al.</w:t>
      </w:r>
      <w:r w:rsidR="00B87BF3" w:rsidRPr="00FF139E">
        <w:rPr>
          <w:color w:val="000000"/>
          <w:szCs w:val="24"/>
          <w:lang w:val="en-US"/>
        </w:rPr>
        <w:t>, 2020)</w:t>
      </w:r>
      <w:r w:rsidR="00B87BF3" w:rsidRPr="00FF139E">
        <w:rPr>
          <w:color w:val="000000" w:themeColor="text1"/>
        </w:rPr>
        <w:fldChar w:fldCharType="end"/>
      </w:r>
      <w:r w:rsidR="00B87BF3" w:rsidRPr="00FF139E">
        <w:rPr>
          <w:color w:val="000000" w:themeColor="text1"/>
        </w:rPr>
        <w:t xml:space="preserve">, </w:t>
      </w:r>
      <w:r w:rsidRPr="00FF139E">
        <w:rPr>
          <w:color w:val="000000" w:themeColor="text1"/>
        </w:rPr>
        <w:t>while language models can assist process modelling from textual descriptions</w:t>
      </w:r>
      <w:r w:rsidR="00B87BF3" w:rsidRPr="00FF139E">
        <w:rPr>
          <w:color w:val="000000" w:themeColor="text1"/>
        </w:rPr>
        <w:t xml:space="preserve"> </w:t>
      </w:r>
      <w:r w:rsidR="00B87BF3" w:rsidRPr="00FF139E">
        <w:rPr>
          <w:color w:val="000000" w:themeColor="text1"/>
        </w:rPr>
        <w:fldChar w:fldCharType="begin"/>
      </w:r>
      <w:r w:rsidR="00B87BF3" w:rsidRPr="00FF139E">
        <w:rPr>
          <w:color w:val="000000" w:themeColor="text1"/>
        </w:rPr>
        <w:instrText xml:space="preserve"> ADDIN ZOTERO_ITEM CSL_CITATION {"citationID":"MGYedVdp","properties":{"unsorted":false,"formattedCitation":"(Kourani {\\i{}et al.}, 2024)","plainCitation":"(Kourani et al., 2024)","noteIndex":0},"citationItems":[{"id":633,"uris":["http://zotero.org/users/17427852/items/2FKCW5IR"],"itemData":{"id":633,"type":"paper-conference","abstract":"In the realm of Business Process Management (BPM), process modeling plays a crucial role in translating complex process dynamics into comprehensible visual representations, facilitating the understanding, analysis, improvement, and automation of organizational processes. Traditional process modeling methods often require extensive expertise and can be time-consuming. This paper explores the integration of Large Language Models (LLMs) into process modeling to enhance the accessibility of process modeling, offering a more intuitive entry point for non-experts while augmenting the efficiency of experts. We propose a framework that leverages LLMs for the automated generation and iterative refinement of process models starting from textual descriptions. Our framework involves innovative prompting strategies for effective LLM utilization, along with a secure model generation protocol and an errorhandling mechanism. Moreover, we instantiate a concrete system extending our framework. This system provides robust quality guarantees on the models generated and supports exporting them in standard modeling notations, such as the Business Process Modeling Notation (BPMN) and Petri nets. Preliminary results demonstrate the framework’s ability to streamline process modeling tasks, underscoring the transformative potential of generative AI in the BPM field.","citation-key":"kouraniProcessModelingLarge2024","container-title":"Enterprise, Business-Process and Information Systems Modeling","DOI":"10.1007/978-3-031-61007-3_18","event-title":"25th International Conference, BPMDS 2024, and 29th International Conference, EMMSAD 2024, Limassol, Cyprus, June 3–4, 2024","language":"en","note":"arXiv:2403.07541 [cs]","page":"229-244","source":"arXiv.org","title":"Process Modeling With Large Language Models","URL":"http://arxiv.org/abs/2403.07541","volume":"511","author":[{"family":"Kourani","given":"Humam"},{"family":"Berti","given":"Alessandro"},{"family":"Schuster","given":"Daniel"},{"family":"Aalst","given":"Wil M. P.","dropping-particle":"van der"}],"accessed":{"date-parts":[["2025",8,8]]},"issued":{"date-parts":[["2024"]]}}}],"schema":"https://github.com/citation-style-language/schema/raw/master/csl-citation.json"} </w:instrText>
      </w:r>
      <w:r w:rsidR="00B87BF3" w:rsidRPr="00FF139E">
        <w:rPr>
          <w:color w:val="000000" w:themeColor="text1"/>
        </w:rPr>
        <w:fldChar w:fldCharType="separate"/>
      </w:r>
      <w:r w:rsidR="00B87BF3" w:rsidRPr="00FF139E">
        <w:rPr>
          <w:color w:val="000000"/>
          <w:szCs w:val="24"/>
          <w:lang w:val="en-US"/>
        </w:rPr>
        <w:t xml:space="preserve">(Kourani </w:t>
      </w:r>
      <w:r w:rsidR="00B87BF3" w:rsidRPr="00FF139E">
        <w:rPr>
          <w:i/>
          <w:iCs/>
          <w:color w:val="000000"/>
          <w:szCs w:val="24"/>
          <w:lang w:val="en-US"/>
        </w:rPr>
        <w:t>et al.</w:t>
      </w:r>
      <w:r w:rsidR="00B87BF3" w:rsidRPr="00FF139E">
        <w:rPr>
          <w:color w:val="000000"/>
          <w:szCs w:val="24"/>
          <w:lang w:val="en-US"/>
        </w:rPr>
        <w:t>, 2024)</w:t>
      </w:r>
      <w:r w:rsidR="00B87BF3" w:rsidRPr="00FF139E">
        <w:rPr>
          <w:color w:val="000000" w:themeColor="text1"/>
        </w:rPr>
        <w:fldChar w:fldCharType="end"/>
      </w:r>
      <w:r w:rsidR="00B87BF3" w:rsidRPr="00FF139E">
        <w:rPr>
          <w:color w:val="000000" w:themeColor="text1"/>
        </w:rPr>
        <w:t xml:space="preserve">. </w:t>
      </w:r>
      <w:r w:rsidRPr="00FF139E">
        <w:rPr>
          <w:color w:val="000000" w:themeColor="text1"/>
        </w:rPr>
        <w:t xml:space="preserve">Their use for </w:t>
      </w:r>
      <w:r w:rsidRPr="00FF139E">
        <w:rPr>
          <w:color w:val="000000" w:themeColor="text1"/>
        </w:rPr>
        <w:lastRenderedPageBreak/>
        <w:t>workflow recovery requires a clear link between each output and the records that support it. The proposed framework combines automated extraction with explicit evidence, formal constraints and practitioner review.</w:t>
      </w:r>
    </w:p>
    <w:p w14:paraId="27E95A25" w14:textId="77777777" w:rsidR="009F2657" w:rsidRPr="00FF139E" w:rsidRDefault="00000000" w:rsidP="00B94216">
      <w:pPr>
        <w:pStyle w:val="Heading2"/>
        <w:jc w:val="both"/>
      </w:pPr>
      <w:r w:rsidRPr="00FF139E">
        <w:t>2.4 Text mining and workflow extraction in construction</w:t>
      </w:r>
    </w:p>
    <w:p w14:paraId="1B53C814" w14:textId="19F8CCC7" w:rsidR="00D35B8B" w:rsidRPr="00FF139E" w:rsidRDefault="00D35B8B" w:rsidP="00D35B8B">
      <w:pPr>
        <w:pStyle w:val="PaperBody"/>
        <w:spacing w:after="20"/>
      </w:pPr>
      <w:r w:rsidRPr="00FF139E">
        <w:t>Text mining converts unstructured text into structured information through techniques such as preprocessing, entity extraction, classification and clustering. In technical domains, these methods must account for abbreviations, local terminology and incomplete language. Technical Language Processing adapts general language processing methods to these characteristics</w:t>
      </w:r>
      <w:r w:rsidR="00306D61" w:rsidRPr="00FF139E">
        <w:fldChar w:fldCharType="begin"/>
      </w:r>
      <w:r w:rsidR="00306D61" w:rsidRPr="00FF139E">
        <w:instrText xml:space="preserve"> ADDIN ZOTERO_ITEM CSL_CITATION {"citationID":"gfUNVmHU","properties":{"unsorted":false,"formattedCitation":"(Brundage {\\i{}et al.}, 2021; Sundaram and Zeid, 2024)","plainCitation":"(Brundage et al., 2021; Sundaram and Zeid, 2024)","noteIndex":0},"citationItems":[{"id":2122,"uris":["http://zotero.org/users/17427852/items/7WDYJVDT"],"itemData":{"id":2122,"type":"article-journal","abstract":"Out-of-the-box natural-language processing (NLP) pipelines need re-imagining to understand and meet the requirements of engineering data. Text-based documents account for a signiﬁcant portion of data collected during the life cycle of asset management and the valuable information these documents contain is underutilized in analysis. Meanwhile, researchers historically design NLP pipelines with non-technical language in mind. This means industrial implementations are built on tools intended for non-technical use cases, suffering from a lack of veriﬁcation, validation, and ultimately, personnel trust. To mitigate these sources of risk, we encourage a holistic, domain-driven approach to using NLP in a technical engineering setting, a paradigm we refer to as Technical Language Processing (TLP). Toward this end, the industrial asset management community must collectively redouble efforts toward production of and consensus around key domain-speciﬁc resources, including: (1) goal-driven data representations, (2) ﬂexible entity type deﬁnitions and dictionaries, and (3) improved access to data-sets – raw and annotated. This collective action allows the maintenance community to follow in the path of other scientiﬁc communities, e.g., medicine, to develop and utilize these public resources to make TLP a key contributor to Industry 4.0.","citation-key":"brundageTechnicalLanguageProcessing2021","container-title":"Manufacturing Letters","DOI":"10.1016/j.mfglet.2020.11.001","ISSN":"22138463","journalAbbreviation":"Manufacturing Letters","language":"en","page":"42-46","source":"DOI.org (Crossref)","title":"Technical language processing: Unlocking maintenance knowledge","title-short":"Technical language processing","volume":"27","author":[{"family":"Brundage","given":"Michael P."},{"family":"Sexton","given":"Thurston"},{"family":"Hodkiewicz","given":"Melinda"},{"family":"Dima","given":"Alden"},{"family":"Lukens","given":"Sarah"}],"issued":{"date-parts":[["2021",1]]}}},{"id":2126,"uris":["http://zotero.org/users/17427852/items/HARLMDDD"],"itemData":{"id":2126,"type":"article-journal","abstract":"Modern manufacturing paradigms have incorporated Prognostics and Health Management (PHM) to implement data-driven methods for fault detection, failure prediction, and assessment of system health. The maintenance operation has similarly beneﬁtted from these advancements, and predictive maintenance is now being used across the industry. Despite these developments, most of the approaches in maintenance rely on numerical data from sensors and ﬁeld devices for any sort of analysis. Text data from Maintenance Work Orders (MWOs) contain some of the most crucial information pertaining to the functioning of systems and components, but are still regarded as ‘black holes’, i.e., they store valuable data without being used in decision-making. The analysis of this data can help save time and costs in maintenance. While Natural Language Processing (NLP) methods have been very successful in understanding and examining text data from non-technical sources, progress in the analysis of technical text data has been limited. Non-technical text data are usually structured and consist of standardized vocabularies allowing the use of out-of-the-box language processing methods in their analysis. On the other hand, records from MWOs are often semi-structured or unstructured; and consist of complicated terminologies, technical jargon, and industry-speciﬁc abbreviations. Deploying traditional NLP to such data can result in an imprecise and ﬂawed analysis which can be very costly. Owing to these challenges, we propose a Technical Language Processing (TLP) framework for PHM. To illustrate its capabilities, we use text data from MWOs of aircraft to address two scenarios. First, we predict corrective actions for new maintenance problems by comparing them with existing problems using syntactic and semantic textual similarity matching and evaluate the results with cosine similarity scores. In the second scenario, we identify and extract the most dominant topics and salient terms from the data using Latent Dirichlet Allocation (LDA). Using the results, we are able to successfully link maintenance problems to standardized maintenance codes used in the aviation industry.","citation-key":"sundaramTechnicalLanguageProcessing2025","container-title":"Journal of Intelligent Manufacturing","DOI":"10.1007/s10845-024-02323-4","ISSN":"0956-5515, 1572-8145","issue":"3","journalAbbreviation":"J Intell Manuf","language":"en","page":"1637-1657","source":"DOI.org (Crossref)","title":"Technical language processing for Prognostics and Health Management: applying text similarity and topic modeling to maintenance work orders","title-short":"Technical language processing for Prognostics and Health Management","volume":"36","author":[{"family":"Sundaram","given":"Sarvesh"},{"family":"Zeid","given":"Abe"}],"issued":{"date-parts":[["2024"]]}}}],"schema":"https://github.com/citation-style-language/schema/raw/master/csl-citation.json"} </w:instrText>
      </w:r>
      <w:r w:rsidR="00306D61" w:rsidRPr="00FF139E">
        <w:fldChar w:fldCharType="separate"/>
      </w:r>
      <w:r w:rsidR="00306D61" w:rsidRPr="00FF139E">
        <w:rPr>
          <w:szCs w:val="24"/>
          <w:lang w:val="en-US"/>
        </w:rPr>
        <w:t xml:space="preserve">(Brundage </w:t>
      </w:r>
      <w:r w:rsidR="00306D61" w:rsidRPr="00FF139E">
        <w:rPr>
          <w:i/>
          <w:iCs/>
          <w:szCs w:val="24"/>
          <w:lang w:val="en-US"/>
        </w:rPr>
        <w:t>et al.</w:t>
      </w:r>
      <w:r w:rsidR="00306D61" w:rsidRPr="00FF139E">
        <w:rPr>
          <w:szCs w:val="24"/>
          <w:lang w:val="en-US"/>
        </w:rPr>
        <w:t>, 2021; Sundaram and Zeid, 2024)</w:t>
      </w:r>
      <w:r w:rsidR="00306D61" w:rsidRPr="00FF139E">
        <w:fldChar w:fldCharType="end"/>
      </w:r>
      <w:r w:rsidR="00306D61" w:rsidRPr="00FF139E">
        <w:t>.</w:t>
      </w:r>
    </w:p>
    <w:p w14:paraId="782F6F32" w14:textId="77FF1A5F" w:rsidR="00D35B8B" w:rsidRPr="00FF139E" w:rsidRDefault="00D35B8B" w:rsidP="00D35B8B">
      <w:pPr>
        <w:pStyle w:val="PaperBody"/>
        <w:spacing w:after="20"/>
      </w:pPr>
      <w:r w:rsidRPr="00FF139E">
        <w:t xml:space="preserve">Text mining is already established in </w:t>
      </w:r>
      <w:r w:rsidR="00DC2B77" w:rsidRPr="00FF139E">
        <w:t>construction</w:t>
      </w:r>
      <w:r w:rsidRPr="00FF139E">
        <w:t xml:space="preserve"> for extracting entities and classifying records across design, procurement, contracts, safety and maintenance</w:t>
      </w:r>
      <w:r w:rsidR="00306D61" w:rsidRPr="00FF139E">
        <w:t xml:space="preserve"> </w:t>
      </w:r>
      <w:r w:rsidR="00306D61" w:rsidRPr="00FF139E">
        <w:fldChar w:fldCharType="begin"/>
      </w:r>
      <w:r w:rsidR="00306D61" w:rsidRPr="00FF139E">
        <w:instrText xml:space="preserve"> ADDIN ZOTERO_ITEM CSL_CITATION {"citationID":"3o4K1JvS","properties":{"unsorted":false,"formattedCitation":"(Baek, Jung and Han, 2021; Sobhkhiz and El-Diraby, 2025)","plainCitation":"(Baek, Jung and Han, 2021; Sobhkhiz and El-Diraby, 2025)","noteIndex":0},"citationItems":[{"id":1915,"uris":["http://zotero.org/users/17427852/items/CXK322P4"],"itemData":{"id":1915,"type":"article-journal","abstract":"The advancement of natural language processing and text mining techniques facilitate automatic non-trivial pattern extraction and knowledge discovery from text data. However, text-based research has received less attention compared to image- and sensor-based research in the construction industry. Hence, this paper performs a comprehensive review to understand the current state and future insights of text analytics focusing on the data source and analysis method. This study identifies various kinds of text data sources from project documents as well as open data in the websites. In addition, the review finds that the ontology- and rule-based approach has been dominant, at the same time, recent research has attempted to apply the state-of-the-art machine learning methods. It is envisioned that there are potential advancements in construction engineering and management based on the latest text analysis methods along with the enriched data by the digital transformation.","citation-key":"baekCriticalReviewTextbased2021","container-title":"Automation in Construction","DOI":"10.1016/j.autcon.2021.103915","ISSN":"09265805","journalAbbreviation":"Automation in Construction","language":"en","page":"103915","source":"DOI.org (Crossref)","title":"A critical review of text-based research in construction: Data source, analysis method, and implications","title-short":"A critical review of text-based research in construction","volume":"132","author":[{"family":"Baek","given":"Seungwon"},{"family":"Jung","given":"Wooyong"},{"family":"Han","given":"Seung H."}],"issued":{"date-parts":[["2021",12]]}}},{"id":169,"uris":["http://zotero.org/users/17427852/items/4LMI6LVU"],"itemData":{"id":169,"type":"article-journal","abstract":"The operation and maintenance of buildings generate large volumes of unstructured textual data, such as inspection reports and service requests. These records contain valuable insights that can support fault detection, cost tracking, and resource planning. However, existing classification approaches often rely on static, expertdefined labels that fail to reflect the complexity of real-world maintenance operations. This paper introduces a hybrid framework that combines sentence embedding, clustering, topic modeling, and network modularization to uncover recurring patterns in maintenance text. The extracted patterns are then reviewed and refined by facility management experts to develop a multi-dimensional taxonomy model tailored to operational needs. The methodology is applied to a case study involving over 30,000 work orders. The results demonstrate how the proposed system captures fine-grained details such as system type, failure mode, and required trade expertise. A proof-of-concept software tool, developed in collaboration with facility managers, showcases the practical value of the taxonomy in enabling data-driven decision-making, such as identifying cost drivers and recurring issues. Additionally, the resulting taxonomy models serve as effective prompts for zero-shot text classification, enabling large language models to classify new maintenance records without requiring retraining or labeled data. This approach provides a scalable and adaptable foundation for text classification systems in asset management.","citation-key":"sobhkhizSemisupervisedFrameworkGenerating2025","container-title":"Engineering Applications of Artificial Intelligence","DOI":"10.1016/j.engappai.2025.112010","ISSN":"09521976","journalAbbreviation":"Engineering Applications of Artificial Intelligence","language":"en","page":"112010","source":"DOI.org (Crossref)","title":"A semi-supervised framework for generating multi-dimensional taxonomies from asset maintenance documents","volume":"161","author":[{"family":"Sobhkhiz","given":"Soroush"},{"family":"El-Diraby","given":"Tamer"}],"issued":{"date-parts":[["2025",12]]}}}],"schema":"https://github.com/citation-style-language/schema/raw/master/csl-citation.json"} </w:instrText>
      </w:r>
      <w:r w:rsidR="00306D61" w:rsidRPr="00FF139E">
        <w:fldChar w:fldCharType="separate"/>
      </w:r>
      <w:r w:rsidR="00306D61" w:rsidRPr="00FF139E">
        <w:rPr>
          <w:noProof/>
        </w:rPr>
        <w:t>(Baek, Jung and Han, 2021; Sobhkhiz and El-Diraby, 2025)</w:t>
      </w:r>
      <w:r w:rsidR="00306D61" w:rsidRPr="00FF139E">
        <w:fldChar w:fldCharType="end"/>
      </w:r>
      <w:r w:rsidR="00306D61" w:rsidRPr="00FF139E">
        <w:t xml:space="preserve">. </w:t>
      </w:r>
      <w:r w:rsidRPr="00FF139E">
        <w:t xml:space="preserve">This work demonstrates that individual construction records can be interpreted computationally. However, identifying what a record concerns does not by itself establish which records belong to the same process instance, what sequence occurred, or how activities depended on one another. This distinction is central to workflow recovery. </w:t>
      </w:r>
    </w:p>
    <w:p w14:paraId="313CBADD" w14:textId="73E1DC68" w:rsidR="000E0C40" w:rsidRPr="00FF139E" w:rsidRDefault="00DC2B77" w:rsidP="00DC2B77">
      <w:pPr>
        <w:pStyle w:val="PaperBody"/>
        <w:spacing w:after="20"/>
        <w:rPr>
          <w:color w:val="000000" w:themeColor="text1"/>
        </w:rPr>
      </w:pPr>
      <w:r w:rsidRPr="00FF139E">
        <w:rPr>
          <w:color w:val="000000" w:themeColor="text1"/>
        </w:rPr>
        <w:t xml:space="preserve">Related process mining research shows how structured records support workflow analysis. </w:t>
      </w:r>
      <w:r w:rsidR="000E0C40" w:rsidRPr="00FF139E">
        <w:rPr>
          <w:color w:val="000000" w:themeColor="text1"/>
        </w:rPr>
        <w:t xml:space="preserve">Martinez and Nik-Bakht (2024) transform relational change management records into structured event logs, while Pan and Zhang (2021) discover processes from BIM event logs. </w:t>
      </w:r>
      <w:r w:rsidRPr="00FF139E">
        <w:rPr>
          <w:color w:val="000000" w:themeColor="text1"/>
        </w:rPr>
        <w:t xml:space="preserve">Kang and Haas (2018) examine automated conformance checking, and </w:t>
      </w:r>
      <w:proofErr w:type="spellStart"/>
      <w:r w:rsidRPr="00FF139E">
        <w:rPr>
          <w:color w:val="000000" w:themeColor="text1"/>
        </w:rPr>
        <w:t>Khodabakhshian</w:t>
      </w:r>
      <w:proofErr w:type="spellEnd"/>
      <w:r w:rsidRPr="00FF139E">
        <w:rPr>
          <w:color w:val="000000" w:themeColor="text1"/>
        </w:rPr>
        <w:t xml:space="preserve"> and Re Cecconi (2022) use risk registers and change logs for risk analysis. Formal modelling also has precedents: </w:t>
      </w:r>
      <w:proofErr w:type="spellStart"/>
      <w:r w:rsidRPr="00FF139E">
        <w:rPr>
          <w:color w:val="000000" w:themeColor="text1"/>
        </w:rPr>
        <w:t>CoPModL</w:t>
      </w:r>
      <w:proofErr w:type="spellEnd"/>
      <w:r w:rsidRPr="00FF139E">
        <w:rPr>
          <w:color w:val="000000" w:themeColor="text1"/>
        </w:rPr>
        <w:t xml:space="preserve"> supports construction process modelling and satisfiability checking</w:t>
      </w:r>
      <w:r w:rsidR="00FE0356" w:rsidRPr="00FF139E">
        <w:rPr>
          <w:color w:val="000000" w:themeColor="text1"/>
        </w:rPr>
        <w:fldChar w:fldCharType="begin"/>
      </w:r>
      <w:r w:rsidR="00FE0356" w:rsidRPr="00FF139E">
        <w:rPr>
          <w:color w:val="000000" w:themeColor="text1"/>
        </w:rPr>
        <w:instrText xml:space="preserve"> ADDIN ZOTERO_ITEM CSL_CITATION {"citationID":"VruiWBfN","properties":{"unsorted":false,"formattedCitation":"(Marengo, Nutt and Perktold, 2022)","plainCitation":"(Marengo, Nutt and Perktold, 2022)","noteIndex":0},"citationItems":[{"id":2113,"uris":["http://zotero.org/users/17427852/items/UBJUHK9B"],"itemData":{"id":2113,"type":"article-journal","abstract":"Process modeling has been widely investigated in the literature and several general purpose approaches have been introduced, addressing a variety of domains. However, generality goes to the detriment of the possibility to model details and peculiarities of a particular application domain. As acknowledged by the literature, known approaches predominantly focus on one aspect between control flow and data, thus neglecting the interplay between the two. Moreover, process instances are not considered or considered in isolation, neglecting, among other aspects, synchronization points among them. As a consequence, the model is an approximation of the real process, limiting its reliability and usefulness in particular domains. This observation emerged clearly in the context of a research project in the construction domain, where preliminary attempts to model inter-company processes show the lack of an appropriate language.","citation-key":"marengoCoPModLConstructionProcess2022","container-title":"Information Systems","DOI":"10.1016/j.is.2019.101457","ISSN":"03064379","journalAbbreviation":"Information Systems","language":"en","page":"101457","source":"DOI.org (Crossref)","title":"CoPModL: Construction Process Modeling Language and Satisfiability Checking","title-short":"CoPModL","volume":"103","author":[{"family":"Marengo","given":"Elisa"},{"family":"Nutt","given":"Werner"},{"family":"Perktold","given":"Matthias"}],"issued":{"date-parts":[["2022",1]]}}}],"schema":"https://github.com/citation-style-language/schema/raw/master/csl-citation.json"} </w:instrText>
      </w:r>
      <w:r w:rsidR="00FE0356" w:rsidRPr="00FF139E">
        <w:rPr>
          <w:color w:val="000000" w:themeColor="text1"/>
        </w:rPr>
        <w:fldChar w:fldCharType="separate"/>
      </w:r>
      <w:r w:rsidR="00FE0356" w:rsidRPr="00FF139E">
        <w:rPr>
          <w:noProof/>
          <w:color w:val="000000" w:themeColor="text1"/>
        </w:rPr>
        <w:t>(Marengo, Nutt and Perktold, 2022)</w:t>
      </w:r>
      <w:r w:rsidR="00FE0356" w:rsidRPr="00FF139E">
        <w:rPr>
          <w:color w:val="000000" w:themeColor="text1"/>
        </w:rPr>
        <w:fldChar w:fldCharType="end"/>
      </w:r>
      <w:r w:rsidR="00FE0356" w:rsidRPr="00FF139E">
        <w:rPr>
          <w:color w:val="000000" w:themeColor="text1"/>
        </w:rPr>
        <w:t>.</w:t>
      </w:r>
      <w:r w:rsidRPr="00FF139E">
        <w:rPr>
          <w:color w:val="000000" w:themeColor="text1"/>
        </w:rPr>
        <w:t xml:space="preserve"> Martinez Lagunas and Nik-Bakht (2024) nevertheless identify event log generation and process semantics as continuing barriers to wider process mining adoption in construction.</w:t>
      </w:r>
    </w:p>
    <w:p w14:paraId="2BD9FE48" w14:textId="77777777" w:rsidR="00D35B8B" w:rsidRPr="00FF139E" w:rsidRDefault="00D35B8B" w:rsidP="00D35B8B">
      <w:pPr>
        <w:pStyle w:val="PaperBody"/>
        <w:spacing w:after="20"/>
      </w:pPr>
      <w:r w:rsidRPr="00FF139E">
        <w:t xml:space="preserve">Closer to the problem addressed here, Sanchez Ferriz, Exposito and La </w:t>
      </w:r>
      <w:proofErr w:type="spellStart"/>
      <w:r w:rsidRPr="00FF139E">
        <w:t>Borderie</w:t>
      </w:r>
      <w:proofErr w:type="spellEnd"/>
      <w:r w:rsidRPr="00FF139E">
        <w:t xml:space="preserve"> (2025) derive event logs from unstructured construction site reports using NLP, text embeddings and clustering. König et al. (2025), reviewing process mining with unstructured data across sectors, likewise find that relatively few studies connect unstructured records directly to process analysis. These studies indicate that text can contribute to process reconstruction, while leaving open the upstream problem of recovering and qualifying process evidence when case boundaries, execution times and process relations are incomplete or uncertain.</w:t>
      </w:r>
    </w:p>
    <w:p w14:paraId="7B46B6BE" w14:textId="7C3B48DA" w:rsidR="00DC2B77" w:rsidRPr="00FF139E" w:rsidRDefault="00DC2B77" w:rsidP="00DC2B77">
      <w:pPr>
        <w:pStyle w:val="PaperBody"/>
        <w:spacing w:after="20"/>
        <w:rPr>
          <w:color w:val="000000" w:themeColor="text1"/>
        </w:rPr>
      </w:pPr>
      <w:r w:rsidRPr="00FF139E">
        <w:rPr>
          <w:color w:val="000000" w:themeColor="text1"/>
        </w:rPr>
        <w:t>Knowledge graph research provides methods for combining heterogeneous construction information. Zhang and Jiang (2025) identify process modelling and optimisation among the remaining challenges, while Kong and Ahn (2024) review knowledge extraction and ontology development for construction safety. These approaches inform future reuse; the evidence for activity occurrence and order still needs to be established.</w:t>
      </w:r>
    </w:p>
    <w:p w14:paraId="07817CF3" w14:textId="77777777" w:rsidR="009F2657" w:rsidRPr="00FF139E" w:rsidRDefault="00000000" w:rsidP="00B94216">
      <w:pPr>
        <w:pStyle w:val="Heading2"/>
        <w:spacing w:before="90" w:after="80"/>
        <w:jc w:val="both"/>
      </w:pPr>
      <w:r w:rsidRPr="00FF139E">
        <w:t>2.5 Gap addressed by this paper</w:t>
      </w:r>
    </w:p>
    <w:p w14:paraId="30403A18" w14:textId="550477A6" w:rsidR="00DC2B77" w:rsidRPr="00FF139E" w:rsidRDefault="00DC2B77" w:rsidP="00E07543">
      <w:pPr>
        <w:pStyle w:val="PaperBody"/>
        <w:spacing w:after="20"/>
        <w:rPr>
          <w:color w:val="000000" w:themeColor="text1"/>
        </w:rPr>
      </w:pPr>
      <w:r w:rsidRPr="00FF139E">
        <w:rPr>
          <w:color w:val="000000" w:themeColor="text1"/>
        </w:rPr>
        <w:t>The gap addressed here concerns the joint recovery and qualification of case membership, activities, timing and relations from incomplete institutional records. Text classification identifies record content, while event log generation and process modelling provide important precedents for reconstruction. Uncertain execution evidence still needs explicit treatment. The proposed framework combines extraction from records with formal reference models, retaining the basis and uncertainty of each interpretation. Table 1 summarises the requirements drawn from the preceding review and the corresponding framework responses.</w:t>
      </w:r>
    </w:p>
    <w:p w14:paraId="1DD19B37" w14:textId="28B127EC" w:rsidR="00DC2B77" w:rsidRPr="00FF139E" w:rsidRDefault="00DC2B77" w:rsidP="00DC2B77">
      <w:pPr>
        <w:pStyle w:val="PaperBody"/>
        <w:keepNext/>
        <w:spacing w:after="20"/>
        <w:ind w:firstLine="0"/>
        <w:rPr>
          <w:color w:val="000000" w:themeColor="text1"/>
        </w:rPr>
      </w:pPr>
      <w:r w:rsidRPr="00FF139E">
        <w:rPr>
          <w:i/>
          <w:iCs/>
          <w:color w:val="000000" w:themeColor="text1"/>
          <w:sz w:val="20"/>
          <w:szCs w:val="20"/>
        </w:rPr>
        <w:t>Table 1. Requirements from the literature and proposed framework responses</w:t>
      </w:r>
    </w:p>
    <w:tbl>
      <w:tblPr>
        <w:tblStyle w:val="TableGrid"/>
        <w:tblW w:w="9448" w:type="dxa"/>
        <w:jc w:val="center"/>
        <w:tblLayout w:type="fixed"/>
        <w:tblLook w:val="04A0" w:firstRow="1" w:lastRow="0" w:firstColumn="1" w:lastColumn="0" w:noHBand="0" w:noVBand="1"/>
      </w:tblPr>
      <w:tblGrid>
        <w:gridCol w:w="3132"/>
        <w:gridCol w:w="3160"/>
        <w:gridCol w:w="3156"/>
      </w:tblGrid>
      <w:tr w:rsidR="009F2657" w:rsidRPr="00FF139E" w14:paraId="068A97F2" w14:textId="77777777">
        <w:trPr>
          <w:jc w:val="center"/>
        </w:trPr>
        <w:tc>
          <w:tcPr>
            <w:tcW w:w="3132" w:type="dxa"/>
            <w:shd w:val="clear" w:color="auto" w:fill="EDEDED"/>
          </w:tcPr>
          <w:p w14:paraId="6E4C5F26" w14:textId="342A30A2" w:rsidR="009F2657" w:rsidRPr="00FF139E" w:rsidRDefault="00A44D53"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Requirement</w:t>
            </w:r>
          </w:p>
        </w:tc>
        <w:tc>
          <w:tcPr>
            <w:tcW w:w="3160" w:type="dxa"/>
            <w:shd w:val="clear" w:color="auto" w:fill="EDEDED"/>
          </w:tcPr>
          <w:p w14:paraId="02EB3336"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Problem in current records</w:t>
            </w:r>
          </w:p>
        </w:tc>
        <w:tc>
          <w:tcPr>
            <w:tcW w:w="3156" w:type="dxa"/>
            <w:shd w:val="clear" w:color="auto" w:fill="EDEDED"/>
          </w:tcPr>
          <w:p w14:paraId="14186295" w14:textId="47D5C270" w:rsidR="009F2657" w:rsidRPr="00FF139E" w:rsidRDefault="00A44D53"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Proposed framework response</w:t>
            </w:r>
          </w:p>
        </w:tc>
      </w:tr>
      <w:tr w:rsidR="00A44D53" w:rsidRPr="00FF139E" w14:paraId="64DF42E3" w14:textId="77777777">
        <w:trPr>
          <w:jc w:val="center"/>
        </w:trPr>
        <w:tc>
          <w:tcPr>
            <w:tcW w:w="3132" w:type="dxa"/>
          </w:tcPr>
          <w:p w14:paraId="0DF3D0AB" w14:textId="7777777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lastRenderedPageBreak/>
              <w:t>Recover recurring workflows (Martinez Lagunas and Nik-Bakht, 2024)</w:t>
            </w:r>
          </w:p>
        </w:tc>
        <w:tc>
          <w:tcPr>
            <w:tcW w:w="3160" w:type="dxa"/>
          </w:tcPr>
          <w:p w14:paraId="5D98FAF9" w14:textId="60DCBD1F"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Project records preserve individual tasks but may leave recurring patterns unclear.</w:t>
            </w:r>
          </w:p>
        </w:tc>
        <w:tc>
          <w:tcPr>
            <w:tcW w:w="3156" w:type="dxa"/>
          </w:tcPr>
          <w:p w14:paraId="50E10DE7" w14:textId="58AC30E6"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Assemble related records into candidate cases and compare recurring subprocesses.</w:t>
            </w:r>
          </w:p>
        </w:tc>
      </w:tr>
      <w:tr w:rsidR="00A44D53" w:rsidRPr="00FF139E" w14:paraId="3474C261" w14:textId="77777777">
        <w:trPr>
          <w:jc w:val="center"/>
        </w:trPr>
        <w:tc>
          <w:tcPr>
            <w:tcW w:w="3132" w:type="dxa"/>
          </w:tcPr>
          <w:p w14:paraId="6415F4DA" w14:textId="7777777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Make extraction auditable (van der Aalst, 2018; Harl et al., 2020)</w:t>
            </w:r>
          </w:p>
        </w:tc>
        <w:tc>
          <w:tcPr>
            <w:tcW w:w="3160" w:type="dxa"/>
          </w:tcPr>
          <w:p w14:paraId="395F28BC" w14:textId="47C64482"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An output is difficult to assess when its supporting records and assumptions are unclear.</w:t>
            </w:r>
          </w:p>
        </w:tc>
        <w:tc>
          <w:tcPr>
            <w:tcW w:w="3156" w:type="dxa"/>
          </w:tcPr>
          <w:p w14:paraId="12AA9076" w14:textId="0D5A34E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Retain source links, time basis, confidence and extraction decisions in the Evidence Log.</w:t>
            </w:r>
          </w:p>
        </w:tc>
      </w:tr>
      <w:tr w:rsidR="00A44D53" w:rsidRPr="00FF139E" w14:paraId="28D23961" w14:textId="77777777">
        <w:trPr>
          <w:jc w:val="center"/>
        </w:trPr>
        <w:tc>
          <w:tcPr>
            <w:tcW w:w="3132" w:type="dxa"/>
          </w:tcPr>
          <w:p w14:paraId="7E51CFF6" w14:textId="7777777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Handle noisy language (Brundage et al., 2021; Sundaram and Zeid, 2025)</w:t>
            </w:r>
          </w:p>
        </w:tc>
        <w:tc>
          <w:tcPr>
            <w:tcW w:w="3160" w:type="dxa"/>
          </w:tcPr>
          <w:p w14:paraId="23A41092" w14:textId="46CBED8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Work order text contains abbreviations, missing verbs and local shorthand.</w:t>
            </w:r>
          </w:p>
        </w:tc>
        <w:tc>
          <w:tcPr>
            <w:tcW w:w="3156" w:type="dxa"/>
          </w:tcPr>
          <w:p w14:paraId="681C82C9" w14:textId="5B583B16"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 xml:space="preserve">Use lexicon </w:t>
            </w:r>
            <w:proofErr w:type="spellStart"/>
            <w:r w:rsidRPr="00FF139E">
              <w:rPr>
                <w:rFonts w:ascii="Calibri" w:hAnsi="Calibri" w:cs="Calibri"/>
                <w:color w:val="000000" w:themeColor="text1"/>
                <w:sz w:val="20"/>
                <w:szCs w:val="20"/>
              </w:rPr>
              <w:t>normalisation</w:t>
            </w:r>
            <w:proofErr w:type="spellEnd"/>
            <w:r w:rsidRPr="00FF139E">
              <w:rPr>
                <w:rFonts w:ascii="Calibri" w:hAnsi="Calibri" w:cs="Calibri"/>
                <w:color w:val="000000" w:themeColor="text1"/>
                <w:sz w:val="20"/>
                <w:szCs w:val="20"/>
              </w:rPr>
              <w:t xml:space="preserve"> and cross checks with structured fields.</w:t>
            </w:r>
          </w:p>
        </w:tc>
      </w:tr>
      <w:tr w:rsidR="00A44D53" w:rsidRPr="00FF139E" w14:paraId="308F8969" w14:textId="77777777">
        <w:trPr>
          <w:jc w:val="center"/>
        </w:trPr>
        <w:tc>
          <w:tcPr>
            <w:tcW w:w="3132" w:type="dxa"/>
          </w:tcPr>
          <w:p w14:paraId="23F00858" w14:textId="18E16DD1"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rPr>
              <w:t>Recover workflow evidence (</w:t>
            </w:r>
            <w:proofErr w:type="spellStart"/>
            <w:r w:rsidRPr="00FF139E">
              <w:rPr>
                <w:rFonts w:ascii="Calibri" w:hAnsi="Calibri" w:cs="Calibri"/>
                <w:color w:val="000000" w:themeColor="text1"/>
              </w:rPr>
              <w:t>Levallet</w:t>
            </w:r>
            <w:proofErr w:type="spellEnd"/>
            <w:r w:rsidRPr="00FF139E">
              <w:rPr>
                <w:rFonts w:ascii="Calibri" w:hAnsi="Calibri" w:cs="Calibri"/>
                <w:color w:val="000000" w:themeColor="text1"/>
              </w:rPr>
              <w:t xml:space="preserve"> and Chan, 2019)</w:t>
            </w:r>
          </w:p>
        </w:tc>
        <w:tc>
          <w:tcPr>
            <w:tcW w:w="3160" w:type="dxa"/>
          </w:tcPr>
          <w:p w14:paraId="4A7CE418" w14:textId="7777777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Records may exist without becoming reusable process knowledge.</w:t>
            </w:r>
          </w:p>
        </w:tc>
        <w:tc>
          <w:tcPr>
            <w:tcW w:w="3156" w:type="dxa"/>
          </w:tcPr>
          <w:p w14:paraId="34475B8A" w14:textId="10806792"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Retain supported activities and relations; compare them with a frozen reference and record gaps.</w:t>
            </w:r>
          </w:p>
        </w:tc>
      </w:tr>
      <w:tr w:rsidR="00A44D53" w:rsidRPr="00FF139E" w14:paraId="0F347933" w14:textId="77777777">
        <w:trPr>
          <w:jc w:val="center"/>
        </w:trPr>
        <w:tc>
          <w:tcPr>
            <w:tcW w:w="3132" w:type="dxa"/>
          </w:tcPr>
          <w:p w14:paraId="0D97578A" w14:textId="7777777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Support reuse (Debs and Hubbard, 2023; Pauwels, Costin and Rasmussen, 2022)</w:t>
            </w:r>
          </w:p>
        </w:tc>
        <w:tc>
          <w:tcPr>
            <w:tcW w:w="3160" w:type="dxa"/>
          </w:tcPr>
          <w:p w14:paraId="02060D2C" w14:textId="7777777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Past workflows rarely become templates or playbooks.</w:t>
            </w:r>
          </w:p>
        </w:tc>
        <w:tc>
          <w:tcPr>
            <w:tcW w:w="3156" w:type="dxa"/>
          </w:tcPr>
          <w:p w14:paraId="3D3401C3" w14:textId="518F6027" w:rsidR="00A44D53" w:rsidRPr="00FF139E" w:rsidRDefault="00A44D53" w:rsidP="00A44D53">
            <w:pPr>
              <w:spacing w:after="40"/>
              <w:jc w:val="both"/>
              <w:rPr>
                <w:rFonts w:ascii="Calibri" w:hAnsi="Calibri" w:cs="Calibri"/>
                <w:color w:val="000000" w:themeColor="text1"/>
                <w:sz w:val="20"/>
                <w:szCs w:val="20"/>
              </w:rPr>
            </w:pPr>
            <w:r w:rsidRPr="00FF139E">
              <w:rPr>
                <w:rFonts w:ascii="Calibri" w:hAnsi="Calibri" w:cs="Calibri"/>
                <w:color w:val="000000" w:themeColor="text1"/>
              </w:rPr>
              <w:t xml:space="preserve">Use practitioner review, versioned templates and a process knowledge graph to </w:t>
            </w:r>
            <w:proofErr w:type="gramStart"/>
            <w:r w:rsidRPr="00FF139E">
              <w:rPr>
                <w:rFonts w:ascii="Calibri" w:hAnsi="Calibri" w:cs="Calibri"/>
                <w:color w:val="000000" w:themeColor="text1"/>
              </w:rPr>
              <w:t>support  reuse</w:t>
            </w:r>
            <w:proofErr w:type="gramEnd"/>
            <w:r w:rsidRPr="00FF139E">
              <w:rPr>
                <w:rFonts w:ascii="Calibri" w:hAnsi="Calibri" w:cs="Calibri"/>
                <w:color w:val="000000" w:themeColor="text1"/>
              </w:rPr>
              <w:t>.</w:t>
            </w:r>
          </w:p>
        </w:tc>
      </w:tr>
    </w:tbl>
    <w:p w14:paraId="6B1A5E76" w14:textId="77777777" w:rsidR="009F2657" w:rsidRPr="00FF139E" w:rsidRDefault="00000000" w:rsidP="00B94216">
      <w:pPr>
        <w:pStyle w:val="Heading1"/>
        <w:jc w:val="both"/>
      </w:pPr>
      <w:r w:rsidRPr="00FF139E">
        <w:t>3. Proposed Framework</w:t>
      </w:r>
    </w:p>
    <w:p w14:paraId="6DA6B2E6" w14:textId="77777777" w:rsidR="009F2657" w:rsidRPr="00FF139E" w:rsidRDefault="00000000" w:rsidP="00B94216">
      <w:pPr>
        <w:pStyle w:val="Heading2"/>
        <w:jc w:val="both"/>
      </w:pPr>
      <w:r w:rsidRPr="00FF139E">
        <w:t>3.1 Overview</w:t>
      </w:r>
    </w:p>
    <w:p w14:paraId="18526155" w14:textId="19327502" w:rsidR="00160876" w:rsidRPr="00FF139E" w:rsidRDefault="00160876" w:rsidP="00160876">
      <w:pPr>
        <w:pStyle w:val="PaperBody"/>
        <w:spacing w:after="20"/>
        <w:rPr>
          <w:color w:val="000000" w:themeColor="text1"/>
        </w:rPr>
      </w:pPr>
      <w:r w:rsidRPr="00FF139E">
        <w:rPr>
          <w:color w:val="000000" w:themeColor="text1"/>
        </w:rPr>
        <w:t>The framework comprises five steps (Figure 2). Steps 1 and 2 work bottom up from institutional records: process elements are extracted using a controlled lexicon and organised in an Evidence Log that retains their supporting evidence and uncertainty. Step 3 provides the top down component, in which selected recurring workflows are manually formalised with subject matter experts and frozen as normative reference models. In Step 4, recovered process instances are reconstructed and aligned with these references, and deviations are reviewed by practitioners. Step 5 outlines how reviewed workflow knowledge could be represented in a process knowledge graph for comparison and reuse across projects.</w:t>
      </w:r>
    </w:p>
    <w:p w14:paraId="53EB44CE" w14:textId="74BFD447" w:rsidR="00160876" w:rsidRPr="00FF139E" w:rsidRDefault="00160876" w:rsidP="00160876">
      <w:pPr>
        <w:pStyle w:val="PaperBody"/>
        <w:spacing w:after="20"/>
        <w:rPr>
          <w:color w:val="000000" w:themeColor="text1"/>
        </w:rPr>
      </w:pPr>
      <w:r w:rsidRPr="00FF139E">
        <w:rPr>
          <w:color w:val="000000" w:themeColor="text1"/>
        </w:rPr>
        <w:t>The work order dataset is a practical starting point defined by data access. Other documents may preserve coordination decisions and execution details that work orders omit.</w:t>
      </w:r>
    </w:p>
    <w:p w14:paraId="43959A3A" w14:textId="0A457EAA" w:rsidR="003E3338" w:rsidRPr="00FF139E" w:rsidRDefault="002A0499" w:rsidP="00B94216">
      <w:pPr>
        <w:keepNext/>
        <w:spacing w:before="60" w:after="40"/>
        <w:jc w:val="both"/>
      </w:pPr>
      <w:r w:rsidRPr="00FF139E">
        <w:rPr>
          <w:noProof/>
        </w:rPr>
        <w:drawing>
          <wp:inline distT="0" distB="0" distL="0" distR="0" wp14:anchorId="2718E4ED" wp14:editId="6E4914B5">
            <wp:extent cx="5731510" cy="1652270"/>
            <wp:effectExtent l="0" t="0" r="0" b="0"/>
            <wp:docPr id="413163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6327" name="Picture 413163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652270"/>
                    </a:xfrm>
                    <a:prstGeom prst="rect">
                      <a:avLst/>
                    </a:prstGeom>
                  </pic:spPr>
                </pic:pic>
              </a:graphicData>
            </a:graphic>
          </wp:inline>
        </w:drawing>
      </w:r>
    </w:p>
    <w:p w14:paraId="7D9D0473" w14:textId="1F3DBC17" w:rsidR="00160876" w:rsidRPr="00FF139E" w:rsidRDefault="00160876" w:rsidP="00B62947">
      <w:pPr>
        <w:keepLines/>
        <w:spacing w:before="40" w:after="80"/>
        <w:jc w:val="center"/>
        <w:rPr>
          <w:i/>
          <w:iCs/>
          <w:color w:val="000000" w:themeColor="text1"/>
          <w:sz w:val="20"/>
          <w:szCs w:val="20"/>
        </w:rPr>
      </w:pPr>
      <w:r w:rsidRPr="00FF139E">
        <w:rPr>
          <w:i/>
          <w:iCs/>
          <w:color w:val="000000" w:themeColor="text1"/>
          <w:sz w:val="20"/>
          <w:szCs w:val="20"/>
        </w:rPr>
        <w:t>Figure 2. The five steps and the roles of algorithms and subject matter experts (SMEs).</w:t>
      </w:r>
    </w:p>
    <w:p w14:paraId="0AA74ADA" w14:textId="052970FB" w:rsidR="009F2657" w:rsidRPr="00FF139E" w:rsidRDefault="00000000" w:rsidP="00B94216">
      <w:pPr>
        <w:pStyle w:val="Heading2"/>
        <w:jc w:val="both"/>
        <w:rPr>
          <w:color w:val="000000" w:themeColor="text1"/>
        </w:rPr>
      </w:pPr>
      <w:r w:rsidRPr="00FF139E">
        <w:rPr>
          <w:color w:val="000000" w:themeColor="text1"/>
        </w:rPr>
        <w:t xml:space="preserve">3.2 Data </w:t>
      </w:r>
      <w:r w:rsidR="00160876" w:rsidRPr="00FF139E">
        <w:rPr>
          <w:color w:val="000000" w:themeColor="text1"/>
        </w:rPr>
        <w:t>source, scope and Evidence Log</w:t>
      </w:r>
    </w:p>
    <w:p w14:paraId="7E992F89" w14:textId="328D03A2" w:rsidR="00160876" w:rsidRPr="00FF139E" w:rsidRDefault="00160876" w:rsidP="00160876">
      <w:pPr>
        <w:pStyle w:val="PaperBody"/>
        <w:spacing w:after="20"/>
        <w:rPr>
          <w:color w:val="000000" w:themeColor="text1"/>
        </w:rPr>
      </w:pPr>
      <w:r w:rsidRPr="00FF139E">
        <w:rPr>
          <w:color w:val="000000" w:themeColor="text1"/>
        </w:rPr>
        <w:t>The data available for the proposed application are drawn from the University of Toronto Facilities and Services work order system. The records include free text descriptions, work centre codes, dates, status, priority, space and asset references, and other structured fields.</w:t>
      </w:r>
    </w:p>
    <w:p w14:paraId="0274FCEF" w14:textId="500ECF9C" w:rsidR="00160876" w:rsidRPr="00FF139E" w:rsidRDefault="00160876" w:rsidP="00160876">
      <w:pPr>
        <w:pStyle w:val="PaperBody"/>
        <w:spacing w:after="20"/>
        <w:rPr>
          <w:color w:val="000000" w:themeColor="text1"/>
        </w:rPr>
      </w:pPr>
      <w:r w:rsidRPr="00FF139E">
        <w:rPr>
          <w:color w:val="000000" w:themeColor="text1"/>
        </w:rPr>
        <w:t xml:space="preserve">Retrofit is used as the initial application subdomain. For this study, it refers to work that upgrades or modifies an existing asset to improve performance, extend service life through renewal, or change its function. Routine repairs and preventive servicing are treated as maintenance. Because </w:t>
      </w:r>
      <w:r w:rsidRPr="00FF139E">
        <w:rPr>
          <w:color w:val="000000" w:themeColor="text1"/>
        </w:rPr>
        <w:lastRenderedPageBreak/>
        <w:t>both types of work are recorded within the same institutional system, candidate retrofit cases must be screened using descriptions and related fields, with unclear cases retained for review.</w:t>
      </w:r>
    </w:p>
    <w:p w14:paraId="72F2CCEB" w14:textId="582F930F" w:rsidR="00160876" w:rsidRPr="00FF139E" w:rsidRDefault="00160876" w:rsidP="00160876">
      <w:pPr>
        <w:pStyle w:val="PaperBody"/>
        <w:spacing w:after="20"/>
        <w:rPr>
          <w:color w:val="000000" w:themeColor="text1"/>
        </w:rPr>
      </w:pPr>
      <w:r w:rsidRPr="00FF139E">
        <w:rPr>
          <w:color w:val="000000" w:themeColor="text1"/>
        </w:rPr>
        <w:t>The records were not created for process reconstruction. Instead, different fields provide partial workflow evidence. Parent child relationships help identify candidate case boundaries, work centre codes indicate assigned trades, and free text descriptions contain activities, systems and constraints. Dates provide partial timing evidence and may describe ticket administration rather than field execution. No individual field provides a complete process instance.</w:t>
      </w:r>
    </w:p>
    <w:p w14:paraId="300E4380" w14:textId="77777777" w:rsidR="00160876" w:rsidRPr="00FF139E" w:rsidRDefault="00160876" w:rsidP="00160876">
      <w:pPr>
        <w:pStyle w:val="PaperBody"/>
        <w:spacing w:after="20"/>
        <w:rPr>
          <w:color w:val="000000" w:themeColor="text1"/>
        </w:rPr>
      </w:pPr>
      <w:r w:rsidRPr="00FF139E">
        <w:rPr>
          <w:color w:val="000000" w:themeColor="text1"/>
        </w:rPr>
        <w:t>The framework therefore treats each work order as a source of partial process evidence. Related records are linked to form candidate process instances using parent child relationships, assets, locations and compatible work descriptions. A shared location alone does not establish a case. The reason for each link is retained, together with uncertainty about activity, timing, sequence and case membership.</w:t>
      </w:r>
    </w:p>
    <w:p w14:paraId="2E40529A" w14:textId="77777777" w:rsidR="00160876" w:rsidRPr="00FF139E" w:rsidRDefault="00160876" w:rsidP="00160876">
      <w:pPr>
        <w:pStyle w:val="PaperBody"/>
        <w:spacing w:after="20"/>
        <w:rPr>
          <w:color w:val="000000" w:themeColor="text1"/>
        </w:rPr>
      </w:pPr>
      <w:r w:rsidRPr="00FF139E">
        <w:rPr>
          <w:color w:val="000000" w:themeColor="text1"/>
        </w:rPr>
        <w:t>The Evidence Log is a table of candidate process elements grouped by a provisional case identifier. It records case, activity, time, actor, time basis, source and confidence, with constraints and relations linked to the relevant entries. Time basis states whether a date is reported in text, inferred or taken from an administrative field. Unknown times remain unknown, and ranges retain their stated precision. Source identifies the record and supporting text or field so that the interpretation can be checked.</w:t>
      </w:r>
    </w:p>
    <w:p w14:paraId="79BEF90C" w14:textId="76F1A9DC" w:rsidR="009F2657" w:rsidRPr="00FF139E" w:rsidRDefault="00000000" w:rsidP="00160876">
      <w:pPr>
        <w:pStyle w:val="PaperBody"/>
        <w:spacing w:after="20"/>
      </w:pPr>
      <w:r w:rsidRPr="00FF139E">
        <w:rPr>
          <w:i/>
          <w:iCs/>
          <w:sz w:val="20"/>
          <w:szCs w:val="20"/>
        </w:rPr>
        <w:t>Table 2. Work-order components and their workflow relevance</w:t>
      </w:r>
    </w:p>
    <w:tbl>
      <w:tblPr>
        <w:tblStyle w:val="TableGrid"/>
        <w:tblW w:w="9448" w:type="dxa"/>
        <w:jc w:val="center"/>
        <w:tblLayout w:type="fixed"/>
        <w:tblLook w:val="04A0" w:firstRow="1" w:lastRow="0" w:firstColumn="1" w:lastColumn="0" w:noHBand="0" w:noVBand="1"/>
      </w:tblPr>
      <w:tblGrid>
        <w:gridCol w:w="3135"/>
        <w:gridCol w:w="3149"/>
        <w:gridCol w:w="3164"/>
      </w:tblGrid>
      <w:tr w:rsidR="009F2657" w:rsidRPr="00FF139E" w14:paraId="2133C669" w14:textId="77777777">
        <w:trPr>
          <w:jc w:val="center"/>
        </w:trPr>
        <w:tc>
          <w:tcPr>
            <w:tcW w:w="3135" w:type="dxa"/>
            <w:shd w:val="clear" w:color="auto" w:fill="EDEDED"/>
          </w:tcPr>
          <w:p w14:paraId="2E653F04" w14:textId="77777777" w:rsidR="009F2657" w:rsidRPr="00FF139E" w:rsidRDefault="00000000" w:rsidP="00B94216">
            <w:pPr>
              <w:spacing w:after="40"/>
              <w:jc w:val="both"/>
              <w:rPr>
                <w:rFonts w:ascii="Calibri" w:hAnsi="Calibri" w:cs="Calibri"/>
                <w:sz w:val="20"/>
                <w:szCs w:val="20"/>
              </w:rPr>
            </w:pPr>
            <w:r w:rsidRPr="00FF139E">
              <w:rPr>
                <w:rFonts w:ascii="Calibri" w:hAnsi="Calibri" w:cs="Calibri"/>
                <w:sz w:val="20"/>
                <w:szCs w:val="20"/>
              </w:rPr>
              <w:t>Work-order component</w:t>
            </w:r>
          </w:p>
        </w:tc>
        <w:tc>
          <w:tcPr>
            <w:tcW w:w="3149" w:type="dxa"/>
            <w:shd w:val="clear" w:color="auto" w:fill="EDEDED"/>
          </w:tcPr>
          <w:p w14:paraId="7D2F4774" w14:textId="77777777" w:rsidR="009F2657" w:rsidRPr="00FF139E" w:rsidRDefault="00000000" w:rsidP="00B94216">
            <w:pPr>
              <w:spacing w:after="40"/>
              <w:jc w:val="both"/>
              <w:rPr>
                <w:rFonts w:ascii="Calibri" w:hAnsi="Calibri" w:cs="Calibri"/>
                <w:sz w:val="20"/>
                <w:szCs w:val="20"/>
              </w:rPr>
            </w:pPr>
            <w:r w:rsidRPr="00FF139E">
              <w:rPr>
                <w:rFonts w:ascii="Calibri" w:hAnsi="Calibri" w:cs="Calibri"/>
                <w:sz w:val="20"/>
                <w:szCs w:val="20"/>
              </w:rPr>
              <w:t>Potential workflow evidence</w:t>
            </w:r>
          </w:p>
        </w:tc>
        <w:tc>
          <w:tcPr>
            <w:tcW w:w="3164" w:type="dxa"/>
            <w:shd w:val="clear" w:color="auto" w:fill="EDEDED"/>
          </w:tcPr>
          <w:p w14:paraId="19D52687" w14:textId="77777777" w:rsidR="009F2657" w:rsidRPr="00FF139E" w:rsidRDefault="00000000" w:rsidP="00B94216">
            <w:pPr>
              <w:spacing w:after="40"/>
              <w:jc w:val="both"/>
              <w:rPr>
                <w:rFonts w:ascii="Calibri" w:hAnsi="Calibri" w:cs="Calibri"/>
                <w:sz w:val="20"/>
                <w:szCs w:val="20"/>
              </w:rPr>
            </w:pPr>
            <w:r w:rsidRPr="00FF139E">
              <w:rPr>
                <w:rFonts w:ascii="Calibri" w:hAnsi="Calibri" w:cs="Calibri"/>
                <w:sz w:val="20"/>
                <w:szCs w:val="20"/>
              </w:rPr>
              <w:t>Limitation</w:t>
            </w:r>
          </w:p>
        </w:tc>
      </w:tr>
      <w:tr w:rsidR="00160876" w:rsidRPr="00FF139E" w14:paraId="4279C6FD" w14:textId="77777777">
        <w:trPr>
          <w:jc w:val="center"/>
        </w:trPr>
        <w:tc>
          <w:tcPr>
            <w:tcW w:w="3135" w:type="dxa"/>
          </w:tcPr>
          <w:p w14:paraId="5A4F7AEA" w14:textId="77777777"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Parent-child hierarchy</w:t>
            </w:r>
          </w:p>
        </w:tc>
        <w:tc>
          <w:tcPr>
            <w:tcW w:w="3149" w:type="dxa"/>
          </w:tcPr>
          <w:p w14:paraId="362B5BDE" w14:textId="67EA40CE"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Candidate case boundary and subprocess grouping.</w:t>
            </w:r>
          </w:p>
        </w:tc>
        <w:tc>
          <w:tcPr>
            <w:tcW w:w="3164" w:type="dxa"/>
          </w:tcPr>
          <w:p w14:paraId="38702CF7" w14:textId="658ED60C"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Links may reflect administration; shared scope needs to be checked.</w:t>
            </w:r>
          </w:p>
        </w:tc>
      </w:tr>
      <w:tr w:rsidR="009F2657" w:rsidRPr="00FF139E" w14:paraId="2BC80962" w14:textId="77777777">
        <w:trPr>
          <w:jc w:val="center"/>
        </w:trPr>
        <w:tc>
          <w:tcPr>
            <w:tcW w:w="3135" w:type="dxa"/>
          </w:tcPr>
          <w:p w14:paraId="54D3A7C8"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Short text / activity text</w:t>
            </w:r>
          </w:p>
        </w:tc>
        <w:tc>
          <w:tcPr>
            <w:tcW w:w="3149" w:type="dxa"/>
          </w:tcPr>
          <w:p w14:paraId="56D8959F"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Task action, system reference, issue or constraint cue.</w:t>
            </w:r>
          </w:p>
        </w:tc>
        <w:tc>
          <w:tcPr>
            <w:tcW w:w="3164" w:type="dxa"/>
          </w:tcPr>
          <w:p w14:paraId="4DF0D92A"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Noisy, abbreviated and locally specific.</w:t>
            </w:r>
          </w:p>
        </w:tc>
      </w:tr>
      <w:tr w:rsidR="009F2657" w:rsidRPr="00FF139E" w14:paraId="44032B62" w14:textId="77777777">
        <w:trPr>
          <w:jc w:val="center"/>
        </w:trPr>
        <w:tc>
          <w:tcPr>
            <w:tcW w:w="3135" w:type="dxa"/>
          </w:tcPr>
          <w:p w14:paraId="341CC85F"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Work-centre code</w:t>
            </w:r>
          </w:p>
        </w:tc>
        <w:tc>
          <w:tcPr>
            <w:tcW w:w="3149" w:type="dxa"/>
          </w:tcPr>
          <w:p w14:paraId="4F3FC133" w14:textId="0590192A" w:rsidR="009F2657" w:rsidRPr="00FF139E" w:rsidRDefault="00160876"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 xml:space="preserve">Assigned work </w:t>
            </w:r>
            <w:proofErr w:type="spellStart"/>
            <w:r w:rsidRPr="00FF139E">
              <w:rPr>
                <w:rFonts w:ascii="Calibri" w:hAnsi="Calibri" w:cs="Calibri"/>
                <w:color w:val="000000" w:themeColor="text1"/>
                <w:sz w:val="20"/>
                <w:szCs w:val="20"/>
              </w:rPr>
              <w:t>centre</w:t>
            </w:r>
            <w:proofErr w:type="spellEnd"/>
            <w:r w:rsidRPr="00FF139E">
              <w:rPr>
                <w:rFonts w:ascii="Calibri" w:hAnsi="Calibri" w:cs="Calibri"/>
                <w:color w:val="000000" w:themeColor="text1"/>
                <w:sz w:val="20"/>
                <w:szCs w:val="20"/>
              </w:rPr>
              <w:t xml:space="preserve"> or trade.</w:t>
            </w:r>
          </w:p>
        </w:tc>
        <w:tc>
          <w:tcPr>
            <w:tcW w:w="3164" w:type="dxa"/>
          </w:tcPr>
          <w:p w14:paraId="5BE38F74" w14:textId="0A950D61" w:rsidR="009F2657" w:rsidRPr="00FF139E" w:rsidRDefault="00160876"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Requires an institutional lookup; assignment may differ from who performed the work.</w:t>
            </w:r>
          </w:p>
        </w:tc>
      </w:tr>
      <w:tr w:rsidR="00160876" w:rsidRPr="00FF139E" w14:paraId="158C44E8" w14:textId="77777777">
        <w:trPr>
          <w:jc w:val="center"/>
        </w:trPr>
        <w:tc>
          <w:tcPr>
            <w:tcW w:w="3135" w:type="dxa"/>
          </w:tcPr>
          <w:p w14:paraId="48A42B10" w14:textId="77777777"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Dates and status fields</w:t>
            </w:r>
          </w:p>
        </w:tc>
        <w:tc>
          <w:tcPr>
            <w:tcW w:w="3149" w:type="dxa"/>
          </w:tcPr>
          <w:p w14:paraId="5D14E432" w14:textId="77777777"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Partial sequence and timing evidence.</w:t>
            </w:r>
          </w:p>
        </w:tc>
        <w:tc>
          <w:tcPr>
            <w:tcW w:w="3164" w:type="dxa"/>
          </w:tcPr>
          <w:p w14:paraId="058334C6" w14:textId="35212202"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Ticket dates and status changes may differ from field execution times.</w:t>
            </w:r>
          </w:p>
        </w:tc>
      </w:tr>
      <w:tr w:rsidR="009F2657" w:rsidRPr="00FF139E" w14:paraId="0C8701FD" w14:textId="77777777">
        <w:trPr>
          <w:jc w:val="center"/>
        </w:trPr>
        <w:tc>
          <w:tcPr>
            <w:tcW w:w="3135" w:type="dxa"/>
          </w:tcPr>
          <w:p w14:paraId="413C3BDE"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Asset, space and system fields</w:t>
            </w:r>
          </w:p>
        </w:tc>
        <w:tc>
          <w:tcPr>
            <w:tcW w:w="3149" w:type="dxa"/>
          </w:tcPr>
          <w:p w14:paraId="3ED18758"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Affected building element or location.</w:t>
            </w:r>
          </w:p>
        </w:tc>
        <w:tc>
          <w:tcPr>
            <w:tcW w:w="3164" w:type="dxa"/>
          </w:tcPr>
          <w:p w14:paraId="074210B1" w14:textId="77777777" w:rsidR="009F2657" w:rsidRPr="00FF139E" w:rsidRDefault="00000000" w:rsidP="00B9421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May be incomplete, inconsistent or absent.</w:t>
            </w:r>
          </w:p>
        </w:tc>
      </w:tr>
      <w:tr w:rsidR="00160876" w:rsidRPr="00FF139E" w14:paraId="428ADCCA" w14:textId="77777777">
        <w:trPr>
          <w:jc w:val="center"/>
        </w:trPr>
        <w:tc>
          <w:tcPr>
            <w:tcW w:w="3135" w:type="dxa"/>
          </w:tcPr>
          <w:p w14:paraId="3263F66A" w14:textId="77777777"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Hazard or asbestos marker</w:t>
            </w:r>
          </w:p>
        </w:tc>
        <w:tc>
          <w:tcPr>
            <w:tcW w:w="3149" w:type="dxa"/>
          </w:tcPr>
          <w:p w14:paraId="3FF1207E" w14:textId="77777777"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Constraint cue relevant to retrofit sequencing.</w:t>
            </w:r>
          </w:p>
        </w:tc>
        <w:tc>
          <w:tcPr>
            <w:tcW w:w="3164" w:type="dxa"/>
          </w:tcPr>
          <w:p w14:paraId="20784F67" w14:textId="2EE00AC4" w:rsidR="00160876" w:rsidRPr="00FF139E" w:rsidRDefault="00160876" w:rsidP="00160876">
            <w:pPr>
              <w:spacing w:after="40"/>
              <w:jc w:val="both"/>
              <w:rPr>
                <w:rFonts w:ascii="Calibri" w:hAnsi="Calibri" w:cs="Calibri"/>
                <w:color w:val="000000" w:themeColor="text1"/>
                <w:sz w:val="20"/>
                <w:szCs w:val="20"/>
              </w:rPr>
            </w:pPr>
            <w:r w:rsidRPr="00FF139E">
              <w:rPr>
                <w:rFonts w:ascii="Calibri" w:hAnsi="Calibri" w:cs="Calibri"/>
                <w:color w:val="000000" w:themeColor="text1"/>
                <w:sz w:val="20"/>
                <w:szCs w:val="20"/>
              </w:rPr>
              <w:t>Indicates a possible constraint; it does not confirm that a survey or abatement occurred.</w:t>
            </w:r>
          </w:p>
        </w:tc>
      </w:tr>
    </w:tbl>
    <w:p w14:paraId="6444F7F7" w14:textId="7884F375" w:rsidR="009F2657" w:rsidRPr="00FF139E" w:rsidRDefault="00000000" w:rsidP="00B94216">
      <w:pPr>
        <w:pStyle w:val="Heading2"/>
        <w:jc w:val="both"/>
      </w:pPr>
      <w:r w:rsidRPr="00FF139E">
        <w:t>3.3 Controlled lexicon</w:t>
      </w:r>
    </w:p>
    <w:p w14:paraId="1A75B9DB" w14:textId="24CC4702" w:rsidR="00160876" w:rsidRPr="00FF139E" w:rsidRDefault="00160876" w:rsidP="00160876">
      <w:pPr>
        <w:pStyle w:val="PaperBody"/>
        <w:spacing w:after="20"/>
        <w:rPr>
          <w:color w:val="000000" w:themeColor="text1"/>
        </w:rPr>
      </w:pPr>
      <w:r w:rsidRPr="00FF139E">
        <w:rPr>
          <w:color w:val="000000" w:themeColor="text1"/>
        </w:rPr>
        <w:t>The framework uses a controlled lexicon to map technical language in institutional records to process</w:t>
      </w:r>
      <w:r w:rsidR="00E03646" w:rsidRPr="00FF139E">
        <w:rPr>
          <w:color w:val="000000" w:themeColor="text1"/>
        </w:rPr>
        <w:t>-</w:t>
      </w:r>
      <w:r w:rsidRPr="00FF139E">
        <w:rPr>
          <w:color w:val="000000" w:themeColor="text1"/>
        </w:rPr>
        <w:t xml:space="preserve">relevant concepts such as actions, actors, systems, issues, constraints and resources. It </w:t>
      </w:r>
      <w:r w:rsidR="00E03646" w:rsidRPr="00FF139E">
        <w:rPr>
          <w:color w:val="000000" w:themeColor="text1"/>
        </w:rPr>
        <w:t>provides</w:t>
      </w:r>
      <w:r w:rsidRPr="00FF139E">
        <w:rPr>
          <w:color w:val="000000" w:themeColor="text1"/>
        </w:rPr>
        <w:t xml:space="preserve"> a consistent vocabulary for extraction, make</w:t>
      </w:r>
      <w:r w:rsidR="00E03646" w:rsidRPr="00FF139E">
        <w:rPr>
          <w:color w:val="000000" w:themeColor="text1"/>
        </w:rPr>
        <w:t>s</w:t>
      </w:r>
      <w:r w:rsidRPr="00FF139E">
        <w:rPr>
          <w:color w:val="000000" w:themeColor="text1"/>
        </w:rPr>
        <w:t xml:space="preserve"> term matching traceable, and constrain</w:t>
      </w:r>
      <w:r w:rsidR="00E03646" w:rsidRPr="00FF139E">
        <w:rPr>
          <w:color w:val="000000" w:themeColor="text1"/>
        </w:rPr>
        <w:t>s</w:t>
      </w:r>
      <w:r w:rsidRPr="00FF139E">
        <w:rPr>
          <w:color w:val="000000" w:themeColor="text1"/>
        </w:rPr>
        <w:t xml:space="preserve"> interpretation to documented concepts.</w:t>
      </w:r>
    </w:p>
    <w:p w14:paraId="343EF6CD" w14:textId="01E7DA6D" w:rsidR="00160876" w:rsidRPr="00FF139E" w:rsidRDefault="00160876" w:rsidP="00160876">
      <w:pPr>
        <w:pStyle w:val="PaperBody"/>
        <w:spacing w:after="20"/>
        <w:rPr>
          <w:color w:val="000000" w:themeColor="text1"/>
        </w:rPr>
      </w:pPr>
      <w:r w:rsidRPr="00FF139E">
        <w:rPr>
          <w:color w:val="000000" w:themeColor="text1"/>
        </w:rPr>
        <w:t>The lexicon is organised in three layers. The foundation layer (A) combines IC-PRO-Onto, which provides higher</w:t>
      </w:r>
      <w:r w:rsidR="00E03646" w:rsidRPr="00FF139E">
        <w:rPr>
          <w:color w:val="000000" w:themeColor="text1"/>
        </w:rPr>
        <w:t>-</w:t>
      </w:r>
      <w:r w:rsidRPr="00FF139E">
        <w:rPr>
          <w:color w:val="000000" w:themeColor="text1"/>
        </w:rPr>
        <w:t>order process concepts and relations (El-Gohary and El-</w:t>
      </w:r>
      <w:proofErr w:type="spellStart"/>
      <w:r w:rsidRPr="00FF139E">
        <w:rPr>
          <w:color w:val="000000" w:themeColor="text1"/>
        </w:rPr>
        <w:t>Diraby</w:t>
      </w:r>
      <w:proofErr w:type="spellEnd"/>
      <w:r w:rsidRPr="00FF139E">
        <w:rPr>
          <w:color w:val="000000" w:themeColor="text1"/>
        </w:rPr>
        <w:t xml:space="preserve">, 2010), with the work order taxonomy developed by </w:t>
      </w:r>
      <w:proofErr w:type="spellStart"/>
      <w:r w:rsidRPr="00FF139E">
        <w:rPr>
          <w:color w:val="000000" w:themeColor="text1"/>
        </w:rPr>
        <w:t>Sobhkhiz</w:t>
      </w:r>
      <w:proofErr w:type="spellEnd"/>
      <w:r w:rsidRPr="00FF139E">
        <w:rPr>
          <w:color w:val="000000" w:themeColor="text1"/>
        </w:rPr>
        <w:t xml:space="preserve"> and El-</w:t>
      </w:r>
      <w:proofErr w:type="spellStart"/>
      <w:r w:rsidRPr="00FF139E">
        <w:rPr>
          <w:color w:val="000000" w:themeColor="text1"/>
        </w:rPr>
        <w:t>Diraby</w:t>
      </w:r>
      <w:proofErr w:type="spellEnd"/>
      <w:r w:rsidRPr="00FF139E">
        <w:rPr>
          <w:color w:val="000000" w:themeColor="text1"/>
        </w:rPr>
        <w:t xml:space="preserve"> (2025), which provides observed terms across Actions, Systems and Issues. A second layer (B) adds retrofit</w:t>
      </w:r>
      <w:r w:rsidR="00E03646" w:rsidRPr="00FF139E">
        <w:rPr>
          <w:color w:val="000000" w:themeColor="text1"/>
        </w:rPr>
        <w:t>-</w:t>
      </w:r>
      <w:r w:rsidRPr="00FF139E">
        <w:rPr>
          <w:color w:val="000000" w:themeColor="text1"/>
        </w:rPr>
        <w:t>specific terminology, including activities, systems and constraints relevant to building upgrades. A third layer (C) captures institution</w:t>
      </w:r>
      <w:r w:rsidR="00E03646" w:rsidRPr="00FF139E">
        <w:rPr>
          <w:color w:val="000000" w:themeColor="text1"/>
        </w:rPr>
        <w:t>-</w:t>
      </w:r>
      <w:r w:rsidRPr="00FF139E">
        <w:rPr>
          <w:color w:val="000000" w:themeColor="text1"/>
        </w:rPr>
        <w:t>specific shorthand, including abbreviations, work centre labels and recurring operational terms.</w:t>
      </w:r>
    </w:p>
    <w:p w14:paraId="2B711C91" w14:textId="50CC6B69" w:rsidR="00160876" w:rsidRPr="00FF139E" w:rsidRDefault="00160876" w:rsidP="00E03646">
      <w:pPr>
        <w:pStyle w:val="PaperBody"/>
        <w:spacing w:after="20"/>
        <w:rPr>
          <w:color w:val="000000" w:themeColor="text1"/>
        </w:rPr>
      </w:pPr>
      <w:r w:rsidRPr="00FF139E">
        <w:rPr>
          <w:color w:val="000000" w:themeColor="text1"/>
        </w:rPr>
        <w:lastRenderedPageBreak/>
        <w:t>Before evaluation, subject matter experts review the lexicon, its definitions and the rules for mapping local terms. The reviewed version is then frozen. Unmatched terms are logged for later revision.</w:t>
      </w:r>
    </w:p>
    <w:p w14:paraId="509A09D1" w14:textId="77777777" w:rsidR="009F2657" w:rsidRPr="00FF139E" w:rsidRDefault="00000000" w:rsidP="00B94216">
      <w:pPr>
        <w:pStyle w:val="Heading2"/>
        <w:jc w:val="both"/>
      </w:pPr>
      <w:r w:rsidRPr="00FF139E">
        <w:t>3.4 The Technical Language Processing (TLP) pipeline</w:t>
      </w:r>
    </w:p>
    <w:p w14:paraId="6EE87B38" w14:textId="46B11ACC" w:rsidR="00160876" w:rsidRPr="00FF139E" w:rsidRDefault="00160876" w:rsidP="00160876">
      <w:pPr>
        <w:pStyle w:val="PaperBody"/>
        <w:spacing w:after="20"/>
        <w:rPr>
          <w:color w:val="000000" w:themeColor="text1"/>
        </w:rPr>
      </w:pPr>
      <w:r w:rsidRPr="00FF139E">
        <w:rPr>
          <w:color w:val="000000" w:themeColor="text1"/>
        </w:rPr>
        <w:t>Technical Language Processing uses the lexicon to interpret work order text and extract candidate process elements, including actions, actors, systems and constraints. The pipeline addresses noise, ambiguity and variability separately. Noise is treated through de</w:t>
      </w:r>
      <w:r w:rsidRPr="00FF139E">
        <w:rPr>
          <w:strike/>
          <w:color w:val="000000" w:themeColor="text1"/>
        </w:rPr>
        <w:t xml:space="preserve"> </w:t>
      </w:r>
      <w:r w:rsidRPr="00FF139E">
        <w:rPr>
          <w:color w:val="000000" w:themeColor="text1"/>
        </w:rPr>
        <w:t>identification and normalisation while preserving negation, timing expressions and whether work is requested or reported as completed. Original text and record identifiers remain available for audit. Ambiguity is addressed by comparing text derived candidates with structured fields such as work centre, asset, date and parent child hierarchy. Variability is handled by mapping abbreviations and alternative expressions to the corresponding controlled lexicon concept.</w:t>
      </w:r>
    </w:p>
    <w:p w14:paraId="538596C3" w14:textId="46C582FA" w:rsidR="00160876" w:rsidRPr="00FF139E" w:rsidRDefault="00160876" w:rsidP="00160876">
      <w:pPr>
        <w:pStyle w:val="PaperBody"/>
        <w:spacing w:after="20"/>
        <w:rPr>
          <w:color w:val="000000" w:themeColor="text1"/>
        </w:rPr>
      </w:pPr>
      <w:r w:rsidRPr="00FF139E">
        <w:rPr>
          <w:color w:val="000000" w:themeColor="text1"/>
        </w:rPr>
        <w:t>The TLP output is treated as candidate process evidence. A lexicon match supports an interpretation of the text; evidence that an activity occurred must be assessed separately. Agreement with relevant structured fields provides additional support, although fields copied from the same source are not independent confirmation. Where evidence is contradictory or insufficient, the interpretation remains unresolved.</w:t>
      </w:r>
    </w:p>
    <w:p w14:paraId="46F597CC" w14:textId="77777777" w:rsidR="00160876" w:rsidRPr="00FF139E" w:rsidRDefault="00160876" w:rsidP="00160876">
      <w:pPr>
        <w:pStyle w:val="PaperBody"/>
        <w:spacing w:after="20"/>
        <w:rPr>
          <w:color w:val="000000" w:themeColor="text1"/>
        </w:rPr>
      </w:pPr>
      <w:r w:rsidRPr="00FF139E">
        <w:rPr>
          <w:color w:val="000000" w:themeColor="text1"/>
        </w:rPr>
        <w:t>Evidence basis and confidence are recorded separately. Evidence basis identifies whether an interpretation is stated or inferred. High confidence requires clear, corroborated support; medium confidence indicates a plausible interpretation with limited support. Each rating includes its reason, and the rating rules are fixed before evaluation. Conflicting or insufficient evidence remains unresolved. These qualitative categories describe evidential support rather than calibrated probabilities.</w:t>
      </w:r>
    </w:p>
    <w:p w14:paraId="56CD4899" w14:textId="54C78227" w:rsidR="00160876" w:rsidRPr="00FF139E" w:rsidRDefault="00160876" w:rsidP="00160876">
      <w:pPr>
        <w:pStyle w:val="PaperBody"/>
        <w:spacing w:after="20"/>
        <w:rPr>
          <w:color w:val="000000" w:themeColor="text1"/>
        </w:rPr>
      </w:pPr>
      <w:r w:rsidRPr="00FF139E">
        <w:rPr>
          <w:color w:val="000000" w:themeColor="text1"/>
        </w:rPr>
        <w:t>Where ambiguity remains after lexicon matching and cross checks with structured fields, a large language model (LLM) assisted second opinion may be used to suggest alternative interpretations. Its output is logged and cannot write directly to the Evidence Log or override contradictory source evidence. A suggestion can be accepted only after source checks and practitioner review, with the decision and its reason retained.</w:t>
      </w:r>
    </w:p>
    <w:p w14:paraId="709FBB55" w14:textId="7E76C816" w:rsidR="00160876" w:rsidRPr="00FF139E" w:rsidRDefault="00160876" w:rsidP="00160876">
      <w:pPr>
        <w:pStyle w:val="PaperBody"/>
        <w:spacing w:after="20"/>
        <w:rPr>
          <w:color w:val="000000" w:themeColor="text1"/>
        </w:rPr>
      </w:pPr>
      <w:r w:rsidRPr="00FF139E">
        <w:rPr>
          <w:color w:val="000000" w:themeColor="text1"/>
        </w:rPr>
        <w:t>Figure 3 illustrates the pipeline through a worked example, showing how raw technical text is normalised, mapped to the controlled lexicon and checked against structured fields. The phrase “ASB CHK PRIOR” expresses a requested condition; it does not confirm that an asbestos check occurred. The table describes support for interpreting terms. Execution status and timing still require separate evidence before reconstruction.</w:t>
      </w:r>
    </w:p>
    <w:p w14:paraId="4AB75A95" w14:textId="3643B9B5" w:rsidR="00E2270B" w:rsidRPr="00FF139E" w:rsidRDefault="008A73DC" w:rsidP="00E2270B">
      <w:pPr>
        <w:pStyle w:val="PaperBody"/>
        <w:spacing w:after="20"/>
        <w:ind w:firstLine="0"/>
      </w:pPr>
      <w:r w:rsidRPr="00FF139E">
        <w:rPr>
          <w:noProof/>
        </w:rPr>
        <w:drawing>
          <wp:inline distT="0" distB="0" distL="0" distR="0" wp14:anchorId="5F382AC5" wp14:editId="75C0EA3A">
            <wp:extent cx="5731510" cy="2475865"/>
            <wp:effectExtent l="0" t="0" r="0" b="0"/>
            <wp:docPr id="13747039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03909" name="Picture 1374703909"/>
                    <pic:cNvPicPr/>
                  </pic:nvPicPr>
                  <pic:blipFill>
                    <a:blip r:embed="rId9">
                      <a:extLst>
                        <a:ext uri="{28A0092B-C50C-407E-A947-70E740481C1C}">
                          <a14:useLocalDpi xmlns:a14="http://schemas.microsoft.com/office/drawing/2010/main" val="0"/>
                        </a:ext>
                      </a:extLst>
                    </a:blip>
                    <a:stretch>
                      <a:fillRect/>
                    </a:stretch>
                  </pic:blipFill>
                  <pic:spPr>
                    <a:xfrm>
                      <a:off x="0" y="0"/>
                      <a:ext cx="5731510" cy="2475865"/>
                    </a:xfrm>
                    <a:prstGeom prst="rect">
                      <a:avLst/>
                    </a:prstGeom>
                  </pic:spPr>
                </pic:pic>
              </a:graphicData>
            </a:graphic>
          </wp:inline>
        </w:drawing>
      </w:r>
    </w:p>
    <w:p w14:paraId="0913E270" w14:textId="3F0ED49B" w:rsidR="00160876" w:rsidRPr="00FF139E" w:rsidRDefault="00160876" w:rsidP="00B62947">
      <w:pPr>
        <w:keepLines/>
        <w:spacing w:before="40" w:after="80"/>
        <w:jc w:val="center"/>
        <w:rPr>
          <w:i/>
          <w:iCs/>
          <w:color w:val="000000" w:themeColor="text1"/>
          <w:sz w:val="20"/>
          <w:szCs w:val="20"/>
        </w:rPr>
      </w:pPr>
      <w:r w:rsidRPr="00FF139E">
        <w:rPr>
          <w:i/>
          <w:iCs/>
          <w:color w:val="000000" w:themeColor="text1"/>
          <w:sz w:val="20"/>
          <w:szCs w:val="20"/>
        </w:rPr>
        <w:lastRenderedPageBreak/>
        <w:t>Figure 3. TLP stages and an illustrative term extraction example. Match support is distinct from evidence of execution.</w:t>
      </w:r>
    </w:p>
    <w:p w14:paraId="5B7F1E6A" w14:textId="77777777" w:rsidR="006D037F" w:rsidRPr="00FF139E" w:rsidRDefault="00000000" w:rsidP="00B94216">
      <w:pPr>
        <w:pStyle w:val="Heading2"/>
        <w:jc w:val="both"/>
        <w:rPr>
          <w:color w:val="000000" w:themeColor="text1"/>
        </w:rPr>
      </w:pPr>
      <w:r w:rsidRPr="00FF139E">
        <w:rPr>
          <w:color w:val="000000" w:themeColor="text1"/>
        </w:rPr>
        <w:t>3.5 Formalisation and the normative model</w:t>
      </w:r>
    </w:p>
    <w:p w14:paraId="64A803ED" w14:textId="04421E6B" w:rsidR="009A63AD" w:rsidRPr="00FF139E" w:rsidRDefault="009A63AD" w:rsidP="009A63AD">
      <w:pPr>
        <w:suppressAutoHyphens w:val="0"/>
        <w:ind w:firstLine="720"/>
        <w:jc w:val="both"/>
        <w:rPr>
          <w:rFonts w:eastAsia="Times New Roman"/>
          <w:color w:val="000000" w:themeColor="text1"/>
        </w:rPr>
      </w:pPr>
      <w:r w:rsidRPr="00FF139E">
        <w:rPr>
          <w:color w:val="000000" w:themeColor="text1"/>
        </w:rPr>
        <w:t xml:space="preserve">For each selected recurring workflow, the researcher manually develops a normative reference model with subject matter experts, independently of the traces used for evaluation. The model states expected activities, dependencies and the conditions under which they apply. It is reviewed, versioned and frozen before reconstruction begins. BPMN provides a readable representation for practitioner review. Later </w:t>
      </w:r>
      <w:r w:rsidRPr="00FF139E">
        <w:rPr>
          <w:rFonts w:eastAsia="Times New Roman"/>
          <w:color w:val="000000" w:themeColor="text1"/>
        </w:rPr>
        <w:t>revisions are recorded as new versions.</w:t>
      </w:r>
    </w:p>
    <w:p w14:paraId="1CAB7F34" w14:textId="77777777" w:rsidR="009A63AD" w:rsidRPr="00FF139E" w:rsidRDefault="009A63AD" w:rsidP="009A63AD">
      <w:pPr>
        <w:pStyle w:val="PaperBody"/>
        <w:spacing w:after="20"/>
        <w:rPr>
          <w:color w:val="000000" w:themeColor="text1"/>
        </w:rPr>
      </w:pPr>
      <w:r w:rsidRPr="00FF139E">
        <w:rPr>
          <w:color w:val="000000" w:themeColor="text1"/>
        </w:rPr>
        <w:t>The lexicon supplies the vocabulary, while a focused set of first order logic constraints specifies activity identity, precedence and the basis of temporal claims. This design draws on the explicit process semantics of the Process Specification Language (</w:t>
      </w:r>
      <w:proofErr w:type="spellStart"/>
      <w:r w:rsidRPr="00FF139E">
        <w:rPr>
          <w:color w:val="000000" w:themeColor="text1"/>
        </w:rPr>
        <w:t>Grüninger</w:t>
      </w:r>
      <w:proofErr w:type="spellEnd"/>
      <w:r w:rsidRPr="00FF139E">
        <w:rPr>
          <w:color w:val="000000" w:themeColor="text1"/>
        </w:rPr>
        <w:t xml:space="preserve"> and Menzel, 2003). The proposed constraints distinguish statements about ticket dates from statements about execution. Internal consistency and agreement with expected practice are checked separately: a </w:t>
      </w:r>
      <w:proofErr w:type="spellStart"/>
      <w:r w:rsidRPr="00FF139E">
        <w:rPr>
          <w:color w:val="000000" w:themeColor="text1"/>
        </w:rPr>
        <w:t>well formed</w:t>
      </w:r>
      <w:proofErr w:type="spellEnd"/>
      <w:r w:rsidRPr="00FF139E">
        <w:rPr>
          <w:color w:val="000000" w:themeColor="text1"/>
        </w:rPr>
        <w:t xml:space="preserve"> trace may still reveal a genuine departure from the reference. For example, where the reference requires hazard clearance before removal, missing clearance evidence is recorded as unobserved. The rule supplies an expectation; it does not supply evidence that clearance occurred.</w:t>
      </w:r>
    </w:p>
    <w:p w14:paraId="4CB7275D" w14:textId="47395BEA" w:rsidR="009F2657" w:rsidRPr="00FF139E" w:rsidRDefault="00000000" w:rsidP="00B94216">
      <w:pPr>
        <w:pStyle w:val="Heading2"/>
        <w:jc w:val="both"/>
        <w:rPr>
          <w:color w:val="000000" w:themeColor="text1"/>
        </w:rPr>
      </w:pPr>
      <w:r w:rsidRPr="00FF139E">
        <w:rPr>
          <w:color w:val="000000" w:themeColor="text1"/>
        </w:rPr>
        <w:t xml:space="preserve">3.6 </w:t>
      </w:r>
      <w:r w:rsidR="00074F3F" w:rsidRPr="00FF139E">
        <w:t>Workflow reconstruction and conformance</w:t>
      </w:r>
    </w:p>
    <w:p w14:paraId="431289C3" w14:textId="4F31A885" w:rsidR="009A63AD" w:rsidRPr="00FF139E" w:rsidRDefault="009A63AD" w:rsidP="009A63AD">
      <w:pPr>
        <w:suppressAutoHyphens w:val="0"/>
        <w:ind w:firstLine="720"/>
        <w:jc w:val="both"/>
        <w:rPr>
          <w:rFonts w:eastAsia="Times New Roman"/>
          <w:color w:val="000000" w:themeColor="text1"/>
        </w:rPr>
      </w:pPr>
      <w:r w:rsidRPr="00FF139E">
        <w:rPr>
          <w:rFonts w:eastAsia="Times New Roman"/>
          <w:color w:val="000000" w:themeColor="text1"/>
        </w:rPr>
        <w:t>For each candidate process instance, the relevant entries in the Evidence Log are computationally assembled into a workflow trace. Only entries with supporting execution evidence enter the recovered trace; requests remain contextual evidence. Activities are mapped to BPMN steps, actors or trades to lanes, and supported sequence and handoff relations to flows. Each element retains its source and evidence status. Where order is uncertain, the output remains a set of annotated fragments; missing dates or links are not replaced by an assumed sequence. Expected activities without supporting evidence remain outside the reconstructed trace.</w:t>
      </w:r>
    </w:p>
    <w:p w14:paraId="393BD7D4" w14:textId="77777777" w:rsidR="009A63AD" w:rsidRPr="00FF139E" w:rsidRDefault="009A63AD" w:rsidP="009A63AD">
      <w:pPr>
        <w:pStyle w:val="PaperBody"/>
        <w:spacing w:after="20"/>
        <w:rPr>
          <w:color w:val="000000" w:themeColor="text1"/>
        </w:rPr>
      </w:pPr>
      <w:r w:rsidRPr="00FF139E">
        <w:rPr>
          <w:color w:val="000000" w:themeColor="text1"/>
        </w:rPr>
        <w:t>Each trace is compared with the frozen normative model. Three states describe elements in that comparison: observed means an expected element has supporting record evidence; unobserved but expected means an applicable expected element has no supporting evidence; observed but not anticipated means a supported element is absent from the reference. A single comparison can include all three states. Here, observed refers to evidence in records; its reliability remains qualified by source and confidence. Sequence deviations are recorded separately. Comparison across instances identifies candidate variants for practitioner review.</w:t>
      </w:r>
    </w:p>
    <w:p w14:paraId="2191CC7F" w14:textId="628EB514" w:rsidR="00307E2D" w:rsidRPr="00FF139E" w:rsidRDefault="00000000" w:rsidP="00B94216">
      <w:pPr>
        <w:pStyle w:val="Heading2"/>
        <w:jc w:val="both"/>
        <w:rPr>
          <w:color w:val="000000" w:themeColor="text1"/>
        </w:rPr>
      </w:pPr>
      <w:r w:rsidRPr="00FF139E">
        <w:rPr>
          <w:color w:val="000000" w:themeColor="text1"/>
        </w:rPr>
        <w:t xml:space="preserve">3.7 </w:t>
      </w:r>
      <w:r w:rsidR="00307E2D" w:rsidRPr="00FF139E">
        <w:rPr>
          <w:color w:val="000000" w:themeColor="text1"/>
        </w:rPr>
        <w:t xml:space="preserve">Validation and </w:t>
      </w:r>
      <w:r w:rsidRPr="00FF139E">
        <w:rPr>
          <w:color w:val="000000" w:themeColor="text1"/>
        </w:rPr>
        <w:t>Practitioner review</w:t>
      </w:r>
    </w:p>
    <w:p w14:paraId="328D1D82" w14:textId="128C99BD" w:rsidR="009A63AD" w:rsidRPr="00FF139E" w:rsidRDefault="009A63AD" w:rsidP="009A63AD">
      <w:pPr>
        <w:suppressAutoHyphens w:val="0"/>
        <w:ind w:firstLine="720"/>
        <w:jc w:val="both"/>
        <w:rPr>
          <w:rFonts w:eastAsia="Times New Roman"/>
          <w:color w:val="000000" w:themeColor="text1"/>
        </w:rPr>
      </w:pPr>
      <w:r w:rsidRPr="00FF139E">
        <w:rPr>
          <w:rFonts w:eastAsia="Times New Roman"/>
          <w:color w:val="000000" w:themeColor="text1"/>
        </w:rPr>
        <w:t>Practitioner review is embedded at two points in the framework. First, subject matter experts review the controlled lexicon and normative model before these are frozen for evaluation. Second, practitioners examine recovered traces and their supporting records, including uncertain and rejected interpretations. They assess whether deviations reflect recovery errors or genuine differences in field practice. Where the records and practitioner accounts cannot resolve a discrepancy, it remains inconclusive. Agreement with the normative model alone does not establish that the reconstruction is correct.</w:t>
      </w:r>
    </w:p>
    <w:p w14:paraId="6AB1D7D8" w14:textId="38EE3C9F" w:rsidR="009A63AD" w:rsidRPr="00FF139E" w:rsidRDefault="009A63AD" w:rsidP="009A63AD">
      <w:pPr>
        <w:suppressAutoHyphens w:val="0"/>
        <w:ind w:firstLine="720"/>
        <w:jc w:val="both"/>
        <w:rPr>
          <w:rFonts w:eastAsia="Times New Roman"/>
          <w:color w:val="000000" w:themeColor="text1"/>
        </w:rPr>
      </w:pPr>
      <w:r w:rsidRPr="00FF139E">
        <w:rPr>
          <w:rFonts w:eastAsia="Times New Roman"/>
          <w:color w:val="000000" w:themeColor="text1"/>
        </w:rPr>
        <w:t>The proposed reconstruction success criterion is traceability and explainable deviation: each represented element has a source, and practitioners can attribute each reviewed deviation to a recovery error or a supported difference in practice. Recovery errors must be corrected before a trace is approved for reuse. Unresolved deviations are reported separately. Evaluation will distinguish coverage of applicable expected activities, conformance of recovered traces and the proportion of deviations that can be explained. Proposed reference model changes become new versions; the version used for evaluation remains unchanged. This paper specifies the procedure; implementation and systematic validation are reserved for subsequent work.</w:t>
      </w:r>
    </w:p>
    <w:p w14:paraId="3ED97434" w14:textId="5F3740FC" w:rsidR="009F2657" w:rsidRPr="00FF139E" w:rsidRDefault="00000000" w:rsidP="00B94216">
      <w:pPr>
        <w:pStyle w:val="Heading1"/>
        <w:jc w:val="both"/>
        <w:rPr>
          <w:color w:val="000000" w:themeColor="text1"/>
        </w:rPr>
      </w:pPr>
      <w:r w:rsidRPr="00FF139E">
        <w:rPr>
          <w:color w:val="000000" w:themeColor="text1"/>
        </w:rPr>
        <w:lastRenderedPageBreak/>
        <w:t>4. Conclusions and Further Work</w:t>
      </w:r>
    </w:p>
    <w:p w14:paraId="6F932CE9" w14:textId="77777777" w:rsidR="00D06666" w:rsidRPr="00FF139E" w:rsidRDefault="00D06666" w:rsidP="00D06666">
      <w:pPr>
        <w:pStyle w:val="Heading1"/>
        <w:jc w:val="both"/>
        <w:rPr>
          <w:rFonts w:eastAsia="Times New Roman"/>
          <w:b w:val="0"/>
          <w:bCs w:val="0"/>
          <w:caps w:val="0"/>
          <w:color w:val="000000" w:themeColor="text1"/>
          <w:sz w:val="22"/>
          <w:szCs w:val="22"/>
        </w:rPr>
      </w:pPr>
      <w:r w:rsidRPr="00FF139E">
        <w:rPr>
          <w:rFonts w:eastAsia="Times New Roman"/>
          <w:b w:val="0"/>
          <w:bCs w:val="0"/>
          <w:caps w:val="0"/>
          <w:color w:val="000000" w:themeColor="text1"/>
          <w:sz w:val="22"/>
          <w:szCs w:val="22"/>
        </w:rPr>
        <w:t>Process Amnesia refers to the failure to transform surviving records and project experiences into reusable workflow knowledge. Construction records often retain individual activities but lack clarity on sequence, coordination, and rationale. Recovering this knowledge requires explicit analysis of what records support and what remains uncertain.</w:t>
      </w:r>
    </w:p>
    <w:p w14:paraId="7C2EE2CC" w14:textId="77777777" w:rsidR="00D06666" w:rsidRPr="00FF139E" w:rsidRDefault="00D06666" w:rsidP="00D06666">
      <w:pPr>
        <w:pStyle w:val="Heading1"/>
        <w:jc w:val="both"/>
        <w:rPr>
          <w:rFonts w:eastAsia="Times New Roman"/>
          <w:b w:val="0"/>
          <w:bCs w:val="0"/>
          <w:caps w:val="0"/>
          <w:color w:val="000000" w:themeColor="text1"/>
          <w:sz w:val="22"/>
          <w:szCs w:val="22"/>
        </w:rPr>
      </w:pPr>
      <w:r w:rsidRPr="00FF139E">
        <w:rPr>
          <w:rFonts w:eastAsia="Times New Roman"/>
          <w:b w:val="0"/>
          <w:bCs w:val="0"/>
          <w:caps w:val="0"/>
          <w:color w:val="000000" w:themeColor="text1"/>
          <w:sz w:val="22"/>
          <w:szCs w:val="22"/>
        </w:rPr>
        <w:t>The proposed framework involves five steps: lexicon-based extraction, Evidence Log creation, formalization of a normative model, reconstruction and conformance, and graph integration. The lexicon guides interpretation, and the Evidence Log documents each claim with its source, time, and confidence. Reconstructed traces are compared to references, and deviations are assessed. Activities without evidence remain unobserved, forming a basis for identifying recurring workflow patterns and their reusability.</w:t>
      </w:r>
    </w:p>
    <w:p w14:paraId="2DBFAB90" w14:textId="77777777" w:rsidR="00D06666" w:rsidRPr="00FF139E" w:rsidRDefault="00D06666" w:rsidP="00D06666">
      <w:pPr>
        <w:pStyle w:val="Heading1"/>
        <w:jc w:val="both"/>
        <w:rPr>
          <w:rFonts w:eastAsia="Times New Roman"/>
          <w:b w:val="0"/>
          <w:bCs w:val="0"/>
          <w:caps w:val="0"/>
          <w:color w:val="000000" w:themeColor="text1"/>
          <w:sz w:val="22"/>
          <w:szCs w:val="22"/>
        </w:rPr>
      </w:pPr>
      <w:r w:rsidRPr="00FF139E">
        <w:rPr>
          <w:rFonts w:eastAsia="Times New Roman"/>
          <w:b w:val="0"/>
          <w:bCs w:val="0"/>
          <w:caps w:val="0"/>
          <w:color w:val="000000" w:themeColor="text1"/>
          <w:sz w:val="22"/>
          <w:szCs w:val="22"/>
        </w:rPr>
        <w:t xml:space="preserve">Conceptually outlined here, the next step is applying the framework to institutional work order data. This will test case assembly, activity interpretation, and sequence recovery, while examining limitations posed by incomplete or missing records. Repeated applications will help </w:t>
      </w:r>
      <w:proofErr w:type="spellStart"/>
      <w:r w:rsidRPr="00FF139E">
        <w:rPr>
          <w:rFonts w:eastAsia="Times New Roman"/>
          <w:b w:val="0"/>
          <w:bCs w:val="0"/>
          <w:caps w:val="0"/>
          <w:color w:val="000000" w:themeColor="text1"/>
          <w:sz w:val="22"/>
          <w:szCs w:val="22"/>
        </w:rPr>
        <w:t>analyze</w:t>
      </w:r>
      <w:proofErr w:type="spellEnd"/>
      <w:r w:rsidRPr="00FF139E">
        <w:rPr>
          <w:rFonts w:eastAsia="Times New Roman"/>
          <w:b w:val="0"/>
          <w:bCs w:val="0"/>
          <w:caps w:val="0"/>
          <w:color w:val="000000" w:themeColor="text1"/>
          <w:sz w:val="22"/>
          <w:szCs w:val="22"/>
        </w:rPr>
        <w:t xml:space="preserve"> variants. Distinguishing missing evidence from activities that didn’t occur remains a challenge.</w:t>
      </w:r>
    </w:p>
    <w:p w14:paraId="2C2B3A11" w14:textId="77777777" w:rsidR="00D06666" w:rsidRPr="00FF139E" w:rsidRDefault="00D06666" w:rsidP="00D06666">
      <w:pPr>
        <w:pStyle w:val="Heading1"/>
        <w:jc w:val="both"/>
        <w:rPr>
          <w:rFonts w:eastAsia="Times New Roman"/>
          <w:b w:val="0"/>
          <w:bCs w:val="0"/>
          <w:caps w:val="0"/>
          <w:color w:val="000000" w:themeColor="text1"/>
          <w:sz w:val="22"/>
          <w:szCs w:val="22"/>
        </w:rPr>
      </w:pPr>
      <w:r w:rsidRPr="00FF139E">
        <w:rPr>
          <w:rFonts w:eastAsia="Times New Roman"/>
          <w:b w:val="0"/>
          <w:bCs w:val="0"/>
          <w:caps w:val="0"/>
          <w:color w:val="000000" w:themeColor="text1"/>
          <w:sz w:val="22"/>
          <w:szCs w:val="22"/>
        </w:rPr>
        <w:t xml:space="preserve">Future work includes encoding workflows in a process knowledge graph linked to source records and evidence status. Recurring patterns could become templates indicating applicable asset types, constraints, and supporting cases. After practitioner approval, these could be exported as BPMN models for project management or asset systems. New records and revisions would support updates, with earlier versions retained for audit. This outlines a path to living templates; further testing is needed for implementation across record types and domains. </w:t>
      </w:r>
    </w:p>
    <w:p w14:paraId="1D8F24F2" w14:textId="783BE0C7" w:rsidR="009F2657" w:rsidRPr="00FF139E" w:rsidRDefault="00000000" w:rsidP="00D06666">
      <w:pPr>
        <w:pStyle w:val="Heading1"/>
        <w:jc w:val="both"/>
        <w:rPr>
          <w:color w:val="000000" w:themeColor="text1"/>
        </w:rPr>
      </w:pPr>
      <w:r w:rsidRPr="00FF139E">
        <w:rPr>
          <w:color w:val="000000" w:themeColor="text1"/>
        </w:rPr>
        <w:t>References</w:t>
      </w:r>
    </w:p>
    <w:p w14:paraId="1789156F"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Baek, S., Jung, W. and Han, S.H. (2021) "A critical review of text-based research in construction: Data source, analysis method, and implications," </w:t>
      </w:r>
      <w:r w:rsidRPr="00FF139E">
        <w:rPr>
          <w:i/>
          <w:iCs/>
          <w:color w:val="000000" w:themeColor="text1"/>
        </w:rPr>
        <w:t>Automation in Construction</w:t>
      </w:r>
      <w:r w:rsidRPr="00FF139E">
        <w:rPr>
          <w:color w:val="000000" w:themeColor="text1"/>
        </w:rPr>
        <w:t>, 132, p. 103915.</w:t>
      </w:r>
    </w:p>
    <w:p w14:paraId="0107FBAD" w14:textId="77777777" w:rsidR="009F2657" w:rsidRPr="00FF139E" w:rsidRDefault="00000000" w:rsidP="00B94216">
      <w:pPr>
        <w:spacing w:after="8"/>
        <w:ind w:left="420" w:hanging="420"/>
        <w:jc w:val="both"/>
        <w:rPr>
          <w:color w:val="000000" w:themeColor="text1"/>
        </w:rPr>
      </w:pPr>
      <w:r w:rsidRPr="00FF139E">
        <w:rPr>
          <w:color w:val="000000" w:themeColor="text1"/>
        </w:rPr>
        <w:t>Brundage, M.P. et al. (2021) "Technical language processing: Unlocking maintenance knowledge," Manufacturing Letters, 27, pp. 42–46.</w:t>
      </w:r>
    </w:p>
    <w:p w14:paraId="2A4EBFBD"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Chen, L. et al. (2019) "Improving the quality of event logs in the construction industry for process mining," in </w:t>
      </w:r>
      <w:r w:rsidRPr="00FF139E">
        <w:rPr>
          <w:i/>
          <w:iCs/>
          <w:color w:val="000000" w:themeColor="text1"/>
        </w:rPr>
        <w:t>Proceedings of the 36th International Symposium on Automation and Robotics in Construction (ISARC 2019)</w:t>
      </w:r>
      <w:r w:rsidRPr="00FF139E">
        <w:rPr>
          <w:color w:val="000000" w:themeColor="text1"/>
        </w:rPr>
        <w:t>, pp. 804–811.</w:t>
      </w:r>
    </w:p>
    <w:p w14:paraId="2A1E8FBA"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Costa, L. et al. (2019) "Challenges of process modeling in architecture and engineering to execute projects and public works," </w:t>
      </w:r>
      <w:r w:rsidRPr="00FF139E">
        <w:rPr>
          <w:i/>
          <w:iCs/>
          <w:color w:val="000000" w:themeColor="text1"/>
        </w:rPr>
        <w:t>Journal of Construction Engineering and Management</w:t>
      </w:r>
      <w:r w:rsidRPr="00FF139E">
        <w:rPr>
          <w:color w:val="000000" w:themeColor="text1"/>
        </w:rPr>
        <w:t>, 145(1).</w:t>
      </w:r>
    </w:p>
    <w:p w14:paraId="717C9E48"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D’Angelo, L. et al. (2022) "A novel BIM-based process workflow for building retrofit," </w:t>
      </w:r>
      <w:r w:rsidRPr="00FF139E">
        <w:rPr>
          <w:i/>
          <w:iCs/>
          <w:color w:val="000000" w:themeColor="text1"/>
        </w:rPr>
        <w:t>Journal of Building Engineering</w:t>
      </w:r>
      <w:r w:rsidRPr="00FF139E">
        <w:rPr>
          <w:color w:val="000000" w:themeColor="text1"/>
        </w:rPr>
        <w:t>, 50, p. 104163.</w:t>
      </w:r>
    </w:p>
    <w:p w14:paraId="54D13231"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Debs, L. and Hubbard, B. (2023) "Gathering and disseminating lessons learned in construction companies to support knowledge management," </w:t>
      </w:r>
      <w:r w:rsidRPr="00FF139E">
        <w:rPr>
          <w:i/>
          <w:iCs/>
          <w:color w:val="000000" w:themeColor="text1"/>
        </w:rPr>
        <w:t>Construction Economics and Building</w:t>
      </w:r>
      <w:r w:rsidRPr="00FF139E">
        <w:rPr>
          <w:color w:val="000000" w:themeColor="text1"/>
        </w:rPr>
        <w:t>, 23(1/2).</w:t>
      </w:r>
    </w:p>
    <w:p w14:paraId="787F77F6"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Dumas, M. et al. (2018) </w:t>
      </w:r>
      <w:r w:rsidRPr="00FF139E">
        <w:rPr>
          <w:i/>
          <w:iCs/>
          <w:color w:val="000000" w:themeColor="text1"/>
        </w:rPr>
        <w:t>Fundamentals of Business Process Management</w:t>
      </w:r>
      <w:r w:rsidRPr="00FF139E">
        <w:rPr>
          <w:color w:val="000000" w:themeColor="text1"/>
        </w:rPr>
        <w:t>. Berlin, Heidelberg: Springer.</w:t>
      </w:r>
    </w:p>
    <w:p w14:paraId="5FCFEF4F" w14:textId="77777777" w:rsidR="009F2657" w:rsidRPr="00FF139E" w:rsidRDefault="00000000" w:rsidP="00B94216">
      <w:pPr>
        <w:spacing w:after="8"/>
        <w:ind w:left="420" w:hanging="420"/>
        <w:jc w:val="both"/>
        <w:rPr>
          <w:color w:val="000000" w:themeColor="text1"/>
        </w:rPr>
      </w:pPr>
      <w:r w:rsidRPr="00FF139E">
        <w:rPr>
          <w:color w:val="000000" w:themeColor="text1"/>
        </w:rPr>
        <w:t>El-Gohary, N.M. and El-</w:t>
      </w:r>
      <w:proofErr w:type="spellStart"/>
      <w:r w:rsidRPr="00FF139E">
        <w:rPr>
          <w:color w:val="000000" w:themeColor="text1"/>
        </w:rPr>
        <w:t>Diraby</w:t>
      </w:r>
      <w:proofErr w:type="spellEnd"/>
      <w:r w:rsidRPr="00FF139E">
        <w:rPr>
          <w:color w:val="000000" w:themeColor="text1"/>
        </w:rPr>
        <w:t xml:space="preserve">, T.E. (2010) "Domain Ontology for Processes in Infrastructure and Construction," </w:t>
      </w:r>
      <w:r w:rsidRPr="00FF139E">
        <w:rPr>
          <w:i/>
          <w:iCs/>
          <w:color w:val="000000" w:themeColor="text1"/>
        </w:rPr>
        <w:t>Journal of Construction Engineering and Management</w:t>
      </w:r>
      <w:r w:rsidRPr="00FF139E">
        <w:rPr>
          <w:color w:val="000000" w:themeColor="text1"/>
        </w:rPr>
        <w:t>, 136(7), pp. 730–744.</w:t>
      </w:r>
    </w:p>
    <w:p w14:paraId="47070678"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Grüninger, M. and Menzel, C. (2003) "The Process Specification Language (PSL) theory and applications," </w:t>
      </w:r>
      <w:r w:rsidRPr="00FF139E">
        <w:rPr>
          <w:i/>
          <w:iCs/>
          <w:color w:val="000000" w:themeColor="text1"/>
        </w:rPr>
        <w:t>AI Magazine</w:t>
      </w:r>
      <w:r w:rsidRPr="00FF139E">
        <w:rPr>
          <w:color w:val="000000" w:themeColor="text1"/>
        </w:rPr>
        <w:t>, 24(3), pp. 63–74.</w:t>
      </w:r>
    </w:p>
    <w:p w14:paraId="74CFA2CA"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Harl, M. et al. (2020) "Explainable predictive business process monitoring using gated graph neural networks," </w:t>
      </w:r>
      <w:r w:rsidRPr="00FF139E">
        <w:rPr>
          <w:i/>
          <w:iCs/>
          <w:color w:val="000000" w:themeColor="text1"/>
        </w:rPr>
        <w:t>Journal of Decision Systems</w:t>
      </w:r>
      <w:r w:rsidRPr="00FF139E">
        <w:rPr>
          <w:color w:val="000000" w:themeColor="text1"/>
        </w:rPr>
        <w:t>, 29(sup1), pp. 312–327.</w:t>
      </w:r>
    </w:p>
    <w:p w14:paraId="5CA51625"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Kang, S. and Haas, C.T. (2018) "Evaluating artificial intelligence tools for automated practice conformance checking," in </w:t>
      </w:r>
      <w:r w:rsidRPr="00FF139E">
        <w:rPr>
          <w:i/>
          <w:iCs/>
          <w:color w:val="000000" w:themeColor="text1"/>
        </w:rPr>
        <w:t>Proceedings of the 35th International Symposium on Automation and Robotics in Construction (ISARC 2018)</w:t>
      </w:r>
      <w:r w:rsidRPr="00FF139E">
        <w:rPr>
          <w:color w:val="000000" w:themeColor="text1"/>
        </w:rPr>
        <w:t>.</w:t>
      </w:r>
    </w:p>
    <w:p w14:paraId="5E669143" w14:textId="77777777" w:rsidR="00D06666" w:rsidRPr="00FF139E" w:rsidRDefault="00D06666" w:rsidP="00D06666">
      <w:pPr>
        <w:spacing w:after="8"/>
        <w:ind w:left="420" w:hanging="420"/>
        <w:jc w:val="both"/>
        <w:rPr>
          <w:color w:val="000000" w:themeColor="text1"/>
        </w:rPr>
      </w:pPr>
      <w:proofErr w:type="spellStart"/>
      <w:r w:rsidRPr="00FF139E">
        <w:rPr>
          <w:color w:val="000000" w:themeColor="text1"/>
        </w:rPr>
        <w:lastRenderedPageBreak/>
        <w:t>Khodabakhshian</w:t>
      </w:r>
      <w:proofErr w:type="spellEnd"/>
      <w:r w:rsidRPr="00FF139E">
        <w:rPr>
          <w:color w:val="000000" w:themeColor="text1"/>
        </w:rPr>
        <w:t>, A. and Re Cecconi, F. (2022) "Data-Driven Process Mining Framework for Risk Management in Construction Projects," IOP Conference Series: Earth and Environmental Science, 1101, p. 032023. https://doi.org/10.1088/1755-1315/1101/3/032023</w:t>
      </w:r>
    </w:p>
    <w:p w14:paraId="01957999" w14:textId="4D024304" w:rsidR="00D06666" w:rsidRPr="00FF139E" w:rsidRDefault="00D06666" w:rsidP="00D06666">
      <w:pPr>
        <w:spacing w:after="8"/>
        <w:ind w:left="420" w:hanging="420"/>
        <w:jc w:val="both"/>
        <w:rPr>
          <w:color w:val="000000" w:themeColor="text1"/>
        </w:rPr>
      </w:pPr>
      <w:r w:rsidRPr="00FF139E">
        <w:rPr>
          <w:color w:val="000000" w:themeColor="text1"/>
        </w:rPr>
        <w:t>Kong, F. and Ahn, S. (2024) "Use of Knowledge Graphs for Construction Safety Management: A Systematic Literature Review," Information, 15(7), p. 390. https://doi.org/10.3390/info15070390</w:t>
      </w:r>
    </w:p>
    <w:p w14:paraId="444F5F89"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König, F. et al. (2025) "Unstructured Data in Process Mining: A Systematic Literature Review," </w:t>
      </w:r>
      <w:r w:rsidRPr="00FF139E">
        <w:rPr>
          <w:i/>
          <w:iCs/>
          <w:color w:val="000000" w:themeColor="text1"/>
        </w:rPr>
        <w:t>ACM Transactions on Management Information Systems</w:t>
      </w:r>
      <w:r w:rsidRPr="00FF139E">
        <w:rPr>
          <w:color w:val="000000" w:themeColor="text1"/>
        </w:rPr>
        <w:t>, 16(3), pp. 1–34.</w:t>
      </w:r>
    </w:p>
    <w:p w14:paraId="3410D94C" w14:textId="77777777" w:rsidR="009F2657" w:rsidRPr="00FF139E" w:rsidRDefault="00000000" w:rsidP="00B94216">
      <w:pPr>
        <w:spacing w:after="8"/>
        <w:ind w:left="420" w:hanging="420"/>
        <w:jc w:val="both"/>
        <w:rPr>
          <w:color w:val="000000" w:themeColor="text1"/>
        </w:rPr>
      </w:pPr>
      <w:r w:rsidRPr="00FF139E">
        <w:rPr>
          <w:color w:val="000000" w:themeColor="text1"/>
        </w:rPr>
        <w:t>Kourani, H. et al. (2024) "Process Modeling With Large Language Models," in Enterprise, Business-Process and Information Systems Modeling (BPMDS/EMMSAD 2024), Lecture Notes in Business Information Processing, vol. 511. Cham: Springer, pp. 229–244.</w:t>
      </w:r>
    </w:p>
    <w:p w14:paraId="056CF9E0"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Levallet, N. and Chan, Y.E. (2019) "Organizational knowledge retention and knowledge loss," </w:t>
      </w:r>
      <w:r w:rsidRPr="00FF139E">
        <w:rPr>
          <w:i/>
          <w:iCs/>
          <w:color w:val="000000" w:themeColor="text1"/>
        </w:rPr>
        <w:t>Journal of Knowledge Management</w:t>
      </w:r>
      <w:r w:rsidRPr="00FF139E">
        <w:rPr>
          <w:color w:val="000000" w:themeColor="text1"/>
        </w:rPr>
        <w:t>, 23(1), pp. 176–199.</w:t>
      </w:r>
    </w:p>
    <w:p w14:paraId="40BAC1DE"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Marengo, E., Nutt, W. and Perktold, M. (2022) "CoPModL: Construction process modeling language and satisfiability checking," </w:t>
      </w:r>
      <w:r w:rsidRPr="00FF139E">
        <w:rPr>
          <w:i/>
          <w:iCs/>
          <w:color w:val="000000" w:themeColor="text1"/>
        </w:rPr>
        <w:t>Information Systems</w:t>
      </w:r>
      <w:r w:rsidRPr="00FF139E">
        <w:rPr>
          <w:color w:val="000000" w:themeColor="text1"/>
        </w:rPr>
        <w:t>, p. 101457.</w:t>
      </w:r>
    </w:p>
    <w:p w14:paraId="06BAAD58"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Martinez Lagunas, A.J. and Nik-Bakht, M. (2023) "Enabling process mining in the construction industry: An event log schema for change management process," in </w:t>
      </w:r>
      <w:r w:rsidRPr="00FF139E">
        <w:rPr>
          <w:i/>
          <w:iCs/>
          <w:color w:val="000000" w:themeColor="text1"/>
        </w:rPr>
        <w:t>Proc. CSCE Annual Conference</w:t>
      </w:r>
      <w:r w:rsidRPr="00FF139E">
        <w:rPr>
          <w:color w:val="000000" w:themeColor="text1"/>
        </w:rPr>
        <w:t>. Cham: Springer Nature Switzerland, pp. 103–117.</w:t>
      </w:r>
    </w:p>
    <w:p w14:paraId="4298B28E"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Martinez Lagunas, A.J. and Nik-Bakht, M. (2024) "Process Mining, Modeling, and Management in Construction: A Critical Review of Three Decades of Research Coupled with a Current Industry Perspective," </w:t>
      </w:r>
      <w:r w:rsidRPr="00FF139E">
        <w:rPr>
          <w:i/>
          <w:iCs/>
          <w:color w:val="000000" w:themeColor="text1"/>
        </w:rPr>
        <w:t>Journal of Construction Engineering and Management</w:t>
      </w:r>
      <w:r w:rsidRPr="00FF139E">
        <w:rPr>
          <w:color w:val="000000" w:themeColor="text1"/>
        </w:rPr>
        <w:t>, 150(11).</w:t>
      </w:r>
    </w:p>
    <w:p w14:paraId="7706C427"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McKinsey Global Institute (2017) </w:t>
      </w:r>
      <w:r w:rsidRPr="00FF139E">
        <w:rPr>
          <w:i/>
          <w:iCs/>
          <w:color w:val="000000" w:themeColor="text1"/>
        </w:rPr>
        <w:t>Reinventing Construction: A Route to Higher Productivity</w:t>
      </w:r>
      <w:r w:rsidRPr="00FF139E">
        <w:rPr>
          <w:color w:val="000000" w:themeColor="text1"/>
        </w:rPr>
        <w:t>. McKinsey &amp; Company.</w:t>
      </w:r>
    </w:p>
    <w:p w14:paraId="59D5F519" w14:textId="1F273FB9" w:rsidR="00E03646" w:rsidRPr="00FF139E" w:rsidRDefault="00000000" w:rsidP="00E03646">
      <w:pPr>
        <w:spacing w:after="8"/>
        <w:ind w:left="420" w:hanging="420"/>
        <w:jc w:val="both"/>
        <w:rPr>
          <w:color w:val="000000" w:themeColor="text1"/>
        </w:rPr>
      </w:pPr>
      <w:r w:rsidRPr="00FF139E">
        <w:rPr>
          <w:color w:val="000000" w:themeColor="text1"/>
        </w:rPr>
        <w:t xml:space="preserve">Object Management Group (2011) </w:t>
      </w:r>
      <w:r w:rsidRPr="00FF139E">
        <w:rPr>
          <w:i/>
          <w:iCs/>
          <w:color w:val="000000" w:themeColor="text1"/>
        </w:rPr>
        <w:t>Business Process Model and Notation (BPMN), Version 2.0</w:t>
      </w:r>
      <w:r w:rsidRPr="00FF139E">
        <w:rPr>
          <w:color w:val="000000" w:themeColor="text1"/>
        </w:rPr>
        <w:t>.</w:t>
      </w:r>
    </w:p>
    <w:p w14:paraId="6CFE9F22" w14:textId="14DF6943" w:rsidR="009F2657" w:rsidRPr="00FF139E" w:rsidRDefault="00000000" w:rsidP="00B94216">
      <w:pPr>
        <w:spacing w:after="8"/>
        <w:ind w:left="420" w:hanging="420"/>
        <w:jc w:val="both"/>
        <w:rPr>
          <w:color w:val="000000" w:themeColor="text1"/>
        </w:rPr>
      </w:pPr>
      <w:r w:rsidRPr="00FF139E">
        <w:rPr>
          <w:color w:val="000000" w:themeColor="text1"/>
        </w:rPr>
        <w:t xml:space="preserve">Pan, Y. and Zhang, L. (2021) "Automated process discovery from event logs in BIM construction projects," </w:t>
      </w:r>
      <w:r w:rsidRPr="00FF139E">
        <w:rPr>
          <w:i/>
          <w:iCs/>
          <w:color w:val="000000" w:themeColor="text1"/>
        </w:rPr>
        <w:t>Automation in Construction</w:t>
      </w:r>
      <w:r w:rsidRPr="00FF139E">
        <w:rPr>
          <w:color w:val="000000" w:themeColor="text1"/>
        </w:rPr>
        <w:t>, 127, p. 103713.</w:t>
      </w:r>
    </w:p>
    <w:p w14:paraId="7F2BD8EE"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Pauwels, P., Costin, A. and Rasmussen, M.H. (2022) "Knowledge Graphs and Linked Data for the Built Environment," in </w:t>
      </w:r>
      <w:r w:rsidRPr="00FF139E">
        <w:rPr>
          <w:i/>
          <w:iCs/>
          <w:color w:val="000000" w:themeColor="text1"/>
        </w:rPr>
        <w:t>Industry 4.0 for the Built Environment</w:t>
      </w:r>
      <w:r w:rsidRPr="00FF139E">
        <w:rPr>
          <w:color w:val="000000" w:themeColor="text1"/>
        </w:rPr>
        <w:t>. Cham: Springer, pp. 157–183.</w:t>
      </w:r>
    </w:p>
    <w:p w14:paraId="502E0CC9"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Pérez-Castillo, R. et al. (2011) "Generating event logs from non-process-aware systems enabling business process mining," </w:t>
      </w:r>
      <w:r w:rsidRPr="00FF139E">
        <w:rPr>
          <w:i/>
          <w:iCs/>
          <w:color w:val="000000" w:themeColor="text1"/>
        </w:rPr>
        <w:t>Enterprise Information Systems</w:t>
      </w:r>
      <w:r w:rsidRPr="00FF139E">
        <w:rPr>
          <w:color w:val="000000" w:themeColor="text1"/>
        </w:rPr>
        <w:t>, 5(3), pp. 301–335.</w:t>
      </w:r>
    </w:p>
    <w:p w14:paraId="11AD4B45"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Reinkemeyer, L. (ed.) (2020) </w:t>
      </w:r>
      <w:r w:rsidRPr="00FF139E">
        <w:rPr>
          <w:i/>
          <w:iCs/>
          <w:color w:val="000000" w:themeColor="text1"/>
        </w:rPr>
        <w:t>Process Mining in Action: Principles, Use Cases and Outlook</w:t>
      </w:r>
      <w:r w:rsidRPr="00FF139E">
        <w:rPr>
          <w:color w:val="000000" w:themeColor="text1"/>
        </w:rPr>
        <w:t>. Cham: Springer.</w:t>
      </w:r>
    </w:p>
    <w:p w14:paraId="402D5E26"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Sanchez-Ferriz, D., Exposito, E. and La Borderie, C. (2025) "Event log extraction using Natural Language Processing and text embeddings," in </w:t>
      </w:r>
      <w:r w:rsidRPr="00FF139E">
        <w:rPr>
          <w:i/>
          <w:iCs/>
          <w:color w:val="000000" w:themeColor="text1"/>
        </w:rPr>
        <w:t>2025 IEEE 33rd Int. Conf. Enabling Technologies (WETICE)</w:t>
      </w:r>
      <w:r w:rsidRPr="00FF139E">
        <w:rPr>
          <w:color w:val="000000" w:themeColor="text1"/>
        </w:rPr>
        <w:t>, pp. 1–6.</w:t>
      </w:r>
    </w:p>
    <w:p w14:paraId="2781A79B"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Sobhkhiz, S. and El-Diraby, T. (2025) "A semi-supervised framework for generating multi-dimensional taxonomies from asset maintenance documents," </w:t>
      </w:r>
      <w:r w:rsidRPr="00FF139E">
        <w:rPr>
          <w:i/>
          <w:iCs/>
          <w:color w:val="000000" w:themeColor="text1"/>
        </w:rPr>
        <w:t>Engineering Applications of Artificial Intelligence</w:t>
      </w:r>
      <w:r w:rsidRPr="00FF139E">
        <w:rPr>
          <w:color w:val="000000" w:themeColor="text1"/>
        </w:rPr>
        <w:t>, 161, p. 112010.</w:t>
      </w:r>
    </w:p>
    <w:p w14:paraId="3407A9F2"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Sundaram, S. and Zeid, A. (2025) "Technical language processing for Prognostics and Health Management: applying text similarity and topic modeling to maintenance work orders," </w:t>
      </w:r>
      <w:r w:rsidRPr="00FF139E">
        <w:rPr>
          <w:i/>
          <w:iCs/>
          <w:color w:val="000000" w:themeColor="text1"/>
        </w:rPr>
        <w:t>Journal of Intelligent Manufacturing</w:t>
      </w:r>
      <w:r w:rsidRPr="00FF139E">
        <w:rPr>
          <w:color w:val="000000" w:themeColor="text1"/>
        </w:rPr>
        <w:t>, 36(3), pp. 1637–1657.</w:t>
      </w:r>
    </w:p>
    <w:p w14:paraId="250F6B14"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van der Aalst, W.M.P. (2018) "Process discovery from event data: Relating models and logs through abstractions," </w:t>
      </w:r>
      <w:r w:rsidRPr="00FF139E">
        <w:rPr>
          <w:i/>
          <w:iCs/>
          <w:color w:val="000000" w:themeColor="text1"/>
        </w:rPr>
        <w:t>WIREs Data Mining and Knowledge Discovery</w:t>
      </w:r>
      <w:r w:rsidRPr="00FF139E">
        <w:rPr>
          <w:color w:val="000000" w:themeColor="text1"/>
        </w:rPr>
        <w:t>, 8(3), p. e1244.</w:t>
      </w:r>
    </w:p>
    <w:p w14:paraId="5B8BA0A7" w14:textId="77777777" w:rsidR="009F2657" w:rsidRPr="00FF139E" w:rsidRDefault="00000000" w:rsidP="00B94216">
      <w:pPr>
        <w:spacing w:after="8"/>
        <w:ind w:left="420" w:hanging="420"/>
        <w:jc w:val="both"/>
        <w:rPr>
          <w:color w:val="000000" w:themeColor="text1"/>
        </w:rPr>
      </w:pPr>
      <w:r w:rsidRPr="00FF139E">
        <w:rPr>
          <w:color w:val="000000" w:themeColor="text1"/>
        </w:rPr>
        <w:t xml:space="preserve">Weske, M. (2012) </w:t>
      </w:r>
      <w:r w:rsidRPr="00FF139E">
        <w:rPr>
          <w:i/>
          <w:iCs/>
          <w:color w:val="000000" w:themeColor="text1"/>
        </w:rPr>
        <w:t>Business Process Management</w:t>
      </w:r>
      <w:r w:rsidRPr="00FF139E">
        <w:rPr>
          <w:color w:val="000000" w:themeColor="text1"/>
        </w:rPr>
        <w:t>. Berlin, Heidelberg: Springer.</w:t>
      </w:r>
      <w:bookmarkEnd w:id="0"/>
    </w:p>
    <w:p w14:paraId="0FA2C287" w14:textId="338D7A09" w:rsidR="009A63AD" w:rsidRPr="00FF139E" w:rsidRDefault="009A63AD" w:rsidP="009A63AD">
      <w:pPr>
        <w:spacing w:after="8"/>
        <w:ind w:left="420" w:hanging="420"/>
        <w:jc w:val="both"/>
        <w:rPr>
          <w:color w:val="000000" w:themeColor="text1"/>
        </w:rPr>
      </w:pPr>
      <w:r w:rsidRPr="00FF139E">
        <w:rPr>
          <w:color w:val="000000" w:themeColor="text1"/>
        </w:rPr>
        <w:t xml:space="preserve">Zhang, J. and Jiang, S. (2025) "Systematic Literature Review on Knowledge Graphs in Construction Management from a Multi-Modal Perspective," International Journal of Human–Computer Interaction, 41(5), pp. 2788–2807. </w:t>
      </w:r>
    </w:p>
    <w:p w14:paraId="33BDB3AD" w14:textId="77777777" w:rsidR="009A63AD" w:rsidRPr="00FF139E" w:rsidRDefault="009A63AD" w:rsidP="00B94216">
      <w:pPr>
        <w:spacing w:after="8"/>
        <w:ind w:left="420" w:hanging="420"/>
        <w:jc w:val="both"/>
        <w:rPr>
          <w:color w:val="000000" w:themeColor="text1"/>
        </w:rPr>
      </w:pPr>
    </w:p>
    <w:sectPr w:rsidR="009A63AD" w:rsidRPr="00FF139E">
      <w:headerReference w:type="default" r:id="rId10"/>
      <w:footerReference w:type="default" r:id="rId11"/>
      <w:pgSz w:w="11906" w:h="16838"/>
      <w:pgMar w:top="1440" w:right="1440" w:bottom="1440" w:left="1440" w:header="720" w:footer="10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81DDB1" w14:textId="77777777" w:rsidR="0070324F" w:rsidRDefault="0070324F">
      <w:r>
        <w:separator/>
      </w:r>
    </w:p>
  </w:endnote>
  <w:endnote w:type="continuationSeparator" w:id="0">
    <w:p w14:paraId="6F63CB65" w14:textId="77777777" w:rsidR="0070324F" w:rsidRDefault="00703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CJK SC">
    <w:panose1 w:val="020B0604020202020204"/>
    <w:charset w:val="00"/>
    <w:family w:val="roman"/>
    <w:pitch w:val="default"/>
  </w:font>
  <w:font w:name="FreeSan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49687" w14:textId="77777777" w:rsidR="009B31A4" w:rsidRDefault="00000000">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72F8206" w14:textId="77777777" w:rsidR="009B31A4" w:rsidRDefault="00000000">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1126C4" w14:textId="77777777" w:rsidR="0070324F" w:rsidRDefault="0070324F">
      <w:r>
        <w:separator/>
      </w:r>
    </w:p>
  </w:footnote>
  <w:footnote w:type="continuationSeparator" w:id="0">
    <w:p w14:paraId="22DEA87D" w14:textId="77777777" w:rsidR="0070324F" w:rsidRDefault="00703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B0527" w14:textId="77777777" w:rsidR="009B31A4" w:rsidRDefault="00000000" w:rsidP="005076E1">
    <w:pPr>
      <w:pStyle w:val="Header"/>
      <w:jc w:val="center"/>
      <w:rPr>
        <w:sz w:val="40"/>
        <w:szCs w:val="40"/>
      </w:rPr>
    </w:pPr>
    <w:r w:rsidRPr="00A93F99">
      <w:rPr>
        <w:sz w:val="40"/>
        <w:szCs w:val="40"/>
      </w:rPr>
      <w:t xml:space="preserve">43rd International CIB W78 Conference </w:t>
    </w:r>
  </w:p>
  <w:p w14:paraId="2991705A" w14:textId="77777777" w:rsidR="009B31A4" w:rsidRDefault="00000000" w:rsidP="005076E1">
    <w:pPr>
      <w:pStyle w:val="Header"/>
      <w:jc w:val="center"/>
      <w:rPr>
        <w:sz w:val="28"/>
        <w:szCs w:val="28"/>
      </w:rPr>
    </w:pPr>
    <w:r w:rsidRPr="00A93F99">
      <w:rPr>
        <w:sz w:val="28"/>
        <w:szCs w:val="28"/>
      </w:rPr>
      <w:t>IT in Construction</w:t>
    </w:r>
  </w:p>
  <w:p w14:paraId="4B8FF59A" w14:textId="77777777" w:rsidR="009B31A4" w:rsidRPr="00F3628B" w:rsidRDefault="00000000" w:rsidP="005076E1">
    <w:pPr>
      <w:pStyle w:val="Header"/>
      <w:jc w:val="center"/>
      <w:rPr>
        <w:sz w:val="28"/>
        <w:szCs w:val="28"/>
      </w:rPr>
    </w:pPr>
    <w:r>
      <w:rPr>
        <w:sz w:val="28"/>
        <w:szCs w:val="28"/>
      </w:rPr>
      <w:t>New Delhi, India</w:t>
    </w:r>
  </w:p>
  <w:p w14:paraId="6CCDE4AB" w14:textId="77777777" w:rsidR="009B31A4" w:rsidRPr="005076E1" w:rsidRDefault="009B31A4" w:rsidP="005076E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57"/>
    <w:rsid w:val="00020A0B"/>
    <w:rsid w:val="00074F3F"/>
    <w:rsid w:val="00095877"/>
    <w:rsid w:val="000E0C40"/>
    <w:rsid w:val="000E744B"/>
    <w:rsid w:val="0012062C"/>
    <w:rsid w:val="00160876"/>
    <w:rsid w:val="001718E7"/>
    <w:rsid w:val="00185A07"/>
    <w:rsid w:val="001A18D6"/>
    <w:rsid w:val="001D5FD8"/>
    <w:rsid w:val="002576CD"/>
    <w:rsid w:val="002A0499"/>
    <w:rsid w:val="00306D61"/>
    <w:rsid w:val="00307E2D"/>
    <w:rsid w:val="003638CF"/>
    <w:rsid w:val="00370D1B"/>
    <w:rsid w:val="003C6ED0"/>
    <w:rsid w:val="003E3338"/>
    <w:rsid w:val="00446179"/>
    <w:rsid w:val="004803F3"/>
    <w:rsid w:val="004C436F"/>
    <w:rsid w:val="004D4CBC"/>
    <w:rsid w:val="00517E66"/>
    <w:rsid w:val="005634B0"/>
    <w:rsid w:val="005B0A08"/>
    <w:rsid w:val="006112E2"/>
    <w:rsid w:val="00662313"/>
    <w:rsid w:val="006A169C"/>
    <w:rsid w:val="006D037F"/>
    <w:rsid w:val="006E5CB4"/>
    <w:rsid w:val="0070324F"/>
    <w:rsid w:val="007435B2"/>
    <w:rsid w:val="007553BE"/>
    <w:rsid w:val="0079565A"/>
    <w:rsid w:val="007C00A7"/>
    <w:rsid w:val="007E7B01"/>
    <w:rsid w:val="00845FC3"/>
    <w:rsid w:val="00881853"/>
    <w:rsid w:val="008A73DC"/>
    <w:rsid w:val="008C40C5"/>
    <w:rsid w:val="00944DDB"/>
    <w:rsid w:val="0099696E"/>
    <w:rsid w:val="009A63AD"/>
    <w:rsid w:val="009B31A4"/>
    <w:rsid w:val="009D330F"/>
    <w:rsid w:val="009D6AA3"/>
    <w:rsid w:val="009E3321"/>
    <w:rsid w:val="009F220A"/>
    <w:rsid w:val="009F2657"/>
    <w:rsid w:val="00A44D53"/>
    <w:rsid w:val="00A50862"/>
    <w:rsid w:val="00A52BF9"/>
    <w:rsid w:val="00A95A15"/>
    <w:rsid w:val="00B6112D"/>
    <w:rsid w:val="00B62947"/>
    <w:rsid w:val="00B87BF3"/>
    <w:rsid w:val="00B94216"/>
    <w:rsid w:val="00BA1CA0"/>
    <w:rsid w:val="00BD5A49"/>
    <w:rsid w:val="00C444C2"/>
    <w:rsid w:val="00CA10F4"/>
    <w:rsid w:val="00D06666"/>
    <w:rsid w:val="00D25198"/>
    <w:rsid w:val="00D35B8B"/>
    <w:rsid w:val="00D91FE1"/>
    <w:rsid w:val="00DC2B77"/>
    <w:rsid w:val="00E03646"/>
    <w:rsid w:val="00E07543"/>
    <w:rsid w:val="00E2270B"/>
    <w:rsid w:val="00E34376"/>
    <w:rsid w:val="00E434B7"/>
    <w:rsid w:val="00E72B0B"/>
    <w:rsid w:val="00F06850"/>
    <w:rsid w:val="00F11281"/>
    <w:rsid w:val="00F11ECF"/>
    <w:rsid w:val="00F159EE"/>
    <w:rsid w:val="00F16962"/>
    <w:rsid w:val="00F1714D"/>
    <w:rsid w:val="00F44D25"/>
    <w:rsid w:val="00FE0356"/>
    <w:rsid w:val="00FF139E"/>
  </w:rsids>
  <m:mathPr>
    <m:mathFont m:val="Cambria Math"/>
    <m:brkBin m:val="before"/>
    <m:brkBinSub m:val="--"/>
    <m:smallFrac m:val="0"/>
    <m:dispDef/>
    <m:lMargin m:val="0"/>
    <m:rMargin m:val="0"/>
    <m:defJc m:val="centerGroup"/>
    <m:wrapIndent m:val="1440"/>
    <m:intLim m:val="subSup"/>
    <m:naryLim m:val="undOvr"/>
  </m:mathPr>
  <w:themeFontLang w:val="en-SG"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66752"/>
  <w15:docId w15:val="{DC82F945-B0B7-B24B-8A94-E55740A09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SG"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100" w:after="50"/>
      <w:outlineLvl w:val="0"/>
    </w:pPr>
    <w:rPr>
      <w:b/>
      <w:bCs/>
      <w:caps/>
      <w:sz w:val="28"/>
      <w:szCs w:val="28"/>
    </w:rPr>
  </w:style>
  <w:style w:type="paragraph" w:styleId="Heading2">
    <w:name w:val="heading 2"/>
    <w:uiPriority w:val="9"/>
    <w:unhideWhenUsed/>
    <w:qFormat/>
    <w:pPr>
      <w:keepNext/>
      <w:keepLines/>
      <w:spacing w:before="80" w:after="40"/>
      <w:outlineLvl w:val="1"/>
    </w:pPr>
    <w:rPr>
      <w:b/>
      <w:bCs/>
      <w:sz w:val="24"/>
      <w:szCs w:val="24"/>
    </w:rPr>
  </w:style>
  <w:style w:type="paragraph" w:styleId="Heading3">
    <w:name w:val="heading 3"/>
    <w:uiPriority w:val="9"/>
    <w:semiHidden/>
    <w:unhideWhenUsed/>
    <w:qFormat/>
    <w:pPr>
      <w:outlineLvl w:val="2"/>
    </w:pPr>
    <w:rPr>
      <w:i/>
      <w:i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CommentReference">
    <w:name w:val="annotation reference"/>
    <w:basedOn w:val="DefaultParagraphFont"/>
    <w:uiPriority w:val="99"/>
    <w:semiHidden/>
    <w:unhideWhenUsed/>
    <w:qFormat/>
    <w:rsid w:val="0093168A"/>
    <w:rPr>
      <w:sz w:val="16"/>
      <w:szCs w:val="16"/>
    </w:rPr>
  </w:style>
  <w:style w:type="character" w:customStyle="1" w:styleId="CommentTextChar">
    <w:name w:val="Comment Text Char"/>
    <w:basedOn w:val="DefaultParagraphFont"/>
    <w:link w:val="CommentText"/>
    <w:uiPriority w:val="99"/>
    <w:semiHidden/>
    <w:qFormat/>
    <w:rsid w:val="0093168A"/>
    <w:rPr>
      <w:sz w:val="20"/>
      <w:szCs w:val="20"/>
    </w:rPr>
  </w:style>
  <w:style w:type="character" w:customStyle="1" w:styleId="CommentSubjectChar">
    <w:name w:val="Comment Subject Char"/>
    <w:basedOn w:val="CommentTextChar"/>
    <w:link w:val="CommentSubject"/>
    <w:uiPriority w:val="99"/>
    <w:semiHidden/>
    <w:qFormat/>
    <w:rsid w:val="0093168A"/>
    <w:rPr>
      <w:b/>
      <w:bCs/>
      <w:sz w:val="20"/>
      <w:szCs w:val="20"/>
    </w:rPr>
  </w:style>
  <w:style w:type="character" w:styleId="LineNumber">
    <w:name w:val="line number"/>
  </w:style>
  <w:style w:type="character" w:styleId="Strong">
    <w:name w:val="Strong"/>
    <w:basedOn w:val="DefaultParagraphFont"/>
    <w:uiPriority w:val="22"/>
    <w:qFormat/>
    <w:rsid w:val="004E25AA"/>
    <w:rPr>
      <w:b/>
      <w:bCs/>
    </w:rPr>
  </w:style>
  <w:style w:type="paragraph" w:customStyle="1" w:styleId="Heading">
    <w:name w:val="Heading"/>
    <w:basedOn w:val="Normal"/>
    <w:next w:val="BodyText"/>
    <w:qFormat/>
    <w:pPr>
      <w:keepNext/>
      <w:spacing w:before="240" w:after="120"/>
    </w:pPr>
    <w:rPr>
      <w:rFonts w:eastAsia="Noto Sans CJK SC"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PaperBody">
    <w:name w:val="Paper Body"/>
    <w:basedOn w:val="Normal"/>
    <w:qFormat/>
    <w:pPr>
      <w:spacing w:after="80"/>
      <w:ind w:firstLine="851"/>
      <w:jc w:val="both"/>
    </w:p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Revision">
    <w:name w:val="Revision"/>
    <w:uiPriority w:val="99"/>
    <w:semiHidden/>
    <w:qFormat/>
    <w:rsid w:val="00053083"/>
  </w:style>
  <w:style w:type="paragraph" w:styleId="CommentText">
    <w:name w:val="annotation text"/>
    <w:basedOn w:val="Normal"/>
    <w:link w:val="CommentTextChar"/>
    <w:uiPriority w:val="99"/>
    <w:semiHidden/>
    <w:unhideWhenUsed/>
    <w:rsid w:val="0093168A"/>
    <w:rPr>
      <w:sz w:val="20"/>
      <w:szCs w:val="20"/>
    </w:rPr>
  </w:style>
  <w:style w:type="paragraph" w:styleId="CommentSubject">
    <w:name w:val="annotation subject"/>
    <w:basedOn w:val="CommentText"/>
    <w:next w:val="CommentText"/>
    <w:link w:val="CommentSubjectChar"/>
    <w:uiPriority w:val="99"/>
    <w:semiHidden/>
    <w:unhideWhenUsed/>
    <w:qFormat/>
    <w:rsid w:val="0093168A"/>
    <w:rPr>
      <w:b/>
      <w:bCs/>
    </w:rPr>
  </w:style>
  <w:style w:type="paragraph" w:styleId="NormalWeb">
    <w:name w:val="Normal (Web)"/>
    <w:basedOn w:val="Normal"/>
    <w:uiPriority w:val="99"/>
    <w:unhideWhenUsed/>
    <w:qFormat/>
    <w:rsid w:val="00173C69"/>
    <w:pPr>
      <w:spacing w:beforeAutospacing="1" w:afterAutospacing="1"/>
    </w:p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table" w:styleId="TableGrid">
    <w:name w:val="Table Grid"/>
    <w:basedOn w:val="TableNormal"/>
    <w:uiPriority w:val="59"/>
    <w:rsid w:val="00030CDE"/>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F11ECF"/>
    <w:pPr>
      <w:suppressAutoHyphens w:val="0"/>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panose="020F05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7BDE5-BEB9-BE42-BD2D-28A88628E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13670</Words>
  <Characters>77923</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Tackling Process Amnesia in Construction Workflows</vt:lpstr>
    </vt:vector>
  </TitlesOfParts>
  <Manager/>
  <Company/>
  <LinksUpToDate>false</LinksUpToDate>
  <CharactersWithSpaces>91411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Tackling Process Amnesia in Construction Workflows</dc:title>
  <dc:subject/>
  <dc:creator>A. Effat Mosa</dc:creator>
  <cp:keywords/>
  <dc:description/>
  <cp:lastModifiedBy>A.Effat Mosa</cp:lastModifiedBy>
  <cp:revision>16</cp:revision>
  <dcterms:created xsi:type="dcterms:W3CDTF">2026-09-15T17:05:00Z</dcterms:created>
  <dcterms:modified xsi:type="dcterms:W3CDTF">2026-09-15T18:13:00Z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id="km2Uj4db"/&gt;&lt;style id="http://www.zotero.org/styles/harvard-cite-them-right" locale="en-US" hasBibliography="1" bibliographyStyleHasBeenSet="0"/&gt;&lt;prefs&gt;&lt;pref name="fieldType" value="Field"/&gt;&lt;pref n</vt:lpwstr>
  </property>
  <property fmtid="{D5CDD505-2E9C-101B-9397-08002B2CF9AE}" pid="3" name="ZOTERO_PREF_2">
    <vt:lpwstr>ame="automaticJournalAbbreviations" value="true"/&gt;&lt;/prefs&gt;&lt;/data&gt;</vt:lpwstr>
  </property>
</Properties>
</file>