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6B4AB2A7" w:rsidR="00452605" w:rsidRPr="004D1B5C" w:rsidRDefault="00802FC9" w:rsidP="00812538">
      <w:pPr>
        <w:pStyle w:val="Title"/>
        <w:spacing w:after="0"/>
        <w:ind w:firstLine="284"/>
        <w:rPr>
          <w:color w:val="FF0000"/>
        </w:rPr>
      </w:pPr>
      <w:r w:rsidRPr="004D1B5C">
        <w:t>Quantifying Higher-order Modal Interactions in Urban Transportation: A Visibility Graph Approach to Extreme Weather Adaptation</w:t>
      </w:r>
    </w:p>
    <w:p w14:paraId="1CD88BF7" w14:textId="310E3EDD" w:rsidR="00D9398E" w:rsidRDefault="00802FC9" w:rsidP="00802FC9">
      <w:pPr>
        <w:rPr>
          <w:rFonts w:eastAsia="DengXian" w:cs="Arial"/>
          <w:b w:val="0"/>
          <w:szCs w:val="20"/>
          <w:lang w:eastAsia="zh-CN"/>
        </w:rPr>
      </w:pPr>
      <w:r>
        <w:rPr>
          <w:rFonts w:eastAsia="DengXian" w:cs="Arial"/>
          <w:b w:val="0"/>
          <w:szCs w:val="20"/>
          <w:lang w:eastAsia="zh-CN"/>
        </w:rPr>
        <w:t>XUHUI LIN</w:t>
      </w:r>
      <w:r w:rsidR="00D9398E" w:rsidRPr="004D1B5C">
        <w:rPr>
          <w:rFonts w:eastAsia="MS Mincho" w:cs="Arial"/>
          <w:b w:val="0"/>
          <w:szCs w:val="20"/>
          <w:vertAlign w:val="superscript"/>
        </w:rPr>
        <w:t>,1</w:t>
      </w:r>
      <w:r w:rsidR="00D9398E" w:rsidRPr="004D1B5C">
        <w:rPr>
          <w:rFonts w:eastAsia="MS Mincho" w:cs="Arial"/>
          <w:b w:val="0"/>
          <w:szCs w:val="20"/>
        </w:rPr>
        <w:t xml:space="preserve"> </w:t>
      </w:r>
      <w:r w:rsidRPr="004D1B5C">
        <w:rPr>
          <w:rFonts w:eastAsia="DengXian" w:cs="Arial"/>
          <w:b w:val="0"/>
          <w:szCs w:val="20"/>
          <w:lang w:eastAsia="zh-CN"/>
        </w:rPr>
        <w:t>QIUCHEN LU</w:t>
      </w:r>
      <w:r w:rsidRPr="004D1B5C">
        <w:rPr>
          <w:rFonts w:eastAsia="MS Mincho" w:cs="Arial"/>
          <w:b w:val="0"/>
          <w:szCs w:val="20"/>
          <w:vertAlign w:val="superscript"/>
        </w:rPr>
        <w:t>,</w:t>
      </w:r>
      <w:r>
        <w:rPr>
          <w:rFonts w:eastAsia="DengXian" w:cs="Arial"/>
          <w:b w:val="0"/>
          <w:szCs w:val="20"/>
          <w:vertAlign w:val="superscript"/>
          <w:lang w:eastAsia="zh-CN"/>
        </w:rPr>
        <w:t>1</w:t>
      </w:r>
      <w:r w:rsidRPr="004D1B5C">
        <w:rPr>
          <w:rFonts w:eastAsia="MS Mincho" w:cs="Arial"/>
          <w:b w:val="0"/>
          <w:szCs w:val="20"/>
        </w:rPr>
        <w:t xml:space="preserve"> </w:t>
      </w:r>
      <w:r w:rsidRPr="004D1B5C">
        <w:rPr>
          <w:rFonts w:eastAsia="DengXian" w:cs="Arial"/>
          <w:b w:val="0"/>
          <w:szCs w:val="20"/>
          <w:lang w:eastAsia="zh-CN"/>
        </w:rPr>
        <w:t>LONG CHEN</w:t>
      </w:r>
      <w:r w:rsidRPr="004D1B5C">
        <w:rPr>
          <w:rFonts w:eastAsia="MS Mincho" w:cs="Arial"/>
          <w:b w:val="0"/>
          <w:szCs w:val="20"/>
          <w:vertAlign w:val="superscript"/>
        </w:rPr>
        <w:t>,</w:t>
      </w:r>
      <w:r>
        <w:rPr>
          <w:rFonts w:eastAsia="DengXian" w:cs="Arial"/>
          <w:b w:val="0"/>
          <w:szCs w:val="20"/>
          <w:vertAlign w:val="superscript"/>
          <w:lang w:eastAsia="zh-CN"/>
        </w:rPr>
        <w:t>2</w:t>
      </w:r>
      <w:r w:rsidRPr="004D1B5C">
        <w:rPr>
          <w:rFonts w:eastAsia="MS Mincho" w:cs="Arial"/>
          <w:b w:val="0"/>
          <w:szCs w:val="20"/>
        </w:rPr>
        <w:t xml:space="preserve"> </w:t>
      </w:r>
      <w:r>
        <w:rPr>
          <w:rFonts w:eastAsia="DengXian" w:cs="Arial"/>
          <w:b w:val="0"/>
          <w:szCs w:val="20"/>
          <w:lang w:eastAsia="zh-CN"/>
        </w:rPr>
        <w:t>TAO CHENG</w:t>
      </w:r>
      <w:r w:rsidRPr="004D1B5C">
        <w:rPr>
          <w:rFonts w:eastAsia="MS Mincho" w:cs="Arial"/>
          <w:b w:val="0"/>
          <w:szCs w:val="20"/>
          <w:vertAlign w:val="superscript"/>
        </w:rPr>
        <w:t>,</w:t>
      </w:r>
      <w:r w:rsidRPr="004D1B5C">
        <w:rPr>
          <w:rFonts w:eastAsia="DengXian" w:cs="Arial"/>
          <w:b w:val="0"/>
          <w:szCs w:val="20"/>
          <w:vertAlign w:val="superscript"/>
          <w:lang w:eastAsia="zh-CN"/>
        </w:rPr>
        <w:t>3</w:t>
      </w:r>
      <w:r w:rsidRPr="004D1B5C">
        <w:rPr>
          <w:rFonts w:eastAsia="DengXian" w:cs="Arial"/>
          <w:b w:val="0"/>
          <w:szCs w:val="20"/>
          <w:lang w:eastAsia="zh-CN"/>
        </w:rPr>
        <w:t xml:space="preserve"> TIM BROYD</w:t>
      </w:r>
      <w:r w:rsidRPr="004D1B5C">
        <w:rPr>
          <w:rFonts w:eastAsia="MS Mincho" w:cs="Arial"/>
          <w:b w:val="0"/>
          <w:szCs w:val="20"/>
          <w:vertAlign w:val="superscript"/>
        </w:rPr>
        <w:t>,</w:t>
      </w:r>
      <w:r w:rsidRPr="004D1B5C">
        <w:rPr>
          <w:rFonts w:eastAsia="DengXian" w:cs="Arial"/>
          <w:b w:val="0"/>
          <w:szCs w:val="20"/>
          <w:vertAlign w:val="superscript"/>
          <w:lang w:eastAsia="zh-CN"/>
        </w:rPr>
        <w:t>1</w:t>
      </w:r>
      <w:r w:rsidRPr="004D1B5C">
        <w:rPr>
          <w:rFonts w:eastAsia="DengXian" w:cs="Arial"/>
          <w:b w:val="0"/>
          <w:szCs w:val="20"/>
          <w:lang w:eastAsia="zh-CN"/>
        </w:rPr>
        <w:t xml:space="preserve"> XIANGHUI ZHANG</w:t>
      </w:r>
      <w:r w:rsidRPr="004D1B5C">
        <w:rPr>
          <w:rFonts w:eastAsia="MS Mincho" w:cs="Arial"/>
          <w:b w:val="0"/>
          <w:szCs w:val="20"/>
          <w:vertAlign w:val="superscript"/>
        </w:rPr>
        <w:t>,</w:t>
      </w:r>
      <w:r w:rsidRPr="004D1B5C">
        <w:rPr>
          <w:rFonts w:eastAsia="DengXian" w:cs="Arial"/>
          <w:b w:val="0"/>
          <w:szCs w:val="20"/>
          <w:vertAlign w:val="superscript"/>
          <w:lang w:eastAsia="zh-CN"/>
        </w:rPr>
        <w:t>3</w:t>
      </w:r>
    </w:p>
    <w:p w14:paraId="3A7E4C3C" w14:textId="77777777" w:rsidR="00D9398E" w:rsidRPr="004D1B5C" w:rsidRDefault="00D9398E" w:rsidP="00D9398E">
      <w:pPr>
        <w:pStyle w:val="PlainText"/>
      </w:pPr>
    </w:p>
    <w:p w14:paraId="480343A2" w14:textId="77777777" w:rsidR="00802FC9" w:rsidRDefault="00D9398E" w:rsidP="00D9398E">
      <w:pPr>
        <w:rPr>
          <w:rFonts w:eastAsia="DengXian" w:cs="Arial"/>
          <w:b w:val="0"/>
          <w:sz w:val="20"/>
          <w:szCs w:val="20"/>
          <w:lang w:eastAsia="zh-CN"/>
        </w:rPr>
      </w:pPr>
      <w:r w:rsidRPr="004D1B5C">
        <w:rPr>
          <w:rFonts w:eastAsia="MS Mincho" w:cs="Arial"/>
          <w:b w:val="0"/>
          <w:sz w:val="20"/>
          <w:szCs w:val="20"/>
          <w:vertAlign w:val="superscript"/>
        </w:rPr>
        <w:t>1</w:t>
      </w:r>
      <w:r w:rsidR="00802FC9" w:rsidRPr="004D1B5C">
        <w:rPr>
          <w:rFonts w:cs="Arial"/>
        </w:rPr>
        <w:t xml:space="preserve"> </w:t>
      </w:r>
      <w:r w:rsidR="00802FC9" w:rsidRPr="004D1B5C">
        <w:rPr>
          <w:rFonts w:eastAsia="MS Mincho" w:cs="Arial"/>
          <w:b w:val="0"/>
          <w:sz w:val="20"/>
          <w:szCs w:val="20"/>
        </w:rPr>
        <w:t>The Bartlett School of Sustainable Construction, University College London, UK</w:t>
      </w:r>
    </w:p>
    <w:p w14:paraId="5C99C7F1" w14:textId="77777777" w:rsidR="00802FC9" w:rsidRDefault="00D9398E" w:rsidP="00D9398E">
      <w:pPr>
        <w:rPr>
          <w:rFonts w:eastAsia="DengXian" w:cs="Arial"/>
          <w:lang w:eastAsia="zh-CN"/>
        </w:rPr>
      </w:pPr>
      <w:r w:rsidRPr="004D1B5C">
        <w:rPr>
          <w:rFonts w:eastAsia="MS Mincho" w:cs="Arial"/>
          <w:b w:val="0"/>
          <w:sz w:val="20"/>
          <w:szCs w:val="20"/>
          <w:vertAlign w:val="superscript"/>
        </w:rPr>
        <w:t>2</w:t>
      </w:r>
      <w:r w:rsidRPr="004D1B5C">
        <w:rPr>
          <w:rFonts w:eastAsia="MS Mincho" w:cs="Arial"/>
          <w:b w:val="0"/>
          <w:sz w:val="20"/>
          <w:szCs w:val="20"/>
        </w:rPr>
        <w:t xml:space="preserve"> </w:t>
      </w:r>
      <w:r w:rsidR="00802FC9" w:rsidRPr="004D1B5C">
        <w:rPr>
          <w:rFonts w:eastAsia="MS Mincho" w:cs="Arial"/>
          <w:b w:val="0"/>
          <w:sz w:val="20"/>
          <w:szCs w:val="20"/>
        </w:rPr>
        <w:t>2Department of Architecture and Civil Engineering, City University of Hong Kong, Hongkong, CN</w:t>
      </w:r>
    </w:p>
    <w:p w14:paraId="61BAB410" w14:textId="348863CD" w:rsidR="00C31D5E" w:rsidRDefault="00802FC9" w:rsidP="004D1B5C">
      <w:pPr>
        <w:rPr>
          <w:rFonts w:eastAsia="DengXian" w:cs="Arial"/>
          <w:b w:val="0"/>
          <w:sz w:val="20"/>
          <w:szCs w:val="20"/>
          <w:lang w:eastAsia="zh-CN"/>
        </w:rPr>
      </w:pPr>
      <w:r>
        <w:rPr>
          <w:rFonts w:eastAsia="DengXian" w:cs="Arial"/>
          <w:b w:val="0"/>
          <w:sz w:val="20"/>
          <w:szCs w:val="20"/>
          <w:vertAlign w:val="superscript"/>
          <w:lang w:eastAsia="zh-CN"/>
        </w:rPr>
        <w:t>3</w:t>
      </w:r>
      <w:r w:rsidRPr="004D1B5C">
        <w:rPr>
          <w:rFonts w:eastAsia="MS Mincho" w:cs="Arial"/>
          <w:b w:val="0"/>
          <w:sz w:val="20"/>
          <w:szCs w:val="20"/>
        </w:rPr>
        <w:t xml:space="preserve"> </w:t>
      </w:r>
      <w:proofErr w:type="spellStart"/>
      <w:r w:rsidRPr="004D1B5C">
        <w:rPr>
          <w:rFonts w:eastAsia="MS Mincho" w:cs="Arial"/>
          <w:b w:val="0"/>
          <w:sz w:val="20"/>
          <w:szCs w:val="20"/>
        </w:rPr>
        <w:t>SpaceTime</w:t>
      </w:r>
      <w:proofErr w:type="spellEnd"/>
      <w:r w:rsidRPr="004D1B5C">
        <w:rPr>
          <w:rFonts w:eastAsia="MS Mincho" w:cs="Arial"/>
          <w:b w:val="0"/>
          <w:sz w:val="20"/>
          <w:szCs w:val="20"/>
        </w:rPr>
        <w:t xml:space="preserve"> Lab, Department of Civil, Environmental and Geomatic Engineering, University College London, UK</w:t>
      </w:r>
    </w:p>
    <w:p w14:paraId="3B86D91C" w14:textId="77777777" w:rsidR="004D1B5C" w:rsidRDefault="004D1B5C" w:rsidP="004D1B5C">
      <w:pPr>
        <w:pStyle w:val="PlainText"/>
        <w:rPr>
          <w:rFonts w:eastAsia="DengXian"/>
          <w:lang w:eastAsia="zh-CN"/>
        </w:rPr>
      </w:pPr>
    </w:p>
    <w:p w14:paraId="119A5596" w14:textId="77777777" w:rsidR="00AC79BB" w:rsidRPr="004D1B5C" w:rsidRDefault="00AC79BB" w:rsidP="00C31D5E">
      <w:pPr>
        <w:pStyle w:val="PlainText"/>
      </w:pPr>
    </w:p>
    <w:p w14:paraId="70668164" w14:textId="27C1A373" w:rsidR="00CB2332" w:rsidRPr="004D1B5C" w:rsidRDefault="00C31D5E" w:rsidP="00CB2332">
      <w:pPr>
        <w:pStyle w:val="AbstractHeading"/>
      </w:pPr>
      <w:r w:rsidRPr="004D1B5C">
        <w:t>ABSTRA</w:t>
      </w:r>
      <w:r w:rsidR="00246E7B" w:rsidRPr="004D1B5C">
        <w:t>CT:</w:t>
      </w:r>
      <w:r w:rsidR="00CB2332" w:rsidRPr="004D1B5C">
        <w:t xml:space="preserve"> </w:t>
      </w:r>
    </w:p>
    <w:p w14:paraId="12CCC09A" w14:textId="18059961" w:rsidR="00C31D5E" w:rsidRPr="004D1B5C" w:rsidRDefault="00802FC9" w:rsidP="00017B66">
      <w:pPr>
        <w:pStyle w:val="Abstracttext"/>
      </w:pPr>
      <w:r w:rsidRPr="004D1B5C">
        <w:t>Climate change and extreme weather events increasingly challenge urban transportation systems' ability to maintain essential mobility services. While existing research has examined individual transportation modes or simplified interactions, the complex dynamics emerging from multi-modal interactions under stress remain poorly understood. This study introduces the Multi-modal Visibility Graph Irreversibility (</w:t>
      </w:r>
      <w:proofErr w:type="spellStart"/>
      <w:r w:rsidRPr="004D1B5C">
        <w:t>MmVGI</w:t>
      </w:r>
      <w:proofErr w:type="spellEnd"/>
      <w:r w:rsidRPr="004D1B5C">
        <w:t xml:space="preserve">) framework to analyse transportation system behaviour during extreme weather events. By integrating concepts from non-equilibrium dynamics with visibility graph analysis, our approach quantifies complex interactions between different transportation modes and reveals the underlying mechanisms driving system non-equilibrium characteristics. Through a case study in the City of London during an extreme rainfall event, we demonstrate that transportation system adaptation exhibits clear hierarchical patterns across different road types, with cycling emerging as a crucial component in system adaptation. These findings offer valuable guidance for urban planners and transportation engineers in developing targeted resilience strategies during increasingly frequent extreme weather events. </w:t>
      </w:r>
    </w:p>
    <w:p w14:paraId="6EFF2DEE" w14:textId="77777777" w:rsidR="00BF5B80" w:rsidRPr="004D1B5C" w:rsidRDefault="00BF5B80" w:rsidP="00017B66">
      <w:pPr>
        <w:pStyle w:val="Abstracttext"/>
      </w:pPr>
    </w:p>
    <w:p w14:paraId="072547D4" w14:textId="2E648B51" w:rsidR="00B86B2E" w:rsidRPr="004D1B5C" w:rsidRDefault="008B6A2D" w:rsidP="00896AB3">
      <w:pPr>
        <w:pStyle w:val="Keywordsheading"/>
      </w:pPr>
      <w:r w:rsidRPr="004D1B5C">
        <w:t>KEYWORDS</w:t>
      </w:r>
      <w:r w:rsidR="00BF5B80" w:rsidRPr="004D1B5C">
        <w:t xml:space="preserve">: </w:t>
      </w:r>
    </w:p>
    <w:p w14:paraId="03615150" w14:textId="6424EAB7" w:rsidR="00AC79BB" w:rsidRPr="004D1B5C" w:rsidRDefault="00802FC9" w:rsidP="00452605">
      <w:pPr>
        <w:pStyle w:val="PlainText"/>
        <w:ind w:left="567" w:right="567"/>
      </w:pPr>
      <w:r w:rsidRPr="004D1B5C">
        <w:rPr>
          <w:rFonts w:eastAsia="Times New Roman"/>
          <w:kern w:val="32"/>
          <w:sz w:val="20"/>
          <w:szCs w:val="32"/>
        </w:rPr>
        <w:t>Multi-modal Transportation Systems, Non-equilibrium System, Extreme Weather Resilience, Higher-order Modal Interactions, Visibility Graph</w:t>
      </w:r>
    </w:p>
    <w:p w14:paraId="17510818" w14:textId="77777777" w:rsidR="00812538" w:rsidRPr="004D1B5C" w:rsidRDefault="00812538" w:rsidP="00452605">
      <w:pPr>
        <w:pStyle w:val="PlainText"/>
        <w:ind w:left="567" w:right="567"/>
        <w:rPr>
          <w:i/>
        </w:rPr>
      </w:pPr>
    </w:p>
    <w:p w14:paraId="0BE4A3CC" w14:textId="77777777" w:rsidR="00812538" w:rsidRDefault="00812538" w:rsidP="00452605">
      <w:pPr>
        <w:pStyle w:val="PlainText"/>
        <w:ind w:right="567"/>
        <w:rPr>
          <w:rFonts w:eastAsia="DengXian"/>
          <w:lang w:eastAsia="zh-CN"/>
        </w:rPr>
      </w:pPr>
    </w:p>
    <w:p w14:paraId="1AB04069" w14:textId="77777777" w:rsidR="001D19AB" w:rsidRDefault="001D19AB" w:rsidP="00452605">
      <w:pPr>
        <w:pStyle w:val="PlainText"/>
        <w:ind w:right="567"/>
        <w:rPr>
          <w:rFonts w:eastAsia="DengXian"/>
          <w:lang w:eastAsia="zh-CN"/>
        </w:rPr>
        <w:sectPr w:rsidR="001D19AB">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27CDE9D8" w:rsidR="00452605" w:rsidRPr="004D1B5C" w:rsidRDefault="0095653F" w:rsidP="00452605">
      <w:pPr>
        <w:pStyle w:val="Heading1"/>
      </w:pPr>
      <w:r w:rsidRPr="004D1B5C">
        <w:t xml:space="preserve">1. </w:t>
      </w:r>
      <w:r w:rsidR="00452605" w:rsidRPr="004D1B5C">
        <w:t>INTRODUCTION</w:t>
      </w:r>
    </w:p>
    <w:p w14:paraId="1919E44F" w14:textId="07C378A8" w:rsidR="004D1B5C" w:rsidRPr="004D1B5C" w:rsidRDefault="004D1B5C" w:rsidP="004D1B5C">
      <w:pPr>
        <w:pStyle w:val="MainText"/>
      </w:pPr>
      <w:r w:rsidRPr="004D1B5C">
        <w:t>Climate change has emerged as one of the most pressing challenges facing modern cities, with extreme weather events becoming increasingly frequent and intense</w:t>
      </w:r>
      <w:r w:rsidRPr="004D1B5C">
        <w:rPr>
          <w:rFonts w:hint="eastAsia"/>
        </w:rPr>
        <w:t xml:space="preserve"> </w:t>
      </w:r>
      <w:r w:rsidRPr="004D1B5C">
        <w:fldChar w:fldCharType="begin"/>
      </w:r>
      <w:r w:rsidRPr="004D1B5C">
        <w:instrText xml:space="preserve"> ADDIN ZOTERO_ITEM CSL_CITATION {"citationID":"zALkLLii","properties":{"formattedCitation":"(Aerts et al. 2018)","plainCitation":"(Aerts et al. 2018)","noteIndex":0},"citationItems":[{"id":6570,"uris":["http://zotero.org/users/4985941/items/XB6C6W7W"],"itemData":{"id":6570,"type":"article-journal","abstract":"The behaviour of individuals, businesses, and government entities before, during, and immediately after a disaster can dramatically affect the impact and recovery time. However, existing risk-assessment methods rarely include this critical factor. In this Perspective, we show why this is a concern, and demonstrate that although initial efforts have inevitably represented human behaviour in limited terms, innovations in flood-risk assessment that integrate societal behaviour and behavioural adaptation dynamics into such quantifications may lead to more accurate characterization of risks and improved assessment of the effectiveness of risk-management strategies and investments. Such multidisciplinary approaches can inform flood-risk management policy development.","archive_location":"287 </w:instrText>
      </w:r>
      <w:r w:rsidRPr="004D1B5C">
        <w:rPr>
          <w:rFonts w:ascii="Segoe UI Emoji" w:hAnsi="Segoe UI Emoji" w:cs="Segoe UI Emoji"/>
        </w:rPr>
        <w:instrText>📊</w:instrText>
      </w:r>
      <w:r w:rsidRPr="004D1B5C">
        <w:instrText xml:space="preserve">","call-number":"1","container-title":"Nature Climate Change","DOI":"10.1038/s41558-018-0085-1","ISSN":"1758-6798","issue":"3","journalAbbreviation":"Nature Clim Change","language":"en","license":"2018 The Author(s)","note":"number: 3\npublisher: Nature Publishing Group","page":"193-199","source":"28.66 (SQ1)","title":"Integrating human behaviour dynamics into flood disaster risk assessment","volume":"8","author":[{"family":"Aerts","given":"J. C. J. H."},{"family":"Botzen","given":"W. J."},{"family":"Clarke","given":"K. C."},{"family":"Cutter","given":"S. L."},{"family":"Hall","given":"J. W."},{"family":"Merz","given":"B."},{"family":"Michel-Kerjan","given":"E."},{"family":"Mysiak","given":"J."},{"family":"Surminski","given":"S."},{"family":"Kunreuther","given":"H."}],"issued":{"date-parts":[["2018",3]]}}}],"schema":"https://github.com/citation-style-language/schema/raw/master/csl-citation.json"} </w:instrText>
      </w:r>
      <w:r w:rsidRPr="004D1B5C">
        <w:fldChar w:fldCharType="separate"/>
      </w:r>
      <w:r w:rsidRPr="004D1B5C">
        <w:t>(Aerts et al. 2018)</w:t>
      </w:r>
      <w:r w:rsidRPr="004D1B5C">
        <w:fldChar w:fldCharType="end"/>
      </w:r>
      <w:r w:rsidRPr="004D1B5C">
        <w:t xml:space="preserve">. Among various urban infrastructure systems, surface transportation networks are particularly vulnerable to climate-related disruptions, yet they are critical for maintaining urban mobility and economic </w:t>
      </w:r>
      <w:r w:rsidRPr="004D1B5C">
        <w:t>activities</w:t>
      </w:r>
      <w:r w:rsidRPr="004D1B5C">
        <w:rPr>
          <w:rFonts w:hint="eastAsia"/>
        </w:rPr>
        <w:t xml:space="preserve"> </w:t>
      </w:r>
      <w:r w:rsidRPr="004D1B5C">
        <w:fldChar w:fldCharType="begin"/>
      </w:r>
      <w:r w:rsidRPr="004D1B5C">
        <w:instrText xml:space="preserve"> ADDIN ZOTERO_ITEM CSL_CITATION {"citationID":"npWGFMgm","properties":{"formattedCitation":"(Lin et al. 2024)","plainCitation":"(Lin et al. 2024)","noteIndex":0},"citationItems":[{"id":8386,"uris":["http://zotero.org/users/4985941/items/6GRYX69R"],"itemData":{"id":8386,"type":"article-journal","abstract":"Amid escalating climate change and extreme weather events, urban road networks face increasingly severe flood risks. Current congestion risk analyses on transportation systems, largely grounded in static network characteristics, fall short of capturing the dynamic impacts of evolving flood events on network topology. A notable gap in integrating dynamic flood models with detailed temporal network property measurements impedes a deep understanding of the cascading mechanisms of traffic disruptions caused by floods. The research introduces an innovative framework for assessing dynamic congestion risks within transportation networks under flooding conditions. This framework comprises four distinct layers. The Data and Context layer collates and contextualizes primary data, encompassing road networks, commuter behaviour patterns and hydrological risks. This layer establishes a baseline for understanding the structure of the transportation system and its environmental vulnerabilities. The Computation layer focuses on calculating context-based betweenness centrality values to capture the importance of road segments within the network, setting a static indicator. Concurrently, this layer examines the dynamic exposure flag under flood conditions, providing a dynamic indicator that accounts for the fluctuating susceptibility of road networks to flooding. The Integration layer bridges the topological analysis and the functional performance of the transportation system. It creates a dynamic series that describes the topological properties of the network, reflecting its vulnerability to disruptions. Simultaneously, the time-variant traffic demand series are tracked to capture the system’s operational response to flood-induced conditions. Finally, the Evaluation layer synthesizes data and analyses from the previous modules. This synthesis involves a novel dual assessment: generating a time-variant vulnerability index series and evaluating the time-variant congestion risk map on the transportation system under flooding. The London case study is developed based on this proposed framework to identify critical areas of congestion risks. This study offers valuable data-driven insights for urban planning and disaster management, aiding policymakers, planners and emergency teams to enhance urban resilience against flood-induced transport disruptions.","archive_location":"1 </w:instrText>
      </w:r>
      <w:r w:rsidRPr="004D1B5C">
        <w:rPr>
          <w:rFonts w:ascii="Segoe UI Emoji" w:hAnsi="Segoe UI Emoji" w:cs="Segoe UI Emoji"/>
        </w:rPr>
        <w:instrText>📊</w:instrText>
      </w:r>
      <w:r w:rsidRPr="004D1B5C">
        <w:instrText xml:space="preserve">","call-number":"2","container-title":"Advanced Engineering Informatics","DOI":"10.1016/j.aei.2024.102672","ISSN":"1474-0346","journalAbbreviation":"Advanced Engineering Informatics","page":"102672","source":"7.862 (Q1)","title":"Assessing dynamic congestion risks of flood-disrupted transportation network systems through time-variant topological analysis and traffic demand dynamics","volume":"62","author":[{"family":"Lin","given":"Xuhui"},{"family":"Lu","given":"Qiuchen"},{"family":"Chen","given":"Long"},{"family":"Brilakis","given":"Ioannis"}],"issued":{"date-parts":[["2024",10,1]]}}}],"schema":"https://github.com/citation-style-language/schema/raw/master/csl-citation.json"} </w:instrText>
      </w:r>
      <w:r w:rsidRPr="004D1B5C">
        <w:fldChar w:fldCharType="separate"/>
      </w:r>
      <w:r w:rsidRPr="004D1B5C">
        <w:t>(Lin et al. 2024)</w:t>
      </w:r>
      <w:r w:rsidRPr="004D1B5C">
        <w:fldChar w:fldCharType="end"/>
      </w:r>
      <w:r w:rsidRPr="004D1B5C">
        <w:t>. Understanding how multi-modal surface transportation systems - including buses, private cars, bicycles, and pedestrians - respond to and recover from extreme weather events has become crucial for urban resilience.</w:t>
      </w:r>
      <w:r w:rsidRPr="004D1B5C">
        <w:rPr>
          <w:rFonts w:hint="eastAsia"/>
        </w:rPr>
        <w:t xml:space="preserve"> </w:t>
      </w:r>
      <w:r w:rsidRPr="004D1B5C">
        <w:t>The complexity of multi-modal surface transportation systems under extreme conditions stems from their intricate patterns of interaction and interdependence</w:t>
      </w:r>
      <w:r w:rsidRPr="004D1B5C">
        <w:rPr>
          <w:rFonts w:hint="eastAsia"/>
        </w:rPr>
        <w:t xml:space="preserve"> </w:t>
      </w:r>
      <w:r w:rsidRPr="004D1B5C">
        <w:fldChar w:fldCharType="begin"/>
      </w:r>
      <w:r w:rsidRPr="004D1B5C">
        <w:instrText xml:space="preserve"> ADDIN ZOTERO_ITEM CSL_CITATION {"citationID":"shX9q8XG","properties":{"formattedCitation":"(Sun, Chow, and Madanat 2020)","plainCitation":"(Sun, Chow, and Madanat 2020)","noteIndex":0},"citationItems":[{"id":8878,"uris":["http://zotero.org/users/4985941/items/WJ9EWBHN"],"itemData":{"id":8878,"type":"article-journal","abstract":"Transportation infrastructure resilience is an important component of a region’s ability to recover from natural disasters. While Sea Level Rise (SLR) is becoming inevitable with climate change, little is known of the impact of protection strategies on multiple modes of transport. The present paper proposes a framework where a range of coastal protection strategies are undertaken in the case of one meter of SLR (expected by the year 2100). The methodology incorporates high-resolution hydrodynamic simulations using the Coastal Storm Modeling System (CoSMoS) and traffic simulations using the Multi-Agent Transport Simulation (MATSim) to quantify the potential impact of SLR and protection strategies on both the highway and public transit systems in the San Francisco Bay Area. The results of the traffic simulations are analyzed at the regional and Transportation Analysis Zone (TAZ) levels. Modeling results show that coastal protection of one area will affect the transportation system (sometimes negatively) in areas beyond its vicinity. The improved spatial resolution, and the integration of highway and transit networks in a unified model, reveal transportation phenomena that were not identified in previous studies. By quantifying the impacts on commuters’ mobility in different TAZs, the methodology can be used to develop effective and inclusive strategies against SLR for a given region of interest.","archive_location":"15 </w:instrText>
      </w:r>
      <w:r w:rsidRPr="004D1B5C">
        <w:rPr>
          <w:rFonts w:ascii="Segoe UI Emoji" w:hAnsi="Segoe UI Emoji" w:cs="Segoe UI Emoji"/>
        </w:rPr>
        <w:instrText>📊</w:instrText>
      </w:r>
      <w:r w:rsidRPr="004D1B5C">
        <w:instrText xml:space="preserve">","container-title":"Transportation Research Part D: Transport and Environment","DOI":"10.1016/j.trd.2020.102568","ISSN":"1361-9209","journalAbbreviation":"Transportation Research Part D: Transport and Environment","page":"102568","source":"ScienceDirect","title":"Multimodal transportation system protection against sea level rise","volume":"88","author":[{"family":"Sun","given":"Jiayun"},{"family":"Chow","given":"Aaron C. H."},{"family":"Madanat","given":"Samer Michel"}],"issued":{"date-parts":[["2020",11,1]]}}}],"schema":"https://github.com/citation-style-language/schema/raw/master/csl-citation.json"} </w:instrText>
      </w:r>
      <w:r w:rsidRPr="004D1B5C">
        <w:fldChar w:fldCharType="separate"/>
      </w:r>
      <w:r w:rsidRPr="004D1B5C">
        <w:t>(Sun, Chow, and Madanat 2020)</w:t>
      </w:r>
      <w:r w:rsidRPr="004D1B5C">
        <w:fldChar w:fldCharType="end"/>
      </w:r>
      <w:r w:rsidRPr="004D1B5C">
        <w:t xml:space="preserve">. </w:t>
      </w:r>
      <w:r w:rsidRPr="004D1B5C">
        <w:lastRenderedPageBreak/>
        <w:t>During severe weather events, these interactions become more pronounced as travellers adapt their mode choices and routes in response to disruptions. For instance, when heavy rainfall affects road conditions, the interactions between different modes intensify as they compete for limited usable road space, potentially leading to system-wide instability</w:t>
      </w:r>
      <w:r w:rsidRPr="004D1B5C">
        <w:rPr>
          <w:rFonts w:hint="eastAsia"/>
        </w:rPr>
        <w:t xml:space="preserve"> </w:t>
      </w:r>
      <w:r w:rsidRPr="004D1B5C">
        <w:fldChar w:fldCharType="begin"/>
      </w:r>
      <w:r w:rsidRPr="004D1B5C">
        <w:instrText xml:space="preserve"> ADDIN ZOTERO_ITEM CSL_CITATION {"citationID":"YYBiP271","properties":{"formattedCitation":"(Yang et al. 2025)","plainCitation":"(Yang et al. 2025)","noteIndex":0},"citationItems":[{"id":8877,"uris":["http://zotero.org/users/4985941/items/7XPPDKDT"],"itemData":{"id":8877,"type":"article-journal","abstract":"Intercity transportation system (ICTS), characterized by large-scale, high spatial-temporal concentration, and sparser departure frequencies, is more vulnerable in unexpected events. Understanding the resilience characteristics of ICTS is crucial for maintaining the network service capabilities. Aiming to conduct effective resilience assessment on ICTS, we develop the resilience simulation model by introduce dual-regulated parameters for network load and capacity into cascading propagation model under interruption events, and quantify the impact of travel distance, time costs, and route redundancy on travel choice of passengers. Meanwhile, propose service resilience indicators from both the passenger's and the system's perspectives. Finally, we conduct a case study on the resilience of ICTS in Beijing-Tianjin-Hebei Urban Agglomerations (BTH-UA). The results show that: 1) Multimodal transportation systems usually exhibit better resilience than unimodal systems. 2) For various resilience optimization metrics, it is essential to choose targeted recovery strategies to maximize network resilience. 3) Traveler sensitivity to travel time significantly influences the resilience of passenger-based network services. 4) Changes in transportation supply capacity and travel demand will impact the system's resilience. The research findings can provide valuable references for the resilience development and management of urban transportation systems.","archive_location":"0 </w:instrText>
      </w:r>
      <w:r w:rsidRPr="004D1B5C">
        <w:rPr>
          <w:rFonts w:ascii="Segoe UI Emoji" w:hAnsi="Segoe UI Emoji" w:cs="Segoe UI Emoji"/>
        </w:rPr>
        <w:instrText>📊</w:instrText>
      </w:r>
      <w:r w:rsidRPr="004D1B5C">
        <w:instrText xml:space="preserve">","call-number":"1","container-title":"Reliability Engineering &amp; System Safety","DOI":"10.1016/j.ress.2024.110527","ISSN":"0951-8320","journalAbbreviation":"Reliability Engineering &amp; System Safety","page":"110527","source":"7.247 (Q1)","title":"Assessment on resilience of urban agglomeration transportation system considering passenger choice and load-capacity factor","volume":"253","author":[{"family":"Yang","given":"Zhicheng"},{"family":"Liu","given":"Xiaobing"},{"family":"Wang","given":"Jiangfeng"},{"family":"Yan","given":"Xuedong"},{"family":"Shen","given":"Rui"},{"family":"Huo","given":"Zhengqi"}],"issued":{"date-parts":[["2025",1,1]]}}}],"schema":"https://github.com/citation-style-language/schema/raw/master/csl-citation.json"} </w:instrText>
      </w:r>
      <w:r w:rsidRPr="004D1B5C">
        <w:fldChar w:fldCharType="separate"/>
      </w:r>
      <w:r w:rsidRPr="004D1B5C">
        <w:t>(Yang et al. 2025)</w:t>
      </w:r>
      <w:r w:rsidRPr="004D1B5C">
        <w:fldChar w:fldCharType="end"/>
      </w:r>
      <w:r w:rsidRPr="004D1B5C">
        <w:t xml:space="preserve">. Traditional approaches to analysing transportation systems </w:t>
      </w:r>
      <w:r w:rsidRPr="004D1B5C">
        <w:rPr>
          <w:rFonts w:hint="eastAsia"/>
        </w:rPr>
        <w:t xml:space="preserve">behaviours </w:t>
      </w:r>
      <w:r w:rsidRPr="004D1B5C">
        <w:t>have primarily focused on normal operating conditions, employing static network properties or simplified flow models. However, these methods prove inadequate when studying system behaviour under extreme weather conditions, where non-linear interactions and complex adaptation patterns dominate</w:t>
      </w:r>
      <w:r w:rsidRPr="004D1B5C">
        <w:rPr>
          <w:rFonts w:hint="eastAsia"/>
        </w:rPr>
        <w:t xml:space="preserve"> </w:t>
      </w:r>
      <w:r w:rsidRPr="004D1B5C">
        <w:fldChar w:fldCharType="begin"/>
      </w:r>
      <w:r w:rsidRPr="004D1B5C">
        <w:instrText xml:space="preserve"> ADDIN ZOTERO_ITEM CSL_CITATION {"citationID":"w5MQm2PL","properties":{"formattedCitation":"(Barahimi, Eydi, and Aghaie 2021)","plainCitation":"(Barahimi, Eydi, and Aghaie 2021)","noteIndex":0},"citationItems":[{"id":8875,"uris":["http://zotero.org/users/4985941/items/6EVPHFVV"],"itemData":{"id":8875,"type":"article-journal","abstract":"Due to the presence of transportation infrastructure in metropolitan areas, authorities often seek to modify the capacity of existing urban transportation links. Therefore, to meet travel demands, it is necessary to consider public transport (PT) modes and carry out systematic planning. In this research, assuming the existence of urban transportation infrastructure, we develop a mathematical model to determine the amount of link capacity increase for the dual-mode PT network. Such an increase in capacity can improve the network capacity and travel time reliabilities under both normal and peak traffic conditions. To investigate this issue, travel demand is assumed to follow a lognormal distribution under normal conditions. Then, the total travel time and flow through the links are calculated and applied to the model using the Monte Carlo method. In this study, we assume that the links of both transport modes forming a path are interdependent. Moreover, due to NP-hardness, we propose the PSO algorithm with dynamic parameters to solve the multi-objective bi-level model. Considering two public transport modes, we develop the algorithm for a part of the urban transportation network in Tehran, Iran.","archive_location":"25 </w:instrText>
      </w:r>
      <w:r w:rsidRPr="004D1B5C">
        <w:rPr>
          <w:rFonts w:ascii="Segoe UI Emoji" w:hAnsi="Segoe UI Emoji" w:cs="Segoe UI Emoji"/>
        </w:rPr>
        <w:instrText>📊</w:instrText>
      </w:r>
      <w:r w:rsidRPr="004D1B5C">
        <w:instrText xml:space="preserve">","call-number":"1","container-title":"Reliability Engineering &amp; System Safety","DOI":"10.1016/j.ress.2021.107922","ISSN":"0951-8320","journalAbbreviation":"Reliability Engineering &amp; System Safety","page":"107922","source":"7.247 (Q1)","title":"Multi-modal urban transit network design considering reliability: multi-objective bi-level optimization","title-short":"Multi-modal urban transit network design considering reliability","volume":"216","author":[{"family":"Barahimi","given":"Amir Hossein"},{"family":"Eydi","given":"Alireza"},{"family":"Aghaie","given":"Abdolah"}],"issued":{"date-parts":[["2021",12,1]]}}}],"schema":"https://github.com/citation-style-language/schema/raw/master/csl-citation.json"} </w:instrText>
      </w:r>
      <w:r w:rsidRPr="004D1B5C">
        <w:fldChar w:fldCharType="separate"/>
      </w:r>
      <w:r w:rsidRPr="004D1B5C">
        <w:t>(Barahimi, Eydi, and Aghaie 2021)</w:t>
      </w:r>
      <w:r w:rsidRPr="004D1B5C">
        <w:fldChar w:fldCharType="end"/>
      </w:r>
      <w:r w:rsidRPr="004D1B5C">
        <w:t>.</w:t>
      </w:r>
      <w:r w:rsidRPr="004D1B5C">
        <w:rPr>
          <w:rFonts w:hint="eastAsia"/>
        </w:rPr>
        <w:t xml:space="preserve"> </w:t>
      </w:r>
      <w:r w:rsidRPr="004D1B5C">
        <w:t>These complex adaptation patterns can be understood through the lens of non-equilibrium dynamics</w:t>
      </w:r>
      <w:r w:rsidRPr="004D1B5C">
        <w:rPr>
          <w:rFonts w:hint="eastAsia"/>
        </w:rPr>
        <w:t xml:space="preserve"> </w:t>
      </w:r>
      <w:r w:rsidRPr="004D1B5C">
        <w:fldChar w:fldCharType="begin"/>
      </w:r>
      <w:r w:rsidRPr="004D1B5C">
        <w:instrText xml:space="preserve"> ADDIN ZOTERO_ITEM CSL_CITATION {"citationID":"JrCpj13X","properties":{"formattedCitation":"(Nartallo-Kaluarachchi et al. 2024)","plainCitation":"(Nartallo-Kaluarachchi et al. 2024)","noteIndex":0},"citationItems":[{"id":8849,"uris":["http://zotero.org/users/4985941/items/QG6ZV6PG"],"itemData":{"id":8849,"type":"article","abstract":"Information processing in the human brain can be modelled as a complex dynamical system operating out of equilibrium with multiple regions interacting nonlinearly. Yet, despite extensive study of the global level of non-equilibrium in the brain, quantifying the irreversibility of interactions among brain regions at multiple levels remains an unresolved challenge. Here, we present the Directed Multiplex Visibility Graph Irreversibility framework, a method for analysing neural recordings using network analysis of time-series. Our approach constructs directed multi-layer graphs from multivariate time-series where information about irreversibility can be decoded from the marginal degree distributions across the layers, which each represents a variable. This framework is able to quantify the irreversibility of every interaction in the complex system. Applying the method to magnetoencephalography recordings during a long-term memory recognition task, we quantify the multivariate irreversibility of interactions between brain regions and identify the combinations of regions which showed higher levels of non-equilibrium in their interactions. For individual regions, we find higher irreversibility in cognitive versus sensorial brain regions whilst for pairs, strong relationships are uncovered between cognitive and sensorial pairs in the same hemisphere. For triplets and quadruplets, the most non-equilibrium interactions are between cognitive-sensorial pairs alongside medial regions. Finally, for quintuplets, our analysis finds higher irreversibility when the prefrontal cortex is included in the interaction. Combining these results, we show that multilevel irreversibility offers unique insights into the higher-order, hierarchical organisation of neural dynamics and presents a new perspective on the analysis of brain network dynamics.","archive_location":"0 </w:instrText>
      </w:r>
      <w:r w:rsidRPr="004D1B5C">
        <w:rPr>
          <w:rFonts w:ascii="Segoe UI Emoji" w:hAnsi="Segoe UI Emoji" w:cs="Segoe UI Emoji"/>
        </w:rPr>
        <w:instrText>📊</w:instrText>
      </w:r>
      <w:r w:rsidRPr="004D1B5C">
        <w:instrText xml:space="preserve">","DOI":"10.1101/2024.05.02.592195","language":"en","license":"http://creativecommons.org/licenses/by/4.0/","source":"Biophysics","title":"Multilevel irreversibility reveals higher-order organisation of non-equilibrium interactions in human brain dynamics","URL":"http://biorxiv.org/lookup/doi/10.1101/2024.05.02.592195","author":[{"family":"Nartallo-Kaluarachchi","given":"Ramón"},{"family":"Bonetti","given":"Leonardo"},{"family":"Fernández-Rubio","given":"Gemma"},{"family":"Vuust","given":"Peter"},{"family":"Deco","given":"Gustavo"},{"family":"Kringelbach","given":"Morten L."},{"family":"Lambiotte","given":"Renaud"},{"family":"Goriely","given":"Alain"}],"accessed":{"date-parts":[["2024",11,25]]},"issued":{"date-parts":[["2024",5,5]]}}}],"schema":"https://github.com/citation-style-language/schema/raw/master/csl-citation.json"} </w:instrText>
      </w:r>
      <w:r w:rsidRPr="004D1B5C">
        <w:fldChar w:fldCharType="separate"/>
      </w:r>
      <w:r w:rsidRPr="004D1B5C">
        <w:t>(Nartallo-Kaluarachchi et al. 2024)</w:t>
      </w:r>
      <w:r w:rsidRPr="004D1B5C">
        <w:fldChar w:fldCharType="end"/>
      </w:r>
      <w:r w:rsidRPr="004D1B5C">
        <w:t>. During extreme events, transportation systems operate far from equilibrium states, exhibiting directional flows and asymmetric evolution patterns that cannot be adequately described by traditional equilibrium-based models. The system's deviation from equilibrium manifests as irreversibility in traffic patterns</w:t>
      </w:r>
      <w:r w:rsidRPr="004D1B5C">
        <w:rPr>
          <w:rFonts w:hint="eastAsia"/>
        </w:rPr>
        <w:t xml:space="preserve"> </w:t>
      </w:r>
      <w:r w:rsidRPr="004D1B5C">
        <w:fldChar w:fldCharType="begin"/>
      </w:r>
      <w:r w:rsidRPr="004D1B5C">
        <w:instrText xml:space="preserve"> ADDIN ZOTERO_ITEM CSL_CITATION {"citationID":"5yknrLuV","properties":{"formattedCitation":"(Nartallo-Kaluarachchi et al. 2024)","plainCitation":"(Nartallo-Kaluarachchi et al. 2024)","noteIndex":0},"citationItems":[{"id":8849,"uris":["http://zotero.org/users/4985941/items/QG6ZV6PG"],"itemData":{"id":8849,"type":"article","abstract":"Information processing in the human brain can be modelled as a complex dynamical system operating out of equilibrium with multiple regions interacting nonlinearly. Yet, despite extensive study of the global level of non-equilibrium in the brain, quantifying the irreversibility of interactions among brain regions at multiple levels remains an unresolved challenge. Here, we present the Directed Multiplex Visibility Graph Irreversibility framework, a method for analysing neural recordings using network analysis of time-series. Our approach constructs directed multi-layer graphs from multivariate time-series where information about irreversibility can be decoded from the marginal degree distributions across the layers, which each represents a variable. This framework is able to quantify the irreversibility of every interaction in the complex system. Applying the method to magnetoencephalography recordings during a long-term memory recognition task, we quantify the multivariate irreversibility of interactions between brain regions and identify the combinations of regions which showed higher levels of non-equilibrium in their interactions. For individual regions, we find higher irreversibility in cognitive versus sensorial brain regions whilst for pairs, strong relationships are uncovered between cognitive and sensorial pairs in the same hemisphere. For triplets and quadruplets, the most non-equilibrium interactions are between cognitive-sensorial pairs alongside medial regions. Finally, for quintuplets, our analysis finds higher irreversibility when the prefrontal cortex is included in the interaction. Combining these results, we show that multilevel irreversibility offers unique insights into the higher-order, hierarchical organisation of neural dynamics and presents a new perspective on the analysis of brain network dynamics.","archive_location":"0 </w:instrText>
      </w:r>
      <w:r w:rsidRPr="004D1B5C">
        <w:rPr>
          <w:rFonts w:ascii="Segoe UI Emoji" w:hAnsi="Segoe UI Emoji" w:cs="Segoe UI Emoji"/>
        </w:rPr>
        <w:instrText>📊</w:instrText>
      </w:r>
      <w:r w:rsidRPr="004D1B5C">
        <w:instrText xml:space="preserve">","DOI":"10.1101/2024.05.02.592195","language":"en","license":"http://creativecommons.org/licenses/by/4.0/","source":"Biophysics","title":"Multilevel irreversibility reveals higher-order organisation of non-equilibrium interactions in human brain dynamics","URL":"http://biorxiv.org/lookup/doi/10.1101/2024.05.02.592195","author":[{"family":"Nartallo-Kaluarachchi","given":"Ramón"},{"family":"Bonetti","given":"Leonardo"},{"family":"Fernández-Rubio","given":"Gemma"},{"family":"Vuust","given":"Peter"},{"family":"Deco","given":"Gustavo"},{"family":"Kringelbach","given":"Morten L."},{"family":"Lambiotte","given":"Renaud"},{"family":"Goriely","given":"Alain"}],"accessed":{"date-parts":[["2024",11,25]]},"issued":{"date-parts":[["2024",5,5]]}}}],"schema":"https://github.com/citation-style-language/schema/raw/master/csl-citation.json"} </w:instrText>
      </w:r>
      <w:r w:rsidRPr="004D1B5C">
        <w:fldChar w:fldCharType="separate"/>
      </w:r>
      <w:r w:rsidRPr="004D1B5C">
        <w:t>(Nartallo-Kaluarachchi et al. 2024)</w:t>
      </w:r>
      <w:r w:rsidRPr="004D1B5C">
        <w:fldChar w:fldCharType="end"/>
      </w:r>
      <w:r w:rsidRPr="004D1B5C">
        <w:t>, where the forward and backward trajectories of system states follow fundamentally different probability distributions. This irreversibility represents a critical characteristic of transportation networks under stress and provides a quantitative basis for measuring system adaptation capacity.</w:t>
      </w:r>
      <w:r w:rsidRPr="004D1B5C">
        <w:rPr>
          <w:rFonts w:hint="eastAsia"/>
        </w:rPr>
        <w:t xml:space="preserve"> </w:t>
      </w:r>
      <w:r w:rsidRPr="004D1B5C">
        <w:t>Current approaches to analysing system behaviour during extreme weather events primarily focus on individual modes or simplified interactions</w:t>
      </w:r>
      <w:r w:rsidRPr="004D1B5C">
        <w:rPr>
          <w:rFonts w:hint="eastAsia"/>
        </w:rPr>
        <w:t xml:space="preserve"> </w:t>
      </w:r>
      <w:r w:rsidRPr="004D1B5C">
        <w:fldChar w:fldCharType="begin"/>
      </w:r>
      <w:r w:rsidRPr="004D1B5C">
        <w:instrText xml:space="preserve"> ADDIN ZOTERO_ITEM CSL_CITATION {"citationID":"aj5htLzi","properties":{"formattedCitation":"(L. Wang et al. 2024)","plainCitation":"(L. Wang et al. 2024)","noteIndex":0},"citationItems":[{"id":8881,"uris":["http://zotero.org/users/4985941/items/TWUJNHUL"],"itemData":{"id":8881,"type":"article-journal","abstract":"In the last decade, there has been an abundance of research on identifying critical nodes in single-modal transportation network, but less for multi-modal transportation network (MTN). In addition, none of them consider the effect of interactions between nodes in a transportation corridor on node importance. For this purpose, a modified weighted k-shell (MWKS) model is proposed for identifying the critical nodes of the MTN, which combines the network topology and traffic demand. It is modified by the differential contribution of the multi-order neighbor nodes embodied by the passenger volume and the transportation corridor idea. Then the effectiveness of MWKS is verified with an example of a real transportation system using susceptible-infected (SI) model and cascading failure model. The analysis proves that MWKS is suitable for identifying critical nodes in the MTN. Furthermore, the proposed contribution attenuation coefficient based on the idea of the transportation corridor outperforms the topology-based and constant. It demonstrates the necessity of capturing the difference in the contribution of each neighbor node based on traffic demand when calculating the node importance. The results can provide a research basis for traffic planning to improve network reliability.","archive_location":"12 </w:instrText>
      </w:r>
      <w:r w:rsidRPr="004D1B5C">
        <w:rPr>
          <w:rFonts w:ascii="Segoe UI Emoji" w:hAnsi="Segoe UI Emoji" w:cs="Segoe UI Emoji"/>
        </w:rPr>
        <w:instrText>📊</w:instrText>
      </w:r>
      <w:r w:rsidRPr="004D1B5C">
        <w:instrText xml:space="preserve">","call-number":"1","container-title":"Reliability Engineering &amp; System Safety","DOI":"10.1016/j.ress.2024.109956","ISSN":"0951-8320","journalAbbreviation":"Reliability Engineering &amp; System Safety","page":"109956","source":"7.247 (Q1)","title":"Identifying the critical nodes in multi-modal transportation network with a traffic demand-based computational method","volume":"244","author":[{"family":"Wang","given":"Longjian"},{"family":"Zhang","given":"Shuichao"},{"family":"Szűcs","given":"Gábor"},{"family":"Wang","given":"Yonggang"}],"issued":{"date-parts":[["2024",4,1]]}}}],"schema":"https://github.com/citation-style-language/schema/raw/master/csl-citation.json"} </w:instrText>
      </w:r>
      <w:r w:rsidRPr="004D1B5C">
        <w:fldChar w:fldCharType="separate"/>
      </w:r>
      <w:r w:rsidRPr="004D1B5C">
        <w:t>(L. Wang et al. 2024)</w:t>
      </w:r>
      <w:r w:rsidRPr="004D1B5C">
        <w:fldChar w:fldCharType="end"/>
      </w:r>
      <w:r w:rsidRPr="004D1B5C">
        <w:t>, failing to capture the complex, non-linear dynamics that emerge when multiple modes interact under stress. Furthermore, while existing research has examined transportation systems under extreme conditions, these studies have not fully revealed the fundamental non-equilibrium characteristics that drive system behaviour during such events. Understanding these non-equilibrium properties is crucial because they represent the underlying mechanisms through which transportation systems adapt to and recover from extreme disruptions. Current approaches typically focus on describing observed phenomena rather than uncovering the physical principles that govern system evolution during stress</w:t>
      </w:r>
      <w:r w:rsidRPr="004D1B5C">
        <w:rPr>
          <w:rFonts w:hint="eastAsia"/>
        </w:rPr>
        <w:t xml:space="preserve"> </w:t>
      </w:r>
      <w:r w:rsidRPr="004D1B5C">
        <w:fldChar w:fldCharType="begin"/>
      </w:r>
      <w:r w:rsidRPr="004D1B5C">
        <w:instrText xml:space="preserve"> ADDIN ZOTERO_ITEM CSL_CITATION {"citationID":"dFhU1VRi","properties":{"formattedCitation":"(Abdulla, Mostafavi, and Birgisson 2019)","plainCitation":"(Abdulla, Mostafavi, and Birgisson 2019)","noteIndex":0},"citationItems":[{"id":638,"uris":["http://zotero.org/users/4985941/items/WVVGQX4R"],"itemData":{"id":638,"type":"paper-conference","abstract":"The objective of this paper is to model and characterize the percolation dynamics in road networks during a major fluvial flooding event. First, a road system is modelled as planar graph, then, using the level of co-location interdependency with flood control infrastructure as a proxy to the flood vulnerability of the road networks, it estimated the extent of disruptions each neighborhood road network experienced during a flooding event. Second, percolation mechanism in the road network during the flood is captured by assigning different removal probabilities to nodes in road network according to a Bayesian rule. Finally, temporal changes in road network robustness were obtained for random and weighted-adjusted node-removal scenarios. The proposed method was applied to road flooding in a super neighborhood in Houston during hurricane Harvey. The result shows that, network percolation due to fluvial flooding, which is modelled with the proposed Bayes rule based node-removal scheme, causes the decrease in the road network connectivity at varying rate.","archive_location":"WOS:000485354700055","event-title":"COMPUTING IN CIVIL ENGINEERING 2019: SMART CITIES, SUSTAINABILITY, AND RESILIENCE","ISBN":"978-0-7844-8244-5","page":"428-435","title":"Characterization of the Vulnerability of Road Networks to Fluvial Flooding Using Network Percolation Approach","author":[{"family":"Abdulla","given":"B"},{"family":"Mostafavi","given":"A"},{"family":"Birgisson","given":"B"}],"editor":[{"family":"Cho","given":"YK"},{"family":"Leite","given":"F"},{"family":"Behzadan","given":"A"},{"family":"Wang","given":"C"}],"issued":{"date-parts":[["2019"]]}}}],"schema":"https://github.com/citation-style-language/schema/raw/master/csl-citation.json"} </w:instrText>
      </w:r>
      <w:r w:rsidRPr="004D1B5C">
        <w:fldChar w:fldCharType="separate"/>
      </w:r>
      <w:r w:rsidRPr="004D1B5C">
        <w:t>(Abdulla, Mostafavi, and Birgisson 2019)</w:t>
      </w:r>
      <w:r w:rsidRPr="004D1B5C">
        <w:fldChar w:fldCharType="end"/>
      </w:r>
      <w:r w:rsidRPr="004D1B5C">
        <w:t xml:space="preserve">. </w:t>
      </w:r>
      <w:r w:rsidRPr="004D1B5C">
        <w:rPr>
          <w:rFonts w:hint="eastAsia"/>
        </w:rPr>
        <w:t>Thus, a</w:t>
      </w:r>
      <w:r w:rsidRPr="004D1B5C">
        <w:t xml:space="preserve"> fundamental gap exists in understanding how irreversibility manifests across different organi</w:t>
      </w:r>
      <w:r w:rsidR="00A0468A">
        <w:rPr>
          <w:rFonts w:eastAsia="DengXian" w:hint="eastAsia"/>
          <w:lang w:eastAsia="zh-CN"/>
        </w:rPr>
        <w:t>s</w:t>
      </w:r>
      <w:r w:rsidRPr="004D1B5C">
        <w:t>ational levels in transportation systems, particularly during extreme weather events.</w:t>
      </w:r>
      <w:r w:rsidRPr="004D1B5C">
        <w:rPr>
          <w:rFonts w:hint="eastAsia"/>
        </w:rPr>
        <w:t xml:space="preserve"> </w:t>
      </w:r>
      <w:r w:rsidRPr="004D1B5C">
        <w:t xml:space="preserve">To address these gaps, this study develops a comprehensive framework based on </w:t>
      </w:r>
      <w:r w:rsidRPr="004D1B5C">
        <w:t>non-equilibrium dynamics for analysing multi-modal transportation systems under extreme weather conditions. We introduce the Multi-modal Visibility Graph Irreversibility (</w:t>
      </w:r>
      <w:proofErr w:type="spellStart"/>
      <w:r w:rsidRPr="004D1B5C">
        <w:t>MmVGI</w:t>
      </w:r>
      <w:proofErr w:type="spellEnd"/>
      <w:r w:rsidRPr="004D1B5C">
        <w:t xml:space="preserve">) framework, which enables the quantification of complex interactions between different transportation modes during extreme events. By mapping multi-modal traffic patterns to visibility graphs, </w:t>
      </w:r>
      <w:r w:rsidRPr="004D1B5C">
        <w:rPr>
          <w:rFonts w:hint="eastAsia"/>
        </w:rPr>
        <w:t>this</w:t>
      </w:r>
      <w:r w:rsidRPr="004D1B5C">
        <w:t xml:space="preserve"> approach captures both the temporal evolution of traffic states and the spatial organi</w:t>
      </w:r>
      <w:r w:rsidR="00A0468A">
        <w:rPr>
          <w:rFonts w:eastAsia="DengXian" w:hint="eastAsia"/>
          <w:lang w:eastAsia="zh-CN"/>
        </w:rPr>
        <w:t>s</w:t>
      </w:r>
      <w:r w:rsidRPr="004D1B5C">
        <w:t>ation of modal interactions. Additionally, we develop methods for measuring unique contributions to system irreversibility, enabling the identification of genuine higher-order interactions that cannot be reduced to simpler modal combinations.</w:t>
      </w:r>
    </w:p>
    <w:p w14:paraId="7B3261A0" w14:textId="59BBC007" w:rsidR="00452605" w:rsidRDefault="004D1B5C" w:rsidP="004D1B5C">
      <w:pPr>
        <w:pStyle w:val="MainText"/>
        <w:rPr>
          <w:rFonts w:eastAsia="DengXian"/>
          <w:lang w:eastAsia="zh-CN"/>
        </w:rPr>
      </w:pPr>
      <w:r w:rsidRPr="004D1B5C">
        <w:t>The remainder of this paper is organi</w:t>
      </w:r>
      <w:r w:rsidR="00A0468A">
        <w:t>sed</w:t>
      </w:r>
      <w:r w:rsidRPr="004D1B5C">
        <w:t xml:space="preserve"> as follows. Section 2 reviews relevant literature on transportation system analysis, non-equilibrium dynamics, and their applications. Section 3 presents </w:t>
      </w:r>
      <w:r w:rsidRPr="004D1B5C">
        <w:rPr>
          <w:rFonts w:hint="eastAsia"/>
        </w:rPr>
        <w:t>the</w:t>
      </w:r>
      <w:r w:rsidRPr="004D1B5C">
        <w:t xml:space="preserve"> theoretical</w:t>
      </w:r>
      <w:r w:rsidRPr="004D1B5C">
        <w:rPr>
          <w:rFonts w:hint="eastAsia"/>
        </w:rPr>
        <w:t xml:space="preserve"> foundation</w:t>
      </w:r>
      <w:r w:rsidRPr="004D1B5C">
        <w:t xml:space="preserve"> and methodology for quantifying multi</w:t>
      </w:r>
      <w:r w:rsidRPr="004D1B5C">
        <w:rPr>
          <w:rFonts w:hint="eastAsia"/>
        </w:rPr>
        <w:t>modal</w:t>
      </w:r>
      <w:r w:rsidRPr="004D1B5C">
        <w:t xml:space="preserve"> irreversibility. Section 4 demonstrates the application of </w:t>
      </w:r>
      <w:r w:rsidRPr="004D1B5C">
        <w:rPr>
          <w:rFonts w:hint="eastAsia"/>
        </w:rPr>
        <w:t>the</w:t>
      </w:r>
      <w:r w:rsidRPr="004D1B5C">
        <w:t xml:space="preserve"> approach through real-world case studies. Section 5 discusses the implications of</w:t>
      </w:r>
      <w:r w:rsidRPr="004D1B5C">
        <w:rPr>
          <w:rFonts w:hint="eastAsia"/>
        </w:rPr>
        <w:t xml:space="preserve"> the</w:t>
      </w:r>
      <w:r w:rsidRPr="004D1B5C">
        <w:t xml:space="preserve"> findings and their practical significance. Finally, Section 6 concludes the paper with a summary of key contributions and future research directions.</w:t>
      </w:r>
    </w:p>
    <w:p w14:paraId="4D8A6166" w14:textId="77777777" w:rsidR="001D19AB" w:rsidRDefault="001D19AB" w:rsidP="004D1B5C">
      <w:pPr>
        <w:pStyle w:val="MainText"/>
        <w:rPr>
          <w:rFonts w:eastAsia="DengXian"/>
          <w:lang w:eastAsia="zh-CN"/>
        </w:rPr>
      </w:pPr>
    </w:p>
    <w:p w14:paraId="56D82AAA" w14:textId="4844B5D2" w:rsidR="00452605" w:rsidRPr="004D1B5C" w:rsidRDefault="004767C1" w:rsidP="00452605">
      <w:pPr>
        <w:pStyle w:val="Heading1"/>
      </w:pPr>
      <w:r w:rsidRPr="004D1B5C">
        <w:t>2. LITERATURE REVIEW</w:t>
      </w:r>
    </w:p>
    <w:p w14:paraId="7AC794A3" w14:textId="6E506854" w:rsidR="004D1B5C" w:rsidRPr="004D1B5C" w:rsidRDefault="004D1B5C" w:rsidP="004D1B5C">
      <w:pPr>
        <w:pStyle w:val="MainText"/>
      </w:pPr>
      <w:r w:rsidRPr="004D1B5C">
        <w:t>Transportation system analysis has evolved significantly over recent decades. Early traffic flow theories established by Lighthill and Whitham and Richards provided the foundation for understanding vehicular movement through hydrodynamic principles</w:t>
      </w:r>
      <w:r w:rsidRPr="004D1B5C">
        <w:rPr>
          <w:rFonts w:hint="eastAsia"/>
        </w:rPr>
        <w:t xml:space="preserve"> </w:t>
      </w:r>
      <w:r w:rsidRPr="004D1B5C">
        <w:fldChar w:fldCharType="begin"/>
      </w:r>
      <w:r w:rsidRPr="004D1B5C">
        <w:instrText xml:space="preserve"> ADDIN ZOTERO_ITEM CSL_CITATION {"citationID":"JEVYjeDe","properties":{"formattedCitation":"(Gazis 2002)","plainCitation":"(Gazis 2002)","noteIndex":0},"citationItems":[{"id":8782,"uris":["http://zotero.org/users/4985941/items/WCPMNFA9"],"itemData":{"id":8782,"type":"article-journal","archive_location":"72 </w:instrText>
      </w:r>
      <w:r w:rsidRPr="004D1B5C">
        <w:rPr>
          <w:rFonts w:ascii="Segoe UI Emoji" w:hAnsi="Segoe UI Emoji" w:cs="Segoe UI Emoji"/>
        </w:rPr>
        <w:instrText>📊</w:instrText>
      </w:r>
      <w:r w:rsidRPr="004D1B5C">
        <w:instrText xml:space="preserve">","container-title":"Operations Research","DOI":"10.1287/opre.50.1.69.17776","ISSN":"0030-364X","issue":"1","note":"publisher: INFORMS","page":"69-77","source":"pubsonline.informs.org (Atypon)","title":"The Origins of Traffic Theory","volume":"50","author":[{"family":"Gazis","given":"Denos C."}],"issued":{"date-parts":[["2002",2]]}}}],"schema":"https://github.com/citation-style-language/schema/raw/master/csl-citation.json"} </w:instrText>
      </w:r>
      <w:r w:rsidRPr="004D1B5C">
        <w:fldChar w:fldCharType="separate"/>
      </w:r>
      <w:r w:rsidRPr="004D1B5C">
        <w:t>(Gazis 2002)</w:t>
      </w:r>
      <w:r w:rsidRPr="004D1B5C">
        <w:fldChar w:fldCharType="end"/>
      </w:r>
      <w:r w:rsidRPr="004D1B5C">
        <w:t xml:space="preserve">. </w:t>
      </w:r>
      <w:proofErr w:type="spellStart"/>
      <w:r w:rsidRPr="004D1B5C">
        <w:t>Daganzo</w:t>
      </w:r>
      <w:proofErr w:type="spellEnd"/>
      <w:r w:rsidRPr="004D1B5C">
        <w:t xml:space="preserve"> </w:t>
      </w:r>
      <w:r w:rsidRPr="004D1B5C">
        <w:fldChar w:fldCharType="begin"/>
      </w:r>
      <w:r w:rsidRPr="004D1B5C">
        <w:instrText xml:space="preserve"> ADDIN ZOTERO_ITEM CSL_CITATION {"citationID":"XIyyB46o","properties":{"formattedCitation":"(Daganzo 1994)","plainCitation":"(Daganzo 1994)","noteIndex":0},"citationItems":[{"id":6916,"uris":["http://zotero.org/users/4985941/items/N2LKS6VY"],"itemData":{"id":6916,"type":"article-journal","abstract":"This paper presents a simple representation of traffic on a highway with a single entrance and exit. The representation can be used to predict traffic's evolution over time and space, including transient phenomena such as the building, propagation, and dissipation of queues. The easy-to-solve difference equations used to predict traffic's evolution are shown to be the discrete analog of the differential equations arising from a special case of the hydrodynamic model of traffic flow. The proposed method automatically generates appropriate changes in density at locations where the hydrodynamic theory would call for a shockwave; i.e., a jump in density such as those typically seen at the end of every queue. The complex side calculations required by classical methods to keep track of shockwaves are thus eliminated. The paper also shows how the equations can mimic the real-life development of stop-and-go traffic within moving queues.","archive_location":"2795 </w:instrText>
      </w:r>
      <w:r w:rsidRPr="004D1B5C">
        <w:rPr>
          <w:rFonts w:ascii="Segoe UI Emoji" w:hAnsi="Segoe UI Emoji" w:cs="Segoe UI Emoji"/>
        </w:rPr>
        <w:instrText>📊</w:instrText>
      </w:r>
      <w:r w:rsidRPr="004D1B5C">
        <w:instrText xml:space="preserve">","container-title":"Transportation Research Part B: Methodological","DOI":"10.1016/0191-2615(94)90002-7","ISSN":"0191-2615","issue":"4","journalAbbreviation":"Transportation Research Part B: Methodological","language":"en","page":"269-287","source":"ScienceDirect","title":"The cell transmission model: A dynamic representation of highway traffic consistent with the hydrodynamic theory","title-short":"The cell transmission model","volume":"28","author":[{"family":"Daganzo","given":"Carlos F."}],"issued":{"date-parts":[["1994",8,1]]}}}],"schema":"https://github.com/citation-style-language/schema/raw/master/csl-citation.json"} </w:instrText>
      </w:r>
      <w:r w:rsidRPr="004D1B5C">
        <w:fldChar w:fldCharType="separate"/>
      </w:r>
      <w:r w:rsidRPr="004D1B5C">
        <w:t>(</w:t>
      </w:r>
      <w:proofErr w:type="spellStart"/>
      <w:r w:rsidRPr="004D1B5C">
        <w:t>Daganzo</w:t>
      </w:r>
      <w:proofErr w:type="spellEnd"/>
      <w:r w:rsidRPr="004D1B5C">
        <w:t xml:space="preserve"> 1994)</w:t>
      </w:r>
      <w:r w:rsidRPr="004D1B5C">
        <w:fldChar w:fldCharType="end"/>
      </w:r>
      <w:r w:rsidRPr="004D1B5C">
        <w:rPr>
          <w:rFonts w:hint="eastAsia"/>
        </w:rPr>
        <w:t xml:space="preserve"> </w:t>
      </w:r>
      <w:r w:rsidRPr="004D1B5C">
        <w:t xml:space="preserve">extended these concepts with his cell transmission model, enabling more sophisticated network-level analysis. As urban transportation became increasingly complex, researchers began examining multi-modal interactions. Ben-Akiva and Lerman </w:t>
      </w:r>
      <w:r w:rsidRPr="004D1B5C">
        <w:fldChar w:fldCharType="begin"/>
      </w:r>
      <w:r w:rsidRPr="004D1B5C">
        <w:instrText xml:space="preserve"> ADDIN ZOTERO_ITEM CSL_CITATION {"citationID":"DXrXUrjw","properties":{"formattedCitation":"(Koppelman and Ben-Akiva 1977)","plainCitation":"(Koppelman and Ben-Akiva 1977)","noteIndex":0},"citationItems":[{"id":8777,"uris":["http://zotero.org/users/4985941/items/MA2RHNRP"],"itemData":{"id":8777,"type":"chapter","abstract":"Disaggregate travel choice models have been extensively developed in recent years (CRA, 1972; PMM, 1973; Ben-Akiva, 1973; Richards and Ben- Akiva, 1974; Lerman and Ben-Akiva, 1975; and others). Their development has contributed to the refinement of theories of travel behavior through improved identification of explanatory variables and their relative influence on travel choice behavior. This paper is concerned with the application of disaggregate models to obtain predictions of aggregate travel flows required for transportation systems analysis and planning. In this context prediction is the final step in a sequence of activities which include model development, estimation and prediction (Figure 1). The flow diagram in Figure 1 calls for the use of a prediction procedure which obtains the desired aggregate predictions based on predicted input data and the estimated disaggregate model. The objective of this paper is to identify prediction procedures for use with disaggregate models which (1) use commonly available data or additional data which can be obtained easily, (2) are computationally inexpensive, and (3) provide relatively accurate travel predictions.","container-title":"Transport decisions in an age of uncertainty: Proceedings of the third World Conference on Transport Research Rotterdam, 26 – 28 April, 1977","event-place":"Dordrecht","ISBN":"978-94-009-9707-3","language":"en","note":"DOI: 10.1007/978-94-009-9707-3_26","page":"159-166","publisher":"Springer Netherlands","publisher-place":"Dordrecht","source":"Springer Link","title":"Aggregate forecasting with dissaggregate travel demand models using normally available data","URL":"https://doi.org/10.1007/978-94-009-9707-3_26","author":[{"family":"Koppelman","given":"Frank S."},{"family":"Ben-Akiva","given":"Moshe E."}],"editor":[{"family":"Visser","given":"Evert J."}],"accessed":{"date-parts":[["2024",12,17]]},"issued":{"date-parts":[["1977"]]}}}],"schema":"https://github.com/citation-style-language/schema/raw/master/csl-citation.json"} </w:instrText>
      </w:r>
      <w:r w:rsidRPr="004D1B5C">
        <w:fldChar w:fldCharType="separate"/>
      </w:r>
      <w:r w:rsidRPr="004D1B5C">
        <w:t>(Koppelman and Ben-Akiva 1977)</w:t>
      </w:r>
      <w:r w:rsidRPr="004D1B5C">
        <w:fldChar w:fldCharType="end"/>
      </w:r>
      <w:r w:rsidRPr="004D1B5C">
        <w:t xml:space="preserve"> developed frameworks for analysing travel behaviour across different modes under normal condition, while </w:t>
      </w:r>
      <w:proofErr w:type="spellStart"/>
      <w:r w:rsidRPr="004D1B5C">
        <w:t>Gallotti</w:t>
      </w:r>
      <w:proofErr w:type="spellEnd"/>
      <w:r w:rsidRPr="004D1B5C">
        <w:t xml:space="preserve"> and Barthelemy </w:t>
      </w:r>
      <w:r w:rsidRPr="004D1B5C">
        <w:fldChar w:fldCharType="begin"/>
      </w:r>
      <w:r w:rsidRPr="004D1B5C">
        <w:instrText xml:space="preserve"> ADDIN ZOTERO_ITEM CSL_CITATION {"citationID":"iCre05X9","properties":{"formattedCitation":"(Gallotti and Barthelemy 2015)","plainCitation":"(Gallotti and Barthelemy 2015)","noteIndex":0},"citationItems":[{"id":8770,"uris":["http://zotero.org/users/4985941/items/HXNN9TTT"],"itemData":{"id":8770,"type":"article-journal","abstract":"Despite the widespread availability of information concerning public transport coming from different sources, it is extremely hard to have a complete picture, in particular at a national scale. Here, we integrate timetable data obtained from the United Kingdom open-data program together with timetables of domestic flights, and obtain a comprehensive snapshot of the temporal characteristics of the whole UK public transport system for a week in October 2010. In order to focus on multi-modal aspects of the system, we use a coarse graining procedure and define explicitly the coupling between different transport modes such as connections at airports, ferry docks, rail, metro, coach and bus stations. The resulting weighted, directed, temporal and multilayer network is provided in simple, commonly used formats, ensuring easy access and the possibility of a straightforward use of old or specifically developed methods on this new and extensive dataset.","archive_location":"161 </w:instrText>
      </w:r>
      <w:r w:rsidRPr="004D1B5C">
        <w:rPr>
          <w:rFonts w:ascii="Segoe UI Emoji" w:hAnsi="Segoe UI Emoji" w:cs="Segoe UI Emoji"/>
        </w:rPr>
        <w:instrText>📊</w:instrText>
      </w:r>
      <w:r w:rsidRPr="004D1B5C">
        <w:instrText xml:space="preserve">","container-title":"Scientific Data","DOI":"10.1038/sdata.2014.56","ISSN":"2052-4463","issue":"1","journalAbbreviation":"Sci Data","language":"en","license":"2015 The Author(s)","note":"publisher: Nature Publishing Group","page":"140056","source":"www.nature.com","title":"The multilayer temporal network of public transport in Great Britain","volume":"2","author":[{"family":"Gallotti","given":"Riccardo"},{"family":"Barthelemy","given":"Marc"}],"issued":{"date-parts":[["2015",1,6]]}}}],"schema":"https://github.com/citation-style-language/schema/raw/master/csl-citation.json"} </w:instrText>
      </w:r>
      <w:r w:rsidRPr="004D1B5C">
        <w:fldChar w:fldCharType="separate"/>
      </w:r>
      <w:r w:rsidRPr="004D1B5C">
        <w:t>(</w:t>
      </w:r>
      <w:proofErr w:type="spellStart"/>
      <w:r w:rsidRPr="004D1B5C">
        <w:t>Gallotti</w:t>
      </w:r>
      <w:proofErr w:type="spellEnd"/>
      <w:r w:rsidRPr="004D1B5C">
        <w:t xml:space="preserve"> and Barthelemy 2015)</w:t>
      </w:r>
      <w:r w:rsidRPr="004D1B5C">
        <w:fldChar w:fldCharType="end"/>
      </w:r>
      <w:r w:rsidRPr="004D1B5C">
        <w:t xml:space="preserve"> introduced multilayer network approaches specifically for transportation systems. Recent research has increasingly focused on transportation resilience during disruptions. Studies by Wang et al. </w:t>
      </w:r>
      <w:r w:rsidRPr="004D1B5C">
        <w:fldChar w:fldCharType="begin"/>
      </w:r>
      <w:r w:rsidRPr="004D1B5C">
        <w:instrText xml:space="preserve"> ADDIN ZOTERO_ITEM CSL_CITATION {"citationID":"TjARn8sU","properties":{"formattedCitation":"(B. Wang et al. 2024)","plainCitation":"(B. Wang et al. 2024)","noteIndex":0},"citationItems":[{"id":8767,"uris":["http://zotero.org/users/4985941/items/DNB28J3T"],"itemData":{"id":8767,"type":"article","abstract":"This study develops FusionTransNet, a framework designed for Origin-Destination (OD) flow predictions within smart and multimodal urban transportation systems. Urban transportation complexity arises from the spatiotemporal interactions among various traffic modes. Motivated by analyzing multimodal data from Shenzhen, a framework that can dissect complicated spatiotemporal interactions between these modes, from the microscopic local level to the macroscopic city-wide perspective, is essential. The framework contains three core components: the Intra-modal Learning Module, the Inter-modal Learning Module, and the Prediction Decoder. The Intra-modal Learning Module is designed to analyze spatial dependencies within individual transportation modes, facilitating a granular understanding of single-mode spatiotemporal dynamics. The Inter-modal Learning Module extends this analysis, integrating data across different modes to uncover cross-modal interdependencies, by breaking down the interactions at both local and global scales. Finally, the Prediction Decoder synthesizes insights from the preceding modules to generate accurate OD flow predictions, translating complex multimodal interactions into forecasts. Empirical evaluations conducted in metropolitan contexts, including Shenzhen and New York, demonstrate FusionTransNet's superior predictive accuracy compared to existing state-of-the-art methods. The implication of this study extends beyond urban transportation, as the method for transferring information across different spatiotemporal graphs at both local and global scales can be instrumental in other spatial systems, such as supply chain logistics and epidemics spreading.","archive_location":"0 </w:instrText>
      </w:r>
      <w:r w:rsidRPr="004D1B5C">
        <w:rPr>
          <w:rFonts w:ascii="Segoe UI Emoji" w:hAnsi="Segoe UI Emoji" w:cs="Segoe UI Emoji"/>
        </w:rPr>
        <w:instrText>📊</w:instrText>
      </w:r>
      <w:r w:rsidRPr="004D1B5C">
        <w:instrText xml:space="preserve">","DOI":"10.48550/arXiv.2405.05786","note":"arXiv:2405.05786 [cs]","number":"arXiv:2405.05786","publisher":"arXiv","source":"arXiv.org","title":"FusionTransNet for Smart Urban Mobility: Spatiotemporal Traffic Forecasting Through Multimodal Network Integration","title-short":"FusionTransNet for Smart Urban Mobility","URL":"http://arxiv.org/abs/2405.05786","author":[{"family":"Wang","given":"Binwu"},{"family":"Leng","given":"Yan"},{"family":"Wang","given":"Guang"},{"family":"Wang","given":"Yang"}],"accessed":{"date-parts":[["2024",12,17]]},"issued":{"date-parts":[["2024",5,9]]}}}],"schema":"https://github.com/citation-style-language/schema/raw/master/csl-citation.json"} </w:instrText>
      </w:r>
      <w:r w:rsidRPr="004D1B5C">
        <w:fldChar w:fldCharType="separate"/>
      </w:r>
      <w:r w:rsidRPr="004D1B5C">
        <w:t>(B. Wang et al. 2024)</w:t>
      </w:r>
      <w:r w:rsidRPr="004D1B5C">
        <w:fldChar w:fldCharType="end"/>
      </w:r>
      <w:r w:rsidRPr="004D1B5C">
        <w:t xml:space="preserve"> have demonstrated how locali</w:t>
      </w:r>
      <w:r w:rsidR="00A0468A">
        <w:t>sed</w:t>
      </w:r>
      <w:r w:rsidRPr="004D1B5C">
        <w:t xml:space="preserve"> flooding can trigger large-scale network failures through cascading effects. Borowska-Stefańska et al. </w:t>
      </w:r>
      <w:r w:rsidRPr="004D1B5C">
        <w:fldChar w:fldCharType="begin"/>
      </w:r>
      <w:r w:rsidRPr="004D1B5C">
        <w:instrText xml:space="preserve"> ADDIN ZOTERO_ITEM CSL_CITATION {"citationID":"2zxNqcIR","properties":{"formattedCitation":"(Borowska-Stefa\\uc0\\u324{}ska et al. 2025)","plainCitation":"(Borowska-Stefańska et al. 2025)","noteIndex":0},"citationItems":[{"id":8882,"uris":["http://zotero.org/users/4985941/items/UNMBHNGC"],"itemData":{"id":8882,"type":"article-journal","abstract":"Urban floods are among the most frequent and destructive natural disasters. They generate enormous economic and non-economic losses, including damage to buildings and transportation infrastructure, which are critical systems supporting community well-being. The purpose of this paper was to assess the impact an urban flood would have on the urban road transport system in Łódź and to determine changes in potential accessibility that would accompany a flood. This paper introduces a novel approach in terms of combining the modelling of direct impact ranges of urban flooding in the area of Łódź and a macroscopic multi-motivational traffic model for the city (using PTV Visum software). This made it possible to identify mechanisms of changes made in as many intra-system relationships as possible, as well as between the system and its surroundings. The results showed that changes in the spatial distribution of traffic volume in the city are closely dependent on the water level. The sections of the network most affected by the load changes are those that form the framework for the entire system of Łódź, indicating a lack of resilience of the car transport subsystem in the critical segment for the functioning quality of the entire subsystem. Additionally, the study was conducted for public transport, and it was indicated that changes in its utilization are minimal. It was also found that the greatest impact on transport accessibility from an urban flood is for ultra-short trips. This is primarily due to the base effect (the initial quality of the infrastructure and its potential) – the internal potential of the transport area deteriorates drastically during a flood, severely affecting accessibility.","archive_location":"0 </w:instrText>
      </w:r>
      <w:r w:rsidRPr="004D1B5C">
        <w:rPr>
          <w:rFonts w:ascii="Segoe UI Emoji" w:hAnsi="Segoe UI Emoji" w:cs="Segoe UI Emoji"/>
        </w:rPr>
        <w:instrText>📊</w:instrText>
      </w:r>
      <w:r w:rsidRPr="004D1B5C">
        <w:instrText xml:space="preserve">","call-number":"1","container-title":"Reliability Engineering &amp; System Safety","DOI":"10.1016/j.ress.2024.110473","ISSN":"0951-8320","journalAbbreviation":"Reliability Engineering &amp; System Safety","page":"110473","source":"7.247 (Q1)","title":"Changes in the equilibrium of the urban transport system of a large city following an urban flood","volume":"253","author":[{"family":"Borowska-Stefańska","given":"Marta"},{"family":"Bartnik","given":"Adam"},{"family":"Dulebenets","given":"Maxim A."},{"family":"Kowalski","given":"Michał"},{"family":"Sahebgharani","given":"Alireza"},{"family":"Tomalski","given":"Przemysław"},{"family":"Wiśniewski","given":"Szymon"}],"issued":{"date-parts":[["2025",1,1]]}}}],"schema":"https://github.com/citation-style-language/schema/raw/master/csl-citation.json"} </w:instrText>
      </w:r>
      <w:r w:rsidRPr="004D1B5C">
        <w:fldChar w:fldCharType="separate"/>
      </w:r>
      <w:r w:rsidRPr="004D1B5C">
        <w:t>(Borowska-Stefańska et al. 2025)</w:t>
      </w:r>
      <w:r w:rsidRPr="004D1B5C">
        <w:fldChar w:fldCharType="end"/>
      </w:r>
      <w:r w:rsidRPr="004D1B5C">
        <w:t xml:space="preserve"> examined how urban floods disrupt transportation equilibrium. Despite these advances, existing approaches primarily focus on individual modes or simplified interactions, failing to capture the complex dynamics that emerge when </w:t>
      </w:r>
      <w:r w:rsidRPr="004D1B5C">
        <w:lastRenderedPageBreak/>
        <w:t xml:space="preserve">multiple modes interact under stress. As noted by Lynn et al. </w:t>
      </w:r>
      <w:r w:rsidRPr="004D1B5C">
        <w:fldChar w:fldCharType="begin"/>
      </w:r>
      <w:r w:rsidRPr="004D1B5C">
        <w:instrText xml:space="preserve"> ADDIN ZOTERO_ITEM CSL_CITATION {"citationID":"VpVZITAF","properties":{"formattedCitation":"(Lynn et al. 2022)","plainCitation":"(Lynn et al. 2022)","noteIndex":0},"citationItems":[{"id":8804,"uris":["http://zotero.org/users/4985941/items/H7ZCHD2X"],"itemData":{"id":8804,"type":"article-journal","abstract":"Living systems are fundamentally irreversible, breaking detailed balance and establishing an arrow of time. But how does the evident arrow of time for a whole system arise from the interactions among its multiple elements? We show that the local evidence for the arrow of time, which is the entropy production for thermodynamic systems, can be decomposed. First, it can be split into two components: an independent term reflecting the dynamics of individual elements and an interaction term driven by the dependencies among elements. Adapting tools from nonequilibrium physics, we further decompose the interaction term into contributions from pairs of elements, triplets, and higher-order terms. We illustrate our methods on models of cellular sensing and logical computations, as well as on patterns of neural activity in the retina as it responds to visual inputs. We find that neural activity can define the arrow of time even when the visual inputs do not, and that the dominant contribution to this breaking of detailed balance comes from interactions among pairs of neurons.","archive_location":"11 </w:instrText>
      </w:r>
      <w:r w:rsidRPr="004D1B5C">
        <w:rPr>
          <w:rFonts w:ascii="Segoe UI Emoji" w:hAnsi="Segoe UI Emoji" w:cs="Segoe UI Emoji"/>
        </w:rPr>
        <w:instrText>📊</w:instrText>
      </w:r>
      <w:r w:rsidRPr="004D1B5C">
        <w:instrText xml:space="preserve">","container-title":"Physical Review E","DOI":"10.1103/PhysRevE.106.034102","issue":"3","journalAbbreviation":"Phys. Rev. E","note":"publisher: American Physical Society","page":"034102","source":"APS","title":"Emergence of local irreversibility in complex interacting systems","volume":"106","author":[{"family":"Lynn","given":"Christopher W."},{"family":"Holmes","given":"Caroline M."},{"family":"Bialek","given":"William"},{"family":"Schwab","given":"David J."}],"issued":{"date-parts":[["2022",9,6]]}}}],"schema":"https://github.com/citation-style-language/schema/raw/master/csl-citation.json"} </w:instrText>
      </w:r>
      <w:r w:rsidRPr="004D1B5C">
        <w:fldChar w:fldCharType="separate"/>
      </w:r>
      <w:r w:rsidRPr="004D1B5C">
        <w:t>(Lynn et al. 2022)</w:t>
      </w:r>
      <w:r w:rsidRPr="004D1B5C">
        <w:fldChar w:fldCharType="end"/>
      </w:r>
      <w:r w:rsidRPr="004D1B5C">
        <w:t>, traditional methods struggle to account for the non-linear nature of these interactions during extreme events. Non-equilibrium dynamics offers valuable frameworks for analysing systems operating far from equilibrium, as transportation networks do during extreme events. The concept of entropy production rate</w:t>
      </w:r>
      <w:r w:rsidRPr="004D1B5C">
        <w:rPr>
          <w:rFonts w:hint="eastAsia"/>
        </w:rPr>
        <w:t xml:space="preserve"> (ERP)</w:t>
      </w:r>
      <w:r w:rsidRPr="004D1B5C">
        <w:t xml:space="preserve">, developed through works by Seifert </w:t>
      </w:r>
      <w:r w:rsidRPr="004D1B5C">
        <w:fldChar w:fldCharType="begin"/>
      </w:r>
      <w:r w:rsidRPr="004D1B5C">
        <w:instrText xml:space="preserve"> ADDIN ZOTERO_ITEM CSL_CITATION {"citationID":"GiidyXAn","properties":{"formattedCitation":"(Seifert 2012)","plainCitation":"(Seifert 2012)","noteIndex":0},"citationItems":[{"id":8791,"uris":["http://zotero.org/users/4985941/items/9IDG3FI3"],"itemData":{"id":8791,"type":"article-journal","abstract":"Stochastic thermodynamics as reviewed here systematically provides a framework for extending the notions of classical thermodynamics such as work, heat and entropy production to the level of individual trajectories of well-defined non-equilibrium ensembles. It applies whenever a non-equilibrium process is still coupled to one (or several) heat bath(s) of constant temperature. Paradigmatic systems are single colloidal particles in time-dependent laser traps, polymers in external flow, enzymes and molecular motors in single molecule assays, small biochemical networks and thermoelectric devices involving single electron transport. For such systems, a first-law like energy balance can be identified along fluctuating trajectories. For a basic Markovian dynamics implemented either on the continuum level with Langevin equations or on a discrete set of states as a master equation, thermodynamic consistency imposes a local-detailed balance constraint on noise and rates, respectively. Various integral and detailed fluctuation theorems, which are derived here in a unifying approach from one master theorem, constrain the probability distributions for work, heat and entropy production depending on the nature of the system and the choice of non-equilibrium conditions. For non-equilibrium steady states, particularly strong results hold like a generalized fluctuation–dissipation theorem involving entropy production. Ramifications and applications of these concepts include optimal driving between specified states in finite time, the role of measurement-based feedback processes and the relation between dissipation and irreversibility. Efficiency and, in particular, efficiency at maximum power can be discussed systematically beyond the linear response regime for two classes of molecular machines, isothermal ones such as molecular motors, and heat engines such as thermoelectric devices, using a common framework based on a cycle decomposition of entropy production.","archive_location":"2602 </w:instrText>
      </w:r>
      <w:r w:rsidRPr="004D1B5C">
        <w:rPr>
          <w:rFonts w:ascii="Segoe UI Emoji" w:hAnsi="Segoe UI Emoji" w:cs="Segoe UI Emoji"/>
        </w:rPr>
        <w:instrText>📊</w:instrText>
      </w:r>
      <w:r w:rsidRPr="004D1B5C">
        <w:instrText xml:space="preserve">","container-title":"Reports on Progress in Physics","DOI":"10.1088/0034-4885/75/12/126001","ISSN":"0034-4885","issue":"12","journalAbbreviation":"Rep. Prog. Phys.","language":"en","note":"publisher: IOP Publishing","page":"126001","source":"Institute of Physics","title":"Stochastic thermodynamics, fluctuation theorems and molecular machines","volume":"75","author":[{"family":"Seifert","given":"Udo"}],"issued":{"date-parts":[["2012",11]]}}}],"schema":"https://github.com/citation-style-language/schema/raw/master/csl-citation.json"} </w:instrText>
      </w:r>
      <w:r w:rsidRPr="004D1B5C">
        <w:fldChar w:fldCharType="separate"/>
      </w:r>
      <w:r w:rsidRPr="004D1B5C">
        <w:t>(Seifert 2012)</w:t>
      </w:r>
      <w:r w:rsidRPr="004D1B5C">
        <w:fldChar w:fldCharType="end"/>
      </w:r>
      <w:r w:rsidRPr="004D1B5C">
        <w:t xml:space="preserve"> and others, provides a natural measure for quantifying the degree of non-equilibrium in a system. Crooks </w:t>
      </w:r>
      <w:r w:rsidRPr="004D1B5C">
        <w:fldChar w:fldCharType="begin"/>
      </w:r>
      <w:r w:rsidRPr="004D1B5C">
        <w:instrText xml:space="preserve"> ADDIN ZOTERO_ITEM CSL_CITATION {"citationID":"AuW1qnGm","properties":{"formattedCitation":"(Crooks 1999)","plainCitation":"(Crooks 1999)","noteIndex":0},"citationItems":[{"id":8868,"uris":["http://zotero.org/users/4985941/items/LMRNFJWW"],"itemData":{"id":8868,"type":"article-journal","abstract":"There are only a very few known relations in statistical dynamics that are valid for systems driven arbitrarily far-from-equilibrium. One of these is the fluctuation theorem, which places conditions on the entropy production probability distribution of nonequilibrium systems. Another recently discovered far from equilibrium expression relates nonequilibrium measurements of the work done on a system to equilibrium free energy differences. In this paper, we derive a generalized version of the fluctuation theorem for stochastic, microscopically reversible dynamics. Invoking this generalized theorem provides a succinct proof of the nonequilibrium work relation.","archive_location":"1914 </w:instrText>
      </w:r>
      <w:r w:rsidRPr="004D1B5C">
        <w:rPr>
          <w:rFonts w:ascii="Segoe UI Emoji" w:hAnsi="Segoe UI Emoji" w:cs="Segoe UI Emoji"/>
        </w:rPr>
        <w:instrText>📊</w:instrText>
      </w:r>
      <w:r w:rsidRPr="004D1B5C">
        <w:instrText xml:space="preserve">","call-number":"3","container-title":"Physical Review E","DOI":"10.1103/PhysRevE.60.2721","issue":"3","journalAbbreviation":"Phys. Rev. E","note":"publisher: American Physical Society","page":"2721-2726","source":"2.707 (Q1)","title":"Entropy production fluctuation theorem and the nonequilibrium work relation for free energy differences","volume":"60","author":[{"family":"Crooks","given":"Gavin E."}],"issued":{"date-parts":[["1999",9,1]]}}}],"schema":"https://github.com/citation-style-language/schema/raw/master/csl-citation.json"} </w:instrText>
      </w:r>
      <w:r w:rsidRPr="004D1B5C">
        <w:fldChar w:fldCharType="separate"/>
      </w:r>
      <w:r w:rsidRPr="004D1B5C">
        <w:t>(Crooks 1999)</w:t>
      </w:r>
      <w:r w:rsidRPr="004D1B5C">
        <w:fldChar w:fldCharType="end"/>
      </w:r>
      <w:r w:rsidRPr="004D1B5C">
        <w:t xml:space="preserve"> established fundamental relationships between entropy production and the irreversibility of system trajectories, offering theoretical tools for analysing directional patterns in complex systems. Nartallo-Kaluarachchi et al. </w:t>
      </w:r>
      <w:r w:rsidRPr="004D1B5C">
        <w:fldChar w:fldCharType="begin"/>
      </w:r>
      <w:r w:rsidRPr="004D1B5C">
        <w:instrText xml:space="preserve"> ADDIN ZOTERO_ITEM CSL_CITATION {"citationID":"K3D8Zbod","properties":{"formattedCitation":"(Nartallo-Kaluarachchi et al. 2024)","plainCitation":"(Nartallo-Kaluarachchi et al. 2024)","noteIndex":0},"citationItems":[{"id":8849,"uris":["http://zotero.org/users/4985941/items/QG6ZV6PG"],"itemData":{"id":8849,"type":"article","abstract":"Information processing in the human brain can be modelled as a complex dynamical system operating out of equilibrium with multiple regions interacting nonlinearly. Yet, despite extensive study of the global level of non-equilibrium in the brain, quantifying the irreversibility of interactions among brain regions at multiple levels remains an unresolved challenge. Here, we present the Directed Multiplex Visibility Graph Irreversibility framework, a method for analysing neural recordings using network analysis of time-series. Our approach constructs directed multi-layer graphs from multivariate time-series where information about irreversibility can be decoded from the marginal degree distributions across the layers, which each represents a variable. This framework is able to quantify the irreversibility of every interaction in the complex system. Applying the method to magnetoencephalography recordings during a long-term memory recognition task, we quantify the multivariate irreversibility of interactions between brain regions and identify the combinations of regions which showed higher levels of non-equilibrium in their interactions. For individual regions, we find higher irreversibility in cognitive versus sensorial brain regions whilst for pairs, strong relationships are uncovered between cognitive and sensorial pairs in the same hemisphere. For triplets and quadruplets, the most non-equilibrium interactions are between cognitive-sensorial pairs alongside medial regions. Finally, for quintuplets, our analysis finds higher irreversibility when the prefrontal cortex is included in the interaction. Combining these results, we show that multilevel irreversibility offers unique insights into the higher-order, hierarchical organisation of neural dynamics and presents a new perspective on the analysis of brain network dynamics.","archive_location":"0 </w:instrText>
      </w:r>
      <w:r w:rsidRPr="004D1B5C">
        <w:rPr>
          <w:rFonts w:ascii="Segoe UI Emoji" w:hAnsi="Segoe UI Emoji" w:cs="Segoe UI Emoji"/>
        </w:rPr>
        <w:instrText>📊</w:instrText>
      </w:r>
      <w:r w:rsidRPr="004D1B5C">
        <w:instrText xml:space="preserve">","DOI":"10.1101/2024.05.02.592195","language":"en","license":"http://creativecommons.org/licenses/by/4.0/","source":"Biophysics","title":"Multilevel irreversibility reveals higher-order organisation of non-equilibrium interactions in human brain dynamics","URL":"http://biorxiv.org/lookup/doi/10.1101/2024.05.02.592195","author":[{"family":"Nartallo-Kaluarachchi","given":"Ramón"},{"family":"Bonetti","given":"Leonardo"},{"family":"Fernández-Rubio","given":"Gemma"},{"family":"Vuust","given":"Peter"},{"family":"Deco","given":"Gustavo"},{"family":"Kringelbach","given":"Morten L."},{"family":"Lambiotte","given":"Renaud"},{"family":"Goriely","given":"Alain"}],"accessed":{"date-parts":[["2024",11,25]]},"issued":{"date-parts":[["2024",5,5]]}}}],"schema":"https://github.com/citation-style-language/schema/raw/master/csl-citation.json"} </w:instrText>
      </w:r>
      <w:r w:rsidRPr="004D1B5C">
        <w:fldChar w:fldCharType="separate"/>
      </w:r>
      <w:r w:rsidRPr="004D1B5C">
        <w:t>(Nartallo-Kaluarachchi et al. 2024)</w:t>
      </w:r>
      <w:r w:rsidRPr="004D1B5C">
        <w:fldChar w:fldCharType="end"/>
      </w:r>
      <w:r w:rsidRPr="004D1B5C">
        <w:t xml:space="preserve"> demonstrated how irreversibility analysis can reveal higher-order organi</w:t>
      </w:r>
      <w:r w:rsidR="00A0468A">
        <w:rPr>
          <w:rFonts w:eastAsia="DengXian" w:hint="eastAsia"/>
          <w:lang w:eastAsia="zh-CN"/>
        </w:rPr>
        <w:t>s</w:t>
      </w:r>
      <w:r w:rsidRPr="004D1B5C">
        <w:t xml:space="preserve">ation in complex networks, showing particular promise for understanding multi-level interactions. Transportation researchers like Zhou et al. </w:t>
      </w:r>
      <w:r w:rsidRPr="004D1B5C">
        <w:fldChar w:fldCharType="begin"/>
      </w:r>
      <w:r w:rsidRPr="004D1B5C">
        <w:instrText xml:space="preserve"> ADDIN ZOTERO_ITEM CSL_CITATION {"citationID":"AqUX2uN3","properties":{"formattedCitation":"(Zhou, Bouyekhf, and El Moudni 2013)","plainCitation":"(Zhou, Bouyekhf, and El Moudni 2013)","noteIndex":0},"citationItems":[{"id":8749,"uris":["http://zotero.org/users/4985941/items/GJR7CPMN"],"itemData":{"id":8749,"type":"article-journal","abstract":"This paper shows the similarity between transportation networks and thermodynamic systems. In particular, by regarding the vehicles as the energy stored in the system, it is demonstrated that transportation systems can have a similar notion of entropy. This transportation entropy is the measure of disorder and it is not only a suitable notion for evaluating the system performances, but also very useful for the control issue. With this in mind, by using dissipativity approach and choosing the entropy as storage function, a traffic signal control strategy is presented by means of Linear Matrix Inequality (LMI). This generation of dissipativity decreases the disorder and consequently renders the system better organized. Finally, a four-intersection system is studied in order to illustrate the performance of the results.","archive_location":"9 </w:instrText>
      </w:r>
      <w:r w:rsidRPr="004D1B5C">
        <w:rPr>
          <w:rFonts w:ascii="Segoe UI Emoji" w:hAnsi="Segoe UI Emoji" w:cs="Segoe UI Emoji"/>
        </w:rPr>
        <w:instrText>📊</w:instrText>
      </w:r>
      <w:r w:rsidRPr="004D1B5C">
        <w:instrText xml:space="preserve">","container-title":"Control Engineering Practice","DOI":"10.1016/j.conengprac.2013.06.007","ISSN":"0967-0661","issue":"10","journalAbbreviation":"Control Engineering Practice","page":"1369-1376","source":"ScienceDirect","title":"Modeling and entropy based control of urban transportation network","volume":"21","author":[{"family":"Zhou","given":"Huide"},{"family":"Bouyekhf","given":"Rachid"},{"family":"El Moudni","given":"Adbellah"}],"issued":{"date-parts":[["2013",10,1]]}}}],"schema":"https://github.com/citation-style-language/schema/raw/master/csl-citation.json"} </w:instrText>
      </w:r>
      <w:r w:rsidRPr="004D1B5C">
        <w:fldChar w:fldCharType="separate"/>
      </w:r>
      <w:r w:rsidRPr="004D1B5C">
        <w:t>(Zhou, Bouyekhf, and El Moudni 2013)</w:t>
      </w:r>
      <w:r w:rsidRPr="004D1B5C">
        <w:fldChar w:fldCharType="end"/>
      </w:r>
      <w:r w:rsidRPr="004D1B5C">
        <w:t xml:space="preserve"> have begun applying entropy-based approaches to urban networks, though their application to multi-modal systems under extreme conditions remains limited. Despite these methodological advances, most existing studies examine either spatial or temporal aspects in isolation, failing to capture the spatiotemporal interactions characteristic of transportation systems during extreme events. </w:t>
      </w:r>
      <w:r w:rsidRPr="004D1B5C">
        <w:rPr>
          <w:rFonts w:hint="eastAsia"/>
        </w:rPr>
        <w:t xml:space="preserve"> </w:t>
      </w:r>
    </w:p>
    <w:p w14:paraId="559E3B02" w14:textId="16DC93B4" w:rsidR="004D1B5C" w:rsidRPr="004D1B5C" w:rsidRDefault="004D1B5C" w:rsidP="004D1B5C">
      <w:pPr>
        <w:pStyle w:val="MainText"/>
      </w:pPr>
      <w:r w:rsidRPr="004D1B5C">
        <w:rPr>
          <w:rFonts w:hint="eastAsia"/>
        </w:rPr>
        <w:t>This</w:t>
      </w:r>
      <w:r w:rsidRPr="004D1B5C">
        <w:t xml:space="preserve"> review identifies </w:t>
      </w:r>
      <w:r w:rsidRPr="004D1B5C">
        <w:rPr>
          <w:rFonts w:hint="eastAsia"/>
        </w:rPr>
        <w:t>two</w:t>
      </w:r>
      <w:r w:rsidRPr="004D1B5C">
        <w:t xml:space="preserve"> critical research gaps in the current understanding of transportation systems under extreme conditions. First, current research has not fundamentally revealed what causes the non-equilibrium characteristics in transportation systems during extreme events. Without understanding these underlying mechanisms, we cannot quantitatively measure how different components contribute to overall system behaviour or identify critical vulnerabilities. Second, existing analytical frameworks fail to capture the full complexity of multi-modal interactions, particularly the higher-order interactions that emerge during extreme conditions. Most studies analyse individual modes or simple pairwise relationships, overlooking the synchroni</w:t>
      </w:r>
      <w:r w:rsidR="00A0468A">
        <w:t>sed</w:t>
      </w:r>
      <w:r w:rsidRPr="004D1B5C">
        <w:t xml:space="preserve"> changes across multiple modes that characterize system adaptation. </w:t>
      </w:r>
    </w:p>
    <w:p w14:paraId="49167279" w14:textId="03F8CC70" w:rsidR="000A364B" w:rsidRDefault="00FB1B83" w:rsidP="000C3324">
      <w:pPr>
        <w:pStyle w:val="PlainText"/>
        <w:ind w:firstLine="284"/>
        <w:rPr>
          <w:rFonts w:eastAsia="DengXian"/>
          <w:sz w:val="20"/>
          <w:lang w:eastAsia="zh-CN"/>
        </w:rPr>
      </w:pPr>
      <w:r w:rsidRPr="004D1B5C">
        <w:rPr>
          <w:sz w:val="20"/>
        </w:rPr>
        <w:t xml:space="preserve"> </w:t>
      </w:r>
    </w:p>
    <w:p w14:paraId="21B44499" w14:textId="069242AB" w:rsidR="000C3324" w:rsidRDefault="000C3324" w:rsidP="000C3324">
      <w:pPr>
        <w:pStyle w:val="Heading1"/>
        <w:rPr>
          <w:rFonts w:eastAsia="DengXian"/>
          <w:lang w:eastAsia="zh-CN"/>
        </w:rPr>
      </w:pPr>
      <w:r>
        <w:rPr>
          <w:rFonts w:eastAsia="DengXian"/>
          <w:lang w:eastAsia="zh-CN"/>
        </w:rPr>
        <w:t>3</w:t>
      </w:r>
      <w:r w:rsidRPr="004D1B5C">
        <w:t xml:space="preserve">. </w:t>
      </w:r>
      <w:r w:rsidR="004767C1" w:rsidRPr="004D1B5C">
        <w:t>METHODOLOGY</w:t>
      </w:r>
    </w:p>
    <w:p w14:paraId="2C4132F6" w14:textId="50E0F32E" w:rsidR="000C3324" w:rsidRDefault="00A86A80" w:rsidP="00A86A80">
      <w:pPr>
        <w:pStyle w:val="MainText"/>
        <w:rPr>
          <w:rFonts w:eastAsia="DengXian" w:hint="eastAsia"/>
          <w:lang w:eastAsia="zh-CN"/>
        </w:rPr>
      </w:pPr>
      <w:r w:rsidRPr="00530C0B">
        <w:t xml:space="preserve">The complex interactions within multi-modal transportation systems during extreme weather events require a comprehensive analytical framework that can capture both their non-equilibrium characteristics and multi-level modal interactions. In this section, we present </w:t>
      </w:r>
      <w:r>
        <w:rPr>
          <w:rFonts w:hint="eastAsia"/>
        </w:rPr>
        <w:t xml:space="preserve">the </w:t>
      </w:r>
      <w:r w:rsidRPr="00530C0B">
        <w:t>methodological approach that progresses from theoretical foundations to practical measurements.</w:t>
      </w:r>
      <w:r>
        <w:rPr>
          <w:rFonts w:hint="eastAsia"/>
        </w:rPr>
        <w:t xml:space="preserve"> </w:t>
      </w:r>
      <w:r w:rsidRPr="00530C0B">
        <w:t>As illustrated in</w:t>
      </w:r>
      <w:r>
        <w:rPr>
          <w:rFonts w:eastAsia="DengXian" w:hint="eastAsia"/>
          <w:lang w:eastAsia="zh-CN"/>
        </w:rPr>
        <w:t xml:space="preserve"> Fig.1</w:t>
      </w:r>
      <w:r w:rsidRPr="00530C0B">
        <w:t xml:space="preserve">, </w:t>
      </w:r>
      <w:r>
        <w:rPr>
          <w:rFonts w:hint="eastAsia"/>
        </w:rPr>
        <w:t xml:space="preserve">the </w:t>
      </w:r>
      <w:proofErr w:type="spellStart"/>
      <w:r w:rsidRPr="00530C0B">
        <w:t>MmVGI</w:t>
      </w:r>
      <w:proofErr w:type="spellEnd"/>
      <w:r w:rsidRPr="00530C0B">
        <w:t xml:space="preserve"> framework transforms multivariate traffic data into network representations to analyse system behaviour. The framework consists of three key components: (a) visibility graph construction, where temporal patterns are mapped to network structures; (b) degree distribution analysis, which reveals asymmetric evolution patterns through in-degree and out-degree distributions; and (c) irreversibility quantification, which measures system non-equilibrium characteristics at multiple organi</w:t>
      </w:r>
      <w:r w:rsidR="00A0468A">
        <w:rPr>
          <w:rFonts w:eastAsia="DengXian" w:hint="eastAsia"/>
          <w:lang w:eastAsia="zh-CN"/>
        </w:rPr>
        <w:t>s</w:t>
      </w:r>
      <w:r w:rsidRPr="00530C0B">
        <w:t>ational levels. This approach enables us to distinguish between combined effects and unique contributions of different modal interactions, revealing the complex adaptation patterns that emerge during extreme weather events.</w:t>
      </w:r>
      <w:r>
        <w:rPr>
          <w:rFonts w:hint="eastAsia"/>
        </w:rPr>
        <w:t xml:space="preserve"> </w:t>
      </w:r>
      <w:r w:rsidRPr="00530C0B">
        <w:t xml:space="preserve">Building on this framework, we first establish the theoretical foundations for analysing transportation systems as non-equilibrium systems, then detail </w:t>
      </w:r>
      <w:r>
        <w:rPr>
          <w:rFonts w:hint="eastAsia"/>
        </w:rPr>
        <w:t xml:space="preserve">the </w:t>
      </w:r>
      <w:r w:rsidRPr="00530C0B">
        <w:t>methods for quantifying multimodal irreversibility and identifying genuine higher-order interactions.</w:t>
      </w:r>
    </w:p>
    <w:p w14:paraId="4CDA2BCF" w14:textId="071CD05B" w:rsidR="000C3324" w:rsidRDefault="000C3324" w:rsidP="000C3324">
      <w:pPr>
        <w:pStyle w:val="PlainText"/>
        <w:rPr>
          <w:rFonts w:eastAsia="DengXian"/>
          <w:b/>
          <w:sz w:val="20"/>
          <w:lang w:eastAsia="zh-CN"/>
        </w:rPr>
      </w:pPr>
      <w:r>
        <w:rPr>
          <w:rFonts w:eastAsia="DengXian"/>
          <w:b/>
          <w:sz w:val="20"/>
          <w:lang w:eastAsia="zh-CN"/>
        </w:rPr>
        <w:t>3</w:t>
      </w:r>
      <w:r w:rsidRPr="004D1B5C">
        <w:rPr>
          <w:b/>
          <w:sz w:val="20"/>
        </w:rPr>
        <w:t>.1 Theoretical Foundations</w:t>
      </w:r>
    </w:p>
    <w:p w14:paraId="142ACD1E" w14:textId="45A79EF2" w:rsidR="000C3324" w:rsidRPr="004D1B5C" w:rsidRDefault="000C3324" w:rsidP="004767C1">
      <w:pPr>
        <w:pStyle w:val="MainText"/>
      </w:pPr>
      <w:r w:rsidRPr="004D1B5C">
        <w:t>Multi-modal transportation systems in urban environments share road space and resources, thereby creating complex interactions between different modes. During extreme weather events, these interactions intensify as travellers adapt their mode choices and routes in response to adverse conditions. Traditional transportation analysis methods prove inadequate for understanding these complex dynamics, as they typically focus on individual modes or simplified interactions. To comprehend these phenomena, we turn to non-equilibrium dynamics theory. According to the second law of thermodynamics, in the absence of entropy sinks</w:t>
      </w:r>
      <w:r w:rsidRPr="004D1B5C">
        <w:rPr>
          <w:rFonts w:hint="eastAsia"/>
        </w:rPr>
        <w:t xml:space="preserve"> </w:t>
      </w:r>
      <w:r w:rsidR="004D1B5C" w:rsidRPr="004D1B5C">
        <w:fldChar w:fldCharType="begin"/>
      </w:r>
      <w:r w:rsidR="004D1B5C" w:rsidRPr="004D1B5C">
        <w:instrText xml:space="preserve"> ADDIN ZOTERO_ITEM CSL_CITATION {"citationID":"282ACfU2","properties":{"formattedCitation":"(Cooper 1967)","plainCitation":"(Cooper 1967)","noteIndex":0},"citationItems":[{"id":8794,"uris":["http://zotero.org/users/4985941/items/MTF5SGUJ"],"itemData":{"id":8794,"type":"article-journal","archive_location":"29 </w:instrText>
      </w:r>
      <w:r w:rsidR="004D1B5C" w:rsidRPr="004D1B5C">
        <w:rPr>
          <w:rFonts w:ascii="Segoe UI Emoji" w:hAnsi="Segoe UI Emoji" w:cs="Segoe UI Emoji"/>
        </w:rPr>
        <w:instrText>📊</w:instrText>
      </w:r>
      <w:r w:rsidR="004D1B5C" w:rsidRPr="004D1B5C">
        <w:instrText xml:space="preserve">","container-title":"Journal of Mathematical Analysis and Applications","DOI":"10.1016/0022-247X(67)90174-6","ISSN":"0022247X","issue":"1","journalAbbreviation":"Journal of Mathematical Analysis and Applications","language":"en","license":"https://www.elsevier.com/tdm/userlicense/1.0/","page":"172-193","source":"DOI.org (Crossref)","title":"The foundations of thermodynamics","volume":"17","author":[{"family":"Cooper","given":"J.L.B"}],"issued":{"date-parts":[["1967",1]]}}}],"schema":"https://github.com/citation-style-language/schema/raw/master/csl-citation.json"} </w:instrText>
      </w:r>
      <w:r w:rsidR="004D1B5C" w:rsidRPr="004D1B5C">
        <w:fldChar w:fldCharType="separate"/>
      </w:r>
      <w:r w:rsidR="004D1B5C" w:rsidRPr="004D1B5C">
        <w:t>(Cooper 1967)</w:t>
      </w:r>
      <w:r w:rsidR="004D1B5C" w:rsidRPr="004D1B5C">
        <w:fldChar w:fldCharType="end"/>
      </w:r>
      <w:r w:rsidRPr="004D1B5C">
        <w:t>, the average entropy of a system increases over time. In transportation systems, this manifests through preferential directions in the evolution of traffic states that cannot be reversed without additional energy input. The EPR serves as a natural measure of the degree of non-equilibrium in the system and can be derived from the irreversibility of observed trajectories:</w:t>
      </w:r>
    </w:p>
    <w:p w14:paraId="27DFEB11" w14:textId="7B9B36EE" w:rsidR="004767C1" w:rsidRDefault="00E94C34" w:rsidP="004767C1">
      <w:pPr>
        <w:pStyle w:val="MainText"/>
        <w:jc w:val="center"/>
        <w:rPr>
          <w:rFonts w:eastAsia="DengXian"/>
          <w:lang w:eastAsia="zh-CN"/>
        </w:rPr>
      </w:pPr>
      <w:r>
        <w:pict w14:anchorId="73C932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8pt;height:21.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54A9&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1B54A9&quot; wsp:rsidRPr=&quot;001B54A9&quot; wsp:rsidRDefault=&quot;001B54A9&quot; wsp:rsidP=&quot;001B54A9&quot;&gt;&lt;m:oMathPara&gt;&lt;m:oMath&gt;&lt;m:r&gt;&lt;m:rPr&gt;&lt;m:sty m:val=&quot;b&quot;/&gt;&lt;/m:rPr&gt;&lt;w:rPr&gt;&lt;w:rFonts w:ascii=&quot;Cambria Math&quot; w:h-ansi=&quot;Cambria Math&quot;/&gt;&lt;wx:font wx:val=&quot;Cambria Math&quot;/&gt;&lt;/w:rPr&gt;&lt;m:t&gt;Î¦&lt;/m:t&gt;&lt;/m:r&gt;&lt;m:r&gt;&lt;m:rPr&gt;&lt;m:sty m:val=&quot;bi&quot;/&gt;&lt;/m:rPr&gt;&lt;w:rPr&gt;&lt;w:rFonts w:ascii=&quot;Cambria Math&quot; w:h-ansi=&quot;Cambria Math&quot;/&gt;&lt;wx:font wx:val=&quot;Cambria Math&quot;/&gt;&lt;w:i/&gt;&lt;/w:rPr&gt;&lt;m:t&gt;=k&lt;/m:t&gt;&lt;/m:r&gt;&lt;m:limLow&gt;&lt;m:limLowPr&gt;&lt;m:ctrlPr&gt;&lt;w:rPr&gt;&lt;w:rFonts w:ascii=&quot;Cambria Math&quot; w:h-ansi=&quot;Cambria Math&quot;/&gt;&lt;wx:font wx:val=&quot;Cambria Math&quot;/&gt;&lt;/w:rPr&gt;&lt;/m:ctrlPr&gt;&lt;/m:limLowPr&gt;&lt;m:e&gt;&lt;m:r&gt;&lt;m:rPr&gt;&lt;m:sty m:val=&quot;bi&quot;/&gt;&lt;/m:rPr&gt;&lt;w:rPr&gt;&lt;w:rFonts w:ascii=&quot;Cambria Math&quot; w:h-ansi=&quot;Cambria Math&quot;/&gt;&lt;wx:font wx:val=&quot;Cambria Math&quot;/&gt;&lt;w:i/&gt;&lt;/w:rPr&gt;&lt;m:t&gt;lim&lt;/m:t&gt;&lt;/m:r&gt;&lt;/m:e&gt;&lt;m:lim&gt;&lt;m:r&gt;&lt;m:rPr&gt;&lt;m:sty m:val=&quot;bi&quot;/&gt;&lt;/m:rPr&gt;&lt;w:rPr&gt;&lt;w:rFonts w:ascii=&quot;Cambria Math&quot; w:h-ansi=&quot;Cambria Math&quot;/&gt;&lt;wx:font wx:val=&quot;Cambria Math&quot;/&gt;&lt;w:i/&gt;&lt;/w:rPr&gt;&lt;m:t&gt;Ï„â†’&lt;/m:t&gt;&lt;/m:r&gt;&lt;m:r&gt;&lt;m:rPr&gt;&lt;m:sty m:val=&quot;b&quot;/&gt;&lt;/m:rPr&gt;&lt;w:rPr&gt;&lt;w:rFonts w:ascii=&quot;Cambria Math&quot; w:h-ansi=&quot;Cambria Math&quot;/&gt;&lt;wx:font wx:val=&quot;Cambria Math&quot;/&gt;&lt;/w:rPr&gt;&lt;m:t&gt;âˆž&lt;/m:t&gt;&lt;/m:r&gt;&lt;/m:lim&gt;&lt;/m:limLow&gt;&lt;m:r&gt;&lt;m:rPr&gt;&lt;m:sty m:val=&quot;bi&quot;/&gt;&lt;/m:rPr&gt;&lt;w:rPr&gt;&lt;w:rFonts w:ascii=&quot;Cambria Math&quot; w:h-ansi=&quot;Cambria Math&quot;/&gt;&lt;wx:font wx:val=&quot;Cambria Math&quot;/&gt;&lt;w:i/&gt;&lt;/w:rPr&gt;&lt;m:t&gt;â€Š&lt;/m:t&gt;&lt;/m:r&gt;&lt;m:d&gt;&lt;m:dPr&gt;&lt;m:ctrlPr&gt;&lt;w:rPr&gt;&lt;w:rFonts w:ascii=&quot;Cambria Math&quot; w:h-ansi=&quot;Cambria Math&quot;/&gt;&lt;wx:font wx:val=&quot;Cambria Math&quot;/&gt;&lt;/w:rPr&gt;&lt;/m:ctrlPr&gt;&lt;/m:dPr&gt;&lt;m:e&gt;&lt;m:f&gt;&lt;m:fPr&gt;&lt;m:ctrlPr&gt;&lt;w:rPr&gt;&lt;w:rFonts w:ascii=&quot;Cambria Math&quot; w:h-ansi=&quot;Cambria Math&quot;/&gt;&lt;wx:font wx:val=&quot;Cambria Math&quot;/&gt;&lt;/w:rPr&gt;&lt;/m:ctrlPr&gt;&lt;/m:fPr&gt;&lt;m:num&gt;&lt;m:r&gt;&lt;m:rPr&gt;&lt;m:sty m:val=&quot;bi&quot;/&gt;&lt;/m:rPr&gt;&lt;w:rPr&gt;&lt;w:rFonts w:ascii=&quot;Cambria Math&quot; w:h-ansi=&quot;Cambria Math&quot;/&gt;&lt;wx:font wx:val=&quot;Cambria Math&quot;/&gt;&lt;w:i/&gt;&lt;/w:rPr&gt;&lt;m:t&gt;1&lt;/m:t&gt;&lt;/m:r&gt;&lt;/m:num&gt;&lt;m:den&gt;&lt;m:r&gt;&lt;m:rPr&gt;&lt;m:sty m:val=&quot;bi&quot;/&gt;&lt;/m:rPr&gt;&lt;w:rPr&gt;&lt;w:rFonts w:ascii=&quot;Cambria Math&quot; w:h-ansi=&quot;Cambria Math&quot;/&gt;&lt;wx:font wx:val=&quot;Cambria Math&quot;/&gt;&lt;w:i/&gt;&lt;/w:rPr&gt;&lt;m:t&gt;Ï„&lt;/m:t&gt;&lt;/m:r&gt;&lt;/m:den&gt;&lt;/m:f&gt;&lt;/m:e&gt;&lt;/m:d&gt;&lt;m:r&gt;&lt;m:rPr&gt;&lt;m:sty m:val=&quot;bi&quot;/&gt;&lt;/m:rPr&gt;&lt;w:rPr&gt;&lt;w:rFonts w:ascii=&quot;Cambria Math&quot; w:h-ansi=&quot;Cambria Math&quot;/&gt;&lt;wx:font wx:val=&quot;Cambria Math&quot;/&gt;&lt;w:i/&gt;&lt;/w:rPr&gt;&lt;m:t&gt;â‹…&lt;/m:t&gt;&lt;/m:r&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D&lt;/m:t&gt;&lt;/m:r&gt;&lt;/m:e&gt;&lt;m:sub&gt;&lt;m:r&gt;&lt;m:rPr&gt;&lt;m:sty m:val=&quot;bi&quot;/&gt;&lt;/m:rPr&gt;&lt;w:rPr&gt;&lt;w:rFonts w:ascii=&quot;Cambria Math&quot; w:h-ansi=&quot;Cambria Math&quot;/&gt;&lt;wx:font wx:val=&quot;Cambria Math&quot;/&gt;&lt;w:i/&gt;&lt;/w:rPr&gt;&lt;m:t&gt;KL&lt;/m:t&gt;&lt;/m:r&gt;&lt;/m:sub&gt;&lt;/m:sSub&gt;&lt;m:d&gt;&lt;m:dPr&gt;&lt;m:begChr m:val=&quot;[&quot;/&gt;&lt;m:endChr m:val=&quot;]&quot;/&gt;&lt;m:ctrlPr&gt;&lt;w:rPr&gt;&lt;w:rFonts w:ascii=&quot;Cambria Math&quot; w:h-ansi=&quot;Cambria Math&quot;/&gt;&lt;wx:font wx:val=&quot;Cambria Math&quot;/&gt;&lt;/w:rPr&gt;&lt;/m:ctrlPr&gt;&lt;/m:dPr&gt;&lt;m:e&gt;&lt;m:r&gt;&lt;m:rPr&gt;&lt;m:sty m:val=&quot;bi&quot;/&gt;&lt;/m:rPr&gt;&lt;w:rPr&gt;&lt;w:rFonts w:ascii=&quot;Cambria Math&quot; w:h-ansi=&quot;Cambria Math&quot;/&gt;&lt;wx:font wx:val=&quot;Cambria Math&quot;/&gt;&lt;w:i/&gt;&lt;/w:rPr&gt;&lt;m:t&gt;P&lt;/m:t&gt;&lt;/m:r&gt;&lt;m:d&gt;&lt;m:dPr&gt;&lt;m:ctrlPr&gt;&lt;w:rPr&gt;&lt;w:rFonts w:ascii=&quot;Cambria Math&quot; w:h-ansi=&quot;Cambria Math&quot;/&gt;&lt;wx:font wx:val=&quot;Cambria Math&quot;/&gt;&lt;/w:rPr&gt;&lt;/m:ctrlPr&gt;&lt;/m:dPr&gt;&lt;m:e&gt;&lt;m:r&gt;&lt;m:rPr&gt;&lt;m:sty m:val=&quot;bi&quot;/&gt;&lt;/m:rPr&gt;&lt;w:rPr&gt;&lt;w:rFonts w:ascii=&quot;Cambria Math&quot; w:h-ansi=&quot;Cambria Math&quot;/&gt;&lt;wx:font wx:val=&quot;Cambria Math&quot;/&gt;&lt;w:i/&gt;&lt;/w:rPr&gt;&lt;m:t&gt;{X(t)&lt;/m:t&gt;&lt;/m:r&gt;&lt;m:sSubSup&gt;&lt;m:sSubSupPr&gt;&lt;m:ctrlPr&gt;&lt;w:rPr&gt;&lt;w:rFonts w:ascii=&quot;Cambria Math&quot; w:h-ansi=&quot;Cambria Math&quot;/&gt;&lt;wx:font wx:val=&quot;Cambria Math&quot;/&gt;&lt;/w:rPr&gt;&lt;/m:ctrlPr&gt;&lt;/m:sSubSupPr&gt;&lt;m:e&gt;&lt;m:r&gt;&lt;m:rPr&gt;&lt;m:sty m:val=&quot;bi&quot;/&gt;&lt;/m:rPr&gt;&lt;w:rPr&gt;&lt;w:rFonts w:ascii=&quot;Cambria Math&quot; w:h-ansi=&quot;Cambria Math&quot;/&gt;&lt;wx:font wx:val=&quot;Cambria Math&quot;/&gt;&lt;w:i/&gt;&lt;/w:rPr&gt;&lt;m:t&gt;}&lt;/m:t&gt;&lt;/m:r&gt;&lt;/m:e&gt;&lt;m:sub&gt;&lt;m:r&gt;&lt;m:rPr&gt;&lt;m:sty m:val=&quot;bi&quot;/&gt;&lt;/m:rPr&gt;&lt;w:rPr&gt;&lt;w:rFonts w:ascii=&quot;Cambria Math&quot; w:h-ansi=&quot;Cambria Math&quot;/&gt;&lt;wx:font wx:val=&quot;Cambria Math&quot;/&gt;&lt;w:i/&gt;&lt;/w:rPr&gt;&lt;m:t&gt;t=0&lt;/m:t&gt;&lt;/m:r&gt;&lt;/m:sub&gt;&lt;m:sup&gt;&lt;m:r&gt;&lt;m:rPr&gt;&lt;m:sty m:val=&quot;bi&quot;/&gt;&lt;/m:rPr&gt;&lt;w:rPr&gt;&lt;w:rFonts w:ascii=&quot;Cambria Math&quot; w:h-ansi=&quot;Cambria Math&quot;/&gt;&lt;wx:font wx:val=&quot;Cambria Math&quot;/&gt;&lt;w:i/&gt;&lt;/w:rPr&gt;&lt;m:t&gt;Ï„&lt;/m:t&gt;&lt;/m:r&gt;&lt;/m:sup&gt;&lt;/m:sSubSup&gt;&lt;/m:e&gt;&lt;/m:d&gt;&lt;m:r&gt;&lt;m:rPr&gt;&lt;m:sty m:val=&quot;bi&quot;/&gt;&lt;/m:rPr&gt;&lt;w:rPr&gt;&lt;w:rFonts w:ascii=&quot;Cambria Math&quot; w:h-ansi=&quot;Cambria Math&quot;/&gt;&lt;wx:font wx:val=&quot;Cambria Math&quot;/&gt;&lt;w:i/&gt;&lt;/w:rPr&gt;&lt;m:t&gt;â€–P&lt;/m:t&gt;&lt;/m:r&gt;&lt;m:d&gt;&lt;m:dPr&gt;&lt;m:ctrlPr&gt;&lt;w:rPr&gt;&lt;w:rFonts w:ascii=&quot;Cambria Math&quot; w:h-ansi=&quot;Cambria Math&quot;/&gt;&lt;wx:font wx:val=&quot;Cambria Math&quot;/&gt;&lt;/w:rPr&gt;&lt;/m:ctrlPr&gt;&lt;/m:dPr&gt;&lt;m:e&gt;&lt;m:r&gt;&lt;m:rPr&gt;&lt;m:sty m:val=&quot;bi&quot;/&gt;&lt;/m:rPr&gt;&lt;w:rPr&gt;&lt;w:rFonts w:ascii=&quot;Cambria Math&quot; w:h-ansi=&quot;Cambria Math&quot;/&gt;&lt;wx:font wx:val=&quot;Cambria Math&quot;/&gt;&lt;w:i/&gt;&lt;/w:rPr&gt;&lt;m:t&gt;{X(Ï„-t)&lt;/m:t&gt;&lt;/m:r&gt;&lt;m:sSubSup&gt;&lt;m:sSubSupPr&gt;&lt;m:ctrlPr&gt;&lt;w:rPr&gt;&lt;w:rFonts w:ascii=&quot;Cambria Math&quot; w:h-ansi=&quot;Cambria Math&quot;/&gt;&lt;wx:font wx:val=&quot;Cambria Math&quot;/&gt;&lt;/w:rPr&gt;&lt;/m:ctrlPr&gt;&lt;/m:sSubSupPr&gt;&lt;m:e&gt;&lt;m:r&gt;&lt;m:rPr&gt;&lt;m:sty m:val=&quot;bi&quot;/&gt;&lt;/m:rPr&gt;&lt;w:rPr&gt;&lt;w:rFonts w:ascii=&quot;Cambria Math&quot; w:h-ansi=&quot;Cambria Math&quot;/&gt;&lt;wx:font wx:val=&quot;Cambria Math&quot;/&gt;&lt;w:i/&gt;&lt;/w:rPr&gt;&lt;m:t&gt;}&lt;/m:t&gt;&lt;/m:r&gt;&lt;/m:e&gt;&lt;m:sub&gt;&lt;m:r&gt;&lt;m:rPr&gt;&lt;m:sty m:val=&quot;bi&quot;/&gt;&lt;/m:rPr&gt;&lt;w:rPr&gt;&lt;w:rFonts w:ascii=&quot;Cambria Math&quot; w:h-ansi=&quot;Cambria Math&quot;/&gt;&lt;wx:font wx:val=&quot;Cambria Math&quot;/&gt;&lt;w:i/&gt;&lt;/w:rPr&gt;&lt;m:t&gt;t=0&lt;/m:t&gt;&lt;/m:r&gt;&lt;/m:sub&gt;&lt;m:sup&gt;&lt;m:r&gt;&lt;m:rPr&gt;&lt;m:sty m:val=&quot;bi&quot;/&gt;&lt;/m:rPr&gt;&lt;w:rPr&gt;&lt;w:rFonts w:ascii=&quot;Cambria Math&quot; w:h-ansi=&quot;Cambria Math&quot;/&gt;&lt;wx:font wx:val=&quot;Cambria Math&quot;/&gt;&lt;w:i/&gt;&lt;/w:rPr&gt;&lt;m:t&gt;Ï„&lt;/m:t&gt;&lt;/m:r&gt;&lt;/m:sup&gt;&lt;/m:sSubSup&gt;&lt;/m:e&gt;&lt;/m:d&gt;&lt;/m:e&gt;&lt;/m:d&gt;&lt;m:d&gt;&lt;m:dPr&gt;&lt;m:ctrlPr&gt;&lt;w:rPr&gt;&lt;w:rFonts w:ascii=&quot;Cambria Math&quot; w:h-ansi=&quot;Cambria Math&quot;/&gt;&lt;wx:font wx:val=&quot;Cambria Math&quot;/&gt;&lt;w:i/&gt;&lt;/w:rPr&gt;&lt;/m:ctrlPr&gt;&lt;/m:dPr&gt;&lt;m:e&gt;&lt;m:r&gt;&lt;m:rPr&gt;&lt;m:sty m:val=&quot;bi&quot;/&gt;&lt;/m:rPr&gt;&lt;w:rPr&gt;&lt;w:rFonts w:ascii=&quot;Cambria Math&quot; w:h-ansi=&quot;Cambria Math&quot;/&gt;&lt;wx:font wx:val=&quot;Cambria Math&quot;/&gt;&lt;w:i/&gt;&lt;/w:rPr&gt;&lt;m:t&gt;1&lt;/m:t&gt;&lt;/m:r&gt;&lt;/m:e&gt;&lt;/m:d&gt;&lt;/m:oMath&gt;&lt;/m:oMathPara&gt;&lt;/w:p&gt;&lt;w:sectPr wsp:rsidR=&quot;00000000&quot; wsp:rsidRPr=&quot;001B54A9&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p>
    <w:p w14:paraId="78100796" w14:textId="6CC90D77" w:rsidR="00C06233" w:rsidRDefault="004767C1" w:rsidP="00BA152E">
      <w:pPr>
        <w:pStyle w:val="MainText"/>
        <w:rPr>
          <w:rFonts w:eastAsia="DengXian"/>
          <w:lang w:eastAsia="zh-CN"/>
        </w:rPr>
      </w:pPr>
      <w:r w:rsidRPr="004D1B5C">
        <w:t xml:space="preserve">where </w:t>
      </w:r>
      <w:bookmarkStart w:id="0" w:name="_Hlk197905215"/>
      <w:r w:rsidRPr="004D1B5C">
        <w:fldChar w:fldCharType="begin"/>
      </w:r>
      <w:r w:rsidRPr="004D1B5C">
        <w:instrText xml:space="preserve"> QUOTE </w:instrText>
      </w:r>
      <w:r w:rsidR="00E94C34">
        <w:rPr>
          <w:position w:val="-6"/>
        </w:rPr>
        <w:pict w14:anchorId="66AC160D">
          <v:shape id="_x0000_i1028" type="#_x0000_t75" style="width:48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3EE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533EE9&quot; wsp:rsidRDefault=&quot;00533EE9&quot; wsp:rsidP=&quot;00533EE9&quot;&gt;&lt;m:oMathPara&gt;&lt;m:oMath&gt;&lt;m:r&gt;&lt;m:rPr&gt;&lt;m:sty m:val=&quot;bi&quot;/&gt;&lt;/m:rPr&gt;&lt;w:rPr&gt;&lt;w:rFonts w:ascii=&quot;Cambria Math&quot; w:h-ansi=&quot;Cambria Math&quot;/&gt;&lt;wx:font wx:val=&quot;Cambria Math&quot;/&gt;&lt;w:i/&gt;&lt;/w:rPr&gt;&lt;m:t&gt;{X(t)&lt;/m:t&gt;&lt;/m:r&gt;&lt;m:sSubSup&gt;&lt;m:sSubSupPr&gt;&lt;m:ctrlPr&gt;&lt;w:rPr&gt;&lt;w:rFonts w:ascii=&quot;Cambria Math&quot; w:h-ansi=&quot;Cambria Math&quot;/&gt;&lt;wx:font wx:val=&quot;Cambria Math&quot;/&gt;&lt;/w:rPr&gt;&lt;/m:ctrlPr&gt;&lt;/m:sSubSupPr&gt;&lt;m:e&gt;&lt;m:r&gt;&lt;m:rPr&gt;&lt;m:sty m:val=&quot;bi&quot;/&gt;&lt;/m:rPr&gt;&lt;w:rPr&gt;&lt;w:rFonts w:ascii=&quot;Cambria Math&quot; w:h-ansi=&quot;Cambria Math&quot;/&gt;&lt;wx:font wx:val=&quot;Cambria Math&quot;/&gt;&lt;w:i/&gt;&lt;/w:rPr&gt;&lt;m:t&gt;}&lt;/m:t&gt;&lt;/m:r&gt;&lt;/m:e&gt;&lt;m:sub&gt;&lt;m:r&gt;&lt;m:rPr&gt;&lt;m:sty m:val=&quot;bi&quot;/&gt;&lt;/m:rPr&gt;&lt;w:rPr&gt;&lt;w:rFonts w:ascii=&quot;Cambria Math&quot; w:h-ansi=&quot;Cambria Math&quot;/&gt;&lt;wx:font wx:val=&quot;Cambria Math&quot;/&gt;&lt;w:i/&gt;&lt;/w:rPr&gt;&lt;m:t&gt;t=0&lt;/m:t&gt;&lt;/m:r&gt;&lt;/m:sub&gt;&lt;m:sup&gt;&lt;m:r&gt;&lt;m:rPr&gt;&lt;m:sty m:val=&quot;bi&quot;/&gt;&lt;/m:rPr&gt;&lt;w:rPr&gt;&lt;w:rFonts w:ascii=&quot;Cambria Math&quot; w:h-ansi=&quot;Cambria Math&quot;/&gt;&lt;wx:font wx:val=&quot;Cambria Math&quot;/&gt;&lt;w:i/&gt;&lt;/w:rPr&gt;&lt;m:t&gt;Ï„&lt;/m:t&gt;&lt;/m:r&gt;&lt;/m:sup&gt;&lt;/m:sSub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Pr="004D1B5C">
        <w:instrText xml:space="preserve"> </w:instrText>
      </w:r>
      <w:r w:rsidRPr="004D1B5C">
        <w:fldChar w:fldCharType="separate"/>
      </w:r>
      <w:r w:rsidR="00E94C34">
        <w:rPr>
          <w:position w:val="-6"/>
        </w:rPr>
        <w:pict w14:anchorId="0FAE4020">
          <v:shape id="_x0000_i1029" type="#_x0000_t75" style="width:35.25pt;height:10.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3EE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533EE9&quot; wsp:rsidRDefault=&quot;00533EE9&quot; wsp:rsidP=&quot;00533EE9&quot;&gt;&lt;m:oMathPara&gt;&lt;m:oMath&gt;&lt;m:r&gt;&lt;m:rPr&gt;&lt;m:sty m:val=&quot;bi&quot;/&gt;&lt;/m:rPr&gt;&lt;w:rPr&gt;&lt;w:rFonts w:ascii=&quot;Cambria Math&quot; w:h-ansi=&quot;Cambria Math&quot;/&gt;&lt;wx:font wx:val=&quot;Cambria Math&quot;/&gt;&lt;w:i/&gt;&lt;/w:rPr&gt;&lt;m:t&gt;{X(t)&lt;/m:t&gt;&lt;/m:r&gt;&lt;m:sSubSup&gt;&lt;m:sSubSupPr&gt;&lt;m:ctrlPr&gt;&lt;w:rPr&gt;&lt;w:rFonts w:ascii=&quot;Cambria Math&quot; w:h-ansi=&quot;Cambria Math&quot;/&gt;&lt;wx:font wx:val=&quot;Cambria Math&quot;/&gt;&lt;/w:rPr&gt;&lt;/m:ctrlPr&gt;&lt;/m:sSubSupPr&gt;&lt;m:e&gt;&lt;m:r&gt;&lt;m:rPr&gt;&lt;m:sty m:val=&quot;bi&quot;/&gt;&lt;/m:rPr&gt;&lt;w:rPr&gt;&lt;w:rFonts w:ascii=&quot;Cambria Math&quot; w:h-ansi=&quot;Cambria Math&quot;/&gt;&lt;wx:font wx:val=&quot;Cambria Math&quot;/&gt;&lt;w:i/&gt;&lt;/w:rPr&gt;&lt;m:t&gt;}&lt;/m:t&gt;&lt;/m:r&gt;&lt;/m:e&gt;&lt;m:sub&gt;&lt;m:r&gt;&lt;m:rPr&gt;&lt;m:sty m:val=&quot;bi&quot;/&gt;&lt;/m:rPr&gt;&lt;w:rPr&gt;&lt;w:rFonts w:ascii=&quot;Cambria Math&quot; w:h-ansi=&quot;Cambria Math&quot;/&gt;&lt;wx:font wx:val=&quot;Cambria Math&quot;/&gt;&lt;w:i/&gt;&lt;/w:rPr&gt;&lt;m:t&gt;t=0&lt;/m:t&gt;&lt;/m:r&gt;&lt;/m:sub&gt;&lt;m:sup&gt;&lt;m:r&gt;&lt;m:rPr&gt;&lt;m:sty m:val=&quot;bi&quot;/&gt;&lt;/m:rPr&gt;&lt;w:rPr&gt;&lt;w:rFonts w:ascii=&quot;Cambria Math&quot; w:h-ansi=&quot;Cambria Math&quot;/&gt;&lt;wx:font wx:val=&quot;Cambria Math&quot;/&gt;&lt;w:i/&gt;&lt;/w:rPr&gt;&lt;m:t&gt;Ï„&lt;/m:t&gt;&lt;/m:r&gt;&lt;/m:sup&gt;&lt;/m:sSub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Pr="004D1B5C">
        <w:fldChar w:fldCharType="end"/>
      </w:r>
      <w:r w:rsidRPr="004D1B5C">
        <w:t xml:space="preserve"> </w:t>
      </w:r>
      <w:bookmarkEnd w:id="0"/>
      <w:r w:rsidRPr="004D1B5C">
        <w:t xml:space="preserve">represents the system trajectory and </w:t>
      </w:r>
      <w:r w:rsidRPr="004D1B5C">
        <w:fldChar w:fldCharType="begin"/>
      </w:r>
      <w:r w:rsidRPr="004D1B5C">
        <w:instrText xml:space="preserve"> QUOTE </w:instrText>
      </w:r>
      <w:r w:rsidR="00E94C34">
        <w:rPr>
          <w:position w:val="-6"/>
        </w:rPr>
        <w:pict w14:anchorId="7F78BC98">
          <v:shape id="_x0000_i1030" type="#_x0000_t75" style="width:68.2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24F4B&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024F4B&quot; wsp:rsidRDefault=&quot;00024F4B&quot; wsp:rsidP=&quot;00024F4B&quot;&gt;&lt;m:oMathPara&gt;&lt;m:oMath&gt;&lt;m:r&gt;&lt;m:rPr&gt;&lt;m:sty m:val=&quot;bi&quot;/&gt;&lt;/m:rPr&gt;&lt;w:rPr&gt;&lt;w:rFonts w:ascii=&quot;Cambria Math&quot; w:h-ansi=&quot;Cambria Math&quot;/&gt;&lt;wx:font wx:val=&quot;Cambria Math&quot;/&gt;&lt;w:i/&gt;&lt;/w:rPr&gt;&lt;m:t&gt;{X(Ï„-t)&lt;/m:t&gt;&lt;/m:r&gt;&lt;m:sSubSup&gt;&lt;m:sSubSupPr&gt;&lt;m:ctrlPr&gt;&lt;w:rPr&gt;&lt;w:rFonts w:ascii=&quot;Cambria Math&quot; w:h-ansi=&quot;Cambria Math&quot;/&gt;&lt;wx:font wx:val=&quot;Cambria Math&quot;/&gt;&lt;/w:rPr&gt;&lt;/m:ctrlPr&gt;&lt;/m:sSubSupPr&gt;&lt;m:e&gt;&lt;m:r&gt;&lt;m:rPr&gt;&lt;m:sty m:val=&quot;bi&quot;/&gt;&lt;/m:rPr&gt;&lt;w:rPr&gt;&lt;w:rFonts w:ascii=&quot;Cambria Math&quot; w:h-ansi=&quot;Cambria Math&quot;/&gt;&lt;wx:font wx:val=&quot;Cambria Math&quot;/&gt;&lt;w:i/&gt;&lt;/w:rPr&gt;&lt;m:t&gt;}&lt;/m:t&gt;&lt;/m:r&gt;&lt;/m:e&gt;&lt;m:sub&gt;&lt;m:r&gt;&lt;m:rPr&gt;&lt;m:sty m:val=&quot;bi&quot;/&gt;&lt;/m:rPr&gt;&lt;w:rPr&gt;&lt;w:rFonts w:ascii=&quot;Cambria Math&quot; w:h-ansi=&quot;Cambria Math&quot;/&gt;&lt;wx:font wx:val=&quot;Cambria Math&quot;/&gt;&lt;w:i/&gt;&lt;/w:rPr&gt;&lt;m:t&gt;t=0&lt;/m:t&gt;&lt;/m:r&gt;&lt;/m:sub&gt;&lt;m:sup&gt;&lt;m:r&gt;&lt;m:rPr&gt;&lt;m:sty m:val=&quot;bi&quot;/&gt;&lt;/m:rPr&gt;&lt;w:rPr&gt;&lt;w:rFonts w:ascii=&quot;Cambria Math&quot; w:h-ansi=&quot;Cambria Math&quot;/&gt;&lt;wx:font wx:val=&quot;Cambria Math&quot;/&gt;&lt;w:i/&gt;&lt;/w:rPr&gt;&lt;m:t&gt;Ï„&lt;/m:t&gt;&lt;/m:r&gt;&lt;/m:sup&gt;&lt;/m:sSub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r w:rsidRPr="004D1B5C">
        <w:instrText xml:space="preserve"> </w:instrText>
      </w:r>
      <w:r w:rsidRPr="004D1B5C">
        <w:fldChar w:fldCharType="separate"/>
      </w:r>
      <w:r w:rsidR="00E94C34">
        <w:rPr>
          <w:position w:val="-6"/>
        </w:rPr>
        <w:pict w14:anchorId="428F53AA">
          <v:shape id="_x0000_i1031" type="#_x0000_t75" style="width:55.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24F4B&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024F4B&quot; wsp:rsidRDefault=&quot;00024F4B&quot; wsp:rsidP=&quot;00024F4B&quot;&gt;&lt;m:oMathPara&gt;&lt;m:oMath&gt;&lt;m:r&gt;&lt;m:rPr&gt;&lt;m:sty m:val=&quot;bi&quot;/&gt;&lt;/m:rPr&gt;&lt;w:rPr&gt;&lt;w:rFonts w:ascii=&quot;Cambria Math&quot; w:h-ansi=&quot;Cambria Math&quot;/&gt;&lt;wx:font wx:val=&quot;Cambria Math&quot;/&gt;&lt;w:i/&gt;&lt;/w:rPr&gt;&lt;m:t&gt;{X(Ï„-t)&lt;/m:t&gt;&lt;/m:r&gt;&lt;m:sSubSup&gt;&lt;m:sSubSupPr&gt;&lt;m:ctrlPr&gt;&lt;w:rPr&gt;&lt;w:rFonts w:ascii=&quot;Cambria Math&quot; w:h-ansi=&quot;Cambria Math&quot;/&gt;&lt;wx:font wx:val=&quot;Cambria Math&quot;/&gt;&lt;/w:rPr&gt;&lt;/m:ctrlPr&gt;&lt;/m:sSubSupPr&gt;&lt;m:e&gt;&lt;m:r&gt;&lt;m:rPr&gt;&lt;m:sty m:val=&quot;bi&quot;/&gt;&lt;/m:rPr&gt;&lt;w:rPr&gt;&lt;w:rFonts w:ascii=&quot;Cambria Math&quot; w:h-ansi=&quot;Cambria Math&quot;/&gt;&lt;wx:font wx:val=&quot;Cambria Math&quot;/&gt;&lt;w:i/&gt;&lt;/w:rPr&gt;&lt;m:t&gt;}&lt;/m:t&gt;&lt;/m:r&gt;&lt;/m:e&gt;&lt;m:sub&gt;&lt;m:r&gt;&lt;m:rPr&gt;&lt;m:sty m:val=&quot;bi&quot;/&gt;&lt;/m:rPr&gt;&lt;w:rPr&gt;&lt;w:rFonts w:ascii=&quot;Cambria Math&quot; w:h-ansi=&quot;Cambria Math&quot;/&gt;&lt;wx:font wx:val=&quot;Cambria Math&quot;/&gt;&lt;w:i/&gt;&lt;/w:rPr&gt;&lt;m:t&gt;t=0&lt;/m:t&gt;&lt;/m:r&gt;&lt;/m:sub&gt;&lt;m:sup&gt;&lt;m:r&gt;&lt;m:rPr&gt;&lt;m:sty m:val=&quot;bi&quot;/&gt;&lt;/m:rPr&gt;&lt;w:rPr&gt;&lt;w:rFonts w:ascii=&quot;Cambria Math&quot; w:h-ansi=&quot;Cambria Math&quot;/&gt;&lt;wx:font wx:val=&quot;Cambria Math&quot;/&gt;&lt;w:i/&gt;&lt;/w:rPr&gt;&lt;m:t&gt;Ï„&lt;/m:t&gt;&lt;/m:r&gt;&lt;/m:sup&gt;&lt;/m:sSub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r w:rsidRPr="004D1B5C">
        <w:fldChar w:fldCharType="end"/>
      </w:r>
      <w:r w:rsidRPr="004D1B5C">
        <w:t xml:space="preserve"> its time reversal, with </w:t>
      </w:r>
      <w:r w:rsidRPr="004D1B5C">
        <w:fldChar w:fldCharType="begin"/>
      </w:r>
      <w:r w:rsidRPr="004D1B5C">
        <w:instrText xml:space="preserve"> QUOTE </w:instrText>
      </w:r>
      <w:r w:rsidR="00E94C34">
        <w:rPr>
          <w:position w:val="-5"/>
        </w:rPr>
        <w:pict w14:anchorId="4FAB8FE3">
          <v:shape id="_x0000_i1032" type="#_x0000_t75" style="width:21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26B8&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A826B8&quot; wsp:rsidRDefault=&quot;00A826B8&quot; wsp:rsidP=&quot;00A826B8&quot;&gt;&lt;m:oMathPara&gt;&lt;m:oMath&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D&lt;/m:t&gt;&lt;/m:r&gt;&lt;/m:e&gt;&lt;m:sub&gt;&lt;m:r&gt;&lt;m:rPr&gt;&lt;m:sty m:val=&quot;bi&quot;/&gt;&lt;/m:rPr&gt;&lt;w:rPr&gt;&lt;w:rFonts w:ascii=&quot;Cambria Math&quot; w:h-ansi=&quot;Cambria Math&quot;/&gt;&lt;wx:font wx:val=&quot;Cambria Math&quot;/&gt;&lt;w:i/&gt;&lt;/w:rPr&gt;&lt;m:t&gt;KL&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4D1B5C">
        <w:instrText xml:space="preserve"> </w:instrText>
      </w:r>
      <w:r w:rsidRPr="004D1B5C">
        <w:fldChar w:fldCharType="separate"/>
      </w:r>
      <w:r w:rsidR="00E94C34">
        <w:rPr>
          <w:position w:val="-5"/>
        </w:rPr>
        <w:pict w14:anchorId="373CEAB7">
          <v:shape id="_x0000_i1033" type="#_x0000_t75" style="width:15.75pt;height:10.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26B8&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A826B8&quot; wsp:rsidRDefault=&quot;00A826B8&quot; wsp:rsidP=&quot;00A826B8&quot;&gt;&lt;m:oMathPara&gt;&lt;m:oMath&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D&lt;/m:t&gt;&lt;/m:r&gt;&lt;/m:e&gt;&lt;m:sub&gt;&lt;m:r&gt;&lt;m:rPr&gt;&lt;m:sty m:val=&quot;bi&quot;/&gt;&lt;/m:rPr&gt;&lt;w:rPr&gt;&lt;w:rFonts w:ascii=&quot;Cambria Math&quot; w:h-ansi=&quot;Cambria Math&quot;/&gt;&lt;wx:font wx:val=&quot;Cambria Math&quot;/&gt;&lt;w:i/&gt;&lt;/w:rPr&gt;&lt;m:t&gt;KL&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4D1B5C">
        <w:fldChar w:fldCharType="end"/>
      </w:r>
      <w:r w:rsidRPr="004D1B5C">
        <w:t xml:space="preserve"> measuring the </w:t>
      </w:r>
      <w:proofErr w:type="spellStart"/>
      <w:r w:rsidRPr="004D1B5C">
        <w:t>Kullback-Leibler</w:t>
      </w:r>
      <w:proofErr w:type="spellEnd"/>
      <w:r w:rsidRPr="004D1B5C">
        <w:t xml:space="preserve"> divergence between forward and time-reversed trajectories. In the context of real-world transportation data, the irreversibility of traffic flow patterns serves as a natural measure of how far the transportation system deviates from equilibrium.</w:t>
      </w:r>
    </w:p>
    <w:p w14:paraId="27810652" w14:textId="77777777" w:rsidR="001D19AB" w:rsidRDefault="001D19AB" w:rsidP="00BA152E">
      <w:pPr>
        <w:pStyle w:val="MainText"/>
        <w:rPr>
          <w:rFonts w:eastAsia="DengXian"/>
          <w:lang w:eastAsia="zh-CN"/>
        </w:rPr>
      </w:pPr>
    </w:p>
    <w:p w14:paraId="37736532" w14:textId="77777777" w:rsidR="00E37E0A" w:rsidRPr="00E37E0A" w:rsidRDefault="00E37E0A" w:rsidP="00E37E0A">
      <w:pPr>
        <w:pStyle w:val="PlainText"/>
        <w:jc w:val="center"/>
        <w:rPr>
          <w:rFonts w:eastAsia="DengXian" w:hint="eastAsia"/>
          <w:sz w:val="20"/>
          <w:lang w:eastAsia="zh-CN"/>
        </w:rPr>
      </w:pPr>
      <w:r>
        <w:rPr>
          <w:sz w:val="20"/>
        </w:rPr>
        <w:lastRenderedPageBreak/>
        <w:pict w14:anchorId="1C9FBF1C">
          <v:shape id="_x0000_i1090" type="#_x0000_t75" style="width:221.25pt;height:566.25pt">
            <v:imagedata r:id="rId19" o:title="Artboard 1-100"/>
          </v:shape>
        </w:pict>
      </w:r>
    </w:p>
    <w:p w14:paraId="2C8C4780" w14:textId="0CA0BD8E" w:rsidR="00E37E0A" w:rsidRDefault="00E37E0A" w:rsidP="00E37E0A">
      <w:pPr>
        <w:pStyle w:val="PlainText"/>
        <w:jc w:val="left"/>
        <w:rPr>
          <w:rFonts w:eastAsia="DengXian"/>
          <w:i/>
          <w:color w:val="FF0000"/>
          <w:lang w:eastAsia="zh-CN"/>
        </w:rPr>
      </w:pPr>
      <w:r w:rsidRPr="004D1B5C">
        <w:rPr>
          <w:rStyle w:val="CaptionfigtableChar"/>
        </w:rPr>
        <w:t>Figure 1: Illustration of the Multi-modal Visibility Graph Irreversibility (</w:t>
      </w:r>
      <w:proofErr w:type="spellStart"/>
      <w:r w:rsidRPr="004D1B5C">
        <w:rPr>
          <w:rStyle w:val="CaptionfigtableChar"/>
        </w:rPr>
        <w:t>MmVGI</w:t>
      </w:r>
      <w:proofErr w:type="spellEnd"/>
      <w:r w:rsidRPr="004D1B5C">
        <w:rPr>
          <w:rStyle w:val="CaptionfigtableChar"/>
        </w:rPr>
        <w:t>) Framework. a) visibility graph construction process b) probability distributions of in/out degree. c) irreversibility quantification</w:t>
      </w:r>
    </w:p>
    <w:p w14:paraId="1CCDEFD0" w14:textId="77777777" w:rsidR="00E37E0A" w:rsidRPr="00E37E0A" w:rsidRDefault="00E37E0A" w:rsidP="00E37E0A">
      <w:pPr>
        <w:pStyle w:val="PlainText"/>
        <w:jc w:val="left"/>
        <w:rPr>
          <w:rFonts w:eastAsia="DengXian"/>
          <w:i/>
          <w:color w:val="FF0000"/>
          <w:lang w:eastAsia="zh-CN"/>
        </w:rPr>
      </w:pPr>
    </w:p>
    <w:p w14:paraId="75D0EA61" w14:textId="4FC75171" w:rsidR="00D801A8" w:rsidRDefault="00D801A8" w:rsidP="00D801A8">
      <w:pPr>
        <w:pStyle w:val="PlainText"/>
        <w:rPr>
          <w:rFonts w:eastAsia="DengXian"/>
          <w:b/>
          <w:sz w:val="20"/>
          <w:lang w:eastAsia="zh-CN"/>
        </w:rPr>
      </w:pPr>
      <w:r>
        <w:rPr>
          <w:rFonts w:eastAsia="DengXian"/>
          <w:b/>
          <w:sz w:val="20"/>
          <w:lang w:eastAsia="zh-CN"/>
        </w:rPr>
        <w:t>3</w:t>
      </w:r>
      <w:r w:rsidR="00094A82" w:rsidRPr="004D1B5C">
        <w:rPr>
          <w:b/>
          <w:sz w:val="20"/>
        </w:rPr>
        <w:t>.</w:t>
      </w:r>
      <w:r>
        <w:rPr>
          <w:rFonts w:eastAsia="DengXian"/>
          <w:b/>
          <w:sz w:val="20"/>
          <w:lang w:eastAsia="zh-CN"/>
        </w:rPr>
        <w:t>2</w:t>
      </w:r>
      <w:r w:rsidR="00094A82" w:rsidRPr="004D1B5C">
        <w:rPr>
          <w:b/>
          <w:sz w:val="20"/>
        </w:rPr>
        <w:t xml:space="preserve"> </w:t>
      </w:r>
      <w:r w:rsidRPr="004D1B5C">
        <w:rPr>
          <w:b/>
          <w:sz w:val="20"/>
        </w:rPr>
        <w:t>Multi-modal Visibility Graph Irreversibility Framework</w:t>
      </w:r>
    </w:p>
    <w:p w14:paraId="67147230" w14:textId="0895F28A" w:rsidR="00D801A8" w:rsidRDefault="00D801A8" w:rsidP="004767C1">
      <w:pPr>
        <w:pStyle w:val="MainText"/>
        <w:rPr>
          <w:rFonts w:eastAsia="DengXian"/>
          <w:lang w:eastAsia="zh-CN"/>
        </w:rPr>
      </w:pPr>
      <w:r w:rsidRPr="004D1B5C">
        <w:t xml:space="preserve">We introduce the </w:t>
      </w:r>
      <w:proofErr w:type="spellStart"/>
      <w:r w:rsidRPr="004D1B5C">
        <w:t>MmVGI</w:t>
      </w:r>
      <w:proofErr w:type="spellEnd"/>
      <w:r w:rsidRPr="004D1B5C">
        <w:t xml:space="preserve"> framework to analyse</w:t>
      </w:r>
      <w:r w:rsidR="004767C1">
        <w:rPr>
          <w:rFonts w:eastAsia="DengXian"/>
          <w:lang w:eastAsia="zh-CN"/>
        </w:rPr>
        <w:t xml:space="preserve"> </w:t>
      </w:r>
      <w:r w:rsidRPr="004D1B5C">
        <w:t xml:space="preserve">transportation systems with </w:t>
      </w:r>
      <w:r w:rsidR="004767C1">
        <w:rPr>
          <w:rFonts w:eastAsia="DengXian"/>
          <w:b/>
          <w:bCs/>
          <w:i/>
          <w:iCs/>
          <w:lang w:eastAsia="zh-CN"/>
        </w:rPr>
        <w:t>N</w:t>
      </w:r>
      <w:r w:rsidRPr="004D1B5C">
        <w:t xml:space="preserve"> different modes. This </w:t>
      </w:r>
      <w:r w:rsidRPr="004D1B5C">
        <w:t>framework, illustrated in</w:t>
      </w:r>
      <w:r w:rsidR="00A86A80">
        <w:rPr>
          <w:rFonts w:eastAsia="DengXian" w:hint="eastAsia"/>
          <w:lang w:eastAsia="zh-CN"/>
        </w:rPr>
        <w:t xml:space="preserve"> Fig.2</w:t>
      </w:r>
      <w:r w:rsidRPr="004D1B5C">
        <w:t>, comprises three key components: visibility graph construction (</w:t>
      </w:r>
      <w:r w:rsidR="00A86A80">
        <w:rPr>
          <w:rFonts w:eastAsia="DengXian" w:hint="eastAsia"/>
          <w:lang w:eastAsia="zh-CN"/>
        </w:rPr>
        <w:t>Fig. 2(a),</w:t>
      </w:r>
      <w:r w:rsidR="00CB55C3">
        <w:rPr>
          <w:rFonts w:eastAsia="DengXian" w:hint="eastAsia"/>
          <w:lang w:eastAsia="zh-CN"/>
        </w:rPr>
        <w:t xml:space="preserve"> </w:t>
      </w:r>
      <w:r w:rsidR="00A86A80">
        <w:rPr>
          <w:rFonts w:eastAsia="DengXian" w:hint="eastAsia"/>
          <w:lang w:eastAsia="zh-CN"/>
        </w:rPr>
        <w:t>(b)</w:t>
      </w:r>
      <w:r w:rsidRPr="004D1B5C">
        <w:t xml:space="preserve">), degree distribution </w:t>
      </w:r>
      <w:r w:rsidR="00A86A80" w:rsidRPr="004D1B5C">
        <w:t>analysis</w:t>
      </w:r>
      <w:r w:rsidR="00CB55C3">
        <w:rPr>
          <w:rFonts w:eastAsia="DengXian" w:hint="eastAsia"/>
          <w:lang w:eastAsia="zh-CN"/>
        </w:rPr>
        <w:t xml:space="preserve"> (Fig.2(c)),</w:t>
      </w:r>
      <w:r w:rsidR="00CB55C3" w:rsidRPr="004D1B5C">
        <w:t xml:space="preserve"> </w:t>
      </w:r>
      <w:r w:rsidRPr="004D1B5C">
        <w:t xml:space="preserve">and joint probability distributions </w:t>
      </w:r>
      <w:r w:rsidR="00C42B37" w:rsidRPr="004D1B5C">
        <w:t>quantification (</w:t>
      </w:r>
      <w:r w:rsidR="00C42B37">
        <w:rPr>
          <w:rFonts w:eastAsia="DengXian" w:hint="eastAsia"/>
          <w:lang w:eastAsia="zh-CN"/>
        </w:rPr>
        <w:t>Fig.2(</w:t>
      </w:r>
      <w:r w:rsidRPr="004D1B5C">
        <w:t>d</w:t>
      </w:r>
      <w:r w:rsidR="00C42B37">
        <w:rPr>
          <w:rFonts w:eastAsia="DengXian" w:hint="eastAsia"/>
          <w:lang w:eastAsia="zh-CN"/>
        </w:rPr>
        <w:t>)</w:t>
      </w:r>
      <w:r w:rsidRPr="004D1B5C">
        <w:t>).</w:t>
      </w:r>
    </w:p>
    <w:p w14:paraId="3D77DB6D" w14:textId="77777777" w:rsidR="00E37E0A" w:rsidRPr="00E15DFB" w:rsidRDefault="00E37E0A" w:rsidP="00E37E0A">
      <w:pPr>
        <w:pStyle w:val="MainText"/>
        <w:ind w:firstLine="0"/>
        <w:jc w:val="left"/>
        <w:rPr>
          <w:rFonts w:eastAsia="DengXian"/>
          <w:lang w:eastAsia="zh-CN"/>
        </w:rPr>
      </w:pPr>
      <w:r>
        <w:rPr>
          <w:rFonts w:eastAsia="DengXian"/>
          <w:lang w:eastAsia="zh-CN"/>
        </w:rPr>
        <w:pict w14:anchorId="1B238A28">
          <v:shape id="_x0000_i1092" type="#_x0000_t75" style="width:216.75pt;height:519pt">
            <v:imagedata r:id="rId20" o:title="Artboard 2-100"/>
          </v:shape>
        </w:pict>
      </w:r>
    </w:p>
    <w:p w14:paraId="244F8EBC" w14:textId="6D286F9E" w:rsidR="00E37E0A" w:rsidRDefault="00E37E0A" w:rsidP="00E37E0A">
      <w:pPr>
        <w:pStyle w:val="PlainText"/>
        <w:jc w:val="left"/>
        <w:rPr>
          <w:rStyle w:val="CaptionfigtableChar"/>
          <w:rFonts w:eastAsia="DengXian"/>
          <w:lang w:eastAsia="zh-CN"/>
        </w:rPr>
      </w:pPr>
      <w:r w:rsidRPr="004D1B5C">
        <w:rPr>
          <w:rStyle w:val="CaptionfigtableChar"/>
        </w:rPr>
        <w:t xml:space="preserve">Figure </w:t>
      </w:r>
      <w:r w:rsidRPr="00E15DFB">
        <w:rPr>
          <w:rStyle w:val="CaptionfigtableChar"/>
          <w:rFonts w:eastAsia="DengXian"/>
          <w:lang w:eastAsia="zh-CN"/>
        </w:rPr>
        <w:t>2</w:t>
      </w:r>
      <w:r w:rsidRPr="004D1B5C">
        <w:rPr>
          <w:rStyle w:val="CaptionfigtableChar"/>
        </w:rPr>
        <w:t>: Construction and Analysis Process of Multi-modal Visibility Graphs. a) temporal data and visibility mapping. b) visibility graph structure. c) degree distribution analysis. d) joint probability distributions</w:t>
      </w:r>
    </w:p>
    <w:p w14:paraId="46E87BF0" w14:textId="77777777" w:rsidR="00E37E0A" w:rsidRDefault="00E37E0A" w:rsidP="00E37E0A">
      <w:pPr>
        <w:pStyle w:val="PlainText"/>
        <w:jc w:val="left"/>
        <w:rPr>
          <w:rFonts w:eastAsia="DengXian" w:hint="eastAsia"/>
          <w:i/>
          <w:lang w:eastAsia="zh-CN"/>
        </w:rPr>
      </w:pPr>
    </w:p>
    <w:p w14:paraId="23CEF86C" w14:textId="533F8A57" w:rsidR="001D6CCF" w:rsidRDefault="004767C1" w:rsidP="004767C1">
      <w:pPr>
        <w:pStyle w:val="PlainText"/>
        <w:rPr>
          <w:rFonts w:eastAsia="DengXian"/>
          <w:b/>
          <w:sz w:val="20"/>
          <w:lang w:eastAsia="zh-CN"/>
        </w:rPr>
      </w:pPr>
      <w:r>
        <w:rPr>
          <w:rFonts w:eastAsia="DengXian"/>
          <w:b/>
          <w:sz w:val="20"/>
          <w:lang w:eastAsia="zh-CN"/>
        </w:rPr>
        <w:t>3.2.1 Visibility Graph Construction</w:t>
      </w:r>
    </w:p>
    <w:p w14:paraId="1031E7CC" w14:textId="47A8EE0D" w:rsidR="004767C1" w:rsidRDefault="004767C1" w:rsidP="004767C1">
      <w:pPr>
        <w:pStyle w:val="MainText"/>
        <w:rPr>
          <w:rFonts w:eastAsia="DengXian"/>
          <w:lang w:eastAsia="zh-CN"/>
        </w:rPr>
      </w:pPr>
      <w:r w:rsidRPr="004D1B5C">
        <w:t xml:space="preserve">The framework transforms multivariate time series into visibility graphs through a systematic </w:t>
      </w:r>
      <w:r w:rsidRPr="004D1B5C">
        <w:lastRenderedPageBreak/>
        <w:t xml:space="preserve">process. For any two data points </w:t>
      </w:r>
      <w:r w:rsidRPr="004D1B5C">
        <w:fldChar w:fldCharType="begin"/>
      </w:r>
      <w:r w:rsidRPr="004D1B5C">
        <w:instrText xml:space="preserve"> QUOTE </w:instrText>
      </w:r>
      <w:r w:rsidR="00E94C34">
        <w:rPr>
          <w:position w:val="-5"/>
        </w:rPr>
        <w:pict w14:anchorId="2960BADD">
          <v:shape id="_x0000_i1034" type="#_x0000_t75" style="width:24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486A&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EF486A&quot; wsp:rsidRDefault=&quot;00EF486A&quot; wsp:rsidP=&quot;00EF486A&quot;&gt;&lt;m:oMathPara&gt;&lt;m:oMath&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i&lt;/m:t&gt;&lt;/m:r&gt;&lt;/m:sub&gt;&lt;/m:sSub&gt;&lt;m:r&gt;&lt;m:rPr&gt;&lt;m:sty m:val=&quot;bi&quot;/&gt;&lt;/m:rP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x&lt;/m:t&gt;&lt;/m:r&gt;&lt;/m:e&gt;&lt;m:sub&gt;&lt;m:r&gt;&lt;m:rPr&gt;&lt;m:sty m:val=&quot;bi&quot;/&gt;&lt;/m:rPr&gt;&lt;w:rPr&gt;&lt;w:rFonts w:ascii=&quot;Cambria Math&quot; w:h-ansi=&quot;Cambria Math&quot;/&gt;&lt;wx:font wx:val=&quot;Cambria Math&quot;/&gt;&lt;w:i/&gt;&lt;/w:rPr&gt;&lt;m:t&gt;i&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1" o:title="" chromakey="white"/>
          </v:shape>
        </w:pict>
      </w:r>
      <w:r w:rsidRPr="004D1B5C">
        <w:instrText xml:space="preserve"> </w:instrText>
      </w:r>
      <w:r w:rsidRPr="004D1B5C">
        <w:fldChar w:fldCharType="separate"/>
      </w:r>
      <w:r w:rsidR="00E94C34">
        <w:rPr>
          <w:position w:val="-5"/>
        </w:rPr>
        <w:pict w14:anchorId="7EDDE23F">
          <v:shape id="_x0000_i1035" type="#_x0000_t75" style="width:21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486A&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EF486A&quot; wsp:rsidRDefault=&quot;00EF486A&quot; wsp:rsidP=&quot;00EF486A&quot;&gt;&lt;m:oMathPara&gt;&lt;m:oMath&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i&lt;/m:t&gt;&lt;/m:r&gt;&lt;/m:sub&gt;&lt;/m:sSub&gt;&lt;m:r&gt;&lt;m:rPr&gt;&lt;m:sty m:val=&quot;bi&quot;/&gt;&lt;/m:rP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x&lt;/m:t&gt;&lt;/m:r&gt;&lt;/m:e&gt;&lt;m:sub&gt;&lt;m:r&gt;&lt;m:rPr&gt;&lt;m:sty m:val=&quot;bi&quot;/&gt;&lt;/m:rPr&gt;&lt;w:rPr&gt;&lt;w:rFonts w:ascii=&quot;Cambria Math&quot; w:h-ansi=&quot;Cambria Math&quot;/&gt;&lt;wx:font wx:val=&quot;Cambria Math&quot;/&gt;&lt;w:i/&gt;&lt;/w:rPr&gt;&lt;m:t&gt;i&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1" o:title="" chromakey="white"/>
          </v:shape>
        </w:pict>
      </w:r>
      <w:r w:rsidRPr="004D1B5C">
        <w:fldChar w:fldCharType="end"/>
      </w:r>
      <w:r w:rsidRPr="004D1B5C">
        <w:t xml:space="preserve"> and </w:t>
      </w:r>
      <w:r w:rsidRPr="004D1B5C">
        <w:fldChar w:fldCharType="begin"/>
      </w:r>
      <w:r w:rsidRPr="004D1B5C">
        <w:instrText xml:space="preserve"> QUOTE </w:instrText>
      </w:r>
      <w:r w:rsidR="00E94C34">
        <w:rPr>
          <w:position w:val="-9"/>
        </w:rPr>
        <w:pict w14:anchorId="7E5E9C29">
          <v:shape id="_x0000_i1036" type="#_x0000_t75" style="width:24pt;height:15.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470E7&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1470E7&quot; wsp:rsidRDefault=&quot;001470E7&quot; wsp:rsidP=&quot;001470E7&quot;&gt;&lt;m:oMathPara&gt;&lt;m:oMath&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j&lt;/m:t&gt;&lt;/m:r&gt;&lt;/m:sub&gt;&lt;/m:sSub&gt;&lt;m:r&gt;&lt;m:rPr&gt;&lt;m:sty m:val=&quot;bi&quot;/&gt;&lt;/m:rP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x&lt;/m:t&gt;&lt;/m:r&gt;&lt;/m:e&gt;&lt;m:sub&gt;&lt;m:r&gt;&lt;m:rPr&gt;&lt;m:sty m:val=&quot;bi&quot;/&gt;&lt;/m:rPr&gt;&lt;w:rPr&gt;&lt;w:rFonts w:ascii=&quot;Cambria Math&quot; w:h-ansi=&quot;Cambria Math&quot;/&gt;&lt;wx:font wx:val=&quot;Cambria Math&quot;/&gt;&lt;w:i/&gt;&lt;/w:rPr&gt;&lt;m:t&gt;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2" o:title="" chromakey="white"/>
          </v:shape>
        </w:pict>
      </w:r>
      <w:r w:rsidRPr="004D1B5C">
        <w:instrText xml:space="preserve"> </w:instrText>
      </w:r>
      <w:r w:rsidRPr="004D1B5C">
        <w:fldChar w:fldCharType="separate"/>
      </w:r>
      <w:r w:rsidR="00E94C34">
        <w:rPr>
          <w:position w:val="-9"/>
        </w:rPr>
        <w:pict w14:anchorId="102293DA">
          <v:shape id="_x0000_i1037" type="#_x0000_t75" style="width:19.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470E7&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1470E7&quot; wsp:rsidRDefault=&quot;001470E7&quot; wsp:rsidP=&quot;001470E7&quot;&gt;&lt;m:oMathPara&gt;&lt;m:oMath&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j&lt;/m:t&gt;&lt;/m:r&gt;&lt;/m:sub&gt;&lt;/m:sSub&gt;&lt;m:r&gt;&lt;m:rPr&gt;&lt;m:sty m:val=&quot;bi&quot;/&gt;&lt;/m:rP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x&lt;/m:t&gt;&lt;/m:r&gt;&lt;/m:e&gt;&lt;m:sub&gt;&lt;m:r&gt;&lt;m:rPr&gt;&lt;m:sty m:val=&quot;bi&quot;/&gt;&lt;/m:rPr&gt;&lt;w:rPr&gt;&lt;w:rFonts w:ascii=&quot;Cambria Math&quot; w:h-ansi=&quot;Cambria Math&quot;/&gt;&lt;wx:font wx:val=&quot;Cambria Math&quot;/&gt;&lt;w:i/&gt;&lt;/w:rPr&gt;&lt;m:t&gt;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2" o:title="" chromakey="white"/>
          </v:shape>
        </w:pict>
      </w:r>
      <w:r w:rsidRPr="004D1B5C">
        <w:fldChar w:fldCharType="end"/>
      </w:r>
      <w:r w:rsidRPr="004D1B5C">
        <w:t xml:space="preserve"> in the time series, a connection exists if and only if any intermediate point </w:t>
      </w:r>
      <w:r w:rsidRPr="004D1B5C">
        <w:fldChar w:fldCharType="begin"/>
      </w:r>
      <w:r w:rsidRPr="004D1B5C">
        <w:instrText xml:space="preserve"> QUOTE </w:instrText>
      </w:r>
      <w:r w:rsidR="00E94C34">
        <w:rPr>
          <w:position w:val="-5"/>
        </w:rPr>
        <w:pict w14:anchorId="05FFA38F">
          <v:shape id="_x0000_i1038" type="#_x0000_t75" style="width:27.7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030F&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5F030F&quot; wsp:rsidRDefault=&quot;005F030F&quot; wsp:rsidP=&quot;005F030F&quot;&gt;&lt;m:oMathPara&gt;&lt;m:oMath&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k&lt;/m:t&gt;&lt;/m:r&gt;&lt;/m:sub&gt;&lt;/m:sSub&gt;&lt;m:r&gt;&lt;m:rPr&gt;&lt;m:sty m:val=&quot;bi&quot;/&gt;&lt;/m:rP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x&lt;/m:t&gt;&lt;/m:r&gt;&lt;/m:e&gt;&lt;m:sub&gt;&lt;m:r&gt;&lt;m:rPr&gt;&lt;m:sty m:val=&quot;bi&quot;/&gt;&lt;/m:rPr&gt;&lt;w:rPr&gt;&lt;w:rFonts w:ascii=&quot;Cambria Math&quot; w:h-ansi=&quot;Cambria Math&quot;/&gt;&lt;wx:font wx:val=&quot;Cambria Math&quot;/&gt;&lt;w:i/&gt;&lt;/w:rPr&gt;&lt;m:t&gt;k&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3" o:title="" chromakey="white"/>
          </v:shape>
        </w:pict>
      </w:r>
      <w:r w:rsidRPr="004D1B5C">
        <w:instrText xml:space="preserve"> </w:instrText>
      </w:r>
      <w:r w:rsidRPr="004D1B5C">
        <w:fldChar w:fldCharType="separate"/>
      </w:r>
      <w:r w:rsidR="00E94C34">
        <w:rPr>
          <w:position w:val="-5"/>
        </w:rPr>
        <w:pict w14:anchorId="392EB5FB">
          <v:shape id="_x0000_i1039" type="#_x0000_t75" style="width:21pt;height:10.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030F&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5F030F&quot; wsp:rsidRDefault=&quot;005F030F&quot; wsp:rsidP=&quot;005F030F&quot;&gt;&lt;m:oMathPara&gt;&lt;m:oMath&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k&lt;/m:t&gt;&lt;/m:r&gt;&lt;/m:sub&gt;&lt;/m:sSub&gt;&lt;m:r&gt;&lt;m:rPr&gt;&lt;m:sty m:val=&quot;bi&quot;/&gt;&lt;/m:rP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x&lt;/m:t&gt;&lt;/m:r&gt;&lt;/m:e&gt;&lt;m:sub&gt;&lt;m:r&gt;&lt;m:rPr&gt;&lt;m:sty m:val=&quot;bi&quot;/&gt;&lt;/m:rPr&gt;&lt;w:rPr&gt;&lt;w:rFonts w:ascii=&quot;Cambria Math&quot; w:h-ansi=&quot;Cambria Math&quot;/&gt;&lt;wx:font wx:val=&quot;Cambria Math&quot;/&gt;&lt;w:i/&gt;&lt;/w:rPr&gt;&lt;m:t&gt;k&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3" o:title="" chromakey="white"/>
          </v:shape>
        </w:pict>
      </w:r>
      <w:r w:rsidRPr="004D1B5C">
        <w:fldChar w:fldCharType="end"/>
      </w:r>
      <w:r w:rsidRPr="004D1B5C">
        <w:t xml:space="preserve"> (where </w:t>
      </w:r>
      <w:r w:rsidRPr="004D1B5C">
        <w:fldChar w:fldCharType="begin"/>
      </w:r>
      <w:r w:rsidRPr="004D1B5C">
        <w:instrText xml:space="preserve"> QUOTE </w:instrText>
      </w:r>
      <w:r w:rsidR="00E94C34">
        <w:rPr>
          <w:position w:val="-9"/>
        </w:rPr>
        <w:pict w14:anchorId="492AFD16">
          <v:shape id="_x0000_i1040" type="#_x0000_t75" style="width:65.25pt;height:15.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86DBD&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B86DBD&quot; wsp:rsidRDefault=&quot;00B86DBD&quot; wsp:rsidP=&quot;00B86DBD&quot;&gt;&lt;m:oMathPara&gt;&lt;m:oMath&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i&lt;/m:t&gt;&lt;/m:r&gt;&lt;/m:sub&gt;&lt;/m:sSub&gt;&lt;m:r&gt;&lt;m:rPr&gt;&lt;m:sty m:val=&quot;bi&quot;/&gt;&lt;/m:rPr&gt;&lt;w:rPr&gt;&lt;w:rFonts w:ascii=&quot;Cambria Math&quot; w:h-ansi=&quot;Cambria Math&quot;/&gt;&lt;wx:font wx:val=&quot;Cambria Math&quot;/&gt;&lt;w:i/&gt;&lt;/w:rPr&gt;&lt;m:t&gt;&amp;lt; &lt;/m:t&gt;&lt;/m:r&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k&lt;/m:t&gt;&lt;/m:r&gt;&lt;/m:sub&gt;&lt;/m:sSub&gt;&lt;m:r&gt;&lt;m:rPr&gt;&lt;m:sty m:val=&quot;bi&quot;/&gt;&lt;/m:rPr&gt;&lt;w:rPr&gt;&lt;w:rFonts w:ascii=&quot;Cambria Math&quot; w:h-ansi=&quot;Cambria Math&quot;/&gt;&lt;wx:font wx:val=&quot;Cambria Math&quot;/&gt;&lt;w:i/&gt;&lt;/w:rPr&gt;&lt;m:t&gt;&amp;lt; &lt;/m:t&gt;&lt;/m:r&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4" o:title="" chromakey="white"/>
          </v:shape>
        </w:pict>
      </w:r>
      <w:r w:rsidRPr="004D1B5C">
        <w:instrText xml:space="preserve"> </w:instrText>
      </w:r>
      <w:r w:rsidRPr="004D1B5C">
        <w:fldChar w:fldCharType="separate"/>
      </w:r>
      <w:r w:rsidR="00E94C34">
        <w:rPr>
          <w:position w:val="-9"/>
        </w:rPr>
        <w:pict w14:anchorId="10494E4E">
          <v:shape id="_x0000_i1041" type="#_x0000_t75" style="width:56.2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86DBD&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B86DBD&quot; wsp:rsidRDefault=&quot;00B86DBD&quot; wsp:rsidP=&quot;00B86DBD&quot;&gt;&lt;m:oMathPara&gt;&lt;m:oMath&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i&lt;/m:t&gt;&lt;/m:r&gt;&lt;/m:sub&gt;&lt;/m:sSub&gt;&lt;m:r&gt;&lt;m:rPr&gt;&lt;m:sty m:val=&quot;bi&quot;/&gt;&lt;/m:rPr&gt;&lt;w:rPr&gt;&lt;w:rFonts w:ascii=&quot;Cambria Math&quot; w:h-ansi=&quot;Cambria Math&quot;/&gt;&lt;wx:font wx:val=&quot;Cambria Math&quot;/&gt;&lt;w:i/&gt;&lt;/w:rPr&gt;&lt;m:t&gt;&amp;lt; &lt;/m:t&gt;&lt;/m:r&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k&lt;/m:t&gt;&lt;/m:r&gt;&lt;/m:sub&gt;&lt;/m:sSub&gt;&lt;m:r&gt;&lt;m:rPr&gt;&lt;m:sty m:val=&quot;bi&quot;/&gt;&lt;/m:rPr&gt;&lt;w:rPr&gt;&lt;w:rFonts w:ascii=&quot;Cambria Math&quot; w:h-ansi=&quot;Cambria Math&quot;/&gt;&lt;wx:font wx:val=&quot;Cambria Math&quot;/&gt;&lt;w:i/&gt;&lt;/w:rPr&gt;&lt;m:t&gt;&amp;lt; &lt;/m:t&gt;&lt;/m:r&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4" o:title="" chromakey="white"/>
          </v:shape>
        </w:pict>
      </w:r>
      <w:r w:rsidRPr="004D1B5C">
        <w:fldChar w:fldCharType="end"/>
      </w:r>
      <w:r w:rsidRPr="004D1B5C">
        <w:t>) satisfies the following geometric visibility condition:</w:t>
      </w:r>
    </w:p>
    <w:p w14:paraId="6F818807" w14:textId="72E63E69" w:rsidR="004767C1" w:rsidRDefault="00E94C34" w:rsidP="004767C1">
      <w:pPr>
        <w:pStyle w:val="MainText"/>
        <w:jc w:val="center"/>
        <w:rPr>
          <w:rFonts w:eastAsia="DengXian"/>
          <w:lang w:eastAsia="zh-CN"/>
        </w:rPr>
      </w:pPr>
      <w:r>
        <w:pict w14:anchorId="6D871966">
          <v:shape id="_x0000_i1042" type="#_x0000_t75" style="width:125.25pt;height:2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1CF3&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1F1CF3&quot; wsp:rsidRPr=&quot;001F1CF3&quot; wsp:rsidRDefault=&quot;001F1CF3&quot; wsp:rsidP=&quot;001F1CF3&quot;&gt;&lt;m:oMathPara&gt;&lt;m:oMath&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x&lt;/m:t&gt;&lt;/m:r&gt;&lt;/m:e&gt;&lt;m:sub&gt;&lt;m:r&gt;&lt;m:rPr&gt;&lt;m:sty m:val=&quot;bi&quot;/&gt;&lt;/m:rPr&gt;&lt;w:rPr&gt;&lt;w:rFonts w:ascii=&quot;Cambria Math&quot; w:h-ansi=&quot;Cambria Math&quot;/&gt;&lt;wx:font wx:val=&quot;Cambria Math&quot;/&gt;&lt;w:i/&gt;&lt;/w:rPr&gt;&lt;m:t&gt;k&lt;/m:t&gt;&lt;/m:r&gt;&lt;/m:sub&gt;&lt;/m:sSub&gt;&lt;m:r&gt;&lt;m:rPr&gt;&lt;m:sty m:val=&quot;bi&quot;/&gt;&lt;/m:rPr&gt;&lt;w:rPr&gt;&lt;w:rFonts w:ascii=&quot;Cambria Math&quot; w:h-ansi=&quot;Cambria Math&quot;/&gt;&lt;wx:font wx:val=&quot;Cambria Math&quot;/&gt;&lt;w:i/&gt;&lt;/w:rPr&gt;&lt;m:t&gt;&amp;lt;&lt;/m:t&gt;&lt;/m:r&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x&lt;/m:t&gt;&lt;/m:r&gt;&lt;/m:e&gt;&lt;m:sub&gt;&lt;m:r&gt;&lt;m:rPr&gt;&lt;m:sty m:val=&quot;bi&quot;/&gt;&lt;/m:rPr&gt;&lt;w:rPr&gt;&lt;w:rFonts w:ascii=&quot;Cambria Math&quot; w:h-ansi=&quot;Cambria Math&quot;/&gt;&lt;wx:font wx:val=&quot;Cambria Math&quot;/&gt;&lt;w:i/&gt;&lt;/w:rPr&gt;&lt;m:t&gt;j&lt;/m:t&gt;&lt;/m:r&gt;&lt;/m:sub&gt;&lt;/m:sSub&gt;&lt;m:r&gt;&lt;m:rPr&gt;&lt;m:sty m:val=&quot;bi&quot;/&gt;&lt;/m:rPr&gt;&lt;w:rPr&gt;&lt;w:rFonts w:ascii=&quot;Cambria Math&quot; w:h-ansi=&quot;Cambria Math&quot;/&gt;&lt;wx:font wx:val=&quot;Cambria Math&quot;/&gt;&lt;w:i/&gt;&lt;/w:rPr&gt;&lt;m:t&gt;+&lt;/m:t&gt;&lt;/m:r&gt;&lt;m:d&gt;&lt;m:dPr&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x&lt;/m:t&gt;&lt;/m:r&gt;&lt;/m:e&gt;&lt;m:sub&gt;&lt;m:r&gt;&lt;m:rPr&gt;&lt;m:sty m:val=&quot;bi&quot;/&gt;&lt;/m:rPr&gt;&lt;w:rPr&gt;&lt;w:rFonts w:ascii=&quot;Cambria Math&quot; w:h-ansi=&quot;Cambria Math&quot;/&gt;&lt;wx:font wx:val=&quot;Cambria Math&quot;/&gt;&lt;w:i/&gt;&lt;/w:rPr&gt;&lt;m:t&gt;i&lt;/m:t&gt;&lt;/m:r&gt;&lt;/m:sub&gt;&lt;/m:sSub&gt;&lt;m:r&gt;&lt;m:rPr&gt;&lt;m:sty m:val=&quot;bi&quot;/&gt;&lt;/m:rP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x&lt;/m:t&gt;&lt;/m:r&gt;&lt;/m:e&gt;&lt;m:sub&gt;&lt;m:r&gt;&lt;m:rPr&gt;&lt;m:sty m:val=&quot;bi&quot;/&gt;&lt;/m:rPr&gt;&lt;w:rPr&gt;&lt;w:rFonts w:ascii=&quot;Cambria Math&quot; w:h-ansi=&quot;Cambria Math&quot;/&gt;&lt;wx:font wx:val=&quot;Cambria Math&quot;/&gt;&lt;w:i/&gt;&lt;/w:rPr&gt;&lt;m:t&gt;j&lt;/m:t&gt;&lt;/m:r&gt;&lt;/m:sub&gt;&lt;/m:sSub&gt;&lt;/m:e&gt;&lt;/m:d&gt;&lt;m:f&gt;&lt;m:fPr&gt;&lt;m:ctrlPr&gt;&lt;w:rPr&gt;&lt;w:rFonts w:ascii=&quot;Cambria Math&quot; w:h-ansi=&quot;Cambria Math&quot;/&gt;&lt;wx:font wx:val=&quot;Cambria Math&quot;/&gt;&lt;/w:rPr&gt;&lt;/m:ctrlPr&gt;&lt;/m:fPr&gt;&lt;m:num&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j&lt;/m:t&gt;&lt;/m:r&gt;&lt;/m:sub&gt;&lt;/m:sSub&gt;&lt;m:r&gt;&lt;m:rPr&gt;&lt;m:sty m:val=&quot;bi&quot;/&gt;&lt;/m:rP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k&lt;/m:t&gt;&lt;/m:r&gt;&lt;/m:sub&gt;&lt;/m:sSub&gt;&lt;m:ctrlPr&gt;&lt;w:rPr&gt;&lt;w:rFonts w:ascii=&quot;Cambria Math&quot; w:h-ansi=&quot;Cambria Math&quot;/&gt;&lt;wx:font wx:val=&quot;Cambria Math&quot;/&gt;&lt;w:i/&gt;&lt;/w:rPr&gt;&lt;/m:ctrlPr&gt;&lt;/m:num&gt;&lt;m:den&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j&lt;/m:t&gt;&lt;/m:r&gt;&lt;/m:sub&gt;&lt;/m:sSub&gt;&lt;m:r&gt;&lt;m:rPr&gt;&lt;m:sty m:val=&quot;bi&quot;/&gt;&lt;/m:rP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m:rPr&gt;&lt;m:sty m:val=&quot;bi&quot;/&gt;&lt;/m:rPr&gt;&lt;w:rPr&gt;&lt;w:rFonts w:ascii=&quot;Cambria Math&quot; w:h-ansi=&quot;Cambria Math&quot;/&gt;&lt;wx:font wx:val=&quot;Cambria Math&quot;/&gt;&lt;w:i/&gt;&lt;/w:rPr&gt;&lt;m:t&gt;t&lt;/m:t&gt;&lt;/m:r&gt;&lt;/m:e&gt;&lt;m:sub&gt;&lt;m:r&gt;&lt;m:rPr&gt;&lt;m:sty m:val=&quot;bi&quot;/&gt;&lt;/m:rPr&gt;&lt;w:rPr&gt;&lt;w:rFonts w:ascii=&quot;Cambria Math&quot; w:h-ansi=&quot;Cambria Math&quot;/&gt;&lt;wx:font wx:val=&quot;Cambria Math&quot;/&gt;&lt;w:i/&gt;&lt;/w:rPr&gt;&lt;m:t&gt;i&lt;/m:t&gt;&lt;/m:r&gt;&lt;/m:sub&gt;&lt;/m:sSub&gt;&lt;m:ctrlPr&gt;&lt;w:rPr&gt;&lt;w:rFonts w:ascii=&quot;Cambria Math&quot; w:h-ansi=&quot;Cambria Math&quot;/&gt;&lt;wx:font wx:val=&quot;Cambria Math&quot;/&gt;&lt;w:i/&gt;&lt;/w:rPr&gt;&lt;/m:ctrlPr&gt;&lt;/m:den&gt;&lt;/m:f&gt;&lt;m:d&gt;&lt;m:dPr&gt;&lt;m:ctrlPr&gt;&lt;w:rPr&gt;&lt;w:rFonts w:ascii=&quot;Cambria Math&quot; w:h-ansi=&quot;Cambria Math&quot;/&gt;&lt;wx:font wx:val=&quot;Cambria Math&quot;/&gt;&lt;w:i/&gt;&lt;/w:rPr&gt;&lt;/m:ctrlPr&gt;&lt;/m:dPr&gt;&lt;m:e&gt;&lt;m:r&gt;&lt;m:rPr&gt;&lt;m:sty m:val=&quot;bi&quot;/&gt;&lt;/m:rPr&gt;&lt;w:rPr&gt;&lt;w:rFonts w:ascii=&quot;Cambria Math&quot; w:h-ansi=&quot;Cambria Math&quot;/&gt;&lt;wx:font wx:val=&quot;Cambria Math&quot;/&gt;&lt;w:i/&gt;&lt;/w:rPr&gt;&lt;m:t&gt;2&lt;/m:t&gt;&lt;/m:r&gt;&lt;/m:e&gt;&lt;/m:d&gt;&lt;/m:oMath&gt;&lt;/m:oMathPara&gt;&lt;/w:p&gt;&lt;w:sectPr wsp:rsidR=&quot;00000000&quot; wsp:rsidRPr=&quot;001F1CF3&quot;&gt;&lt;w:pgSz w:w=&quot;12240&quot; w:h=&quot;15840&quot;/&gt;&lt;w:pgMar w:top=&quot;1440&quot; w:right=&quot;1440&quot; w:bottom=&quot;1440&quot; w:left=&quot;1440&quot; w:header=&quot;720&quot; w:footer=&quot;720&quot; w:gutter=&quot;0&quot;/&gt;&lt;w:cols w:space=&quot;720&quot;/&gt;&lt;/w:sectPr&gt;&lt;/wx:sect&gt;&lt;/w:body&gt;&lt;/w:wordDocument&gt;">
            <v:imagedata r:id="rId25" o:title="" chromakey="white"/>
          </v:shape>
        </w:pict>
      </w:r>
    </w:p>
    <w:p w14:paraId="199E550C" w14:textId="77777777" w:rsidR="004767C1" w:rsidRDefault="004767C1" w:rsidP="004767C1">
      <w:pPr>
        <w:pStyle w:val="MainText"/>
        <w:rPr>
          <w:rFonts w:eastAsia="DengXian"/>
          <w:lang w:eastAsia="zh-CN"/>
        </w:rPr>
      </w:pPr>
      <w:r w:rsidRPr="004D1B5C">
        <w:t>This mapping preserves key dynamical features of the original signal, including periodicity, fractality, and causality. To capture the temporal direction of evolution, we construct directed edges pointing from earlier to later times, represented by the adjacency matrix:</w:t>
      </w:r>
    </w:p>
    <w:p w14:paraId="6A83DDAD" w14:textId="4E4B9056" w:rsidR="0081763A" w:rsidRDefault="00E94C34" w:rsidP="004D1B5C">
      <w:pPr>
        <w:pStyle w:val="MainText"/>
        <w:jc w:val="center"/>
        <w:rPr>
          <w:rFonts w:eastAsia="DengXian"/>
          <w:lang w:eastAsia="zh-CN"/>
        </w:rPr>
      </w:pPr>
      <w:r>
        <w:pict w14:anchorId="6E268F3E">
          <v:shape id="_x0000_i1043" type="#_x0000_t75" style="width:130.5pt;height:20.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12CF3&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412CF3&quot; wsp:rsidRPr=&quot;00412CF3&quot; wsp:rsidRDefault=&quot;00412CF3&quot; wsp:rsidP=&quot;00412CF3&quot;&gt;&lt;m:oMathPara&gt;&lt;m:oMath&gt;&lt;m:d&gt;&lt;m:dPr&gt;&lt;m:begChr m:val=&quot;&quot;/&gt;&lt;m:endChr m:val=&quot;&quot;/&gt;&lt;m:ctrlPr&gt;&lt;w:rPr&gt;&lt;w:rFonts w:ascii=&quot;Cambria Math&quot; w:h-ansi=&quot;Cambria Math&quot;/&gt;&lt;wx:font wx:val=&quot;Cambria Math&quot;/&gt;&lt;/w:rPr&gt;&lt;/m:ctrlPr&gt;&lt;/m:dPr&gt;&lt;m:e&gt;&lt;m:sSubSup&gt;&lt;m:sSubSupPr&gt;&lt;m:ctrlPr&gt;&lt;w:rPr&gt;&lt;w:rFonts w:ascii=&quot;Cambria Math&quot; w:h-ansi=&quot;Cambria Math&quot;/&gt;&lt;wx:font wx:val=&quot;Cambria Math&quot;/&gt;&lt;/w:rPr&gt;&lt;/m:ctrlPr&gt;&lt;/m:sSubSupPr&gt;&lt;m:e&gt;&lt;m:r&gt;&lt;m:rPr&gt;&lt;m:sty m:val=&quot;bi&quot;/&gt;&lt;/m:rPr&gt;&lt;w:rPr&gt;&lt;w:rFonts w:ascii=&quot;Cambria Math&quot; w:h-ansi=&quot;Cambria Math&quot;/&gt;&lt;wx:font wx:val=&quot;Cambria Math&quot;/&gt;&lt;w:i/&gt;&lt;/w:rPr&gt;&lt;m:t&gt;A&lt;/m:t&gt;&lt;/m:r&gt;&lt;/m:e&gt;&lt;m:sub&gt;&lt;m:r&gt;&lt;m:rPr&gt;&lt;m:sty m:val=&quot;bi&quot;/&gt;&lt;/m:rPr&gt;&lt;w:rPr&gt;&lt;w:rFonts w:ascii=&quot;Cambria Math&quot; w:h-ansi=&quot;Cambria Math&quot;/&gt;&lt;wx:font wx:val=&quot;Cambria Math&quot;/&gt;&lt;w:i/&gt;&lt;/w:rPr&gt;&lt;m:t&gt;ij&lt;/m:t&gt;&lt;/m:r&gt;&lt;/m:sub&gt;&lt;m:sup&gt;&lt;m:d&gt;&lt;m:dPr&gt;&lt;m:begChr m:val=&quot;[&quot;/&gt;&lt;m:endChr m:val=&quot;]&quot;/&gt;&lt;m:ctrlPr&gt;&lt;w:rPr&gt;&lt;w:rFonts w:ascii=&quot;Cambria Math&quot; w:h-ansi=&quot;Cambria Math&quot;/&gt;&lt;wx:font wx:val=&quot;Cambria Math&quot;/&gt;&lt;w:i/&gt;&lt;/w:rPr&gt;&lt;/m:ctrlPr&gt;&lt;/m:dPr&gt;&lt;m:e&gt;&lt;m:r&gt;&lt;m:rPr&gt;&lt;m:sty m:val=&quot;bi&quot;/&gt;&lt;/m:rPr&gt;&lt;w:rPr&gt;&lt;w:rFonts w:ascii=&quot;Cambria Math&quot; w:h-ansi=&quot;Cambria Math&quot;/&gt;&lt;wx:font wx:val=&quot;Cambria Math&quot;/&gt;&lt;w:i/&gt;&lt;/w:rPr&gt;&lt;m:t&gt;m&lt;/m:t&gt;&lt;/m:r&gt;&lt;/m:e&gt;&lt;/m:d&gt;&lt;/m:sup&gt;&lt;/m:sSubSup&gt;&lt;m:r&gt;&lt;m:rPr&gt;&lt;m:sty m:val=&quot;bi&quot;/&gt;&lt;/m:rPr&gt;&lt;w:rPr&gt;&lt;w:rFonts w:ascii=&quot;Cambria Math&quot; w:h-ansi=&quot;Cambria Math&quot;/&gt;&lt;wx:font wx:val=&quot;Cambria Math&quot;/&gt;&lt;w:i/&gt;&lt;/w:rPr&gt;&lt;m:t&gt;=&lt;/m:t&gt;&lt;/m:r&gt;&lt;m:d&gt;&lt;m:dPr&gt;&lt;m:begChr m:val=&quot;{&quot;/&gt;&lt;m:endChr m:val=&quot;&quot;/&gt;&lt;m:ctrlPr&gt;&lt;w:rPr&gt;&lt;w:rFonts w:ascii=&quot;Cambria Math&quot; w:h-ansi=&quot;Cambria Math&quot;/&gt;&lt;wx:font wx:val=&quot;Cambria Math&quot;/&gt;&lt;/w:rPr&gt;&lt;/m:ctrlPr&gt;&lt;/m:dPr&gt;&lt;m:e&gt;&lt;m:eqArr&gt;&lt;m:eqArrPr&gt;&lt;m:ctrlPr&gt;&lt;w:rPr&gt;&lt;w:rFonts w:ascii=&quot;Cambria Math&quot; w:h-ansi=&quot;Cambria Math&quot;/&gt;&lt;wx:font wx:val=&quot;Cambria Math&quot;/&gt;&lt;/w:rPr&gt;&lt;/m:ctrlPr&gt;&lt;/m:eqArrPr&gt;&lt;m:e&gt;&lt;m:r&gt;&lt;m:rPr&gt;&lt;m:sty m:val=&quot;bi&quot;/&gt;&lt;/m:rPr&gt;&lt;w:rPr&gt;&lt;w:rFonts w:ascii=&quot;Cambria Math&quot; w:h-ansi=&quot;Cambria Math&quot;/&gt;&lt;wx:font wx:val=&quot;Cambria Math&quot;/&gt;&lt;w:i/&gt;&lt;/w:rPr&gt;&lt;m:t&gt;&amp;amp;1 &lt;/m:t&gt;&lt;/m:r&gt;&lt;m:r&gt;&lt;m:rPr&gt;&lt;m:sty m:val=&quot;b&quot;/&gt;&lt;/m:rPr&gt;&lt;w:rPr&gt;&lt;w:rFonts w:ascii=&quot;Cambria Math&quot; w:h-ansi=&quot;Cambria Math&quot;/&gt;&lt;wx:font wx:val=&quot;Cambria Math&quot;/&gt;&lt;/w:rPr&gt;&lt;m:t&gt;if &lt;/m:t&gt;&lt;/m:r&gt;&lt;m:r&gt;&lt;m:rPr&gt;&lt;m:sty m:val=&quot;bi&quot;/&gt;&lt;/m:rPr&gt;&lt;w:rPr&gt;&lt;w:rFonts w:ascii=&quot;Cambria Math&quot; w:h-ansi=&quot;Cambria Math&quot;/&gt;&lt;wx:font wx:val=&quot;Cambria Math&quot;/&gt;&lt;w:i/&gt;&lt;/w:rPr&gt;&lt;m:t&gt;iâ†’j&lt;/m:t&gt;&lt;/m:r&gt;&lt;m:r&gt;&lt;m:rPr&gt;&lt;m:nor/&gt;&lt;/m:rPr&gt;&lt;m:t&gt; in &lt;/m:t&gt;&lt;/m:r&gt;&lt;m:r&gt;&lt;m:rPr&gt;&lt;m:nor/&gt;&lt;/m:rPr&gt;&lt;w:rPr&gt;&lt;w:rFonts w:ascii=&quot;Cambria Math&quot; w:hint=&quot;fareast&quot;/&gt;&lt;wx:font wx:val=&quot;Cambria Math&quot;/&gt;&lt;/w:rPr&gt;&lt;m:t&gt;mode&lt;/m:t&gt;&lt;/m:r&gt;&lt;m:r&gt;&lt;m:rPr&gt;&lt;m:nor/&gt;&lt;/m:rPr&gt;&lt;m:t&gt; &lt;/m:t&gt;&lt;/m:r&gt;&lt;m:r&gt;&lt;m:rPr&gt;&lt;m:sty m:val=&quot;bi&quot;/&gt;&lt;/m:rPr&gt;&lt;w:rPr&gt;&lt;w:rFonts w:ascii=&quot;Cambria Math&quot; w:h-ansi=&quot;Cambria Math&quot;/&gt;&lt;wx:font wx:val=&quot;Cambria Math&quot;/&gt;&lt;w:i/&gt;&lt;/w:rPr&gt;&lt;m:t&gt;m&lt;/m:t&gt;&lt;/m:r&gt;&lt;/m:e&gt;&lt;m:e&gt;&lt;m:r&gt;&lt;m:rPr&gt;&lt;m:sty m:val=&quot;bi&quot;/&gt;&lt;/m:rPr&gt;&lt;w:rPr&gt;&lt;w:rFonts w:ascii=&quot;Cambria Math&quot; w:h-ansi=&quot;Cambria Math&quot;/&gt;&lt;wx:font wx:val=&quot;Cambria Math&quot;/&gt;&lt;w:i/&gt;&lt;/w:rPr&gt;&lt;m:t&gt;&amp;amp;0 &lt;/m:t&gt;&lt;/m:r&gt;&lt;m:r&gt;&lt;m:rPr&gt;&lt;m:sty m:val=&quot;b&quot;/&gt;&lt;/m:rPr&gt;&lt;w:rPr&gt;&lt;w:rFonts w:ascii=&quot;Cambria Math&quot; w:h-ansi=&quot;Cambria Math&quot;/&gt;&lt;wx:font wx:val=&quot;Cambria Math&quot;/&gt;&lt;/w:rPr&gt;&lt;m:t&gt;otherwise&lt;/m:t&gt;&lt;/m:r&gt;&lt;/m:e&gt;&lt;/m:eqArr&gt;&lt;/m:e&gt;&lt;/m:d&gt;&lt;/m:e&gt;&lt;/m:d&gt;&lt;m:d&gt;&lt;m:dPr&gt;&lt;m:ctrlPr&gt;&lt;w:rPr&gt;&lt;w:rFonts w:ascii=&quot;Cambria Math&quot; w:h-ansi=&quot;Cambria Math&quot;/&gt;&lt;wx:font wx:val=&quot;Cambria Math&quot;/&gt;&lt;w:i/&gt;&lt;/w:rPr&gt;&lt;/m:ctrlPr&gt;&lt;/m:dPr&gt;&lt;m:e&gt;&lt;m:r&gt;&lt;m:rPr&gt;&lt;m:sty m:val=&quot;bi&quot;/&gt;&lt;/m:rPr&gt;&lt;w:rPr&gt;&lt;w:rFonts w:ascii=&quot;Cambria Math&quot; w:h-ansi=&quot;Cambria Math&quot;/&gt;&lt;wx:font wx:val=&quot;Cambria Math&quot;/&gt;&lt;w:i/&gt;&lt;/w:rPr&gt;&lt;m:t&gt;3&lt;/m:t&gt;&lt;/m:r&gt;&lt;/m:e&gt;&lt;/m:d&gt;&lt;/m:oMath&gt;&lt;/m:oMathPara&gt;&lt;/w:p&gt;&lt;w:sectPr wsp:rsidR=&quot;00000000&quot; wsp:rsidRPr=&quot;00412CF3&quot;&gt;&lt;w:pgSz w:w=&quot;12240&quot; w:h=&quot;15840&quot;/&gt;&lt;w:pgMar w:top=&quot;1440&quot; w:right=&quot;1440&quot; w:bottom=&quot;1440&quot; w:left=&quot;1440&quot; w:header=&quot;720&quot; w:footer=&quot;720&quot; w:gutter=&quot;0&quot;/&gt;&lt;w:cols w:space=&quot;720&quot;/&gt;&lt;/w:sectPr&gt;&lt;/wx:sect&gt;&lt;/w:body&gt;&lt;/w:wordDocument&gt;">
            <v:imagedata r:id="rId26" o:title="" chromakey="white"/>
          </v:shape>
        </w:pict>
      </w:r>
    </w:p>
    <w:p w14:paraId="4C3F6CD9" w14:textId="77777777" w:rsidR="001D19AB" w:rsidRDefault="001D19AB" w:rsidP="004767C1">
      <w:pPr>
        <w:pStyle w:val="PlainText"/>
        <w:rPr>
          <w:rFonts w:eastAsia="DengXian"/>
          <w:b/>
          <w:sz w:val="20"/>
          <w:lang w:eastAsia="zh-CN"/>
        </w:rPr>
      </w:pPr>
    </w:p>
    <w:p w14:paraId="46CF5EC5" w14:textId="7E20D2AF" w:rsidR="004767C1" w:rsidRPr="004D1B5C" w:rsidRDefault="004767C1" w:rsidP="004767C1">
      <w:pPr>
        <w:pStyle w:val="PlainText"/>
        <w:rPr>
          <w:rFonts w:eastAsia="DengXian"/>
          <w:b/>
          <w:sz w:val="20"/>
          <w:lang w:eastAsia="zh-CN"/>
        </w:rPr>
      </w:pPr>
      <w:r w:rsidRPr="004D1B5C">
        <w:rPr>
          <w:rFonts w:eastAsia="DengXian"/>
          <w:b/>
          <w:sz w:val="20"/>
          <w:lang w:eastAsia="zh-CN"/>
        </w:rPr>
        <w:t>3.2.2 Degree Distribution Analysis</w:t>
      </w:r>
    </w:p>
    <w:p w14:paraId="4892E7B1" w14:textId="5EB13DAA" w:rsidR="004767C1" w:rsidRDefault="004767C1" w:rsidP="004767C1">
      <w:pPr>
        <w:pStyle w:val="MainText"/>
        <w:rPr>
          <w:rFonts w:eastAsia="DengXian"/>
          <w:lang w:eastAsia="zh-CN"/>
        </w:rPr>
      </w:pPr>
      <w:r w:rsidRPr="004D1B5C">
        <w:t>For each node, we calculate its in-degree and out-degree in each mode:</w:t>
      </w:r>
    </w:p>
    <w:p w14:paraId="6B91A3C6" w14:textId="2B4E2FA3" w:rsidR="004767C1" w:rsidRDefault="00E94C34" w:rsidP="004767C1">
      <w:pPr>
        <w:pStyle w:val="MainText"/>
        <w:jc w:val="center"/>
        <w:rPr>
          <w:rFonts w:eastAsia="DengXian"/>
          <w:lang w:eastAsia="zh-CN"/>
        </w:rPr>
      </w:pPr>
      <w:r>
        <w:pict w14:anchorId="2FF27D92">
          <v:shape id="_x0000_i1045" type="#_x0000_t75" style="width:159.75pt;height:2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C69DB&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4C69DB&quot; wsp:rsidRPr=&quot;004C69DB&quot; wsp:rsidRDefault=&quot;004C69DB&quot; wsp:rsidP=&quot;004C69DB&quot;&gt;&lt;m:oMathPara&gt;&lt;m:oMath&gt;&lt;m:sSubSup&gt;&lt;m:sSubSupPr&gt;&lt;m:ctrlPr&gt;&lt;w:rPr&gt;&lt;w:rFonts w:ascii=&quot;Cambria Math&quot; w:h-ansi=&quot;Cambria Math&quot;/&gt;&lt;wx:font wx:val=&quot;Cambria Math&quot;/&gt;&lt;w:i/&gt;&lt;/w:rPr&gt;&lt;/m:ctrlPr&gt;&lt;/m:sSubSupPr&gt;&lt;m:e&gt;&lt;m:r&gt;&lt;m:rPr&gt;&lt;m:sty m:val=&quot;bi&quot;/&gt;&lt;/m:rPr&gt;&lt;w:rPr&gt;&lt;w:rFonts w:ascii=&quot;Cambria Math&quot; w:h-ansi=&quot;Cambria Math&quot;/&gt;&lt;wx:font wx:val=&quot;Cambria Math&quot;/&gt;&lt;w:i/&gt;&lt;/w:rPr&gt;&lt;m:t&gt;d&lt;/m:t&gt;&lt;/m:r&gt;&lt;/m:e&gt;&lt;m:sub&gt;&lt;m:r&gt;&lt;m:rPr&gt;&lt;m:sty m:val=&quot;bi&quot;/&gt;&lt;/m:rPr&gt;&lt;w:rPr&gt;&lt;w:rFonts w:ascii=&quot;Cambria Math&quot; w:h-ansi=&quot;Cambria Math&quot;/&gt;&lt;wx:font wx:val=&quot;Cambria Math&quot;/&gt;&lt;w:i/&gt;&lt;/w:rPr&gt;&lt;m:t&gt;i&lt;/m:t&gt;&lt;/m:r&gt;&lt;/m:sub&gt;&lt;m:sup&gt;&lt;m:d&gt;&lt;m:dPr&gt;&lt;m:begChr m:val=&quot;[&quot;/&gt;&lt;m:endChr m:val=&quot;]&quot;/&gt;&lt;m:ctrlPr&gt;&lt;w:rPr&gt;&lt;w:rFonts w:ascii=&quot;Cambria Math&quot; w:h-ansi=&quot;Cambria Math&quot;/&gt;&lt;wx:font wx:val=&quot;Cambria Math&quot;/&gt;&lt;w:i/&gt;&lt;/w:rPr&gt;&lt;/m:ctrlPr&gt;&lt;/m:dPr&gt;&lt;m:e&gt;&lt;m:r&gt;&lt;m:rPr&gt;&lt;m:sty m:val=&quot;bi&quot;/&gt;&lt;/m:rPr&gt;&lt;w:rPr&gt;&lt;w:rFonts w:ascii=&quot;Cambria Math&quot; w:h-ansi=&quot;Cambria Math&quot;/&gt;&lt;wx:font wx:val=&quot;Cambria Math&quot;/&gt;&lt;w:i/&gt;&lt;/w:rPr&gt;&lt;m:t&gt;m&lt;/m:t&gt;&lt;/m:r&gt;&lt;/m:e&gt;&lt;/m:d&gt;&lt;m:r&gt;&lt;m:rPr&gt;&lt;m:sty m:val=&quot;bi&quot;/&gt;&lt;/m:rPr&gt;&lt;w:rPr&gt;&lt;w:rFonts w:ascii=&quot;Cambria Math&quot; w:h-ansi=&quot;Cambria Math&quot;/&gt;&lt;wx:font wx:val=&quot;Cambria Math&quot;/&gt;&lt;w:i/&gt;&lt;/w:rPr&gt;&lt;m:t&gt;,in&lt;/m:t&gt;&lt;/m:r&gt;&lt;/m:sup&gt;&lt;/m:sSubSup&gt;&lt;m:r&gt;&lt;m:rPr&gt;&lt;m:sty m:val=&quot;bi&quot;/&gt;&lt;/m:rPr&gt;&lt;w:rPr&gt;&lt;w:rFonts w:ascii=&quot;Cambria Math&quot; w:h-ansi=&quot;Cambria Math&quot;/&gt;&lt;wx:font wx:val=&quot;Cambria Math&quot;/&gt;&lt;w:i/&gt;&lt;/w:rPr&gt;&lt;m:t&gt;=&lt;/m:t&gt;&lt;/m:r&gt;&lt;m:nary&gt;&lt;m:naryPr&gt;&lt;m:chr m:val=&quot;âˆ‘&quot;/&gt;&lt;m:supHide m:val=&quot;1&quot;/&gt;&lt;m:ctrlPr&gt;&lt;w:rPr&gt;&lt;w:rFonts w:ascii=&quot;Cambria Math&quot; w:h-ansi=&quot;Cambria Math&quot;/&gt;&lt;wx:font wx:val=&quot;Cambria Math&quot;/&gt;&lt;/w:rPr&gt;&lt;/m:ctrlPr&gt;&lt;/m:naryPr&gt;&lt;m:sub&gt;&lt;m:r&gt;&lt;m:rPr&gt;&lt;m:sty m:val=&quot;bi&quot;/&gt;&lt;/m:rPr&gt;&lt;w:rPr&gt;&lt;w:rFonts w:ascii=&quot;Cambria Math&quot; w:h-ansi=&quot;Cambria Math&quot;/&gt;&lt;wx:font wx:val=&quot;Cambria Math&quot;/&gt;&lt;w:i/&gt;&lt;/w:rPr&gt;&lt;m:t&gt;j&lt;/m:t&gt;&lt;/m:r&gt;&lt;m:ctrlPr&gt;&lt;w:rPr&gt;&lt;w:rFonts w:ascii=&quot;Cambria Math&quot; w:h-ansi=&quot;Cambria Math&quot;/&gt;&lt;wx:font wx:val=&quot;Cambria Math&quot;/&gt;&lt;w:i/&gt;&lt;/w:rPr&gt;&lt;/m:ctrlPr&gt;&lt;/m:sub&gt;&lt;m:sup&gt;&lt;m:ctrlPr&gt;&lt;w:rPr&gt;&lt;w:rFonts w:ascii=&quot;Cambria Math&quot; w:h-ansi=&quot;Cambria Math&quot;/&gt;&lt;wx:font wx:val=&quot;Cambria Math&quot;/&gt;&lt;w:i/&gt;&lt;/w:rPr&gt;&lt;/m:ctrlPr&gt;&lt;/m:sup&gt;&lt;m:e&gt;&lt;m:sSubSup&gt;&lt;m:sSubSupPr&gt;&lt;m:ctrlPr&gt;&lt;w:rPr&gt;&lt;w:rFonts w:ascii=&quot;Cambria Math&quot; w:h-ansi=&quot;Cambria Math&quot;/&gt;&lt;wx:font wx:val=&quot;Cambria Math&quot;/&gt;&lt;w:i/&gt;&lt;/w:rPr&gt;&lt;/m:ctrlPr&gt;&lt;/m:sSubSupPr&gt;&lt;m:e&gt;&lt;m:r&gt;&lt;m:rPr&gt;&lt;m:sty m:val=&quot;bi&quot;/&gt;&lt;/m:rPr&gt;&lt;w:rPr&gt;&lt;w:rFonts w:ascii=&quot;Cambria Math&quot; w:h-ansi=&quot;Cambria Math&quot;/&gt;&lt;wx:font wx:val=&quot;Cambria Math&quot;/&gt;&lt;w:i/&gt;&lt;/w:rPr&gt;&lt;m:t&gt;A&lt;/m:t&gt;&lt;/m:r&gt;&lt;/m:e&gt;&lt;m:sub&gt;&lt;m:r&gt;&lt;m:rPr&gt;&lt;m:sty m:val=&quot;bi&quot;/&gt;&lt;/m:rPr&gt;&lt;w:rPr&gt;&lt;w:rFonts w:ascii=&quot;Cambria Math&quot; w:h-ansi=&quot;Cambria Math&quot;/&gt;&lt;wx:font wx:val=&quot;Cambria Math&quot;/&gt;&lt;w:i/&gt;&lt;/w:rPr&gt;&lt;m:t&gt;ji&lt;/m:t&gt;&lt;/m:r&gt;&lt;/m:sub&gt;&lt;m:sup&gt;&lt;m:d&gt;&lt;m:dPr&gt;&lt;m:begChr m:val=&quot;[&quot;/&gt;&lt;m:endChr m:val=&quot;]&quot;/&gt;&lt;m:ctrlPr&gt;&lt;w:rPr&gt;&lt;w:rFonts w:ascii=&quot;Cambria Math&quot; w:h-ansi=&quot;Cambria Math&quot;/&gt;&lt;wx:font wx:val=&quot;Cambria Math&quot;/&gt;&lt;w:i/&gt;&lt;/w:rPr&gt;&lt;/m:ctrlPr&gt;&lt;/m:dPr&gt;&lt;m:e&gt;&lt;m:r&gt;&lt;m:rPr&gt;&lt;m:sty m:val=&quot;bi&quot;/&gt;&lt;/m:rPr&gt;&lt;w:rPr&gt;&lt;w:rFonts w:ascii=&quot;Cambria Math&quot; w:h-ansi=&quot;Cambria Math&quot;/&gt;&lt;wx:font wx:val=&quot;Cambria Math&quot;/&gt;&lt;w:i/&gt;&lt;/w:rPr&gt;&lt;m:t&gt;m&lt;/m:t&gt;&lt;/m:r&gt;&lt;/m:e&gt;&lt;/m:d&gt;&lt;/m:sup&gt;&lt;/m:sSubSup&gt;&lt;m:ctrlPr&gt;&lt;w:rPr&gt;&lt;w:rFonts w:ascii=&quot;Cambria Math&quot; w:h-ansi=&quot;Cambria Math&quot;/&gt;&lt;wx:font wx:val=&quot;Cambria Math&quot;/&gt;&lt;w:i/&gt;&lt;/w:rPr&gt;&lt;/m:ctrlPr&gt;&lt;/m:e&gt;&lt;/m:nary&gt;&lt;m:r&gt;&lt;m:rPr&gt;&lt;m:sty m:val=&quot;bi&quot;/&gt;&lt;/m:rPr&gt;&lt;w:rPr&gt;&lt;w:rFonts w:ascii=&quot;Cambria Math&quot; w:h-ansi=&quot;Cambria Math&quot;/&gt;&lt;wx:font wx:val=&quot;Cambria Math&quot;/&gt;&lt;w:i/&gt;&lt;/w:rPr&gt;&lt;m:t&gt;,&lt;/m:t&gt;&lt;/m:r&gt;&lt;m:r&gt;&lt;m:rPr&gt;&lt;m:sty m:val=&quot;b&quot;/&gt;&lt;/m:rPr&gt;&lt;w:rPr&gt;&lt;w:rFonts w:ascii=&quot;Cambria Math&quot; w:h-ansi=&quot;Cambria Math&quot;/&gt;&lt;wx:font wx:val=&quot;Cambria Math&quot;/&gt;&lt;/w:rPr&gt;&lt;m:t&gt;â€ƒ&lt;/m:t&gt;&lt;/m:r&gt;&lt;m:sSubSup&gt;&lt;m:sSubSupPr&gt;&lt;m:ctrlPr&gt;&lt;w:rPr&gt;&lt;w:rFonts w:ascii=&quot;Cambria Math&quot; w:h-ansi=&quot;Cambria Math&quot;/&gt;&lt;wx:font wx:val=&quot;Cambria Math&quot;/&gt;&lt;w:i/&gt;&lt;/w:rPr&gt;&lt;/m:ctrlPr&gt;&lt;/m:sSubSupPr&gt;&lt;m:e&gt;&lt;m:r&gt;&lt;m:rPr&gt;&lt;m:sty m:val=&quot;bi&quot;/&gt;&lt;/m:rPr&gt;&lt;w:rPr&gt;&lt;w:rFonts w:ascii=&quot;Cambria Math&quot; w:h-ansi=&quot;Cambria Math&quot;/&gt;&lt;wx:font wx:val=&quot;Cambria Math&quot;/&gt;&lt;w:i/&gt;&lt;/w:rPr&gt;&lt;m:t&gt;d&lt;/m:t&gt;&lt;/m:r&gt;&lt;m:ctrlPr&gt;&lt;w:rPr&gt;&lt;w:rFonts w:ascii=&quot;Cambria Math&quot; w:h-ansi=&quot;Cambria Math&quot;/&gt;&lt;wx:font wx:val=&quot;Cambria Math&quot;/&gt;&lt;/w:rPr&gt;&lt;/m:ctrlPr&gt;&lt;/m:e&gt;&lt;m:sub&gt;&lt;m:r&gt;&lt;m:rPr&gt;&lt;m:sty m:val=&quot;bi&quot;/&gt;&lt;/m:rPr&gt;&lt;w:rPr&gt;&lt;w:rFonts w:ascii=&quot;Cambria Math&quot; w:h-ansi=&quot;Cambria Math&quot;/&gt;&lt;wx:font wx:val=&quot;Cambria Math&quot;/&gt;&lt;w:i/&gt;&lt;/w:rPr&gt;&lt;m:t&gt;i&lt;/m:t&gt;&lt;/m:r&gt;&lt;/m:sub&gt;&lt;m:sup&gt;&lt;m:d&gt;&lt;m:dPr&gt;&lt;m:begChr m:val=&quot;[&quot;/&gt;&lt;m:endChr m:val=&quot;]&quot;/&gt;&lt;m:ctrlPr&gt;&lt;w:rPr&gt;&lt;w:rFonts w:ascii=&quot;Cambria Math&quot; w:h-ansi=&quot;Cambria Math&quot;/&gt;&lt;wx:font wx:val=&quot;Cambria Math&quot;/&gt;&lt;w:i/&gt;&lt;/w:rPr&gt;&lt;/m:ctrlPr&gt;&lt;/m:dPr&gt;&lt;m:e&gt;&lt;m:r&gt;&lt;m:rPr&gt;&lt;m:sty m:val=&quot;bi&quot;/&gt;&lt;/m:rPr&gt;&lt;w:rPr&gt;&lt;w:rFonts w:ascii=&quot;Cambria Math&quot; w:h-ansi=&quot;Cambria Math&quot;/&gt;&lt;wx:font wx:val=&quot;Cambria Math&quot;/&gt;&lt;w:i/&gt;&lt;/w:rPr&gt;&lt;m:t&gt;m&lt;/m:t&gt;&lt;/m:r&gt;&lt;/m:e&gt;&lt;/m:d&gt;&lt;m:r&gt;&lt;m:rPr&gt;&lt;m:sty m:val=&quot;bi&quot;/&gt;&lt;/m:rPr&gt;&lt;w:rPr&gt;&lt;w:rFonts w:ascii=&quot;Cambria Math&quot; w:h-ansi=&quot;Cambria Math&quot;/&gt;&lt;wx:font wx:val=&quot;Cambria Math&quot;/&gt;&lt;w:i/&gt;&lt;/w:rPr&gt;&lt;m:t&gt;,out&lt;/m:t&gt;&lt;/m:r&gt;&lt;/m:sup&gt;&lt;/m:sSubSup&gt;&lt;m:r&gt;&lt;m:rPr&gt;&lt;m:sty m:val=&quot;bi&quot;/&gt;&lt;/m:rPr&gt;&lt;w:rPr&gt;&lt;w:rFonts w:ascii=&quot;Cambria Math&quot; w:h-ansi=&quot;Cambria Math&quot;/&gt;&lt;wx:font wx:val=&quot;Cambria Math&quot;/&gt;&lt;w:i/&gt;&lt;/w:rPr&gt;&lt;m:t&gt;=&lt;/m:t&gt;&lt;/m:r&gt;&lt;m:nary&gt;&lt;m:naryPr&gt;&lt;m:chr m:val=&quot;âˆ‘&quot;/&gt;&lt;m:supHide m:val=&quot;1&quot;/&gt;&lt;m:ctrlPr&gt;&lt;w:rPr&gt;&lt;w:rFonts w:ascii=&quot;Cambria Math&quot; w:h-ansi=&quot;Cambria Math&quot;/&gt;&lt;wx:font wx:val=&quot;Cambria Math&quot;/&gt;&lt;/w:rPr&gt;&lt;/m:ctrlPr&gt;&lt;/m:naryPr&gt;&lt;m:sub&gt;&lt;m:r&gt;&lt;m:rPr&gt;&lt;m:sty m:val=&quot;bi&quot;/&gt;&lt;/m:rPr&gt;&lt;w:rPr&gt;&lt;w:rFonts w:ascii=&quot;Cambria Math&quot; w:h-ansi=&quot;Cambria Math&quot;/&gt;&lt;wx:font wx:val=&quot;Cambria Math&quot;/&gt;&lt;w:i/&gt;&lt;/w:rPr&gt;&lt;m:t&gt;j&lt;/m:t&gt;&lt;/m:r&gt;&lt;m:ctrlPr&gt;&lt;w:rPr&gt;&lt;w:rFonts w:ascii=&quot;Cambria Math&quot; w:h-ansi=&quot;Cambria Math&quot;/&gt;&lt;wx:font wx:val=&quot;Cambria Math&quot;/&gt;&lt;w:i/&gt;&lt;/w:rPr&gt;&lt;/m:ctrlPr&gt;&lt;/m:sub&gt;&lt;m:sup&gt;&lt;m:ctrlPr&gt;&lt;w:rPr&gt;&lt;w:rFonts w:ascii=&quot;Cambria Math&quot; w:h-ansi=&quot;Cambria Math&quot;/&gt;&lt;wx:font wx:val=&quot;Cambria Math&quot;/&gt;&lt;w:i/&gt;&lt;/w:rPr&gt;&lt;/m:ctrlPr&gt;&lt;/m:sup&gt;&lt;m:e&gt;&lt;m:sSubSup&gt;&lt;m:sSubSupPr&gt;&lt;m:ctrlPr&gt;&lt;w:rPr&gt;&lt;w:rFonts w:ascii=&quot;Cambria Math&quot; w:h-ansi=&quot;Cambria Math&quot;/&gt;&lt;wx:font wx:val=&quot;Cambria Math&quot;/&gt;&lt;w:i/&gt;&lt;/w:rPr&gt;&lt;/m:ctrlPr&gt;&lt;/m:sSubSupPr&gt;&lt;m:e&gt;&lt;m:r&gt;&lt;m:rPr&gt;&lt;m:sty m:val=&quot;bi&quot;/&gt;&lt;/m:rPr&gt;&lt;w:rPr&gt;&lt;w:rFonts w:ascii=&quot;Cambria Math&quot; w:h-ansi=&quot;Cambria Math&quot;/&gt;&lt;wx:font wx:val=&quot;Cambria Math&quot;/&gt;&lt;w:i/&gt;&lt;/w:rPr&gt;&lt;m:t&gt;A&lt;/m:t&gt;&lt;/m:r&gt;&lt;/m:e&gt;&lt;m:sub&gt;&lt;m:r&gt;&lt;m:rPr&gt;&lt;m:sty m:val=&quot;bi&quot;/&gt;&lt;/m:rPr&gt;&lt;w:rPr&gt;&lt;w:rFonts w:ascii=&quot;Cambria Math&quot; w:h-ansi=&quot;Cambria Math&quot;/&gt;&lt;wx:font wx:val=&quot;Cambria Math&quot;/&gt;&lt;w:i/&gt;&lt;/w:rPr&gt;&lt;m:t&gt;ij&lt;/m:t&gt;&lt;/m:r&gt;&lt;/m:sub&gt;&lt;m:sup&gt;&lt;m:d&gt;&lt;m:dPr&gt;&lt;m:begChr m:val=&quot;[&quot;/&gt;&lt;m:endChr m:val=&quot;]&quot;/&gt;&lt;m:ctrlPr&gt;&lt;w:rPr&gt;&lt;w:rFonts w:ascii=&quot;Cambria Math&quot; w:h-ansi=&quot;Cambria Math&quot;/&gt;&lt;wx:font wx:val=&quot;Cambria Math&quot;/&gt;&lt;w:i/&gt;&lt;/w:rPr&gt;&lt;/m:ctrlPr&gt;&lt;/m:dPr&gt;&lt;m:e&gt;&lt;m:r&gt;&lt;m:rPr&gt;&lt;m:sty m:val=&quot;bi&quot;/&gt;&lt;/m:rPr&gt;&lt;w:rPr&gt;&lt;w:rFonts w:ascii=&quot;Cambria Math&quot; w:h-ansi=&quot;Cambria Math&quot;/&gt;&lt;wx:font wx:val=&quot;Cambria Math&quot;/&gt;&lt;w:i/&gt;&lt;/w:rPr&gt;&lt;m:t&gt;m&lt;/m:t&gt;&lt;/m:r&gt;&lt;/m:e&gt;&lt;/m:d&gt;&lt;/m:sup&gt;&lt;/m:sSubSup&gt;&lt;m:ctrlPr&gt;&lt;w:rPr&gt;&lt;w:rFonts w:ascii=&quot;Cambria Math&quot; w:h-ansi=&quot;Cambria Math&quot;/&gt;&lt;wx:font wx:val=&quot;Cambria Math&quot;/&gt;&lt;w:i/&gt;&lt;/w:rPr&gt;&lt;/m:ctrlPr&gt;&lt;/m:e&gt;&lt;/m:nary&gt;&lt;m:d&gt;&lt;m:dPr&gt;&lt;m:ctrlPr&gt;&lt;w:rPr&gt;&lt;w:rFonts w:ascii=&quot;Cambria Math&quot; w:h-ansi=&quot;Cambria Math&quot;/&gt;&lt;wx:font wx:val=&quot;Cambria Math&quot;/&gt;&lt;w:i/&gt;&lt;/w:rPr&gt;&lt;/m:ctrlPr&gt;&lt;/m:dPr&gt;&lt;m:e&gt;&lt;m:r&gt;&lt;m:rPr&gt;&lt;m:sty m:val=&quot;bi&quot;/&gt;&lt;/m:rPr&gt;&lt;w:rPr&gt;&lt;w:rFonts w:ascii=&quot;Cambria Math&quot; w:h-ansi=&quot;Cambria Math&quot;/&gt;&lt;wx:font wx:val=&quot;Cambria Math&quot;/&gt;&lt;w:i/&gt;&lt;/w:rPr&gt;&lt;m:t&gt;4&lt;/m:t&gt;&lt;/m:r&gt;&lt;/m:e&gt;&lt;/m:d&gt;&lt;/m:oMath&gt;&lt;/m:oMathPara&gt;&lt;/w:p&gt;&lt;w:sectPr wsp:rsidR=&quot;00000000&quot; wsp:rsidRPr=&quot;004C69DB&quot;&gt;&lt;w:pgSz w:w=&quot;12240&quot; w:h=&quot;15840&quot;/&gt;&lt;w:pgMar w:top=&quot;1440&quot; w:right=&quot;1440&quot; w:bottom=&quot;1440&quot; w:left=&quot;1440&quot; w:header=&quot;720&quot; w:footer=&quot;720&quot; w:gutter=&quot;0&quot;/&gt;&lt;w:cols w:space=&quot;720&quot;/&gt;&lt;/w:sectPr&gt;&lt;/wx:sect&gt;&lt;/w:body&gt;&lt;/w:wordDocument&gt;">
            <v:imagedata r:id="rId27" o:title="" chromakey="white"/>
          </v:shape>
        </w:pict>
      </w:r>
    </w:p>
    <w:p w14:paraId="70A78B97" w14:textId="77777777" w:rsidR="00E15DFB" w:rsidRDefault="004767C1" w:rsidP="004767C1">
      <w:pPr>
        <w:pStyle w:val="MainText"/>
        <w:rPr>
          <w:rFonts w:eastAsia="DengXian"/>
          <w:lang w:eastAsia="zh-CN"/>
        </w:rPr>
      </w:pPr>
      <w:r w:rsidRPr="004D1B5C">
        <w:t xml:space="preserve">These distributions capture the fundamental asymmetry in system evolution. For a </w:t>
      </w:r>
      <w:r w:rsidRPr="004D1B5C">
        <w:fldChar w:fldCharType="begin"/>
      </w:r>
      <w:r w:rsidRPr="004D1B5C">
        <w:instrText xml:space="preserve"> QUOTE </w:instrText>
      </w:r>
      <w:r w:rsidR="00E94C34">
        <w:rPr>
          <w:position w:val="-5"/>
        </w:rPr>
        <w:pict w14:anchorId="6803152A">
          <v:shape id="_x0000_i1046" type="#_x0000_t75" style="width:55.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1AB6&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C81AB6&quot; wsp:rsidRDefault=&quot;00C81AB6&quot; wsp:rsidP=&quot;00C81AB6&quot;&gt;&lt;m:oMathPara&gt;&lt;m:oMath&gt;&lt;m:r&gt;&lt;m:rPr&gt;&lt;m:sty m:val=&quot;bi&quot;/&gt;&lt;/m:rPr&gt;&lt;w:rPr&gt;&lt;w:rFonts w:ascii=&quot;Cambria Math&quot; w:h-ansi=&quot;Cambria Math&quot;/&gt;&lt;wx:font wx:val=&quot;Cambria Math&quot;/&gt;&lt;w:i/&gt;&lt;/w:rPr&gt;&lt;m:t&gt;k-order&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8" o:title="" chromakey="white"/>
          </v:shape>
        </w:pict>
      </w:r>
      <w:r w:rsidRPr="004D1B5C">
        <w:instrText xml:space="preserve"> </w:instrText>
      </w:r>
      <w:r w:rsidRPr="004D1B5C">
        <w:fldChar w:fldCharType="separate"/>
      </w:r>
      <w:r w:rsidR="00E94C34">
        <w:rPr>
          <w:position w:val="-5"/>
        </w:rPr>
        <w:pict w14:anchorId="3CB199CD">
          <v:shape id="_x0000_i1047" type="#_x0000_t75" style="width:44.25pt;height:11.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1AB6&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C81AB6&quot; wsp:rsidRDefault=&quot;00C81AB6&quot; wsp:rsidP=&quot;00C81AB6&quot;&gt;&lt;m:oMathPara&gt;&lt;m:oMath&gt;&lt;m:r&gt;&lt;m:rPr&gt;&lt;m:sty m:val=&quot;bi&quot;/&gt;&lt;/m:rPr&gt;&lt;w:rPr&gt;&lt;w:rFonts w:ascii=&quot;Cambria Math&quot; w:h-ansi=&quot;Cambria Math&quot;/&gt;&lt;wx:font wx:val=&quot;Cambria Math&quot;/&gt;&lt;w:i/&gt;&lt;/w:rPr&gt;&lt;m:t&gt;k-order&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8" o:title="" chromakey="white"/>
          </v:shape>
        </w:pict>
      </w:r>
      <w:r w:rsidRPr="004D1B5C">
        <w:fldChar w:fldCharType="end"/>
      </w:r>
      <w:r w:rsidRPr="004D1B5C">
        <w:t xml:space="preserve"> </w:t>
      </w:r>
    </w:p>
    <w:p w14:paraId="1B81CC3B" w14:textId="77777777" w:rsidR="00E15DFB" w:rsidRDefault="00E15DFB" w:rsidP="00E15DFB">
      <w:pPr>
        <w:pStyle w:val="MainText"/>
        <w:ind w:firstLine="0"/>
        <w:rPr>
          <w:rFonts w:eastAsia="DengXian"/>
          <w:lang w:eastAsia="zh-CN"/>
        </w:rPr>
      </w:pPr>
    </w:p>
    <w:p w14:paraId="6BA0457B" w14:textId="66A322FA" w:rsidR="004767C1" w:rsidRDefault="004767C1" w:rsidP="00E15DFB">
      <w:pPr>
        <w:pStyle w:val="MainText"/>
        <w:ind w:firstLine="0"/>
        <w:rPr>
          <w:rFonts w:eastAsia="DengXian"/>
          <w:lang w:eastAsia="zh-CN"/>
        </w:rPr>
      </w:pPr>
      <w:r w:rsidRPr="004D1B5C">
        <w:t>subsystem, we compute the joint degree distributions:</w:t>
      </w:r>
    </w:p>
    <w:p w14:paraId="5940D409" w14:textId="522DD5D7" w:rsidR="004767C1" w:rsidRDefault="00E94C34" w:rsidP="004767C1">
      <w:pPr>
        <w:pStyle w:val="MainText"/>
        <w:jc w:val="center"/>
        <w:rPr>
          <w:rFonts w:eastAsia="DengXian"/>
          <w:lang w:eastAsia="zh-CN"/>
        </w:rPr>
      </w:pPr>
      <w:r>
        <w:pict w14:anchorId="6C2E9598">
          <v:shape id="_x0000_i1048" type="#_x0000_t75" style="width:184.5pt;height:15.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1B7A&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061B7A&quot; wsp:rsidRPr=&quot;00061B7A&quot; wsp:rsidRDefault=&quot;00061B7A&quot; wsp:rsidP=&quot;00061B7A&quot;&gt;&lt;m:oMathPara&gt;&lt;m:oMath&gt;&lt;m:sSubSup&gt;&lt;m:sSubSupPr&gt;&lt;m:ctrlPr&gt;&lt;w:rPr&gt;&lt;w:rFonts w:ascii=&quot;Cambria Math&quot; w:h-ansi=&quot;Cambria Math&quot;/&gt;&lt;wx:font wx:val=&quot;Cambria Math&quot;/&gt;&lt;/w:rPr&gt;&lt;/m:ctrlPr&gt;&lt;/m:sSubSupPr&gt;&lt;m:e&gt;&lt;m:r&gt;&lt;m:rPr&gt;&lt;m:sty m:val=&quot;bi&quot;/&gt;&lt;/m:rPr&gt;&lt;w:rPr&gt;&lt;w:rFonts w:ascii=&quot;Cambria Math&quot; w:h-ansi=&quot;Cambria Math&quot;/&gt;&lt;wx:font wx:val=&quot;Cambria Math&quot;/&gt;&lt;w:i/&gt;&lt;/w:rPr&gt;&lt;m:t&gt;P&lt;/m:t&gt;&lt;/m:r&gt;&lt;/m:e&gt;&lt;m:sub&gt;&lt;m:r&gt;&lt;m:rPr&gt;&lt;m:sty m:val=&quot;bi&quot;/&gt;&lt;/m:rPr&gt;&lt;w:rPr&gt;&lt;w:rFonts w:ascii=&quot;Cambria Math&quot; w:h-ansi=&quot;Cambria Math&quot;/&gt;&lt;wx:font wx:val=&quot;Cambria Math&quot;/&gt;&lt;w:i/&gt;&lt;/w:rPr&gt;&lt;m:t&gt;in&lt;/m:t&gt;&lt;/m:r&gt;&lt;/m:sub&gt;&lt;m:sup&gt;&lt;m:d&gt;&lt;m:dPr&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n&lt;/m:t&gt;&lt;/m:r&gt;&lt;/m:e&gt;&lt;m:sub&gt;&lt;m:r&gt;&lt;m:rPr&gt;&lt;m:sty m:val=&quot;bi&quot;/&gt;&lt;/m:rPr&gt;&lt;w:rPr&gt;&lt;w:rFonts w:ascii=&quot;Cambria Math&quot; w:h-ansi=&quot;Cambria Math&quot;/&gt;&lt;wx:font wx:val=&quot;Cambria Math&quot;/&gt;&lt;w:i/&gt;&lt;/w:rPr&gt;&lt;m:t&gt;1&lt;/m:t&gt;&lt;/m:r&gt;&lt;/m:sub&gt;&lt;/m:sSub&gt;&lt;m:r&gt;&lt;m:rPr&gt;&lt;m:sty m:val=&quot;bi&quot;/&gt;&lt;/m:rPr&gt;&lt;w:rPr&gt;&lt;w:rFonts w:ascii=&quot;Cambria Math&quot; w:h-ansi=&quot;Cambria Math&quot;/&gt;&lt;wx:font wx:val=&quot;Cambria Math&quot;/&gt;&lt;w:i/&gt;&lt;/w:rPr&gt;&lt;m:t&gt;,â€¦,&lt;/m:t&gt;&lt;/m:r&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n&lt;/m:t&gt;&lt;/m:r&gt;&lt;/m:e&gt;&lt;m:sub&gt;&lt;m:r&gt;&lt;m:rPr&gt;&lt;m:sty m:val=&quot;bi&quot;/&gt;&lt;/m:rPr&gt;&lt;w:rPr&gt;&lt;w:rFonts w:ascii=&quot;Cambria Math&quot; w:h-ansi=&quot;Cambria Math&quot;/&gt;&lt;wx:font wx:val=&quot;Cambria Math&quot;/&gt;&lt;w:i/&gt;&lt;/w:rPr&gt;&lt;m:t&gt;k&lt;/m:t&gt;&lt;/m:r&gt;&lt;/m:sub&gt;&lt;/m:sSub&gt;&lt;/m:e&gt;&lt;/m:d&gt;&lt;/m:sup&gt;&lt;/m:sSubSup&gt;&lt;m:d&gt;&lt;m:dPr&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d&lt;/m:t&gt;&lt;/m:r&gt;&lt;/m:e&gt;&lt;m:sub&gt;&lt;m:r&gt;&lt;m:rPr&gt;&lt;m:sty m:val=&quot;bi&quot;/&gt;&lt;/m:rPr&gt;&lt;w:rPr&gt;&lt;w:rFonts w:ascii=&quot;Cambria Math&quot; w:h-ansi=&quot;Cambria Math&quot;/&gt;&lt;wx:font wx:val=&quot;Cambria Math&quot;/&gt;&lt;w:i/&gt;&lt;/w:rPr&gt;&lt;m:t&gt;1&lt;/m:t&gt;&lt;/m:r&gt;&lt;/m:sub&gt;&lt;/m:sSub&gt;&lt;m:r&gt;&lt;m:rPr&gt;&lt;m:sty m:val=&quot;bi&quot;/&gt;&lt;/m:rPr&gt;&lt;w:rPr&gt;&lt;w:rFonts w:ascii=&quot;Cambria Math&quot; w:h-ansi=&quot;Cambria Math&quot;/&gt;&lt;wx:font wx:val=&quot;Cambria Math&quot;/&gt;&lt;w:i/&gt;&lt;/w:rPr&gt;&lt;m:t&gt;,â€¦,&lt;/m:t&gt;&lt;/m:r&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d&lt;/m:t&gt;&lt;/m:r&gt;&lt;/m:e&gt;&lt;m:sub&gt;&lt;m:r&gt;&lt;m:rPr&gt;&lt;m:sty m:val=&quot;bi&quot;/&gt;&lt;/m:rPr&gt;&lt;w:rPr&gt;&lt;w:rFonts w:ascii=&quot;Cambria Math&quot; w:h-ansi=&quot;Cambria Math&quot;/&gt;&lt;wx:font wx:val=&quot;Cambria Math&quot;/&gt;&lt;w:i/&gt;&lt;/w:rPr&gt;&lt;m:t&gt;k&lt;/m:t&gt;&lt;/m:r&gt;&lt;/m:sub&gt;&lt;/m:sSub&gt;&lt;/m:e&gt;&lt;/m:d&gt;&lt;m:r&gt;&lt;m:rPr&gt;&lt;m:sty m:val=&quot;bi&quot;/&gt;&lt;/m:rPr&gt;&lt;w:rPr&gt;&lt;w:rFonts w:ascii=&quot;Cambria Math&quot; w:h-ansi=&quot;Cambria Math&quot;/&gt;&lt;wx:font wx:val=&quot;Cambria Math&quot;/&gt;&lt;w:i/&gt;&lt;/w:rPr&gt;&lt;m:t&gt;,&lt;/m:t&gt;&lt;/m:r&gt;&lt;m:sSubSup&gt;&lt;m:sSubSupPr&gt;&lt;m:ctrlPr&gt;&lt;w:rPr&gt;&lt;w:rFonts w:ascii=&quot;Cambria Math&quot; w:h-ansi=&quot;Cambria Math&quot;/&gt;&lt;wx:font wx:val=&quot;Cambria Math&quot;/&gt;&lt;/w:rPr&gt;&lt;/m:ctrlPr&gt;&lt;/m:sSubSupPr&gt;&lt;m:e&gt;&lt;m:r&gt;&lt;m:rPr&gt;&lt;m:sty m:val=&quot;bi&quot;/&gt;&lt;/m:rPr&gt;&lt;w:rPr&gt;&lt;w:rFonts w:ascii=&quot;Cambria Math&quot; w:h-ansi=&quot;Cambria Math&quot;/&gt;&lt;wx:font wx:val=&quot;Cambria Math&quot;/&gt;&lt;w:i/&gt;&lt;/w:rPr&gt;&lt;m:t&gt;P&lt;/m:t&gt;&lt;/m:r&gt;&lt;/m:e&gt;&lt;m:sub&gt;&lt;m:r&gt;&lt;m:rPr&gt;&lt;m:sty m:val=&quot;bi&quot;/&gt;&lt;/m:rPr&gt;&lt;w:rPr&gt;&lt;w:rFonts w:ascii=&quot;Cambria Math&quot; w:h-ansi=&quot;Cambria Math&quot;/&gt;&lt;wx:font wx:val=&quot;Cambria Math&quot;/&gt;&lt;w:i/&gt;&lt;/w:rPr&gt;&lt;m:t&gt;out&lt;/m:t&gt;&lt;/m:r&gt;&lt;/m:sub&gt;&lt;m:sup&gt;&lt;m:d&gt;&lt;m:dPr&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n&lt;/m:t&gt;&lt;/m:r&gt;&lt;/m:e&gt;&lt;m:sub&gt;&lt;m:r&gt;&lt;m:rPr&gt;&lt;m:sty m:val=&quot;bi&quot;/&gt;&lt;/m:rPr&gt;&lt;w:rPr&gt;&lt;w:rFonts w:ascii=&quot;Cambria Math&quot; w:h-ansi=&quot;Cambria Math&quot;/&gt;&lt;wx:font wx:val=&quot;Cambria Math&quot;/&gt;&lt;w:i/&gt;&lt;/w:rPr&gt;&lt;m:t&gt;1&lt;/m:t&gt;&lt;/m:r&gt;&lt;/m:sub&gt;&lt;/m:sSub&gt;&lt;m:r&gt;&lt;m:rPr&gt;&lt;m:sty m:val=&quot;bi&quot;/&gt;&lt;/m:rPr&gt;&lt;w:rPr&gt;&lt;w:rFonts w:ascii=&quot;Cambria Math&quot; w:h-ansi=&quot;Cambria Math&quot;/&gt;&lt;wx:font wx:val=&quot;Cambria Math&quot;/&gt;&lt;w:i/&gt;&lt;/w:rPr&gt;&lt;m:t&gt;,â€¦,&lt;/m:t&gt;&lt;/m:r&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n&lt;/m:t&gt;&lt;/m:r&gt;&lt;/m:e&gt;&lt;m:sub&gt;&lt;m:r&gt;&lt;m:rPr&gt;&lt;m:sty m:val=&quot;bi&quot;/&gt;&lt;/m:rPr&gt;&lt;w:rPr&gt;&lt;w:rFonts w:ascii=&quot;Cambria Math&quot; w:h-ansi=&quot;Cambria Math&quot;/&gt;&lt;wx:font wx:val=&quot;Cambria Math&quot;/&gt;&lt;w:i/&gt;&lt;/w:rPr&gt;&lt;m:t&gt;k&lt;/m:t&gt;&lt;/m:r&gt;&lt;/m:sub&gt;&lt;/m:sSub&gt;&lt;/m:e&gt;&lt;/m:d&gt;&lt;/m:sup&gt;&lt;/m:sSubSup&gt;&lt;m:d&gt;&lt;m:dPr&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d&lt;/m:t&gt;&lt;/m:r&gt;&lt;/m:e&gt;&lt;m:sub&gt;&lt;m:r&gt;&lt;m:rPr&gt;&lt;m:sty m:val=&quot;bi&quot;/&gt;&lt;/m:rPr&gt;&lt;w:rPr&gt;&lt;w:rFonts w:ascii=&quot;Cambria Math&quot; w:h-ansi=&quot;Cambria Math&quot;/&gt;&lt;wx:font wx:val=&quot;Cambria Math&quot;/&gt;&lt;w:i/&gt;&lt;/w:rPr&gt;&lt;m:t&gt;1&lt;/m:t&gt;&lt;/m:r&gt;&lt;/m:sub&gt;&lt;/m:sSub&gt;&lt;m:r&gt;&lt;m:rPr&gt;&lt;m:sty m:val=&quot;bi&quot;/&gt;&lt;/m:rPr&gt;&lt;w:rPr&gt;&lt;w:rFonts w:ascii=&quot;Cambria Math&quot; w:h-ansi=&quot;Cambria Math&quot;/&gt;&lt;wx:font wx:val=&quot;Cambria Math&quot;/&gt;&lt;w:i/&gt;&lt;/w:rPr&gt;&lt;m:t&gt;,â€¦,&lt;/m:t&gt;&lt;/m:r&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d&lt;/m:t&gt;&lt;/m:r&gt;&lt;/m:e&gt;&lt;m:sub&gt;&lt;m:r&gt;&lt;m:rPr&gt;&lt;m:sty m:val=&quot;bi&quot;/&gt;&lt;/m:rPr&gt;&lt;w:rPr&gt;&lt;w:rFonts w:ascii=&quot;Cambria Math&quot; w:h-ansi=&quot;Cambria Math&quot;/&gt;&lt;wx:font wx:val=&quot;Cambria Math&quot;/&gt;&lt;w:i/&gt;&lt;/w:rPr&gt;&lt;m:t&gt;k&lt;/m:t&gt;&lt;/m:r&gt;&lt;/m:sub&gt;&lt;/m:sSub&gt;&lt;/m:e&gt;&lt;/m:d&gt;&lt;m:d&gt;&lt;m:dPr&gt;&lt;m:ctrlPr&gt;&lt;w:rPr&gt;&lt;w:rFonts w:ascii=&quot;Cambria Math&quot; w:h-ansi=&quot;Cambria Math&quot;/&gt;&lt;wx:font wx:val=&quot;Cambria Math&quot;/&gt;&lt;w:i/&gt;&lt;/w:rPr&gt;&lt;/m:ctrlPr&gt;&lt;/m:dPr&gt;&lt;m:e&gt;&lt;m:r&gt;&lt;m:rPr&gt;&lt;m:sty m:val=&quot;bi&quot;/&gt;&lt;/m:rPr&gt;&lt;w:rPr&gt;&lt;w:rFonts w:ascii=&quot;Cambria Math&quot;/&gt;&lt;wx:font wx:val=&quot;Cambria Math&quot;/&gt;&lt;w:i/&gt;&lt;/w:rPr&gt;&lt;m:t&gt;5&lt;/m:t&gt;&lt;/m:r&gt;&lt;/m:e&gt;&lt;/m:d&gt;&lt;/m:oMath&gt;&lt;/m:oMathPara&gt;&lt;/w:p&gt;&lt;w:sectPr wsp:rsidR=&quot;00000000&quot; wsp:rsidRPr=&quot;00061B7A&quot;&gt;&lt;w:pgSz w:w=&quot;12240&quot; w:h=&quot;15840&quot;/&gt;&lt;w:pgMar w:top=&quot;1440&quot; w:right=&quot;1440&quot; w:bottom=&quot;1440&quot; w:left=&quot;1440&quot; w:header=&quot;720&quot; w:footer=&quot;720&quot; w:gutter=&quot;0&quot;/&gt;&lt;w:cols w:space=&quot;720&quot;/&gt;&lt;/w:sectPr&gt;&lt;/wx:sect&gt;&lt;/w:body&gt;&lt;/w:wordDocument&gt;">
            <v:imagedata r:id="rId29" o:title="" chromakey="white"/>
          </v:shape>
        </w:pict>
      </w:r>
    </w:p>
    <w:p w14:paraId="7C486E1A" w14:textId="77777777" w:rsidR="004767C1" w:rsidRDefault="004767C1" w:rsidP="004767C1">
      <w:pPr>
        <w:pStyle w:val="MainText"/>
        <w:rPr>
          <w:rFonts w:eastAsia="DengXian"/>
          <w:lang w:eastAsia="zh-CN"/>
        </w:rPr>
      </w:pPr>
      <w:r w:rsidRPr="004D1B5C">
        <w:t>These distributions contain complete information about system state transitions and form the basis for the irreversibility analysis.</w:t>
      </w:r>
    </w:p>
    <w:p w14:paraId="417EDFBF" w14:textId="77777777" w:rsidR="00E15DFB" w:rsidRDefault="00E15DFB" w:rsidP="004767C1">
      <w:pPr>
        <w:pStyle w:val="MainText"/>
        <w:rPr>
          <w:rFonts w:eastAsia="DengXian"/>
          <w:lang w:eastAsia="zh-CN"/>
        </w:rPr>
      </w:pPr>
    </w:p>
    <w:p w14:paraId="74E68A00" w14:textId="62A92E8F" w:rsidR="004767C1" w:rsidRPr="004D1B5C" w:rsidRDefault="004767C1" w:rsidP="004767C1">
      <w:pPr>
        <w:pStyle w:val="PlainText"/>
        <w:rPr>
          <w:rFonts w:eastAsia="DengXian"/>
          <w:b/>
          <w:sz w:val="20"/>
          <w:lang w:eastAsia="zh-CN"/>
        </w:rPr>
      </w:pPr>
      <w:r w:rsidRPr="004D1B5C">
        <w:rPr>
          <w:rFonts w:eastAsia="DengXian"/>
          <w:b/>
          <w:sz w:val="20"/>
          <w:lang w:eastAsia="zh-CN"/>
        </w:rPr>
        <w:t>3.2.3 Irreversibility Quantification</w:t>
      </w:r>
    </w:p>
    <w:p w14:paraId="7245D6A5" w14:textId="5BD1328E" w:rsidR="004767C1" w:rsidRPr="004D1B5C" w:rsidRDefault="004767C1" w:rsidP="004767C1">
      <w:pPr>
        <w:pStyle w:val="MainText"/>
      </w:pPr>
      <w:r w:rsidRPr="004D1B5C">
        <w:t>To quantify the irreversibility, we employ the Jensen-Shannon divergence:</w:t>
      </w:r>
    </w:p>
    <w:p w14:paraId="4AC46695" w14:textId="65ADFDEB" w:rsidR="004767C1" w:rsidRDefault="00E94C34" w:rsidP="004767C1">
      <w:pPr>
        <w:pStyle w:val="MainText"/>
        <w:jc w:val="center"/>
        <w:rPr>
          <w:rFonts w:eastAsia="DengXian"/>
          <w:lang w:eastAsia="zh-CN"/>
        </w:rPr>
      </w:pPr>
      <w:r>
        <w:pict w14:anchorId="25AFD5E8">
          <v:shape id="_x0000_i1049" type="#_x0000_t75" style="width:174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2332&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952332&quot; wsp:rsidRPr=&quot;00952332&quot; wsp:rsidRDefault=&quot;00952332&quot; wsp:rsidP=&quot;00952332&quot;&gt;&lt;m:oMathPara&gt;&lt;m:oMath&gt;&lt;m:sSup&gt;&lt;m:sSupPr&gt;&lt;m:ctrlPr&gt;&lt;w:rPr&gt;&lt;w:rFonts w:ascii=&quot;Cambria Math&quot; w:h-ansi=&quot;Cambria Math&quot;/&gt;&lt;wx:font wx:val=&quot;Cambria Math&quot;/&gt;&lt;/w:rPr&gt;&lt;/m:ctrlPr&gt;&lt;/m:sSupPr&gt;&lt;m:e&gt;&lt;m:r&gt;&lt;m:rPr&gt;&lt;m:sty m:val=&quot;bi&quot;/&gt;&lt;/m:rPr&gt;&lt;w:rPr&gt;&lt;w:rFonts w:ascii=&quot;Cambria Math&quot; w:h-ansi=&quot;Cambria Math&quot;/&gt;&lt;wx:font wx:val=&quot;Cambria Math&quot;/&gt;&lt;w:i/&gt;&lt;/w:rPr&gt;&lt;m:t&gt;Ï‚&lt;/m:t&gt;&lt;/m:r&gt;&lt;/m:e&gt;&lt;m:sup&gt;&lt;m:d&gt;&lt;m:dPr&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n&lt;/m:t&gt;&lt;/m:r&gt;&lt;/m:e&gt;&lt;m:sub&gt;&lt;m:r&gt;&lt;m:rPr&gt;&lt;m:sty m:val=&quot;bi&quot;/&gt;&lt;/m:rPr&gt;&lt;w:rPr&gt;&lt;w:rFonts w:ascii=&quot;Cambria Math&quot; w:h-ansi=&quot;Cambria Math&quot;/&gt;&lt;wx:font wx:val=&quot;Cambria Math&quot;/&gt;&lt;w:i/&gt;&lt;/w:rPr&gt;&lt;m:t&gt;1&lt;/m:t&gt;&lt;/m:r&gt;&lt;/m:sub&gt;&lt;/m:sSub&gt;&lt;m:r&gt;&lt;m:rPr&gt;&lt;m:sty m:val=&quot;bi&quot;/&gt;&lt;/m:rPr&gt;&lt;w:rPr&gt;&lt;w:rFonts w:ascii=&quot;Cambria Math&quot; w:h-ansi=&quot;Cambria Math&quot;/&gt;&lt;wx:font wx:val=&quot;Cambria Math&quot;/&gt;&lt;w:i/&gt;&lt;/w:rPr&gt;&lt;m:t&gt;,â€¦,&lt;/m:t&gt;&lt;/m:r&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n&lt;/m:t&gt;&lt;/m:r&gt;&lt;/m:e&gt;&lt;m:sub&gt;&lt;m:r&gt;&lt;m:rPr&gt;&lt;m:sty m:val=&quot;bi&quot;/&gt;&lt;/m:rPr&gt;&lt;w:rPr&gt;&lt;w:rFonts w:ascii=&quot;Cambria Math&quot; w:h-ansi=&quot;Cambria Math&quot;/&gt;&lt;wx:font wx:val=&quot;Cambria Math&quot;/&gt;&lt;w:i/&gt;&lt;/w:rPr&gt;&lt;m:t&gt;k&lt;/m:t&gt;&lt;/m:r&gt;&lt;/m:sub&gt;&lt;/m:sSub&gt;&lt;/m:e&gt;&lt;/m:d&gt;&lt;/m:sup&gt;&lt;/m:sSup&gt;&lt;m:r&gt;&lt;m:rPr&gt;&lt;m:sty m:val=&quot;bi&quot;/&gt;&lt;/m:rPr&gt;&lt;w:rPr&gt;&lt;w:rFonts w:ascii=&quot;Cambria Math&quot; w:h-ansi=&quot;Cambria Math&quot;/&gt;&lt;wx:font wx:val=&quot;Cambria Math&quot;/&gt;&lt;w:i/&gt;&lt;/w:rPr&gt;&lt;m:t&gt;=JSD(&lt;/m:t&gt;&lt;/m:r&gt;&lt;m:sSubSup&gt;&lt;m:sSubSupPr&gt;&lt;m:ctrlPr&gt;&lt;w:rPr&gt;&lt;w:rFonts w:ascii=&quot;Cambria Math&quot; w:h-ansi=&quot;Cambria Math&quot;/&gt;&lt;wx:font wx:val=&quot;Cambria Math&quot;/&gt;&lt;/w:rPr&gt;&lt;/m:ctrlPr&gt;&lt;/m:sSubSupPr&gt;&lt;m:e&gt;&lt;m:r&gt;&lt;m:rPr&gt;&lt;m:sty m:val=&quot;bi&quot;/&gt;&lt;/m:rPr&gt;&lt;w:rPr&gt;&lt;w:rFonts w:ascii=&quot;Cambria Math&quot; w:h-ansi=&quot;Cambria Math&quot;/&gt;&lt;wx:font wx:val=&quot;Cambria Math&quot;/&gt;&lt;w:i/&gt;&lt;/w:rPr&gt;&lt;m:t&gt;P&lt;/m:t&gt;&lt;/m:r&gt;&lt;/m:e&gt;&lt;m:sub&gt;&lt;m:r&gt;&lt;m:rPr&gt;&lt;m:sty m:val=&quot;bi&quot;/&gt;&lt;/m:rPr&gt;&lt;w:rPr&gt;&lt;w:rFonts w:ascii=&quot;Cambria Math&quot; w:h-ansi=&quot;Cambria Math&quot;/&gt;&lt;wx:font wx:val=&quot;Cambria Math&quot;/&gt;&lt;w:i/&gt;&lt;/w:rPr&gt;&lt;m:t&gt;in&lt;/m:t&gt;&lt;/m:r&gt;&lt;/m:sub&gt;&lt;m:sup&gt;&lt;m:d&gt;&lt;m:dPr&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n&lt;/m:t&gt;&lt;/m:r&gt;&lt;/m:e&gt;&lt;m:sub&gt;&lt;m:r&gt;&lt;m:rPr&gt;&lt;m:sty m:val=&quot;bi&quot;/&gt;&lt;/m:rPr&gt;&lt;w:rPr&gt;&lt;w:rFonts w:ascii=&quot;Cambria Math&quot; w:h-ansi=&quot;Cambria Math&quot;/&gt;&lt;wx:font wx:val=&quot;Cambria Math&quot;/&gt;&lt;w:i/&gt;&lt;/w:rPr&gt;&lt;m:t&gt;1&lt;/m:t&gt;&lt;/m:r&gt;&lt;/m:sub&gt;&lt;/m:sSub&gt;&lt;m:r&gt;&lt;m:rPr&gt;&lt;m:sty m:val=&quot;bi&quot;/&gt;&lt;/m:rPr&gt;&lt;w:rPr&gt;&lt;w:rFonts w:ascii=&quot;Cambria Math&quot; w:h-ansi=&quot;Cambria Math&quot;/&gt;&lt;wx:font wx:val=&quot;Cambria Math&quot;/&gt;&lt;w:i/&gt;&lt;/w:rPr&gt;&lt;m:t&gt;,â€¦,&lt;/m:t&gt;&lt;/m:r&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n&lt;/m:t&gt;&lt;/m:r&gt;&lt;/m:e&gt;&lt;m:sub&gt;&lt;m:r&gt;&lt;m:rPr&gt;&lt;m:sty m:val=&quot;bi&quot;/&gt;&lt;/m:rPr&gt;&lt;w:rPr&gt;&lt;w:rFonts w:ascii=&quot;Cambria Math&quot; w:h-ansi=&quot;Cambria Math&quot;/&gt;&lt;wx:font wx:val=&quot;Cambria Math&quot;/&gt;&lt;w:i/&gt;&lt;/w:rPr&gt;&lt;m:t&gt;k&lt;/m:t&gt;&lt;/m:r&gt;&lt;/m:sub&gt;&lt;/m:sSub&gt;&lt;/m:e&gt;&lt;/m:d&gt;&lt;/m:sup&gt;&lt;/m:sSubSup&gt;&lt;m:r&gt;&lt;m:rPr&gt;&lt;m:sty m:val=&quot;bi&quot;/&gt;&lt;/m:rPr&gt;&lt;w:rPr&gt;&lt;w:rFonts w:ascii=&quot;Cambria Math&quot; w:h-ansi=&quot;Cambria Math&quot;/&gt;&lt;wx:font wx:val=&quot;Cambria Math&quot;/&gt;&lt;w:i/&gt;&lt;/w:rPr&gt;&lt;m:t&gt;|&lt;/m:t&gt;&lt;/m:r&gt;&lt;m:d&gt;&lt;m:dPr&gt;&lt;m:begChr m:val=&quot;|&quot;/&gt;&lt;m:ctrlPr&gt;&lt;w:rPr&gt;&lt;w:rFonts w:ascii=&quot;Cambria Math&quot; w:h-ansi=&quot;Cambria Math&quot;/&gt;&lt;wx:font wx:val=&quot;Cambria Math&quot;/&gt;&lt;w:i/&gt;&lt;/w:rPr&gt;&lt;/m:ctrlPr&gt;&lt;/m:dPr&gt;&lt;m:e&gt;&lt;m:sSubSup&gt;&lt;m:sSubSupPr&gt;&lt;m:ctrlPr&gt;&lt;w:rPr&gt;&lt;w:rFonts w:ascii=&quot;Cambria Math&quot; w:h-ansi=&quot;Cambria Math&quot;/&gt;&lt;wx:font wx:val=&quot;Cambria Math&quot;/&gt;&lt;/w:rPr&gt;&lt;/m:ctrlPr&gt;&lt;/m:sSubSupPr&gt;&lt;m:e&gt;&lt;m:r&gt;&lt;m:rPr&gt;&lt;m:sty m:val=&quot;bi&quot;/&gt;&lt;/m:rPr&gt;&lt;w:rPr&gt;&lt;w:rFonts w:ascii=&quot;Cambria Math&quot; w:h-ansi=&quot;Cambria Math&quot;/&gt;&lt;wx:font wx:val=&quot;Cambria Math&quot;/&gt;&lt;w:i/&gt;&lt;/w:rPr&gt;&lt;m:t&gt;P&lt;/m:t&gt;&lt;/m:r&gt;&lt;/m:e&gt;&lt;m:sub&gt;&lt;m:r&gt;&lt;m:rPr&gt;&lt;m:sty m:val=&quot;bi&quot;/&gt;&lt;/m:rPr&gt;&lt;w:rPr&gt;&lt;w:rFonts w:ascii=&quot;Cambria Math&quot; w:h-ansi=&quot;Cambria Math&quot;/&gt;&lt;wx:font wx:val=&quot;Cambria Math&quot;/&gt;&lt;w:i/&gt;&lt;/w:rPr&gt;&lt;m:t&gt;out&lt;/m:t&gt;&lt;/m:r&gt;&lt;/m:sub&gt;&lt;m:sup&gt;&lt;m:d&gt;&lt;m:dPr&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n&lt;/m:t&gt;&lt;/m:r&gt;&lt;/m:e&gt;&lt;m:sub&gt;&lt;m:r&gt;&lt;m:rPr&gt;&lt;m:sty m:val=&quot;bi&quot;/&gt;&lt;/m:rPr&gt;&lt;w:rPr&gt;&lt;w:rFonts w:ascii=&quot;Cambria Math&quot; w:h-ansi=&quot;Cambria Math&quot;/&gt;&lt;wx:font wx:val=&quot;Cambria Math&quot;/&gt;&lt;w:i/&gt;&lt;/w:rPr&gt;&lt;m:t&gt;1&lt;/m:t&gt;&lt;/m:r&gt;&lt;/m:sub&gt;&lt;/m:sSub&gt;&lt;m:r&gt;&lt;m:rPr&gt;&lt;m:sty m:val=&quot;bi&quot;/&gt;&lt;/m:rPr&gt;&lt;w:rPr&gt;&lt;w:rFonts w:ascii=&quot;Cambria Math&quot; w:h-ansi=&quot;Cambria Math&quot;/&gt;&lt;wx:font wx:val=&quot;Cambria Math&quot;/&gt;&lt;w:i/&gt;&lt;/w:rPr&gt;&lt;m:t&gt;,â€¦,&lt;/m:t&gt;&lt;/m:r&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n&lt;/m:t&gt;&lt;/m:r&gt;&lt;/m:e&gt;&lt;m:sub&gt;&lt;m:r&gt;&lt;m:rPr&gt;&lt;m:sty m:val=&quot;bi&quot;/&gt;&lt;/m:rPr&gt;&lt;w:rPr&gt;&lt;w:rFonts w:ascii=&quot;Cambria Math&quot; w:h-ansi=&quot;Cambria Math&quot;/&gt;&lt;wx:font wx:val=&quot;Cambria Math&quot;/&gt;&lt;w:i/&gt;&lt;/w:rPr&gt;&lt;m:t&gt;k&lt;/m:t&gt;&lt;/m:r&gt;&lt;/m:sub&gt;&lt;/m:sSub&gt;&lt;/m:e&gt;&lt;/m:d&gt;&lt;/m:sup&gt;&lt;/m:sSubSup&gt;&lt;/m:e&gt;&lt;/m:d&gt;&lt;m:d&gt;&lt;m:dPr&gt;&lt;m:ctrlPr&gt;&lt;w:rPr&gt;&lt;w:rFonts w:ascii=&quot;Cambria Math&quot; w:h-ansi=&quot;Cambria Math&quot;/&gt;&lt;wx:font wx:val=&quot;Cambria Math&quot;/&gt;&lt;w:i/&gt;&lt;/w:rPr&gt;&lt;/m:ctrlPr&gt;&lt;/m:dPr&gt;&lt;m:e&gt;&lt;m:r&gt;&lt;m:rPr&gt;&lt;m:sty m:val=&quot;bi&quot;/&gt;&lt;/m:rPr&gt;&lt;w:rPr&gt;&lt;w:rFonts w:ascii=&quot;Cambria Math&quot;/&gt;&lt;wx:font wx:val=&quot;Cambria Math&quot;/&gt;&lt;w:i/&gt;&lt;/w:rPr&gt;&lt;m:t&gt;6&lt;/m:t&gt;&lt;/m:r&gt;&lt;/m:e&gt;&lt;/m:d&gt;&lt;/m:oMath&gt;&lt;/m:oMathPara&gt;&lt;/w:p&gt;&lt;w:sectPr wsp:rsidR=&quot;00000000&quot; wsp:rsidRPr=&quot;00952332&quot;&gt;&lt;w:pgSz w:w=&quot;12240&quot; w:h=&quot;15840&quot;/&gt;&lt;w:pgMar w:top=&quot;1440&quot; w:right=&quot;1440&quot; w:bottom=&quot;1440&quot; w:left=&quot;1440&quot; w:header=&quot;720&quot; w:footer=&quot;720&quot; w:gutter=&quot;0&quot;/&gt;&lt;w:cols w:space=&quot;720&quot;/&gt;&lt;/w:sectPr&gt;&lt;/wx:sect&gt;&lt;/w:body&gt;&lt;/w:wordDocument&gt;">
            <v:imagedata r:id="rId30" o:title="" chromakey="white"/>
          </v:shape>
        </w:pict>
      </w:r>
    </w:p>
    <w:p w14:paraId="048D3CAF" w14:textId="3403A0BA" w:rsidR="004767C1" w:rsidRDefault="004767C1" w:rsidP="004767C1">
      <w:pPr>
        <w:pStyle w:val="MainText"/>
        <w:rPr>
          <w:rFonts w:eastAsia="DengXian"/>
          <w:lang w:eastAsia="zh-CN"/>
        </w:rPr>
      </w:pPr>
      <w:r w:rsidRPr="004D1B5C">
        <w:t>where:</w:t>
      </w:r>
    </w:p>
    <w:p w14:paraId="646B2FF3" w14:textId="26D46CA0" w:rsidR="004767C1" w:rsidRDefault="00E94C34" w:rsidP="004767C1">
      <w:pPr>
        <w:pStyle w:val="MainText"/>
        <w:rPr>
          <w:rFonts w:eastAsia="DengXian"/>
          <w:lang w:eastAsia="zh-CN"/>
        </w:rPr>
      </w:pPr>
      <w:r>
        <w:pict w14:anchorId="11C458CD">
          <v:shape id="_x0000_i1050" type="#_x0000_t75" style="width:213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A08ED&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BA08ED&quot; wsp:rsidRPr=&quot;00BA08ED&quot; wsp:rsidRDefault=&quot;00BA08ED&quot; wsp:rsidP=&quot;00BA08ED&quot;&gt;&lt;m:oMathPara&gt;&lt;m:oMath&gt;&lt;m:r&gt;&lt;m:rPr&gt;&lt;m:sty m:val=&quot;bi&quot;/&gt;&lt;/m:rPr&gt;&lt;w:rPr&gt;&lt;w:rFonts w:ascii=&quot;Cambria Math&quot; w:h-ansi=&quot;Cambria Math&quot;/&gt;&lt;wx:font wx:val=&quot;Cambria Math&quot;/&gt;&lt;w:i/&gt;&lt;/w:rPr&gt;&lt;m:t&gt;JSD&lt;/m:t&gt;&lt;/m:r&gt;&lt;m:d&gt;&lt;m:dPr&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P&lt;/m:t&gt;&lt;/m:r&gt;&lt;/m:e&gt;&lt;m:sub&gt;&lt;m:r&gt;&lt;m:rPr&gt;&lt;m:sty m:val=&quot;b&quot;/&gt;&lt;/m:rPr&gt;&lt;w:rPr&gt;&lt;w:rFonts w:ascii=&quot;Cambria Math&quot; w:h-ansi=&quot;Cambria Math&quot;/&gt;&lt;wx:font wx:val=&quot;Cambria Math&quot;/&gt;&lt;/w:rPr&gt;&lt;m:t&gt;in&lt;/m:t&gt;&lt;/m:r&gt;&lt;/m:sub&gt;&lt;/m:sSub&gt;&lt;m:r&gt;&lt;m:rPr&gt;&lt;m:sty m:val=&quot;bi&quot;/&gt;&lt;/m:rPr&gt;&lt;w:rPr&gt;&lt;w:rFonts w:ascii=&quot;Cambria Math&quot; w:h-ansi=&quot;Cambria Math&quot;/&gt;&lt;wx:font wx:val=&quot;Cambria Math&quot;/&gt;&lt;w:i/&gt;&lt;/w:rPr&gt;&lt;m:t&gt;âˆ¥&lt;/m:t&gt;&lt;/m:r&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P&lt;/m:t&gt;&lt;/m:r&gt;&lt;/m:e&gt;&lt;m:sub&gt;&lt;m:r&gt;&lt;m:rPr&gt;&lt;m:sty m:val=&quot;b&quot;/&gt;&lt;/m:rPr&gt;&lt;w:rPr&gt;&lt;w:rFonts w:ascii=&quot;Cambria Math&quot; w:h-ansi=&quot;Cambria Math&quot;/&gt;&lt;wx:font wx:val=&quot;Cambria Math&quot;/&gt;&lt;/w:rPr&gt;&lt;m:t&gt;out&lt;/m:t&gt;&lt;/m:r&gt;&lt;/m:sub&gt;&lt;/m:sSub&gt;&lt;/m:e&gt;&lt;/m:d&gt;&lt;m:r&gt;&lt;m:rPr&gt;&lt;m:sty m:val=&quot;bi&quot;/&gt;&lt;/m:rP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rPr&gt;&lt;/m:ctrlPr&gt;&lt;/m:fPr&gt;&lt;m:num&gt;&lt;m:r&gt;&lt;m:rPr&gt;&lt;m:sty m:val=&quot;bi&quot;/&gt;&lt;/m:rPr&gt;&lt;w:rPr&gt;&lt;w:rFonts w:ascii=&quot;Cambria Math&quot; w:h-ansi=&quot;Cambria Math&quot;/&gt;&lt;wx:font wx:val=&quot;Cambria Math&quot;/&gt;&lt;w:i/&gt;&lt;/w:rPr&gt;&lt;m:t&gt;1&lt;/m:t&gt;&lt;/m:r&gt;&lt;/m:num&gt;&lt;m:den&gt;&lt;m:r&gt;&lt;m:rPr&gt;&lt;m:sty m:val=&quot;bi&quot;/&gt;&lt;/m:rPr&gt;&lt;w:rPr&gt;&lt;w:rFonts w:ascii=&quot;Cambria Math&quot; w:h-ansi=&quot;Cambria Math&quot;/&gt;&lt;wx:font wx:val=&quot;Cambria Math&quot;/&gt;&lt;w:i/&gt;&lt;/w:rPr&gt;&lt;m:t&gt;2&lt;/m:t&gt;&lt;/m:r&gt;&lt;/m:den&gt;&lt;/m:f&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D&lt;/m:t&gt;&lt;/m:r&gt;&lt;/m:e&gt;&lt;m:sub&gt;&lt;m:r&gt;&lt;m:rPr&gt;&lt;m:sty m:val=&quot;bi&quot;/&gt;&lt;/m:rPr&gt;&lt;w:rPr&gt;&lt;w:rFonts w:ascii=&quot;Cambria Math&quot; w:h-ansi=&quot;Cambria Math&quot;/&gt;&lt;wx:font wx:val=&quot;Cambria Math&quot;/&gt;&lt;w:i/&gt;&lt;/w:rPr&gt;&lt;m:t&gt;KL&lt;/m:t&gt;&lt;/m:r&gt;&lt;/m:sub&gt;&lt;/m:sSub&gt;&lt;m:d&gt;&lt;m:dPr&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P&lt;/m:t&gt;&lt;/m:r&gt;&lt;/m:e&gt;&lt;m:sub&gt;&lt;m:r&gt;&lt;m:rPr&gt;&lt;m:sty m:val=&quot;b&quot;/&gt;&lt;/m:rPr&gt;&lt;w:rPr&gt;&lt;w:rFonts w:ascii=&quot;Cambria Math&quot; w:h-ansi=&quot;Cambria Math&quot;/&gt;&lt;wx:font wx:val=&quot;Cambria Math&quot;/&gt;&lt;/w:rPr&gt;&lt;m:t&gt;in&lt;/m:t&gt;&lt;/m:r&gt;&lt;/m:sub&gt;&lt;/m:sSub&gt;&lt;m:r&gt;&lt;m:rPr&gt;&lt;m:sty m:val=&quot;bi&quot;/&gt;&lt;/m:rPr&gt;&lt;w:rPr&gt;&lt;w:rFonts w:ascii=&quot;Cambria Math&quot; w:h-ansi=&quot;Cambria Math&quot;/&gt;&lt;wx:font wx:val=&quot;Cambria Math&quot;/&gt;&lt;w:i/&gt;&lt;/w:rPr&gt;&lt;m:t&gt;âˆ¥M&lt;/m:t&gt;&lt;/m:r&gt;&lt;/m:e&gt;&lt;/m:d&gt;&lt;m:r&gt;&lt;m:rPr&gt;&lt;m:sty m:val=&quot;bi&quot;/&gt;&lt;/m:rP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rPr&gt;&lt;/m:ctrlPr&gt;&lt;/m:fPr&gt;&lt;m:num&gt;&lt;m:r&gt;&lt;m:rPr&gt;&lt;m:sty m:val=&quot;bi&quot;/&gt;&lt;/m:rPr&gt;&lt;w:rPr&gt;&lt;w:rFonts w:ascii=&quot;Cambria Math&quot; w:h-ansi=&quot;Cambria Math&quot;/&gt;&lt;wx:font wx:val=&quot;Cambria Math&quot;/&gt;&lt;w:i/&gt;&lt;/w:rPr&gt;&lt;m:t&gt;1&lt;/m:t&gt;&lt;/m:r&gt;&lt;/m:num&gt;&lt;m:den&gt;&lt;m:r&gt;&lt;m:rPr&gt;&lt;m:sty m:val=&quot;bi&quot;/&gt;&lt;/m:rPr&gt;&lt;w:rPr&gt;&lt;w:rFonts w:ascii=&quot;Cambria Math&quot; w:h-ansi=&quot;Cambria Math&quot;/&gt;&lt;wx:font wx:val=&quot;Cambria Math&quot;/&gt;&lt;w:i/&gt;&lt;/w:rPr&gt;&lt;m:t&gt;2&lt;/m:t&gt;&lt;/m:r&gt;&lt;/m:den&gt;&lt;/m:f&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D&lt;/m:t&gt;&lt;/m:r&gt;&lt;/m:e&gt;&lt;m:sub&gt;&lt;m:r&gt;&lt;m:rPr&gt;&lt;m:sty m:val=&quot;bi&quot;/&gt;&lt;/m:rPr&gt;&lt;w:rPr&gt;&lt;w:rFonts w:ascii=&quot;Cambria Math&quot; w:h-ansi=&quot;Cambria Math&quot;/&gt;&lt;wx:font wx:val=&quot;Cambria Math&quot;/&gt;&lt;w:i/&gt;&lt;/w:rPr&gt;&lt;m:t&gt;KL&lt;/m:t&gt;&lt;/m:r&gt;&lt;/m:sub&gt;&lt;/m:sSub&gt;&lt;m:d&gt;&lt;m:dPr&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rPr&gt;&lt;/m:ctrlPr&gt;&lt;/m:sSubPr&gt;&lt;m:e&gt;&lt;m:r&gt;&lt;m:rPr&gt;&lt;m:sty m:val=&quot;bi&quot;/&gt;&lt;/m:rPr&gt;&lt;w:rPr&gt;&lt;w:rFonts w:ascii=&quot;Cambria Math&quot; w:h-ansi=&quot;Cambria Math&quot;/&gt;&lt;wx:font wx:val=&quot;Cambria Math&quot;/&gt;&lt;w:i/&gt;&lt;/w:rPr&gt;&lt;m:t&gt;P&lt;/m:t&gt;&lt;/m:r&gt;&lt;/m:e&gt;&lt;m:sub&gt;&lt;m:r&gt;&lt;m:rPr&gt;&lt;m:sty m:val=&quot;b&quot;/&gt;&lt;/m:rPr&gt;&lt;w:rPr&gt;&lt;w:rFonts w:ascii=&quot;Cambria Math&quot; w:h-ansi=&quot;Cambria Math&quot;/&gt;&lt;wx:font wx:val=&quot;Cambria Math&quot;/&gt;&lt;/w:rPr&gt;&lt;m:t&gt;out&lt;/m:t&gt;&lt;/m:r&gt;&lt;/m:sub&gt;&lt;/m:sSub&gt;&lt;m:r&gt;&lt;m:rPr&gt;&lt;m:sty m:val=&quot;bi&quot;/&gt;&lt;/m:rPr&gt;&lt;w:rPr&gt;&lt;w:rFonts w:ascii=&quot;Cambria Math&quot; w:h-ansi=&quot;Cambria Math&quot;/&gt;&lt;wx:font wx:val=&quot;Cambria Math&quot;/&gt;&lt;w:i/&gt;&lt;/w:rPr&gt;&lt;m:t&gt;âˆ¥M&lt;/m:t&gt;&lt;/m:r&gt;&lt;/m:e&gt;&lt;/m:d&gt;&lt;m:d&gt;&lt;m:dPr&gt;&lt;m:ctrlPr&gt;&lt;w:rPr&gt;&lt;w:rFonts w:ascii=&quot;Cambria Math&quot; w:h-ansi=&quot;Cambria Math&quot;/&gt;&lt;wx:font wx:val=&quot;Cambria Math&quot;/&gt;&lt;w:i/&gt;&lt;/w:rPr&gt;&lt;/m:ctrlPr&gt;&lt;/m:dPr&gt;&lt;m:e&gt;&lt;m:r&gt;&lt;m:rPr&gt;&lt;m:sty m:val=&quot;bi&quot;/&gt;&lt;/m:rPr&gt;&lt;w:rPr&gt;&lt;w:rFonts w:ascii=&quot;Cambria Math&quot; w:h-ansi=&quot;Cambria Math&quot;/&gt;&lt;wx:font wx:val=&quot;Cambria Math&quot;/&gt;&lt;w:i/&gt;&lt;/w:rPr&gt;&lt;m:t&gt;7&lt;/m:t&gt;&lt;/m:r&gt;&lt;/m:e&gt;&lt;/m:d&gt;&lt;/m:oMath&gt;&lt;/m:oMathPara&gt;&lt;/w:p&gt;&lt;w:sectPr wsp:rsidR=&quot;00000000&quot; wsp:rsidRPr=&quot;00BA08ED&quot;&gt;&lt;w:pgSz w:w=&quot;12240&quot; w:h=&quot;15840&quot;/&gt;&lt;w:pgMar w:top=&quot;1440&quot; w:right=&quot;1440&quot; w:bottom=&quot;1440&quot; w:left=&quot;1440&quot; w:header=&quot;720&quot; w:footer=&quot;720&quot; w:gutter=&quot;0&quot;/&gt;&lt;w:cols w:space=&quot;720&quot;/&gt;&lt;/w:sectPr&gt;&lt;/wx:sect&gt;&lt;/w:body&gt;&lt;/w:wordDocument&gt;">
            <v:imagedata r:id="rId31" o:title="" chromakey="white"/>
          </v:shape>
        </w:pict>
      </w:r>
    </w:p>
    <w:p w14:paraId="469A091E" w14:textId="338D5D30" w:rsidR="004767C1" w:rsidRDefault="004767C1" w:rsidP="004767C1">
      <w:pPr>
        <w:pStyle w:val="MainText"/>
        <w:rPr>
          <w:rFonts w:eastAsia="DengXian"/>
          <w:lang w:eastAsia="zh-CN"/>
        </w:rPr>
      </w:pPr>
      <w:r w:rsidRPr="004D1B5C">
        <w:t xml:space="preserve">Through this method, we can systematically analyse temporal irreversibility at different levels:  </w:t>
      </w:r>
      <w:r w:rsidRPr="004D1B5C">
        <w:fldChar w:fldCharType="begin"/>
      </w:r>
      <w:r w:rsidRPr="004D1B5C">
        <w:instrText xml:space="preserve"> QUOTE </w:instrText>
      </w:r>
      <w:r w:rsidR="00E94C34">
        <w:rPr>
          <w:position w:val="-5"/>
        </w:rPr>
        <w:pict w14:anchorId="32CFFA88">
          <v:shape id="_x0000_i1051" type="#_x0000_t75" style="width:36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261E&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F6261E&quot; wsp:rsidRDefault=&quot;00F6261E&quot; wsp:rsidP=&quot;00F6261E&quot;&gt;&lt;m:oMathPara&gt;&lt;m:oMath&gt;&lt;m:r&gt;&lt;m:rPr&gt;&lt;m:sty m:val=&quot;bi&quot;/&gt;&lt;/m:rPr&gt;&lt;w:rPr&gt;&lt;w:rFonts w:ascii=&quot;Cambria Math&quot; w:h-ansi=&quot;Cambria Math&quot;/&gt;&lt;wx:font wx:val=&quot;Cambria Math&quot;/&gt;&lt;w:i/&gt;&lt;/w:rPr&gt;&lt;m:t&gt;k = 1&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2" o:title="" chromakey="white"/>
          </v:shape>
        </w:pict>
      </w:r>
      <w:r w:rsidRPr="004D1B5C">
        <w:instrText xml:space="preserve"> </w:instrText>
      </w:r>
      <w:r w:rsidRPr="004D1B5C">
        <w:fldChar w:fldCharType="separate"/>
      </w:r>
      <w:r w:rsidR="00E94C34">
        <w:rPr>
          <w:position w:val="-5"/>
        </w:rPr>
        <w:pict w14:anchorId="1294A81E">
          <v:shape id="_x0000_i1052" type="#_x0000_t75" style="width:28.5pt;height:11.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261E&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F6261E&quot; wsp:rsidRDefault=&quot;00F6261E&quot; wsp:rsidP=&quot;00F6261E&quot;&gt;&lt;m:oMathPara&gt;&lt;m:oMath&gt;&lt;m:r&gt;&lt;m:rPr&gt;&lt;m:sty m:val=&quot;bi&quot;/&gt;&lt;/m:rPr&gt;&lt;w:rPr&gt;&lt;w:rFonts w:ascii=&quot;Cambria Math&quot; w:h-ansi=&quot;Cambria Math&quot;/&gt;&lt;wx:font wx:val=&quot;Cambria Math&quot;/&gt;&lt;w:i/&gt;&lt;/w:rPr&gt;&lt;m:t&gt;k = 1&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2" o:title="" chromakey="white"/>
          </v:shape>
        </w:pict>
      </w:r>
      <w:r w:rsidRPr="004D1B5C">
        <w:fldChar w:fldCharType="end"/>
      </w:r>
      <w:r w:rsidRPr="004D1B5C">
        <w:t xml:space="preserve">  corresponds to the characteristics of individual modes,</w:t>
      </w:r>
      <w:r w:rsidRPr="004D1B5C">
        <w:rPr>
          <w:i/>
        </w:rPr>
        <w:t xml:space="preserve"> </w:t>
      </w:r>
      <w:r w:rsidRPr="004D1B5C">
        <w:fldChar w:fldCharType="begin"/>
      </w:r>
      <w:r w:rsidRPr="004D1B5C">
        <w:instrText xml:space="preserve"> QUOTE </w:instrText>
      </w:r>
      <w:r w:rsidR="00E94C34">
        <w:rPr>
          <w:position w:val="-5"/>
        </w:rPr>
        <w:pict w14:anchorId="4F8F76FB">
          <v:shape id="_x0000_i1053" type="#_x0000_t75" style="width:36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02C1C&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502C1C&quot; wsp:rsidRDefault=&quot;00502C1C&quot; wsp:rsidP=&quot;00502C1C&quot;&gt;&lt;m:oMathPara&gt;&lt;m:oMath&gt;&lt;m:r&gt;&lt;m:rPr&gt;&lt;m:sty m:val=&quot;bi&quot;/&gt;&lt;/m:rPr&gt;&lt;w:rPr&gt;&lt;w:rFonts w:ascii=&quot;Cambria Math&quot; w:h-ansi=&quot;Cambria Math&quot;/&gt;&lt;wx:font wx:val=&quot;Cambria Math&quot;/&gt;&lt;w:i/&gt;&lt;/w:rPr&gt;&lt;m:t&gt;k = 2&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3" o:title="" chromakey="white"/>
          </v:shape>
        </w:pict>
      </w:r>
      <w:r w:rsidRPr="004D1B5C">
        <w:instrText xml:space="preserve"> </w:instrText>
      </w:r>
      <w:r w:rsidRPr="004D1B5C">
        <w:fldChar w:fldCharType="separate"/>
      </w:r>
      <w:r w:rsidR="00E94C34">
        <w:rPr>
          <w:position w:val="-5"/>
        </w:rPr>
        <w:pict w14:anchorId="13B9CA8F">
          <v:shape id="_x0000_i1054" type="#_x0000_t75" style="width:28.5pt;height:11.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02C1C&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502C1C&quot; wsp:rsidRDefault=&quot;00502C1C&quot; wsp:rsidP=&quot;00502C1C&quot;&gt;&lt;m:oMathPara&gt;&lt;m:oMath&gt;&lt;m:r&gt;&lt;m:rPr&gt;&lt;m:sty m:val=&quot;bi&quot;/&gt;&lt;/m:rPr&gt;&lt;w:rPr&gt;&lt;w:rFonts w:ascii=&quot;Cambria Math&quot; w:h-ansi=&quot;Cambria Math&quot;/&gt;&lt;wx:font wx:val=&quot;Cambria Math&quot;/&gt;&lt;w:i/&gt;&lt;/w:rPr&gt;&lt;m:t&gt;k = 2&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3" o:title="" chromakey="white"/>
          </v:shape>
        </w:pict>
      </w:r>
      <w:r w:rsidRPr="004D1B5C">
        <w:fldChar w:fldCharType="end"/>
      </w:r>
      <w:r w:rsidRPr="004D1B5C">
        <w:t xml:space="preserve"> reflects interactions between mode pairs, and higher order</w:t>
      </w:r>
      <w:r w:rsidRPr="004D1B5C">
        <w:rPr>
          <w:i/>
        </w:rPr>
        <w:t xml:space="preserve"> </w:t>
      </w:r>
      <w:r w:rsidRPr="004D1B5C">
        <w:fldChar w:fldCharType="begin"/>
      </w:r>
      <w:r w:rsidRPr="004D1B5C">
        <w:instrText xml:space="preserve"> QUOTE </w:instrText>
      </w:r>
      <w:r w:rsidR="00E94C34">
        <w:rPr>
          <w:position w:val="-5"/>
        </w:rPr>
        <w:pict w14:anchorId="17B2AAA4">
          <v:shape id="_x0000_i1055" type="#_x0000_t75" style="width:7.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620CB&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D620CB&quot; wsp:rsidRDefault=&quot;00D620CB&quot; wsp:rsidP=&quot;00D620CB&quot;&gt;&lt;m:oMathPara&gt;&lt;m:oMath&gt;&lt;m:r&gt;&lt;m:rPr&gt;&lt;m:sty m:val=&quot;bi&quot;/&gt;&lt;/m:rPr&gt;&lt;w:rPr&gt;&lt;w:rFonts w:ascii=&quot;Cambria Math&quot; w:h-ansi=&quot;Cambria Math&quot;/&gt;&lt;wx:font wx:val=&quot;Cambria Math&quot;/&gt;&lt;w:i/&gt;&lt;/w:rPr&gt;&lt;m:t&gt;k&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4" o:title="" chromakey="white"/>
          </v:shape>
        </w:pict>
      </w:r>
      <w:r w:rsidRPr="004D1B5C">
        <w:instrText xml:space="preserve"> </w:instrText>
      </w:r>
      <w:r w:rsidRPr="004D1B5C">
        <w:fldChar w:fldCharType="separate"/>
      </w:r>
      <w:r w:rsidR="00E94C34">
        <w:rPr>
          <w:position w:val="-5"/>
        </w:rPr>
        <w:pict w14:anchorId="6A132984">
          <v:shape id="_x0000_i1056" type="#_x0000_t75" style="width:6.7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115A7&quot;/&gt;&lt;wsp:rsid wsp:val=&quot;00016F2D&quot;/&gt;&lt;wsp:rsid wsp:val=&quot;00017B66&quot;/&gt;&lt;wsp:rsid wsp:val=&quot;000215C4&quot;/&gt;&lt;wsp:rsid wsp:val=&quot;000329CA&quot;/&gt;&lt;wsp:rsid wsp:val=&quot;00032BAF&quot;/&gt;&lt;wsp:rsid wsp:val=&quot;00041183&quot;/&gt;&lt;wsp:rsid wsp:val=&quot;00041B90&quot;/&gt;&lt;wsp:rsid wsp:val=&quot;000470C3&quot;/&gt;&lt;wsp:rsid wsp:val=&quot;00060AD0&quot;/&gt;&lt;wsp:rsid wsp:val=&quot;00063C7B&quot;/&gt;&lt;wsp:rsid wsp:val=&quot;00071583&quot;/&gt;&lt;wsp:rsid wsp:val=&quot;00076448&quot;/&gt;&lt;wsp:rsid wsp:val=&quot;000861F7&quot;/&gt;&lt;wsp:rsid wsp:val=&quot;00094A82&quot;/&gt;&lt;wsp:rsid wsp:val=&quot;00095014&quot;/&gt;&lt;wsp:rsid wsp:val=&quot;000A364B&quot;/&gt;&lt;wsp:rsid wsp:val=&quot;000B62D6&quot;/&gt;&lt;wsp:rsid wsp:val=&quot;000C3324&quot;/&gt;&lt;wsp:rsid wsp:val=&quot;000C79BC&quot;/&gt;&lt;wsp:rsid wsp:val=&quot;000D5BB5&quot;/&gt;&lt;wsp:rsid wsp:val=&quot;000F4745&quot;/&gt;&lt;wsp:rsid wsp:val=&quot;00100674&quot;/&gt;&lt;wsp:rsid wsp:val=&quot;001029BA&quot;/&gt;&lt;wsp:rsid wsp:val=&quot;0012137D&quot;/&gt;&lt;wsp:rsid wsp:val=&quot;0012216D&quot;/&gt;&lt;wsp:rsid wsp:val=&quot;00154061&quot;/&gt;&lt;wsp:rsid wsp:val=&quot;00155EA0&quot;/&gt;&lt;wsp:rsid wsp:val=&quot;001A0B08&quot;/&gt;&lt;wsp:rsid wsp:val=&quot;001A4741&quot;/&gt;&lt;wsp:rsid wsp:val=&quot;001B0C20&quot;/&gt;&lt;wsp:rsid wsp:val=&quot;001B6B82&quot;/&gt;&lt;wsp:rsid wsp:val=&quot;001C535D&quot;/&gt;&lt;wsp:rsid wsp:val=&quot;001D6CCF&quot;/&gt;&lt;wsp:rsid wsp:val=&quot;001D72F8&quot;/&gt;&lt;wsp:rsid wsp:val=&quot;001E03B8&quot;/&gt;&lt;wsp:rsid wsp:val=&quot;001F56EB&quot;/&gt;&lt;wsp:rsid wsp:val=&quot;002100A8&quot;/&gt;&lt;wsp:rsid wsp:val=&quot;00213073&quot;/&gt;&lt;wsp:rsid wsp:val=&quot;00216CAD&quot;/&gt;&lt;wsp:rsid wsp:val=&quot;002208AA&quot;/&gt;&lt;wsp:rsid wsp:val=&quot;00230396&quot;/&gt;&lt;wsp:rsid wsp:val=&quot;0024432C&quot;/&gt;&lt;wsp:rsid wsp:val=&quot;00246E7B&quot;/&gt;&lt;wsp:rsid wsp:val=&quot;00254FFD&quot;/&gt;&lt;wsp:rsid wsp:val=&quot;002715DF&quot;/&gt;&lt;wsp:rsid wsp:val=&quot;002739B1&quot;/&gt;&lt;wsp:rsid wsp:val=&quot;00283E92&quot;/&gt;&lt;wsp:rsid wsp:val=&quot;00295B55&quot;/&gt;&lt;wsp:rsid wsp:val=&quot;002977A1&quot;/&gt;&lt;wsp:rsid wsp:val=&quot;00297D53&quot;/&gt;&lt;wsp:rsid wsp:val=&quot;00302192&quot;/&gt;&lt;wsp:rsid wsp:val=&quot;00324810&quot;/&gt;&lt;wsp:rsid wsp:val=&quot;0033283E&quot;/&gt;&lt;wsp:rsid wsp:val=&quot;003412C9&quot;/&gt;&lt;wsp:rsid wsp:val=&quot;00364DE2&quot;/&gt;&lt;wsp:rsid wsp:val=&quot;00372649&quot;/&gt;&lt;wsp:rsid wsp:val=&quot;003B45D4&quot;/&gt;&lt;wsp:rsid wsp:val=&quot;003E1723&quot;/&gt;&lt;wsp:rsid wsp:val=&quot;003F1F2A&quot;/&gt;&lt;wsp:rsid wsp:val=&quot;0042205D&quot;/&gt;&lt;wsp:rsid wsp:val=&quot;0042338A&quot;/&gt;&lt;wsp:rsid wsp:val=&quot;004331D6&quot;/&gt;&lt;wsp:rsid wsp:val=&quot;00452605&quot;/&gt;&lt;wsp:rsid wsp:val=&quot;0047494E&quot;/&gt;&lt;wsp:rsid wsp:val=&quot;004767C1&quot;/&gt;&lt;wsp:rsid wsp:val=&quot;00480680&quot;/&gt;&lt;wsp:rsid wsp:val=&quot;004939CF&quot;/&gt;&lt;wsp:rsid wsp:val=&quot;00493DE1&quot;/&gt;&lt;wsp:rsid wsp:val=&quot;004E20F3&quot;/&gt;&lt;wsp:rsid wsp:val=&quot;004F55C0&quot;/&gt;&lt;wsp:rsid wsp:val=&quot;004F6326&quot;/&gt;&lt;wsp:rsid wsp:val=&quot;00513DBC&quot;/&gt;&lt;wsp:rsid wsp:val=&quot;00521F7B&quot;/&gt;&lt;wsp:rsid wsp:val=&quot;005228B8&quot;/&gt;&lt;wsp:rsid wsp:val=&quot;00523059&quot;/&gt;&lt;wsp:rsid wsp:val=&quot;005356CF&quot;/&gt;&lt;wsp:rsid wsp:val=&quot;0054466D&quot;/&gt;&lt;wsp:rsid wsp:val=&quot;00580E0F&quot;/&gt;&lt;wsp:rsid wsp:val=&quot;005A0994&quot;/&gt;&lt;wsp:rsid wsp:val=&quot;005A108C&quot;/&gt;&lt;wsp:rsid wsp:val=&quot;005B2BD1&quot;/&gt;&lt;wsp:rsid wsp:val=&quot;005B724E&quot;/&gt;&lt;wsp:rsid wsp:val=&quot;005E4273&quot;/&gt;&lt;wsp:rsid wsp:val=&quot;005F74EF&quot;/&gt;&lt;wsp:rsid wsp:val=&quot;006069C3&quot;/&gt;&lt;wsp:rsid wsp:val=&quot;00621641&quot;/&gt;&lt;wsp:rsid wsp:val=&quot;00637024&quot;/&gt;&lt;wsp:rsid wsp:val=&quot;006370A7&quot;/&gt;&lt;wsp:rsid wsp:val=&quot;00655CAD&quot;/&gt;&lt;wsp:rsid wsp:val=&quot;0065674D&quot;/&gt;&lt;wsp:rsid wsp:val=&quot;00656C2C&quot;/&gt;&lt;wsp:rsid wsp:val=&quot;00681F34&quot;/&gt;&lt;wsp:rsid wsp:val=&quot;006A2AB1&quot;/&gt;&lt;wsp:rsid wsp:val=&quot;006A6A7E&quot;/&gt;&lt;wsp:rsid wsp:val=&quot;006B228A&quot;/&gt;&lt;wsp:rsid wsp:val=&quot;006B264D&quot;/&gt;&lt;wsp:rsid wsp:val=&quot;006C4863&quot;/&gt;&lt;wsp:rsid wsp:val=&quot;006C5367&quot;/&gt;&lt;wsp:rsid wsp:val=&quot;006C79D8&quot;/&gt;&lt;wsp:rsid wsp:val=&quot;006D5C01&quot;/&gt;&lt;wsp:rsid wsp:val=&quot;00700811&quot;/&gt;&lt;wsp:rsid wsp:val=&quot;00701B43&quot;/&gt;&lt;wsp:rsid wsp:val=&quot;007134BE&quot;/&gt;&lt;wsp:rsid wsp:val=&quot;0071499A&quot;/&gt;&lt;wsp:rsid wsp:val=&quot;0072784F&quot;/&gt;&lt;wsp:rsid wsp:val=&quot;007459B1&quot;/&gt;&lt;wsp:rsid wsp:val=&quot;007573F6&quot;/&gt;&lt;wsp:rsid wsp:val=&quot;007638D1&quot;/&gt;&lt;wsp:rsid wsp:val=&quot;00781485&quot;/&gt;&lt;wsp:rsid wsp:val=&quot;0079586B&quot;/&gt;&lt;wsp:rsid wsp:val=&quot;007B134F&quot;/&gt;&lt;wsp:rsid wsp:val=&quot;007C3528&quot;/&gt;&lt;wsp:rsid wsp:val=&quot;007E3BD9&quot;/&gt;&lt;wsp:rsid wsp:val=&quot;007F2CCF&quot;/&gt;&lt;wsp:rsid wsp:val=&quot;007F30EC&quot;/&gt;&lt;wsp:rsid wsp:val=&quot;007F5224&quot;/&gt;&lt;wsp:rsid wsp:val=&quot;007F6AAE&quot;/&gt;&lt;wsp:rsid wsp:val=&quot;00801AB1&quot;/&gt;&lt;wsp:rsid wsp:val=&quot;00802FC9&quot;/&gt;&lt;wsp:rsid wsp:val=&quot;00812538&quot;/&gt;&lt;wsp:rsid wsp:val=&quot;00814B3A&quot;/&gt;&lt;wsp:rsid wsp:val=&quot;0081763A&quot;/&gt;&lt;wsp:rsid wsp:val=&quot;00821DF0&quot;/&gt;&lt;wsp:rsid wsp:val=&quot;0083446D&quot;/&gt;&lt;wsp:rsid wsp:val=&quot;008365F1&quot;/&gt;&lt;wsp:rsid wsp:val=&quot;00842657&quot;/&gt;&lt;wsp:rsid wsp:val=&quot;00845689&quot;/&gt;&lt;wsp:rsid wsp:val=&quot;008461C1&quot;/&gt;&lt;wsp:rsid wsp:val=&quot;00850825&quot;/&gt;&lt;wsp:rsid wsp:val=&quot;00854663&quot;/&gt;&lt;wsp:rsid wsp:val=&quot;008556AB&quot;/&gt;&lt;wsp:rsid wsp:val=&quot;00857E6D&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B583D&quot;/&gt;&lt;wsp:rsid wsp:val=&quot;008B6A2D&quot;/&gt;&lt;wsp:rsid wsp:val=&quot;008B7508&quot;/&gt;&lt;wsp:rsid wsp:val=&quot;008C1D1F&quot;/&gt;&lt;wsp:rsid wsp:val=&quot;008C70E5&quot;/&gt;&lt;wsp:rsid wsp:val=&quot;008C7709&quot;/&gt;&lt;wsp:rsid wsp:val=&quot;008D1758&quot;/&gt;&lt;wsp:rsid wsp:val=&quot;008D55B7&quot;/&gt;&lt;wsp:rsid wsp:val=&quot;008F0255&quot;/&gt;&lt;wsp:rsid wsp:val=&quot;008F3AA5&quot;/&gt;&lt;wsp:rsid wsp:val=&quot;00900092&quot;/&gt;&lt;wsp:rsid wsp:val=&quot;0090778C&quot;/&gt;&lt;wsp:rsid wsp:val=&quot;00910728&quot;/&gt;&lt;wsp:rsid wsp:val=&quot;0091410E&quot;/&gt;&lt;wsp:rsid wsp:val=&quot;00923F70&quot;/&gt;&lt;wsp:rsid wsp:val=&quot;009251E5&quot;/&gt;&lt;wsp:rsid wsp:val=&quot;00933D04&quot;/&gt;&lt;wsp:rsid wsp:val=&quot;00936D2D&quot;/&gt;&lt;wsp:rsid wsp:val=&quot;009450F6&quot;/&gt;&lt;wsp:rsid wsp:val=&quot;009465E7&quot;/&gt;&lt;wsp:rsid wsp:val=&quot;00947200&quot;/&gt;&lt;wsp:rsid wsp:val=&quot;0095653F&quot;/&gt;&lt;wsp:rsid wsp:val=&quot;009648B4&quot;/&gt;&lt;wsp:rsid wsp:val=&quot;00964B2F&quot;/&gt;&lt;wsp:rsid wsp:val=&quot;00991A6B&quot;/&gt;&lt;wsp:rsid wsp:val=&quot;00996337&quot;/&gt;&lt;wsp:rsid wsp:val=&quot;009D3296&quot;/&gt;&lt;wsp:rsid wsp:val=&quot;009E06BD&quot;/&gt;&lt;wsp:rsid wsp:val=&quot;009E5926&quot;/&gt;&lt;wsp:rsid wsp:val=&quot;009F0B7A&quot;/&gt;&lt;wsp:rsid wsp:val=&quot;00A113E7&quot;/&gt;&lt;wsp:rsid wsp:val=&quot;00A1355D&quot;/&gt;&lt;wsp:rsid wsp:val=&quot;00A23450&quot;/&gt;&lt;wsp:rsid wsp:val=&quot;00A3747D&quot;/&gt;&lt;wsp:rsid wsp:val=&quot;00A70111&quot;/&gt;&lt;wsp:rsid wsp:val=&quot;00A74484&quot;/&gt;&lt;wsp:rsid wsp:val=&quot;00A87382&quot;/&gt;&lt;wsp:rsid wsp:val=&quot;00A92A2C&quot;/&gt;&lt;wsp:rsid wsp:val=&quot;00A974D7&quot;/&gt;&lt;wsp:rsid wsp:val=&quot;00AA1895&quot;/&gt;&lt;wsp:rsid wsp:val=&quot;00AA1FBC&quot;/&gt;&lt;wsp:rsid wsp:val=&quot;00AA5330&quot;/&gt;&lt;wsp:rsid wsp:val=&quot;00AB2309&quot;/&gt;&lt;wsp:rsid wsp:val=&quot;00AC40DF&quot;/&gt;&lt;wsp:rsid wsp:val=&quot;00AC4D20&quot;/&gt;&lt;wsp:rsid wsp:val=&quot;00AC79BB&quot;/&gt;&lt;wsp:rsid wsp:val=&quot;00AF1F2B&quot;/&gt;&lt;wsp:rsid wsp:val=&quot;00AF7083&quot;/&gt;&lt;wsp:rsid wsp:val=&quot;00B20A61&quot;/&gt;&lt;wsp:rsid wsp:val=&quot;00B339D8&quot;/&gt;&lt;wsp:rsid wsp:val=&quot;00B750B3&quot;/&gt;&lt;wsp:rsid wsp:val=&quot;00B76C0C&quot;/&gt;&lt;wsp:rsid wsp:val=&quot;00B77A41&quot;/&gt;&lt;wsp:rsid wsp:val=&quot;00B84E07&quot;/&gt;&lt;wsp:rsid wsp:val=&quot;00B86B2E&quot;/&gt;&lt;wsp:rsid wsp:val=&quot;00BC0D0B&quot;/&gt;&lt;wsp:rsid wsp:val=&quot;00BE258C&quot;/&gt;&lt;wsp:rsid wsp:val=&quot;00BF5B80&quot;/&gt;&lt;wsp:rsid wsp:val=&quot;00C04303&quot;/&gt;&lt;wsp:rsid wsp:val=&quot;00C06233&quot;/&gt;&lt;wsp:rsid wsp:val=&quot;00C07CE0&quot;/&gt;&lt;wsp:rsid wsp:val=&quot;00C07F73&quot;/&gt;&lt;wsp:rsid wsp:val=&quot;00C10295&quot;/&gt;&lt;wsp:rsid wsp:val=&quot;00C31D5E&quot;/&gt;&lt;wsp:rsid wsp:val=&quot;00C32EB1&quot;/&gt;&lt;wsp:rsid wsp:val=&quot;00C41557&quot;/&gt;&lt;wsp:rsid wsp:val=&quot;00C4506F&quot;/&gt;&lt;wsp:rsid wsp:val=&quot;00C669E4&quot;/&gt;&lt;wsp:rsid wsp:val=&quot;00C8701C&quot;/&gt;&lt;wsp:rsid wsp:val=&quot;00C93570&quot;/&gt;&lt;wsp:rsid wsp:val=&quot;00C956D1&quot;/&gt;&lt;wsp:rsid wsp:val=&quot;00CA3ECE&quot;/&gt;&lt;wsp:rsid wsp:val=&quot;00CB2332&quot;/&gt;&lt;wsp:rsid wsp:val=&quot;00CC6C6A&quot;/&gt;&lt;wsp:rsid wsp:val=&quot;00CD5170&quot;/&gt;&lt;wsp:rsid wsp:val=&quot;00CE5799&quot;/&gt;&lt;wsp:rsid wsp:val=&quot;00CE5B24&quot;/&gt;&lt;wsp:rsid wsp:val=&quot;00CE721C&quot;/&gt;&lt;wsp:rsid wsp:val=&quot;00CF139F&quot;/&gt;&lt;wsp:rsid wsp:val=&quot;00CF20EA&quot;/&gt;&lt;wsp:rsid wsp:val=&quot;00CF475C&quot;/&gt;&lt;wsp:rsid wsp:val=&quot;00CF6922&quot;/&gt;&lt;wsp:rsid wsp:val=&quot;00D053CB&quot;/&gt;&lt;wsp:rsid wsp:val=&quot;00D14182&quot;/&gt;&lt;wsp:rsid wsp:val=&quot;00D31278&quot;/&gt;&lt;wsp:rsid wsp:val=&quot;00D43670&quot;/&gt;&lt;wsp:rsid wsp:val=&quot;00D461B2&quot;/&gt;&lt;wsp:rsid wsp:val=&quot;00D620CB&quot;/&gt;&lt;wsp:rsid wsp:val=&quot;00D77DA7&quot;/&gt;&lt;wsp:rsid wsp:val=&quot;00D801A8&quot;/&gt;&lt;wsp:rsid wsp:val=&quot;00D9398E&quot;/&gt;&lt;wsp:rsid wsp:val=&quot;00DB60B6&quot;/&gt;&lt;wsp:rsid wsp:val=&quot;00DD1770&quot;/&gt;&lt;wsp:rsid wsp:val=&quot;00DD687C&quot;/&gt;&lt;wsp:rsid wsp:val=&quot;00DE1562&quot;/&gt;&lt;wsp:rsid wsp:val=&quot;00DE2C5C&quot;/&gt;&lt;wsp:rsid wsp:val=&quot;00DE4AB5&quot;/&gt;&lt;wsp:rsid wsp:val=&quot;00DF42B5&quot;/&gt;&lt;wsp:rsid wsp:val=&quot;00E13700&quot;/&gt;&lt;wsp:rsid wsp:val=&quot;00E215D2&quot;/&gt;&lt;wsp:rsid wsp:val=&quot;00E32DD4&quot;/&gt;&lt;wsp:rsid wsp:val=&quot;00E34D7A&quot;/&gt;&lt;wsp:rsid wsp:val=&quot;00E4344D&quot;/&gt;&lt;wsp:rsid wsp:val=&quot;00E537D0&quot;/&gt;&lt;wsp:rsid wsp:val=&quot;00E70355&quot;/&gt;&lt;wsp:rsid wsp:val=&quot;00E72291&quot;/&gt;&lt;wsp:rsid wsp:val=&quot;00E84285&quot;/&gt;&lt;wsp:rsid wsp:val=&quot;00E90A6D&quot;/&gt;&lt;wsp:rsid wsp:val=&quot;00E970F9&quot;/&gt;&lt;wsp:rsid wsp:val=&quot;00EC61B4&quot;/&gt;&lt;wsp:rsid wsp:val=&quot;00ED3661&quot;/&gt;&lt;wsp:rsid wsp:val=&quot;00EE40DD&quot;/&gt;&lt;wsp:rsid wsp:val=&quot;00EF0109&quot;/&gt;&lt;wsp:rsid wsp:val=&quot;00EF5BFB&quot;/&gt;&lt;wsp:rsid wsp:val=&quot;00EF7644&quot;/&gt;&lt;wsp:rsid wsp:val=&quot;00F05EA2&quot;/&gt;&lt;wsp:rsid wsp:val=&quot;00F2258D&quot;/&gt;&lt;wsp:rsid wsp:val=&quot;00F26717&quot;/&gt;&lt;wsp:rsid wsp:val=&quot;00F26E45&quot;/&gt;&lt;wsp:rsid wsp:val=&quot;00F51F2B&quot;/&gt;&lt;wsp:rsid wsp:val=&quot;00F608DB&quot;/&gt;&lt;wsp:rsid wsp:val=&quot;00F634DB&quot;/&gt;&lt;wsp:rsid wsp:val=&quot;00F65C51&quot;/&gt;&lt;wsp:rsid wsp:val=&quot;00F733B8&quot;/&gt;&lt;wsp:rsid wsp:val=&quot;00F8264F&quot;/&gt;&lt;wsp:rsid wsp:val=&quot;00FA5345&quot;/&gt;&lt;wsp:rsid wsp:val=&quot;00FA6FE6&quot;/&gt;&lt;wsp:rsid wsp:val=&quot;00FB1B83&quot;/&gt;&lt;wsp:rsid wsp:val=&quot;00FD5523&quot;/&gt;&lt;wsp:rsid wsp:val=&quot;00FE4248&quot;/&gt;&lt;/wsp:rsids&gt;&lt;/w:docPr&gt;&lt;w:body&gt;&lt;wx:sect&gt;&lt;w:p wsp:rsidR=&quot;00D620CB&quot; wsp:rsidRDefault=&quot;00D620CB&quot; wsp:rsidP=&quot;00D620CB&quot;&gt;&lt;m:oMathPara&gt;&lt;m:oMath&gt;&lt;m:r&gt;&lt;m:rPr&gt;&lt;m:sty m:val=&quot;bi&quot;/&gt;&lt;/m:rPr&gt;&lt;w:rPr&gt;&lt;w:rFonts w:ascii=&quot;Cambria Math&quot; w:h-ansi=&quot;Cambria Math&quot;/&gt;&lt;wx:font wx:val=&quot;Cambria Math&quot;/&gt;&lt;w:i/&gt;&lt;/w:rPr&gt;&lt;m:t&gt;k&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4" o:title="" chromakey="white"/>
          </v:shape>
        </w:pict>
      </w:r>
      <w:r w:rsidRPr="004D1B5C">
        <w:fldChar w:fldCharType="end"/>
      </w:r>
      <w:r w:rsidRPr="004D1B5C">
        <w:t xml:space="preserve"> reveals complex collective behavioural patterns.</w:t>
      </w:r>
    </w:p>
    <w:p w14:paraId="00317CD7" w14:textId="77777777" w:rsidR="0060744F" w:rsidRDefault="0060744F" w:rsidP="004767C1">
      <w:pPr>
        <w:pStyle w:val="MainText"/>
        <w:rPr>
          <w:rFonts w:eastAsia="DengXian"/>
          <w:lang w:eastAsia="zh-CN"/>
        </w:rPr>
      </w:pPr>
    </w:p>
    <w:p w14:paraId="485457B6" w14:textId="6D2780B8" w:rsidR="004767C1" w:rsidRDefault="004767C1" w:rsidP="004767C1">
      <w:pPr>
        <w:pStyle w:val="Heading1"/>
        <w:rPr>
          <w:rFonts w:eastAsia="DengXian"/>
          <w:lang w:eastAsia="zh-CN"/>
        </w:rPr>
      </w:pPr>
      <w:r w:rsidRPr="004D1B5C">
        <w:t xml:space="preserve">4. </w:t>
      </w:r>
      <w:r>
        <w:rPr>
          <w:rFonts w:eastAsia="DengXian"/>
          <w:lang w:eastAsia="zh-CN"/>
        </w:rPr>
        <w:t>CASE STUDY</w:t>
      </w:r>
    </w:p>
    <w:p w14:paraId="78F9AF25" w14:textId="58B9D951" w:rsidR="00DE3A31" w:rsidRDefault="004D1B5C" w:rsidP="004D1B5C">
      <w:pPr>
        <w:pStyle w:val="PlainText"/>
        <w:rPr>
          <w:rFonts w:eastAsia="DengXian"/>
          <w:b/>
          <w:sz w:val="20"/>
          <w:lang w:eastAsia="zh-CN"/>
        </w:rPr>
      </w:pPr>
      <w:r w:rsidRPr="004D1B5C">
        <w:rPr>
          <w:rFonts w:eastAsia="DengXian"/>
          <w:b/>
          <w:sz w:val="20"/>
          <w:lang w:eastAsia="zh-CN"/>
        </w:rPr>
        <w:t>4</w:t>
      </w:r>
      <w:r w:rsidRPr="004D1B5C">
        <w:rPr>
          <w:b/>
          <w:sz w:val="20"/>
        </w:rPr>
        <w:t>.1 Data Description</w:t>
      </w:r>
    </w:p>
    <w:p w14:paraId="5B528E6B" w14:textId="5491006C" w:rsidR="004767C1" w:rsidRDefault="004D1B5C" w:rsidP="004D1B5C">
      <w:pPr>
        <w:pStyle w:val="MainText"/>
        <w:rPr>
          <w:rFonts w:eastAsia="DengXian"/>
          <w:lang w:eastAsia="zh-CN"/>
        </w:rPr>
      </w:pPr>
      <w:r w:rsidRPr="004D1B5C">
        <w:t>This case study focuses on the City of London, covering an area of 12.727 km² with approximately 5,200 road segments analysed (</w:t>
      </w:r>
      <w:r w:rsidR="00245738">
        <w:rPr>
          <w:rFonts w:eastAsia="DengXian" w:hint="eastAsia"/>
          <w:lang w:eastAsia="zh-CN"/>
        </w:rPr>
        <w:t>Fig.3(</w:t>
      </w:r>
      <w:r w:rsidRPr="004D1B5C">
        <w:t>a</w:t>
      </w:r>
      <w:r w:rsidR="00245738">
        <w:rPr>
          <w:rFonts w:eastAsia="DengXian" w:hint="eastAsia"/>
          <w:lang w:eastAsia="zh-CN"/>
        </w:rPr>
        <w:t>)</w:t>
      </w:r>
      <w:r w:rsidRPr="004D1B5C">
        <w:t>-</w:t>
      </w:r>
      <w:r w:rsidR="00245738">
        <w:rPr>
          <w:rFonts w:eastAsia="DengXian" w:hint="eastAsia"/>
          <w:lang w:eastAsia="zh-CN"/>
        </w:rPr>
        <w:t>(</w:t>
      </w:r>
      <w:r w:rsidRPr="004D1B5C">
        <w:t>e</w:t>
      </w:r>
      <w:r w:rsidR="00245738">
        <w:rPr>
          <w:rFonts w:eastAsia="DengXian" w:hint="eastAsia"/>
          <w:lang w:eastAsia="zh-CN"/>
        </w:rPr>
        <w:t>)</w:t>
      </w:r>
      <w:r w:rsidRPr="004D1B5C">
        <w:t>). We utili</w:t>
      </w:r>
      <w:r w:rsidR="00A0468A">
        <w:t>sed</w:t>
      </w:r>
      <w:r w:rsidRPr="004D1B5C">
        <w:t xml:space="preserve"> comprehensive traffic data from University College London's Department of Civil, Environmental and Geomatic Engineering, encompassing hourly flow measurements across four primary transportation modes: buses, cars, cycles, and walks (</w:t>
      </w:r>
      <w:r w:rsidR="00245738">
        <w:rPr>
          <w:rFonts w:eastAsia="DengXian" w:hint="eastAsia"/>
          <w:lang w:eastAsia="zh-CN"/>
        </w:rPr>
        <w:t>Fig.3(f)</w:t>
      </w:r>
      <w:r w:rsidRPr="004D1B5C">
        <w:t xml:space="preserve">). We selected October 3, 2020, as the primary study period, which </w:t>
      </w:r>
      <w:r w:rsidRPr="004D1B5C">
        <w:t>represents a significant extreme weather event with the highest daily rainfall (31.7mm area-average) in the UK since records began in 1891. This extreme event provides an ideal case for examining how multi-modal transportation systems respond to and recover from severe weather disruptions.</w:t>
      </w:r>
    </w:p>
    <w:p w14:paraId="1CC7BF3C" w14:textId="648B7933" w:rsidR="004D1B5C" w:rsidRPr="004D1B5C" w:rsidRDefault="004D1B5C" w:rsidP="004D1B5C">
      <w:pPr>
        <w:pStyle w:val="PlainText"/>
        <w:rPr>
          <w:rFonts w:eastAsia="DengXian"/>
          <w:b/>
          <w:sz w:val="20"/>
          <w:lang w:eastAsia="zh-CN"/>
        </w:rPr>
      </w:pPr>
      <w:r w:rsidRPr="004D1B5C">
        <w:rPr>
          <w:rFonts w:eastAsia="DengXian"/>
          <w:b/>
          <w:sz w:val="20"/>
          <w:lang w:eastAsia="zh-CN"/>
        </w:rPr>
        <w:t>4</w:t>
      </w:r>
      <w:r w:rsidRPr="004D1B5C">
        <w:rPr>
          <w:b/>
          <w:sz w:val="20"/>
        </w:rPr>
        <w:t>.</w:t>
      </w:r>
      <w:r>
        <w:rPr>
          <w:rFonts w:eastAsia="DengXian"/>
          <w:b/>
          <w:sz w:val="20"/>
          <w:lang w:eastAsia="zh-CN"/>
        </w:rPr>
        <w:t>2</w:t>
      </w:r>
      <w:r w:rsidRPr="004D1B5C">
        <w:rPr>
          <w:b/>
          <w:sz w:val="20"/>
        </w:rPr>
        <w:t xml:space="preserve"> Multi-modal Irreversibility Analysis</w:t>
      </w:r>
    </w:p>
    <w:p w14:paraId="718E0D34" w14:textId="4198D79C" w:rsidR="00FC623D" w:rsidRPr="00DE3A31" w:rsidRDefault="004D1B5C" w:rsidP="00FC623D">
      <w:pPr>
        <w:pStyle w:val="MainText"/>
        <w:ind w:firstLine="0"/>
        <w:rPr>
          <w:rFonts w:eastAsia="DengXian"/>
          <w:noProof/>
          <w:lang w:eastAsia="zh-CN"/>
        </w:rPr>
      </w:pPr>
      <w:r w:rsidRPr="004D1B5C">
        <w:t xml:space="preserve">Using the </w:t>
      </w:r>
      <w:proofErr w:type="spellStart"/>
      <w:r w:rsidRPr="004D1B5C">
        <w:t>MmVGI</w:t>
      </w:r>
      <w:proofErr w:type="spellEnd"/>
      <w:r w:rsidRPr="004D1B5C">
        <w:t xml:space="preserve"> framework, we transformed multi-modal traffic flow data into visibility graphs and calculated irreversibility measures based on Jensen-Shannon divergence between in-degree and out-degree distributions (</w:t>
      </w:r>
      <w:r w:rsidR="00245738">
        <w:rPr>
          <w:rFonts w:eastAsia="DengXian" w:hint="eastAsia"/>
          <w:lang w:eastAsia="zh-CN"/>
        </w:rPr>
        <w:t>Fig.3(</w:t>
      </w:r>
      <w:r w:rsidRPr="004D1B5C">
        <w:t>g</w:t>
      </w:r>
      <w:r w:rsidR="00245738">
        <w:rPr>
          <w:rFonts w:eastAsia="DengXian" w:hint="eastAsia"/>
          <w:lang w:eastAsia="zh-CN"/>
        </w:rPr>
        <w:t>)</w:t>
      </w:r>
      <w:r w:rsidRPr="004D1B5C">
        <w:t>). This approach allowed us to quantify temporal asymmetry in traffic patterns at multiple organi</w:t>
      </w:r>
      <w:r w:rsidR="00A0468A">
        <w:rPr>
          <w:rFonts w:eastAsia="DengXian" w:hint="eastAsia"/>
          <w:lang w:eastAsia="zh-CN"/>
        </w:rPr>
        <w:t>s</w:t>
      </w:r>
      <w:r w:rsidRPr="004D1B5C">
        <w:t xml:space="preserve">ational levels. The statistical analysis of modal interactions revealed systematic patterns </w:t>
      </w:r>
      <w:r w:rsidR="00E94C34">
        <w:rPr>
          <w:rFonts w:eastAsia="DengXian"/>
          <w:noProof/>
          <w:lang w:eastAsia="zh-CN"/>
        </w:rPr>
        <w:pict w14:anchorId="6CD2E452">
          <v:shape id="_x0000_i1057" type="#_x0000_t75" style="width:228pt;height:324pt">
            <v:imagedata r:id="rId35" o:title="Artboard 3-100"/>
          </v:shape>
        </w:pict>
      </w:r>
    </w:p>
    <w:p w14:paraId="719D87FD" w14:textId="77777777" w:rsidR="00FC623D" w:rsidRPr="00DE3A31" w:rsidRDefault="00FC623D" w:rsidP="00FC623D">
      <w:pPr>
        <w:pStyle w:val="PlainText"/>
        <w:jc w:val="left"/>
        <w:rPr>
          <w:rStyle w:val="CaptionfigtableChar"/>
          <w:rFonts w:eastAsia="DengXian"/>
          <w:lang w:eastAsia="zh-CN"/>
        </w:rPr>
      </w:pPr>
      <w:r w:rsidRPr="004D1B5C">
        <w:rPr>
          <w:rStyle w:val="CaptionfigtableChar"/>
        </w:rPr>
        <w:t xml:space="preserve">Figure </w:t>
      </w:r>
      <w:r w:rsidRPr="00DE3A31">
        <w:rPr>
          <w:rStyle w:val="CaptionfigtableChar"/>
          <w:rFonts w:eastAsia="DengXian"/>
          <w:lang w:eastAsia="zh-CN"/>
        </w:rPr>
        <w:t>3</w:t>
      </w:r>
      <w:r w:rsidRPr="004D1B5C">
        <w:rPr>
          <w:rStyle w:val="CaptionfigtableChar"/>
        </w:rPr>
        <w:t>: Multi-modal Visibility Graph Analysis of Urban Transportation Network during Extreme Weather Event. a) study area location, b) satellite view, c) road network, d) network by direction, e) network by hierarchy, f) modal temporal patterns, g) modal interaction networks</w:t>
      </w:r>
    </w:p>
    <w:p w14:paraId="37052460" w14:textId="77777777" w:rsidR="00FC623D" w:rsidRDefault="00FC623D" w:rsidP="00FC623D">
      <w:pPr>
        <w:pStyle w:val="MainText"/>
        <w:ind w:firstLine="0"/>
        <w:rPr>
          <w:rFonts w:eastAsia="DengXian"/>
          <w:lang w:eastAsia="zh-CN"/>
        </w:rPr>
      </w:pPr>
    </w:p>
    <w:p w14:paraId="2785C256" w14:textId="09521BC7" w:rsidR="004D1B5C" w:rsidRPr="004D1B5C" w:rsidRDefault="004D1B5C" w:rsidP="00FC623D">
      <w:pPr>
        <w:pStyle w:val="MainText"/>
        <w:ind w:firstLine="0"/>
      </w:pPr>
      <w:r w:rsidRPr="004D1B5C">
        <w:t>across different orders, as shown in</w:t>
      </w:r>
      <w:r w:rsidR="00A86A80">
        <w:rPr>
          <w:rFonts w:eastAsia="DengXian" w:hint="eastAsia"/>
          <w:lang w:eastAsia="zh-CN"/>
        </w:rPr>
        <w:t xml:space="preserve"> Fig.4</w:t>
      </w:r>
      <w:r w:rsidRPr="004D1B5C">
        <w:t xml:space="preserve">. Using a colour gradient scheme where lighter shades indicate stronger irreversibility, we examined interactions across the four primary modes: cars, buses, cycles, and walks. </w:t>
      </w:r>
      <w:r w:rsidRPr="004D1B5C">
        <w:rPr>
          <w:b/>
          <w:bCs/>
        </w:rPr>
        <w:t>Single-mode analysis (k=1)</w:t>
      </w:r>
      <w:r w:rsidRPr="004D1B5C">
        <w:t xml:space="preserve"> showed distinctive behavioural patterns, with motori</w:t>
      </w:r>
      <w:r w:rsidR="00A0468A">
        <w:t>sed</w:t>
      </w:r>
      <w:r w:rsidRPr="004D1B5C">
        <w:t xml:space="preserve"> modes demonstrating moderate irreversibility values (cars: 0.0872, buses: 0.0791) </w:t>
      </w:r>
      <w:r w:rsidRPr="004D1B5C">
        <w:lastRenderedPageBreak/>
        <w:t xml:space="preserve">reflecting their operational stability. Bus services exhibited pronounced stability due to scheduled operations, while walk flows displayed the highest irreversibility (0.1026), suggesting remarkable adaptability to changing conditions. Cycling patterns showed the lowest irreversibility (0.0645), indicating well-distributed flows that maintain balance across the network. </w:t>
      </w:r>
      <w:r w:rsidRPr="004D1B5C">
        <w:rPr>
          <w:b/>
          <w:bCs/>
        </w:rPr>
        <w:t>Pairwise interactions (k=2)</w:t>
      </w:r>
      <w:r w:rsidRPr="004D1B5C">
        <w:t xml:space="preserve"> revealed strong coupling between motori</w:t>
      </w:r>
      <w:r w:rsidR="00A0468A">
        <w:t>sed</w:t>
      </w:r>
      <w:r w:rsidRPr="004D1B5C">
        <w:t xml:space="preserve"> transportation modes, with car-bus combinations showing particularly high irreversibility values (0.2891) along major corridors. Vehicular-walk interactions also demonstrated significant irreversibility (car-walk: 0.2754, bus-walk: 0.2649), suggesting adaptive complementarity during adverse weather. In contrast, cycling-related pairs maintained lower irreversibility values (car-cycle: 0.2376, bus-cycle: 0.2215), indicating more independent behavioural patterns. </w:t>
      </w:r>
      <w:r w:rsidRPr="004D1B5C">
        <w:rPr>
          <w:b/>
          <w:bCs/>
        </w:rPr>
        <w:t>Third-order analysis (k=3)</w:t>
      </w:r>
      <w:r w:rsidRPr="004D1B5C">
        <w:t xml:space="preserve"> uncovered sophisticated multi-modal interactions, notably in the car-bus-walk combination (0.4328). This finding suggests complex adaptation mechanisms during extreme events, where these three modes demonstrate coordinated adjustments that cannot be captured through simpler analyses. Other triple-mode combinations showed relatively lower values (car-bus-cycle: 0.3876, car-cycle-walk: 0.3923), further highlighting the unique importance of the car-bus-walk interaction.</w:t>
      </w:r>
    </w:p>
    <w:p w14:paraId="517D2C4A" w14:textId="1762429F" w:rsidR="004D1B5C" w:rsidRPr="004D1B5C" w:rsidRDefault="004D1B5C" w:rsidP="004D1B5C">
      <w:pPr>
        <w:pStyle w:val="MainText"/>
      </w:pPr>
      <w:r w:rsidRPr="004D1B5C">
        <w:t>The spatial analysis revealed distinct irreversibility patterns across different modal combinations throughout the transportation network (</w:t>
      </w:r>
      <w:r w:rsidR="00A86A80" w:rsidRPr="00A86A80">
        <w:rPr>
          <w:rFonts w:eastAsia="DengXian" w:hint="eastAsia"/>
          <w:lang w:eastAsia="zh-CN"/>
        </w:rPr>
        <w:t>Fig.</w:t>
      </w:r>
      <w:r w:rsidR="00A86A80">
        <w:rPr>
          <w:rFonts w:eastAsia="DengXian" w:hint="eastAsia"/>
          <w:lang w:eastAsia="zh-CN"/>
        </w:rPr>
        <w:t>5</w:t>
      </w:r>
      <w:r w:rsidRPr="004D1B5C">
        <w:t>). Single-mode analysis of vehicular traffic showed pronounced irreversibility along A Roads (</w:t>
      </w:r>
      <w:proofErr w:type="spellStart"/>
      <w:r w:rsidRPr="004D1B5C">
        <w:t>MmVGi</w:t>
      </w:r>
      <w:proofErr w:type="spellEnd"/>
      <w:r w:rsidRPr="004D1B5C">
        <w:t xml:space="preserve"> values reaching 0.8347), highlighting the fundamental structure of urban mobility where primary roads exhibit high dynamic complexity due to concentrated vehicular flow. Dual-mode interactions demonstrated differential effects across the road hierarchy. The car-bus combination showed high irreversibility values (0.8907) along A Roads, indicating strong coupled dynamics between these motori</w:t>
      </w:r>
      <w:r w:rsidR="00A0468A">
        <w:t>sed</w:t>
      </w:r>
      <w:r w:rsidRPr="004D1B5C">
        <w:t xml:space="preserve"> modes. The car-cycle combination (0.9009) revealed distinct patterns on B Roads and Minor Roads, with extensive yellow-green regions emerging in previously low-irreversibility areas. This suggests cycling significantly influences network dynamics at these scales, serving as a redistributive force where motori</w:t>
      </w:r>
      <w:r w:rsidR="00A0468A">
        <w:t>sed</w:t>
      </w:r>
      <w:r w:rsidRPr="004D1B5C">
        <w:t xml:space="preserve"> traffic is less dominant. The car-walk combination (0.9149) produced more subtle effects, primarily affecting locali</w:t>
      </w:r>
      <w:r w:rsidR="00A0468A">
        <w:t>sed</w:t>
      </w:r>
      <w:r w:rsidRPr="004D1B5C">
        <w:t xml:space="preserve"> sections of Minor Roads rather than causing network-wide impacts. Higher-order analysis revealed that the transition from car-bus-cycle to car-bus-cycle-walk configurations showed minimal additional changes </w:t>
      </w:r>
      <w:r w:rsidRPr="004D1B5C">
        <w:t>in irreversibility patterns, suggesting pedestrian flows integrate into existing modal patterns without introducing substantial new dynamic structures. In contrast, the comparison between car-bus and car-bus-cycle patterns demonstrated significant reorgani</w:t>
      </w:r>
      <w:r w:rsidR="00A0468A">
        <w:rPr>
          <w:rFonts w:eastAsia="DengXian" w:hint="eastAsia"/>
          <w:lang w:eastAsia="zh-CN"/>
        </w:rPr>
        <w:t>s</w:t>
      </w:r>
      <w:r w:rsidRPr="004D1B5C">
        <w:t>ation of network dynamics across B Roads and Minor Roads. These findings indicate that transportation system adaptation during extreme weather events operates differently across road hierarchies. While motori</w:t>
      </w:r>
      <w:r w:rsidR="00A0468A">
        <w:t>sed</w:t>
      </w:r>
      <w:r w:rsidRPr="004D1B5C">
        <w:t xml:space="preserve"> modes dominate A Road dynamic, cycling emerges as a significant influence on secondary networks, introducing dynamic variability and reshaping local irreversibility patterns. This hierarchical understanding is crucial for developing targeted resilience strategies that account for both primary corridor performance and local network dynamics.</w:t>
      </w:r>
    </w:p>
    <w:p w14:paraId="0AF0F93F" w14:textId="77777777" w:rsidR="004D1B5C" w:rsidRDefault="004D1B5C" w:rsidP="004767C1">
      <w:pPr>
        <w:pStyle w:val="MainText"/>
        <w:rPr>
          <w:rFonts w:eastAsia="DengXian"/>
          <w:lang w:eastAsia="zh-CN"/>
        </w:rPr>
      </w:pPr>
    </w:p>
    <w:p w14:paraId="05F610B7" w14:textId="719892BF" w:rsidR="004D1B5C" w:rsidRDefault="00E94C34" w:rsidP="00452605">
      <w:pPr>
        <w:pStyle w:val="PlainText"/>
        <w:rPr>
          <w:rFonts w:eastAsia="DengXian"/>
          <w:noProof/>
          <w:lang w:eastAsia="zh-CN"/>
        </w:rPr>
      </w:pPr>
      <w:r>
        <w:rPr>
          <w:noProof/>
        </w:rPr>
        <w:pict w14:anchorId="5053ACC3">
          <v:shape id="_x0000_i1058" type="#_x0000_t75" style="width:231pt;height:383.25pt">
            <v:imagedata r:id="rId36" o:title="Artboard 4-100" cropleft="1970f" cropright="1985f"/>
          </v:shape>
        </w:pict>
      </w:r>
    </w:p>
    <w:p w14:paraId="5DFA3B46" w14:textId="45F89169" w:rsidR="004D1B5C" w:rsidRDefault="004D1B5C" w:rsidP="004D1B5C">
      <w:pPr>
        <w:pStyle w:val="PlainText"/>
        <w:jc w:val="left"/>
        <w:rPr>
          <w:rStyle w:val="CaptionfigtableChar"/>
          <w:rFonts w:eastAsia="DengXian"/>
          <w:lang w:eastAsia="zh-CN"/>
        </w:rPr>
      </w:pPr>
      <w:r w:rsidRPr="004D1B5C">
        <w:rPr>
          <w:rStyle w:val="CaptionfigtableChar"/>
        </w:rPr>
        <w:t xml:space="preserve">Figure </w:t>
      </w:r>
      <w:r w:rsidRPr="004D1B5C">
        <w:rPr>
          <w:rStyle w:val="CaptionfigtableChar"/>
          <w:rFonts w:eastAsia="DengXian"/>
          <w:lang w:eastAsia="zh-CN"/>
        </w:rPr>
        <w:t>4</w:t>
      </w:r>
      <w:r w:rsidRPr="004D1B5C">
        <w:rPr>
          <w:rStyle w:val="CaptionfigtableChar"/>
        </w:rPr>
        <w:t>: Multi-order Analysis of Modal Interactions through Irreversibility Measurements and Statistical Testing. a) transportation modes, b-d) irreversibility heatmaps, e-g) distribution analysis, h-j) statistical significance maps</w:t>
      </w:r>
    </w:p>
    <w:p w14:paraId="38DA93E6" w14:textId="77777777" w:rsidR="00E37E0A" w:rsidRDefault="00E37E0A" w:rsidP="004D1B5C">
      <w:pPr>
        <w:pStyle w:val="PlainText"/>
        <w:jc w:val="left"/>
        <w:rPr>
          <w:rStyle w:val="CaptionfigtableChar"/>
          <w:rFonts w:eastAsia="DengXian"/>
          <w:lang w:eastAsia="zh-CN"/>
        </w:rPr>
      </w:pPr>
    </w:p>
    <w:p w14:paraId="30516E0C" w14:textId="77777777" w:rsidR="00E37E0A" w:rsidRDefault="00E37E0A" w:rsidP="004D1B5C">
      <w:pPr>
        <w:pStyle w:val="PlainText"/>
        <w:jc w:val="left"/>
        <w:rPr>
          <w:rStyle w:val="CaptionfigtableChar"/>
          <w:rFonts w:eastAsia="DengXian"/>
          <w:lang w:eastAsia="zh-CN"/>
        </w:rPr>
      </w:pPr>
    </w:p>
    <w:p w14:paraId="162D70BA" w14:textId="77777777" w:rsidR="00E37E0A" w:rsidRPr="00AB78FC" w:rsidRDefault="00E37E0A" w:rsidP="00E37E0A">
      <w:pPr>
        <w:pStyle w:val="MainText"/>
        <w:ind w:firstLine="0"/>
        <w:rPr>
          <w:rFonts w:eastAsia="DengXian"/>
          <w:lang w:eastAsia="zh-CN"/>
        </w:rPr>
      </w:pPr>
      <w:r>
        <w:rPr>
          <w:rFonts w:eastAsia="DengXian"/>
          <w:lang w:eastAsia="zh-CN"/>
        </w:rPr>
        <w:lastRenderedPageBreak/>
        <w:pict w14:anchorId="6CF88C5B">
          <v:shape id="_x0000_i1094" type="#_x0000_t75" style="width:217.5pt;height:662.25pt">
            <v:imagedata r:id="rId37" o:title="Artboard 5-100"/>
          </v:shape>
        </w:pict>
      </w:r>
    </w:p>
    <w:p w14:paraId="38A6AAF0" w14:textId="07259091" w:rsidR="00E37E0A" w:rsidRPr="00E37E0A" w:rsidRDefault="00E37E0A" w:rsidP="004D1B5C">
      <w:pPr>
        <w:pStyle w:val="PlainText"/>
        <w:jc w:val="left"/>
        <w:rPr>
          <w:rStyle w:val="CaptionfigtableChar"/>
          <w:rFonts w:eastAsia="DengXian" w:hint="eastAsia"/>
          <w:lang w:eastAsia="zh-CN"/>
        </w:rPr>
      </w:pPr>
      <w:r w:rsidRPr="004D1B5C">
        <w:rPr>
          <w:rStyle w:val="CaptionfigtableChar"/>
        </w:rPr>
        <w:t xml:space="preserve">Figure </w:t>
      </w:r>
      <w:r w:rsidRPr="004D1B5C">
        <w:rPr>
          <w:rStyle w:val="CaptionfigtableChar"/>
          <w:rFonts w:eastAsia="DengXian"/>
          <w:lang w:eastAsia="zh-CN"/>
        </w:rPr>
        <w:t>5</w:t>
      </w:r>
      <w:r w:rsidRPr="004D1B5C">
        <w:rPr>
          <w:rStyle w:val="CaptionfigtableChar"/>
        </w:rPr>
        <w:t>: Spatial Distribution and Comparison of Multi-modal Irreversibility Patterns in Urban Transportation Networks. a) single-mode irreversibility (car), b) dual-mode irreversibility (car-bus), c) triple-mode irreversibility (car-bus-cycle), d) triple-mode irreversibility (car-bus-walk)</w:t>
      </w:r>
    </w:p>
    <w:p w14:paraId="171C3C11" w14:textId="0542ABD7" w:rsidR="004D1B5C" w:rsidRDefault="004D1B5C" w:rsidP="004D1B5C">
      <w:pPr>
        <w:pStyle w:val="PlainText"/>
        <w:jc w:val="left"/>
        <w:rPr>
          <w:rFonts w:eastAsia="DengXian"/>
          <w:noProof/>
          <w:lang w:eastAsia="zh-CN"/>
        </w:rPr>
      </w:pPr>
    </w:p>
    <w:p w14:paraId="774FA58B" w14:textId="44F66E41" w:rsidR="004D1B5C" w:rsidRPr="004D1B5C" w:rsidRDefault="004D1B5C" w:rsidP="004D1B5C">
      <w:pPr>
        <w:pStyle w:val="Heading1"/>
        <w:rPr>
          <w:rFonts w:eastAsia="DengXian"/>
          <w:lang w:eastAsia="zh-CN"/>
        </w:rPr>
      </w:pPr>
      <w:r>
        <w:rPr>
          <w:rFonts w:eastAsia="DengXian"/>
          <w:lang w:eastAsia="zh-CN"/>
        </w:rPr>
        <w:t>5</w:t>
      </w:r>
      <w:r w:rsidRPr="004D1B5C">
        <w:t xml:space="preserve">. </w:t>
      </w:r>
      <w:r w:rsidRPr="004D1B5C">
        <w:rPr>
          <w:rFonts w:eastAsia="DengXian"/>
          <w:lang w:eastAsia="zh-CN"/>
        </w:rPr>
        <w:t>DISCUSSION</w:t>
      </w:r>
    </w:p>
    <w:p w14:paraId="0D6275AA" w14:textId="30F7349E" w:rsidR="004D1B5C" w:rsidRDefault="004D1B5C" w:rsidP="00E37E0A">
      <w:pPr>
        <w:pStyle w:val="MainText"/>
        <w:rPr>
          <w:rFonts w:eastAsia="DengXian"/>
          <w:lang w:eastAsia="zh-CN"/>
        </w:rPr>
      </w:pPr>
      <w:r w:rsidRPr="004D1B5C">
        <w:t>The analysis of multi-modal transportation networks during extreme weather events reveals several significant findings with important theoretical and practical implications. The spatial distribution of irreversibility across different road hierarchies demonstrates that A Roads maintain relatively stable dynamics dominated by motori</w:t>
      </w:r>
      <w:r w:rsidR="00A0468A">
        <w:t>sed</w:t>
      </w:r>
      <w:r w:rsidRPr="004D1B5C">
        <w:t xml:space="preserve"> transport (irreversibility values of 0.8907 for car-</w:t>
      </w:r>
      <w:r w:rsidR="00E37E0A" w:rsidRPr="004D1B5C">
        <w:t xml:space="preserve">bus </w:t>
      </w:r>
      <w:r w:rsidR="00E37E0A">
        <w:rPr>
          <w:rFonts w:eastAsia="DengXian"/>
          <w:lang w:eastAsia="zh-CN"/>
        </w:rPr>
        <w:t>combinations</w:t>
      </w:r>
      <w:r w:rsidRPr="004D1B5C">
        <w:t>), while B Roads and Minor Roads show greater adaptive capacity through modal diversification, particularly through cycling integration (irreversibility value of 0.9009 for car-cycle combinations). This hierarchical pattern challenges traditional infrastructure planning approaches that often prioritize motori</w:t>
      </w:r>
      <w:r w:rsidR="00A0468A">
        <w:t>sed</w:t>
      </w:r>
      <w:r w:rsidRPr="004D1B5C">
        <w:t xml:space="preserve"> </w:t>
      </w:r>
      <w:r w:rsidR="00E37E0A" w:rsidRPr="004D1B5C">
        <w:t xml:space="preserve">transport </w:t>
      </w:r>
      <w:r w:rsidR="00E37E0A">
        <w:rPr>
          <w:rFonts w:eastAsia="DengXian"/>
          <w:lang w:eastAsia="zh-CN"/>
        </w:rPr>
        <w:t>and</w:t>
      </w:r>
      <w:r w:rsidRPr="004D1B5C">
        <w:t xml:space="preserve"> suggests resilience strategies should adopt a more balanced approach across the entire network hierarchy. The third-order analysis, which </w:t>
      </w:r>
      <w:r w:rsidR="00FC623D" w:rsidRPr="004D1B5C">
        <w:t xml:space="preserve">revealed </w:t>
      </w:r>
      <w:r w:rsidR="00FC623D">
        <w:rPr>
          <w:rFonts w:eastAsia="DengXian"/>
          <w:lang w:eastAsia="zh-CN"/>
        </w:rPr>
        <w:t>the</w:t>
      </w:r>
      <w:r w:rsidRPr="004D1B5C">
        <w:t xml:space="preserve"> importance of the car-bus-walk combination (0.4328), demonstrates that multi-modal transportation systems exhibit complex adaptation mechanisms during extreme events that cannot be captured through analyses of individual modes. The </w:t>
      </w:r>
      <w:proofErr w:type="spellStart"/>
      <w:r w:rsidRPr="004D1B5C">
        <w:t>MmVGI</w:t>
      </w:r>
      <w:proofErr w:type="spellEnd"/>
      <w:r w:rsidRPr="004D1B5C">
        <w:t xml:space="preserve"> framework introduced in this study offers methodological advances by integrating visibility graph analysis with non-equilibrium dynamics concepts, capturing both spatial network patterns and temporal evolution characteristics that conventional methods overlook. From a practical perspective, these findings suggest the need for integrated, multi-modal management strategies during extreme weather events, including differentiated response strategies based on road hierarchy, enhanced support for cycling in secondary networks, and consideration of higher-order modal interactions in transportation planning. Future transportation resilience planning should move beyond the traditional focus on individual infrastructure components to embrace a systems perspective that accounts for the complex, non-linear interactions revealed in this study, helping cities develop more effective adaptation strategies for increasingly frequent extreme weather events.</w:t>
      </w:r>
    </w:p>
    <w:p w14:paraId="31A55386" w14:textId="77777777" w:rsidR="00215AB9" w:rsidRDefault="00215AB9" w:rsidP="004D1B5C">
      <w:pPr>
        <w:pStyle w:val="MainText"/>
        <w:rPr>
          <w:rFonts w:eastAsia="DengXian"/>
          <w:lang w:eastAsia="zh-CN"/>
        </w:rPr>
      </w:pPr>
    </w:p>
    <w:p w14:paraId="6AECB319" w14:textId="77777777" w:rsidR="004D1B5C" w:rsidRPr="004D1B5C" w:rsidRDefault="004D1B5C" w:rsidP="004D1B5C">
      <w:pPr>
        <w:pStyle w:val="Heading1"/>
      </w:pPr>
      <w:r w:rsidRPr="004D1B5C">
        <w:t>6. Conclusion</w:t>
      </w:r>
    </w:p>
    <w:p w14:paraId="1DE7D531" w14:textId="237EEDB9" w:rsidR="00452605" w:rsidRDefault="004D1B5C" w:rsidP="004D1B5C">
      <w:pPr>
        <w:pStyle w:val="MainText"/>
        <w:rPr>
          <w:rFonts w:eastAsia="DengXian"/>
          <w:lang w:eastAsia="zh-CN"/>
        </w:rPr>
      </w:pPr>
      <w:r w:rsidRPr="004D1B5C">
        <w:t xml:space="preserve">Climate change and extreme weather events increasingly threaten urban transportation systems, challenging their ability to maintain essential mobility services. Traditional approaches to analysing system behaviour have proven </w:t>
      </w:r>
      <w:r w:rsidRPr="004D1B5C">
        <w:lastRenderedPageBreak/>
        <w:t xml:space="preserve">inadequate for understanding the complex dynamics that emerge when multiple transportation modes interact under stress. This study introduced the </w:t>
      </w:r>
      <w:proofErr w:type="spellStart"/>
      <w:r w:rsidRPr="004D1B5C">
        <w:t>MmVGI</w:t>
      </w:r>
      <w:proofErr w:type="spellEnd"/>
      <w:r w:rsidRPr="004D1B5C">
        <w:t xml:space="preserve"> framework to address these limitations, integrating concepts from non-equilibrium dynamics to quantify complex interactions between different transportation modes. Through the analysis of London's transportation network during an extreme rainfall event, we demonstrated that adaptation exhibits clear hierarchical patterns across different road types. While primary roads maintain stable dynamics dominated by motori</w:t>
      </w:r>
      <w:r w:rsidR="00A0468A">
        <w:t>sed</w:t>
      </w:r>
      <w:r w:rsidRPr="004D1B5C">
        <w:t xml:space="preserve"> transport, secondary networks show complex patterns of modal interaction, with cycling emerging as a crucial component in system adaptation. These findings advance theoretical understanding of urban system dynamics and practical approaches to transportation management, offering valuable insights for developing more resilient transportation systems for future climate challenges.</w:t>
      </w:r>
    </w:p>
    <w:p w14:paraId="61EA68C1" w14:textId="77777777" w:rsidR="00452605" w:rsidRPr="004D1B5C" w:rsidRDefault="00452605" w:rsidP="00452605">
      <w:pPr>
        <w:pStyle w:val="PlainText"/>
        <w:rPr>
          <w:sz w:val="20"/>
        </w:rPr>
      </w:pPr>
    </w:p>
    <w:p w14:paraId="78C1978A" w14:textId="77777777" w:rsidR="00452605" w:rsidRPr="004D1B5C" w:rsidRDefault="00452605" w:rsidP="00452605">
      <w:pPr>
        <w:pStyle w:val="Heading1"/>
        <w:rPr>
          <w:b w:val="0"/>
          <w:color w:val="FF0000"/>
          <w:lang w:val="pt-BR"/>
        </w:rPr>
      </w:pPr>
      <w:r w:rsidRPr="004D1B5C">
        <w:rPr>
          <w:lang w:val="pt-BR"/>
        </w:rPr>
        <w:t>REFERENCES</w:t>
      </w:r>
      <w:r w:rsidR="0042205D" w:rsidRPr="004D1B5C">
        <w:rPr>
          <w:lang w:val="pt-BR"/>
        </w:rPr>
        <w:t xml:space="preserve"> </w:t>
      </w:r>
    </w:p>
    <w:p w14:paraId="6A47E065" w14:textId="77777777" w:rsidR="004D1B5C" w:rsidRPr="004D1B5C" w:rsidRDefault="004D1B5C" w:rsidP="004D1B5C">
      <w:pPr>
        <w:pStyle w:val="Bibliography"/>
        <w:jc w:val="both"/>
        <w:rPr>
          <w:rFonts w:cs="Arial"/>
          <w:b w:val="0"/>
          <w:bCs/>
          <w:sz w:val="18"/>
          <w:szCs w:val="20"/>
        </w:rPr>
      </w:pPr>
      <w:r w:rsidRPr="004D1B5C">
        <w:rPr>
          <w:rFonts w:cs="Arial"/>
          <w:b w:val="0"/>
          <w:bCs/>
          <w:sz w:val="18"/>
          <w:szCs w:val="18"/>
        </w:rPr>
        <w:fldChar w:fldCharType="begin"/>
      </w:r>
      <w:r w:rsidRPr="004D1B5C">
        <w:rPr>
          <w:rFonts w:cs="Arial"/>
          <w:b w:val="0"/>
          <w:bCs/>
          <w:sz w:val="18"/>
          <w:szCs w:val="18"/>
        </w:rPr>
        <w:instrText xml:space="preserve"> ADDIN ZOTERO_BIBL {"uncited":[],"omitted":[],"custom":[]} CSL_BIBLIOGRAPHY </w:instrText>
      </w:r>
      <w:r w:rsidRPr="004D1B5C">
        <w:rPr>
          <w:rFonts w:cs="Arial"/>
          <w:b w:val="0"/>
          <w:bCs/>
          <w:sz w:val="18"/>
          <w:szCs w:val="18"/>
        </w:rPr>
        <w:fldChar w:fldCharType="separate"/>
      </w:r>
      <w:r w:rsidRPr="004D1B5C">
        <w:rPr>
          <w:rFonts w:cs="Arial"/>
          <w:b w:val="0"/>
          <w:bCs/>
          <w:sz w:val="18"/>
          <w:szCs w:val="20"/>
        </w:rPr>
        <w:t>Abdulla, B, A Mostafavi, and B Birgisson. 2019. ‘Characterization of the Vulnerability of Road Networks to Fluvial Flooding Using Network Percolation Approach’. In , edited by YK Cho, F Leite, A Behzadan, and C Wang, 428–35.</w:t>
      </w:r>
    </w:p>
    <w:p w14:paraId="62787541"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Aerts, J. C. J. H., W. J. Botzen, K. C. Clarke, S. L. Cutter, J. W. Hall, B. Merz, E. Michel-Kerjan, J. Mysiak, S. Surminski, and H. Kunreuther. 2018. ‘Integrating Human Behaviour Dynamics into Flood Disaster Risk Assessment’. </w:t>
      </w:r>
      <w:r w:rsidRPr="004D1B5C">
        <w:rPr>
          <w:rFonts w:cs="Arial"/>
          <w:b w:val="0"/>
          <w:bCs/>
          <w:i/>
          <w:iCs/>
          <w:sz w:val="18"/>
          <w:szCs w:val="20"/>
        </w:rPr>
        <w:t>Nature Climate Change</w:t>
      </w:r>
      <w:r w:rsidRPr="004D1B5C">
        <w:rPr>
          <w:rFonts w:cs="Arial"/>
          <w:b w:val="0"/>
          <w:bCs/>
          <w:sz w:val="18"/>
          <w:szCs w:val="20"/>
        </w:rPr>
        <w:t xml:space="preserve"> 8 (3): 193–99. https://doi.org/10.1038/s41558-018-0085-1.</w:t>
      </w:r>
    </w:p>
    <w:p w14:paraId="42373467"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Barahimi, Amir Hossein, Alireza Eydi, and Abdolah Aghaie. 2021. ‘Multi-Modal Urban Transit Network Design Considering Reliability: Multi-Objective Bi-Level Optimization’. </w:t>
      </w:r>
      <w:r w:rsidRPr="004D1B5C">
        <w:rPr>
          <w:rFonts w:cs="Arial"/>
          <w:b w:val="0"/>
          <w:bCs/>
          <w:i/>
          <w:iCs/>
          <w:sz w:val="18"/>
          <w:szCs w:val="20"/>
        </w:rPr>
        <w:t>Reliability Engineering &amp; System Safety</w:t>
      </w:r>
      <w:r w:rsidRPr="004D1B5C">
        <w:rPr>
          <w:rFonts w:cs="Arial"/>
          <w:b w:val="0"/>
          <w:bCs/>
          <w:sz w:val="18"/>
          <w:szCs w:val="20"/>
        </w:rPr>
        <w:t xml:space="preserve"> 216 (December):107922. https://doi.org/10.1016/j.ress.2021.107922.</w:t>
      </w:r>
    </w:p>
    <w:p w14:paraId="5AE21B93"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Borowska-Stefańska, Marta, Adam Bartnik, Maxim A. Dulebenets, Michał Kowalski, Alireza Sahebgharani, Przemysław Tomalski, and Szymon Wiśniewski. 2025. ‘Changes in the Equilibrium of the Urban Transport System of a Large City Following an Urban Flood’. </w:t>
      </w:r>
      <w:r w:rsidRPr="004D1B5C">
        <w:rPr>
          <w:rFonts w:cs="Arial"/>
          <w:b w:val="0"/>
          <w:bCs/>
          <w:i/>
          <w:iCs/>
          <w:sz w:val="18"/>
          <w:szCs w:val="20"/>
        </w:rPr>
        <w:t>Reliability Engineering &amp; System Safety</w:t>
      </w:r>
      <w:r w:rsidRPr="004D1B5C">
        <w:rPr>
          <w:rFonts w:cs="Arial"/>
          <w:b w:val="0"/>
          <w:bCs/>
          <w:sz w:val="18"/>
          <w:szCs w:val="20"/>
        </w:rPr>
        <w:t xml:space="preserve"> 253 (January):110473. https://doi.org/10.1016/j.ress.2024.110473.</w:t>
      </w:r>
    </w:p>
    <w:p w14:paraId="2F48AD2C"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Cooper, J.L.B. 1967. ‘The Foundations of Thermodynamics’. </w:t>
      </w:r>
      <w:r w:rsidRPr="004D1B5C">
        <w:rPr>
          <w:rFonts w:cs="Arial"/>
          <w:b w:val="0"/>
          <w:bCs/>
          <w:i/>
          <w:iCs/>
          <w:sz w:val="18"/>
          <w:szCs w:val="20"/>
        </w:rPr>
        <w:t>Journal of Mathematical Analysis and Applications</w:t>
      </w:r>
      <w:r w:rsidRPr="004D1B5C">
        <w:rPr>
          <w:rFonts w:cs="Arial"/>
          <w:b w:val="0"/>
          <w:bCs/>
          <w:sz w:val="18"/>
          <w:szCs w:val="20"/>
        </w:rPr>
        <w:t xml:space="preserve"> 17 (1): 172–93. https://doi.org/10.1016/0022-247X(67)90174-6.</w:t>
      </w:r>
    </w:p>
    <w:p w14:paraId="12283180"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Crooks, Gavin E. 1999. ‘Entropy Production Fluctuation Theorem and the Nonequilibrium Work Relation for Free Energy Differences’. </w:t>
      </w:r>
      <w:r w:rsidRPr="004D1B5C">
        <w:rPr>
          <w:rFonts w:cs="Arial"/>
          <w:b w:val="0"/>
          <w:bCs/>
          <w:i/>
          <w:iCs/>
          <w:sz w:val="18"/>
          <w:szCs w:val="20"/>
        </w:rPr>
        <w:t>Physical Review E</w:t>
      </w:r>
      <w:r w:rsidRPr="004D1B5C">
        <w:rPr>
          <w:rFonts w:cs="Arial"/>
          <w:b w:val="0"/>
          <w:bCs/>
          <w:sz w:val="18"/>
          <w:szCs w:val="20"/>
        </w:rPr>
        <w:t xml:space="preserve"> 60 (3): 2721–26. https://doi.org/10.1103/PhysRevE.60.2721.</w:t>
      </w:r>
    </w:p>
    <w:p w14:paraId="2AFFBE0A"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Daganzo, Carlos F. 1994. ‘The Cell Transmission Model: A Dynamic Representation of Highway Traffic Consistent with the Hydrodynamic Theory’. </w:t>
      </w:r>
      <w:r w:rsidRPr="004D1B5C">
        <w:rPr>
          <w:rFonts w:cs="Arial"/>
          <w:b w:val="0"/>
          <w:bCs/>
          <w:i/>
          <w:iCs/>
          <w:sz w:val="18"/>
          <w:szCs w:val="20"/>
        </w:rPr>
        <w:t>Transportation Research Part B: Methodological</w:t>
      </w:r>
      <w:r w:rsidRPr="004D1B5C">
        <w:rPr>
          <w:rFonts w:cs="Arial"/>
          <w:b w:val="0"/>
          <w:bCs/>
          <w:sz w:val="18"/>
          <w:szCs w:val="20"/>
        </w:rPr>
        <w:t xml:space="preserve"> 28 (4): 269–87. https://doi.org/10.1016/0191-2615(94)90002-7.</w:t>
      </w:r>
    </w:p>
    <w:p w14:paraId="302A4480"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Gallotti, Riccardo, and Marc Barthelemy. 2015. ‘The Multilayer Temporal Network of Public Transport in Great Britain’. </w:t>
      </w:r>
      <w:r w:rsidRPr="004D1B5C">
        <w:rPr>
          <w:rFonts w:cs="Arial"/>
          <w:b w:val="0"/>
          <w:bCs/>
          <w:i/>
          <w:iCs/>
          <w:sz w:val="18"/>
          <w:szCs w:val="20"/>
        </w:rPr>
        <w:t>Scientific Data</w:t>
      </w:r>
      <w:r w:rsidRPr="004D1B5C">
        <w:rPr>
          <w:rFonts w:cs="Arial"/>
          <w:b w:val="0"/>
          <w:bCs/>
          <w:sz w:val="18"/>
          <w:szCs w:val="20"/>
        </w:rPr>
        <w:t xml:space="preserve"> 2 (1): 140056. https://doi.org/10.1038/sdata.2014.56.</w:t>
      </w:r>
    </w:p>
    <w:p w14:paraId="6092A52F"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Gazis, Denos C. 2002. ‘The Origins of Traffic Theory’. </w:t>
      </w:r>
      <w:r w:rsidRPr="004D1B5C">
        <w:rPr>
          <w:rFonts w:cs="Arial"/>
          <w:b w:val="0"/>
          <w:bCs/>
          <w:i/>
          <w:iCs/>
          <w:sz w:val="18"/>
          <w:szCs w:val="20"/>
        </w:rPr>
        <w:t>Operations Research</w:t>
      </w:r>
      <w:r w:rsidRPr="004D1B5C">
        <w:rPr>
          <w:rFonts w:cs="Arial"/>
          <w:b w:val="0"/>
          <w:bCs/>
          <w:sz w:val="18"/>
          <w:szCs w:val="20"/>
        </w:rPr>
        <w:t xml:space="preserve"> 50 (1): 69–77. https://doi.org/10.1287/opre.50.1.69.17776.</w:t>
      </w:r>
    </w:p>
    <w:p w14:paraId="74D7EF3C"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Koppelman, Frank S., and Moshe E. Ben-Akiva. 1977. ‘Aggregate Forecasting with Dissaggregate Travel Demand Models Using Normally Available Data’. In </w:t>
      </w:r>
      <w:r w:rsidRPr="004D1B5C">
        <w:rPr>
          <w:rFonts w:cs="Arial"/>
          <w:b w:val="0"/>
          <w:bCs/>
          <w:i/>
          <w:iCs/>
          <w:sz w:val="18"/>
          <w:szCs w:val="20"/>
        </w:rPr>
        <w:t>Transport Decisions in an Age of Uncertainty: Proceedings of the Third World Conference on Transport Research Rotterdam, 26 – 28 April, 1977</w:t>
      </w:r>
      <w:r w:rsidRPr="004D1B5C">
        <w:rPr>
          <w:rFonts w:cs="Arial"/>
          <w:b w:val="0"/>
          <w:bCs/>
          <w:sz w:val="18"/>
          <w:szCs w:val="20"/>
        </w:rPr>
        <w:t>, edited by Evert J. Visser, 159–66. Dordrecht: Springer Netherlands. https://doi.org/10.1007/978-94-009-9707-3_26.</w:t>
      </w:r>
    </w:p>
    <w:p w14:paraId="1B01D7F8"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Lin, Xuhui, Qiuchen Lu, Long Chen, and Ioannis Brilakis. 2024. ‘Assessing Dynamic Congestion Risks of Flood-Disrupted Transportation Network Systems through Time-Variant Topological Analysis and Traffic Demand Dynamics’. </w:t>
      </w:r>
      <w:r w:rsidRPr="004D1B5C">
        <w:rPr>
          <w:rFonts w:cs="Arial"/>
          <w:b w:val="0"/>
          <w:bCs/>
          <w:i/>
          <w:iCs/>
          <w:sz w:val="18"/>
          <w:szCs w:val="20"/>
        </w:rPr>
        <w:t>Advanced Engineering Informatics</w:t>
      </w:r>
      <w:r w:rsidRPr="004D1B5C">
        <w:rPr>
          <w:rFonts w:cs="Arial"/>
          <w:b w:val="0"/>
          <w:bCs/>
          <w:sz w:val="18"/>
          <w:szCs w:val="20"/>
        </w:rPr>
        <w:t xml:space="preserve"> 62 (October):102672. https://doi.org/10.1016/j.aei.2024.102672.</w:t>
      </w:r>
    </w:p>
    <w:p w14:paraId="30C712A5"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Lynn, Christopher W., Caroline M. Holmes, William Bialek, and David J. Schwab. 2022. ‘Emergence of Local Irreversibility in Complex Interacting Systems’. </w:t>
      </w:r>
      <w:r w:rsidRPr="004D1B5C">
        <w:rPr>
          <w:rFonts w:cs="Arial"/>
          <w:b w:val="0"/>
          <w:bCs/>
          <w:i/>
          <w:iCs/>
          <w:sz w:val="18"/>
          <w:szCs w:val="20"/>
        </w:rPr>
        <w:t>Physical Review E</w:t>
      </w:r>
      <w:r w:rsidRPr="004D1B5C">
        <w:rPr>
          <w:rFonts w:cs="Arial"/>
          <w:b w:val="0"/>
          <w:bCs/>
          <w:sz w:val="18"/>
          <w:szCs w:val="20"/>
        </w:rPr>
        <w:t xml:space="preserve"> 106 (3): 034102. https://doi.org/10.1103/PhysRevE.106.034102.</w:t>
      </w:r>
    </w:p>
    <w:p w14:paraId="60231DB4"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Nartallo-Kaluarachchi, Ramón, Leonardo Bonetti, Gemma Fernández-Rubio, Peter Vuust, Gustavo Deco, Morten L. Kringelbach, Renaud Lambiotte, and Alain Goriely. 2024. ‘Multilevel Irreversibility Reveals Higher-Order Organisation of Non-Equilibrium Interactions in Human Brain Dynamics’. 0 </w:t>
      </w:r>
      <w:r w:rsidRPr="004D1B5C">
        <w:rPr>
          <w:rFonts w:ascii="Segoe UI Emoji" w:hAnsi="Segoe UI Emoji" w:cs="Segoe UI Emoji"/>
          <w:b w:val="0"/>
          <w:bCs/>
          <w:sz w:val="18"/>
          <w:szCs w:val="20"/>
        </w:rPr>
        <w:t>📊</w:t>
      </w:r>
      <w:r w:rsidRPr="004D1B5C">
        <w:rPr>
          <w:rFonts w:cs="Arial"/>
          <w:b w:val="0"/>
          <w:bCs/>
          <w:sz w:val="18"/>
          <w:szCs w:val="20"/>
        </w:rPr>
        <w:t>. https://doi.org/10.1101/2024.05.02.592195.</w:t>
      </w:r>
    </w:p>
    <w:p w14:paraId="3E377375"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Seifert, Udo. 2012. ‘Stochastic Thermodynamics, Fluctuation Theorems and Molecular Machines’. </w:t>
      </w:r>
      <w:r w:rsidRPr="004D1B5C">
        <w:rPr>
          <w:rFonts w:cs="Arial"/>
          <w:b w:val="0"/>
          <w:bCs/>
          <w:i/>
          <w:iCs/>
          <w:sz w:val="18"/>
          <w:szCs w:val="20"/>
        </w:rPr>
        <w:t>Reports on Progress in Physics</w:t>
      </w:r>
      <w:r w:rsidRPr="004D1B5C">
        <w:rPr>
          <w:rFonts w:cs="Arial"/>
          <w:b w:val="0"/>
          <w:bCs/>
          <w:sz w:val="18"/>
          <w:szCs w:val="20"/>
        </w:rPr>
        <w:t xml:space="preserve"> 75 (12): 126001. https://doi.org/10.1088/0034-4885/75/12/126001.</w:t>
      </w:r>
    </w:p>
    <w:p w14:paraId="70552D03"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Sun, Jiayun, Aaron C. H. Chow, and Samer Michel Madanat. 2020. ‘Multimodal Transportation System Protection against Sea Level Rise’. </w:t>
      </w:r>
      <w:r w:rsidRPr="004D1B5C">
        <w:rPr>
          <w:rFonts w:cs="Arial"/>
          <w:b w:val="0"/>
          <w:bCs/>
          <w:i/>
          <w:iCs/>
          <w:sz w:val="18"/>
          <w:szCs w:val="20"/>
        </w:rPr>
        <w:t>Transportation Research Part D: Transport and Environment</w:t>
      </w:r>
      <w:r w:rsidRPr="004D1B5C">
        <w:rPr>
          <w:rFonts w:cs="Arial"/>
          <w:b w:val="0"/>
          <w:bCs/>
          <w:sz w:val="18"/>
          <w:szCs w:val="20"/>
        </w:rPr>
        <w:t xml:space="preserve"> 88 (November):102568. https://doi.org/10.1016/j.trd.2020.102568.</w:t>
      </w:r>
    </w:p>
    <w:p w14:paraId="0EACC04F"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Wang, Binwu, Yan Leng, Guang Wang, and Yang Wang. 2024. ‘FusionTransNet for Smart Urban Mobility: Spatiotemporal Traffic Forecasting Through Multimodal Network Integration’. arXiv. 0 </w:t>
      </w:r>
      <w:r w:rsidRPr="004D1B5C">
        <w:rPr>
          <w:rFonts w:ascii="Segoe UI Emoji" w:hAnsi="Segoe UI Emoji" w:cs="Segoe UI Emoji"/>
          <w:b w:val="0"/>
          <w:bCs/>
          <w:sz w:val="18"/>
          <w:szCs w:val="20"/>
        </w:rPr>
        <w:t>📊</w:t>
      </w:r>
      <w:r w:rsidRPr="004D1B5C">
        <w:rPr>
          <w:rFonts w:cs="Arial"/>
          <w:b w:val="0"/>
          <w:bCs/>
          <w:sz w:val="18"/>
          <w:szCs w:val="20"/>
        </w:rPr>
        <w:t>. https://doi.org/10.48550/arXiv.2405.05786.</w:t>
      </w:r>
    </w:p>
    <w:p w14:paraId="145A3FB0"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Wang, Longjian, Shuichao Zhang, Gábor Szűcs, and Yonggang Wang. 2024. ‘Identifying the Critical Nodes in Multi-Modal Transportation Network with a Traffic Demand-Based Computational Method’. </w:t>
      </w:r>
      <w:r w:rsidRPr="004D1B5C">
        <w:rPr>
          <w:rFonts w:cs="Arial"/>
          <w:b w:val="0"/>
          <w:bCs/>
          <w:i/>
          <w:iCs/>
          <w:sz w:val="18"/>
          <w:szCs w:val="20"/>
        </w:rPr>
        <w:t>Reliability Engineering &amp; System Safety</w:t>
      </w:r>
      <w:r w:rsidRPr="004D1B5C">
        <w:rPr>
          <w:rFonts w:cs="Arial"/>
          <w:b w:val="0"/>
          <w:bCs/>
          <w:sz w:val="18"/>
          <w:szCs w:val="20"/>
        </w:rPr>
        <w:t xml:space="preserve"> 244 (April):109956. https://doi.org/10.1016/j.ress.2024.109956.</w:t>
      </w:r>
    </w:p>
    <w:p w14:paraId="654A0420"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t xml:space="preserve">Yang, Zhicheng, Xiaobing Liu, Jiangfeng Wang, Xuedong Yan, Rui Shen, and Zhengqi Huo. 2025. ‘Assessment on Resilience of Urban Agglomeration Transportation System Considering Passenger Choice and Load-Capacity Factor’. </w:t>
      </w:r>
      <w:r w:rsidRPr="004D1B5C">
        <w:rPr>
          <w:rFonts w:cs="Arial"/>
          <w:b w:val="0"/>
          <w:bCs/>
          <w:i/>
          <w:iCs/>
          <w:sz w:val="18"/>
          <w:szCs w:val="20"/>
        </w:rPr>
        <w:t>Reliability Engineering &amp; System Safety</w:t>
      </w:r>
      <w:r w:rsidRPr="004D1B5C">
        <w:rPr>
          <w:rFonts w:cs="Arial"/>
          <w:b w:val="0"/>
          <w:bCs/>
          <w:sz w:val="18"/>
          <w:szCs w:val="20"/>
        </w:rPr>
        <w:t xml:space="preserve"> 253 (January):110527. https://doi.org/10.1016/j.ress.2024.110527.</w:t>
      </w:r>
    </w:p>
    <w:p w14:paraId="638D1A83" w14:textId="77777777" w:rsidR="004D1B5C" w:rsidRPr="004D1B5C" w:rsidRDefault="004D1B5C" w:rsidP="004D1B5C">
      <w:pPr>
        <w:pStyle w:val="Bibliography"/>
        <w:jc w:val="both"/>
        <w:rPr>
          <w:rFonts w:cs="Arial"/>
          <w:b w:val="0"/>
          <w:bCs/>
          <w:sz w:val="18"/>
          <w:szCs w:val="20"/>
        </w:rPr>
      </w:pPr>
      <w:r w:rsidRPr="004D1B5C">
        <w:rPr>
          <w:rFonts w:cs="Arial"/>
          <w:b w:val="0"/>
          <w:bCs/>
          <w:sz w:val="18"/>
          <w:szCs w:val="20"/>
        </w:rPr>
        <w:lastRenderedPageBreak/>
        <w:t xml:space="preserve">Zhou, Huide, Rachid Bouyekhf, and Adbellah El Moudni. 2013. ‘Modeling and Entropy Based Control of Urban Transportation Network’. </w:t>
      </w:r>
      <w:r w:rsidRPr="004D1B5C">
        <w:rPr>
          <w:rFonts w:cs="Arial"/>
          <w:b w:val="0"/>
          <w:bCs/>
          <w:i/>
          <w:iCs/>
          <w:sz w:val="18"/>
          <w:szCs w:val="20"/>
        </w:rPr>
        <w:t>Control Engineering Practice</w:t>
      </w:r>
      <w:r w:rsidRPr="004D1B5C">
        <w:rPr>
          <w:rFonts w:cs="Arial"/>
          <w:b w:val="0"/>
          <w:bCs/>
          <w:sz w:val="18"/>
          <w:szCs w:val="20"/>
        </w:rPr>
        <w:t xml:space="preserve"> 21 (10): 1369–76. https://doi.org/10.1016/j.conengprac.2013.06.007.</w:t>
      </w:r>
    </w:p>
    <w:p w14:paraId="0178C775" w14:textId="373EFA18" w:rsidR="00452605" w:rsidRPr="004D1B5C" w:rsidRDefault="004D1B5C" w:rsidP="004D1B5C">
      <w:pPr>
        <w:jc w:val="both"/>
        <w:rPr>
          <w:rFonts w:cs="Arial"/>
          <w:b w:val="0"/>
          <w:sz w:val="18"/>
        </w:rPr>
      </w:pPr>
      <w:r w:rsidRPr="004D1B5C">
        <w:rPr>
          <w:rFonts w:cs="Arial"/>
          <w:b w:val="0"/>
          <w:bCs/>
          <w:sz w:val="18"/>
          <w:szCs w:val="18"/>
        </w:rPr>
        <w:fldChar w:fldCharType="end"/>
      </w:r>
    </w:p>
    <w:sectPr w:rsidR="00452605" w:rsidRPr="004D1B5C" w:rsidSect="00857E6D">
      <w:headerReference w:type="default" r:id="rId38"/>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31E4B" w14:textId="77777777" w:rsidR="003D6C01" w:rsidRDefault="003D6C01" w:rsidP="00A974D7">
      <w:r>
        <w:separator/>
      </w:r>
    </w:p>
  </w:endnote>
  <w:endnote w:type="continuationSeparator" w:id="0">
    <w:p w14:paraId="3F80AF7A" w14:textId="77777777" w:rsidR="003D6C01" w:rsidRDefault="003D6C01"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F4045" w14:textId="77777777" w:rsidR="003D6C01" w:rsidRDefault="003D6C01" w:rsidP="00A974D7">
      <w:r>
        <w:separator/>
      </w:r>
    </w:p>
  </w:footnote>
  <w:footnote w:type="continuationSeparator" w:id="0">
    <w:p w14:paraId="7C1BFA33" w14:textId="77777777" w:rsidR="003D6C01" w:rsidRDefault="003D6C01"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8B280C1" w:rsidR="007F5224" w:rsidRDefault="005F74EF" w:rsidP="009465E7">
    <w:pPr>
      <w:pStyle w:val="Header"/>
      <w:jc w:val="center"/>
    </w:pPr>
    <w:r>
      <w:rPr>
        <w:rFonts w:cs="Arial"/>
        <w:sz w:val="36"/>
      </w:rPr>
      <w:t xml:space="preserve"> </w:t>
    </w:r>
    <w:r w:rsidR="00E94C34">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141.75pt">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605"/>
    <w:rsid w:val="000115A7"/>
    <w:rsid w:val="00016F2D"/>
    <w:rsid w:val="00017B66"/>
    <w:rsid w:val="000215C4"/>
    <w:rsid w:val="000329CA"/>
    <w:rsid w:val="00032BAF"/>
    <w:rsid w:val="00041183"/>
    <w:rsid w:val="00041B90"/>
    <w:rsid w:val="000470C3"/>
    <w:rsid w:val="00060AD0"/>
    <w:rsid w:val="00063C7B"/>
    <w:rsid w:val="00071583"/>
    <w:rsid w:val="00076448"/>
    <w:rsid w:val="000861F7"/>
    <w:rsid w:val="00094A82"/>
    <w:rsid w:val="00095014"/>
    <w:rsid w:val="000A364B"/>
    <w:rsid w:val="000B62D6"/>
    <w:rsid w:val="000C3324"/>
    <w:rsid w:val="000C79BC"/>
    <w:rsid w:val="000D5BB5"/>
    <w:rsid w:val="000F4745"/>
    <w:rsid w:val="00100674"/>
    <w:rsid w:val="001029BA"/>
    <w:rsid w:val="0012137D"/>
    <w:rsid w:val="0012216D"/>
    <w:rsid w:val="00154061"/>
    <w:rsid w:val="00155EA0"/>
    <w:rsid w:val="001A0B08"/>
    <w:rsid w:val="001A4741"/>
    <w:rsid w:val="001B0C20"/>
    <w:rsid w:val="001B6B82"/>
    <w:rsid w:val="001C535D"/>
    <w:rsid w:val="001D19AB"/>
    <w:rsid w:val="001D6CCF"/>
    <w:rsid w:val="001D72F8"/>
    <w:rsid w:val="001E03B8"/>
    <w:rsid w:val="001F56EB"/>
    <w:rsid w:val="002100A8"/>
    <w:rsid w:val="00213073"/>
    <w:rsid w:val="00215AB9"/>
    <w:rsid w:val="00216CAD"/>
    <w:rsid w:val="002208AA"/>
    <w:rsid w:val="00230396"/>
    <w:rsid w:val="0024432C"/>
    <w:rsid w:val="00245738"/>
    <w:rsid w:val="00246E7B"/>
    <w:rsid w:val="00254FFD"/>
    <w:rsid w:val="002715DF"/>
    <w:rsid w:val="002739B1"/>
    <w:rsid w:val="00283E92"/>
    <w:rsid w:val="00295B55"/>
    <w:rsid w:val="002977A1"/>
    <w:rsid w:val="00297D53"/>
    <w:rsid w:val="00302192"/>
    <w:rsid w:val="003051F7"/>
    <w:rsid w:val="00321D71"/>
    <w:rsid w:val="00324810"/>
    <w:rsid w:val="0033283E"/>
    <w:rsid w:val="003412C9"/>
    <w:rsid w:val="00364DE2"/>
    <w:rsid w:val="00372649"/>
    <w:rsid w:val="003750EC"/>
    <w:rsid w:val="003B45D4"/>
    <w:rsid w:val="003D6C01"/>
    <w:rsid w:val="003E1723"/>
    <w:rsid w:val="003F1F2A"/>
    <w:rsid w:val="0042205D"/>
    <w:rsid w:val="0042338A"/>
    <w:rsid w:val="004331D6"/>
    <w:rsid w:val="00452605"/>
    <w:rsid w:val="0047494E"/>
    <w:rsid w:val="004767C1"/>
    <w:rsid w:val="00480680"/>
    <w:rsid w:val="004939CF"/>
    <w:rsid w:val="00493DE1"/>
    <w:rsid w:val="004D1B5C"/>
    <w:rsid w:val="004E20F3"/>
    <w:rsid w:val="004F55C0"/>
    <w:rsid w:val="004F6326"/>
    <w:rsid w:val="00513DBC"/>
    <w:rsid w:val="00521F7B"/>
    <w:rsid w:val="005228B8"/>
    <w:rsid w:val="00523059"/>
    <w:rsid w:val="005356CF"/>
    <w:rsid w:val="0054466D"/>
    <w:rsid w:val="00580E0F"/>
    <w:rsid w:val="005A0994"/>
    <w:rsid w:val="005A108C"/>
    <w:rsid w:val="005B2BD1"/>
    <w:rsid w:val="005B724E"/>
    <w:rsid w:val="005E4273"/>
    <w:rsid w:val="005F74EF"/>
    <w:rsid w:val="006069C3"/>
    <w:rsid w:val="0060744F"/>
    <w:rsid w:val="00621641"/>
    <w:rsid w:val="00637024"/>
    <w:rsid w:val="006370A7"/>
    <w:rsid w:val="00655CAD"/>
    <w:rsid w:val="0065674D"/>
    <w:rsid w:val="00656C2C"/>
    <w:rsid w:val="00681F34"/>
    <w:rsid w:val="006A2AB1"/>
    <w:rsid w:val="006A6A7E"/>
    <w:rsid w:val="006B228A"/>
    <w:rsid w:val="006B264D"/>
    <w:rsid w:val="006C4863"/>
    <w:rsid w:val="006C5367"/>
    <w:rsid w:val="006C79D8"/>
    <w:rsid w:val="006D431C"/>
    <w:rsid w:val="006D5C01"/>
    <w:rsid w:val="00700811"/>
    <w:rsid w:val="00701B43"/>
    <w:rsid w:val="007134BE"/>
    <w:rsid w:val="0071499A"/>
    <w:rsid w:val="0072784F"/>
    <w:rsid w:val="007459B1"/>
    <w:rsid w:val="007573F6"/>
    <w:rsid w:val="007638D1"/>
    <w:rsid w:val="00781485"/>
    <w:rsid w:val="0079586B"/>
    <w:rsid w:val="007B134F"/>
    <w:rsid w:val="007C3528"/>
    <w:rsid w:val="007E3BD9"/>
    <w:rsid w:val="007F2CCF"/>
    <w:rsid w:val="007F30EC"/>
    <w:rsid w:val="007F5224"/>
    <w:rsid w:val="007F6AAE"/>
    <w:rsid w:val="00801AB1"/>
    <w:rsid w:val="00802FC9"/>
    <w:rsid w:val="00812538"/>
    <w:rsid w:val="00814B3A"/>
    <w:rsid w:val="0081763A"/>
    <w:rsid w:val="00821DF0"/>
    <w:rsid w:val="0083446D"/>
    <w:rsid w:val="008365F1"/>
    <w:rsid w:val="00842657"/>
    <w:rsid w:val="00845689"/>
    <w:rsid w:val="008461C1"/>
    <w:rsid w:val="00850825"/>
    <w:rsid w:val="00854663"/>
    <w:rsid w:val="008556AB"/>
    <w:rsid w:val="00857E6D"/>
    <w:rsid w:val="00864DB0"/>
    <w:rsid w:val="00865E31"/>
    <w:rsid w:val="0086672F"/>
    <w:rsid w:val="008872C4"/>
    <w:rsid w:val="0089389A"/>
    <w:rsid w:val="0089655D"/>
    <w:rsid w:val="008968E9"/>
    <w:rsid w:val="00896AB3"/>
    <w:rsid w:val="008A1384"/>
    <w:rsid w:val="008B583D"/>
    <w:rsid w:val="008B6A2D"/>
    <w:rsid w:val="008B7508"/>
    <w:rsid w:val="008C1D1F"/>
    <w:rsid w:val="008C70E5"/>
    <w:rsid w:val="008C7709"/>
    <w:rsid w:val="008D1758"/>
    <w:rsid w:val="008D55B7"/>
    <w:rsid w:val="008F0255"/>
    <w:rsid w:val="008F3AA5"/>
    <w:rsid w:val="00900092"/>
    <w:rsid w:val="0090778C"/>
    <w:rsid w:val="00910728"/>
    <w:rsid w:val="0091410E"/>
    <w:rsid w:val="00923F70"/>
    <w:rsid w:val="009251E5"/>
    <w:rsid w:val="00933D04"/>
    <w:rsid w:val="00936D2D"/>
    <w:rsid w:val="009450F6"/>
    <w:rsid w:val="009465E7"/>
    <w:rsid w:val="00947200"/>
    <w:rsid w:val="0095653F"/>
    <w:rsid w:val="009648B4"/>
    <w:rsid w:val="00964B2F"/>
    <w:rsid w:val="00991A6B"/>
    <w:rsid w:val="00996337"/>
    <w:rsid w:val="009D3296"/>
    <w:rsid w:val="009E06BD"/>
    <w:rsid w:val="009E5926"/>
    <w:rsid w:val="009F0B7A"/>
    <w:rsid w:val="00A0468A"/>
    <w:rsid w:val="00A113E7"/>
    <w:rsid w:val="00A1355D"/>
    <w:rsid w:val="00A23450"/>
    <w:rsid w:val="00A3747D"/>
    <w:rsid w:val="00A70111"/>
    <w:rsid w:val="00A74484"/>
    <w:rsid w:val="00A86A80"/>
    <w:rsid w:val="00A87382"/>
    <w:rsid w:val="00A92A2C"/>
    <w:rsid w:val="00A974D7"/>
    <w:rsid w:val="00AA1895"/>
    <w:rsid w:val="00AA1FBC"/>
    <w:rsid w:val="00AA5330"/>
    <w:rsid w:val="00AB2309"/>
    <w:rsid w:val="00AB78FC"/>
    <w:rsid w:val="00AC40DF"/>
    <w:rsid w:val="00AC4D20"/>
    <w:rsid w:val="00AC79BB"/>
    <w:rsid w:val="00AF1F2B"/>
    <w:rsid w:val="00AF4501"/>
    <w:rsid w:val="00AF7083"/>
    <w:rsid w:val="00B20A61"/>
    <w:rsid w:val="00B339D8"/>
    <w:rsid w:val="00B750B3"/>
    <w:rsid w:val="00B76C0C"/>
    <w:rsid w:val="00B77A41"/>
    <w:rsid w:val="00B84E07"/>
    <w:rsid w:val="00B86B2E"/>
    <w:rsid w:val="00BA152E"/>
    <w:rsid w:val="00BC0D0B"/>
    <w:rsid w:val="00BE258C"/>
    <w:rsid w:val="00BF5B80"/>
    <w:rsid w:val="00C04303"/>
    <w:rsid w:val="00C06233"/>
    <w:rsid w:val="00C07CE0"/>
    <w:rsid w:val="00C07F73"/>
    <w:rsid w:val="00C10295"/>
    <w:rsid w:val="00C31D5E"/>
    <w:rsid w:val="00C32EB1"/>
    <w:rsid w:val="00C41557"/>
    <w:rsid w:val="00C42B37"/>
    <w:rsid w:val="00C4506F"/>
    <w:rsid w:val="00C669E4"/>
    <w:rsid w:val="00C8701C"/>
    <w:rsid w:val="00C93570"/>
    <w:rsid w:val="00C956D1"/>
    <w:rsid w:val="00CA1C83"/>
    <w:rsid w:val="00CA3ECE"/>
    <w:rsid w:val="00CB2332"/>
    <w:rsid w:val="00CB55C3"/>
    <w:rsid w:val="00CC6C6A"/>
    <w:rsid w:val="00CD5170"/>
    <w:rsid w:val="00CE5799"/>
    <w:rsid w:val="00CE5B24"/>
    <w:rsid w:val="00CE721C"/>
    <w:rsid w:val="00CF139F"/>
    <w:rsid w:val="00CF20EA"/>
    <w:rsid w:val="00CF475C"/>
    <w:rsid w:val="00CF6922"/>
    <w:rsid w:val="00D053CB"/>
    <w:rsid w:val="00D14182"/>
    <w:rsid w:val="00D31278"/>
    <w:rsid w:val="00D43670"/>
    <w:rsid w:val="00D461B2"/>
    <w:rsid w:val="00D77DA7"/>
    <w:rsid w:val="00D801A8"/>
    <w:rsid w:val="00D9398E"/>
    <w:rsid w:val="00DB60B6"/>
    <w:rsid w:val="00DD1770"/>
    <w:rsid w:val="00DD687C"/>
    <w:rsid w:val="00DE1562"/>
    <w:rsid w:val="00DE2C5C"/>
    <w:rsid w:val="00DE3A31"/>
    <w:rsid w:val="00DE4AB5"/>
    <w:rsid w:val="00DF42B5"/>
    <w:rsid w:val="00E13700"/>
    <w:rsid w:val="00E15DFB"/>
    <w:rsid w:val="00E215D2"/>
    <w:rsid w:val="00E22572"/>
    <w:rsid w:val="00E32DD4"/>
    <w:rsid w:val="00E34D7A"/>
    <w:rsid w:val="00E37E0A"/>
    <w:rsid w:val="00E4344D"/>
    <w:rsid w:val="00E537D0"/>
    <w:rsid w:val="00E5718F"/>
    <w:rsid w:val="00E70355"/>
    <w:rsid w:val="00E72291"/>
    <w:rsid w:val="00E84285"/>
    <w:rsid w:val="00E90A6D"/>
    <w:rsid w:val="00E94C34"/>
    <w:rsid w:val="00E970F9"/>
    <w:rsid w:val="00EC61B4"/>
    <w:rsid w:val="00ED3661"/>
    <w:rsid w:val="00EE40DD"/>
    <w:rsid w:val="00EF0109"/>
    <w:rsid w:val="00EF5BFB"/>
    <w:rsid w:val="00EF7644"/>
    <w:rsid w:val="00F05EA2"/>
    <w:rsid w:val="00F2258D"/>
    <w:rsid w:val="00F26717"/>
    <w:rsid w:val="00F26E45"/>
    <w:rsid w:val="00F51F2B"/>
    <w:rsid w:val="00F608DB"/>
    <w:rsid w:val="00F634DB"/>
    <w:rsid w:val="00F65C51"/>
    <w:rsid w:val="00F733B8"/>
    <w:rsid w:val="00F8264F"/>
    <w:rsid w:val="00FA5345"/>
    <w:rsid w:val="00FA6FE6"/>
    <w:rsid w:val="00FB1B83"/>
    <w:rsid w:val="00FC623D"/>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paragraph" w:styleId="Heading3">
    <w:name w:val="heading 3"/>
    <w:basedOn w:val="Normal"/>
    <w:next w:val="Normal"/>
    <w:link w:val="Heading3Char"/>
    <w:uiPriority w:val="9"/>
    <w:unhideWhenUsed/>
    <w:qFormat/>
    <w:rsid w:val="00D801A8"/>
    <w:pPr>
      <w:keepNext/>
      <w:spacing w:before="240" w:after="60"/>
      <w:outlineLvl w:val="2"/>
    </w:pPr>
    <w:rPr>
      <w:rFonts w:ascii="Aptos Display" w:eastAsia="DengXian Light" w:hAnsi="Aptos Display"/>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customStyle="1" w:styleId="Heading3Char">
    <w:name w:val="Heading 3 Char"/>
    <w:link w:val="Heading3"/>
    <w:uiPriority w:val="9"/>
    <w:rsid w:val="00D801A8"/>
    <w:rPr>
      <w:rFonts w:ascii="Aptos Display" w:eastAsia="DengXian Light" w:hAnsi="Aptos Display"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eg"/><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jpeg"/><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9</Pages>
  <Words>11557</Words>
  <Characters>65881</Characters>
  <Application>Microsoft Office Word</Application>
  <DocSecurity>0</DocSecurity>
  <Lines>549</Lines>
  <Paragraphs>154</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77284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lin xuhui</cp:lastModifiedBy>
  <cp:revision>19</cp:revision>
  <cp:lastPrinted>2013-03-18T18:30:00Z</cp:lastPrinted>
  <dcterms:created xsi:type="dcterms:W3CDTF">2025-04-14T14:17:00Z</dcterms:created>
  <dcterms:modified xsi:type="dcterms:W3CDTF">2025-05-12T11:36:00Z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id="d3EqWd87"/&gt;&lt;style id="http://www.zotero.org/styles/chicago-author-date" locale="en-GB" hasBibliography="1" bibliographyStyleHasBeenSet="0"/&gt;&lt;prefs&gt;&lt;pref name="fieldType" value="Field"/&gt;&lt;/prefs&gt;&lt;/</vt:lpwstr>
  </property>
  <property fmtid="{D5CDD505-2E9C-101B-9397-08002B2CF9AE}" pid="3" name="ZOTERO_PREF_2">
    <vt:lpwstr>data&gt;</vt:lpwstr>
  </property>
</Properties>
</file>