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B0CA03" w14:textId="0465DCCA" w:rsidR="00A86011" w:rsidRDefault="00A86011">
      <w:pPr>
        <w:spacing w:line="278" w:lineRule="auto"/>
        <w:rPr>
          <w:rFonts w:ascii="Calibri" w:hAnsi="Calibri" w:cs="Calibri"/>
          <w:b/>
          <w:bCs/>
          <w:sz w:val="28"/>
          <w:szCs w:val="28"/>
        </w:rPr>
      </w:pPr>
    </w:p>
    <w:p w14:paraId="744196F6" w14:textId="5F8F6F61" w:rsidR="005076E1" w:rsidRPr="00D6057A" w:rsidRDefault="00D57103" w:rsidP="003A742D">
      <w:pPr>
        <w:spacing w:after="40" w:line="240" w:lineRule="auto"/>
        <w:jc w:val="center"/>
        <w:rPr>
          <w:rFonts w:ascii="Calibri" w:hAnsi="Calibri" w:cs="Calibri"/>
          <w:b/>
          <w:bCs/>
          <w:sz w:val="28"/>
          <w:szCs w:val="28"/>
        </w:rPr>
      </w:pPr>
      <w:r w:rsidRPr="00D57103">
        <w:rPr>
          <w:rFonts w:ascii="Calibri" w:hAnsi="Calibri" w:cs="Calibri"/>
          <w:b/>
          <w:bCs/>
          <w:sz w:val="28"/>
          <w:szCs w:val="28"/>
        </w:rPr>
        <w:t>Assessing reuse scenarios through circularity and LCA metrics</w:t>
      </w:r>
    </w:p>
    <w:p w14:paraId="134952A8" w14:textId="7927FB40" w:rsidR="005076E1" w:rsidRPr="00D6057A" w:rsidRDefault="00876CA6" w:rsidP="003A742D">
      <w:pPr>
        <w:spacing w:after="40" w:line="240" w:lineRule="auto"/>
        <w:jc w:val="center"/>
        <w:rPr>
          <w:rFonts w:ascii="Calibri" w:hAnsi="Calibri" w:cs="Calibri"/>
          <w:color w:val="EE0000"/>
          <w:sz w:val="24"/>
          <w:szCs w:val="24"/>
        </w:rPr>
      </w:pPr>
      <w:r>
        <w:rPr>
          <w:rFonts w:ascii="Calibri" w:hAnsi="Calibri" w:cs="Calibri"/>
          <w:sz w:val="24"/>
          <w:szCs w:val="24"/>
        </w:rPr>
        <w:t>A</w:t>
      </w:r>
      <w:r w:rsidR="00523E0B" w:rsidRPr="00523E0B">
        <w:rPr>
          <w:rFonts w:ascii="Calibri" w:hAnsi="Calibri" w:cs="Calibri"/>
          <w:sz w:val="24"/>
          <w:szCs w:val="24"/>
        </w:rPr>
        <w:t xml:space="preserve"> case study of a town hall renovation in Luxembourg</w:t>
      </w:r>
    </w:p>
    <w:p w14:paraId="7EF4B119" w14:textId="2E919431" w:rsidR="005076E1" w:rsidRPr="00020556" w:rsidRDefault="00860EC8" w:rsidP="00CD5BF0">
      <w:pPr>
        <w:pStyle w:val="Author"/>
        <w:spacing w:after="40"/>
        <w:rPr>
          <w:rFonts w:ascii="Calibri" w:hAnsi="Calibri" w:cs="Calibri"/>
          <w:sz w:val="22"/>
          <w:szCs w:val="22"/>
          <w:lang w:val="fr-CH"/>
        </w:rPr>
      </w:pPr>
      <w:r w:rsidRPr="00020556">
        <w:rPr>
          <w:rFonts w:ascii="Calibri" w:hAnsi="Calibri" w:cs="Calibri"/>
          <w:sz w:val="22"/>
          <w:szCs w:val="22"/>
          <w:lang w:val="fr-CH"/>
        </w:rPr>
        <w:t>Annie Guerriero</w:t>
      </w:r>
      <w:proofErr w:type="gramStart"/>
      <w:r w:rsidR="005076E1" w:rsidRPr="00020556">
        <w:rPr>
          <w:rFonts w:ascii="Calibri" w:hAnsi="Calibri" w:cs="Calibri"/>
          <w:sz w:val="22"/>
          <w:szCs w:val="22"/>
          <w:vertAlign w:val="superscript"/>
          <w:lang w:val="fr-CH"/>
        </w:rPr>
        <w:t>1,*</w:t>
      </w:r>
      <w:proofErr w:type="gramEnd"/>
      <w:r w:rsidR="00EA2753" w:rsidRPr="00020556">
        <w:rPr>
          <w:rFonts w:ascii="Calibri" w:hAnsi="Calibri" w:cs="Calibri"/>
          <w:sz w:val="22"/>
          <w:szCs w:val="22"/>
          <w:lang w:val="fr-CH"/>
        </w:rPr>
        <w:t xml:space="preserve">, </w:t>
      </w:r>
      <w:r w:rsidR="00F5509E" w:rsidRPr="00020556">
        <w:rPr>
          <w:rFonts w:ascii="Calibri" w:hAnsi="Calibri" w:cs="Calibri"/>
          <w:sz w:val="22"/>
          <w:szCs w:val="22"/>
          <w:lang w:val="fr-CH"/>
        </w:rPr>
        <w:t xml:space="preserve">Hajar El Ammari </w:t>
      </w:r>
      <w:r w:rsidR="00F5509E" w:rsidRPr="00020556">
        <w:rPr>
          <w:rFonts w:ascii="Calibri" w:hAnsi="Calibri" w:cs="Calibri"/>
          <w:sz w:val="22"/>
          <w:szCs w:val="22"/>
          <w:vertAlign w:val="superscript"/>
          <w:lang w:val="fr-CH"/>
        </w:rPr>
        <w:t>1</w:t>
      </w:r>
      <w:r w:rsidR="00F5509E" w:rsidRPr="00020556">
        <w:rPr>
          <w:rFonts w:ascii="Calibri" w:hAnsi="Calibri" w:cs="Calibri"/>
          <w:sz w:val="22"/>
          <w:szCs w:val="22"/>
          <w:lang w:val="fr-CH"/>
        </w:rPr>
        <w:t>,</w:t>
      </w:r>
      <w:r w:rsidR="00F5509E">
        <w:rPr>
          <w:rFonts w:ascii="Calibri" w:hAnsi="Calibri" w:cs="Calibri"/>
          <w:sz w:val="22"/>
          <w:szCs w:val="22"/>
          <w:lang w:val="fr-CH"/>
        </w:rPr>
        <w:t xml:space="preserve"> </w:t>
      </w:r>
      <w:r w:rsidR="00F5509E" w:rsidRPr="00020556">
        <w:rPr>
          <w:rFonts w:ascii="Calibri" w:hAnsi="Calibri" w:cs="Calibri"/>
          <w:sz w:val="22"/>
          <w:szCs w:val="22"/>
          <w:lang w:val="fr-CH"/>
        </w:rPr>
        <w:t>Derya Yilmaz</w:t>
      </w:r>
      <w:r w:rsidR="00F5509E" w:rsidRPr="00020556">
        <w:rPr>
          <w:rFonts w:ascii="Calibri" w:hAnsi="Calibri" w:cs="Calibri"/>
          <w:sz w:val="22"/>
          <w:szCs w:val="22"/>
          <w:vertAlign w:val="superscript"/>
          <w:lang w:val="fr-CH"/>
        </w:rPr>
        <w:t>1</w:t>
      </w:r>
      <w:r w:rsidR="00EA2753" w:rsidRPr="00020556">
        <w:rPr>
          <w:rFonts w:ascii="Calibri" w:hAnsi="Calibri" w:cs="Calibri"/>
          <w:sz w:val="22"/>
          <w:szCs w:val="22"/>
          <w:lang w:val="fr-CH"/>
        </w:rPr>
        <w:t xml:space="preserve">, </w:t>
      </w:r>
      <w:proofErr w:type="spellStart"/>
      <w:r w:rsidR="00EA2753" w:rsidRPr="00020556">
        <w:rPr>
          <w:rFonts w:ascii="Calibri" w:hAnsi="Calibri" w:cs="Calibri"/>
          <w:sz w:val="22"/>
          <w:szCs w:val="22"/>
          <w:lang w:val="fr-CH"/>
        </w:rPr>
        <w:t>Calin</w:t>
      </w:r>
      <w:proofErr w:type="spellEnd"/>
      <w:r w:rsidR="00EA2753" w:rsidRPr="00020556">
        <w:rPr>
          <w:rFonts w:ascii="Calibri" w:hAnsi="Calibri" w:cs="Calibri"/>
          <w:sz w:val="22"/>
          <w:szCs w:val="22"/>
          <w:lang w:val="fr-CH"/>
        </w:rPr>
        <w:t xml:space="preserve"> Boje</w:t>
      </w:r>
      <w:r w:rsidR="00EA2753" w:rsidRPr="00020556">
        <w:rPr>
          <w:rFonts w:ascii="Calibri" w:hAnsi="Calibri" w:cs="Calibri"/>
          <w:sz w:val="22"/>
          <w:szCs w:val="22"/>
          <w:vertAlign w:val="superscript"/>
          <w:lang w:val="fr-CH"/>
        </w:rPr>
        <w:t>1</w:t>
      </w:r>
      <w:r w:rsidR="00EA2753" w:rsidRPr="00020556">
        <w:rPr>
          <w:rFonts w:ascii="Calibri" w:hAnsi="Calibri" w:cs="Calibri"/>
          <w:sz w:val="22"/>
          <w:szCs w:val="22"/>
          <w:lang w:val="fr-CH"/>
        </w:rPr>
        <w:t xml:space="preserve">, </w:t>
      </w:r>
      <w:r w:rsidR="00F5509E" w:rsidRPr="00020556">
        <w:rPr>
          <w:rFonts w:ascii="Calibri" w:hAnsi="Calibri" w:cs="Calibri"/>
          <w:sz w:val="22"/>
          <w:szCs w:val="22"/>
          <w:lang w:val="fr-CH"/>
        </w:rPr>
        <w:t>Elma Durmisevic</w:t>
      </w:r>
      <w:r w:rsidR="00F5509E" w:rsidRPr="00020556">
        <w:rPr>
          <w:rFonts w:ascii="Calibri" w:hAnsi="Calibri" w:cs="Calibri"/>
          <w:sz w:val="22"/>
          <w:szCs w:val="22"/>
          <w:vertAlign w:val="superscript"/>
          <w:lang w:val="fr-CH"/>
        </w:rPr>
        <w:t>2</w:t>
      </w:r>
      <w:r w:rsidR="00061A08" w:rsidRPr="00020556">
        <w:rPr>
          <w:rFonts w:ascii="Calibri" w:hAnsi="Calibri" w:cs="Calibri"/>
          <w:sz w:val="22"/>
          <w:szCs w:val="22"/>
          <w:lang w:val="fr-CH"/>
        </w:rPr>
        <w:t>,</w:t>
      </w:r>
      <w:r w:rsidR="00061A08">
        <w:rPr>
          <w:rFonts w:ascii="Calibri" w:hAnsi="Calibri" w:cs="Calibri"/>
          <w:sz w:val="22"/>
          <w:szCs w:val="22"/>
          <w:lang w:val="fr-CH"/>
        </w:rPr>
        <w:t xml:space="preserve"> </w:t>
      </w:r>
      <w:r w:rsidR="007E0B36" w:rsidRPr="00020556">
        <w:rPr>
          <w:rFonts w:ascii="Calibri" w:hAnsi="Calibri" w:cs="Calibri"/>
          <w:sz w:val="22"/>
          <w:szCs w:val="22"/>
          <w:lang w:val="fr-CH"/>
        </w:rPr>
        <w:t>Maria Candelas</w:t>
      </w:r>
      <w:r w:rsidR="00F47B9A" w:rsidRPr="00020556">
        <w:rPr>
          <w:rFonts w:ascii="Calibri" w:hAnsi="Calibri" w:cs="Calibri"/>
          <w:sz w:val="22"/>
          <w:szCs w:val="22"/>
          <w:vertAlign w:val="superscript"/>
          <w:lang w:val="fr-CH"/>
        </w:rPr>
        <w:t>3</w:t>
      </w:r>
    </w:p>
    <w:p w14:paraId="0C3B0385" w14:textId="77777777" w:rsidR="005076E1" w:rsidRPr="00020556" w:rsidRDefault="005076E1" w:rsidP="00CD5BF0">
      <w:pPr>
        <w:pStyle w:val="Author"/>
        <w:spacing w:after="40"/>
        <w:rPr>
          <w:rFonts w:ascii="Calibri" w:hAnsi="Calibri" w:cs="Calibri"/>
          <w:sz w:val="22"/>
          <w:szCs w:val="22"/>
          <w:lang w:val="fr-CH"/>
        </w:rPr>
      </w:pPr>
    </w:p>
    <w:p w14:paraId="4F02CD79" w14:textId="43F8D4A1" w:rsidR="005076E1" w:rsidRPr="00D6057A" w:rsidRDefault="005076E1" w:rsidP="00CD5BF0">
      <w:pPr>
        <w:pStyle w:val="Author"/>
        <w:spacing w:after="40"/>
        <w:rPr>
          <w:rFonts w:ascii="Calibri" w:hAnsi="Calibri" w:cs="Calibri"/>
          <w:sz w:val="22"/>
          <w:szCs w:val="22"/>
        </w:rPr>
      </w:pPr>
      <w:r w:rsidRPr="00D6057A">
        <w:rPr>
          <w:rFonts w:ascii="Calibri" w:hAnsi="Calibri" w:cs="Calibri"/>
          <w:sz w:val="22"/>
          <w:szCs w:val="22"/>
          <w:vertAlign w:val="superscript"/>
        </w:rPr>
        <w:t xml:space="preserve">1 </w:t>
      </w:r>
      <w:r w:rsidR="00EA2753" w:rsidRPr="00EA2753">
        <w:rPr>
          <w:rFonts w:ascii="Calibri" w:hAnsi="Calibri" w:cs="Calibri"/>
          <w:sz w:val="22"/>
          <w:szCs w:val="22"/>
        </w:rPr>
        <w:t>Luxembourg Institute of Science and Technology, Esch-sur-</w:t>
      </w:r>
      <w:proofErr w:type="spellStart"/>
      <w:r w:rsidR="00EA2753" w:rsidRPr="00EA2753">
        <w:rPr>
          <w:rFonts w:ascii="Calibri" w:hAnsi="Calibri" w:cs="Calibri"/>
          <w:sz w:val="22"/>
          <w:szCs w:val="22"/>
        </w:rPr>
        <w:t>Alzette</w:t>
      </w:r>
      <w:proofErr w:type="spellEnd"/>
      <w:r w:rsidR="00EA2753" w:rsidRPr="00EA2753">
        <w:rPr>
          <w:rFonts w:ascii="Calibri" w:hAnsi="Calibri" w:cs="Calibri"/>
          <w:sz w:val="22"/>
          <w:szCs w:val="22"/>
        </w:rPr>
        <w:t>, Luxembourg</w:t>
      </w:r>
    </w:p>
    <w:p w14:paraId="399171BA" w14:textId="788863EC" w:rsidR="005076E1" w:rsidRDefault="005076E1" w:rsidP="00CD5BF0">
      <w:pPr>
        <w:pStyle w:val="Author"/>
        <w:spacing w:after="40"/>
        <w:rPr>
          <w:rFonts w:ascii="Calibri" w:hAnsi="Calibri" w:cs="Calibri"/>
          <w:sz w:val="22"/>
          <w:szCs w:val="22"/>
        </w:rPr>
      </w:pPr>
      <w:r w:rsidRPr="00D6057A">
        <w:rPr>
          <w:rFonts w:ascii="Calibri" w:hAnsi="Calibri" w:cs="Calibri"/>
          <w:sz w:val="22"/>
          <w:szCs w:val="22"/>
          <w:vertAlign w:val="superscript"/>
        </w:rPr>
        <w:t xml:space="preserve">2 </w:t>
      </w:r>
      <w:r w:rsidR="00EA2753" w:rsidRPr="00EA2753">
        <w:rPr>
          <w:rFonts w:ascii="Calibri" w:hAnsi="Calibri" w:cs="Calibri"/>
          <w:sz w:val="22"/>
          <w:szCs w:val="22"/>
        </w:rPr>
        <w:t>GTB Lab, Heerlen, The Netherlands</w:t>
      </w:r>
    </w:p>
    <w:p w14:paraId="21ECB14F" w14:textId="4E2F65B4" w:rsidR="00F47B9A" w:rsidRPr="00D6057A" w:rsidRDefault="00246D6C" w:rsidP="00CD5BF0">
      <w:pPr>
        <w:pStyle w:val="Author"/>
        <w:spacing w:after="40"/>
        <w:rPr>
          <w:rFonts w:ascii="Calibri" w:hAnsi="Calibri" w:cs="Calibri"/>
          <w:sz w:val="22"/>
          <w:szCs w:val="22"/>
        </w:rPr>
      </w:pPr>
      <w:r>
        <w:rPr>
          <w:rFonts w:ascii="Calibri" w:hAnsi="Calibri" w:cs="Calibri"/>
          <w:sz w:val="22"/>
          <w:szCs w:val="22"/>
          <w:vertAlign w:val="superscript"/>
        </w:rPr>
        <w:t>3</w:t>
      </w:r>
      <w:r w:rsidR="00F47B9A" w:rsidRPr="00D6057A">
        <w:rPr>
          <w:rFonts w:ascii="Calibri" w:hAnsi="Calibri" w:cs="Calibri"/>
          <w:sz w:val="22"/>
          <w:szCs w:val="22"/>
          <w:vertAlign w:val="superscript"/>
        </w:rPr>
        <w:t xml:space="preserve"> </w:t>
      </w:r>
      <w:r w:rsidR="00F47B9A">
        <w:rPr>
          <w:rFonts w:ascii="Calibri" w:hAnsi="Calibri" w:cs="Calibri"/>
          <w:sz w:val="22"/>
          <w:szCs w:val="22"/>
        </w:rPr>
        <w:t>Municipality of Beckerich</w:t>
      </w:r>
      <w:r w:rsidR="00F47B9A" w:rsidRPr="00EA2753">
        <w:rPr>
          <w:rFonts w:ascii="Calibri" w:hAnsi="Calibri" w:cs="Calibri"/>
          <w:sz w:val="22"/>
          <w:szCs w:val="22"/>
        </w:rPr>
        <w:t xml:space="preserve">, </w:t>
      </w:r>
      <w:r w:rsidR="00F47B9A">
        <w:rPr>
          <w:rFonts w:ascii="Calibri" w:hAnsi="Calibri" w:cs="Calibri"/>
          <w:sz w:val="22"/>
          <w:szCs w:val="22"/>
        </w:rPr>
        <w:t>Beckerich</w:t>
      </w:r>
      <w:r w:rsidR="00F47B9A" w:rsidRPr="00EA2753">
        <w:rPr>
          <w:rFonts w:ascii="Calibri" w:hAnsi="Calibri" w:cs="Calibri"/>
          <w:sz w:val="22"/>
          <w:szCs w:val="22"/>
        </w:rPr>
        <w:t xml:space="preserve">, </w:t>
      </w:r>
      <w:r w:rsidR="007D6EFC">
        <w:rPr>
          <w:rFonts w:ascii="Calibri" w:hAnsi="Calibri" w:cs="Calibri"/>
          <w:sz w:val="22"/>
          <w:szCs w:val="22"/>
        </w:rPr>
        <w:t>Luxembourg</w:t>
      </w:r>
    </w:p>
    <w:p w14:paraId="1BC4AD16" w14:textId="5DFA943B" w:rsidR="005076E1" w:rsidRPr="00D6057A" w:rsidRDefault="005076E1" w:rsidP="00CD5BF0">
      <w:pPr>
        <w:pStyle w:val="Author"/>
        <w:spacing w:after="40"/>
        <w:rPr>
          <w:rFonts w:ascii="Calibri" w:hAnsi="Calibri" w:cs="Calibri"/>
          <w:sz w:val="22"/>
          <w:szCs w:val="22"/>
        </w:rPr>
      </w:pPr>
      <w:r w:rsidRPr="00D6057A">
        <w:rPr>
          <w:rFonts w:ascii="Calibri" w:hAnsi="Calibri" w:cs="Calibri"/>
          <w:i/>
          <w:iCs/>
          <w:sz w:val="22"/>
          <w:szCs w:val="22"/>
          <w:vertAlign w:val="superscript"/>
        </w:rPr>
        <w:t>*</w:t>
      </w:r>
      <w:r w:rsidRPr="00D6057A">
        <w:rPr>
          <w:rFonts w:ascii="Calibri" w:hAnsi="Calibri" w:cs="Calibri"/>
          <w:i/>
          <w:iCs/>
          <w:sz w:val="22"/>
          <w:szCs w:val="22"/>
        </w:rPr>
        <w:t xml:space="preserve">Corresponding email: </w:t>
      </w:r>
      <w:r w:rsidR="00523E0B" w:rsidRPr="00DB5026">
        <w:rPr>
          <w:rFonts w:ascii="Calibri" w:hAnsi="Calibri" w:cs="Calibri"/>
          <w:i/>
          <w:iCs/>
          <w:sz w:val="22"/>
          <w:szCs w:val="22"/>
        </w:rPr>
        <w:t>annie.guerriero@list.lu</w:t>
      </w:r>
    </w:p>
    <w:p w14:paraId="6330E787" w14:textId="77777777" w:rsidR="005076E1" w:rsidRPr="00D6057A" w:rsidRDefault="005076E1" w:rsidP="00CD5BF0">
      <w:pPr>
        <w:spacing w:after="40" w:line="240" w:lineRule="auto"/>
        <w:jc w:val="both"/>
        <w:rPr>
          <w:rFonts w:ascii="Calibri" w:hAnsi="Calibri" w:cs="Calibri"/>
        </w:rPr>
      </w:pPr>
    </w:p>
    <w:p w14:paraId="662F0B45" w14:textId="7AADB258" w:rsidR="005076E1" w:rsidRDefault="005076E1" w:rsidP="00CD5BF0">
      <w:pPr>
        <w:spacing w:after="40" w:line="240" w:lineRule="auto"/>
        <w:ind w:left="1134" w:right="1088"/>
        <w:jc w:val="both"/>
        <w:rPr>
          <w:rFonts w:ascii="Calibri" w:hAnsi="Calibri" w:cs="Calibri"/>
          <w:b/>
          <w:bCs/>
          <w:sz w:val="28"/>
          <w:szCs w:val="28"/>
        </w:rPr>
      </w:pPr>
      <w:r w:rsidRPr="00D6057A">
        <w:rPr>
          <w:rFonts w:ascii="Calibri" w:hAnsi="Calibri" w:cs="Calibri"/>
          <w:b/>
          <w:bCs/>
          <w:sz w:val="28"/>
          <w:szCs w:val="28"/>
        </w:rPr>
        <w:t>ABSTRACT</w:t>
      </w:r>
    </w:p>
    <w:p w14:paraId="242D180E" w14:textId="4F9BAE0C" w:rsidR="005076E1" w:rsidRDefault="007C36D8" w:rsidP="004F064F">
      <w:pPr>
        <w:spacing w:after="40" w:line="240" w:lineRule="auto"/>
        <w:ind w:left="1134"/>
        <w:jc w:val="both"/>
        <w:rPr>
          <w:rFonts w:ascii="Calibri" w:hAnsi="Calibri" w:cs="Calibri"/>
        </w:rPr>
      </w:pPr>
      <w:r>
        <w:rPr>
          <w:rFonts w:ascii="Calibri" w:hAnsi="Calibri" w:cs="Calibri"/>
        </w:rPr>
        <w:t>G</w:t>
      </w:r>
      <w:r w:rsidRPr="004F064F">
        <w:rPr>
          <w:rFonts w:ascii="Calibri" w:hAnsi="Calibri" w:cs="Calibri"/>
        </w:rPr>
        <w:t xml:space="preserve">enerating </w:t>
      </w:r>
      <w:r w:rsidRPr="00D83154">
        <w:rPr>
          <w:rFonts w:ascii="Calibri" w:hAnsi="Calibri" w:cs="Calibri"/>
        </w:rPr>
        <w:t>3</w:t>
      </w:r>
      <w:r>
        <w:rPr>
          <w:rFonts w:ascii="Calibri" w:hAnsi="Calibri" w:cs="Calibri"/>
        </w:rPr>
        <w:t>8,4</w:t>
      </w:r>
      <w:r w:rsidRPr="00D83154">
        <w:rPr>
          <w:rFonts w:ascii="Calibri" w:hAnsi="Calibri" w:cs="Calibri"/>
        </w:rPr>
        <w:t>% of total waste</w:t>
      </w:r>
      <w:r>
        <w:rPr>
          <w:rFonts w:ascii="Calibri" w:hAnsi="Calibri" w:cs="Calibri"/>
        </w:rPr>
        <w:t xml:space="preserve"> in the European Union,</w:t>
      </w:r>
      <w:r w:rsidRPr="004F064F">
        <w:rPr>
          <w:rFonts w:ascii="Calibri" w:hAnsi="Calibri" w:cs="Calibri"/>
        </w:rPr>
        <w:t xml:space="preserve"> </w:t>
      </w:r>
      <w:r>
        <w:rPr>
          <w:rFonts w:ascii="Calibri" w:hAnsi="Calibri" w:cs="Calibri"/>
        </w:rPr>
        <w:t>t</w:t>
      </w:r>
      <w:r w:rsidR="004F064F" w:rsidRPr="004F064F">
        <w:rPr>
          <w:rFonts w:ascii="Calibri" w:hAnsi="Calibri" w:cs="Calibri"/>
        </w:rPr>
        <w:t>he construction industry is transitioning toward Circular Economy (CE) practices due to its major environmental impact. Circular economy promotes multiple strategies allowing to extend the lifespan of existing building materials and reducing demolition waste, the reuse of materials i</w:t>
      </w:r>
      <w:r w:rsidR="00675752">
        <w:rPr>
          <w:rFonts w:ascii="Calibri" w:hAnsi="Calibri" w:cs="Calibri"/>
        </w:rPr>
        <w:t>s</w:t>
      </w:r>
      <w:r w:rsidR="004F064F" w:rsidRPr="004F064F">
        <w:rPr>
          <w:rFonts w:ascii="Calibri" w:hAnsi="Calibri" w:cs="Calibri"/>
        </w:rPr>
        <w:t xml:space="preserve"> one of them. The paper presents a BIM-based methodology combining circularity indicators and Life Cycle Assessment (LCA) to evaluate renovation scenarios. This methodology is deployed on a pilot building in Beckerich (Luxembourg) that is planned to be renovated. Two scenarios have been created and compared: a </w:t>
      </w:r>
      <w:r w:rsidR="00675752">
        <w:rPr>
          <w:rFonts w:ascii="Calibri" w:hAnsi="Calibri" w:cs="Calibri"/>
        </w:rPr>
        <w:t>B</w:t>
      </w:r>
      <w:r w:rsidR="004F064F" w:rsidRPr="004F064F">
        <w:rPr>
          <w:rFonts w:ascii="Calibri" w:hAnsi="Calibri" w:cs="Calibri"/>
        </w:rPr>
        <w:t xml:space="preserve">usiness-as-usual (BAU) approach and a </w:t>
      </w:r>
      <w:r w:rsidR="00675752">
        <w:rPr>
          <w:rFonts w:ascii="Calibri" w:hAnsi="Calibri" w:cs="Calibri"/>
        </w:rPr>
        <w:t>C</w:t>
      </w:r>
      <w:r w:rsidR="004F064F" w:rsidRPr="004F064F">
        <w:rPr>
          <w:rFonts w:ascii="Calibri" w:hAnsi="Calibri" w:cs="Calibri"/>
        </w:rPr>
        <w:t>ircular (CIR) scenario</w:t>
      </w:r>
      <w:r w:rsidR="002F609B">
        <w:rPr>
          <w:rFonts w:ascii="Calibri" w:hAnsi="Calibri" w:cs="Calibri"/>
        </w:rPr>
        <w:t xml:space="preserve"> (i.e</w:t>
      </w:r>
      <w:r w:rsidR="00CC7F6A">
        <w:rPr>
          <w:rFonts w:ascii="Calibri" w:hAnsi="Calibri" w:cs="Calibri"/>
        </w:rPr>
        <w:t>.</w:t>
      </w:r>
      <w:r w:rsidR="002F609B">
        <w:rPr>
          <w:rFonts w:ascii="Calibri" w:hAnsi="Calibri" w:cs="Calibri"/>
        </w:rPr>
        <w:t xml:space="preserve"> reuse)</w:t>
      </w:r>
      <w:r w:rsidR="004F064F" w:rsidRPr="004F064F">
        <w:rPr>
          <w:rFonts w:ascii="Calibri" w:hAnsi="Calibri" w:cs="Calibri"/>
        </w:rPr>
        <w:t>. Results show that the CIR scenario significantly reduces environmental impacts. The research also highlights the importance of combining circularity indicators with LCA to support informed decision-making and demonstrates the key role of BIM in enabling low-carbon and resource-efficient renovation strategies.</w:t>
      </w:r>
    </w:p>
    <w:p w14:paraId="1DC556E6" w14:textId="77777777" w:rsidR="004F064F" w:rsidRPr="004F064F" w:rsidRDefault="004F064F" w:rsidP="004F064F">
      <w:pPr>
        <w:spacing w:after="40" w:line="240" w:lineRule="auto"/>
        <w:ind w:left="1134"/>
        <w:jc w:val="both"/>
        <w:rPr>
          <w:rFonts w:ascii="Calibri" w:hAnsi="Calibri" w:cs="Calibri"/>
          <w:color w:val="EE0000"/>
          <w:lang w:val="en-US"/>
        </w:rPr>
      </w:pPr>
    </w:p>
    <w:p w14:paraId="19E47564" w14:textId="5C2B4B0E" w:rsidR="005076E1" w:rsidRPr="00D6057A" w:rsidRDefault="005076E1" w:rsidP="00CD5BF0">
      <w:pPr>
        <w:pStyle w:val="ListParagraph"/>
        <w:numPr>
          <w:ilvl w:val="0"/>
          <w:numId w:val="1"/>
        </w:numPr>
        <w:spacing w:after="40" w:line="240" w:lineRule="auto"/>
        <w:jc w:val="both"/>
        <w:rPr>
          <w:rFonts w:ascii="Calibri" w:hAnsi="Calibri" w:cs="Calibri"/>
          <w:b/>
          <w:bCs/>
          <w:sz w:val="28"/>
          <w:szCs w:val="28"/>
        </w:rPr>
      </w:pPr>
      <w:r w:rsidRPr="00D6057A">
        <w:rPr>
          <w:rFonts w:ascii="Calibri" w:hAnsi="Calibri" w:cs="Calibri"/>
          <w:b/>
          <w:bCs/>
          <w:sz w:val="28"/>
          <w:szCs w:val="28"/>
        </w:rPr>
        <w:t xml:space="preserve">INTRODUCTION </w:t>
      </w:r>
    </w:p>
    <w:p w14:paraId="13326868" w14:textId="35EA96D0" w:rsidR="006E77D5" w:rsidRDefault="23A744B5" w:rsidP="00B8247A">
      <w:pPr>
        <w:pStyle w:val="ListParagraph"/>
        <w:spacing w:after="40" w:line="240" w:lineRule="auto"/>
        <w:ind w:left="0"/>
        <w:jc w:val="both"/>
        <w:rPr>
          <w:rFonts w:ascii="Calibri" w:hAnsi="Calibri" w:cs="Calibri"/>
        </w:rPr>
      </w:pPr>
      <w:r w:rsidRPr="698124ED">
        <w:rPr>
          <w:rFonts w:ascii="Calibri" w:hAnsi="Calibri" w:cs="Calibri"/>
        </w:rPr>
        <w:t xml:space="preserve">In recent years, the construction sector has started its transition to a circular economy. Generating 38,4% of total waste in the European Union </w:t>
      </w:r>
      <w:r w:rsidRPr="698124ED">
        <w:rPr>
          <w:rFonts w:ascii="Calibri" w:hAnsi="Calibri" w:cs="Calibri"/>
          <w:noProof/>
        </w:rPr>
        <w:t>(Eurostat, 2022)</w:t>
      </w:r>
      <w:r w:rsidRPr="698124ED">
        <w:rPr>
          <w:rFonts w:ascii="Calibri" w:hAnsi="Calibri" w:cs="Calibri"/>
        </w:rPr>
        <w:t xml:space="preserve">, the construction industry has a significant potential to adopt new circular practices aiming at preserving the value of buildings, components and materials longer </w:t>
      </w:r>
      <w:r w:rsidR="00CC7F6A">
        <w:rPr>
          <w:rFonts w:ascii="Calibri" w:hAnsi="Calibri" w:cs="Calibri"/>
        </w:rPr>
        <w:t>and</w:t>
      </w:r>
      <w:r w:rsidRPr="698124ED">
        <w:rPr>
          <w:rFonts w:ascii="Calibri" w:hAnsi="Calibri" w:cs="Calibri"/>
        </w:rPr>
        <w:t xml:space="preserve"> contributing to the decarbonisation of the sector. According to Ellen Mac Arthur Foundation, “</w:t>
      </w:r>
      <w:r w:rsidRPr="698124ED">
        <w:rPr>
          <w:rFonts w:ascii="Calibri" w:hAnsi="Calibri" w:cs="Calibri"/>
          <w:i/>
          <w:iCs/>
        </w:rPr>
        <w:t>The circular economy is a system where materials never become waste and nature is regenerated. In a circular economy, products and materials are kept in circulation through processes like maintenance, reuse, refurbishment, remanufacture, recycling, and composting</w:t>
      </w:r>
      <w:r w:rsidRPr="698124ED">
        <w:rPr>
          <w:rFonts w:ascii="Calibri" w:hAnsi="Calibri" w:cs="Calibri"/>
        </w:rPr>
        <w:t>.”</w:t>
      </w:r>
      <w:r>
        <w:t xml:space="preserve"> </w:t>
      </w:r>
      <w:r w:rsidRPr="698124ED">
        <w:rPr>
          <w:rFonts w:ascii="Calibri" w:hAnsi="Calibri" w:cs="Calibri"/>
          <w:noProof/>
        </w:rPr>
        <w:t xml:space="preserve">(Ellen MacArthur </w:t>
      </w:r>
      <w:r w:rsidRPr="00EB247E">
        <w:rPr>
          <w:rFonts w:ascii="Calibri" w:hAnsi="Calibri" w:cs="Calibri"/>
          <w:noProof/>
        </w:rPr>
        <w:t>Foundation, 2026)</w:t>
      </w:r>
      <w:r w:rsidRPr="00EB247E">
        <w:rPr>
          <w:rFonts w:ascii="Calibri" w:hAnsi="Calibri" w:cs="Calibri"/>
        </w:rPr>
        <w:t>.</w:t>
      </w:r>
      <w:r w:rsidRPr="698124ED">
        <w:rPr>
          <w:rFonts w:ascii="Calibri" w:hAnsi="Calibri" w:cs="Calibri"/>
        </w:rPr>
        <w:t xml:space="preserve"> To disrupt with the linear economy and the take-make-waste model, research works and new regulations started to appear. The materials inventories became an important step to identify the value of materials and components before the demolition of a building at its end of life, allowing to envisage a second-hand market and the reuse of materials in new building designs. Nevertheless, there are still plenty of barriers in the sector that limit the reuse practices </w:t>
      </w:r>
      <w:r w:rsidRPr="698124ED">
        <w:rPr>
          <w:rFonts w:ascii="Calibri" w:hAnsi="Calibri" w:cs="Calibri"/>
          <w:noProof/>
        </w:rPr>
        <w:t>(Belli-Riz et al., 2022, Charef and Emmitt, 2021, Cheshire, 2021, Heinrich and Lang, 2019)</w:t>
      </w:r>
      <w:r w:rsidRPr="698124ED">
        <w:rPr>
          <w:rFonts w:ascii="Calibri" w:hAnsi="Calibri" w:cs="Calibri"/>
        </w:rPr>
        <w:t xml:space="preserve">. We can identify in the literature that one of the most important of them is the lack of information about the buildings and their composition, as well as the lack of tools supporting the decision-making process. </w:t>
      </w:r>
      <w:r w:rsidR="00B73027" w:rsidRPr="698124ED">
        <w:rPr>
          <w:rFonts w:ascii="Calibri" w:hAnsi="Calibri" w:cs="Calibri"/>
        </w:rPr>
        <w:t>Because effective</w:t>
      </w:r>
      <w:r w:rsidRPr="698124ED">
        <w:rPr>
          <w:rFonts w:ascii="Calibri" w:hAnsi="Calibri" w:cs="Calibri"/>
        </w:rPr>
        <w:t xml:space="preserve"> reuse requires a specific process including careful disassembly and transport to a storage area and has to contribute to an environmental benefit, defining a reuse strategy should involve the comparison of Business-as-usual practice with Circular scenario and us</w:t>
      </w:r>
      <w:r w:rsidR="00394F4F">
        <w:rPr>
          <w:rFonts w:ascii="Calibri" w:hAnsi="Calibri" w:cs="Calibri"/>
        </w:rPr>
        <w:t>e</w:t>
      </w:r>
      <w:r w:rsidRPr="698124ED">
        <w:rPr>
          <w:rFonts w:ascii="Calibri" w:hAnsi="Calibri" w:cs="Calibri"/>
        </w:rPr>
        <w:t xml:space="preserve"> circularity and LCA (Life Cycle Assessment) metrics to guide the decision-making process</w:t>
      </w:r>
      <w:r w:rsidR="00EB247E">
        <w:rPr>
          <w:rFonts w:ascii="Calibri" w:hAnsi="Calibri" w:cs="Calibri"/>
        </w:rPr>
        <w:t xml:space="preserve">, helping to maximize resource efficiency </w:t>
      </w:r>
      <w:r w:rsidR="00EB247E">
        <w:rPr>
          <w:rFonts w:ascii="Calibri" w:hAnsi="Calibri" w:cs="Calibri"/>
        </w:rPr>
        <w:lastRenderedPageBreak/>
        <w:t>and increase the quantity of materials diverted from the waste stream</w:t>
      </w:r>
      <w:r w:rsidRPr="698124ED">
        <w:rPr>
          <w:rFonts w:ascii="Calibri" w:hAnsi="Calibri" w:cs="Calibri"/>
        </w:rPr>
        <w:t xml:space="preserve">. Key element of the digital transition of the construction industry, the Building Information Model (BIM) has a fundamental role in the centralization of materials data throughout the building’s lifecycle until its end-of-life, supporting the generation of materials inventory and material passport </w:t>
      </w:r>
      <w:r w:rsidRPr="698124ED">
        <w:rPr>
          <w:rFonts w:ascii="Calibri" w:hAnsi="Calibri" w:cs="Calibri"/>
          <w:noProof/>
        </w:rPr>
        <w:t>(Akbarieh et al., 2020)</w:t>
      </w:r>
      <w:r w:rsidRPr="698124ED">
        <w:rPr>
          <w:rFonts w:ascii="Calibri" w:hAnsi="Calibri" w:cs="Calibri"/>
        </w:rPr>
        <w:t xml:space="preserve">. It also helps the calculation of the environmental impacts through BIM to LCA process, as well as the analysis of the reuse potential of the building components </w:t>
      </w:r>
      <w:r w:rsidRPr="698124ED">
        <w:rPr>
          <w:rFonts w:ascii="Calibri" w:hAnsi="Calibri" w:cs="Calibri"/>
          <w:noProof/>
        </w:rPr>
        <w:t>(Durmisevic et al., 2021)</w:t>
      </w:r>
      <w:r w:rsidRPr="698124ED">
        <w:rPr>
          <w:rFonts w:ascii="Calibri" w:hAnsi="Calibri" w:cs="Calibri"/>
        </w:rPr>
        <w:t xml:space="preserve">. In this paper, a BIM-based process supporting the analyses and comparison of reuse scenarios, including both LCA and circularity metrics is introduced and deployed in a case study: the renovation of a town hall building in Luxembourg. Two scenarios of renovation (i.e. Business-as-usual versus </w:t>
      </w:r>
      <w:r w:rsidR="00B73027">
        <w:rPr>
          <w:rFonts w:ascii="Calibri" w:hAnsi="Calibri" w:cs="Calibri"/>
        </w:rPr>
        <w:t>circular approach</w:t>
      </w:r>
      <w:r w:rsidRPr="698124ED">
        <w:rPr>
          <w:rFonts w:ascii="Calibri" w:hAnsi="Calibri" w:cs="Calibri"/>
        </w:rPr>
        <w:t xml:space="preserve">) are analysed and compared through LCA and circularity indicators. </w:t>
      </w:r>
    </w:p>
    <w:p w14:paraId="766FAA98" w14:textId="77777777" w:rsidR="00C23457" w:rsidRPr="00B8247A" w:rsidRDefault="00C23457" w:rsidP="00B8247A">
      <w:pPr>
        <w:pStyle w:val="ListParagraph"/>
        <w:spacing w:after="40" w:line="240" w:lineRule="auto"/>
        <w:ind w:left="0"/>
        <w:jc w:val="both"/>
        <w:rPr>
          <w:rFonts w:ascii="Calibri" w:hAnsi="Calibri" w:cs="Calibri"/>
          <w:color w:val="EE0000"/>
        </w:rPr>
      </w:pPr>
    </w:p>
    <w:p w14:paraId="64EA7039" w14:textId="748A4634" w:rsidR="00D6057A" w:rsidRDefault="00D83154" w:rsidP="00CD5BF0">
      <w:pPr>
        <w:pStyle w:val="ListParagraph"/>
        <w:numPr>
          <w:ilvl w:val="0"/>
          <w:numId w:val="1"/>
        </w:numPr>
        <w:spacing w:after="40" w:line="240" w:lineRule="auto"/>
        <w:jc w:val="both"/>
        <w:rPr>
          <w:rFonts w:ascii="Calibri" w:hAnsi="Calibri" w:cs="Calibri"/>
          <w:b/>
          <w:bCs/>
          <w:sz w:val="28"/>
          <w:szCs w:val="28"/>
        </w:rPr>
      </w:pPr>
      <w:r>
        <w:rPr>
          <w:rFonts w:ascii="Calibri" w:hAnsi="Calibri" w:cs="Calibri"/>
          <w:b/>
          <w:bCs/>
          <w:sz w:val="28"/>
          <w:szCs w:val="28"/>
        </w:rPr>
        <w:t>METHODOLOGY</w:t>
      </w:r>
    </w:p>
    <w:p w14:paraId="3255AD10" w14:textId="1B35F70F" w:rsidR="006A2190" w:rsidRDefault="00DB5026" w:rsidP="007D2015">
      <w:pPr>
        <w:pStyle w:val="ListParagraph"/>
        <w:spacing w:after="40" w:line="240" w:lineRule="auto"/>
        <w:ind w:left="0"/>
        <w:jc w:val="both"/>
        <w:rPr>
          <w:rFonts w:ascii="Calibri" w:hAnsi="Calibri" w:cs="Calibri"/>
        </w:rPr>
      </w:pPr>
      <w:r w:rsidRPr="00DB5026">
        <w:t xml:space="preserve">Figure </w:t>
      </w:r>
      <w:r w:rsidRPr="00DB5026">
        <w:rPr>
          <w:noProof/>
        </w:rPr>
        <w:t>1</w:t>
      </w:r>
      <w:r w:rsidR="00A072EA">
        <w:rPr>
          <w:rFonts w:ascii="Calibri" w:hAnsi="Calibri" w:cs="Calibri"/>
        </w:rPr>
        <w:t xml:space="preserve"> </w:t>
      </w:r>
      <w:r w:rsidR="0038133E">
        <w:rPr>
          <w:rFonts w:ascii="Calibri" w:hAnsi="Calibri" w:cs="Calibri"/>
        </w:rPr>
        <w:t>illustrates</w:t>
      </w:r>
      <w:r w:rsidR="00BF74ED">
        <w:rPr>
          <w:rFonts w:ascii="Calibri" w:hAnsi="Calibri" w:cs="Calibri"/>
        </w:rPr>
        <w:t xml:space="preserve"> the </w:t>
      </w:r>
      <w:r w:rsidR="0038133E">
        <w:rPr>
          <w:rFonts w:ascii="Calibri" w:hAnsi="Calibri" w:cs="Calibri"/>
        </w:rPr>
        <w:t>methodology</w:t>
      </w:r>
      <w:r w:rsidR="00BF74ED">
        <w:rPr>
          <w:rFonts w:ascii="Calibri" w:hAnsi="Calibri" w:cs="Calibri"/>
        </w:rPr>
        <w:t xml:space="preserve"> </w:t>
      </w:r>
      <w:r w:rsidR="0038133E">
        <w:rPr>
          <w:rFonts w:ascii="Calibri" w:hAnsi="Calibri" w:cs="Calibri"/>
        </w:rPr>
        <w:t>developed</w:t>
      </w:r>
      <w:r w:rsidR="00BF74ED">
        <w:rPr>
          <w:rFonts w:ascii="Calibri" w:hAnsi="Calibri" w:cs="Calibri"/>
        </w:rPr>
        <w:t xml:space="preserve"> </w:t>
      </w:r>
      <w:r w:rsidR="00166FAA">
        <w:rPr>
          <w:rFonts w:ascii="Calibri" w:hAnsi="Calibri" w:cs="Calibri"/>
        </w:rPr>
        <w:t xml:space="preserve">in this paper </w:t>
      </w:r>
      <w:r w:rsidR="00BF74ED">
        <w:rPr>
          <w:rFonts w:ascii="Calibri" w:hAnsi="Calibri" w:cs="Calibri"/>
        </w:rPr>
        <w:t xml:space="preserve">to define a reuse strategy </w:t>
      </w:r>
      <w:r w:rsidR="0038133E">
        <w:rPr>
          <w:rFonts w:ascii="Calibri" w:hAnsi="Calibri" w:cs="Calibri"/>
        </w:rPr>
        <w:t>combining</w:t>
      </w:r>
      <w:r w:rsidR="00BF74ED">
        <w:rPr>
          <w:rFonts w:ascii="Calibri" w:hAnsi="Calibri" w:cs="Calibri"/>
        </w:rPr>
        <w:t xml:space="preserve"> both circularity </w:t>
      </w:r>
      <w:r w:rsidR="0038133E">
        <w:rPr>
          <w:rFonts w:ascii="Calibri" w:hAnsi="Calibri" w:cs="Calibri"/>
        </w:rPr>
        <w:t>assessment</w:t>
      </w:r>
      <w:r w:rsidR="00BF74ED">
        <w:rPr>
          <w:rFonts w:ascii="Calibri" w:hAnsi="Calibri" w:cs="Calibri"/>
        </w:rPr>
        <w:t xml:space="preserve"> and LCA indicators. </w:t>
      </w:r>
      <w:r w:rsidR="00A072EA">
        <w:rPr>
          <w:rFonts w:ascii="Calibri" w:hAnsi="Calibri" w:cs="Calibri"/>
        </w:rPr>
        <w:t xml:space="preserve">After </w:t>
      </w:r>
      <w:r w:rsidR="00496332">
        <w:rPr>
          <w:rFonts w:ascii="Calibri" w:hAnsi="Calibri" w:cs="Calibri"/>
        </w:rPr>
        <w:t xml:space="preserve">an </w:t>
      </w:r>
      <w:r w:rsidR="00A072EA">
        <w:rPr>
          <w:rFonts w:ascii="Calibri" w:hAnsi="Calibri" w:cs="Calibri"/>
        </w:rPr>
        <w:t>on</w:t>
      </w:r>
      <w:r w:rsidR="003F7C05">
        <w:rPr>
          <w:rFonts w:ascii="Calibri" w:hAnsi="Calibri" w:cs="Calibri"/>
        </w:rPr>
        <w:t>-</w:t>
      </w:r>
      <w:r w:rsidR="00A072EA">
        <w:rPr>
          <w:rFonts w:ascii="Calibri" w:hAnsi="Calibri" w:cs="Calibri"/>
        </w:rPr>
        <w:t>site visit and data collection about the building,</w:t>
      </w:r>
      <w:r w:rsidR="0038133E">
        <w:rPr>
          <w:rFonts w:ascii="Calibri" w:hAnsi="Calibri" w:cs="Calibri"/>
        </w:rPr>
        <w:t xml:space="preserve"> a</w:t>
      </w:r>
      <w:r w:rsidR="00BF74ED">
        <w:rPr>
          <w:rFonts w:ascii="Calibri" w:hAnsi="Calibri" w:cs="Calibri"/>
        </w:rPr>
        <w:t xml:space="preserve"> </w:t>
      </w:r>
      <w:r w:rsidR="00A072EA">
        <w:rPr>
          <w:rFonts w:ascii="Calibri" w:hAnsi="Calibri" w:cs="Calibri"/>
        </w:rPr>
        <w:t>materials</w:t>
      </w:r>
      <w:r w:rsidR="00BF74ED">
        <w:rPr>
          <w:rFonts w:ascii="Calibri" w:hAnsi="Calibri" w:cs="Calibri"/>
        </w:rPr>
        <w:t xml:space="preserve"> inventory </w:t>
      </w:r>
      <w:r w:rsidR="006A2190">
        <w:rPr>
          <w:rFonts w:ascii="Calibri" w:hAnsi="Calibri" w:cs="Calibri"/>
        </w:rPr>
        <w:t>was</w:t>
      </w:r>
      <w:r w:rsidR="00BF74ED">
        <w:rPr>
          <w:rFonts w:ascii="Calibri" w:hAnsi="Calibri" w:cs="Calibri"/>
        </w:rPr>
        <w:t xml:space="preserve"> generated </w:t>
      </w:r>
      <w:r w:rsidR="006A2190">
        <w:rPr>
          <w:rFonts w:ascii="Calibri" w:hAnsi="Calibri" w:cs="Calibri"/>
        </w:rPr>
        <w:t>to support several</w:t>
      </w:r>
      <w:r w:rsidR="00BF74ED">
        <w:rPr>
          <w:rFonts w:ascii="Calibri" w:hAnsi="Calibri" w:cs="Calibri"/>
        </w:rPr>
        <w:t xml:space="preserve"> </w:t>
      </w:r>
      <w:r w:rsidR="00CB756F">
        <w:rPr>
          <w:rFonts w:ascii="Calibri" w:hAnsi="Calibri" w:cs="Calibri"/>
        </w:rPr>
        <w:t>analyse</w:t>
      </w:r>
      <w:r w:rsidR="006A2190">
        <w:rPr>
          <w:rFonts w:ascii="Calibri" w:hAnsi="Calibri" w:cs="Calibri"/>
        </w:rPr>
        <w:t>s</w:t>
      </w:r>
      <w:r w:rsidR="00A072EA">
        <w:rPr>
          <w:rFonts w:ascii="Calibri" w:hAnsi="Calibri" w:cs="Calibri"/>
        </w:rPr>
        <w:t>. Based on a 3D scan</w:t>
      </w:r>
      <w:r w:rsidR="003F7C05">
        <w:rPr>
          <w:rFonts w:ascii="Calibri" w:hAnsi="Calibri" w:cs="Calibri"/>
        </w:rPr>
        <w:t>,</w:t>
      </w:r>
      <w:r w:rsidR="00A072EA">
        <w:rPr>
          <w:rFonts w:ascii="Calibri" w:hAnsi="Calibri" w:cs="Calibri"/>
        </w:rPr>
        <w:t xml:space="preserve"> a BIM model </w:t>
      </w:r>
      <w:r w:rsidR="00267547">
        <w:rPr>
          <w:rFonts w:ascii="Calibri" w:hAnsi="Calibri" w:cs="Calibri"/>
        </w:rPr>
        <w:t>was created and</w:t>
      </w:r>
      <w:r w:rsidR="00A072EA">
        <w:rPr>
          <w:rFonts w:ascii="Calibri" w:hAnsi="Calibri" w:cs="Calibri"/>
        </w:rPr>
        <w:t xml:space="preserve"> was used to </w:t>
      </w:r>
      <w:r w:rsidR="00267547">
        <w:rPr>
          <w:rFonts w:ascii="Calibri" w:hAnsi="Calibri" w:cs="Calibri"/>
        </w:rPr>
        <w:t xml:space="preserve">support </w:t>
      </w:r>
      <w:r w:rsidR="00A072EA">
        <w:rPr>
          <w:rFonts w:ascii="Calibri" w:hAnsi="Calibri" w:cs="Calibri"/>
        </w:rPr>
        <w:t>several analyses:</w:t>
      </w:r>
    </w:p>
    <w:p w14:paraId="2B7B361B" w14:textId="267A1EAA" w:rsidR="006A2190" w:rsidRDefault="00BF74ED" w:rsidP="007D2015">
      <w:pPr>
        <w:pStyle w:val="ListParagraph"/>
        <w:numPr>
          <w:ilvl w:val="0"/>
          <w:numId w:val="3"/>
        </w:numPr>
        <w:spacing w:after="40" w:line="240" w:lineRule="auto"/>
        <w:ind w:left="400"/>
        <w:jc w:val="both"/>
        <w:rPr>
          <w:rFonts w:ascii="Calibri" w:hAnsi="Calibri" w:cs="Calibri"/>
        </w:rPr>
      </w:pPr>
      <w:r w:rsidRPr="006A2190">
        <w:rPr>
          <w:rFonts w:ascii="Calibri" w:hAnsi="Calibri" w:cs="Calibri"/>
        </w:rPr>
        <w:t xml:space="preserve">the reuse potential </w:t>
      </w:r>
      <w:r w:rsidR="00A072EA">
        <w:rPr>
          <w:rFonts w:ascii="Calibri" w:hAnsi="Calibri" w:cs="Calibri"/>
        </w:rPr>
        <w:t>analysis</w:t>
      </w:r>
      <w:r w:rsidR="006A2190">
        <w:rPr>
          <w:rFonts w:ascii="Calibri" w:hAnsi="Calibri" w:cs="Calibri"/>
        </w:rPr>
        <w:t>,</w:t>
      </w:r>
    </w:p>
    <w:p w14:paraId="384D962C" w14:textId="0956BED3" w:rsidR="006A2190" w:rsidRPr="00AB4018" w:rsidRDefault="00BF74ED" w:rsidP="00AB4018">
      <w:pPr>
        <w:pStyle w:val="ListParagraph"/>
        <w:numPr>
          <w:ilvl w:val="0"/>
          <w:numId w:val="3"/>
        </w:numPr>
        <w:spacing w:after="40" w:line="240" w:lineRule="auto"/>
        <w:ind w:left="400"/>
        <w:jc w:val="both"/>
        <w:rPr>
          <w:rFonts w:ascii="Calibri" w:hAnsi="Calibri" w:cs="Calibri"/>
        </w:rPr>
      </w:pPr>
      <w:r w:rsidRPr="006A2190">
        <w:rPr>
          <w:rFonts w:ascii="Calibri" w:hAnsi="Calibri" w:cs="Calibri"/>
        </w:rPr>
        <w:t>the adaptability of the building to new uses</w:t>
      </w:r>
      <w:r w:rsidR="00AB4018">
        <w:rPr>
          <w:rFonts w:ascii="Calibri" w:hAnsi="Calibri" w:cs="Calibri"/>
        </w:rPr>
        <w:t>.</w:t>
      </w:r>
    </w:p>
    <w:p w14:paraId="12C5D6D2" w14:textId="570244F5" w:rsidR="002D014B" w:rsidRDefault="00CB756F" w:rsidP="00F32876">
      <w:pPr>
        <w:spacing w:after="40" w:line="240" w:lineRule="auto"/>
        <w:ind w:left="40"/>
        <w:jc w:val="both"/>
        <w:rPr>
          <w:rFonts w:ascii="Calibri" w:hAnsi="Calibri" w:cs="Calibri"/>
        </w:rPr>
      </w:pPr>
      <w:r w:rsidRPr="006A2190">
        <w:rPr>
          <w:rFonts w:ascii="Calibri" w:hAnsi="Calibri" w:cs="Calibri"/>
        </w:rPr>
        <w:t>In parallel</w:t>
      </w:r>
      <w:r w:rsidR="0038133E" w:rsidRPr="006A2190">
        <w:rPr>
          <w:rFonts w:ascii="Calibri" w:hAnsi="Calibri" w:cs="Calibri"/>
        </w:rPr>
        <w:t xml:space="preserve">, </w:t>
      </w:r>
      <w:r w:rsidRPr="006A2190">
        <w:rPr>
          <w:rFonts w:ascii="Calibri" w:hAnsi="Calibri" w:cs="Calibri"/>
        </w:rPr>
        <w:t xml:space="preserve">a </w:t>
      </w:r>
      <w:r w:rsidR="00AC51DC">
        <w:rPr>
          <w:rFonts w:ascii="Calibri" w:hAnsi="Calibri" w:cs="Calibri"/>
        </w:rPr>
        <w:t>manual</w:t>
      </w:r>
      <w:r w:rsidRPr="006A2190">
        <w:rPr>
          <w:rFonts w:ascii="Calibri" w:hAnsi="Calibri" w:cs="Calibri"/>
        </w:rPr>
        <w:t xml:space="preserve"> material</w:t>
      </w:r>
      <w:r w:rsidR="00AC51DC">
        <w:rPr>
          <w:rFonts w:ascii="Calibri" w:hAnsi="Calibri" w:cs="Calibri"/>
        </w:rPr>
        <w:t>s</w:t>
      </w:r>
      <w:r w:rsidRPr="006A2190">
        <w:rPr>
          <w:rFonts w:ascii="Calibri" w:hAnsi="Calibri" w:cs="Calibri"/>
        </w:rPr>
        <w:t xml:space="preserve"> inventory</w:t>
      </w:r>
      <w:r w:rsidR="00F86076">
        <w:rPr>
          <w:rFonts w:ascii="Calibri" w:hAnsi="Calibri" w:cs="Calibri"/>
        </w:rPr>
        <w:t xml:space="preserve"> and a classical reuse potential analysis</w:t>
      </w:r>
      <w:r w:rsidRPr="006A2190">
        <w:rPr>
          <w:rFonts w:ascii="Calibri" w:hAnsi="Calibri" w:cs="Calibri"/>
        </w:rPr>
        <w:t xml:space="preserve"> based on </w:t>
      </w:r>
      <w:r w:rsidR="006A2190">
        <w:rPr>
          <w:rFonts w:ascii="Calibri" w:hAnsi="Calibri" w:cs="Calibri"/>
        </w:rPr>
        <w:t xml:space="preserve">on-site </w:t>
      </w:r>
      <w:r w:rsidRPr="006A2190">
        <w:rPr>
          <w:rFonts w:ascii="Calibri" w:hAnsi="Calibri" w:cs="Calibri"/>
        </w:rPr>
        <w:t>visual</w:t>
      </w:r>
      <w:r w:rsidR="0038133E" w:rsidRPr="006A2190">
        <w:rPr>
          <w:rFonts w:ascii="Calibri" w:hAnsi="Calibri" w:cs="Calibri"/>
        </w:rPr>
        <w:t xml:space="preserve"> </w:t>
      </w:r>
      <w:r w:rsidRPr="006A2190">
        <w:rPr>
          <w:rFonts w:ascii="Calibri" w:hAnsi="Calibri" w:cs="Calibri"/>
        </w:rPr>
        <w:t>inspection</w:t>
      </w:r>
      <w:r w:rsidR="00267547">
        <w:rPr>
          <w:rFonts w:ascii="Calibri" w:hAnsi="Calibri" w:cs="Calibri"/>
        </w:rPr>
        <w:t xml:space="preserve"> was </w:t>
      </w:r>
      <w:r w:rsidR="00034AE3">
        <w:rPr>
          <w:rFonts w:ascii="Calibri" w:hAnsi="Calibri" w:cs="Calibri"/>
        </w:rPr>
        <w:t>conducted</w:t>
      </w:r>
      <w:r w:rsidR="00267547">
        <w:rPr>
          <w:rFonts w:ascii="Calibri" w:hAnsi="Calibri" w:cs="Calibri"/>
        </w:rPr>
        <w:t xml:space="preserve"> by an</w:t>
      </w:r>
      <w:r w:rsidR="00267547" w:rsidRPr="006A2190">
        <w:rPr>
          <w:rFonts w:ascii="Calibri" w:hAnsi="Calibri" w:cs="Calibri"/>
        </w:rPr>
        <w:t xml:space="preserve"> </w:t>
      </w:r>
      <w:r w:rsidR="00267547">
        <w:rPr>
          <w:rFonts w:ascii="Calibri" w:hAnsi="Calibri" w:cs="Calibri"/>
        </w:rPr>
        <w:t xml:space="preserve">architecture </w:t>
      </w:r>
      <w:r w:rsidR="00267547" w:rsidRPr="006A2190">
        <w:rPr>
          <w:rFonts w:ascii="Calibri" w:hAnsi="Calibri" w:cs="Calibri"/>
        </w:rPr>
        <w:t xml:space="preserve">office </w:t>
      </w:r>
      <w:r w:rsidR="00267547">
        <w:rPr>
          <w:rFonts w:ascii="Calibri" w:hAnsi="Calibri" w:cs="Calibri"/>
        </w:rPr>
        <w:t xml:space="preserve">responsible for a preliminary </w:t>
      </w:r>
      <w:r w:rsidR="00034AE3">
        <w:rPr>
          <w:rFonts w:ascii="Calibri" w:hAnsi="Calibri" w:cs="Calibri"/>
        </w:rPr>
        <w:t xml:space="preserve">design </w:t>
      </w:r>
      <w:r w:rsidR="00267547">
        <w:rPr>
          <w:rFonts w:ascii="Calibri" w:hAnsi="Calibri" w:cs="Calibri"/>
        </w:rPr>
        <w:t>study</w:t>
      </w:r>
      <w:r w:rsidRPr="006A2190">
        <w:rPr>
          <w:rFonts w:ascii="Calibri" w:hAnsi="Calibri" w:cs="Calibri"/>
        </w:rPr>
        <w:t xml:space="preserve">. </w:t>
      </w:r>
      <w:r w:rsidR="00EF0403" w:rsidRPr="00EF0403">
        <w:rPr>
          <w:rFonts w:ascii="Calibri" w:hAnsi="Calibri" w:cs="Calibri"/>
        </w:rPr>
        <w:t xml:space="preserve">The recommendations </w:t>
      </w:r>
      <w:r w:rsidR="00164A9C">
        <w:rPr>
          <w:rFonts w:ascii="Calibri" w:hAnsi="Calibri" w:cs="Calibri"/>
        </w:rPr>
        <w:t xml:space="preserve">for materials reuse </w:t>
      </w:r>
      <w:r w:rsidR="00394F4F">
        <w:rPr>
          <w:rFonts w:ascii="Calibri" w:hAnsi="Calibri" w:cs="Calibri"/>
        </w:rPr>
        <w:t>elaborated based on</w:t>
      </w:r>
      <w:r w:rsidR="00EF0403" w:rsidRPr="00EF0403">
        <w:rPr>
          <w:rFonts w:ascii="Calibri" w:hAnsi="Calibri" w:cs="Calibri"/>
        </w:rPr>
        <w:t xml:space="preserve"> th</w:t>
      </w:r>
      <w:r w:rsidR="00394F4F">
        <w:rPr>
          <w:rFonts w:ascii="Calibri" w:hAnsi="Calibri" w:cs="Calibri"/>
        </w:rPr>
        <w:t>is</w:t>
      </w:r>
      <w:r w:rsidR="00EF0403" w:rsidRPr="00EF0403">
        <w:rPr>
          <w:rFonts w:ascii="Calibri" w:hAnsi="Calibri" w:cs="Calibri"/>
        </w:rPr>
        <w:t xml:space="preserve"> on-site assessment, coupled with the BIM-based assessment of reuse potential and adaptability, were used to define two scenarios</w:t>
      </w:r>
      <w:r w:rsidR="00D05069">
        <w:rPr>
          <w:rFonts w:ascii="Calibri" w:hAnsi="Calibri" w:cs="Calibri"/>
        </w:rPr>
        <w:t xml:space="preserve"> (i.e. a Business-as-usual scenario </w:t>
      </w:r>
      <w:r w:rsidR="00D05069" w:rsidRPr="1237A353">
        <w:rPr>
          <w:rFonts w:ascii="Calibri" w:hAnsi="Calibri" w:cs="Calibri"/>
        </w:rPr>
        <w:t xml:space="preserve">(BAU) </w:t>
      </w:r>
      <w:r w:rsidR="00D05069">
        <w:rPr>
          <w:rFonts w:ascii="Calibri" w:hAnsi="Calibri" w:cs="Calibri"/>
        </w:rPr>
        <w:t>and a Circular scenario (CIR)</w:t>
      </w:r>
      <w:r w:rsidR="00D05069" w:rsidRPr="1237A353">
        <w:rPr>
          <w:rFonts w:ascii="Calibri" w:hAnsi="Calibri" w:cs="Calibri"/>
        </w:rPr>
        <w:t xml:space="preserve"> </w:t>
      </w:r>
      <w:r w:rsidR="00D05069">
        <w:rPr>
          <w:rFonts w:ascii="Calibri" w:hAnsi="Calibri" w:cs="Calibri"/>
        </w:rPr>
        <w:t>incorporating a reuse strategy)</w:t>
      </w:r>
      <w:r w:rsidR="00EF0403" w:rsidRPr="00EF0403">
        <w:rPr>
          <w:rFonts w:ascii="Calibri" w:hAnsi="Calibri" w:cs="Calibri"/>
        </w:rPr>
        <w:t xml:space="preserve"> </w:t>
      </w:r>
      <w:r w:rsidR="00D05069">
        <w:rPr>
          <w:rFonts w:ascii="Calibri" w:hAnsi="Calibri" w:cs="Calibri"/>
        </w:rPr>
        <w:t xml:space="preserve">for </w:t>
      </w:r>
      <w:r w:rsidR="00EF0403" w:rsidRPr="00EF0403">
        <w:rPr>
          <w:rFonts w:ascii="Calibri" w:hAnsi="Calibri" w:cs="Calibri"/>
        </w:rPr>
        <w:t>which LCA and MCI analyses were conducted in order to compare the outcomes in terms of environmental impact and circularity.</w:t>
      </w:r>
    </w:p>
    <w:p w14:paraId="2B317F9E" w14:textId="77777777" w:rsidR="00EC1424" w:rsidRDefault="00EC1424" w:rsidP="00F32876">
      <w:pPr>
        <w:spacing w:after="40" w:line="240" w:lineRule="auto"/>
        <w:ind w:left="40"/>
        <w:jc w:val="both"/>
        <w:rPr>
          <w:rFonts w:ascii="Calibri" w:hAnsi="Calibri" w:cs="Calibri"/>
        </w:rPr>
      </w:pPr>
    </w:p>
    <w:p w14:paraId="60695415" w14:textId="74AB51DB" w:rsidR="003A742D" w:rsidRPr="00534F17" w:rsidRDefault="66C08AFE" w:rsidP="007D2015">
      <w:pPr>
        <w:spacing w:after="40" w:line="240" w:lineRule="auto"/>
        <w:ind w:left="40" w:hanging="40"/>
        <w:jc w:val="both"/>
      </w:pPr>
      <w:r>
        <w:rPr>
          <w:noProof/>
        </w:rPr>
        <w:drawing>
          <wp:inline distT="0" distB="0" distL="0" distR="0" wp14:anchorId="406B7CC2" wp14:editId="37C2CC50">
            <wp:extent cx="5715000" cy="2505085"/>
            <wp:effectExtent l="0" t="0" r="0" b="0"/>
            <wp:docPr id="20739687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968720" name="Picture 2073968720"/>
                    <pic:cNvPicPr/>
                  </pic:nvPicPr>
                  <pic:blipFill>
                    <a:blip r:embed="rId11">
                      <a:extLst>
                        <a:ext uri="{28A0092B-C50C-407E-A947-70E740481C1C}">
                          <a14:useLocalDpi xmlns:a14="http://schemas.microsoft.com/office/drawing/2010/main"/>
                        </a:ext>
                      </a:extLst>
                    </a:blip>
                    <a:srcRect b="7394"/>
                    <a:stretch>
                      <a:fillRect/>
                    </a:stretch>
                  </pic:blipFill>
                  <pic:spPr>
                    <a:xfrm>
                      <a:off x="0" y="0"/>
                      <a:ext cx="5715000" cy="2505085"/>
                    </a:xfrm>
                    <a:prstGeom prst="rect">
                      <a:avLst/>
                    </a:prstGeom>
                  </pic:spPr>
                </pic:pic>
              </a:graphicData>
            </a:graphic>
          </wp:inline>
        </w:drawing>
      </w:r>
    </w:p>
    <w:p w14:paraId="584535F3" w14:textId="07B16A51" w:rsidR="00EC1424" w:rsidRDefault="00CB5921" w:rsidP="00164A9C">
      <w:pPr>
        <w:pStyle w:val="Caption"/>
        <w:jc w:val="center"/>
        <w:rPr>
          <w:rFonts w:ascii="Calibri" w:hAnsi="Calibri" w:cs="Calibri"/>
          <w:sz w:val="20"/>
          <w:szCs w:val="20"/>
        </w:rPr>
      </w:pPr>
      <w:bookmarkStart w:id="0" w:name="_Ref231294491"/>
      <w:r w:rsidRPr="005F41B9">
        <w:rPr>
          <w:rFonts w:ascii="Calibri" w:hAnsi="Calibri" w:cs="Calibri"/>
          <w:sz w:val="20"/>
          <w:szCs w:val="20"/>
        </w:rPr>
        <w:t xml:space="preserve">Figure </w:t>
      </w:r>
      <w:r w:rsidR="00DB5026">
        <w:rPr>
          <w:rFonts w:ascii="Calibri" w:hAnsi="Calibri" w:cs="Calibri"/>
          <w:noProof/>
          <w:sz w:val="20"/>
          <w:szCs w:val="20"/>
        </w:rPr>
        <w:t>1</w:t>
      </w:r>
      <w:bookmarkEnd w:id="0"/>
      <w:r w:rsidRPr="005F41B9">
        <w:rPr>
          <w:rFonts w:ascii="Calibri" w:hAnsi="Calibri" w:cs="Calibri"/>
          <w:sz w:val="20"/>
          <w:szCs w:val="20"/>
        </w:rPr>
        <w:t>.</w:t>
      </w:r>
      <w:r w:rsidR="002A63D4" w:rsidRPr="005F41B9">
        <w:rPr>
          <w:rFonts w:ascii="Calibri" w:hAnsi="Calibri" w:cs="Calibri"/>
          <w:sz w:val="20"/>
          <w:szCs w:val="20"/>
        </w:rPr>
        <w:t xml:space="preserve"> Methodology</w:t>
      </w:r>
    </w:p>
    <w:p w14:paraId="40956FEC" w14:textId="77777777" w:rsidR="00164A9C" w:rsidRDefault="00164A9C" w:rsidP="00164A9C"/>
    <w:p w14:paraId="7EFDC537" w14:textId="77777777" w:rsidR="00164A9C" w:rsidRDefault="00164A9C" w:rsidP="00164A9C"/>
    <w:p w14:paraId="22BBBABE" w14:textId="77777777" w:rsidR="00164A9C" w:rsidRPr="00164A9C" w:rsidRDefault="00164A9C" w:rsidP="00164A9C"/>
    <w:p w14:paraId="79C06800" w14:textId="3C6245DC" w:rsidR="00D5200F" w:rsidRPr="00776A3A" w:rsidRDefault="00D83154" w:rsidP="00CD5BF0">
      <w:pPr>
        <w:pStyle w:val="ListParagraph"/>
        <w:numPr>
          <w:ilvl w:val="0"/>
          <w:numId w:val="1"/>
        </w:numPr>
        <w:spacing w:after="40" w:line="240" w:lineRule="auto"/>
        <w:jc w:val="both"/>
        <w:rPr>
          <w:rFonts w:ascii="Calibri" w:hAnsi="Calibri" w:cs="Calibri"/>
          <w:b/>
          <w:bCs/>
          <w:sz w:val="28"/>
          <w:szCs w:val="28"/>
        </w:rPr>
      </w:pPr>
      <w:r w:rsidRPr="00D83154">
        <w:rPr>
          <w:rFonts w:ascii="Calibri" w:hAnsi="Calibri" w:cs="Calibri"/>
          <w:b/>
          <w:bCs/>
          <w:sz w:val="28"/>
          <w:szCs w:val="28"/>
        </w:rPr>
        <w:lastRenderedPageBreak/>
        <w:t>CASE STUDY</w:t>
      </w:r>
    </w:p>
    <w:p w14:paraId="693744D5" w14:textId="5BAC87CF" w:rsidR="00D83154" w:rsidRDefault="00F233F0" w:rsidP="00CD5BF0">
      <w:pPr>
        <w:numPr>
          <w:ilvl w:val="1"/>
          <w:numId w:val="1"/>
        </w:numPr>
        <w:spacing w:after="40" w:line="240" w:lineRule="auto"/>
        <w:ind w:left="0" w:firstLine="0"/>
        <w:jc w:val="both"/>
        <w:rPr>
          <w:rFonts w:ascii="Calibri" w:hAnsi="Calibri" w:cs="Calibri"/>
          <w:b/>
          <w:bCs/>
          <w:sz w:val="24"/>
          <w:szCs w:val="24"/>
        </w:rPr>
      </w:pPr>
      <w:r w:rsidRPr="00F233F0">
        <w:rPr>
          <w:rFonts w:ascii="Calibri" w:hAnsi="Calibri" w:cs="Calibri"/>
          <w:b/>
          <w:bCs/>
          <w:sz w:val="24"/>
          <w:szCs w:val="24"/>
        </w:rPr>
        <w:t xml:space="preserve">Description of the </w:t>
      </w:r>
      <w:r>
        <w:rPr>
          <w:rFonts w:ascii="Calibri" w:hAnsi="Calibri" w:cs="Calibri"/>
          <w:b/>
          <w:bCs/>
          <w:sz w:val="24"/>
          <w:szCs w:val="24"/>
        </w:rPr>
        <w:t xml:space="preserve">pilot </w:t>
      </w:r>
      <w:r w:rsidRPr="00F233F0">
        <w:rPr>
          <w:rFonts w:ascii="Calibri" w:hAnsi="Calibri" w:cs="Calibri"/>
          <w:b/>
          <w:bCs/>
          <w:sz w:val="24"/>
          <w:szCs w:val="24"/>
        </w:rPr>
        <w:t>building</w:t>
      </w:r>
    </w:p>
    <w:p w14:paraId="49A52961" w14:textId="32345F4A" w:rsidR="00F233F0" w:rsidRPr="00D5181E" w:rsidRDefault="005A6FDB" w:rsidP="00851B64">
      <w:pPr>
        <w:pStyle w:val="Caption"/>
        <w:jc w:val="both"/>
        <w:rPr>
          <w:rFonts w:ascii="Calibri" w:hAnsi="Calibri" w:cs="Calibri"/>
          <w:i w:val="0"/>
          <w:iCs w:val="0"/>
          <w:color w:val="000000" w:themeColor="text1"/>
          <w:sz w:val="22"/>
          <w:szCs w:val="22"/>
        </w:rPr>
      </w:pPr>
      <w:r>
        <w:rPr>
          <w:rFonts w:ascii="Calibri" w:hAnsi="Calibri" w:cs="Calibri"/>
          <w:i w:val="0"/>
          <w:iCs w:val="0"/>
          <w:noProof/>
          <w:color w:val="000000" w:themeColor="text1"/>
          <w:sz w:val="22"/>
          <w:szCs w:val="22"/>
        </w:rPr>
        <mc:AlternateContent>
          <mc:Choice Requires="wps">
            <w:drawing>
              <wp:anchor distT="0" distB="0" distL="114300" distR="114300" simplePos="0" relativeHeight="251658241" behindDoc="0" locked="0" layoutInCell="1" allowOverlap="1" wp14:anchorId="00C2B156" wp14:editId="58699294">
                <wp:simplePos x="0" y="0"/>
                <wp:positionH relativeFrom="column">
                  <wp:posOffset>2721634</wp:posOffset>
                </wp:positionH>
                <wp:positionV relativeFrom="paragraph">
                  <wp:posOffset>2222500</wp:posOffset>
                </wp:positionV>
                <wp:extent cx="2703830" cy="302260"/>
                <wp:effectExtent l="0" t="0" r="1270" b="2540"/>
                <wp:wrapNone/>
                <wp:docPr id="1221291036" name="Text Box 2"/>
                <wp:cNvGraphicFramePr/>
                <a:graphic xmlns:a="http://schemas.openxmlformats.org/drawingml/2006/main">
                  <a:graphicData uri="http://schemas.microsoft.com/office/word/2010/wordprocessingShape">
                    <wps:wsp>
                      <wps:cNvSpPr txBox="1"/>
                      <wps:spPr>
                        <a:xfrm>
                          <a:off x="0" y="0"/>
                          <a:ext cx="2703830" cy="302260"/>
                        </a:xfrm>
                        <a:prstGeom prst="rect">
                          <a:avLst/>
                        </a:prstGeom>
                        <a:solidFill>
                          <a:schemeClr val="lt1"/>
                        </a:solidFill>
                        <a:ln w="6350">
                          <a:noFill/>
                        </a:ln>
                      </wps:spPr>
                      <wps:txbx>
                        <w:txbxContent>
                          <w:p w14:paraId="2122BF79" w14:textId="47689F77" w:rsidR="00851B64" w:rsidRPr="00851B64" w:rsidRDefault="00851B64">
                            <w:pPr>
                              <w:rPr>
                                <w:i/>
                                <w:iCs/>
                                <w:sz w:val="21"/>
                                <w:szCs w:val="21"/>
                              </w:rPr>
                            </w:pPr>
                            <w:r w:rsidRPr="00851B64">
                              <w:rPr>
                                <w:i/>
                                <w:iCs/>
                                <w:sz w:val="21"/>
                                <w:szCs w:val="21"/>
                              </w:rPr>
                              <w:t xml:space="preserve">Figure </w:t>
                            </w:r>
                            <w:r w:rsidRPr="00851B64">
                              <w:rPr>
                                <w:i/>
                                <w:iCs/>
                                <w:sz w:val="21"/>
                                <w:szCs w:val="21"/>
                              </w:rPr>
                              <w:fldChar w:fldCharType="begin"/>
                            </w:r>
                            <w:r w:rsidRPr="00851B64">
                              <w:rPr>
                                <w:i/>
                                <w:iCs/>
                                <w:sz w:val="21"/>
                                <w:szCs w:val="21"/>
                              </w:rPr>
                              <w:instrText xml:space="preserve"> SEQ Figure \* ARABIC </w:instrText>
                            </w:r>
                            <w:r w:rsidRPr="00851B64">
                              <w:rPr>
                                <w:i/>
                                <w:iCs/>
                                <w:sz w:val="21"/>
                                <w:szCs w:val="21"/>
                              </w:rPr>
                              <w:fldChar w:fldCharType="separate"/>
                            </w:r>
                            <w:r w:rsidR="00DB5026">
                              <w:rPr>
                                <w:i/>
                                <w:iCs/>
                                <w:noProof/>
                                <w:sz w:val="21"/>
                                <w:szCs w:val="21"/>
                              </w:rPr>
                              <w:t>2</w:t>
                            </w:r>
                            <w:r w:rsidRPr="00851B64">
                              <w:rPr>
                                <w:i/>
                                <w:iCs/>
                                <w:sz w:val="21"/>
                                <w:szCs w:val="21"/>
                              </w:rPr>
                              <w:fldChar w:fldCharType="end"/>
                            </w:r>
                            <w:r w:rsidRPr="00851B64">
                              <w:rPr>
                                <w:i/>
                                <w:iCs/>
                                <w:sz w:val="21"/>
                                <w:szCs w:val="21"/>
                              </w:rPr>
                              <w:t>. View of the pilot building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C2B156" id="_x0000_t202" coordsize="21600,21600" o:spt="202" path="m,l,21600r21600,l21600,xe">
                <v:stroke joinstyle="miter"/>
                <v:path gradientshapeok="t" o:connecttype="rect"/>
              </v:shapetype>
              <v:shape id="Text Box 2" o:spid="_x0000_s1026" type="#_x0000_t202" style="position:absolute;left:0;text-align:left;margin-left:214.3pt;margin-top:175pt;width:212.9pt;height:2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" fillcolor="white [3201]" stroked="f" strokeweight=".5pt">
                <v:textbox>
                  <w:txbxContent>
                    <w:p w14:paraId="2122BF79" w14:textId="47689F77" w:rsidR="00851B64" w:rsidRPr="00851B64" w:rsidRDefault="00851B64">
                      <w:pPr>
                        <w:rPr>
                          <w:i/>
                          <w:iCs/>
                          <w:sz w:val="21"/>
                          <w:szCs w:val="21"/>
                        </w:rPr>
                      </w:pPr>
                      <w:r w:rsidRPr="00851B64">
                        <w:rPr>
                          <w:i/>
                          <w:iCs/>
                          <w:sz w:val="21"/>
                          <w:szCs w:val="21"/>
                        </w:rPr>
                        <w:t xml:space="preserve">Figure </w:t>
                      </w:r>
                      <w:r w:rsidRPr="00851B64">
                        <w:rPr>
                          <w:i/>
                          <w:iCs/>
                          <w:sz w:val="21"/>
                          <w:szCs w:val="21"/>
                        </w:rPr>
                        <w:fldChar w:fldCharType="begin"/>
                      </w:r>
                      <w:r w:rsidRPr="00851B64">
                        <w:rPr>
                          <w:i/>
                          <w:iCs/>
                          <w:sz w:val="21"/>
                          <w:szCs w:val="21"/>
                        </w:rPr>
                        <w:instrText xml:space="preserve"> SEQ Figure \* ARABIC </w:instrText>
                      </w:r>
                      <w:r w:rsidRPr="00851B64">
                        <w:rPr>
                          <w:i/>
                          <w:iCs/>
                          <w:sz w:val="21"/>
                          <w:szCs w:val="21"/>
                        </w:rPr>
                        <w:fldChar w:fldCharType="separate"/>
                      </w:r>
                      <w:r w:rsidR="00DB5026">
                        <w:rPr>
                          <w:i/>
                          <w:iCs/>
                          <w:noProof/>
                          <w:sz w:val="21"/>
                          <w:szCs w:val="21"/>
                        </w:rPr>
                        <w:t>2</w:t>
                      </w:r>
                      <w:r w:rsidRPr="00851B64">
                        <w:rPr>
                          <w:i/>
                          <w:iCs/>
                          <w:sz w:val="21"/>
                          <w:szCs w:val="21"/>
                        </w:rPr>
                        <w:fldChar w:fldCharType="end"/>
                      </w:r>
                      <w:r w:rsidRPr="00851B64">
                        <w:rPr>
                          <w:i/>
                          <w:iCs/>
                          <w:sz w:val="21"/>
                          <w:szCs w:val="21"/>
                        </w:rPr>
                        <w:t>. View of the pilot building</w:t>
                      </w:r>
                    </w:p>
                  </w:txbxContent>
                </v:textbox>
              </v:shape>
            </w:pict>
          </mc:Fallback>
        </mc:AlternateContent>
      </w:r>
      <w:r w:rsidRPr="00052AFB">
        <w:rPr>
          <w:rFonts w:ascii="Calibri" w:hAnsi="Calibri" w:cs="Calibri"/>
          <w:i w:val="0"/>
          <w:iCs w:val="0"/>
          <w:noProof/>
          <w:color w:val="000000" w:themeColor="text1"/>
          <w:sz w:val="22"/>
          <w:szCs w:val="22"/>
        </w:rPr>
        <w:drawing>
          <wp:anchor distT="0" distB="0" distL="114300" distR="114300" simplePos="0" relativeHeight="251658240" behindDoc="0" locked="0" layoutInCell="1" allowOverlap="1" wp14:anchorId="7C56245C" wp14:editId="05AE8647">
            <wp:simplePos x="0" y="0"/>
            <wp:positionH relativeFrom="column">
              <wp:posOffset>2801620</wp:posOffset>
            </wp:positionH>
            <wp:positionV relativeFrom="paragraph">
              <wp:posOffset>37465</wp:posOffset>
            </wp:positionV>
            <wp:extent cx="2905760" cy="2179320"/>
            <wp:effectExtent l="0" t="0" r="2540" b="5080"/>
            <wp:wrapSquare wrapText="bothSides"/>
            <wp:docPr id="1477761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761457" name="Picture 147776145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05760" cy="2179320"/>
                    </a:xfrm>
                    <a:prstGeom prst="rect">
                      <a:avLst/>
                    </a:prstGeom>
                  </pic:spPr>
                </pic:pic>
              </a:graphicData>
            </a:graphic>
            <wp14:sizeRelH relativeFrom="margin">
              <wp14:pctWidth>0</wp14:pctWidth>
            </wp14:sizeRelH>
            <wp14:sizeRelV relativeFrom="margin">
              <wp14:pctHeight>0</wp14:pctHeight>
            </wp14:sizeRelV>
          </wp:anchor>
        </w:drawing>
      </w:r>
      <w:r w:rsidR="004004FB" w:rsidRPr="00052AFB">
        <w:rPr>
          <w:rFonts w:ascii="Calibri" w:hAnsi="Calibri" w:cs="Calibri"/>
          <w:i w:val="0"/>
          <w:iCs w:val="0"/>
          <w:color w:val="000000" w:themeColor="text1"/>
          <w:sz w:val="22"/>
          <w:szCs w:val="22"/>
        </w:rPr>
        <w:t xml:space="preserve">The building </w:t>
      </w:r>
      <w:r w:rsidR="00605E46" w:rsidRPr="00052AFB">
        <w:rPr>
          <w:rFonts w:ascii="Calibri" w:hAnsi="Calibri" w:cs="Calibri"/>
          <w:i w:val="0"/>
          <w:iCs w:val="0"/>
          <w:color w:val="000000" w:themeColor="text1"/>
          <w:sz w:val="22"/>
          <w:szCs w:val="22"/>
        </w:rPr>
        <w:t xml:space="preserve">considered in this </w:t>
      </w:r>
      <w:r w:rsidR="005F41B9" w:rsidRPr="00052AFB">
        <w:rPr>
          <w:rFonts w:ascii="Calibri" w:hAnsi="Calibri" w:cs="Calibri"/>
          <w:i w:val="0"/>
          <w:iCs w:val="0"/>
          <w:color w:val="000000" w:themeColor="text1"/>
          <w:sz w:val="22"/>
          <w:szCs w:val="22"/>
        </w:rPr>
        <w:t>study</w:t>
      </w:r>
      <w:r>
        <w:rPr>
          <w:rFonts w:ascii="Calibri" w:hAnsi="Calibri" w:cs="Calibri"/>
          <w:i w:val="0"/>
          <w:iCs w:val="0"/>
          <w:color w:val="000000" w:themeColor="text1"/>
          <w:sz w:val="22"/>
          <w:szCs w:val="22"/>
        </w:rPr>
        <w:t xml:space="preserve"> (Figure 2)</w:t>
      </w:r>
      <w:r w:rsidR="005F41B9" w:rsidRPr="00052AFB">
        <w:rPr>
          <w:rFonts w:ascii="Calibri" w:hAnsi="Calibri" w:cs="Calibri"/>
          <w:i w:val="0"/>
          <w:iCs w:val="0"/>
          <w:color w:val="000000" w:themeColor="text1"/>
          <w:sz w:val="22"/>
          <w:szCs w:val="22"/>
        </w:rPr>
        <w:t xml:space="preserve"> is a </w:t>
      </w:r>
      <w:r w:rsidR="005313C1" w:rsidRPr="00052AFB">
        <w:rPr>
          <w:rFonts w:ascii="Calibri" w:hAnsi="Calibri" w:cs="Calibri"/>
          <w:i w:val="0"/>
          <w:iCs w:val="0"/>
          <w:color w:val="000000" w:themeColor="text1"/>
          <w:sz w:val="22"/>
          <w:szCs w:val="22"/>
        </w:rPr>
        <w:t xml:space="preserve">primary </w:t>
      </w:r>
      <w:r w:rsidR="005F41B9" w:rsidRPr="00052AFB">
        <w:rPr>
          <w:rFonts w:ascii="Calibri" w:hAnsi="Calibri" w:cs="Calibri"/>
          <w:i w:val="0"/>
          <w:iCs w:val="0"/>
          <w:color w:val="000000" w:themeColor="text1"/>
          <w:sz w:val="22"/>
          <w:szCs w:val="22"/>
        </w:rPr>
        <w:t xml:space="preserve">school constructed in </w:t>
      </w:r>
      <w:r w:rsidR="00C87942" w:rsidRPr="00052AFB">
        <w:rPr>
          <w:rFonts w:ascii="Calibri" w:hAnsi="Calibri" w:cs="Calibri"/>
          <w:i w:val="0"/>
          <w:iCs w:val="0"/>
          <w:color w:val="000000" w:themeColor="text1"/>
          <w:sz w:val="22"/>
          <w:szCs w:val="22"/>
        </w:rPr>
        <w:t xml:space="preserve">mid </w:t>
      </w:r>
      <w:r w:rsidR="1B95F517" w:rsidRPr="00052AFB">
        <w:rPr>
          <w:rFonts w:ascii="Calibri" w:hAnsi="Calibri" w:cs="Calibri"/>
          <w:i w:val="0"/>
          <w:iCs w:val="0"/>
          <w:color w:val="000000" w:themeColor="text1"/>
          <w:sz w:val="22"/>
          <w:szCs w:val="22"/>
        </w:rPr>
        <w:t>1900's</w:t>
      </w:r>
      <w:r w:rsidR="00C87942" w:rsidRPr="00052AFB">
        <w:rPr>
          <w:rFonts w:ascii="Calibri" w:hAnsi="Calibri" w:cs="Calibri"/>
          <w:i w:val="0"/>
          <w:iCs w:val="0"/>
          <w:color w:val="000000" w:themeColor="text1"/>
          <w:sz w:val="22"/>
          <w:szCs w:val="22"/>
        </w:rPr>
        <w:t xml:space="preserve"> (+/- 1940/1950) </w:t>
      </w:r>
      <w:r w:rsidR="00002AB2" w:rsidRPr="00052AFB">
        <w:rPr>
          <w:rFonts w:ascii="Calibri" w:hAnsi="Calibri" w:cs="Calibri"/>
          <w:i w:val="0"/>
          <w:iCs w:val="0"/>
          <w:color w:val="000000" w:themeColor="text1"/>
          <w:sz w:val="22"/>
          <w:szCs w:val="22"/>
        </w:rPr>
        <w:t xml:space="preserve">in the municipality of Beckerich </w:t>
      </w:r>
      <w:r w:rsidR="00E31B1A" w:rsidRPr="00052AFB">
        <w:rPr>
          <w:rFonts w:ascii="Calibri" w:hAnsi="Calibri" w:cs="Calibri"/>
          <w:i w:val="0"/>
          <w:iCs w:val="0"/>
          <w:color w:val="000000" w:themeColor="text1"/>
          <w:sz w:val="22"/>
          <w:szCs w:val="22"/>
        </w:rPr>
        <w:t xml:space="preserve">in </w:t>
      </w:r>
      <w:r w:rsidR="00002AB2" w:rsidRPr="00052AFB">
        <w:rPr>
          <w:rFonts w:ascii="Calibri" w:hAnsi="Calibri" w:cs="Calibri"/>
          <w:i w:val="0"/>
          <w:iCs w:val="0"/>
          <w:color w:val="000000" w:themeColor="text1"/>
          <w:sz w:val="22"/>
          <w:szCs w:val="22"/>
        </w:rPr>
        <w:t xml:space="preserve">Luxembourg. Due to the construction of a new school, the building is planned to be </w:t>
      </w:r>
      <w:r w:rsidR="00FB1C20" w:rsidRPr="00052AFB">
        <w:rPr>
          <w:rFonts w:ascii="Calibri" w:hAnsi="Calibri" w:cs="Calibri"/>
          <w:i w:val="0"/>
          <w:iCs w:val="0"/>
          <w:color w:val="000000" w:themeColor="text1"/>
          <w:sz w:val="22"/>
          <w:szCs w:val="22"/>
        </w:rPr>
        <w:t xml:space="preserve">renovated and </w:t>
      </w:r>
      <w:r w:rsidR="00002AB2" w:rsidRPr="00052AFB">
        <w:rPr>
          <w:rFonts w:ascii="Calibri" w:hAnsi="Calibri" w:cs="Calibri"/>
          <w:i w:val="0"/>
          <w:iCs w:val="0"/>
          <w:color w:val="000000" w:themeColor="text1"/>
          <w:sz w:val="22"/>
          <w:szCs w:val="22"/>
        </w:rPr>
        <w:t xml:space="preserve">used to </w:t>
      </w:r>
      <w:r w:rsidR="00E31B1A" w:rsidRPr="00052AFB">
        <w:rPr>
          <w:rFonts w:ascii="Calibri" w:hAnsi="Calibri" w:cs="Calibri"/>
          <w:i w:val="0"/>
          <w:iCs w:val="0"/>
          <w:color w:val="000000" w:themeColor="text1"/>
          <w:sz w:val="22"/>
          <w:szCs w:val="22"/>
        </w:rPr>
        <w:t>extend the existing</w:t>
      </w:r>
      <w:r w:rsidR="00002AB2" w:rsidRPr="00052AFB">
        <w:rPr>
          <w:rFonts w:ascii="Calibri" w:hAnsi="Calibri" w:cs="Calibri"/>
          <w:i w:val="0"/>
          <w:iCs w:val="0"/>
          <w:color w:val="000000" w:themeColor="text1"/>
          <w:sz w:val="22"/>
          <w:szCs w:val="22"/>
        </w:rPr>
        <w:t xml:space="preserve"> city hall </w:t>
      </w:r>
      <w:r w:rsidR="00E31B1A" w:rsidRPr="00052AFB">
        <w:rPr>
          <w:rFonts w:ascii="Calibri" w:hAnsi="Calibri" w:cs="Calibri"/>
          <w:i w:val="0"/>
          <w:iCs w:val="0"/>
          <w:color w:val="000000" w:themeColor="text1"/>
          <w:sz w:val="22"/>
          <w:szCs w:val="22"/>
        </w:rPr>
        <w:t xml:space="preserve">which </w:t>
      </w:r>
      <w:r w:rsidR="00FB1C20" w:rsidRPr="00052AFB">
        <w:rPr>
          <w:rFonts w:ascii="Calibri" w:hAnsi="Calibri" w:cs="Calibri"/>
          <w:i w:val="0"/>
          <w:iCs w:val="0"/>
          <w:color w:val="000000" w:themeColor="text1"/>
          <w:sz w:val="22"/>
          <w:szCs w:val="22"/>
        </w:rPr>
        <w:t xml:space="preserve">is </w:t>
      </w:r>
      <w:r w:rsidR="00002AB2" w:rsidRPr="00052AFB">
        <w:rPr>
          <w:rFonts w:ascii="Calibri" w:hAnsi="Calibri" w:cs="Calibri"/>
          <w:i w:val="0"/>
          <w:iCs w:val="0"/>
          <w:color w:val="000000" w:themeColor="text1"/>
          <w:sz w:val="22"/>
          <w:szCs w:val="22"/>
        </w:rPr>
        <w:t xml:space="preserve">currently located in an adjoining building. </w:t>
      </w:r>
      <w:r w:rsidR="00F9458F" w:rsidRPr="00052AFB">
        <w:rPr>
          <w:rFonts w:ascii="Calibri" w:hAnsi="Calibri" w:cs="Calibri"/>
          <w:i w:val="0"/>
          <w:iCs w:val="0"/>
          <w:color w:val="000000" w:themeColor="text1"/>
          <w:sz w:val="22"/>
          <w:szCs w:val="22"/>
        </w:rPr>
        <w:t>The building was constructed in stones and has been renovated several times from its initial construction.</w:t>
      </w:r>
      <w:r w:rsidR="00FB1C20" w:rsidRPr="00052AFB">
        <w:rPr>
          <w:rFonts w:ascii="Calibri" w:hAnsi="Calibri" w:cs="Calibri"/>
          <w:i w:val="0"/>
          <w:iCs w:val="0"/>
          <w:color w:val="000000" w:themeColor="text1"/>
          <w:sz w:val="22"/>
          <w:szCs w:val="22"/>
        </w:rPr>
        <w:t xml:space="preserve"> </w:t>
      </w:r>
      <w:r w:rsidR="003E763F" w:rsidRPr="00052AFB">
        <w:rPr>
          <w:rFonts w:ascii="Calibri" w:hAnsi="Calibri" w:cs="Calibri"/>
          <w:i w:val="0"/>
          <w:iCs w:val="0"/>
          <w:color w:val="000000" w:themeColor="text1"/>
          <w:sz w:val="22"/>
          <w:szCs w:val="22"/>
        </w:rPr>
        <w:t xml:space="preserve">In the framework of the Horizon Europe </w:t>
      </w:r>
      <w:r w:rsidR="00E6096D" w:rsidRPr="00052AFB">
        <w:rPr>
          <w:rFonts w:ascii="Calibri" w:hAnsi="Calibri" w:cs="Calibri"/>
          <w:i w:val="0"/>
          <w:iCs w:val="0"/>
          <w:color w:val="000000" w:themeColor="text1"/>
          <w:sz w:val="22"/>
          <w:szCs w:val="22"/>
        </w:rPr>
        <w:t>REGEN project</w:t>
      </w:r>
      <w:r w:rsidR="003E763F" w:rsidRPr="00052AFB">
        <w:rPr>
          <w:rFonts w:ascii="Calibri" w:hAnsi="Calibri" w:cs="Calibri"/>
          <w:i w:val="0"/>
          <w:iCs w:val="0"/>
          <w:color w:val="000000" w:themeColor="text1"/>
          <w:sz w:val="22"/>
          <w:szCs w:val="22"/>
        </w:rPr>
        <w:t xml:space="preserve">, </w:t>
      </w:r>
      <w:r w:rsidR="007359FC" w:rsidRPr="00052AFB">
        <w:rPr>
          <w:rFonts w:ascii="Calibri" w:hAnsi="Calibri" w:cs="Calibri"/>
          <w:i w:val="0"/>
          <w:iCs w:val="0"/>
          <w:color w:val="000000" w:themeColor="text1"/>
          <w:sz w:val="22"/>
          <w:szCs w:val="22"/>
        </w:rPr>
        <w:t>t</w:t>
      </w:r>
      <w:r w:rsidR="003E763F" w:rsidRPr="00052AFB">
        <w:rPr>
          <w:rFonts w:ascii="Calibri" w:hAnsi="Calibri" w:cs="Calibri"/>
          <w:i w:val="0"/>
          <w:iCs w:val="0"/>
          <w:color w:val="000000" w:themeColor="text1"/>
          <w:sz w:val="22"/>
          <w:szCs w:val="22"/>
        </w:rPr>
        <w:t>he building has been used for circularity analyses</w:t>
      </w:r>
      <w:r w:rsidR="007359FC" w:rsidRPr="00052AFB">
        <w:rPr>
          <w:rFonts w:ascii="Calibri" w:hAnsi="Calibri" w:cs="Calibri"/>
          <w:i w:val="0"/>
          <w:iCs w:val="0"/>
          <w:color w:val="000000" w:themeColor="text1"/>
          <w:sz w:val="22"/>
          <w:szCs w:val="22"/>
        </w:rPr>
        <w:t xml:space="preserve"> </w:t>
      </w:r>
      <w:proofErr w:type="gramStart"/>
      <w:r w:rsidR="007359FC" w:rsidRPr="00052AFB">
        <w:rPr>
          <w:rFonts w:ascii="Calibri" w:hAnsi="Calibri" w:cs="Calibri"/>
          <w:i w:val="0"/>
          <w:iCs w:val="0"/>
          <w:color w:val="000000" w:themeColor="text1"/>
          <w:sz w:val="22"/>
          <w:szCs w:val="22"/>
        </w:rPr>
        <w:t>in order to</w:t>
      </w:r>
      <w:proofErr w:type="gramEnd"/>
      <w:r w:rsidR="007359FC" w:rsidRPr="00052AFB">
        <w:rPr>
          <w:rFonts w:ascii="Calibri" w:hAnsi="Calibri" w:cs="Calibri"/>
          <w:i w:val="0"/>
          <w:iCs w:val="0"/>
          <w:color w:val="000000" w:themeColor="text1"/>
          <w:sz w:val="22"/>
          <w:szCs w:val="22"/>
        </w:rPr>
        <w:t xml:space="preserve"> identify the strategies that would allow to reduce the quantity of demolition waste that will be generated during the renovation</w:t>
      </w:r>
      <w:r w:rsidR="00851B64">
        <w:rPr>
          <w:rFonts w:ascii="Calibri" w:hAnsi="Calibri" w:cs="Calibri"/>
          <w:i w:val="0"/>
          <w:iCs w:val="0"/>
          <w:color w:val="000000" w:themeColor="text1"/>
          <w:sz w:val="22"/>
          <w:szCs w:val="22"/>
        </w:rPr>
        <w:t xml:space="preserve">. </w:t>
      </w:r>
    </w:p>
    <w:p w14:paraId="07FC3978" w14:textId="5787789D" w:rsidR="0065080A" w:rsidRPr="00C33FBA" w:rsidRDefault="0044197A" w:rsidP="00C33FBA">
      <w:pPr>
        <w:numPr>
          <w:ilvl w:val="1"/>
          <w:numId w:val="1"/>
        </w:numPr>
        <w:spacing w:after="40" w:line="240" w:lineRule="auto"/>
        <w:ind w:left="0" w:firstLine="0"/>
        <w:jc w:val="both"/>
        <w:rPr>
          <w:rFonts w:ascii="Calibri" w:hAnsi="Calibri" w:cs="Calibri"/>
          <w:b/>
          <w:bCs/>
          <w:sz w:val="24"/>
          <w:szCs w:val="24"/>
        </w:rPr>
      </w:pPr>
      <w:r>
        <w:rPr>
          <w:rFonts w:ascii="Calibri" w:hAnsi="Calibri" w:cs="Calibri"/>
          <w:b/>
          <w:bCs/>
          <w:sz w:val="24"/>
          <w:szCs w:val="24"/>
        </w:rPr>
        <w:t>Reuse potential</w:t>
      </w:r>
      <w:r w:rsidR="00F233F0" w:rsidRPr="31BFA50D">
        <w:rPr>
          <w:rFonts w:ascii="Calibri" w:hAnsi="Calibri" w:cs="Calibri"/>
          <w:b/>
          <w:bCs/>
          <w:sz w:val="24"/>
          <w:szCs w:val="24"/>
        </w:rPr>
        <w:t xml:space="preserve"> and adaptability analysis</w:t>
      </w:r>
      <w:r w:rsidR="00DD55CB" w:rsidRPr="31BFA50D">
        <w:rPr>
          <w:rFonts w:ascii="Calibri" w:hAnsi="Calibri" w:cs="Calibri"/>
          <w:b/>
          <w:bCs/>
          <w:sz w:val="24"/>
          <w:szCs w:val="24"/>
        </w:rPr>
        <w:t xml:space="preserve"> of the building</w:t>
      </w:r>
    </w:p>
    <w:p w14:paraId="46AE11C4" w14:textId="70B8A27F" w:rsidR="00AE1296" w:rsidRPr="00760EBD" w:rsidRDefault="511CBD94" w:rsidP="511CBD94">
      <w:pPr>
        <w:jc w:val="both"/>
        <w:rPr>
          <w:rFonts w:ascii="Calibri" w:hAnsi="Calibri" w:cs="Calibri"/>
          <w:i/>
          <w:iCs/>
          <w:color w:val="000000" w:themeColor="text1"/>
        </w:rPr>
      </w:pPr>
      <w:r w:rsidRPr="511CBD94">
        <w:rPr>
          <w:rFonts w:ascii="Calibri" w:hAnsi="Calibri" w:cs="Calibri"/>
          <w:color w:val="000000" w:themeColor="text1"/>
        </w:rPr>
        <w:t xml:space="preserve">In this pilot case, two indicators aligned with specific circular design strategies were used to assess the Circularity Profile/Potential of the building </w:t>
      </w:r>
      <w:r w:rsidRPr="511CBD94">
        <w:rPr>
          <w:rFonts w:ascii="Calibri" w:hAnsi="Calibri" w:cs="Calibri"/>
          <w:noProof/>
          <w:color w:val="000000" w:themeColor="text1"/>
        </w:rPr>
        <w:t>(Durmisevic, 2006)</w:t>
      </w:r>
      <w:r w:rsidRPr="511CBD94">
        <w:rPr>
          <w:rFonts w:ascii="Calibri" w:hAnsi="Calibri" w:cs="Calibri"/>
          <w:color w:val="000000" w:themeColor="text1"/>
        </w:rPr>
        <w:t xml:space="preserve">: 1) The </w:t>
      </w:r>
      <w:r w:rsidRPr="511CBD94">
        <w:rPr>
          <w:rFonts w:ascii="Calibri" w:hAnsi="Calibri" w:cs="Calibri"/>
          <w:i/>
          <w:iCs/>
          <w:color w:val="000000" w:themeColor="text1"/>
        </w:rPr>
        <w:t>design for disassembly strategy</w:t>
      </w:r>
      <w:r w:rsidRPr="511CBD94">
        <w:rPr>
          <w:rFonts w:ascii="Calibri" w:hAnsi="Calibri" w:cs="Calibri"/>
          <w:color w:val="000000" w:themeColor="text1"/>
        </w:rPr>
        <w:t xml:space="preserve"> is supported by the Reuse Potential (RP) methodology, 2) the </w:t>
      </w:r>
      <w:r w:rsidRPr="511CBD94">
        <w:rPr>
          <w:rFonts w:ascii="Calibri" w:hAnsi="Calibri" w:cs="Calibri"/>
          <w:i/>
          <w:iCs/>
          <w:color w:val="000000" w:themeColor="text1"/>
        </w:rPr>
        <w:t>design for adaptability</w:t>
      </w:r>
      <w:r w:rsidRPr="511CBD94">
        <w:rPr>
          <w:rFonts w:ascii="Calibri" w:hAnsi="Calibri" w:cs="Calibri"/>
          <w:color w:val="000000" w:themeColor="text1"/>
        </w:rPr>
        <w:t xml:space="preserve"> is supported by the Transformation Capacity (TC) analysis. Fully transformable buildings are dynamic and adaptable buildings that can evolved by shifting their function, extending, shrinking or relocating.</w:t>
      </w:r>
      <w:r w:rsidRPr="511CBD94">
        <w:rPr>
          <w:rFonts w:ascii="Calibri" w:hAnsi="Calibri" w:cs="Calibri"/>
          <w:i/>
          <w:iCs/>
          <w:color w:val="000000" w:themeColor="text1"/>
        </w:rPr>
        <w:t xml:space="preserve"> </w:t>
      </w:r>
      <w:r w:rsidRPr="511CBD94">
        <w:rPr>
          <w:rFonts w:ascii="Calibri" w:hAnsi="Calibri" w:cs="Calibri"/>
        </w:rPr>
        <w:t>The</w:t>
      </w:r>
      <w:r w:rsidRPr="511CBD94">
        <w:rPr>
          <w:rFonts w:ascii="Calibri" w:hAnsi="Calibri" w:cs="Calibri"/>
          <w:b/>
          <w:bCs/>
        </w:rPr>
        <w:t xml:space="preserve"> </w:t>
      </w:r>
      <w:r w:rsidRPr="00EC1424">
        <w:rPr>
          <w:rFonts w:ascii="Calibri" w:hAnsi="Calibri" w:cs="Calibri"/>
        </w:rPr>
        <w:t>RP</w:t>
      </w:r>
      <w:r w:rsidRPr="511CBD94">
        <w:rPr>
          <w:rFonts w:ascii="Calibri" w:hAnsi="Calibri" w:cs="Calibri"/>
        </w:rPr>
        <w:t xml:space="preserve"> </w:t>
      </w:r>
      <w:r w:rsidR="00826FC8">
        <w:rPr>
          <w:rFonts w:ascii="Calibri" w:hAnsi="Calibri" w:cs="Calibri"/>
        </w:rPr>
        <w:t xml:space="preserve">indicator </w:t>
      </w:r>
      <w:r w:rsidRPr="511CBD94">
        <w:rPr>
          <w:rFonts w:ascii="Calibri" w:hAnsi="Calibri" w:cs="Calibri"/>
        </w:rPr>
        <w:t xml:space="preserve">assesses the ease with which materials can be recovered without damaging the materials themselves or the surrounding materials. </w:t>
      </w:r>
      <w:r w:rsidR="00826FC8">
        <w:rPr>
          <w:rFonts w:ascii="Calibri" w:hAnsi="Calibri" w:cs="Calibri"/>
        </w:rPr>
        <w:t>It</w:t>
      </w:r>
      <w:r w:rsidRPr="511CBD94">
        <w:rPr>
          <w:rFonts w:ascii="Calibri" w:hAnsi="Calibri" w:cs="Calibri"/>
        </w:rPr>
        <w:t xml:space="preserve"> reflects material reuse scenarios and material savings. The method assesses the nature of the connections and determines how eas</w:t>
      </w:r>
      <w:r w:rsidR="00211A2D">
        <w:rPr>
          <w:rFonts w:ascii="Calibri" w:hAnsi="Calibri" w:cs="Calibri"/>
        </w:rPr>
        <w:t>ily</w:t>
      </w:r>
      <w:r w:rsidRPr="511CBD94">
        <w:rPr>
          <w:rFonts w:ascii="Calibri" w:hAnsi="Calibri" w:cs="Calibri"/>
        </w:rPr>
        <w:t xml:space="preserve"> building products and materials can be recovered without damaging surrounding parts </w:t>
      </w:r>
      <w:r w:rsidRPr="511CBD94">
        <w:rPr>
          <w:rFonts w:ascii="Calibri" w:hAnsi="Calibri" w:cs="Calibri"/>
          <w:noProof/>
        </w:rPr>
        <w:t>(Durmisevic et al., 2021)</w:t>
      </w:r>
      <w:r w:rsidRPr="511CBD94">
        <w:rPr>
          <w:rFonts w:ascii="Calibri" w:hAnsi="Calibri" w:cs="Calibri"/>
        </w:rPr>
        <w:t xml:space="preserve">. As shown in Figure 3, the reversible BIM highlights BIM components using a colour scale: </w:t>
      </w:r>
      <w:r w:rsidR="00211A2D">
        <w:rPr>
          <w:rFonts w:ascii="Calibri" w:hAnsi="Calibri" w:cs="Calibri"/>
        </w:rPr>
        <w:t xml:space="preserve">the </w:t>
      </w:r>
      <w:r w:rsidRPr="511CBD94">
        <w:rPr>
          <w:rFonts w:ascii="Calibri" w:hAnsi="Calibri" w:cs="Calibri"/>
        </w:rPr>
        <w:t>component</w:t>
      </w:r>
      <w:r w:rsidR="00211A2D">
        <w:rPr>
          <w:rFonts w:ascii="Calibri" w:hAnsi="Calibri" w:cs="Calibri"/>
        </w:rPr>
        <w:t>s</w:t>
      </w:r>
      <w:r w:rsidRPr="511CBD94">
        <w:rPr>
          <w:rFonts w:ascii="Calibri" w:hAnsi="Calibri" w:cs="Calibri"/>
        </w:rPr>
        <w:t xml:space="preserve"> with a low reuse potential appear in red, while those with high reuse potential are </w:t>
      </w:r>
      <w:r w:rsidR="00211A2D">
        <w:rPr>
          <w:rFonts w:ascii="Calibri" w:hAnsi="Calibri" w:cs="Calibri"/>
        </w:rPr>
        <w:t>highlighted in</w:t>
      </w:r>
      <w:r w:rsidRPr="511CBD94">
        <w:rPr>
          <w:rFonts w:ascii="Calibri" w:hAnsi="Calibri" w:cs="Calibri"/>
        </w:rPr>
        <w:t xml:space="preserve"> green.</w:t>
      </w:r>
      <w:r w:rsidRPr="511CBD94">
        <w:rPr>
          <w:rFonts w:ascii="Calibri" w:hAnsi="Calibri" w:cs="Calibri"/>
          <w:i/>
          <w:iCs/>
          <w:color w:val="000000" w:themeColor="text1"/>
        </w:rPr>
        <w:t xml:space="preserve"> </w:t>
      </w:r>
      <w:r w:rsidRPr="511CBD94">
        <w:rPr>
          <w:rFonts w:ascii="Calibri" w:hAnsi="Calibri" w:cs="Calibri"/>
        </w:rPr>
        <w:t xml:space="preserve">The </w:t>
      </w:r>
      <w:r w:rsidRPr="00EC1424">
        <w:rPr>
          <w:rFonts w:ascii="Calibri" w:hAnsi="Calibri" w:cs="Calibri"/>
        </w:rPr>
        <w:t>TC</w:t>
      </w:r>
      <w:r w:rsidRPr="511CBD94">
        <w:rPr>
          <w:rFonts w:ascii="Calibri" w:hAnsi="Calibri" w:cs="Calibri"/>
        </w:rPr>
        <w:t xml:space="preserve"> indicator assesses the ease with which a building can be transformed without demolition. It </w:t>
      </w:r>
      <w:r w:rsidRPr="511CBD94">
        <w:rPr>
          <w:rFonts w:ascii="Calibri" w:hAnsi="Calibri" w:cs="Calibri"/>
          <w:i/>
          <w:iCs/>
        </w:rPr>
        <w:t xml:space="preserve">expresses the effectiveness and efficiency of altering the functional and physical characteristics of a building or its parts to meet changing needs and requirements </w:t>
      </w:r>
      <w:r w:rsidRPr="511CBD94">
        <w:rPr>
          <w:rFonts w:ascii="Calibri" w:hAnsi="Calibri" w:cs="Calibri"/>
          <w:i/>
          <w:iCs/>
          <w:noProof/>
        </w:rPr>
        <w:t>(BAMB, 2020)</w:t>
      </w:r>
      <w:r w:rsidRPr="511CBD94">
        <w:rPr>
          <w:rFonts w:ascii="Calibri" w:hAnsi="Calibri" w:cs="Calibri"/>
          <w:i/>
          <w:iCs/>
        </w:rPr>
        <w:t>.</w:t>
      </w:r>
      <w:r w:rsidRPr="511CBD94">
        <w:rPr>
          <w:rFonts w:ascii="Calibri" w:hAnsi="Calibri" w:cs="Calibri"/>
        </w:rPr>
        <w:t xml:space="preserve"> The TC indicator also reflects transformation scenarios of a building, as </w:t>
      </w:r>
      <w:r w:rsidRPr="511CBD94">
        <w:rPr>
          <w:rFonts w:ascii="Calibri" w:hAnsi="Calibri" w:cs="Calibri"/>
          <w:color w:val="000000" w:themeColor="text1"/>
        </w:rPr>
        <w:t xml:space="preserve">presented in the </w:t>
      </w:r>
      <w:bookmarkStart w:id="1" w:name="_Ref233305556"/>
      <w:r w:rsidRPr="511CBD94">
        <w:rPr>
          <w:rFonts w:ascii="Calibri" w:hAnsi="Calibri" w:cs="Calibri"/>
          <w:color w:val="000000" w:themeColor="text1"/>
        </w:rPr>
        <w:t>Figure 3.</w:t>
      </w:r>
    </w:p>
    <w:bookmarkEnd w:id="1"/>
    <w:p w14:paraId="047C6CE0" w14:textId="21806D7F" w:rsidR="00045384" w:rsidRDefault="00CF7CAB" w:rsidP="00534F17">
      <w:pPr>
        <w:jc w:val="both"/>
        <w:rPr>
          <w:rFonts w:ascii="Calibri" w:hAnsi="Calibri" w:cs="Calibri"/>
        </w:rPr>
      </w:pPr>
      <w:r w:rsidRPr="00CE4CE9">
        <w:rPr>
          <w:rFonts w:ascii="Calibri" w:hAnsi="Calibri" w:cs="Calibri"/>
          <w:color w:val="000000" w:themeColor="text1"/>
        </w:rPr>
        <w:t>Both methodologies rely on a BIM model as initial source of information about the building.</w:t>
      </w:r>
      <w:r w:rsidRPr="00CE4CE9">
        <w:rPr>
          <w:rFonts w:ascii="Calibri" w:hAnsi="Calibri" w:cs="Calibri"/>
        </w:rPr>
        <w:t xml:space="preserve"> The virtual characterization and modelling of the building was achieved using 3D scanning and then BIM models. The BIM was used to create a detailed material inventory and conduct circularity assessment </w:t>
      </w:r>
      <w:r w:rsidR="00644C91">
        <w:rPr>
          <w:rFonts w:ascii="Calibri" w:hAnsi="Calibri" w:cs="Calibri"/>
        </w:rPr>
        <w:t>analyses</w:t>
      </w:r>
      <w:r w:rsidR="00CE4CE9" w:rsidRPr="00CE4CE9">
        <w:rPr>
          <w:rFonts w:ascii="Calibri" w:hAnsi="Calibri" w:cs="Calibri"/>
        </w:rPr>
        <w:t xml:space="preserve"> u</w:t>
      </w:r>
      <w:r w:rsidRPr="00CE4CE9">
        <w:rPr>
          <w:rFonts w:ascii="Calibri" w:hAnsi="Calibri" w:cs="Calibri"/>
        </w:rPr>
        <w:t>sing the</w:t>
      </w:r>
      <w:r w:rsidR="00CE4CE9" w:rsidRPr="00CE4CE9">
        <w:rPr>
          <w:rFonts w:ascii="Calibri" w:hAnsi="Calibri" w:cs="Calibri"/>
        </w:rPr>
        <w:t xml:space="preserve"> above-mentioned</w:t>
      </w:r>
      <w:r w:rsidRPr="00CE4CE9">
        <w:rPr>
          <w:rFonts w:ascii="Calibri" w:hAnsi="Calibri" w:cs="Calibri"/>
        </w:rPr>
        <w:t xml:space="preserve"> methodolog</w:t>
      </w:r>
      <w:r w:rsidR="00CE4CE9" w:rsidRPr="00CE4CE9">
        <w:rPr>
          <w:rFonts w:ascii="Calibri" w:hAnsi="Calibri" w:cs="Calibri"/>
        </w:rPr>
        <w:t>ies.</w:t>
      </w:r>
      <w:r w:rsidR="00DF50D5">
        <w:rPr>
          <w:rFonts w:ascii="Calibri" w:hAnsi="Calibri" w:cs="Calibri"/>
        </w:rPr>
        <w:t xml:space="preserve"> </w:t>
      </w:r>
      <w:r w:rsidR="00CE4CE9" w:rsidRPr="00CE4CE9">
        <w:rPr>
          <w:rFonts w:ascii="Calibri" w:hAnsi="Calibri" w:cs="Calibri"/>
          <w:noProof/>
        </w:rPr>
        <w:t>The RP analysis revealed that</w:t>
      </w:r>
      <w:r w:rsidR="0065080A" w:rsidRPr="00CE4CE9">
        <w:rPr>
          <w:rFonts w:ascii="Calibri" w:hAnsi="Calibri" w:cs="Calibri"/>
        </w:rPr>
        <w:t xml:space="preserve"> the reuse potential of materials in Beckerich is RP 0.</w:t>
      </w:r>
      <w:r w:rsidR="00C53593">
        <w:rPr>
          <w:rFonts w:ascii="Calibri" w:hAnsi="Calibri" w:cs="Calibri"/>
        </w:rPr>
        <w:t>3</w:t>
      </w:r>
      <w:r w:rsidR="0065080A" w:rsidRPr="00CE4CE9">
        <w:rPr>
          <w:rFonts w:ascii="Calibri" w:hAnsi="Calibri" w:cs="Calibri"/>
        </w:rPr>
        <w:t xml:space="preserve">, which classifies the building as having a </w:t>
      </w:r>
      <w:r w:rsidR="00FD6B0B">
        <w:rPr>
          <w:rFonts w:ascii="Calibri" w:hAnsi="Calibri" w:cs="Calibri"/>
        </w:rPr>
        <w:t>C</w:t>
      </w:r>
      <w:r w:rsidR="0065080A" w:rsidRPr="00CE4CE9">
        <w:rPr>
          <w:rFonts w:ascii="Calibri" w:hAnsi="Calibri" w:cs="Calibri"/>
        </w:rPr>
        <w:t xml:space="preserve">ircularity </w:t>
      </w:r>
      <w:r w:rsidR="00FD6B0B">
        <w:rPr>
          <w:rFonts w:ascii="Calibri" w:hAnsi="Calibri" w:cs="Calibri"/>
        </w:rPr>
        <w:t>P</w:t>
      </w:r>
      <w:r w:rsidR="0065080A" w:rsidRPr="00CE4CE9">
        <w:rPr>
          <w:rFonts w:ascii="Calibri" w:hAnsi="Calibri" w:cs="Calibri"/>
        </w:rPr>
        <w:t xml:space="preserve">rofile 1 (up to 20% of materials can be reused). </w:t>
      </w:r>
      <w:r w:rsidR="00CE4CE9" w:rsidRPr="00CE4CE9">
        <w:rPr>
          <w:rFonts w:ascii="Calibri" w:hAnsi="Calibri" w:cs="Calibri"/>
        </w:rPr>
        <w:t>The</w:t>
      </w:r>
      <w:r w:rsidR="0065080A" w:rsidRPr="00CE4CE9">
        <w:rPr>
          <w:rFonts w:ascii="Calibri" w:hAnsi="Calibri" w:cs="Calibri"/>
        </w:rPr>
        <w:t xml:space="preserve"> transformation capacity study indicated that the building has the capacity to be converted into different types of apartments and offices. This is reflected by the TC score of 0.6</w:t>
      </w:r>
      <w:r w:rsidR="00446E6E">
        <w:rPr>
          <w:rFonts w:ascii="Calibri" w:hAnsi="Calibri" w:cs="Calibri"/>
        </w:rPr>
        <w:t>7</w:t>
      </w:r>
      <w:r w:rsidR="0065080A" w:rsidRPr="00CE4CE9">
        <w:rPr>
          <w:rFonts w:ascii="Calibri" w:hAnsi="Calibri" w:cs="Calibri"/>
        </w:rPr>
        <w:t xml:space="preserve">. A building with such a TC/RP ratio is classified as Circularity Profile 3 (up to 70% of materials can be reused) </w:t>
      </w:r>
      <w:r w:rsidR="00EF5576" w:rsidRPr="00D5181E">
        <w:rPr>
          <w:rFonts w:ascii="Calibri" w:hAnsi="Calibri" w:cs="Calibri"/>
        </w:rPr>
        <w:t>(s</w:t>
      </w:r>
      <w:r w:rsidR="0065080A" w:rsidRPr="00D5181E">
        <w:rPr>
          <w:rFonts w:ascii="Calibri" w:hAnsi="Calibri" w:cs="Calibri"/>
        </w:rPr>
        <w:t>ee</w:t>
      </w:r>
      <w:r w:rsidR="00052AFB" w:rsidRPr="00D5181E">
        <w:rPr>
          <w:rFonts w:ascii="Calibri" w:hAnsi="Calibri" w:cs="Calibri"/>
        </w:rPr>
        <w:t xml:space="preserve"> </w:t>
      </w:r>
      <w:r w:rsidR="00DB5026" w:rsidRPr="00DB5026">
        <w:rPr>
          <w:rFonts w:ascii="Calibri" w:hAnsi="Calibri" w:cs="Calibri"/>
        </w:rPr>
        <w:t xml:space="preserve">Figure </w:t>
      </w:r>
      <w:r w:rsidR="00DB5026" w:rsidRPr="00DB5026">
        <w:rPr>
          <w:rFonts w:ascii="Calibri" w:hAnsi="Calibri" w:cs="Calibri"/>
          <w:noProof/>
        </w:rPr>
        <w:t>3</w:t>
      </w:r>
      <w:r w:rsidR="00052AFB" w:rsidRPr="00D5181E">
        <w:rPr>
          <w:rFonts w:ascii="Calibri" w:hAnsi="Calibri" w:cs="Calibri"/>
        </w:rPr>
        <w:t>)</w:t>
      </w:r>
      <w:r w:rsidR="0065080A" w:rsidRPr="00D5181E">
        <w:rPr>
          <w:rFonts w:ascii="Calibri" w:hAnsi="Calibri" w:cs="Calibri"/>
        </w:rPr>
        <w:t>.</w:t>
      </w:r>
      <w:r w:rsidR="002A047E">
        <w:rPr>
          <w:rFonts w:ascii="Calibri" w:hAnsi="Calibri" w:cs="Calibri"/>
        </w:rPr>
        <w:t xml:space="preserve"> The results </w:t>
      </w:r>
      <w:r w:rsidR="006818C0">
        <w:rPr>
          <w:rFonts w:ascii="Calibri" w:hAnsi="Calibri" w:cs="Calibri"/>
        </w:rPr>
        <w:t>of</w:t>
      </w:r>
      <w:r w:rsidR="002A047E">
        <w:rPr>
          <w:rFonts w:ascii="Calibri" w:hAnsi="Calibri" w:cs="Calibri"/>
        </w:rPr>
        <w:t xml:space="preserve"> th</w:t>
      </w:r>
      <w:r w:rsidR="00144FFF">
        <w:rPr>
          <w:rFonts w:ascii="Calibri" w:hAnsi="Calibri" w:cs="Calibri"/>
        </w:rPr>
        <w:t xml:space="preserve">ese first analyses confirm that the building has a good potential to be adapted to new function, and that </w:t>
      </w:r>
      <w:r w:rsidR="00DF50D5">
        <w:rPr>
          <w:rFonts w:ascii="Calibri" w:hAnsi="Calibri" w:cs="Calibri"/>
        </w:rPr>
        <w:t>multiple building</w:t>
      </w:r>
      <w:r w:rsidR="00144FFF">
        <w:rPr>
          <w:rFonts w:ascii="Calibri" w:hAnsi="Calibri" w:cs="Calibri"/>
        </w:rPr>
        <w:t xml:space="preserve"> components could be reused. The elements provided by the architectural office as well as these analyses confirm that the building has a potential for CE strategy. </w:t>
      </w:r>
    </w:p>
    <w:p w14:paraId="1192F691" w14:textId="236C155E" w:rsidR="0030110B" w:rsidRDefault="00045384" w:rsidP="005E63C5">
      <w:pPr>
        <w:jc w:val="center"/>
        <w:rPr>
          <w:rFonts w:ascii="Calibri" w:hAnsi="Calibri" w:cs="Calibri"/>
        </w:rPr>
      </w:pPr>
      <w:r>
        <w:rPr>
          <w:noProof/>
          <w:color w:val="7F7F7F" w:themeColor="text1" w:themeTint="80"/>
          <w:szCs w:val="20"/>
        </w:rPr>
        <w:lastRenderedPageBreak/>
        <w:drawing>
          <wp:inline distT="0" distB="0" distL="0" distR="0" wp14:anchorId="7114C137" wp14:editId="5DCF2783">
            <wp:extent cx="5615095" cy="4061460"/>
            <wp:effectExtent l="0" t="0" r="0" b="2540"/>
            <wp:docPr id="1114176017" name="Afbeelding 10" descr="Afbeelding met tekst,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176017" name="Afbeelding 10" descr="Afbeelding met tekst, schermopname&#10;&#10;Door AI gegenereerde inhoud is mogelijk onjuist."/>
                    <pic:cNvPicPr/>
                  </pic:nvPicPr>
                  <pic:blipFill rotWithShape="1">
                    <a:blip r:embed="rId13"/>
                    <a:srcRect l="16469"/>
                    <a:stretch>
                      <a:fillRect/>
                    </a:stretch>
                  </pic:blipFill>
                  <pic:spPr bwMode="auto">
                    <a:xfrm>
                      <a:off x="0" y="0"/>
                      <a:ext cx="5996537" cy="4337361"/>
                    </a:xfrm>
                    <a:prstGeom prst="rect">
                      <a:avLst/>
                    </a:prstGeom>
                    <a:ln>
                      <a:noFill/>
                    </a:ln>
                    <a:extLst>
                      <a:ext uri="{53640926-AAD7-44D8-BBD7-CCE9431645EC}">
                        <a14:shadowObscured xmlns:a14="http://schemas.microsoft.com/office/drawing/2010/main"/>
                      </a:ext>
                    </a:extLst>
                  </pic:spPr>
                </pic:pic>
              </a:graphicData>
            </a:graphic>
          </wp:inline>
        </w:drawing>
      </w:r>
    </w:p>
    <w:p w14:paraId="43A6F865" w14:textId="232F1E85" w:rsidR="00045384" w:rsidRPr="00045384" w:rsidRDefault="00045384" w:rsidP="00045384">
      <w:pPr>
        <w:jc w:val="center"/>
        <w:rPr>
          <w:rFonts w:ascii="Calibri" w:hAnsi="Calibri" w:cs="Calibri"/>
          <w:i/>
          <w:iCs/>
          <w:sz w:val="20"/>
          <w:szCs w:val="20"/>
        </w:rPr>
      </w:pPr>
      <w:bookmarkStart w:id="2" w:name="_Ref233667502"/>
      <w:r w:rsidRPr="00534F17">
        <w:rPr>
          <w:rFonts w:ascii="Calibri" w:hAnsi="Calibri" w:cs="Calibri"/>
          <w:i/>
          <w:iCs/>
          <w:sz w:val="20"/>
          <w:szCs w:val="20"/>
        </w:rPr>
        <w:t xml:space="preserve">Figure </w:t>
      </w:r>
      <w:r w:rsidR="00DB5026">
        <w:rPr>
          <w:rFonts w:ascii="Calibri" w:hAnsi="Calibri" w:cs="Calibri"/>
          <w:i/>
          <w:iCs/>
          <w:noProof/>
          <w:sz w:val="20"/>
          <w:szCs w:val="20"/>
        </w:rPr>
        <w:t>3</w:t>
      </w:r>
      <w:bookmarkEnd w:id="2"/>
      <w:r w:rsidRPr="00534F17">
        <w:rPr>
          <w:rFonts w:ascii="Calibri" w:hAnsi="Calibri" w:cs="Calibri"/>
          <w:i/>
          <w:iCs/>
          <w:sz w:val="20"/>
          <w:szCs w:val="20"/>
        </w:rPr>
        <w:t xml:space="preserve">. Circularity Profile of Beckerich as a function of </w:t>
      </w:r>
      <w:r>
        <w:rPr>
          <w:rFonts w:ascii="Calibri" w:hAnsi="Calibri" w:cs="Calibri"/>
          <w:i/>
          <w:iCs/>
          <w:sz w:val="20"/>
          <w:szCs w:val="20"/>
        </w:rPr>
        <w:t>TC</w:t>
      </w:r>
      <w:r w:rsidRPr="00534F17">
        <w:rPr>
          <w:rFonts w:ascii="Calibri" w:hAnsi="Calibri" w:cs="Calibri"/>
          <w:i/>
          <w:iCs/>
          <w:sz w:val="20"/>
          <w:szCs w:val="20"/>
        </w:rPr>
        <w:t xml:space="preserve"> and </w:t>
      </w:r>
      <w:r>
        <w:rPr>
          <w:rFonts w:ascii="Calibri" w:hAnsi="Calibri" w:cs="Calibri"/>
          <w:i/>
          <w:iCs/>
          <w:sz w:val="20"/>
          <w:szCs w:val="20"/>
        </w:rPr>
        <w:t>RP</w:t>
      </w:r>
      <w:r w:rsidRPr="00534F17">
        <w:rPr>
          <w:rFonts w:ascii="Calibri" w:hAnsi="Calibri" w:cs="Calibri"/>
          <w:i/>
          <w:iCs/>
          <w:sz w:val="20"/>
          <w:szCs w:val="20"/>
        </w:rPr>
        <w:t xml:space="preserve"> </w:t>
      </w:r>
      <w:r w:rsidR="002F609B">
        <w:rPr>
          <w:rFonts w:ascii="Calibri" w:hAnsi="Calibri" w:cs="Calibri"/>
          <w:i/>
          <w:iCs/>
          <w:sz w:val="20"/>
          <w:szCs w:val="20"/>
        </w:rPr>
        <w:t>indicators</w:t>
      </w:r>
      <w:r w:rsidRPr="00534F17">
        <w:rPr>
          <w:rFonts w:ascii="Calibri" w:hAnsi="Calibri" w:cs="Calibri"/>
          <w:i/>
          <w:iCs/>
          <w:sz w:val="20"/>
          <w:szCs w:val="20"/>
        </w:rPr>
        <w:t xml:space="preserve"> (source: GTB Lab)</w:t>
      </w:r>
    </w:p>
    <w:p w14:paraId="4B740431" w14:textId="254210F9" w:rsidR="0030110B" w:rsidRPr="009A2E7C" w:rsidRDefault="00F233F0" w:rsidP="00EC5E4B">
      <w:pPr>
        <w:numPr>
          <w:ilvl w:val="1"/>
          <w:numId w:val="1"/>
        </w:numPr>
        <w:spacing w:after="40" w:line="240" w:lineRule="auto"/>
        <w:ind w:left="0" w:firstLine="0"/>
        <w:jc w:val="both"/>
        <w:rPr>
          <w:rFonts w:ascii="Calibri" w:hAnsi="Calibri" w:cs="Calibri"/>
          <w:b/>
          <w:bCs/>
          <w:sz w:val="24"/>
          <w:szCs w:val="24"/>
        </w:rPr>
      </w:pPr>
      <w:r>
        <w:rPr>
          <w:rFonts w:ascii="Calibri" w:hAnsi="Calibri" w:cs="Calibri"/>
          <w:b/>
          <w:bCs/>
          <w:sz w:val="24"/>
          <w:szCs w:val="24"/>
        </w:rPr>
        <w:t xml:space="preserve">Reuse </w:t>
      </w:r>
      <w:r w:rsidR="006A5ABE">
        <w:rPr>
          <w:rFonts w:ascii="Calibri" w:hAnsi="Calibri" w:cs="Calibri"/>
          <w:b/>
          <w:bCs/>
          <w:sz w:val="24"/>
          <w:szCs w:val="24"/>
        </w:rPr>
        <w:t>strategy</w:t>
      </w:r>
      <w:r>
        <w:rPr>
          <w:rFonts w:ascii="Calibri" w:hAnsi="Calibri" w:cs="Calibri"/>
          <w:b/>
          <w:bCs/>
          <w:sz w:val="24"/>
          <w:szCs w:val="24"/>
        </w:rPr>
        <w:t xml:space="preserve"> </w:t>
      </w:r>
      <w:r w:rsidR="00882E82">
        <w:rPr>
          <w:rFonts w:ascii="Calibri" w:hAnsi="Calibri" w:cs="Calibri"/>
          <w:b/>
          <w:bCs/>
          <w:sz w:val="24"/>
          <w:szCs w:val="24"/>
        </w:rPr>
        <w:t>and</w:t>
      </w:r>
      <w:r w:rsidR="00705B6B">
        <w:rPr>
          <w:rFonts w:ascii="Calibri" w:hAnsi="Calibri" w:cs="Calibri"/>
          <w:b/>
          <w:bCs/>
          <w:sz w:val="24"/>
          <w:szCs w:val="24"/>
        </w:rPr>
        <w:t xml:space="preserve"> </w:t>
      </w:r>
      <w:r w:rsidR="00A020F5">
        <w:rPr>
          <w:rFonts w:ascii="Calibri" w:hAnsi="Calibri" w:cs="Calibri"/>
          <w:b/>
          <w:bCs/>
          <w:sz w:val="24"/>
          <w:szCs w:val="24"/>
        </w:rPr>
        <w:t>assessment</w:t>
      </w:r>
      <w:r w:rsidR="006B3E8A">
        <w:rPr>
          <w:rFonts w:ascii="Calibri" w:hAnsi="Calibri" w:cs="Calibri"/>
          <w:b/>
          <w:bCs/>
          <w:sz w:val="24"/>
          <w:szCs w:val="24"/>
        </w:rPr>
        <w:t xml:space="preserve"> </w:t>
      </w:r>
      <w:r w:rsidR="00882E82">
        <w:rPr>
          <w:rFonts w:ascii="Calibri" w:hAnsi="Calibri" w:cs="Calibri"/>
          <w:b/>
          <w:bCs/>
          <w:sz w:val="24"/>
          <w:szCs w:val="24"/>
        </w:rPr>
        <w:t>based on</w:t>
      </w:r>
      <w:r w:rsidR="006B3E8A">
        <w:rPr>
          <w:rFonts w:ascii="Calibri" w:hAnsi="Calibri" w:cs="Calibri"/>
          <w:b/>
          <w:bCs/>
          <w:sz w:val="24"/>
          <w:szCs w:val="24"/>
        </w:rPr>
        <w:t xml:space="preserve"> </w:t>
      </w:r>
      <w:r>
        <w:rPr>
          <w:rFonts w:ascii="Calibri" w:hAnsi="Calibri" w:cs="Calibri"/>
          <w:b/>
          <w:bCs/>
          <w:sz w:val="24"/>
          <w:szCs w:val="24"/>
        </w:rPr>
        <w:t>sustainability and circularity metrics</w:t>
      </w:r>
    </w:p>
    <w:p w14:paraId="7D5C62BB" w14:textId="6B342B74" w:rsidR="00C67004" w:rsidRPr="00EC5E4B" w:rsidRDefault="00C67004" w:rsidP="00EC5E4B">
      <w:pPr>
        <w:spacing w:after="40" w:line="240" w:lineRule="auto"/>
        <w:rPr>
          <w:rFonts w:ascii="Calibri" w:hAnsi="Calibri" w:cs="Calibri"/>
          <w:b/>
          <w:bCs/>
          <w:i/>
          <w:iCs/>
        </w:rPr>
      </w:pPr>
      <w:r w:rsidRPr="00EC5E4B">
        <w:rPr>
          <w:rFonts w:ascii="Calibri" w:hAnsi="Calibri" w:cs="Calibri"/>
          <w:b/>
          <w:bCs/>
          <w:i/>
          <w:iCs/>
        </w:rPr>
        <w:t xml:space="preserve">Definition of </w:t>
      </w:r>
      <w:r w:rsidR="00420760" w:rsidRPr="00EC5E4B">
        <w:rPr>
          <w:rFonts w:ascii="Calibri" w:hAnsi="Calibri" w:cs="Calibri"/>
          <w:b/>
          <w:bCs/>
          <w:i/>
          <w:iCs/>
        </w:rPr>
        <w:t xml:space="preserve">reuse </w:t>
      </w:r>
      <w:r w:rsidRPr="00EC5E4B">
        <w:rPr>
          <w:rFonts w:ascii="Calibri" w:hAnsi="Calibri" w:cs="Calibri"/>
          <w:b/>
          <w:bCs/>
          <w:i/>
          <w:iCs/>
        </w:rPr>
        <w:t>scenarios</w:t>
      </w:r>
    </w:p>
    <w:p w14:paraId="4567C1B6" w14:textId="360B4196" w:rsidR="00301E73" w:rsidRDefault="582A1010" w:rsidP="00C27CD0">
      <w:pPr>
        <w:spacing w:after="40" w:line="240" w:lineRule="auto"/>
        <w:jc w:val="both"/>
        <w:rPr>
          <w:rFonts w:ascii="Calibri" w:hAnsi="Calibri" w:cs="Calibri"/>
        </w:rPr>
      </w:pPr>
      <w:r w:rsidRPr="003C19BB">
        <w:rPr>
          <w:rFonts w:ascii="Calibri" w:hAnsi="Calibri" w:cs="Calibri"/>
        </w:rPr>
        <w:t xml:space="preserve">Both BIM-based and expert assessments </w:t>
      </w:r>
      <w:r w:rsidR="51A0A1B7" w:rsidRPr="003C19BB">
        <w:rPr>
          <w:rFonts w:ascii="Calibri" w:hAnsi="Calibri" w:cs="Calibri"/>
        </w:rPr>
        <w:t>indicate</w:t>
      </w:r>
      <w:r w:rsidRPr="003C19BB">
        <w:rPr>
          <w:rFonts w:ascii="Calibri" w:hAnsi="Calibri" w:cs="Calibri"/>
        </w:rPr>
        <w:t xml:space="preserve"> that the building can be adapted into offices and serve as an extension of the </w:t>
      </w:r>
      <w:r w:rsidR="6F0ACBFC" w:rsidRPr="003C19BB">
        <w:rPr>
          <w:rFonts w:ascii="Calibri" w:hAnsi="Calibri" w:cs="Calibri"/>
        </w:rPr>
        <w:t>m</w:t>
      </w:r>
      <w:r w:rsidRPr="003C19BB">
        <w:rPr>
          <w:rFonts w:ascii="Calibri" w:hAnsi="Calibri" w:cs="Calibri"/>
        </w:rPr>
        <w:t xml:space="preserve">unicipality of Beckerich’s offices. The assessments also showed that </w:t>
      </w:r>
      <w:r w:rsidR="6CDEC99B" w:rsidRPr="003C19BB">
        <w:rPr>
          <w:rFonts w:ascii="Calibri" w:hAnsi="Calibri" w:cs="Calibri"/>
        </w:rPr>
        <w:t xml:space="preserve">while some building components are deteriorated and need to be replaced several </w:t>
      </w:r>
      <w:r w:rsidR="1CC1FF67" w:rsidRPr="003C19BB">
        <w:rPr>
          <w:rFonts w:ascii="Calibri" w:hAnsi="Calibri" w:cs="Calibri"/>
        </w:rPr>
        <w:t>others have</w:t>
      </w:r>
      <w:r w:rsidRPr="003C19BB">
        <w:rPr>
          <w:rFonts w:ascii="Calibri" w:hAnsi="Calibri" w:cs="Calibri"/>
        </w:rPr>
        <w:t xml:space="preserve"> a high reuse potential, such as the natural slate roofing, the wooden window frames, the wooden doors, etc. Based on these assessments</w:t>
      </w:r>
      <w:r w:rsidR="503D6923" w:rsidRPr="003C19BB">
        <w:rPr>
          <w:rFonts w:ascii="Calibri" w:hAnsi="Calibri" w:cs="Calibri"/>
        </w:rPr>
        <w:t xml:space="preserve"> </w:t>
      </w:r>
      <w:r w:rsidRPr="003C19BB">
        <w:rPr>
          <w:rFonts w:ascii="Calibri" w:hAnsi="Calibri" w:cs="Calibri"/>
        </w:rPr>
        <w:t>two scenarios were defined</w:t>
      </w:r>
      <w:r w:rsidR="55322CBF" w:rsidRPr="003C19BB">
        <w:rPr>
          <w:rFonts w:ascii="Calibri" w:hAnsi="Calibri" w:cs="Calibri"/>
        </w:rPr>
        <w:t xml:space="preserve"> for this study</w:t>
      </w:r>
      <w:r w:rsidR="4ED0BB31" w:rsidRPr="003C19BB">
        <w:rPr>
          <w:rFonts w:ascii="Calibri" w:hAnsi="Calibri" w:cs="Calibri"/>
        </w:rPr>
        <w:t xml:space="preserve"> taking a relevant </w:t>
      </w:r>
      <w:r w:rsidR="311AE754" w:rsidRPr="003C19BB">
        <w:rPr>
          <w:rFonts w:ascii="Calibri" w:hAnsi="Calibri" w:cs="Calibri"/>
        </w:rPr>
        <w:t xml:space="preserve">(derived from the analysis) </w:t>
      </w:r>
      <w:r w:rsidR="4ED0BB31" w:rsidRPr="003C19BB">
        <w:rPr>
          <w:rFonts w:ascii="Calibri" w:hAnsi="Calibri" w:cs="Calibri"/>
        </w:rPr>
        <w:t>subset of these building components</w:t>
      </w:r>
      <w:r w:rsidR="00045384" w:rsidRPr="003C19BB">
        <w:rPr>
          <w:rFonts w:ascii="Calibri" w:hAnsi="Calibri" w:cs="Calibri"/>
        </w:rPr>
        <w:t>:</w:t>
      </w:r>
      <w:r w:rsidR="03B918F0" w:rsidRPr="003C19BB">
        <w:rPr>
          <w:rFonts w:ascii="Calibri" w:hAnsi="Calibri" w:cs="Calibri"/>
        </w:rPr>
        <w:t xml:space="preserve"> </w:t>
      </w:r>
      <w:r w:rsidR="00045384" w:rsidRPr="003C19BB">
        <w:rPr>
          <w:rFonts w:ascii="Calibri" w:hAnsi="Calibri" w:cs="Calibri"/>
        </w:rPr>
        <w:t>f</w:t>
      </w:r>
      <w:r w:rsidR="03B918F0" w:rsidRPr="003C19BB">
        <w:rPr>
          <w:rFonts w:ascii="Calibri" w:hAnsi="Calibri" w:cs="Calibri"/>
        </w:rPr>
        <w:t>irst,</w:t>
      </w:r>
      <w:r w:rsidRPr="003C19BB">
        <w:rPr>
          <w:rFonts w:ascii="Calibri" w:hAnsi="Calibri" w:cs="Calibri"/>
        </w:rPr>
        <w:t xml:space="preserve"> a </w:t>
      </w:r>
      <w:r w:rsidR="00675752">
        <w:rPr>
          <w:rFonts w:ascii="Calibri" w:hAnsi="Calibri" w:cs="Calibri"/>
        </w:rPr>
        <w:t>B</w:t>
      </w:r>
      <w:r w:rsidR="64ECC2B9" w:rsidRPr="003C19BB">
        <w:rPr>
          <w:rFonts w:ascii="Calibri" w:hAnsi="Calibri" w:cs="Calibri"/>
        </w:rPr>
        <w:t>usiness-</w:t>
      </w:r>
      <w:r w:rsidR="00675752">
        <w:rPr>
          <w:rFonts w:ascii="Calibri" w:hAnsi="Calibri" w:cs="Calibri"/>
        </w:rPr>
        <w:t>a</w:t>
      </w:r>
      <w:r w:rsidR="64ECC2B9" w:rsidRPr="003C19BB">
        <w:rPr>
          <w:rFonts w:ascii="Calibri" w:hAnsi="Calibri" w:cs="Calibri"/>
        </w:rPr>
        <w:t>s-</w:t>
      </w:r>
      <w:r w:rsidR="00675752">
        <w:rPr>
          <w:rFonts w:ascii="Calibri" w:hAnsi="Calibri" w:cs="Calibri"/>
        </w:rPr>
        <w:t>u</w:t>
      </w:r>
      <w:r w:rsidR="64ECC2B9" w:rsidRPr="003C19BB">
        <w:rPr>
          <w:rFonts w:ascii="Calibri" w:hAnsi="Calibri" w:cs="Calibri"/>
        </w:rPr>
        <w:t>sual</w:t>
      </w:r>
      <w:r w:rsidRPr="003C19BB">
        <w:rPr>
          <w:rFonts w:ascii="Calibri" w:hAnsi="Calibri" w:cs="Calibri"/>
        </w:rPr>
        <w:t xml:space="preserve"> scenario </w:t>
      </w:r>
      <w:r w:rsidR="30F3DDDB" w:rsidRPr="003C19BB">
        <w:rPr>
          <w:rFonts w:ascii="Calibri" w:hAnsi="Calibri" w:cs="Calibri"/>
        </w:rPr>
        <w:t xml:space="preserve">(BAU) </w:t>
      </w:r>
      <w:r w:rsidRPr="003C19BB">
        <w:rPr>
          <w:rFonts w:ascii="Calibri" w:hAnsi="Calibri" w:cs="Calibri"/>
        </w:rPr>
        <w:t xml:space="preserve">where </w:t>
      </w:r>
      <w:r w:rsidR="49B6F121" w:rsidRPr="003C19BB">
        <w:rPr>
          <w:rFonts w:ascii="Calibri" w:hAnsi="Calibri" w:cs="Calibri"/>
        </w:rPr>
        <w:t>durin</w:t>
      </w:r>
      <w:r w:rsidR="22D00A5E" w:rsidRPr="003C19BB">
        <w:rPr>
          <w:rFonts w:ascii="Calibri" w:hAnsi="Calibri" w:cs="Calibri"/>
        </w:rPr>
        <w:t xml:space="preserve">g the renovation these building components are demolished, disposed of and </w:t>
      </w:r>
      <w:r w:rsidR="2C2743AF" w:rsidRPr="003C19BB">
        <w:rPr>
          <w:rFonts w:ascii="Calibri" w:hAnsi="Calibri" w:cs="Calibri"/>
        </w:rPr>
        <w:t>brand-new products replace them</w:t>
      </w:r>
      <w:r w:rsidR="00045384" w:rsidRPr="003C19BB">
        <w:rPr>
          <w:rFonts w:ascii="Calibri" w:hAnsi="Calibri" w:cs="Calibri"/>
        </w:rPr>
        <w:t>; s</w:t>
      </w:r>
      <w:r w:rsidR="2C2743AF" w:rsidRPr="003C19BB">
        <w:rPr>
          <w:rFonts w:ascii="Calibri" w:hAnsi="Calibri" w:cs="Calibri"/>
        </w:rPr>
        <w:t xml:space="preserve">econd, a </w:t>
      </w:r>
      <w:r w:rsidR="580CC351" w:rsidRPr="003C19BB">
        <w:rPr>
          <w:rFonts w:ascii="Calibri" w:hAnsi="Calibri" w:cs="Calibri"/>
        </w:rPr>
        <w:t>scenario</w:t>
      </w:r>
      <w:r w:rsidR="2C2743AF" w:rsidRPr="003C19BB">
        <w:rPr>
          <w:rFonts w:ascii="Calibri" w:hAnsi="Calibri" w:cs="Calibri"/>
        </w:rPr>
        <w:t xml:space="preserve"> that considers the circular potential of the building component</w:t>
      </w:r>
      <w:r w:rsidR="00187EB0">
        <w:rPr>
          <w:rFonts w:ascii="Calibri" w:hAnsi="Calibri" w:cs="Calibri"/>
        </w:rPr>
        <w:t>s</w:t>
      </w:r>
      <w:r w:rsidR="2C2743AF" w:rsidRPr="003C19BB">
        <w:rPr>
          <w:rFonts w:ascii="Calibri" w:hAnsi="Calibri" w:cs="Calibri"/>
        </w:rPr>
        <w:t xml:space="preserve"> </w:t>
      </w:r>
      <w:r w:rsidR="5826F1E8" w:rsidRPr="003C19BB">
        <w:rPr>
          <w:rFonts w:ascii="Calibri" w:hAnsi="Calibri" w:cs="Calibri"/>
        </w:rPr>
        <w:t xml:space="preserve">(CIR) </w:t>
      </w:r>
      <w:r w:rsidR="2C2743AF" w:rsidRPr="003C19BB">
        <w:rPr>
          <w:rFonts w:ascii="Calibri" w:hAnsi="Calibri" w:cs="Calibri"/>
        </w:rPr>
        <w:t xml:space="preserve">and reuses </w:t>
      </w:r>
      <w:r w:rsidR="00187EB0">
        <w:rPr>
          <w:rFonts w:ascii="Calibri" w:hAnsi="Calibri" w:cs="Calibri"/>
        </w:rPr>
        <w:t xml:space="preserve">part of </w:t>
      </w:r>
      <w:r w:rsidR="2C2743AF" w:rsidRPr="003C19BB">
        <w:rPr>
          <w:rFonts w:ascii="Calibri" w:hAnsi="Calibri" w:cs="Calibri"/>
        </w:rPr>
        <w:t>t</w:t>
      </w:r>
      <w:r w:rsidR="2855EB5F" w:rsidRPr="003C19BB">
        <w:rPr>
          <w:rFonts w:ascii="Calibri" w:hAnsi="Calibri" w:cs="Calibri"/>
        </w:rPr>
        <w:t>hem on</w:t>
      </w:r>
      <w:r w:rsidR="003F7C05">
        <w:rPr>
          <w:rFonts w:ascii="Calibri" w:hAnsi="Calibri" w:cs="Calibri"/>
        </w:rPr>
        <w:t>-</w:t>
      </w:r>
      <w:r w:rsidR="2855EB5F" w:rsidRPr="003C19BB">
        <w:rPr>
          <w:rFonts w:ascii="Calibri" w:hAnsi="Calibri" w:cs="Calibri"/>
        </w:rPr>
        <w:t>site during the renovation</w:t>
      </w:r>
      <w:r w:rsidR="008D6FDB">
        <w:rPr>
          <w:rFonts w:ascii="Calibri" w:hAnsi="Calibri" w:cs="Calibri"/>
        </w:rPr>
        <w:t xml:space="preserve"> </w:t>
      </w:r>
      <w:r w:rsidR="008D6FDB" w:rsidRPr="003C19BB">
        <w:rPr>
          <w:rFonts w:ascii="Calibri" w:hAnsi="Calibri" w:cs="Calibri"/>
        </w:rPr>
        <w:t xml:space="preserve">(See </w:t>
      </w:r>
      <w:r w:rsidR="008D6FDB" w:rsidRPr="00DB5026">
        <w:rPr>
          <w:rFonts w:ascii="Calibri" w:hAnsi="Calibri" w:cs="Calibri"/>
        </w:rPr>
        <w:t>Table 1</w:t>
      </w:r>
      <w:r w:rsidR="008D6FDB" w:rsidRPr="003C19BB">
        <w:rPr>
          <w:rFonts w:ascii="Calibri" w:hAnsi="Calibri" w:cs="Calibri"/>
        </w:rPr>
        <w:t>)</w:t>
      </w:r>
      <w:r w:rsidR="2855EB5F" w:rsidRPr="003C19BB">
        <w:rPr>
          <w:rFonts w:ascii="Calibri" w:hAnsi="Calibri" w:cs="Calibri"/>
        </w:rPr>
        <w:t xml:space="preserve">. </w:t>
      </w:r>
    </w:p>
    <w:p w14:paraId="31538C2C" w14:textId="77777777" w:rsidR="003F0255" w:rsidRPr="003C19BB" w:rsidRDefault="003F0255" w:rsidP="00C27CD0">
      <w:pPr>
        <w:spacing w:after="40" w:line="240" w:lineRule="auto"/>
        <w:jc w:val="both"/>
        <w:rPr>
          <w:rFonts w:ascii="Calibri" w:hAnsi="Calibri" w:cs="Calibri"/>
          <w:lang w:val="en-US"/>
        </w:rPr>
      </w:pPr>
    </w:p>
    <w:p w14:paraId="1CD077D2" w14:textId="2007C678" w:rsidR="00301E73" w:rsidRPr="00301E73" w:rsidRDefault="00301E73" w:rsidP="00301E73">
      <w:pPr>
        <w:pStyle w:val="Caption"/>
        <w:rPr>
          <w:rFonts w:ascii="Calibri" w:hAnsi="Calibri" w:cs="Calibri"/>
          <w:sz w:val="24"/>
          <w:szCs w:val="24"/>
        </w:rPr>
      </w:pPr>
      <w:bookmarkStart w:id="3" w:name="_Ref233280353"/>
      <w:r w:rsidRPr="00FF4D54">
        <w:rPr>
          <w:rFonts w:ascii="Calibri" w:hAnsi="Calibri" w:cs="Calibri"/>
          <w:sz w:val="20"/>
          <w:szCs w:val="20"/>
        </w:rPr>
        <w:t xml:space="preserve">Table </w:t>
      </w:r>
      <w:r w:rsidR="00DB5026">
        <w:rPr>
          <w:rFonts w:ascii="Calibri" w:hAnsi="Calibri" w:cs="Calibri"/>
          <w:noProof/>
          <w:sz w:val="20"/>
          <w:szCs w:val="20"/>
        </w:rPr>
        <w:t>1</w:t>
      </w:r>
      <w:bookmarkEnd w:id="3"/>
      <w:r w:rsidRPr="00FF4D54">
        <w:rPr>
          <w:rFonts w:ascii="Calibri" w:hAnsi="Calibri" w:cs="Calibri"/>
          <w:sz w:val="20"/>
          <w:szCs w:val="20"/>
        </w:rPr>
        <w:t>.</w:t>
      </w:r>
      <w:r w:rsidR="00C157D1" w:rsidRPr="00FF4D54">
        <w:rPr>
          <w:rFonts w:ascii="Calibri" w:hAnsi="Calibri" w:cs="Calibri"/>
          <w:sz w:val="20"/>
          <w:szCs w:val="20"/>
        </w:rPr>
        <w:t xml:space="preserve"> </w:t>
      </w:r>
      <w:r w:rsidR="008B7A90" w:rsidRPr="00FF4D54">
        <w:rPr>
          <w:rFonts w:ascii="Calibri" w:hAnsi="Calibri" w:cs="Calibri"/>
          <w:sz w:val="20"/>
          <w:szCs w:val="20"/>
        </w:rPr>
        <w:t xml:space="preserve">Data about </w:t>
      </w:r>
      <w:r w:rsidR="003201A5" w:rsidRPr="00FF4D54">
        <w:rPr>
          <w:rFonts w:ascii="Calibri" w:hAnsi="Calibri" w:cs="Calibri"/>
          <w:sz w:val="20"/>
          <w:szCs w:val="20"/>
        </w:rPr>
        <w:t xml:space="preserve">the </w:t>
      </w:r>
      <w:r w:rsidR="00675752">
        <w:rPr>
          <w:rFonts w:ascii="Calibri" w:hAnsi="Calibri" w:cs="Calibri"/>
          <w:sz w:val="20"/>
          <w:szCs w:val="20"/>
        </w:rPr>
        <w:t>B</w:t>
      </w:r>
      <w:r w:rsidR="00A55033" w:rsidRPr="00FF4D54">
        <w:rPr>
          <w:rFonts w:ascii="Calibri" w:hAnsi="Calibri" w:cs="Calibri"/>
          <w:sz w:val="20"/>
          <w:szCs w:val="20"/>
        </w:rPr>
        <w:t>usiness</w:t>
      </w:r>
      <w:r w:rsidR="00A55033" w:rsidRPr="008B7A90">
        <w:rPr>
          <w:rFonts w:ascii="Calibri" w:hAnsi="Calibri" w:cs="Calibri"/>
        </w:rPr>
        <w:t>-</w:t>
      </w:r>
      <w:r w:rsidR="00675752">
        <w:rPr>
          <w:rFonts w:ascii="Calibri" w:hAnsi="Calibri" w:cs="Calibri"/>
        </w:rPr>
        <w:t>a</w:t>
      </w:r>
      <w:r w:rsidR="00A55033" w:rsidRPr="008B7A90">
        <w:rPr>
          <w:rFonts w:ascii="Calibri" w:hAnsi="Calibri" w:cs="Calibri"/>
        </w:rPr>
        <w:t>s-</w:t>
      </w:r>
      <w:r w:rsidR="00675752">
        <w:rPr>
          <w:rFonts w:ascii="Calibri" w:hAnsi="Calibri" w:cs="Calibri"/>
        </w:rPr>
        <w:t>u</w:t>
      </w:r>
      <w:r w:rsidR="00A55033" w:rsidRPr="008B7A90">
        <w:rPr>
          <w:rFonts w:ascii="Calibri" w:hAnsi="Calibri" w:cs="Calibri"/>
        </w:rPr>
        <w:t>sual</w:t>
      </w:r>
      <w:r w:rsidR="008B7A90" w:rsidRPr="008B7A90">
        <w:rPr>
          <w:rFonts w:ascii="Calibri" w:hAnsi="Calibri" w:cs="Calibri"/>
        </w:rPr>
        <w:t xml:space="preserve"> scenario</w:t>
      </w:r>
      <w:r w:rsidR="00A55033" w:rsidRPr="008B7A90">
        <w:rPr>
          <w:rFonts w:ascii="Calibri" w:hAnsi="Calibri" w:cs="Calibri"/>
        </w:rPr>
        <w:t xml:space="preserve"> (</w:t>
      </w:r>
      <w:r w:rsidR="003201A5" w:rsidRPr="008B7A90">
        <w:rPr>
          <w:rFonts w:ascii="Calibri" w:hAnsi="Calibri" w:cs="Calibri"/>
        </w:rPr>
        <w:t>BAU</w:t>
      </w:r>
      <w:r w:rsidR="00A55033" w:rsidRPr="008B7A90">
        <w:rPr>
          <w:rFonts w:ascii="Calibri" w:hAnsi="Calibri" w:cs="Calibri"/>
        </w:rPr>
        <w:t>)</w:t>
      </w:r>
      <w:r w:rsidR="003201A5" w:rsidRPr="008B7A90">
        <w:rPr>
          <w:rFonts w:ascii="Calibri" w:hAnsi="Calibri" w:cs="Calibri"/>
        </w:rPr>
        <w:t xml:space="preserve"> &amp; </w:t>
      </w:r>
      <w:r w:rsidR="008B7A90">
        <w:rPr>
          <w:rFonts w:ascii="Calibri" w:hAnsi="Calibri" w:cs="Calibri"/>
        </w:rPr>
        <w:t xml:space="preserve">incorporating a </w:t>
      </w:r>
      <w:r w:rsidR="00675752">
        <w:rPr>
          <w:rFonts w:ascii="Calibri" w:hAnsi="Calibri" w:cs="Calibri"/>
        </w:rPr>
        <w:t>C</w:t>
      </w:r>
      <w:r w:rsidR="008B7A90">
        <w:rPr>
          <w:rFonts w:ascii="Calibri" w:hAnsi="Calibri" w:cs="Calibri"/>
        </w:rPr>
        <w:t xml:space="preserve">ircular </w:t>
      </w:r>
      <w:r w:rsidR="003201A5" w:rsidRPr="008B7A90">
        <w:rPr>
          <w:rFonts w:ascii="Calibri" w:hAnsi="Calibri" w:cs="Calibri"/>
        </w:rPr>
        <w:t>scenario</w:t>
      </w:r>
      <w:r w:rsidR="008B7A90">
        <w:t xml:space="preserve"> (CIR)</w:t>
      </w:r>
    </w:p>
    <w:tbl>
      <w:tblPr>
        <w:tblStyle w:val="PlainTable2"/>
        <w:tblW w:w="9000" w:type="dxa"/>
        <w:tblLook w:val="06A0" w:firstRow="1" w:lastRow="0" w:firstColumn="1" w:lastColumn="0" w:noHBand="1" w:noVBand="1"/>
      </w:tblPr>
      <w:tblGrid>
        <w:gridCol w:w="2970"/>
        <w:gridCol w:w="1260"/>
        <w:gridCol w:w="2340"/>
        <w:gridCol w:w="2430"/>
      </w:tblGrid>
      <w:tr w:rsidR="7D16D2F8" w:rsidRPr="007C11C6" w14:paraId="532F8EFC" w14:textId="77777777" w:rsidTr="00B85CE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0" w:type="dxa"/>
          </w:tcPr>
          <w:p w14:paraId="02CCED4C" w14:textId="2D4996D7" w:rsidR="7D16D2F8" w:rsidRPr="007C11C6" w:rsidRDefault="2F73A62B" w:rsidP="00301E73">
            <w:pPr>
              <w:pStyle w:val="ListParagraph"/>
              <w:ind w:left="0"/>
              <w:rPr>
                <w:rFonts w:ascii="Calibri" w:hAnsi="Calibri" w:cs="Calibri"/>
                <w:sz w:val="20"/>
                <w:szCs w:val="20"/>
              </w:rPr>
            </w:pPr>
            <w:r w:rsidRPr="007C11C6">
              <w:rPr>
                <w:rFonts w:ascii="Calibri" w:hAnsi="Calibri" w:cs="Calibri"/>
                <w:sz w:val="20"/>
                <w:szCs w:val="20"/>
              </w:rPr>
              <w:t>Existing Building components</w:t>
            </w:r>
          </w:p>
        </w:tc>
        <w:tc>
          <w:tcPr>
            <w:tcW w:w="1260" w:type="dxa"/>
          </w:tcPr>
          <w:p w14:paraId="50A11A0D" w14:textId="36F5BFCC" w:rsidR="2ACE25A5" w:rsidRPr="007C11C6" w:rsidRDefault="2ACE25A5" w:rsidP="00F00998">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7C11C6">
              <w:rPr>
                <w:rFonts w:ascii="Calibri" w:hAnsi="Calibri" w:cs="Calibri"/>
                <w:sz w:val="20"/>
                <w:szCs w:val="20"/>
              </w:rPr>
              <w:t>Mass (kg)</w:t>
            </w:r>
          </w:p>
        </w:tc>
        <w:tc>
          <w:tcPr>
            <w:tcW w:w="2340" w:type="dxa"/>
          </w:tcPr>
          <w:p w14:paraId="1A093A74" w14:textId="05FA60B1" w:rsidR="538B8A78" w:rsidRPr="007C11C6" w:rsidRDefault="538B8A78" w:rsidP="00F00998">
            <w:pPr>
              <w:pStyle w:val="ListParagraph"/>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7C11C6">
              <w:rPr>
                <w:rFonts w:ascii="Calibri" w:hAnsi="Calibri" w:cs="Calibri"/>
                <w:sz w:val="20"/>
                <w:szCs w:val="20"/>
              </w:rPr>
              <w:t>BAU</w:t>
            </w:r>
          </w:p>
        </w:tc>
        <w:tc>
          <w:tcPr>
            <w:tcW w:w="2430" w:type="dxa"/>
          </w:tcPr>
          <w:p w14:paraId="1BD37517" w14:textId="18591FC1" w:rsidR="538B8A78" w:rsidRPr="007C11C6" w:rsidRDefault="538B8A78" w:rsidP="00F00998">
            <w:pPr>
              <w:pStyle w:val="ListParagraph"/>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7C11C6">
              <w:rPr>
                <w:rFonts w:ascii="Calibri" w:hAnsi="Calibri" w:cs="Calibri"/>
                <w:sz w:val="20"/>
                <w:szCs w:val="20"/>
              </w:rPr>
              <w:t>CIR</w:t>
            </w:r>
          </w:p>
        </w:tc>
      </w:tr>
      <w:tr w:rsidR="7D16D2F8" w:rsidRPr="007C11C6" w14:paraId="237D6492" w14:textId="77777777" w:rsidTr="00B85CEC">
        <w:trPr>
          <w:trHeight w:val="300"/>
        </w:trPr>
        <w:tc>
          <w:tcPr>
            <w:cnfStyle w:val="001000000000" w:firstRow="0" w:lastRow="0" w:firstColumn="1" w:lastColumn="0" w:oddVBand="0" w:evenVBand="0" w:oddHBand="0" w:evenHBand="0" w:firstRowFirstColumn="0" w:firstRowLastColumn="0" w:lastRowFirstColumn="0" w:lastRowLastColumn="0"/>
            <w:tcW w:w="2970" w:type="dxa"/>
          </w:tcPr>
          <w:p w14:paraId="0BDA1BEB" w14:textId="6934BB16" w:rsidR="538B8A78" w:rsidRPr="007C11C6" w:rsidRDefault="538B8A78" w:rsidP="00301E73">
            <w:pPr>
              <w:pStyle w:val="ListParagraph"/>
              <w:ind w:left="0"/>
              <w:rPr>
                <w:rFonts w:ascii="Calibri" w:hAnsi="Calibri" w:cs="Calibri"/>
                <w:b w:val="0"/>
                <w:bCs w:val="0"/>
                <w:sz w:val="20"/>
                <w:szCs w:val="20"/>
              </w:rPr>
            </w:pPr>
            <w:r w:rsidRPr="007C11C6">
              <w:rPr>
                <w:rFonts w:ascii="Calibri" w:hAnsi="Calibri" w:cs="Calibri"/>
                <w:b w:val="0"/>
                <w:bCs w:val="0"/>
                <w:sz w:val="20"/>
                <w:szCs w:val="20"/>
              </w:rPr>
              <w:t>Roof – Natural slate tiles</w:t>
            </w:r>
          </w:p>
        </w:tc>
        <w:tc>
          <w:tcPr>
            <w:tcW w:w="1260" w:type="dxa"/>
          </w:tcPr>
          <w:p w14:paraId="32228E2A" w14:textId="79AF6514" w:rsidR="12365EC4" w:rsidRPr="007C11C6" w:rsidRDefault="12365EC4" w:rsidP="00F00998">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C11C6">
              <w:rPr>
                <w:rFonts w:ascii="Calibri" w:hAnsi="Calibri" w:cs="Calibri"/>
                <w:sz w:val="20"/>
                <w:szCs w:val="20"/>
              </w:rPr>
              <w:t>12611</w:t>
            </w:r>
          </w:p>
        </w:tc>
        <w:tc>
          <w:tcPr>
            <w:tcW w:w="2340" w:type="dxa"/>
          </w:tcPr>
          <w:p w14:paraId="01DE41DC" w14:textId="7FE48030" w:rsidR="7D16D2F8" w:rsidRPr="007C11C6" w:rsidRDefault="221BEFE3" w:rsidP="00F00998">
            <w:pPr>
              <w:pStyle w:val="ListParagrap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C11C6">
              <w:rPr>
                <w:rFonts w:ascii="Calibri" w:hAnsi="Calibri" w:cs="Calibri"/>
                <w:sz w:val="20"/>
                <w:szCs w:val="20"/>
              </w:rPr>
              <w:t>New product</w:t>
            </w:r>
          </w:p>
        </w:tc>
        <w:tc>
          <w:tcPr>
            <w:tcW w:w="2430" w:type="dxa"/>
          </w:tcPr>
          <w:p w14:paraId="11CB14C8" w14:textId="7DDD8C0F" w:rsidR="7D16D2F8" w:rsidRPr="007C11C6" w:rsidRDefault="16C5D818" w:rsidP="00F00998">
            <w:pPr>
              <w:pStyle w:val="ListParagrap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C11C6">
              <w:rPr>
                <w:rFonts w:ascii="Calibri" w:hAnsi="Calibri" w:cs="Calibri"/>
                <w:sz w:val="20"/>
                <w:szCs w:val="20"/>
              </w:rPr>
              <w:t>Reuse</w:t>
            </w:r>
          </w:p>
        </w:tc>
      </w:tr>
      <w:tr w:rsidR="7D16D2F8" w:rsidRPr="007C11C6" w14:paraId="3B9540AB" w14:textId="77777777" w:rsidTr="00B85CEC">
        <w:trPr>
          <w:trHeight w:val="300"/>
        </w:trPr>
        <w:tc>
          <w:tcPr>
            <w:cnfStyle w:val="001000000000" w:firstRow="0" w:lastRow="0" w:firstColumn="1" w:lastColumn="0" w:oddVBand="0" w:evenVBand="0" w:oddHBand="0" w:evenHBand="0" w:firstRowFirstColumn="0" w:firstRowLastColumn="0" w:lastRowFirstColumn="0" w:lastRowLastColumn="0"/>
            <w:tcW w:w="2970" w:type="dxa"/>
          </w:tcPr>
          <w:p w14:paraId="163776FB" w14:textId="19C26711" w:rsidR="538B8A78" w:rsidRPr="007C11C6" w:rsidRDefault="538B8A78" w:rsidP="358E6E76">
            <w:pPr>
              <w:rPr>
                <w:rFonts w:ascii="Calibri" w:hAnsi="Calibri" w:cs="Calibri"/>
                <w:b w:val="0"/>
                <w:bCs w:val="0"/>
                <w:sz w:val="20"/>
                <w:szCs w:val="20"/>
              </w:rPr>
            </w:pPr>
            <w:r w:rsidRPr="007C11C6">
              <w:rPr>
                <w:rFonts w:ascii="Calibri" w:hAnsi="Calibri" w:cs="Calibri"/>
                <w:b w:val="0"/>
                <w:bCs w:val="0"/>
                <w:sz w:val="20"/>
                <w:szCs w:val="20"/>
              </w:rPr>
              <w:t>Floo</w:t>
            </w:r>
            <w:r w:rsidR="6DDF8BE1" w:rsidRPr="007C11C6">
              <w:rPr>
                <w:rFonts w:ascii="Calibri" w:hAnsi="Calibri" w:cs="Calibri"/>
                <w:b w:val="0"/>
                <w:bCs w:val="0"/>
                <w:sz w:val="20"/>
                <w:szCs w:val="20"/>
              </w:rPr>
              <w:t>r- Ceramic tiles</w:t>
            </w:r>
          </w:p>
        </w:tc>
        <w:tc>
          <w:tcPr>
            <w:tcW w:w="1260" w:type="dxa"/>
          </w:tcPr>
          <w:p w14:paraId="3386AE3A" w14:textId="265C9A0F" w:rsidR="4212758E" w:rsidRPr="007C11C6" w:rsidRDefault="4212758E" w:rsidP="00F00998">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C11C6">
              <w:rPr>
                <w:rFonts w:ascii="Calibri" w:hAnsi="Calibri" w:cs="Calibri"/>
                <w:sz w:val="20"/>
                <w:szCs w:val="20"/>
              </w:rPr>
              <w:t>232</w:t>
            </w:r>
            <w:r w:rsidR="00FD6B0B">
              <w:rPr>
                <w:rFonts w:ascii="Calibri" w:hAnsi="Calibri" w:cs="Calibri"/>
                <w:sz w:val="20"/>
                <w:szCs w:val="20"/>
              </w:rPr>
              <w:t>2</w:t>
            </w:r>
          </w:p>
        </w:tc>
        <w:tc>
          <w:tcPr>
            <w:tcW w:w="2340" w:type="dxa"/>
          </w:tcPr>
          <w:p w14:paraId="11B6F51B" w14:textId="241E7046" w:rsidR="7D16D2F8" w:rsidRPr="007C11C6" w:rsidRDefault="667559AE" w:rsidP="00F00998">
            <w:pPr>
              <w:pStyle w:val="ListParagrap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C11C6">
              <w:rPr>
                <w:rFonts w:ascii="Calibri" w:hAnsi="Calibri" w:cs="Calibri"/>
                <w:sz w:val="20"/>
                <w:szCs w:val="20"/>
              </w:rPr>
              <w:t>New product</w:t>
            </w:r>
          </w:p>
        </w:tc>
        <w:tc>
          <w:tcPr>
            <w:tcW w:w="2430" w:type="dxa"/>
          </w:tcPr>
          <w:p w14:paraId="0A1A5FEB" w14:textId="1BF54B6A" w:rsidR="7D16D2F8" w:rsidRPr="007C11C6" w:rsidRDefault="217A6AE3" w:rsidP="00F00998">
            <w:pPr>
              <w:pStyle w:val="ListParagrap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C11C6">
              <w:rPr>
                <w:rFonts w:ascii="Calibri" w:hAnsi="Calibri" w:cs="Calibri"/>
                <w:sz w:val="20"/>
                <w:szCs w:val="20"/>
              </w:rPr>
              <w:t>New product</w:t>
            </w:r>
          </w:p>
        </w:tc>
      </w:tr>
      <w:tr w:rsidR="440C77D8" w:rsidRPr="007C11C6" w14:paraId="1F9ABC17" w14:textId="77777777" w:rsidTr="00B85CEC">
        <w:trPr>
          <w:trHeight w:val="300"/>
        </w:trPr>
        <w:tc>
          <w:tcPr>
            <w:cnfStyle w:val="001000000000" w:firstRow="0" w:lastRow="0" w:firstColumn="1" w:lastColumn="0" w:oddVBand="0" w:evenVBand="0" w:oddHBand="0" w:evenHBand="0" w:firstRowFirstColumn="0" w:firstRowLastColumn="0" w:lastRowFirstColumn="0" w:lastRowLastColumn="0"/>
            <w:tcW w:w="2970" w:type="dxa"/>
          </w:tcPr>
          <w:p w14:paraId="7093AE75" w14:textId="458DC749" w:rsidR="6DDF8BE1" w:rsidRPr="007C11C6" w:rsidRDefault="6DDF8BE1" w:rsidP="358E6E76">
            <w:pPr>
              <w:rPr>
                <w:rFonts w:ascii="Calibri" w:hAnsi="Calibri" w:cs="Calibri"/>
                <w:b w:val="0"/>
                <w:bCs w:val="0"/>
                <w:sz w:val="20"/>
                <w:szCs w:val="20"/>
              </w:rPr>
            </w:pPr>
            <w:r w:rsidRPr="007C11C6">
              <w:rPr>
                <w:rFonts w:ascii="Calibri" w:hAnsi="Calibri" w:cs="Calibri"/>
                <w:b w:val="0"/>
                <w:bCs w:val="0"/>
                <w:sz w:val="20"/>
                <w:szCs w:val="20"/>
              </w:rPr>
              <w:t>Floor – Vinyl surfaces</w:t>
            </w:r>
          </w:p>
        </w:tc>
        <w:tc>
          <w:tcPr>
            <w:tcW w:w="1260" w:type="dxa"/>
          </w:tcPr>
          <w:p w14:paraId="22B5118A" w14:textId="22136A13" w:rsidR="268E800A" w:rsidRPr="007C11C6" w:rsidRDefault="268E800A" w:rsidP="00F00998">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C11C6">
              <w:rPr>
                <w:rFonts w:ascii="Calibri" w:hAnsi="Calibri" w:cs="Calibri"/>
                <w:sz w:val="20"/>
                <w:szCs w:val="20"/>
              </w:rPr>
              <w:t>1316</w:t>
            </w:r>
          </w:p>
        </w:tc>
        <w:tc>
          <w:tcPr>
            <w:tcW w:w="2340" w:type="dxa"/>
          </w:tcPr>
          <w:p w14:paraId="40EF826E" w14:textId="07B2B6CF" w:rsidR="0468DEC8" w:rsidRPr="007C11C6" w:rsidRDefault="0468DEC8" w:rsidP="00F00998">
            <w:pPr>
              <w:pStyle w:val="ListParagrap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C11C6">
              <w:rPr>
                <w:rFonts w:ascii="Calibri" w:hAnsi="Calibri" w:cs="Calibri"/>
                <w:sz w:val="20"/>
                <w:szCs w:val="20"/>
              </w:rPr>
              <w:t>New product</w:t>
            </w:r>
          </w:p>
        </w:tc>
        <w:tc>
          <w:tcPr>
            <w:tcW w:w="2430" w:type="dxa"/>
          </w:tcPr>
          <w:p w14:paraId="06A5F29D" w14:textId="530B6770" w:rsidR="440C77D8" w:rsidRPr="007C11C6" w:rsidRDefault="228585DF" w:rsidP="00F00998">
            <w:pPr>
              <w:pStyle w:val="ListParagrap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C11C6">
              <w:rPr>
                <w:rFonts w:ascii="Calibri" w:hAnsi="Calibri" w:cs="Calibri"/>
                <w:sz w:val="20"/>
                <w:szCs w:val="20"/>
              </w:rPr>
              <w:t>New product</w:t>
            </w:r>
          </w:p>
        </w:tc>
      </w:tr>
      <w:tr w:rsidR="440C77D8" w:rsidRPr="007C11C6" w14:paraId="566AEAD9" w14:textId="77777777" w:rsidTr="00B85CEC">
        <w:trPr>
          <w:trHeight w:val="300"/>
        </w:trPr>
        <w:tc>
          <w:tcPr>
            <w:cnfStyle w:val="001000000000" w:firstRow="0" w:lastRow="0" w:firstColumn="1" w:lastColumn="0" w:oddVBand="0" w:evenVBand="0" w:oddHBand="0" w:evenHBand="0" w:firstRowFirstColumn="0" w:firstRowLastColumn="0" w:lastRowFirstColumn="0" w:lastRowLastColumn="0"/>
            <w:tcW w:w="2970" w:type="dxa"/>
          </w:tcPr>
          <w:p w14:paraId="1C083BC9" w14:textId="7E4679B9" w:rsidR="6DDF8BE1" w:rsidRPr="007C11C6" w:rsidRDefault="6DDF8BE1" w:rsidP="358E6E76">
            <w:pPr>
              <w:rPr>
                <w:rFonts w:ascii="Calibri" w:hAnsi="Calibri" w:cs="Calibri"/>
                <w:b w:val="0"/>
                <w:bCs w:val="0"/>
                <w:sz w:val="20"/>
                <w:szCs w:val="20"/>
              </w:rPr>
            </w:pPr>
            <w:r w:rsidRPr="007C11C6">
              <w:rPr>
                <w:rFonts w:ascii="Calibri" w:hAnsi="Calibri" w:cs="Calibri"/>
                <w:b w:val="0"/>
                <w:bCs w:val="0"/>
                <w:sz w:val="20"/>
                <w:szCs w:val="20"/>
              </w:rPr>
              <w:t>Doors – Internal, wood</w:t>
            </w:r>
          </w:p>
        </w:tc>
        <w:tc>
          <w:tcPr>
            <w:tcW w:w="1260" w:type="dxa"/>
          </w:tcPr>
          <w:p w14:paraId="3729540C" w14:textId="12237DD1" w:rsidR="20E1D298" w:rsidRPr="007C11C6" w:rsidRDefault="20E1D298" w:rsidP="00F00998">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C11C6">
              <w:rPr>
                <w:rFonts w:ascii="Calibri" w:hAnsi="Calibri" w:cs="Calibri"/>
                <w:sz w:val="20"/>
                <w:szCs w:val="20"/>
              </w:rPr>
              <w:t>884</w:t>
            </w:r>
          </w:p>
        </w:tc>
        <w:tc>
          <w:tcPr>
            <w:tcW w:w="2340" w:type="dxa"/>
          </w:tcPr>
          <w:p w14:paraId="5C74CA4E" w14:textId="66960F30" w:rsidR="6070FDE0" w:rsidRPr="007C11C6" w:rsidRDefault="6070FDE0" w:rsidP="00F00998">
            <w:pPr>
              <w:pStyle w:val="ListParagrap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C11C6">
              <w:rPr>
                <w:rFonts w:ascii="Calibri" w:hAnsi="Calibri" w:cs="Calibri"/>
                <w:sz w:val="20"/>
                <w:szCs w:val="20"/>
              </w:rPr>
              <w:t>New product</w:t>
            </w:r>
          </w:p>
        </w:tc>
        <w:tc>
          <w:tcPr>
            <w:tcW w:w="2430" w:type="dxa"/>
          </w:tcPr>
          <w:p w14:paraId="1E1910B9" w14:textId="724F424A" w:rsidR="440C77D8" w:rsidRPr="007C11C6" w:rsidRDefault="4E6B54D4" w:rsidP="00F00998">
            <w:pPr>
              <w:pStyle w:val="ListParagrap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C11C6">
              <w:rPr>
                <w:rFonts w:ascii="Calibri" w:hAnsi="Calibri" w:cs="Calibri"/>
                <w:sz w:val="20"/>
                <w:szCs w:val="20"/>
              </w:rPr>
              <w:t>Reuse</w:t>
            </w:r>
          </w:p>
        </w:tc>
      </w:tr>
      <w:tr w:rsidR="440C77D8" w:rsidRPr="007C11C6" w14:paraId="4399FEB2" w14:textId="77777777" w:rsidTr="00B85CEC">
        <w:trPr>
          <w:trHeight w:val="300"/>
        </w:trPr>
        <w:tc>
          <w:tcPr>
            <w:cnfStyle w:val="001000000000" w:firstRow="0" w:lastRow="0" w:firstColumn="1" w:lastColumn="0" w:oddVBand="0" w:evenVBand="0" w:oddHBand="0" w:evenHBand="0" w:firstRowFirstColumn="0" w:firstRowLastColumn="0" w:lastRowFirstColumn="0" w:lastRowLastColumn="0"/>
            <w:tcW w:w="2970" w:type="dxa"/>
          </w:tcPr>
          <w:p w14:paraId="51E8B027" w14:textId="577BCF12" w:rsidR="6DDF8BE1" w:rsidRPr="007C11C6" w:rsidRDefault="6DDF8BE1" w:rsidP="358E6E76">
            <w:pPr>
              <w:rPr>
                <w:rFonts w:ascii="Calibri" w:hAnsi="Calibri" w:cs="Calibri"/>
                <w:b w:val="0"/>
                <w:bCs w:val="0"/>
                <w:sz w:val="20"/>
                <w:szCs w:val="20"/>
              </w:rPr>
            </w:pPr>
            <w:r w:rsidRPr="007C11C6">
              <w:rPr>
                <w:rFonts w:ascii="Calibri" w:hAnsi="Calibri" w:cs="Calibri"/>
                <w:b w:val="0"/>
                <w:bCs w:val="0"/>
                <w:sz w:val="20"/>
                <w:szCs w:val="20"/>
              </w:rPr>
              <w:t>Windows – Wood frame</w:t>
            </w:r>
          </w:p>
        </w:tc>
        <w:tc>
          <w:tcPr>
            <w:tcW w:w="1260" w:type="dxa"/>
          </w:tcPr>
          <w:p w14:paraId="568260FA" w14:textId="6799888C" w:rsidR="707D8E77" w:rsidRPr="007C11C6" w:rsidRDefault="707D8E77" w:rsidP="00F00998">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C11C6">
              <w:rPr>
                <w:rFonts w:ascii="Calibri" w:hAnsi="Calibri" w:cs="Calibri"/>
                <w:sz w:val="20"/>
                <w:szCs w:val="20"/>
              </w:rPr>
              <w:t>166</w:t>
            </w:r>
          </w:p>
        </w:tc>
        <w:tc>
          <w:tcPr>
            <w:tcW w:w="2340" w:type="dxa"/>
          </w:tcPr>
          <w:p w14:paraId="50DCE615" w14:textId="33E3B58D" w:rsidR="6B92310B" w:rsidRPr="007C11C6" w:rsidRDefault="6B92310B" w:rsidP="00F00998">
            <w:pPr>
              <w:pStyle w:val="ListParagrap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C11C6">
              <w:rPr>
                <w:rFonts w:ascii="Calibri" w:hAnsi="Calibri" w:cs="Calibri"/>
                <w:sz w:val="20"/>
                <w:szCs w:val="20"/>
              </w:rPr>
              <w:t>New product</w:t>
            </w:r>
          </w:p>
        </w:tc>
        <w:tc>
          <w:tcPr>
            <w:tcW w:w="2430" w:type="dxa"/>
          </w:tcPr>
          <w:p w14:paraId="05569FE3" w14:textId="1268EABD" w:rsidR="440C77D8" w:rsidRPr="007C11C6" w:rsidRDefault="59220B69" w:rsidP="00F00998">
            <w:pPr>
              <w:pStyle w:val="ListParagrap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C11C6">
              <w:rPr>
                <w:rFonts w:ascii="Calibri" w:hAnsi="Calibri" w:cs="Calibri"/>
                <w:sz w:val="20"/>
                <w:szCs w:val="20"/>
              </w:rPr>
              <w:t>Reuse</w:t>
            </w:r>
          </w:p>
        </w:tc>
      </w:tr>
      <w:tr w:rsidR="440C77D8" w14:paraId="491734F3" w14:textId="77777777" w:rsidTr="00B85CEC">
        <w:trPr>
          <w:trHeight w:val="300"/>
        </w:trPr>
        <w:tc>
          <w:tcPr>
            <w:cnfStyle w:val="001000000000" w:firstRow="0" w:lastRow="0" w:firstColumn="1" w:lastColumn="0" w:oddVBand="0" w:evenVBand="0" w:oddHBand="0" w:evenHBand="0" w:firstRowFirstColumn="0" w:firstRowLastColumn="0" w:lastRowFirstColumn="0" w:lastRowLastColumn="0"/>
            <w:tcW w:w="2970" w:type="dxa"/>
          </w:tcPr>
          <w:p w14:paraId="652CA6F4" w14:textId="5F2F8DE7" w:rsidR="6DDF8BE1" w:rsidRPr="00AF3906" w:rsidRDefault="6DDF8BE1" w:rsidP="358E6E76">
            <w:pPr>
              <w:rPr>
                <w:rFonts w:ascii="Calibri" w:hAnsi="Calibri" w:cs="Calibri"/>
                <w:b w:val="0"/>
                <w:bCs w:val="0"/>
                <w:sz w:val="20"/>
                <w:szCs w:val="20"/>
              </w:rPr>
            </w:pPr>
            <w:r w:rsidRPr="00AF3906">
              <w:rPr>
                <w:rFonts w:ascii="Calibri" w:hAnsi="Calibri" w:cs="Calibri"/>
                <w:b w:val="0"/>
                <w:bCs w:val="0"/>
                <w:sz w:val="20"/>
                <w:szCs w:val="20"/>
              </w:rPr>
              <w:t>Windows</w:t>
            </w:r>
            <w:r w:rsidR="25713C08" w:rsidRPr="00AF3906">
              <w:rPr>
                <w:rFonts w:ascii="Calibri" w:hAnsi="Calibri" w:cs="Calibri"/>
                <w:b w:val="0"/>
                <w:bCs w:val="0"/>
                <w:sz w:val="20"/>
                <w:szCs w:val="20"/>
              </w:rPr>
              <w:t xml:space="preserve"> – </w:t>
            </w:r>
            <w:r w:rsidR="0070657F">
              <w:rPr>
                <w:rFonts w:ascii="Calibri" w:hAnsi="Calibri" w:cs="Calibri"/>
                <w:b w:val="0"/>
                <w:bCs w:val="0"/>
                <w:sz w:val="20"/>
                <w:szCs w:val="20"/>
              </w:rPr>
              <w:t>D</w:t>
            </w:r>
            <w:r w:rsidR="25713C08" w:rsidRPr="00AF3906">
              <w:rPr>
                <w:rFonts w:ascii="Calibri" w:hAnsi="Calibri" w:cs="Calibri"/>
                <w:b w:val="0"/>
                <w:bCs w:val="0"/>
                <w:sz w:val="20"/>
                <w:szCs w:val="20"/>
              </w:rPr>
              <w:t>ouble</w:t>
            </w:r>
            <w:r w:rsidR="009A500D">
              <w:rPr>
                <w:rFonts w:ascii="Calibri" w:hAnsi="Calibri" w:cs="Calibri"/>
                <w:b w:val="0"/>
                <w:bCs w:val="0"/>
                <w:sz w:val="20"/>
                <w:szCs w:val="20"/>
              </w:rPr>
              <w:t>/Triple</w:t>
            </w:r>
            <w:r w:rsidR="25713C08" w:rsidRPr="00AF3906">
              <w:rPr>
                <w:rFonts w:ascii="Calibri" w:hAnsi="Calibri" w:cs="Calibri"/>
                <w:b w:val="0"/>
                <w:bCs w:val="0"/>
                <w:sz w:val="20"/>
                <w:szCs w:val="20"/>
              </w:rPr>
              <w:t xml:space="preserve"> </w:t>
            </w:r>
            <w:r w:rsidRPr="00AF3906">
              <w:rPr>
                <w:rFonts w:ascii="Calibri" w:hAnsi="Calibri" w:cs="Calibri"/>
                <w:b w:val="0"/>
                <w:bCs w:val="0"/>
                <w:sz w:val="20"/>
                <w:szCs w:val="20"/>
              </w:rPr>
              <w:t>glazing</w:t>
            </w:r>
          </w:p>
        </w:tc>
        <w:tc>
          <w:tcPr>
            <w:tcW w:w="1260" w:type="dxa"/>
          </w:tcPr>
          <w:p w14:paraId="72D1CFFA" w14:textId="400C57FC" w:rsidR="136853AD" w:rsidRPr="00AF3906" w:rsidRDefault="136853AD" w:rsidP="00F00998">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F3906">
              <w:rPr>
                <w:rFonts w:ascii="Calibri" w:hAnsi="Calibri" w:cs="Calibri"/>
                <w:sz w:val="20"/>
                <w:szCs w:val="20"/>
              </w:rPr>
              <w:t>1566</w:t>
            </w:r>
          </w:p>
        </w:tc>
        <w:tc>
          <w:tcPr>
            <w:tcW w:w="2340" w:type="dxa"/>
          </w:tcPr>
          <w:p w14:paraId="4A2DB2E8" w14:textId="7E22395E" w:rsidR="478D66DD" w:rsidRPr="00AF3906" w:rsidRDefault="478D66DD" w:rsidP="00F00998">
            <w:pPr>
              <w:pStyle w:val="ListParagrap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F3906">
              <w:rPr>
                <w:rFonts w:ascii="Calibri" w:hAnsi="Calibri" w:cs="Calibri"/>
                <w:sz w:val="20"/>
                <w:szCs w:val="20"/>
              </w:rPr>
              <w:t xml:space="preserve">New product – Triple </w:t>
            </w:r>
            <w:r w:rsidR="0A9195B4" w:rsidRPr="00AF3906">
              <w:rPr>
                <w:rFonts w:ascii="Calibri" w:hAnsi="Calibri" w:cs="Calibri"/>
                <w:sz w:val="20"/>
                <w:szCs w:val="20"/>
              </w:rPr>
              <w:t>glazing</w:t>
            </w:r>
          </w:p>
        </w:tc>
        <w:tc>
          <w:tcPr>
            <w:tcW w:w="2430" w:type="dxa"/>
          </w:tcPr>
          <w:p w14:paraId="0D06A986" w14:textId="604AB00E" w:rsidR="440C77D8" w:rsidRPr="00AF3906" w:rsidRDefault="68A4968B" w:rsidP="00F00998">
            <w:pPr>
              <w:pStyle w:val="ListParagrap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F3906">
              <w:rPr>
                <w:rFonts w:ascii="Calibri" w:hAnsi="Calibri" w:cs="Calibri"/>
                <w:sz w:val="20"/>
                <w:szCs w:val="20"/>
              </w:rPr>
              <w:t>New product double glazing</w:t>
            </w:r>
          </w:p>
        </w:tc>
      </w:tr>
    </w:tbl>
    <w:p w14:paraId="13841A9A" w14:textId="7A2D58D0" w:rsidR="00C27CD0" w:rsidRPr="003C19BB" w:rsidRDefault="00C27CD0" w:rsidP="00C27CD0">
      <w:pPr>
        <w:spacing w:after="40" w:line="240" w:lineRule="auto"/>
        <w:jc w:val="both"/>
        <w:rPr>
          <w:rFonts w:ascii="Calibri" w:eastAsia="Calibri" w:hAnsi="Calibri" w:cs="Calibri"/>
          <w:color w:val="000000" w:themeColor="text1"/>
        </w:rPr>
      </w:pPr>
      <w:r w:rsidRPr="003C19BB">
        <w:rPr>
          <w:rFonts w:ascii="Calibri" w:hAnsi="Calibri" w:cs="Calibri"/>
        </w:rPr>
        <w:lastRenderedPageBreak/>
        <w:t xml:space="preserve">For both scenarios, the window frames and window glazing are considered separately as the wood frame has a high potential for reuse while the glazing needs to be replaced. </w:t>
      </w:r>
      <w:r>
        <w:rPr>
          <w:rFonts w:ascii="Calibri" w:hAnsi="Calibri" w:cs="Calibri"/>
        </w:rPr>
        <w:t xml:space="preserve">In the BAU, </w:t>
      </w:r>
      <w:r>
        <w:rPr>
          <w:rFonts w:ascii="Calibri" w:eastAsia="Calibri" w:hAnsi="Calibri" w:cs="Calibri"/>
          <w:color w:val="000000" w:themeColor="text1"/>
        </w:rPr>
        <w:t>f</w:t>
      </w:r>
      <w:r w:rsidRPr="003C19BB">
        <w:rPr>
          <w:rFonts w:ascii="Calibri" w:eastAsia="Calibri" w:hAnsi="Calibri" w:cs="Calibri"/>
          <w:color w:val="000000" w:themeColor="text1"/>
        </w:rPr>
        <w:t>or windows both the frame and the glazing will be replaced</w:t>
      </w:r>
      <w:r>
        <w:rPr>
          <w:rFonts w:ascii="Calibri" w:eastAsia="Calibri" w:hAnsi="Calibri" w:cs="Calibri"/>
          <w:color w:val="000000" w:themeColor="text1"/>
        </w:rPr>
        <w:t xml:space="preserve">. </w:t>
      </w:r>
      <w:r w:rsidR="003F0255">
        <w:rPr>
          <w:rFonts w:ascii="Calibri" w:eastAsia="Calibri" w:hAnsi="Calibri" w:cs="Calibri"/>
          <w:color w:val="000000" w:themeColor="text1"/>
        </w:rPr>
        <w:t>An increase in</w:t>
      </w:r>
      <w:r w:rsidRPr="003C19BB">
        <w:rPr>
          <w:rFonts w:ascii="Calibri" w:eastAsia="Calibri" w:hAnsi="Calibri" w:cs="Calibri"/>
          <w:color w:val="000000" w:themeColor="text1"/>
        </w:rPr>
        <w:t xml:space="preserve"> energy performance (</w:t>
      </w:r>
      <w:r w:rsidR="00047551">
        <w:rPr>
          <w:rFonts w:ascii="Calibri" w:eastAsia="Calibri" w:hAnsi="Calibri" w:cs="Calibri"/>
          <w:color w:val="000000" w:themeColor="text1"/>
        </w:rPr>
        <w:t>U</w:t>
      </w:r>
      <w:r>
        <w:rPr>
          <w:rFonts w:ascii="Calibri" w:eastAsia="Calibri" w:hAnsi="Calibri" w:cs="Calibri"/>
          <w:color w:val="000000" w:themeColor="text1"/>
        </w:rPr>
        <w:t>-</w:t>
      </w:r>
      <w:r w:rsidRPr="003C19BB">
        <w:rPr>
          <w:rFonts w:ascii="Calibri" w:eastAsia="Calibri" w:hAnsi="Calibri" w:cs="Calibri"/>
          <w:color w:val="000000" w:themeColor="text1"/>
        </w:rPr>
        <w:t>value) through triple glazing windows</w:t>
      </w:r>
      <w:r w:rsidR="003F0255">
        <w:rPr>
          <w:rFonts w:ascii="Calibri" w:eastAsia="Calibri" w:hAnsi="Calibri" w:cs="Calibri"/>
          <w:color w:val="000000" w:themeColor="text1"/>
        </w:rPr>
        <w:t xml:space="preserve"> was considered</w:t>
      </w:r>
      <w:r w:rsidRPr="003C19BB">
        <w:rPr>
          <w:rFonts w:ascii="Calibri" w:eastAsia="Calibri" w:hAnsi="Calibri" w:cs="Calibri"/>
          <w:color w:val="000000" w:themeColor="text1"/>
        </w:rPr>
        <w:t xml:space="preserve">. </w:t>
      </w:r>
      <w:r w:rsidR="003F0255">
        <w:rPr>
          <w:rFonts w:ascii="Calibri" w:eastAsia="Calibri" w:hAnsi="Calibri" w:cs="Calibri"/>
          <w:color w:val="000000" w:themeColor="text1"/>
        </w:rPr>
        <w:t>I</w:t>
      </w:r>
      <w:r w:rsidRPr="003C19BB">
        <w:rPr>
          <w:rFonts w:ascii="Calibri" w:eastAsia="Calibri" w:hAnsi="Calibri" w:cs="Calibri"/>
          <w:color w:val="000000" w:themeColor="text1"/>
        </w:rPr>
        <w:t>n CIR</w:t>
      </w:r>
      <w:r w:rsidR="00047551">
        <w:rPr>
          <w:rFonts w:ascii="Calibri" w:eastAsia="Calibri" w:hAnsi="Calibri" w:cs="Calibri"/>
          <w:color w:val="000000" w:themeColor="text1"/>
        </w:rPr>
        <w:t>,</w:t>
      </w:r>
      <w:r w:rsidRPr="003C19BB">
        <w:rPr>
          <w:rFonts w:ascii="Calibri" w:eastAsia="Calibri" w:hAnsi="Calibri" w:cs="Calibri"/>
          <w:color w:val="000000" w:themeColor="text1"/>
        </w:rPr>
        <w:t xml:space="preserve"> we opt for reusing the window frames and replac</w:t>
      </w:r>
      <w:r w:rsidR="00047551">
        <w:rPr>
          <w:rFonts w:ascii="Calibri" w:eastAsia="Calibri" w:hAnsi="Calibri" w:cs="Calibri"/>
          <w:color w:val="000000" w:themeColor="text1"/>
        </w:rPr>
        <w:t>ing</w:t>
      </w:r>
      <w:r w:rsidRPr="003C19BB">
        <w:rPr>
          <w:rFonts w:ascii="Calibri" w:eastAsia="Calibri" w:hAnsi="Calibri" w:cs="Calibri"/>
          <w:color w:val="000000" w:themeColor="text1"/>
        </w:rPr>
        <w:t xml:space="preserve"> the glazing. However, in this case the window frames are only adapted for double glazing.</w:t>
      </w:r>
    </w:p>
    <w:p w14:paraId="784BEB05" w14:textId="5BF318C3" w:rsidR="00C27CD0" w:rsidRPr="00C27CD0" w:rsidRDefault="00C27CD0" w:rsidP="00C27CD0">
      <w:pPr>
        <w:pStyle w:val="paragraph"/>
        <w:spacing w:before="0" w:beforeAutospacing="0" w:after="160" w:afterAutospacing="0"/>
        <w:jc w:val="both"/>
        <w:textAlignment w:val="baseline"/>
        <w:rPr>
          <w:rFonts w:ascii="Calibri" w:hAnsi="Calibri" w:cs="Calibri"/>
          <w:sz w:val="22"/>
          <w:szCs w:val="22"/>
        </w:rPr>
      </w:pPr>
      <w:r w:rsidRPr="003C19BB">
        <w:rPr>
          <w:rStyle w:val="normaltextrun"/>
          <w:rFonts w:ascii="Calibri" w:hAnsi="Calibri" w:cs="Calibri"/>
          <w:sz w:val="22"/>
          <w:szCs w:val="22"/>
          <w:lang w:val="en-GB"/>
        </w:rPr>
        <w:t>For the LCA, the production of new materials, their end-of-life treatment, and processes associated with the refurbishment and preparation for reuse of building elements were considered.</w:t>
      </w:r>
      <w:r w:rsidRPr="003C19BB">
        <w:rPr>
          <w:rStyle w:val="eop"/>
          <w:rFonts w:ascii="Calibri" w:hAnsi="Calibri" w:cs="Calibri"/>
          <w:sz w:val="22"/>
          <w:szCs w:val="22"/>
        </w:rPr>
        <w:t> </w:t>
      </w:r>
    </w:p>
    <w:p w14:paraId="39C57C11" w14:textId="60A014D4" w:rsidR="009148F5" w:rsidRPr="00EC5E4B" w:rsidRDefault="11D8064B" w:rsidP="00EC5E4B">
      <w:pPr>
        <w:spacing w:after="40" w:line="240" w:lineRule="auto"/>
        <w:rPr>
          <w:rFonts w:ascii="Calibri" w:hAnsi="Calibri" w:cs="Calibri"/>
          <w:b/>
          <w:bCs/>
          <w:i/>
          <w:iCs/>
        </w:rPr>
      </w:pPr>
      <w:r w:rsidRPr="00EC5E4B">
        <w:rPr>
          <w:rFonts w:ascii="Calibri" w:hAnsi="Calibri" w:cs="Calibri"/>
          <w:b/>
          <w:bCs/>
          <w:i/>
          <w:iCs/>
        </w:rPr>
        <w:t>Comparing environmental impacts of BAU and CIR</w:t>
      </w:r>
    </w:p>
    <w:p w14:paraId="754A92BC" w14:textId="523420EB" w:rsidR="00E27C4B" w:rsidRDefault="00FA7280" w:rsidP="1A18BAF4">
      <w:pPr>
        <w:spacing w:after="40" w:line="240" w:lineRule="auto"/>
        <w:jc w:val="both"/>
        <w:rPr>
          <w:rFonts w:ascii="Calibri" w:eastAsia="Calibri" w:hAnsi="Calibri" w:cs="Calibri"/>
          <w:color w:val="000000" w:themeColor="text1"/>
        </w:rPr>
      </w:pPr>
      <w:r w:rsidRPr="1A18BAF4">
        <w:rPr>
          <w:rStyle w:val="normaltextrun"/>
          <w:rFonts w:ascii="Calibri" w:hAnsi="Calibri" w:cs="Calibri"/>
        </w:rPr>
        <w:t>In this study, environmental impacts were assessed using the EF 3.1 method</w:t>
      </w:r>
      <w:r w:rsidR="001D6C96">
        <w:rPr>
          <w:rStyle w:val="normaltextrun"/>
          <w:rFonts w:ascii="Calibri" w:hAnsi="Calibri" w:cs="Calibri"/>
        </w:rPr>
        <w:t xml:space="preserve"> </w:t>
      </w:r>
      <w:r w:rsidR="001D6C96">
        <w:rPr>
          <w:rStyle w:val="normaltextrun"/>
          <w:rFonts w:ascii="Calibri" w:hAnsi="Calibri" w:cs="Calibri"/>
        </w:rPr>
        <w:fldChar w:fldCharType="begin"/>
      </w:r>
      <w:r w:rsidR="001D6C96">
        <w:rPr>
          <w:rStyle w:val="normaltextrun"/>
          <w:rFonts w:ascii="Calibri" w:hAnsi="Calibri" w:cs="Calibri"/>
        </w:rPr>
        <w:instrText xml:space="preserve"> ADDIN EN.CITE &lt;EndNote&gt;&lt;Cite&gt;&lt;Author&gt;Andreasi Bassi&lt;/Author&gt;&lt;Year&gt;2023&lt;/Year&gt;&lt;RecNum&gt;240&lt;/RecNum&gt;&lt;DisplayText&gt;(Andreasi Bassi et al., 2023)&lt;/DisplayText&gt;&lt;record&gt;&lt;rec-number&gt;240&lt;/rec-number&gt;&lt;foreign-keys&gt;&lt;key app="EN" db-id="pse90xvdzpwe9gex2z15xfznzfsfwfrzp050" timestamp="1789592132"&gt;240&lt;/key&gt;&lt;/foreign-keys&gt;&lt;ref-type name="Report"&gt;27&lt;/ref-type&gt;&lt;contributors&gt;&lt;authors&gt;&lt;author&gt;Andreasi Bassi, S.&lt;/author&gt;&lt;author&gt;Biganzoli, F.&lt;/author&gt;&lt;author&gt;Ferrara, N.&lt;/author&gt;&lt;author&gt;Amadei, A.&lt;/author&gt;&lt;author&gt;Valente, A.&lt;/author&gt;&lt;author&gt;Sala, S.&lt;/author&gt;&lt;author&gt;Ardente, F.&lt;/author&gt;&lt;/authors&gt;&lt;secondary-authors&gt;&lt;author&gt;JRC Technical report&lt;/author&gt;&lt;/secondary-authors&gt;&lt;/contributors&gt;&lt;titles&gt;&lt;title&gt;Updated characterisation and normalisation factors for the Environmental Footprint 3.1 method&lt;/title&gt;&lt;/titles&gt;&lt;dates&gt;&lt;year&gt;2023&lt;/year&gt;&lt;/dates&gt;&lt;publisher&gt;European Commission&lt;/publisher&gt;&lt;isbn&gt;ISSN 1831-9424&lt;/isbn&gt;&lt;urls&gt;&lt;/urls&gt;&lt;electronic-resource-num&gt;doi:10.2760/798894&lt;/electronic-resource-num&gt;&lt;/record&gt;&lt;/Cite&gt;&lt;/EndNote&gt;</w:instrText>
      </w:r>
      <w:r w:rsidR="001D6C96">
        <w:rPr>
          <w:rStyle w:val="normaltextrun"/>
          <w:rFonts w:ascii="Calibri" w:hAnsi="Calibri" w:cs="Calibri"/>
        </w:rPr>
        <w:fldChar w:fldCharType="separate"/>
      </w:r>
      <w:r w:rsidR="001D6C96">
        <w:rPr>
          <w:rStyle w:val="normaltextrun"/>
          <w:rFonts w:ascii="Calibri" w:hAnsi="Calibri" w:cs="Calibri"/>
          <w:noProof/>
        </w:rPr>
        <w:t>(Andreasi Bassi et al., 2023)</w:t>
      </w:r>
      <w:r w:rsidR="001D6C96">
        <w:rPr>
          <w:rStyle w:val="normaltextrun"/>
          <w:rFonts w:ascii="Calibri" w:hAnsi="Calibri" w:cs="Calibri"/>
        </w:rPr>
        <w:fldChar w:fldCharType="end"/>
      </w:r>
      <w:r w:rsidRPr="1A18BAF4">
        <w:rPr>
          <w:rStyle w:val="normaltextrun"/>
          <w:rFonts w:ascii="Calibri" w:hAnsi="Calibri" w:cs="Calibri"/>
        </w:rPr>
        <w:t xml:space="preserve"> and the life cycle inventory was based on background data from the </w:t>
      </w:r>
      <w:r w:rsidR="0049443A" w:rsidRPr="1A18BAF4">
        <w:rPr>
          <w:rStyle w:val="normaltextrun"/>
          <w:rFonts w:ascii="Calibri" w:hAnsi="Calibri" w:cs="Calibri"/>
        </w:rPr>
        <w:t>E</w:t>
      </w:r>
      <w:r w:rsidRPr="1A18BAF4">
        <w:rPr>
          <w:rStyle w:val="normaltextrun"/>
          <w:rFonts w:ascii="Calibri" w:hAnsi="Calibri" w:cs="Calibri"/>
        </w:rPr>
        <w:t xml:space="preserve">coinvent v3.11 database. </w:t>
      </w:r>
      <w:r w:rsidR="00DB5026" w:rsidRPr="1A18BAF4">
        <w:rPr>
          <w:rFonts w:ascii="Calibri" w:hAnsi="Calibri" w:cs="Calibri"/>
        </w:rPr>
        <w:t xml:space="preserve">Figure </w:t>
      </w:r>
      <w:r w:rsidR="00DB5026" w:rsidRPr="1A18BAF4">
        <w:rPr>
          <w:rFonts w:ascii="Calibri" w:hAnsi="Calibri" w:cs="Calibri"/>
          <w:noProof/>
        </w:rPr>
        <w:t>4</w:t>
      </w:r>
      <w:r w:rsidR="0031620B" w:rsidRPr="1A18BAF4">
        <w:rPr>
          <w:rFonts w:ascii="Calibri" w:eastAsia="Calibri" w:hAnsi="Calibri" w:cs="Calibri"/>
          <w:color w:val="000000" w:themeColor="text1"/>
        </w:rPr>
        <w:t xml:space="preserve"> </w:t>
      </w:r>
      <w:r w:rsidR="11D8064B" w:rsidRPr="00295AC9">
        <w:rPr>
          <w:rFonts w:ascii="Calibri" w:eastAsia="Calibri" w:hAnsi="Calibri" w:cs="Calibri"/>
          <w:color w:val="000000" w:themeColor="text1"/>
        </w:rPr>
        <w:t xml:space="preserve">presents a comparative contribution analysis of the BAU and CIR scenarios across </w:t>
      </w:r>
      <w:r w:rsidR="77C6CE90" w:rsidRPr="00295AC9">
        <w:rPr>
          <w:rFonts w:ascii="Calibri" w:eastAsia="Calibri" w:hAnsi="Calibri" w:cs="Calibri"/>
          <w:color w:val="000000" w:themeColor="text1"/>
        </w:rPr>
        <w:t>7</w:t>
      </w:r>
      <w:r w:rsidR="11D8064B" w:rsidRPr="00295AC9">
        <w:rPr>
          <w:rFonts w:ascii="Calibri" w:eastAsia="Calibri" w:hAnsi="Calibri" w:cs="Calibri"/>
          <w:color w:val="000000" w:themeColor="text1"/>
        </w:rPr>
        <w:t xml:space="preserve"> environmental impact categories. The BAU scenario accounts for </w:t>
      </w:r>
      <w:proofErr w:type="gramStart"/>
      <w:r w:rsidR="11D8064B" w:rsidRPr="00295AC9">
        <w:rPr>
          <w:rFonts w:ascii="Calibri" w:eastAsia="Calibri" w:hAnsi="Calibri" w:cs="Calibri"/>
          <w:color w:val="000000" w:themeColor="text1"/>
        </w:rPr>
        <w:t>the majority</w:t>
      </w:r>
      <w:r w:rsidR="001C1D3A" w:rsidRPr="00295AC9">
        <w:rPr>
          <w:rFonts w:ascii="Calibri" w:eastAsia="Calibri" w:hAnsi="Calibri" w:cs="Calibri"/>
          <w:color w:val="000000" w:themeColor="text1"/>
        </w:rPr>
        <w:t xml:space="preserve"> </w:t>
      </w:r>
      <w:r w:rsidR="11D8064B" w:rsidRPr="00295AC9">
        <w:rPr>
          <w:rFonts w:ascii="Calibri" w:eastAsia="Calibri" w:hAnsi="Calibri" w:cs="Calibri"/>
          <w:color w:val="000000" w:themeColor="text1"/>
        </w:rPr>
        <w:t>of</w:t>
      </w:r>
      <w:proofErr w:type="gramEnd"/>
      <w:r w:rsidR="11D8064B" w:rsidRPr="00295AC9">
        <w:rPr>
          <w:rFonts w:ascii="Calibri" w:eastAsia="Calibri" w:hAnsi="Calibri" w:cs="Calibri"/>
          <w:color w:val="000000" w:themeColor="text1"/>
        </w:rPr>
        <w:t xml:space="preserve"> environmental impacts in all categories, with contributions</w:t>
      </w:r>
      <w:r w:rsidR="11D8064B" w:rsidRPr="1A18BAF4">
        <w:rPr>
          <w:rFonts w:ascii="Calibri" w:eastAsia="Calibri" w:hAnsi="Calibri" w:cs="Calibri"/>
          <w:color w:val="000000" w:themeColor="text1"/>
        </w:rPr>
        <w:t xml:space="preserve"> ranging from 5</w:t>
      </w:r>
      <w:r w:rsidR="649D8691" w:rsidRPr="1A18BAF4">
        <w:rPr>
          <w:rFonts w:ascii="Calibri" w:eastAsia="Calibri" w:hAnsi="Calibri" w:cs="Calibri"/>
          <w:color w:val="000000" w:themeColor="text1"/>
        </w:rPr>
        <w:t>2</w:t>
      </w:r>
      <w:r w:rsidR="11D8064B" w:rsidRPr="1A18BAF4">
        <w:rPr>
          <w:rFonts w:ascii="Calibri" w:eastAsia="Calibri" w:hAnsi="Calibri" w:cs="Calibri"/>
          <w:color w:val="000000" w:themeColor="text1"/>
        </w:rPr>
        <w:t>.</w:t>
      </w:r>
      <w:r w:rsidR="6E73160F" w:rsidRPr="1A18BAF4">
        <w:rPr>
          <w:rFonts w:ascii="Calibri" w:eastAsia="Calibri" w:hAnsi="Calibri" w:cs="Calibri"/>
          <w:color w:val="000000" w:themeColor="text1"/>
        </w:rPr>
        <w:t>7</w:t>
      </w:r>
      <w:r w:rsidR="11D8064B" w:rsidRPr="1A18BAF4">
        <w:rPr>
          <w:rFonts w:ascii="Calibri" w:eastAsia="Calibri" w:hAnsi="Calibri" w:cs="Calibri"/>
          <w:color w:val="000000" w:themeColor="text1"/>
        </w:rPr>
        <w:t>% to 9</w:t>
      </w:r>
      <w:r w:rsidR="78350835" w:rsidRPr="1A18BAF4">
        <w:rPr>
          <w:rFonts w:ascii="Calibri" w:eastAsia="Calibri" w:hAnsi="Calibri" w:cs="Calibri"/>
          <w:color w:val="000000" w:themeColor="text1"/>
        </w:rPr>
        <w:t>2</w:t>
      </w:r>
      <w:r w:rsidR="11D8064B" w:rsidRPr="1A18BAF4">
        <w:rPr>
          <w:rFonts w:ascii="Calibri" w:eastAsia="Calibri" w:hAnsi="Calibri" w:cs="Calibri"/>
          <w:color w:val="000000" w:themeColor="text1"/>
        </w:rPr>
        <w:t xml:space="preserve">.7%, whereas the CIR scenario shows comparatively lower contributions ranging from </w:t>
      </w:r>
      <w:r w:rsidR="5B591E94" w:rsidRPr="1A18BAF4">
        <w:rPr>
          <w:rFonts w:ascii="Calibri" w:eastAsia="Calibri" w:hAnsi="Calibri" w:cs="Calibri"/>
          <w:color w:val="000000" w:themeColor="text1"/>
        </w:rPr>
        <w:t>7</w:t>
      </w:r>
      <w:r w:rsidR="11D8064B" w:rsidRPr="1A18BAF4">
        <w:rPr>
          <w:rFonts w:ascii="Calibri" w:eastAsia="Calibri" w:hAnsi="Calibri" w:cs="Calibri"/>
          <w:color w:val="000000" w:themeColor="text1"/>
        </w:rPr>
        <w:t>.3% to 4</w:t>
      </w:r>
      <w:r w:rsidR="56D654E8" w:rsidRPr="1A18BAF4">
        <w:rPr>
          <w:rFonts w:ascii="Calibri" w:eastAsia="Calibri" w:hAnsi="Calibri" w:cs="Calibri"/>
          <w:color w:val="000000" w:themeColor="text1"/>
        </w:rPr>
        <w:t>7</w:t>
      </w:r>
      <w:r w:rsidR="11D8064B" w:rsidRPr="1A18BAF4">
        <w:rPr>
          <w:rFonts w:ascii="Calibri" w:eastAsia="Calibri" w:hAnsi="Calibri" w:cs="Calibri"/>
          <w:color w:val="000000" w:themeColor="text1"/>
        </w:rPr>
        <w:t>.</w:t>
      </w:r>
      <w:r w:rsidR="7AFBCE96" w:rsidRPr="1A18BAF4">
        <w:rPr>
          <w:rFonts w:ascii="Calibri" w:eastAsia="Calibri" w:hAnsi="Calibri" w:cs="Calibri"/>
          <w:color w:val="000000" w:themeColor="text1"/>
        </w:rPr>
        <w:t>3</w:t>
      </w:r>
      <w:r w:rsidR="11D8064B" w:rsidRPr="1A18BAF4">
        <w:rPr>
          <w:rFonts w:ascii="Calibri" w:eastAsia="Calibri" w:hAnsi="Calibri" w:cs="Calibri"/>
          <w:color w:val="000000" w:themeColor="text1"/>
        </w:rPr>
        <w:t xml:space="preserve">%. For the climate change impact category (GWP100), the BAU scenario contributes </w:t>
      </w:r>
      <w:r w:rsidR="5546BC21" w:rsidRPr="1A18BAF4">
        <w:rPr>
          <w:rFonts w:ascii="Calibri" w:eastAsia="Calibri" w:hAnsi="Calibri" w:cs="Calibri"/>
          <w:color w:val="000000" w:themeColor="text1"/>
        </w:rPr>
        <w:t>2.5</w:t>
      </w:r>
      <w:r w:rsidR="11D8064B" w:rsidRPr="1A18BAF4">
        <w:rPr>
          <w:rFonts w:ascii="Calibri" w:eastAsia="Calibri" w:hAnsi="Calibri" w:cs="Calibri"/>
          <w:color w:val="000000" w:themeColor="text1"/>
        </w:rPr>
        <w:t xml:space="preserve"> times higher than the CIR scenario contribution.</w:t>
      </w:r>
      <w:r w:rsidR="0031620B" w:rsidRPr="1A18BAF4">
        <w:rPr>
          <w:rFonts w:ascii="Calibri" w:eastAsia="Calibri" w:hAnsi="Calibri" w:cs="Calibri"/>
          <w:color w:val="000000" w:themeColor="text1"/>
        </w:rPr>
        <w:t xml:space="preserve"> </w:t>
      </w:r>
      <w:r w:rsidR="11D8064B" w:rsidRPr="1A18BAF4">
        <w:rPr>
          <w:rFonts w:ascii="Calibri" w:eastAsia="Calibri" w:hAnsi="Calibri" w:cs="Calibri"/>
          <w:color w:val="000000" w:themeColor="text1"/>
        </w:rPr>
        <w:t xml:space="preserve">The difference is particularly substantial for the Land </w:t>
      </w:r>
      <w:r w:rsidR="00047551" w:rsidRPr="1A18BAF4">
        <w:rPr>
          <w:rFonts w:ascii="Calibri" w:eastAsia="Calibri" w:hAnsi="Calibri" w:cs="Calibri"/>
          <w:color w:val="000000" w:themeColor="text1"/>
        </w:rPr>
        <w:t>u</w:t>
      </w:r>
      <w:r w:rsidR="11D8064B" w:rsidRPr="1A18BAF4">
        <w:rPr>
          <w:rFonts w:ascii="Calibri" w:eastAsia="Calibri" w:hAnsi="Calibri" w:cs="Calibri"/>
          <w:color w:val="000000" w:themeColor="text1"/>
        </w:rPr>
        <w:t xml:space="preserve">se impact category, where the BAU scenario </w:t>
      </w:r>
      <w:r w:rsidR="0038036D" w:rsidRPr="1A18BAF4">
        <w:rPr>
          <w:rFonts w:ascii="Calibri" w:eastAsia="Calibri" w:hAnsi="Calibri" w:cs="Calibri"/>
          <w:color w:val="000000" w:themeColor="text1"/>
        </w:rPr>
        <w:t>accounts for</w:t>
      </w:r>
      <w:r w:rsidR="11D8064B" w:rsidRPr="1A18BAF4">
        <w:rPr>
          <w:rFonts w:ascii="Calibri" w:eastAsia="Calibri" w:hAnsi="Calibri" w:cs="Calibri"/>
          <w:color w:val="000000" w:themeColor="text1"/>
        </w:rPr>
        <w:t xml:space="preserve"> 9</w:t>
      </w:r>
      <w:r w:rsidR="02BDAAC1" w:rsidRPr="1A18BAF4">
        <w:rPr>
          <w:rFonts w:ascii="Calibri" w:eastAsia="Calibri" w:hAnsi="Calibri" w:cs="Calibri"/>
          <w:color w:val="000000" w:themeColor="text1"/>
        </w:rPr>
        <w:t>2</w:t>
      </w:r>
      <w:r w:rsidR="11D8064B" w:rsidRPr="1A18BAF4">
        <w:rPr>
          <w:rFonts w:ascii="Calibri" w:eastAsia="Calibri" w:hAnsi="Calibri" w:cs="Calibri"/>
          <w:color w:val="000000" w:themeColor="text1"/>
        </w:rPr>
        <w:t xml:space="preserve">.7% of the total impact, approximately </w:t>
      </w:r>
      <w:r w:rsidR="786DFE3F" w:rsidRPr="1A18BAF4">
        <w:rPr>
          <w:rFonts w:ascii="Calibri" w:eastAsia="Calibri" w:hAnsi="Calibri" w:cs="Calibri"/>
          <w:color w:val="000000" w:themeColor="text1"/>
        </w:rPr>
        <w:t>12.</w:t>
      </w:r>
      <w:r w:rsidR="74460D8B" w:rsidRPr="1A18BAF4">
        <w:rPr>
          <w:rFonts w:ascii="Calibri" w:eastAsia="Calibri" w:hAnsi="Calibri" w:cs="Calibri"/>
          <w:color w:val="000000" w:themeColor="text1"/>
        </w:rPr>
        <w:t>7</w:t>
      </w:r>
      <w:r w:rsidR="11D8064B" w:rsidRPr="1A18BAF4">
        <w:rPr>
          <w:rFonts w:ascii="Calibri" w:eastAsia="Calibri" w:hAnsi="Calibri" w:cs="Calibri"/>
          <w:color w:val="000000" w:themeColor="text1"/>
        </w:rPr>
        <w:t xml:space="preserve"> times higher than the CIR scenario (</w:t>
      </w:r>
      <w:r w:rsidR="173BC1FE" w:rsidRPr="1A18BAF4">
        <w:rPr>
          <w:rFonts w:ascii="Calibri" w:eastAsia="Calibri" w:hAnsi="Calibri" w:cs="Calibri"/>
          <w:color w:val="000000" w:themeColor="text1"/>
        </w:rPr>
        <w:t>7</w:t>
      </w:r>
      <w:r w:rsidR="11D8064B" w:rsidRPr="1A18BAF4">
        <w:rPr>
          <w:rFonts w:ascii="Calibri" w:eastAsia="Calibri" w:hAnsi="Calibri" w:cs="Calibri"/>
          <w:color w:val="000000" w:themeColor="text1"/>
        </w:rPr>
        <w:t xml:space="preserve">.3%). </w:t>
      </w:r>
    </w:p>
    <w:p w14:paraId="2D73F0DC" w14:textId="0253F095" w:rsidR="004375F5" w:rsidRDefault="468956C9" w:rsidP="004375F5">
      <w:pPr>
        <w:keepNext/>
        <w:spacing w:after="40" w:line="240" w:lineRule="auto"/>
        <w:jc w:val="center"/>
      </w:pPr>
      <w:r>
        <w:rPr>
          <w:noProof/>
        </w:rPr>
        <w:drawing>
          <wp:inline distT="0" distB="0" distL="0" distR="0" wp14:anchorId="0C5F5503" wp14:editId="1786C1AD">
            <wp:extent cx="5715000" cy="2057400"/>
            <wp:effectExtent l="0" t="0" r="0" b="0"/>
            <wp:docPr id="3360135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013554" name="Picture 336013554"/>
                    <pic:cNvPicPr/>
                  </pic:nvPicPr>
                  <pic:blipFill>
                    <a:blip r:embed="rId14">
                      <a:extLst>
                        <a:ext uri="{28A0092B-C50C-407E-A947-70E740481C1C}">
                          <a14:useLocalDpi xmlns:a14="http://schemas.microsoft.com/office/drawing/2010/main"/>
                        </a:ext>
                      </a:extLst>
                    </a:blip>
                    <a:stretch>
                      <a:fillRect/>
                    </a:stretch>
                  </pic:blipFill>
                  <pic:spPr>
                    <a:xfrm>
                      <a:off x="0" y="0"/>
                      <a:ext cx="5715000" cy="2057400"/>
                    </a:xfrm>
                    <a:prstGeom prst="rect">
                      <a:avLst/>
                    </a:prstGeom>
                  </pic:spPr>
                </pic:pic>
              </a:graphicData>
            </a:graphic>
          </wp:inline>
        </w:drawing>
      </w:r>
    </w:p>
    <w:p w14:paraId="02432274" w14:textId="257AE948" w:rsidR="009148F5" w:rsidRPr="00FF4D54" w:rsidRDefault="004375F5" w:rsidP="004375F5">
      <w:pPr>
        <w:pStyle w:val="Caption"/>
        <w:jc w:val="center"/>
        <w:rPr>
          <w:rFonts w:ascii="Calibri" w:hAnsi="Calibri" w:cs="Calibri"/>
          <w:sz w:val="20"/>
          <w:szCs w:val="20"/>
        </w:rPr>
      </w:pPr>
      <w:bookmarkStart w:id="4" w:name="_Ref233610123"/>
      <w:r w:rsidRPr="00FF4D54">
        <w:rPr>
          <w:rFonts w:ascii="Calibri" w:hAnsi="Calibri" w:cs="Calibri"/>
          <w:sz w:val="20"/>
          <w:szCs w:val="20"/>
        </w:rPr>
        <w:t xml:space="preserve">Figure </w:t>
      </w:r>
      <w:r w:rsidR="00DB5026">
        <w:rPr>
          <w:rFonts w:ascii="Calibri" w:hAnsi="Calibri" w:cs="Calibri"/>
          <w:noProof/>
          <w:sz w:val="20"/>
          <w:szCs w:val="20"/>
        </w:rPr>
        <w:t>4</w:t>
      </w:r>
      <w:bookmarkEnd w:id="4"/>
      <w:r w:rsidRPr="00FF4D54">
        <w:rPr>
          <w:rFonts w:ascii="Calibri" w:hAnsi="Calibri" w:cs="Calibri"/>
          <w:sz w:val="20"/>
          <w:szCs w:val="20"/>
        </w:rPr>
        <w:t>. Contribution analysis comparison of BAU and CIR scenarios</w:t>
      </w:r>
    </w:p>
    <w:p w14:paraId="1F0DC9C2" w14:textId="31825646" w:rsidR="00782363" w:rsidRPr="00D92628" w:rsidRDefault="00DB5026" w:rsidP="1A18BAF4">
      <w:pPr>
        <w:spacing w:after="40" w:line="240" w:lineRule="auto"/>
        <w:jc w:val="both"/>
        <w:rPr>
          <w:rFonts w:ascii="Calibri" w:eastAsia="Times New Roman" w:hAnsi="Calibri" w:cs="Calibri"/>
          <w:color w:val="000000" w:themeColor="text1"/>
        </w:rPr>
      </w:pPr>
      <w:r w:rsidRPr="1A18BAF4">
        <w:rPr>
          <w:rFonts w:ascii="Calibri" w:hAnsi="Calibri" w:cs="Calibri"/>
        </w:rPr>
        <w:t xml:space="preserve">Figure </w:t>
      </w:r>
      <w:r w:rsidRPr="1A18BAF4">
        <w:rPr>
          <w:rFonts w:ascii="Calibri" w:hAnsi="Calibri" w:cs="Calibri"/>
          <w:noProof/>
        </w:rPr>
        <w:t>5</w:t>
      </w:r>
      <w:r w:rsidR="00954705" w:rsidRPr="1A18BAF4">
        <w:rPr>
          <w:rFonts w:ascii="Calibri" w:eastAsia="Times New Roman" w:hAnsi="Calibri" w:cs="Calibri"/>
          <w:color w:val="000000" w:themeColor="text1"/>
        </w:rPr>
        <w:t xml:space="preserve"> </w:t>
      </w:r>
      <w:r w:rsidR="11D8064B" w:rsidRPr="1A18BAF4">
        <w:rPr>
          <w:rFonts w:ascii="Calibri" w:eastAsia="Times New Roman" w:hAnsi="Calibri" w:cs="Calibri"/>
          <w:color w:val="000000" w:themeColor="text1"/>
        </w:rPr>
        <w:t xml:space="preserve">presents the normalized LCIA </w:t>
      </w:r>
      <w:r w:rsidR="00DE317C" w:rsidRPr="1A18BAF4">
        <w:rPr>
          <w:rFonts w:ascii="Calibri" w:eastAsia="Times New Roman" w:hAnsi="Calibri" w:cs="Calibri"/>
          <w:color w:val="000000" w:themeColor="text1"/>
        </w:rPr>
        <w:t xml:space="preserve">(Life Cycle Impact Assessment) </w:t>
      </w:r>
      <w:r w:rsidR="11D8064B" w:rsidRPr="1A18BAF4">
        <w:rPr>
          <w:rFonts w:ascii="Calibri" w:eastAsia="Times New Roman" w:hAnsi="Calibri" w:cs="Calibri"/>
          <w:color w:val="000000" w:themeColor="text1"/>
        </w:rPr>
        <w:t>scores for the BAU and CIR scenarios</w:t>
      </w:r>
      <w:r w:rsidR="00ED1238" w:rsidRPr="1A18BAF4">
        <w:rPr>
          <w:rFonts w:ascii="Calibri" w:eastAsia="Times New Roman" w:hAnsi="Calibri" w:cs="Calibri"/>
          <w:color w:val="000000" w:themeColor="text1"/>
        </w:rPr>
        <w:t>, respectively</w:t>
      </w:r>
      <w:r w:rsidR="11D8064B" w:rsidRPr="1A18BAF4">
        <w:rPr>
          <w:rFonts w:ascii="Calibri" w:eastAsia="Times New Roman" w:hAnsi="Calibri" w:cs="Calibri"/>
          <w:color w:val="000000" w:themeColor="text1"/>
        </w:rPr>
        <w:t xml:space="preserve">. A normalized score of 0 indicates the lowest environmental impact, whereas a score of 1 represents the highest impact. </w:t>
      </w:r>
      <w:r w:rsidR="009B6029" w:rsidRPr="1A18BAF4">
        <w:rPr>
          <w:rFonts w:ascii="Calibri" w:eastAsia="Times New Roman" w:hAnsi="Calibri" w:cs="Calibri"/>
          <w:color w:val="000000" w:themeColor="text1"/>
        </w:rPr>
        <w:t xml:space="preserve">The results indicate that </w:t>
      </w:r>
      <w:r w:rsidR="3B448CFA" w:rsidRPr="1A18BAF4">
        <w:rPr>
          <w:rFonts w:ascii="Calibri" w:eastAsia="Times New Roman" w:hAnsi="Calibri" w:cs="Calibri"/>
          <w:color w:val="000000" w:themeColor="text1"/>
        </w:rPr>
        <w:t>triple glazing</w:t>
      </w:r>
      <w:r w:rsidR="006D564E" w:rsidRPr="1A18BAF4">
        <w:rPr>
          <w:rFonts w:ascii="Calibri" w:eastAsia="Times New Roman" w:hAnsi="Calibri" w:cs="Calibri"/>
          <w:color w:val="000000" w:themeColor="text1"/>
        </w:rPr>
        <w:t xml:space="preserve"> </w:t>
      </w:r>
      <w:r w:rsidR="009650B8" w:rsidRPr="1A18BAF4">
        <w:rPr>
          <w:rFonts w:ascii="Calibri" w:eastAsia="Times New Roman" w:hAnsi="Calibri" w:cs="Calibri"/>
          <w:color w:val="000000" w:themeColor="text1"/>
        </w:rPr>
        <w:t xml:space="preserve">exhibit </w:t>
      </w:r>
      <w:r w:rsidR="006A3CCA" w:rsidRPr="1A18BAF4">
        <w:rPr>
          <w:rFonts w:ascii="Calibri" w:eastAsia="Times New Roman" w:hAnsi="Calibri" w:cs="Calibri"/>
          <w:color w:val="000000" w:themeColor="text1"/>
        </w:rPr>
        <w:t xml:space="preserve">the </w:t>
      </w:r>
      <w:r w:rsidR="00B643DA" w:rsidRPr="1A18BAF4">
        <w:rPr>
          <w:rFonts w:ascii="Calibri" w:eastAsia="Times New Roman" w:hAnsi="Calibri" w:cs="Calibri"/>
          <w:color w:val="000000" w:themeColor="text1"/>
        </w:rPr>
        <w:t xml:space="preserve">highest overall impacts </w:t>
      </w:r>
      <w:r w:rsidR="242C663D" w:rsidRPr="1A18BAF4">
        <w:rPr>
          <w:rFonts w:ascii="Calibri" w:eastAsia="Times New Roman" w:hAnsi="Calibri" w:cs="Calibri"/>
          <w:color w:val="000000" w:themeColor="text1"/>
        </w:rPr>
        <w:t xml:space="preserve">in </w:t>
      </w:r>
      <w:r w:rsidR="333BC5A3" w:rsidRPr="1A18BAF4">
        <w:rPr>
          <w:rFonts w:ascii="Calibri" w:eastAsia="Times New Roman" w:hAnsi="Calibri" w:cs="Calibri"/>
          <w:color w:val="000000" w:themeColor="text1"/>
        </w:rPr>
        <w:t xml:space="preserve">the </w:t>
      </w:r>
      <w:r w:rsidR="242C663D" w:rsidRPr="1A18BAF4">
        <w:rPr>
          <w:rFonts w:ascii="Calibri" w:eastAsia="Times New Roman" w:hAnsi="Calibri" w:cs="Calibri"/>
          <w:color w:val="000000" w:themeColor="text1"/>
        </w:rPr>
        <w:t>climate change</w:t>
      </w:r>
      <w:r w:rsidR="30F4603E" w:rsidRPr="1A18BAF4">
        <w:rPr>
          <w:rFonts w:ascii="Calibri" w:eastAsia="Times New Roman" w:hAnsi="Calibri" w:cs="Calibri"/>
          <w:color w:val="000000" w:themeColor="text1"/>
        </w:rPr>
        <w:t xml:space="preserve"> category</w:t>
      </w:r>
      <w:r w:rsidR="00C26068" w:rsidRPr="1A18BAF4">
        <w:rPr>
          <w:rFonts w:ascii="Calibri" w:eastAsia="Times New Roman" w:hAnsi="Calibri" w:cs="Calibri"/>
          <w:color w:val="000000" w:themeColor="text1"/>
        </w:rPr>
        <w:t xml:space="preserve"> </w:t>
      </w:r>
      <w:r w:rsidR="4129D3F5" w:rsidRPr="1A18BAF4">
        <w:rPr>
          <w:rFonts w:ascii="Calibri" w:eastAsia="Times New Roman" w:hAnsi="Calibri" w:cs="Calibri"/>
          <w:color w:val="000000" w:themeColor="text1"/>
        </w:rPr>
        <w:t>under</w:t>
      </w:r>
      <w:r w:rsidR="009650B8" w:rsidRPr="1A18BAF4">
        <w:rPr>
          <w:rFonts w:ascii="Calibri" w:eastAsia="Times New Roman" w:hAnsi="Calibri" w:cs="Calibri"/>
          <w:color w:val="000000" w:themeColor="text1"/>
        </w:rPr>
        <w:t xml:space="preserve"> the</w:t>
      </w:r>
      <w:r w:rsidR="00C26068" w:rsidRPr="1A18BAF4">
        <w:rPr>
          <w:rFonts w:ascii="Calibri" w:eastAsia="Times New Roman" w:hAnsi="Calibri" w:cs="Calibri"/>
          <w:color w:val="000000" w:themeColor="text1"/>
        </w:rPr>
        <w:t xml:space="preserve"> BAU scenario</w:t>
      </w:r>
      <w:r w:rsidR="00472E2C" w:rsidRPr="1A18BAF4">
        <w:rPr>
          <w:rFonts w:ascii="Calibri" w:eastAsia="Times New Roman" w:hAnsi="Calibri" w:cs="Calibri"/>
          <w:color w:val="000000" w:themeColor="text1"/>
        </w:rPr>
        <w:t xml:space="preserve">, whereas </w:t>
      </w:r>
      <w:r w:rsidR="1AF2FD39" w:rsidRPr="1A18BAF4">
        <w:rPr>
          <w:rFonts w:ascii="Calibri" w:eastAsia="Times New Roman" w:hAnsi="Calibri" w:cs="Calibri"/>
          <w:color w:val="000000" w:themeColor="text1"/>
        </w:rPr>
        <w:t>double glazing</w:t>
      </w:r>
      <w:r w:rsidR="00472E2C" w:rsidRPr="1A18BAF4">
        <w:rPr>
          <w:rFonts w:ascii="Calibri" w:eastAsia="Times New Roman" w:hAnsi="Calibri" w:cs="Calibri"/>
          <w:color w:val="000000" w:themeColor="text1"/>
        </w:rPr>
        <w:t xml:space="preserve"> </w:t>
      </w:r>
      <w:r w:rsidR="009650B8" w:rsidRPr="1A18BAF4">
        <w:rPr>
          <w:rFonts w:ascii="Calibri" w:eastAsia="Times New Roman" w:hAnsi="Calibri" w:cs="Calibri"/>
          <w:color w:val="000000" w:themeColor="text1"/>
        </w:rPr>
        <w:t>show</w:t>
      </w:r>
      <w:r w:rsidR="657CFA17" w:rsidRPr="1A18BAF4">
        <w:rPr>
          <w:rFonts w:ascii="Calibri" w:eastAsia="Times New Roman" w:hAnsi="Calibri" w:cs="Calibri"/>
          <w:color w:val="000000" w:themeColor="text1"/>
        </w:rPr>
        <w:t>s</w:t>
      </w:r>
      <w:r w:rsidR="00472E2C" w:rsidRPr="1A18BAF4">
        <w:rPr>
          <w:rFonts w:ascii="Calibri" w:eastAsia="Times New Roman" w:hAnsi="Calibri" w:cs="Calibri"/>
          <w:color w:val="000000" w:themeColor="text1"/>
        </w:rPr>
        <w:t xml:space="preserve"> the highest overall impacts</w:t>
      </w:r>
      <w:r w:rsidR="76DE1C5F" w:rsidRPr="1A18BAF4">
        <w:rPr>
          <w:rFonts w:ascii="Calibri" w:eastAsia="Times New Roman" w:hAnsi="Calibri" w:cs="Calibri"/>
          <w:color w:val="000000" w:themeColor="text1"/>
        </w:rPr>
        <w:t xml:space="preserve"> </w:t>
      </w:r>
      <w:r w:rsidR="5A65AB62" w:rsidRPr="1A18BAF4">
        <w:rPr>
          <w:rFonts w:ascii="Calibri" w:eastAsia="Times New Roman" w:hAnsi="Calibri" w:cs="Calibri"/>
          <w:color w:val="000000" w:themeColor="text1"/>
        </w:rPr>
        <w:t>under</w:t>
      </w:r>
      <w:r w:rsidR="009650B8" w:rsidRPr="1A18BAF4">
        <w:rPr>
          <w:rFonts w:ascii="Calibri" w:eastAsia="Times New Roman" w:hAnsi="Calibri" w:cs="Calibri"/>
          <w:color w:val="000000" w:themeColor="text1"/>
        </w:rPr>
        <w:t xml:space="preserve"> the</w:t>
      </w:r>
      <w:r w:rsidR="00472E2C" w:rsidRPr="1A18BAF4">
        <w:rPr>
          <w:rFonts w:ascii="Calibri" w:eastAsia="Times New Roman" w:hAnsi="Calibri" w:cs="Calibri"/>
          <w:color w:val="000000" w:themeColor="text1"/>
        </w:rPr>
        <w:t xml:space="preserve"> CIR scenario. </w:t>
      </w:r>
      <w:r w:rsidR="00291F55" w:rsidRPr="1A18BAF4">
        <w:rPr>
          <w:rFonts w:ascii="Calibri" w:eastAsia="Times New Roman" w:hAnsi="Calibri" w:cs="Calibri"/>
          <w:color w:val="000000" w:themeColor="text1"/>
        </w:rPr>
        <w:t xml:space="preserve">For </w:t>
      </w:r>
      <w:r w:rsidR="009650B8" w:rsidRPr="1A18BAF4">
        <w:rPr>
          <w:rFonts w:ascii="Calibri" w:eastAsia="Times New Roman" w:hAnsi="Calibri" w:cs="Calibri"/>
          <w:color w:val="000000" w:themeColor="text1"/>
        </w:rPr>
        <w:t xml:space="preserve">the </w:t>
      </w:r>
      <w:r w:rsidR="00291F55" w:rsidRPr="1A18BAF4">
        <w:rPr>
          <w:rFonts w:ascii="Calibri" w:eastAsia="Times New Roman" w:hAnsi="Calibri" w:cs="Calibri"/>
          <w:color w:val="000000" w:themeColor="text1"/>
        </w:rPr>
        <w:t>BAU scenario</w:t>
      </w:r>
      <w:r w:rsidR="6AD6F1CB" w:rsidRPr="1A18BAF4">
        <w:rPr>
          <w:rFonts w:ascii="Calibri" w:eastAsia="Times New Roman" w:hAnsi="Calibri" w:cs="Calibri"/>
          <w:color w:val="000000" w:themeColor="text1"/>
        </w:rPr>
        <w:t xml:space="preserve"> in climate change impact category</w:t>
      </w:r>
      <w:r w:rsidR="00967F9F" w:rsidRPr="1A18BAF4">
        <w:rPr>
          <w:rFonts w:ascii="Calibri" w:eastAsia="Times New Roman" w:hAnsi="Calibri" w:cs="Calibri"/>
          <w:color w:val="000000" w:themeColor="text1"/>
        </w:rPr>
        <w:t xml:space="preserve">, </w:t>
      </w:r>
      <w:r w:rsidR="00EB0585" w:rsidRPr="1A18BAF4">
        <w:rPr>
          <w:rFonts w:ascii="Calibri" w:eastAsia="Times New Roman" w:hAnsi="Calibri" w:cs="Calibri"/>
          <w:color w:val="000000" w:themeColor="text1"/>
        </w:rPr>
        <w:t>the building components are ranked from</w:t>
      </w:r>
      <w:r w:rsidR="0BA406E2" w:rsidRPr="1A18BAF4">
        <w:rPr>
          <w:rFonts w:ascii="Calibri" w:eastAsia="Times New Roman" w:hAnsi="Calibri" w:cs="Calibri"/>
          <w:color w:val="000000" w:themeColor="text1"/>
        </w:rPr>
        <w:t xml:space="preserve"> the</w:t>
      </w:r>
      <w:r w:rsidR="00EB0585" w:rsidRPr="1A18BAF4">
        <w:rPr>
          <w:rFonts w:ascii="Calibri" w:eastAsia="Times New Roman" w:hAnsi="Calibri" w:cs="Calibri"/>
          <w:color w:val="000000" w:themeColor="text1"/>
        </w:rPr>
        <w:t xml:space="preserve"> most to least environmentally impactful as follows: </w:t>
      </w:r>
      <w:r w:rsidR="1CE7F969" w:rsidRPr="1A18BAF4">
        <w:rPr>
          <w:rFonts w:ascii="Calibri" w:eastAsia="Times New Roman" w:hAnsi="Calibri" w:cs="Calibri"/>
          <w:color w:val="000000" w:themeColor="text1"/>
        </w:rPr>
        <w:t>triple glazing</w:t>
      </w:r>
      <w:r w:rsidR="00675752" w:rsidRPr="1A18BAF4">
        <w:rPr>
          <w:rFonts w:ascii="Calibri" w:eastAsia="Times New Roman" w:hAnsi="Calibri" w:cs="Calibri"/>
          <w:color w:val="000000" w:themeColor="text1"/>
        </w:rPr>
        <w:t xml:space="preserve"> </w:t>
      </w:r>
      <w:r w:rsidR="00B24EC0" w:rsidRPr="1A18BAF4">
        <w:rPr>
          <w:rFonts w:ascii="Calibri" w:eastAsia="Times New Roman" w:hAnsi="Calibri" w:cs="Calibri"/>
          <w:color w:val="000000" w:themeColor="text1"/>
        </w:rPr>
        <w:t>&gt;</w:t>
      </w:r>
      <w:r w:rsidR="00B643DA" w:rsidRPr="1A18BAF4">
        <w:rPr>
          <w:rFonts w:ascii="Calibri" w:eastAsia="Times New Roman" w:hAnsi="Calibri" w:cs="Calibri"/>
          <w:color w:val="000000" w:themeColor="text1"/>
        </w:rPr>
        <w:t xml:space="preserve"> </w:t>
      </w:r>
      <w:r w:rsidR="0BA4012A" w:rsidRPr="1A18BAF4">
        <w:rPr>
          <w:rFonts w:ascii="Calibri" w:eastAsia="Times New Roman" w:hAnsi="Calibri" w:cs="Calibri"/>
          <w:color w:val="000000" w:themeColor="text1"/>
        </w:rPr>
        <w:t>natural slate tiles</w:t>
      </w:r>
      <w:r w:rsidR="00412E75" w:rsidRPr="1A18BAF4">
        <w:rPr>
          <w:rFonts w:ascii="Calibri" w:eastAsia="Times New Roman" w:hAnsi="Calibri" w:cs="Calibri"/>
          <w:color w:val="000000" w:themeColor="text1"/>
        </w:rPr>
        <w:t xml:space="preserve"> &gt;</w:t>
      </w:r>
      <w:r w:rsidR="00675752" w:rsidRPr="1A18BAF4">
        <w:rPr>
          <w:rFonts w:ascii="Calibri" w:eastAsia="Times New Roman" w:hAnsi="Calibri" w:cs="Calibri"/>
          <w:color w:val="000000" w:themeColor="text1"/>
        </w:rPr>
        <w:t xml:space="preserve"> </w:t>
      </w:r>
      <w:r w:rsidR="459FA17C" w:rsidRPr="1A18BAF4">
        <w:rPr>
          <w:rFonts w:ascii="Calibri" w:eastAsia="Times New Roman" w:hAnsi="Calibri" w:cs="Calibri"/>
          <w:color w:val="000000" w:themeColor="text1"/>
        </w:rPr>
        <w:t>vinyl floor surfaces</w:t>
      </w:r>
      <w:r w:rsidR="00412E75" w:rsidRPr="1A18BAF4">
        <w:rPr>
          <w:rFonts w:ascii="Calibri" w:eastAsia="Times New Roman" w:hAnsi="Calibri" w:cs="Calibri"/>
          <w:color w:val="000000" w:themeColor="text1"/>
        </w:rPr>
        <w:t xml:space="preserve"> &gt;</w:t>
      </w:r>
      <w:r w:rsidR="00675752" w:rsidRPr="1A18BAF4">
        <w:rPr>
          <w:rFonts w:ascii="Calibri" w:eastAsia="Times New Roman" w:hAnsi="Calibri" w:cs="Calibri"/>
          <w:color w:val="000000" w:themeColor="text1"/>
        </w:rPr>
        <w:t xml:space="preserve"> </w:t>
      </w:r>
      <w:r w:rsidR="3EFAEDF0" w:rsidRPr="1A18BAF4">
        <w:rPr>
          <w:rFonts w:ascii="Calibri" w:eastAsia="Times New Roman" w:hAnsi="Calibri" w:cs="Calibri"/>
          <w:color w:val="000000" w:themeColor="text1"/>
        </w:rPr>
        <w:t>wooden window frames</w:t>
      </w:r>
      <w:r w:rsidR="003970ED" w:rsidRPr="1A18BAF4">
        <w:rPr>
          <w:rFonts w:ascii="Calibri" w:eastAsia="Times New Roman" w:hAnsi="Calibri" w:cs="Calibri"/>
          <w:color w:val="000000" w:themeColor="text1"/>
        </w:rPr>
        <w:t xml:space="preserve"> &gt;</w:t>
      </w:r>
      <w:r w:rsidR="00412E75" w:rsidRPr="1A18BAF4">
        <w:rPr>
          <w:rFonts w:ascii="Calibri" w:eastAsia="Times New Roman" w:hAnsi="Calibri" w:cs="Calibri"/>
          <w:color w:val="000000" w:themeColor="text1"/>
        </w:rPr>
        <w:t xml:space="preserve"> </w:t>
      </w:r>
      <w:r w:rsidR="7D2F5BE0" w:rsidRPr="1A18BAF4">
        <w:rPr>
          <w:rFonts w:ascii="Calibri" w:eastAsia="Times New Roman" w:hAnsi="Calibri" w:cs="Calibri"/>
          <w:color w:val="000000" w:themeColor="text1"/>
        </w:rPr>
        <w:t>ceramic tiles</w:t>
      </w:r>
      <w:r w:rsidR="233E0F9F" w:rsidRPr="1A18BAF4">
        <w:rPr>
          <w:rFonts w:ascii="Calibri" w:eastAsia="Times New Roman" w:hAnsi="Calibri" w:cs="Calibri"/>
          <w:color w:val="000000" w:themeColor="text1"/>
        </w:rPr>
        <w:t xml:space="preserve"> &gt;</w:t>
      </w:r>
      <w:r w:rsidR="00675752" w:rsidRPr="1A18BAF4">
        <w:rPr>
          <w:rFonts w:ascii="Calibri" w:eastAsia="Times New Roman" w:hAnsi="Calibri" w:cs="Calibri"/>
          <w:color w:val="000000" w:themeColor="text1"/>
        </w:rPr>
        <w:t xml:space="preserve"> </w:t>
      </w:r>
      <w:r w:rsidR="13709D0B" w:rsidRPr="1A18BAF4">
        <w:rPr>
          <w:rFonts w:ascii="Calibri" w:eastAsia="Times New Roman" w:hAnsi="Calibri" w:cs="Calibri"/>
          <w:color w:val="000000" w:themeColor="text1"/>
        </w:rPr>
        <w:t>internal doors</w:t>
      </w:r>
      <w:r w:rsidR="00412E75" w:rsidRPr="1A18BAF4">
        <w:rPr>
          <w:rFonts w:ascii="Calibri" w:eastAsia="Times New Roman" w:hAnsi="Calibri" w:cs="Calibri"/>
          <w:color w:val="000000" w:themeColor="text1"/>
        </w:rPr>
        <w:t xml:space="preserve">. </w:t>
      </w:r>
      <w:r w:rsidR="365BEBA2" w:rsidRPr="1A18BAF4">
        <w:rPr>
          <w:rFonts w:ascii="Calibri" w:eastAsia="Times New Roman" w:hAnsi="Calibri" w:cs="Calibri"/>
          <w:color w:val="000000" w:themeColor="text1"/>
        </w:rPr>
        <w:t>As f</w:t>
      </w:r>
      <w:r w:rsidR="00412E75" w:rsidRPr="1A18BAF4">
        <w:rPr>
          <w:rFonts w:ascii="Calibri" w:eastAsia="Times New Roman" w:hAnsi="Calibri" w:cs="Calibri"/>
          <w:color w:val="000000" w:themeColor="text1"/>
        </w:rPr>
        <w:t xml:space="preserve">or </w:t>
      </w:r>
      <w:r w:rsidR="00EB0585" w:rsidRPr="1A18BAF4">
        <w:rPr>
          <w:rFonts w:ascii="Calibri" w:eastAsia="Times New Roman" w:hAnsi="Calibri" w:cs="Calibri"/>
          <w:color w:val="000000" w:themeColor="text1"/>
        </w:rPr>
        <w:t xml:space="preserve">the </w:t>
      </w:r>
      <w:r w:rsidR="00412E75" w:rsidRPr="1A18BAF4">
        <w:rPr>
          <w:rFonts w:ascii="Calibri" w:eastAsia="Times New Roman" w:hAnsi="Calibri" w:cs="Calibri"/>
          <w:color w:val="000000" w:themeColor="text1"/>
        </w:rPr>
        <w:t>CIR scenario</w:t>
      </w:r>
      <w:r w:rsidR="00EB0585" w:rsidRPr="1A18BAF4">
        <w:rPr>
          <w:rFonts w:ascii="Calibri" w:eastAsia="Times New Roman" w:hAnsi="Calibri" w:cs="Calibri"/>
          <w:color w:val="000000" w:themeColor="text1"/>
        </w:rPr>
        <w:t xml:space="preserve"> ranking:</w:t>
      </w:r>
      <w:r w:rsidR="00384787" w:rsidRPr="1A18BAF4">
        <w:rPr>
          <w:rFonts w:ascii="Calibri" w:eastAsia="Times New Roman" w:hAnsi="Calibri" w:cs="Calibri"/>
          <w:color w:val="000000" w:themeColor="text1"/>
        </w:rPr>
        <w:t xml:space="preserve"> </w:t>
      </w:r>
      <w:r w:rsidR="00F92ACC" w:rsidRPr="1A18BAF4">
        <w:rPr>
          <w:rFonts w:ascii="Calibri" w:eastAsia="Times New Roman" w:hAnsi="Calibri" w:cs="Calibri"/>
          <w:color w:val="000000" w:themeColor="text1"/>
        </w:rPr>
        <w:t>double glazing &gt; vinyl floor surfaces &gt;</w:t>
      </w:r>
      <w:r w:rsidR="00F8463A" w:rsidRPr="1A18BAF4">
        <w:rPr>
          <w:rFonts w:ascii="Calibri" w:eastAsia="Times New Roman" w:hAnsi="Calibri" w:cs="Calibri"/>
          <w:color w:val="000000" w:themeColor="text1"/>
        </w:rPr>
        <w:t xml:space="preserve"> </w:t>
      </w:r>
      <w:r w:rsidR="6C740C0A" w:rsidRPr="1A18BAF4">
        <w:rPr>
          <w:rFonts w:ascii="Calibri" w:eastAsia="Times New Roman" w:hAnsi="Calibri" w:cs="Calibri"/>
          <w:color w:val="000000" w:themeColor="text1"/>
        </w:rPr>
        <w:t xml:space="preserve">ceramic tiles &gt; </w:t>
      </w:r>
      <w:r w:rsidR="0051362A" w:rsidRPr="1A18BAF4">
        <w:rPr>
          <w:rFonts w:ascii="Calibri" w:eastAsia="Times New Roman" w:hAnsi="Calibri" w:cs="Calibri"/>
          <w:color w:val="000000" w:themeColor="text1"/>
        </w:rPr>
        <w:t>internal</w:t>
      </w:r>
      <w:r w:rsidR="6C740C0A" w:rsidRPr="1A18BAF4">
        <w:rPr>
          <w:rFonts w:ascii="Calibri" w:eastAsia="Times New Roman" w:hAnsi="Calibri" w:cs="Calibri"/>
          <w:color w:val="000000" w:themeColor="text1"/>
        </w:rPr>
        <w:t xml:space="preserve"> doors</w:t>
      </w:r>
      <w:r w:rsidR="48558610" w:rsidRPr="1A18BAF4">
        <w:rPr>
          <w:rFonts w:ascii="Calibri" w:eastAsia="Times New Roman" w:hAnsi="Calibri" w:cs="Calibri"/>
          <w:color w:val="000000" w:themeColor="text1"/>
        </w:rPr>
        <w:t xml:space="preserve"> </w:t>
      </w:r>
      <w:r w:rsidR="00047551" w:rsidRPr="1A18BAF4">
        <w:rPr>
          <w:rFonts w:ascii="Calibri" w:eastAsia="Times New Roman" w:hAnsi="Calibri" w:cs="Calibri"/>
          <w:color w:val="000000" w:themeColor="text1"/>
        </w:rPr>
        <w:t>&gt; wooden window frames</w:t>
      </w:r>
      <w:r w:rsidR="045DC81D" w:rsidRPr="1A18BAF4">
        <w:rPr>
          <w:rFonts w:ascii="Calibri" w:eastAsia="Times New Roman" w:hAnsi="Calibri" w:cs="Calibri"/>
          <w:color w:val="000000" w:themeColor="text1"/>
        </w:rPr>
        <w:t>,</w:t>
      </w:r>
      <w:r w:rsidR="0051362A" w:rsidRPr="1A18BAF4">
        <w:rPr>
          <w:rFonts w:ascii="Calibri" w:eastAsia="Times New Roman" w:hAnsi="Calibri" w:cs="Calibri"/>
          <w:color w:val="000000" w:themeColor="text1"/>
        </w:rPr>
        <w:t xml:space="preserve"> </w:t>
      </w:r>
      <w:r w:rsidR="00F8463A" w:rsidRPr="1A18BAF4">
        <w:rPr>
          <w:rFonts w:ascii="Calibri" w:eastAsia="Times New Roman" w:hAnsi="Calibri" w:cs="Calibri"/>
          <w:color w:val="000000" w:themeColor="text1"/>
        </w:rPr>
        <w:t>natural slate roof tiles</w:t>
      </w:r>
      <w:r w:rsidR="003D2E5B" w:rsidRPr="1A18BAF4">
        <w:rPr>
          <w:rFonts w:ascii="Calibri" w:eastAsia="Times New Roman" w:hAnsi="Calibri" w:cs="Calibri"/>
          <w:color w:val="000000" w:themeColor="text1"/>
        </w:rPr>
        <w:t xml:space="preserve">. </w:t>
      </w:r>
    </w:p>
    <w:p w14:paraId="6D8C2652" w14:textId="0FE3FF8E" w:rsidR="009148F5" w:rsidRPr="00301E73" w:rsidRDefault="7AF3C6B4" w:rsidP="3FF9ACFD">
      <w:pPr>
        <w:spacing w:after="40" w:line="240" w:lineRule="auto"/>
        <w:jc w:val="center"/>
      </w:pPr>
      <w:r>
        <w:rPr>
          <w:noProof/>
        </w:rPr>
        <w:lastRenderedPageBreak/>
        <w:drawing>
          <wp:inline distT="0" distB="0" distL="0" distR="0" wp14:anchorId="5348DBE0" wp14:editId="18BFC786">
            <wp:extent cx="5715000" cy="3171825"/>
            <wp:effectExtent l="0" t="0" r="0" b="0"/>
            <wp:docPr id="18057800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780069" name="Picture 1805780069"/>
                    <pic:cNvPicPr/>
                  </pic:nvPicPr>
                  <pic:blipFill>
                    <a:blip r:embed="rId15">
                      <a:extLst>
                        <a:ext uri="{28A0092B-C50C-407E-A947-70E740481C1C}">
                          <a14:useLocalDpi xmlns:a14="http://schemas.microsoft.com/office/drawing/2010/main"/>
                        </a:ext>
                      </a:extLst>
                    </a:blip>
                    <a:stretch>
                      <a:fillRect/>
                    </a:stretch>
                  </pic:blipFill>
                  <pic:spPr>
                    <a:xfrm>
                      <a:off x="0" y="0"/>
                      <a:ext cx="5715000" cy="3171825"/>
                    </a:xfrm>
                    <a:prstGeom prst="rect">
                      <a:avLst/>
                    </a:prstGeom>
                  </pic:spPr>
                </pic:pic>
              </a:graphicData>
            </a:graphic>
          </wp:inline>
        </w:drawing>
      </w:r>
    </w:p>
    <w:p w14:paraId="3C1CC44E" w14:textId="2A20DD90" w:rsidR="009148F5" w:rsidRPr="0011502B" w:rsidRDefault="00C90E18" w:rsidP="0011502B">
      <w:pPr>
        <w:pStyle w:val="Caption"/>
        <w:jc w:val="center"/>
        <w:rPr>
          <w:rFonts w:ascii="Times New Roman" w:eastAsia="Times New Roman" w:hAnsi="Times New Roman" w:cs="Times New Roman"/>
          <w:color w:val="000000" w:themeColor="text1"/>
          <w:sz w:val="24"/>
          <w:szCs w:val="24"/>
        </w:rPr>
      </w:pPr>
      <w:bookmarkStart w:id="5" w:name="_Ref233612607"/>
      <w:r w:rsidRPr="00C90E18">
        <w:rPr>
          <w:rFonts w:ascii="Calibri" w:hAnsi="Calibri" w:cs="Calibri"/>
          <w:sz w:val="20"/>
          <w:szCs w:val="20"/>
        </w:rPr>
        <w:t xml:space="preserve">Figure </w:t>
      </w:r>
      <w:r w:rsidR="00DB5026">
        <w:rPr>
          <w:rFonts w:ascii="Calibri" w:hAnsi="Calibri" w:cs="Calibri"/>
          <w:noProof/>
          <w:sz w:val="20"/>
          <w:szCs w:val="20"/>
        </w:rPr>
        <w:t>5</w:t>
      </w:r>
      <w:bookmarkEnd w:id="5"/>
      <w:r w:rsidR="005D4D2D">
        <w:rPr>
          <w:rFonts w:ascii="Calibri" w:hAnsi="Calibri" w:cs="Calibri"/>
          <w:sz w:val="20"/>
          <w:szCs w:val="20"/>
        </w:rPr>
        <w:t>.</w:t>
      </w:r>
      <w:r w:rsidR="11D8064B" w:rsidRPr="00C90E18">
        <w:rPr>
          <w:rFonts w:ascii="Calibri" w:hAnsi="Calibri" w:cs="Calibri"/>
          <w:sz w:val="20"/>
          <w:szCs w:val="20"/>
        </w:rPr>
        <w:t xml:space="preserve"> Normalised LCIA scores obtained for the BAU and CIR scenarios</w:t>
      </w:r>
    </w:p>
    <w:p w14:paraId="1F4033C7" w14:textId="38D6E736" w:rsidR="001F5426" w:rsidRDefault="00DB5026" w:rsidP="6F4BB06B">
      <w:pPr>
        <w:spacing w:after="40" w:line="240" w:lineRule="auto"/>
        <w:jc w:val="both"/>
        <w:rPr>
          <w:rFonts w:ascii="Calibri" w:eastAsia="Calibri" w:hAnsi="Calibri" w:cs="Calibri"/>
          <w:color w:val="000000" w:themeColor="text1"/>
          <w:lang w:val="en-IE"/>
        </w:rPr>
      </w:pPr>
      <w:r w:rsidRPr="3FF9ACFD">
        <w:rPr>
          <w:rFonts w:ascii="Calibri" w:hAnsi="Calibri" w:cs="Calibri"/>
        </w:rPr>
        <w:t xml:space="preserve">Figure </w:t>
      </w:r>
      <w:r w:rsidRPr="3FF9ACFD">
        <w:rPr>
          <w:rFonts w:ascii="Calibri" w:hAnsi="Calibri" w:cs="Calibri"/>
          <w:noProof/>
        </w:rPr>
        <w:t>6</w:t>
      </w:r>
      <w:r w:rsidR="00B36624" w:rsidRPr="3FF9ACFD">
        <w:rPr>
          <w:rFonts w:ascii="Calibri" w:eastAsia="Calibri" w:hAnsi="Calibri" w:cs="Calibri"/>
          <w:color w:val="000000" w:themeColor="text1"/>
          <w:lang w:val="en-IE"/>
        </w:rPr>
        <w:t xml:space="preserve"> </w:t>
      </w:r>
      <w:r w:rsidR="004C29BC" w:rsidRPr="3FF9ACFD">
        <w:rPr>
          <w:rFonts w:ascii="Calibri" w:eastAsia="Calibri" w:hAnsi="Calibri" w:cs="Calibri"/>
          <w:color w:val="000000" w:themeColor="text1"/>
          <w:lang w:val="en-IE"/>
        </w:rPr>
        <w:t>presents</w:t>
      </w:r>
      <w:r w:rsidR="00786275" w:rsidRPr="3FF9ACFD">
        <w:rPr>
          <w:rFonts w:ascii="Calibri" w:eastAsia="Calibri" w:hAnsi="Calibri" w:cs="Calibri"/>
          <w:color w:val="000000" w:themeColor="text1"/>
          <w:lang w:val="en-IE"/>
        </w:rPr>
        <w:t xml:space="preserve"> the contribution analysis of </w:t>
      </w:r>
      <w:r w:rsidR="00292255" w:rsidRPr="3FF9ACFD">
        <w:rPr>
          <w:rFonts w:ascii="Calibri" w:eastAsia="Calibri" w:hAnsi="Calibri" w:cs="Calibri"/>
          <w:color w:val="000000" w:themeColor="text1"/>
          <w:lang w:val="en-IE"/>
        </w:rPr>
        <w:t xml:space="preserve">building components in </w:t>
      </w:r>
      <w:r w:rsidR="00BC3439" w:rsidRPr="3FF9ACFD">
        <w:rPr>
          <w:rFonts w:ascii="Calibri" w:eastAsia="Calibri" w:hAnsi="Calibri" w:cs="Calibri"/>
          <w:color w:val="000000" w:themeColor="text1"/>
          <w:lang w:val="en-IE"/>
        </w:rPr>
        <w:t xml:space="preserve">the </w:t>
      </w:r>
      <w:r w:rsidR="00292255" w:rsidRPr="3FF9ACFD">
        <w:rPr>
          <w:rFonts w:ascii="Calibri" w:eastAsia="Calibri" w:hAnsi="Calibri" w:cs="Calibri"/>
          <w:color w:val="000000" w:themeColor="text1"/>
          <w:lang w:val="en-IE"/>
        </w:rPr>
        <w:t>BAU scenario across</w:t>
      </w:r>
      <w:r w:rsidR="00BC3439" w:rsidRPr="3FF9ACFD">
        <w:rPr>
          <w:rFonts w:ascii="Calibri" w:eastAsia="Calibri" w:hAnsi="Calibri" w:cs="Calibri"/>
          <w:color w:val="000000" w:themeColor="text1"/>
          <w:lang w:val="en-IE"/>
        </w:rPr>
        <w:t xml:space="preserve"> the</w:t>
      </w:r>
      <w:r w:rsidR="00292255" w:rsidRPr="3FF9ACFD">
        <w:rPr>
          <w:rFonts w:ascii="Calibri" w:eastAsia="Calibri" w:hAnsi="Calibri" w:cs="Calibri"/>
          <w:color w:val="000000" w:themeColor="text1"/>
          <w:lang w:val="en-IE"/>
        </w:rPr>
        <w:t xml:space="preserve"> </w:t>
      </w:r>
      <w:r w:rsidR="15CF036D" w:rsidRPr="3FF9ACFD">
        <w:rPr>
          <w:rFonts w:ascii="Calibri" w:eastAsia="Calibri" w:hAnsi="Calibri" w:cs="Calibri"/>
          <w:color w:val="000000" w:themeColor="text1"/>
          <w:lang w:val="en-IE"/>
        </w:rPr>
        <w:t>7</w:t>
      </w:r>
      <w:r w:rsidR="00292255" w:rsidRPr="3FF9ACFD">
        <w:rPr>
          <w:rFonts w:ascii="Calibri" w:eastAsia="Calibri" w:hAnsi="Calibri" w:cs="Calibri"/>
          <w:color w:val="000000" w:themeColor="text1"/>
          <w:lang w:val="en-IE"/>
        </w:rPr>
        <w:t xml:space="preserve"> impact categories.</w:t>
      </w:r>
      <w:r w:rsidR="00292255" w:rsidRPr="3FF9ACFD">
        <w:rPr>
          <w:rFonts w:ascii="Calibri" w:eastAsia="Calibri" w:hAnsi="Calibri" w:cs="Calibri"/>
          <w:b/>
          <w:bCs/>
          <w:color w:val="000000" w:themeColor="text1"/>
          <w:lang w:val="en-IE"/>
        </w:rPr>
        <w:t xml:space="preserve"> </w:t>
      </w:r>
      <w:r w:rsidR="00CA7983" w:rsidRPr="3FF9ACFD">
        <w:rPr>
          <w:rFonts w:ascii="Calibri" w:eastAsia="Calibri" w:hAnsi="Calibri" w:cs="Calibri"/>
          <w:b/>
          <w:bCs/>
          <w:color w:val="000000" w:themeColor="text1"/>
          <w:lang w:val="en-IE"/>
        </w:rPr>
        <w:t>Climate change:</w:t>
      </w:r>
      <w:r w:rsidR="00786275" w:rsidRPr="3FF9ACFD">
        <w:rPr>
          <w:rFonts w:ascii="Calibri" w:eastAsia="Calibri" w:hAnsi="Calibri" w:cs="Calibri"/>
          <w:b/>
          <w:bCs/>
          <w:color w:val="000000" w:themeColor="text1"/>
          <w:lang w:val="en-IE"/>
        </w:rPr>
        <w:t xml:space="preserve"> </w:t>
      </w:r>
      <w:r w:rsidR="40D5972D" w:rsidRPr="3FF9ACFD">
        <w:rPr>
          <w:rFonts w:ascii="Calibri" w:eastAsia="Calibri" w:hAnsi="Calibri" w:cs="Calibri"/>
          <w:color w:val="000000" w:themeColor="text1"/>
          <w:lang w:val="en-IE"/>
        </w:rPr>
        <w:t>Triple glazing</w:t>
      </w:r>
      <w:r w:rsidR="00CA7983" w:rsidRPr="3FF9ACFD">
        <w:rPr>
          <w:rFonts w:ascii="Calibri" w:eastAsia="Calibri" w:hAnsi="Calibri" w:cs="Calibri"/>
          <w:color w:val="000000" w:themeColor="text1"/>
          <w:lang w:val="en-IE"/>
        </w:rPr>
        <w:t xml:space="preserve"> </w:t>
      </w:r>
      <w:r w:rsidR="4C80206E" w:rsidRPr="3FF9ACFD">
        <w:rPr>
          <w:rFonts w:ascii="Calibri" w:eastAsia="Calibri" w:hAnsi="Calibri" w:cs="Calibri"/>
          <w:color w:val="000000" w:themeColor="text1"/>
          <w:lang w:val="en-IE"/>
        </w:rPr>
        <w:t>was</w:t>
      </w:r>
      <w:r w:rsidR="00BC3439" w:rsidRPr="3FF9ACFD">
        <w:rPr>
          <w:rFonts w:ascii="Calibri" w:eastAsia="Calibri" w:hAnsi="Calibri" w:cs="Calibri"/>
          <w:color w:val="000000" w:themeColor="text1"/>
          <w:lang w:val="en-IE"/>
        </w:rPr>
        <w:t xml:space="preserve"> the main contributor to</w:t>
      </w:r>
      <w:r w:rsidR="00CA7983" w:rsidRPr="3FF9ACFD">
        <w:rPr>
          <w:rFonts w:ascii="Calibri" w:eastAsia="Calibri" w:hAnsi="Calibri" w:cs="Calibri"/>
          <w:color w:val="000000" w:themeColor="text1"/>
          <w:lang w:val="en-IE"/>
        </w:rPr>
        <w:t xml:space="preserve"> climate change impact (2</w:t>
      </w:r>
      <w:r w:rsidR="698AB919" w:rsidRPr="3FF9ACFD">
        <w:rPr>
          <w:rFonts w:ascii="Calibri" w:eastAsia="Calibri" w:hAnsi="Calibri" w:cs="Calibri"/>
          <w:color w:val="000000" w:themeColor="text1"/>
          <w:lang w:val="en-IE"/>
        </w:rPr>
        <w:t>9</w:t>
      </w:r>
      <w:r w:rsidR="00CA7983" w:rsidRPr="3FF9ACFD">
        <w:rPr>
          <w:rFonts w:ascii="Calibri" w:eastAsia="Calibri" w:hAnsi="Calibri" w:cs="Calibri"/>
          <w:color w:val="000000" w:themeColor="text1"/>
          <w:lang w:val="en-IE"/>
        </w:rPr>
        <w:t>.</w:t>
      </w:r>
      <w:r w:rsidR="49D890F7" w:rsidRPr="3FF9ACFD">
        <w:rPr>
          <w:rFonts w:ascii="Calibri" w:eastAsia="Calibri" w:hAnsi="Calibri" w:cs="Calibri"/>
          <w:color w:val="000000" w:themeColor="text1"/>
          <w:lang w:val="en-IE"/>
        </w:rPr>
        <w:t>8</w:t>
      </w:r>
      <w:r w:rsidR="00CA7983" w:rsidRPr="3FF9ACFD">
        <w:rPr>
          <w:rFonts w:ascii="Calibri" w:eastAsia="Calibri" w:hAnsi="Calibri" w:cs="Calibri"/>
          <w:color w:val="000000" w:themeColor="text1"/>
          <w:lang w:val="en-IE"/>
        </w:rPr>
        <w:t xml:space="preserve">%), followed by </w:t>
      </w:r>
      <w:r w:rsidR="2CAD5382" w:rsidRPr="3FF9ACFD">
        <w:rPr>
          <w:rFonts w:ascii="Calibri" w:eastAsia="Calibri" w:hAnsi="Calibri" w:cs="Calibri"/>
          <w:color w:val="000000" w:themeColor="text1"/>
          <w:lang w:val="en-IE"/>
        </w:rPr>
        <w:t>natural slate roof tiles</w:t>
      </w:r>
      <w:r w:rsidR="00CA7983" w:rsidRPr="3FF9ACFD">
        <w:rPr>
          <w:rFonts w:ascii="Calibri" w:eastAsia="Calibri" w:hAnsi="Calibri" w:cs="Calibri"/>
          <w:color w:val="000000" w:themeColor="text1"/>
          <w:lang w:val="en-IE"/>
        </w:rPr>
        <w:t xml:space="preserve"> (2</w:t>
      </w:r>
      <w:r w:rsidR="779B4938" w:rsidRPr="3FF9ACFD">
        <w:rPr>
          <w:rFonts w:ascii="Calibri" w:eastAsia="Calibri" w:hAnsi="Calibri" w:cs="Calibri"/>
          <w:color w:val="000000" w:themeColor="text1"/>
          <w:lang w:val="en-IE"/>
        </w:rPr>
        <w:t>9</w:t>
      </w:r>
      <w:r w:rsidR="00CA7983" w:rsidRPr="3FF9ACFD">
        <w:rPr>
          <w:rFonts w:ascii="Calibri" w:eastAsia="Calibri" w:hAnsi="Calibri" w:cs="Calibri"/>
          <w:color w:val="000000" w:themeColor="text1"/>
          <w:lang w:val="en-IE"/>
        </w:rPr>
        <w:t>.</w:t>
      </w:r>
      <w:r w:rsidR="69E1C79F" w:rsidRPr="3FF9ACFD">
        <w:rPr>
          <w:rFonts w:ascii="Calibri" w:eastAsia="Calibri" w:hAnsi="Calibri" w:cs="Calibri"/>
          <w:color w:val="000000" w:themeColor="text1"/>
          <w:lang w:val="en-IE"/>
        </w:rPr>
        <w:t>1</w:t>
      </w:r>
      <w:r w:rsidR="00CA7983" w:rsidRPr="3FF9ACFD">
        <w:rPr>
          <w:rFonts w:ascii="Calibri" w:eastAsia="Calibri" w:hAnsi="Calibri" w:cs="Calibri"/>
          <w:color w:val="000000" w:themeColor="text1"/>
          <w:lang w:val="en-IE"/>
        </w:rPr>
        <w:t xml:space="preserve">%) and </w:t>
      </w:r>
      <w:r w:rsidR="6DC44598" w:rsidRPr="3FF9ACFD">
        <w:rPr>
          <w:rFonts w:ascii="Calibri" w:eastAsia="Calibri" w:hAnsi="Calibri" w:cs="Calibri"/>
          <w:color w:val="000000" w:themeColor="text1"/>
          <w:lang w:val="en-IE"/>
        </w:rPr>
        <w:t>vinyl floor surfaces</w:t>
      </w:r>
      <w:r w:rsidR="00CA7983" w:rsidRPr="3FF9ACFD">
        <w:rPr>
          <w:rFonts w:ascii="Calibri" w:eastAsia="Calibri" w:hAnsi="Calibri" w:cs="Calibri"/>
          <w:color w:val="000000" w:themeColor="text1"/>
          <w:lang w:val="en-IE"/>
        </w:rPr>
        <w:t xml:space="preserve"> (</w:t>
      </w:r>
      <w:r w:rsidR="755B7920" w:rsidRPr="3FF9ACFD">
        <w:rPr>
          <w:rFonts w:ascii="Calibri" w:eastAsia="Calibri" w:hAnsi="Calibri" w:cs="Calibri"/>
          <w:color w:val="000000" w:themeColor="text1"/>
          <w:lang w:val="en-IE"/>
        </w:rPr>
        <w:t>14.8</w:t>
      </w:r>
      <w:r w:rsidR="00CA7983" w:rsidRPr="3FF9ACFD">
        <w:rPr>
          <w:rFonts w:ascii="Calibri" w:eastAsia="Calibri" w:hAnsi="Calibri" w:cs="Calibri"/>
          <w:color w:val="000000" w:themeColor="text1"/>
          <w:lang w:val="en-IE"/>
        </w:rPr>
        <w:t xml:space="preserve">%). </w:t>
      </w:r>
      <w:r w:rsidR="3CA829D9" w:rsidRPr="3FF9ACFD">
        <w:rPr>
          <w:rFonts w:ascii="Calibri" w:eastAsia="Calibri" w:hAnsi="Calibri" w:cs="Calibri"/>
          <w:color w:val="000000" w:themeColor="text1"/>
          <w:lang w:val="en-IE"/>
        </w:rPr>
        <w:t>Wooden window frames</w:t>
      </w:r>
      <w:r w:rsidR="00CA7983" w:rsidRPr="3FF9ACFD">
        <w:rPr>
          <w:rFonts w:ascii="Calibri" w:eastAsia="Calibri" w:hAnsi="Calibri" w:cs="Calibri"/>
          <w:color w:val="000000" w:themeColor="text1"/>
          <w:lang w:val="en-IE"/>
        </w:rPr>
        <w:t xml:space="preserve"> accounted for </w:t>
      </w:r>
      <w:r w:rsidR="2DAFA76F" w:rsidRPr="3FF9ACFD">
        <w:rPr>
          <w:rFonts w:ascii="Calibri" w:eastAsia="Calibri" w:hAnsi="Calibri" w:cs="Calibri"/>
          <w:color w:val="000000" w:themeColor="text1"/>
          <w:lang w:val="en-IE"/>
        </w:rPr>
        <w:t>9</w:t>
      </w:r>
      <w:r w:rsidR="00CA7983" w:rsidRPr="3FF9ACFD">
        <w:rPr>
          <w:rFonts w:ascii="Calibri" w:eastAsia="Calibri" w:hAnsi="Calibri" w:cs="Calibri"/>
          <w:color w:val="000000" w:themeColor="text1"/>
          <w:lang w:val="en-IE"/>
        </w:rPr>
        <w:t>.5% of the impacts, wh</w:t>
      </w:r>
      <w:r w:rsidR="00BC3439" w:rsidRPr="3FF9ACFD">
        <w:rPr>
          <w:rFonts w:ascii="Calibri" w:eastAsia="Calibri" w:hAnsi="Calibri" w:cs="Calibri"/>
          <w:color w:val="000000" w:themeColor="text1"/>
          <w:lang w:val="en-IE"/>
        </w:rPr>
        <w:t>ereas</w:t>
      </w:r>
      <w:r w:rsidR="00CA7983" w:rsidRPr="3FF9ACFD">
        <w:rPr>
          <w:rFonts w:ascii="Calibri" w:eastAsia="Calibri" w:hAnsi="Calibri" w:cs="Calibri"/>
          <w:color w:val="000000" w:themeColor="text1"/>
          <w:lang w:val="en-IE"/>
        </w:rPr>
        <w:t xml:space="preserve"> </w:t>
      </w:r>
      <w:r w:rsidR="5F19F22A" w:rsidRPr="3FF9ACFD">
        <w:rPr>
          <w:rFonts w:ascii="Calibri" w:eastAsia="Calibri" w:hAnsi="Calibri" w:cs="Calibri"/>
          <w:color w:val="000000" w:themeColor="text1"/>
          <w:lang w:val="en-IE"/>
        </w:rPr>
        <w:t>ceramic floor tiles</w:t>
      </w:r>
      <w:r w:rsidR="00CA7983" w:rsidRPr="3FF9ACFD">
        <w:rPr>
          <w:rFonts w:ascii="Calibri" w:eastAsia="Calibri" w:hAnsi="Calibri" w:cs="Calibri"/>
          <w:color w:val="000000" w:themeColor="text1"/>
          <w:lang w:val="en-IE"/>
        </w:rPr>
        <w:t xml:space="preserve"> and </w:t>
      </w:r>
      <w:r w:rsidR="5541A934" w:rsidRPr="3FF9ACFD">
        <w:rPr>
          <w:rFonts w:ascii="Calibri" w:eastAsia="Calibri" w:hAnsi="Calibri" w:cs="Calibri"/>
          <w:color w:val="000000" w:themeColor="text1"/>
          <w:lang w:val="en-IE"/>
        </w:rPr>
        <w:t>interior doors</w:t>
      </w:r>
      <w:r w:rsidR="00CA7983" w:rsidRPr="3FF9ACFD">
        <w:rPr>
          <w:rFonts w:ascii="Calibri" w:eastAsia="Calibri" w:hAnsi="Calibri" w:cs="Calibri"/>
          <w:color w:val="000000" w:themeColor="text1"/>
          <w:lang w:val="en-IE"/>
        </w:rPr>
        <w:t xml:space="preserve"> contributed </w:t>
      </w:r>
      <w:r w:rsidR="6EC18A31" w:rsidRPr="3FF9ACFD">
        <w:rPr>
          <w:rFonts w:ascii="Calibri" w:eastAsia="Calibri" w:hAnsi="Calibri" w:cs="Calibri"/>
          <w:color w:val="000000" w:themeColor="text1"/>
          <w:lang w:val="en-IE"/>
        </w:rPr>
        <w:t>8.7</w:t>
      </w:r>
      <w:r w:rsidR="00CA7983" w:rsidRPr="3FF9ACFD">
        <w:rPr>
          <w:rFonts w:ascii="Calibri" w:eastAsia="Calibri" w:hAnsi="Calibri" w:cs="Calibri"/>
          <w:color w:val="000000" w:themeColor="text1"/>
          <w:lang w:val="en-IE"/>
        </w:rPr>
        <w:t xml:space="preserve">% and </w:t>
      </w:r>
      <w:r w:rsidR="78998CAE" w:rsidRPr="3FF9ACFD">
        <w:rPr>
          <w:rFonts w:ascii="Calibri" w:eastAsia="Calibri" w:hAnsi="Calibri" w:cs="Calibri"/>
          <w:color w:val="000000" w:themeColor="text1"/>
          <w:lang w:val="en-IE"/>
        </w:rPr>
        <w:t>8.2</w:t>
      </w:r>
      <w:r w:rsidR="00CA7983" w:rsidRPr="3FF9ACFD">
        <w:rPr>
          <w:rFonts w:ascii="Calibri" w:eastAsia="Calibri" w:hAnsi="Calibri" w:cs="Calibri"/>
          <w:color w:val="000000" w:themeColor="text1"/>
          <w:lang w:val="en-IE"/>
        </w:rPr>
        <w:t>%, respectively.</w:t>
      </w:r>
      <w:r w:rsidR="00292255" w:rsidRPr="3FF9ACFD">
        <w:rPr>
          <w:rFonts w:ascii="Calibri" w:eastAsia="Calibri" w:hAnsi="Calibri" w:cs="Calibri"/>
          <w:b/>
          <w:bCs/>
          <w:color w:val="000000" w:themeColor="text1"/>
          <w:lang w:val="en-IE"/>
        </w:rPr>
        <w:t xml:space="preserve"> </w:t>
      </w:r>
      <w:r w:rsidR="008A4050" w:rsidRPr="3FF9ACFD">
        <w:rPr>
          <w:rFonts w:ascii="Calibri" w:eastAsia="Calibri" w:hAnsi="Calibri" w:cs="Calibri"/>
          <w:b/>
          <w:bCs/>
          <w:color w:val="000000" w:themeColor="text1"/>
          <w:lang w:val="en-IE"/>
        </w:rPr>
        <w:t xml:space="preserve">Ozone </w:t>
      </w:r>
      <w:r w:rsidR="00F1241F" w:rsidRPr="3FF9ACFD">
        <w:rPr>
          <w:rFonts w:ascii="Calibri" w:eastAsia="Calibri" w:hAnsi="Calibri" w:cs="Calibri"/>
          <w:b/>
          <w:bCs/>
          <w:color w:val="000000" w:themeColor="text1"/>
          <w:lang w:val="en-IE"/>
        </w:rPr>
        <w:t xml:space="preserve">depletion: </w:t>
      </w:r>
      <w:r w:rsidR="00F1241F" w:rsidRPr="3FF9ACFD">
        <w:rPr>
          <w:rFonts w:ascii="Calibri" w:eastAsia="Calibri" w:hAnsi="Calibri" w:cs="Calibri"/>
          <w:color w:val="000000" w:themeColor="text1"/>
          <w:lang w:val="en-IE"/>
        </w:rPr>
        <w:t xml:space="preserve">Vinyl floor surfaces </w:t>
      </w:r>
      <w:r w:rsidR="00B275AB" w:rsidRPr="3FF9ACFD">
        <w:rPr>
          <w:rFonts w:ascii="Calibri" w:eastAsia="Calibri" w:hAnsi="Calibri" w:cs="Calibri"/>
          <w:color w:val="000000" w:themeColor="text1"/>
          <w:lang w:val="en-IE"/>
        </w:rPr>
        <w:t xml:space="preserve">were </w:t>
      </w:r>
      <w:r w:rsidR="005E0959" w:rsidRPr="3FF9ACFD">
        <w:rPr>
          <w:rFonts w:ascii="Calibri" w:eastAsia="Calibri" w:hAnsi="Calibri" w:cs="Calibri"/>
          <w:color w:val="000000" w:themeColor="text1"/>
          <w:lang w:val="en-IE"/>
        </w:rPr>
        <w:t>responsible for the vast majority of ozone depletion (</w:t>
      </w:r>
      <w:r w:rsidR="5F9FA560" w:rsidRPr="3FF9ACFD">
        <w:rPr>
          <w:rFonts w:ascii="Calibri" w:eastAsia="Calibri" w:hAnsi="Calibri" w:cs="Calibri"/>
          <w:color w:val="000000" w:themeColor="text1"/>
          <w:lang w:val="en-IE"/>
        </w:rPr>
        <w:t>84</w:t>
      </w:r>
      <w:r w:rsidR="00212E36" w:rsidRPr="3FF9ACFD">
        <w:rPr>
          <w:rFonts w:ascii="Calibri" w:eastAsia="Calibri" w:hAnsi="Calibri" w:cs="Calibri"/>
          <w:color w:val="000000" w:themeColor="text1"/>
          <w:lang w:val="en-IE"/>
        </w:rPr>
        <w:t xml:space="preserve">%), while </w:t>
      </w:r>
      <w:r w:rsidR="15BEA4C8" w:rsidRPr="3FF9ACFD">
        <w:rPr>
          <w:rFonts w:ascii="Calibri" w:eastAsia="Calibri" w:hAnsi="Calibri" w:cs="Calibri"/>
          <w:color w:val="000000" w:themeColor="text1"/>
          <w:lang w:val="en-IE"/>
        </w:rPr>
        <w:t>triple glazing</w:t>
      </w:r>
      <w:r w:rsidR="003643E5" w:rsidRPr="3FF9ACFD">
        <w:rPr>
          <w:rFonts w:ascii="Calibri" w:eastAsia="Calibri" w:hAnsi="Calibri" w:cs="Calibri"/>
          <w:color w:val="000000" w:themeColor="text1"/>
          <w:lang w:val="en-IE"/>
        </w:rPr>
        <w:t xml:space="preserve"> and </w:t>
      </w:r>
      <w:r w:rsidR="2FE99FFE" w:rsidRPr="3FF9ACFD">
        <w:rPr>
          <w:rFonts w:ascii="Calibri" w:eastAsia="Calibri" w:hAnsi="Calibri" w:cs="Calibri"/>
          <w:color w:val="000000" w:themeColor="text1"/>
          <w:lang w:val="en-IE"/>
        </w:rPr>
        <w:t>natural slate roof tiles</w:t>
      </w:r>
      <w:r w:rsidR="003643E5" w:rsidRPr="3FF9ACFD">
        <w:rPr>
          <w:rFonts w:ascii="Calibri" w:eastAsia="Calibri" w:hAnsi="Calibri" w:cs="Calibri"/>
          <w:color w:val="000000" w:themeColor="text1"/>
          <w:lang w:val="en-IE"/>
        </w:rPr>
        <w:t xml:space="preserve"> contributed </w:t>
      </w:r>
      <w:r w:rsidR="00FC06E4" w:rsidRPr="3FF9ACFD">
        <w:rPr>
          <w:rFonts w:ascii="Calibri" w:eastAsia="Calibri" w:hAnsi="Calibri" w:cs="Calibri"/>
          <w:color w:val="000000" w:themeColor="text1"/>
          <w:lang w:val="en-IE"/>
        </w:rPr>
        <w:t>6.</w:t>
      </w:r>
      <w:r w:rsidR="061EE5D6" w:rsidRPr="3FF9ACFD">
        <w:rPr>
          <w:rFonts w:ascii="Calibri" w:eastAsia="Calibri" w:hAnsi="Calibri" w:cs="Calibri"/>
          <w:color w:val="000000" w:themeColor="text1"/>
          <w:lang w:val="en-IE"/>
        </w:rPr>
        <w:t>2</w:t>
      </w:r>
      <w:r w:rsidR="003643E5" w:rsidRPr="3FF9ACFD">
        <w:rPr>
          <w:rFonts w:ascii="Calibri" w:eastAsia="Calibri" w:hAnsi="Calibri" w:cs="Calibri"/>
          <w:color w:val="000000" w:themeColor="text1"/>
          <w:lang w:val="en-IE"/>
        </w:rPr>
        <w:t xml:space="preserve">% and </w:t>
      </w:r>
      <w:r w:rsidR="481118E2" w:rsidRPr="3FF9ACFD">
        <w:rPr>
          <w:rFonts w:ascii="Calibri" w:eastAsia="Calibri" w:hAnsi="Calibri" w:cs="Calibri"/>
          <w:color w:val="000000" w:themeColor="text1"/>
          <w:lang w:val="en-IE"/>
        </w:rPr>
        <w:t>4</w:t>
      </w:r>
      <w:r w:rsidR="003643E5" w:rsidRPr="3FF9ACFD">
        <w:rPr>
          <w:rFonts w:ascii="Calibri" w:eastAsia="Calibri" w:hAnsi="Calibri" w:cs="Calibri"/>
          <w:color w:val="000000" w:themeColor="text1"/>
          <w:lang w:val="en-IE"/>
        </w:rPr>
        <w:t>%, respectively.</w:t>
      </w:r>
      <w:r w:rsidR="00292255" w:rsidRPr="3FF9ACFD">
        <w:rPr>
          <w:rFonts w:ascii="Calibri" w:eastAsia="Calibri" w:hAnsi="Calibri" w:cs="Calibri"/>
          <w:b/>
          <w:bCs/>
          <w:color w:val="000000" w:themeColor="text1"/>
          <w:lang w:val="en-IE"/>
        </w:rPr>
        <w:t xml:space="preserve"> </w:t>
      </w:r>
      <w:r w:rsidR="00CA7983" w:rsidRPr="3FF9ACFD">
        <w:rPr>
          <w:rFonts w:ascii="Calibri" w:eastAsia="Calibri" w:hAnsi="Calibri" w:cs="Calibri"/>
          <w:b/>
          <w:bCs/>
          <w:color w:val="000000" w:themeColor="text1"/>
          <w:lang w:val="en-IE"/>
        </w:rPr>
        <w:t>Land use:</w:t>
      </w:r>
      <w:r w:rsidR="00786275" w:rsidRPr="3FF9ACFD">
        <w:rPr>
          <w:rFonts w:ascii="Calibri" w:eastAsia="Calibri" w:hAnsi="Calibri" w:cs="Calibri"/>
          <w:b/>
          <w:bCs/>
          <w:color w:val="000000" w:themeColor="text1"/>
          <w:lang w:val="en-IE"/>
        </w:rPr>
        <w:t xml:space="preserve"> </w:t>
      </w:r>
      <w:r w:rsidR="53D38D04" w:rsidRPr="3FF9ACFD">
        <w:rPr>
          <w:rFonts w:ascii="Calibri" w:eastAsia="Calibri" w:hAnsi="Calibri" w:cs="Calibri"/>
          <w:color w:val="000000" w:themeColor="text1"/>
          <w:lang w:val="en-IE"/>
        </w:rPr>
        <w:t>Wooden window frames</w:t>
      </w:r>
      <w:r w:rsidR="00CA7983" w:rsidRPr="3FF9ACFD">
        <w:rPr>
          <w:rFonts w:ascii="Calibri" w:eastAsia="Calibri" w:hAnsi="Calibri" w:cs="Calibri"/>
          <w:color w:val="000000" w:themeColor="text1"/>
          <w:lang w:val="en-IE"/>
        </w:rPr>
        <w:t xml:space="preserve"> </w:t>
      </w:r>
      <w:r w:rsidR="00536D62" w:rsidRPr="3FF9ACFD">
        <w:rPr>
          <w:rFonts w:ascii="Calibri" w:eastAsia="Calibri" w:hAnsi="Calibri" w:cs="Calibri"/>
          <w:color w:val="000000" w:themeColor="text1"/>
          <w:lang w:val="en-IE"/>
        </w:rPr>
        <w:t>were the primary</w:t>
      </w:r>
      <w:r w:rsidR="00CA7983" w:rsidRPr="3FF9ACFD">
        <w:rPr>
          <w:rFonts w:ascii="Calibri" w:eastAsia="Calibri" w:hAnsi="Calibri" w:cs="Calibri"/>
          <w:color w:val="000000" w:themeColor="text1"/>
          <w:lang w:val="en-IE"/>
        </w:rPr>
        <w:t xml:space="preserve"> contribut</w:t>
      </w:r>
      <w:r w:rsidR="00536D62" w:rsidRPr="3FF9ACFD">
        <w:rPr>
          <w:rFonts w:ascii="Calibri" w:eastAsia="Calibri" w:hAnsi="Calibri" w:cs="Calibri"/>
          <w:color w:val="000000" w:themeColor="text1"/>
          <w:lang w:val="en-IE"/>
        </w:rPr>
        <w:t xml:space="preserve">or </w:t>
      </w:r>
      <w:r w:rsidR="00CA7983" w:rsidRPr="3FF9ACFD">
        <w:rPr>
          <w:rFonts w:ascii="Calibri" w:eastAsia="Calibri" w:hAnsi="Calibri" w:cs="Calibri"/>
          <w:color w:val="000000" w:themeColor="text1"/>
          <w:lang w:val="en-IE"/>
        </w:rPr>
        <w:t xml:space="preserve">to land use impacts, accounting for </w:t>
      </w:r>
      <w:r w:rsidR="2BE2A5F3" w:rsidRPr="3FF9ACFD">
        <w:rPr>
          <w:rFonts w:ascii="Calibri" w:eastAsia="Calibri" w:hAnsi="Calibri" w:cs="Calibri"/>
          <w:color w:val="000000" w:themeColor="text1"/>
          <w:lang w:val="en-IE"/>
        </w:rPr>
        <w:t>51</w:t>
      </w:r>
      <w:r w:rsidR="00CA7983" w:rsidRPr="3FF9ACFD">
        <w:rPr>
          <w:rFonts w:ascii="Calibri" w:eastAsia="Calibri" w:hAnsi="Calibri" w:cs="Calibri"/>
          <w:color w:val="000000" w:themeColor="text1"/>
          <w:lang w:val="en-IE"/>
        </w:rPr>
        <w:t xml:space="preserve">% of the total, followed by </w:t>
      </w:r>
      <w:r w:rsidR="44051332" w:rsidRPr="3FF9ACFD">
        <w:rPr>
          <w:rFonts w:ascii="Calibri" w:eastAsia="Calibri" w:hAnsi="Calibri" w:cs="Calibri"/>
          <w:color w:val="000000" w:themeColor="text1"/>
          <w:lang w:val="en-IE"/>
        </w:rPr>
        <w:t>interior doors</w:t>
      </w:r>
      <w:r w:rsidR="00CA7983" w:rsidRPr="3FF9ACFD">
        <w:rPr>
          <w:rFonts w:ascii="Calibri" w:eastAsia="Calibri" w:hAnsi="Calibri" w:cs="Calibri"/>
          <w:color w:val="000000" w:themeColor="text1"/>
          <w:lang w:val="en-IE"/>
        </w:rPr>
        <w:t xml:space="preserve"> </w:t>
      </w:r>
      <w:r w:rsidR="00DA51C2" w:rsidRPr="3FF9ACFD">
        <w:rPr>
          <w:rFonts w:ascii="Calibri" w:eastAsia="Calibri" w:hAnsi="Calibri" w:cs="Calibri"/>
          <w:color w:val="000000" w:themeColor="text1"/>
          <w:lang w:val="en-IE"/>
        </w:rPr>
        <w:t xml:space="preserve">with </w:t>
      </w:r>
      <w:r w:rsidR="2EEDC64A" w:rsidRPr="3FF9ACFD">
        <w:rPr>
          <w:rFonts w:ascii="Calibri" w:eastAsia="Calibri" w:hAnsi="Calibri" w:cs="Calibri"/>
          <w:color w:val="000000" w:themeColor="text1"/>
          <w:lang w:val="en-IE"/>
        </w:rPr>
        <w:t>37.2</w:t>
      </w:r>
      <w:r w:rsidR="00CA7983" w:rsidRPr="3FF9ACFD">
        <w:rPr>
          <w:rFonts w:ascii="Calibri" w:eastAsia="Calibri" w:hAnsi="Calibri" w:cs="Calibri"/>
          <w:color w:val="000000" w:themeColor="text1"/>
          <w:lang w:val="en-IE"/>
        </w:rPr>
        <w:t xml:space="preserve">%. </w:t>
      </w:r>
    </w:p>
    <w:p w14:paraId="05C878C7" w14:textId="11C68847" w:rsidR="001C1D3A" w:rsidRDefault="001C1D3A" w:rsidP="001C1D3A">
      <w:pPr>
        <w:spacing w:after="40" w:line="240" w:lineRule="auto"/>
        <w:jc w:val="right"/>
        <w:rPr>
          <w:rFonts w:ascii="Calibri" w:eastAsia="Calibri" w:hAnsi="Calibri" w:cs="Calibri"/>
          <w:color w:val="000000" w:themeColor="text1"/>
          <w:lang w:val="en-IE"/>
        </w:rPr>
      </w:pPr>
      <w:r>
        <w:rPr>
          <w:noProof/>
        </w:rPr>
        <w:drawing>
          <wp:inline distT="0" distB="0" distL="0" distR="0" wp14:anchorId="0866CF9B" wp14:editId="7D2B16DC">
            <wp:extent cx="1046747" cy="625574"/>
            <wp:effectExtent l="0" t="0" r="0" b="0"/>
            <wp:docPr id="15057648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208317" name="Picture 2112208317"/>
                    <pic:cNvPicPr/>
                  </pic:nvPicPr>
                  <pic:blipFill rotWithShape="1">
                    <a:blip r:embed="rId16">
                      <a:extLst>
                        <a:ext uri="{28A0092B-C50C-407E-A947-70E740481C1C}">
                          <a14:useLocalDpi xmlns:a14="http://schemas.microsoft.com/office/drawing/2010/main"/>
                        </a:ext>
                      </a:extLst>
                    </a:blip>
                    <a:srcRect l="20915" r="64553" b="75875"/>
                    <a:stretch>
                      <a:fillRect/>
                    </a:stretch>
                  </pic:blipFill>
                  <pic:spPr bwMode="auto">
                    <a:xfrm>
                      <a:off x="0" y="0"/>
                      <a:ext cx="1166056" cy="696878"/>
                    </a:xfrm>
                    <a:prstGeom prst="rect">
                      <a:avLst/>
                    </a:prstGeom>
                    <a:ln>
                      <a:noFill/>
                    </a:ln>
                    <a:extLst>
                      <a:ext uri="{53640926-AAD7-44D8-BBD7-CCE9431645EC}">
                        <a14:shadowObscured xmlns:a14="http://schemas.microsoft.com/office/drawing/2010/main"/>
                      </a:ext>
                    </a:extLst>
                  </pic:spPr>
                </pic:pic>
              </a:graphicData>
            </a:graphic>
          </wp:inline>
        </w:drawing>
      </w:r>
    </w:p>
    <w:p w14:paraId="441C0B3C" w14:textId="69597237" w:rsidR="00A447CE" w:rsidRDefault="1678788A" w:rsidP="00301E73">
      <w:pPr>
        <w:spacing w:after="40" w:line="240" w:lineRule="auto"/>
        <w:jc w:val="center"/>
      </w:pPr>
      <w:r>
        <w:rPr>
          <w:noProof/>
        </w:rPr>
        <w:drawing>
          <wp:inline distT="0" distB="0" distL="0" distR="0" wp14:anchorId="46DD8292" wp14:editId="0129EAE8">
            <wp:extent cx="5715000" cy="1576546"/>
            <wp:effectExtent l="0" t="0" r="0" b="0"/>
            <wp:docPr id="21122083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208317" name="Picture 2112208317"/>
                    <pic:cNvPicPr/>
                  </pic:nvPicPr>
                  <pic:blipFill rotWithShape="1">
                    <a:blip r:embed="rId16">
                      <a:extLst>
                        <a:ext uri="{28A0092B-C50C-407E-A947-70E740481C1C}">
                          <a14:useLocalDpi xmlns:a14="http://schemas.microsoft.com/office/drawing/2010/main"/>
                        </a:ext>
                      </a:extLst>
                    </a:blip>
                    <a:srcRect t="23816" r="581"/>
                    <a:stretch>
                      <a:fillRect/>
                    </a:stretch>
                  </pic:blipFill>
                  <pic:spPr bwMode="auto">
                    <a:xfrm>
                      <a:off x="0" y="0"/>
                      <a:ext cx="5840228" cy="1611091"/>
                    </a:xfrm>
                    <a:prstGeom prst="rect">
                      <a:avLst/>
                    </a:prstGeom>
                    <a:ln>
                      <a:noFill/>
                    </a:ln>
                    <a:extLst>
                      <a:ext uri="{53640926-AAD7-44D8-BBD7-CCE9431645EC}">
                        <a14:shadowObscured xmlns:a14="http://schemas.microsoft.com/office/drawing/2010/main"/>
                      </a:ext>
                    </a:extLst>
                  </pic:spPr>
                </pic:pic>
              </a:graphicData>
            </a:graphic>
          </wp:inline>
        </w:drawing>
      </w:r>
    </w:p>
    <w:p w14:paraId="3F6D5240" w14:textId="62E4F68E" w:rsidR="009148F5" w:rsidRPr="00EE652B" w:rsidRDefault="005D4D2D" w:rsidP="0030110B">
      <w:pPr>
        <w:pStyle w:val="Caption"/>
        <w:jc w:val="center"/>
        <w:rPr>
          <w:rFonts w:ascii="Calibri" w:eastAsia="Calibri" w:hAnsi="Calibri" w:cs="Calibri"/>
          <w:color w:val="000000" w:themeColor="text1"/>
          <w:sz w:val="20"/>
          <w:szCs w:val="20"/>
          <w:lang w:val="en-US"/>
        </w:rPr>
      </w:pPr>
      <w:bookmarkStart w:id="6" w:name="_Ref233613034"/>
      <w:r w:rsidRPr="000A5059">
        <w:rPr>
          <w:rFonts w:ascii="Calibri" w:hAnsi="Calibri" w:cs="Calibri"/>
          <w:sz w:val="20"/>
          <w:szCs w:val="20"/>
        </w:rPr>
        <w:t xml:space="preserve">Figure </w:t>
      </w:r>
      <w:r w:rsidR="00DB5026">
        <w:rPr>
          <w:rFonts w:ascii="Calibri" w:hAnsi="Calibri" w:cs="Calibri"/>
          <w:noProof/>
          <w:sz w:val="20"/>
          <w:szCs w:val="20"/>
        </w:rPr>
        <w:t>6</w:t>
      </w:r>
      <w:bookmarkEnd w:id="6"/>
      <w:r w:rsidR="00786275" w:rsidRPr="00EE652B">
        <w:rPr>
          <w:rFonts w:ascii="Calibri" w:eastAsia="Calibri" w:hAnsi="Calibri" w:cs="Calibri"/>
          <w:b/>
          <w:bCs/>
          <w:color w:val="000000" w:themeColor="text1"/>
          <w:sz w:val="20"/>
          <w:szCs w:val="20"/>
          <w:lang w:val="en-US"/>
        </w:rPr>
        <w:t>.</w:t>
      </w:r>
      <w:r w:rsidR="00786275" w:rsidRPr="00EE652B">
        <w:rPr>
          <w:rFonts w:ascii="Calibri" w:eastAsia="Calibri" w:hAnsi="Calibri" w:cs="Calibri"/>
          <w:color w:val="000000" w:themeColor="text1"/>
          <w:sz w:val="20"/>
          <w:szCs w:val="20"/>
          <w:lang w:val="en-US"/>
        </w:rPr>
        <w:t xml:space="preserve"> </w:t>
      </w:r>
      <w:r w:rsidR="11D8064B" w:rsidRPr="00EE652B">
        <w:rPr>
          <w:rFonts w:ascii="Calibri" w:eastAsia="Calibri" w:hAnsi="Calibri" w:cs="Calibri"/>
          <w:color w:val="000000" w:themeColor="text1"/>
          <w:sz w:val="20"/>
          <w:szCs w:val="20"/>
          <w:lang w:val="en-US"/>
        </w:rPr>
        <w:t>Contribution Analysis: BAU</w:t>
      </w:r>
    </w:p>
    <w:p w14:paraId="3E351C42" w14:textId="77777777" w:rsidR="001F5426" w:rsidRDefault="00DB5026" w:rsidP="001C1D3A">
      <w:pPr>
        <w:spacing w:after="40" w:line="240" w:lineRule="auto"/>
        <w:jc w:val="both"/>
        <w:rPr>
          <w:rFonts w:ascii="Calibri" w:eastAsia="Calibri" w:hAnsi="Calibri" w:cs="Calibri"/>
          <w:color w:val="000000" w:themeColor="text1"/>
        </w:rPr>
      </w:pPr>
      <w:r w:rsidRPr="1A18BAF4">
        <w:rPr>
          <w:rFonts w:ascii="Calibri" w:hAnsi="Calibri" w:cs="Calibri"/>
        </w:rPr>
        <w:t xml:space="preserve">Figure </w:t>
      </w:r>
      <w:r w:rsidRPr="1A18BAF4">
        <w:rPr>
          <w:rFonts w:ascii="Calibri" w:hAnsi="Calibri" w:cs="Calibri"/>
          <w:noProof/>
        </w:rPr>
        <w:t>7</w:t>
      </w:r>
      <w:r w:rsidR="00DA625F" w:rsidRPr="1A18BAF4">
        <w:rPr>
          <w:rFonts w:ascii="Calibri" w:eastAsia="Calibri" w:hAnsi="Calibri" w:cs="Calibri"/>
          <w:color w:val="000000" w:themeColor="text1"/>
          <w:lang w:val="en-IE"/>
        </w:rPr>
        <w:t xml:space="preserve"> </w:t>
      </w:r>
      <w:r w:rsidR="00DA51C2" w:rsidRPr="1A18BAF4">
        <w:rPr>
          <w:rFonts w:ascii="Calibri" w:eastAsia="Calibri" w:hAnsi="Calibri" w:cs="Calibri"/>
          <w:color w:val="000000" w:themeColor="text1"/>
          <w:lang w:val="en-IE"/>
        </w:rPr>
        <w:t xml:space="preserve">illustrates </w:t>
      </w:r>
      <w:r w:rsidR="00292255" w:rsidRPr="1A18BAF4">
        <w:rPr>
          <w:rFonts w:ascii="Calibri" w:eastAsia="Calibri" w:hAnsi="Calibri" w:cs="Calibri"/>
          <w:color w:val="000000" w:themeColor="text1"/>
          <w:lang w:val="en-IE"/>
        </w:rPr>
        <w:t>the contribution analysis of the building components in</w:t>
      </w:r>
      <w:r w:rsidR="002654EE" w:rsidRPr="1A18BAF4">
        <w:rPr>
          <w:rFonts w:ascii="Calibri" w:eastAsia="Calibri" w:hAnsi="Calibri" w:cs="Calibri"/>
          <w:color w:val="000000" w:themeColor="text1"/>
          <w:lang w:val="en-IE"/>
        </w:rPr>
        <w:t xml:space="preserve"> the</w:t>
      </w:r>
      <w:r w:rsidR="00292255" w:rsidRPr="1A18BAF4">
        <w:rPr>
          <w:rFonts w:ascii="Calibri" w:eastAsia="Calibri" w:hAnsi="Calibri" w:cs="Calibri"/>
          <w:color w:val="000000" w:themeColor="text1"/>
          <w:lang w:val="en-IE"/>
        </w:rPr>
        <w:t xml:space="preserve"> CIR scenario across </w:t>
      </w:r>
      <w:r w:rsidR="002654EE" w:rsidRPr="1A18BAF4">
        <w:rPr>
          <w:rFonts w:ascii="Calibri" w:eastAsia="Calibri" w:hAnsi="Calibri" w:cs="Calibri"/>
          <w:color w:val="000000" w:themeColor="text1"/>
          <w:lang w:val="en-IE"/>
        </w:rPr>
        <w:t xml:space="preserve">the </w:t>
      </w:r>
      <w:r w:rsidR="6DC63DC5" w:rsidRPr="1A18BAF4">
        <w:rPr>
          <w:rFonts w:ascii="Calibri" w:eastAsia="Calibri" w:hAnsi="Calibri" w:cs="Calibri"/>
          <w:color w:val="000000" w:themeColor="text1"/>
          <w:lang w:val="en-IE"/>
        </w:rPr>
        <w:t>7</w:t>
      </w:r>
      <w:r w:rsidR="00292255" w:rsidRPr="1A18BAF4">
        <w:rPr>
          <w:rFonts w:ascii="Calibri" w:eastAsia="Calibri" w:hAnsi="Calibri" w:cs="Calibri"/>
          <w:color w:val="000000" w:themeColor="text1"/>
          <w:lang w:val="en-IE"/>
        </w:rPr>
        <w:t xml:space="preserve"> impact categories.</w:t>
      </w:r>
      <w:r w:rsidR="00292255" w:rsidRPr="1A18BAF4">
        <w:rPr>
          <w:rFonts w:ascii="Calibri" w:eastAsia="Calibri" w:hAnsi="Calibri" w:cs="Calibri"/>
          <w:b/>
          <w:bCs/>
          <w:color w:val="000000" w:themeColor="text1"/>
          <w:lang w:val="en-IE"/>
        </w:rPr>
        <w:t xml:space="preserve"> </w:t>
      </w:r>
      <w:r w:rsidR="005916BF" w:rsidRPr="1A18BAF4">
        <w:rPr>
          <w:rFonts w:ascii="Calibri" w:eastAsia="Calibri" w:hAnsi="Calibri" w:cs="Calibri"/>
          <w:b/>
          <w:bCs/>
          <w:color w:val="000000" w:themeColor="text1"/>
          <w:lang w:val="en-IE"/>
        </w:rPr>
        <w:t>Climate change:</w:t>
      </w:r>
      <w:r w:rsidR="00786275" w:rsidRPr="1A18BAF4">
        <w:rPr>
          <w:rFonts w:ascii="Calibri" w:eastAsia="Calibri" w:hAnsi="Calibri" w:cs="Calibri"/>
          <w:b/>
          <w:bCs/>
          <w:color w:val="000000" w:themeColor="text1"/>
          <w:lang w:val="en-IE"/>
        </w:rPr>
        <w:t xml:space="preserve"> </w:t>
      </w:r>
      <w:r w:rsidR="005916BF" w:rsidRPr="1A18BAF4">
        <w:rPr>
          <w:rFonts w:ascii="Calibri" w:eastAsia="Calibri" w:hAnsi="Calibri" w:cs="Calibri"/>
          <w:color w:val="000000" w:themeColor="text1"/>
          <w:lang w:val="en-IE"/>
        </w:rPr>
        <w:t xml:space="preserve">Double glazing contributed the largest share of the climate change impact (39.8%), followed by vinyl floor surfaces (37.4%) and ceramic floor tiles (21.9%). </w:t>
      </w:r>
      <w:r w:rsidR="008E71B2" w:rsidRPr="1A18BAF4">
        <w:rPr>
          <w:rFonts w:ascii="Calibri" w:eastAsia="Calibri" w:hAnsi="Calibri" w:cs="Calibri"/>
          <w:b/>
          <w:bCs/>
          <w:color w:val="000000" w:themeColor="text1"/>
          <w:lang w:val="en-IE"/>
        </w:rPr>
        <w:t xml:space="preserve">Ozone depletion: </w:t>
      </w:r>
      <w:r w:rsidR="008E71B2" w:rsidRPr="1A18BAF4">
        <w:rPr>
          <w:rFonts w:ascii="Calibri" w:eastAsia="Calibri" w:hAnsi="Calibri" w:cs="Calibri"/>
          <w:color w:val="000000" w:themeColor="text1"/>
          <w:lang w:val="en-IE"/>
        </w:rPr>
        <w:t xml:space="preserve">Vinyl floor surfaces </w:t>
      </w:r>
      <w:r w:rsidR="006D1F15" w:rsidRPr="1A18BAF4">
        <w:rPr>
          <w:rFonts w:ascii="Calibri" w:eastAsia="Calibri" w:hAnsi="Calibri" w:cs="Calibri"/>
          <w:color w:val="000000" w:themeColor="text1"/>
        </w:rPr>
        <w:t>accounted for the highest share of</w:t>
      </w:r>
      <w:r w:rsidR="006D1F15" w:rsidRPr="1A18BAF4">
        <w:rPr>
          <w:rFonts w:ascii="Calibri" w:eastAsia="Calibri" w:hAnsi="Calibri" w:cs="Calibri"/>
          <w:color w:val="000000" w:themeColor="text1"/>
          <w:lang w:val="en-IE"/>
        </w:rPr>
        <w:t xml:space="preserve"> </w:t>
      </w:r>
      <w:r w:rsidR="008E71B2" w:rsidRPr="1A18BAF4">
        <w:rPr>
          <w:rFonts w:ascii="Calibri" w:eastAsia="Calibri" w:hAnsi="Calibri" w:cs="Calibri"/>
          <w:color w:val="000000" w:themeColor="text1"/>
          <w:lang w:val="en-IE"/>
        </w:rPr>
        <w:t>ozone depletion (93.6%), while double glazing and ceramic floor tiles contributed 3.8% and 2.5%, respectively.</w:t>
      </w:r>
      <w:r w:rsidR="005916BF" w:rsidRPr="1A18BAF4">
        <w:rPr>
          <w:rFonts w:ascii="Calibri" w:eastAsia="Calibri" w:hAnsi="Calibri" w:cs="Calibri"/>
          <w:color w:val="000000" w:themeColor="text1"/>
          <w:lang w:val="en-IE"/>
        </w:rPr>
        <w:t xml:space="preserve"> </w:t>
      </w:r>
      <w:r w:rsidR="005916BF" w:rsidRPr="1A18BAF4">
        <w:rPr>
          <w:rFonts w:ascii="Calibri" w:eastAsia="Calibri" w:hAnsi="Calibri" w:cs="Calibri"/>
          <w:b/>
          <w:bCs/>
          <w:color w:val="000000" w:themeColor="text1"/>
          <w:lang w:val="en-IE"/>
        </w:rPr>
        <w:t>Land use:</w:t>
      </w:r>
      <w:r w:rsidR="00786275" w:rsidRPr="1A18BAF4">
        <w:rPr>
          <w:rFonts w:ascii="Calibri" w:eastAsia="Calibri" w:hAnsi="Calibri" w:cs="Calibri"/>
          <w:b/>
          <w:bCs/>
          <w:color w:val="000000" w:themeColor="text1"/>
          <w:lang w:val="en-IE"/>
        </w:rPr>
        <w:t xml:space="preserve"> </w:t>
      </w:r>
      <w:r w:rsidR="00E06BD0" w:rsidRPr="1A18BAF4">
        <w:rPr>
          <w:rFonts w:ascii="Calibri" w:eastAsia="Calibri" w:hAnsi="Calibri" w:cs="Calibri"/>
          <w:color w:val="000000" w:themeColor="text1"/>
        </w:rPr>
        <w:t xml:space="preserve">Ceramic floor </w:t>
      </w:r>
      <w:r w:rsidR="00E06BD0" w:rsidRPr="1A18BAF4">
        <w:rPr>
          <w:rFonts w:ascii="Calibri" w:eastAsia="Calibri" w:hAnsi="Calibri" w:cs="Calibri"/>
          <w:color w:val="000000" w:themeColor="text1"/>
        </w:rPr>
        <w:lastRenderedPageBreak/>
        <w:t>tiles accounted for the highest share of land use impacts (44.4%), followed by double glazing (30.7%) and vinyl floor surfaces (23.6%).</w:t>
      </w:r>
    </w:p>
    <w:p w14:paraId="3F525251" w14:textId="0461FD0A" w:rsidR="00A543A0" w:rsidRPr="001C1D3A" w:rsidRDefault="001F5426" w:rsidP="001F5426">
      <w:pPr>
        <w:spacing w:after="40" w:line="240" w:lineRule="auto"/>
        <w:jc w:val="right"/>
        <w:rPr>
          <w:rFonts w:ascii="Calibri" w:eastAsia="Calibri" w:hAnsi="Calibri" w:cs="Calibri"/>
          <w:color w:val="000000" w:themeColor="text1"/>
        </w:rPr>
      </w:pPr>
      <w:r>
        <w:rPr>
          <w:noProof/>
        </w:rPr>
        <w:drawing>
          <wp:inline distT="0" distB="0" distL="0" distR="0" wp14:anchorId="45A9BDF5" wp14:editId="700E09E7">
            <wp:extent cx="1046747" cy="587378"/>
            <wp:effectExtent l="0" t="0" r="0" b="0"/>
            <wp:docPr id="12004281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696941" name="Picture 1064696941"/>
                    <pic:cNvPicPr/>
                  </pic:nvPicPr>
                  <pic:blipFill rotWithShape="1">
                    <a:blip r:embed="rId17">
                      <a:extLst>
                        <a:ext uri="{28A0092B-C50C-407E-A947-70E740481C1C}">
                          <a14:useLocalDpi xmlns:a14="http://schemas.microsoft.com/office/drawing/2010/main"/>
                        </a:ext>
                      </a:extLst>
                    </a:blip>
                    <a:srcRect l="20762" r="63856" b="76023"/>
                    <a:stretch>
                      <a:fillRect/>
                    </a:stretch>
                  </pic:blipFill>
                  <pic:spPr bwMode="auto">
                    <a:xfrm>
                      <a:off x="0" y="0"/>
                      <a:ext cx="1088640" cy="610886"/>
                    </a:xfrm>
                    <a:prstGeom prst="rect">
                      <a:avLst/>
                    </a:prstGeom>
                    <a:ln>
                      <a:noFill/>
                    </a:ln>
                    <a:extLst>
                      <a:ext uri="{53640926-AAD7-44D8-BBD7-CCE9431645EC}">
                        <a14:shadowObscured xmlns:a14="http://schemas.microsoft.com/office/drawing/2010/main"/>
                      </a:ext>
                    </a:extLst>
                  </pic:spPr>
                </pic:pic>
              </a:graphicData>
            </a:graphic>
          </wp:inline>
        </w:drawing>
      </w:r>
    </w:p>
    <w:p w14:paraId="096930E1" w14:textId="135EFC5C" w:rsidR="009148F5" w:rsidRDefault="5AB5B1EF" w:rsidP="0072035F">
      <w:pPr>
        <w:spacing w:after="40" w:line="240" w:lineRule="auto"/>
        <w:jc w:val="center"/>
      </w:pPr>
      <w:r>
        <w:rPr>
          <w:noProof/>
        </w:rPr>
        <w:drawing>
          <wp:inline distT="0" distB="0" distL="0" distR="0" wp14:anchorId="15F23D52" wp14:editId="6ECB7830">
            <wp:extent cx="5686425" cy="1564005"/>
            <wp:effectExtent l="0" t="0" r="3175" b="0"/>
            <wp:docPr id="10646969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696941" name="Picture 1064696941"/>
                    <pic:cNvPicPr/>
                  </pic:nvPicPr>
                  <pic:blipFill rotWithShape="1">
                    <a:blip r:embed="rId17">
                      <a:extLst>
                        <a:ext uri="{28A0092B-C50C-407E-A947-70E740481C1C}">
                          <a14:useLocalDpi xmlns:a14="http://schemas.microsoft.com/office/drawing/2010/main"/>
                        </a:ext>
                      </a:extLst>
                    </a:blip>
                    <a:srcRect t="23976" r="494"/>
                    <a:stretch>
                      <a:fillRect/>
                    </a:stretch>
                  </pic:blipFill>
                  <pic:spPr bwMode="auto">
                    <a:xfrm>
                      <a:off x="0" y="0"/>
                      <a:ext cx="5699769" cy="1567675"/>
                    </a:xfrm>
                    <a:prstGeom prst="rect">
                      <a:avLst/>
                    </a:prstGeom>
                    <a:ln>
                      <a:noFill/>
                    </a:ln>
                    <a:extLst>
                      <a:ext uri="{53640926-AAD7-44D8-BBD7-CCE9431645EC}">
                        <a14:shadowObscured xmlns:a14="http://schemas.microsoft.com/office/drawing/2010/main"/>
                      </a:ext>
                    </a:extLst>
                  </pic:spPr>
                </pic:pic>
              </a:graphicData>
            </a:graphic>
          </wp:inline>
        </w:drawing>
      </w:r>
    </w:p>
    <w:p w14:paraId="7D862D44" w14:textId="4C6F82DD" w:rsidR="009148F5" w:rsidRPr="008D54AB" w:rsidRDefault="008D54AB" w:rsidP="008D54AB">
      <w:pPr>
        <w:pStyle w:val="Caption"/>
        <w:jc w:val="center"/>
        <w:rPr>
          <w:rFonts w:ascii="Calibri" w:eastAsia="Calibri" w:hAnsi="Calibri" w:cs="Calibri"/>
          <w:color w:val="000000" w:themeColor="text1"/>
          <w:sz w:val="20"/>
          <w:szCs w:val="20"/>
        </w:rPr>
      </w:pPr>
      <w:bookmarkStart w:id="7" w:name="_Ref233613309"/>
      <w:r w:rsidRPr="008D54AB">
        <w:rPr>
          <w:rFonts w:ascii="Calibri" w:hAnsi="Calibri" w:cs="Calibri"/>
          <w:sz w:val="20"/>
          <w:szCs w:val="20"/>
        </w:rPr>
        <w:t xml:space="preserve">Figure </w:t>
      </w:r>
      <w:r w:rsidR="00DB5026">
        <w:rPr>
          <w:rFonts w:ascii="Calibri" w:hAnsi="Calibri" w:cs="Calibri"/>
          <w:noProof/>
          <w:sz w:val="20"/>
          <w:szCs w:val="20"/>
        </w:rPr>
        <w:t>7</w:t>
      </w:r>
      <w:bookmarkEnd w:id="7"/>
      <w:r w:rsidRPr="008D54AB">
        <w:rPr>
          <w:rFonts w:ascii="Calibri" w:hAnsi="Calibri" w:cs="Calibri"/>
          <w:sz w:val="20"/>
          <w:szCs w:val="20"/>
        </w:rPr>
        <w:t xml:space="preserve">. </w:t>
      </w:r>
      <w:r w:rsidR="11D8064B" w:rsidRPr="008D54AB">
        <w:rPr>
          <w:rFonts w:ascii="Calibri" w:eastAsia="Calibri" w:hAnsi="Calibri" w:cs="Calibri"/>
          <w:color w:val="000000" w:themeColor="text1"/>
          <w:sz w:val="20"/>
          <w:szCs w:val="20"/>
        </w:rPr>
        <w:t>Contribution Analysis: CIR</w:t>
      </w:r>
    </w:p>
    <w:p w14:paraId="04B0ED6E" w14:textId="65AB6F77" w:rsidR="00E265AF" w:rsidRPr="0030110B" w:rsidRDefault="3CCC542F" w:rsidP="0030110B">
      <w:pPr>
        <w:spacing w:after="40" w:line="240" w:lineRule="auto"/>
        <w:jc w:val="both"/>
        <w:rPr>
          <w:rFonts w:ascii="Calibri" w:hAnsi="Calibri" w:cs="Calibri"/>
          <w:b/>
          <w:bCs/>
          <w:i/>
          <w:iCs/>
        </w:rPr>
      </w:pPr>
      <w:r w:rsidRPr="0030110B">
        <w:rPr>
          <w:rFonts w:eastAsiaTheme="minorEastAsia"/>
          <w:b/>
          <w:bCs/>
          <w:i/>
          <w:iCs/>
        </w:rPr>
        <w:t>Comparing Material Circularity of BAU and CIR</w:t>
      </w:r>
    </w:p>
    <w:p w14:paraId="13D64E0C" w14:textId="73286E4E" w:rsidR="1A18BAF4" w:rsidRDefault="00A86011" w:rsidP="1A18BAF4">
      <w:pPr>
        <w:spacing w:after="40" w:line="240" w:lineRule="auto"/>
        <w:jc w:val="both"/>
        <w:rPr>
          <w:rFonts w:ascii="Calibri" w:eastAsia="Calibri" w:hAnsi="Calibri" w:cs="Calibri"/>
          <w:color w:val="000000" w:themeColor="text1"/>
        </w:rPr>
      </w:pPr>
      <w:r w:rsidRPr="00A86011">
        <w:rPr>
          <w:rFonts w:ascii="Calibri" w:eastAsia="Calibri" w:hAnsi="Calibri" w:cs="Calibri"/>
          <w:color w:val="000000" w:themeColor="text1"/>
        </w:rPr>
        <w:t xml:space="preserve">The Material Circularity Indicator was originally developed by the Ellen MacArthur Foundation </w:t>
      </w:r>
      <w:r w:rsidR="00B94046">
        <w:rPr>
          <w:rFonts w:ascii="Calibri" w:eastAsia="Calibri" w:hAnsi="Calibri" w:cs="Calibri"/>
          <w:noProof/>
          <w:color w:val="000000" w:themeColor="text1"/>
        </w:rPr>
        <w:t>(Ellen MacArthur Foundation, 2019)</w:t>
      </w:r>
      <w:r w:rsidRPr="00A86011">
        <w:rPr>
          <w:rFonts w:ascii="Calibri" w:eastAsia="Calibri" w:hAnsi="Calibri" w:cs="Calibri"/>
          <w:color w:val="000000" w:themeColor="text1"/>
        </w:rPr>
        <w:t xml:space="preserve"> and later adapted for the construction sector by MADASTER </w:t>
      </w:r>
      <w:r w:rsidR="006D05B4">
        <w:rPr>
          <w:rFonts w:ascii="Calibri" w:eastAsia="Calibri" w:hAnsi="Calibri" w:cs="Calibri"/>
          <w:noProof/>
          <w:color w:val="000000" w:themeColor="text1"/>
        </w:rPr>
        <w:t>(Madaster, 2021)</w:t>
      </w:r>
      <w:r w:rsidRPr="00B94046">
        <w:rPr>
          <w:rFonts w:ascii="Calibri" w:eastAsia="Calibri" w:hAnsi="Calibri" w:cs="Calibri"/>
          <w:color w:val="000000" w:themeColor="text1"/>
        </w:rPr>
        <w:t>.</w:t>
      </w:r>
      <w:r w:rsidRPr="00A86011">
        <w:rPr>
          <w:rFonts w:ascii="Calibri" w:eastAsia="Calibri" w:hAnsi="Calibri" w:cs="Calibri"/>
          <w:color w:val="000000" w:themeColor="text1"/>
        </w:rPr>
        <w:t xml:space="preserve"> It functions as a circularity reporting tool that helps stakeholders make informed decisions at various levels (e.g. Product design, building design and product selection). For this study the MCI is used as a tool to compare the BAU and CIR scenarios in terms of circularity gains. </w:t>
      </w:r>
    </w:p>
    <w:p w14:paraId="72C65288" w14:textId="77777777" w:rsidR="001C1D3A" w:rsidRDefault="001C1D3A" w:rsidP="1A18BAF4">
      <w:pPr>
        <w:spacing w:after="40" w:line="240" w:lineRule="auto"/>
        <w:jc w:val="both"/>
        <w:rPr>
          <w:rFonts w:ascii="Calibri" w:eastAsia="Calibri" w:hAnsi="Calibri" w:cs="Calibri"/>
          <w:color w:val="000000" w:themeColor="text1"/>
        </w:rPr>
      </w:pPr>
    </w:p>
    <w:p w14:paraId="3D6AC753" w14:textId="070D4003" w:rsidR="00A86011" w:rsidRPr="00A543A0" w:rsidRDefault="00302D42" w:rsidP="00302D42">
      <w:pPr>
        <w:pStyle w:val="Caption"/>
        <w:rPr>
          <w:rFonts w:ascii="Calibri" w:eastAsia="Calibri" w:hAnsi="Calibri" w:cs="Calibri"/>
          <w:color w:val="000000" w:themeColor="text1"/>
        </w:rPr>
      </w:pPr>
      <w:bookmarkStart w:id="8" w:name="_Ref233615195"/>
      <w:r w:rsidRPr="00A543A0">
        <w:rPr>
          <w:color w:val="000000" w:themeColor="text1"/>
        </w:rPr>
        <w:t xml:space="preserve">Table </w:t>
      </w:r>
      <w:r w:rsidR="00DB5026">
        <w:rPr>
          <w:noProof/>
          <w:color w:val="000000" w:themeColor="text1"/>
        </w:rPr>
        <w:t>2</w:t>
      </w:r>
      <w:bookmarkEnd w:id="8"/>
      <w:r w:rsidRPr="00A543A0">
        <w:rPr>
          <w:color w:val="000000" w:themeColor="text1"/>
        </w:rPr>
        <w:t xml:space="preserve">. </w:t>
      </w:r>
      <w:proofErr w:type="spellStart"/>
      <w:r w:rsidRPr="00A543A0">
        <w:rPr>
          <w:color w:val="000000" w:themeColor="text1"/>
        </w:rPr>
        <w:t>Madaster</w:t>
      </w:r>
      <w:proofErr w:type="spellEnd"/>
      <w:r w:rsidRPr="00A543A0">
        <w:rPr>
          <w:color w:val="000000" w:themeColor="text1"/>
        </w:rPr>
        <w:t xml:space="preserve"> MCI calculation (fr</w:t>
      </w:r>
      <w:r w:rsidR="00A75C14" w:rsidRPr="00A543A0">
        <w:rPr>
          <w:color w:val="000000" w:themeColor="text1"/>
        </w:rPr>
        <w:t>o</w:t>
      </w:r>
      <w:r w:rsidRPr="00A543A0">
        <w:rPr>
          <w:color w:val="000000" w:themeColor="text1"/>
        </w:rPr>
        <w:t xml:space="preserve">m </w:t>
      </w:r>
      <w:r w:rsidR="006D05B4">
        <w:rPr>
          <w:rFonts w:ascii="Calibri" w:eastAsia="Calibri" w:hAnsi="Calibri" w:cs="Calibri"/>
          <w:noProof/>
          <w:color w:val="000000" w:themeColor="text1"/>
        </w:rPr>
        <w:t>(Madaster, 2021)</w:t>
      </w:r>
      <w:r w:rsidRPr="00A543A0">
        <w:rPr>
          <w:rFonts w:ascii="Calibri" w:eastAsia="Calibri" w:hAnsi="Calibri" w:cs="Calibri"/>
          <w:color w:val="000000" w:themeColor="text1"/>
        </w:rPr>
        <w:t>)</w:t>
      </w:r>
    </w:p>
    <w:tbl>
      <w:tblPr>
        <w:tblStyle w:val="PlainTable2"/>
        <w:tblW w:w="9000" w:type="dxa"/>
        <w:tblLook w:val="04A0" w:firstRow="1" w:lastRow="0" w:firstColumn="1" w:lastColumn="0" w:noHBand="0" w:noVBand="1"/>
      </w:tblPr>
      <w:tblGrid>
        <w:gridCol w:w="1130"/>
        <w:gridCol w:w="3106"/>
        <w:gridCol w:w="264"/>
        <w:gridCol w:w="4500"/>
      </w:tblGrid>
      <w:tr w:rsidR="00A86011" w:rsidRPr="007C11C6" w14:paraId="35881D4C" w14:textId="77777777" w:rsidTr="736B21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0" w:type="dxa"/>
          </w:tcPr>
          <w:p w14:paraId="5733EEDE" w14:textId="77777777" w:rsidR="00A86011" w:rsidRPr="007C11C6" w:rsidRDefault="00A86011">
            <w:pPr>
              <w:spacing w:line="240" w:lineRule="auto"/>
              <w:jc w:val="both"/>
              <w:rPr>
                <w:rFonts w:ascii="Calibri" w:eastAsia="Times New Roman" w:hAnsi="Calibri" w:cs="Calibri"/>
                <w:color w:val="000000" w:themeColor="text1"/>
                <w:sz w:val="20"/>
                <w:szCs w:val="20"/>
              </w:rPr>
            </w:pPr>
            <w:r w:rsidRPr="007C11C6">
              <w:rPr>
                <w:rFonts w:ascii="Calibri" w:eastAsia="Times New Roman" w:hAnsi="Calibri" w:cs="Calibri"/>
                <w:color w:val="000000" w:themeColor="text1"/>
                <w:sz w:val="20"/>
                <w:szCs w:val="20"/>
                <w:lang w:val="en-IE"/>
              </w:rPr>
              <w:t>CI global</w:t>
            </w:r>
          </w:p>
        </w:tc>
        <w:tc>
          <w:tcPr>
            <w:tcW w:w="7870" w:type="dxa"/>
            <w:gridSpan w:val="3"/>
            <w:tcBorders>
              <w:top w:val="single" w:sz="4" w:space="0" w:color="7F7F7F" w:themeColor="text1" w:themeTint="80"/>
            </w:tcBorders>
          </w:tcPr>
          <w:p w14:paraId="7E5F9FF3" w14:textId="77777777" w:rsidR="00A86011" w:rsidRPr="007C11C6" w:rsidRDefault="00A86011">
            <w:pPr>
              <w:spacing w:line="240" w:lineRule="auto"/>
              <w:jc w:val="both"/>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000000" w:themeColor="text1"/>
                <w:sz w:val="20"/>
                <w:szCs w:val="20"/>
                <w:lang w:val="fr-CA"/>
              </w:rPr>
            </w:pPr>
            <w:r w:rsidRPr="007C11C6">
              <w:rPr>
                <w:rFonts w:ascii="Calibri" w:eastAsia="Times New Roman" w:hAnsi="Calibri" w:cs="Calibri"/>
                <w:color w:val="000000" w:themeColor="text1"/>
                <w:sz w:val="20"/>
                <w:szCs w:val="20"/>
                <w:lang w:val="en-IE"/>
              </w:rPr>
              <w:t>CI=1-LFI*F(X)</w:t>
            </w:r>
          </w:p>
        </w:tc>
      </w:tr>
      <w:tr w:rsidR="00A86011" w:rsidRPr="007C11C6" w14:paraId="2BA1F519" w14:textId="77777777" w:rsidTr="736B215E">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1130" w:type="dxa"/>
          </w:tcPr>
          <w:p w14:paraId="41D8B55D" w14:textId="77777777" w:rsidR="00A86011" w:rsidRPr="007C11C6" w:rsidRDefault="00A86011">
            <w:pPr>
              <w:spacing w:line="240" w:lineRule="auto"/>
              <w:jc w:val="both"/>
              <w:rPr>
                <w:rFonts w:ascii="Calibri" w:eastAsia="Times New Roman" w:hAnsi="Calibri" w:cs="Calibri"/>
                <w:color w:val="000000" w:themeColor="text1"/>
                <w:sz w:val="20"/>
                <w:szCs w:val="20"/>
              </w:rPr>
            </w:pPr>
          </w:p>
        </w:tc>
        <w:tc>
          <w:tcPr>
            <w:tcW w:w="7870" w:type="dxa"/>
            <w:gridSpan w:val="3"/>
          </w:tcPr>
          <w:p w14:paraId="31B298F0" w14:textId="16C25E5A" w:rsidR="00A86011" w:rsidRPr="007C11C6" w:rsidRDefault="00A86011">
            <w:pPr>
              <w:spacing w:line="240" w:lineRule="auto"/>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themeColor="text1"/>
                <w:sz w:val="20"/>
                <w:szCs w:val="20"/>
                <w:vertAlign w:val="subscript"/>
                <w:lang w:val="en-IE"/>
              </w:rPr>
            </w:pPr>
            <w:r w:rsidRPr="007C11C6">
              <w:rPr>
                <w:rFonts w:ascii="Calibri" w:eastAsia="Times New Roman" w:hAnsi="Calibri" w:cs="Calibri"/>
                <w:color w:val="000000" w:themeColor="text1"/>
                <w:sz w:val="20"/>
                <w:szCs w:val="20"/>
                <w:lang w:val="en-IE"/>
              </w:rPr>
              <w:t>F(X)=</w:t>
            </w:r>
            <m:oMath>
              <m:f>
                <m:fPr>
                  <m:ctrlPr>
                    <w:rPr>
                      <w:rFonts w:ascii="Cambria Math" w:eastAsia="Times New Roman" w:hAnsi="Cambria Math" w:cs="Calibri"/>
                      <w:i/>
                      <w:color w:val="000000" w:themeColor="text1"/>
                      <w:sz w:val="20"/>
                      <w:szCs w:val="20"/>
                      <w:lang w:val="fr-CA"/>
                    </w:rPr>
                  </m:ctrlPr>
                </m:fPr>
                <m:num>
                  <m:r>
                    <w:rPr>
                      <w:rFonts w:ascii="Cambria Math" w:eastAsia="Times New Roman" w:hAnsi="Cambria Math" w:cs="Calibri"/>
                      <w:color w:val="000000" w:themeColor="text1"/>
                      <w:sz w:val="20"/>
                      <w:szCs w:val="20"/>
                      <w:lang w:val="en-IE"/>
                    </w:rPr>
                    <m:t>0.9</m:t>
                  </m:r>
                </m:num>
                <m:den>
                  <m:r>
                    <w:rPr>
                      <w:rFonts w:ascii="Cambria Math" w:eastAsia="Times New Roman" w:hAnsi="Cambria Math" w:cs="Calibri"/>
                      <w:color w:val="000000" w:themeColor="text1"/>
                      <w:sz w:val="20"/>
                      <w:szCs w:val="20"/>
                      <w:lang w:val="fr-CA"/>
                    </w:rPr>
                    <m:t>CI</m:t>
                  </m:r>
                  <m:r>
                    <w:rPr>
                      <w:rFonts w:ascii="Cambria Math" w:eastAsia="Times New Roman" w:hAnsi="Cambria Math" w:cs="Calibri"/>
                      <w:color w:val="000000" w:themeColor="text1"/>
                      <w:sz w:val="20"/>
                      <w:szCs w:val="20"/>
                      <w:lang w:val="en-IE"/>
                    </w:rPr>
                    <m:t xml:space="preserve"> </m:t>
                  </m:r>
                  <m:r>
                    <w:rPr>
                      <w:rFonts w:ascii="Cambria Math" w:eastAsia="Times New Roman" w:hAnsi="Cambria Math" w:cs="Calibri"/>
                      <w:color w:val="000000" w:themeColor="text1"/>
                      <w:sz w:val="20"/>
                      <w:szCs w:val="20"/>
                      <w:lang w:val="fr-CA"/>
                    </w:rPr>
                    <m:t>Use</m:t>
                  </m:r>
                </m:den>
              </m:f>
            </m:oMath>
            <w:r w:rsidRPr="007C11C6">
              <w:rPr>
                <w:rFonts w:ascii="Calibri" w:eastAsia="Times New Roman" w:hAnsi="Calibri" w:cs="Calibri"/>
                <w:color w:val="000000" w:themeColor="text1"/>
                <w:sz w:val="20"/>
                <w:szCs w:val="20"/>
                <w:lang w:val="en-IE"/>
              </w:rPr>
              <w:t xml:space="preserve"> with 0.9 is a Utility constant</w:t>
            </w:r>
          </w:p>
        </w:tc>
      </w:tr>
      <w:tr w:rsidR="00A86011" w:rsidRPr="00B122D5" w14:paraId="5EC67044" w14:textId="77777777" w:rsidTr="736B215E">
        <w:tc>
          <w:tcPr>
            <w:cnfStyle w:val="001000000000" w:firstRow="0" w:lastRow="0" w:firstColumn="1" w:lastColumn="0" w:oddVBand="0" w:evenVBand="0" w:oddHBand="0" w:evenHBand="0" w:firstRowFirstColumn="0" w:firstRowLastColumn="0" w:lastRowFirstColumn="0" w:lastRowLastColumn="0"/>
            <w:tcW w:w="1130" w:type="dxa"/>
            <w:vMerge w:val="restart"/>
          </w:tcPr>
          <w:p w14:paraId="7F44859D" w14:textId="77777777" w:rsidR="00A86011" w:rsidRPr="007C11C6" w:rsidRDefault="00A86011">
            <w:pPr>
              <w:spacing w:line="240" w:lineRule="auto"/>
              <w:jc w:val="both"/>
              <w:rPr>
                <w:rFonts w:ascii="Calibri" w:eastAsia="Times New Roman" w:hAnsi="Calibri" w:cs="Calibri"/>
                <w:color w:val="000000" w:themeColor="text1"/>
                <w:sz w:val="20"/>
                <w:szCs w:val="20"/>
              </w:rPr>
            </w:pPr>
            <w:r w:rsidRPr="007C11C6">
              <w:rPr>
                <w:rFonts w:ascii="Calibri" w:eastAsia="Times New Roman" w:hAnsi="Calibri" w:cs="Calibri"/>
                <w:color w:val="000000" w:themeColor="text1"/>
                <w:sz w:val="20"/>
                <w:szCs w:val="20"/>
              </w:rPr>
              <w:t>CI production</w:t>
            </w:r>
          </w:p>
        </w:tc>
        <w:tc>
          <w:tcPr>
            <w:tcW w:w="3106" w:type="dxa"/>
            <w:tcBorders>
              <w:top w:val="single" w:sz="4" w:space="0" w:color="7F7F7F" w:themeColor="text1" w:themeTint="80"/>
              <w:right w:val="single" w:sz="4" w:space="0" w:color="auto"/>
            </w:tcBorders>
          </w:tcPr>
          <w:p w14:paraId="02C6C775" w14:textId="77777777" w:rsidR="00A86011" w:rsidRPr="007C11C6" w:rsidRDefault="00A86011">
            <w:pPr>
              <w:spacing w:line="240" w:lineRule="auto"/>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vertAlign w:val="subscript"/>
                <w:lang w:val="fr-CA"/>
              </w:rPr>
            </w:pPr>
            <w:r w:rsidRPr="007C11C6">
              <w:rPr>
                <w:rFonts w:ascii="Calibri" w:eastAsia="Times New Roman" w:hAnsi="Calibri" w:cs="Calibri"/>
                <w:color w:val="000000" w:themeColor="text1"/>
                <w:sz w:val="20"/>
                <w:szCs w:val="20"/>
                <w:lang w:val="fr-CA"/>
              </w:rPr>
              <w:t xml:space="preserve">CI </w:t>
            </w:r>
            <w:r w:rsidRPr="007C11C6">
              <w:rPr>
                <w:rFonts w:ascii="Calibri" w:eastAsia="Times New Roman" w:hAnsi="Calibri" w:cs="Calibri"/>
                <w:color w:val="000000" w:themeColor="text1"/>
                <w:sz w:val="20"/>
                <w:szCs w:val="20"/>
                <w:vertAlign w:val="subscript"/>
                <w:lang w:val="fr-CA"/>
              </w:rPr>
              <w:t>production</w:t>
            </w:r>
            <w:r w:rsidRPr="007C11C6">
              <w:rPr>
                <w:rFonts w:ascii="Calibri" w:eastAsia="Times New Roman" w:hAnsi="Calibri" w:cs="Calibri"/>
                <w:color w:val="000000" w:themeColor="text1"/>
                <w:sz w:val="20"/>
                <w:szCs w:val="20"/>
                <w:lang w:val="fr-CA"/>
              </w:rPr>
              <w:t>=F</w:t>
            </w:r>
            <w:r w:rsidRPr="007C11C6">
              <w:rPr>
                <w:rFonts w:ascii="Calibri" w:eastAsia="Times New Roman" w:hAnsi="Calibri" w:cs="Calibri"/>
                <w:color w:val="000000" w:themeColor="text1"/>
                <w:sz w:val="20"/>
                <w:szCs w:val="20"/>
                <w:vertAlign w:val="subscript"/>
                <w:lang w:val="fr-CA"/>
              </w:rPr>
              <w:t>R</w:t>
            </w:r>
            <w:r w:rsidRPr="007C11C6">
              <w:rPr>
                <w:rFonts w:ascii="Calibri" w:eastAsia="Times New Roman" w:hAnsi="Calibri" w:cs="Calibri"/>
                <w:color w:val="000000" w:themeColor="text1"/>
                <w:sz w:val="20"/>
                <w:szCs w:val="20"/>
                <w:lang w:val="fr-CA"/>
              </w:rPr>
              <w:t>+F</w:t>
            </w:r>
            <w:r w:rsidRPr="007C11C6">
              <w:rPr>
                <w:rFonts w:ascii="Calibri" w:eastAsia="Times New Roman" w:hAnsi="Calibri" w:cs="Calibri"/>
                <w:color w:val="000000" w:themeColor="text1"/>
                <w:sz w:val="20"/>
                <w:szCs w:val="20"/>
                <w:vertAlign w:val="subscript"/>
                <w:lang w:val="fr-CA"/>
              </w:rPr>
              <w:t>RR</w:t>
            </w:r>
            <w:r w:rsidRPr="007C11C6">
              <w:rPr>
                <w:rFonts w:ascii="Calibri" w:eastAsia="Times New Roman" w:hAnsi="Calibri" w:cs="Calibri"/>
                <w:color w:val="000000" w:themeColor="text1"/>
                <w:sz w:val="20"/>
                <w:szCs w:val="20"/>
                <w:lang w:val="fr-CA"/>
              </w:rPr>
              <w:t>+F</w:t>
            </w:r>
            <w:r w:rsidRPr="007C11C6">
              <w:rPr>
                <w:rFonts w:ascii="Calibri" w:eastAsia="Times New Roman" w:hAnsi="Calibri" w:cs="Calibri"/>
                <w:color w:val="000000" w:themeColor="text1"/>
                <w:sz w:val="20"/>
                <w:szCs w:val="20"/>
                <w:vertAlign w:val="subscript"/>
                <w:lang w:val="fr-CA"/>
              </w:rPr>
              <w:t>U</w:t>
            </w:r>
          </w:p>
        </w:tc>
        <w:tc>
          <w:tcPr>
            <w:tcW w:w="264" w:type="dxa"/>
            <w:vMerge w:val="restart"/>
            <w:tcBorders>
              <w:left w:val="single" w:sz="4" w:space="0" w:color="auto"/>
            </w:tcBorders>
          </w:tcPr>
          <w:p w14:paraId="1EDE8AE1" w14:textId="1D9BECA9" w:rsidR="00A86011" w:rsidRPr="007C11C6" w:rsidRDefault="00A86011">
            <w:pPr>
              <w:spacing w:line="240" w:lineRule="auto"/>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lang w:val="fr-CA"/>
              </w:rPr>
            </w:pPr>
          </w:p>
        </w:tc>
        <w:tc>
          <w:tcPr>
            <w:tcW w:w="4500" w:type="dxa"/>
          </w:tcPr>
          <w:p w14:paraId="7F4D92B2" w14:textId="01D2E14C" w:rsidR="00B122D5" w:rsidRPr="00B122D5" w:rsidRDefault="00B122D5">
            <w:pPr>
              <w:spacing w:line="240" w:lineRule="auto"/>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lang w:val="en-US"/>
              </w:rPr>
            </w:pPr>
            <w:r w:rsidRPr="007C11C6">
              <w:rPr>
                <w:rFonts w:ascii="Calibri" w:eastAsia="Times New Roman" w:hAnsi="Calibri" w:cs="Calibri"/>
                <w:b/>
                <w:bCs/>
                <w:color w:val="000000" w:themeColor="text1"/>
                <w:sz w:val="20"/>
                <w:szCs w:val="20"/>
                <w:lang w:val="en-IE"/>
              </w:rPr>
              <w:t>Linear Flow Index (LFI)</w:t>
            </w:r>
          </w:p>
          <w:p w14:paraId="5A829622" w14:textId="000FF599" w:rsidR="00A86011" w:rsidRPr="00B122D5" w:rsidRDefault="00A86011">
            <w:pPr>
              <w:spacing w:line="240" w:lineRule="auto"/>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lang w:val="en-US"/>
              </w:rPr>
            </w:pPr>
            <w:r w:rsidRPr="00B122D5">
              <w:rPr>
                <w:rFonts w:ascii="Calibri" w:eastAsia="Times New Roman" w:hAnsi="Calibri" w:cs="Calibri"/>
                <w:b/>
                <w:bCs/>
                <w:color w:val="000000" w:themeColor="text1"/>
                <w:sz w:val="20"/>
                <w:szCs w:val="20"/>
                <w:lang w:val="en-US"/>
              </w:rPr>
              <w:t xml:space="preserve">LFI= </w:t>
            </w:r>
            <m:oMath>
              <m:f>
                <m:fPr>
                  <m:ctrlPr>
                    <w:rPr>
                      <w:rFonts w:ascii="Cambria Math" w:eastAsia="Times New Roman" w:hAnsi="Cambria Math" w:cs="Calibri"/>
                      <w:b/>
                      <w:bCs/>
                      <w:i/>
                      <w:color w:val="000000" w:themeColor="text1"/>
                      <w:sz w:val="20"/>
                      <w:szCs w:val="20"/>
                      <w:lang w:val="en-IE"/>
                    </w:rPr>
                  </m:ctrlPr>
                </m:fPr>
                <m:num>
                  <m:r>
                    <m:rPr>
                      <m:sty m:val="bi"/>
                    </m:rPr>
                    <w:rPr>
                      <w:rFonts w:ascii="Cambria Math" w:eastAsia="Times New Roman" w:hAnsi="Cambria Math" w:cs="Calibri"/>
                      <w:color w:val="000000" w:themeColor="text1"/>
                      <w:sz w:val="20"/>
                      <w:szCs w:val="20"/>
                      <w:lang w:val="en-IE"/>
                    </w:rPr>
                    <m:t>V</m:t>
                  </m:r>
                  <m:r>
                    <m:rPr>
                      <m:sty m:val="bi"/>
                    </m:rPr>
                    <w:rPr>
                      <w:rFonts w:ascii="Cambria Math" w:eastAsia="Times New Roman" w:hAnsi="Cambria Math" w:cs="Calibri"/>
                      <w:color w:val="000000" w:themeColor="text1"/>
                      <w:sz w:val="20"/>
                      <w:szCs w:val="20"/>
                      <w:lang w:val="en-US"/>
                    </w:rPr>
                    <m:t>+</m:t>
                  </m:r>
                  <m:r>
                    <m:rPr>
                      <m:sty m:val="bi"/>
                    </m:rPr>
                    <w:rPr>
                      <w:rFonts w:ascii="Cambria Math" w:eastAsia="Times New Roman" w:hAnsi="Cambria Math" w:cs="Calibri"/>
                      <w:color w:val="000000" w:themeColor="text1"/>
                      <w:sz w:val="20"/>
                      <w:szCs w:val="20"/>
                      <w:lang w:val="en-IE"/>
                    </w:rPr>
                    <m:t>W</m:t>
                  </m:r>
                </m:num>
                <m:den>
                  <m:r>
                    <m:rPr>
                      <m:sty m:val="bi"/>
                    </m:rPr>
                    <w:rPr>
                      <w:rFonts w:ascii="Cambria Math" w:eastAsia="Times New Roman" w:hAnsi="Cambria Math" w:cs="Calibri"/>
                      <w:color w:val="000000" w:themeColor="text1"/>
                      <w:sz w:val="20"/>
                      <w:szCs w:val="20"/>
                      <w:lang w:val="en-IE"/>
                    </w:rPr>
                    <m:t>2</m:t>
                  </m:r>
                  <m:r>
                    <m:rPr>
                      <m:sty m:val="bi"/>
                    </m:rPr>
                    <w:rPr>
                      <w:rFonts w:ascii="Cambria Math" w:eastAsia="Times New Roman" w:hAnsi="Cambria Math" w:cs="Calibri"/>
                      <w:color w:val="000000" w:themeColor="text1"/>
                      <w:sz w:val="20"/>
                      <w:szCs w:val="20"/>
                      <w:lang w:val="en-IE"/>
                    </w:rPr>
                    <m:t>M</m:t>
                  </m:r>
                  <m:r>
                    <m:rPr>
                      <m:sty m:val="bi"/>
                    </m:rPr>
                    <w:rPr>
                      <w:rFonts w:ascii="Cambria Math" w:eastAsia="Times New Roman" w:hAnsi="Cambria Math" w:cs="Calibri"/>
                      <w:color w:val="000000" w:themeColor="text1"/>
                      <w:sz w:val="20"/>
                      <w:szCs w:val="20"/>
                      <w:lang w:val="en-US"/>
                    </w:rPr>
                    <m:t>+</m:t>
                  </m:r>
                  <m:f>
                    <m:fPr>
                      <m:ctrlPr>
                        <w:rPr>
                          <w:rFonts w:ascii="Cambria Math" w:eastAsia="Times New Roman" w:hAnsi="Cambria Math" w:cs="Calibri"/>
                          <w:b/>
                          <w:bCs/>
                          <w:i/>
                          <w:color w:val="000000" w:themeColor="text1"/>
                          <w:sz w:val="20"/>
                          <w:szCs w:val="20"/>
                          <w:lang w:val="en-IE"/>
                        </w:rPr>
                      </m:ctrlPr>
                    </m:fPr>
                    <m:num>
                      <m:r>
                        <m:rPr>
                          <m:sty m:val="bi"/>
                        </m:rPr>
                        <w:rPr>
                          <w:rFonts w:ascii="Cambria Math" w:eastAsia="Times New Roman" w:hAnsi="Cambria Math" w:cs="Calibri"/>
                          <w:color w:val="000000" w:themeColor="text1"/>
                          <w:sz w:val="20"/>
                          <w:szCs w:val="20"/>
                          <w:lang w:val="en-IE"/>
                        </w:rPr>
                        <m:t>Wf</m:t>
                      </m:r>
                      <m:r>
                        <m:rPr>
                          <m:sty m:val="bi"/>
                        </m:rPr>
                        <w:rPr>
                          <w:rFonts w:ascii="Cambria Math" w:eastAsia="Times New Roman" w:hAnsi="Cambria Math" w:cs="Calibri"/>
                          <w:color w:val="000000" w:themeColor="text1"/>
                          <w:sz w:val="20"/>
                          <w:szCs w:val="20"/>
                          <w:lang w:val="en-US"/>
                        </w:rPr>
                        <m:t>-</m:t>
                      </m:r>
                      <m:r>
                        <m:rPr>
                          <m:sty m:val="bi"/>
                        </m:rPr>
                        <w:rPr>
                          <w:rFonts w:ascii="Cambria Math" w:eastAsia="Times New Roman" w:hAnsi="Cambria Math" w:cs="Calibri"/>
                          <w:color w:val="000000" w:themeColor="text1"/>
                          <w:sz w:val="20"/>
                          <w:szCs w:val="20"/>
                          <w:lang w:val="en-IE"/>
                        </w:rPr>
                        <m:t>Wc</m:t>
                      </m:r>
                    </m:num>
                    <m:den>
                      <m:r>
                        <m:rPr>
                          <m:sty m:val="bi"/>
                        </m:rPr>
                        <w:rPr>
                          <w:rFonts w:ascii="Cambria Math" w:eastAsia="Times New Roman" w:hAnsi="Cambria Math" w:cs="Calibri"/>
                          <w:color w:val="000000" w:themeColor="text1"/>
                          <w:sz w:val="20"/>
                          <w:szCs w:val="20"/>
                          <w:lang w:val="en-IE"/>
                        </w:rPr>
                        <m:t>2</m:t>
                      </m:r>
                    </m:den>
                  </m:f>
                </m:den>
              </m:f>
            </m:oMath>
          </w:p>
        </w:tc>
      </w:tr>
      <w:tr w:rsidR="00A86011" w:rsidRPr="007C11C6" w14:paraId="521794D5" w14:textId="77777777" w:rsidTr="736B21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0" w:type="dxa"/>
            <w:vMerge/>
          </w:tcPr>
          <w:p w14:paraId="7DCDB957" w14:textId="77777777" w:rsidR="00A86011" w:rsidRPr="00B122D5" w:rsidRDefault="00A86011">
            <w:pPr>
              <w:spacing w:line="240" w:lineRule="auto"/>
              <w:jc w:val="both"/>
              <w:rPr>
                <w:rFonts w:ascii="Calibri" w:eastAsia="Times New Roman" w:hAnsi="Calibri" w:cs="Calibri"/>
                <w:color w:val="000000" w:themeColor="text1"/>
                <w:sz w:val="20"/>
                <w:szCs w:val="20"/>
                <w:lang w:val="en-US"/>
              </w:rPr>
            </w:pPr>
          </w:p>
        </w:tc>
        <w:tc>
          <w:tcPr>
            <w:tcW w:w="3106" w:type="dxa"/>
            <w:tcBorders>
              <w:right w:val="single" w:sz="4" w:space="0" w:color="auto"/>
            </w:tcBorders>
          </w:tcPr>
          <w:p w14:paraId="584C3A3C" w14:textId="77777777" w:rsidR="00A86011" w:rsidRPr="007C11C6" w:rsidRDefault="00A86011">
            <w:pPr>
              <w:spacing w:line="240" w:lineRule="auto"/>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themeColor="text1"/>
                <w:sz w:val="20"/>
                <w:szCs w:val="20"/>
                <w:lang w:val="en-IE"/>
              </w:rPr>
            </w:pPr>
            <w:r w:rsidRPr="007C11C6">
              <w:rPr>
                <w:rFonts w:ascii="Calibri" w:eastAsia="Times New Roman" w:hAnsi="Calibri" w:cs="Calibri"/>
                <w:b/>
                <w:bCs/>
                <w:color w:val="000000" w:themeColor="text1"/>
                <w:sz w:val="20"/>
                <w:szCs w:val="20"/>
                <w:lang w:val="en-IE"/>
              </w:rPr>
              <w:t>F</w:t>
            </w:r>
            <w:r w:rsidRPr="007C11C6">
              <w:rPr>
                <w:rFonts w:ascii="Calibri" w:eastAsia="Times New Roman" w:hAnsi="Calibri" w:cs="Calibri"/>
                <w:b/>
                <w:bCs/>
                <w:color w:val="000000" w:themeColor="text1"/>
                <w:sz w:val="20"/>
                <w:szCs w:val="20"/>
                <w:vertAlign w:val="subscript"/>
                <w:lang w:val="en-IE"/>
              </w:rPr>
              <w:t>R :</w:t>
            </w:r>
            <w:r w:rsidRPr="007C11C6">
              <w:rPr>
                <w:rFonts w:ascii="Calibri" w:eastAsia="Times New Roman" w:hAnsi="Calibri" w:cs="Calibri"/>
                <w:color w:val="000000" w:themeColor="text1"/>
                <w:sz w:val="20"/>
                <w:szCs w:val="20"/>
                <w:vertAlign w:val="subscript"/>
                <w:lang w:val="en-IE"/>
              </w:rPr>
              <w:t xml:space="preserve"> </w:t>
            </w:r>
            <w:r w:rsidRPr="007C11C6">
              <w:rPr>
                <w:rFonts w:ascii="Calibri" w:eastAsia="Times New Roman" w:hAnsi="Calibri" w:cs="Calibri"/>
                <w:bCs/>
                <w:color w:val="000000" w:themeColor="text1"/>
                <w:sz w:val="20"/>
                <w:szCs w:val="20"/>
                <w:lang w:val="en-IE"/>
              </w:rPr>
              <w:t>Fraction of recycled materials (as a % of the product mass)</w:t>
            </w:r>
          </w:p>
          <w:p w14:paraId="7F6304C2" w14:textId="77777777" w:rsidR="00A86011" w:rsidRPr="007C11C6" w:rsidRDefault="00A86011">
            <w:pPr>
              <w:spacing w:line="240" w:lineRule="auto"/>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themeColor="text1"/>
                <w:sz w:val="20"/>
                <w:szCs w:val="20"/>
                <w:lang w:val="en-IE"/>
              </w:rPr>
            </w:pPr>
            <w:r w:rsidRPr="007C11C6">
              <w:rPr>
                <w:rFonts w:ascii="Calibri" w:eastAsia="Times New Roman" w:hAnsi="Calibri" w:cs="Calibri"/>
                <w:b/>
                <w:bCs/>
                <w:color w:val="000000" w:themeColor="text1"/>
                <w:sz w:val="20"/>
                <w:szCs w:val="20"/>
                <w:lang w:val="en-IE"/>
              </w:rPr>
              <w:t>F</w:t>
            </w:r>
            <w:r w:rsidRPr="007C11C6">
              <w:rPr>
                <w:rFonts w:ascii="Calibri" w:eastAsia="Times New Roman" w:hAnsi="Calibri" w:cs="Calibri"/>
                <w:b/>
                <w:bCs/>
                <w:color w:val="000000" w:themeColor="text1"/>
                <w:sz w:val="20"/>
                <w:szCs w:val="20"/>
                <w:vertAlign w:val="subscript"/>
                <w:lang w:val="en-IE"/>
              </w:rPr>
              <w:t>RR</w:t>
            </w:r>
            <w:r w:rsidRPr="007C11C6">
              <w:rPr>
                <w:rFonts w:ascii="Calibri" w:eastAsia="Times New Roman" w:hAnsi="Calibri" w:cs="Calibri"/>
                <w:b/>
                <w:bCs/>
                <w:color w:val="000000" w:themeColor="text1"/>
                <w:sz w:val="20"/>
                <w:szCs w:val="20"/>
                <w:lang w:val="en-IE"/>
              </w:rPr>
              <w:t>:</w:t>
            </w:r>
            <w:r w:rsidRPr="007C11C6">
              <w:rPr>
                <w:rFonts w:ascii="Calibri" w:eastAsia="Times New Roman" w:hAnsi="Calibri" w:cs="Calibri"/>
                <w:color w:val="000000" w:themeColor="text1"/>
                <w:sz w:val="20"/>
                <w:szCs w:val="20"/>
                <w:lang w:val="en-IE"/>
              </w:rPr>
              <w:t xml:space="preserve"> </w:t>
            </w:r>
            <w:r w:rsidRPr="007C11C6">
              <w:rPr>
                <w:rFonts w:ascii="Calibri" w:eastAsia="Times New Roman" w:hAnsi="Calibri" w:cs="Calibri"/>
                <w:bCs/>
                <w:color w:val="000000" w:themeColor="text1"/>
                <w:sz w:val="20"/>
                <w:szCs w:val="20"/>
                <w:lang w:val="en-IE"/>
              </w:rPr>
              <w:t>Fraction of rapidly renewable materials (as a % of the product mass)</w:t>
            </w:r>
          </w:p>
          <w:p w14:paraId="14BA7513" w14:textId="77777777" w:rsidR="00A86011" w:rsidRPr="007C11C6" w:rsidRDefault="00A86011">
            <w:pPr>
              <w:spacing w:line="240" w:lineRule="auto"/>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0"/>
                <w:szCs w:val="20"/>
                <w:lang w:val="en-IE"/>
              </w:rPr>
            </w:pPr>
            <w:r w:rsidRPr="007C11C6">
              <w:rPr>
                <w:rFonts w:ascii="Calibri" w:eastAsia="Times New Roman" w:hAnsi="Calibri" w:cs="Calibri"/>
                <w:b/>
                <w:bCs/>
                <w:color w:val="000000" w:themeColor="text1"/>
                <w:sz w:val="20"/>
                <w:szCs w:val="20"/>
                <w:lang w:val="en-IE"/>
              </w:rPr>
              <w:t>F</w:t>
            </w:r>
            <w:r w:rsidRPr="007C11C6">
              <w:rPr>
                <w:rFonts w:ascii="Calibri" w:eastAsia="Times New Roman" w:hAnsi="Calibri" w:cs="Calibri"/>
                <w:b/>
                <w:bCs/>
                <w:color w:val="000000" w:themeColor="text1"/>
                <w:sz w:val="20"/>
                <w:szCs w:val="20"/>
                <w:vertAlign w:val="subscript"/>
                <w:lang w:val="en-IE"/>
              </w:rPr>
              <w:t>U</w:t>
            </w:r>
            <w:r w:rsidRPr="007C11C6">
              <w:rPr>
                <w:rFonts w:ascii="Calibri" w:eastAsia="Times New Roman" w:hAnsi="Calibri" w:cs="Calibri"/>
                <w:b/>
                <w:bCs/>
                <w:color w:val="000000" w:themeColor="text1"/>
                <w:sz w:val="20"/>
                <w:szCs w:val="20"/>
                <w:lang w:val="en-IE"/>
              </w:rPr>
              <w:t>:</w:t>
            </w:r>
            <w:r w:rsidRPr="007C11C6">
              <w:rPr>
                <w:rFonts w:ascii="Calibri" w:eastAsia="Times New Roman" w:hAnsi="Calibri" w:cs="Calibri"/>
                <w:color w:val="000000" w:themeColor="text1"/>
                <w:sz w:val="20"/>
                <w:szCs w:val="20"/>
                <w:lang w:val="en-IE"/>
              </w:rPr>
              <w:t xml:space="preserve"> </w:t>
            </w:r>
            <w:r w:rsidRPr="007C11C6">
              <w:rPr>
                <w:rFonts w:ascii="Calibri" w:eastAsia="Times New Roman" w:hAnsi="Calibri" w:cs="Calibri"/>
                <w:bCs/>
                <w:color w:val="000000" w:themeColor="text1"/>
                <w:sz w:val="20"/>
                <w:szCs w:val="20"/>
                <w:lang w:val="en-IE"/>
              </w:rPr>
              <w:t>Fraction of reused products and/or components (as a % of the product mass)</w:t>
            </w:r>
          </w:p>
        </w:tc>
        <w:tc>
          <w:tcPr>
            <w:tcW w:w="264" w:type="dxa"/>
            <w:vMerge/>
          </w:tcPr>
          <w:p w14:paraId="502A1146" w14:textId="77777777" w:rsidR="00A86011" w:rsidRPr="007C11C6" w:rsidRDefault="00A86011">
            <w:pPr>
              <w:spacing w:line="240" w:lineRule="auto"/>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themeColor="text1"/>
                <w:sz w:val="20"/>
                <w:szCs w:val="20"/>
                <w:lang w:val="en-IE"/>
              </w:rPr>
            </w:pPr>
          </w:p>
        </w:tc>
        <w:tc>
          <w:tcPr>
            <w:tcW w:w="4500" w:type="dxa"/>
          </w:tcPr>
          <w:p w14:paraId="78E58D2F" w14:textId="2770C561" w:rsidR="00A86011" w:rsidRPr="007C11C6" w:rsidRDefault="00A86011">
            <w:pPr>
              <w:spacing w:line="240" w:lineRule="auto"/>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0"/>
                <w:szCs w:val="20"/>
              </w:rPr>
            </w:pPr>
            <w:r w:rsidRPr="007C11C6">
              <w:rPr>
                <w:rFonts w:ascii="Calibri" w:eastAsia="Times New Roman" w:hAnsi="Calibri" w:cs="Calibri"/>
                <w:color w:val="000000" w:themeColor="text1"/>
                <w:sz w:val="20"/>
                <w:szCs w:val="20"/>
              </w:rPr>
              <w:t>V= M(1-CI</w:t>
            </w:r>
            <w:r w:rsidRPr="007C11C6">
              <w:rPr>
                <w:rFonts w:ascii="Calibri" w:eastAsia="Times New Roman" w:hAnsi="Calibri" w:cs="Calibri"/>
                <w:color w:val="000000" w:themeColor="text1"/>
                <w:sz w:val="20"/>
                <w:szCs w:val="20"/>
                <w:vertAlign w:val="subscript"/>
              </w:rPr>
              <w:t>production</w:t>
            </w:r>
            <w:r w:rsidRPr="007C11C6">
              <w:rPr>
                <w:rFonts w:ascii="Calibri" w:eastAsia="Times New Roman" w:hAnsi="Calibri" w:cs="Calibri"/>
                <w:color w:val="000000" w:themeColor="text1"/>
                <w:sz w:val="20"/>
                <w:szCs w:val="20"/>
              </w:rPr>
              <w:t xml:space="preserve">); </w:t>
            </w:r>
          </w:p>
          <w:p w14:paraId="19662D5A" w14:textId="7B7E1BF6" w:rsidR="00A86011" w:rsidRPr="007C11C6" w:rsidRDefault="00A86011">
            <w:pPr>
              <w:spacing w:line="240" w:lineRule="auto"/>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0"/>
                <w:szCs w:val="20"/>
                <w:lang w:val="en-IE"/>
              </w:rPr>
            </w:pPr>
            <w:r w:rsidRPr="007C11C6">
              <w:rPr>
                <w:rFonts w:ascii="Calibri" w:eastAsia="Times New Roman" w:hAnsi="Calibri" w:cs="Calibri"/>
                <w:color w:val="000000" w:themeColor="text1"/>
                <w:sz w:val="20"/>
                <w:szCs w:val="20"/>
                <w:lang w:val="en-IE"/>
              </w:rPr>
              <w:t xml:space="preserve">W= </w:t>
            </w:r>
            <w:r w:rsidR="00C660D5">
              <w:rPr>
                <w:rFonts w:ascii="Calibri" w:eastAsia="Times New Roman" w:hAnsi="Calibri" w:cs="Calibri"/>
                <w:color w:val="000000" w:themeColor="text1"/>
                <w:sz w:val="20"/>
                <w:szCs w:val="20"/>
                <w:lang w:val="en-IE"/>
              </w:rPr>
              <w:t>M</w:t>
            </w:r>
            <w:r w:rsidRPr="007C11C6">
              <w:rPr>
                <w:rFonts w:ascii="Calibri" w:eastAsia="Times New Roman" w:hAnsi="Calibri" w:cs="Calibri"/>
                <w:color w:val="000000" w:themeColor="text1"/>
                <w:sz w:val="20"/>
                <w:szCs w:val="20"/>
                <w:lang w:val="en-IE"/>
              </w:rPr>
              <w:t>(1-C</w:t>
            </w:r>
            <w:r w:rsidRPr="007C11C6">
              <w:rPr>
                <w:rFonts w:ascii="Calibri" w:eastAsia="Times New Roman" w:hAnsi="Calibri" w:cs="Calibri"/>
                <w:color w:val="000000" w:themeColor="text1"/>
                <w:sz w:val="20"/>
                <w:szCs w:val="20"/>
                <w:vertAlign w:val="subscript"/>
                <w:lang w:val="en-IE"/>
              </w:rPr>
              <w:t>r</w:t>
            </w:r>
            <w:r w:rsidRPr="007C11C6">
              <w:rPr>
                <w:rFonts w:ascii="Calibri" w:eastAsia="Times New Roman" w:hAnsi="Calibri" w:cs="Calibri"/>
                <w:color w:val="000000" w:themeColor="text1"/>
                <w:sz w:val="20"/>
                <w:szCs w:val="20"/>
                <w:lang w:val="en-IE"/>
              </w:rPr>
              <w:t>-C</w:t>
            </w:r>
            <w:r w:rsidRPr="007C11C6">
              <w:rPr>
                <w:rFonts w:ascii="Calibri" w:eastAsia="Times New Roman" w:hAnsi="Calibri" w:cs="Calibri"/>
                <w:color w:val="000000" w:themeColor="text1"/>
                <w:sz w:val="20"/>
                <w:szCs w:val="20"/>
                <w:vertAlign w:val="subscript"/>
                <w:lang w:val="en-IE"/>
              </w:rPr>
              <w:t>u</w:t>
            </w:r>
            <w:r w:rsidRPr="007C11C6">
              <w:rPr>
                <w:rFonts w:ascii="Calibri" w:eastAsia="Times New Roman" w:hAnsi="Calibri" w:cs="Calibri"/>
                <w:color w:val="000000" w:themeColor="text1"/>
                <w:sz w:val="20"/>
                <w:szCs w:val="20"/>
                <w:lang w:val="en-IE"/>
              </w:rPr>
              <w:t>) +</w:t>
            </w:r>
            <m:oMath>
              <m:f>
                <m:fPr>
                  <m:ctrlPr>
                    <w:rPr>
                      <w:rFonts w:ascii="Cambria Math" w:eastAsia="Times New Roman" w:hAnsi="Cambria Math" w:cs="Calibri"/>
                      <w:i/>
                      <w:color w:val="000000" w:themeColor="text1"/>
                      <w:sz w:val="20"/>
                      <w:szCs w:val="20"/>
                      <w:lang w:val="fr-CA"/>
                    </w:rPr>
                  </m:ctrlPr>
                </m:fPr>
                <m:num>
                  <m:r>
                    <w:rPr>
                      <w:rFonts w:ascii="Cambria Math" w:eastAsia="Times New Roman" w:hAnsi="Cambria Math" w:cs="Calibri"/>
                      <w:color w:val="000000" w:themeColor="text1"/>
                      <w:sz w:val="20"/>
                      <w:szCs w:val="20"/>
                      <w:lang w:val="fr-CA"/>
                    </w:rPr>
                    <m:t>Wf</m:t>
                  </m:r>
                  <m:r>
                    <w:rPr>
                      <w:rFonts w:ascii="Cambria Math" w:eastAsia="Times New Roman" w:hAnsi="Cambria Math" w:cs="Calibri"/>
                      <w:color w:val="000000" w:themeColor="text1"/>
                      <w:sz w:val="20"/>
                      <w:szCs w:val="20"/>
                      <w:lang w:val="en-IE"/>
                    </w:rPr>
                    <m:t>+</m:t>
                  </m:r>
                  <m:r>
                    <w:rPr>
                      <w:rFonts w:ascii="Cambria Math" w:eastAsia="Times New Roman" w:hAnsi="Cambria Math" w:cs="Calibri"/>
                      <w:color w:val="000000" w:themeColor="text1"/>
                      <w:sz w:val="20"/>
                      <w:szCs w:val="20"/>
                      <w:lang w:val="fr-CA"/>
                    </w:rPr>
                    <m:t>Wc</m:t>
                  </m:r>
                </m:num>
                <m:den>
                  <m:r>
                    <w:rPr>
                      <w:rFonts w:ascii="Cambria Math" w:eastAsia="Times New Roman" w:hAnsi="Cambria Math" w:cs="Calibri"/>
                      <w:color w:val="000000" w:themeColor="text1"/>
                      <w:sz w:val="20"/>
                      <w:szCs w:val="20"/>
                      <w:lang w:val="en-IE"/>
                    </w:rPr>
                    <m:t>2</m:t>
                  </m:r>
                </m:den>
              </m:f>
              <m:r>
                <w:rPr>
                  <w:rFonts w:ascii="Cambria Math" w:eastAsia="Times New Roman" w:hAnsi="Cambria Math" w:cs="Calibri"/>
                  <w:color w:val="000000" w:themeColor="text1"/>
                  <w:sz w:val="20"/>
                  <w:szCs w:val="20"/>
                  <w:lang w:val="en-IE"/>
                </w:rPr>
                <m:t> </m:t>
              </m:r>
            </m:oMath>
            <w:r w:rsidRPr="007C11C6">
              <w:rPr>
                <w:rFonts w:ascii="Calibri" w:eastAsia="Times New Roman" w:hAnsi="Calibri" w:cs="Calibri"/>
                <w:color w:val="000000" w:themeColor="text1"/>
                <w:sz w:val="20"/>
                <w:szCs w:val="20"/>
                <w:lang w:val="en-IE"/>
              </w:rPr>
              <w:t xml:space="preserve">; </w:t>
            </w:r>
          </w:p>
          <w:p w14:paraId="7FE6911C" w14:textId="77777777" w:rsidR="00A86011" w:rsidRPr="007C11C6" w:rsidRDefault="00A86011">
            <w:pPr>
              <w:spacing w:line="240" w:lineRule="auto"/>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0"/>
                <w:szCs w:val="20"/>
                <w:lang w:val="en-IE"/>
              </w:rPr>
            </w:pPr>
            <w:proofErr w:type="spellStart"/>
            <w:r w:rsidRPr="007C11C6">
              <w:rPr>
                <w:rFonts w:ascii="Calibri" w:eastAsia="Times New Roman" w:hAnsi="Calibri" w:cs="Calibri"/>
                <w:color w:val="000000" w:themeColor="text1"/>
                <w:sz w:val="20"/>
                <w:szCs w:val="20"/>
                <w:lang w:val="en-IE"/>
              </w:rPr>
              <w:t>W</w:t>
            </w:r>
            <w:r w:rsidRPr="007C11C6">
              <w:rPr>
                <w:rFonts w:ascii="Calibri" w:eastAsia="Times New Roman" w:hAnsi="Calibri" w:cs="Calibri"/>
                <w:color w:val="000000" w:themeColor="text1"/>
                <w:sz w:val="20"/>
                <w:szCs w:val="20"/>
                <w:vertAlign w:val="subscript"/>
                <w:lang w:val="en-IE"/>
              </w:rPr>
              <w:t>f</w:t>
            </w:r>
            <w:proofErr w:type="spellEnd"/>
            <w:r w:rsidRPr="007C11C6">
              <w:rPr>
                <w:rFonts w:ascii="Calibri" w:eastAsia="Times New Roman" w:hAnsi="Calibri" w:cs="Calibri"/>
                <w:color w:val="000000" w:themeColor="text1"/>
                <w:sz w:val="20"/>
                <w:szCs w:val="20"/>
                <w:lang w:val="en-IE"/>
              </w:rPr>
              <w:t>= M</w:t>
            </w:r>
            <m:oMath>
              <m:f>
                <m:fPr>
                  <m:ctrlPr>
                    <w:rPr>
                      <w:rFonts w:ascii="Cambria Math" w:eastAsia="Times New Roman" w:hAnsi="Cambria Math" w:cs="Calibri"/>
                      <w:i/>
                      <w:color w:val="000000" w:themeColor="text1"/>
                      <w:sz w:val="20"/>
                      <w:szCs w:val="20"/>
                      <w:lang w:val="en-IE"/>
                    </w:rPr>
                  </m:ctrlPr>
                </m:fPr>
                <m:num>
                  <m:r>
                    <w:rPr>
                      <w:rFonts w:ascii="Cambria Math" w:eastAsia="Times New Roman" w:hAnsi="Cambria Math" w:cs="Calibri"/>
                      <w:color w:val="000000" w:themeColor="text1"/>
                      <w:sz w:val="20"/>
                      <w:szCs w:val="20"/>
                      <w:lang w:val="en-IE"/>
                    </w:rPr>
                    <m:t>(1-</m:t>
                  </m:r>
                  <m:sSub>
                    <m:sSubPr>
                      <m:ctrlPr>
                        <w:rPr>
                          <w:rFonts w:ascii="Cambria Math" w:eastAsia="Times New Roman" w:hAnsi="Cambria Math" w:cs="Calibri"/>
                          <w:i/>
                          <w:color w:val="000000" w:themeColor="text1"/>
                          <w:sz w:val="20"/>
                          <w:szCs w:val="20"/>
                          <w:lang w:val="en-IE"/>
                        </w:rPr>
                      </m:ctrlPr>
                    </m:sSubPr>
                    <m:e>
                      <m:r>
                        <w:rPr>
                          <w:rFonts w:ascii="Cambria Math" w:eastAsia="Times New Roman" w:hAnsi="Cambria Math" w:cs="Calibri"/>
                          <w:color w:val="000000" w:themeColor="text1"/>
                          <w:sz w:val="20"/>
                          <w:szCs w:val="20"/>
                          <w:lang w:val="en-IE"/>
                        </w:rPr>
                        <m:t>E</m:t>
                      </m:r>
                    </m:e>
                    <m:sub>
                      <m:r>
                        <w:rPr>
                          <w:rFonts w:ascii="Cambria Math" w:eastAsia="Times New Roman" w:hAnsi="Cambria Math" w:cs="Calibri"/>
                          <w:color w:val="000000" w:themeColor="text1"/>
                          <w:sz w:val="20"/>
                          <w:szCs w:val="20"/>
                          <w:lang w:val="en-IE"/>
                        </w:rPr>
                        <m:t>F</m:t>
                      </m:r>
                    </m:sub>
                  </m:sSub>
                  <m:r>
                    <w:rPr>
                      <w:rFonts w:ascii="Cambria Math" w:eastAsia="Times New Roman" w:hAnsi="Cambria Math" w:cs="Calibri"/>
                      <w:color w:val="000000" w:themeColor="text1"/>
                      <w:sz w:val="20"/>
                      <w:szCs w:val="20"/>
                      <w:lang w:val="en-IE"/>
                    </w:rPr>
                    <m:t>)</m:t>
                  </m:r>
                  <m:sSub>
                    <m:sSubPr>
                      <m:ctrlPr>
                        <w:rPr>
                          <w:rFonts w:ascii="Cambria Math" w:eastAsia="Times New Roman" w:hAnsi="Cambria Math" w:cs="Calibri"/>
                          <w:i/>
                          <w:color w:val="000000" w:themeColor="text1"/>
                          <w:sz w:val="20"/>
                          <w:szCs w:val="20"/>
                          <w:lang w:val="en-IE"/>
                        </w:rPr>
                      </m:ctrlPr>
                    </m:sSubPr>
                    <m:e>
                      <m:r>
                        <w:rPr>
                          <w:rFonts w:ascii="Cambria Math" w:eastAsia="Times New Roman" w:hAnsi="Cambria Math" w:cs="Calibri"/>
                          <w:color w:val="000000" w:themeColor="text1"/>
                          <w:sz w:val="20"/>
                          <w:szCs w:val="20"/>
                          <w:lang w:val="en-IE"/>
                        </w:rPr>
                        <m:t>F</m:t>
                      </m:r>
                    </m:e>
                    <m:sub>
                      <m:r>
                        <w:rPr>
                          <w:rFonts w:ascii="Cambria Math" w:eastAsia="Times New Roman" w:hAnsi="Cambria Math" w:cs="Calibri"/>
                          <w:color w:val="000000" w:themeColor="text1"/>
                          <w:sz w:val="20"/>
                          <w:szCs w:val="20"/>
                          <w:lang w:val="en-IE"/>
                        </w:rPr>
                        <m:t>R</m:t>
                      </m:r>
                    </m:sub>
                  </m:sSub>
                </m:num>
                <m:den>
                  <m:sSub>
                    <m:sSubPr>
                      <m:ctrlPr>
                        <w:rPr>
                          <w:rFonts w:ascii="Cambria Math" w:eastAsia="Times New Roman" w:hAnsi="Cambria Math" w:cs="Calibri"/>
                          <w:i/>
                          <w:color w:val="000000" w:themeColor="text1"/>
                          <w:sz w:val="20"/>
                          <w:szCs w:val="20"/>
                          <w:lang w:val="en-IE"/>
                        </w:rPr>
                      </m:ctrlPr>
                    </m:sSubPr>
                    <m:e>
                      <m:r>
                        <w:rPr>
                          <w:rFonts w:ascii="Cambria Math" w:eastAsia="Times New Roman" w:hAnsi="Cambria Math" w:cs="Calibri"/>
                          <w:color w:val="000000" w:themeColor="text1"/>
                          <w:sz w:val="20"/>
                          <w:szCs w:val="20"/>
                          <w:lang w:val="en-IE"/>
                        </w:rPr>
                        <m:t>E</m:t>
                      </m:r>
                    </m:e>
                    <m:sub>
                      <m:r>
                        <w:rPr>
                          <w:rFonts w:ascii="Cambria Math" w:eastAsia="Times New Roman" w:hAnsi="Cambria Math" w:cs="Calibri"/>
                          <w:color w:val="000000" w:themeColor="text1"/>
                          <w:sz w:val="20"/>
                          <w:szCs w:val="20"/>
                          <w:lang w:val="en-IE"/>
                        </w:rPr>
                        <m:t>F</m:t>
                      </m:r>
                    </m:sub>
                  </m:sSub>
                </m:den>
              </m:f>
            </m:oMath>
            <w:r w:rsidRPr="007C11C6">
              <w:rPr>
                <w:rFonts w:ascii="Calibri" w:eastAsia="Times New Roman" w:hAnsi="Calibri" w:cs="Calibri"/>
                <w:color w:val="000000" w:themeColor="text1"/>
                <w:sz w:val="20"/>
                <w:szCs w:val="20"/>
                <w:lang w:val="en-IE"/>
              </w:rPr>
              <w:t xml:space="preserve"> ; </w:t>
            </w:r>
          </w:p>
          <w:p w14:paraId="4B59E0F3" w14:textId="52D45BEB" w:rsidR="00A86011" w:rsidRPr="007C11C6" w:rsidRDefault="00A86011">
            <w:pPr>
              <w:spacing w:line="240" w:lineRule="auto"/>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themeColor="text1"/>
                <w:sz w:val="20"/>
                <w:szCs w:val="20"/>
                <w:lang w:val="en-IE"/>
              </w:rPr>
            </w:pPr>
            <w:proofErr w:type="spellStart"/>
            <w:r w:rsidRPr="007C11C6">
              <w:rPr>
                <w:rFonts w:ascii="Calibri" w:eastAsia="Times New Roman" w:hAnsi="Calibri" w:cs="Calibri"/>
                <w:color w:val="000000" w:themeColor="text1"/>
                <w:sz w:val="20"/>
                <w:szCs w:val="20"/>
                <w:lang w:val="en-IE"/>
              </w:rPr>
              <w:t>W</w:t>
            </w:r>
            <w:r w:rsidRPr="007C11C6">
              <w:rPr>
                <w:rFonts w:ascii="Calibri" w:eastAsia="Times New Roman" w:hAnsi="Calibri" w:cs="Calibri"/>
                <w:color w:val="000000" w:themeColor="text1"/>
                <w:sz w:val="20"/>
                <w:szCs w:val="20"/>
                <w:vertAlign w:val="subscript"/>
                <w:lang w:val="en-IE"/>
              </w:rPr>
              <w:t>c</w:t>
            </w:r>
            <w:proofErr w:type="spellEnd"/>
            <w:r w:rsidRPr="007C11C6">
              <w:rPr>
                <w:rFonts w:ascii="Calibri" w:eastAsia="Times New Roman" w:hAnsi="Calibri" w:cs="Calibri"/>
                <w:color w:val="000000" w:themeColor="text1"/>
                <w:sz w:val="20"/>
                <w:szCs w:val="20"/>
                <w:lang w:val="en-IE"/>
              </w:rPr>
              <w:t>=</w:t>
            </w:r>
            <w:r w:rsidR="001A22E9">
              <w:rPr>
                <w:rFonts w:ascii="Calibri" w:eastAsia="Times New Roman" w:hAnsi="Calibri" w:cs="Calibri"/>
                <w:color w:val="000000" w:themeColor="text1"/>
                <w:sz w:val="20"/>
                <w:szCs w:val="20"/>
                <w:lang w:val="en-IE"/>
              </w:rPr>
              <w:t>M</w:t>
            </w:r>
            <w:r w:rsidRPr="007C11C6">
              <w:rPr>
                <w:rFonts w:ascii="Calibri" w:eastAsia="Times New Roman" w:hAnsi="Calibri" w:cs="Calibri"/>
                <w:color w:val="000000" w:themeColor="text1"/>
                <w:sz w:val="20"/>
                <w:szCs w:val="20"/>
                <w:lang w:val="en-IE"/>
              </w:rPr>
              <w:t>(1-E</w:t>
            </w:r>
            <w:r w:rsidRPr="007C11C6">
              <w:rPr>
                <w:rFonts w:ascii="Calibri" w:eastAsia="Times New Roman" w:hAnsi="Calibri" w:cs="Calibri"/>
                <w:color w:val="000000" w:themeColor="text1"/>
                <w:sz w:val="20"/>
                <w:szCs w:val="20"/>
                <w:vertAlign w:val="subscript"/>
                <w:lang w:val="en-IE"/>
              </w:rPr>
              <w:t>c</w:t>
            </w:r>
            <w:r w:rsidRPr="007C11C6">
              <w:rPr>
                <w:rFonts w:ascii="Calibri" w:eastAsia="Times New Roman" w:hAnsi="Calibri" w:cs="Calibri"/>
                <w:color w:val="000000" w:themeColor="text1"/>
                <w:sz w:val="20"/>
                <w:szCs w:val="20"/>
                <w:lang w:val="en-IE"/>
              </w:rPr>
              <w:t>)*C</w:t>
            </w:r>
            <w:r w:rsidRPr="007C11C6">
              <w:rPr>
                <w:rFonts w:ascii="Calibri" w:eastAsia="Times New Roman" w:hAnsi="Calibri" w:cs="Calibri"/>
                <w:color w:val="000000" w:themeColor="text1"/>
                <w:sz w:val="20"/>
                <w:szCs w:val="20"/>
                <w:vertAlign w:val="subscript"/>
                <w:lang w:val="en-IE"/>
              </w:rPr>
              <w:t>R</w:t>
            </w:r>
          </w:p>
        </w:tc>
      </w:tr>
      <w:tr w:rsidR="00A86011" w:rsidRPr="007C11C6" w14:paraId="08B69F85" w14:textId="77777777" w:rsidTr="736B215E">
        <w:trPr>
          <w:trHeight w:val="485"/>
        </w:trPr>
        <w:tc>
          <w:tcPr>
            <w:cnfStyle w:val="001000000000" w:firstRow="0" w:lastRow="0" w:firstColumn="1" w:lastColumn="0" w:oddVBand="0" w:evenVBand="0" w:oddHBand="0" w:evenHBand="0" w:firstRowFirstColumn="0" w:firstRowLastColumn="0" w:lastRowFirstColumn="0" w:lastRowLastColumn="0"/>
            <w:tcW w:w="1130" w:type="dxa"/>
            <w:vMerge w:val="restart"/>
          </w:tcPr>
          <w:p w14:paraId="6DB57EF3" w14:textId="77777777" w:rsidR="00A86011" w:rsidRPr="007C11C6" w:rsidRDefault="00A86011">
            <w:pPr>
              <w:rPr>
                <w:rFonts w:ascii="Calibri" w:eastAsia="Times New Roman" w:hAnsi="Calibri" w:cs="Calibri"/>
                <w:color w:val="000000" w:themeColor="text1"/>
                <w:sz w:val="20"/>
                <w:szCs w:val="20"/>
                <w:lang w:val="en-IE"/>
              </w:rPr>
            </w:pPr>
            <w:r w:rsidRPr="007C11C6">
              <w:rPr>
                <w:rFonts w:ascii="Calibri" w:eastAsia="Times New Roman" w:hAnsi="Calibri" w:cs="Calibri"/>
                <w:color w:val="000000" w:themeColor="text1"/>
                <w:sz w:val="20"/>
                <w:szCs w:val="20"/>
                <w:lang w:val="en-IE"/>
              </w:rPr>
              <w:t>CI Use</w:t>
            </w:r>
          </w:p>
        </w:tc>
        <w:tc>
          <w:tcPr>
            <w:tcW w:w="3106" w:type="dxa"/>
            <w:tcBorders>
              <w:top w:val="single" w:sz="4" w:space="0" w:color="7F7F7F" w:themeColor="text1" w:themeTint="80"/>
              <w:bottom w:val="single" w:sz="4" w:space="0" w:color="7F7F7F" w:themeColor="text1" w:themeTint="80"/>
              <w:right w:val="single" w:sz="4" w:space="0" w:color="auto"/>
            </w:tcBorders>
          </w:tcPr>
          <w:p w14:paraId="66D42CBB" w14:textId="77777777" w:rsidR="00A86011" w:rsidRPr="007C11C6" w:rsidRDefault="00A86011">
            <w:pP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proofErr w:type="spellStart"/>
            <w:r w:rsidRPr="007C11C6">
              <w:rPr>
                <w:rFonts w:ascii="Calibri" w:eastAsia="Times New Roman" w:hAnsi="Calibri" w:cs="Calibri"/>
                <w:b/>
                <w:bCs/>
                <w:color w:val="000000" w:themeColor="text1"/>
                <w:sz w:val="20"/>
                <w:szCs w:val="20"/>
                <w:lang w:val="en-IE"/>
              </w:rPr>
              <w:t>CI</w:t>
            </w:r>
            <w:r w:rsidRPr="007C11C6">
              <w:rPr>
                <w:rFonts w:ascii="Calibri" w:eastAsia="Times New Roman" w:hAnsi="Calibri" w:cs="Calibri"/>
                <w:b/>
                <w:bCs/>
                <w:color w:val="000000" w:themeColor="text1"/>
                <w:sz w:val="20"/>
                <w:szCs w:val="20"/>
                <w:vertAlign w:val="subscript"/>
                <w:lang w:val="en-IE"/>
              </w:rPr>
              <w:t>Use</w:t>
            </w:r>
            <w:proofErr w:type="spellEnd"/>
            <w:r w:rsidRPr="007C11C6">
              <w:rPr>
                <w:rFonts w:ascii="Calibri" w:eastAsia="Times New Roman" w:hAnsi="Calibri" w:cs="Calibri"/>
                <w:b/>
                <w:bCs/>
                <w:color w:val="000000" w:themeColor="text1"/>
                <w:sz w:val="20"/>
                <w:szCs w:val="20"/>
                <w:vertAlign w:val="subscript"/>
                <w:lang w:val="en-IE"/>
              </w:rPr>
              <w:t xml:space="preserve"> </w:t>
            </w:r>
            <w:r w:rsidRPr="007C11C6">
              <w:rPr>
                <w:rFonts w:ascii="Calibri" w:eastAsia="Times New Roman" w:hAnsi="Calibri" w:cs="Calibri"/>
                <w:b/>
                <w:bCs/>
                <w:color w:val="000000" w:themeColor="text1"/>
                <w:sz w:val="20"/>
                <w:szCs w:val="20"/>
                <w:lang w:val="en-IE"/>
              </w:rPr>
              <w:t>=</w:t>
            </w:r>
            <m:oMath>
              <m:f>
                <m:fPr>
                  <m:ctrlPr>
                    <w:rPr>
                      <w:rFonts w:ascii="Cambria Math" w:hAnsi="Cambria Math" w:cs="Calibri"/>
                      <w:b/>
                      <w:bCs/>
                      <w:i/>
                      <w:sz w:val="20"/>
                      <w:szCs w:val="20"/>
                    </w:rPr>
                  </m:ctrlPr>
                </m:fPr>
                <m:num>
                  <m:r>
                    <m:rPr>
                      <m:sty m:val="bi"/>
                    </m:rPr>
                    <w:rPr>
                      <w:rFonts w:ascii="Cambria Math" w:hAnsi="Cambria Math" w:cs="Calibri"/>
                      <w:sz w:val="20"/>
                      <w:szCs w:val="20"/>
                    </w:rPr>
                    <m:t>L</m:t>
                  </m:r>
                </m:num>
                <m:den>
                  <m:r>
                    <m:rPr>
                      <m:sty m:val="bi"/>
                    </m:rPr>
                    <w:rPr>
                      <w:rFonts w:ascii="Cambria Math" w:hAnsi="Cambria Math" w:cs="Calibri"/>
                      <w:sz w:val="20"/>
                      <w:szCs w:val="20"/>
                    </w:rPr>
                    <m:t>L av</m:t>
                  </m:r>
                </m:den>
              </m:f>
            </m:oMath>
          </w:p>
        </w:tc>
        <w:tc>
          <w:tcPr>
            <w:tcW w:w="264" w:type="dxa"/>
            <w:vMerge/>
          </w:tcPr>
          <w:p w14:paraId="74C4F6E5" w14:textId="77777777" w:rsidR="00A86011" w:rsidRPr="007C11C6" w:rsidRDefault="00A8601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lang w:val="en-IE"/>
              </w:rPr>
            </w:pPr>
          </w:p>
        </w:tc>
        <w:tc>
          <w:tcPr>
            <w:tcW w:w="4500" w:type="dxa"/>
            <w:vMerge w:val="restart"/>
          </w:tcPr>
          <w:p w14:paraId="43409DC9" w14:textId="37C79F6A" w:rsidR="00A86011" w:rsidRPr="007C11C6" w:rsidRDefault="736B215E">
            <w:pPr>
              <w:spacing w:line="240" w:lineRule="auto"/>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lang w:val="en-IE"/>
              </w:rPr>
            </w:pPr>
            <w:r w:rsidRPr="736B215E">
              <w:rPr>
                <w:rFonts w:ascii="Calibri" w:eastAsia="Times New Roman" w:hAnsi="Calibri" w:cs="Calibri"/>
                <w:b/>
                <w:bCs/>
                <w:color w:val="000000" w:themeColor="text1"/>
                <w:sz w:val="20"/>
                <w:szCs w:val="20"/>
                <w:lang w:val="en-IE"/>
              </w:rPr>
              <w:t>M</w:t>
            </w:r>
            <w:r w:rsidRPr="000A7123">
              <w:rPr>
                <w:rFonts w:ascii="Calibri" w:eastAsia="Times New Roman" w:hAnsi="Calibri" w:cs="Calibri"/>
                <w:color w:val="000000" w:themeColor="text1"/>
                <w:sz w:val="20"/>
                <w:szCs w:val="20"/>
                <w:lang w:val="en-IE"/>
              </w:rPr>
              <w:t xml:space="preserve">: </w:t>
            </w:r>
            <w:r w:rsidRPr="736B215E">
              <w:rPr>
                <w:rFonts w:ascii="Calibri" w:eastAsia="Times New Roman" w:hAnsi="Calibri" w:cs="Calibri"/>
                <w:color w:val="000000" w:themeColor="text1"/>
                <w:sz w:val="20"/>
                <w:szCs w:val="20"/>
                <w:lang w:val="en-IE"/>
              </w:rPr>
              <w:t xml:space="preserve">Product mass ; </w:t>
            </w:r>
            <w:r w:rsidRPr="001453A8">
              <w:rPr>
                <w:rFonts w:ascii="Calibri" w:eastAsia="Times New Roman" w:hAnsi="Calibri" w:cs="Calibri"/>
                <w:b/>
                <w:bCs/>
                <w:color w:val="000000" w:themeColor="text1"/>
                <w:sz w:val="20"/>
                <w:szCs w:val="20"/>
                <w:lang w:val="en-IE"/>
              </w:rPr>
              <w:t>W</w:t>
            </w:r>
            <w:r w:rsidRPr="736B215E">
              <w:rPr>
                <w:rFonts w:ascii="Calibri" w:eastAsia="Times New Roman" w:hAnsi="Calibri" w:cs="Calibri"/>
                <w:color w:val="000000" w:themeColor="text1"/>
                <w:sz w:val="20"/>
                <w:szCs w:val="20"/>
                <w:lang w:val="en-IE"/>
              </w:rPr>
              <w:t xml:space="preserve">: Mass of waste (kg) ; </w:t>
            </w:r>
          </w:p>
          <w:p w14:paraId="7FD39FDD" w14:textId="68894D4A" w:rsidR="00A86011" w:rsidRPr="007C11C6" w:rsidRDefault="00A86011">
            <w:pPr>
              <w:spacing w:line="240" w:lineRule="auto"/>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lang w:val="en-IE"/>
              </w:rPr>
            </w:pPr>
            <w:proofErr w:type="spellStart"/>
            <w:r w:rsidRPr="007C11C6">
              <w:rPr>
                <w:rFonts w:ascii="Calibri" w:eastAsia="Times New Roman" w:hAnsi="Calibri" w:cs="Calibri"/>
                <w:b/>
                <w:bCs/>
                <w:color w:val="000000" w:themeColor="text1"/>
                <w:sz w:val="20"/>
                <w:szCs w:val="20"/>
                <w:lang w:val="en-IE"/>
              </w:rPr>
              <w:t>Wf</w:t>
            </w:r>
            <w:proofErr w:type="spellEnd"/>
            <w:r w:rsidRPr="000A7123">
              <w:rPr>
                <w:rFonts w:ascii="Calibri" w:eastAsia="Times New Roman" w:hAnsi="Calibri" w:cs="Calibri"/>
                <w:color w:val="000000" w:themeColor="text1"/>
                <w:sz w:val="20"/>
                <w:szCs w:val="20"/>
                <w:lang w:val="en-IE"/>
              </w:rPr>
              <w:t>:</w:t>
            </w:r>
            <w:r w:rsidRPr="007C11C6">
              <w:rPr>
                <w:rFonts w:ascii="Calibri" w:hAnsi="Calibri" w:cs="Calibri"/>
                <w:sz w:val="20"/>
                <w:szCs w:val="20"/>
              </w:rPr>
              <w:t xml:space="preserve"> </w:t>
            </w:r>
            <w:r w:rsidRPr="007C11C6">
              <w:rPr>
                <w:rFonts w:ascii="Calibri" w:eastAsia="Times New Roman" w:hAnsi="Calibri" w:cs="Calibri"/>
                <w:color w:val="000000" w:themeColor="text1"/>
                <w:sz w:val="20"/>
                <w:szCs w:val="20"/>
                <w:lang w:val="en-IE"/>
              </w:rPr>
              <w:t>Mass of waste (kg) generated by the recycling process that provides the materials used</w:t>
            </w:r>
            <w:r w:rsidR="00051210" w:rsidRPr="007C11C6">
              <w:rPr>
                <w:rFonts w:ascii="Calibri" w:eastAsia="Times New Roman" w:hAnsi="Calibri" w:cs="Calibri"/>
                <w:color w:val="000000" w:themeColor="text1"/>
                <w:sz w:val="20"/>
                <w:szCs w:val="20"/>
                <w:lang w:val="en-IE"/>
              </w:rPr>
              <w:t xml:space="preserve"> </w:t>
            </w:r>
            <w:r w:rsidRPr="007C11C6">
              <w:rPr>
                <w:rFonts w:ascii="Calibri" w:eastAsia="Times New Roman" w:hAnsi="Calibri" w:cs="Calibri"/>
                <w:color w:val="000000" w:themeColor="text1"/>
                <w:sz w:val="20"/>
                <w:szCs w:val="20"/>
                <w:lang w:val="en-IE"/>
              </w:rPr>
              <w:t>to manufacture a product</w:t>
            </w:r>
          </w:p>
          <w:p w14:paraId="102F6F85" w14:textId="3BCC6FC3" w:rsidR="00A86011" w:rsidRPr="007C11C6" w:rsidRDefault="00A86011">
            <w:pPr>
              <w:spacing w:line="240" w:lineRule="auto"/>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lang w:val="en-IE"/>
              </w:rPr>
            </w:pPr>
            <w:proofErr w:type="spellStart"/>
            <w:r w:rsidRPr="007C11C6">
              <w:rPr>
                <w:rFonts w:ascii="Calibri" w:eastAsia="Times New Roman" w:hAnsi="Calibri" w:cs="Calibri"/>
                <w:b/>
                <w:bCs/>
                <w:color w:val="000000" w:themeColor="text1"/>
                <w:sz w:val="20"/>
                <w:szCs w:val="20"/>
                <w:lang w:val="en-IE"/>
              </w:rPr>
              <w:t>Wc</w:t>
            </w:r>
            <w:proofErr w:type="spellEnd"/>
            <w:r w:rsidRPr="000A7123">
              <w:rPr>
                <w:rFonts w:ascii="Calibri" w:eastAsia="Times New Roman" w:hAnsi="Calibri" w:cs="Calibri"/>
                <w:color w:val="000000" w:themeColor="text1"/>
                <w:sz w:val="20"/>
                <w:szCs w:val="20"/>
                <w:lang w:val="en-IE"/>
              </w:rPr>
              <w:t>:</w:t>
            </w:r>
            <w:r w:rsidRPr="007C11C6">
              <w:rPr>
                <w:rFonts w:ascii="Calibri" w:eastAsia="Times New Roman" w:hAnsi="Calibri" w:cs="Calibri"/>
                <w:color w:val="000000" w:themeColor="text1"/>
                <w:sz w:val="20"/>
                <w:szCs w:val="20"/>
                <w:lang w:val="en-IE"/>
              </w:rPr>
              <w:t xml:space="preserve"> Mass of waste (kg) generated by the recycling process after the useful life of the</w:t>
            </w:r>
            <w:r w:rsidR="00051210" w:rsidRPr="007C11C6">
              <w:rPr>
                <w:rFonts w:ascii="Calibri" w:eastAsia="Times New Roman" w:hAnsi="Calibri" w:cs="Calibri"/>
                <w:color w:val="000000" w:themeColor="text1"/>
                <w:sz w:val="20"/>
                <w:szCs w:val="20"/>
                <w:lang w:val="en-IE"/>
              </w:rPr>
              <w:t xml:space="preserve"> </w:t>
            </w:r>
            <w:r w:rsidRPr="007C11C6">
              <w:rPr>
                <w:rFonts w:ascii="Calibri" w:eastAsia="Times New Roman" w:hAnsi="Calibri" w:cs="Calibri"/>
                <w:color w:val="000000" w:themeColor="text1"/>
                <w:sz w:val="20"/>
                <w:szCs w:val="20"/>
                <w:lang w:val="en-IE"/>
              </w:rPr>
              <w:t>product.</w:t>
            </w:r>
          </w:p>
          <w:p w14:paraId="06D5F672" w14:textId="77777777" w:rsidR="00A86011" w:rsidRPr="007C11C6" w:rsidRDefault="00A86011">
            <w:pPr>
              <w:spacing w:line="240" w:lineRule="auto"/>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lang w:val="en-IE"/>
              </w:rPr>
            </w:pPr>
            <w:r w:rsidRPr="001453A8">
              <w:rPr>
                <w:rFonts w:ascii="Cambria Math" w:eastAsia="Times New Roman" w:hAnsi="Cambria Math" w:cs="Cambria Math"/>
                <w:b/>
                <w:bCs/>
                <w:color w:val="000000" w:themeColor="text1"/>
                <w:sz w:val="20"/>
                <w:szCs w:val="20"/>
                <w:lang w:val="en-IE"/>
              </w:rPr>
              <w:t>𝐶</w:t>
            </w:r>
            <w:r w:rsidRPr="001453A8">
              <w:rPr>
                <w:rFonts w:ascii="Calibri" w:eastAsia="Times New Roman" w:hAnsi="Calibri" w:cs="Calibri"/>
                <w:b/>
                <w:bCs/>
                <w:color w:val="000000" w:themeColor="text1"/>
                <w:sz w:val="20"/>
                <w:szCs w:val="20"/>
                <w:vertAlign w:val="subscript"/>
                <w:lang w:val="en-IE"/>
              </w:rPr>
              <w:t>R</w:t>
            </w:r>
            <w:r w:rsidRPr="000A7123">
              <w:rPr>
                <w:rFonts w:ascii="Calibri" w:eastAsia="Times New Roman" w:hAnsi="Calibri" w:cs="Calibri"/>
                <w:color w:val="000000" w:themeColor="text1"/>
                <w:sz w:val="20"/>
                <w:szCs w:val="20"/>
                <w:lang w:val="en-IE"/>
              </w:rPr>
              <w:t>:</w:t>
            </w:r>
            <w:r w:rsidRPr="007C11C6">
              <w:rPr>
                <w:rFonts w:ascii="Calibri" w:hAnsi="Calibri" w:cs="Calibri"/>
                <w:sz w:val="20"/>
                <w:szCs w:val="20"/>
              </w:rPr>
              <w:t xml:space="preserve"> </w:t>
            </w:r>
            <w:r w:rsidRPr="007C11C6">
              <w:rPr>
                <w:rFonts w:ascii="Calibri" w:eastAsia="Times New Roman" w:hAnsi="Calibri" w:cs="Calibri"/>
                <w:color w:val="000000" w:themeColor="text1"/>
                <w:sz w:val="20"/>
                <w:szCs w:val="20"/>
                <w:lang w:val="en-IE"/>
              </w:rPr>
              <w:t>Fraction of materials with a waste recycling scenario (as a % of the product mass);</w:t>
            </w:r>
          </w:p>
          <w:p w14:paraId="595C1E92" w14:textId="77777777" w:rsidR="00A86011" w:rsidRPr="007C11C6" w:rsidRDefault="00A86011">
            <w:pPr>
              <w:spacing w:line="240" w:lineRule="auto"/>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lang w:val="en-IE"/>
              </w:rPr>
            </w:pPr>
            <w:r w:rsidRPr="007C11C6">
              <w:rPr>
                <w:rFonts w:ascii="Calibri" w:eastAsia="Times New Roman" w:hAnsi="Calibri" w:cs="Calibri"/>
                <w:b/>
                <w:bCs/>
                <w:color w:val="000000" w:themeColor="text1"/>
                <w:sz w:val="20"/>
                <w:szCs w:val="20"/>
                <w:lang w:val="en-IE"/>
              </w:rPr>
              <w:t>C</w:t>
            </w:r>
            <w:r w:rsidRPr="007C11C6">
              <w:rPr>
                <w:rFonts w:ascii="Calibri" w:eastAsia="Times New Roman" w:hAnsi="Calibri" w:cs="Calibri"/>
                <w:b/>
                <w:bCs/>
                <w:color w:val="000000" w:themeColor="text1"/>
                <w:sz w:val="20"/>
                <w:szCs w:val="20"/>
                <w:vertAlign w:val="subscript"/>
                <w:lang w:val="en-IE"/>
              </w:rPr>
              <w:t>u</w:t>
            </w:r>
            <w:r w:rsidRPr="000A7123">
              <w:rPr>
                <w:rFonts w:ascii="Calibri" w:eastAsia="Times New Roman" w:hAnsi="Calibri" w:cs="Calibri"/>
                <w:color w:val="000000" w:themeColor="text1"/>
                <w:sz w:val="20"/>
                <w:szCs w:val="20"/>
                <w:lang w:val="en-IE"/>
              </w:rPr>
              <w:t>:</w:t>
            </w:r>
            <w:r w:rsidRPr="007C11C6">
              <w:rPr>
                <w:rFonts w:ascii="Calibri" w:eastAsia="Times New Roman" w:hAnsi="Calibri" w:cs="Calibri"/>
                <w:color w:val="000000" w:themeColor="text1"/>
                <w:sz w:val="20"/>
                <w:szCs w:val="20"/>
                <w:lang w:val="en-IE"/>
              </w:rPr>
              <w:t xml:space="preserve"> Fraction of materials with a waste reuse scenario (as a % of the product mass)</w:t>
            </w:r>
          </w:p>
          <w:p w14:paraId="6331578B" w14:textId="352770E5" w:rsidR="00A86011" w:rsidRPr="007C11C6" w:rsidRDefault="00A86011">
            <w:pPr>
              <w:spacing w:line="240" w:lineRule="auto"/>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lang w:val="en-IE"/>
              </w:rPr>
            </w:pPr>
            <w:r w:rsidRPr="007C11C6">
              <w:rPr>
                <w:rFonts w:ascii="Calibri" w:eastAsia="Times New Roman" w:hAnsi="Calibri" w:cs="Calibri"/>
                <w:b/>
                <w:bCs/>
                <w:color w:val="000000" w:themeColor="text1"/>
                <w:sz w:val="20"/>
                <w:szCs w:val="20"/>
                <w:lang w:val="en-IE"/>
              </w:rPr>
              <w:t>E</w:t>
            </w:r>
            <w:r w:rsidRPr="007C11C6">
              <w:rPr>
                <w:rFonts w:ascii="Calibri" w:eastAsia="Times New Roman" w:hAnsi="Calibri" w:cs="Calibri"/>
                <w:b/>
                <w:bCs/>
                <w:color w:val="000000" w:themeColor="text1"/>
                <w:sz w:val="20"/>
                <w:szCs w:val="20"/>
                <w:vertAlign w:val="subscript"/>
                <w:lang w:val="en-IE"/>
              </w:rPr>
              <w:t>f</w:t>
            </w:r>
            <w:r w:rsidRPr="000A7123">
              <w:rPr>
                <w:rFonts w:ascii="Calibri" w:eastAsia="Times New Roman" w:hAnsi="Calibri" w:cs="Calibri"/>
                <w:color w:val="000000" w:themeColor="text1"/>
                <w:sz w:val="20"/>
                <w:szCs w:val="20"/>
                <w:lang w:val="en-IE"/>
              </w:rPr>
              <w:t>:</w:t>
            </w:r>
            <w:r w:rsidRPr="007C11C6">
              <w:rPr>
                <w:rFonts w:ascii="Calibri" w:hAnsi="Calibri" w:cs="Calibri"/>
                <w:sz w:val="20"/>
                <w:szCs w:val="20"/>
              </w:rPr>
              <w:t xml:space="preserve"> </w:t>
            </w:r>
            <w:r w:rsidRPr="007C11C6">
              <w:rPr>
                <w:rFonts w:ascii="Calibri" w:eastAsia="Times New Roman" w:hAnsi="Calibri" w:cs="Calibri"/>
                <w:color w:val="000000" w:themeColor="text1"/>
                <w:sz w:val="20"/>
                <w:szCs w:val="20"/>
                <w:lang w:val="en-IE"/>
              </w:rPr>
              <w:t>Efficiency of the recycling process (%) supplying the materials to manufacture a</w:t>
            </w:r>
            <w:r w:rsidR="00051210" w:rsidRPr="007C11C6">
              <w:rPr>
                <w:rFonts w:ascii="Calibri" w:eastAsia="Times New Roman" w:hAnsi="Calibri" w:cs="Calibri"/>
                <w:color w:val="000000" w:themeColor="text1"/>
                <w:sz w:val="20"/>
                <w:szCs w:val="20"/>
                <w:lang w:val="en-IE"/>
              </w:rPr>
              <w:t xml:space="preserve"> </w:t>
            </w:r>
            <w:r w:rsidRPr="007C11C6">
              <w:rPr>
                <w:rFonts w:ascii="Calibri" w:eastAsia="Times New Roman" w:hAnsi="Calibri" w:cs="Calibri"/>
                <w:color w:val="000000" w:themeColor="text1"/>
                <w:sz w:val="20"/>
                <w:szCs w:val="20"/>
                <w:lang w:val="en-IE"/>
              </w:rPr>
              <w:t xml:space="preserve">product. The default </w:t>
            </w:r>
            <w:r w:rsidRPr="007C11C6">
              <w:rPr>
                <w:rFonts w:ascii="Calibri" w:eastAsia="Times New Roman" w:hAnsi="Calibri" w:cs="Calibri"/>
                <w:color w:val="000000" w:themeColor="text1"/>
                <w:sz w:val="20"/>
                <w:szCs w:val="20"/>
                <w:lang w:val="en-IE"/>
              </w:rPr>
              <w:lastRenderedPageBreak/>
              <w:t>value of 75% can be changed manually, since the required data is</w:t>
            </w:r>
            <w:r w:rsidR="00051210" w:rsidRPr="007C11C6">
              <w:rPr>
                <w:rFonts w:ascii="Calibri" w:eastAsia="Times New Roman" w:hAnsi="Calibri" w:cs="Calibri"/>
                <w:color w:val="000000" w:themeColor="text1"/>
                <w:sz w:val="20"/>
                <w:szCs w:val="20"/>
                <w:lang w:val="en-IE"/>
              </w:rPr>
              <w:t xml:space="preserve"> </w:t>
            </w:r>
            <w:r w:rsidRPr="007C11C6">
              <w:rPr>
                <w:rFonts w:ascii="Calibri" w:eastAsia="Times New Roman" w:hAnsi="Calibri" w:cs="Calibri"/>
                <w:color w:val="000000" w:themeColor="text1"/>
                <w:sz w:val="20"/>
                <w:szCs w:val="20"/>
                <w:lang w:val="en-IE"/>
              </w:rPr>
              <w:t>not available.</w:t>
            </w:r>
          </w:p>
          <w:p w14:paraId="76F868E0" w14:textId="77777777" w:rsidR="00A86011" w:rsidRPr="007C11C6" w:rsidRDefault="00A86011">
            <w:pPr>
              <w:spacing w:line="240" w:lineRule="auto"/>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lang w:val="en-IE"/>
              </w:rPr>
            </w:pPr>
            <w:r w:rsidRPr="007C11C6">
              <w:rPr>
                <w:rFonts w:ascii="Calibri" w:eastAsia="Times New Roman" w:hAnsi="Calibri" w:cs="Calibri"/>
                <w:b/>
                <w:bCs/>
                <w:color w:val="000000" w:themeColor="text1"/>
                <w:sz w:val="20"/>
                <w:szCs w:val="20"/>
                <w:lang w:val="en-IE"/>
              </w:rPr>
              <w:t>E</w:t>
            </w:r>
            <w:r w:rsidRPr="007C11C6">
              <w:rPr>
                <w:rFonts w:ascii="Calibri" w:eastAsia="Times New Roman" w:hAnsi="Calibri" w:cs="Calibri"/>
                <w:b/>
                <w:bCs/>
                <w:color w:val="000000" w:themeColor="text1"/>
                <w:sz w:val="20"/>
                <w:szCs w:val="20"/>
                <w:vertAlign w:val="subscript"/>
                <w:lang w:val="en-IE"/>
              </w:rPr>
              <w:t>C</w:t>
            </w:r>
            <w:r w:rsidRPr="007C11C6">
              <w:rPr>
                <w:rFonts w:ascii="Calibri" w:eastAsia="Times New Roman" w:hAnsi="Calibri" w:cs="Calibri"/>
                <w:b/>
                <w:bCs/>
                <w:color w:val="000000" w:themeColor="text1"/>
                <w:sz w:val="20"/>
                <w:szCs w:val="20"/>
                <w:lang w:val="en-IE"/>
              </w:rPr>
              <w:t>:</w:t>
            </w:r>
            <w:r w:rsidRPr="007C11C6">
              <w:rPr>
                <w:rFonts w:ascii="Calibri" w:hAnsi="Calibri" w:cs="Calibri"/>
                <w:sz w:val="20"/>
                <w:szCs w:val="20"/>
              </w:rPr>
              <w:t xml:space="preserve"> </w:t>
            </w:r>
            <w:r w:rsidRPr="007C11C6">
              <w:rPr>
                <w:rFonts w:ascii="Calibri" w:eastAsia="Times New Roman" w:hAnsi="Calibri" w:cs="Calibri"/>
                <w:color w:val="000000" w:themeColor="text1"/>
                <w:sz w:val="20"/>
                <w:szCs w:val="20"/>
                <w:lang w:val="en-IE"/>
              </w:rPr>
              <w:t>Efficiency of the recycling process (%) for a product with a waste recycling scenario.</w:t>
            </w:r>
          </w:p>
          <w:p w14:paraId="4BE0C371" w14:textId="64EFFB7E" w:rsidR="00A86011" w:rsidRPr="007C11C6" w:rsidRDefault="00A86011" w:rsidP="00051210">
            <w:pPr>
              <w:spacing w:line="240" w:lineRule="auto"/>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0"/>
                <w:szCs w:val="20"/>
                <w:lang w:val="en-IE"/>
              </w:rPr>
            </w:pPr>
            <w:r w:rsidRPr="007C11C6">
              <w:rPr>
                <w:rFonts w:ascii="Calibri" w:eastAsia="Times New Roman" w:hAnsi="Calibri" w:cs="Calibri"/>
                <w:color w:val="000000" w:themeColor="text1"/>
                <w:sz w:val="20"/>
                <w:szCs w:val="20"/>
                <w:lang w:val="en-IE"/>
              </w:rPr>
              <w:t>The default value of 75% can be changed manually, since the</w:t>
            </w:r>
            <w:r w:rsidR="00051210" w:rsidRPr="007C11C6">
              <w:rPr>
                <w:rFonts w:ascii="Calibri" w:eastAsia="Times New Roman" w:hAnsi="Calibri" w:cs="Calibri"/>
                <w:color w:val="000000" w:themeColor="text1"/>
                <w:sz w:val="20"/>
                <w:szCs w:val="20"/>
                <w:lang w:val="en-IE"/>
              </w:rPr>
              <w:t xml:space="preserve"> </w:t>
            </w:r>
            <w:r w:rsidRPr="007C11C6">
              <w:rPr>
                <w:rFonts w:ascii="Calibri" w:eastAsia="Times New Roman" w:hAnsi="Calibri" w:cs="Calibri"/>
                <w:color w:val="000000" w:themeColor="text1"/>
                <w:sz w:val="20"/>
                <w:szCs w:val="20"/>
                <w:lang w:val="en-IE"/>
              </w:rPr>
              <w:t>required data is not</w:t>
            </w:r>
            <w:r w:rsidR="00051210" w:rsidRPr="007C11C6">
              <w:rPr>
                <w:rFonts w:ascii="Calibri" w:eastAsia="Times New Roman" w:hAnsi="Calibri" w:cs="Calibri"/>
                <w:color w:val="000000" w:themeColor="text1"/>
                <w:sz w:val="20"/>
                <w:szCs w:val="20"/>
                <w:lang w:val="en-IE"/>
              </w:rPr>
              <w:t xml:space="preserve"> </w:t>
            </w:r>
            <w:r w:rsidRPr="007C11C6">
              <w:rPr>
                <w:rFonts w:ascii="Calibri" w:eastAsia="Times New Roman" w:hAnsi="Calibri" w:cs="Calibri"/>
                <w:color w:val="000000" w:themeColor="text1"/>
                <w:sz w:val="20"/>
                <w:szCs w:val="20"/>
                <w:lang w:val="en-IE"/>
              </w:rPr>
              <w:t>available.</w:t>
            </w:r>
          </w:p>
        </w:tc>
      </w:tr>
      <w:tr w:rsidR="00A86011" w:rsidRPr="007C11C6" w14:paraId="419E24BD" w14:textId="77777777" w:rsidTr="736B21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0" w:type="dxa"/>
            <w:vMerge/>
          </w:tcPr>
          <w:p w14:paraId="61126025" w14:textId="77777777" w:rsidR="00A86011" w:rsidRPr="007C11C6" w:rsidRDefault="00A86011">
            <w:pPr>
              <w:spacing w:line="240" w:lineRule="auto"/>
              <w:jc w:val="both"/>
              <w:rPr>
                <w:rFonts w:ascii="Calibri" w:eastAsia="Times New Roman" w:hAnsi="Calibri" w:cs="Calibri"/>
                <w:color w:val="000000" w:themeColor="text1"/>
                <w:sz w:val="20"/>
                <w:szCs w:val="20"/>
                <w:lang w:val="en-IE"/>
              </w:rPr>
            </w:pPr>
          </w:p>
        </w:tc>
        <w:tc>
          <w:tcPr>
            <w:tcW w:w="3106" w:type="dxa"/>
            <w:tcBorders>
              <w:right w:val="single" w:sz="4" w:space="0" w:color="auto"/>
            </w:tcBorders>
          </w:tcPr>
          <w:p w14:paraId="18FF5970" w14:textId="77777777" w:rsidR="00A86011" w:rsidRPr="00F141B0" w:rsidRDefault="00A86011">
            <w:pPr>
              <w:spacing w:line="240" w:lineRule="auto"/>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0"/>
                <w:szCs w:val="20"/>
                <w:lang w:val="en-IE"/>
              </w:rPr>
            </w:pPr>
            <w:r w:rsidRPr="007C11C6">
              <w:rPr>
                <w:rFonts w:ascii="Calibri" w:eastAsia="Times New Roman" w:hAnsi="Calibri" w:cs="Calibri"/>
                <w:b/>
                <w:bCs/>
                <w:color w:val="000000" w:themeColor="text1"/>
                <w:sz w:val="20"/>
                <w:szCs w:val="20"/>
                <w:lang w:val="en-IE"/>
              </w:rPr>
              <w:t>L:</w:t>
            </w:r>
            <w:r w:rsidRPr="007C11C6">
              <w:rPr>
                <w:rFonts w:ascii="Calibri" w:eastAsia="Times New Roman" w:hAnsi="Calibri" w:cs="Calibri"/>
                <w:color w:val="000000" w:themeColor="text1"/>
                <w:sz w:val="20"/>
                <w:szCs w:val="20"/>
                <w:lang w:val="en-IE"/>
              </w:rPr>
              <w:t xml:space="preserve"> Potential functional lifecycle of a product</w:t>
            </w:r>
            <w:r w:rsidRPr="00F141B0">
              <w:rPr>
                <w:rFonts w:ascii="Calibri" w:eastAsia="Times New Roman" w:hAnsi="Calibri" w:cs="Calibri"/>
                <w:color w:val="000000" w:themeColor="text1"/>
                <w:sz w:val="20"/>
                <w:szCs w:val="20"/>
                <w:lang w:val="en-IE"/>
              </w:rPr>
              <w:t>, in years</w:t>
            </w:r>
          </w:p>
          <w:p w14:paraId="1716EA0B" w14:textId="77777777" w:rsidR="00A86011" w:rsidRPr="007C11C6" w:rsidRDefault="00A86011">
            <w:pPr>
              <w:spacing w:line="240" w:lineRule="auto"/>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0"/>
                <w:szCs w:val="20"/>
                <w:lang w:val="en-IE"/>
              </w:rPr>
            </w:pPr>
            <w:r w:rsidRPr="00F141B0">
              <w:rPr>
                <w:rFonts w:ascii="Calibri" w:eastAsia="Times New Roman" w:hAnsi="Calibri" w:cs="Calibri"/>
                <w:b/>
                <w:bCs/>
                <w:color w:val="000000" w:themeColor="text1"/>
                <w:sz w:val="20"/>
                <w:szCs w:val="20"/>
                <w:lang w:val="en-IE"/>
              </w:rPr>
              <w:t>L</w:t>
            </w:r>
            <w:r w:rsidRPr="00F141B0">
              <w:rPr>
                <w:rFonts w:ascii="Calibri" w:eastAsia="Times New Roman" w:hAnsi="Calibri" w:cs="Calibri"/>
                <w:b/>
                <w:bCs/>
                <w:color w:val="000000" w:themeColor="text1"/>
                <w:sz w:val="20"/>
                <w:szCs w:val="20"/>
                <w:vertAlign w:val="subscript"/>
                <w:lang w:val="en-IE"/>
              </w:rPr>
              <w:t>av</w:t>
            </w:r>
            <w:r w:rsidRPr="00F141B0">
              <w:rPr>
                <w:rFonts w:ascii="Calibri" w:eastAsia="Times New Roman" w:hAnsi="Calibri" w:cs="Calibri"/>
                <w:color w:val="000000" w:themeColor="text1"/>
                <w:sz w:val="20"/>
                <w:szCs w:val="20"/>
                <w:lang w:val="en-IE"/>
              </w:rPr>
              <w:t>: Industry-average lifecycle of a building layer, in years</w:t>
            </w:r>
          </w:p>
        </w:tc>
        <w:tc>
          <w:tcPr>
            <w:tcW w:w="264" w:type="dxa"/>
            <w:vMerge/>
          </w:tcPr>
          <w:p w14:paraId="651D5EFE" w14:textId="77777777" w:rsidR="00A86011" w:rsidRPr="007C11C6" w:rsidRDefault="00A86011">
            <w:pPr>
              <w:spacing w:line="240" w:lineRule="auto"/>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themeColor="text1"/>
                <w:sz w:val="16"/>
                <w:szCs w:val="16"/>
                <w:lang w:val="en-IE"/>
              </w:rPr>
            </w:pPr>
          </w:p>
        </w:tc>
        <w:tc>
          <w:tcPr>
            <w:tcW w:w="4500" w:type="dxa"/>
            <w:vMerge/>
          </w:tcPr>
          <w:p w14:paraId="32D21C8D" w14:textId="77777777" w:rsidR="00A86011" w:rsidRPr="007C11C6" w:rsidRDefault="00A86011">
            <w:pPr>
              <w:spacing w:line="240" w:lineRule="auto"/>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themeColor="text1"/>
                <w:sz w:val="16"/>
                <w:szCs w:val="16"/>
                <w:lang w:val="en-IE"/>
              </w:rPr>
            </w:pPr>
          </w:p>
        </w:tc>
      </w:tr>
      <w:tr w:rsidR="00A86011" w:rsidRPr="007C11C6" w14:paraId="19F3C4B8" w14:textId="77777777" w:rsidTr="736B215E">
        <w:tc>
          <w:tcPr>
            <w:cnfStyle w:val="001000000000" w:firstRow="0" w:lastRow="0" w:firstColumn="1" w:lastColumn="0" w:oddVBand="0" w:evenVBand="0" w:oddHBand="0" w:evenHBand="0" w:firstRowFirstColumn="0" w:firstRowLastColumn="0" w:lastRowFirstColumn="0" w:lastRowLastColumn="0"/>
            <w:tcW w:w="1130" w:type="dxa"/>
            <w:vMerge w:val="restart"/>
          </w:tcPr>
          <w:p w14:paraId="6AF4467E" w14:textId="77777777" w:rsidR="00A86011" w:rsidRPr="007C11C6" w:rsidRDefault="00A86011">
            <w:pPr>
              <w:spacing w:line="240" w:lineRule="auto"/>
              <w:jc w:val="both"/>
              <w:rPr>
                <w:rFonts w:ascii="Calibri" w:eastAsia="Times New Roman" w:hAnsi="Calibri" w:cs="Calibri"/>
                <w:color w:val="000000" w:themeColor="text1"/>
                <w:sz w:val="20"/>
                <w:szCs w:val="20"/>
                <w:lang w:val="en-IE"/>
              </w:rPr>
            </w:pPr>
            <w:r w:rsidRPr="007C11C6">
              <w:rPr>
                <w:rFonts w:ascii="Calibri" w:eastAsia="Times New Roman" w:hAnsi="Calibri" w:cs="Calibri"/>
                <w:color w:val="000000" w:themeColor="text1"/>
                <w:sz w:val="20"/>
                <w:szCs w:val="20"/>
                <w:lang w:val="en-IE"/>
              </w:rPr>
              <w:t>CI End of Life</w:t>
            </w:r>
          </w:p>
        </w:tc>
        <w:tc>
          <w:tcPr>
            <w:tcW w:w="3106" w:type="dxa"/>
            <w:tcBorders>
              <w:top w:val="single" w:sz="4" w:space="0" w:color="7F7F7F" w:themeColor="text1" w:themeTint="80"/>
              <w:bottom w:val="single" w:sz="4" w:space="0" w:color="7F7F7F" w:themeColor="text1" w:themeTint="80"/>
              <w:right w:val="single" w:sz="4" w:space="0" w:color="auto"/>
            </w:tcBorders>
          </w:tcPr>
          <w:p w14:paraId="384135D4" w14:textId="77777777" w:rsidR="00A86011" w:rsidRPr="007C11C6" w:rsidRDefault="00A86011">
            <w:pPr>
              <w:spacing w:line="240" w:lineRule="auto"/>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20"/>
                <w:szCs w:val="20"/>
                <w:vertAlign w:val="subscript"/>
                <w:lang w:val="en-IE"/>
              </w:rPr>
            </w:pPr>
            <w:r w:rsidRPr="007C11C6">
              <w:rPr>
                <w:rFonts w:ascii="Calibri" w:eastAsia="Times New Roman" w:hAnsi="Calibri" w:cs="Calibri"/>
                <w:b/>
                <w:bCs/>
                <w:color w:val="000000" w:themeColor="text1"/>
                <w:sz w:val="20"/>
                <w:szCs w:val="20"/>
                <w:lang w:val="en-IE"/>
              </w:rPr>
              <w:t>CI</w:t>
            </w:r>
            <w:r w:rsidRPr="007C11C6">
              <w:rPr>
                <w:rFonts w:ascii="Calibri" w:eastAsia="Times New Roman" w:hAnsi="Calibri" w:cs="Calibri"/>
                <w:b/>
                <w:bCs/>
                <w:color w:val="000000" w:themeColor="text1"/>
                <w:sz w:val="20"/>
                <w:szCs w:val="20"/>
                <w:vertAlign w:val="subscript"/>
                <w:lang w:val="en-IE"/>
              </w:rPr>
              <w:t>End of Life</w:t>
            </w:r>
            <w:r w:rsidRPr="007C11C6">
              <w:rPr>
                <w:rFonts w:ascii="Calibri" w:eastAsia="Times New Roman" w:hAnsi="Calibri" w:cs="Calibri"/>
                <w:b/>
                <w:bCs/>
                <w:color w:val="000000" w:themeColor="text1"/>
                <w:sz w:val="20"/>
                <w:szCs w:val="20"/>
                <w:lang w:val="en-IE"/>
              </w:rPr>
              <w:t>=C</w:t>
            </w:r>
            <w:r w:rsidRPr="007C11C6">
              <w:rPr>
                <w:rFonts w:ascii="Calibri" w:eastAsia="Times New Roman" w:hAnsi="Calibri" w:cs="Calibri"/>
                <w:b/>
                <w:bCs/>
                <w:color w:val="000000" w:themeColor="text1"/>
                <w:sz w:val="20"/>
                <w:szCs w:val="20"/>
                <w:vertAlign w:val="subscript"/>
                <w:lang w:val="en-IE"/>
              </w:rPr>
              <w:t>R</w:t>
            </w:r>
            <w:r w:rsidRPr="007C11C6">
              <w:rPr>
                <w:rFonts w:ascii="Calibri" w:eastAsia="Times New Roman" w:hAnsi="Calibri" w:cs="Calibri"/>
                <w:b/>
                <w:bCs/>
                <w:color w:val="000000" w:themeColor="text1"/>
                <w:sz w:val="20"/>
                <w:szCs w:val="20"/>
                <w:lang w:val="en-IE"/>
              </w:rPr>
              <w:t>*E</w:t>
            </w:r>
            <w:r w:rsidRPr="007C11C6">
              <w:rPr>
                <w:rFonts w:ascii="Calibri" w:eastAsia="Times New Roman" w:hAnsi="Calibri" w:cs="Calibri"/>
                <w:b/>
                <w:bCs/>
                <w:color w:val="000000" w:themeColor="text1"/>
                <w:sz w:val="20"/>
                <w:szCs w:val="20"/>
                <w:vertAlign w:val="subscript"/>
                <w:lang w:val="en-IE"/>
              </w:rPr>
              <w:t>C</w:t>
            </w:r>
            <w:r w:rsidRPr="007C11C6">
              <w:rPr>
                <w:rFonts w:ascii="Calibri" w:eastAsia="Times New Roman" w:hAnsi="Calibri" w:cs="Calibri"/>
                <w:b/>
                <w:bCs/>
                <w:color w:val="000000" w:themeColor="text1"/>
                <w:sz w:val="20"/>
                <w:szCs w:val="20"/>
                <w:lang w:val="en-IE"/>
              </w:rPr>
              <w:t>+C</w:t>
            </w:r>
            <w:r w:rsidRPr="007C11C6">
              <w:rPr>
                <w:rFonts w:ascii="Calibri" w:eastAsia="Times New Roman" w:hAnsi="Calibri" w:cs="Calibri"/>
                <w:b/>
                <w:bCs/>
                <w:color w:val="000000" w:themeColor="text1"/>
                <w:sz w:val="20"/>
                <w:szCs w:val="20"/>
                <w:vertAlign w:val="subscript"/>
                <w:lang w:val="en-IE"/>
              </w:rPr>
              <w:t>U</w:t>
            </w:r>
          </w:p>
        </w:tc>
        <w:tc>
          <w:tcPr>
            <w:tcW w:w="264" w:type="dxa"/>
            <w:vMerge/>
          </w:tcPr>
          <w:p w14:paraId="38BAC8A1" w14:textId="77777777" w:rsidR="00A86011" w:rsidRPr="007C11C6" w:rsidRDefault="00A86011">
            <w:pPr>
              <w:spacing w:line="240" w:lineRule="auto"/>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6"/>
                <w:szCs w:val="16"/>
                <w:lang w:val="en-IE"/>
              </w:rPr>
            </w:pPr>
          </w:p>
        </w:tc>
        <w:tc>
          <w:tcPr>
            <w:tcW w:w="4500" w:type="dxa"/>
            <w:vMerge/>
          </w:tcPr>
          <w:p w14:paraId="70AF8E52" w14:textId="77777777" w:rsidR="00A86011" w:rsidRPr="007C11C6" w:rsidRDefault="00A86011">
            <w:pPr>
              <w:spacing w:line="240" w:lineRule="auto"/>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sz w:val="16"/>
                <w:szCs w:val="16"/>
                <w:lang w:val="en-IE"/>
              </w:rPr>
            </w:pPr>
          </w:p>
        </w:tc>
      </w:tr>
      <w:tr w:rsidR="00A86011" w:rsidRPr="007C11C6" w14:paraId="2ADBCF63" w14:textId="77777777" w:rsidTr="736B21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0" w:type="dxa"/>
            <w:vMerge/>
          </w:tcPr>
          <w:p w14:paraId="37CE9418" w14:textId="77777777" w:rsidR="00A86011" w:rsidRPr="007C11C6" w:rsidRDefault="00A86011">
            <w:pPr>
              <w:spacing w:line="240" w:lineRule="auto"/>
              <w:jc w:val="both"/>
              <w:rPr>
                <w:rFonts w:ascii="Calibri" w:eastAsia="Times New Roman" w:hAnsi="Calibri" w:cs="Calibri"/>
                <w:color w:val="000000" w:themeColor="text1"/>
                <w:lang w:val="en-IE"/>
              </w:rPr>
            </w:pPr>
          </w:p>
        </w:tc>
        <w:tc>
          <w:tcPr>
            <w:tcW w:w="3106" w:type="dxa"/>
            <w:tcBorders>
              <w:right w:val="single" w:sz="4" w:space="0" w:color="auto"/>
            </w:tcBorders>
          </w:tcPr>
          <w:p w14:paraId="0B1440FA" w14:textId="77777777" w:rsidR="00A86011" w:rsidRPr="007C11C6" w:rsidRDefault="00A86011">
            <w:pPr>
              <w:spacing w:line="240" w:lineRule="auto"/>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0"/>
                <w:szCs w:val="20"/>
                <w:lang w:val="en-IE"/>
              </w:rPr>
            </w:pPr>
            <w:r w:rsidRPr="007C11C6">
              <w:rPr>
                <w:rFonts w:ascii="Calibri" w:eastAsia="Times New Roman" w:hAnsi="Calibri" w:cs="Calibri"/>
                <w:b/>
                <w:bCs/>
                <w:color w:val="000000" w:themeColor="text1"/>
                <w:sz w:val="20"/>
                <w:szCs w:val="20"/>
                <w:lang w:val="en-IE"/>
              </w:rPr>
              <w:t>C</w:t>
            </w:r>
            <w:r w:rsidRPr="007C11C6">
              <w:rPr>
                <w:rFonts w:ascii="Calibri" w:eastAsia="Times New Roman" w:hAnsi="Calibri" w:cs="Calibri"/>
                <w:b/>
                <w:bCs/>
                <w:color w:val="000000" w:themeColor="text1"/>
                <w:sz w:val="20"/>
                <w:szCs w:val="20"/>
                <w:vertAlign w:val="subscript"/>
                <w:lang w:val="en-IE"/>
              </w:rPr>
              <w:t>R</w:t>
            </w:r>
            <w:r w:rsidRPr="007C11C6">
              <w:rPr>
                <w:rFonts w:ascii="Calibri" w:eastAsia="Times New Roman" w:hAnsi="Calibri" w:cs="Calibri"/>
                <w:b/>
                <w:bCs/>
                <w:color w:val="000000" w:themeColor="text1"/>
                <w:sz w:val="20"/>
                <w:szCs w:val="20"/>
                <w:lang w:val="en-IE"/>
              </w:rPr>
              <w:t>:</w:t>
            </w:r>
            <w:r w:rsidRPr="007C11C6">
              <w:rPr>
                <w:rFonts w:ascii="Calibri" w:eastAsia="Times New Roman" w:hAnsi="Calibri" w:cs="Calibri"/>
                <w:color w:val="000000" w:themeColor="text1"/>
                <w:sz w:val="20"/>
                <w:szCs w:val="20"/>
                <w:lang w:val="en-IE"/>
              </w:rPr>
              <w:t xml:space="preserve"> Fraction of materials that can be potentially recycled at the end of its useful life (as a % of the product mass)</w:t>
            </w:r>
          </w:p>
          <w:p w14:paraId="230D6BA6" w14:textId="77777777" w:rsidR="00A86011" w:rsidRPr="007C11C6" w:rsidRDefault="00A86011">
            <w:pPr>
              <w:spacing w:line="240" w:lineRule="auto"/>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0"/>
                <w:szCs w:val="20"/>
                <w:lang w:val="en-IE"/>
              </w:rPr>
            </w:pPr>
            <w:r w:rsidRPr="007C11C6">
              <w:rPr>
                <w:rFonts w:ascii="Calibri" w:eastAsia="Times New Roman" w:hAnsi="Calibri" w:cs="Calibri"/>
                <w:b/>
                <w:bCs/>
                <w:color w:val="000000" w:themeColor="text1"/>
                <w:sz w:val="20"/>
                <w:szCs w:val="20"/>
                <w:lang w:val="en-IE"/>
              </w:rPr>
              <w:lastRenderedPageBreak/>
              <w:t>E</w:t>
            </w:r>
            <w:r w:rsidRPr="007C11C6">
              <w:rPr>
                <w:rFonts w:ascii="Calibri" w:eastAsia="Times New Roman" w:hAnsi="Calibri" w:cs="Calibri"/>
                <w:b/>
                <w:bCs/>
                <w:color w:val="000000" w:themeColor="text1"/>
                <w:sz w:val="20"/>
                <w:szCs w:val="20"/>
                <w:vertAlign w:val="subscript"/>
                <w:lang w:val="en-IE"/>
              </w:rPr>
              <w:t>C</w:t>
            </w:r>
            <w:r w:rsidRPr="007C11C6">
              <w:rPr>
                <w:rFonts w:ascii="Calibri" w:eastAsia="Times New Roman" w:hAnsi="Calibri" w:cs="Calibri"/>
                <w:b/>
                <w:bCs/>
                <w:color w:val="000000" w:themeColor="text1"/>
                <w:sz w:val="20"/>
                <w:szCs w:val="20"/>
                <w:lang w:val="en-IE"/>
              </w:rPr>
              <w:t>:</w:t>
            </w:r>
            <w:r w:rsidRPr="007C11C6">
              <w:rPr>
                <w:rFonts w:ascii="Calibri" w:eastAsia="Times New Roman" w:hAnsi="Calibri" w:cs="Calibri"/>
                <w:color w:val="000000" w:themeColor="text1"/>
                <w:sz w:val="20"/>
                <w:szCs w:val="20"/>
                <w:lang w:val="en-IE"/>
              </w:rPr>
              <w:t xml:space="preserve"> Efficiency of the recycling process in the end-of-life phase (%)</w:t>
            </w:r>
          </w:p>
          <w:p w14:paraId="54E774F4" w14:textId="77777777" w:rsidR="00A86011" w:rsidRPr="007C11C6" w:rsidRDefault="00A86011">
            <w:pPr>
              <w:spacing w:line="240" w:lineRule="auto"/>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0"/>
                <w:szCs w:val="20"/>
                <w:lang w:val="en-IE"/>
              </w:rPr>
            </w:pPr>
            <w:r w:rsidRPr="007C11C6">
              <w:rPr>
                <w:rFonts w:ascii="Calibri" w:eastAsia="Times New Roman" w:hAnsi="Calibri" w:cs="Calibri"/>
                <w:b/>
                <w:bCs/>
                <w:color w:val="000000" w:themeColor="text1"/>
                <w:sz w:val="20"/>
                <w:szCs w:val="20"/>
                <w:lang w:val="en-IE"/>
              </w:rPr>
              <w:t>C</w:t>
            </w:r>
            <w:r w:rsidRPr="007C11C6">
              <w:rPr>
                <w:rFonts w:ascii="Calibri" w:eastAsia="Times New Roman" w:hAnsi="Calibri" w:cs="Calibri"/>
                <w:b/>
                <w:bCs/>
                <w:color w:val="000000" w:themeColor="text1"/>
                <w:sz w:val="20"/>
                <w:szCs w:val="20"/>
                <w:vertAlign w:val="subscript"/>
                <w:lang w:val="en-IE"/>
              </w:rPr>
              <w:t>U</w:t>
            </w:r>
            <w:r w:rsidRPr="007C11C6">
              <w:rPr>
                <w:rFonts w:ascii="Calibri" w:eastAsia="Times New Roman" w:hAnsi="Calibri" w:cs="Calibri"/>
                <w:b/>
                <w:bCs/>
                <w:color w:val="000000" w:themeColor="text1"/>
                <w:sz w:val="20"/>
                <w:szCs w:val="20"/>
                <w:lang w:val="en-IE"/>
              </w:rPr>
              <w:t>:</w:t>
            </w:r>
            <w:r w:rsidRPr="007C11C6">
              <w:rPr>
                <w:rFonts w:ascii="Calibri" w:eastAsia="Times New Roman" w:hAnsi="Calibri" w:cs="Calibri"/>
                <w:color w:val="000000" w:themeColor="text1"/>
                <w:sz w:val="20"/>
                <w:szCs w:val="20"/>
                <w:lang w:val="en-IE"/>
              </w:rPr>
              <w:t xml:space="preserve"> Fraction of components and/or products that can be potentially reused at the end of its useful life (as a % of the product mass)</w:t>
            </w:r>
          </w:p>
        </w:tc>
        <w:tc>
          <w:tcPr>
            <w:tcW w:w="264" w:type="dxa"/>
            <w:vMerge/>
          </w:tcPr>
          <w:p w14:paraId="4E7E9094" w14:textId="77777777" w:rsidR="00A86011" w:rsidRPr="007C11C6" w:rsidRDefault="00A86011">
            <w:pPr>
              <w:spacing w:line="240" w:lineRule="auto"/>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themeColor="text1"/>
                <w:sz w:val="16"/>
                <w:szCs w:val="16"/>
                <w:lang w:val="en-IE"/>
              </w:rPr>
            </w:pPr>
          </w:p>
        </w:tc>
        <w:tc>
          <w:tcPr>
            <w:tcW w:w="4500" w:type="dxa"/>
            <w:vMerge/>
          </w:tcPr>
          <w:p w14:paraId="687D52BB" w14:textId="77777777" w:rsidR="00A86011" w:rsidRPr="007C11C6" w:rsidRDefault="00A86011">
            <w:pPr>
              <w:spacing w:line="240" w:lineRule="auto"/>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themeColor="text1"/>
                <w:sz w:val="16"/>
                <w:szCs w:val="16"/>
                <w:lang w:val="en-IE"/>
              </w:rPr>
            </w:pPr>
          </w:p>
        </w:tc>
      </w:tr>
    </w:tbl>
    <w:p w14:paraId="4DAFE1AE" w14:textId="27375D89" w:rsidR="00A86011" w:rsidRPr="001453A8" w:rsidRDefault="00DB5026" w:rsidP="00605E0F">
      <w:pPr>
        <w:spacing w:before="120" w:after="40" w:line="240" w:lineRule="auto"/>
        <w:jc w:val="both"/>
        <w:rPr>
          <w:rFonts w:ascii="Calibri" w:eastAsia="Calibri" w:hAnsi="Calibri" w:cs="Calibri"/>
          <w:color w:val="000000" w:themeColor="text1"/>
        </w:rPr>
      </w:pPr>
      <w:r w:rsidRPr="00DB5026">
        <w:rPr>
          <w:rFonts w:ascii="Calibri" w:hAnsi="Calibri" w:cs="Calibri"/>
        </w:rPr>
        <w:t xml:space="preserve">Figure </w:t>
      </w:r>
      <w:r w:rsidRPr="00DB5026">
        <w:rPr>
          <w:rFonts w:ascii="Calibri" w:hAnsi="Calibri" w:cs="Calibri"/>
          <w:noProof/>
        </w:rPr>
        <w:t>8</w:t>
      </w:r>
      <w:r w:rsidR="00AC6B0C" w:rsidRPr="00AC6B0C">
        <w:rPr>
          <w:rFonts w:ascii="Calibri" w:eastAsia="Calibri" w:hAnsi="Calibri" w:cs="Calibri"/>
          <w:color w:val="000000" w:themeColor="text1"/>
        </w:rPr>
        <w:t xml:space="preserve"> </w:t>
      </w:r>
      <w:r w:rsidR="00A86011" w:rsidRPr="00AC6B0C">
        <w:rPr>
          <w:rFonts w:ascii="Calibri" w:eastAsia="Calibri" w:hAnsi="Calibri" w:cs="Calibri"/>
          <w:color w:val="000000" w:themeColor="text1"/>
        </w:rPr>
        <w:t xml:space="preserve">presents the Material Circularity Indicator (MCI) per component and an aggregated total score for the BAU and CIR scenarios calculated according to the equations of </w:t>
      </w:r>
      <w:r w:rsidRPr="00DB5026">
        <w:rPr>
          <w:rFonts w:ascii="Calibri" w:hAnsi="Calibri" w:cs="Calibri"/>
          <w:color w:val="000000" w:themeColor="text1"/>
        </w:rPr>
        <w:t xml:space="preserve">Table </w:t>
      </w:r>
      <w:r w:rsidRPr="00DB5026">
        <w:rPr>
          <w:rFonts w:ascii="Calibri" w:hAnsi="Calibri" w:cs="Calibri"/>
          <w:noProof/>
          <w:color w:val="000000" w:themeColor="text1"/>
        </w:rPr>
        <w:t>2</w:t>
      </w:r>
      <w:r w:rsidR="00A86011" w:rsidRPr="00AC6B0C">
        <w:rPr>
          <w:rFonts w:ascii="Calibri" w:eastAsia="Calibri" w:hAnsi="Calibri" w:cs="Calibri"/>
          <w:color w:val="000000" w:themeColor="text1"/>
        </w:rPr>
        <w:t xml:space="preserve">. The score ranges from 0, indicating the least circular, to 1, indicating the most circular. For calculating the MCI, we extracted data from Environmental Product Declarations (EPDs) and the BIM model. Since data on the industry-average lifecycle of products was unavailable, we decided to make it equal to the potential functional lifecycle of a product in the BAU scenario, which set </w:t>
      </w:r>
      <w:r w:rsidR="00A86011" w:rsidRPr="006A29E6">
        <w:rPr>
          <w:rFonts w:ascii="Calibri" w:eastAsia="Calibri" w:hAnsi="Calibri" w:cs="Calibri"/>
          <w:color w:val="000000" w:themeColor="text1"/>
        </w:rPr>
        <w:t xml:space="preserve">the CI </w:t>
      </w:r>
      <w:r w:rsidR="00A00A3D">
        <w:rPr>
          <w:rFonts w:ascii="Calibri" w:eastAsia="Calibri" w:hAnsi="Calibri" w:cs="Calibri"/>
          <w:color w:val="000000" w:themeColor="text1"/>
        </w:rPr>
        <w:t>Use</w:t>
      </w:r>
      <w:r w:rsidR="00A86011" w:rsidRPr="006A29E6">
        <w:rPr>
          <w:rFonts w:ascii="Calibri" w:eastAsia="Calibri" w:hAnsi="Calibri" w:cs="Calibri"/>
          <w:color w:val="000000" w:themeColor="text1"/>
        </w:rPr>
        <w:t xml:space="preserve"> at 1 for all</w:t>
      </w:r>
      <w:r w:rsidR="00A86011" w:rsidRPr="00AC6B0C">
        <w:rPr>
          <w:rFonts w:ascii="Calibri" w:eastAsia="Calibri" w:hAnsi="Calibri" w:cs="Calibri"/>
          <w:color w:val="000000" w:themeColor="text1"/>
        </w:rPr>
        <w:t xml:space="preserve"> products. This decision implied that it would have no impact on the overall circularity score in the BAU. In contrast, for the CIR scenario, the </w:t>
      </w:r>
      <w:r w:rsidR="00A86011" w:rsidRPr="001453A8">
        <w:rPr>
          <w:rFonts w:ascii="Calibri" w:eastAsia="Calibri" w:hAnsi="Calibri" w:cs="Calibri"/>
          <w:color w:val="000000" w:themeColor="text1"/>
        </w:rPr>
        <w:t>potential functional lifecycle of a product was halved compared to that of a new product</w:t>
      </w:r>
      <w:r w:rsidR="00FE0B13" w:rsidRPr="001453A8">
        <w:rPr>
          <w:rFonts w:ascii="Calibri" w:eastAsia="Calibri" w:hAnsi="Calibri" w:cs="Calibri"/>
          <w:color w:val="000000" w:themeColor="text1"/>
        </w:rPr>
        <w:t>,</w:t>
      </w:r>
      <w:r w:rsidR="00A86011" w:rsidRPr="001453A8">
        <w:rPr>
          <w:rFonts w:ascii="Calibri" w:eastAsia="Calibri" w:hAnsi="Calibri" w:cs="Calibri"/>
          <w:color w:val="000000" w:themeColor="text1"/>
        </w:rPr>
        <w:t xml:space="preserve"> this meant that the CI</w:t>
      </w:r>
      <w:r w:rsidR="0036560D" w:rsidRPr="001453A8">
        <w:rPr>
          <w:rFonts w:ascii="Calibri" w:eastAsia="Calibri" w:hAnsi="Calibri" w:cs="Calibri"/>
          <w:color w:val="000000" w:themeColor="text1"/>
        </w:rPr>
        <w:t xml:space="preserve"> </w:t>
      </w:r>
      <w:r w:rsidR="00EC240B" w:rsidRPr="001453A8">
        <w:rPr>
          <w:rFonts w:ascii="Calibri" w:eastAsia="Calibri" w:hAnsi="Calibri" w:cs="Calibri"/>
          <w:color w:val="000000" w:themeColor="text1"/>
        </w:rPr>
        <w:t>Use</w:t>
      </w:r>
      <w:r w:rsidR="00A86011" w:rsidRPr="001453A8">
        <w:rPr>
          <w:rFonts w:ascii="Calibri" w:eastAsia="Calibri" w:hAnsi="Calibri" w:cs="Calibri"/>
          <w:color w:val="000000" w:themeColor="text1"/>
        </w:rPr>
        <w:t xml:space="preserve"> for these products was </w:t>
      </w:r>
      <w:r w:rsidR="00FE0B13" w:rsidRPr="001453A8">
        <w:rPr>
          <w:rFonts w:ascii="Calibri" w:eastAsia="Calibri" w:hAnsi="Calibri" w:cs="Calibri"/>
          <w:color w:val="000000" w:themeColor="text1"/>
        </w:rPr>
        <w:t>reduced by half</w:t>
      </w:r>
      <w:r w:rsidR="00A86011" w:rsidRPr="001453A8">
        <w:rPr>
          <w:rFonts w:ascii="Calibri" w:eastAsia="Calibri" w:hAnsi="Calibri" w:cs="Calibri"/>
          <w:color w:val="000000" w:themeColor="text1"/>
        </w:rPr>
        <w:t>.</w:t>
      </w:r>
    </w:p>
    <w:p w14:paraId="6F71AC72" w14:textId="5124297C" w:rsidR="00A86011" w:rsidRDefault="00A86011" w:rsidP="00A86011">
      <w:pPr>
        <w:spacing w:after="40" w:line="240" w:lineRule="auto"/>
        <w:jc w:val="both"/>
        <w:rPr>
          <w:rFonts w:ascii="Calibri" w:eastAsia="Calibri" w:hAnsi="Calibri" w:cs="Calibri"/>
          <w:color w:val="000000" w:themeColor="text1"/>
        </w:rPr>
      </w:pPr>
      <w:r w:rsidRPr="001453A8">
        <w:rPr>
          <w:rFonts w:ascii="Calibri" w:eastAsia="Calibri" w:hAnsi="Calibri" w:cs="Calibri"/>
          <w:color w:val="000000" w:themeColor="text1"/>
        </w:rPr>
        <w:t xml:space="preserve">The aggregated total </w:t>
      </w:r>
      <w:r w:rsidR="003F0255" w:rsidRPr="001453A8">
        <w:rPr>
          <w:rFonts w:ascii="Calibri" w:eastAsia="Calibri" w:hAnsi="Calibri" w:cs="Calibri"/>
          <w:color w:val="000000" w:themeColor="text1"/>
        </w:rPr>
        <w:t>score</w:t>
      </w:r>
      <w:r w:rsidRPr="001453A8">
        <w:rPr>
          <w:rFonts w:ascii="Calibri" w:eastAsia="Calibri" w:hAnsi="Calibri" w:cs="Calibri"/>
          <w:color w:val="000000" w:themeColor="text1"/>
        </w:rPr>
        <w:t xml:space="preserve"> demonstrated</w:t>
      </w:r>
      <w:r w:rsidRPr="00A86011">
        <w:rPr>
          <w:rFonts w:ascii="Calibri" w:eastAsia="Calibri" w:hAnsi="Calibri" w:cs="Calibri"/>
          <w:color w:val="000000" w:themeColor="text1"/>
        </w:rPr>
        <w:t xml:space="preserve"> a twofold increase in circularity in the CIR scenario (0.65) compared to the BAU scenario (0.34). This improvement is primarily due to the significant increase in the MCI of natural slate tiles, which rose from 0.31 in the BAU scenario to 0.77 in the CIR scenario.</w:t>
      </w:r>
    </w:p>
    <w:p w14:paraId="67A76DD9" w14:textId="76DE03CF" w:rsidR="00E86DE8" w:rsidRDefault="00EC2D95" w:rsidP="00E86DE8">
      <w:pPr>
        <w:spacing w:line="276" w:lineRule="auto"/>
      </w:pPr>
      <w:r>
        <w:rPr>
          <w:noProof/>
        </w:rPr>
        <w:drawing>
          <wp:inline distT="0" distB="0" distL="0" distR="0" wp14:anchorId="3E451D73" wp14:editId="42EC8213">
            <wp:extent cx="5715000" cy="3079081"/>
            <wp:effectExtent l="0" t="0" r="0" b="0"/>
            <wp:docPr id="13237543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754375" name="Picture 1323754375"/>
                    <pic:cNvPicPr/>
                  </pic:nvPicPr>
                  <pic:blipFill rotWithShape="1">
                    <a:blip r:embed="rId18" cstate="print">
                      <a:extLst>
                        <a:ext uri="{28A0092B-C50C-407E-A947-70E740481C1C}">
                          <a14:useLocalDpi xmlns:a14="http://schemas.microsoft.com/office/drawing/2010/main" val="0"/>
                        </a:ext>
                      </a:extLst>
                    </a:blip>
                    <a:srcRect t="4227"/>
                    <a:stretch>
                      <a:fillRect/>
                    </a:stretch>
                  </pic:blipFill>
                  <pic:spPr bwMode="auto">
                    <a:xfrm>
                      <a:off x="0" y="0"/>
                      <a:ext cx="5715000" cy="3079081"/>
                    </a:xfrm>
                    <a:prstGeom prst="rect">
                      <a:avLst/>
                    </a:prstGeom>
                    <a:ln>
                      <a:noFill/>
                    </a:ln>
                    <a:extLst>
                      <a:ext uri="{53640926-AAD7-44D8-BBD7-CCE9431645EC}">
                        <a14:shadowObscured xmlns:a14="http://schemas.microsoft.com/office/drawing/2010/main"/>
                      </a:ext>
                    </a:extLst>
                  </pic:spPr>
                </pic:pic>
              </a:graphicData>
            </a:graphic>
          </wp:inline>
        </w:drawing>
      </w:r>
    </w:p>
    <w:p w14:paraId="3B347CE0" w14:textId="308D510A" w:rsidR="00E86DE8" w:rsidRPr="00074237" w:rsidRDefault="00E86DE8" w:rsidP="00074237">
      <w:pPr>
        <w:pStyle w:val="Caption"/>
        <w:jc w:val="center"/>
        <w:rPr>
          <w:rFonts w:ascii="Calibri" w:eastAsia="Aptos" w:hAnsi="Calibri" w:cs="Calibri"/>
          <w:i w:val="0"/>
          <w:iCs w:val="0"/>
          <w:sz w:val="20"/>
          <w:szCs w:val="20"/>
        </w:rPr>
      </w:pPr>
      <w:bookmarkStart w:id="9" w:name="_Ref233615160"/>
      <w:r w:rsidRPr="001145DE">
        <w:rPr>
          <w:rFonts w:ascii="Calibri" w:hAnsi="Calibri" w:cs="Calibri"/>
          <w:sz w:val="20"/>
          <w:szCs w:val="20"/>
        </w:rPr>
        <w:t xml:space="preserve">Figure </w:t>
      </w:r>
      <w:r w:rsidR="00DB5026">
        <w:rPr>
          <w:rFonts w:ascii="Calibri" w:hAnsi="Calibri" w:cs="Calibri"/>
          <w:noProof/>
          <w:sz w:val="20"/>
          <w:szCs w:val="20"/>
        </w:rPr>
        <w:t>8</w:t>
      </w:r>
      <w:bookmarkEnd w:id="9"/>
      <w:r w:rsidRPr="001145DE">
        <w:rPr>
          <w:rFonts w:ascii="Calibri" w:hAnsi="Calibri" w:cs="Calibri"/>
          <w:sz w:val="20"/>
          <w:szCs w:val="20"/>
        </w:rPr>
        <w:t>.</w:t>
      </w:r>
      <w:r w:rsidRPr="001145DE">
        <w:rPr>
          <w:rFonts w:ascii="Calibri" w:eastAsia="Aptos" w:hAnsi="Calibri" w:cs="Calibri"/>
          <w:sz w:val="20"/>
          <w:szCs w:val="20"/>
        </w:rPr>
        <w:t xml:space="preserve"> MCI results for BAU and CIR scenarios</w:t>
      </w:r>
    </w:p>
    <w:p w14:paraId="21244ED6" w14:textId="77777777" w:rsidR="001C1D3A" w:rsidRDefault="00A86011" w:rsidP="00A86011">
      <w:pPr>
        <w:spacing w:line="276" w:lineRule="auto"/>
        <w:jc w:val="both"/>
        <w:rPr>
          <w:rFonts w:ascii="Calibri" w:hAnsi="Calibri" w:cs="Calibri"/>
        </w:rPr>
      </w:pPr>
      <w:r w:rsidRPr="00A86011">
        <w:rPr>
          <w:rFonts w:ascii="Calibri" w:eastAsia="Calibri" w:hAnsi="Calibri" w:cs="Calibri"/>
          <w:color w:val="000000" w:themeColor="text1"/>
        </w:rPr>
        <w:t xml:space="preserve">Interestingly, although the internal doors and window frames were </w:t>
      </w:r>
      <w:r w:rsidR="003F0255">
        <w:rPr>
          <w:rFonts w:ascii="Calibri" w:eastAsia="Calibri" w:hAnsi="Calibri" w:cs="Calibri"/>
          <w:color w:val="000000" w:themeColor="text1"/>
        </w:rPr>
        <w:t xml:space="preserve">considered as </w:t>
      </w:r>
      <w:r w:rsidRPr="00A86011">
        <w:rPr>
          <w:rFonts w:ascii="Calibri" w:eastAsia="Calibri" w:hAnsi="Calibri" w:cs="Calibri"/>
          <w:color w:val="000000" w:themeColor="text1"/>
        </w:rPr>
        <w:t xml:space="preserve">reused in the CIR scenario, they did not contribute to an increase in the MCI. This can be explained by the structure of the formula, which gives equal weight to the fraction of rapidly renewable material and the fraction of reused material at </w:t>
      </w:r>
      <w:r w:rsidRPr="00624C69">
        <w:rPr>
          <w:rFonts w:ascii="Calibri" w:eastAsia="Calibri" w:hAnsi="Calibri" w:cs="Calibri"/>
          <w:color w:val="000000" w:themeColor="text1"/>
        </w:rPr>
        <w:t xml:space="preserve">production. Since these components are made almost entirely of rapidly renewable material </w:t>
      </w:r>
      <w:r w:rsidRPr="00624C69">
        <w:rPr>
          <w:rFonts w:ascii="Calibri" w:hAnsi="Calibri" w:cs="Calibri"/>
        </w:rPr>
        <w:t>(wood), their circularity indicator at the production stage had already reached its maximum value in the BAU scenario therefore the decision to reuse them in the CIR scenario did not reflect on the MCI score.</w:t>
      </w:r>
    </w:p>
    <w:p w14:paraId="6A9CB73D" w14:textId="3D592D1C" w:rsidR="00A86011" w:rsidRDefault="00A86011" w:rsidP="00A86011">
      <w:pPr>
        <w:spacing w:line="276" w:lineRule="auto"/>
        <w:jc w:val="both"/>
        <w:rPr>
          <w:rFonts w:ascii="Calibri" w:eastAsia="Calibri" w:hAnsi="Calibri" w:cs="Calibri"/>
          <w:color w:val="000000" w:themeColor="text1"/>
        </w:rPr>
      </w:pPr>
      <w:r w:rsidRPr="00A86011">
        <w:rPr>
          <w:rFonts w:ascii="Calibri" w:eastAsia="Calibri" w:hAnsi="Calibri" w:cs="Calibri"/>
          <w:color w:val="000000" w:themeColor="text1"/>
        </w:rPr>
        <w:t xml:space="preserve"> </w:t>
      </w:r>
    </w:p>
    <w:p w14:paraId="323398C2" w14:textId="0D3F3354" w:rsidR="00963E54" w:rsidRPr="00C23457" w:rsidRDefault="002F093C" w:rsidP="00C23457">
      <w:pPr>
        <w:pStyle w:val="ListParagraph"/>
        <w:numPr>
          <w:ilvl w:val="0"/>
          <w:numId w:val="1"/>
        </w:numPr>
        <w:spacing w:after="40" w:line="240" w:lineRule="auto"/>
        <w:jc w:val="both"/>
        <w:rPr>
          <w:rFonts w:ascii="Calibri" w:hAnsi="Calibri" w:cs="Calibri"/>
          <w:b/>
          <w:bCs/>
          <w:sz w:val="28"/>
          <w:szCs w:val="28"/>
        </w:rPr>
      </w:pPr>
      <w:r w:rsidRPr="002F093C">
        <w:rPr>
          <w:rFonts w:ascii="Calibri" w:hAnsi="Calibri" w:cs="Calibri"/>
          <w:b/>
          <w:bCs/>
          <w:sz w:val="28"/>
          <w:szCs w:val="28"/>
        </w:rPr>
        <w:lastRenderedPageBreak/>
        <w:t>D</w:t>
      </w:r>
      <w:r w:rsidR="009A2E7C">
        <w:rPr>
          <w:rFonts w:ascii="Calibri" w:hAnsi="Calibri" w:cs="Calibri"/>
          <w:b/>
          <w:bCs/>
          <w:sz w:val="28"/>
          <w:szCs w:val="28"/>
        </w:rPr>
        <w:t>ISCUSSION</w:t>
      </w:r>
    </w:p>
    <w:p w14:paraId="01AE26A9" w14:textId="5D67F143" w:rsidR="001D006A" w:rsidRDefault="005F02A8" w:rsidP="008525C9">
      <w:pPr>
        <w:spacing w:after="40" w:line="240" w:lineRule="auto"/>
        <w:jc w:val="both"/>
        <w:rPr>
          <w:rFonts w:ascii="Calibri" w:hAnsi="Calibri" w:cs="Calibri"/>
        </w:rPr>
      </w:pPr>
      <w:r>
        <w:rPr>
          <w:rFonts w:ascii="Calibri" w:hAnsi="Calibri" w:cs="Calibri"/>
        </w:rPr>
        <w:t xml:space="preserve">The </w:t>
      </w:r>
      <w:r w:rsidRPr="00EC2FD4">
        <w:rPr>
          <w:rFonts w:ascii="Calibri" w:hAnsi="Calibri" w:cs="Calibri"/>
        </w:rPr>
        <w:t xml:space="preserve">methodology </w:t>
      </w:r>
      <w:r w:rsidR="009C15FF">
        <w:rPr>
          <w:rFonts w:ascii="Calibri" w:hAnsi="Calibri" w:cs="Calibri"/>
        </w:rPr>
        <w:t>defined</w:t>
      </w:r>
      <w:r w:rsidR="00C23457">
        <w:rPr>
          <w:rFonts w:ascii="Calibri" w:hAnsi="Calibri" w:cs="Calibri"/>
        </w:rPr>
        <w:t xml:space="preserve"> in this paper </w:t>
      </w:r>
      <w:r w:rsidR="009C15FF">
        <w:rPr>
          <w:rFonts w:ascii="Calibri" w:hAnsi="Calibri" w:cs="Calibri"/>
        </w:rPr>
        <w:t>(see</w:t>
      </w:r>
      <w:r w:rsidR="00C23457">
        <w:rPr>
          <w:rFonts w:ascii="Calibri" w:hAnsi="Calibri" w:cs="Calibri"/>
        </w:rPr>
        <w:t xml:space="preserve"> section 2</w:t>
      </w:r>
      <w:r w:rsidR="009C15FF">
        <w:rPr>
          <w:rFonts w:ascii="Calibri" w:hAnsi="Calibri" w:cs="Calibri"/>
        </w:rPr>
        <w:t>)</w:t>
      </w:r>
      <w:r w:rsidR="0038204C" w:rsidRPr="00EC2FD4">
        <w:rPr>
          <w:rFonts w:ascii="Calibri" w:hAnsi="Calibri" w:cs="Calibri"/>
        </w:rPr>
        <w:t xml:space="preserve"> </w:t>
      </w:r>
      <w:r w:rsidRPr="00EC2FD4">
        <w:rPr>
          <w:rFonts w:ascii="Calibri" w:hAnsi="Calibri" w:cs="Calibri"/>
        </w:rPr>
        <w:t>allowed to articulate several indicators</w:t>
      </w:r>
      <w:r w:rsidR="00DA162C">
        <w:rPr>
          <w:rFonts w:ascii="Calibri" w:hAnsi="Calibri" w:cs="Calibri"/>
        </w:rPr>
        <w:t xml:space="preserve"> (i.e.</w:t>
      </w:r>
      <w:r w:rsidR="000277E0">
        <w:rPr>
          <w:rFonts w:ascii="Calibri" w:hAnsi="Calibri" w:cs="Calibri"/>
        </w:rPr>
        <w:t xml:space="preserve"> </w:t>
      </w:r>
      <w:r w:rsidR="000277E0" w:rsidRPr="00EC2FD4">
        <w:rPr>
          <w:rFonts w:ascii="Calibri" w:hAnsi="Calibri" w:cs="Calibri"/>
        </w:rPr>
        <w:t>reuse potential</w:t>
      </w:r>
      <w:r w:rsidR="000277E0">
        <w:rPr>
          <w:rFonts w:ascii="Calibri" w:hAnsi="Calibri" w:cs="Calibri"/>
        </w:rPr>
        <w:t xml:space="preserve">, </w:t>
      </w:r>
      <w:r w:rsidR="000277E0" w:rsidRPr="00EC2FD4">
        <w:rPr>
          <w:rFonts w:ascii="Calibri" w:hAnsi="Calibri" w:cs="Calibri"/>
        </w:rPr>
        <w:t>transformation</w:t>
      </w:r>
      <w:r w:rsidR="000277E0">
        <w:rPr>
          <w:rFonts w:ascii="Calibri" w:hAnsi="Calibri" w:cs="Calibri"/>
        </w:rPr>
        <w:t xml:space="preserve"> capacity, MCI, LC</w:t>
      </w:r>
      <w:r w:rsidR="003F0255">
        <w:rPr>
          <w:rFonts w:ascii="Calibri" w:hAnsi="Calibri" w:cs="Calibri"/>
        </w:rPr>
        <w:t>I</w:t>
      </w:r>
      <w:r w:rsidR="000277E0">
        <w:rPr>
          <w:rFonts w:ascii="Calibri" w:hAnsi="Calibri" w:cs="Calibri"/>
        </w:rPr>
        <w:t>A</w:t>
      </w:r>
      <w:r w:rsidR="00DA162C">
        <w:rPr>
          <w:rFonts w:ascii="Calibri" w:hAnsi="Calibri" w:cs="Calibri"/>
        </w:rPr>
        <w:t>)</w:t>
      </w:r>
      <w:r w:rsidRPr="00EC2FD4">
        <w:rPr>
          <w:rFonts w:ascii="Calibri" w:hAnsi="Calibri" w:cs="Calibri"/>
        </w:rPr>
        <w:t xml:space="preserve"> which are complementary to evaluate both the circularity potential and the environmental performance of renovation scenarios. </w:t>
      </w:r>
      <w:r w:rsidR="0038204C" w:rsidRPr="00EC2FD4">
        <w:rPr>
          <w:rFonts w:ascii="Calibri" w:hAnsi="Calibri" w:cs="Calibri"/>
        </w:rPr>
        <w:t xml:space="preserve">These indicators </w:t>
      </w:r>
      <w:r w:rsidR="009C15FF">
        <w:rPr>
          <w:rFonts w:ascii="Calibri" w:hAnsi="Calibri" w:cs="Calibri"/>
        </w:rPr>
        <w:t>are</w:t>
      </w:r>
      <w:r w:rsidR="0038204C" w:rsidRPr="00EC2FD4">
        <w:rPr>
          <w:rFonts w:ascii="Calibri" w:hAnsi="Calibri" w:cs="Calibri"/>
        </w:rPr>
        <w:t xml:space="preserve"> mainly connected through a BIM-based workflow. </w:t>
      </w:r>
      <w:r w:rsidR="007C11C6">
        <w:rPr>
          <w:rFonts w:ascii="Calibri" w:hAnsi="Calibri" w:cs="Calibri"/>
        </w:rPr>
        <w:t xml:space="preserve">The </w:t>
      </w:r>
      <w:r w:rsidR="00074237">
        <w:rPr>
          <w:rFonts w:ascii="Calibri" w:hAnsi="Calibri" w:cs="Calibri"/>
        </w:rPr>
        <w:t>pilot</w:t>
      </w:r>
      <w:r w:rsidR="00AC79D1">
        <w:rPr>
          <w:rFonts w:ascii="Calibri" w:hAnsi="Calibri" w:cs="Calibri"/>
        </w:rPr>
        <w:t xml:space="preserve"> </w:t>
      </w:r>
      <w:r w:rsidR="001D006A">
        <w:rPr>
          <w:rFonts w:ascii="Calibri" w:hAnsi="Calibri" w:cs="Calibri"/>
        </w:rPr>
        <w:t>case</w:t>
      </w:r>
      <w:r w:rsidR="00074237">
        <w:rPr>
          <w:rFonts w:ascii="Calibri" w:hAnsi="Calibri" w:cs="Calibri"/>
        </w:rPr>
        <w:t xml:space="preserve"> demonstrated a good adaptability </w:t>
      </w:r>
      <w:r w:rsidR="00074237" w:rsidRPr="008A7459">
        <w:rPr>
          <w:rFonts w:ascii="Calibri" w:hAnsi="Calibri" w:cs="Calibri"/>
        </w:rPr>
        <w:t>potential and significant opportunities for materials reuse</w:t>
      </w:r>
      <w:r w:rsidR="000B7DFA" w:rsidRPr="008A7459">
        <w:rPr>
          <w:rFonts w:ascii="Calibri" w:hAnsi="Calibri" w:cs="Calibri"/>
        </w:rPr>
        <w:t xml:space="preserve">. This </w:t>
      </w:r>
      <w:r w:rsidR="00261CAE" w:rsidRPr="008A7459">
        <w:rPr>
          <w:rFonts w:ascii="Calibri" w:hAnsi="Calibri" w:cs="Calibri"/>
        </w:rPr>
        <w:t>was further</w:t>
      </w:r>
      <w:r w:rsidR="000B7DFA" w:rsidRPr="008A7459">
        <w:rPr>
          <w:rFonts w:ascii="Calibri" w:hAnsi="Calibri" w:cs="Calibri"/>
        </w:rPr>
        <w:t xml:space="preserve"> confirmed by analyses </w:t>
      </w:r>
      <w:r w:rsidR="00261CAE" w:rsidRPr="008A7459">
        <w:rPr>
          <w:rFonts w:ascii="Calibri" w:hAnsi="Calibri" w:cs="Calibri"/>
        </w:rPr>
        <w:t>conducted</w:t>
      </w:r>
      <w:r w:rsidR="000B7DFA" w:rsidRPr="008A7459">
        <w:rPr>
          <w:rFonts w:ascii="Calibri" w:hAnsi="Calibri" w:cs="Calibri"/>
        </w:rPr>
        <w:t xml:space="preserve"> in parallel by an architectural office </w:t>
      </w:r>
      <w:r w:rsidR="00224F46" w:rsidRPr="008A7459">
        <w:rPr>
          <w:rFonts w:ascii="Calibri" w:hAnsi="Calibri" w:cs="Calibri"/>
        </w:rPr>
        <w:t>responsible for</w:t>
      </w:r>
      <w:r w:rsidR="000B7DFA" w:rsidRPr="008A7459">
        <w:rPr>
          <w:rFonts w:ascii="Calibri" w:hAnsi="Calibri" w:cs="Calibri"/>
        </w:rPr>
        <w:t xml:space="preserve"> preliminary studies for the Beckerich municipality</w:t>
      </w:r>
      <w:r w:rsidR="00074237" w:rsidRPr="008A7459">
        <w:rPr>
          <w:rFonts w:ascii="Calibri" w:hAnsi="Calibri" w:cs="Calibri"/>
        </w:rPr>
        <w:t>. Based on the RP and TC</w:t>
      </w:r>
      <w:r w:rsidR="00014BF7" w:rsidRPr="008A7459">
        <w:rPr>
          <w:rFonts w:ascii="Calibri" w:hAnsi="Calibri" w:cs="Calibri"/>
        </w:rPr>
        <w:t xml:space="preserve"> indicators </w:t>
      </w:r>
      <w:r w:rsidR="00074237" w:rsidRPr="008A7459">
        <w:rPr>
          <w:rFonts w:ascii="Calibri" w:hAnsi="Calibri" w:cs="Calibri"/>
        </w:rPr>
        <w:t>two</w:t>
      </w:r>
      <w:r w:rsidR="00014BF7" w:rsidRPr="008A7459">
        <w:rPr>
          <w:rFonts w:ascii="Calibri" w:hAnsi="Calibri" w:cs="Calibri"/>
        </w:rPr>
        <w:t xml:space="preserve"> scenarios</w:t>
      </w:r>
      <w:r w:rsidR="00074237" w:rsidRPr="008A7459">
        <w:rPr>
          <w:rFonts w:ascii="Calibri" w:hAnsi="Calibri" w:cs="Calibri"/>
        </w:rPr>
        <w:t xml:space="preserve"> </w:t>
      </w:r>
      <w:r w:rsidR="003B4E36">
        <w:rPr>
          <w:rFonts w:ascii="Calibri" w:hAnsi="Calibri" w:cs="Calibri"/>
        </w:rPr>
        <w:t>were</w:t>
      </w:r>
      <w:r w:rsidR="00074237" w:rsidRPr="008A7459">
        <w:rPr>
          <w:rFonts w:ascii="Calibri" w:hAnsi="Calibri" w:cs="Calibri"/>
        </w:rPr>
        <w:t xml:space="preserve"> </w:t>
      </w:r>
      <w:r w:rsidR="00ED062C" w:rsidRPr="008A7459">
        <w:rPr>
          <w:rFonts w:ascii="Calibri" w:hAnsi="Calibri" w:cs="Calibri"/>
        </w:rPr>
        <w:t>elaborated</w:t>
      </w:r>
      <w:r w:rsidR="00014BF7" w:rsidRPr="008A7459">
        <w:rPr>
          <w:rFonts w:ascii="Calibri" w:hAnsi="Calibri" w:cs="Calibri"/>
        </w:rPr>
        <w:t xml:space="preserve">: a </w:t>
      </w:r>
      <w:r w:rsidR="00675752">
        <w:rPr>
          <w:rFonts w:ascii="Calibri" w:hAnsi="Calibri" w:cs="Calibri"/>
        </w:rPr>
        <w:t>B</w:t>
      </w:r>
      <w:r w:rsidR="00014BF7" w:rsidRPr="008A7459">
        <w:rPr>
          <w:rFonts w:ascii="Calibri" w:hAnsi="Calibri" w:cs="Calibri"/>
        </w:rPr>
        <w:t>usiness</w:t>
      </w:r>
      <w:r w:rsidR="00675752">
        <w:rPr>
          <w:rFonts w:ascii="Calibri" w:hAnsi="Calibri" w:cs="Calibri"/>
        </w:rPr>
        <w:t>-</w:t>
      </w:r>
      <w:r w:rsidR="00014BF7" w:rsidRPr="008A7459">
        <w:rPr>
          <w:rFonts w:ascii="Calibri" w:hAnsi="Calibri" w:cs="Calibri"/>
        </w:rPr>
        <w:t>as</w:t>
      </w:r>
      <w:r w:rsidR="00675752">
        <w:rPr>
          <w:rFonts w:ascii="Calibri" w:hAnsi="Calibri" w:cs="Calibri"/>
        </w:rPr>
        <w:t>-</w:t>
      </w:r>
      <w:r w:rsidR="00014BF7" w:rsidRPr="008A7459">
        <w:rPr>
          <w:rFonts w:ascii="Calibri" w:hAnsi="Calibri" w:cs="Calibri"/>
        </w:rPr>
        <w:t xml:space="preserve">usual (BAU) scenario and a </w:t>
      </w:r>
      <w:r w:rsidR="00675752">
        <w:rPr>
          <w:rFonts w:ascii="Calibri" w:hAnsi="Calibri" w:cs="Calibri"/>
        </w:rPr>
        <w:t>C</w:t>
      </w:r>
      <w:r w:rsidR="00014BF7" w:rsidRPr="008A7459">
        <w:rPr>
          <w:rFonts w:ascii="Calibri" w:hAnsi="Calibri" w:cs="Calibri"/>
        </w:rPr>
        <w:t xml:space="preserve">ircular scenario (CIR) promoting </w:t>
      </w:r>
      <w:r w:rsidR="000E2E42" w:rsidRPr="008A7459">
        <w:rPr>
          <w:rFonts w:ascii="Calibri" w:hAnsi="Calibri" w:cs="Calibri"/>
        </w:rPr>
        <w:t xml:space="preserve">the </w:t>
      </w:r>
      <w:r w:rsidR="00014BF7" w:rsidRPr="008A7459">
        <w:rPr>
          <w:rFonts w:ascii="Calibri" w:hAnsi="Calibri" w:cs="Calibri"/>
        </w:rPr>
        <w:t xml:space="preserve">reuse of building components. </w:t>
      </w:r>
      <w:r w:rsidR="00B00496" w:rsidRPr="008A7459">
        <w:rPr>
          <w:rFonts w:ascii="Calibri" w:hAnsi="Calibri" w:cs="Calibri"/>
        </w:rPr>
        <w:t xml:space="preserve">Then both scenarios </w:t>
      </w:r>
      <w:r w:rsidR="003B4E36">
        <w:rPr>
          <w:rFonts w:ascii="Calibri" w:hAnsi="Calibri" w:cs="Calibri"/>
        </w:rPr>
        <w:t>were</w:t>
      </w:r>
      <w:r w:rsidR="00B00496" w:rsidRPr="008A7459">
        <w:rPr>
          <w:rFonts w:ascii="Calibri" w:hAnsi="Calibri" w:cs="Calibri"/>
        </w:rPr>
        <w:t xml:space="preserve"> </w:t>
      </w:r>
      <w:r w:rsidR="004F1566" w:rsidRPr="008A7459">
        <w:rPr>
          <w:rFonts w:ascii="Calibri" w:hAnsi="Calibri" w:cs="Calibri"/>
        </w:rPr>
        <w:t xml:space="preserve">compared </w:t>
      </w:r>
      <w:r w:rsidR="007C11C6" w:rsidRPr="008A7459">
        <w:rPr>
          <w:rFonts w:ascii="Calibri" w:hAnsi="Calibri" w:cs="Calibri"/>
        </w:rPr>
        <w:t>based on</w:t>
      </w:r>
      <w:r w:rsidR="004F1566" w:rsidRPr="008A7459">
        <w:rPr>
          <w:rFonts w:ascii="Calibri" w:hAnsi="Calibri" w:cs="Calibri"/>
        </w:rPr>
        <w:t xml:space="preserve"> an LCA analysis and </w:t>
      </w:r>
      <w:r w:rsidR="00BF5075" w:rsidRPr="008A7459">
        <w:rPr>
          <w:rFonts w:ascii="Calibri" w:hAnsi="Calibri" w:cs="Calibri"/>
        </w:rPr>
        <w:t>an</w:t>
      </w:r>
      <w:r w:rsidR="007C11C6" w:rsidRPr="008A7459">
        <w:rPr>
          <w:rFonts w:ascii="Calibri" w:hAnsi="Calibri" w:cs="Calibri"/>
        </w:rPr>
        <w:t xml:space="preserve"> MCI calculation.</w:t>
      </w:r>
      <w:r w:rsidR="00BF5075" w:rsidRPr="008A7459">
        <w:rPr>
          <w:rFonts w:ascii="Calibri" w:hAnsi="Calibri" w:cs="Calibri"/>
        </w:rPr>
        <w:t xml:space="preserve"> The CIR scenario demonstrated lower environmental impacts by avoiding new material production. </w:t>
      </w:r>
      <w:r w:rsidR="00963E54" w:rsidRPr="008A7459">
        <w:rPr>
          <w:rFonts w:ascii="Calibri" w:hAnsi="Calibri" w:cs="Calibri"/>
        </w:rPr>
        <w:t xml:space="preserve">The analysis </w:t>
      </w:r>
      <w:r w:rsidR="00046BA6" w:rsidRPr="008A7459">
        <w:rPr>
          <w:rFonts w:ascii="Calibri" w:hAnsi="Calibri" w:cs="Calibri"/>
        </w:rPr>
        <w:t>confirm</w:t>
      </w:r>
      <w:r w:rsidR="003B4E36">
        <w:rPr>
          <w:rFonts w:ascii="Calibri" w:hAnsi="Calibri" w:cs="Calibri"/>
        </w:rPr>
        <w:t>ed</w:t>
      </w:r>
      <w:r w:rsidR="00963E54" w:rsidRPr="008A7459">
        <w:rPr>
          <w:rFonts w:ascii="Calibri" w:hAnsi="Calibri" w:cs="Calibri"/>
        </w:rPr>
        <w:t xml:space="preserve"> that newly manufactured components remained the principal environmental hotspots in the CIR scenario, whereas </w:t>
      </w:r>
      <w:r w:rsidR="00963E54" w:rsidRPr="005B4020">
        <w:rPr>
          <w:rFonts w:ascii="Calibri" w:hAnsi="Calibri" w:cs="Calibri"/>
        </w:rPr>
        <w:t>reused components exhibited comparatively low impacts due to avoided raw material extraction and manufacturing processes.</w:t>
      </w:r>
      <w:r w:rsidR="00E1531D" w:rsidRPr="008A7459">
        <w:rPr>
          <w:rFonts w:ascii="Calibri" w:hAnsi="Calibri" w:cs="Calibri"/>
        </w:rPr>
        <w:t xml:space="preserve"> </w:t>
      </w:r>
      <w:r w:rsidR="00227DB9" w:rsidRPr="008A7459">
        <w:rPr>
          <w:rFonts w:ascii="Calibri" w:hAnsi="Calibri" w:cs="Calibri"/>
        </w:rPr>
        <w:t xml:space="preserve">The study confirms that MCI alone is not </w:t>
      </w:r>
      <w:r w:rsidR="009C15FF" w:rsidRPr="008A7459">
        <w:rPr>
          <w:rFonts w:ascii="Calibri" w:hAnsi="Calibri" w:cs="Calibri"/>
        </w:rPr>
        <w:t xml:space="preserve">sufficient </w:t>
      </w:r>
      <w:r w:rsidR="00227DB9" w:rsidRPr="008A7459">
        <w:rPr>
          <w:rFonts w:ascii="Calibri" w:hAnsi="Calibri" w:cs="Calibri"/>
        </w:rPr>
        <w:t xml:space="preserve">to determine the circularity of a renovation scenario. As mentioned in </w:t>
      </w:r>
      <w:r w:rsidR="00227DB9" w:rsidRPr="008A7459">
        <w:rPr>
          <w:rFonts w:ascii="Calibri" w:hAnsi="Calibri" w:cs="Calibri"/>
          <w:noProof/>
        </w:rPr>
        <w:t>(Figueirinhas et al., 2026)</w:t>
      </w:r>
      <w:r w:rsidR="00227DB9" w:rsidRPr="008A7459">
        <w:rPr>
          <w:rFonts w:ascii="Calibri" w:hAnsi="Calibri" w:cs="Calibri"/>
        </w:rPr>
        <w:t xml:space="preserve">, the MCI </w:t>
      </w:r>
      <w:r w:rsidR="003B4E36">
        <w:rPr>
          <w:rFonts w:ascii="Calibri" w:hAnsi="Calibri" w:cs="Calibri"/>
        </w:rPr>
        <w:t>was</w:t>
      </w:r>
      <w:r w:rsidR="00227DB9" w:rsidRPr="008A7459">
        <w:rPr>
          <w:rFonts w:ascii="Calibri" w:hAnsi="Calibri" w:cs="Calibri"/>
        </w:rPr>
        <w:t xml:space="preserve"> designed to serve as a decision-making tool for designers and businesses. It enables the comparisons between product versions and the establishment of minimum circularity thresholds</w:t>
      </w:r>
      <w:r w:rsidR="00227DB9" w:rsidRPr="008A7459">
        <w:rPr>
          <w:rFonts w:ascii="Calibri" w:hAnsi="Calibri" w:cs="Calibri"/>
          <w:b/>
          <w:bCs/>
          <w:i/>
          <w:iCs/>
        </w:rPr>
        <w:t xml:space="preserve">. </w:t>
      </w:r>
      <w:r w:rsidR="00227DB9" w:rsidRPr="008A7459">
        <w:rPr>
          <w:rFonts w:ascii="Calibri" w:hAnsi="Calibri" w:cs="Calibri"/>
        </w:rPr>
        <w:t xml:space="preserve">The study highlighted that the MCI score requires to be associated with LCA analysis </w:t>
      </w:r>
      <w:r w:rsidR="009C56AC" w:rsidRPr="008A7459">
        <w:rPr>
          <w:rFonts w:ascii="Calibri" w:hAnsi="Calibri" w:cs="Calibri"/>
        </w:rPr>
        <w:t xml:space="preserve">to </w:t>
      </w:r>
      <w:r w:rsidR="00227DB9" w:rsidRPr="008A7459">
        <w:rPr>
          <w:rFonts w:ascii="Calibri" w:hAnsi="Calibri" w:cs="Calibri"/>
        </w:rPr>
        <w:t>capture the environmental value of a renovation strategy.</w:t>
      </w:r>
      <w:r w:rsidR="008A7459" w:rsidRPr="008A7459">
        <w:rPr>
          <w:rFonts w:ascii="Calibri" w:hAnsi="Calibri" w:cs="Calibri"/>
        </w:rPr>
        <w:t xml:space="preserve"> </w:t>
      </w:r>
      <w:r w:rsidR="00FA5B55">
        <w:rPr>
          <w:rFonts w:ascii="Calibri" w:hAnsi="Calibri" w:cs="Calibri"/>
        </w:rPr>
        <w:t>T</w:t>
      </w:r>
      <w:r w:rsidR="00136AFA" w:rsidRPr="008A7459">
        <w:rPr>
          <w:rFonts w:ascii="Calibri" w:hAnsi="Calibri" w:cs="Calibri"/>
        </w:rPr>
        <w:t xml:space="preserve">he study </w:t>
      </w:r>
      <w:r w:rsidR="00FA5B55">
        <w:rPr>
          <w:rFonts w:ascii="Calibri" w:hAnsi="Calibri" w:cs="Calibri"/>
        </w:rPr>
        <w:t xml:space="preserve">also </w:t>
      </w:r>
      <w:r w:rsidR="00136AFA" w:rsidRPr="008A7459">
        <w:rPr>
          <w:rFonts w:ascii="Calibri" w:hAnsi="Calibri" w:cs="Calibri"/>
        </w:rPr>
        <w:t xml:space="preserve">demonstrated the important role of BIM to support the </w:t>
      </w:r>
      <w:r w:rsidR="006962DF" w:rsidRPr="008A7459">
        <w:rPr>
          <w:rFonts w:ascii="Calibri" w:hAnsi="Calibri" w:cs="Calibri"/>
        </w:rPr>
        <w:t xml:space="preserve">generation of </w:t>
      </w:r>
      <w:r w:rsidR="00136AFA" w:rsidRPr="008A7459">
        <w:rPr>
          <w:rFonts w:ascii="Calibri" w:hAnsi="Calibri" w:cs="Calibri"/>
        </w:rPr>
        <w:t xml:space="preserve">detailed materials inventory and facilitate the calculation of </w:t>
      </w:r>
      <w:r w:rsidR="006962DF" w:rsidRPr="008A7459">
        <w:rPr>
          <w:rFonts w:ascii="Calibri" w:hAnsi="Calibri" w:cs="Calibri"/>
        </w:rPr>
        <w:t xml:space="preserve">circularity and environmental assessment </w:t>
      </w:r>
      <w:r w:rsidR="00136AFA" w:rsidRPr="008A7459">
        <w:rPr>
          <w:rFonts w:ascii="Calibri" w:hAnsi="Calibri" w:cs="Calibri"/>
        </w:rPr>
        <w:t>metrics</w:t>
      </w:r>
      <w:r w:rsidR="006962DF" w:rsidRPr="008A7459">
        <w:rPr>
          <w:rFonts w:ascii="Calibri" w:hAnsi="Calibri" w:cs="Calibri"/>
        </w:rPr>
        <w:t>. Moreover, BIM-based visualisation tool, such as reversible BIM, provide</w:t>
      </w:r>
      <w:r w:rsidR="003B4E36">
        <w:rPr>
          <w:rFonts w:ascii="Calibri" w:hAnsi="Calibri" w:cs="Calibri"/>
        </w:rPr>
        <w:t>d</w:t>
      </w:r>
      <w:r w:rsidR="006962DF" w:rsidRPr="008A7459">
        <w:rPr>
          <w:rFonts w:ascii="Calibri" w:hAnsi="Calibri" w:cs="Calibri"/>
        </w:rPr>
        <w:t xml:space="preserve"> representations that facilitate</w:t>
      </w:r>
      <w:r w:rsidR="003B4E36">
        <w:rPr>
          <w:rFonts w:ascii="Calibri" w:hAnsi="Calibri" w:cs="Calibri"/>
        </w:rPr>
        <w:t>d</w:t>
      </w:r>
      <w:r w:rsidR="006962DF" w:rsidRPr="008A7459">
        <w:rPr>
          <w:rFonts w:ascii="Calibri" w:hAnsi="Calibri" w:cs="Calibri"/>
        </w:rPr>
        <w:t xml:space="preserve"> the interpretation of the results and support</w:t>
      </w:r>
      <w:r w:rsidR="003B4E36">
        <w:rPr>
          <w:rFonts w:ascii="Calibri" w:hAnsi="Calibri" w:cs="Calibri"/>
        </w:rPr>
        <w:t>ed</w:t>
      </w:r>
      <w:r w:rsidR="006962DF" w:rsidRPr="008A7459">
        <w:rPr>
          <w:rFonts w:ascii="Calibri" w:hAnsi="Calibri" w:cs="Calibri"/>
        </w:rPr>
        <w:t xml:space="preserve"> the decision-making process</w:t>
      </w:r>
      <w:r w:rsidR="006962DF">
        <w:rPr>
          <w:rFonts w:ascii="Calibri" w:hAnsi="Calibri" w:cs="Calibri"/>
        </w:rPr>
        <w:t>.</w:t>
      </w:r>
      <w:r w:rsidR="008525C9">
        <w:rPr>
          <w:rFonts w:ascii="Calibri" w:hAnsi="Calibri" w:cs="Calibri"/>
        </w:rPr>
        <w:t xml:space="preserve"> </w:t>
      </w:r>
    </w:p>
    <w:p w14:paraId="02703F47" w14:textId="617635B0" w:rsidR="00DC6C43" w:rsidRDefault="00177BE7" w:rsidP="008525C9">
      <w:pPr>
        <w:spacing w:after="40" w:line="240" w:lineRule="auto"/>
        <w:jc w:val="both"/>
        <w:rPr>
          <w:rFonts w:ascii="Calibri" w:hAnsi="Calibri" w:cs="Calibri"/>
        </w:rPr>
      </w:pPr>
      <w:r>
        <w:rPr>
          <w:rFonts w:ascii="Calibri" w:hAnsi="Calibri" w:cs="Calibri"/>
        </w:rPr>
        <w:t>A</w:t>
      </w:r>
      <w:r w:rsidR="008A7459">
        <w:rPr>
          <w:rFonts w:ascii="Calibri" w:hAnsi="Calibri" w:cs="Calibri"/>
        </w:rPr>
        <w:t>t</w:t>
      </w:r>
      <w:r>
        <w:rPr>
          <w:rFonts w:ascii="Calibri" w:hAnsi="Calibri" w:cs="Calibri"/>
        </w:rPr>
        <w:t xml:space="preserve"> this </w:t>
      </w:r>
      <w:r w:rsidRPr="006962DF">
        <w:rPr>
          <w:rFonts w:cs="Calibri"/>
        </w:rPr>
        <w:t>stage, t</w:t>
      </w:r>
      <w:r w:rsidR="00046BA6" w:rsidRPr="006962DF">
        <w:rPr>
          <w:rFonts w:cs="Calibri"/>
        </w:rPr>
        <w:t>his research presents several limitations.</w:t>
      </w:r>
      <w:r w:rsidR="00CE797F" w:rsidRPr="006962DF">
        <w:rPr>
          <w:rFonts w:cs="Calibri"/>
        </w:rPr>
        <w:t xml:space="preserve"> </w:t>
      </w:r>
      <w:r w:rsidR="00843A00">
        <w:rPr>
          <w:rFonts w:cs="Calibri"/>
        </w:rPr>
        <w:t>I</w:t>
      </w:r>
      <w:r w:rsidR="00CE797F" w:rsidRPr="006962DF">
        <w:rPr>
          <w:rFonts w:cs="Calibri"/>
        </w:rPr>
        <w:t xml:space="preserve">n the context of this paper, </w:t>
      </w:r>
      <w:r w:rsidR="00334D2A">
        <w:rPr>
          <w:rFonts w:cs="Calibri"/>
        </w:rPr>
        <w:t>the BIM-based framework was tested in a</w:t>
      </w:r>
      <w:r w:rsidR="00EC06AC">
        <w:rPr>
          <w:rFonts w:cs="Calibri"/>
        </w:rPr>
        <w:t xml:space="preserve"> </w:t>
      </w:r>
      <w:r w:rsidR="00334D2A">
        <w:rPr>
          <w:rFonts w:cs="Calibri"/>
        </w:rPr>
        <w:t xml:space="preserve">unique </w:t>
      </w:r>
      <w:r w:rsidR="00EC06AC">
        <w:rPr>
          <w:rFonts w:cs="Calibri"/>
        </w:rPr>
        <w:t>pilot building</w:t>
      </w:r>
      <w:r w:rsidR="00334D2A">
        <w:rPr>
          <w:rFonts w:cs="Calibri"/>
        </w:rPr>
        <w:t xml:space="preserve">. The analysis considered only </w:t>
      </w:r>
      <w:r w:rsidR="00CE797F" w:rsidRPr="006962DF">
        <w:rPr>
          <w:rFonts w:cs="Calibri"/>
        </w:rPr>
        <w:t xml:space="preserve">a subset </w:t>
      </w:r>
      <w:r w:rsidR="00334D2A">
        <w:rPr>
          <w:rFonts w:cs="Calibri"/>
        </w:rPr>
        <w:t>of materials and a single</w:t>
      </w:r>
      <w:r w:rsidR="00CE797F" w:rsidRPr="006962DF">
        <w:rPr>
          <w:rFonts w:cs="Calibri"/>
        </w:rPr>
        <w:t xml:space="preserve"> CIR scenario.</w:t>
      </w:r>
      <w:r w:rsidR="00366D01" w:rsidRPr="006962DF">
        <w:rPr>
          <w:rFonts w:cs="Calibri"/>
        </w:rPr>
        <w:t xml:space="preserve"> This limits the generalization of the results that should be tested on other scenarios </w:t>
      </w:r>
      <w:r w:rsidR="00334D2A">
        <w:rPr>
          <w:rFonts w:cs="Calibri"/>
        </w:rPr>
        <w:t xml:space="preserve">across multiple building typologies </w:t>
      </w:r>
      <w:r w:rsidR="00366D01" w:rsidRPr="006962DF">
        <w:rPr>
          <w:rFonts w:cs="Calibri"/>
        </w:rPr>
        <w:t xml:space="preserve">to </w:t>
      </w:r>
      <w:r w:rsidR="00334D2A">
        <w:rPr>
          <w:rFonts w:cs="Calibri"/>
        </w:rPr>
        <w:t xml:space="preserve">further validate </w:t>
      </w:r>
      <w:r w:rsidR="001D006A">
        <w:rPr>
          <w:rFonts w:cs="Calibri"/>
        </w:rPr>
        <w:t xml:space="preserve">the approach </w:t>
      </w:r>
      <w:r w:rsidR="00334D2A">
        <w:rPr>
          <w:rFonts w:cs="Calibri"/>
        </w:rPr>
        <w:t>and strengthen the robustness of the framework</w:t>
      </w:r>
      <w:r w:rsidR="00366D01" w:rsidRPr="006962DF">
        <w:rPr>
          <w:rFonts w:cs="Calibri"/>
        </w:rPr>
        <w:t>.</w:t>
      </w:r>
      <w:r w:rsidR="002221AF" w:rsidRPr="006962DF">
        <w:rPr>
          <w:rFonts w:cs="Calibri"/>
        </w:rPr>
        <w:t xml:space="preserve"> </w:t>
      </w:r>
      <w:r w:rsidR="003545AB">
        <w:rPr>
          <w:rFonts w:cs="Calibri"/>
        </w:rPr>
        <w:t>Moreover, several assumptions regarding the CIR scenario</w:t>
      </w:r>
      <w:r w:rsidR="008525C9">
        <w:rPr>
          <w:rFonts w:cs="Calibri"/>
        </w:rPr>
        <w:t xml:space="preserve"> </w:t>
      </w:r>
      <w:r w:rsidR="008525C9" w:rsidRPr="006962DF">
        <w:rPr>
          <w:rFonts w:cs="Calibri"/>
        </w:rPr>
        <w:t xml:space="preserve">(e.g. </w:t>
      </w:r>
      <w:r w:rsidR="005B4020">
        <w:rPr>
          <w:rFonts w:cs="Calibri"/>
        </w:rPr>
        <w:t>concerning</w:t>
      </w:r>
      <w:r w:rsidR="008525C9">
        <w:rPr>
          <w:rFonts w:cs="Calibri"/>
        </w:rPr>
        <w:t xml:space="preserve"> BAU end-of-life scenarios)</w:t>
      </w:r>
      <w:r w:rsidR="003545AB">
        <w:rPr>
          <w:rFonts w:cs="Calibri"/>
        </w:rPr>
        <w:t xml:space="preserve"> influence the results of the LCA analysis and the environmental benefits are therefore subject to uncertainties. </w:t>
      </w:r>
      <w:r w:rsidR="008525C9">
        <w:rPr>
          <w:rFonts w:cs="Calibri"/>
        </w:rPr>
        <w:t>Sensi</w:t>
      </w:r>
      <w:r w:rsidR="001D006A">
        <w:rPr>
          <w:rFonts w:cs="Calibri"/>
        </w:rPr>
        <w:t>ti</w:t>
      </w:r>
      <w:r w:rsidR="008525C9">
        <w:rPr>
          <w:rFonts w:cs="Calibri"/>
        </w:rPr>
        <w:t>vity analysis on key parameters</w:t>
      </w:r>
      <w:r w:rsidR="00675752">
        <w:rPr>
          <w:rFonts w:cs="Calibri"/>
        </w:rPr>
        <w:t xml:space="preserve"> such as </w:t>
      </w:r>
      <w:r w:rsidR="008525C9">
        <w:rPr>
          <w:rFonts w:cs="Calibri"/>
        </w:rPr>
        <w:t>materials</w:t>
      </w:r>
      <w:r w:rsidR="00675752">
        <w:rPr>
          <w:rFonts w:cs="Calibri"/>
        </w:rPr>
        <w:t xml:space="preserve"> transport distance</w:t>
      </w:r>
      <w:r w:rsidR="008525C9">
        <w:rPr>
          <w:rFonts w:cs="Calibri"/>
        </w:rPr>
        <w:t xml:space="preserve"> would provide additional insights reinforcing the </w:t>
      </w:r>
      <w:r w:rsidR="001D006A">
        <w:rPr>
          <w:rFonts w:cs="Calibri"/>
        </w:rPr>
        <w:t>consistency</w:t>
      </w:r>
      <w:r w:rsidR="008525C9">
        <w:rPr>
          <w:rFonts w:cs="Calibri"/>
        </w:rPr>
        <w:t xml:space="preserve"> of the results. </w:t>
      </w:r>
      <w:r w:rsidR="00C84BCA">
        <w:rPr>
          <w:rFonts w:cs="Calibri"/>
        </w:rPr>
        <w:t>T</w:t>
      </w:r>
      <w:r w:rsidR="002221AF" w:rsidRPr="006962DF">
        <w:rPr>
          <w:rFonts w:cs="Calibri"/>
        </w:rPr>
        <w:t xml:space="preserve">he lack of available data for assessing circularity of construction materials </w:t>
      </w:r>
      <w:r w:rsidR="00E36F33">
        <w:rPr>
          <w:rFonts w:cs="Calibri"/>
        </w:rPr>
        <w:t xml:space="preserve">(e.g. </w:t>
      </w:r>
      <w:r w:rsidR="002221AF" w:rsidRPr="00E36F33">
        <w:rPr>
          <w:rFonts w:cs="Calibri"/>
        </w:rPr>
        <w:t>for industry-average lifecycle of a building layer</w:t>
      </w:r>
      <w:r w:rsidR="002221AF" w:rsidRPr="006962DF">
        <w:rPr>
          <w:rFonts w:cs="Calibri"/>
        </w:rPr>
        <w:t>) also represents a limit of this research. Due to these gaps, this factor was not covered in the MCI calculation. This may influence the global results.</w:t>
      </w:r>
      <w:r w:rsidR="00FB11E9">
        <w:rPr>
          <w:rFonts w:cs="Calibri"/>
        </w:rPr>
        <w:t xml:space="preserve"> </w:t>
      </w:r>
      <w:r w:rsidR="00E01F49" w:rsidRPr="006962DF">
        <w:rPr>
          <w:rFonts w:cs="Calibri"/>
        </w:rPr>
        <w:t>Additionally</w:t>
      </w:r>
      <w:r w:rsidR="000065C8" w:rsidRPr="006962DF">
        <w:rPr>
          <w:rFonts w:cs="Calibri"/>
        </w:rPr>
        <w:t>, the study focuse</w:t>
      </w:r>
      <w:r w:rsidR="003B6C2C" w:rsidRPr="006962DF">
        <w:rPr>
          <w:rFonts w:cs="Calibri"/>
        </w:rPr>
        <w:t>d</w:t>
      </w:r>
      <w:r w:rsidR="000065C8" w:rsidRPr="006962DF">
        <w:rPr>
          <w:rFonts w:cs="Calibri"/>
        </w:rPr>
        <w:t xml:space="preserve"> on the circularity and LCA </w:t>
      </w:r>
      <w:r w:rsidR="00FC74D8" w:rsidRPr="006962DF">
        <w:rPr>
          <w:rFonts w:cs="Calibri"/>
        </w:rPr>
        <w:t>assessment associated</w:t>
      </w:r>
      <w:r w:rsidR="00FC74D8">
        <w:rPr>
          <w:rFonts w:ascii="Calibri" w:hAnsi="Calibri" w:cs="Calibri"/>
        </w:rPr>
        <w:t xml:space="preserve"> with ma</w:t>
      </w:r>
      <w:r w:rsidR="00C96E63">
        <w:rPr>
          <w:rFonts w:ascii="Calibri" w:hAnsi="Calibri" w:cs="Calibri"/>
        </w:rPr>
        <w:t xml:space="preserve">terials while operation energy performance of the building </w:t>
      </w:r>
      <w:r w:rsidR="00334D2A">
        <w:rPr>
          <w:rFonts w:ascii="Calibri" w:hAnsi="Calibri" w:cs="Calibri"/>
        </w:rPr>
        <w:t>was not</w:t>
      </w:r>
      <w:r w:rsidR="00C96E63">
        <w:rPr>
          <w:rFonts w:ascii="Calibri" w:hAnsi="Calibri" w:cs="Calibri"/>
        </w:rPr>
        <w:t xml:space="preserve"> fully integrated in the framework.</w:t>
      </w:r>
      <w:r w:rsidR="000065C8">
        <w:rPr>
          <w:rFonts w:ascii="Calibri" w:hAnsi="Calibri" w:cs="Calibri"/>
        </w:rPr>
        <w:t xml:space="preserve"> </w:t>
      </w:r>
      <w:r w:rsidR="00334A70">
        <w:rPr>
          <w:rFonts w:ascii="Calibri" w:hAnsi="Calibri" w:cs="Calibri"/>
        </w:rPr>
        <w:t>Consequently, t</w:t>
      </w:r>
      <w:r w:rsidR="00C96E63">
        <w:rPr>
          <w:rFonts w:ascii="Calibri" w:hAnsi="Calibri" w:cs="Calibri"/>
        </w:rPr>
        <w:t>he investigation of the links between LCA, circularity metrics and operational energy si</w:t>
      </w:r>
      <w:r w:rsidR="00F240D7">
        <w:rPr>
          <w:rFonts w:ascii="Calibri" w:hAnsi="Calibri" w:cs="Calibri"/>
        </w:rPr>
        <w:t xml:space="preserve">mulations through a BIM-based process </w:t>
      </w:r>
      <w:r w:rsidR="00484051">
        <w:rPr>
          <w:rFonts w:ascii="Calibri" w:hAnsi="Calibri" w:cs="Calibri"/>
        </w:rPr>
        <w:t xml:space="preserve">could </w:t>
      </w:r>
      <w:r w:rsidR="00F240D7">
        <w:rPr>
          <w:rFonts w:ascii="Calibri" w:hAnsi="Calibri" w:cs="Calibri"/>
        </w:rPr>
        <w:t xml:space="preserve">constitute </w:t>
      </w:r>
      <w:r w:rsidR="00EB5DC7">
        <w:rPr>
          <w:rFonts w:ascii="Calibri" w:hAnsi="Calibri" w:cs="Calibri"/>
        </w:rPr>
        <w:t>an</w:t>
      </w:r>
      <w:r w:rsidR="00F240D7">
        <w:rPr>
          <w:rFonts w:ascii="Calibri" w:hAnsi="Calibri" w:cs="Calibri"/>
        </w:rPr>
        <w:t xml:space="preserve"> </w:t>
      </w:r>
      <w:r w:rsidR="0059443D">
        <w:rPr>
          <w:rFonts w:ascii="Calibri" w:hAnsi="Calibri" w:cs="Calibri"/>
        </w:rPr>
        <w:t>important</w:t>
      </w:r>
      <w:r w:rsidR="00F240D7">
        <w:rPr>
          <w:rFonts w:ascii="Calibri" w:hAnsi="Calibri" w:cs="Calibri"/>
        </w:rPr>
        <w:t xml:space="preserve"> perspective </w:t>
      </w:r>
      <w:r w:rsidR="0059443D">
        <w:rPr>
          <w:rFonts w:ascii="Calibri" w:hAnsi="Calibri" w:cs="Calibri"/>
        </w:rPr>
        <w:t>for future</w:t>
      </w:r>
      <w:r w:rsidR="00F240D7">
        <w:rPr>
          <w:rFonts w:ascii="Calibri" w:hAnsi="Calibri" w:cs="Calibri"/>
        </w:rPr>
        <w:t xml:space="preserve"> research</w:t>
      </w:r>
      <w:r w:rsidR="00B42EB3">
        <w:rPr>
          <w:rFonts w:ascii="Calibri" w:hAnsi="Calibri" w:cs="Calibri"/>
        </w:rPr>
        <w:t>, enabling a more robust assessment of low-carbon and circular strategies</w:t>
      </w:r>
      <w:r w:rsidR="00F240D7">
        <w:rPr>
          <w:rFonts w:ascii="Calibri" w:hAnsi="Calibri" w:cs="Calibri"/>
        </w:rPr>
        <w:t>.</w:t>
      </w:r>
      <w:r w:rsidR="009B74F9">
        <w:rPr>
          <w:rFonts w:ascii="Calibri" w:hAnsi="Calibri" w:cs="Calibri"/>
        </w:rPr>
        <w:t xml:space="preserve"> </w:t>
      </w:r>
    </w:p>
    <w:p w14:paraId="74EB0B4A" w14:textId="77777777" w:rsidR="004E705F" w:rsidRPr="008525C9" w:rsidRDefault="004E705F" w:rsidP="008525C9">
      <w:pPr>
        <w:spacing w:after="40" w:line="240" w:lineRule="auto"/>
        <w:jc w:val="both"/>
        <w:rPr>
          <w:rFonts w:ascii="Calibri" w:hAnsi="Calibri" w:cs="Calibri"/>
        </w:rPr>
      </w:pPr>
    </w:p>
    <w:p w14:paraId="017B6CF5" w14:textId="20910E03" w:rsidR="002F093C" w:rsidRPr="002F093C" w:rsidRDefault="002F093C" w:rsidP="00CD5BF0">
      <w:pPr>
        <w:pStyle w:val="ListParagraph"/>
        <w:numPr>
          <w:ilvl w:val="0"/>
          <w:numId w:val="1"/>
        </w:numPr>
        <w:spacing w:after="40" w:line="240" w:lineRule="auto"/>
        <w:jc w:val="both"/>
        <w:rPr>
          <w:rFonts w:ascii="Calibri" w:hAnsi="Calibri" w:cs="Calibri"/>
          <w:b/>
          <w:bCs/>
          <w:sz w:val="28"/>
          <w:szCs w:val="28"/>
        </w:rPr>
      </w:pPr>
      <w:r>
        <w:rPr>
          <w:rFonts w:ascii="Calibri" w:hAnsi="Calibri" w:cs="Calibri"/>
          <w:b/>
          <w:bCs/>
          <w:sz w:val="28"/>
          <w:szCs w:val="28"/>
        </w:rPr>
        <w:t>C</w:t>
      </w:r>
      <w:r w:rsidR="00F70580">
        <w:rPr>
          <w:rFonts w:ascii="Calibri" w:hAnsi="Calibri" w:cs="Calibri"/>
          <w:b/>
          <w:bCs/>
          <w:sz w:val="28"/>
          <w:szCs w:val="28"/>
        </w:rPr>
        <w:t>ONCLUSION</w:t>
      </w:r>
    </w:p>
    <w:p w14:paraId="28917BC5" w14:textId="6F689C02" w:rsidR="00E1531D" w:rsidRPr="00FD2229" w:rsidRDefault="006D5398" w:rsidP="00CD5BF0">
      <w:pPr>
        <w:spacing w:after="40" w:line="240" w:lineRule="auto"/>
        <w:jc w:val="both"/>
        <w:rPr>
          <w:rFonts w:ascii="Calibri" w:eastAsia="Calibri" w:hAnsi="Calibri" w:cs="Calibri"/>
          <w:color w:val="000000" w:themeColor="text1"/>
        </w:rPr>
      </w:pPr>
      <w:r>
        <w:rPr>
          <w:rFonts w:ascii="Calibri" w:eastAsia="Calibri" w:hAnsi="Calibri" w:cs="Calibri"/>
          <w:color w:val="000000" w:themeColor="text1"/>
        </w:rPr>
        <w:t xml:space="preserve">Moving towards resilient cities will require the development of advanced metrics to evaluate architectural and renovation projects. The research demonstrates that the combination of RP, TC, MCI and LCA provides an interesting framework to </w:t>
      </w:r>
      <w:r w:rsidR="0003597D">
        <w:rPr>
          <w:rFonts w:ascii="Calibri" w:eastAsia="Calibri" w:hAnsi="Calibri" w:cs="Calibri"/>
          <w:color w:val="000000" w:themeColor="text1"/>
        </w:rPr>
        <w:t>assess</w:t>
      </w:r>
      <w:r>
        <w:rPr>
          <w:rFonts w:ascii="Calibri" w:eastAsia="Calibri" w:hAnsi="Calibri" w:cs="Calibri"/>
          <w:color w:val="000000" w:themeColor="text1"/>
        </w:rPr>
        <w:t xml:space="preserve"> circular and low carbon renovation strateg</w:t>
      </w:r>
      <w:r w:rsidR="0003597D">
        <w:rPr>
          <w:rFonts w:ascii="Calibri" w:eastAsia="Calibri" w:hAnsi="Calibri" w:cs="Calibri"/>
          <w:color w:val="000000" w:themeColor="text1"/>
        </w:rPr>
        <w:t xml:space="preserve">ies </w:t>
      </w:r>
      <w:r w:rsidR="008B2AA2" w:rsidRPr="000C4A0B">
        <w:rPr>
          <w:rFonts w:ascii="Calibri" w:eastAsia="Calibri" w:hAnsi="Calibri" w:cs="Calibri"/>
          <w:color w:val="000000" w:themeColor="text1"/>
        </w:rPr>
        <w:t>and promote reuse on</w:t>
      </w:r>
      <w:r w:rsidR="003F7C05">
        <w:rPr>
          <w:rFonts w:ascii="Calibri" w:eastAsia="Calibri" w:hAnsi="Calibri" w:cs="Calibri"/>
          <w:color w:val="000000" w:themeColor="text1"/>
        </w:rPr>
        <w:t>-</w:t>
      </w:r>
      <w:r w:rsidR="008B2AA2" w:rsidRPr="000C4A0B">
        <w:rPr>
          <w:rFonts w:ascii="Calibri" w:eastAsia="Calibri" w:hAnsi="Calibri" w:cs="Calibri"/>
          <w:color w:val="000000" w:themeColor="text1"/>
        </w:rPr>
        <w:t xml:space="preserve">site of materials when </w:t>
      </w:r>
      <w:r w:rsidR="008B2AA2" w:rsidRPr="00FD2229">
        <w:rPr>
          <w:rFonts w:ascii="Calibri" w:eastAsia="Calibri" w:hAnsi="Calibri" w:cs="Calibri"/>
          <w:color w:val="000000" w:themeColor="text1"/>
        </w:rPr>
        <w:t>feasible</w:t>
      </w:r>
      <w:r w:rsidRPr="00FD2229">
        <w:rPr>
          <w:rFonts w:ascii="Calibri" w:eastAsia="Calibri" w:hAnsi="Calibri" w:cs="Calibri"/>
          <w:color w:val="000000" w:themeColor="text1"/>
        </w:rPr>
        <w:t>.</w:t>
      </w:r>
      <w:r w:rsidR="008B2AA2" w:rsidRPr="00FD2229">
        <w:rPr>
          <w:rFonts w:ascii="Calibri" w:eastAsia="Calibri" w:hAnsi="Calibri" w:cs="Calibri"/>
          <w:color w:val="000000" w:themeColor="text1"/>
        </w:rPr>
        <w:t xml:space="preserve"> </w:t>
      </w:r>
      <w:r w:rsidR="008B2AA2" w:rsidRPr="00FD2229">
        <w:rPr>
          <w:rFonts w:ascii="Calibri" w:hAnsi="Calibri" w:cs="Calibri"/>
        </w:rPr>
        <w:t xml:space="preserve">The results of this study </w:t>
      </w:r>
      <w:r w:rsidR="003B4E36">
        <w:rPr>
          <w:rFonts w:ascii="Calibri" w:hAnsi="Calibri" w:cs="Calibri"/>
        </w:rPr>
        <w:t>confirm</w:t>
      </w:r>
      <w:r w:rsidR="008B2AA2" w:rsidRPr="00FD2229">
        <w:rPr>
          <w:rFonts w:ascii="Calibri" w:hAnsi="Calibri" w:cs="Calibri"/>
        </w:rPr>
        <w:t xml:space="preserve"> that</w:t>
      </w:r>
      <w:r w:rsidR="00E1531D" w:rsidRPr="00FD2229">
        <w:rPr>
          <w:rFonts w:ascii="Calibri" w:hAnsi="Calibri" w:cs="Calibri"/>
        </w:rPr>
        <w:t xml:space="preserve"> reuse of building components </w:t>
      </w:r>
      <w:r w:rsidR="003B4E36">
        <w:rPr>
          <w:rFonts w:ascii="Calibri" w:hAnsi="Calibri" w:cs="Calibri"/>
        </w:rPr>
        <w:t>could</w:t>
      </w:r>
      <w:r w:rsidR="00E1531D" w:rsidRPr="00FD2229">
        <w:rPr>
          <w:rFonts w:ascii="Calibri" w:hAnsi="Calibri" w:cs="Calibri"/>
        </w:rPr>
        <w:t xml:space="preserve"> contribute to a significant reduction of the environmental impacts </w:t>
      </w:r>
      <w:r w:rsidR="00BA614A" w:rsidRPr="00FD2229">
        <w:rPr>
          <w:rFonts w:ascii="Calibri" w:hAnsi="Calibri" w:cs="Calibri"/>
        </w:rPr>
        <w:t>by extending the lifespan of existing building materials and reducing demolition waste.</w:t>
      </w:r>
    </w:p>
    <w:p w14:paraId="32AA098F" w14:textId="59590DFA" w:rsidR="00DC6C43" w:rsidRPr="004C7CE3" w:rsidRDefault="00452445" w:rsidP="004C7CE3">
      <w:pPr>
        <w:spacing w:line="240" w:lineRule="auto"/>
        <w:jc w:val="both"/>
        <w:rPr>
          <w:rFonts w:ascii="Calibri" w:hAnsi="Calibri" w:cs="Calibri"/>
        </w:rPr>
      </w:pPr>
      <w:r w:rsidRPr="00FD2229">
        <w:rPr>
          <w:rFonts w:ascii="Calibri" w:hAnsi="Calibri" w:cs="Calibri"/>
        </w:rPr>
        <w:lastRenderedPageBreak/>
        <w:t>Th</w:t>
      </w:r>
      <w:r w:rsidR="0003597D" w:rsidRPr="00FD2229">
        <w:rPr>
          <w:rFonts w:ascii="Calibri" w:hAnsi="Calibri" w:cs="Calibri"/>
        </w:rPr>
        <w:t>is</w:t>
      </w:r>
      <w:r w:rsidRPr="00FD2229">
        <w:rPr>
          <w:rFonts w:ascii="Calibri" w:hAnsi="Calibri" w:cs="Calibri"/>
        </w:rPr>
        <w:t xml:space="preserve"> </w:t>
      </w:r>
      <w:r w:rsidR="000C4A0B" w:rsidRPr="00FD2229">
        <w:rPr>
          <w:rFonts w:ascii="Calibri" w:hAnsi="Calibri" w:cs="Calibri"/>
        </w:rPr>
        <w:t>study</w:t>
      </w:r>
      <w:r w:rsidRPr="00FD2229">
        <w:rPr>
          <w:rFonts w:ascii="Calibri" w:hAnsi="Calibri" w:cs="Calibri"/>
        </w:rPr>
        <w:t xml:space="preserve"> </w:t>
      </w:r>
      <w:r w:rsidR="0003597D" w:rsidRPr="00FD2229">
        <w:rPr>
          <w:rFonts w:ascii="Calibri" w:hAnsi="Calibri" w:cs="Calibri"/>
        </w:rPr>
        <w:t>also</w:t>
      </w:r>
      <w:r w:rsidRPr="00FD2229">
        <w:rPr>
          <w:rFonts w:ascii="Calibri" w:hAnsi="Calibri" w:cs="Calibri"/>
        </w:rPr>
        <w:t xml:space="preserve"> </w:t>
      </w:r>
      <w:r w:rsidR="0003597D" w:rsidRPr="00FD2229">
        <w:rPr>
          <w:rFonts w:ascii="Calibri" w:hAnsi="Calibri" w:cs="Calibri"/>
        </w:rPr>
        <w:t>underline</w:t>
      </w:r>
      <w:r w:rsidR="003B4E36">
        <w:rPr>
          <w:rFonts w:ascii="Calibri" w:hAnsi="Calibri" w:cs="Calibri"/>
        </w:rPr>
        <w:t>s</w:t>
      </w:r>
      <w:r w:rsidRPr="00FD2229">
        <w:rPr>
          <w:rFonts w:ascii="Calibri" w:hAnsi="Calibri" w:cs="Calibri"/>
        </w:rPr>
        <w:t xml:space="preserve"> the limitation</w:t>
      </w:r>
      <w:r w:rsidR="005F4DD5" w:rsidRPr="00FD2229">
        <w:rPr>
          <w:rFonts w:ascii="Calibri" w:hAnsi="Calibri" w:cs="Calibri"/>
        </w:rPr>
        <w:t>s</w:t>
      </w:r>
      <w:r w:rsidRPr="00FD2229">
        <w:rPr>
          <w:rFonts w:ascii="Calibri" w:hAnsi="Calibri" w:cs="Calibri"/>
        </w:rPr>
        <w:t xml:space="preserve"> of </w:t>
      </w:r>
      <w:r w:rsidR="005F4DD5" w:rsidRPr="00FD2229">
        <w:rPr>
          <w:rFonts w:ascii="Calibri" w:hAnsi="Calibri" w:cs="Calibri"/>
        </w:rPr>
        <w:t xml:space="preserve">the </w:t>
      </w:r>
      <w:r w:rsidRPr="00FD2229">
        <w:rPr>
          <w:rFonts w:ascii="Calibri" w:hAnsi="Calibri" w:cs="Calibri"/>
        </w:rPr>
        <w:t>MCI</w:t>
      </w:r>
      <w:r w:rsidR="005F4DD5" w:rsidRPr="00FD2229">
        <w:rPr>
          <w:rFonts w:ascii="Calibri" w:hAnsi="Calibri" w:cs="Calibri"/>
        </w:rPr>
        <w:t xml:space="preserve"> indicator</w:t>
      </w:r>
      <w:r w:rsidRPr="00FD2229">
        <w:rPr>
          <w:rFonts w:ascii="Calibri" w:hAnsi="Calibri" w:cs="Calibri"/>
        </w:rPr>
        <w:t xml:space="preserve"> </w:t>
      </w:r>
      <w:r w:rsidRPr="00FD2229">
        <w:rPr>
          <w:rFonts w:ascii="Calibri" w:eastAsia="Calibri" w:hAnsi="Calibri" w:cs="Calibri"/>
          <w:color w:val="000000" w:themeColor="text1"/>
        </w:rPr>
        <w:t xml:space="preserve">and the </w:t>
      </w:r>
      <w:r w:rsidR="00E358B3" w:rsidRPr="00FD2229">
        <w:rPr>
          <w:rFonts w:ascii="Calibri" w:eastAsia="Calibri" w:hAnsi="Calibri" w:cs="Calibri"/>
          <w:color w:val="000000" w:themeColor="text1"/>
        </w:rPr>
        <w:t xml:space="preserve">need to </w:t>
      </w:r>
      <w:r w:rsidR="000C4A0B" w:rsidRPr="00FD2229">
        <w:rPr>
          <w:rFonts w:ascii="Calibri" w:eastAsia="Calibri" w:hAnsi="Calibri" w:cs="Calibri"/>
          <w:color w:val="000000" w:themeColor="text1"/>
        </w:rPr>
        <w:t>combine it with</w:t>
      </w:r>
      <w:r w:rsidR="00E358B3" w:rsidRPr="00FD2229">
        <w:rPr>
          <w:rFonts w:ascii="Calibri" w:eastAsia="Calibri" w:hAnsi="Calibri" w:cs="Calibri"/>
          <w:color w:val="000000" w:themeColor="text1"/>
        </w:rPr>
        <w:t xml:space="preserve"> LCA analysis to </w:t>
      </w:r>
      <w:r w:rsidR="000C4A0B" w:rsidRPr="00FD2229">
        <w:rPr>
          <w:rFonts w:ascii="Calibri" w:eastAsia="Calibri" w:hAnsi="Calibri" w:cs="Calibri"/>
          <w:color w:val="000000" w:themeColor="text1"/>
        </w:rPr>
        <w:t xml:space="preserve">properly </w:t>
      </w:r>
      <w:r w:rsidR="000E2CCE" w:rsidRPr="00FD2229">
        <w:rPr>
          <w:rFonts w:ascii="Calibri" w:eastAsia="Calibri" w:hAnsi="Calibri" w:cs="Calibri"/>
          <w:color w:val="000000" w:themeColor="text1"/>
        </w:rPr>
        <w:t>assess</w:t>
      </w:r>
      <w:r w:rsidR="00BA614A" w:rsidRPr="00FD2229">
        <w:rPr>
          <w:rFonts w:ascii="Calibri" w:eastAsia="Calibri" w:hAnsi="Calibri" w:cs="Calibri"/>
          <w:color w:val="000000" w:themeColor="text1"/>
        </w:rPr>
        <w:t xml:space="preserve"> </w:t>
      </w:r>
      <w:r w:rsidR="000E2CCE" w:rsidRPr="00FD2229">
        <w:rPr>
          <w:rFonts w:ascii="Calibri" w:eastAsia="Calibri" w:hAnsi="Calibri" w:cs="Calibri"/>
          <w:color w:val="000000" w:themeColor="text1"/>
        </w:rPr>
        <w:t xml:space="preserve">the </w:t>
      </w:r>
      <w:r w:rsidR="00BA614A" w:rsidRPr="00FD2229">
        <w:rPr>
          <w:rFonts w:ascii="Calibri" w:eastAsia="Calibri" w:hAnsi="Calibri" w:cs="Calibri"/>
          <w:color w:val="000000" w:themeColor="text1"/>
        </w:rPr>
        <w:t xml:space="preserve">environmental </w:t>
      </w:r>
      <w:r w:rsidR="000C4A0B" w:rsidRPr="00FD2229">
        <w:rPr>
          <w:rFonts w:ascii="Calibri" w:eastAsia="Calibri" w:hAnsi="Calibri" w:cs="Calibri"/>
          <w:color w:val="000000" w:themeColor="text1"/>
        </w:rPr>
        <w:t>performance</w:t>
      </w:r>
      <w:r w:rsidR="00E358B3" w:rsidRPr="00FD2229">
        <w:rPr>
          <w:rFonts w:ascii="Calibri" w:eastAsia="Calibri" w:hAnsi="Calibri" w:cs="Calibri"/>
          <w:color w:val="000000" w:themeColor="text1"/>
        </w:rPr>
        <w:t xml:space="preserve"> of renovation scenarios promoting reuse practice.</w:t>
      </w:r>
      <w:r w:rsidR="000C4A0B" w:rsidRPr="00FD2229">
        <w:rPr>
          <w:rFonts w:ascii="Calibri" w:eastAsia="Calibri" w:hAnsi="Calibri" w:cs="Calibri"/>
          <w:color w:val="000000" w:themeColor="text1"/>
        </w:rPr>
        <w:t xml:space="preserve"> </w:t>
      </w:r>
      <w:r w:rsidR="008411B3" w:rsidRPr="00FD2229">
        <w:rPr>
          <w:rFonts w:ascii="Calibri" w:hAnsi="Calibri" w:cs="Calibri"/>
        </w:rPr>
        <w:t xml:space="preserve">Finally, </w:t>
      </w:r>
      <w:r w:rsidR="003C7C90" w:rsidRPr="00FD2229">
        <w:rPr>
          <w:rFonts w:ascii="Calibri" w:hAnsi="Calibri" w:cs="Calibri"/>
        </w:rPr>
        <w:t xml:space="preserve">the study </w:t>
      </w:r>
      <w:r w:rsidR="000C4A0B" w:rsidRPr="00FD2229">
        <w:rPr>
          <w:rFonts w:ascii="Calibri" w:hAnsi="Calibri" w:cs="Calibri"/>
        </w:rPr>
        <w:t>highlight</w:t>
      </w:r>
      <w:r w:rsidR="003B4E36">
        <w:rPr>
          <w:rFonts w:ascii="Calibri" w:hAnsi="Calibri" w:cs="Calibri"/>
        </w:rPr>
        <w:t>s</w:t>
      </w:r>
      <w:r w:rsidR="003C7C90" w:rsidRPr="00FD2229">
        <w:rPr>
          <w:rFonts w:ascii="Calibri" w:hAnsi="Calibri" w:cs="Calibri"/>
        </w:rPr>
        <w:t xml:space="preserve"> the</w:t>
      </w:r>
      <w:r w:rsidR="003C7C90">
        <w:rPr>
          <w:rFonts w:ascii="Calibri" w:hAnsi="Calibri" w:cs="Calibri"/>
        </w:rPr>
        <w:t xml:space="preserve"> key role of BIM </w:t>
      </w:r>
      <w:r w:rsidR="000C4A0B">
        <w:rPr>
          <w:rFonts w:ascii="Calibri" w:hAnsi="Calibri" w:cs="Calibri"/>
        </w:rPr>
        <w:t>in centralizing building and material information required for</w:t>
      </w:r>
      <w:r w:rsidR="003C7C90">
        <w:rPr>
          <w:rFonts w:ascii="Calibri" w:hAnsi="Calibri" w:cs="Calibri"/>
        </w:rPr>
        <w:t xml:space="preserve"> circularity and LCA </w:t>
      </w:r>
      <w:r w:rsidR="000C4A0B">
        <w:rPr>
          <w:rFonts w:ascii="Calibri" w:hAnsi="Calibri" w:cs="Calibri"/>
        </w:rPr>
        <w:t>analyses. Moreover</w:t>
      </w:r>
      <w:r w:rsidR="00C45EEE">
        <w:rPr>
          <w:rFonts w:ascii="Calibri" w:hAnsi="Calibri" w:cs="Calibri"/>
        </w:rPr>
        <w:t>,</w:t>
      </w:r>
      <w:r w:rsidR="000C4A0B">
        <w:rPr>
          <w:rFonts w:ascii="Calibri" w:hAnsi="Calibri" w:cs="Calibri"/>
        </w:rPr>
        <w:t xml:space="preserve"> BIM-based visualization</w:t>
      </w:r>
      <w:r w:rsidR="009A193B">
        <w:rPr>
          <w:rFonts w:ascii="Calibri" w:hAnsi="Calibri" w:cs="Calibri"/>
        </w:rPr>
        <w:t>s</w:t>
      </w:r>
      <w:r w:rsidR="000C4A0B">
        <w:rPr>
          <w:rFonts w:ascii="Calibri" w:hAnsi="Calibri" w:cs="Calibri"/>
        </w:rPr>
        <w:t xml:space="preserve"> </w:t>
      </w:r>
      <w:r w:rsidR="009A193B">
        <w:rPr>
          <w:rFonts w:ascii="Calibri" w:hAnsi="Calibri" w:cs="Calibri"/>
        </w:rPr>
        <w:t xml:space="preserve">and simulations </w:t>
      </w:r>
      <w:r w:rsidR="000C4A0B">
        <w:rPr>
          <w:rFonts w:ascii="Calibri" w:hAnsi="Calibri" w:cs="Calibri"/>
        </w:rPr>
        <w:t xml:space="preserve">can </w:t>
      </w:r>
      <w:r w:rsidR="003C7C90">
        <w:rPr>
          <w:rFonts w:ascii="Calibri" w:hAnsi="Calibri" w:cs="Calibri"/>
        </w:rPr>
        <w:t>suppor</w:t>
      </w:r>
      <w:r w:rsidR="00C45EEE">
        <w:rPr>
          <w:rFonts w:ascii="Calibri" w:hAnsi="Calibri" w:cs="Calibri"/>
        </w:rPr>
        <w:t>t</w:t>
      </w:r>
      <w:r w:rsidR="003C7C90">
        <w:rPr>
          <w:rFonts w:ascii="Calibri" w:hAnsi="Calibri" w:cs="Calibri"/>
        </w:rPr>
        <w:t xml:space="preserve"> informed decision-making </w:t>
      </w:r>
      <w:r w:rsidR="000C4A0B">
        <w:rPr>
          <w:rFonts w:ascii="Calibri" w:hAnsi="Calibri" w:cs="Calibri"/>
        </w:rPr>
        <w:t>and guid</w:t>
      </w:r>
      <w:r w:rsidR="00C45EEE">
        <w:rPr>
          <w:rFonts w:ascii="Calibri" w:hAnsi="Calibri" w:cs="Calibri"/>
        </w:rPr>
        <w:t>e</w:t>
      </w:r>
      <w:r w:rsidR="00AD40F9">
        <w:rPr>
          <w:rFonts w:ascii="Calibri" w:hAnsi="Calibri" w:cs="Calibri"/>
        </w:rPr>
        <w:t xml:space="preserve"> AEC</w:t>
      </w:r>
      <w:r w:rsidR="000C4A0B">
        <w:rPr>
          <w:rFonts w:ascii="Calibri" w:hAnsi="Calibri" w:cs="Calibri"/>
        </w:rPr>
        <w:t xml:space="preserve"> practitioners toward better</w:t>
      </w:r>
      <w:r w:rsidR="003C7C90">
        <w:rPr>
          <w:rFonts w:ascii="Calibri" w:hAnsi="Calibri" w:cs="Calibri"/>
        </w:rPr>
        <w:t xml:space="preserve"> </w:t>
      </w:r>
      <w:r w:rsidR="00E72B48">
        <w:rPr>
          <w:rFonts w:ascii="Calibri" w:hAnsi="Calibri" w:cs="Calibri"/>
        </w:rPr>
        <w:t>circular</w:t>
      </w:r>
      <w:r w:rsidR="009A193B">
        <w:rPr>
          <w:rFonts w:ascii="Calibri" w:hAnsi="Calibri" w:cs="Calibri"/>
        </w:rPr>
        <w:t xml:space="preserve">, </w:t>
      </w:r>
      <w:r w:rsidR="00E72B48">
        <w:rPr>
          <w:rFonts w:ascii="Calibri" w:hAnsi="Calibri" w:cs="Calibri"/>
        </w:rPr>
        <w:t xml:space="preserve">low-carbon </w:t>
      </w:r>
      <w:r w:rsidR="003C7C90">
        <w:rPr>
          <w:rFonts w:ascii="Calibri" w:hAnsi="Calibri" w:cs="Calibri"/>
        </w:rPr>
        <w:t>re</w:t>
      </w:r>
      <w:r w:rsidR="000C4A0B">
        <w:rPr>
          <w:rFonts w:ascii="Calibri" w:hAnsi="Calibri" w:cs="Calibri"/>
        </w:rPr>
        <w:t>novation</w:t>
      </w:r>
      <w:r w:rsidR="003C7C90">
        <w:rPr>
          <w:rFonts w:ascii="Calibri" w:hAnsi="Calibri" w:cs="Calibri"/>
        </w:rPr>
        <w:t xml:space="preserve"> strategies</w:t>
      </w:r>
      <w:r w:rsidR="00DB5633">
        <w:rPr>
          <w:rFonts w:ascii="Calibri" w:hAnsi="Calibri" w:cs="Calibri"/>
        </w:rPr>
        <w:t>.</w:t>
      </w:r>
      <w:r w:rsidR="000775EA">
        <w:rPr>
          <w:rFonts w:ascii="Calibri" w:hAnsi="Calibri" w:cs="Calibri"/>
        </w:rPr>
        <w:t xml:space="preserve"> </w:t>
      </w:r>
      <w:r w:rsidR="002B6790">
        <w:rPr>
          <w:rFonts w:ascii="Calibri" w:hAnsi="Calibri" w:cs="Calibri"/>
        </w:rPr>
        <w:t xml:space="preserve">Finally, the </w:t>
      </w:r>
      <w:r w:rsidR="00174456">
        <w:rPr>
          <w:rFonts w:ascii="Calibri" w:hAnsi="Calibri" w:cs="Calibri"/>
        </w:rPr>
        <w:t>findings</w:t>
      </w:r>
      <w:r w:rsidR="002B6790">
        <w:rPr>
          <w:rFonts w:ascii="Calibri" w:hAnsi="Calibri" w:cs="Calibri"/>
        </w:rPr>
        <w:t xml:space="preserve"> of this </w:t>
      </w:r>
      <w:r w:rsidR="00241669">
        <w:rPr>
          <w:rFonts w:ascii="Calibri" w:hAnsi="Calibri" w:cs="Calibri"/>
        </w:rPr>
        <w:t xml:space="preserve">research </w:t>
      </w:r>
      <w:r w:rsidR="00174456">
        <w:rPr>
          <w:rFonts w:ascii="Calibri" w:hAnsi="Calibri" w:cs="Calibri"/>
        </w:rPr>
        <w:t>open</w:t>
      </w:r>
      <w:r w:rsidR="000775EA">
        <w:rPr>
          <w:rFonts w:ascii="Calibri" w:hAnsi="Calibri" w:cs="Calibri"/>
        </w:rPr>
        <w:t xml:space="preserve"> new perspectives for future </w:t>
      </w:r>
      <w:r w:rsidR="00174456">
        <w:rPr>
          <w:rFonts w:ascii="Calibri" w:hAnsi="Calibri" w:cs="Calibri"/>
        </w:rPr>
        <w:t>works</w:t>
      </w:r>
      <w:r w:rsidR="000775EA">
        <w:rPr>
          <w:rFonts w:ascii="Calibri" w:hAnsi="Calibri" w:cs="Calibri"/>
        </w:rPr>
        <w:t xml:space="preserve"> on the development of </w:t>
      </w:r>
      <w:r w:rsidR="00BA38B1">
        <w:rPr>
          <w:rFonts w:ascii="Calibri" w:hAnsi="Calibri" w:cs="Calibri"/>
        </w:rPr>
        <w:t xml:space="preserve">IT </w:t>
      </w:r>
      <w:r w:rsidR="000775EA">
        <w:rPr>
          <w:rFonts w:ascii="Calibri" w:hAnsi="Calibri" w:cs="Calibri"/>
        </w:rPr>
        <w:t>tools</w:t>
      </w:r>
      <w:r w:rsidR="00DB5633">
        <w:rPr>
          <w:rFonts w:ascii="Calibri" w:hAnsi="Calibri" w:cs="Calibri"/>
        </w:rPr>
        <w:t xml:space="preserve"> </w:t>
      </w:r>
      <w:r w:rsidR="00612E2C">
        <w:rPr>
          <w:rFonts w:ascii="Calibri" w:hAnsi="Calibri" w:cs="Calibri"/>
        </w:rPr>
        <w:t>for</w:t>
      </w:r>
      <w:r w:rsidR="00DB5633">
        <w:rPr>
          <w:rFonts w:ascii="Calibri" w:hAnsi="Calibri" w:cs="Calibri"/>
        </w:rPr>
        <w:t xml:space="preserve"> renovation roadmaps</w:t>
      </w:r>
      <w:r w:rsidR="000775EA">
        <w:rPr>
          <w:rFonts w:ascii="Calibri" w:hAnsi="Calibri" w:cs="Calibri"/>
        </w:rPr>
        <w:t>,</w:t>
      </w:r>
      <w:r w:rsidR="00DB5633">
        <w:rPr>
          <w:rFonts w:ascii="Calibri" w:hAnsi="Calibri" w:cs="Calibri"/>
        </w:rPr>
        <w:t xml:space="preserve"> including</w:t>
      </w:r>
      <w:r w:rsidR="000775EA">
        <w:rPr>
          <w:rFonts w:ascii="Calibri" w:hAnsi="Calibri" w:cs="Calibri"/>
        </w:rPr>
        <w:t xml:space="preserve"> </w:t>
      </w:r>
      <w:r w:rsidR="00BA38B1">
        <w:rPr>
          <w:rFonts w:ascii="Calibri" w:hAnsi="Calibri" w:cs="Calibri"/>
        </w:rPr>
        <w:t>new type</w:t>
      </w:r>
      <w:r w:rsidR="00DB5633">
        <w:rPr>
          <w:rFonts w:ascii="Calibri" w:hAnsi="Calibri" w:cs="Calibri"/>
        </w:rPr>
        <w:t>s</w:t>
      </w:r>
      <w:r w:rsidR="00BA38B1">
        <w:rPr>
          <w:rFonts w:ascii="Calibri" w:hAnsi="Calibri" w:cs="Calibri"/>
        </w:rPr>
        <w:t xml:space="preserve"> of </w:t>
      </w:r>
      <w:r w:rsidR="009022FF">
        <w:rPr>
          <w:rFonts w:ascii="Calibri" w:hAnsi="Calibri" w:cs="Calibri"/>
        </w:rPr>
        <w:t>indicators</w:t>
      </w:r>
      <w:r w:rsidR="000775EA">
        <w:rPr>
          <w:rFonts w:ascii="Calibri" w:hAnsi="Calibri" w:cs="Calibri"/>
        </w:rPr>
        <w:t xml:space="preserve">, and integrated methodologies </w:t>
      </w:r>
      <w:r w:rsidR="00BA38B1">
        <w:rPr>
          <w:rFonts w:ascii="Calibri" w:hAnsi="Calibri" w:cs="Calibri"/>
        </w:rPr>
        <w:t xml:space="preserve">supporting </w:t>
      </w:r>
      <w:r w:rsidR="003B406F">
        <w:rPr>
          <w:rFonts w:ascii="Calibri" w:hAnsi="Calibri" w:cs="Calibri"/>
        </w:rPr>
        <w:t>the</w:t>
      </w:r>
      <w:r w:rsidR="00BA38B1">
        <w:rPr>
          <w:rFonts w:ascii="Calibri" w:hAnsi="Calibri" w:cs="Calibri"/>
        </w:rPr>
        <w:t xml:space="preserve"> </w:t>
      </w:r>
      <w:r w:rsidR="003B406F">
        <w:rPr>
          <w:rFonts w:ascii="Calibri" w:hAnsi="Calibri" w:cs="Calibri"/>
        </w:rPr>
        <w:t xml:space="preserve">assessment of </w:t>
      </w:r>
      <w:r w:rsidR="00BA38B1">
        <w:rPr>
          <w:rFonts w:ascii="Calibri" w:hAnsi="Calibri" w:cs="Calibri"/>
        </w:rPr>
        <w:t>environmental, functional</w:t>
      </w:r>
      <w:r w:rsidR="00126F3B">
        <w:rPr>
          <w:rFonts w:ascii="Calibri" w:hAnsi="Calibri" w:cs="Calibri"/>
        </w:rPr>
        <w:t xml:space="preserve">, and circular benefits </w:t>
      </w:r>
      <w:r w:rsidR="005058AC">
        <w:rPr>
          <w:rFonts w:ascii="Calibri" w:hAnsi="Calibri" w:cs="Calibri"/>
        </w:rPr>
        <w:t>o</w:t>
      </w:r>
      <w:r w:rsidR="00126F3B">
        <w:rPr>
          <w:rFonts w:ascii="Calibri" w:hAnsi="Calibri" w:cs="Calibri"/>
        </w:rPr>
        <w:t>f renovation scenarios.</w:t>
      </w:r>
    </w:p>
    <w:p w14:paraId="0C04582E" w14:textId="77777777" w:rsidR="00D6057A" w:rsidRPr="00D6057A" w:rsidRDefault="00D6057A" w:rsidP="00B122D5">
      <w:pPr>
        <w:pStyle w:val="ListParagraph"/>
        <w:numPr>
          <w:ilvl w:val="0"/>
          <w:numId w:val="1"/>
        </w:numPr>
        <w:spacing w:after="40" w:line="240" w:lineRule="auto"/>
        <w:jc w:val="both"/>
        <w:rPr>
          <w:rFonts w:ascii="Calibri" w:hAnsi="Calibri" w:cs="Calibri"/>
          <w:b/>
          <w:bCs/>
          <w:sz w:val="28"/>
          <w:szCs w:val="28"/>
        </w:rPr>
      </w:pPr>
      <w:r w:rsidRPr="00D6057A">
        <w:rPr>
          <w:rFonts w:ascii="Calibri" w:hAnsi="Calibri" w:cs="Calibri"/>
          <w:b/>
          <w:bCs/>
          <w:sz w:val="28"/>
          <w:szCs w:val="28"/>
        </w:rPr>
        <w:t>ACKNOWLEDGEMENTS</w:t>
      </w:r>
    </w:p>
    <w:p w14:paraId="27DB1F53" w14:textId="37EC166C" w:rsidR="00D6057A" w:rsidRPr="00B122D5" w:rsidRDefault="002B2691" w:rsidP="00B122D5">
      <w:pPr>
        <w:spacing w:line="240" w:lineRule="auto"/>
        <w:jc w:val="both"/>
        <w:rPr>
          <w:rFonts w:ascii="Calibri" w:hAnsi="Calibri" w:cs="Calibri"/>
        </w:rPr>
      </w:pPr>
      <w:r w:rsidRPr="00B122D5">
        <w:rPr>
          <w:rFonts w:ascii="Calibri" w:hAnsi="Calibri" w:cs="Calibri"/>
        </w:rPr>
        <w:t>This paper is published as part of the REGEN project, which received funding from the European Union’s Horizon research and innovation program under grant agreement N° 101123325.</w:t>
      </w:r>
    </w:p>
    <w:p w14:paraId="20D0E553" w14:textId="2315EA99" w:rsidR="0080639D" w:rsidRPr="006A29E6" w:rsidRDefault="00D6057A" w:rsidP="00E8538B">
      <w:pPr>
        <w:spacing w:after="40" w:line="240" w:lineRule="auto"/>
        <w:jc w:val="both"/>
        <w:rPr>
          <w:rFonts w:ascii="Calibri" w:hAnsi="Calibri" w:cs="Calibri"/>
          <w:b/>
          <w:bCs/>
          <w:sz w:val="28"/>
          <w:szCs w:val="28"/>
          <w:lang w:val="fr-CH"/>
        </w:rPr>
      </w:pPr>
      <w:r w:rsidRPr="006A29E6">
        <w:rPr>
          <w:rFonts w:ascii="Calibri" w:hAnsi="Calibri" w:cs="Calibri"/>
          <w:b/>
          <w:bCs/>
          <w:sz w:val="28"/>
          <w:szCs w:val="28"/>
          <w:lang w:val="fr-CH"/>
        </w:rPr>
        <w:t xml:space="preserve">REFERENCES </w:t>
      </w:r>
    </w:p>
    <w:p w14:paraId="3F2C7A13" w14:textId="6D4B0E16" w:rsidR="006379A8" w:rsidRDefault="006379A8" w:rsidP="00E8538B">
      <w:pPr>
        <w:pStyle w:val="EndNoteBibliography"/>
        <w:spacing w:after="0"/>
        <w:ind w:left="720" w:hanging="720"/>
        <w:rPr>
          <w:noProof/>
        </w:rPr>
      </w:pPr>
      <w:r w:rsidRPr="006379A8">
        <w:rPr>
          <w:noProof/>
          <w:lang w:val="fr-CH"/>
        </w:rPr>
        <w:t xml:space="preserve">ANDREASI BASSI, S., BIGANZOLI, F., FERRARA, N., AMADEI, A., VALENTE, A., SALA, S. &amp; ARDENTE, F. 2023. </w:t>
      </w:r>
      <w:r w:rsidRPr="001D6C96">
        <w:rPr>
          <w:noProof/>
        </w:rPr>
        <w:t xml:space="preserve">Updated characterisation and normalisation factors for the Environmental Footprint 3.1 method. </w:t>
      </w:r>
      <w:r w:rsidRPr="001D6C96">
        <w:rPr>
          <w:i/>
          <w:noProof/>
        </w:rPr>
        <w:t>In:</w:t>
      </w:r>
      <w:r w:rsidRPr="001D6C96">
        <w:rPr>
          <w:noProof/>
        </w:rPr>
        <w:t xml:space="preserve"> </w:t>
      </w:r>
      <w:r w:rsidR="00FA5FBB">
        <w:rPr>
          <w:noProof/>
        </w:rPr>
        <w:t>JRC technical Report</w:t>
      </w:r>
      <w:r w:rsidR="00CE52FF">
        <w:rPr>
          <w:noProof/>
        </w:rPr>
        <w:t>,</w:t>
      </w:r>
      <w:r w:rsidRPr="001D6C96">
        <w:rPr>
          <w:noProof/>
        </w:rPr>
        <w:t xml:space="preserve"> European Commission.</w:t>
      </w:r>
    </w:p>
    <w:p w14:paraId="72547AF8" w14:textId="21010513" w:rsidR="00213AE2" w:rsidRPr="00213AE2" w:rsidRDefault="00213AE2" w:rsidP="00E8538B">
      <w:pPr>
        <w:pStyle w:val="EndNoteBibliography"/>
        <w:spacing w:after="0"/>
        <w:ind w:left="720" w:hanging="720"/>
        <w:rPr>
          <w:noProof/>
        </w:rPr>
      </w:pPr>
      <w:r w:rsidRPr="00213AE2">
        <w:rPr>
          <w:noProof/>
        </w:rPr>
        <w:t xml:space="preserve">AKBARIEH, A., JAYASINGHE, L. B., WALDMANN, D. &amp; TEFERLE, F. N. 2020. BIM-Based End-of-Lifecycle Decision Making and Digital Deconstruction: Literature Review. </w:t>
      </w:r>
      <w:r w:rsidRPr="00213AE2">
        <w:rPr>
          <w:i/>
          <w:noProof/>
        </w:rPr>
        <w:t>Sustainability,</w:t>
      </w:r>
      <w:r w:rsidRPr="00213AE2">
        <w:rPr>
          <w:noProof/>
        </w:rPr>
        <w:t xml:space="preserve"> 12.</w:t>
      </w:r>
    </w:p>
    <w:p w14:paraId="529B0937" w14:textId="5278BD09" w:rsidR="00213AE2" w:rsidRPr="006A29E6" w:rsidRDefault="00213AE2" w:rsidP="00EA4E86">
      <w:pPr>
        <w:pStyle w:val="EndNoteBibliography"/>
        <w:spacing w:after="0"/>
        <w:ind w:left="720" w:hanging="720"/>
        <w:rPr>
          <w:noProof/>
        </w:rPr>
      </w:pPr>
      <w:r w:rsidRPr="00213AE2">
        <w:rPr>
          <w:noProof/>
        </w:rPr>
        <w:t xml:space="preserve">BAMB. 2020. </w:t>
      </w:r>
      <w:r w:rsidRPr="00213AE2">
        <w:rPr>
          <w:i/>
          <w:noProof/>
        </w:rPr>
        <w:t xml:space="preserve">Transformation capacity </w:t>
      </w:r>
      <w:r w:rsidRPr="00213AE2">
        <w:rPr>
          <w:noProof/>
        </w:rPr>
        <w:t xml:space="preserve">[Online]. </w:t>
      </w:r>
      <w:r w:rsidRPr="006A29E6">
        <w:rPr>
          <w:noProof/>
        </w:rPr>
        <w:t xml:space="preserve">Available: </w:t>
      </w:r>
      <w:hyperlink r:id="rId19" w:history="1">
        <w:r w:rsidR="00EA4E86" w:rsidRPr="006A29E6">
          <w:rPr>
            <w:rStyle w:val="Hyperlink"/>
            <w:noProof/>
          </w:rPr>
          <w:t>https://www.bamb2020.eu/topics/circular-built-environement/common-language/transformation-capacity/</w:t>
        </w:r>
      </w:hyperlink>
      <w:r w:rsidRPr="006A29E6">
        <w:rPr>
          <w:noProof/>
        </w:rPr>
        <w:t xml:space="preserve"> </w:t>
      </w:r>
      <w:r w:rsidRPr="00213AE2">
        <w:rPr>
          <w:noProof/>
        </w:rPr>
        <w:t>[Accessed 26/06/2026].</w:t>
      </w:r>
    </w:p>
    <w:p w14:paraId="4BAF46CD" w14:textId="77777777" w:rsidR="00213AE2" w:rsidRPr="00052AFB" w:rsidRDefault="00213AE2" w:rsidP="00E8538B">
      <w:pPr>
        <w:pStyle w:val="EndNoteBibliography"/>
        <w:spacing w:after="0"/>
        <w:ind w:left="720" w:hanging="720"/>
        <w:rPr>
          <w:noProof/>
          <w:lang w:val="fr-CH"/>
        </w:rPr>
      </w:pPr>
      <w:r w:rsidRPr="001C1D3A">
        <w:rPr>
          <w:noProof/>
          <w:lang w:val="fr-CH"/>
        </w:rPr>
        <w:t xml:space="preserve">BELLI-RIZ, P., BENOIT, J., FABIANI, S., GHYOOT, M., GUICHARD, C., HUYGEN, J.-M., DE GUILLEBON, M. &amp; TOPALOV, H. 2022. </w:t>
      </w:r>
      <w:r w:rsidRPr="00052AFB">
        <w:rPr>
          <w:i/>
          <w:noProof/>
          <w:lang w:val="fr-CH"/>
        </w:rPr>
        <w:t>Réemploi, architecture et construction. Méthodes, ressources, conception, mise en oeuvre</w:t>
      </w:r>
      <w:r w:rsidRPr="00052AFB">
        <w:rPr>
          <w:noProof/>
          <w:lang w:val="fr-CH"/>
        </w:rPr>
        <w:t>, Editions Le Moniteur.</w:t>
      </w:r>
    </w:p>
    <w:p w14:paraId="7EE1EEDC" w14:textId="77777777" w:rsidR="00213AE2" w:rsidRPr="00213AE2" w:rsidRDefault="00213AE2" w:rsidP="00E8538B">
      <w:pPr>
        <w:pStyle w:val="EndNoteBibliography"/>
        <w:spacing w:after="0"/>
        <w:ind w:left="720" w:hanging="720"/>
        <w:rPr>
          <w:noProof/>
        </w:rPr>
      </w:pPr>
      <w:r w:rsidRPr="001C1D3A">
        <w:rPr>
          <w:noProof/>
          <w:lang w:val="fr-CH"/>
        </w:rPr>
        <w:t xml:space="preserve">CHAREF, R. &amp; EMMITT, S. 2021. </w:t>
      </w:r>
      <w:r w:rsidRPr="00213AE2">
        <w:rPr>
          <w:noProof/>
        </w:rPr>
        <w:t xml:space="preserve">Uses of building information modelling for overcoming barriers to a circular economy. </w:t>
      </w:r>
      <w:r w:rsidRPr="00213AE2">
        <w:rPr>
          <w:i/>
          <w:noProof/>
        </w:rPr>
        <w:t>Journal of Cleaner Production,</w:t>
      </w:r>
      <w:r w:rsidRPr="00213AE2">
        <w:rPr>
          <w:noProof/>
        </w:rPr>
        <w:t xml:space="preserve"> 285.</w:t>
      </w:r>
    </w:p>
    <w:p w14:paraId="1ECFE8A5" w14:textId="77777777" w:rsidR="00213AE2" w:rsidRPr="00213AE2" w:rsidRDefault="00213AE2" w:rsidP="00E8538B">
      <w:pPr>
        <w:pStyle w:val="EndNoteBibliography"/>
        <w:spacing w:after="0"/>
        <w:ind w:left="720" w:hanging="720"/>
        <w:rPr>
          <w:noProof/>
        </w:rPr>
      </w:pPr>
      <w:r w:rsidRPr="00213AE2">
        <w:rPr>
          <w:noProof/>
        </w:rPr>
        <w:t xml:space="preserve">CHESHIRE, D. 2021. </w:t>
      </w:r>
      <w:r w:rsidRPr="00213AE2">
        <w:rPr>
          <w:i/>
          <w:noProof/>
        </w:rPr>
        <w:t xml:space="preserve">The Handbook to Building a Circular Economy, </w:t>
      </w:r>
      <w:r w:rsidRPr="00213AE2">
        <w:rPr>
          <w:noProof/>
        </w:rPr>
        <w:t>London, RIBA publishing.</w:t>
      </w:r>
    </w:p>
    <w:p w14:paraId="4E6B4FE7" w14:textId="77777777" w:rsidR="00213AE2" w:rsidRPr="00052AFB" w:rsidRDefault="00213AE2" w:rsidP="00E8538B">
      <w:pPr>
        <w:pStyle w:val="EndNoteBibliography"/>
        <w:spacing w:after="0"/>
        <w:ind w:left="720" w:hanging="720"/>
        <w:rPr>
          <w:noProof/>
          <w:lang w:val="fr-CH"/>
        </w:rPr>
      </w:pPr>
      <w:r w:rsidRPr="00213AE2">
        <w:rPr>
          <w:noProof/>
        </w:rPr>
        <w:t xml:space="preserve">DURMISEVIC, E. 2006. </w:t>
      </w:r>
      <w:r w:rsidRPr="00213AE2">
        <w:rPr>
          <w:i/>
          <w:noProof/>
        </w:rPr>
        <w:t>Transformable Building Structure, Design for Disassembly as a key to introduce sustainable engineering to building design and construction.</w:t>
      </w:r>
      <w:r w:rsidRPr="00213AE2">
        <w:rPr>
          <w:noProof/>
        </w:rPr>
        <w:t xml:space="preserve"> </w:t>
      </w:r>
      <w:r w:rsidRPr="00052AFB">
        <w:rPr>
          <w:noProof/>
          <w:lang w:val="fr-CH"/>
        </w:rPr>
        <w:t>TU Delft.</w:t>
      </w:r>
    </w:p>
    <w:p w14:paraId="7D2E2F42" w14:textId="77777777" w:rsidR="00213AE2" w:rsidRPr="00213AE2" w:rsidRDefault="00213AE2" w:rsidP="00E8538B">
      <w:pPr>
        <w:pStyle w:val="EndNoteBibliography"/>
        <w:spacing w:after="0"/>
        <w:ind w:left="720" w:hanging="720"/>
        <w:rPr>
          <w:noProof/>
        </w:rPr>
      </w:pPr>
      <w:r w:rsidRPr="00052AFB">
        <w:rPr>
          <w:noProof/>
          <w:lang w:val="fr-CH"/>
        </w:rPr>
        <w:t xml:space="preserve">DURMISEVIC, E., GUERRIERO, A., BOJE, C., DOMANGE, B. &amp; BOSCH, G. 2021. </w:t>
      </w:r>
      <w:r w:rsidRPr="00213AE2">
        <w:rPr>
          <w:noProof/>
        </w:rPr>
        <w:t xml:space="preserve">Development of a conceptual digital deconstruction platform with integrated Reversible BIM to aid decision making and facilitate a circular economy. </w:t>
      </w:r>
      <w:r w:rsidRPr="00213AE2">
        <w:rPr>
          <w:i/>
          <w:noProof/>
        </w:rPr>
        <w:t>CIB W78 2021.</w:t>
      </w:r>
      <w:r w:rsidRPr="00213AE2">
        <w:rPr>
          <w:noProof/>
        </w:rPr>
        <w:t xml:space="preserve"> Luxembourg.</w:t>
      </w:r>
    </w:p>
    <w:p w14:paraId="5149DF56" w14:textId="77777777" w:rsidR="00213AE2" w:rsidRPr="00213AE2" w:rsidRDefault="00213AE2" w:rsidP="00E8538B">
      <w:pPr>
        <w:pStyle w:val="EndNoteBibliography"/>
        <w:spacing w:after="0"/>
        <w:ind w:left="720" w:hanging="720"/>
        <w:rPr>
          <w:noProof/>
        </w:rPr>
      </w:pPr>
      <w:r w:rsidRPr="00213AE2">
        <w:rPr>
          <w:noProof/>
        </w:rPr>
        <w:t>ELLEN MACARTHUR FOUNDATION 2019. Circularity indicators, An approach to measuring circularity, Methodology.</w:t>
      </w:r>
    </w:p>
    <w:p w14:paraId="6A68C131" w14:textId="77777777" w:rsidR="00E8538B" w:rsidRDefault="00213AE2" w:rsidP="00E8538B">
      <w:pPr>
        <w:pStyle w:val="EndNoteBibliography"/>
        <w:spacing w:after="0"/>
        <w:ind w:left="720" w:hanging="720"/>
        <w:rPr>
          <w:noProof/>
        </w:rPr>
      </w:pPr>
      <w:r w:rsidRPr="00213AE2">
        <w:rPr>
          <w:noProof/>
        </w:rPr>
        <w:t>ELLEN MACARTHUR FOUNDATION. 2026. Available:</w:t>
      </w:r>
    </w:p>
    <w:p w14:paraId="35DAF70D" w14:textId="0DEC973D" w:rsidR="00B61FB0" w:rsidRDefault="00B61FB0" w:rsidP="00B61FB0">
      <w:pPr>
        <w:pStyle w:val="EndNoteBibliography"/>
        <w:spacing w:after="0"/>
        <w:ind w:left="720" w:hanging="720"/>
        <w:rPr>
          <w:noProof/>
        </w:rPr>
      </w:pPr>
      <w:hyperlink r:id="rId20" w:history="1">
        <w:r w:rsidRPr="00C24922">
          <w:rPr>
            <w:rStyle w:val="Hyperlink"/>
            <w:noProof/>
          </w:rPr>
          <w:t>https://www.ellenmacarthurfoundation.org/topics/circular-economy-introduction/overview</w:t>
        </w:r>
      </w:hyperlink>
    </w:p>
    <w:p w14:paraId="053FBE9A" w14:textId="1C2AED36" w:rsidR="00213AE2" w:rsidRPr="00213AE2" w:rsidRDefault="00213AE2" w:rsidP="00B61FB0">
      <w:pPr>
        <w:pStyle w:val="EndNoteBibliography"/>
        <w:spacing w:after="0"/>
        <w:ind w:left="720" w:hanging="720"/>
        <w:rPr>
          <w:noProof/>
        </w:rPr>
      </w:pPr>
      <w:r w:rsidRPr="00213AE2">
        <w:rPr>
          <w:noProof/>
        </w:rPr>
        <w:t xml:space="preserve"> [Accessed 26/06/2026].</w:t>
      </w:r>
    </w:p>
    <w:p w14:paraId="45B34265" w14:textId="74BE2A90" w:rsidR="00213AE2" w:rsidRPr="00EA4E86" w:rsidRDefault="00213AE2" w:rsidP="00EA4E86">
      <w:pPr>
        <w:pStyle w:val="EndNoteBibliography"/>
        <w:spacing w:after="0"/>
        <w:ind w:left="720" w:hanging="720"/>
        <w:rPr>
          <w:noProof/>
          <w:lang w:val="fr-CH"/>
        </w:rPr>
      </w:pPr>
      <w:r w:rsidRPr="00213AE2">
        <w:rPr>
          <w:noProof/>
        </w:rPr>
        <w:t xml:space="preserve">EUROSTAT. 2022. </w:t>
      </w:r>
      <w:r w:rsidRPr="00213AE2">
        <w:rPr>
          <w:i/>
          <w:noProof/>
        </w:rPr>
        <w:t xml:space="preserve">Waste generation, excluding major mineral waste, 2022 </w:t>
      </w:r>
      <w:r w:rsidRPr="00213AE2">
        <w:rPr>
          <w:noProof/>
        </w:rPr>
        <w:t xml:space="preserve">[Online]. </w:t>
      </w:r>
      <w:r w:rsidRPr="00EA4E86">
        <w:rPr>
          <w:noProof/>
          <w:lang w:val="fr-CH"/>
        </w:rPr>
        <w:t xml:space="preserve">Available: </w:t>
      </w:r>
      <w:hyperlink r:id="rId21" w:anchor="Total_waste_generation" w:history="1">
        <w:r w:rsidR="00EA4E86" w:rsidRPr="00C24922">
          <w:rPr>
            <w:rStyle w:val="Hyperlink"/>
            <w:noProof/>
            <w:lang w:val="fr-CH"/>
          </w:rPr>
          <w:t>https://ec.europa.eu/eurostat/statistics-explained/index.php?title=Waste_statistics#Total_waste_generation</w:t>
        </w:r>
      </w:hyperlink>
      <w:r w:rsidRPr="00EA4E86">
        <w:rPr>
          <w:noProof/>
          <w:lang w:val="fr-CH"/>
        </w:rPr>
        <w:t>[</w:t>
      </w:r>
      <w:r w:rsidR="00EA4E86" w:rsidRPr="00EE6434">
        <w:rPr>
          <w:noProof/>
          <w:lang w:val="fr-CH"/>
        </w:rPr>
        <w:t>Accessed 28/06/2026</w:t>
      </w:r>
      <w:r w:rsidRPr="00EA4E86">
        <w:rPr>
          <w:noProof/>
          <w:lang w:val="fr-CH"/>
        </w:rPr>
        <w:t>].</w:t>
      </w:r>
    </w:p>
    <w:p w14:paraId="6A81BEA4" w14:textId="77777777" w:rsidR="00213AE2" w:rsidRPr="00213AE2" w:rsidRDefault="00213AE2" w:rsidP="0026472D">
      <w:pPr>
        <w:pStyle w:val="EndNoteBibliography"/>
        <w:spacing w:after="0"/>
        <w:ind w:left="720" w:hanging="720"/>
        <w:rPr>
          <w:noProof/>
        </w:rPr>
      </w:pPr>
      <w:r w:rsidRPr="00213AE2">
        <w:rPr>
          <w:noProof/>
        </w:rPr>
        <w:t xml:space="preserve">FIGUEIRINHAS, D., VAKULENKO, Y., PåLSSON, H. &amp; HELLSTRöM, D. 2026. Advancing circularity metrics: Revisiting the Ellen MacArthur Foundation’s Material Circularity Indicator. </w:t>
      </w:r>
      <w:r w:rsidRPr="00213AE2">
        <w:rPr>
          <w:i/>
          <w:noProof/>
        </w:rPr>
        <w:t>Resources, Conservation and Recycling,</w:t>
      </w:r>
      <w:r w:rsidRPr="00213AE2">
        <w:rPr>
          <w:noProof/>
        </w:rPr>
        <w:t xml:space="preserve"> 226.</w:t>
      </w:r>
    </w:p>
    <w:p w14:paraId="15D32AC8" w14:textId="77777777" w:rsidR="00213AE2" w:rsidRPr="00213AE2" w:rsidRDefault="00213AE2" w:rsidP="00E8538B">
      <w:pPr>
        <w:pStyle w:val="EndNoteBibliography"/>
        <w:spacing w:after="0"/>
        <w:ind w:left="720" w:hanging="720"/>
        <w:rPr>
          <w:noProof/>
        </w:rPr>
      </w:pPr>
      <w:r w:rsidRPr="00213AE2">
        <w:rPr>
          <w:noProof/>
        </w:rPr>
        <w:t>HEINRICH, M. &amp; LANG, W. 2019. Materials passport - Best practices, Innovative Solutions for a Transition to a Circular Economy in the Built Environment.</w:t>
      </w:r>
    </w:p>
    <w:p w14:paraId="411D3E1B" w14:textId="04F57E16" w:rsidR="005076E1" w:rsidRPr="00593A10" w:rsidRDefault="00213AE2" w:rsidP="00E8538B">
      <w:pPr>
        <w:pStyle w:val="EndNoteBibliography"/>
        <w:ind w:left="720" w:hanging="720"/>
        <w:rPr>
          <w:noProof/>
        </w:rPr>
      </w:pPr>
      <w:r w:rsidRPr="00213AE2">
        <w:rPr>
          <w:noProof/>
        </w:rPr>
        <w:t xml:space="preserve">MADASTER. 2021. </w:t>
      </w:r>
      <w:r w:rsidRPr="00213AE2">
        <w:rPr>
          <w:i/>
          <w:noProof/>
        </w:rPr>
        <w:t xml:space="preserve">Madaster Circularity Indicator explained </w:t>
      </w:r>
      <w:r w:rsidRPr="00213AE2">
        <w:rPr>
          <w:noProof/>
        </w:rPr>
        <w:t xml:space="preserve">[Online]. </w:t>
      </w:r>
      <w:r w:rsidRPr="00DB25CD">
        <w:rPr>
          <w:noProof/>
          <w:lang w:val="fr-CH"/>
        </w:rPr>
        <w:t xml:space="preserve">Available: </w:t>
      </w:r>
      <w:hyperlink r:id="rId22" w:history="1">
        <w:r w:rsidRPr="00EA4E86">
          <w:rPr>
            <w:rStyle w:val="Hyperlink"/>
            <w:noProof/>
            <w:lang w:val="fr-CH"/>
          </w:rPr>
          <w:t>https://docs.madaster.com/files/en/Madaster%20%20Circularity%20Indicator%20explained.pdf</w:t>
        </w:r>
      </w:hyperlink>
      <w:r w:rsidRPr="00DB25CD">
        <w:rPr>
          <w:noProof/>
          <w:lang w:val="fr-CH"/>
        </w:rPr>
        <w:t xml:space="preserve"> </w:t>
      </w:r>
      <w:r w:rsidRPr="00213AE2">
        <w:rPr>
          <w:noProof/>
        </w:rPr>
        <w:t>[Accessed 28/06/2026]</w:t>
      </w:r>
    </w:p>
    <w:sectPr w:rsidR="005076E1" w:rsidRPr="00593A10" w:rsidSect="00534F17">
      <w:headerReference w:type="default" r:id="rId23"/>
      <w:footerReference w:type="default" r:id="rId24"/>
      <w:pgSz w:w="11906" w:h="16838"/>
      <w:pgMar w:top="1440" w:right="146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73C846" w14:textId="77777777" w:rsidR="0056612A" w:rsidRDefault="0056612A" w:rsidP="005076E1">
      <w:pPr>
        <w:spacing w:after="0" w:line="240" w:lineRule="auto"/>
      </w:pPr>
      <w:r>
        <w:separator/>
      </w:r>
    </w:p>
  </w:endnote>
  <w:endnote w:type="continuationSeparator" w:id="0">
    <w:p w14:paraId="7F8AF416" w14:textId="77777777" w:rsidR="0056612A" w:rsidRDefault="0056612A"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A73924" w14:textId="5F62D05D" w:rsidR="006E77D5" w:rsidRDefault="006E77D5">
    <w:pPr>
      <w:pStyle w:val="Footer"/>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2240012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12E809" w14:textId="77777777" w:rsidR="0056612A" w:rsidRDefault="0056612A" w:rsidP="005076E1">
      <w:pPr>
        <w:spacing w:after="0" w:line="240" w:lineRule="auto"/>
      </w:pPr>
      <w:r>
        <w:separator/>
      </w:r>
    </w:p>
  </w:footnote>
  <w:footnote w:type="continuationSeparator" w:id="0">
    <w:p w14:paraId="195359B3" w14:textId="77777777" w:rsidR="0056612A" w:rsidRDefault="0056612A"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0CF128"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Header"/>
      <w:jc w:val="center"/>
      <w:rPr>
        <w:sz w:val="28"/>
        <w:szCs w:val="28"/>
      </w:rPr>
    </w:pPr>
    <w:r w:rsidRPr="00A93F99">
      <w:rPr>
        <w:sz w:val="28"/>
        <w:szCs w:val="28"/>
      </w:rPr>
      <w:t>IT in Construction</w:t>
    </w:r>
  </w:p>
  <w:p w14:paraId="076529DD" w14:textId="77777777" w:rsidR="005076E1" w:rsidRPr="00F3628B" w:rsidRDefault="005076E1" w:rsidP="005076E1">
    <w:pPr>
      <w:pStyle w:val="Header"/>
      <w:jc w:val="center"/>
      <w:rPr>
        <w:sz w:val="28"/>
        <w:szCs w:val="28"/>
      </w:rPr>
    </w:pPr>
    <w:r>
      <w:rPr>
        <w:sz w:val="28"/>
        <w:szCs w:val="28"/>
      </w:rPr>
      <w:t>New Delhi, India</w:t>
    </w:r>
  </w:p>
  <w:p w14:paraId="47C5E8E2" w14:textId="77777777" w:rsidR="005076E1" w:rsidRPr="005076E1" w:rsidRDefault="005076E1" w:rsidP="00507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8F658F"/>
    <w:multiLevelType w:val="hybridMultilevel"/>
    <w:tmpl w:val="719C1092"/>
    <w:lvl w:ilvl="0" w:tplc="125A4A9A">
      <w:start w:val="1"/>
      <w:numFmt w:val="decimal"/>
      <w:lvlText w:val="%1)"/>
      <w:lvlJc w:val="left"/>
      <w:pPr>
        <w:ind w:left="1120" w:hanging="360"/>
      </w:pPr>
      <w:rPr>
        <w:rFonts w:hint="default"/>
      </w:rPr>
    </w:lvl>
    <w:lvl w:ilvl="1" w:tplc="04090019" w:tentative="1">
      <w:start w:val="1"/>
      <w:numFmt w:val="lowerLetter"/>
      <w:lvlText w:val="%2."/>
      <w:lvlJc w:val="left"/>
      <w:pPr>
        <w:ind w:left="1840" w:hanging="360"/>
      </w:pPr>
    </w:lvl>
    <w:lvl w:ilvl="2" w:tplc="0409001B" w:tentative="1">
      <w:start w:val="1"/>
      <w:numFmt w:val="lowerRoman"/>
      <w:lvlText w:val="%3."/>
      <w:lvlJc w:val="right"/>
      <w:pPr>
        <w:ind w:left="2560" w:hanging="180"/>
      </w:pPr>
    </w:lvl>
    <w:lvl w:ilvl="3" w:tplc="0409000F" w:tentative="1">
      <w:start w:val="1"/>
      <w:numFmt w:val="decimal"/>
      <w:lvlText w:val="%4."/>
      <w:lvlJc w:val="left"/>
      <w:pPr>
        <w:ind w:left="3280" w:hanging="360"/>
      </w:pPr>
    </w:lvl>
    <w:lvl w:ilvl="4" w:tplc="04090019" w:tentative="1">
      <w:start w:val="1"/>
      <w:numFmt w:val="lowerLetter"/>
      <w:lvlText w:val="%5."/>
      <w:lvlJc w:val="left"/>
      <w:pPr>
        <w:ind w:left="4000" w:hanging="360"/>
      </w:pPr>
    </w:lvl>
    <w:lvl w:ilvl="5" w:tplc="0409001B" w:tentative="1">
      <w:start w:val="1"/>
      <w:numFmt w:val="lowerRoman"/>
      <w:lvlText w:val="%6."/>
      <w:lvlJc w:val="right"/>
      <w:pPr>
        <w:ind w:left="4720" w:hanging="180"/>
      </w:pPr>
    </w:lvl>
    <w:lvl w:ilvl="6" w:tplc="0409000F" w:tentative="1">
      <w:start w:val="1"/>
      <w:numFmt w:val="decimal"/>
      <w:lvlText w:val="%7."/>
      <w:lvlJc w:val="left"/>
      <w:pPr>
        <w:ind w:left="5440" w:hanging="360"/>
      </w:pPr>
    </w:lvl>
    <w:lvl w:ilvl="7" w:tplc="04090019" w:tentative="1">
      <w:start w:val="1"/>
      <w:numFmt w:val="lowerLetter"/>
      <w:lvlText w:val="%8."/>
      <w:lvlJc w:val="left"/>
      <w:pPr>
        <w:ind w:left="6160" w:hanging="360"/>
      </w:pPr>
    </w:lvl>
    <w:lvl w:ilvl="8" w:tplc="0409001B" w:tentative="1">
      <w:start w:val="1"/>
      <w:numFmt w:val="lowerRoman"/>
      <w:lvlText w:val="%9."/>
      <w:lvlJc w:val="right"/>
      <w:pPr>
        <w:ind w:left="6880" w:hanging="180"/>
      </w:pPr>
    </w:lvl>
  </w:abstractNum>
  <w:abstractNum w:abstractNumId="1" w15:restartNumberingAfterBreak="0">
    <w:nsid w:val="3DA94B8C"/>
    <w:multiLevelType w:val="hybridMultilevel"/>
    <w:tmpl w:val="14BCC418"/>
    <w:lvl w:ilvl="0" w:tplc="4AC49830">
      <w:numFmt w:val="bullet"/>
      <w:lvlText w:val="-"/>
      <w:lvlJc w:val="left"/>
      <w:pPr>
        <w:ind w:left="720" w:hanging="360"/>
      </w:pPr>
      <w:rPr>
        <w:rFonts w:ascii="Aptos" w:eastAsiaTheme="minorHAnsi" w:hAnsi="Aptos" w:cstheme="minorBidi"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072667"/>
    <w:multiLevelType w:val="multilevel"/>
    <w:tmpl w:val="96F83F72"/>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3710480">
    <w:abstractNumId w:val="2"/>
  </w:num>
  <w:num w:numId="2" w16cid:durableId="971980657">
    <w:abstractNumId w:val="3"/>
  </w:num>
  <w:num w:numId="3" w16cid:durableId="408162755">
    <w:abstractNumId w:val="0"/>
  </w:num>
  <w:num w:numId="4" w16cid:durableId="160295136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se90xvdzpwe9gex2z15xfznzfsfwfrzp050&quot;&gt;My EndNote Library&lt;record-ids&gt;&lt;item&gt;240&lt;/item&gt;&lt;/record-ids&gt;&lt;/item&gt;&lt;/Libraries&gt;"/>
    <w:docVar w:name="EN.UseJSCitationFormat" w:val="False"/>
  </w:docVars>
  <w:rsids>
    <w:rsidRoot w:val="005076E1"/>
    <w:rsid w:val="000002CB"/>
    <w:rsid w:val="0000040F"/>
    <w:rsid w:val="000016F1"/>
    <w:rsid w:val="00002596"/>
    <w:rsid w:val="00002AB2"/>
    <w:rsid w:val="00003683"/>
    <w:rsid w:val="00004E00"/>
    <w:rsid w:val="00006226"/>
    <w:rsid w:val="000065C8"/>
    <w:rsid w:val="000075D2"/>
    <w:rsid w:val="00014BF7"/>
    <w:rsid w:val="00016571"/>
    <w:rsid w:val="00020556"/>
    <w:rsid w:val="00020CDF"/>
    <w:rsid w:val="000233CF"/>
    <w:rsid w:val="00025683"/>
    <w:rsid w:val="000277E0"/>
    <w:rsid w:val="000324E1"/>
    <w:rsid w:val="00034AE3"/>
    <w:rsid w:val="0003597D"/>
    <w:rsid w:val="00036647"/>
    <w:rsid w:val="00045384"/>
    <w:rsid w:val="00046BA6"/>
    <w:rsid w:val="00047551"/>
    <w:rsid w:val="00051210"/>
    <w:rsid w:val="00052AFB"/>
    <w:rsid w:val="00061A08"/>
    <w:rsid w:val="00073A40"/>
    <w:rsid w:val="00074237"/>
    <w:rsid w:val="000775EA"/>
    <w:rsid w:val="00077BE2"/>
    <w:rsid w:val="00082EA4"/>
    <w:rsid w:val="0009011A"/>
    <w:rsid w:val="00092774"/>
    <w:rsid w:val="000966CC"/>
    <w:rsid w:val="0009687D"/>
    <w:rsid w:val="000A5059"/>
    <w:rsid w:val="000A7123"/>
    <w:rsid w:val="000B1522"/>
    <w:rsid w:val="000B62CE"/>
    <w:rsid w:val="000B7DFA"/>
    <w:rsid w:val="000C0BC2"/>
    <w:rsid w:val="000C34D0"/>
    <w:rsid w:val="000C3DC6"/>
    <w:rsid w:val="000C4A0B"/>
    <w:rsid w:val="000C54C1"/>
    <w:rsid w:val="000D11FA"/>
    <w:rsid w:val="000D3EB7"/>
    <w:rsid w:val="000E215F"/>
    <w:rsid w:val="000E2CCE"/>
    <w:rsid w:val="000E2E42"/>
    <w:rsid w:val="000F6864"/>
    <w:rsid w:val="00110328"/>
    <w:rsid w:val="00111808"/>
    <w:rsid w:val="00112AC0"/>
    <w:rsid w:val="001134B3"/>
    <w:rsid w:val="001145DE"/>
    <w:rsid w:val="0011502B"/>
    <w:rsid w:val="0011641D"/>
    <w:rsid w:val="001201B9"/>
    <w:rsid w:val="00126F3B"/>
    <w:rsid w:val="0013004A"/>
    <w:rsid w:val="001323F3"/>
    <w:rsid w:val="00136AFA"/>
    <w:rsid w:val="0014263A"/>
    <w:rsid w:val="00144FFF"/>
    <w:rsid w:val="001453A8"/>
    <w:rsid w:val="0015734F"/>
    <w:rsid w:val="00157A3D"/>
    <w:rsid w:val="00157C3B"/>
    <w:rsid w:val="001614EC"/>
    <w:rsid w:val="00161537"/>
    <w:rsid w:val="00164A9C"/>
    <w:rsid w:val="001651C7"/>
    <w:rsid w:val="00166FAA"/>
    <w:rsid w:val="00173A7D"/>
    <w:rsid w:val="00174456"/>
    <w:rsid w:val="00177BE7"/>
    <w:rsid w:val="00186875"/>
    <w:rsid w:val="00187EB0"/>
    <w:rsid w:val="00192ECA"/>
    <w:rsid w:val="001A22E9"/>
    <w:rsid w:val="001A30A2"/>
    <w:rsid w:val="001A6312"/>
    <w:rsid w:val="001B360C"/>
    <w:rsid w:val="001B58DE"/>
    <w:rsid w:val="001C1D3A"/>
    <w:rsid w:val="001D006A"/>
    <w:rsid w:val="001D0162"/>
    <w:rsid w:val="001D1F26"/>
    <w:rsid w:val="001D6483"/>
    <w:rsid w:val="001D6C96"/>
    <w:rsid w:val="001E087F"/>
    <w:rsid w:val="001E1C18"/>
    <w:rsid w:val="001F19D1"/>
    <w:rsid w:val="001F3039"/>
    <w:rsid w:val="001F5426"/>
    <w:rsid w:val="001F71FA"/>
    <w:rsid w:val="00202293"/>
    <w:rsid w:val="00204A21"/>
    <w:rsid w:val="00211179"/>
    <w:rsid w:val="00211A2D"/>
    <w:rsid w:val="0021282A"/>
    <w:rsid w:val="00212E36"/>
    <w:rsid w:val="002130F8"/>
    <w:rsid w:val="00213AE2"/>
    <w:rsid w:val="0021774D"/>
    <w:rsid w:val="002221AF"/>
    <w:rsid w:val="002247B2"/>
    <w:rsid w:val="00224F46"/>
    <w:rsid w:val="00227DB9"/>
    <w:rsid w:val="002326CB"/>
    <w:rsid w:val="00237C89"/>
    <w:rsid w:val="00240DFD"/>
    <w:rsid w:val="00241669"/>
    <w:rsid w:val="00245F56"/>
    <w:rsid w:val="0024619B"/>
    <w:rsid w:val="00246D6C"/>
    <w:rsid w:val="002474C8"/>
    <w:rsid w:val="0025123D"/>
    <w:rsid w:val="0025397B"/>
    <w:rsid w:val="00261CAE"/>
    <w:rsid w:val="00264430"/>
    <w:rsid w:val="0026472D"/>
    <w:rsid w:val="002654EE"/>
    <w:rsid w:val="00265D51"/>
    <w:rsid w:val="00267547"/>
    <w:rsid w:val="00272E9C"/>
    <w:rsid w:val="0027589A"/>
    <w:rsid w:val="00280929"/>
    <w:rsid w:val="002810F5"/>
    <w:rsid w:val="00281A30"/>
    <w:rsid w:val="00283AA7"/>
    <w:rsid w:val="00284F7D"/>
    <w:rsid w:val="00290569"/>
    <w:rsid w:val="00291F55"/>
    <w:rsid w:val="00292022"/>
    <w:rsid w:val="00292255"/>
    <w:rsid w:val="00295AC9"/>
    <w:rsid w:val="002A047E"/>
    <w:rsid w:val="002A63D4"/>
    <w:rsid w:val="002A6B77"/>
    <w:rsid w:val="002B0186"/>
    <w:rsid w:val="002B2691"/>
    <w:rsid w:val="002B6790"/>
    <w:rsid w:val="002B6D66"/>
    <w:rsid w:val="002C4421"/>
    <w:rsid w:val="002C4ECF"/>
    <w:rsid w:val="002D014B"/>
    <w:rsid w:val="002D5F3E"/>
    <w:rsid w:val="002E18CA"/>
    <w:rsid w:val="002F093C"/>
    <w:rsid w:val="002F53A6"/>
    <w:rsid w:val="002F609B"/>
    <w:rsid w:val="002F695B"/>
    <w:rsid w:val="0030110B"/>
    <w:rsid w:val="00301A40"/>
    <w:rsid w:val="00301E73"/>
    <w:rsid w:val="00302D42"/>
    <w:rsid w:val="00314292"/>
    <w:rsid w:val="0031620B"/>
    <w:rsid w:val="003201A5"/>
    <w:rsid w:val="003216CC"/>
    <w:rsid w:val="00324D87"/>
    <w:rsid w:val="0033169B"/>
    <w:rsid w:val="0033363C"/>
    <w:rsid w:val="00334A70"/>
    <w:rsid w:val="00334D2A"/>
    <w:rsid w:val="0033599A"/>
    <w:rsid w:val="00340D19"/>
    <w:rsid w:val="003451D4"/>
    <w:rsid w:val="00352DBA"/>
    <w:rsid w:val="003536BF"/>
    <w:rsid w:val="003545AB"/>
    <w:rsid w:val="003643E5"/>
    <w:rsid w:val="00365266"/>
    <w:rsid w:val="0036560D"/>
    <w:rsid w:val="00366D01"/>
    <w:rsid w:val="003730B6"/>
    <w:rsid w:val="00374945"/>
    <w:rsid w:val="0038036D"/>
    <w:rsid w:val="0038133E"/>
    <w:rsid w:val="00381D5E"/>
    <w:rsid w:val="0038204C"/>
    <w:rsid w:val="0038408A"/>
    <w:rsid w:val="00384787"/>
    <w:rsid w:val="00394F4F"/>
    <w:rsid w:val="003970ED"/>
    <w:rsid w:val="00397323"/>
    <w:rsid w:val="003A3211"/>
    <w:rsid w:val="003A513D"/>
    <w:rsid w:val="003A742D"/>
    <w:rsid w:val="003B406F"/>
    <w:rsid w:val="003B4E36"/>
    <w:rsid w:val="003B6C2C"/>
    <w:rsid w:val="003C19BB"/>
    <w:rsid w:val="003C7C90"/>
    <w:rsid w:val="003D2CA6"/>
    <w:rsid w:val="003D2E5B"/>
    <w:rsid w:val="003D2EB6"/>
    <w:rsid w:val="003D2FF4"/>
    <w:rsid w:val="003D330E"/>
    <w:rsid w:val="003E644C"/>
    <w:rsid w:val="003E673C"/>
    <w:rsid w:val="003E763F"/>
    <w:rsid w:val="003F0255"/>
    <w:rsid w:val="003F26BE"/>
    <w:rsid w:val="003F2AB1"/>
    <w:rsid w:val="003F5B4A"/>
    <w:rsid w:val="003F7C05"/>
    <w:rsid w:val="004004FB"/>
    <w:rsid w:val="00411C0B"/>
    <w:rsid w:val="00412563"/>
    <w:rsid w:val="00412E75"/>
    <w:rsid w:val="004176DC"/>
    <w:rsid w:val="00420760"/>
    <w:rsid w:val="00423291"/>
    <w:rsid w:val="00423E71"/>
    <w:rsid w:val="004375F5"/>
    <w:rsid w:val="0044197A"/>
    <w:rsid w:val="00441BEE"/>
    <w:rsid w:val="00446E6E"/>
    <w:rsid w:val="00452445"/>
    <w:rsid w:val="004531DD"/>
    <w:rsid w:val="0046329A"/>
    <w:rsid w:val="00464778"/>
    <w:rsid w:val="00470846"/>
    <w:rsid w:val="00472E2C"/>
    <w:rsid w:val="00474EA1"/>
    <w:rsid w:val="00484051"/>
    <w:rsid w:val="00485287"/>
    <w:rsid w:val="00485FA5"/>
    <w:rsid w:val="004866A7"/>
    <w:rsid w:val="0049443A"/>
    <w:rsid w:val="00495D4B"/>
    <w:rsid w:val="00496256"/>
    <w:rsid w:val="00496332"/>
    <w:rsid w:val="004A089F"/>
    <w:rsid w:val="004B5D3D"/>
    <w:rsid w:val="004B78C9"/>
    <w:rsid w:val="004C01D8"/>
    <w:rsid w:val="004C1EC2"/>
    <w:rsid w:val="004C29BC"/>
    <w:rsid w:val="004C304D"/>
    <w:rsid w:val="004C4182"/>
    <w:rsid w:val="004C4F09"/>
    <w:rsid w:val="004C7CE3"/>
    <w:rsid w:val="004D2F90"/>
    <w:rsid w:val="004D61D7"/>
    <w:rsid w:val="004D61FD"/>
    <w:rsid w:val="004D73BA"/>
    <w:rsid w:val="004E3E24"/>
    <w:rsid w:val="004E705F"/>
    <w:rsid w:val="004F0064"/>
    <w:rsid w:val="004F064F"/>
    <w:rsid w:val="004F1566"/>
    <w:rsid w:val="004F5261"/>
    <w:rsid w:val="004F75C3"/>
    <w:rsid w:val="0050237C"/>
    <w:rsid w:val="005026B2"/>
    <w:rsid w:val="005046AC"/>
    <w:rsid w:val="005048BF"/>
    <w:rsid w:val="005050A2"/>
    <w:rsid w:val="005058AC"/>
    <w:rsid w:val="005076E1"/>
    <w:rsid w:val="0051362A"/>
    <w:rsid w:val="00516967"/>
    <w:rsid w:val="00517346"/>
    <w:rsid w:val="00517B5E"/>
    <w:rsid w:val="00523E0B"/>
    <w:rsid w:val="00526968"/>
    <w:rsid w:val="005313C1"/>
    <w:rsid w:val="00531688"/>
    <w:rsid w:val="00531824"/>
    <w:rsid w:val="00534F17"/>
    <w:rsid w:val="00536D62"/>
    <w:rsid w:val="00537B94"/>
    <w:rsid w:val="00545187"/>
    <w:rsid w:val="005503F1"/>
    <w:rsid w:val="00554A78"/>
    <w:rsid w:val="00561178"/>
    <w:rsid w:val="00561DDB"/>
    <w:rsid w:val="0056249C"/>
    <w:rsid w:val="0056612A"/>
    <w:rsid w:val="00574127"/>
    <w:rsid w:val="00574320"/>
    <w:rsid w:val="00580071"/>
    <w:rsid w:val="0059092F"/>
    <w:rsid w:val="005916BF"/>
    <w:rsid w:val="00591D7D"/>
    <w:rsid w:val="00593A10"/>
    <w:rsid w:val="0059443D"/>
    <w:rsid w:val="00595B05"/>
    <w:rsid w:val="0059734E"/>
    <w:rsid w:val="005A2A59"/>
    <w:rsid w:val="005A64A9"/>
    <w:rsid w:val="005A6FDB"/>
    <w:rsid w:val="005A77CB"/>
    <w:rsid w:val="005B246B"/>
    <w:rsid w:val="005B2957"/>
    <w:rsid w:val="005B3C90"/>
    <w:rsid w:val="005B4020"/>
    <w:rsid w:val="005B47C4"/>
    <w:rsid w:val="005B50DB"/>
    <w:rsid w:val="005C40CB"/>
    <w:rsid w:val="005D4D2D"/>
    <w:rsid w:val="005E0959"/>
    <w:rsid w:val="005E3813"/>
    <w:rsid w:val="005E63C5"/>
    <w:rsid w:val="005E6B76"/>
    <w:rsid w:val="005F02A8"/>
    <w:rsid w:val="005F060E"/>
    <w:rsid w:val="005F41B9"/>
    <w:rsid w:val="005F4DD5"/>
    <w:rsid w:val="005F5126"/>
    <w:rsid w:val="00601C44"/>
    <w:rsid w:val="00603AC1"/>
    <w:rsid w:val="00603DEF"/>
    <w:rsid w:val="00605E0F"/>
    <w:rsid w:val="00605E46"/>
    <w:rsid w:val="0061055E"/>
    <w:rsid w:val="00610952"/>
    <w:rsid w:val="00611463"/>
    <w:rsid w:val="00612E2C"/>
    <w:rsid w:val="0062187B"/>
    <w:rsid w:val="0062275B"/>
    <w:rsid w:val="00622DD8"/>
    <w:rsid w:val="006238A2"/>
    <w:rsid w:val="00624C69"/>
    <w:rsid w:val="006273F2"/>
    <w:rsid w:val="0062791D"/>
    <w:rsid w:val="006379A8"/>
    <w:rsid w:val="00643F8A"/>
    <w:rsid w:val="00644C91"/>
    <w:rsid w:val="00644DA3"/>
    <w:rsid w:val="00646735"/>
    <w:rsid w:val="0065080A"/>
    <w:rsid w:val="0066165C"/>
    <w:rsid w:val="006649CA"/>
    <w:rsid w:val="00664FE1"/>
    <w:rsid w:val="00667576"/>
    <w:rsid w:val="00675752"/>
    <w:rsid w:val="006818C0"/>
    <w:rsid w:val="006829F7"/>
    <w:rsid w:val="006842C6"/>
    <w:rsid w:val="00685A30"/>
    <w:rsid w:val="006936F8"/>
    <w:rsid w:val="006956D3"/>
    <w:rsid w:val="006962DF"/>
    <w:rsid w:val="006A1C9D"/>
    <w:rsid w:val="006A2004"/>
    <w:rsid w:val="006A2190"/>
    <w:rsid w:val="006A29E6"/>
    <w:rsid w:val="006A3CCA"/>
    <w:rsid w:val="006A5ABE"/>
    <w:rsid w:val="006A6422"/>
    <w:rsid w:val="006A7CBF"/>
    <w:rsid w:val="006B24C6"/>
    <w:rsid w:val="006B3E8A"/>
    <w:rsid w:val="006B6B93"/>
    <w:rsid w:val="006C1E3B"/>
    <w:rsid w:val="006C38B1"/>
    <w:rsid w:val="006C58F4"/>
    <w:rsid w:val="006C793B"/>
    <w:rsid w:val="006D04E1"/>
    <w:rsid w:val="006D05B4"/>
    <w:rsid w:val="006D1F15"/>
    <w:rsid w:val="006D5398"/>
    <w:rsid w:val="006D564E"/>
    <w:rsid w:val="006D6DEE"/>
    <w:rsid w:val="006E77D5"/>
    <w:rsid w:val="006F1D02"/>
    <w:rsid w:val="006F2CCE"/>
    <w:rsid w:val="006F2D3F"/>
    <w:rsid w:val="006F4ED9"/>
    <w:rsid w:val="006F564E"/>
    <w:rsid w:val="00700AF4"/>
    <w:rsid w:val="00701297"/>
    <w:rsid w:val="0070261A"/>
    <w:rsid w:val="00705B6B"/>
    <w:rsid w:val="0070657F"/>
    <w:rsid w:val="00712994"/>
    <w:rsid w:val="0071560D"/>
    <w:rsid w:val="00715C8E"/>
    <w:rsid w:val="0072035F"/>
    <w:rsid w:val="00724AE3"/>
    <w:rsid w:val="00727683"/>
    <w:rsid w:val="007359FC"/>
    <w:rsid w:val="00742D75"/>
    <w:rsid w:val="007522ED"/>
    <w:rsid w:val="007535F5"/>
    <w:rsid w:val="00760EBD"/>
    <w:rsid w:val="00762AB1"/>
    <w:rsid w:val="00767C68"/>
    <w:rsid w:val="00773EC8"/>
    <w:rsid w:val="00774F69"/>
    <w:rsid w:val="00776A3A"/>
    <w:rsid w:val="00782363"/>
    <w:rsid w:val="00786275"/>
    <w:rsid w:val="00791DD7"/>
    <w:rsid w:val="007962B1"/>
    <w:rsid w:val="007A1006"/>
    <w:rsid w:val="007A1775"/>
    <w:rsid w:val="007A2479"/>
    <w:rsid w:val="007B6729"/>
    <w:rsid w:val="007C11C6"/>
    <w:rsid w:val="007C36D8"/>
    <w:rsid w:val="007C57A5"/>
    <w:rsid w:val="007D10F1"/>
    <w:rsid w:val="007D2015"/>
    <w:rsid w:val="007D288B"/>
    <w:rsid w:val="007D67B5"/>
    <w:rsid w:val="007D6EFC"/>
    <w:rsid w:val="007E0B36"/>
    <w:rsid w:val="0080639D"/>
    <w:rsid w:val="00811944"/>
    <w:rsid w:val="00816D83"/>
    <w:rsid w:val="00817417"/>
    <w:rsid w:val="00826FC8"/>
    <w:rsid w:val="00827A4E"/>
    <w:rsid w:val="00835730"/>
    <w:rsid w:val="0083678B"/>
    <w:rsid w:val="008411B3"/>
    <w:rsid w:val="00843A00"/>
    <w:rsid w:val="00847F3B"/>
    <w:rsid w:val="00851B64"/>
    <w:rsid w:val="008525C9"/>
    <w:rsid w:val="00860BCD"/>
    <w:rsid w:val="00860E37"/>
    <w:rsid w:val="00860EC8"/>
    <w:rsid w:val="00865BB4"/>
    <w:rsid w:val="008744E8"/>
    <w:rsid w:val="008755D2"/>
    <w:rsid w:val="00876CA6"/>
    <w:rsid w:val="00882E82"/>
    <w:rsid w:val="0088508F"/>
    <w:rsid w:val="008870CE"/>
    <w:rsid w:val="008937A0"/>
    <w:rsid w:val="00895939"/>
    <w:rsid w:val="00895F5B"/>
    <w:rsid w:val="008977C8"/>
    <w:rsid w:val="008A1160"/>
    <w:rsid w:val="008A2DC0"/>
    <w:rsid w:val="008A4050"/>
    <w:rsid w:val="008A54E7"/>
    <w:rsid w:val="008A7459"/>
    <w:rsid w:val="008B0197"/>
    <w:rsid w:val="008B2AA2"/>
    <w:rsid w:val="008B7A90"/>
    <w:rsid w:val="008C39A5"/>
    <w:rsid w:val="008D54AB"/>
    <w:rsid w:val="008D6FDB"/>
    <w:rsid w:val="008E3002"/>
    <w:rsid w:val="008E6905"/>
    <w:rsid w:val="008E71B2"/>
    <w:rsid w:val="008F2001"/>
    <w:rsid w:val="008F23AA"/>
    <w:rsid w:val="008F4002"/>
    <w:rsid w:val="008F46A0"/>
    <w:rsid w:val="009022FF"/>
    <w:rsid w:val="00902C9F"/>
    <w:rsid w:val="00904DC9"/>
    <w:rsid w:val="00913860"/>
    <w:rsid w:val="009148F5"/>
    <w:rsid w:val="00917168"/>
    <w:rsid w:val="00920AF0"/>
    <w:rsid w:val="00922718"/>
    <w:rsid w:val="00922D57"/>
    <w:rsid w:val="00923575"/>
    <w:rsid w:val="00924EC7"/>
    <w:rsid w:val="0093293E"/>
    <w:rsid w:val="00934527"/>
    <w:rsid w:val="0093596B"/>
    <w:rsid w:val="0094401A"/>
    <w:rsid w:val="00951370"/>
    <w:rsid w:val="00953DA8"/>
    <w:rsid w:val="00954705"/>
    <w:rsid w:val="00962EAE"/>
    <w:rsid w:val="00963E54"/>
    <w:rsid w:val="009650B8"/>
    <w:rsid w:val="00967F9F"/>
    <w:rsid w:val="009713F9"/>
    <w:rsid w:val="009772D2"/>
    <w:rsid w:val="00980AEF"/>
    <w:rsid w:val="009838F6"/>
    <w:rsid w:val="0098596A"/>
    <w:rsid w:val="00994F8F"/>
    <w:rsid w:val="009A0AEC"/>
    <w:rsid w:val="009A193B"/>
    <w:rsid w:val="009A2E7C"/>
    <w:rsid w:val="009A500D"/>
    <w:rsid w:val="009A5702"/>
    <w:rsid w:val="009A6C6A"/>
    <w:rsid w:val="009B4B1C"/>
    <w:rsid w:val="009B4FE0"/>
    <w:rsid w:val="009B6029"/>
    <w:rsid w:val="009B74F9"/>
    <w:rsid w:val="009C15FF"/>
    <w:rsid w:val="009C2FEE"/>
    <w:rsid w:val="009C3E4D"/>
    <w:rsid w:val="009C56AC"/>
    <w:rsid w:val="009C7AFB"/>
    <w:rsid w:val="009D0388"/>
    <w:rsid w:val="009D0746"/>
    <w:rsid w:val="009D6AAA"/>
    <w:rsid w:val="009F1543"/>
    <w:rsid w:val="009F6234"/>
    <w:rsid w:val="00A00A3D"/>
    <w:rsid w:val="00A020F5"/>
    <w:rsid w:val="00A072EA"/>
    <w:rsid w:val="00A10347"/>
    <w:rsid w:val="00A12CEC"/>
    <w:rsid w:val="00A132A2"/>
    <w:rsid w:val="00A13F7C"/>
    <w:rsid w:val="00A1441D"/>
    <w:rsid w:val="00A16F7C"/>
    <w:rsid w:val="00A25BD5"/>
    <w:rsid w:val="00A263D5"/>
    <w:rsid w:val="00A3037A"/>
    <w:rsid w:val="00A315F3"/>
    <w:rsid w:val="00A3171A"/>
    <w:rsid w:val="00A368CD"/>
    <w:rsid w:val="00A37D96"/>
    <w:rsid w:val="00A4170A"/>
    <w:rsid w:val="00A44659"/>
    <w:rsid w:val="00A447CE"/>
    <w:rsid w:val="00A543A0"/>
    <w:rsid w:val="00A55033"/>
    <w:rsid w:val="00A55569"/>
    <w:rsid w:val="00A605D4"/>
    <w:rsid w:val="00A66B1B"/>
    <w:rsid w:val="00A7264D"/>
    <w:rsid w:val="00A729AC"/>
    <w:rsid w:val="00A75124"/>
    <w:rsid w:val="00A75C14"/>
    <w:rsid w:val="00A86011"/>
    <w:rsid w:val="00A86796"/>
    <w:rsid w:val="00AA2581"/>
    <w:rsid w:val="00AA4140"/>
    <w:rsid w:val="00AA55CD"/>
    <w:rsid w:val="00AA7177"/>
    <w:rsid w:val="00AB0316"/>
    <w:rsid w:val="00AB1E04"/>
    <w:rsid w:val="00AB4018"/>
    <w:rsid w:val="00AC166E"/>
    <w:rsid w:val="00AC51DC"/>
    <w:rsid w:val="00AC6B0C"/>
    <w:rsid w:val="00AC79D1"/>
    <w:rsid w:val="00AC7B58"/>
    <w:rsid w:val="00AD204F"/>
    <w:rsid w:val="00AD40F9"/>
    <w:rsid w:val="00AD5550"/>
    <w:rsid w:val="00AE1296"/>
    <w:rsid w:val="00AE33C4"/>
    <w:rsid w:val="00AF00F1"/>
    <w:rsid w:val="00AF265F"/>
    <w:rsid w:val="00AF3528"/>
    <w:rsid w:val="00AF3906"/>
    <w:rsid w:val="00AF5AA5"/>
    <w:rsid w:val="00B00496"/>
    <w:rsid w:val="00B052D6"/>
    <w:rsid w:val="00B122D5"/>
    <w:rsid w:val="00B14190"/>
    <w:rsid w:val="00B16BAA"/>
    <w:rsid w:val="00B24EC0"/>
    <w:rsid w:val="00B262C2"/>
    <w:rsid w:val="00B275AB"/>
    <w:rsid w:val="00B36624"/>
    <w:rsid w:val="00B42868"/>
    <w:rsid w:val="00B42EB3"/>
    <w:rsid w:val="00B47820"/>
    <w:rsid w:val="00B60DDC"/>
    <w:rsid w:val="00B61FB0"/>
    <w:rsid w:val="00B643DA"/>
    <w:rsid w:val="00B67F16"/>
    <w:rsid w:val="00B73027"/>
    <w:rsid w:val="00B75CC9"/>
    <w:rsid w:val="00B77D42"/>
    <w:rsid w:val="00B8247A"/>
    <w:rsid w:val="00B831C6"/>
    <w:rsid w:val="00B85CEC"/>
    <w:rsid w:val="00B87B3C"/>
    <w:rsid w:val="00B9017F"/>
    <w:rsid w:val="00B908D2"/>
    <w:rsid w:val="00B94046"/>
    <w:rsid w:val="00BA3116"/>
    <w:rsid w:val="00BA38B1"/>
    <w:rsid w:val="00BA5163"/>
    <w:rsid w:val="00BA614A"/>
    <w:rsid w:val="00BB17B6"/>
    <w:rsid w:val="00BB1901"/>
    <w:rsid w:val="00BB701C"/>
    <w:rsid w:val="00BC11F5"/>
    <w:rsid w:val="00BC1573"/>
    <w:rsid w:val="00BC15E1"/>
    <w:rsid w:val="00BC2D80"/>
    <w:rsid w:val="00BC3439"/>
    <w:rsid w:val="00BC52FF"/>
    <w:rsid w:val="00BC6C24"/>
    <w:rsid w:val="00BD047C"/>
    <w:rsid w:val="00BD3FD9"/>
    <w:rsid w:val="00BE5F70"/>
    <w:rsid w:val="00BF2947"/>
    <w:rsid w:val="00BF5075"/>
    <w:rsid w:val="00BF5953"/>
    <w:rsid w:val="00BF74ED"/>
    <w:rsid w:val="00C000F4"/>
    <w:rsid w:val="00C00AA7"/>
    <w:rsid w:val="00C068ED"/>
    <w:rsid w:val="00C07303"/>
    <w:rsid w:val="00C1055B"/>
    <w:rsid w:val="00C157D1"/>
    <w:rsid w:val="00C23457"/>
    <w:rsid w:val="00C24761"/>
    <w:rsid w:val="00C24A67"/>
    <w:rsid w:val="00C26068"/>
    <w:rsid w:val="00C26C84"/>
    <w:rsid w:val="00C27129"/>
    <w:rsid w:val="00C27CD0"/>
    <w:rsid w:val="00C31D64"/>
    <w:rsid w:val="00C33FBA"/>
    <w:rsid w:val="00C36063"/>
    <w:rsid w:val="00C427D4"/>
    <w:rsid w:val="00C45EEE"/>
    <w:rsid w:val="00C50AAF"/>
    <w:rsid w:val="00C53593"/>
    <w:rsid w:val="00C53DC1"/>
    <w:rsid w:val="00C60F5E"/>
    <w:rsid w:val="00C6441B"/>
    <w:rsid w:val="00C660D5"/>
    <w:rsid w:val="00C67004"/>
    <w:rsid w:val="00C720BA"/>
    <w:rsid w:val="00C73D4F"/>
    <w:rsid w:val="00C77C3E"/>
    <w:rsid w:val="00C80502"/>
    <w:rsid w:val="00C84BCA"/>
    <w:rsid w:val="00C87942"/>
    <w:rsid w:val="00C8799F"/>
    <w:rsid w:val="00C90E18"/>
    <w:rsid w:val="00C960B4"/>
    <w:rsid w:val="00C9628B"/>
    <w:rsid w:val="00C96E63"/>
    <w:rsid w:val="00CA390C"/>
    <w:rsid w:val="00CA7983"/>
    <w:rsid w:val="00CB0F2A"/>
    <w:rsid w:val="00CB1DDA"/>
    <w:rsid w:val="00CB5921"/>
    <w:rsid w:val="00CB756F"/>
    <w:rsid w:val="00CC3563"/>
    <w:rsid w:val="00CC5210"/>
    <w:rsid w:val="00CC7750"/>
    <w:rsid w:val="00CC7F6A"/>
    <w:rsid w:val="00CD1805"/>
    <w:rsid w:val="00CD3C0F"/>
    <w:rsid w:val="00CD5BF0"/>
    <w:rsid w:val="00CE47EE"/>
    <w:rsid w:val="00CE4CE9"/>
    <w:rsid w:val="00CE52FF"/>
    <w:rsid w:val="00CE797F"/>
    <w:rsid w:val="00CF5066"/>
    <w:rsid w:val="00CF7CAB"/>
    <w:rsid w:val="00CF7FA8"/>
    <w:rsid w:val="00D02449"/>
    <w:rsid w:val="00D05069"/>
    <w:rsid w:val="00D16D5B"/>
    <w:rsid w:val="00D2483E"/>
    <w:rsid w:val="00D26D86"/>
    <w:rsid w:val="00D34139"/>
    <w:rsid w:val="00D4231A"/>
    <w:rsid w:val="00D43D74"/>
    <w:rsid w:val="00D5181E"/>
    <w:rsid w:val="00D5200F"/>
    <w:rsid w:val="00D559B2"/>
    <w:rsid w:val="00D57103"/>
    <w:rsid w:val="00D6057A"/>
    <w:rsid w:val="00D64157"/>
    <w:rsid w:val="00D65ECB"/>
    <w:rsid w:val="00D76857"/>
    <w:rsid w:val="00D83154"/>
    <w:rsid w:val="00D83BA1"/>
    <w:rsid w:val="00D83C9C"/>
    <w:rsid w:val="00D84F8A"/>
    <w:rsid w:val="00D861A9"/>
    <w:rsid w:val="00D86F60"/>
    <w:rsid w:val="00D92628"/>
    <w:rsid w:val="00D936F7"/>
    <w:rsid w:val="00D96F50"/>
    <w:rsid w:val="00DA15F8"/>
    <w:rsid w:val="00DA162C"/>
    <w:rsid w:val="00DA51C2"/>
    <w:rsid w:val="00DA625F"/>
    <w:rsid w:val="00DB25CD"/>
    <w:rsid w:val="00DB2894"/>
    <w:rsid w:val="00DB5026"/>
    <w:rsid w:val="00DB5633"/>
    <w:rsid w:val="00DC2206"/>
    <w:rsid w:val="00DC6C43"/>
    <w:rsid w:val="00DD0B67"/>
    <w:rsid w:val="00DD2A24"/>
    <w:rsid w:val="00DD55CB"/>
    <w:rsid w:val="00DE0444"/>
    <w:rsid w:val="00DE2AE8"/>
    <w:rsid w:val="00DE317C"/>
    <w:rsid w:val="00DE4E32"/>
    <w:rsid w:val="00DE7A0B"/>
    <w:rsid w:val="00DF50D5"/>
    <w:rsid w:val="00DF7267"/>
    <w:rsid w:val="00E015CB"/>
    <w:rsid w:val="00E01F49"/>
    <w:rsid w:val="00E025EA"/>
    <w:rsid w:val="00E06BD0"/>
    <w:rsid w:val="00E070B6"/>
    <w:rsid w:val="00E078F3"/>
    <w:rsid w:val="00E12E03"/>
    <w:rsid w:val="00E1531D"/>
    <w:rsid w:val="00E16E10"/>
    <w:rsid w:val="00E17134"/>
    <w:rsid w:val="00E265AF"/>
    <w:rsid w:val="00E27C4B"/>
    <w:rsid w:val="00E31B1A"/>
    <w:rsid w:val="00E35361"/>
    <w:rsid w:val="00E358B3"/>
    <w:rsid w:val="00E36F33"/>
    <w:rsid w:val="00E47F6E"/>
    <w:rsid w:val="00E6096D"/>
    <w:rsid w:val="00E64746"/>
    <w:rsid w:val="00E65190"/>
    <w:rsid w:val="00E726C5"/>
    <w:rsid w:val="00E72B48"/>
    <w:rsid w:val="00E7466D"/>
    <w:rsid w:val="00E8392A"/>
    <w:rsid w:val="00E8538B"/>
    <w:rsid w:val="00E8548C"/>
    <w:rsid w:val="00E86DE8"/>
    <w:rsid w:val="00E9237B"/>
    <w:rsid w:val="00E95BC3"/>
    <w:rsid w:val="00EA2753"/>
    <w:rsid w:val="00EA3E58"/>
    <w:rsid w:val="00EA4E86"/>
    <w:rsid w:val="00EA62DD"/>
    <w:rsid w:val="00EB0585"/>
    <w:rsid w:val="00EB072F"/>
    <w:rsid w:val="00EB247E"/>
    <w:rsid w:val="00EB2E3E"/>
    <w:rsid w:val="00EB5DC7"/>
    <w:rsid w:val="00EB6BF3"/>
    <w:rsid w:val="00EC06AC"/>
    <w:rsid w:val="00EC1424"/>
    <w:rsid w:val="00EC240B"/>
    <w:rsid w:val="00EC2D95"/>
    <w:rsid w:val="00EC2FD4"/>
    <w:rsid w:val="00EC5E4B"/>
    <w:rsid w:val="00ED062C"/>
    <w:rsid w:val="00ED1238"/>
    <w:rsid w:val="00ED5AD2"/>
    <w:rsid w:val="00ED66FB"/>
    <w:rsid w:val="00ED6A43"/>
    <w:rsid w:val="00EE6434"/>
    <w:rsid w:val="00EE652B"/>
    <w:rsid w:val="00EF0403"/>
    <w:rsid w:val="00EF5576"/>
    <w:rsid w:val="00EF796C"/>
    <w:rsid w:val="00F00998"/>
    <w:rsid w:val="00F02419"/>
    <w:rsid w:val="00F036D0"/>
    <w:rsid w:val="00F0668E"/>
    <w:rsid w:val="00F121FE"/>
    <w:rsid w:val="00F1241F"/>
    <w:rsid w:val="00F141B0"/>
    <w:rsid w:val="00F233F0"/>
    <w:rsid w:val="00F240D7"/>
    <w:rsid w:val="00F32876"/>
    <w:rsid w:val="00F33AC3"/>
    <w:rsid w:val="00F3766B"/>
    <w:rsid w:val="00F42139"/>
    <w:rsid w:val="00F43BA3"/>
    <w:rsid w:val="00F45155"/>
    <w:rsid w:val="00F451E8"/>
    <w:rsid w:val="00F47B9A"/>
    <w:rsid w:val="00F50E84"/>
    <w:rsid w:val="00F5509E"/>
    <w:rsid w:val="00F567BF"/>
    <w:rsid w:val="00F567E4"/>
    <w:rsid w:val="00F60AE2"/>
    <w:rsid w:val="00F613E4"/>
    <w:rsid w:val="00F633BB"/>
    <w:rsid w:val="00F63A61"/>
    <w:rsid w:val="00F6478B"/>
    <w:rsid w:val="00F668F0"/>
    <w:rsid w:val="00F70580"/>
    <w:rsid w:val="00F73FED"/>
    <w:rsid w:val="00F75FB2"/>
    <w:rsid w:val="00F805DF"/>
    <w:rsid w:val="00F8463A"/>
    <w:rsid w:val="00F86076"/>
    <w:rsid w:val="00F87829"/>
    <w:rsid w:val="00F92ACC"/>
    <w:rsid w:val="00F9458F"/>
    <w:rsid w:val="00F94B09"/>
    <w:rsid w:val="00FA2529"/>
    <w:rsid w:val="00FA3436"/>
    <w:rsid w:val="00FA44A8"/>
    <w:rsid w:val="00FA5B55"/>
    <w:rsid w:val="00FA5FBB"/>
    <w:rsid w:val="00FA7280"/>
    <w:rsid w:val="00FB11E9"/>
    <w:rsid w:val="00FB15DE"/>
    <w:rsid w:val="00FB1C20"/>
    <w:rsid w:val="00FC06E4"/>
    <w:rsid w:val="00FC0F71"/>
    <w:rsid w:val="00FC74D8"/>
    <w:rsid w:val="00FC78AB"/>
    <w:rsid w:val="00FD2229"/>
    <w:rsid w:val="00FD279A"/>
    <w:rsid w:val="00FD5599"/>
    <w:rsid w:val="00FD613C"/>
    <w:rsid w:val="00FD6B0B"/>
    <w:rsid w:val="00FD7381"/>
    <w:rsid w:val="00FE0B13"/>
    <w:rsid w:val="00FE31B0"/>
    <w:rsid w:val="00FF28C3"/>
    <w:rsid w:val="00FF4D54"/>
    <w:rsid w:val="01261275"/>
    <w:rsid w:val="02BDAAC1"/>
    <w:rsid w:val="02DFE1DD"/>
    <w:rsid w:val="037FB1F9"/>
    <w:rsid w:val="03B918F0"/>
    <w:rsid w:val="04151404"/>
    <w:rsid w:val="045DC81D"/>
    <w:rsid w:val="0468DEC8"/>
    <w:rsid w:val="0519BC7C"/>
    <w:rsid w:val="0538AF8C"/>
    <w:rsid w:val="06184B71"/>
    <w:rsid w:val="061EE5D6"/>
    <w:rsid w:val="0634D51B"/>
    <w:rsid w:val="0655AD0B"/>
    <w:rsid w:val="0656E6C5"/>
    <w:rsid w:val="077096DA"/>
    <w:rsid w:val="0902B5BD"/>
    <w:rsid w:val="0A9195B4"/>
    <w:rsid w:val="0AA3DC95"/>
    <w:rsid w:val="0BA4012A"/>
    <w:rsid w:val="0BA406E2"/>
    <w:rsid w:val="0C2C271C"/>
    <w:rsid w:val="0CA8DD06"/>
    <w:rsid w:val="0CB6FCB0"/>
    <w:rsid w:val="0DC2A6A2"/>
    <w:rsid w:val="11907EF3"/>
    <w:rsid w:val="11D8064B"/>
    <w:rsid w:val="12365EC4"/>
    <w:rsid w:val="1237A353"/>
    <w:rsid w:val="1336C549"/>
    <w:rsid w:val="13588A23"/>
    <w:rsid w:val="136853AD"/>
    <w:rsid w:val="13709D0B"/>
    <w:rsid w:val="14690843"/>
    <w:rsid w:val="1592A30D"/>
    <w:rsid w:val="15A6A955"/>
    <w:rsid w:val="15BEA4C8"/>
    <w:rsid w:val="15CF036D"/>
    <w:rsid w:val="163B69FE"/>
    <w:rsid w:val="1678788A"/>
    <w:rsid w:val="16C5D818"/>
    <w:rsid w:val="173BC1FE"/>
    <w:rsid w:val="17AB305E"/>
    <w:rsid w:val="17C9FFD8"/>
    <w:rsid w:val="17CD78CA"/>
    <w:rsid w:val="17CF0906"/>
    <w:rsid w:val="1828EF52"/>
    <w:rsid w:val="189910AF"/>
    <w:rsid w:val="18F3C11D"/>
    <w:rsid w:val="1A18BAF4"/>
    <w:rsid w:val="1AF2FD39"/>
    <w:rsid w:val="1AFD169B"/>
    <w:rsid w:val="1B58299F"/>
    <w:rsid w:val="1B95F517"/>
    <w:rsid w:val="1C1C5C03"/>
    <w:rsid w:val="1C8F3796"/>
    <w:rsid w:val="1CB5B61D"/>
    <w:rsid w:val="1CC1FF67"/>
    <w:rsid w:val="1CE7F969"/>
    <w:rsid w:val="1ED1C165"/>
    <w:rsid w:val="1F90F5AC"/>
    <w:rsid w:val="20E1D298"/>
    <w:rsid w:val="217A6AE3"/>
    <w:rsid w:val="221BEFE3"/>
    <w:rsid w:val="2263D7DF"/>
    <w:rsid w:val="228585DF"/>
    <w:rsid w:val="22D00A5E"/>
    <w:rsid w:val="233E0F9F"/>
    <w:rsid w:val="23A3288F"/>
    <w:rsid w:val="23A744B5"/>
    <w:rsid w:val="242C663D"/>
    <w:rsid w:val="254B707D"/>
    <w:rsid w:val="25713C08"/>
    <w:rsid w:val="25934D8C"/>
    <w:rsid w:val="268E800A"/>
    <w:rsid w:val="26AD9CF9"/>
    <w:rsid w:val="279BC0DB"/>
    <w:rsid w:val="2855EB5F"/>
    <w:rsid w:val="28930113"/>
    <w:rsid w:val="28D7600B"/>
    <w:rsid w:val="297B2F45"/>
    <w:rsid w:val="29EC0CF8"/>
    <w:rsid w:val="2A78F5CE"/>
    <w:rsid w:val="2ACE25A5"/>
    <w:rsid w:val="2B70F8B0"/>
    <w:rsid w:val="2BE2A5F3"/>
    <w:rsid w:val="2BE35151"/>
    <w:rsid w:val="2C2743AF"/>
    <w:rsid w:val="2CAD5382"/>
    <w:rsid w:val="2DAFA76F"/>
    <w:rsid w:val="2DC92FF6"/>
    <w:rsid w:val="2DDE633A"/>
    <w:rsid w:val="2E40B152"/>
    <w:rsid w:val="2E47950D"/>
    <w:rsid w:val="2EA5D739"/>
    <w:rsid w:val="2EEDC64A"/>
    <w:rsid w:val="2F73A62B"/>
    <w:rsid w:val="2FA572C9"/>
    <w:rsid w:val="2FE99FFE"/>
    <w:rsid w:val="309775A4"/>
    <w:rsid w:val="30F3DDDB"/>
    <w:rsid w:val="30F4603E"/>
    <w:rsid w:val="311AE754"/>
    <w:rsid w:val="3190499D"/>
    <w:rsid w:val="31BFA50D"/>
    <w:rsid w:val="31E38FEE"/>
    <w:rsid w:val="324E8D8A"/>
    <w:rsid w:val="32D9A4FD"/>
    <w:rsid w:val="333BC5A3"/>
    <w:rsid w:val="358E6E76"/>
    <w:rsid w:val="3659A5EF"/>
    <w:rsid w:val="365BEBA2"/>
    <w:rsid w:val="38884C62"/>
    <w:rsid w:val="3A6FEB5F"/>
    <w:rsid w:val="3B3F52BC"/>
    <w:rsid w:val="3B448CFA"/>
    <w:rsid w:val="3C209831"/>
    <w:rsid w:val="3CA829D9"/>
    <w:rsid w:val="3CC4B358"/>
    <w:rsid w:val="3CCC542F"/>
    <w:rsid w:val="3DF90A6C"/>
    <w:rsid w:val="3EA2FC57"/>
    <w:rsid w:val="3EE103D3"/>
    <w:rsid w:val="3EFAEDF0"/>
    <w:rsid w:val="3F840215"/>
    <w:rsid w:val="3FF9ACFD"/>
    <w:rsid w:val="404C6F0F"/>
    <w:rsid w:val="40D5972D"/>
    <w:rsid w:val="4129D3F5"/>
    <w:rsid w:val="412F4916"/>
    <w:rsid w:val="4174D5F0"/>
    <w:rsid w:val="41EDC7ED"/>
    <w:rsid w:val="420C3042"/>
    <w:rsid w:val="4212758E"/>
    <w:rsid w:val="424CCDF3"/>
    <w:rsid w:val="426A6FF3"/>
    <w:rsid w:val="427E24C4"/>
    <w:rsid w:val="44051332"/>
    <w:rsid w:val="440C77D8"/>
    <w:rsid w:val="4425F03D"/>
    <w:rsid w:val="450F2F5B"/>
    <w:rsid w:val="459FA17C"/>
    <w:rsid w:val="468956C9"/>
    <w:rsid w:val="473F6484"/>
    <w:rsid w:val="477F7322"/>
    <w:rsid w:val="478D66DD"/>
    <w:rsid w:val="47ADCB26"/>
    <w:rsid w:val="47DEEFD1"/>
    <w:rsid w:val="481118E2"/>
    <w:rsid w:val="48558610"/>
    <w:rsid w:val="48FD4231"/>
    <w:rsid w:val="492ED861"/>
    <w:rsid w:val="49B6F121"/>
    <w:rsid w:val="49D890F7"/>
    <w:rsid w:val="4A633873"/>
    <w:rsid w:val="4C80206E"/>
    <w:rsid w:val="4DA799E2"/>
    <w:rsid w:val="4DD9D19E"/>
    <w:rsid w:val="4E0AE092"/>
    <w:rsid w:val="4E6B54D4"/>
    <w:rsid w:val="4E8E2B72"/>
    <w:rsid w:val="4EC23E81"/>
    <w:rsid w:val="4ED0BB31"/>
    <w:rsid w:val="4F6A5FC8"/>
    <w:rsid w:val="4F92144F"/>
    <w:rsid w:val="4FB88E38"/>
    <w:rsid w:val="4FC93CDA"/>
    <w:rsid w:val="5013B473"/>
    <w:rsid w:val="503D6923"/>
    <w:rsid w:val="511CBD94"/>
    <w:rsid w:val="5170BFE3"/>
    <w:rsid w:val="51A0A1B7"/>
    <w:rsid w:val="51A4B39D"/>
    <w:rsid w:val="51C7F521"/>
    <w:rsid w:val="5205C330"/>
    <w:rsid w:val="523353A4"/>
    <w:rsid w:val="5325E369"/>
    <w:rsid w:val="53372917"/>
    <w:rsid w:val="538B8A78"/>
    <w:rsid w:val="53D38D04"/>
    <w:rsid w:val="54E3882C"/>
    <w:rsid w:val="54F0C35F"/>
    <w:rsid w:val="55322CBF"/>
    <w:rsid w:val="5541A934"/>
    <w:rsid w:val="5546BC21"/>
    <w:rsid w:val="567B2F23"/>
    <w:rsid w:val="56D654E8"/>
    <w:rsid w:val="56F388E1"/>
    <w:rsid w:val="5749DFCE"/>
    <w:rsid w:val="57C378A3"/>
    <w:rsid w:val="580CC351"/>
    <w:rsid w:val="5826F1E8"/>
    <w:rsid w:val="582A1010"/>
    <w:rsid w:val="5875FB6C"/>
    <w:rsid w:val="58A29F1C"/>
    <w:rsid w:val="59220B69"/>
    <w:rsid w:val="5970CED7"/>
    <w:rsid w:val="59B8BBB6"/>
    <w:rsid w:val="5A65AB62"/>
    <w:rsid w:val="5AB5B1EF"/>
    <w:rsid w:val="5B591E94"/>
    <w:rsid w:val="5B5FAC1C"/>
    <w:rsid w:val="5C1A8664"/>
    <w:rsid w:val="5D66FC67"/>
    <w:rsid w:val="5E9BC9A2"/>
    <w:rsid w:val="5EACB3A9"/>
    <w:rsid w:val="5EC2D2EC"/>
    <w:rsid w:val="5ECFEFFF"/>
    <w:rsid w:val="5EF0BE0F"/>
    <w:rsid w:val="5F039740"/>
    <w:rsid w:val="5F19F22A"/>
    <w:rsid w:val="5F729B1E"/>
    <w:rsid w:val="5F9FA560"/>
    <w:rsid w:val="6070FDE0"/>
    <w:rsid w:val="612A228A"/>
    <w:rsid w:val="6374B9E2"/>
    <w:rsid w:val="647BE424"/>
    <w:rsid w:val="649D19C2"/>
    <w:rsid w:val="649D8691"/>
    <w:rsid w:val="64ECC2B9"/>
    <w:rsid w:val="657CFA17"/>
    <w:rsid w:val="6670E14A"/>
    <w:rsid w:val="667559AE"/>
    <w:rsid w:val="66C0053E"/>
    <w:rsid w:val="66C08AFE"/>
    <w:rsid w:val="66F4852A"/>
    <w:rsid w:val="67716797"/>
    <w:rsid w:val="679023DC"/>
    <w:rsid w:val="67A0FB7D"/>
    <w:rsid w:val="67A12135"/>
    <w:rsid w:val="680D6FBC"/>
    <w:rsid w:val="68A4968B"/>
    <w:rsid w:val="69798187"/>
    <w:rsid w:val="698124ED"/>
    <w:rsid w:val="698AB919"/>
    <w:rsid w:val="69A6C911"/>
    <w:rsid w:val="69E1C79F"/>
    <w:rsid w:val="6AD6F1CB"/>
    <w:rsid w:val="6B753120"/>
    <w:rsid w:val="6B92310B"/>
    <w:rsid w:val="6C740C0A"/>
    <w:rsid w:val="6CDEC99B"/>
    <w:rsid w:val="6CEB7B02"/>
    <w:rsid w:val="6DC44598"/>
    <w:rsid w:val="6DC63DC5"/>
    <w:rsid w:val="6DDF8BE1"/>
    <w:rsid w:val="6E73160F"/>
    <w:rsid w:val="6EC18A31"/>
    <w:rsid w:val="6F0ACBFC"/>
    <w:rsid w:val="6F45ADDB"/>
    <w:rsid w:val="6F4BB06B"/>
    <w:rsid w:val="6F70033B"/>
    <w:rsid w:val="6FBC67EF"/>
    <w:rsid w:val="707D8E77"/>
    <w:rsid w:val="708AC106"/>
    <w:rsid w:val="729D7B2B"/>
    <w:rsid w:val="736B215E"/>
    <w:rsid w:val="74391E3B"/>
    <w:rsid w:val="74460D8B"/>
    <w:rsid w:val="755B7920"/>
    <w:rsid w:val="75C1E125"/>
    <w:rsid w:val="76DE1C5F"/>
    <w:rsid w:val="779B4938"/>
    <w:rsid w:val="77C6CE90"/>
    <w:rsid w:val="78140DA4"/>
    <w:rsid w:val="78350835"/>
    <w:rsid w:val="786DFE3F"/>
    <w:rsid w:val="78998CAE"/>
    <w:rsid w:val="78A94520"/>
    <w:rsid w:val="7951F154"/>
    <w:rsid w:val="79583AD8"/>
    <w:rsid w:val="7961B68F"/>
    <w:rsid w:val="7973A147"/>
    <w:rsid w:val="7A08D722"/>
    <w:rsid w:val="7AF3C6B4"/>
    <w:rsid w:val="7AFBCE96"/>
    <w:rsid w:val="7B06A977"/>
    <w:rsid w:val="7D16D2F8"/>
    <w:rsid w:val="7D2F5BE0"/>
    <w:rsid w:val="7D5F6E8F"/>
    <w:rsid w:val="7E78F358"/>
    <w:rsid w:val="7FD7233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E48CDD41-96F7-4287-9542-17B3A458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6E1"/>
    <w:pPr>
      <w:spacing w:line="259" w:lineRule="auto"/>
    </w:pPr>
    <w:rPr>
      <w:sz w:val="22"/>
      <w:szCs w:val="22"/>
    </w:rPr>
  </w:style>
  <w:style w:type="paragraph" w:styleId="Heading1">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link w:val="ListParagraphChar"/>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line="240" w:lineRule="auto"/>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styleId="UnresolvedMention">
    <w:name w:val="Unresolved Mention"/>
    <w:basedOn w:val="DefaultParagraphFont"/>
    <w:uiPriority w:val="99"/>
    <w:semiHidden/>
    <w:unhideWhenUsed/>
    <w:rsid w:val="00D6057A"/>
    <w:rPr>
      <w:color w:val="605E5C"/>
      <w:shd w:val="clear" w:color="auto" w:fill="E1DFDD"/>
    </w:rPr>
  </w:style>
  <w:style w:type="character" w:styleId="CommentReference">
    <w:name w:val="annotation reference"/>
    <w:basedOn w:val="DefaultParagraphFont"/>
    <w:uiPriority w:val="99"/>
    <w:semiHidden/>
    <w:unhideWhenUsed/>
    <w:rsid w:val="00D83154"/>
    <w:rPr>
      <w:sz w:val="16"/>
      <w:szCs w:val="16"/>
    </w:rPr>
  </w:style>
  <w:style w:type="paragraph" w:styleId="CommentText">
    <w:name w:val="annotation text"/>
    <w:basedOn w:val="Normal"/>
    <w:link w:val="CommentTextChar"/>
    <w:uiPriority w:val="99"/>
    <w:semiHidden/>
    <w:unhideWhenUsed/>
    <w:rsid w:val="00D83154"/>
    <w:pPr>
      <w:spacing w:line="240" w:lineRule="auto"/>
    </w:pPr>
    <w:rPr>
      <w:sz w:val="20"/>
      <w:szCs w:val="20"/>
    </w:rPr>
  </w:style>
  <w:style w:type="character" w:customStyle="1" w:styleId="CommentTextChar">
    <w:name w:val="Comment Text Char"/>
    <w:basedOn w:val="DefaultParagraphFont"/>
    <w:link w:val="CommentText"/>
    <w:uiPriority w:val="99"/>
    <w:semiHidden/>
    <w:rsid w:val="00D83154"/>
    <w:rPr>
      <w:sz w:val="20"/>
      <w:szCs w:val="20"/>
    </w:rPr>
  </w:style>
  <w:style w:type="paragraph" w:styleId="CommentSubject">
    <w:name w:val="annotation subject"/>
    <w:basedOn w:val="CommentText"/>
    <w:next w:val="CommentText"/>
    <w:link w:val="CommentSubjectChar"/>
    <w:uiPriority w:val="99"/>
    <w:semiHidden/>
    <w:unhideWhenUsed/>
    <w:rsid w:val="00D83154"/>
    <w:rPr>
      <w:b/>
      <w:bCs/>
    </w:rPr>
  </w:style>
  <w:style w:type="character" w:customStyle="1" w:styleId="CommentSubjectChar">
    <w:name w:val="Comment Subject Char"/>
    <w:basedOn w:val="CommentTextChar"/>
    <w:link w:val="CommentSubject"/>
    <w:uiPriority w:val="99"/>
    <w:semiHidden/>
    <w:rsid w:val="00D83154"/>
    <w:rPr>
      <w:b/>
      <w:bCs/>
      <w:sz w:val="20"/>
      <w:szCs w:val="20"/>
    </w:rPr>
  </w:style>
  <w:style w:type="paragraph" w:styleId="Caption">
    <w:name w:val="caption"/>
    <w:basedOn w:val="Normal"/>
    <w:next w:val="Normal"/>
    <w:uiPriority w:val="35"/>
    <w:unhideWhenUsed/>
    <w:qFormat/>
    <w:rsid w:val="00CB5921"/>
    <w:pPr>
      <w:spacing w:after="200" w:line="240" w:lineRule="auto"/>
    </w:pPr>
    <w:rPr>
      <w:i/>
      <w:iCs/>
      <w:color w:val="0E2841" w:themeColor="text2"/>
      <w:sz w:val="18"/>
      <w:szCs w:val="18"/>
    </w:rPr>
  </w:style>
  <w:style w:type="paragraph" w:styleId="Revision">
    <w:name w:val="Revision"/>
    <w:hidden/>
    <w:uiPriority w:val="99"/>
    <w:semiHidden/>
    <w:rsid w:val="00537B94"/>
    <w:pPr>
      <w:spacing w:after="0" w:line="240" w:lineRule="auto"/>
    </w:pPr>
    <w:rPr>
      <w:sz w:val="22"/>
      <w:szCs w:val="22"/>
    </w:rPr>
  </w:style>
  <w:style w:type="paragraph" w:styleId="NormalWeb">
    <w:name w:val="Normal (Web)"/>
    <w:basedOn w:val="Normal"/>
    <w:uiPriority w:val="99"/>
    <w:semiHidden/>
    <w:unhideWhenUsed/>
    <w:rsid w:val="006A1C9D"/>
    <w:rPr>
      <w:rFonts w:ascii="Times New Roman" w:hAnsi="Times New Roman" w:cs="Times New Roman"/>
      <w:sz w:val="24"/>
      <w:szCs w:val="24"/>
    </w:rPr>
  </w:style>
  <w:style w:type="table" w:styleId="TableGrid">
    <w:name w:val="Table Grid"/>
    <w:basedOn w:val="TableNormal"/>
    <w:uiPriority w:val="59"/>
    <w:rsid w:val="006A1C9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PlainTable2">
    <w:name w:val="Plain Table 2"/>
    <w:basedOn w:val="TableNormal"/>
    <w:uiPriority w:val="42"/>
    <w:rsid w:val="006A1C9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ndNoteBibliographyTitle">
    <w:name w:val="EndNote Bibliography Title"/>
    <w:basedOn w:val="Normal"/>
    <w:link w:val="EndNoteBibliographyTitleChar"/>
    <w:rsid w:val="0080639D"/>
    <w:pPr>
      <w:spacing w:after="0"/>
      <w:jc w:val="center"/>
    </w:pPr>
    <w:rPr>
      <w:rFonts w:ascii="Calibri" w:hAnsi="Calibri" w:cs="Calibri"/>
      <w:lang w:val="en-US"/>
    </w:rPr>
  </w:style>
  <w:style w:type="character" w:customStyle="1" w:styleId="ListParagraphChar">
    <w:name w:val="List Paragraph Char"/>
    <w:basedOn w:val="DefaultParagraphFont"/>
    <w:link w:val="ListParagraph"/>
    <w:uiPriority w:val="34"/>
    <w:rsid w:val="0080639D"/>
    <w:rPr>
      <w:sz w:val="22"/>
      <w:szCs w:val="22"/>
    </w:rPr>
  </w:style>
  <w:style w:type="character" w:customStyle="1" w:styleId="EndNoteBibliographyTitleChar">
    <w:name w:val="EndNote Bibliography Title Char"/>
    <w:basedOn w:val="ListParagraphChar"/>
    <w:link w:val="EndNoteBibliographyTitle"/>
    <w:rsid w:val="0080639D"/>
    <w:rPr>
      <w:rFonts w:ascii="Calibri" w:hAnsi="Calibri" w:cs="Calibri"/>
      <w:sz w:val="22"/>
      <w:szCs w:val="22"/>
      <w:lang w:val="en-US"/>
    </w:rPr>
  </w:style>
  <w:style w:type="paragraph" w:customStyle="1" w:styleId="EndNoteBibliography">
    <w:name w:val="EndNote Bibliography"/>
    <w:basedOn w:val="Normal"/>
    <w:link w:val="EndNoteBibliographyChar"/>
    <w:rsid w:val="0080639D"/>
    <w:pPr>
      <w:spacing w:line="240" w:lineRule="auto"/>
      <w:jc w:val="both"/>
    </w:pPr>
    <w:rPr>
      <w:rFonts w:ascii="Calibri" w:hAnsi="Calibri" w:cs="Calibri"/>
      <w:lang w:val="en-US"/>
    </w:rPr>
  </w:style>
  <w:style w:type="character" w:customStyle="1" w:styleId="EndNoteBibliographyChar">
    <w:name w:val="EndNote Bibliography Char"/>
    <w:basedOn w:val="ListParagraphChar"/>
    <w:link w:val="EndNoteBibliography"/>
    <w:rsid w:val="0080639D"/>
    <w:rPr>
      <w:rFonts w:ascii="Calibri" w:hAnsi="Calibri" w:cs="Calibri"/>
      <w:sz w:val="22"/>
      <w:szCs w:val="22"/>
      <w:lang w:val="en-US"/>
    </w:rPr>
  </w:style>
  <w:style w:type="character" w:styleId="Mention">
    <w:name w:val="Mention"/>
    <w:basedOn w:val="DefaultParagraphFont"/>
    <w:uiPriority w:val="99"/>
    <w:unhideWhenUsed/>
    <w:rsid w:val="00C87942"/>
    <w:rPr>
      <w:color w:val="2B579A"/>
      <w:shd w:val="clear" w:color="auto" w:fill="E1DFDD"/>
    </w:rPr>
  </w:style>
  <w:style w:type="paragraph" w:styleId="TOC1">
    <w:name w:val="toc 1"/>
    <w:basedOn w:val="Normal"/>
    <w:next w:val="Normal"/>
    <w:autoRedefine/>
    <w:uiPriority w:val="39"/>
    <w:unhideWhenUsed/>
    <w:rsid w:val="00A86011"/>
    <w:pPr>
      <w:spacing w:before="360" w:after="0"/>
    </w:pPr>
    <w:rPr>
      <w:rFonts w:asciiTheme="majorHAnsi" w:hAnsiTheme="majorHAnsi"/>
      <w:b/>
      <w:bCs/>
      <w:caps/>
      <w:sz w:val="24"/>
      <w:szCs w:val="24"/>
    </w:rPr>
  </w:style>
  <w:style w:type="paragraph" w:styleId="TOC2">
    <w:name w:val="toc 2"/>
    <w:basedOn w:val="Normal"/>
    <w:next w:val="Normal"/>
    <w:autoRedefine/>
    <w:uiPriority w:val="39"/>
    <w:unhideWhenUsed/>
    <w:rsid w:val="00A86011"/>
    <w:pPr>
      <w:spacing w:before="240" w:after="0"/>
    </w:pPr>
    <w:rPr>
      <w:b/>
      <w:bCs/>
      <w:sz w:val="20"/>
      <w:szCs w:val="20"/>
    </w:rPr>
  </w:style>
  <w:style w:type="paragraph" w:styleId="TOC3">
    <w:name w:val="toc 3"/>
    <w:basedOn w:val="Normal"/>
    <w:next w:val="Normal"/>
    <w:autoRedefine/>
    <w:uiPriority w:val="39"/>
    <w:unhideWhenUsed/>
    <w:rsid w:val="00A86011"/>
    <w:pPr>
      <w:spacing w:after="0"/>
      <w:ind w:left="220"/>
    </w:pPr>
    <w:rPr>
      <w:sz w:val="20"/>
      <w:szCs w:val="20"/>
    </w:rPr>
  </w:style>
  <w:style w:type="paragraph" w:styleId="TOC4">
    <w:name w:val="toc 4"/>
    <w:basedOn w:val="Normal"/>
    <w:next w:val="Normal"/>
    <w:autoRedefine/>
    <w:uiPriority w:val="39"/>
    <w:unhideWhenUsed/>
    <w:rsid w:val="00A86011"/>
    <w:pPr>
      <w:spacing w:after="0"/>
      <w:ind w:left="440"/>
    </w:pPr>
    <w:rPr>
      <w:sz w:val="20"/>
      <w:szCs w:val="20"/>
    </w:rPr>
  </w:style>
  <w:style w:type="paragraph" w:styleId="TOC5">
    <w:name w:val="toc 5"/>
    <w:basedOn w:val="Normal"/>
    <w:next w:val="Normal"/>
    <w:autoRedefine/>
    <w:uiPriority w:val="39"/>
    <w:unhideWhenUsed/>
    <w:rsid w:val="00A86011"/>
    <w:pPr>
      <w:spacing w:after="0"/>
      <w:ind w:left="660"/>
    </w:pPr>
    <w:rPr>
      <w:sz w:val="20"/>
      <w:szCs w:val="20"/>
    </w:rPr>
  </w:style>
  <w:style w:type="paragraph" w:styleId="TOC6">
    <w:name w:val="toc 6"/>
    <w:basedOn w:val="Normal"/>
    <w:next w:val="Normal"/>
    <w:autoRedefine/>
    <w:uiPriority w:val="39"/>
    <w:unhideWhenUsed/>
    <w:rsid w:val="00A86011"/>
    <w:pPr>
      <w:spacing w:after="0"/>
      <w:ind w:left="880"/>
    </w:pPr>
    <w:rPr>
      <w:sz w:val="20"/>
      <w:szCs w:val="20"/>
    </w:rPr>
  </w:style>
  <w:style w:type="paragraph" w:styleId="TOC7">
    <w:name w:val="toc 7"/>
    <w:basedOn w:val="Normal"/>
    <w:next w:val="Normal"/>
    <w:autoRedefine/>
    <w:uiPriority w:val="39"/>
    <w:unhideWhenUsed/>
    <w:rsid w:val="00A86011"/>
    <w:pPr>
      <w:spacing w:after="0"/>
      <w:ind w:left="1100"/>
    </w:pPr>
    <w:rPr>
      <w:sz w:val="20"/>
      <w:szCs w:val="20"/>
    </w:rPr>
  </w:style>
  <w:style w:type="paragraph" w:styleId="TOC8">
    <w:name w:val="toc 8"/>
    <w:basedOn w:val="Normal"/>
    <w:next w:val="Normal"/>
    <w:autoRedefine/>
    <w:uiPriority w:val="39"/>
    <w:unhideWhenUsed/>
    <w:rsid w:val="00A86011"/>
    <w:pPr>
      <w:spacing w:after="0"/>
      <w:ind w:left="1320"/>
    </w:pPr>
    <w:rPr>
      <w:sz w:val="20"/>
      <w:szCs w:val="20"/>
    </w:rPr>
  </w:style>
  <w:style w:type="paragraph" w:styleId="TOC9">
    <w:name w:val="toc 9"/>
    <w:basedOn w:val="Normal"/>
    <w:next w:val="Normal"/>
    <w:autoRedefine/>
    <w:uiPriority w:val="39"/>
    <w:unhideWhenUsed/>
    <w:rsid w:val="00A86011"/>
    <w:pPr>
      <w:spacing w:after="0"/>
      <w:ind w:left="1540"/>
    </w:pPr>
    <w:rPr>
      <w:sz w:val="20"/>
      <w:szCs w:val="20"/>
    </w:rPr>
  </w:style>
  <w:style w:type="paragraph" w:customStyle="1" w:styleId="paragraph">
    <w:name w:val="paragraph"/>
    <w:basedOn w:val="Normal"/>
    <w:rsid w:val="002C442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normaltextrun">
    <w:name w:val="normaltextrun"/>
    <w:basedOn w:val="DefaultParagraphFont"/>
    <w:rsid w:val="002C4421"/>
  </w:style>
  <w:style w:type="character" w:customStyle="1" w:styleId="eop">
    <w:name w:val="eop"/>
    <w:basedOn w:val="DefaultParagraphFont"/>
    <w:rsid w:val="002C4421"/>
  </w:style>
  <w:style w:type="paragraph" w:styleId="FootnoteText">
    <w:name w:val="footnote text"/>
    <w:basedOn w:val="Normal"/>
    <w:link w:val="FootnoteTextChar"/>
    <w:uiPriority w:val="99"/>
    <w:semiHidden/>
    <w:unhideWhenUsed/>
    <w:rsid w:val="005E63C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E63C5"/>
    <w:rPr>
      <w:sz w:val="20"/>
      <w:szCs w:val="20"/>
    </w:rPr>
  </w:style>
  <w:style w:type="character" w:styleId="FootnoteReference">
    <w:name w:val="footnote reference"/>
    <w:basedOn w:val="DefaultParagraphFont"/>
    <w:uiPriority w:val="99"/>
    <w:semiHidden/>
    <w:unhideWhenUsed/>
    <w:rsid w:val="005E63C5"/>
    <w:rPr>
      <w:vertAlign w:val="superscript"/>
    </w:rPr>
  </w:style>
  <w:style w:type="character" w:styleId="FollowedHyperlink">
    <w:name w:val="FollowedHyperlink"/>
    <w:basedOn w:val="DefaultParagraphFont"/>
    <w:uiPriority w:val="99"/>
    <w:semiHidden/>
    <w:unhideWhenUsed/>
    <w:rsid w:val="005E63C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ec.europa.eu/eurostat/statistics-explained/index.php?title=Waste_statistics"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www.ellenmacarthurfoundation.org/topics/circular-economy-introduction/overview"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bamb2020.eu/topics/circular-built-environement/common-language/transformation-capacit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docs.madaster.com/files/en/Madaster%20-%20Circularity%20Indicator%20explained.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62E097E90EC84C8EA3C299E1DDFAC4" ma:contentTypeVersion="16" ma:contentTypeDescription="Create a new document." ma:contentTypeScope="" ma:versionID="a8adece00f17a5b5cacb4c4ad488caf8">
  <xsd:schema xmlns:xsd="http://www.w3.org/2001/XMLSchema" xmlns:xs="http://www.w3.org/2001/XMLSchema" xmlns:p="http://schemas.microsoft.com/office/2006/metadata/properties" xmlns:ns2="7b8e05f4-c4aa-4fb4-bfff-a6f2534d1ad6" xmlns:ns3="7d43f726-32e9-41af-88f4-b3cea62b66a7" targetNamespace="http://schemas.microsoft.com/office/2006/metadata/properties" ma:root="true" ma:fieldsID="3447b8f7475c42f08d8ba3a335bd6f35" ns2:_="" ns3:_="">
    <xsd:import namespace="7b8e05f4-c4aa-4fb4-bfff-a6f2534d1ad6"/>
    <xsd:import namespace="7d43f726-32e9-41af-88f4-b3cea62b66a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DateTaken"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e05f4-c4aa-4fb4-bfff-a6f2534d1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c22b278-09af-4a02-860a-c67d9bcb2f7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43f726-32e9-41af-88f4-b3cea62b66a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ba9abf0b-fd7d-4b2e-9ae5-4a001153e3fe}" ma:internalName="TaxCatchAll" ma:showField="CatchAllData" ma:web="7d43f726-32e9-41af-88f4-b3cea62b66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d43f726-32e9-41af-88f4-b3cea62b66a7" xsi:nil="true"/>
    <lcf76f155ced4ddcb4097134ff3c332f xmlns="7b8e05f4-c4aa-4fb4-bfff-a6f2534d1ad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343DEC-4874-43F0-A010-802CEC0066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e05f4-c4aa-4fb4-bfff-a6f2534d1ad6"/>
    <ds:schemaRef ds:uri="7d43f726-32e9-41af-88f4-b3cea62b66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AF39D0-7FE3-4CFC-AF99-5B56F2A81367}">
  <ds:schemaRefs>
    <ds:schemaRef ds:uri="http://schemas.microsoft.com/sharepoint/v3/contenttype/forms"/>
  </ds:schemaRefs>
</ds:datastoreItem>
</file>

<file path=customXml/itemProps3.xml><?xml version="1.0" encoding="utf-8"?>
<ds:datastoreItem xmlns:ds="http://schemas.openxmlformats.org/officeDocument/2006/customXml" ds:itemID="{3B7A035D-B205-42FD-A1F2-B28EC478AB27}">
  <ds:schemaRefs>
    <ds:schemaRef ds:uri="http://schemas.microsoft.com/office/2006/metadata/properties"/>
    <ds:schemaRef ds:uri="http://schemas.microsoft.com/office/infopath/2007/PartnerControls"/>
    <ds:schemaRef ds:uri="7d43f726-32e9-41af-88f4-b3cea62b66a7"/>
    <ds:schemaRef ds:uri="7b8e05f4-c4aa-4fb4-bfff-a6f2534d1ad6"/>
  </ds:schemaRefs>
</ds:datastoreItem>
</file>

<file path=customXml/itemProps4.xml><?xml version="1.0" encoding="utf-8"?>
<ds:datastoreItem xmlns:ds="http://schemas.openxmlformats.org/officeDocument/2006/customXml" ds:itemID="{97ABC10F-49F6-9F44-BF06-C8AD8D0B8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4203</Words>
  <Characters>23961</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Annie GUERRIERO</cp:lastModifiedBy>
  <cp:revision>5</cp:revision>
  <cp:lastPrinted>2026-06-29T21:28:00Z</cp:lastPrinted>
  <dcterms:created xsi:type="dcterms:W3CDTF">2026-09-17T22:08:00Z</dcterms:created>
  <dcterms:modified xsi:type="dcterms:W3CDTF">2026-09-18T07:04:00Z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y fmtid="{D5CDD505-2E9C-101B-9397-08002B2CF9AE}" pid="3" name="ContentTypeId">
    <vt:lpwstr>0x010100A962E097E90EC84C8EA3C299E1DDFAC4</vt:lpwstr>
  </property>
  <property fmtid="{D5CDD505-2E9C-101B-9397-08002B2CF9AE}" pid="4" name="MediaServiceImageTags">
    <vt:lpwstr/>
  </property>
</Properties>
</file>