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A819F" w14:textId="07674E53" w:rsidR="00AE627F" w:rsidRPr="00F40651" w:rsidRDefault="00AE627F" w:rsidP="00F204EA">
      <w:pPr>
        <w:spacing w:after="0" w:line="230" w:lineRule="auto"/>
        <w:jc w:val="center"/>
        <w:rPr>
          <w:rFonts w:ascii="Calibri" w:hAnsi="Calibri" w:cs="Calibri"/>
          <w:b/>
          <w:bCs/>
          <w:sz w:val="28"/>
          <w:szCs w:val="28"/>
        </w:rPr>
      </w:pPr>
      <w:r w:rsidRPr="00F40651">
        <w:rPr>
          <w:rFonts w:ascii="Calibri" w:hAnsi="Calibri" w:cs="Calibri"/>
          <w:b/>
          <w:bCs/>
          <w:sz w:val="28"/>
          <w:szCs w:val="28"/>
        </w:rPr>
        <w:t>A</w:t>
      </w:r>
      <w:r w:rsidR="004513BC" w:rsidRPr="00F40651">
        <w:rPr>
          <w:rFonts w:ascii="Calibri" w:hAnsi="Calibri" w:cs="Calibri"/>
          <w:b/>
          <w:bCs/>
          <w:sz w:val="28"/>
          <w:szCs w:val="28"/>
        </w:rPr>
        <w:t xml:space="preserve">gentic </w:t>
      </w:r>
      <w:r w:rsidR="007134A9" w:rsidRPr="00F40651">
        <w:rPr>
          <w:rFonts w:ascii="Calibri" w:hAnsi="Calibri" w:cs="Calibri"/>
          <w:b/>
          <w:bCs/>
          <w:sz w:val="28"/>
          <w:szCs w:val="28"/>
        </w:rPr>
        <w:t>Artificial Intelligence</w:t>
      </w:r>
      <w:r w:rsidR="004513BC" w:rsidRPr="00F40651">
        <w:rPr>
          <w:rFonts w:ascii="Calibri" w:hAnsi="Calibri" w:cs="Calibri"/>
          <w:b/>
          <w:bCs/>
          <w:sz w:val="28"/>
          <w:szCs w:val="28"/>
        </w:rPr>
        <w:t xml:space="preserve"> for </w:t>
      </w:r>
      <w:r w:rsidRPr="00F40651">
        <w:rPr>
          <w:rFonts w:ascii="Calibri" w:hAnsi="Calibri" w:cs="Calibri"/>
          <w:b/>
          <w:bCs/>
          <w:sz w:val="28"/>
          <w:szCs w:val="28"/>
        </w:rPr>
        <w:t>Net-Zero-Aligned Construction Decision Support</w:t>
      </w:r>
      <w:r w:rsidR="00424CD3" w:rsidRPr="00F40651">
        <w:rPr>
          <w:rFonts w:ascii="Calibri" w:hAnsi="Calibri" w:cs="Calibri"/>
          <w:b/>
          <w:bCs/>
          <w:sz w:val="28"/>
          <w:szCs w:val="28"/>
        </w:rPr>
        <w:t>: An Evidence-Grounded Multi-Agent Reference Architecture</w:t>
      </w:r>
    </w:p>
    <w:p w14:paraId="34000E70" w14:textId="743CC181" w:rsidR="00F611D6" w:rsidRPr="00D6514A" w:rsidRDefault="00F611D6" w:rsidP="00F204EA">
      <w:pPr>
        <w:spacing w:after="0" w:line="230" w:lineRule="auto"/>
        <w:jc w:val="center"/>
        <w:rPr>
          <w:rFonts w:ascii="Calibri" w:hAnsi="Calibri" w:cs="Calibri"/>
          <w:b/>
          <w:bCs/>
          <w:sz w:val="14"/>
          <w:szCs w:val="14"/>
        </w:rPr>
      </w:pPr>
    </w:p>
    <w:p w14:paraId="1CDD9613" w14:textId="0DDB8AAA" w:rsidR="00390739" w:rsidRPr="00F40651" w:rsidRDefault="00390739" w:rsidP="00F204EA">
      <w:pPr>
        <w:pStyle w:val="Author"/>
        <w:spacing w:line="230" w:lineRule="auto"/>
        <w:jc w:val="center"/>
        <w:rPr>
          <w:rFonts w:ascii="Calibri" w:hAnsi="Calibri" w:cs="Calibri"/>
        </w:rPr>
      </w:pPr>
      <w:r w:rsidRPr="00F40651">
        <w:rPr>
          <w:rFonts w:ascii="Calibri" w:hAnsi="Calibri" w:cs="Calibri"/>
        </w:rPr>
        <w:t xml:space="preserve">Mizanur </w:t>
      </w:r>
      <w:r w:rsidR="04C636DD" w:rsidRPr="00F40651">
        <w:rPr>
          <w:rFonts w:ascii="Calibri" w:hAnsi="Calibri" w:cs="Calibri"/>
        </w:rPr>
        <w:t>Rah</w:t>
      </w:r>
      <w:r w:rsidR="55D75581" w:rsidRPr="00F40651">
        <w:rPr>
          <w:rFonts w:ascii="Calibri" w:hAnsi="Calibri" w:cs="Calibri"/>
        </w:rPr>
        <w:t>a</w:t>
      </w:r>
      <w:r w:rsidR="04C636DD" w:rsidRPr="00F40651">
        <w:rPr>
          <w:rFonts w:ascii="Calibri" w:hAnsi="Calibri" w:cs="Calibri"/>
        </w:rPr>
        <w:t>man</w:t>
      </w:r>
      <w:r w:rsidR="04C636DD" w:rsidRPr="00F40651">
        <w:rPr>
          <w:rFonts w:ascii="Calibri" w:hAnsi="Calibri" w:cs="Calibri"/>
          <w:vertAlign w:val="superscript"/>
        </w:rPr>
        <w:t>1</w:t>
      </w:r>
      <w:r w:rsidRPr="00F40651">
        <w:rPr>
          <w:rFonts w:ascii="Calibri" w:hAnsi="Calibri" w:cs="Calibri"/>
        </w:rPr>
        <w:t>, Sherif Mostafa</w:t>
      </w:r>
      <w:r w:rsidR="00083A8A">
        <w:rPr>
          <w:rFonts w:ascii="Calibri" w:hAnsi="Calibri" w:cs="Calibri"/>
          <w:sz w:val="22"/>
          <w:szCs w:val="22"/>
          <w:vertAlign w:val="superscript"/>
        </w:rPr>
        <w:t>2</w:t>
      </w:r>
      <w:r w:rsidR="00083A8A" w:rsidRPr="00F40651">
        <w:rPr>
          <w:rFonts w:ascii="Calibri" w:hAnsi="Calibri" w:cs="Calibri"/>
          <w:sz w:val="22"/>
          <w:szCs w:val="22"/>
          <w:vertAlign w:val="superscript"/>
        </w:rPr>
        <w:t>, *</w:t>
      </w:r>
      <w:r w:rsidR="00D6514A" w:rsidRPr="00F40651">
        <w:rPr>
          <w:rFonts w:ascii="Calibri" w:hAnsi="Calibri" w:cs="Calibri"/>
        </w:rPr>
        <w:t>,</w:t>
      </w:r>
      <w:r w:rsidR="00D6514A">
        <w:rPr>
          <w:rFonts w:ascii="Calibri" w:hAnsi="Calibri" w:cs="Calibri"/>
        </w:rPr>
        <w:t xml:space="preserve"> </w:t>
      </w:r>
      <w:r w:rsidR="00D6514A" w:rsidRPr="00F40651">
        <w:rPr>
          <w:rFonts w:ascii="Calibri" w:hAnsi="Calibri" w:cs="Calibri"/>
        </w:rPr>
        <w:t>Zahra</w:t>
      </w:r>
      <w:r w:rsidRPr="00F40651">
        <w:rPr>
          <w:rFonts w:ascii="Calibri" w:hAnsi="Calibri" w:cs="Calibri"/>
        </w:rPr>
        <w:t xml:space="preserve"> Jadidi</w:t>
      </w:r>
      <w:r w:rsidRPr="00F40651">
        <w:rPr>
          <w:rFonts w:ascii="Calibri" w:hAnsi="Calibri" w:cs="Calibri"/>
          <w:sz w:val="22"/>
          <w:szCs w:val="22"/>
          <w:vertAlign w:val="superscript"/>
        </w:rPr>
        <w:t>1</w:t>
      </w:r>
    </w:p>
    <w:p w14:paraId="58802289" w14:textId="1BBC35B7" w:rsidR="005076E1" w:rsidRDefault="005076E1" w:rsidP="00F204EA">
      <w:pPr>
        <w:pStyle w:val="Author"/>
        <w:spacing w:line="230" w:lineRule="auto"/>
        <w:jc w:val="center"/>
        <w:rPr>
          <w:rFonts w:ascii="Calibri" w:hAnsi="Calibri" w:cs="Calibri"/>
          <w:sz w:val="22"/>
          <w:szCs w:val="22"/>
        </w:rPr>
      </w:pPr>
      <w:r w:rsidRPr="00F40651">
        <w:rPr>
          <w:rFonts w:ascii="Calibri" w:hAnsi="Calibri" w:cs="Calibri"/>
          <w:sz w:val="22"/>
          <w:szCs w:val="22"/>
          <w:vertAlign w:val="superscript"/>
        </w:rPr>
        <w:t>1</w:t>
      </w:r>
      <w:r w:rsidRPr="00F40651">
        <w:rPr>
          <w:rFonts w:ascii="Calibri" w:hAnsi="Calibri" w:cs="Calibri"/>
          <w:sz w:val="22"/>
          <w:szCs w:val="22"/>
        </w:rPr>
        <w:t xml:space="preserve"> </w:t>
      </w:r>
      <w:r w:rsidR="00297F02">
        <w:rPr>
          <w:rFonts w:ascii="Calibri" w:hAnsi="Calibri" w:cs="Calibri"/>
          <w:sz w:val="22"/>
          <w:szCs w:val="22"/>
        </w:rPr>
        <w:t>School</w:t>
      </w:r>
      <w:r w:rsidR="00941C51">
        <w:rPr>
          <w:rFonts w:ascii="Calibri" w:hAnsi="Calibri" w:cs="Calibri"/>
          <w:sz w:val="22"/>
          <w:szCs w:val="22"/>
        </w:rPr>
        <w:t xml:space="preserve"> of Information </w:t>
      </w:r>
      <w:r w:rsidR="00297F02">
        <w:rPr>
          <w:rFonts w:ascii="Calibri" w:hAnsi="Calibri" w:cs="Calibri"/>
          <w:sz w:val="22"/>
          <w:szCs w:val="22"/>
        </w:rPr>
        <w:t xml:space="preserve">and Communication Technology, </w:t>
      </w:r>
      <w:r w:rsidR="00083A8A">
        <w:rPr>
          <w:rFonts w:ascii="Calibri" w:hAnsi="Calibri" w:cs="Calibri"/>
          <w:sz w:val="22"/>
          <w:szCs w:val="22"/>
        </w:rPr>
        <w:t xml:space="preserve">Griffith </w:t>
      </w:r>
      <w:r w:rsidR="00297F02" w:rsidRPr="00F40651">
        <w:rPr>
          <w:rFonts w:ascii="Calibri" w:hAnsi="Calibri" w:cs="Calibri"/>
          <w:sz w:val="22"/>
          <w:szCs w:val="22"/>
        </w:rPr>
        <w:t xml:space="preserve">University, </w:t>
      </w:r>
      <w:r w:rsidR="00297F02">
        <w:rPr>
          <w:rFonts w:ascii="Calibri" w:hAnsi="Calibri" w:cs="Calibri"/>
          <w:sz w:val="22"/>
          <w:szCs w:val="22"/>
        </w:rPr>
        <w:t>Queensland</w:t>
      </w:r>
      <w:r w:rsidR="00F43D4E" w:rsidRPr="00F40651">
        <w:rPr>
          <w:rFonts w:ascii="Calibri" w:hAnsi="Calibri" w:cs="Calibri"/>
          <w:sz w:val="22"/>
          <w:szCs w:val="22"/>
        </w:rPr>
        <w:t>,</w:t>
      </w:r>
      <w:r w:rsidR="00390739" w:rsidRPr="00F40651">
        <w:rPr>
          <w:rFonts w:ascii="Calibri" w:hAnsi="Calibri" w:cs="Calibri"/>
          <w:sz w:val="22"/>
          <w:szCs w:val="22"/>
        </w:rPr>
        <w:t xml:space="preserve"> Australia</w:t>
      </w:r>
    </w:p>
    <w:p w14:paraId="7984015C" w14:textId="14DA12D8" w:rsidR="00297F02" w:rsidRDefault="00083A8A" w:rsidP="00F204EA">
      <w:pPr>
        <w:pStyle w:val="Author"/>
        <w:spacing w:line="230" w:lineRule="auto"/>
        <w:jc w:val="center"/>
        <w:rPr>
          <w:rFonts w:ascii="Calibri" w:hAnsi="Calibri" w:cs="Calibri"/>
          <w:sz w:val="22"/>
          <w:szCs w:val="22"/>
        </w:rPr>
      </w:pPr>
      <w:r>
        <w:rPr>
          <w:rFonts w:ascii="Calibri" w:hAnsi="Calibri" w:cs="Calibri"/>
          <w:sz w:val="22"/>
          <w:szCs w:val="22"/>
          <w:vertAlign w:val="superscript"/>
        </w:rPr>
        <w:t>2</w:t>
      </w:r>
      <w:r w:rsidR="00297F02" w:rsidRPr="00F40651">
        <w:rPr>
          <w:rFonts w:ascii="Calibri" w:hAnsi="Calibri" w:cs="Calibri"/>
          <w:sz w:val="22"/>
          <w:szCs w:val="22"/>
          <w:vertAlign w:val="superscript"/>
        </w:rPr>
        <w:t xml:space="preserve"> </w:t>
      </w:r>
      <w:r w:rsidR="00297F02">
        <w:rPr>
          <w:rFonts w:ascii="Calibri" w:hAnsi="Calibri" w:cs="Calibri"/>
          <w:sz w:val="22"/>
          <w:szCs w:val="22"/>
        </w:rPr>
        <w:t xml:space="preserve">School of </w:t>
      </w:r>
      <w:r>
        <w:rPr>
          <w:rFonts w:ascii="Calibri" w:hAnsi="Calibri" w:cs="Calibri"/>
          <w:sz w:val="22"/>
          <w:szCs w:val="22"/>
        </w:rPr>
        <w:t xml:space="preserve">Engineering and Built Environment, </w:t>
      </w:r>
      <w:r w:rsidRPr="00F40651">
        <w:rPr>
          <w:rFonts w:ascii="Calibri" w:hAnsi="Calibri" w:cs="Calibri"/>
          <w:sz w:val="22"/>
          <w:szCs w:val="22"/>
        </w:rPr>
        <w:t xml:space="preserve">Griffith </w:t>
      </w:r>
      <w:r>
        <w:rPr>
          <w:rFonts w:ascii="Calibri" w:hAnsi="Calibri" w:cs="Calibri"/>
          <w:sz w:val="22"/>
          <w:szCs w:val="22"/>
        </w:rPr>
        <w:t>University, Queensland</w:t>
      </w:r>
      <w:r w:rsidR="00297F02" w:rsidRPr="00F40651">
        <w:rPr>
          <w:rFonts w:ascii="Calibri" w:hAnsi="Calibri" w:cs="Calibri"/>
          <w:sz w:val="22"/>
          <w:szCs w:val="22"/>
        </w:rPr>
        <w:t>, Australia</w:t>
      </w:r>
    </w:p>
    <w:p w14:paraId="4D4326EC" w14:textId="533F8883" w:rsidR="005076E1" w:rsidRPr="00F40651" w:rsidRDefault="005076E1" w:rsidP="00F204EA">
      <w:pPr>
        <w:pStyle w:val="Author"/>
        <w:spacing w:line="230" w:lineRule="auto"/>
        <w:jc w:val="center"/>
        <w:rPr>
          <w:rFonts w:ascii="Calibri" w:hAnsi="Calibri" w:cs="Calibri"/>
          <w:i/>
          <w:iCs/>
          <w:sz w:val="22"/>
          <w:szCs w:val="22"/>
        </w:rPr>
      </w:pPr>
      <w:r w:rsidRPr="00F40651">
        <w:rPr>
          <w:rFonts w:ascii="Calibri" w:hAnsi="Calibri" w:cs="Calibri"/>
          <w:i/>
          <w:iCs/>
          <w:sz w:val="22"/>
          <w:szCs w:val="22"/>
          <w:vertAlign w:val="superscript"/>
        </w:rPr>
        <w:t>*</w:t>
      </w:r>
      <w:r w:rsidRPr="00F40651">
        <w:rPr>
          <w:rFonts w:ascii="Calibri" w:hAnsi="Calibri" w:cs="Calibri"/>
          <w:i/>
          <w:iCs/>
          <w:sz w:val="22"/>
          <w:szCs w:val="22"/>
        </w:rPr>
        <w:t>Corresponding email:</w:t>
      </w:r>
      <w:r w:rsidR="00B46A5A" w:rsidRPr="00F40651">
        <w:rPr>
          <w:rFonts w:ascii="Calibri" w:hAnsi="Calibri" w:cs="Calibri"/>
          <w:i/>
          <w:iCs/>
          <w:sz w:val="22"/>
          <w:szCs w:val="22"/>
        </w:rPr>
        <w:t xml:space="preserve"> </w:t>
      </w:r>
      <w:hyperlink r:id="rId8" w:history="1">
        <w:r w:rsidR="00B46A5A" w:rsidRPr="00F40651">
          <w:rPr>
            <w:rStyle w:val="Hyperlink"/>
            <w:rFonts w:ascii="Calibri" w:hAnsi="Calibri" w:cs="Calibri"/>
            <w:i/>
            <w:iCs/>
            <w:color w:val="auto"/>
            <w:sz w:val="22"/>
            <w:szCs w:val="22"/>
          </w:rPr>
          <w:t>sherif.mostafa@griffith.edu.au</w:t>
        </w:r>
      </w:hyperlink>
    </w:p>
    <w:p w14:paraId="0C3C6843" w14:textId="77777777" w:rsidR="00F43D4E" w:rsidRPr="00D6514A" w:rsidRDefault="00F43D4E" w:rsidP="00F43D4E">
      <w:pPr>
        <w:pStyle w:val="Author"/>
        <w:jc w:val="center"/>
        <w:rPr>
          <w:rFonts w:ascii="Calibri" w:hAnsi="Calibri" w:cs="Calibri"/>
          <w:sz w:val="20"/>
          <w:szCs w:val="20"/>
        </w:rPr>
      </w:pPr>
    </w:p>
    <w:p w14:paraId="27806C2A" w14:textId="4E5947C3" w:rsidR="002A2192" w:rsidRPr="002A2192" w:rsidRDefault="002A2192" w:rsidP="00F40651">
      <w:pPr>
        <w:spacing w:after="0" w:line="240" w:lineRule="auto"/>
        <w:ind w:left="1134" w:right="1088"/>
        <w:jc w:val="both"/>
        <w:rPr>
          <w:rFonts w:ascii="Calibri" w:hAnsi="Calibri" w:cs="Calibri"/>
          <w:b/>
          <w:bCs/>
          <w:sz w:val="28"/>
          <w:szCs w:val="28"/>
        </w:rPr>
      </w:pPr>
      <w:r w:rsidRPr="002A2192">
        <w:rPr>
          <w:rFonts w:ascii="Calibri" w:hAnsi="Calibri" w:cs="Calibri"/>
          <w:b/>
          <w:bCs/>
          <w:sz w:val="28"/>
          <w:szCs w:val="28"/>
        </w:rPr>
        <w:t>ABSTRACT</w:t>
      </w:r>
    </w:p>
    <w:p w14:paraId="08C1314F" w14:textId="15FBE9F4" w:rsidR="00F40651" w:rsidRPr="00F40651" w:rsidRDefault="00F40651" w:rsidP="00D6514A">
      <w:pPr>
        <w:spacing w:after="0" w:line="230" w:lineRule="auto"/>
        <w:ind w:left="1134" w:right="1089"/>
        <w:jc w:val="both"/>
        <w:rPr>
          <w:rFonts w:ascii="Calibri" w:hAnsi="Calibri" w:cs="Calibri"/>
        </w:rPr>
      </w:pPr>
      <w:r w:rsidRPr="00F40651">
        <w:rPr>
          <w:rFonts w:ascii="Calibri" w:hAnsi="Calibri" w:cs="Calibri"/>
        </w:rPr>
        <w:t xml:space="preserve">Construction project teams must assess embodied-carbon options alongside cost, programme and compliance, yet the supporting evidence is fragmented across BIM models, bills of quantities, schedules, contracts, specifications and environmental documentation. This conceptual paper develops a problem-driven, design-science-informed reference architecture for evidence-grounded, net-zero-aligned construction decision support. The </w:t>
      </w:r>
      <w:r w:rsidR="005E386C">
        <w:rPr>
          <w:rFonts w:ascii="Calibri" w:hAnsi="Calibri" w:cs="Calibri"/>
        </w:rPr>
        <w:t xml:space="preserve">proposed </w:t>
      </w:r>
      <w:r w:rsidRPr="00F40651">
        <w:rPr>
          <w:rFonts w:ascii="Calibri" w:hAnsi="Calibri" w:cs="Calibri"/>
        </w:rPr>
        <w:t xml:space="preserve">architecture comprises a project evidence and knowledge layer that preserves typed numerical data, semantic source retrieval, provenance and document currency; a supervisor-led multi-agent reasoning layer with specialist agents for cost, programme, embodied carbon and compliance; and an auditable decision-support output layer. Each specialist has a bounded objective, domain tools, task state and a structured output contract, while the supervisor requests targeted clarification, reconciles conflicts and withholds recommendations when evidence remains insufficient. Three human review gates govern evidence acceptance, analysis challenge and final decision authority. A retrieval-grounded single large language model configuration using the same evidence, tools, settings and task constraints is specified outside the operational pathway as an evaluation comparator. The contribution lies in the configured interaction of heterogeneous evidence handling, specialist decomposition, supervisor-controlled clarification and reconciliation, explicit refusal conditions, human decision authority and controlled comparison. An illustrative low-carbon concrete substitution demonstrates </w:t>
      </w:r>
      <w:r w:rsidR="00631E48">
        <w:rPr>
          <w:rFonts w:ascii="Calibri" w:hAnsi="Calibri" w:cs="Calibri"/>
        </w:rPr>
        <w:t xml:space="preserve">the intended information flow, targeted clarification, withholding of recommendations, </w:t>
      </w:r>
      <w:r w:rsidRPr="00F40651">
        <w:rPr>
          <w:rFonts w:ascii="Calibri" w:hAnsi="Calibri" w:cs="Calibri"/>
        </w:rPr>
        <w:t xml:space="preserve">and human escalation triggers, but does not constitute empirical validation. </w:t>
      </w:r>
      <w:r w:rsidR="00505020" w:rsidRPr="00505020">
        <w:rPr>
          <w:rFonts w:ascii="Calibri" w:hAnsi="Calibri" w:cs="Calibri"/>
        </w:rPr>
        <w:t>The paper does not report implemented system performance; instead, it specifies a reference architecture and evaluation protocol for</w:t>
      </w:r>
      <w:r w:rsidR="00505020">
        <w:rPr>
          <w:rFonts w:ascii="Calibri" w:hAnsi="Calibri" w:cs="Calibri"/>
        </w:rPr>
        <w:t xml:space="preserve"> future</w:t>
      </w:r>
      <w:r w:rsidRPr="00F40651">
        <w:rPr>
          <w:rFonts w:ascii="Calibri" w:hAnsi="Calibri" w:cs="Calibri"/>
        </w:rPr>
        <w:t xml:space="preserve"> prototype evaluation </w:t>
      </w:r>
      <w:r w:rsidR="00505020">
        <w:rPr>
          <w:rFonts w:ascii="Calibri" w:hAnsi="Calibri" w:cs="Calibri"/>
        </w:rPr>
        <w:t>to</w:t>
      </w:r>
      <w:r w:rsidR="00505020" w:rsidRPr="00F40651">
        <w:rPr>
          <w:rFonts w:ascii="Calibri" w:hAnsi="Calibri" w:cs="Calibri"/>
        </w:rPr>
        <w:t xml:space="preserve"> </w:t>
      </w:r>
      <w:r w:rsidRPr="00F40651">
        <w:rPr>
          <w:rFonts w:ascii="Calibri" w:hAnsi="Calibri" w:cs="Calibri"/>
        </w:rPr>
        <w:t xml:space="preserve">test </w:t>
      </w:r>
      <w:r w:rsidR="00631E48">
        <w:rPr>
          <w:rFonts w:ascii="Calibri" w:hAnsi="Calibri" w:cs="Calibri"/>
        </w:rPr>
        <w:t xml:space="preserve">formalised measures of </w:t>
      </w:r>
      <w:r w:rsidRPr="00F40651">
        <w:rPr>
          <w:rFonts w:ascii="Calibri" w:hAnsi="Calibri" w:cs="Calibri"/>
        </w:rPr>
        <w:t>source traceability, numerical precision, clarification precision and recall, dimension coverage, conflict detection, unsupported claims, usefulness, latency and inference cost.</w:t>
      </w:r>
    </w:p>
    <w:p w14:paraId="768D5992" w14:textId="77777777" w:rsidR="00F40651" w:rsidRPr="00F204EA" w:rsidRDefault="00F40651" w:rsidP="00F40651">
      <w:pPr>
        <w:spacing w:after="0" w:line="240" w:lineRule="auto"/>
        <w:rPr>
          <w:rFonts w:ascii="Calibri" w:hAnsi="Calibri" w:cs="Calibri"/>
          <w:sz w:val="12"/>
          <w:szCs w:val="12"/>
        </w:rPr>
      </w:pPr>
    </w:p>
    <w:p w14:paraId="27B226E2" w14:textId="77777777" w:rsidR="00F40651" w:rsidRPr="00F40651" w:rsidRDefault="00F40651" w:rsidP="00F40651">
      <w:pPr>
        <w:spacing w:after="0" w:line="240" w:lineRule="auto"/>
        <w:rPr>
          <w:rFonts w:ascii="Calibri" w:hAnsi="Calibri" w:cs="Calibri"/>
          <w:b/>
          <w:bCs/>
          <w:sz w:val="28"/>
          <w:szCs w:val="28"/>
        </w:rPr>
      </w:pPr>
      <w:r w:rsidRPr="00F40651">
        <w:rPr>
          <w:rFonts w:ascii="Calibri" w:hAnsi="Calibri" w:cs="Calibri"/>
          <w:b/>
          <w:bCs/>
          <w:sz w:val="28"/>
          <w:szCs w:val="28"/>
        </w:rPr>
        <w:t xml:space="preserve">1. INTRODUCTION </w:t>
      </w:r>
    </w:p>
    <w:p w14:paraId="72B1DDB5" w14:textId="78BE99F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 xml:space="preserve">The construction sector must reduce greenhouse gas emissions while fulfilling cost, programme, quality and regulatory obligations. Buildings and construction activities are responsible for approximately 32% of global energy consumption and 34% of global CO₂ emissions (UNEP and </w:t>
      </w:r>
      <w:proofErr w:type="spellStart"/>
      <w:r w:rsidRPr="00F40651">
        <w:rPr>
          <w:rFonts w:ascii="Calibri" w:hAnsi="Calibri" w:cs="Calibri"/>
        </w:rPr>
        <w:t>GlobalABC</w:t>
      </w:r>
      <w:proofErr w:type="spellEnd"/>
      <w:r w:rsidRPr="00F40651">
        <w:rPr>
          <w:rFonts w:ascii="Calibri" w:hAnsi="Calibri" w:cs="Calibri"/>
        </w:rPr>
        <w:t>, 2025). Decisions taken during design coordination, procurement and execution significantly influence whether embodied-carbon reduction targets can be met without compromising project performance.</w:t>
      </w:r>
      <w:r w:rsidR="00D6514A">
        <w:rPr>
          <w:rFonts w:ascii="Calibri" w:hAnsi="Calibri" w:cs="Calibri"/>
        </w:rPr>
        <w:t xml:space="preserve"> </w:t>
      </w:r>
      <w:r w:rsidRPr="00F40651">
        <w:rPr>
          <w:rFonts w:ascii="Calibri" w:hAnsi="Calibri" w:cs="Calibri"/>
        </w:rPr>
        <w:t>The necessary evidence to inform these decisions is often dispersed across various sources, including BIM models, bills of quantities, schedules, cost plans, contracts, requests for information, specifications, environmental product declarations, and carbon reports.</w:t>
      </w:r>
      <w:r w:rsidR="00777EE5">
        <w:rPr>
          <w:rFonts w:ascii="Calibri" w:hAnsi="Calibri" w:cs="Calibri"/>
        </w:rPr>
        <w:t xml:space="preserve"> </w:t>
      </w:r>
      <w:r w:rsidR="00777EE5" w:rsidRPr="00777EE5">
        <w:rPr>
          <w:rFonts w:ascii="Calibri" w:hAnsi="Calibri" w:cs="Calibri"/>
        </w:rPr>
        <w:t>Prior work on BIM-based decision support, cost/schedule integration and embodied-carbon assessment similarly highlights the need to connect design, quantity, cost, schedule and environmental information for construction decision-making</w:t>
      </w:r>
      <w:r w:rsidR="00D6514A">
        <w:rPr>
          <w:rFonts w:ascii="Calibri" w:hAnsi="Calibri" w:cs="Calibri"/>
        </w:rPr>
        <w:t xml:space="preserve"> </w:t>
      </w:r>
      <w:r w:rsidR="00D6514A" w:rsidRPr="00D6514A">
        <w:rPr>
          <w:rFonts w:ascii="Calibri" w:hAnsi="Calibri" w:cs="Calibri"/>
          <w:lang w:val="en-AU"/>
        </w:rPr>
        <w:t xml:space="preserve">(Ma et al., 2014; Darko et al., 2021; </w:t>
      </w:r>
      <w:proofErr w:type="spellStart"/>
      <w:r w:rsidR="00D6514A" w:rsidRPr="00D6514A">
        <w:rPr>
          <w:rFonts w:ascii="Calibri" w:hAnsi="Calibri" w:cs="Calibri"/>
          <w:lang w:val="en-AU"/>
        </w:rPr>
        <w:t>Honic</w:t>
      </w:r>
      <w:proofErr w:type="spellEnd"/>
      <w:r w:rsidR="00D6514A" w:rsidRPr="00D6514A">
        <w:rPr>
          <w:rFonts w:ascii="Calibri" w:hAnsi="Calibri" w:cs="Calibri"/>
          <w:lang w:val="en-AU"/>
        </w:rPr>
        <w:t xml:space="preserve"> et al., 2019)</w:t>
      </w:r>
      <w:r w:rsidR="00777EE5">
        <w:rPr>
          <w:rFonts w:ascii="Calibri" w:hAnsi="Calibri" w:cs="Calibri"/>
        </w:rPr>
        <w:t>.</w:t>
      </w:r>
      <w:r w:rsidRPr="00F40651">
        <w:rPr>
          <w:rFonts w:ascii="Calibri" w:hAnsi="Calibri" w:cs="Calibri"/>
        </w:rPr>
        <w:t xml:space="preserve"> A material </w:t>
      </w:r>
      <w:r w:rsidRPr="00F40651">
        <w:rPr>
          <w:rFonts w:ascii="Calibri" w:hAnsi="Calibri" w:cs="Calibri"/>
        </w:rPr>
        <w:lastRenderedPageBreak/>
        <w:t>substitution may decrease embodied carbon but could increase costs, require additional approval, or threaten the planned work sequence</w:t>
      </w:r>
      <w:r w:rsidR="00D6514A">
        <w:rPr>
          <w:rFonts w:ascii="Calibri" w:hAnsi="Calibri" w:cs="Calibri"/>
        </w:rPr>
        <w:t xml:space="preserve"> </w:t>
      </w:r>
      <w:r w:rsidR="00D6514A" w:rsidRPr="00D6514A">
        <w:rPr>
          <w:rFonts w:ascii="Calibri" w:hAnsi="Calibri" w:cs="Calibri"/>
        </w:rPr>
        <w:t xml:space="preserve">(Pomponi and </w:t>
      </w:r>
      <w:proofErr w:type="spellStart"/>
      <w:r w:rsidR="00D6514A" w:rsidRPr="00D6514A">
        <w:rPr>
          <w:rFonts w:ascii="Calibri" w:hAnsi="Calibri" w:cs="Calibri"/>
        </w:rPr>
        <w:t>Moncaster</w:t>
      </w:r>
      <w:proofErr w:type="spellEnd"/>
      <w:r w:rsidR="00D6514A" w:rsidRPr="00D6514A">
        <w:rPr>
          <w:rFonts w:ascii="Calibri" w:hAnsi="Calibri" w:cs="Calibri"/>
        </w:rPr>
        <w:t xml:space="preserve">, 2016; Röck et al., 2020; </w:t>
      </w:r>
      <w:proofErr w:type="spellStart"/>
      <w:r w:rsidR="00D6514A" w:rsidRPr="00D6514A">
        <w:rPr>
          <w:rFonts w:ascii="Calibri" w:hAnsi="Calibri" w:cs="Calibri"/>
        </w:rPr>
        <w:t>Lützkendorf</w:t>
      </w:r>
      <w:proofErr w:type="spellEnd"/>
      <w:r w:rsidR="00D6514A" w:rsidRPr="00D6514A">
        <w:rPr>
          <w:rFonts w:ascii="Calibri" w:hAnsi="Calibri" w:cs="Calibri"/>
        </w:rPr>
        <w:t xml:space="preserve"> and </w:t>
      </w:r>
      <w:proofErr w:type="spellStart"/>
      <w:r w:rsidR="00D6514A" w:rsidRPr="00D6514A">
        <w:rPr>
          <w:rFonts w:ascii="Calibri" w:hAnsi="Calibri" w:cs="Calibri"/>
        </w:rPr>
        <w:t>Balouktsi</w:t>
      </w:r>
      <w:proofErr w:type="spellEnd"/>
      <w:r w:rsidR="00D6514A" w:rsidRPr="00D6514A">
        <w:rPr>
          <w:rFonts w:ascii="Calibri" w:hAnsi="Calibri" w:cs="Calibri"/>
        </w:rPr>
        <w:t>, 2022; Infrastructure Australia, 2024)</w:t>
      </w:r>
      <w:r w:rsidRPr="00F40651">
        <w:rPr>
          <w:rFonts w:ascii="Calibri" w:hAnsi="Calibri" w:cs="Calibri"/>
        </w:rPr>
        <w:t>. These implications are typically evaluated manually and sequentially, which complicates the tracing of assumptions and increases the likelihood of overlooking cross-dimensional conflicts.</w:t>
      </w:r>
    </w:p>
    <w:p w14:paraId="2C93552D" w14:textId="5227258E"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Large language models (LLMs) can retrieve, interpret and summarise project information, while retrieval-augmented generation can ground outputs in project-specific evidence</w:t>
      </w:r>
      <w:r w:rsidR="006A7F18" w:rsidRPr="006A7F18">
        <w:rPr>
          <w:rFonts w:ascii="Calibri" w:hAnsi="Calibri" w:cs="Calibri"/>
        </w:rPr>
        <w:t xml:space="preserve">, but RAG systems still face retrieval and generation failures and require controls for source provenance, missing context, document currency and failure </w:t>
      </w:r>
      <w:proofErr w:type="gramStart"/>
      <w:r w:rsidR="006A7F18" w:rsidRPr="006A7F18">
        <w:rPr>
          <w:rFonts w:ascii="Calibri" w:hAnsi="Calibri" w:cs="Calibri"/>
        </w:rPr>
        <w:t>reporting</w:t>
      </w:r>
      <w:r w:rsidR="00D6514A" w:rsidRPr="00D6514A">
        <w:rPr>
          <w:rFonts w:ascii="Calibri" w:hAnsi="Calibri" w:cs="Calibri"/>
          <w:lang w:val="en-AU"/>
        </w:rPr>
        <w:t>(</w:t>
      </w:r>
      <w:proofErr w:type="gramEnd"/>
      <w:r w:rsidR="00D6514A" w:rsidRPr="00D6514A">
        <w:rPr>
          <w:rFonts w:ascii="Calibri" w:hAnsi="Calibri" w:cs="Calibri"/>
          <w:lang w:val="en-AU"/>
        </w:rPr>
        <w:t>Lewis et al., 2020; Barnett et al., 2024; NIST, 2024; Corneli et al., 2026)</w:t>
      </w:r>
      <w:r w:rsidRPr="00F40651">
        <w:rPr>
          <w:rFonts w:ascii="Calibri" w:hAnsi="Calibri" w:cs="Calibri"/>
        </w:rPr>
        <w:t xml:space="preserve">. </w:t>
      </w:r>
      <w:r w:rsidRPr="006A7F18">
        <w:rPr>
          <w:rFonts w:ascii="Calibri" w:hAnsi="Calibri" w:cs="Calibri"/>
        </w:rPr>
        <w:t xml:space="preserve">Agentic systems extend this capability through task decomposition, tool use, state management and </w:t>
      </w:r>
      <w:proofErr w:type="gramStart"/>
      <w:r w:rsidRPr="006A7F18">
        <w:rPr>
          <w:rFonts w:ascii="Calibri" w:hAnsi="Calibri" w:cs="Calibri"/>
        </w:rPr>
        <w:t>orchestration</w:t>
      </w:r>
      <w:r w:rsidR="00D6514A" w:rsidRPr="00D6514A">
        <w:rPr>
          <w:rFonts w:ascii="Calibri" w:hAnsi="Calibri" w:cs="Calibri"/>
          <w:lang w:val="en-AU"/>
        </w:rPr>
        <w:t>(</w:t>
      </w:r>
      <w:proofErr w:type="gramEnd"/>
      <w:r w:rsidR="00D6514A" w:rsidRPr="00D6514A">
        <w:rPr>
          <w:rFonts w:ascii="Calibri" w:hAnsi="Calibri" w:cs="Calibri"/>
          <w:lang w:val="en-AU"/>
        </w:rPr>
        <w:t>Guo et al., 2024; Sapkota et al., 2026)</w:t>
      </w:r>
      <w:r w:rsidRPr="006A7F18">
        <w:rPr>
          <w:rFonts w:ascii="Calibri" w:hAnsi="Calibri" w:cs="Calibri"/>
        </w:rPr>
        <w:t xml:space="preserve">. </w:t>
      </w:r>
      <w:r w:rsidR="00DC6722" w:rsidRPr="00DC6722">
        <w:rPr>
          <w:rFonts w:ascii="Calibri" w:hAnsi="Calibri" w:cs="Calibri"/>
        </w:rPr>
        <w:t>In construction delivery, this means</w:t>
      </w:r>
      <w:r w:rsidR="00DC6722">
        <w:rPr>
          <w:rFonts w:ascii="Calibri" w:hAnsi="Calibri" w:cs="Calibri"/>
        </w:rPr>
        <w:t xml:space="preserve"> r</w:t>
      </w:r>
      <w:r w:rsidRPr="006A7F18">
        <w:rPr>
          <w:rFonts w:ascii="Calibri" w:hAnsi="Calibri" w:cs="Calibri"/>
        </w:rPr>
        <w:t>etrieval alone does not ensure that numerical values retain units and provenance, that missing decision parameters are clarified, that superseded documents are excluded, or that conflicting authoritative sources are surfaced rather than silently reconciled.</w:t>
      </w:r>
      <w:r w:rsidRPr="00F40651">
        <w:rPr>
          <w:rFonts w:ascii="Calibri" w:hAnsi="Calibri" w:cs="Calibri"/>
        </w:rPr>
        <w:t xml:space="preserve"> Many construction applications also remain single-model or task-specific systems focused on document review, compliance checking, forecasting or carbon calculation. A fluent integrated answer therefore does not necessarily provide a transparent or controlled decision process when separate specialist analyses must be reconciled.</w:t>
      </w:r>
    </w:p>
    <w:p w14:paraId="2B3772E5"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 xml:space="preserve">The research gap is therefore more specific than an absence of AI in construction. Construction multi-agent systems have addressed management, design compliance and safety, whereas language-model approaches have primarily supported embodied-carbon accounting and net-zero energy planning. Corneli et al. (2026) further demonstrate that a single agentic RAG system can route between semantic and structured-data tools, request targeted clarification and report retrieval failure in construction safety. Among the reviewed work, </w:t>
      </w:r>
      <w:r w:rsidRPr="00777EE5">
        <w:rPr>
          <w:rFonts w:ascii="Calibri" w:hAnsi="Calibri" w:cs="Calibri"/>
        </w:rPr>
        <w:t>however, these operational controls have not been integrated into a supervisor-led architecture for construction-delivery decisions</w:t>
      </w:r>
      <w:r w:rsidRPr="00F40651">
        <w:rPr>
          <w:rFonts w:ascii="Calibri" w:hAnsi="Calibri" w:cs="Calibri"/>
        </w:rPr>
        <w:t xml:space="preserve"> requiring evidence-based synthesis across cost, programme, embodied carbon and compliance, staged human decision authority and a same-evidence single-model comparison framework.</w:t>
      </w:r>
    </w:p>
    <w:p w14:paraId="093F82FA"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Accordingly, the guiding design question is: how should project evidence, specialist reasoning and human decision authority be organised in an agentic architecture for net-zero-aligned construction-delivery decisions? This paper answers that question through four configured elements: a shared evidence base that distinguishes typed numerical data from narrative retrieval and retains source, version, unit, functional-unit and boundary metadata; supervisor-led specialist analysis across cost, programme, embodied carbon and compliance, with targeted clarification, explicit failure reporting and recommendation withholding; staged human review with authority to challenge, override or escalate outputs; and a retrieval-grounded single large language model comparator using equivalent inputs and controls. The architecture is conceptual, so any advantage over the comparator is an evaluation hypothesis rather than a finding. Here, net-zero-aligned decision support refers to project-delivery decisions that materially affect embodied carbon and must be assessed alongside cost, programme and compliance; it does not encompass whole-building net-zero accounting or operational-energy optimisation.</w:t>
      </w:r>
    </w:p>
    <w:p w14:paraId="649064BE" w14:textId="77777777" w:rsidR="00F40651" w:rsidRPr="00F204EA" w:rsidRDefault="00F40651" w:rsidP="00F204EA">
      <w:pPr>
        <w:spacing w:after="0" w:line="230" w:lineRule="auto"/>
        <w:jc w:val="both"/>
        <w:rPr>
          <w:rFonts w:ascii="Calibri" w:hAnsi="Calibri" w:cs="Calibri"/>
          <w:sz w:val="12"/>
          <w:szCs w:val="12"/>
        </w:rPr>
      </w:pPr>
    </w:p>
    <w:p w14:paraId="1275C882" w14:textId="77777777" w:rsidR="00F40651" w:rsidRPr="00F40651" w:rsidRDefault="00F40651" w:rsidP="00F204EA">
      <w:pPr>
        <w:spacing w:after="0" w:line="230" w:lineRule="auto"/>
        <w:jc w:val="both"/>
        <w:rPr>
          <w:rFonts w:ascii="Calibri" w:hAnsi="Calibri" w:cs="Calibri"/>
        </w:rPr>
      </w:pPr>
      <w:r w:rsidRPr="00F40651">
        <w:rPr>
          <w:rFonts w:ascii="Calibri" w:hAnsi="Calibri" w:cs="Calibri"/>
          <w:b/>
          <w:bCs/>
          <w:sz w:val="28"/>
          <w:szCs w:val="28"/>
        </w:rPr>
        <w:t>2. RELATED WORK</w:t>
      </w:r>
    </w:p>
    <w:p w14:paraId="4B99E3E4" w14:textId="77777777" w:rsidR="00F40651" w:rsidRPr="00F40651" w:rsidRDefault="00F40651" w:rsidP="00F204EA">
      <w:pPr>
        <w:spacing w:after="0" w:line="230" w:lineRule="auto"/>
        <w:jc w:val="both"/>
        <w:rPr>
          <w:rFonts w:ascii="Calibri" w:hAnsi="Calibri" w:cs="Calibri"/>
          <w:b/>
          <w:bCs/>
          <w:sz w:val="28"/>
          <w:szCs w:val="28"/>
        </w:rPr>
      </w:pPr>
      <w:r w:rsidRPr="00F40651">
        <w:rPr>
          <w:rFonts w:ascii="Calibri" w:hAnsi="Calibri" w:cs="Calibri"/>
          <w:b/>
          <w:bCs/>
          <w:sz w:val="28"/>
          <w:szCs w:val="28"/>
        </w:rPr>
        <w:t>2.1 Multi-agent LLM systems in construction</w:t>
      </w:r>
    </w:p>
    <w:p w14:paraId="49D5D0F5" w14:textId="6A99DC03"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Guo et al. (2024) describe multi-agent large language model systems in terms of agent profiling, communication, collaboration and coordinated problem solving. Sapkota et al. (2026) further distinguish task-specific agents from agentic systems that combine tools, memory, planning and orchestration. These characteristics are relevant to construction because project decisions often require bounded specialist analyses followed by reconciliation of competing implications.</w:t>
      </w:r>
      <w:r w:rsidR="00D6514A">
        <w:rPr>
          <w:rFonts w:ascii="Calibri" w:hAnsi="Calibri" w:cs="Calibri"/>
        </w:rPr>
        <w:t xml:space="preserve"> </w:t>
      </w:r>
      <w:r w:rsidRPr="00F40651">
        <w:rPr>
          <w:rFonts w:ascii="Calibri" w:hAnsi="Calibri" w:cs="Calibri"/>
        </w:rPr>
        <w:t xml:space="preserve">Construction-specific studies show the emerging pattern. Rawat et al. (2025) propose a coordinator and specialist agents supported by knowledge graphs and vector retrieval for construction management. Chen and Bao (2025) implement a multi-agent framework for code-compliant reinforced-concrete design. Corneli et al. (2026) implement a single-agent agentic RAG assistant for construction safety that routes queries across semantic retrieval, document metadata and structured-data tools, requests targeted clarification when critical context is missing, and leaves conflicting </w:t>
      </w:r>
      <w:r w:rsidRPr="00F40651">
        <w:rPr>
          <w:rFonts w:ascii="Calibri" w:hAnsi="Calibri" w:cs="Calibri"/>
        </w:rPr>
        <w:lastRenderedPageBreak/>
        <w:t>evidence to the human operator. Their study demonstrates operational evidence grounding, numerical retrieval and ambiguity handling, but does not decompose a project decision across specialist delivery domains or evaluate supervisor-led synthesis. Gamage et al. (2024) demonstrate multi-agent retrieval for net-zero energy systems, but outside construction project delivery.</w:t>
      </w:r>
    </w:p>
    <w:p w14:paraId="2ABE30CE"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Recent work within the W78 and EC3 community also establishes relevant task-specific capability. Ying and Sacks (2024) use a large language model for autonomous building-compliance checking, Pal et al. (2024) infer delays from weekly progress reports, and Gatto et al. (2025) classify and extract cost information from tender documents. Together, these studies anchor compliance, programme and cost reasoning in construction informatics. They do not, however, provide a shared project-evidence architecture that reconciles these dimensions with embodied carbon and staged human decision authority.</w:t>
      </w:r>
    </w:p>
    <w:p w14:paraId="3D19E92E" w14:textId="77777777" w:rsidR="00F40651" w:rsidRPr="00F40651" w:rsidRDefault="00F40651" w:rsidP="00F204EA">
      <w:pPr>
        <w:spacing w:after="0" w:line="230" w:lineRule="auto"/>
        <w:jc w:val="both"/>
        <w:rPr>
          <w:rFonts w:ascii="Calibri" w:hAnsi="Calibri" w:cs="Calibri"/>
          <w:b/>
          <w:bCs/>
          <w:sz w:val="28"/>
          <w:szCs w:val="28"/>
        </w:rPr>
      </w:pPr>
      <w:r w:rsidRPr="00F40651">
        <w:rPr>
          <w:rFonts w:ascii="Calibri" w:hAnsi="Calibri" w:cs="Calibri"/>
          <w:b/>
          <w:bCs/>
          <w:sz w:val="28"/>
          <w:szCs w:val="28"/>
        </w:rPr>
        <w:t xml:space="preserve">2.2 AI for carbon and net-zero decisions </w:t>
      </w:r>
    </w:p>
    <w:p w14:paraId="4F9738A3" w14:textId="795A9AF0"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Li et al. (2024) and Hua et al. (2025) review AI applications for building carbon assessment, prediction, optimisation and decision support. Closest to the present problem, Gu et al. (2025) extract embodied-carbon information from building documentation using a large language model, while Zou et al. (2025) extend document-grounded carbon calculation through retrieval-augmented generation. These studies show that language models can support the document-intensive carbon-accounting task, but they produce carbon estimates rather than option-level synthesis across delivery dimensions.</w:t>
      </w:r>
      <w:r w:rsidR="00D6514A">
        <w:rPr>
          <w:rFonts w:ascii="Calibri" w:hAnsi="Calibri" w:cs="Calibri"/>
        </w:rPr>
        <w:t xml:space="preserve"> </w:t>
      </w:r>
      <w:r w:rsidRPr="00F40651">
        <w:rPr>
          <w:rFonts w:ascii="Calibri" w:hAnsi="Calibri" w:cs="Calibri"/>
        </w:rPr>
        <w:t xml:space="preserve">The embodied-carbon literature explains why integration is necessary. Röck et al. (2020) identify embodied greenhouse-gas emissions as an increasingly important mitigation challenge as operational performance improves. </w:t>
      </w:r>
      <w:proofErr w:type="spellStart"/>
      <w:r w:rsidRPr="00F40651">
        <w:rPr>
          <w:rFonts w:ascii="Calibri" w:hAnsi="Calibri" w:cs="Calibri"/>
        </w:rPr>
        <w:t>Lützkendorf</w:t>
      </w:r>
      <w:proofErr w:type="spellEnd"/>
      <w:r w:rsidRPr="00F40651">
        <w:rPr>
          <w:rFonts w:ascii="Calibri" w:hAnsi="Calibri" w:cs="Calibri"/>
        </w:rPr>
        <w:t xml:space="preserve"> and </w:t>
      </w:r>
      <w:proofErr w:type="spellStart"/>
      <w:r w:rsidRPr="00F40651">
        <w:rPr>
          <w:rFonts w:ascii="Calibri" w:hAnsi="Calibri" w:cs="Calibri"/>
        </w:rPr>
        <w:t>Balouktsi</w:t>
      </w:r>
      <w:proofErr w:type="spellEnd"/>
      <w:r w:rsidRPr="00F40651">
        <w:rPr>
          <w:rFonts w:ascii="Calibri" w:hAnsi="Calibri" w:cs="Calibri"/>
        </w:rPr>
        <w:t xml:space="preserve"> (2022) stress that carbon results depend on life-cycle scope, functional equivalence and interpretation, while Pomponi and </w:t>
      </w:r>
      <w:proofErr w:type="spellStart"/>
      <w:r w:rsidRPr="00F40651">
        <w:rPr>
          <w:rFonts w:ascii="Calibri" w:hAnsi="Calibri" w:cs="Calibri"/>
        </w:rPr>
        <w:t>Moncaster</w:t>
      </w:r>
      <w:proofErr w:type="spellEnd"/>
      <w:r w:rsidRPr="00F40651">
        <w:rPr>
          <w:rFonts w:ascii="Calibri" w:hAnsi="Calibri" w:cs="Calibri"/>
        </w:rPr>
        <w:t xml:space="preserve"> (2016) show that mitigation spans design, material, policy and procurement choices. A lower-carbon option is therefore decision-ready only when its cost, programme, technical and compliance consequences are also visible.</w:t>
      </w:r>
      <w:r w:rsidRPr="00F40651">
        <w:rPr>
          <w:rFonts w:ascii="Calibri" w:hAnsi="Calibri" w:cs="Calibri"/>
        </w:rPr>
        <w:tab/>
      </w:r>
    </w:p>
    <w:p w14:paraId="6B8F9E3D" w14:textId="77777777" w:rsidR="00F40651" w:rsidRPr="00F40651" w:rsidRDefault="00F40651" w:rsidP="00F204EA">
      <w:pPr>
        <w:spacing w:after="0" w:line="230" w:lineRule="auto"/>
        <w:jc w:val="both"/>
        <w:rPr>
          <w:rFonts w:ascii="Calibri" w:hAnsi="Calibri" w:cs="Calibri"/>
          <w:b/>
          <w:bCs/>
          <w:sz w:val="28"/>
          <w:szCs w:val="28"/>
        </w:rPr>
      </w:pPr>
      <w:r w:rsidRPr="00F40651">
        <w:rPr>
          <w:rFonts w:ascii="Calibri" w:hAnsi="Calibri" w:cs="Calibri"/>
          <w:b/>
          <w:bCs/>
          <w:sz w:val="28"/>
          <w:szCs w:val="28"/>
        </w:rPr>
        <w:t>2.3 Human oversight and research positioning</w:t>
      </w:r>
    </w:p>
    <w:p w14:paraId="13BC9F06" w14:textId="6E5C571D"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Construction decisions carry professional, contractual, safety, financial and sustainability responsibilities. The NIST AI Risk Management Framework emphasises governance, mapping, measurement and management of AI risks (NIST, 2023). Article 14 of the European Union AI Act requires effective human oversight for high-risk systems, although a construction decision-support application will not always fall within that legal category (European Union, 2024). Holzinger et al. (2025) similarly argue that human oversight remains necessary but cannot eliminate all AI risks.</w:t>
      </w:r>
      <w:r w:rsidR="00D6514A">
        <w:rPr>
          <w:rFonts w:ascii="Calibri" w:hAnsi="Calibri" w:cs="Calibri"/>
        </w:rPr>
        <w:t xml:space="preserve"> </w:t>
      </w:r>
      <w:r w:rsidRPr="00F40651">
        <w:rPr>
          <w:rFonts w:ascii="Calibri" w:hAnsi="Calibri" w:cs="Calibri"/>
        </w:rPr>
        <w:t xml:space="preserve">Oversight is especially important in agentic systems because several agents may retrieve evidence, call tools and produce outputs that appear mutually reinforcing even when they share the same underlying model or incomplete evidence. Human review must therefore be tied to explicit decision rights, not represented as a generic feedback loop. In this paper, reviewers accept or reject evidence, challenge or override analyses, and approve, reject or escalate final outputs. </w:t>
      </w:r>
    </w:p>
    <w:p w14:paraId="462D7322"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 xml:space="preserve">Table 1 positions the proposed architecture against the closest comparators, selected because each </w:t>
      </w:r>
      <w:proofErr w:type="gramStart"/>
      <w:r w:rsidRPr="00F40651">
        <w:rPr>
          <w:rFonts w:ascii="Calibri" w:hAnsi="Calibri" w:cs="Calibri"/>
        </w:rPr>
        <w:t>addresses</w:t>
      </w:r>
      <w:proofErr w:type="gramEnd"/>
      <w:r w:rsidRPr="00F40651">
        <w:rPr>
          <w:rFonts w:ascii="Calibri" w:hAnsi="Calibri" w:cs="Calibri"/>
        </w:rPr>
        <w:t xml:space="preserve"> at least two of: construction delivery, agent orchestration, evidence-grounded language model use, carbon-related analysis, multi-dimensional decision support or explicit human oversight. Operational tool routing, targeted clarification and failure reporting have been demonstrated in single-agent construction safety support, but within the reviewed set no study was identified that combines those controls with a shared project-evidence base, supervisor-led reconciliation across cost, programme, embodied carbon and compliance, a same-evidence single language model comparator, and staged human decision authority. Entries describe explicitly reported system characteristics, and the final column distinguishes conceptual proposals from implemented systems.</w:t>
      </w:r>
    </w:p>
    <w:p w14:paraId="10B66BFB" w14:textId="77777777" w:rsidR="00F40651" w:rsidRPr="00534399" w:rsidRDefault="00F40651" w:rsidP="00F40651">
      <w:pPr>
        <w:keepNext/>
        <w:spacing w:after="0" w:line="240" w:lineRule="auto"/>
        <w:ind w:firstLine="720"/>
        <w:jc w:val="both"/>
        <w:rPr>
          <w:rFonts w:ascii="Calibri" w:hAnsi="Calibri" w:cs="Calibri"/>
          <w:i/>
          <w:iCs/>
          <w:sz w:val="20"/>
          <w:szCs w:val="20"/>
        </w:rPr>
      </w:pPr>
      <w:r w:rsidRPr="00534399">
        <w:rPr>
          <w:rFonts w:ascii="Calibri" w:hAnsi="Calibri" w:cs="Calibri"/>
          <w:i/>
          <w:iCs/>
          <w:sz w:val="20"/>
          <w:szCs w:val="20"/>
        </w:rPr>
        <w:lastRenderedPageBreak/>
        <w:t>Table 1: Positioning of the proposed architecture against the closest prior systems.</w:t>
      </w:r>
    </w:p>
    <w:tbl>
      <w:tblPr>
        <w:tblW w:w="5000" w:type="pct"/>
        <w:jc w:val="center"/>
        <w:tblLook w:val="04A0" w:firstRow="1" w:lastRow="0" w:firstColumn="1" w:lastColumn="0" w:noHBand="0" w:noVBand="1"/>
      </w:tblPr>
      <w:tblGrid>
        <w:gridCol w:w="1160"/>
        <w:gridCol w:w="1368"/>
        <w:gridCol w:w="2112"/>
        <w:gridCol w:w="1516"/>
        <w:gridCol w:w="1457"/>
        <w:gridCol w:w="1413"/>
      </w:tblGrid>
      <w:tr w:rsidR="00F40651" w:rsidRPr="000A560E" w14:paraId="4813F154" w14:textId="77777777" w:rsidTr="00941C51">
        <w:trPr>
          <w:cantSplit/>
          <w:tblHeader/>
          <w:jc w:val="center"/>
        </w:trPr>
        <w:tc>
          <w:tcPr>
            <w:tcW w:w="642" w:type="pct"/>
            <w:tcBorders>
              <w:top w:val="single" w:sz="4" w:space="0" w:color="auto"/>
              <w:bottom w:val="single" w:sz="4" w:space="0" w:color="auto"/>
            </w:tcBorders>
            <w:tcMar>
              <w:top w:w="60" w:type="dxa"/>
              <w:left w:w="60" w:type="dxa"/>
              <w:bottom w:w="60" w:type="dxa"/>
              <w:right w:w="60" w:type="dxa"/>
            </w:tcMar>
            <w:vAlign w:val="center"/>
          </w:tcPr>
          <w:p w14:paraId="415947B6" w14:textId="77777777" w:rsidR="00F40651" w:rsidRPr="000A560E" w:rsidRDefault="00F40651" w:rsidP="00F204EA">
            <w:pPr>
              <w:pStyle w:val="PlainText"/>
              <w:spacing w:line="230" w:lineRule="auto"/>
              <w:jc w:val="center"/>
              <w:rPr>
                <w:rFonts w:ascii="Calibri" w:hAnsi="Calibri" w:cs="Calibri"/>
                <w:sz w:val="21"/>
                <w:szCs w:val="21"/>
              </w:rPr>
            </w:pPr>
            <w:r w:rsidRPr="000A560E">
              <w:rPr>
                <w:rFonts w:ascii="Calibri" w:hAnsi="Calibri" w:cs="Calibri"/>
                <w:sz w:val="21"/>
                <w:szCs w:val="21"/>
              </w:rPr>
              <w:t>Study</w:t>
            </w:r>
          </w:p>
        </w:tc>
        <w:tc>
          <w:tcPr>
            <w:tcW w:w="758" w:type="pct"/>
            <w:tcBorders>
              <w:top w:val="single" w:sz="4" w:space="0" w:color="auto"/>
              <w:bottom w:val="single" w:sz="4" w:space="0" w:color="auto"/>
            </w:tcBorders>
            <w:tcMar>
              <w:top w:w="60" w:type="dxa"/>
              <w:left w:w="60" w:type="dxa"/>
              <w:bottom w:w="60" w:type="dxa"/>
              <w:right w:w="60" w:type="dxa"/>
            </w:tcMar>
            <w:vAlign w:val="center"/>
          </w:tcPr>
          <w:p w14:paraId="1920EE8E" w14:textId="77777777" w:rsidR="00F40651" w:rsidRPr="000A560E" w:rsidRDefault="00F40651" w:rsidP="00F204EA">
            <w:pPr>
              <w:spacing w:after="0" w:line="230" w:lineRule="auto"/>
              <w:jc w:val="center"/>
              <w:rPr>
                <w:rFonts w:ascii="Calibri" w:hAnsi="Calibri" w:cs="Calibri"/>
                <w:sz w:val="21"/>
                <w:szCs w:val="21"/>
              </w:rPr>
            </w:pPr>
            <w:r w:rsidRPr="000A560E">
              <w:rPr>
                <w:rFonts w:ascii="Calibri" w:hAnsi="Calibri" w:cs="Calibri"/>
                <w:sz w:val="21"/>
                <w:szCs w:val="21"/>
              </w:rPr>
              <w:t>Decision context</w:t>
            </w:r>
          </w:p>
        </w:tc>
        <w:tc>
          <w:tcPr>
            <w:tcW w:w="1170" w:type="pct"/>
            <w:tcBorders>
              <w:top w:val="single" w:sz="4" w:space="0" w:color="auto"/>
              <w:bottom w:val="single" w:sz="4" w:space="0" w:color="auto"/>
            </w:tcBorders>
            <w:tcMar>
              <w:top w:w="60" w:type="dxa"/>
              <w:left w:w="60" w:type="dxa"/>
              <w:bottom w:w="60" w:type="dxa"/>
              <w:right w:w="60" w:type="dxa"/>
            </w:tcMar>
            <w:vAlign w:val="center"/>
          </w:tcPr>
          <w:p w14:paraId="1F6C8478" w14:textId="77777777" w:rsidR="00F40651" w:rsidRPr="000A560E" w:rsidRDefault="00F40651" w:rsidP="00F204EA">
            <w:pPr>
              <w:spacing w:after="0" w:line="230" w:lineRule="auto"/>
              <w:jc w:val="center"/>
              <w:rPr>
                <w:rFonts w:ascii="Calibri" w:hAnsi="Calibri" w:cs="Calibri"/>
                <w:sz w:val="21"/>
                <w:szCs w:val="21"/>
              </w:rPr>
            </w:pPr>
            <w:r w:rsidRPr="000A560E">
              <w:rPr>
                <w:rFonts w:ascii="Calibri" w:hAnsi="Calibri" w:cs="Calibri"/>
                <w:sz w:val="21"/>
                <w:szCs w:val="21"/>
              </w:rPr>
              <w:t>AI and grounding</w:t>
            </w:r>
          </w:p>
        </w:tc>
        <w:tc>
          <w:tcPr>
            <w:tcW w:w="840" w:type="pct"/>
            <w:tcBorders>
              <w:top w:val="single" w:sz="4" w:space="0" w:color="auto"/>
              <w:bottom w:val="single" w:sz="4" w:space="0" w:color="auto"/>
            </w:tcBorders>
            <w:tcMar>
              <w:top w:w="60" w:type="dxa"/>
              <w:left w:w="60" w:type="dxa"/>
              <w:bottom w:w="60" w:type="dxa"/>
              <w:right w:w="60" w:type="dxa"/>
            </w:tcMar>
            <w:vAlign w:val="center"/>
          </w:tcPr>
          <w:p w14:paraId="2122C2FE" w14:textId="77777777" w:rsidR="00F40651" w:rsidRPr="000A560E" w:rsidRDefault="00F40651" w:rsidP="00F204EA">
            <w:pPr>
              <w:spacing w:after="0" w:line="230" w:lineRule="auto"/>
              <w:jc w:val="center"/>
              <w:rPr>
                <w:rFonts w:ascii="Calibri" w:hAnsi="Calibri" w:cs="Calibri"/>
                <w:sz w:val="21"/>
                <w:szCs w:val="21"/>
              </w:rPr>
            </w:pPr>
            <w:r w:rsidRPr="000A560E">
              <w:rPr>
                <w:rFonts w:ascii="Calibri" w:hAnsi="Calibri" w:cs="Calibri"/>
                <w:sz w:val="21"/>
                <w:szCs w:val="21"/>
              </w:rPr>
              <w:t>Dimensions</w:t>
            </w:r>
          </w:p>
        </w:tc>
        <w:tc>
          <w:tcPr>
            <w:tcW w:w="807" w:type="pct"/>
            <w:tcBorders>
              <w:top w:val="single" w:sz="4" w:space="0" w:color="auto"/>
              <w:bottom w:val="single" w:sz="4" w:space="0" w:color="auto"/>
            </w:tcBorders>
            <w:tcMar>
              <w:top w:w="60" w:type="dxa"/>
              <w:left w:w="60" w:type="dxa"/>
              <w:bottom w:w="60" w:type="dxa"/>
              <w:right w:w="60" w:type="dxa"/>
            </w:tcMar>
            <w:vAlign w:val="center"/>
          </w:tcPr>
          <w:p w14:paraId="4D9F441E" w14:textId="77777777" w:rsidR="00F40651" w:rsidRPr="000A560E" w:rsidRDefault="00F40651" w:rsidP="00F204EA">
            <w:pPr>
              <w:spacing w:after="0" w:line="230" w:lineRule="auto"/>
              <w:jc w:val="center"/>
              <w:rPr>
                <w:rFonts w:ascii="Calibri" w:hAnsi="Calibri" w:cs="Calibri"/>
                <w:sz w:val="21"/>
                <w:szCs w:val="21"/>
              </w:rPr>
            </w:pPr>
            <w:r w:rsidRPr="000A560E">
              <w:rPr>
                <w:rFonts w:ascii="Calibri" w:hAnsi="Calibri" w:cs="Calibri"/>
                <w:sz w:val="21"/>
                <w:szCs w:val="21"/>
              </w:rPr>
              <w:t>Human authority</w:t>
            </w:r>
          </w:p>
        </w:tc>
        <w:tc>
          <w:tcPr>
            <w:tcW w:w="783" w:type="pct"/>
            <w:tcBorders>
              <w:top w:val="single" w:sz="4" w:space="0" w:color="auto"/>
              <w:bottom w:val="single" w:sz="4" w:space="0" w:color="auto"/>
            </w:tcBorders>
            <w:tcMar>
              <w:top w:w="60" w:type="dxa"/>
              <w:left w:w="60" w:type="dxa"/>
              <w:bottom w:w="60" w:type="dxa"/>
              <w:right w:w="60" w:type="dxa"/>
            </w:tcMar>
            <w:vAlign w:val="center"/>
          </w:tcPr>
          <w:p w14:paraId="7205156D" w14:textId="77777777" w:rsidR="00F40651" w:rsidRPr="000A560E" w:rsidRDefault="00F40651" w:rsidP="00F204EA">
            <w:pPr>
              <w:spacing w:after="0" w:line="230" w:lineRule="auto"/>
              <w:jc w:val="center"/>
              <w:rPr>
                <w:rFonts w:ascii="Calibri" w:hAnsi="Calibri" w:cs="Calibri"/>
                <w:sz w:val="21"/>
                <w:szCs w:val="21"/>
              </w:rPr>
            </w:pPr>
            <w:r w:rsidRPr="000A560E">
              <w:rPr>
                <w:rFonts w:ascii="Calibri" w:hAnsi="Calibri" w:cs="Calibri"/>
                <w:sz w:val="21"/>
                <w:szCs w:val="21"/>
              </w:rPr>
              <w:t>Evidence status</w:t>
            </w:r>
          </w:p>
        </w:tc>
      </w:tr>
      <w:tr w:rsidR="00F40651" w:rsidRPr="000A560E" w14:paraId="36EDE04C" w14:textId="77777777" w:rsidTr="00941C51">
        <w:trPr>
          <w:cantSplit/>
          <w:jc w:val="center"/>
        </w:trPr>
        <w:tc>
          <w:tcPr>
            <w:tcW w:w="642" w:type="pct"/>
            <w:tcBorders>
              <w:top w:val="single" w:sz="4" w:space="0" w:color="auto"/>
            </w:tcBorders>
            <w:tcMar>
              <w:top w:w="60" w:type="dxa"/>
              <w:left w:w="60" w:type="dxa"/>
              <w:bottom w:w="60" w:type="dxa"/>
              <w:right w:w="60" w:type="dxa"/>
            </w:tcMar>
            <w:vAlign w:val="center"/>
          </w:tcPr>
          <w:p w14:paraId="401E11BC"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Rawat et al. (2025)</w:t>
            </w:r>
          </w:p>
        </w:tc>
        <w:tc>
          <w:tcPr>
            <w:tcW w:w="758" w:type="pct"/>
            <w:tcBorders>
              <w:top w:val="single" w:sz="4" w:space="0" w:color="auto"/>
            </w:tcBorders>
            <w:tcMar>
              <w:top w:w="60" w:type="dxa"/>
              <w:left w:w="60" w:type="dxa"/>
              <w:bottom w:w="60" w:type="dxa"/>
              <w:right w:w="60" w:type="dxa"/>
            </w:tcMar>
            <w:vAlign w:val="center"/>
          </w:tcPr>
          <w:p w14:paraId="5C9B3A8D"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Construction management</w:t>
            </w:r>
          </w:p>
        </w:tc>
        <w:tc>
          <w:tcPr>
            <w:tcW w:w="1170" w:type="pct"/>
            <w:tcBorders>
              <w:top w:val="single" w:sz="4" w:space="0" w:color="auto"/>
            </w:tcBorders>
            <w:tcMar>
              <w:top w:w="60" w:type="dxa"/>
              <w:left w:w="60" w:type="dxa"/>
              <w:bottom w:w="60" w:type="dxa"/>
              <w:right w:w="60" w:type="dxa"/>
            </w:tcMar>
            <w:vAlign w:val="center"/>
          </w:tcPr>
          <w:p w14:paraId="4A222A9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Coordinator, specialists, knowledge graph and vector retrieval</w:t>
            </w:r>
          </w:p>
        </w:tc>
        <w:tc>
          <w:tcPr>
            <w:tcW w:w="840" w:type="pct"/>
            <w:tcBorders>
              <w:top w:val="single" w:sz="4" w:space="0" w:color="auto"/>
            </w:tcBorders>
            <w:tcMar>
              <w:top w:w="60" w:type="dxa"/>
              <w:left w:w="60" w:type="dxa"/>
              <w:bottom w:w="60" w:type="dxa"/>
              <w:right w:w="60" w:type="dxa"/>
            </w:tcMar>
            <w:vAlign w:val="center"/>
          </w:tcPr>
          <w:p w14:paraId="1BC87D88"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Multiple management functions</w:t>
            </w:r>
          </w:p>
        </w:tc>
        <w:tc>
          <w:tcPr>
            <w:tcW w:w="807" w:type="pct"/>
            <w:tcBorders>
              <w:top w:val="single" w:sz="4" w:space="0" w:color="auto"/>
            </w:tcBorders>
            <w:tcMar>
              <w:top w:w="60" w:type="dxa"/>
              <w:left w:w="60" w:type="dxa"/>
              <w:bottom w:w="60" w:type="dxa"/>
              <w:right w:w="60" w:type="dxa"/>
            </w:tcMar>
            <w:vAlign w:val="center"/>
          </w:tcPr>
          <w:p w14:paraId="7584975B"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Human interaction described</w:t>
            </w:r>
          </w:p>
        </w:tc>
        <w:tc>
          <w:tcPr>
            <w:tcW w:w="783" w:type="pct"/>
            <w:tcBorders>
              <w:top w:val="single" w:sz="4" w:space="0" w:color="auto"/>
            </w:tcBorders>
            <w:tcMar>
              <w:top w:w="60" w:type="dxa"/>
              <w:left w:w="60" w:type="dxa"/>
              <w:bottom w:w="60" w:type="dxa"/>
              <w:right w:w="60" w:type="dxa"/>
            </w:tcMar>
            <w:vAlign w:val="center"/>
          </w:tcPr>
          <w:p w14:paraId="7AAF6CCD"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Conceptual framework</w:t>
            </w:r>
          </w:p>
        </w:tc>
      </w:tr>
      <w:tr w:rsidR="00F40651" w:rsidRPr="000A560E" w14:paraId="0FE3A7AC" w14:textId="77777777" w:rsidTr="00941C51">
        <w:trPr>
          <w:cantSplit/>
          <w:jc w:val="center"/>
        </w:trPr>
        <w:tc>
          <w:tcPr>
            <w:tcW w:w="642" w:type="pct"/>
            <w:tcMar>
              <w:top w:w="60" w:type="dxa"/>
              <w:left w:w="60" w:type="dxa"/>
              <w:bottom w:w="60" w:type="dxa"/>
              <w:right w:w="60" w:type="dxa"/>
            </w:tcMar>
            <w:vAlign w:val="center"/>
          </w:tcPr>
          <w:p w14:paraId="5EC285C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Chen and Bao (2025)</w:t>
            </w:r>
          </w:p>
        </w:tc>
        <w:tc>
          <w:tcPr>
            <w:tcW w:w="758" w:type="pct"/>
            <w:tcMar>
              <w:top w:w="60" w:type="dxa"/>
              <w:left w:w="60" w:type="dxa"/>
              <w:bottom w:w="60" w:type="dxa"/>
              <w:right w:w="60" w:type="dxa"/>
            </w:tcMar>
            <w:vAlign w:val="center"/>
          </w:tcPr>
          <w:p w14:paraId="6792BF50"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Reinforced-concrete design and compliance</w:t>
            </w:r>
          </w:p>
        </w:tc>
        <w:tc>
          <w:tcPr>
            <w:tcW w:w="1170" w:type="pct"/>
            <w:tcMar>
              <w:top w:w="60" w:type="dxa"/>
              <w:left w:w="60" w:type="dxa"/>
              <w:bottom w:w="60" w:type="dxa"/>
              <w:right w:w="60" w:type="dxa"/>
            </w:tcMar>
            <w:vAlign w:val="center"/>
          </w:tcPr>
          <w:p w14:paraId="03C25DB9"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Multi-agent LLM grounded in codes and design data</w:t>
            </w:r>
          </w:p>
        </w:tc>
        <w:tc>
          <w:tcPr>
            <w:tcW w:w="840" w:type="pct"/>
            <w:tcMar>
              <w:top w:w="60" w:type="dxa"/>
              <w:left w:w="60" w:type="dxa"/>
              <w:bottom w:w="60" w:type="dxa"/>
              <w:right w:w="60" w:type="dxa"/>
            </w:tcMar>
            <w:vAlign w:val="center"/>
          </w:tcPr>
          <w:p w14:paraId="529226C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Structural design and compliance</w:t>
            </w:r>
          </w:p>
        </w:tc>
        <w:tc>
          <w:tcPr>
            <w:tcW w:w="807" w:type="pct"/>
            <w:tcMar>
              <w:top w:w="60" w:type="dxa"/>
              <w:left w:w="60" w:type="dxa"/>
              <w:bottom w:w="60" w:type="dxa"/>
              <w:right w:w="60" w:type="dxa"/>
            </w:tcMar>
            <w:vAlign w:val="center"/>
          </w:tcPr>
          <w:p w14:paraId="4BE645FB"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Professional review implied</w:t>
            </w:r>
          </w:p>
        </w:tc>
        <w:tc>
          <w:tcPr>
            <w:tcW w:w="783" w:type="pct"/>
            <w:tcMar>
              <w:top w:w="60" w:type="dxa"/>
              <w:left w:w="60" w:type="dxa"/>
              <w:bottom w:w="60" w:type="dxa"/>
              <w:right w:w="60" w:type="dxa"/>
            </w:tcMar>
            <w:vAlign w:val="center"/>
          </w:tcPr>
          <w:p w14:paraId="5C179608"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Implemented and evaluated</w:t>
            </w:r>
          </w:p>
        </w:tc>
      </w:tr>
      <w:tr w:rsidR="00F40651" w:rsidRPr="000A560E" w14:paraId="038E3C65" w14:textId="77777777" w:rsidTr="00941C51">
        <w:trPr>
          <w:cantSplit/>
          <w:jc w:val="center"/>
        </w:trPr>
        <w:tc>
          <w:tcPr>
            <w:tcW w:w="642" w:type="pct"/>
            <w:tcMar>
              <w:top w:w="60" w:type="dxa"/>
              <w:left w:w="60" w:type="dxa"/>
              <w:bottom w:w="60" w:type="dxa"/>
              <w:right w:w="60" w:type="dxa"/>
            </w:tcMar>
            <w:vAlign w:val="center"/>
          </w:tcPr>
          <w:p w14:paraId="2BA4212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Corneli et al. (2026)</w:t>
            </w:r>
          </w:p>
        </w:tc>
        <w:tc>
          <w:tcPr>
            <w:tcW w:w="758" w:type="pct"/>
            <w:tcMar>
              <w:top w:w="60" w:type="dxa"/>
              <w:left w:w="60" w:type="dxa"/>
              <w:bottom w:w="60" w:type="dxa"/>
              <w:right w:w="60" w:type="dxa"/>
            </w:tcMar>
            <w:vAlign w:val="center"/>
          </w:tcPr>
          <w:p w14:paraId="529829A2"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On-site construction safety guidance</w:t>
            </w:r>
          </w:p>
        </w:tc>
        <w:tc>
          <w:tcPr>
            <w:tcW w:w="1170" w:type="pct"/>
            <w:tcMar>
              <w:top w:w="60" w:type="dxa"/>
              <w:left w:w="60" w:type="dxa"/>
              <w:bottom w:w="60" w:type="dxa"/>
              <w:right w:w="60" w:type="dxa"/>
            </w:tcMar>
            <w:vAlign w:val="center"/>
          </w:tcPr>
          <w:p w14:paraId="32821799"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Single agentic RAG agent; semantic, metadata and structured-data tool routing; proactive clarification</w:t>
            </w:r>
          </w:p>
        </w:tc>
        <w:tc>
          <w:tcPr>
            <w:tcW w:w="840" w:type="pct"/>
            <w:tcMar>
              <w:top w:w="60" w:type="dxa"/>
              <w:left w:w="60" w:type="dxa"/>
              <w:bottom w:w="60" w:type="dxa"/>
              <w:right w:w="60" w:type="dxa"/>
            </w:tcMar>
            <w:vAlign w:val="center"/>
          </w:tcPr>
          <w:p w14:paraId="43D02A10"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Safety procedures and operational context</w:t>
            </w:r>
          </w:p>
        </w:tc>
        <w:tc>
          <w:tcPr>
            <w:tcW w:w="807" w:type="pct"/>
            <w:tcMar>
              <w:top w:w="60" w:type="dxa"/>
              <w:left w:w="60" w:type="dxa"/>
              <w:bottom w:w="60" w:type="dxa"/>
              <w:right w:w="60" w:type="dxa"/>
            </w:tcMar>
            <w:vAlign w:val="center"/>
          </w:tcPr>
          <w:p w14:paraId="23EA8DB8"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Worker-initiated interaction; conflicting evidence left to the human operator</w:t>
            </w:r>
          </w:p>
        </w:tc>
        <w:tc>
          <w:tcPr>
            <w:tcW w:w="783" w:type="pct"/>
            <w:tcMar>
              <w:top w:w="60" w:type="dxa"/>
              <w:left w:w="60" w:type="dxa"/>
              <w:bottom w:w="60" w:type="dxa"/>
              <w:right w:w="60" w:type="dxa"/>
            </w:tcMar>
            <w:vAlign w:val="center"/>
          </w:tcPr>
          <w:p w14:paraId="784B808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Implemented and evaluated</w:t>
            </w:r>
          </w:p>
        </w:tc>
      </w:tr>
      <w:tr w:rsidR="00F40651" w:rsidRPr="000A560E" w14:paraId="6AF11251" w14:textId="77777777" w:rsidTr="00941C51">
        <w:trPr>
          <w:cantSplit/>
          <w:jc w:val="center"/>
        </w:trPr>
        <w:tc>
          <w:tcPr>
            <w:tcW w:w="642" w:type="pct"/>
            <w:tcMar>
              <w:top w:w="60" w:type="dxa"/>
              <w:left w:w="60" w:type="dxa"/>
              <w:bottom w:w="60" w:type="dxa"/>
              <w:right w:w="60" w:type="dxa"/>
            </w:tcMar>
            <w:vAlign w:val="center"/>
          </w:tcPr>
          <w:p w14:paraId="02AFACA9"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lang w:val="de-DE"/>
              </w:rPr>
              <w:t xml:space="preserve">Gu et al. (2025); Zou et al. </w:t>
            </w:r>
            <w:r w:rsidRPr="000A560E">
              <w:rPr>
                <w:rFonts w:ascii="Calibri" w:hAnsi="Calibri" w:cs="Calibri"/>
                <w:sz w:val="21"/>
                <w:szCs w:val="21"/>
              </w:rPr>
              <w:t>(2025)</w:t>
            </w:r>
          </w:p>
        </w:tc>
        <w:tc>
          <w:tcPr>
            <w:tcW w:w="758" w:type="pct"/>
            <w:tcMar>
              <w:top w:w="60" w:type="dxa"/>
              <w:left w:w="60" w:type="dxa"/>
              <w:bottom w:w="60" w:type="dxa"/>
              <w:right w:w="60" w:type="dxa"/>
            </w:tcMar>
            <w:vAlign w:val="center"/>
          </w:tcPr>
          <w:p w14:paraId="287F8B30"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Building embodied-carbon accounting</w:t>
            </w:r>
          </w:p>
        </w:tc>
        <w:tc>
          <w:tcPr>
            <w:tcW w:w="1170" w:type="pct"/>
            <w:tcMar>
              <w:top w:w="60" w:type="dxa"/>
              <w:left w:w="60" w:type="dxa"/>
              <w:bottom w:w="60" w:type="dxa"/>
              <w:right w:w="60" w:type="dxa"/>
            </w:tcMar>
            <w:vAlign w:val="center"/>
          </w:tcPr>
          <w:p w14:paraId="400B885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LLM or RAG over building documents</w:t>
            </w:r>
          </w:p>
        </w:tc>
        <w:tc>
          <w:tcPr>
            <w:tcW w:w="840" w:type="pct"/>
            <w:tcMar>
              <w:top w:w="60" w:type="dxa"/>
              <w:left w:w="60" w:type="dxa"/>
              <w:bottom w:w="60" w:type="dxa"/>
              <w:right w:w="60" w:type="dxa"/>
            </w:tcMar>
            <w:vAlign w:val="center"/>
          </w:tcPr>
          <w:p w14:paraId="1579F1D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Embodied carbon</w:t>
            </w:r>
          </w:p>
        </w:tc>
        <w:tc>
          <w:tcPr>
            <w:tcW w:w="807" w:type="pct"/>
            <w:tcMar>
              <w:top w:w="60" w:type="dxa"/>
              <w:left w:w="60" w:type="dxa"/>
              <w:bottom w:w="60" w:type="dxa"/>
              <w:right w:w="60" w:type="dxa"/>
            </w:tcMar>
            <w:vAlign w:val="center"/>
          </w:tcPr>
          <w:p w14:paraId="023F40C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Limited</w:t>
            </w:r>
          </w:p>
        </w:tc>
        <w:tc>
          <w:tcPr>
            <w:tcW w:w="783" w:type="pct"/>
            <w:tcMar>
              <w:top w:w="60" w:type="dxa"/>
              <w:left w:w="60" w:type="dxa"/>
              <w:bottom w:w="60" w:type="dxa"/>
              <w:right w:w="60" w:type="dxa"/>
            </w:tcMar>
            <w:vAlign w:val="center"/>
          </w:tcPr>
          <w:p w14:paraId="4FA43E26"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Implemented methods</w:t>
            </w:r>
          </w:p>
        </w:tc>
      </w:tr>
      <w:tr w:rsidR="00F40651" w:rsidRPr="000A560E" w14:paraId="11E4947C" w14:textId="77777777" w:rsidTr="00941C51">
        <w:trPr>
          <w:cantSplit/>
          <w:jc w:val="center"/>
        </w:trPr>
        <w:tc>
          <w:tcPr>
            <w:tcW w:w="642" w:type="pct"/>
            <w:tcMar>
              <w:top w:w="60" w:type="dxa"/>
              <w:left w:w="60" w:type="dxa"/>
              <w:bottom w:w="60" w:type="dxa"/>
              <w:right w:w="60" w:type="dxa"/>
            </w:tcMar>
            <w:vAlign w:val="center"/>
          </w:tcPr>
          <w:p w14:paraId="3D58AE7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Gamage et al. (2024)</w:t>
            </w:r>
          </w:p>
        </w:tc>
        <w:tc>
          <w:tcPr>
            <w:tcW w:w="758" w:type="pct"/>
            <w:tcMar>
              <w:top w:w="60" w:type="dxa"/>
              <w:left w:w="60" w:type="dxa"/>
              <w:bottom w:w="60" w:type="dxa"/>
              <w:right w:w="60" w:type="dxa"/>
            </w:tcMar>
            <w:vAlign w:val="center"/>
          </w:tcPr>
          <w:p w14:paraId="0E2969E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Net-zero energy systems</w:t>
            </w:r>
          </w:p>
        </w:tc>
        <w:tc>
          <w:tcPr>
            <w:tcW w:w="1170" w:type="pct"/>
            <w:tcMar>
              <w:top w:w="60" w:type="dxa"/>
              <w:left w:w="60" w:type="dxa"/>
              <w:bottom w:w="60" w:type="dxa"/>
              <w:right w:w="60" w:type="dxa"/>
            </w:tcMar>
            <w:vAlign w:val="center"/>
          </w:tcPr>
          <w:p w14:paraId="65D009D2"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Multi-agent RAG</w:t>
            </w:r>
          </w:p>
        </w:tc>
        <w:tc>
          <w:tcPr>
            <w:tcW w:w="840" w:type="pct"/>
            <w:tcMar>
              <w:top w:w="60" w:type="dxa"/>
              <w:left w:w="60" w:type="dxa"/>
              <w:bottom w:w="60" w:type="dxa"/>
              <w:right w:w="60" w:type="dxa"/>
            </w:tcMar>
            <w:vAlign w:val="center"/>
          </w:tcPr>
          <w:p w14:paraId="7915ADC1"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Energy-system decisions</w:t>
            </w:r>
          </w:p>
        </w:tc>
        <w:tc>
          <w:tcPr>
            <w:tcW w:w="807" w:type="pct"/>
            <w:tcMar>
              <w:top w:w="60" w:type="dxa"/>
              <w:left w:w="60" w:type="dxa"/>
              <w:bottom w:w="60" w:type="dxa"/>
              <w:right w:w="60" w:type="dxa"/>
            </w:tcMar>
            <w:vAlign w:val="center"/>
          </w:tcPr>
          <w:p w14:paraId="4FB7B79A"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Limited</w:t>
            </w:r>
          </w:p>
        </w:tc>
        <w:tc>
          <w:tcPr>
            <w:tcW w:w="783" w:type="pct"/>
            <w:tcMar>
              <w:top w:w="60" w:type="dxa"/>
              <w:left w:w="60" w:type="dxa"/>
              <w:bottom w:w="60" w:type="dxa"/>
              <w:right w:w="60" w:type="dxa"/>
            </w:tcMar>
            <w:vAlign w:val="center"/>
          </w:tcPr>
          <w:p w14:paraId="560B7DC3"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Implemented system</w:t>
            </w:r>
          </w:p>
        </w:tc>
      </w:tr>
      <w:tr w:rsidR="00F40651" w:rsidRPr="000A560E" w14:paraId="161D9A3B" w14:textId="77777777" w:rsidTr="00941C51">
        <w:trPr>
          <w:cantSplit/>
          <w:jc w:val="center"/>
        </w:trPr>
        <w:tc>
          <w:tcPr>
            <w:tcW w:w="642" w:type="pct"/>
            <w:tcBorders>
              <w:bottom w:val="single" w:sz="4" w:space="0" w:color="auto"/>
            </w:tcBorders>
            <w:tcMar>
              <w:top w:w="60" w:type="dxa"/>
              <w:left w:w="60" w:type="dxa"/>
              <w:bottom w:w="60" w:type="dxa"/>
              <w:right w:w="60" w:type="dxa"/>
            </w:tcMar>
            <w:vAlign w:val="center"/>
          </w:tcPr>
          <w:p w14:paraId="0921091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This research</w:t>
            </w:r>
          </w:p>
        </w:tc>
        <w:tc>
          <w:tcPr>
            <w:tcW w:w="758" w:type="pct"/>
            <w:tcBorders>
              <w:bottom w:val="single" w:sz="4" w:space="0" w:color="auto"/>
            </w:tcBorders>
            <w:tcMar>
              <w:top w:w="60" w:type="dxa"/>
              <w:left w:w="60" w:type="dxa"/>
              <w:bottom w:w="60" w:type="dxa"/>
              <w:right w:w="60" w:type="dxa"/>
            </w:tcMar>
            <w:vAlign w:val="center"/>
          </w:tcPr>
          <w:p w14:paraId="5366084D"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Construction material and procurement decisions</w:t>
            </w:r>
          </w:p>
        </w:tc>
        <w:tc>
          <w:tcPr>
            <w:tcW w:w="1170" w:type="pct"/>
            <w:tcBorders>
              <w:bottom w:val="single" w:sz="4" w:space="0" w:color="auto"/>
            </w:tcBorders>
            <w:tcMar>
              <w:top w:w="60" w:type="dxa"/>
              <w:left w:w="60" w:type="dxa"/>
              <w:bottom w:w="60" w:type="dxa"/>
              <w:right w:w="60" w:type="dxa"/>
            </w:tcMar>
            <w:vAlign w:val="center"/>
          </w:tcPr>
          <w:p w14:paraId="0C59491E"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Supervisor and specialists over shared project evidence</w:t>
            </w:r>
          </w:p>
        </w:tc>
        <w:tc>
          <w:tcPr>
            <w:tcW w:w="840" w:type="pct"/>
            <w:tcBorders>
              <w:bottom w:val="single" w:sz="4" w:space="0" w:color="auto"/>
            </w:tcBorders>
            <w:tcMar>
              <w:top w:w="60" w:type="dxa"/>
              <w:left w:w="60" w:type="dxa"/>
              <w:bottom w:w="60" w:type="dxa"/>
              <w:right w:w="60" w:type="dxa"/>
            </w:tcMar>
            <w:vAlign w:val="center"/>
          </w:tcPr>
          <w:p w14:paraId="5856C0E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Cost, programme, embodied carbon and compliance</w:t>
            </w:r>
          </w:p>
        </w:tc>
        <w:tc>
          <w:tcPr>
            <w:tcW w:w="807" w:type="pct"/>
            <w:tcBorders>
              <w:bottom w:val="single" w:sz="4" w:space="0" w:color="auto"/>
            </w:tcBorders>
            <w:tcMar>
              <w:top w:w="60" w:type="dxa"/>
              <w:left w:w="60" w:type="dxa"/>
              <w:bottom w:w="60" w:type="dxa"/>
              <w:right w:w="60" w:type="dxa"/>
            </w:tcMar>
            <w:vAlign w:val="center"/>
          </w:tcPr>
          <w:p w14:paraId="1332BF20"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Three review gates</w:t>
            </w:r>
          </w:p>
        </w:tc>
        <w:tc>
          <w:tcPr>
            <w:tcW w:w="783" w:type="pct"/>
            <w:tcBorders>
              <w:bottom w:val="single" w:sz="4" w:space="0" w:color="auto"/>
            </w:tcBorders>
            <w:tcMar>
              <w:top w:w="60" w:type="dxa"/>
              <w:left w:w="60" w:type="dxa"/>
              <w:bottom w:w="60" w:type="dxa"/>
              <w:right w:w="60" w:type="dxa"/>
            </w:tcMar>
            <w:vAlign w:val="center"/>
          </w:tcPr>
          <w:p w14:paraId="1CDAEF5E"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Conceptual reference architecture</w:t>
            </w:r>
          </w:p>
        </w:tc>
      </w:tr>
    </w:tbl>
    <w:p w14:paraId="08B27BF0" w14:textId="77777777" w:rsidR="00F40651" w:rsidRPr="00F40651" w:rsidRDefault="00F40651" w:rsidP="00F40651">
      <w:pPr>
        <w:spacing w:after="0" w:line="240" w:lineRule="auto"/>
        <w:ind w:firstLine="142"/>
        <w:jc w:val="both"/>
        <w:rPr>
          <w:rFonts w:ascii="Calibri" w:hAnsi="Calibri" w:cs="Calibri"/>
        </w:rPr>
      </w:pPr>
      <w:r w:rsidRPr="00F40651">
        <w:rPr>
          <w:rFonts w:ascii="Calibri" w:hAnsi="Calibri" w:cs="Calibri"/>
          <w:i/>
          <w:sz w:val="19"/>
          <w:szCs w:val="19"/>
        </w:rPr>
        <w:t>Note: “Limited” indicates that human interaction is present, but decision authority or review gates are not specified</w:t>
      </w:r>
      <w:r w:rsidRPr="00F40651">
        <w:rPr>
          <w:rFonts w:ascii="Calibri" w:hAnsi="Calibri" w:cs="Calibri"/>
          <w:i/>
        </w:rPr>
        <w:t>.</w:t>
      </w:r>
    </w:p>
    <w:p w14:paraId="424969FF" w14:textId="77777777" w:rsidR="00F40651" w:rsidRPr="00F204EA" w:rsidRDefault="00F40651" w:rsidP="00F40651">
      <w:pPr>
        <w:spacing w:after="0" w:line="240" w:lineRule="auto"/>
        <w:jc w:val="both"/>
        <w:rPr>
          <w:rFonts w:ascii="Calibri" w:hAnsi="Calibri" w:cs="Calibri"/>
          <w:sz w:val="12"/>
          <w:szCs w:val="12"/>
        </w:rPr>
      </w:pPr>
    </w:p>
    <w:p w14:paraId="1574443D" w14:textId="77777777" w:rsidR="00F40651" w:rsidRPr="00F40651" w:rsidRDefault="00F40651" w:rsidP="00F40651">
      <w:pPr>
        <w:spacing w:after="0" w:line="240" w:lineRule="auto"/>
        <w:jc w:val="both"/>
        <w:rPr>
          <w:rFonts w:ascii="Calibri" w:hAnsi="Calibri" w:cs="Calibri"/>
          <w:b/>
          <w:bCs/>
          <w:sz w:val="28"/>
          <w:szCs w:val="28"/>
        </w:rPr>
      </w:pPr>
      <w:r w:rsidRPr="00F40651">
        <w:rPr>
          <w:rFonts w:ascii="Calibri" w:hAnsi="Calibri" w:cs="Calibri"/>
          <w:b/>
          <w:bCs/>
          <w:sz w:val="28"/>
          <w:szCs w:val="28"/>
        </w:rPr>
        <w:t>3. THE CONCEPTUAL ARCHITECTURE</w:t>
      </w:r>
    </w:p>
    <w:p w14:paraId="1DC31820" w14:textId="54AA3DC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The architecture was developed through a four-step, design-science-informed synthesis (Hevner et al., 2004; Peffers et al., 2007). First, the problem was bounded to construction-delivery choices that materially affect embodied carbon. Second, a purposive review examined construction language-model and multi-agent systems, AI-enabled carbon assessment and human oversight. Third, recurring needs were translated into design and evaluation requirements. Fourth, architecture components were mapped to those requirements and examined through an illustrative material-substitution scenario. This is a conceptual design synthesis, not a systematic review or empirical validation.</w:t>
      </w:r>
      <w:r w:rsidR="00F204EA">
        <w:rPr>
          <w:rFonts w:ascii="Calibri" w:hAnsi="Calibri" w:cs="Calibri"/>
        </w:rPr>
        <w:t xml:space="preserve"> </w:t>
      </w:r>
      <w:r w:rsidRPr="00F40651">
        <w:rPr>
          <w:rFonts w:ascii="Calibri" w:hAnsi="Calibri" w:cs="Calibri"/>
        </w:rPr>
        <w:t xml:space="preserve">Five design and evaluation requirements guide the architecture. DR1: every reasoning pathway must use a common project-specific evidence base in which numerical values remain typed and unit-bearing, narrative evidence is semantically retrievable, and source, location, version, extraction method, functional unit and system boundary are preserved. DR2: cost, programme, </w:t>
      </w:r>
      <w:proofErr w:type="gramStart"/>
      <w:r w:rsidRPr="00F40651">
        <w:rPr>
          <w:rFonts w:ascii="Calibri" w:hAnsi="Calibri" w:cs="Calibri"/>
        </w:rPr>
        <w:t>embodied-carbon</w:t>
      </w:r>
      <w:proofErr w:type="gramEnd"/>
      <w:r w:rsidRPr="00F40651">
        <w:rPr>
          <w:rFonts w:ascii="Calibri" w:hAnsi="Calibri" w:cs="Calibri"/>
        </w:rPr>
        <w:t xml:space="preserve"> and compliance analyses must be decomposed while remaining comparable at option level. DR3: before synthesis, the supervisor must test whether the request and evidence are sufficiently specified, request targeted clarification where missing context can be repaired, expose retrieval failure and conflicting authoritative evidence, and withhold rather than fabricate or autonomously arbitrate where uncertainty remains. DR4: the proposed pathway must be evaluated against a retrieval-grounded single-model configuration using equivalent evidence and task conditions. DR5: human reviewers must retain authority at evidence acceptance, analysis challenge and final </w:t>
      </w:r>
      <w:r w:rsidRPr="00F40651">
        <w:rPr>
          <w:rFonts w:ascii="Calibri" w:hAnsi="Calibri" w:cs="Calibri"/>
        </w:rPr>
        <w:lastRenderedPageBreak/>
        <w:t>decision. The four specialist domains form a bounded minimum set for material-substitution and procurement decisions, not a universal decomposition of construction decision-making. Safety, constructability, quality or other domains can be added through the same orchestration pattern.</w:t>
      </w:r>
    </w:p>
    <w:p w14:paraId="60814EED" w14:textId="77777777" w:rsidR="00F40651" w:rsidRPr="00F40651" w:rsidRDefault="00F40651" w:rsidP="00F204EA">
      <w:pPr>
        <w:spacing w:after="0" w:line="235" w:lineRule="auto"/>
        <w:ind w:firstLine="720"/>
        <w:jc w:val="both"/>
        <w:rPr>
          <w:rFonts w:ascii="Calibri" w:hAnsi="Calibri" w:cs="Calibri"/>
          <w:sz w:val="2"/>
          <w:szCs w:val="2"/>
        </w:rPr>
      </w:pPr>
    </w:p>
    <w:p w14:paraId="5BBDC8FD" w14:textId="47734616" w:rsidR="00F40651" w:rsidRPr="00F40651" w:rsidRDefault="00514F1D" w:rsidP="00F204EA">
      <w:pPr>
        <w:keepNext/>
        <w:spacing w:after="0" w:line="235" w:lineRule="auto"/>
        <w:jc w:val="center"/>
        <w:rPr>
          <w:rFonts w:ascii="Calibri" w:hAnsi="Calibri" w:cs="Calibri"/>
        </w:rPr>
      </w:pPr>
      <w:r>
        <w:rPr>
          <w:rFonts w:ascii="Calibri" w:hAnsi="Calibri" w:cs="Calibri"/>
          <w:noProof/>
        </w:rPr>
        <w:drawing>
          <wp:inline distT="0" distB="0" distL="0" distR="0" wp14:anchorId="6B2892B0" wp14:editId="5813C4A4">
            <wp:extent cx="5640681" cy="2592125"/>
            <wp:effectExtent l="0" t="0" r="0" b="0"/>
            <wp:docPr id="1030896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3216" cy="2625458"/>
                    </a:xfrm>
                    <a:prstGeom prst="rect">
                      <a:avLst/>
                    </a:prstGeom>
                    <a:noFill/>
                  </pic:spPr>
                </pic:pic>
              </a:graphicData>
            </a:graphic>
          </wp:inline>
        </w:drawing>
      </w:r>
    </w:p>
    <w:p w14:paraId="1AD48B85" w14:textId="6A7D3CA5" w:rsidR="00F40651" w:rsidRDefault="00F40651" w:rsidP="00F204EA">
      <w:pPr>
        <w:keepLines/>
        <w:spacing w:after="0" w:line="235" w:lineRule="auto"/>
        <w:jc w:val="center"/>
        <w:rPr>
          <w:rFonts w:ascii="Calibri" w:hAnsi="Calibri" w:cs="Calibri"/>
          <w:i/>
          <w:sz w:val="20"/>
          <w:szCs w:val="20"/>
        </w:rPr>
      </w:pPr>
      <w:r w:rsidRPr="000A2B28">
        <w:rPr>
          <w:rFonts w:ascii="Calibri" w:hAnsi="Calibri" w:cs="Calibri"/>
          <w:i/>
          <w:sz w:val="20"/>
          <w:szCs w:val="20"/>
        </w:rPr>
        <w:t>Figure 1. Proposed architecture for evidence-grounded, net-zero-aligned construction decision support.</w:t>
      </w:r>
    </w:p>
    <w:p w14:paraId="04B9614D" w14:textId="77777777" w:rsidR="00193130" w:rsidRPr="00F204EA" w:rsidRDefault="00193130" w:rsidP="00F204EA">
      <w:pPr>
        <w:keepLines/>
        <w:spacing w:after="0" w:line="235" w:lineRule="auto"/>
        <w:jc w:val="center"/>
        <w:rPr>
          <w:rFonts w:ascii="Calibri" w:hAnsi="Calibri" w:cs="Calibri"/>
          <w:i/>
          <w:iCs/>
          <w:sz w:val="12"/>
          <w:szCs w:val="12"/>
        </w:rPr>
      </w:pPr>
    </w:p>
    <w:p w14:paraId="03094845" w14:textId="77777777" w:rsidR="00F40651" w:rsidRPr="00F40651" w:rsidRDefault="00F40651" w:rsidP="00F204EA">
      <w:pPr>
        <w:keepNext/>
        <w:spacing w:after="0" w:line="235" w:lineRule="auto"/>
        <w:jc w:val="both"/>
        <w:rPr>
          <w:rFonts w:ascii="Calibri" w:hAnsi="Calibri" w:cs="Calibri"/>
        </w:rPr>
      </w:pPr>
      <w:r w:rsidRPr="00F40651">
        <w:rPr>
          <w:rFonts w:ascii="Calibri" w:hAnsi="Calibri" w:cs="Calibri"/>
          <w:b/>
          <w:bCs/>
          <w:sz w:val="28"/>
          <w:szCs w:val="28"/>
        </w:rPr>
        <w:t>3.1 Layer 1: Project evidence and knowledge</w:t>
      </w:r>
    </w:p>
    <w:p w14:paraId="517F3AE7" w14:textId="3AF75199"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 xml:space="preserve">Layer 1 converts fragmented project information into a common evidence foundation. Evidence handling is deliberately heterogeneous. Quantities, rates, dates, carbon factors and other numerical values remain </w:t>
      </w:r>
      <w:proofErr w:type="spellStart"/>
      <w:r w:rsidRPr="00F40651">
        <w:rPr>
          <w:rFonts w:ascii="Calibri" w:hAnsi="Calibri" w:cs="Calibri"/>
        </w:rPr>
        <w:t>queryable</w:t>
      </w:r>
      <w:proofErr w:type="spellEnd"/>
      <w:r w:rsidRPr="00F40651">
        <w:rPr>
          <w:rFonts w:ascii="Calibri" w:hAnsi="Calibri" w:cs="Calibri"/>
        </w:rPr>
        <w:t xml:space="preserve"> as typed data, while narrative sources such as specifications, contracts and EPD narratives use semantic retrieval. Each evidence item retains its source, page or section, version, extraction method, value and unit, functional unit, life-cycle boundary and evidence status. This prevents numerical project data from being reduced to undifferentiated text and supports later audit (Corneli et al., 2026).</w:t>
      </w:r>
      <w:r w:rsidR="00F204EA">
        <w:rPr>
          <w:rFonts w:ascii="Calibri" w:hAnsi="Calibri" w:cs="Calibri"/>
        </w:rPr>
        <w:t xml:space="preserve"> </w:t>
      </w:r>
      <w:r w:rsidRPr="00F40651">
        <w:rPr>
          <w:rFonts w:ascii="Calibri" w:hAnsi="Calibri" w:cs="Calibri"/>
        </w:rPr>
        <w:t>The architecture remains implementation-neutral and does not prescribe a database, BIM platform, vector store or workflow engine. It does, however, require document-currency controls: superseded or deleted records must be invalidated before reuse, and updated evidence must be reprocessed consistently. The same accepted evidence package is supplied to the external single-model comparator, enabling a fair evaluation of orchestration rather than a comparison confounded by different inputs (Corneli et al., 2026).</w:t>
      </w:r>
    </w:p>
    <w:p w14:paraId="3AAE47C8" w14:textId="77777777" w:rsidR="00F40651" w:rsidRPr="00F40651" w:rsidRDefault="00F40651" w:rsidP="00F204EA">
      <w:pPr>
        <w:keepNext/>
        <w:spacing w:after="0" w:line="230" w:lineRule="auto"/>
        <w:jc w:val="both"/>
        <w:rPr>
          <w:rFonts w:ascii="Calibri" w:hAnsi="Calibri" w:cs="Calibri"/>
        </w:rPr>
      </w:pPr>
      <w:r w:rsidRPr="00F40651">
        <w:rPr>
          <w:rFonts w:ascii="Calibri" w:hAnsi="Calibri" w:cs="Calibri"/>
          <w:b/>
          <w:bCs/>
          <w:sz w:val="28"/>
          <w:szCs w:val="28"/>
        </w:rPr>
        <w:t>3.2 Layer 2: Supervisor-led multi-agent reasoning</w:t>
      </w:r>
    </w:p>
    <w:p w14:paraId="4B04A7FC"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The operational pathway uses a supervisor or orchestrator and four specialists. Before dispatch, the supervisor checks whether the decision request contains critical parameters and whether retrieval has produced relevant, current evidence. Missing context that can be repaired triggers a targeted clarification request. Retrieval failure, outdated evidence or conflicting authoritative sources are surfaced rather than fabricated or resolved autonomously. Each specialist is an agent rather than a prompt persona because it has a bounded objective, access to domain-specific retrieval or calculation tools, task state and a structured output contract containing findings, evidence references, assumptions, uncertainty and blocking conditions. The supervisor then decomposes the task, dispatches agents, checks completion, requests re-analysis when findings conflict, and either synthesises a conditional recommendation or withholds the recommendation for human action.</w:t>
      </w:r>
    </w:p>
    <w:p w14:paraId="0CAD50B5"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The Cost Agent examines quantity, rate, procurement and variation implications. The Programme Agent assesses lead time, sequencing, approval duration and critical-path exposure. The Embodied Carbon Agent evaluates quantity and boundary-consistent emission data, including product-specific environmental product declarations where available. The Compliance Agent checks specifications, standards, contractual requirements, sustainability commitments and approval conditions.</w:t>
      </w:r>
    </w:p>
    <w:p w14:paraId="6FFDE147" w14:textId="77777777" w:rsidR="00F40651" w:rsidRDefault="00F40651" w:rsidP="00F204EA">
      <w:pPr>
        <w:spacing w:after="0" w:line="230" w:lineRule="auto"/>
        <w:ind w:firstLine="720"/>
        <w:jc w:val="both"/>
        <w:rPr>
          <w:rFonts w:ascii="Calibri" w:hAnsi="Calibri" w:cs="Calibri"/>
        </w:rPr>
      </w:pPr>
      <w:r w:rsidRPr="00F40651">
        <w:rPr>
          <w:rFonts w:ascii="Calibri" w:hAnsi="Calibri" w:cs="Calibri"/>
        </w:rPr>
        <w:t xml:space="preserve">Constraint-aware synthesis means evidence-linked comparison and constraint checking, not automatic multi-criteria optimisation. Mandatory regulatory, structural, safety and specification </w:t>
      </w:r>
      <w:r w:rsidRPr="00F40651">
        <w:rPr>
          <w:rFonts w:ascii="Calibri" w:hAnsi="Calibri" w:cs="Calibri"/>
        </w:rPr>
        <w:lastRenderedPageBreak/>
        <w:t>requirements operate as gates. Cost, programme and embodied-carbon effects are reported with evidence, uncertainty and user-defined tolerances. Missing decision parameters trigger targeted clarification; unresolved ambiguity, retrieval failure, conflicting authoritative sources, absent provenance or numerical mismatch trigger recommendation withholding and referral to the relevant human gate. At minimum, an implementation should enforce retrieval before substantive reasoning, route numerical questions to typed data or calculation tools, prohibit unsupported completion, report retrieval failure explicitly, and surface conflicting authoritative evidence without autonomous arbitration. Table 2 summarises these controls.</w:t>
      </w:r>
    </w:p>
    <w:p w14:paraId="39082F82" w14:textId="77777777" w:rsidR="0034149E" w:rsidRPr="00F204EA" w:rsidRDefault="0034149E" w:rsidP="00F40651">
      <w:pPr>
        <w:spacing w:after="0" w:line="240" w:lineRule="auto"/>
        <w:ind w:firstLine="720"/>
        <w:jc w:val="both"/>
        <w:rPr>
          <w:rFonts w:ascii="Calibri" w:hAnsi="Calibri" w:cs="Calibri"/>
          <w:sz w:val="12"/>
          <w:szCs w:val="12"/>
        </w:rPr>
      </w:pPr>
    </w:p>
    <w:p w14:paraId="79B86377" w14:textId="77777777" w:rsidR="00F40651" w:rsidRPr="00534399" w:rsidRDefault="00F40651" w:rsidP="0034149E">
      <w:pPr>
        <w:spacing w:after="0" w:line="240" w:lineRule="auto"/>
        <w:jc w:val="center"/>
        <w:rPr>
          <w:rFonts w:ascii="Calibri" w:hAnsi="Calibri" w:cs="Calibri"/>
          <w:sz w:val="20"/>
          <w:szCs w:val="20"/>
        </w:rPr>
      </w:pPr>
      <w:r w:rsidRPr="00534399">
        <w:rPr>
          <w:rFonts w:ascii="Calibri" w:hAnsi="Calibri" w:cs="Calibri"/>
          <w:i/>
          <w:sz w:val="20"/>
          <w:szCs w:val="20"/>
        </w:rPr>
        <w:t>Table 2: Minimum evidence-handling and execution controls for an operational implementation.</w:t>
      </w:r>
    </w:p>
    <w:tbl>
      <w:tblPr>
        <w:tblW w:w="0" w:type="auto"/>
        <w:jc w:val="center"/>
        <w:tblLook w:val="04A0" w:firstRow="1" w:lastRow="0" w:firstColumn="1" w:lastColumn="0" w:noHBand="0" w:noVBand="1"/>
      </w:tblPr>
      <w:tblGrid>
        <w:gridCol w:w="1695"/>
        <w:gridCol w:w="4286"/>
        <w:gridCol w:w="3045"/>
      </w:tblGrid>
      <w:tr w:rsidR="00F40651" w:rsidRPr="000A560E" w14:paraId="7F4444F2" w14:textId="77777777" w:rsidTr="00534399">
        <w:trPr>
          <w:tblHeader/>
          <w:jc w:val="center"/>
        </w:trPr>
        <w:tc>
          <w:tcPr>
            <w:tcW w:w="1800" w:type="dxa"/>
            <w:tcBorders>
              <w:top w:val="single" w:sz="4" w:space="0" w:color="auto"/>
              <w:bottom w:val="single" w:sz="4" w:space="0" w:color="auto"/>
            </w:tcBorders>
            <w:tcMar>
              <w:top w:w="60" w:type="dxa"/>
              <w:left w:w="60" w:type="dxa"/>
              <w:bottom w:w="60" w:type="dxa"/>
              <w:right w:w="60" w:type="dxa"/>
            </w:tcMar>
            <w:vAlign w:val="center"/>
          </w:tcPr>
          <w:p w14:paraId="31CCC40B" w14:textId="77777777" w:rsidR="00F40651" w:rsidRPr="000A560E" w:rsidRDefault="00F40651" w:rsidP="00F204EA">
            <w:pPr>
              <w:spacing w:after="0" w:line="230" w:lineRule="auto"/>
              <w:rPr>
                <w:rFonts w:ascii="Calibri" w:hAnsi="Calibri" w:cs="Calibri"/>
                <w:bCs/>
                <w:sz w:val="21"/>
                <w:szCs w:val="21"/>
              </w:rPr>
            </w:pPr>
            <w:r w:rsidRPr="000A560E">
              <w:rPr>
                <w:rFonts w:ascii="Calibri" w:hAnsi="Calibri" w:cs="Calibri"/>
                <w:bCs/>
                <w:sz w:val="21"/>
                <w:szCs w:val="21"/>
              </w:rPr>
              <w:t>Control</w:t>
            </w:r>
          </w:p>
        </w:tc>
        <w:tc>
          <w:tcPr>
            <w:tcW w:w="4800" w:type="dxa"/>
            <w:tcBorders>
              <w:top w:val="single" w:sz="4" w:space="0" w:color="auto"/>
              <w:bottom w:val="single" w:sz="4" w:space="0" w:color="auto"/>
            </w:tcBorders>
            <w:tcMar>
              <w:top w:w="60" w:type="dxa"/>
              <w:left w:w="60" w:type="dxa"/>
              <w:bottom w:w="60" w:type="dxa"/>
              <w:right w:w="60" w:type="dxa"/>
            </w:tcMar>
            <w:vAlign w:val="center"/>
          </w:tcPr>
          <w:p w14:paraId="17899E8F" w14:textId="77777777" w:rsidR="00F40651" w:rsidRPr="000A560E" w:rsidRDefault="00F40651" w:rsidP="00F204EA">
            <w:pPr>
              <w:spacing w:after="0" w:line="230" w:lineRule="auto"/>
              <w:rPr>
                <w:rFonts w:ascii="Calibri" w:hAnsi="Calibri" w:cs="Calibri"/>
                <w:bCs/>
                <w:sz w:val="21"/>
                <w:szCs w:val="21"/>
              </w:rPr>
            </w:pPr>
            <w:r w:rsidRPr="000A560E">
              <w:rPr>
                <w:rFonts w:ascii="Calibri" w:hAnsi="Calibri" w:cs="Calibri"/>
                <w:bCs/>
                <w:sz w:val="21"/>
                <w:szCs w:val="21"/>
              </w:rPr>
              <w:t>Minimum implementation requirement</w:t>
            </w:r>
          </w:p>
        </w:tc>
        <w:tc>
          <w:tcPr>
            <w:tcW w:w="3300" w:type="dxa"/>
            <w:tcBorders>
              <w:top w:val="single" w:sz="4" w:space="0" w:color="auto"/>
              <w:bottom w:val="single" w:sz="4" w:space="0" w:color="auto"/>
            </w:tcBorders>
            <w:tcMar>
              <w:top w:w="60" w:type="dxa"/>
              <w:left w:w="60" w:type="dxa"/>
              <w:bottom w:w="60" w:type="dxa"/>
              <w:right w:w="60" w:type="dxa"/>
            </w:tcMar>
            <w:vAlign w:val="center"/>
          </w:tcPr>
          <w:p w14:paraId="15948F25" w14:textId="77777777" w:rsidR="00F40651" w:rsidRPr="000A560E" w:rsidRDefault="00F40651" w:rsidP="00F204EA">
            <w:pPr>
              <w:spacing w:after="0" w:line="230" w:lineRule="auto"/>
              <w:rPr>
                <w:rFonts w:ascii="Calibri" w:hAnsi="Calibri" w:cs="Calibri"/>
                <w:bCs/>
                <w:sz w:val="21"/>
                <w:szCs w:val="21"/>
              </w:rPr>
            </w:pPr>
            <w:r w:rsidRPr="000A560E">
              <w:rPr>
                <w:rFonts w:ascii="Calibri" w:hAnsi="Calibri" w:cs="Calibri"/>
                <w:bCs/>
                <w:sz w:val="21"/>
                <w:szCs w:val="21"/>
              </w:rPr>
              <w:t>System and human response</w:t>
            </w:r>
          </w:p>
        </w:tc>
      </w:tr>
      <w:tr w:rsidR="00F40651" w:rsidRPr="000A560E" w14:paraId="458F2C26" w14:textId="77777777" w:rsidTr="00534399">
        <w:trPr>
          <w:jc w:val="center"/>
        </w:trPr>
        <w:tc>
          <w:tcPr>
            <w:tcW w:w="1800" w:type="dxa"/>
            <w:tcBorders>
              <w:top w:val="single" w:sz="4" w:space="0" w:color="auto"/>
            </w:tcBorders>
            <w:tcMar>
              <w:top w:w="60" w:type="dxa"/>
              <w:left w:w="60" w:type="dxa"/>
              <w:bottom w:w="60" w:type="dxa"/>
              <w:right w:w="60" w:type="dxa"/>
            </w:tcMar>
            <w:vAlign w:val="center"/>
          </w:tcPr>
          <w:p w14:paraId="7915F531"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Evidence routing</w:t>
            </w:r>
          </w:p>
        </w:tc>
        <w:tc>
          <w:tcPr>
            <w:tcW w:w="4800" w:type="dxa"/>
            <w:tcBorders>
              <w:top w:val="single" w:sz="4" w:space="0" w:color="auto"/>
            </w:tcBorders>
            <w:tcMar>
              <w:top w:w="60" w:type="dxa"/>
              <w:left w:w="60" w:type="dxa"/>
              <w:bottom w:w="60" w:type="dxa"/>
              <w:right w:w="60" w:type="dxa"/>
            </w:tcMar>
            <w:vAlign w:val="center"/>
          </w:tcPr>
          <w:p w14:paraId="5A6C4D9D"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Use typed data or calculation tools for quantities, rates, dates and carbon factors; use semantic retrieval for narrative sources</w:t>
            </w:r>
          </w:p>
        </w:tc>
        <w:tc>
          <w:tcPr>
            <w:tcW w:w="3300" w:type="dxa"/>
            <w:tcBorders>
              <w:top w:val="single" w:sz="4" w:space="0" w:color="auto"/>
            </w:tcBorders>
            <w:tcMar>
              <w:top w:w="60" w:type="dxa"/>
              <w:left w:w="60" w:type="dxa"/>
              <w:bottom w:w="60" w:type="dxa"/>
              <w:right w:w="60" w:type="dxa"/>
            </w:tcMar>
            <w:vAlign w:val="center"/>
          </w:tcPr>
          <w:p w14:paraId="07EA60C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Routing mismatch or ambiguity is returned to Gate 1 for correction or clarification</w:t>
            </w:r>
          </w:p>
        </w:tc>
      </w:tr>
      <w:tr w:rsidR="00F40651" w:rsidRPr="000A560E" w14:paraId="4651B4C6" w14:textId="77777777" w:rsidTr="00534399">
        <w:trPr>
          <w:jc w:val="center"/>
        </w:trPr>
        <w:tc>
          <w:tcPr>
            <w:tcW w:w="1800" w:type="dxa"/>
            <w:tcMar>
              <w:top w:w="60" w:type="dxa"/>
              <w:left w:w="60" w:type="dxa"/>
              <w:bottom w:w="60" w:type="dxa"/>
              <w:right w:w="60" w:type="dxa"/>
            </w:tcMar>
            <w:vAlign w:val="center"/>
          </w:tcPr>
          <w:p w14:paraId="209D8BB1"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Retrieval before reasoning</w:t>
            </w:r>
          </w:p>
        </w:tc>
        <w:tc>
          <w:tcPr>
            <w:tcW w:w="4800" w:type="dxa"/>
            <w:tcMar>
              <w:top w:w="60" w:type="dxa"/>
              <w:left w:w="60" w:type="dxa"/>
              <w:bottom w:w="60" w:type="dxa"/>
              <w:right w:w="60" w:type="dxa"/>
            </w:tcMar>
            <w:vAlign w:val="center"/>
          </w:tcPr>
          <w:p w14:paraId="5704CFA1"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Do not issue a substantive finding without retrieved or calculated project evidence</w:t>
            </w:r>
          </w:p>
        </w:tc>
        <w:tc>
          <w:tcPr>
            <w:tcW w:w="3300" w:type="dxa"/>
            <w:tcMar>
              <w:top w:w="60" w:type="dxa"/>
              <w:left w:w="60" w:type="dxa"/>
              <w:bottom w:w="60" w:type="dxa"/>
              <w:right w:w="60" w:type="dxa"/>
            </w:tcMar>
            <w:vAlign w:val="center"/>
          </w:tcPr>
          <w:p w14:paraId="6E9E348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Report retrieval failure explicitly and withhold the affected dimension</w:t>
            </w:r>
          </w:p>
        </w:tc>
      </w:tr>
      <w:tr w:rsidR="00F40651" w:rsidRPr="000A560E" w14:paraId="3F1F5332" w14:textId="77777777" w:rsidTr="00534399">
        <w:trPr>
          <w:jc w:val="center"/>
        </w:trPr>
        <w:tc>
          <w:tcPr>
            <w:tcW w:w="1800" w:type="dxa"/>
            <w:tcMar>
              <w:top w:w="60" w:type="dxa"/>
              <w:left w:w="60" w:type="dxa"/>
              <w:bottom w:w="60" w:type="dxa"/>
              <w:right w:w="60" w:type="dxa"/>
            </w:tcMar>
            <w:vAlign w:val="center"/>
          </w:tcPr>
          <w:p w14:paraId="4790DD7B"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Targeted clarification</w:t>
            </w:r>
          </w:p>
        </w:tc>
        <w:tc>
          <w:tcPr>
            <w:tcW w:w="4800" w:type="dxa"/>
            <w:tcMar>
              <w:top w:w="60" w:type="dxa"/>
              <w:left w:w="60" w:type="dxa"/>
              <w:bottom w:w="60" w:type="dxa"/>
              <w:right w:w="60" w:type="dxa"/>
            </w:tcMar>
            <w:vAlign w:val="center"/>
          </w:tcPr>
          <w:p w14:paraId="1B8D9173"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Test for missing critical decision parameters before specialist dispatch</w:t>
            </w:r>
          </w:p>
        </w:tc>
        <w:tc>
          <w:tcPr>
            <w:tcW w:w="3300" w:type="dxa"/>
            <w:tcMar>
              <w:top w:w="60" w:type="dxa"/>
              <w:left w:w="60" w:type="dxa"/>
              <w:bottom w:w="60" w:type="dxa"/>
              <w:right w:w="60" w:type="dxa"/>
            </w:tcMar>
            <w:vAlign w:val="center"/>
          </w:tcPr>
          <w:p w14:paraId="2111B37C"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Ask a specific clarification question; unresolved ambiguity leads to recommendation withholding</w:t>
            </w:r>
          </w:p>
        </w:tc>
      </w:tr>
      <w:tr w:rsidR="00F40651" w:rsidRPr="000A560E" w14:paraId="4A6C5E2D" w14:textId="77777777" w:rsidTr="00534399">
        <w:trPr>
          <w:jc w:val="center"/>
        </w:trPr>
        <w:tc>
          <w:tcPr>
            <w:tcW w:w="1800" w:type="dxa"/>
            <w:tcMar>
              <w:top w:w="60" w:type="dxa"/>
              <w:left w:w="60" w:type="dxa"/>
              <w:bottom w:w="60" w:type="dxa"/>
              <w:right w:w="60" w:type="dxa"/>
            </w:tcMar>
            <w:vAlign w:val="center"/>
          </w:tcPr>
          <w:p w14:paraId="2FC77304"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Provenance and currency</w:t>
            </w:r>
          </w:p>
        </w:tc>
        <w:tc>
          <w:tcPr>
            <w:tcW w:w="4800" w:type="dxa"/>
            <w:tcMar>
              <w:top w:w="60" w:type="dxa"/>
              <w:left w:w="60" w:type="dxa"/>
              <w:bottom w:w="60" w:type="dxa"/>
              <w:right w:w="60" w:type="dxa"/>
            </w:tcMar>
            <w:vAlign w:val="center"/>
          </w:tcPr>
          <w:p w14:paraId="11942FBB"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Retain source, page or section, version, value, unit, functional unit and boundary; invalidate superseded evidence</w:t>
            </w:r>
          </w:p>
        </w:tc>
        <w:tc>
          <w:tcPr>
            <w:tcW w:w="3300" w:type="dxa"/>
            <w:tcMar>
              <w:top w:w="60" w:type="dxa"/>
              <w:left w:w="60" w:type="dxa"/>
              <w:bottom w:w="60" w:type="dxa"/>
              <w:right w:w="60" w:type="dxa"/>
            </w:tcMar>
            <w:vAlign w:val="center"/>
          </w:tcPr>
          <w:p w14:paraId="7CF7D326"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Gate 1 rejects or corrects stale evidence and triggers reprocessing</w:t>
            </w:r>
          </w:p>
        </w:tc>
      </w:tr>
      <w:tr w:rsidR="00F40651" w:rsidRPr="000A560E" w14:paraId="1532D3DF" w14:textId="77777777" w:rsidTr="00534399">
        <w:trPr>
          <w:jc w:val="center"/>
        </w:trPr>
        <w:tc>
          <w:tcPr>
            <w:tcW w:w="1800" w:type="dxa"/>
            <w:tcMar>
              <w:top w:w="60" w:type="dxa"/>
              <w:left w:w="60" w:type="dxa"/>
              <w:bottom w:w="60" w:type="dxa"/>
              <w:right w:w="60" w:type="dxa"/>
            </w:tcMar>
            <w:vAlign w:val="center"/>
          </w:tcPr>
          <w:p w14:paraId="3A65CA7A"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Numerical integrity</w:t>
            </w:r>
          </w:p>
        </w:tc>
        <w:tc>
          <w:tcPr>
            <w:tcW w:w="4800" w:type="dxa"/>
            <w:tcMar>
              <w:top w:w="60" w:type="dxa"/>
              <w:left w:w="60" w:type="dxa"/>
              <w:bottom w:w="60" w:type="dxa"/>
              <w:right w:w="60" w:type="dxa"/>
            </w:tcMar>
            <w:vAlign w:val="center"/>
          </w:tcPr>
          <w:p w14:paraId="6E1573E6"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Use exact values and units from typed sources; prohibit inferred numerical completion</w:t>
            </w:r>
          </w:p>
        </w:tc>
        <w:tc>
          <w:tcPr>
            <w:tcW w:w="3300" w:type="dxa"/>
            <w:tcMar>
              <w:top w:w="60" w:type="dxa"/>
              <w:left w:w="60" w:type="dxa"/>
              <w:bottom w:w="60" w:type="dxa"/>
              <w:right w:w="60" w:type="dxa"/>
            </w:tcMar>
            <w:vAlign w:val="center"/>
          </w:tcPr>
          <w:p w14:paraId="480C26A1"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Flag missing or inconsistent values rather than estimating them</w:t>
            </w:r>
          </w:p>
        </w:tc>
      </w:tr>
      <w:tr w:rsidR="00F40651" w:rsidRPr="000A560E" w14:paraId="6EA53619" w14:textId="77777777" w:rsidTr="00534399">
        <w:trPr>
          <w:jc w:val="center"/>
        </w:trPr>
        <w:tc>
          <w:tcPr>
            <w:tcW w:w="1800" w:type="dxa"/>
            <w:tcMar>
              <w:top w:w="60" w:type="dxa"/>
              <w:left w:w="60" w:type="dxa"/>
              <w:bottom w:w="60" w:type="dxa"/>
              <w:right w:w="60" w:type="dxa"/>
            </w:tcMar>
            <w:vAlign w:val="center"/>
          </w:tcPr>
          <w:p w14:paraId="59F6BC45"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Conflict handling</w:t>
            </w:r>
          </w:p>
        </w:tc>
        <w:tc>
          <w:tcPr>
            <w:tcW w:w="4800" w:type="dxa"/>
            <w:tcMar>
              <w:top w:w="60" w:type="dxa"/>
              <w:left w:w="60" w:type="dxa"/>
              <w:bottom w:w="60" w:type="dxa"/>
              <w:right w:w="60" w:type="dxa"/>
            </w:tcMar>
            <w:vAlign w:val="center"/>
          </w:tcPr>
          <w:p w14:paraId="69A18DFD"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Surface conflicting authoritative evidence without autonomous arbitration</w:t>
            </w:r>
          </w:p>
        </w:tc>
        <w:tc>
          <w:tcPr>
            <w:tcW w:w="3300" w:type="dxa"/>
            <w:tcMar>
              <w:top w:w="60" w:type="dxa"/>
              <w:left w:w="60" w:type="dxa"/>
              <w:bottom w:w="60" w:type="dxa"/>
              <w:right w:w="60" w:type="dxa"/>
            </w:tcMar>
            <w:vAlign w:val="center"/>
          </w:tcPr>
          <w:p w14:paraId="75D10477"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 xml:space="preserve">Gate 2 or Gate 3 determines </w:t>
            </w:r>
            <w:proofErr w:type="gramStart"/>
            <w:r w:rsidRPr="000A560E">
              <w:rPr>
                <w:rFonts w:ascii="Calibri" w:hAnsi="Calibri" w:cs="Calibri"/>
                <w:sz w:val="21"/>
                <w:szCs w:val="21"/>
              </w:rPr>
              <w:t>interpretation,</w:t>
            </w:r>
            <w:proofErr w:type="gramEnd"/>
            <w:r w:rsidRPr="000A560E">
              <w:rPr>
                <w:rFonts w:ascii="Calibri" w:hAnsi="Calibri" w:cs="Calibri"/>
                <w:sz w:val="21"/>
                <w:szCs w:val="21"/>
              </w:rPr>
              <w:t xml:space="preserve"> evidence request or escalation</w:t>
            </w:r>
          </w:p>
        </w:tc>
      </w:tr>
      <w:tr w:rsidR="00F40651" w:rsidRPr="000A560E" w14:paraId="06AA9837" w14:textId="77777777" w:rsidTr="00534399">
        <w:trPr>
          <w:jc w:val="center"/>
        </w:trPr>
        <w:tc>
          <w:tcPr>
            <w:tcW w:w="1800" w:type="dxa"/>
            <w:tcBorders>
              <w:bottom w:val="single" w:sz="4" w:space="0" w:color="auto"/>
            </w:tcBorders>
            <w:tcMar>
              <w:top w:w="60" w:type="dxa"/>
              <w:left w:w="60" w:type="dxa"/>
              <w:bottom w:w="60" w:type="dxa"/>
              <w:right w:w="60" w:type="dxa"/>
            </w:tcMar>
            <w:vAlign w:val="center"/>
          </w:tcPr>
          <w:p w14:paraId="53195A70"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Output control</w:t>
            </w:r>
          </w:p>
        </w:tc>
        <w:tc>
          <w:tcPr>
            <w:tcW w:w="4800" w:type="dxa"/>
            <w:tcBorders>
              <w:bottom w:val="single" w:sz="4" w:space="0" w:color="auto"/>
            </w:tcBorders>
            <w:tcMar>
              <w:top w:w="60" w:type="dxa"/>
              <w:left w:w="60" w:type="dxa"/>
              <w:bottom w:w="60" w:type="dxa"/>
              <w:right w:w="60" w:type="dxa"/>
            </w:tcMar>
            <w:vAlign w:val="center"/>
          </w:tcPr>
          <w:p w14:paraId="0EAF502F"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Return findings, evidence, assumptions, uncertainty and blocking conditions</w:t>
            </w:r>
          </w:p>
        </w:tc>
        <w:tc>
          <w:tcPr>
            <w:tcW w:w="3300" w:type="dxa"/>
            <w:tcBorders>
              <w:bottom w:val="single" w:sz="4" w:space="0" w:color="auto"/>
            </w:tcBorders>
            <w:tcMar>
              <w:top w:w="60" w:type="dxa"/>
              <w:left w:w="60" w:type="dxa"/>
              <w:bottom w:w="60" w:type="dxa"/>
              <w:right w:w="60" w:type="dxa"/>
            </w:tcMar>
            <w:vAlign w:val="center"/>
          </w:tcPr>
          <w:p w14:paraId="76A3D836" w14:textId="77777777" w:rsidR="00F40651" w:rsidRPr="000A560E" w:rsidRDefault="00F40651" w:rsidP="00F204EA">
            <w:pPr>
              <w:spacing w:after="0" w:line="230" w:lineRule="auto"/>
              <w:rPr>
                <w:rFonts w:ascii="Calibri" w:hAnsi="Calibri" w:cs="Calibri"/>
                <w:sz w:val="21"/>
                <w:szCs w:val="21"/>
              </w:rPr>
            </w:pPr>
            <w:r w:rsidRPr="000A560E">
              <w:rPr>
                <w:rFonts w:ascii="Calibri" w:hAnsi="Calibri" w:cs="Calibri"/>
                <w:sz w:val="21"/>
                <w:szCs w:val="21"/>
              </w:rPr>
              <w:t>Issue a conditional recommendation or a recommendation-withheld state; Gate 3 retains final authority</w:t>
            </w:r>
          </w:p>
        </w:tc>
      </w:tr>
    </w:tbl>
    <w:p w14:paraId="599E2E8D" w14:textId="77777777"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The retrieval-grounded single large language model comparator sits outside the operational pathway and uses the same exact model and version, evidence package, retrieval settings, tools, temperature, context limits, output format and comparable token budget. It is not assumed to be inferior. The architecture yields three testable propositions: P1, supervisor-led orchestration is hypothesised to improve coverage of the four dimensions and detection of cross-dimensional conflicts; P2, structured specialist outputs and targeted clarification are hypothesised to improve source traceability, numerical precision and evidence attribution while reducing unsupported claims; and P3, these gains may increase latency, token use and inference cost.</w:t>
      </w:r>
    </w:p>
    <w:p w14:paraId="799D9B4D" w14:textId="77777777" w:rsidR="00F40651" w:rsidRPr="00F40651" w:rsidRDefault="00F40651" w:rsidP="00F204EA">
      <w:pPr>
        <w:keepNext/>
        <w:spacing w:after="0" w:line="235" w:lineRule="auto"/>
        <w:jc w:val="both"/>
        <w:rPr>
          <w:rFonts w:ascii="Calibri" w:hAnsi="Calibri" w:cs="Calibri"/>
        </w:rPr>
      </w:pPr>
      <w:r w:rsidRPr="00F40651">
        <w:rPr>
          <w:rFonts w:ascii="Calibri" w:hAnsi="Calibri" w:cs="Calibri"/>
          <w:b/>
          <w:bCs/>
          <w:sz w:val="28"/>
          <w:szCs w:val="28"/>
        </w:rPr>
        <w:t>3.3 Layer 3: Auditable decision-support outputs</w:t>
      </w:r>
    </w:p>
    <w:p w14:paraId="10FB6F50" w14:textId="519D8720" w:rsidR="00F40651" w:rsidRPr="00F40651" w:rsidRDefault="00F40651" w:rsidP="00F204EA">
      <w:pPr>
        <w:spacing w:after="0" w:line="230" w:lineRule="auto"/>
        <w:ind w:firstLine="720"/>
        <w:jc w:val="both"/>
        <w:rPr>
          <w:rFonts w:ascii="Calibri" w:hAnsi="Calibri" w:cs="Calibri"/>
        </w:rPr>
      </w:pPr>
      <w:r w:rsidRPr="00F40651">
        <w:rPr>
          <w:rFonts w:ascii="Calibri" w:hAnsi="Calibri" w:cs="Calibri"/>
        </w:rPr>
        <w:t xml:space="preserve">Layer 3 converts the synthesis into an auditable decision package rather than a single answer. Outputs include side-by-side option implications, evidence provenance, assumptions, uncertainty, conflicts and blocking conditions. Before a final output state, the supervisor may issue a targeted clarification request where missing context can be repaired. The operational architecture then emits either a conditional recommendation with explicit conditions and supporting evidence, or a recommendation-withheld state that classifies the blocking condition as missing context, retrieval failure, outdated evidence, conflicting authoritative sources, numerical incompleteness or functional-unit or life-cycle-boundary incompatibility. Approval, rejection, requests for additional evidence and </w:t>
      </w:r>
      <w:r w:rsidRPr="00F40651">
        <w:rPr>
          <w:rFonts w:ascii="Calibri" w:hAnsi="Calibri" w:cs="Calibri"/>
        </w:rPr>
        <w:lastRenderedPageBreak/>
        <w:t>escalation remain Gate 3 human actions rather than autonomous system decisions.</w:t>
      </w:r>
      <w:r w:rsidR="00F204EA">
        <w:rPr>
          <w:rFonts w:ascii="Calibri" w:hAnsi="Calibri" w:cs="Calibri"/>
        </w:rPr>
        <w:t xml:space="preserve"> </w:t>
      </w:r>
      <w:r w:rsidRPr="00F40651">
        <w:rPr>
          <w:rFonts w:ascii="Calibri" w:hAnsi="Calibri" w:cs="Calibri"/>
        </w:rPr>
        <w:t>This layer preserves traceability from a decision-facing statement back to the evidence and specialist output that supports it. Each material finding should identify the source, page or section, version, value and unit, evidence status and any relevant life-cycle boundary. Conflicting authoritative sources are presented side by side for Gate 2 or Gate 3 resolution rather than collapsed into one answer. A recommendation-withheld notice should name the failure category and the evidence required to resume analysis.</w:t>
      </w:r>
    </w:p>
    <w:p w14:paraId="65402F2C" w14:textId="77777777" w:rsidR="00F40651" w:rsidRPr="00F40651" w:rsidRDefault="00F40651" w:rsidP="00F204EA">
      <w:pPr>
        <w:keepNext/>
        <w:spacing w:after="0" w:line="230" w:lineRule="auto"/>
        <w:jc w:val="both"/>
        <w:rPr>
          <w:rFonts w:ascii="Calibri" w:hAnsi="Calibri" w:cs="Calibri"/>
        </w:rPr>
      </w:pPr>
      <w:r w:rsidRPr="00F40651">
        <w:rPr>
          <w:rFonts w:ascii="Calibri" w:hAnsi="Calibri" w:cs="Calibri"/>
          <w:b/>
          <w:bCs/>
          <w:sz w:val="28"/>
          <w:szCs w:val="28"/>
        </w:rPr>
        <w:t>3.4 Human decision authority and review</w:t>
      </w:r>
    </w:p>
    <w:p w14:paraId="4AD79942" w14:textId="2A178EA1" w:rsidR="00F40651" w:rsidRDefault="00F40651" w:rsidP="00F204EA">
      <w:pPr>
        <w:spacing w:after="0" w:line="230" w:lineRule="auto"/>
        <w:ind w:firstLine="720"/>
        <w:jc w:val="both"/>
        <w:rPr>
          <w:rFonts w:ascii="Calibri" w:hAnsi="Calibri" w:cs="Calibri"/>
        </w:rPr>
      </w:pPr>
      <w:r w:rsidRPr="00F40651">
        <w:rPr>
          <w:rFonts w:ascii="Calibri" w:hAnsi="Calibri" w:cs="Calibri"/>
        </w:rPr>
        <w:t>Human review is implemented through three gates aligned with the architecture. Gate 1 accepts, rejects or corrects project evidence and confirms whether critical decision parameters are present. Gate 2 challenges agent reasoning, retrieval and tool selection, clarification quality, assumptions or interpretation, and may request re-analysis or override a finding. Gate 3 approves, rejects, requests additional evidence or escalates the final output. Each gate records the reviewer, evidence considered, action and rationale, creating an auditable decision trail while retaining formal decision authority with qualified professionals.</w:t>
      </w:r>
      <w:r w:rsidR="00F204EA">
        <w:rPr>
          <w:rFonts w:ascii="Calibri" w:hAnsi="Calibri" w:cs="Calibri"/>
        </w:rPr>
        <w:t xml:space="preserve"> </w:t>
      </w:r>
      <w:r w:rsidRPr="00F40651">
        <w:rPr>
          <w:rFonts w:ascii="Calibri" w:hAnsi="Calibri" w:cs="Calibri"/>
        </w:rPr>
        <w:t>Gate 2 routes challenges back to the supervisor, while Gate 3 returns the reviewed decision and rationale to the project evidence layer. This feedback supports correction of outdated carbon factors, missing clauses, erroneous extractions and misclassified data. It does not guarantee safe use. Human reviewers may still exhibit automation bias, while clarification may fail through under-clarification, over-clarification or irrelevant questions. AI cannot assume responsibility for engineering judgement, contractual interpretation, procurement approval or sustainability reporting.</w:t>
      </w:r>
    </w:p>
    <w:p w14:paraId="3D9A99E6" w14:textId="77777777" w:rsidR="0094548E" w:rsidRPr="00F204EA" w:rsidRDefault="0094548E" w:rsidP="00F204EA">
      <w:pPr>
        <w:spacing w:after="0" w:line="230" w:lineRule="auto"/>
        <w:ind w:firstLine="720"/>
        <w:jc w:val="both"/>
        <w:rPr>
          <w:rFonts w:ascii="Calibri" w:hAnsi="Calibri" w:cs="Calibri"/>
          <w:sz w:val="10"/>
          <w:szCs w:val="10"/>
        </w:rPr>
      </w:pPr>
    </w:p>
    <w:p w14:paraId="69F7FF3D" w14:textId="10B563EB" w:rsidR="00F40651" w:rsidRPr="00F40651" w:rsidRDefault="00F40651" w:rsidP="00F204EA">
      <w:pPr>
        <w:spacing w:after="0" w:line="230" w:lineRule="auto"/>
        <w:jc w:val="both"/>
        <w:rPr>
          <w:rFonts w:ascii="Calibri" w:hAnsi="Calibri" w:cs="Calibri"/>
          <w:b/>
          <w:bCs/>
          <w:sz w:val="28"/>
          <w:szCs w:val="28"/>
        </w:rPr>
      </w:pPr>
      <w:r w:rsidRPr="00F40651">
        <w:rPr>
          <w:rFonts w:ascii="Calibri" w:hAnsi="Calibri" w:cs="Calibri"/>
          <w:b/>
          <w:bCs/>
          <w:sz w:val="28"/>
          <w:szCs w:val="28"/>
        </w:rPr>
        <w:t xml:space="preserve">4. </w:t>
      </w:r>
      <w:r w:rsidR="0094548E" w:rsidRPr="0094548E">
        <w:rPr>
          <w:rFonts w:ascii="Calibri" w:hAnsi="Calibri" w:cs="Calibri"/>
          <w:b/>
          <w:bCs/>
          <w:sz w:val="28"/>
          <w:szCs w:val="28"/>
        </w:rPr>
        <w:t>ILLUSTRATIVE DESIGN SCENARIO</w:t>
      </w:r>
      <w:r w:rsidR="0094548E">
        <w:rPr>
          <w:rFonts w:ascii="Calibri" w:hAnsi="Calibri" w:cs="Calibri"/>
          <w:b/>
          <w:bCs/>
          <w:sz w:val="28"/>
          <w:szCs w:val="28"/>
        </w:rPr>
        <w:t xml:space="preserve"> </w:t>
      </w:r>
    </w:p>
    <w:p w14:paraId="6A07C9D5" w14:textId="7BE57592" w:rsidR="00F40651" w:rsidRPr="00F40651" w:rsidRDefault="004A60F9" w:rsidP="00F204EA">
      <w:pPr>
        <w:spacing w:after="0" w:line="230" w:lineRule="auto"/>
        <w:ind w:firstLine="720"/>
        <w:jc w:val="both"/>
        <w:rPr>
          <w:rFonts w:ascii="Calibri" w:hAnsi="Calibri" w:cs="Calibri"/>
        </w:rPr>
      </w:pPr>
      <w:r w:rsidRPr="004A60F9">
        <w:rPr>
          <w:rFonts w:ascii="Calibri" w:hAnsi="Calibri" w:cs="Calibri"/>
        </w:rPr>
        <w:t>This scenario is illustrative and is used to show the intended information flow, control logic and human review points; it is not an empirical test of system performance.</w:t>
      </w:r>
      <w:r>
        <w:rPr>
          <w:rFonts w:ascii="Calibri" w:hAnsi="Calibri" w:cs="Calibri"/>
        </w:rPr>
        <w:t xml:space="preserve"> </w:t>
      </w:r>
      <w:r w:rsidR="00F40651" w:rsidRPr="00F40651">
        <w:rPr>
          <w:rFonts w:ascii="Calibri" w:hAnsi="Calibri" w:cs="Calibri"/>
        </w:rPr>
        <w:t>Consider a late-design proposal to replace a conventional reinforced-concrete floor-slab mix in a mid-rise commercial building with a supplementary cementitious material mix. The decision question is whether the project should adopt the alternative after considering cost, programme, embodied carbon and compliance. The evidence package includes concrete quantities and rates, the planned pour date, specification and durability requirements, supplier data, product-specific environmental product declarations, approval requirements and the project carbon target. Before specialist dispatch, Gate 1 checks whether the strength class, exposure classification, functional unit, EPD boundary, supplier identity and document currency are specified. If a critical parameter is missing, the supervisor requests targeted clarification rather than inferring it.</w:t>
      </w:r>
    </w:p>
    <w:p w14:paraId="1A96644A" w14:textId="4F1FF334" w:rsidR="00F40651" w:rsidRPr="00F40651" w:rsidRDefault="00DF19F4" w:rsidP="00AA37FD">
      <w:pPr>
        <w:keepNext/>
        <w:spacing w:after="0" w:line="240" w:lineRule="auto"/>
        <w:jc w:val="center"/>
        <w:rPr>
          <w:rFonts w:ascii="Calibri" w:hAnsi="Calibri" w:cs="Calibri"/>
        </w:rPr>
      </w:pPr>
      <w:r>
        <w:rPr>
          <w:rFonts w:ascii="Calibri" w:hAnsi="Calibri" w:cs="Calibri"/>
          <w:noProof/>
        </w:rPr>
        <w:drawing>
          <wp:inline distT="0" distB="0" distL="0" distR="0" wp14:anchorId="3EE3BD89" wp14:editId="340ADC50">
            <wp:extent cx="5714067" cy="2425148"/>
            <wp:effectExtent l="0" t="0" r="1270" b="0"/>
            <wp:docPr id="531732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63529" cy="2488582"/>
                    </a:xfrm>
                    <a:prstGeom prst="rect">
                      <a:avLst/>
                    </a:prstGeom>
                    <a:noFill/>
                  </pic:spPr>
                </pic:pic>
              </a:graphicData>
            </a:graphic>
          </wp:inline>
        </w:drawing>
      </w:r>
    </w:p>
    <w:p w14:paraId="7EC03FCC" w14:textId="5156D419" w:rsidR="00F40651" w:rsidRDefault="00F40651" w:rsidP="00F40651">
      <w:pPr>
        <w:keepLines/>
        <w:spacing w:after="0" w:line="240" w:lineRule="auto"/>
        <w:jc w:val="center"/>
        <w:rPr>
          <w:rFonts w:ascii="Calibri" w:hAnsi="Calibri" w:cs="Calibri"/>
          <w:i/>
          <w:sz w:val="20"/>
          <w:szCs w:val="20"/>
        </w:rPr>
      </w:pPr>
      <w:r w:rsidRPr="00534399">
        <w:rPr>
          <w:rFonts w:ascii="Calibri" w:hAnsi="Calibri" w:cs="Calibri"/>
          <w:i/>
          <w:sz w:val="20"/>
          <w:szCs w:val="20"/>
        </w:rPr>
        <w:t xml:space="preserve">Figure 2. Runtime decision and control sequence for the illustrative low-carbon concrete substitution. </w:t>
      </w:r>
    </w:p>
    <w:p w14:paraId="5C2DF783" w14:textId="77777777" w:rsidR="000A560E" w:rsidRPr="000A560E" w:rsidRDefault="000A560E" w:rsidP="00F40651">
      <w:pPr>
        <w:keepLines/>
        <w:spacing w:after="0" w:line="240" w:lineRule="auto"/>
        <w:jc w:val="center"/>
        <w:rPr>
          <w:rFonts w:ascii="Calibri" w:hAnsi="Calibri" w:cs="Calibri"/>
          <w:i/>
          <w:sz w:val="4"/>
          <w:szCs w:val="4"/>
        </w:rPr>
      </w:pPr>
    </w:p>
    <w:p w14:paraId="305C7204" w14:textId="77777777" w:rsidR="00F40651" w:rsidRPr="00F40651" w:rsidRDefault="00F40651" w:rsidP="000A560E">
      <w:pPr>
        <w:spacing w:after="0" w:line="230" w:lineRule="auto"/>
        <w:ind w:firstLine="720"/>
        <w:jc w:val="both"/>
        <w:rPr>
          <w:rFonts w:ascii="Calibri" w:hAnsi="Calibri" w:cs="Calibri"/>
        </w:rPr>
      </w:pPr>
      <w:r w:rsidRPr="00F40651">
        <w:rPr>
          <w:rFonts w:ascii="Calibri" w:hAnsi="Calibri" w:cs="Calibri"/>
        </w:rPr>
        <w:t xml:space="preserve">After Gate 1 and any required clarification, the supervisor dispatches the option to four specialists. The Cost Agent checks price and variation exposure; the Programme Agent tests prequalification, availability and sequencing; the Embodied Carbon Agent compares functionally equivalent A1-A3 data; and the Compliance Agent checks strength, durability, specification and </w:t>
      </w:r>
      <w:r w:rsidRPr="00F40651">
        <w:rPr>
          <w:rFonts w:ascii="Calibri" w:hAnsi="Calibri" w:cs="Calibri"/>
        </w:rPr>
        <w:lastRenderedPageBreak/>
        <w:t>approval. Gate 2 may challenge evidence, tool routing, clarification quality or assumptions before constraint-aware synthesis. The system then issues either a conditional recommendation or a recommendation-withheld state; Gate 3 retains approval, evidence-request and escalation authority.</w:t>
      </w:r>
    </w:p>
    <w:p w14:paraId="658ED57F" w14:textId="7D93D658" w:rsidR="00F40651" w:rsidRPr="00F40651" w:rsidRDefault="00F40651" w:rsidP="000A560E">
      <w:pPr>
        <w:spacing w:after="0" w:line="230" w:lineRule="auto"/>
        <w:ind w:firstLine="720"/>
        <w:jc w:val="both"/>
        <w:rPr>
          <w:rFonts w:ascii="Calibri" w:hAnsi="Calibri" w:cs="Calibri"/>
        </w:rPr>
      </w:pPr>
      <w:r w:rsidRPr="00F40651">
        <w:rPr>
          <w:rFonts w:ascii="Calibri" w:hAnsi="Calibri" w:cs="Calibri"/>
        </w:rPr>
        <w:t xml:space="preserve">Table 3 </w:t>
      </w:r>
      <w:r w:rsidR="001D4985" w:rsidRPr="001D4985">
        <w:rPr>
          <w:rFonts w:ascii="Calibri" w:hAnsi="Calibri" w:cs="Calibri"/>
        </w:rPr>
        <w:t xml:space="preserve">presents illustrative output states for the hypothetical low-carbon concrete substitution </w:t>
      </w:r>
      <w:proofErr w:type="gramStart"/>
      <w:r w:rsidR="001D4985" w:rsidRPr="001D4985">
        <w:rPr>
          <w:rFonts w:ascii="Calibri" w:hAnsi="Calibri" w:cs="Calibri"/>
        </w:rPr>
        <w:t>scenario</w:t>
      </w:r>
      <w:r w:rsidR="001D4985">
        <w:rPr>
          <w:rFonts w:ascii="Calibri" w:hAnsi="Calibri" w:cs="Calibri"/>
        </w:rPr>
        <w:t>.</w:t>
      </w:r>
      <w:r w:rsidRPr="00F40651">
        <w:rPr>
          <w:rFonts w:ascii="Calibri" w:hAnsi="Calibri" w:cs="Calibri"/>
        </w:rPr>
        <w:t>.</w:t>
      </w:r>
      <w:proofErr w:type="gramEnd"/>
      <w:r w:rsidRPr="00F40651">
        <w:rPr>
          <w:rFonts w:ascii="Calibri" w:hAnsi="Calibri" w:cs="Calibri"/>
        </w:rPr>
        <w:t xml:space="preserve"> </w:t>
      </w:r>
      <w:r w:rsidR="001D4985" w:rsidRPr="001D4985">
        <w:rPr>
          <w:rFonts w:ascii="Calibri" w:hAnsi="Calibri" w:cs="Calibri"/>
        </w:rPr>
        <w:t>It is not a system-generated result or empirical performance output. The values are hypothetical assumptions used only to illustrate how the proposed architecture would structure evidence, conditions and recommendation-withholding logic.</w:t>
      </w:r>
      <w:r w:rsidR="001D4985">
        <w:rPr>
          <w:rFonts w:ascii="Calibri" w:hAnsi="Calibri" w:cs="Calibri"/>
        </w:rPr>
        <w:t xml:space="preserve"> </w:t>
      </w:r>
      <w:r w:rsidRPr="00F40651">
        <w:rPr>
          <w:rFonts w:ascii="Calibri" w:hAnsi="Calibri" w:cs="Calibri"/>
        </w:rPr>
        <w:t xml:space="preserve">Option B assumes a 25% A1-A3 reduction, a 6% package-cost premium and 7 to 10 working days for approval when prequalified; a project-specific trial may require a 28-day test cycle. </w:t>
      </w:r>
      <w:r w:rsidR="001D4985" w:rsidRPr="001D4985">
        <w:rPr>
          <w:rFonts w:ascii="Calibri" w:hAnsi="Calibri" w:cs="Calibri"/>
        </w:rPr>
        <w:t>Any conditional recommendation shown in the table remains dependent on functional equivalence, boundary-consistent EPD evidence, supplier availability and cost tolerance.</w:t>
      </w:r>
      <w:r w:rsidR="001D4985">
        <w:rPr>
          <w:rFonts w:ascii="Calibri" w:hAnsi="Calibri" w:cs="Calibri"/>
        </w:rPr>
        <w:t xml:space="preserve"> </w:t>
      </w:r>
      <w:r w:rsidRPr="00F40651">
        <w:rPr>
          <w:rFonts w:ascii="Calibri" w:hAnsi="Calibri" w:cs="Calibri"/>
        </w:rPr>
        <w:t xml:space="preserve">A clarification-required state is shown where critical decision parameters are missing, and specialist analysis resumes only after those parameters are supplied. If retrieval fails or evidence remains outdated, conflicting or incompatible after clarification, the system withholds the recommendation for Gate 3 review. </w:t>
      </w:r>
    </w:p>
    <w:p w14:paraId="33A1655E" w14:textId="77777777" w:rsidR="00F40651" w:rsidRPr="000A560E" w:rsidRDefault="00F40651" w:rsidP="00F40651">
      <w:pPr>
        <w:spacing w:after="0" w:line="240" w:lineRule="auto"/>
        <w:ind w:firstLine="720"/>
        <w:jc w:val="both"/>
        <w:rPr>
          <w:rFonts w:ascii="Calibri" w:hAnsi="Calibri" w:cs="Calibri"/>
          <w:sz w:val="12"/>
          <w:szCs w:val="12"/>
        </w:rPr>
      </w:pPr>
    </w:p>
    <w:p w14:paraId="51BAA721" w14:textId="40CD4874" w:rsidR="00F40651" w:rsidRPr="00534399" w:rsidRDefault="00F40651" w:rsidP="00F40651">
      <w:pPr>
        <w:keepNext/>
        <w:keepLines/>
        <w:spacing w:after="0" w:line="240" w:lineRule="auto"/>
        <w:jc w:val="center"/>
        <w:rPr>
          <w:rFonts w:ascii="Calibri" w:hAnsi="Calibri" w:cs="Calibri"/>
          <w:i/>
          <w:iCs/>
          <w:sz w:val="18"/>
          <w:szCs w:val="18"/>
        </w:rPr>
      </w:pPr>
      <w:r w:rsidRPr="00534399">
        <w:rPr>
          <w:rFonts w:ascii="Calibri" w:hAnsi="Calibri" w:cs="Calibri"/>
          <w:sz w:val="20"/>
          <w:szCs w:val="20"/>
        </w:rPr>
        <w:t>Table 3: Illustrative output</w:t>
      </w:r>
      <w:r w:rsidR="002B43E7">
        <w:rPr>
          <w:rFonts w:ascii="Calibri" w:hAnsi="Calibri" w:cs="Calibri"/>
          <w:sz w:val="20"/>
          <w:szCs w:val="20"/>
        </w:rPr>
        <w:t xml:space="preserve"> </w:t>
      </w:r>
      <w:r w:rsidR="002B43E7" w:rsidRPr="002B43E7">
        <w:rPr>
          <w:rFonts w:ascii="Calibri" w:hAnsi="Calibri" w:cs="Calibri"/>
          <w:sz w:val="20"/>
          <w:szCs w:val="20"/>
        </w:rPr>
        <w:t>states</w:t>
      </w:r>
      <w:r w:rsidRPr="00534399">
        <w:rPr>
          <w:rFonts w:ascii="Calibri" w:hAnsi="Calibri" w:cs="Calibri"/>
          <w:sz w:val="20"/>
          <w:szCs w:val="20"/>
        </w:rPr>
        <w:t xml:space="preserve"> for </w:t>
      </w:r>
      <w:r w:rsidR="002B43E7" w:rsidRPr="002B43E7">
        <w:rPr>
          <w:rFonts w:ascii="Calibri" w:hAnsi="Calibri" w:cs="Calibri"/>
          <w:sz w:val="20"/>
          <w:szCs w:val="20"/>
        </w:rPr>
        <w:t xml:space="preserve">a hypothetical </w:t>
      </w:r>
      <w:r w:rsidRPr="00534399">
        <w:rPr>
          <w:rFonts w:ascii="Calibri" w:hAnsi="Calibri" w:cs="Calibri"/>
          <w:sz w:val="20"/>
          <w:szCs w:val="20"/>
        </w:rPr>
        <w:t>low-carbon concrete substitution</w:t>
      </w:r>
      <w:r w:rsidR="002B43E7">
        <w:rPr>
          <w:rFonts w:ascii="Calibri" w:hAnsi="Calibri" w:cs="Calibri"/>
          <w:sz w:val="20"/>
          <w:szCs w:val="20"/>
        </w:rPr>
        <w:t xml:space="preserve"> </w:t>
      </w:r>
      <w:r w:rsidR="002B43E7" w:rsidRPr="002B43E7">
        <w:rPr>
          <w:rFonts w:ascii="Calibri" w:hAnsi="Calibri" w:cs="Calibri"/>
          <w:sz w:val="20"/>
          <w:szCs w:val="20"/>
        </w:rPr>
        <w:t>scenario</w:t>
      </w:r>
      <w:r w:rsidRPr="00534399">
        <w:rPr>
          <w:rFonts w:ascii="Calibri" w:hAnsi="Calibri" w:cs="Calibri"/>
          <w:sz w:val="20"/>
          <w:szCs w:val="20"/>
        </w:rPr>
        <w:t>.</w:t>
      </w:r>
    </w:p>
    <w:tbl>
      <w:tblPr>
        <w:tblW w:w="0" w:type="auto"/>
        <w:jc w:val="center"/>
        <w:tblLook w:val="04A0" w:firstRow="1" w:lastRow="0" w:firstColumn="1" w:lastColumn="0" w:noHBand="0" w:noVBand="1"/>
      </w:tblPr>
      <w:tblGrid>
        <w:gridCol w:w="1219"/>
        <w:gridCol w:w="1269"/>
        <w:gridCol w:w="1410"/>
        <w:gridCol w:w="1347"/>
        <w:gridCol w:w="1932"/>
        <w:gridCol w:w="1849"/>
      </w:tblGrid>
      <w:tr w:rsidR="00F40651" w:rsidRPr="000A560E" w14:paraId="25D82500" w14:textId="77777777" w:rsidTr="000A560E">
        <w:trPr>
          <w:cantSplit/>
          <w:tblHeader/>
          <w:jc w:val="center"/>
        </w:trPr>
        <w:tc>
          <w:tcPr>
            <w:tcW w:w="0" w:type="auto"/>
            <w:tcBorders>
              <w:top w:val="single" w:sz="4" w:space="0" w:color="auto"/>
              <w:bottom w:val="single" w:sz="4" w:space="0" w:color="auto"/>
            </w:tcBorders>
            <w:tcMar>
              <w:top w:w="60" w:type="dxa"/>
              <w:left w:w="60" w:type="dxa"/>
              <w:bottom w:w="60" w:type="dxa"/>
              <w:right w:w="60" w:type="dxa"/>
            </w:tcMar>
            <w:vAlign w:val="center"/>
          </w:tcPr>
          <w:p w14:paraId="00AA90FB" w14:textId="77777777" w:rsidR="00F40651" w:rsidRPr="000A560E" w:rsidRDefault="00F40651" w:rsidP="000A560E">
            <w:pPr>
              <w:spacing w:after="0" w:line="230" w:lineRule="auto"/>
              <w:jc w:val="center"/>
              <w:rPr>
                <w:rFonts w:ascii="Calibri" w:hAnsi="Calibri" w:cs="Calibri"/>
                <w:bCs/>
                <w:sz w:val="20"/>
                <w:szCs w:val="20"/>
              </w:rPr>
            </w:pPr>
            <w:r w:rsidRPr="000A560E">
              <w:rPr>
                <w:rFonts w:ascii="Calibri" w:hAnsi="Calibri" w:cs="Calibri"/>
                <w:bCs/>
                <w:sz w:val="20"/>
                <w:szCs w:val="20"/>
              </w:rPr>
              <w:t>Decision state</w:t>
            </w:r>
          </w:p>
        </w:tc>
        <w:tc>
          <w:tcPr>
            <w:tcW w:w="0" w:type="auto"/>
            <w:tcBorders>
              <w:top w:val="single" w:sz="4" w:space="0" w:color="auto"/>
              <w:bottom w:val="single" w:sz="4" w:space="0" w:color="auto"/>
            </w:tcBorders>
            <w:tcMar>
              <w:top w:w="60" w:type="dxa"/>
              <w:left w:w="60" w:type="dxa"/>
              <w:bottom w:w="60" w:type="dxa"/>
              <w:right w:w="60" w:type="dxa"/>
            </w:tcMar>
            <w:vAlign w:val="center"/>
          </w:tcPr>
          <w:p w14:paraId="2A88A78E" w14:textId="77777777" w:rsidR="00F40651" w:rsidRPr="000A560E" w:rsidRDefault="00F40651" w:rsidP="000A560E">
            <w:pPr>
              <w:spacing w:after="0" w:line="230" w:lineRule="auto"/>
              <w:jc w:val="center"/>
              <w:rPr>
                <w:rFonts w:ascii="Calibri" w:hAnsi="Calibri" w:cs="Calibri"/>
                <w:bCs/>
                <w:sz w:val="20"/>
                <w:szCs w:val="20"/>
              </w:rPr>
            </w:pPr>
            <w:r w:rsidRPr="000A560E">
              <w:rPr>
                <w:rFonts w:ascii="Calibri" w:hAnsi="Calibri" w:cs="Calibri"/>
                <w:bCs/>
                <w:sz w:val="20"/>
                <w:szCs w:val="20"/>
              </w:rPr>
              <w:t>Cost</w:t>
            </w:r>
          </w:p>
        </w:tc>
        <w:tc>
          <w:tcPr>
            <w:tcW w:w="0" w:type="auto"/>
            <w:tcBorders>
              <w:top w:val="single" w:sz="4" w:space="0" w:color="auto"/>
              <w:bottom w:val="single" w:sz="4" w:space="0" w:color="auto"/>
            </w:tcBorders>
            <w:tcMar>
              <w:top w:w="60" w:type="dxa"/>
              <w:left w:w="60" w:type="dxa"/>
              <w:bottom w:w="60" w:type="dxa"/>
              <w:right w:w="60" w:type="dxa"/>
            </w:tcMar>
            <w:vAlign w:val="center"/>
          </w:tcPr>
          <w:p w14:paraId="5790B92B" w14:textId="77777777" w:rsidR="00F40651" w:rsidRPr="000A560E" w:rsidRDefault="00F40651" w:rsidP="000A560E">
            <w:pPr>
              <w:spacing w:after="0" w:line="230" w:lineRule="auto"/>
              <w:jc w:val="center"/>
              <w:rPr>
                <w:rFonts w:ascii="Calibri" w:hAnsi="Calibri" w:cs="Calibri"/>
                <w:bCs/>
                <w:sz w:val="20"/>
                <w:szCs w:val="20"/>
              </w:rPr>
            </w:pPr>
            <w:r w:rsidRPr="000A560E">
              <w:rPr>
                <w:rFonts w:ascii="Calibri" w:hAnsi="Calibri" w:cs="Calibri"/>
                <w:bCs/>
                <w:sz w:val="20"/>
                <w:szCs w:val="20"/>
              </w:rPr>
              <w:t>Programme</w:t>
            </w:r>
          </w:p>
        </w:tc>
        <w:tc>
          <w:tcPr>
            <w:tcW w:w="1347" w:type="dxa"/>
            <w:tcBorders>
              <w:top w:val="single" w:sz="4" w:space="0" w:color="auto"/>
              <w:bottom w:val="single" w:sz="4" w:space="0" w:color="auto"/>
            </w:tcBorders>
            <w:tcMar>
              <w:top w:w="60" w:type="dxa"/>
              <w:left w:w="60" w:type="dxa"/>
              <w:bottom w:w="60" w:type="dxa"/>
              <w:right w:w="60" w:type="dxa"/>
            </w:tcMar>
            <w:vAlign w:val="center"/>
          </w:tcPr>
          <w:p w14:paraId="661C9001" w14:textId="77777777" w:rsidR="00F40651" w:rsidRPr="000A560E" w:rsidRDefault="00F40651" w:rsidP="000A560E">
            <w:pPr>
              <w:spacing w:after="0" w:line="230" w:lineRule="auto"/>
              <w:jc w:val="center"/>
              <w:rPr>
                <w:rFonts w:ascii="Calibri" w:hAnsi="Calibri" w:cs="Calibri"/>
                <w:bCs/>
                <w:sz w:val="20"/>
                <w:szCs w:val="20"/>
              </w:rPr>
            </w:pPr>
            <w:r w:rsidRPr="000A560E">
              <w:rPr>
                <w:rFonts w:ascii="Calibri" w:hAnsi="Calibri" w:cs="Calibri"/>
                <w:bCs/>
                <w:sz w:val="20"/>
                <w:szCs w:val="20"/>
              </w:rPr>
              <w:t>Embodied carbon</w:t>
            </w:r>
          </w:p>
        </w:tc>
        <w:tc>
          <w:tcPr>
            <w:tcW w:w="1932" w:type="dxa"/>
            <w:tcBorders>
              <w:top w:val="single" w:sz="4" w:space="0" w:color="auto"/>
              <w:bottom w:val="single" w:sz="4" w:space="0" w:color="auto"/>
            </w:tcBorders>
            <w:tcMar>
              <w:top w:w="60" w:type="dxa"/>
              <w:left w:w="60" w:type="dxa"/>
              <w:bottom w:w="60" w:type="dxa"/>
              <w:right w:w="60" w:type="dxa"/>
            </w:tcMar>
            <w:vAlign w:val="center"/>
          </w:tcPr>
          <w:p w14:paraId="70CD75BD" w14:textId="77777777" w:rsidR="00F40651" w:rsidRPr="000A560E" w:rsidRDefault="00F40651" w:rsidP="000A560E">
            <w:pPr>
              <w:spacing w:after="0" w:line="230" w:lineRule="auto"/>
              <w:jc w:val="center"/>
              <w:rPr>
                <w:rFonts w:ascii="Calibri" w:hAnsi="Calibri" w:cs="Calibri"/>
                <w:bCs/>
                <w:sz w:val="20"/>
                <w:szCs w:val="20"/>
              </w:rPr>
            </w:pPr>
            <w:r w:rsidRPr="000A560E">
              <w:rPr>
                <w:rFonts w:ascii="Calibri" w:hAnsi="Calibri" w:cs="Calibri"/>
                <w:bCs/>
                <w:sz w:val="20"/>
                <w:szCs w:val="20"/>
              </w:rPr>
              <w:t>Compliance and evidence</w:t>
            </w:r>
          </w:p>
        </w:tc>
        <w:tc>
          <w:tcPr>
            <w:tcW w:w="0" w:type="auto"/>
            <w:tcBorders>
              <w:top w:val="single" w:sz="4" w:space="0" w:color="auto"/>
              <w:bottom w:val="single" w:sz="4" w:space="0" w:color="auto"/>
            </w:tcBorders>
            <w:tcMar>
              <w:top w:w="60" w:type="dxa"/>
              <w:left w:w="60" w:type="dxa"/>
              <w:bottom w:w="60" w:type="dxa"/>
              <w:right w:w="60" w:type="dxa"/>
            </w:tcMar>
            <w:vAlign w:val="center"/>
          </w:tcPr>
          <w:p w14:paraId="152ACBC6" w14:textId="1E615D9D" w:rsidR="00F40651" w:rsidRPr="000A560E" w:rsidRDefault="002B43E7" w:rsidP="000A560E">
            <w:pPr>
              <w:spacing w:after="0" w:line="230" w:lineRule="auto"/>
              <w:jc w:val="center"/>
              <w:rPr>
                <w:rFonts w:ascii="Calibri" w:hAnsi="Calibri" w:cs="Calibri"/>
                <w:bCs/>
                <w:sz w:val="20"/>
                <w:szCs w:val="20"/>
              </w:rPr>
            </w:pPr>
            <w:r w:rsidRPr="000A560E">
              <w:rPr>
                <w:rFonts w:ascii="Calibri" w:hAnsi="Calibri" w:cs="Calibri"/>
                <w:bCs/>
                <w:sz w:val="20"/>
                <w:szCs w:val="20"/>
              </w:rPr>
              <w:t>Illustrative output state</w:t>
            </w:r>
          </w:p>
        </w:tc>
      </w:tr>
      <w:tr w:rsidR="00F40651" w:rsidRPr="000A560E" w14:paraId="56112389" w14:textId="77777777" w:rsidTr="000A560E">
        <w:trPr>
          <w:cantSplit/>
          <w:jc w:val="center"/>
        </w:trPr>
        <w:tc>
          <w:tcPr>
            <w:tcW w:w="0" w:type="auto"/>
            <w:tcBorders>
              <w:top w:val="single" w:sz="4" w:space="0" w:color="auto"/>
            </w:tcBorders>
            <w:tcMar>
              <w:top w:w="60" w:type="dxa"/>
              <w:left w:w="60" w:type="dxa"/>
              <w:bottom w:w="60" w:type="dxa"/>
              <w:right w:w="60" w:type="dxa"/>
            </w:tcMar>
            <w:vAlign w:val="center"/>
          </w:tcPr>
          <w:p w14:paraId="70104212"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Option A: conventional mix</w:t>
            </w:r>
          </w:p>
        </w:tc>
        <w:tc>
          <w:tcPr>
            <w:tcW w:w="0" w:type="auto"/>
            <w:tcBorders>
              <w:top w:val="single" w:sz="4" w:space="0" w:color="auto"/>
            </w:tcBorders>
            <w:tcMar>
              <w:top w:w="60" w:type="dxa"/>
              <w:left w:w="60" w:type="dxa"/>
              <w:bottom w:w="60" w:type="dxa"/>
              <w:right w:w="60" w:type="dxa"/>
            </w:tcMar>
            <w:vAlign w:val="center"/>
          </w:tcPr>
          <w:p w14:paraId="3AC39AE9"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Baseline concrete-package cost</w:t>
            </w:r>
          </w:p>
        </w:tc>
        <w:tc>
          <w:tcPr>
            <w:tcW w:w="0" w:type="auto"/>
            <w:tcBorders>
              <w:top w:val="single" w:sz="4" w:space="0" w:color="auto"/>
            </w:tcBorders>
            <w:tcMar>
              <w:top w:w="60" w:type="dxa"/>
              <w:left w:w="60" w:type="dxa"/>
              <w:bottom w:w="60" w:type="dxa"/>
              <w:right w:w="60" w:type="dxa"/>
            </w:tcMar>
            <w:vAlign w:val="center"/>
          </w:tcPr>
          <w:p w14:paraId="7D1AA58C"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No additional delay</w:t>
            </w:r>
          </w:p>
        </w:tc>
        <w:tc>
          <w:tcPr>
            <w:tcW w:w="1347" w:type="dxa"/>
            <w:tcBorders>
              <w:top w:val="single" w:sz="4" w:space="0" w:color="auto"/>
            </w:tcBorders>
            <w:tcMar>
              <w:top w:w="60" w:type="dxa"/>
              <w:left w:w="60" w:type="dxa"/>
              <w:bottom w:w="60" w:type="dxa"/>
              <w:right w:w="60" w:type="dxa"/>
            </w:tcMar>
            <w:vAlign w:val="center"/>
          </w:tcPr>
          <w:p w14:paraId="024DE1F3"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Baseline A1-A3 result</w:t>
            </w:r>
          </w:p>
        </w:tc>
        <w:tc>
          <w:tcPr>
            <w:tcW w:w="1932" w:type="dxa"/>
            <w:tcBorders>
              <w:top w:val="single" w:sz="4" w:space="0" w:color="auto"/>
            </w:tcBorders>
            <w:tcMar>
              <w:top w:w="60" w:type="dxa"/>
              <w:left w:w="60" w:type="dxa"/>
              <w:bottom w:w="60" w:type="dxa"/>
              <w:right w:w="60" w:type="dxa"/>
            </w:tcMar>
            <w:vAlign w:val="center"/>
          </w:tcPr>
          <w:p w14:paraId="00E1E4F3"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Specified and approved</w:t>
            </w:r>
          </w:p>
        </w:tc>
        <w:tc>
          <w:tcPr>
            <w:tcW w:w="0" w:type="auto"/>
            <w:tcBorders>
              <w:top w:val="single" w:sz="4" w:space="0" w:color="auto"/>
            </w:tcBorders>
            <w:tcMar>
              <w:top w:w="60" w:type="dxa"/>
              <w:left w:w="60" w:type="dxa"/>
              <w:bottom w:w="60" w:type="dxa"/>
              <w:right w:w="60" w:type="dxa"/>
            </w:tcMar>
            <w:vAlign w:val="center"/>
          </w:tcPr>
          <w:p w14:paraId="7518DE32"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Lowest delivery risk, weakest carbon outcome</w:t>
            </w:r>
          </w:p>
        </w:tc>
      </w:tr>
      <w:tr w:rsidR="00F40651" w:rsidRPr="000A560E" w14:paraId="6ECDC6A5" w14:textId="77777777" w:rsidTr="000A560E">
        <w:trPr>
          <w:cantSplit/>
          <w:jc w:val="center"/>
        </w:trPr>
        <w:tc>
          <w:tcPr>
            <w:tcW w:w="0" w:type="auto"/>
            <w:tcMar>
              <w:top w:w="60" w:type="dxa"/>
              <w:left w:w="60" w:type="dxa"/>
              <w:bottom w:w="60" w:type="dxa"/>
              <w:right w:w="60" w:type="dxa"/>
            </w:tcMar>
            <w:vAlign w:val="center"/>
          </w:tcPr>
          <w:p w14:paraId="6A8D23D8"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Option B: low-carbon mix</w:t>
            </w:r>
          </w:p>
        </w:tc>
        <w:tc>
          <w:tcPr>
            <w:tcW w:w="0" w:type="auto"/>
            <w:tcMar>
              <w:top w:w="60" w:type="dxa"/>
              <w:left w:w="60" w:type="dxa"/>
              <w:bottom w:w="60" w:type="dxa"/>
              <w:right w:w="60" w:type="dxa"/>
            </w:tcMar>
            <w:vAlign w:val="center"/>
          </w:tcPr>
          <w:p w14:paraId="43A516F2"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+6% concrete-package cost, illustrative supplier-quote assumption</w:t>
            </w:r>
          </w:p>
        </w:tc>
        <w:tc>
          <w:tcPr>
            <w:tcW w:w="0" w:type="auto"/>
            <w:tcMar>
              <w:top w:w="60" w:type="dxa"/>
              <w:left w:w="60" w:type="dxa"/>
              <w:bottom w:w="60" w:type="dxa"/>
              <w:right w:w="60" w:type="dxa"/>
            </w:tcMar>
            <w:vAlign w:val="center"/>
          </w:tcPr>
          <w:p w14:paraId="2F6E16F6"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7-10 working days if prequalified; at least one 28-day trial cycle if project-specific</w:t>
            </w:r>
          </w:p>
        </w:tc>
        <w:tc>
          <w:tcPr>
            <w:tcW w:w="1347" w:type="dxa"/>
            <w:tcMar>
              <w:top w:w="60" w:type="dxa"/>
              <w:left w:w="60" w:type="dxa"/>
              <w:bottom w:w="60" w:type="dxa"/>
              <w:right w:w="60" w:type="dxa"/>
            </w:tcMar>
            <w:vAlign w:val="center"/>
          </w:tcPr>
          <w:p w14:paraId="2D739510"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About 25% A1-A3 reduction, assuming equal volume and equivalent performance</w:t>
            </w:r>
          </w:p>
        </w:tc>
        <w:tc>
          <w:tcPr>
            <w:tcW w:w="1932" w:type="dxa"/>
            <w:tcMar>
              <w:top w:w="60" w:type="dxa"/>
              <w:left w:w="60" w:type="dxa"/>
              <w:bottom w:w="60" w:type="dxa"/>
              <w:right w:w="60" w:type="dxa"/>
            </w:tcMar>
            <w:vAlign w:val="center"/>
          </w:tcPr>
          <w:p w14:paraId="462A5B68"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Confirm strength, durability, exposure class, specification, EPD boundary and supplier evidence</w:t>
            </w:r>
          </w:p>
        </w:tc>
        <w:tc>
          <w:tcPr>
            <w:tcW w:w="0" w:type="auto"/>
            <w:tcMar>
              <w:top w:w="60" w:type="dxa"/>
              <w:left w:w="60" w:type="dxa"/>
              <w:bottom w:w="60" w:type="dxa"/>
              <w:right w:w="60" w:type="dxa"/>
            </w:tcMar>
            <w:vAlign w:val="center"/>
          </w:tcPr>
          <w:p w14:paraId="62018164"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Prefer only if approval, supply, evidence and cost tolerance are confirmed</w:t>
            </w:r>
          </w:p>
        </w:tc>
      </w:tr>
      <w:tr w:rsidR="00F40651" w:rsidRPr="000A560E" w14:paraId="30524AC1" w14:textId="77777777" w:rsidTr="000A560E">
        <w:trPr>
          <w:jc w:val="center"/>
        </w:trPr>
        <w:tc>
          <w:tcPr>
            <w:tcW w:w="0" w:type="auto"/>
            <w:tcMar>
              <w:top w:w="60" w:type="dxa"/>
              <w:left w:w="60" w:type="dxa"/>
              <w:bottom w:w="60" w:type="dxa"/>
              <w:right w:w="60" w:type="dxa"/>
            </w:tcMar>
            <w:vAlign w:val="center"/>
          </w:tcPr>
          <w:p w14:paraId="674AA8AB"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Clarification required</w:t>
            </w:r>
          </w:p>
        </w:tc>
        <w:tc>
          <w:tcPr>
            <w:tcW w:w="0" w:type="auto"/>
            <w:tcMar>
              <w:top w:w="60" w:type="dxa"/>
              <w:left w:w="60" w:type="dxa"/>
              <w:bottom w:w="60" w:type="dxa"/>
              <w:right w:w="60" w:type="dxa"/>
            </w:tcMar>
            <w:vAlign w:val="center"/>
          </w:tcPr>
          <w:p w14:paraId="3635845C"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Not analysed</w:t>
            </w:r>
          </w:p>
        </w:tc>
        <w:tc>
          <w:tcPr>
            <w:tcW w:w="0" w:type="auto"/>
            <w:tcMar>
              <w:top w:w="60" w:type="dxa"/>
              <w:left w:w="60" w:type="dxa"/>
              <w:bottom w:w="60" w:type="dxa"/>
              <w:right w:w="60" w:type="dxa"/>
            </w:tcMar>
            <w:vAlign w:val="center"/>
          </w:tcPr>
          <w:p w14:paraId="3E2387E7"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Not analysed</w:t>
            </w:r>
          </w:p>
        </w:tc>
        <w:tc>
          <w:tcPr>
            <w:tcW w:w="1347" w:type="dxa"/>
            <w:tcMar>
              <w:top w:w="60" w:type="dxa"/>
              <w:left w:w="60" w:type="dxa"/>
              <w:bottom w:w="60" w:type="dxa"/>
              <w:right w:w="60" w:type="dxa"/>
            </w:tcMar>
            <w:vAlign w:val="center"/>
          </w:tcPr>
          <w:p w14:paraId="74217185"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Not analysed</w:t>
            </w:r>
          </w:p>
        </w:tc>
        <w:tc>
          <w:tcPr>
            <w:tcW w:w="1932" w:type="dxa"/>
            <w:tcMar>
              <w:top w:w="60" w:type="dxa"/>
              <w:left w:w="60" w:type="dxa"/>
              <w:bottom w:w="60" w:type="dxa"/>
              <w:right w:w="60" w:type="dxa"/>
            </w:tcMar>
            <w:vAlign w:val="center"/>
          </w:tcPr>
          <w:p w14:paraId="420CFBE5"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Strength class, exposure class, functional unit, EPD boundary or supplier identity is missing</w:t>
            </w:r>
          </w:p>
        </w:tc>
        <w:tc>
          <w:tcPr>
            <w:tcW w:w="0" w:type="auto"/>
            <w:tcMar>
              <w:top w:w="60" w:type="dxa"/>
              <w:left w:w="60" w:type="dxa"/>
              <w:bottom w:w="60" w:type="dxa"/>
              <w:right w:w="60" w:type="dxa"/>
            </w:tcMar>
            <w:vAlign w:val="center"/>
          </w:tcPr>
          <w:p w14:paraId="07284E58"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Request targeted clarification; resume analysis only when critical parameters are supplied</w:t>
            </w:r>
          </w:p>
        </w:tc>
      </w:tr>
      <w:tr w:rsidR="00F40651" w:rsidRPr="000A560E" w14:paraId="668E1AFE" w14:textId="77777777" w:rsidTr="000A560E">
        <w:trPr>
          <w:cantSplit/>
          <w:jc w:val="center"/>
        </w:trPr>
        <w:tc>
          <w:tcPr>
            <w:tcW w:w="0" w:type="auto"/>
            <w:tcBorders>
              <w:bottom w:val="single" w:sz="4" w:space="0" w:color="auto"/>
            </w:tcBorders>
            <w:tcMar>
              <w:top w:w="60" w:type="dxa"/>
              <w:left w:w="60" w:type="dxa"/>
              <w:bottom w:w="60" w:type="dxa"/>
              <w:right w:w="60" w:type="dxa"/>
            </w:tcMar>
            <w:vAlign w:val="center"/>
          </w:tcPr>
          <w:p w14:paraId="600A9E36"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Evidence-insufficient state</w:t>
            </w:r>
          </w:p>
        </w:tc>
        <w:tc>
          <w:tcPr>
            <w:tcW w:w="0" w:type="auto"/>
            <w:tcBorders>
              <w:bottom w:val="single" w:sz="4" w:space="0" w:color="auto"/>
            </w:tcBorders>
            <w:tcMar>
              <w:top w:w="60" w:type="dxa"/>
              <w:left w:w="60" w:type="dxa"/>
              <w:bottom w:w="60" w:type="dxa"/>
              <w:right w:w="60" w:type="dxa"/>
            </w:tcMar>
            <w:vAlign w:val="center"/>
          </w:tcPr>
          <w:p w14:paraId="12645E21"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Not calculated</w:t>
            </w:r>
          </w:p>
        </w:tc>
        <w:tc>
          <w:tcPr>
            <w:tcW w:w="0" w:type="auto"/>
            <w:tcBorders>
              <w:bottom w:val="single" w:sz="4" w:space="0" w:color="auto"/>
            </w:tcBorders>
            <w:tcMar>
              <w:top w:w="60" w:type="dxa"/>
              <w:left w:w="60" w:type="dxa"/>
              <w:bottom w:w="60" w:type="dxa"/>
              <w:right w:w="60" w:type="dxa"/>
            </w:tcMar>
            <w:vAlign w:val="center"/>
          </w:tcPr>
          <w:p w14:paraId="2F7BC9AB"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Decision paused pending evidence</w:t>
            </w:r>
          </w:p>
        </w:tc>
        <w:tc>
          <w:tcPr>
            <w:tcW w:w="1347" w:type="dxa"/>
            <w:tcBorders>
              <w:bottom w:val="single" w:sz="4" w:space="0" w:color="auto"/>
            </w:tcBorders>
            <w:tcMar>
              <w:top w:w="60" w:type="dxa"/>
              <w:left w:w="60" w:type="dxa"/>
              <w:bottom w:w="60" w:type="dxa"/>
              <w:right w:w="60" w:type="dxa"/>
            </w:tcMar>
            <w:vAlign w:val="center"/>
          </w:tcPr>
          <w:p w14:paraId="3AF46902"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Not calculated</w:t>
            </w:r>
          </w:p>
        </w:tc>
        <w:tc>
          <w:tcPr>
            <w:tcW w:w="1932" w:type="dxa"/>
            <w:tcBorders>
              <w:bottom w:val="single" w:sz="4" w:space="0" w:color="auto"/>
            </w:tcBorders>
            <w:tcMar>
              <w:top w:w="60" w:type="dxa"/>
              <w:left w:w="60" w:type="dxa"/>
              <w:bottom w:w="60" w:type="dxa"/>
              <w:right w:w="60" w:type="dxa"/>
            </w:tcMar>
            <w:vAlign w:val="center"/>
          </w:tcPr>
          <w:p w14:paraId="4D6D3AEE" w14:textId="61241AFA"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 xml:space="preserve">Retrieval failure, outdated evidence, conflicting sources, numerical incompleteness or boundary incompatibility </w:t>
            </w:r>
            <w:r w:rsidR="00522DD1" w:rsidRPr="000A560E">
              <w:rPr>
                <w:rFonts w:ascii="Calibri" w:hAnsi="Calibri" w:cs="Calibri"/>
                <w:sz w:val="20"/>
                <w:szCs w:val="20"/>
              </w:rPr>
              <w:t>remain</w:t>
            </w:r>
            <w:r w:rsidRPr="000A560E">
              <w:rPr>
                <w:rFonts w:ascii="Calibri" w:hAnsi="Calibri" w:cs="Calibri"/>
                <w:sz w:val="20"/>
                <w:szCs w:val="20"/>
              </w:rPr>
              <w:t xml:space="preserve"> after clarification</w:t>
            </w:r>
          </w:p>
        </w:tc>
        <w:tc>
          <w:tcPr>
            <w:tcW w:w="0" w:type="auto"/>
            <w:tcBorders>
              <w:bottom w:val="single" w:sz="4" w:space="0" w:color="auto"/>
            </w:tcBorders>
            <w:tcMar>
              <w:top w:w="60" w:type="dxa"/>
              <w:left w:w="60" w:type="dxa"/>
              <w:bottom w:w="60" w:type="dxa"/>
              <w:right w:w="60" w:type="dxa"/>
            </w:tcMar>
            <w:vAlign w:val="center"/>
          </w:tcPr>
          <w:p w14:paraId="727AA80E" w14:textId="77777777" w:rsidR="00F40651" w:rsidRPr="000A560E" w:rsidRDefault="00F40651" w:rsidP="000A560E">
            <w:pPr>
              <w:spacing w:after="0" w:line="230" w:lineRule="auto"/>
              <w:rPr>
                <w:rFonts w:ascii="Calibri" w:hAnsi="Calibri" w:cs="Calibri"/>
                <w:sz w:val="20"/>
                <w:szCs w:val="20"/>
              </w:rPr>
            </w:pPr>
            <w:r w:rsidRPr="000A560E">
              <w:rPr>
                <w:rFonts w:ascii="Calibri" w:hAnsi="Calibri" w:cs="Calibri"/>
                <w:sz w:val="20"/>
                <w:szCs w:val="20"/>
              </w:rPr>
              <w:t>Recommendation withheld; Gate 3 determines whether to request evidence, reject or escalate</w:t>
            </w:r>
          </w:p>
        </w:tc>
      </w:tr>
    </w:tbl>
    <w:p w14:paraId="631E7307" w14:textId="77777777" w:rsidR="00F40651" w:rsidRPr="000A560E" w:rsidRDefault="00F40651" w:rsidP="00F40651">
      <w:pPr>
        <w:spacing w:after="0" w:line="240" w:lineRule="auto"/>
        <w:jc w:val="center"/>
        <w:rPr>
          <w:rFonts w:ascii="Calibri" w:hAnsi="Calibri" w:cs="Calibri"/>
          <w:i/>
          <w:iCs/>
          <w:sz w:val="10"/>
          <w:szCs w:val="10"/>
        </w:rPr>
      </w:pPr>
    </w:p>
    <w:p w14:paraId="222FCB0E" w14:textId="185110DA" w:rsidR="00F40651" w:rsidRPr="00F40651" w:rsidRDefault="00F40651" w:rsidP="000A560E">
      <w:pPr>
        <w:spacing w:after="0" w:line="233" w:lineRule="auto"/>
        <w:jc w:val="both"/>
        <w:rPr>
          <w:rFonts w:ascii="Calibri" w:hAnsi="Calibri" w:cs="Calibri"/>
        </w:rPr>
      </w:pPr>
      <w:r w:rsidRPr="00F40651">
        <w:rPr>
          <w:rFonts w:ascii="Calibri" w:hAnsi="Calibri" w:cs="Calibri"/>
          <w:b/>
          <w:bCs/>
          <w:sz w:val="28"/>
          <w:szCs w:val="28"/>
        </w:rPr>
        <w:t xml:space="preserve">5. </w:t>
      </w:r>
      <w:r w:rsidR="00315A0E" w:rsidRPr="00315A0E">
        <w:rPr>
          <w:rFonts w:ascii="Calibri" w:hAnsi="Calibri" w:cs="Calibri"/>
          <w:b/>
          <w:bCs/>
          <w:sz w:val="28"/>
          <w:szCs w:val="28"/>
        </w:rPr>
        <w:t>DISCUSSION AND EVALUATION PROTOCOL</w:t>
      </w:r>
      <w:r w:rsidR="00315A0E">
        <w:rPr>
          <w:rFonts w:ascii="Calibri" w:hAnsi="Calibri" w:cs="Calibri"/>
          <w:b/>
          <w:bCs/>
          <w:sz w:val="28"/>
          <w:szCs w:val="28"/>
        </w:rPr>
        <w:t xml:space="preserve"> </w:t>
      </w:r>
    </w:p>
    <w:p w14:paraId="3B4ED586" w14:textId="24AD2EF8" w:rsidR="00F40651" w:rsidRPr="00F40651" w:rsidRDefault="00F40651" w:rsidP="000A560E">
      <w:pPr>
        <w:spacing w:after="0" w:line="233" w:lineRule="auto"/>
        <w:ind w:firstLine="720"/>
        <w:jc w:val="both"/>
        <w:rPr>
          <w:rFonts w:ascii="Calibri" w:hAnsi="Calibri" w:cs="Calibri"/>
        </w:rPr>
      </w:pPr>
      <w:r w:rsidRPr="00F40651">
        <w:rPr>
          <w:rFonts w:ascii="Calibri" w:hAnsi="Calibri" w:cs="Calibri"/>
        </w:rPr>
        <w:t>Recent construction agentic RAG research has already demonstrated adaptive tool routing, proactive clarification, source-grounded retrieval and explicit failure reporting in safety decision support (Corneli et al., 2026). The contribution of the present paper is not those mechanisms individually. It is their problem-driven configuration within supervisor-led specialist reasoning across cost, programme, embodied carbon and compliance, heterogeneous project-evidence handling, staged human decision rights, explicit refusal conditions and a same-evidence comparator that makes the orchestration claim testable. Within the reviewed systems, no study was identified that combines this complete configuration.</w:t>
      </w:r>
      <w:r w:rsidR="000A560E">
        <w:rPr>
          <w:rFonts w:ascii="Calibri" w:hAnsi="Calibri" w:cs="Calibri"/>
        </w:rPr>
        <w:t xml:space="preserve"> </w:t>
      </w:r>
      <w:r w:rsidRPr="00F40651">
        <w:rPr>
          <w:rFonts w:ascii="Calibri" w:hAnsi="Calibri" w:cs="Calibri"/>
        </w:rPr>
        <w:t xml:space="preserve">The architecture also introduces risks beyond those of a single model. Specialists may share the same model and evidence base, so their errors can be correlated rather than </w:t>
      </w:r>
      <w:r w:rsidRPr="00F40651">
        <w:rPr>
          <w:rFonts w:ascii="Calibri" w:hAnsi="Calibri" w:cs="Calibri"/>
        </w:rPr>
        <w:lastRenderedPageBreak/>
        <w:t>independent. The supervisor may propagate or conceal those errors, while additional agents increase coordination complexity, latency and inference cost. Evidence routing may misclassify numerical and narrative sources, document updates may fail to invalidate stale data, and clarification may be too weak, too generic or unnecessary. Human review does not automatically prevent automation bias or superficial approval. The proposed controls are therefore design intentions that require implementation and evaluation.</w:t>
      </w:r>
    </w:p>
    <w:p w14:paraId="5A623ECF" w14:textId="40C3C60B" w:rsidR="00F40651" w:rsidRPr="00F40651" w:rsidRDefault="00F40651" w:rsidP="000A560E">
      <w:pPr>
        <w:spacing w:after="0" w:line="233" w:lineRule="auto"/>
        <w:ind w:firstLine="720"/>
        <w:jc w:val="both"/>
        <w:rPr>
          <w:rFonts w:ascii="Calibri" w:hAnsi="Calibri" w:cs="Calibri"/>
          <w:lang w:val="en-AU"/>
        </w:rPr>
      </w:pPr>
      <w:r w:rsidRPr="00F40651">
        <w:rPr>
          <w:rFonts w:ascii="Calibri" w:hAnsi="Calibri" w:cs="Calibri"/>
        </w:rPr>
        <w:t xml:space="preserve">Validation should use a gold-standard project corpus annotated for the expected source, page or section, value, unit, functional unit or life-cycle boundary, decision dimension, evidence conflict and required clarification. Three conditions should be compared: a retrieval-grounded single-LLM comparator, specialist agents without supervisor synthesis, and the complete supervisor-led architecture. All conditions should use the same model version, evidence package, retrieval settings, tools, temperature, context limits and output constraints, with repeated runs to assess variability. </w:t>
      </w:r>
      <w:r w:rsidR="006943E5" w:rsidRPr="006943E5">
        <w:rPr>
          <w:rFonts w:ascii="Calibri" w:hAnsi="Calibri" w:cs="Calibri"/>
        </w:rPr>
        <w:t>Outputs from the three conditions should be assessed using a common rubric so that the same criteria are applied consistently across configurations. Each criterion can be scored on a three-point scale: 0 = absent or incorrect, 1 = partially addressed, and 2 = complete, accurate and supported by evidence.</w:t>
      </w:r>
      <w:r w:rsidR="006943E5">
        <w:rPr>
          <w:rFonts w:ascii="Calibri" w:hAnsi="Calibri" w:cs="Calibri"/>
        </w:rPr>
        <w:t xml:space="preserve"> </w:t>
      </w:r>
      <w:r w:rsidRPr="00F40651">
        <w:rPr>
          <w:rFonts w:ascii="Calibri" w:hAnsi="Calibri" w:cs="Calibri"/>
        </w:rPr>
        <w:t>Each scenario should include fully specified and deliberately under-specified variants to test whether the system requests necessary clarification rather than completing missing context. P1 should be tested through decision-dimension coverage and cross-dimensional conflict detection. P2 should be tested through source-traceability accuracy, exact numerical precision, evidence completeness, unsupported-claim rate, clarification precision and recall, and post-clarification correctness. P3 should be tested through latency, token use and inference cost. Quantity surveyors, planners, sustainability specialists, engineers and project managers should then assess usefulness, traceability, confidence calibration and the adequacy of escalation. Later case studies can test performance with real project documents and commercial constraints.</w:t>
      </w:r>
    </w:p>
    <w:p w14:paraId="06106FD5" w14:textId="77777777" w:rsidR="00F40651" w:rsidRPr="000A560E" w:rsidRDefault="00F40651" w:rsidP="000A560E">
      <w:pPr>
        <w:spacing w:after="0" w:line="233" w:lineRule="auto"/>
        <w:rPr>
          <w:rFonts w:ascii="Calibri" w:hAnsi="Calibri" w:cs="Calibri"/>
          <w:sz w:val="10"/>
          <w:szCs w:val="10"/>
        </w:rPr>
      </w:pPr>
    </w:p>
    <w:p w14:paraId="3F9EEFAF" w14:textId="77777777" w:rsidR="00F40651" w:rsidRPr="00F40651" w:rsidRDefault="00F40651" w:rsidP="000A560E">
      <w:pPr>
        <w:spacing w:after="0" w:line="233" w:lineRule="auto"/>
        <w:jc w:val="both"/>
        <w:rPr>
          <w:rFonts w:ascii="Calibri" w:hAnsi="Calibri" w:cs="Calibri"/>
        </w:rPr>
      </w:pPr>
      <w:r w:rsidRPr="00F40651">
        <w:rPr>
          <w:rFonts w:ascii="Calibri" w:hAnsi="Calibri" w:cs="Calibri"/>
          <w:b/>
          <w:bCs/>
          <w:sz w:val="28"/>
          <w:szCs w:val="28"/>
        </w:rPr>
        <w:t>6. CONCLUSION AND FUTURE WORK</w:t>
      </w:r>
    </w:p>
    <w:p w14:paraId="4F5DD3FB" w14:textId="17BAA645" w:rsidR="00F40651" w:rsidRPr="00F40651" w:rsidRDefault="00F40651" w:rsidP="000A560E">
      <w:pPr>
        <w:spacing w:after="0" w:line="233" w:lineRule="auto"/>
        <w:ind w:firstLine="720"/>
        <w:jc w:val="both"/>
        <w:rPr>
          <w:rFonts w:ascii="Calibri" w:hAnsi="Calibri" w:cs="Calibri"/>
          <w:lang w:val="en-AU"/>
        </w:rPr>
      </w:pPr>
      <w:r w:rsidRPr="00F40651">
        <w:rPr>
          <w:rFonts w:ascii="Calibri" w:hAnsi="Calibri" w:cs="Calibri"/>
        </w:rPr>
        <w:t xml:space="preserve">This paper contributes a conceptual reference architecture for evidence-grounded, net-zero-aligned construction decisions. Its distinctive proposition is the coordinated combination of heterogeneous project-evidence handling, supervisor-led specialist analysis across cost, programme, embodied carbon and compliance, targeted clarification and explicit refusal conditions, staged human decision authority, and a same-evidence single-model comparator for controlled evaluation. The concrete walkthrough illustrates information flow, clarification, conditional synthesis and recommendation withholding, but does not provide empirical evidence of performance. Future work will test </w:t>
      </w:r>
      <w:r w:rsidR="00DE3555" w:rsidRPr="00DE3555">
        <w:rPr>
          <w:rFonts w:ascii="Calibri" w:hAnsi="Calibri" w:cs="Calibri"/>
        </w:rPr>
        <w:t>the proposed architecture as a prototype and apply the evaluation protocol outlined. This would allow the supervisor-led configuration to be compared with a retrieval-grounded single-LLM baseline and a specialist-agent configuration without supervisor synthesis, using equivalent project evidence, model settings and decision scenarios</w:t>
      </w:r>
      <w:r w:rsidR="00DE3555">
        <w:rPr>
          <w:rFonts w:ascii="Calibri" w:hAnsi="Calibri" w:cs="Calibri"/>
        </w:rPr>
        <w:t xml:space="preserve">. </w:t>
      </w:r>
    </w:p>
    <w:p w14:paraId="5D9A21FE" w14:textId="77777777" w:rsidR="00F40651" w:rsidRPr="000A560E" w:rsidRDefault="00F40651" w:rsidP="00F40651">
      <w:pPr>
        <w:spacing w:after="0" w:line="240" w:lineRule="auto"/>
        <w:rPr>
          <w:rFonts w:ascii="Calibri" w:hAnsi="Calibri" w:cs="Calibri"/>
          <w:sz w:val="6"/>
          <w:szCs w:val="6"/>
        </w:rPr>
      </w:pPr>
    </w:p>
    <w:p w14:paraId="7D16F6FE" w14:textId="77777777" w:rsidR="00F40651" w:rsidRPr="00F40651" w:rsidRDefault="00F40651" w:rsidP="00F40651">
      <w:pPr>
        <w:keepNext/>
        <w:spacing w:after="0" w:line="240" w:lineRule="auto"/>
        <w:rPr>
          <w:rFonts w:ascii="Calibri" w:hAnsi="Calibri" w:cs="Calibri"/>
          <w:b/>
          <w:bCs/>
          <w:sz w:val="28"/>
          <w:szCs w:val="28"/>
        </w:rPr>
      </w:pPr>
      <w:r w:rsidRPr="00F40651">
        <w:rPr>
          <w:rFonts w:ascii="Calibri" w:hAnsi="Calibri" w:cs="Calibri"/>
          <w:b/>
          <w:bCs/>
          <w:sz w:val="28"/>
          <w:szCs w:val="28"/>
        </w:rPr>
        <w:t>ACKNOWLEDGEMENTS</w:t>
      </w:r>
    </w:p>
    <w:p w14:paraId="750E79C9" w14:textId="77777777" w:rsidR="00F40651" w:rsidRPr="00F40651" w:rsidRDefault="00F40651" w:rsidP="000A560E">
      <w:pPr>
        <w:spacing w:after="0" w:line="230" w:lineRule="auto"/>
        <w:rPr>
          <w:rFonts w:ascii="Calibri" w:hAnsi="Calibri" w:cs="Calibri"/>
        </w:rPr>
      </w:pPr>
      <w:r w:rsidRPr="00F40651">
        <w:rPr>
          <w:rFonts w:ascii="Calibri" w:hAnsi="Calibri" w:cs="Calibri"/>
        </w:rPr>
        <w:t>The authors acknowledge seed funding from the Griffith University School of Engineering and Built Environment for future prototype development.</w:t>
      </w:r>
    </w:p>
    <w:p w14:paraId="404D91F8" w14:textId="77777777" w:rsidR="00F40651" w:rsidRPr="00F40651" w:rsidRDefault="00F40651" w:rsidP="000A560E">
      <w:pPr>
        <w:keepNext/>
        <w:spacing w:after="0" w:line="230" w:lineRule="auto"/>
        <w:rPr>
          <w:rFonts w:ascii="Calibri" w:hAnsi="Calibri" w:cs="Calibri"/>
          <w:b/>
          <w:bCs/>
          <w:sz w:val="28"/>
          <w:szCs w:val="28"/>
        </w:rPr>
      </w:pPr>
      <w:r w:rsidRPr="00F40651">
        <w:rPr>
          <w:rFonts w:ascii="Calibri" w:hAnsi="Calibri" w:cs="Calibri"/>
          <w:b/>
          <w:bCs/>
          <w:sz w:val="28"/>
          <w:szCs w:val="28"/>
        </w:rPr>
        <w:t xml:space="preserve">REFERENCES </w:t>
      </w:r>
    </w:p>
    <w:p w14:paraId="7AE5B640"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Chen, J. and Bao, Y. (2025) 'Multi-agent large language model framework for code-compliant automated design of reinforced concrete structures', Automation in Construction, 177, 106331. </w:t>
      </w:r>
      <w:proofErr w:type="spellStart"/>
      <w:r w:rsidRPr="00D6514A">
        <w:rPr>
          <w:rFonts w:ascii="Calibri" w:hAnsi="Calibri" w:cs="Calibri"/>
          <w:lang w:val="en-AU"/>
        </w:rPr>
        <w:t>doi</w:t>
      </w:r>
      <w:proofErr w:type="spellEnd"/>
      <w:r w:rsidRPr="00D6514A">
        <w:rPr>
          <w:rFonts w:ascii="Calibri" w:hAnsi="Calibri" w:cs="Calibri"/>
          <w:lang w:val="en-AU"/>
        </w:rPr>
        <w:t>: 10.1016/j.autcon.2025.106331.</w:t>
      </w:r>
    </w:p>
    <w:p w14:paraId="598DA950"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Corneli, A., Pieroni, T., Carbonari, A. and </w:t>
      </w:r>
      <w:proofErr w:type="spellStart"/>
      <w:r w:rsidRPr="00D6514A">
        <w:rPr>
          <w:rFonts w:ascii="Calibri" w:hAnsi="Calibri" w:cs="Calibri"/>
          <w:lang w:val="en-AU"/>
        </w:rPr>
        <w:t>Naticchia</w:t>
      </w:r>
      <w:proofErr w:type="spellEnd"/>
      <w:r w:rsidRPr="00D6514A">
        <w:rPr>
          <w:rFonts w:ascii="Calibri" w:hAnsi="Calibri" w:cs="Calibri"/>
          <w:lang w:val="en-AU"/>
        </w:rPr>
        <w:t xml:space="preserve">, B. (2026) 'Collaborative safety intelligence in construction sites through agentic RAG systems', Proceedings of the 43rd ISARC, Singapore, pp. 856-863. </w:t>
      </w:r>
      <w:proofErr w:type="spellStart"/>
      <w:r w:rsidRPr="00D6514A">
        <w:rPr>
          <w:rFonts w:ascii="Calibri" w:hAnsi="Calibri" w:cs="Calibri"/>
          <w:lang w:val="en-AU"/>
        </w:rPr>
        <w:t>doi</w:t>
      </w:r>
      <w:proofErr w:type="spellEnd"/>
      <w:r w:rsidRPr="00D6514A">
        <w:rPr>
          <w:rFonts w:ascii="Calibri" w:hAnsi="Calibri" w:cs="Calibri"/>
          <w:lang w:val="en-AU"/>
        </w:rPr>
        <w:t>: 10.22260/ISARC2026/0110.</w:t>
      </w:r>
    </w:p>
    <w:p w14:paraId="2AA549D7"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European Union (2024) 'Regulation (EU) 2024/1689 laying down harmonised rules on artificial intelligence', Official Journal of the European Union, L 2024/1689.</w:t>
      </w:r>
    </w:p>
    <w:p w14:paraId="220E868A"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Gamage, G. et al. (2024) 'Multi-agent RAG chatbot architecture for decision support in net-zero emission energy systems', 2024 IEEE International Conference on Industrial Technology, pp. 1-6. </w:t>
      </w:r>
      <w:proofErr w:type="spellStart"/>
      <w:r w:rsidRPr="00D6514A">
        <w:rPr>
          <w:rFonts w:ascii="Calibri" w:hAnsi="Calibri" w:cs="Calibri"/>
          <w:lang w:val="en-AU"/>
        </w:rPr>
        <w:t>doi</w:t>
      </w:r>
      <w:proofErr w:type="spellEnd"/>
      <w:r w:rsidRPr="00D6514A">
        <w:rPr>
          <w:rFonts w:ascii="Calibri" w:hAnsi="Calibri" w:cs="Calibri"/>
          <w:lang w:val="en-AU"/>
        </w:rPr>
        <w:t>: 10.1109/ICIT58233.2024.10540920.</w:t>
      </w:r>
    </w:p>
    <w:p w14:paraId="224C0FE9"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lastRenderedPageBreak/>
        <w:t xml:space="preserve">Gatto, C., Mirarchi, C. and Pavan, A. (2025) 'Towards automation in cost estimation: LLM-based methodology for classifying and extracting cost data from tender documents', Proceedings of EC3 2025. </w:t>
      </w:r>
      <w:proofErr w:type="spellStart"/>
      <w:r w:rsidRPr="00D6514A">
        <w:rPr>
          <w:rFonts w:ascii="Calibri" w:hAnsi="Calibri" w:cs="Calibri"/>
          <w:lang w:val="en-AU"/>
        </w:rPr>
        <w:t>doi</w:t>
      </w:r>
      <w:proofErr w:type="spellEnd"/>
      <w:r w:rsidRPr="00D6514A">
        <w:rPr>
          <w:rFonts w:ascii="Calibri" w:hAnsi="Calibri" w:cs="Calibri"/>
          <w:lang w:val="en-AU"/>
        </w:rPr>
        <w:t>: 10.35490/EC3.2025.370.</w:t>
      </w:r>
    </w:p>
    <w:p w14:paraId="5B0B24D3"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Gu, X., Chen, X., Fang, Y., Mahabir, R. and Fan, C. (2025) 'CECA: an intelligent large-language-model-enabled method for accounting embodied carbon in buildings', Building and Environment, 272, 112694. </w:t>
      </w:r>
      <w:proofErr w:type="spellStart"/>
      <w:r w:rsidRPr="00D6514A">
        <w:rPr>
          <w:rFonts w:ascii="Calibri" w:hAnsi="Calibri" w:cs="Calibri"/>
          <w:lang w:val="en-AU"/>
        </w:rPr>
        <w:t>doi</w:t>
      </w:r>
      <w:proofErr w:type="spellEnd"/>
      <w:r w:rsidRPr="00D6514A">
        <w:rPr>
          <w:rFonts w:ascii="Calibri" w:hAnsi="Calibri" w:cs="Calibri"/>
          <w:lang w:val="en-AU"/>
        </w:rPr>
        <w:t>: 10.1016/j.buildenv.2025.112694.</w:t>
      </w:r>
    </w:p>
    <w:p w14:paraId="5590A1EB"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Guo, T. et al. (2024) 'Large language model based multi-agents: a survey of progress and challenges', Proceedings of the Thirty-Third International Joint Conference on Artificial Intelligence, pp. 8048-8057. </w:t>
      </w:r>
      <w:proofErr w:type="spellStart"/>
      <w:r w:rsidRPr="00D6514A">
        <w:rPr>
          <w:rFonts w:ascii="Calibri" w:hAnsi="Calibri" w:cs="Calibri"/>
          <w:lang w:val="en-AU"/>
        </w:rPr>
        <w:t>doi</w:t>
      </w:r>
      <w:proofErr w:type="spellEnd"/>
      <w:r w:rsidRPr="00D6514A">
        <w:rPr>
          <w:rFonts w:ascii="Calibri" w:hAnsi="Calibri" w:cs="Calibri"/>
          <w:lang w:val="en-AU"/>
        </w:rPr>
        <w:t>: 10.24963/ijcai.2024/890.</w:t>
      </w:r>
    </w:p>
    <w:p w14:paraId="28A0AA76" w14:textId="77777777" w:rsidR="00F40651" w:rsidRPr="00F40651" w:rsidRDefault="00F40651" w:rsidP="000A560E">
      <w:pPr>
        <w:spacing w:after="0" w:line="230" w:lineRule="auto"/>
        <w:ind w:left="851" w:hanging="851"/>
        <w:rPr>
          <w:rFonts w:ascii="Calibri" w:hAnsi="Calibri" w:cs="Calibri"/>
        </w:rPr>
      </w:pPr>
      <w:r w:rsidRPr="00D6514A">
        <w:rPr>
          <w:rFonts w:ascii="Calibri" w:hAnsi="Calibri" w:cs="Calibri"/>
          <w:lang w:val="en-AU"/>
        </w:rPr>
        <w:t xml:space="preserve">Hevner, A. R., March, S. T., Park, J. and Ram, S. (2004) 'Design </w:t>
      </w:r>
      <w:r w:rsidRPr="00F40651">
        <w:rPr>
          <w:rFonts w:ascii="Calibri" w:hAnsi="Calibri" w:cs="Calibri"/>
        </w:rPr>
        <w:t xml:space="preserve">science in information systems research', MIS Quarterly, 28(1), pp. 75-105. </w:t>
      </w:r>
      <w:proofErr w:type="spellStart"/>
      <w:r w:rsidRPr="00F40651">
        <w:rPr>
          <w:rFonts w:ascii="Calibri" w:hAnsi="Calibri" w:cs="Calibri"/>
        </w:rPr>
        <w:t>doi</w:t>
      </w:r>
      <w:proofErr w:type="spellEnd"/>
      <w:r w:rsidRPr="00F40651">
        <w:rPr>
          <w:rFonts w:ascii="Calibri" w:hAnsi="Calibri" w:cs="Calibri"/>
        </w:rPr>
        <w:t>: 10.2307/25148625.</w:t>
      </w:r>
    </w:p>
    <w:p w14:paraId="36B82E89"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Holzinger, A., Zatloukal, K. and Müller, H. (2025) 'Is human oversight to AI systems still possible?', New Biotechnology, 85, pp. 59-62. </w:t>
      </w:r>
      <w:proofErr w:type="spellStart"/>
      <w:r w:rsidRPr="00D6514A">
        <w:rPr>
          <w:rFonts w:ascii="Calibri" w:hAnsi="Calibri" w:cs="Calibri"/>
          <w:lang w:val="en-AU"/>
        </w:rPr>
        <w:t>doi</w:t>
      </w:r>
      <w:proofErr w:type="spellEnd"/>
      <w:r w:rsidRPr="00D6514A">
        <w:rPr>
          <w:rFonts w:ascii="Calibri" w:hAnsi="Calibri" w:cs="Calibri"/>
          <w:lang w:val="en-AU"/>
        </w:rPr>
        <w:t>: 10.1016/j.nbt.2024.12.003.</w:t>
      </w:r>
    </w:p>
    <w:p w14:paraId="52DE040D"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Hua, J. et al. (2025) 'Artificial intelligence for calculating and predicting building carbon emissions: a review', Environmental Chemistry Letters, 23, pp. 783-816. </w:t>
      </w:r>
      <w:proofErr w:type="spellStart"/>
      <w:r w:rsidRPr="00D6514A">
        <w:rPr>
          <w:rFonts w:ascii="Calibri" w:hAnsi="Calibri" w:cs="Calibri"/>
          <w:lang w:val="en-AU"/>
        </w:rPr>
        <w:t>doi</w:t>
      </w:r>
      <w:proofErr w:type="spellEnd"/>
      <w:r w:rsidRPr="00D6514A">
        <w:rPr>
          <w:rFonts w:ascii="Calibri" w:hAnsi="Calibri" w:cs="Calibri"/>
          <w:lang w:val="en-AU"/>
        </w:rPr>
        <w:t>: 10.1007/s10311-024-01799-z.</w:t>
      </w:r>
    </w:p>
    <w:p w14:paraId="2A4E4F19"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Lewis, P. et al. (2020) 'Retrieval-augmented generation for knowledge-intensive NLP tasks', Advances in Neural Information Processing Systems, 33, pp. 9459-9474.</w:t>
      </w:r>
    </w:p>
    <w:p w14:paraId="193D4CE6"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Li, Y. et al. (2024) 'Artificial intelligence in net-zero carbon emissions for sustainable building projects: a systematic literature and science mapping review', Buildings, 14(9), 2752. </w:t>
      </w:r>
      <w:proofErr w:type="spellStart"/>
      <w:r w:rsidRPr="00D6514A">
        <w:rPr>
          <w:rFonts w:ascii="Calibri" w:hAnsi="Calibri" w:cs="Calibri"/>
          <w:lang w:val="en-AU"/>
        </w:rPr>
        <w:t>doi</w:t>
      </w:r>
      <w:proofErr w:type="spellEnd"/>
      <w:r w:rsidRPr="00D6514A">
        <w:rPr>
          <w:rFonts w:ascii="Calibri" w:hAnsi="Calibri" w:cs="Calibri"/>
          <w:lang w:val="en-AU"/>
        </w:rPr>
        <w:t>: 10.3390/buildings14092752.</w:t>
      </w:r>
    </w:p>
    <w:p w14:paraId="5FBBCCB9" w14:textId="77777777" w:rsidR="00F40651" w:rsidRPr="00D6514A" w:rsidRDefault="00F40651" w:rsidP="000A560E">
      <w:pPr>
        <w:spacing w:after="0" w:line="230" w:lineRule="auto"/>
        <w:ind w:left="851" w:hanging="851"/>
        <w:rPr>
          <w:rFonts w:ascii="Calibri" w:hAnsi="Calibri" w:cs="Calibri"/>
          <w:lang w:val="en-AU"/>
        </w:rPr>
      </w:pPr>
      <w:proofErr w:type="spellStart"/>
      <w:r w:rsidRPr="00D6514A">
        <w:rPr>
          <w:rFonts w:ascii="Calibri" w:hAnsi="Calibri" w:cs="Calibri"/>
          <w:lang w:val="en-AU"/>
        </w:rPr>
        <w:t>Lützkendorf</w:t>
      </w:r>
      <w:proofErr w:type="spellEnd"/>
      <w:r w:rsidRPr="00D6514A">
        <w:rPr>
          <w:rFonts w:ascii="Calibri" w:hAnsi="Calibri" w:cs="Calibri"/>
          <w:lang w:val="en-AU"/>
        </w:rPr>
        <w:t xml:space="preserve">, T. and </w:t>
      </w:r>
      <w:proofErr w:type="spellStart"/>
      <w:r w:rsidRPr="00D6514A">
        <w:rPr>
          <w:rFonts w:ascii="Calibri" w:hAnsi="Calibri" w:cs="Calibri"/>
          <w:lang w:val="en-AU"/>
        </w:rPr>
        <w:t>Balouktsi</w:t>
      </w:r>
      <w:proofErr w:type="spellEnd"/>
      <w:r w:rsidRPr="00D6514A">
        <w:rPr>
          <w:rFonts w:ascii="Calibri" w:hAnsi="Calibri" w:cs="Calibri"/>
          <w:lang w:val="en-AU"/>
        </w:rPr>
        <w:t xml:space="preserve">, M. (2022) 'Embodied carbon emissions in buildings: explanations, interpretations, recommendations', Buildings &amp; Cities, 3(1), pp. 964-973. </w:t>
      </w:r>
      <w:proofErr w:type="spellStart"/>
      <w:r w:rsidRPr="00D6514A">
        <w:rPr>
          <w:rFonts w:ascii="Calibri" w:hAnsi="Calibri" w:cs="Calibri"/>
          <w:lang w:val="en-AU"/>
        </w:rPr>
        <w:t>doi</w:t>
      </w:r>
      <w:proofErr w:type="spellEnd"/>
      <w:r w:rsidRPr="00D6514A">
        <w:rPr>
          <w:rFonts w:ascii="Calibri" w:hAnsi="Calibri" w:cs="Calibri"/>
          <w:lang w:val="en-AU"/>
        </w:rPr>
        <w:t>: 10.5334/bc.257.</w:t>
      </w:r>
    </w:p>
    <w:p w14:paraId="42A9C5C0"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National Institute of Standards and Technology (NIST) (2023) Artificial Intelligence Risk Management Framework (AI RMF 1.0). Gaithersburg: NIST. </w:t>
      </w:r>
      <w:proofErr w:type="spellStart"/>
      <w:r w:rsidRPr="00D6514A">
        <w:rPr>
          <w:rFonts w:ascii="Calibri" w:hAnsi="Calibri" w:cs="Calibri"/>
          <w:lang w:val="en-AU"/>
        </w:rPr>
        <w:t>doi</w:t>
      </w:r>
      <w:proofErr w:type="spellEnd"/>
      <w:r w:rsidRPr="00D6514A">
        <w:rPr>
          <w:rFonts w:ascii="Calibri" w:hAnsi="Calibri" w:cs="Calibri"/>
          <w:lang w:val="en-AU"/>
        </w:rPr>
        <w:t>: 10.6028/NIST.AI.100-1.</w:t>
      </w:r>
    </w:p>
    <w:p w14:paraId="061429D9"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Pal, A., Murguia, D. and Middleton, C. (2024) 'Automatic inference of construction delays through analysis of weekly progress reports using LLMs', Proceedings of the 41st International Conference of CIB W78, Marrakech, Morocco, 2-3 October, ISSN 2706-6568.</w:t>
      </w:r>
    </w:p>
    <w:p w14:paraId="4E962E2B"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Peffers, K., </w:t>
      </w:r>
      <w:proofErr w:type="spellStart"/>
      <w:r w:rsidRPr="00D6514A">
        <w:rPr>
          <w:rFonts w:ascii="Calibri" w:hAnsi="Calibri" w:cs="Calibri"/>
          <w:lang w:val="en-AU"/>
        </w:rPr>
        <w:t>Tuunanen</w:t>
      </w:r>
      <w:proofErr w:type="spellEnd"/>
      <w:r w:rsidRPr="00D6514A">
        <w:rPr>
          <w:rFonts w:ascii="Calibri" w:hAnsi="Calibri" w:cs="Calibri"/>
          <w:lang w:val="en-AU"/>
        </w:rPr>
        <w:t xml:space="preserve">, T., Rothenberger, M. A. and Chatterjee, S. (2007) 'A design science research methodology for information systems research', Journal of Management Information Systems, 24(3), pp. 45-77. </w:t>
      </w:r>
      <w:proofErr w:type="spellStart"/>
      <w:r w:rsidRPr="00D6514A">
        <w:rPr>
          <w:rFonts w:ascii="Calibri" w:hAnsi="Calibri" w:cs="Calibri"/>
          <w:lang w:val="en-AU"/>
        </w:rPr>
        <w:t>doi</w:t>
      </w:r>
      <w:proofErr w:type="spellEnd"/>
      <w:r w:rsidRPr="00D6514A">
        <w:rPr>
          <w:rFonts w:ascii="Calibri" w:hAnsi="Calibri" w:cs="Calibri"/>
          <w:lang w:val="en-AU"/>
        </w:rPr>
        <w:t>: 10.2753/MIS0742-1222240302.</w:t>
      </w:r>
    </w:p>
    <w:p w14:paraId="7275F445"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Pomponi, F. and </w:t>
      </w:r>
      <w:proofErr w:type="spellStart"/>
      <w:r w:rsidRPr="00D6514A">
        <w:rPr>
          <w:rFonts w:ascii="Calibri" w:hAnsi="Calibri" w:cs="Calibri"/>
          <w:lang w:val="en-AU"/>
        </w:rPr>
        <w:t>Moncaster</w:t>
      </w:r>
      <w:proofErr w:type="spellEnd"/>
      <w:r w:rsidRPr="00D6514A">
        <w:rPr>
          <w:rFonts w:ascii="Calibri" w:hAnsi="Calibri" w:cs="Calibri"/>
          <w:lang w:val="en-AU"/>
        </w:rPr>
        <w:t xml:space="preserve">, A. (2016) 'Embodied carbon mitigation and reduction in the built environment: what does the evidence say?', Journal of Environmental Management, 181, pp. 687-700. </w:t>
      </w:r>
      <w:proofErr w:type="spellStart"/>
      <w:r w:rsidRPr="00D6514A">
        <w:rPr>
          <w:rFonts w:ascii="Calibri" w:hAnsi="Calibri" w:cs="Calibri"/>
          <w:lang w:val="en-AU"/>
        </w:rPr>
        <w:t>doi</w:t>
      </w:r>
      <w:proofErr w:type="spellEnd"/>
      <w:r w:rsidRPr="00D6514A">
        <w:rPr>
          <w:rFonts w:ascii="Calibri" w:hAnsi="Calibri" w:cs="Calibri"/>
          <w:lang w:val="en-AU"/>
        </w:rPr>
        <w:t>: 10.1016/j.jenvman.2016.08.036.</w:t>
      </w:r>
    </w:p>
    <w:p w14:paraId="3228F44D"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Rawat, A., Witt, E. and Lill, I. (2025) 'A conceptual framework for LLM-based multi-agent system in construction management', Proceedings of EC3 2025. </w:t>
      </w:r>
      <w:proofErr w:type="spellStart"/>
      <w:r w:rsidRPr="00D6514A">
        <w:rPr>
          <w:rFonts w:ascii="Calibri" w:hAnsi="Calibri" w:cs="Calibri"/>
          <w:lang w:val="en-AU"/>
        </w:rPr>
        <w:t>doi</w:t>
      </w:r>
      <w:proofErr w:type="spellEnd"/>
      <w:r w:rsidRPr="00D6514A">
        <w:rPr>
          <w:rFonts w:ascii="Calibri" w:hAnsi="Calibri" w:cs="Calibri"/>
          <w:lang w:val="en-AU"/>
        </w:rPr>
        <w:t>: 10.35490/EC3.2025.218.</w:t>
      </w:r>
    </w:p>
    <w:p w14:paraId="683103EA"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Röck, M. et al. (2020) 'Embodied GHG emissions of buildings: the hidden challenge for effective climate change mitigation', Applied Energy, 258, 114107. </w:t>
      </w:r>
      <w:proofErr w:type="spellStart"/>
      <w:r w:rsidRPr="00D6514A">
        <w:rPr>
          <w:rFonts w:ascii="Calibri" w:hAnsi="Calibri" w:cs="Calibri"/>
          <w:lang w:val="en-AU"/>
        </w:rPr>
        <w:t>doi</w:t>
      </w:r>
      <w:proofErr w:type="spellEnd"/>
      <w:r w:rsidRPr="00D6514A">
        <w:rPr>
          <w:rFonts w:ascii="Calibri" w:hAnsi="Calibri" w:cs="Calibri"/>
          <w:lang w:val="en-AU"/>
        </w:rPr>
        <w:t>: 10.1016/j.apenergy.2019.114107.</w:t>
      </w:r>
    </w:p>
    <w:p w14:paraId="3B700EF6"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Sapkota, R., Roumeliotis, K. I. and </w:t>
      </w:r>
      <w:proofErr w:type="spellStart"/>
      <w:r w:rsidRPr="00D6514A">
        <w:rPr>
          <w:rFonts w:ascii="Calibri" w:hAnsi="Calibri" w:cs="Calibri"/>
          <w:lang w:val="en-AU"/>
        </w:rPr>
        <w:t>Karkee</w:t>
      </w:r>
      <w:proofErr w:type="spellEnd"/>
      <w:r w:rsidRPr="00D6514A">
        <w:rPr>
          <w:rFonts w:ascii="Calibri" w:hAnsi="Calibri" w:cs="Calibri"/>
          <w:lang w:val="en-AU"/>
        </w:rPr>
        <w:t xml:space="preserve">, M. (2026) 'AI agents vs. agentic AI: a conceptual taxonomy, applications and challenges', Information Fusion, 126, 103599. </w:t>
      </w:r>
      <w:proofErr w:type="spellStart"/>
      <w:r w:rsidRPr="00D6514A">
        <w:rPr>
          <w:rFonts w:ascii="Calibri" w:hAnsi="Calibri" w:cs="Calibri"/>
          <w:lang w:val="en-AU"/>
        </w:rPr>
        <w:t>doi</w:t>
      </w:r>
      <w:proofErr w:type="spellEnd"/>
      <w:r w:rsidRPr="00D6514A">
        <w:rPr>
          <w:rFonts w:ascii="Calibri" w:hAnsi="Calibri" w:cs="Calibri"/>
          <w:lang w:val="en-AU"/>
        </w:rPr>
        <w:t>: 10.1016/j.inffus.2025.103599.</w:t>
      </w:r>
    </w:p>
    <w:p w14:paraId="54FABCDF"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UNEP and </w:t>
      </w:r>
      <w:proofErr w:type="spellStart"/>
      <w:r w:rsidRPr="00D6514A">
        <w:rPr>
          <w:rFonts w:ascii="Calibri" w:hAnsi="Calibri" w:cs="Calibri"/>
          <w:lang w:val="en-AU"/>
        </w:rPr>
        <w:t>GlobalABC</w:t>
      </w:r>
      <w:proofErr w:type="spellEnd"/>
      <w:r w:rsidRPr="00D6514A">
        <w:rPr>
          <w:rFonts w:ascii="Calibri" w:hAnsi="Calibri" w:cs="Calibri"/>
          <w:lang w:val="en-AU"/>
        </w:rPr>
        <w:t xml:space="preserve"> (2025) Global Status Report for Buildings and Construction 2024/2025: Not Just Another Brick in the Wall. Nairobi: United Nations Environment Programme.</w:t>
      </w:r>
    </w:p>
    <w:p w14:paraId="322C981F" w14:textId="77777777" w:rsidR="00F40651"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Ying, H. and Sacks, R. (2024) 'From automatic to autonomous: a large language model-driven approach for generic building compliance checking', Proceedings of the 41st International Conference of CIB W78, Marrakech, Morocco, 2-3 October, ISSN 2706-6568.</w:t>
      </w:r>
    </w:p>
    <w:p w14:paraId="5A09FF6D" w14:textId="73D4A052" w:rsidR="00C523EA" w:rsidRPr="00D6514A" w:rsidRDefault="00F40651" w:rsidP="000A560E">
      <w:pPr>
        <w:spacing w:after="0" w:line="230" w:lineRule="auto"/>
        <w:ind w:left="851" w:hanging="851"/>
        <w:rPr>
          <w:rFonts w:ascii="Calibri" w:hAnsi="Calibri" w:cs="Calibri"/>
          <w:lang w:val="en-AU"/>
        </w:rPr>
      </w:pPr>
      <w:r w:rsidRPr="00D6514A">
        <w:rPr>
          <w:rFonts w:ascii="Calibri" w:hAnsi="Calibri" w:cs="Calibri"/>
          <w:lang w:val="en-AU"/>
        </w:rPr>
        <w:t xml:space="preserve">Zou, Y., Zheng, R. and Xia, J. (2025) 'Enhancing embodied carbon calculation in buildings: a retrieval-augmented generation approach with large language models', Buildings, 15(19), 3449. </w:t>
      </w:r>
      <w:proofErr w:type="spellStart"/>
      <w:r w:rsidRPr="00D6514A">
        <w:rPr>
          <w:rFonts w:ascii="Calibri" w:hAnsi="Calibri" w:cs="Calibri"/>
          <w:lang w:val="en-AU"/>
        </w:rPr>
        <w:t>doi</w:t>
      </w:r>
      <w:proofErr w:type="spellEnd"/>
      <w:r w:rsidRPr="00D6514A">
        <w:rPr>
          <w:rFonts w:ascii="Calibri" w:hAnsi="Calibri" w:cs="Calibri"/>
          <w:lang w:val="en-AU"/>
        </w:rPr>
        <w:t>: 10.3390/buildings15193449</w:t>
      </w:r>
      <w:r w:rsidR="00C523EA" w:rsidRPr="00D6514A">
        <w:rPr>
          <w:rFonts w:ascii="Calibri" w:hAnsi="Calibri" w:cs="Calibri"/>
          <w:lang w:val="en-AU"/>
        </w:rPr>
        <w:t xml:space="preserve">. </w:t>
      </w:r>
    </w:p>
    <w:sectPr w:rsidR="00C523EA" w:rsidRPr="00D6514A" w:rsidSect="00F204EA">
      <w:headerReference w:type="default" r:id="rId11"/>
      <w:footerReference w:type="defaul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ABF1" w14:textId="77777777" w:rsidR="00A2386D" w:rsidRDefault="00A2386D" w:rsidP="005076E1">
      <w:pPr>
        <w:spacing w:after="0" w:line="240" w:lineRule="auto"/>
      </w:pPr>
      <w:r>
        <w:separator/>
      </w:r>
    </w:p>
  </w:endnote>
  <w:endnote w:type="continuationSeparator" w:id="0">
    <w:p w14:paraId="44A0ADE2" w14:textId="77777777" w:rsidR="00A2386D" w:rsidRDefault="00A2386D"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ADC" w14:textId="77777777"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48856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7506ED45" w14:textId="77777777"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67728" w14:textId="77777777" w:rsidR="00A2386D" w:rsidRDefault="00A2386D" w:rsidP="005076E1">
      <w:pPr>
        <w:spacing w:after="0" w:line="240" w:lineRule="auto"/>
      </w:pPr>
      <w:r>
        <w:separator/>
      </w:r>
    </w:p>
  </w:footnote>
  <w:footnote w:type="continuationSeparator" w:id="0">
    <w:p w14:paraId="24493A9E" w14:textId="77777777" w:rsidR="00A2386D" w:rsidRDefault="00A2386D"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E6BE3"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015DB2D1" w14:textId="77777777" w:rsidR="005076E1" w:rsidRDefault="005076E1" w:rsidP="005076E1">
    <w:pPr>
      <w:pStyle w:val="Header"/>
      <w:jc w:val="center"/>
      <w:rPr>
        <w:sz w:val="28"/>
        <w:szCs w:val="28"/>
      </w:rPr>
    </w:pPr>
    <w:r w:rsidRPr="00A93F99">
      <w:rPr>
        <w:sz w:val="28"/>
        <w:szCs w:val="28"/>
      </w:rPr>
      <w:t>IT in Construction</w:t>
    </w:r>
  </w:p>
  <w:p w14:paraId="02A1BD1E" w14:textId="77777777" w:rsidR="005076E1" w:rsidRPr="00F3628B" w:rsidRDefault="005076E1" w:rsidP="005076E1">
    <w:pPr>
      <w:pStyle w:val="Header"/>
      <w:jc w:val="center"/>
      <w:rPr>
        <w:sz w:val="28"/>
        <w:szCs w:val="28"/>
      </w:rPr>
    </w:pPr>
    <w:r>
      <w:rPr>
        <w:sz w:val="28"/>
        <w:szCs w:val="28"/>
      </w:rPr>
      <w:t>New Delhi, India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7FEC"/>
    <w:rsid w:val="00010AB3"/>
    <w:rsid w:val="00010CDC"/>
    <w:rsid w:val="00017C6C"/>
    <w:rsid w:val="00035E2C"/>
    <w:rsid w:val="00040B14"/>
    <w:rsid w:val="00055069"/>
    <w:rsid w:val="00056D46"/>
    <w:rsid w:val="00062ADD"/>
    <w:rsid w:val="00072B5B"/>
    <w:rsid w:val="000737D0"/>
    <w:rsid w:val="00074C5C"/>
    <w:rsid w:val="00083A8A"/>
    <w:rsid w:val="000911A3"/>
    <w:rsid w:val="00095134"/>
    <w:rsid w:val="000A1166"/>
    <w:rsid w:val="000A2B28"/>
    <w:rsid w:val="000A560E"/>
    <w:rsid w:val="000E2921"/>
    <w:rsid w:val="000F3953"/>
    <w:rsid w:val="000F3F49"/>
    <w:rsid w:val="000F7395"/>
    <w:rsid w:val="00102002"/>
    <w:rsid w:val="00105D3B"/>
    <w:rsid w:val="0010619F"/>
    <w:rsid w:val="00116193"/>
    <w:rsid w:val="001259B9"/>
    <w:rsid w:val="00146561"/>
    <w:rsid w:val="0017043A"/>
    <w:rsid w:val="0018313C"/>
    <w:rsid w:val="0018389D"/>
    <w:rsid w:val="001861C1"/>
    <w:rsid w:val="00186701"/>
    <w:rsid w:val="00193130"/>
    <w:rsid w:val="001A0427"/>
    <w:rsid w:val="001A13B1"/>
    <w:rsid w:val="001C277F"/>
    <w:rsid w:val="001D0E12"/>
    <w:rsid w:val="001D4985"/>
    <w:rsid w:val="001E1309"/>
    <w:rsid w:val="001F0EC6"/>
    <w:rsid w:val="001F4D3D"/>
    <w:rsid w:val="00202A4C"/>
    <w:rsid w:val="0021402B"/>
    <w:rsid w:val="00222D8A"/>
    <w:rsid w:val="00224613"/>
    <w:rsid w:val="0023384B"/>
    <w:rsid w:val="00235410"/>
    <w:rsid w:val="00240E4E"/>
    <w:rsid w:val="0026677B"/>
    <w:rsid w:val="00274DCA"/>
    <w:rsid w:val="00275E5A"/>
    <w:rsid w:val="00295C3A"/>
    <w:rsid w:val="00297F02"/>
    <w:rsid w:val="002A2192"/>
    <w:rsid w:val="002A5DCC"/>
    <w:rsid w:val="002B43E7"/>
    <w:rsid w:val="002C28D6"/>
    <w:rsid w:val="002D7EE4"/>
    <w:rsid w:val="002E6428"/>
    <w:rsid w:val="00314EED"/>
    <w:rsid w:val="00315A0E"/>
    <w:rsid w:val="00317F81"/>
    <w:rsid w:val="00322D74"/>
    <w:rsid w:val="0032605D"/>
    <w:rsid w:val="0034149E"/>
    <w:rsid w:val="00342698"/>
    <w:rsid w:val="00360EDB"/>
    <w:rsid w:val="00363C99"/>
    <w:rsid w:val="00372DAE"/>
    <w:rsid w:val="00380318"/>
    <w:rsid w:val="00381EA9"/>
    <w:rsid w:val="00390739"/>
    <w:rsid w:val="0039631F"/>
    <w:rsid w:val="003A2516"/>
    <w:rsid w:val="003A3241"/>
    <w:rsid w:val="003B024C"/>
    <w:rsid w:val="003B09A1"/>
    <w:rsid w:val="003C220B"/>
    <w:rsid w:val="003F7545"/>
    <w:rsid w:val="004005FE"/>
    <w:rsid w:val="004079F4"/>
    <w:rsid w:val="004140B2"/>
    <w:rsid w:val="00424CD3"/>
    <w:rsid w:val="00441D83"/>
    <w:rsid w:val="004422E3"/>
    <w:rsid w:val="00445B4C"/>
    <w:rsid w:val="004513BC"/>
    <w:rsid w:val="00460966"/>
    <w:rsid w:val="00463D9C"/>
    <w:rsid w:val="0047358D"/>
    <w:rsid w:val="00481CC0"/>
    <w:rsid w:val="004852C2"/>
    <w:rsid w:val="004A60F9"/>
    <w:rsid w:val="004B06AF"/>
    <w:rsid w:val="004B5C03"/>
    <w:rsid w:val="004C1133"/>
    <w:rsid w:val="004C384D"/>
    <w:rsid w:val="004F67B2"/>
    <w:rsid w:val="00502D73"/>
    <w:rsid w:val="00505020"/>
    <w:rsid w:val="005076E1"/>
    <w:rsid w:val="005079BA"/>
    <w:rsid w:val="00514F1D"/>
    <w:rsid w:val="005162F4"/>
    <w:rsid w:val="00522DD1"/>
    <w:rsid w:val="00534399"/>
    <w:rsid w:val="005359F5"/>
    <w:rsid w:val="00553E49"/>
    <w:rsid w:val="00585D1D"/>
    <w:rsid w:val="00591D77"/>
    <w:rsid w:val="005A3BD3"/>
    <w:rsid w:val="005B0F80"/>
    <w:rsid w:val="005B5180"/>
    <w:rsid w:val="005C0677"/>
    <w:rsid w:val="005C5BCF"/>
    <w:rsid w:val="005D2027"/>
    <w:rsid w:val="005D3E36"/>
    <w:rsid w:val="005D50A7"/>
    <w:rsid w:val="005E0E7F"/>
    <w:rsid w:val="005E386C"/>
    <w:rsid w:val="005E4143"/>
    <w:rsid w:val="005E42FE"/>
    <w:rsid w:val="005F01F2"/>
    <w:rsid w:val="0061041B"/>
    <w:rsid w:val="00611462"/>
    <w:rsid w:val="00615CE5"/>
    <w:rsid w:val="0061613B"/>
    <w:rsid w:val="00631E48"/>
    <w:rsid w:val="006430A9"/>
    <w:rsid w:val="00643CE9"/>
    <w:rsid w:val="00644408"/>
    <w:rsid w:val="00661882"/>
    <w:rsid w:val="00661C8A"/>
    <w:rsid w:val="006871BB"/>
    <w:rsid w:val="00692879"/>
    <w:rsid w:val="006943E5"/>
    <w:rsid w:val="006A03AC"/>
    <w:rsid w:val="006A2E98"/>
    <w:rsid w:val="006A66AC"/>
    <w:rsid w:val="006A6E04"/>
    <w:rsid w:val="006A7F18"/>
    <w:rsid w:val="006B4478"/>
    <w:rsid w:val="006D0FAE"/>
    <w:rsid w:val="006D2011"/>
    <w:rsid w:val="006D6416"/>
    <w:rsid w:val="006D7F76"/>
    <w:rsid w:val="006E370E"/>
    <w:rsid w:val="006E77D5"/>
    <w:rsid w:val="006F5214"/>
    <w:rsid w:val="007127AA"/>
    <w:rsid w:val="007134A9"/>
    <w:rsid w:val="007211EE"/>
    <w:rsid w:val="00724094"/>
    <w:rsid w:val="00727170"/>
    <w:rsid w:val="00732476"/>
    <w:rsid w:val="00733A6B"/>
    <w:rsid w:val="00750566"/>
    <w:rsid w:val="00761A0D"/>
    <w:rsid w:val="00764CCC"/>
    <w:rsid w:val="00777EE5"/>
    <w:rsid w:val="00786F4F"/>
    <w:rsid w:val="007957F2"/>
    <w:rsid w:val="007B59CA"/>
    <w:rsid w:val="007B5C1C"/>
    <w:rsid w:val="007C0CF7"/>
    <w:rsid w:val="007D22D6"/>
    <w:rsid w:val="007E1819"/>
    <w:rsid w:val="007E3AFF"/>
    <w:rsid w:val="007E433A"/>
    <w:rsid w:val="007E4F7A"/>
    <w:rsid w:val="007E78DE"/>
    <w:rsid w:val="007F1807"/>
    <w:rsid w:val="007F5F18"/>
    <w:rsid w:val="00815825"/>
    <w:rsid w:val="008255B7"/>
    <w:rsid w:val="008419D5"/>
    <w:rsid w:val="00844214"/>
    <w:rsid w:val="0085365E"/>
    <w:rsid w:val="008562CA"/>
    <w:rsid w:val="00861A9E"/>
    <w:rsid w:val="00866026"/>
    <w:rsid w:val="00871C5F"/>
    <w:rsid w:val="00877E8D"/>
    <w:rsid w:val="008829AC"/>
    <w:rsid w:val="00896C17"/>
    <w:rsid w:val="008A2D46"/>
    <w:rsid w:val="008A6304"/>
    <w:rsid w:val="008B3B64"/>
    <w:rsid w:val="008B61CF"/>
    <w:rsid w:val="008D3AEC"/>
    <w:rsid w:val="008D7465"/>
    <w:rsid w:val="008E476B"/>
    <w:rsid w:val="00905118"/>
    <w:rsid w:val="0091532D"/>
    <w:rsid w:val="00915EDD"/>
    <w:rsid w:val="00917C1E"/>
    <w:rsid w:val="0092330C"/>
    <w:rsid w:val="009263BD"/>
    <w:rsid w:val="00934364"/>
    <w:rsid w:val="00937D4F"/>
    <w:rsid w:val="00941C51"/>
    <w:rsid w:val="0094548E"/>
    <w:rsid w:val="00955160"/>
    <w:rsid w:val="009571A4"/>
    <w:rsid w:val="00967D1C"/>
    <w:rsid w:val="009720B9"/>
    <w:rsid w:val="00974F32"/>
    <w:rsid w:val="0099766F"/>
    <w:rsid w:val="009A42AC"/>
    <w:rsid w:val="009B36D6"/>
    <w:rsid w:val="009B7186"/>
    <w:rsid w:val="009D19D9"/>
    <w:rsid w:val="009E2850"/>
    <w:rsid w:val="009E757F"/>
    <w:rsid w:val="009F4D54"/>
    <w:rsid w:val="00A1441D"/>
    <w:rsid w:val="00A2386D"/>
    <w:rsid w:val="00A24736"/>
    <w:rsid w:val="00A26A56"/>
    <w:rsid w:val="00A33CE0"/>
    <w:rsid w:val="00A37852"/>
    <w:rsid w:val="00A37B9E"/>
    <w:rsid w:val="00A4007A"/>
    <w:rsid w:val="00A8352E"/>
    <w:rsid w:val="00AA0C9B"/>
    <w:rsid w:val="00AA37FD"/>
    <w:rsid w:val="00AA54D1"/>
    <w:rsid w:val="00AB2E61"/>
    <w:rsid w:val="00AC34F8"/>
    <w:rsid w:val="00AC425F"/>
    <w:rsid w:val="00AD1BBC"/>
    <w:rsid w:val="00AE08E2"/>
    <w:rsid w:val="00AE627F"/>
    <w:rsid w:val="00AF387F"/>
    <w:rsid w:val="00B04685"/>
    <w:rsid w:val="00B10C37"/>
    <w:rsid w:val="00B262FA"/>
    <w:rsid w:val="00B42868"/>
    <w:rsid w:val="00B46A5A"/>
    <w:rsid w:val="00B51526"/>
    <w:rsid w:val="00B5403B"/>
    <w:rsid w:val="00B8110F"/>
    <w:rsid w:val="00B828D3"/>
    <w:rsid w:val="00BA39E3"/>
    <w:rsid w:val="00BB2402"/>
    <w:rsid w:val="00BB74AF"/>
    <w:rsid w:val="00BC0BFF"/>
    <w:rsid w:val="00BC214F"/>
    <w:rsid w:val="00BD1296"/>
    <w:rsid w:val="00BF680C"/>
    <w:rsid w:val="00C05053"/>
    <w:rsid w:val="00C13D7B"/>
    <w:rsid w:val="00C238C5"/>
    <w:rsid w:val="00C266F1"/>
    <w:rsid w:val="00C2691B"/>
    <w:rsid w:val="00C2762A"/>
    <w:rsid w:val="00C30FBE"/>
    <w:rsid w:val="00C319D3"/>
    <w:rsid w:val="00C4274F"/>
    <w:rsid w:val="00C43941"/>
    <w:rsid w:val="00C50085"/>
    <w:rsid w:val="00C523EA"/>
    <w:rsid w:val="00C57052"/>
    <w:rsid w:val="00C717BC"/>
    <w:rsid w:val="00C76759"/>
    <w:rsid w:val="00C7786E"/>
    <w:rsid w:val="00C808F4"/>
    <w:rsid w:val="00C86790"/>
    <w:rsid w:val="00C900D3"/>
    <w:rsid w:val="00CA5E27"/>
    <w:rsid w:val="00CB16A9"/>
    <w:rsid w:val="00CC49CF"/>
    <w:rsid w:val="00CD446C"/>
    <w:rsid w:val="00CE27D8"/>
    <w:rsid w:val="00D03DA7"/>
    <w:rsid w:val="00D04135"/>
    <w:rsid w:val="00D12628"/>
    <w:rsid w:val="00D27269"/>
    <w:rsid w:val="00D2760E"/>
    <w:rsid w:val="00D37FB6"/>
    <w:rsid w:val="00D42724"/>
    <w:rsid w:val="00D43996"/>
    <w:rsid w:val="00D45371"/>
    <w:rsid w:val="00D46EF0"/>
    <w:rsid w:val="00D5738B"/>
    <w:rsid w:val="00D6057A"/>
    <w:rsid w:val="00D6514A"/>
    <w:rsid w:val="00D8663E"/>
    <w:rsid w:val="00D94FEF"/>
    <w:rsid w:val="00DA33A8"/>
    <w:rsid w:val="00DA542C"/>
    <w:rsid w:val="00DA6038"/>
    <w:rsid w:val="00DA7316"/>
    <w:rsid w:val="00DB5C5F"/>
    <w:rsid w:val="00DC6722"/>
    <w:rsid w:val="00DE3555"/>
    <w:rsid w:val="00DE5900"/>
    <w:rsid w:val="00DF1418"/>
    <w:rsid w:val="00DF19F4"/>
    <w:rsid w:val="00DF74C0"/>
    <w:rsid w:val="00E32E24"/>
    <w:rsid w:val="00E44F8A"/>
    <w:rsid w:val="00E77469"/>
    <w:rsid w:val="00E85242"/>
    <w:rsid w:val="00E92BC8"/>
    <w:rsid w:val="00EC4C1A"/>
    <w:rsid w:val="00EC7A09"/>
    <w:rsid w:val="00ED04DB"/>
    <w:rsid w:val="00ED60FD"/>
    <w:rsid w:val="00EF1795"/>
    <w:rsid w:val="00F0112E"/>
    <w:rsid w:val="00F03045"/>
    <w:rsid w:val="00F049B3"/>
    <w:rsid w:val="00F1306C"/>
    <w:rsid w:val="00F204EA"/>
    <w:rsid w:val="00F34146"/>
    <w:rsid w:val="00F37D9D"/>
    <w:rsid w:val="00F40651"/>
    <w:rsid w:val="00F43979"/>
    <w:rsid w:val="00F43D4E"/>
    <w:rsid w:val="00F611D6"/>
    <w:rsid w:val="00F81EA8"/>
    <w:rsid w:val="00F87F88"/>
    <w:rsid w:val="00FB08D5"/>
    <w:rsid w:val="00FB304D"/>
    <w:rsid w:val="00FD4909"/>
    <w:rsid w:val="00FE44E3"/>
    <w:rsid w:val="00FF369D"/>
    <w:rsid w:val="00FF74C6"/>
    <w:rsid w:val="04C636DD"/>
    <w:rsid w:val="55D75581"/>
    <w:rsid w:val="6283DB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2626A"/>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CommentReference">
    <w:name w:val="annotation reference"/>
    <w:basedOn w:val="DefaultParagraphFont"/>
    <w:uiPriority w:val="99"/>
    <w:semiHidden/>
    <w:unhideWhenUsed/>
    <w:rsid w:val="00AD1BBC"/>
    <w:rPr>
      <w:sz w:val="16"/>
      <w:szCs w:val="16"/>
    </w:rPr>
  </w:style>
  <w:style w:type="paragraph" w:styleId="CommentText">
    <w:name w:val="annotation text"/>
    <w:basedOn w:val="Normal"/>
    <w:link w:val="CommentTextChar"/>
    <w:uiPriority w:val="99"/>
    <w:unhideWhenUsed/>
    <w:rsid w:val="00AD1BBC"/>
    <w:pPr>
      <w:spacing w:line="240" w:lineRule="auto"/>
    </w:pPr>
    <w:rPr>
      <w:sz w:val="20"/>
      <w:szCs w:val="20"/>
    </w:rPr>
  </w:style>
  <w:style w:type="character" w:customStyle="1" w:styleId="CommentTextChar">
    <w:name w:val="Comment Text Char"/>
    <w:basedOn w:val="DefaultParagraphFont"/>
    <w:link w:val="CommentText"/>
    <w:uiPriority w:val="99"/>
    <w:rsid w:val="00AD1BBC"/>
    <w:rPr>
      <w:sz w:val="20"/>
      <w:szCs w:val="20"/>
    </w:rPr>
  </w:style>
  <w:style w:type="paragraph" w:styleId="CommentSubject">
    <w:name w:val="annotation subject"/>
    <w:basedOn w:val="CommentText"/>
    <w:next w:val="CommentText"/>
    <w:link w:val="CommentSubjectChar"/>
    <w:uiPriority w:val="99"/>
    <w:semiHidden/>
    <w:unhideWhenUsed/>
    <w:rsid w:val="00AD1BBC"/>
    <w:rPr>
      <w:b/>
      <w:bCs/>
    </w:rPr>
  </w:style>
  <w:style w:type="character" w:customStyle="1" w:styleId="CommentSubjectChar">
    <w:name w:val="Comment Subject Char"/>
    <w:basedOn w:val="CommentTextChar"/>
    <w:link w:val="CommentSubject"/>
    <w:uiPriority w:val="99"/>
    <w:semiHidden/>
    <w:rsid w:val="00AD1BBC"/>
    <w:rPr>
      <w:b/>
      <w:bCs/>
      <w:sz w:val="20"/>
      <w:szCs w:val="20"/>
    </w:rPr>
  </w:style>
  <w:style w:type="paragraph" w:styleId="Revision">
    <w:name w:val="Revision"/>
    <w:hidden/>
    <w:uiPriority w:val="99"/>
    <w:semiHidden/>
    <w:rsid w:val="00441D83"/>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erif.mostafa@griffith.edu.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AD22B-3F32-462D-9036-6E747C60865E}">
  <ds:schemaRefs>
    <ds:schemaRef ds:uri="http://schemas.openxmlformats.org/officeDocument/2006/bibliography"/>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4834</Words>
  <Characters>33359</Characters>
  <Application>Microsoft Office Word</Application>
  <DocSecurity>0</DocSecurity>
  <Lines>667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37986</CharactersWithSpaces>
  <SharedDoc>false</SharedDoc>
  <HLinks>
    <vt:vector size="6" baseType="variant">
      <vt:variant>
        <vt:i4>6946896</vt:i4>
      </vt:variant>
      <vt:variant>
        <vt:i4>0</vt:i4>
      </vt:variant>
      <vt:variant>
        <vt:i4>0</vt:i4>
      </vt:variant>
      <vt:variant>
        <vt:i4>5</vt:i4>
      </vt:variant>
      <vt:variant>
        <vt:lpwstr>mailto:sherif.mostafa@griffith.edu.au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Sherif Mostafa</cp:lastModifiedBy>
  <cp:revision>2</cp:revision>
  <dcterms:created xsi:type="dcterms:W3CDTF">2026-08-18T00:40:00Z</dcterms:created>
  <dcterms:modified xsi:type="dcterms:W3CDTF">2026-08-18T00:40:00Z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