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137AA" w14:textId="77777777" w:rsidR="00187143" w:rsidRDefault="00187143" w:rsidP="00812538">
      <w:pPr>
        <w:spacing w:after="200"/>
        <w:rPr>
          <w:rFonts w:cs="Arial"/>
          <w:bCs/>
          <w:kern w:val="28"/>
          <w:sz w:val="36"/>
          <w:szCs w:val="32"/>
        </w:rPr>
      </w:pPr>
      <w:r w:rsidRPr="00187143">
        <w:rPr>
          <w:rFonts w:cs="Arial"/>
          <w:bCs/>
          <w:kern w:val="28"/>
          <w:sz w:val="36"/>
          <w:szCs w:val="32"/>
        </w:rPr>
        <w:t>EVCAR: Multi-Agent Reinforcement Learning for Electric Vehicle Charging Network Recovery</w:t>
      </w:r>
    </w:p>
    <w:p w14:paraId="7BD6EC87" w14:textId="2A72EA02" w:rsidR="00C31D5E" w:rsidRDefault="00D24542" w:rsidP="00623362">
      <w:pPr>
        <w:pStyle w:val="PlainText"/>
        <w:spacing w:after="240"/>
        <w:jc w:val="center"/>
        <w:rPr>
          <w:rFonts w:eastAsia="Times New Roman"/>
          <w:sz w:val="32"/>
          <w:szCs w:val="24"/>
        </w:rPr>
      </w:pPr>
      <w:r w:rsidRPr="00D24542">
        <w:rPr>
          <w:rFonts w:eastAsia="Times New Roman"/>
          <w:sz w:val="32"/>
          <w:szCs w:val="24"/>
        </w:rPr>
        <w:t>A Multi-District Approach to Post-Outage Quality of Service Restoration</w:t>
      </w:r>
    </w:p>
    <w:p w14:paraId="486757B8" w14:textId="16594418" w:rsidR="001F603E" w:rsidRPr="00B261E6" w:rsidRDefault="00BB44D5" w:rsidP="00BB44D5">
      <w:pPr>
        <w:rPr>
          <w:rFonts w:ascii="Calibri" w:eastAsia="MS Mincho" w:hAnsi="Calibri" w:cs="Calibri"/>
          <w:b w:val="0"/>
          <w:szCs w:val="20"/>
        </w:rPr>
      </w:pPr>
      <w:r>
        <w:rPr>
          <w:rFonts w:ascii="Calibri" w:eastAsia="MS Mincho" w:hAnsi="Calibri" w:cs="Calibri"/>
          <w:b w:val="0"/>
          <w:szCs w:val="20"/>
        </w:rPr>
        <w:t>MOHAMED ABDELFATTAH</w:t>
      </w:r>
      <w:r w:rsidR="001F603E" w:rsidRPr="00B261E6">
        <w:rPr>
          <w:rFonts w:ascii="Calibri" w:eastAsia="MS Mincho" w:hAnsi="Calibri" w:cs="Calibri"/>
          <w:b w:val="0"/>
          <w:szCs w:val="20"/>
          <w:vertAlign w:val="superscript"/>
        </w:rPr>
        <w:t>,</w:t>
      </w:r>
      <w:r w:rsidR="001F603E">
        <w:rPr>
          <w:rFonts w:ascii="Calibri" w:eastAsia="MS Mincho" w:hAnsi="Calibri" w:cs="Calibri"/>
          <w:b w:val="0"/>
          <w:szCs w:val="20"/>
          <w:vertAlign w:val="superscript"/>
        </w:rPr>
        <w:t>1</w:t>
      </w:r>
      <w:r w:rsidR="001F603E" w:rsidRPr="00B261E6">
        <w:rPr>
          <w:rFonts w:ascii="Calibri" w:eastAsia="MS Mincho" w:hAnsi="Calibri" w:cs="Calibri"/>
          <w:b w:val="0"/>
          <w:szCs w:val="20"/>
        </w:rPr>
        <w:t xml:space="preserve"> </w:t>
      </w:r>
      <w:r>
        <w:rPr>
          <w:rFonts w:ascii="Calibri" w:eastAsia="MS Mincho" w:hAnsi="Calibri" w:cs="Calibri"/>
          <w:b w:val="0"/>
          <w:szCs w:val="20"/>
        </w:rPr>
        <w:t>NAN LI,</w:t>
      </w:r>
      <w:r w:rsidR="00CB4872">
        <w:rPr>
          <w:rFonts w:ascii="Calibri" w:eastAsia="MS Mincho" w:hAnsi="Calibri" w:cs="Calibri"/>
          <w:b w:val="0"/>
          <w:szCs w:val="20"/>
          <w:vertAlign w:val="superscript"/>
        </w:rPr>
        <w:t>2</w:t>
      </w:r>
      <w:r w:rsidR="001F603E">
        <w:rPr>
          <w:rFonts w:ascii="Calibri" w:eastAsia="MS Mincho" w:hAnsi="Calibri" w:cs="Calibri"/>
          <w:b w:val="0"/>
          <w:szCs w:val="20"/>
        </w:rPr>
        <w:t xml:space="preserve"> </w:t>
      </w:r>
      <w:r>
        <w:rPr>
          <w:rFonts w:ascii="Calibri" w:eastAsia="MS Mincho" w:hAnsi="Calibri" w:cs="Calibri"/>
          <w:b w:val="0"/>
          <w:szCs w:val="20"/>
        </w:rPr>
        <w:t>TIMO HARTMANN</w:t>
      </w:r>
      <w:r>
        <w:rPr>
          <w:rFonts w:ascii="Calibri" w:eastAsia="MS Mincho" w:hAnsi="Calibri" w:cs="Calibri"/>
          <w:b w:val="0"/>
          <w:szCs w:val="20"/>
          <w:vertAlign w:val="superscript"/>
        </w:rPr>
        <w:t>1</w:t>
      </w:r>
    </w:p>
    <w:p w14:paraId="3F9D0848" w14:textId="77777777" w:rsidR="001F603E" w:rsidRPr="00B261E6" w:rsidRDefault="001F603E" w:rsidP="001F603E">
      <w:pPr>
        <w:pStyle w:val="PlainText"/>
      </w:pPr>
    </w:p>
    <w:p w14:paraId="06539537" w14:textId="6E6A409A" w:rsidR="001F603E" w:rsidRPr="00FF3C8C" w:rsidRDefault="001F603E" w:rsidP="001F603E">
      <w:pPr>
        <w:rPr>
          <w:rFonts w:ascii="Calibri" w:eastAsia="MS Mincho" w:hAnsi="Calibri" w:cs="Calibri"/>
          <w:b w:val="0"/>
          <w:sz w:val="20"/>
          <w:szCs w:val="20"/>
          <w:lang w:val="de-DE"/>
        </w:rPr>
      </w:pPr>
      <w:r w:rsidRPr="00FF3C8C">
        <w:rPr>
          <w:rFonts w:ascii="Calibri" w:eastAsia="MS Mincho" w:hAnsi="Calibri" w:cs="Calibri"/>
          <w:b w:val="0"/>
          <w:sz w:val="20"/>
          <w:szCs w:val="20"/>
          <w:vertAlign w:val="superscript"/>
          <w:lang w:val="de-DE"/>
        </w:rPr>
        <w:t>1</w:t>
      </w:r>
      <w:r w:rsidR="00FF3C8C" w:rsidRPr="00FF3C8C">
        <w:rPr>
          <w:rFonts w:ascii="Calibri" w:eastAsia="MS Mincho" w:hAnsi="Calibri" w:cs="Calibri"/>
          <w:b w:val="0"/>
          <w:sz w:val="20"/>
          <w:szCs w:val="20"/>
          <w:lang w:val="de-DE"/>
        </w:rPr>
        <w:t>Technische Universität Berlin</w:t>
      </w:r>
      <w:r w:rsidR="00FF3C8C" w:rsidRPr="00FF3C8C">
        <w:rPr>
          <w:rFonts w:ascii="Calibri" w:eastAsia="MS Mincho" w:hAnsi="Calibri" w:cs="Calibri"/>
          <w:b w:val="0"/>
          <w:sz w:val="20"/>
          <w:szCs w:val="20"/>
          <w:lang w:val="de-DE"/>
        </w:rPr>
        <w:t>, Berlin, G</w:t>
      </w:r>
      <w:r w:rsidR="00FF3C8C">
        <w:rPr>
          <w:rFonts w:ascii="Calibri" w:eastAsia="MS Mincho" w:hAnsi="Calibri" w:cs="Calibri"/>
          <w:b w:val="0"/>
          <w:sz w:val="20"/>
          <w:szCs w:val="20"/>
          <w:lang w:val="de-DE"/>
        </w:rPr>
        <w:t>ermany</w:t>
      </w:r>
    </w:p>
    <w:p w14:paraId="4F901767" w14:textId="0A311D6A" w:rsidR="001F603E" w:rsidRPr="00FF3C8C" w:rsidRDefault="001F603E" w:rsidP="001F603E">
      <w:pPr>
        <w:rPr>
          <w:rFonts w:ascii="Calibri" w:eastAsia="MS Mincho" w:hAnsi="Calibri" w:cs="Calibri"/>
          <w:b w:val="0"/>
          <w:sz w:val="20"/>
          <w:szCs w:val="20"/>
          <w:lang w:val="de-DE"/>
        </w:rPr>
      </w:pPr>
      <w:r w:rsidRPr="00FF3C8C">
        <w:rPr>
          <w:rFonts w:ascii="Calibri" w:eastAsia="MS Mincho" w:hAnsi="Calibri" w:cs="Calibri"/>
          <w:b w:val="0"/>
          <w:sz w:val="20"/>
          <w:szCs w:val="20"/>
          <w:vertAlign w:val="superscript"/>
          <w:lang w:val="de-DE"/>
        </w:rPr>
        <w:t>2</w:t>
      </w:r>
      <w:r w:rsidRPr="00FF3C8C">
        <w:rPr>
          <w:rFonts w:ascii="Calibri" w:eastAsia="MS Mincho" w:hAnsi="Calibri" w:cs="Calibri"/>
          <w:b w:val="0"/>
          <w:sz w:val="20"/>
          <w:szCs w:val="20"/>
          <w:lang w:val="de-DE"/>
        </w:rPr>
        <w:t xml:space="preserve"> </w:t>
      </w:r>
      <w:r w:rsidR="00FF3C8C" w:rsidRPr="00FF3C8C">
        <w:rPr>
          <w:rFonts w:ascii="Calibri" w:eastAsia="MS Mincho" w:hAnsi="Calibri" w:cs="Calibri"/>
          <w:b w:val="0"/>
          <w:sz w:val="20"/>
          <w:szCs w:val="20"/>
          <w:lang w:val="de-DE"/>
        </w:rPr>
        <w:t>T</w:t>
      </w:r>
      <w:r w:rsidR="00FF3C8C">
        <w:rPr>
          <w:rFonts w:ascii="Calibri" w:eastAsia="MS Mincho" w:hAnsi="Calibri" w:cs="Calibri"/>
          <w:b w:val="0"/>
          <w:sz w:val="20"/>
          <w:szCs w:val="20"/>
          <w:lang w:val="de-DE"/>
        </w:rPr>
        <w:t>singhua University, Beijing, China</w:t>
      </w:r>
    </w:p>
    <w:p w14:paraId="1E700F10" w14:textId="77777777" w:rsidR="001F603E" w:rsidRPr="00FF3C8C" w:rsidRDefault="001F603E" w:rsidP="00D24542">
      <w:pPr>
        <w:pStyle w:val="PlainText"/>
        <w:jc w:val="center"/>
        <w:rPr>
          <w:lang w:val="de-DE"/>
        </w:rPr>
      </w:pPr>
    </w:p>
    <w:p w14:paraId="61BAB410" w14:textId="77777777" w:rsidR="00C31D5E" w:rsidRPr="00FF3C8C" w:rsidRDefault="00C31D5E" w:rsidP="00C31D5E">
      <w:pPr>
        <w:pStyle w:val="PlainText"/>
        <w:rPr>
          <w:lang w:val="de-DE"/>
        </w:rPr>
      </w:pPr>
    </w:p>
    <w:p w14:paraId="119A5596" w14:textId="77777777" w:rsidR="00AC79BB" w:rsidRPr="00FF3C8C" w:rsidRDefault="00AC79BB" w:rsidP="00C31D5E">
      <w:pPr>
        <w:pStyle w:val="PlainText"/>
        <w:rPr>
          <w:lang w:val="de-DE"/>
        </w:rPr>
      </w:pPr>
    </w:p>
    <w:p w14:paraId="70668164" w14:textId="53BB7512" w:rsidR="00CB2332" w:rsidRDefault="00C31D5E" w:rsidP="00CB2332">
      <w:pPr>
        <w:pStyle w:val="AbstractHeading"/>
      </w:pPr>
      <w:r w:rsidRPr="00246E7B">
        <w:t>ABSTRA</w:t>
      </w:r>
      <w:r w:rsidR="00246E7B" w:rsidRPr="00246E7B">
        <w:t>CT</w:t>
      </w:r>
      <w:r w:rsidR="00017D53">
        <w:t>:</w:t>
      </w:r>
    </w:p>
    <w:p w14:paraId="5CE24AD7" w14:textId="631ACEEF" w:rsidR="00017D53" w:rsidRPr="00C90ADB" w:rsidRDefault="00017D53" w:rsidP="00017D53">
      <w:pPr>
        <w:pStyle w:val="Abstracttext"/>
        <w:rPr>
          <w:lang w:val="en-US"/>
        </w:rPr>
      </w:pPr>
      <w:r w:rsidRPr="00C90ADB">
        <w:t>We introduce EVCAR, a system for Electric Vehicle charging Quality of Service</w:t>
      </w:r>
      <w:r w:rsidR="00373D4E">
        <w:t xml:space="preserve"> (QoS) </w:t>
      </w:r>
      <w:r w:rsidRPr="00C90ADB">
        <w:t>Recovery post prolonged service disruption, utilizing Twin Delayed Deep Deterministic Policy Gradient with Multi-Agent learning (TD3-MADDPG). The system combines specialized agent types: district-level agents manage local charging strategies, while a central redistribution agent allocates EVs across districts to prevent congestion and balance grid load. Using TD3-MADDPG, the framework learns spatially adaptive policies that improve voltage stability, reduce waiting times, and enhance charging success rates. Compared to traditional fuzzy logic and fixed partial charging methods, EVCAR achieves faster and more reliable recovery. While computationally more intensive, the framework’s performance suggests strong potential for real-world applications with scalable abstractions.</w:t>
      </w:r>
    </w:p>
    <w:p w14:paraId="6EFF2DEE" w14:textId="705E0088" w:rsidR="00BF5B80" w:rsidRPr="00017B66" w:rsidRDefault="00BF5B80" w:rsidP="00017D53">
      <w:pPr>
        <w:pStyle w:val="Abstracttext"/>
      </w:pPr>
    </w:p>
    <w:p w14:paraId="072547D4" w14:textId="1F2C6F94" w:rsidR="00B86B2E" w:rsidRDefault="008B6A2D" w:rsidP="00896AB3">
      <w:pPr>
        <w:pStyle w:val="Keywordsheading"/>
      </w:pPr>
      <w:r>
        <w:t>KEYWORDS</w:t>
      </w:r>
      <w:r w:rsidR="00F702A6">
        <w:t>:</w:t>
      </w:r>
    </w:p>
    <w:p w14:paraId="45ACA9DE" w14:textId="623455EC" w:rsidR="00452605" w:rsidRPr="008B6A2D" w:rsidRDefault="00E10D5C" w:rsidP="008B6A2D">
      <w:pPr>
        <w:pStyle w:val="Keywordstext"/>
      </w:pPr>
      <w:r>
        <w:t>Electric Vehicle Charging Networks</w:t>
      </w:r>
      <w:r w:rsidR="00F50B7A">
        <w:t xml:space="preserve"> Recovery</w:t>
      </w:r>
      <w:r>
        <w:t xml:space="preserve">, </w:t>
      </w:r>
      <w:r w:rsidR="00F50B7A">
        <w:t xml:space="preserve">Prolonged Service Disruption, </w:t>
      </w:r>
      <w:r w:rsidR="00F702A6">
        <w:t>Grid Stability, Multi-Agent Reinforcement Learning.</w:t>
      </w:r>
    </w:p>
    <w:p w14:paraId="03615150" w14:textId="77777777" w:rsidR="00AC79BB" w:rsidRPr="00F05EA2" w:rsidRDefault="00AC79BB" w:rsidP="00452605">
      <w:pPr>
        <w:pStyle w:val="PlainText"/>
        <w:ind w:left="567" w:right="567"/>
      </w:pPr>
    </w:p>
    <w:p w14:paraId="17510818" w14:textId="77777777" w:rsidR="00812538" w:rsidRPr="00F05EA2" w:rsidRDefault="00812538" w:rsidP="00452605">
      <w:pPr>
        <w:pStyle w:val="PlainText"/>
        <w:ind w:left="567" w:right="567"/>
        <w:rPr>
          <w:i/>
        </w:rPr>
      </w:pPr>
    </w:p>
    <w:p w14:paraId="1AB04069"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3DB10B75" w:rsidR="00452605" w:rsidRPr="00F05EA2" w:rsidRDefault="0095653F" w:rsidP="00A22D61">
      <w:pPr>
        <w:pStyle w:val="Heading1"/>
      </w:pPr>
      <w:r w:rsidRPr="00F05EA2">
        <w:t xml:space="preserve">1. </w:t>
      </w:r>
      <w:r w:rsidR="00452605" w:rsidRPr="00F05EA2">
        <w:t xml:space="preserve">INTRODUCTION </w:t>
      </w:r>
    </w:p>
    <w:p w14:paraId="5618877A" w14:textId="73D8AB05" w:rsidR="00A22D61" w:rsidRDefault="001A2149" w:rsidP="001A2149">
      <w:pPr>
        <w:pStyle w:val="MainText"/>
      </w:pPr>
      <w:r w:rsidRPr="001A2149">
        <w:rPr>
          <w:bCs/>
        </w:rPr>
        <w:t xml:space="preserve">The rapid adoption of electric vehicles </w:t>
      </w:r>
      <w:r>
        <w:rPr>
          <w:bCs/>
        </w:rPr>
        <w:t xml:space="preserve">(EVs) </w:t>
      </w:r>
      <w:r w:rsidRPr="001A2149">
        <w:rPr>
          <w:bCs/>
        </w:rPr>
        <w:t>worldwide</w:t>
      </w:r>
      <w:r>
        <w:rPr>
          <w:b/>
        </w:rPr>
        <w:t xml:space="preserve"> </w:t>
      </w:r>
      <w:r w:rsidR="00A22D61">
        <w:t xml:space="preserve">has introduced both opportunities and challenges for urban mobility and energy infrastructure. </w:t>
      </w:r>
      <w:r w:rsidR="00F64A83" w:rsidRPr="00F64A83">
        <w:t>EVs represent a significant opportunity to mitigate environmental impact and diversify energy sources in transportation</w:t>
      </w:r>
      <w:r w:rsidR="00F64A83" w:rsidRPr="00F64A83">
        <w:t xml:space="preserve"> </w:t>
      </w:r>
      <w:r w:rsidR="00A22D61">
        <w:t xml:space="preserve">(Zou et al., 2022). However, the reliance of electric vehicle charging networks (EVCNs) on the power grid makes them highly susceptible to disruptions caused by catastrophic events such as floods, earthquakes, and hurricanes. Such events can cause extensive damage to power infrastructure, </w:t>
      </w:r>
      <w:r w:rsidR="00A22D61">
        <w:t>leading to prolonged outages and severe disruptions to charging services (Tang et al., 2023).</w:t>
      </w:r>
    </w:p>
    <w:p w14:paraId="061228D1" w14:textId="77777777" w:rsidR="00A22D61" w:rsidRDefault="00A22D61" w:rsidP="00A22D61">
      <w:pPr>
        <w:pStyle w:val="MainText"/>
      </w:pPr>
      <w:r>
        <w:t>Historical occurrences of large-scale power outages have highlighted the vulnerability of EVCNs. For instance, the 2019 Berlin Treptow-</w:t>
      </w:r>
      <w:proofErr w:type="spellStart"/>
      <w:r>
        <w:t>Kopenick</w:t>
      </w:r>
      <w:proofErr w:type="spellEnd"/>
      <w:r>
        <w:t xml:space="preserve"> power outage lasted 31 hours, affecting approximately 35,000 residents, including critical infrastructure. Catastrophic events not only disrupt local charging services but also trigger large-scale migration of EVs to adjacent districts, causing congestion at functional fast charging stations (FCSs) and destabilizing the power grid (Ucer et al., 2019). During the 2019 planned power outages in Northern California, EV charging networks faced </w:t>
      </w:r>
      <w:r>
        <w:lastRenderedPageBreak/>
        <w:t xml:space="preserve">significant service disruptions, leaving vehicles stranded at FCSs (Cheng et al., 2014). Similarly, Shenzhen experienced a major EVCN outage in 2018, impacting approximately 2,700 electric taxis and 4,000 drivers, leading to severe congestion at nearby charging stations (Wei et al., 2019). </w:t>
      </w:r>
      <w:proofErr w:type="gramStart"/>
      <w:r>
        <w:t>As a consequence</w:t>
      </w:r>
      <w:proofErr w:type="gramEnd"/>
      <w:r>
        <w:t>, demand surges in unaffected districts often lead to increased waiting times, reduced charging availability, and local grid overload (Huang et al., 2015). Addressing this issue requires robust recovery strategies that optimize EV redistribution while maintaining power system stability (Liu et al., 2022).</w:t>
      </w:r>
    </w:p>
    <w:p w14:paraId="01B49712" w14:textId="77777777" w:rsidR="00A22D61" w:rsidRDefault="00A22D61" w:rsidP="00A22D61">
      <w:pPr>
        <w:pStyle w:val="MainText"/>
      </w:pPr>
      <w:r>
        <w:t>To address these challenges, this study proposes an EV charging Quality of Service Recovery System (EVCAR) based on Multi-Agent Deep Reinforcement Learning (MARL) following service disruption. The system models a multi-district urban setting, where local charging facilities experience unexpected demand surges due to the failure of charging stations in an affected district. Intelligent agents dynamically manage charging operations and vehicle redistribution to prevent grid overload while ensuring efficient charging service.</w:t>
      </w:r>
    </w:p>
    <w:p w14:paraId="7B3261A0" w14:textId="77777777" w:rsidR="00452605" w:rsidRPr="00F05EA2" w:rsidRDefault="00452605" w:rsidP="00452605">
      <w:pPr>
        <w:pStyle w:val="PlainText"/>
        <w:rPr>
          <w:sz w:val="20"/>
        </w:rPr>
      </w:pPr>
    </w:p>
    <w:p w14:paraId="56D82AAA" w14:textId="6EDFD91E" w:rsidR="00452605" w:rsidRPr="00F05EA2" w:rsidRDefault="0095653F" w:rsidP="00452605">
      <w:pPr>
        <w:pStyle w:val="Heading1"/>
      </w:pPr>
      <w:r w:rsidRPr="00F05EA2">
        <w:t xml:space="preserve">2. </w:t>
      </w:r>
      <w:r w:rsidR="00FB2C61">
        <w:t>LITERATURE REVIEW</w:t>
      </w:r>
    </w:p>
    <w:p w14:paraId="72FBDFE1" w14:textId="6E078D6C" w:rsidR="002E1E48" w:rsidRPr="002E1E48" w:rsidRDefault="002E1E48" w:rsidP="002E1E48">
      <w:pPr>
        <w:pStyle w:val="PlainText"/>
        <w:ind w:firstLine="284"/>
        <w:rPr>
          <w:sz w:val="20"/>
        </w:rPr>
      </w:pPr>
      <w:r w:rsidRPr="002E1E48">
        <w:rPr>
          <w:sz w:val="20"/>
        </w:rPr>
        <w:t>Research on EV charging QoS during power outages has highlighted the vulnerability of charging networks when large-scale power disruptions occur. Tang et al. (2023) examined spatial-temporal QoS impacts in EVCNs, finding that EV migration to peripheral districts often leads to congestion and service delays. Similarly, Zhang et al. (2024) developed a reinforcement learning-based scheduling model to manage demand surges by optimizing charging time distribution, effectively reducing peak load stress.</w:t>
      </w:r>
    </w:p>
    <w:p w14:paraId="063FC6BC" w14:textId="6E5ED887" w:rsidR="002E1E48" w:rsidRPr="002E1E48" w:rsidRDefault="002E1E48" w:rsidP="002E1E48">
      <w:pPr>
        <w:pStyle w:val="PlainText"/>
        <w:ind w:firstLine="284"/>
        <w:rPr>
          <w:sz w:val="20"/>
        </w:rPr>
      </w:pPr>
      <w:r w:rsidRPr="002E1E48">
        <w:rPr>
          <w:sz w:val="20"/>
        </w:rPr>
        <w:t>Studies have also focused on multi-agent reinforcement learning (MARL) for EV charging optimization. Li et al. (2023) proposed a decentralized MARL framework where agents independently adjust charging schedules while accounting for local transformer constraints. Their results showed that MARL outperforms centralized scheduling in responding to dynamic EV demand. Zhao and Lee (2022) extended this by integrating dynamic pricing strategies, allowing stations to adjust prices in real-time based on congestion, encouraging balanced charging demand distribution.</w:t>
      </w:r>
    </w:p>
    <w:p w14:paraId="3F896BAF" w14:textId="482ABEE3" w:rsidR="002E1E48" w:rsidRPr="002E1E48" w:rsidRDefault="002E1E48" w:rsidP="002E1E48">
      <w:pPr>
        <w:pStyle w:val="PlainText"/>
        <w:ind w:firstLine="284"/>
        <w:rPr>
          <w:sz w:val="20"/>
        </w:rPr>
      </w:pPr>
      <w:r w:rsidRPr="002E1E48">
        <w:rPr>
          <w:sz w:val="20"/>
        </w:rPr>
        <w:t xml:space="preserve">Beyond MARL, auction-based and incentive-driven charging models have been explored as alternatives. Zou et al. (2022) introduced a multi-agent deep reinforcement learning approach combined with auction mechanisms to allocate charging slots efficiently, particularly in urban prosumer communities. This method improved </w:t>
      </w:r>
      <w:r w:rsidRPr="002E1E48">
        <w:rPr>
          <w:sz w:val="20"/>
        </w:rPr>
        <w:t>charging station utilization and prevented local congestion. Price-based demand regulation has also been studied, with Sheng et al. (2019) demonstrating that dynamic tariffs can prevent overloading by incentivizing off-peak charging.</w:t>
      </w:r>
    </w:p>
    <w:p w14:paraId="49167279" w14:textId="6E6BE544" w:rsidR="000A364B" w:rsidRPr="00E506F0" w:rsidRDefault="002E1E48" w:rsidP="00421586">
      <w:pPr>
        <w:pStyle w:val="PlainText"/>
        <w:ind w:firstLine="284"/>
        <w:rPr>
          <w:sz w:val="20"/>
        </w:rPr>
      </w:pPr>
      <w:r w:rsidRPr="002E1E48">
        <w:rPr>
          <w:sz w:val="20"/>
        </w:rPr>
        <w:t>While these studies provide valuable insights into charging optimization, they primarily address normal operating conditions or planned load balancing. Few have explicitly examined EVCN recovery following catastrophic events, particularly how EV migration patterns influence grid stability. This study aims to bridge this gap by proposing a MARL-based framework that dynamically adjusts charging policies and EV redistribution strategies to restore QoS while preventing power system overloads.</w:t>
      </w:r>
      <w:r w:rsidR="00421586">
        <w:rPr>
          <w:sz w:val="20"/>
        </w:rPr>
        <w:t xml:space="preserve"> </w:t>
      </w:r>
      <w:r w:rsidR="00421586" w:rsidRPr="00421586">
        <w:rPr>
          <w:sz w:val="20"/>
        </w:rPr>
        <w:t>This leads to the central research question:</w:t>
      </w:r>
      <w:r w:rsidR="00421586">
        <w:rPr>
          <w:sz w:val="20"/>
        </w:rPr>
        <w:t xml:space="preserve"> </w:t>
      </w:r>
      <w:r w:rsidR="005065FE" w:rsidRPr="00E506F0">
        <w:rPr>
          <w:sz w:val="20"/>
        </w:rPr>
        <w:t>C</w:t>
      </w:r>
      <w:r w:rsidR="00421586" w:rsidRPr="00E506F0">
        <w:rPr>
          <w:sz w:val="20"/>
        </w:rPr>
        <w:t xml:space="preserve">an multi-agent reinforcement learning coordinate EV charging and redistribution across urban districts to enable rapid recovery of charging networks </w:t>
      </w:r>
      <w:r w:rsidR="00E506F0" w:rsidRPr="00E506F0">
        <w:rPr>
          <w:sz w:val="20"/>
        </w:rPr>
        <w:t xml:space="preserve">quality of service </w:t>
      </w:r>
      <w:r w:rsidR="00421586" w:rsidRPr="00E506F0">
        <w:rPr>
          <w:sz w:val="20"/>
        </w:rPr>
        <w:t>after prolonged outages?</w:t>
      </w:r>
    </w:p>
    <w:p w14:paraId="7D32644B" w14:textId="77777777" w:rsidR="000A364B" w:rsidRDefault="000A364B" w:rsidP="00452605">
      <w:pPr>
        <w:pStyle w:val="PlainText"/>
        <w:rPr>
          <w:sz w:val="20"/>
        </w:rPr>
      </w:pPr>
    </w:p>
    <w:p w14:paraId="4A4FE3B6" w14:textId="36E9A926" w:rsidR="00006E06" w:rsidRDefault="00FB2C61" w:rsidP="002812C9">
      <w:pPr>
        <w:pStyle w:val="Heading1"/>
      </w:pPr>
      <w:r>
        <w:t>3. METHODOLOGY</w:t>
      </w:r>
    </w:p>
    <w:p w14:paraId="0BE85F2D" w14:textId="2315A8EB" w:rsidR="007023F2" w:rsidRDefault="007023F2" w:rsidP="007023F2">
      <w:pPr>
        <w:pStyle w:val="PlainText"/>
        <w:ind w:firstLine="284"/>
        <w:rPr>
          <w:sz w:val="20"/>
          <w:szCs w:val="21"/>
        </w:rPr>
      </w:pPr>
      <w:r w:rsidRPr="007023F2">
        <w:rPr>
          <w:sz w:val="20"/>
          <w:szCs w:val="21"/>
        </w:rPr>
        <w:t xml:space="preserve">Figure 1 presents the integrated framework of our proposed EVCAR system for EV charging network </w:t>
      </w:r>
      <w:r>
        <w:rPr>
          <w:sz w:val="20"/>
          <w:szCs w:val="21"/>
        </w:rPr>
        <w:t xml:space="preserve">quality of service </w:t>
      </w:r>
      <w:r w:rsidRPr="007023F2">
        <w:rPr>
          <w:sz w:val="20"/>
          <w:szCs w:val="21"/>
        </w:rPr>
        <w:t>recovery following district power outages. The visualization illustrates the six-district urban environment (left) with Node 3 experiencing a 31-hour outage, causing displaced EVs (shown as small vehicles on red dotted lines) to migrate to operational districts. The EVCAR methodology employs two coordinated agent types: District Agents responsible for local charging policies by assigning different charging levels (100%, 80%, 50%, or 0%) based on EV state-of-charge clusters, and a central Redistribution Agent that allocates displaced EVs across operational districts by percentage to prevent congestion. These agents are implemented using the TD3-MADDPG framework (right), which incorporates twin critics to reduce overestimation bias, delayed policy updates, and prioritized experience replay to enhance learning stability. The entire system aims to restore charging quality of service by bringing key metrics—including grid stability, charging station utilization, queue length, and critical SoC percentages—below specified thresholds for successful recovery. The following subsections detail each component of this framework and their integration into a cohesive multi-agent learning system.</w:t>
      </w:r>
    </w:p>
    <w:p w14:paraId="36E9259F" w14:textId="77777777" w:rsidR="006A4453" w:rsidRPr="007023F2" w:rsidRDefault="006A4453" w:rsidP="007023F2">
      <w:pPr>
        <w:pStyle w:val="PlainText"/>
        <w:ind w:firstLine="284"/>
        <w:rPr>
          <w:sz w:val="20"/>
          <w:szCs w:val="21"/>
        </w:rPr>
      </w:pPr>
    </w:p>
    <w:p w14:paraId="1D95B362" w14:textId="27472204" w:rsidR="00FB2C61" w:rsidRPr="00B05B01" w:rsidRDefault="00826CBC" w:rsidP="00B05B01">
      <w:pPr>
        <w:pStyle w:val="PlainText"/>
        <w:rPr>
          <w:sz w:val="20"/>
        </w:rPr>
      </w:pPr>
      <w:r>
        <w:rPr>
          <w:b/>
          <w:sz w:val="20"/>
        </w:rPr>
        <w:t>3</w:t>
      </w:r>
      <w:r w:rsidRPr="00F05EA2">
        <w:rPr>
          <w:b/>
          <w:sz w:val="20"/>
        </w:rPr>
        <w:t xml:space="preserve">.1 </w:t>
      </w:r>
      <w:r>
        <w:rPr>
          <w:b/>
          <w:sz w:val="20"/>
        </w:rPr>
        <w:t xml:space="preserve">TD3-MADDPG </w:t>
      </w:r>
      <w:r w:rsidR="007E08D9">
        <w:rPr>
          <w:b/>
          <w:sz w:val="20"/>
        </w:rPr>
        <w:t>f</w:t>
      </w:r>
      <w:r>
        <w:rPr>
          <w:b/>
          <w:sz w:val="20"/>
        </w:rPr>
        <w:t>ramework</w:t>
      </w:r>
    </w:p>
    <w:p w14:paraId="4B6BBB4C" w14:textId="1D8D4870" w:rsidR="00A76DF9" w:rsidRDefault="00B05B01" w:rsidP="00A76DF9">
      <w:pPr>
        <w:pStyle w:val="PlainText"/>
        <w:ind w:firstLine="284"/>
        <w:rPr>
          <w:sz w:val="20"/>
          <w:lang w:val="en-US"/>
        </w:rPr>
      </w:pPr>
      <w:r w:rsidRPr="00B05B01">
        <w:rPr>
          <w:sz w:val="20"/>
          <w:lang w:val="en-US"/>
        </w:rPr>
        <w:t xml:space="preserve">The EVCAR system employs Twin Delayed Deep Deterministic Policy Gradient with Multi-Agent learning (TD3-MADDPG), an extension of the original MADDPG algorithm introduced by Lowe et al. (2020). We chose TD3-MADDPG for its robustness in handling continuous action spaces </w:t>
      </w:r>
      <w:r w:rsidRPr="00B05B01">
        <w:rPr>
          <w:sz w:val="20"/>
          <w:lang w:val="en-US"/>
        </w:rPr>
        <w:lastRenderedPageBreak/>
        <w:t xml:space="preserve">and its stability in multi-agent environments. This approach enhances the original MADDPG by incorporating twin critics for more accurate value estimation and delayed policy updates to reduce overestimation bias. Each agent independently selects actions based on its local observations, but during training, the critic networks have access to </w:t>
      </w:r>
      <w:r w:rsidR="00697D29">
        <w:rPr>
          <w:i/>
          <w:iCs/>
          <w:noProof/>
          <w:szCs w:val="18"/>
        </w:rPr>
        <mc:AlternateContent>
          <mc:Choice Requires="wps">
            <w:drawing>
              <wp:anchor distT="0" distB="0" distL="114300" distR="114300" simplePos="0" relativeHeight="251664896" behindDoc="0" locked="0" layoutInCell="1" allowOverlap="1" wp14:anchorId="607EFF04" wp14:editId="42703655">
                <wp:simplePos x="0" y="0"/>
                <wp:positionH relativeFrom="column">
                  <wp:posOffset>314960</wp:posOffset>
                </wp:positionH>
                <wp:positionV relativeFrom="paragraph">
                  <wp:posOffset>5497830</wp:posOffset>
                </wp:positionV>
                <wp:extent cx="5824855" cy="304800"/>
                <wp:effectExtent l="0" t="0" r="0" b="0"/>
                <wp:wrapSquare wrapText="bothSides"/>
                <wp:docPr id="1460445450" name="Text Box 2"/>
                <wp:cNvGraphicFramePr/>
                <a:graphic xmlns:a="http://schemas.openxmlformats.org/drawingml/2006/main">
                  <a:graphicData uri="http://schemas.microsoft.com/office/word/2010/wordprocessingShape">
                    <wps:wsp>
                      <wps:cNvSpPr txBox="1"/>
                      <wps:spPr>
                        <a:xfrm>
                          <a:off x="0" y="0"/>
                          <a:ext cx="5824855" cy="304800"/>
                        </a:xfrm>
                        <a:prstGeom prst="rect">
                          <a:avLst/>
                        </a:prstGeom>
                        <a:noFill/>
                        <a:ln w="6350">
                          <a:noFill/>
                        </a:ln>
                      </wps:spPr>
                      <wps:txbx>
                        <w:txbxContent>
                          <w:p w14:paraId="13C25E53" w14:textId="77777777" w:rsidR="005D3F75" w:rsidRPr="00300E62" w:rsidRDefault="005D3F75" w:rsidP="005D3F75">
                            <w:pPr>
                              <w:pStyle w:val="PlainText"/>
                              <w:rPr>
                                <w:i/>
                                <w:iCs/>
                                <w:szCs w:val="18"/>
                              </w:rPr>
                            </w:pPr>
                            <w:r>
                              <w:rPr>
                                <w:i/>
                                <w:iCs/>
                                <w:szCs w:val="18"/>
                              </w:rPr>
                              <w:t>Fi</w:t>
                            </w:r>
                            <w:r w:rsidRPr="00300E62">
                              <w:rPr>
                                <w:i/>
                                <w:iCs/>
                                <w:szCs w:val="18"/>
                              </w:rPr>
                              <w:t>gure 1: TD3-MADDPG Framework for Electric Vehicle Charging Network Recovery Following District Outage</w:t>
                            </w:r>
                          </w:p>
                          <w:p w14:paraId="22A963DB" w14:textId="77777777" w:rsidR="005D3F75" w:rsidRDefault="005D3F75" w:rsidP="005D3F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07EFF04" id="_x0000_t202" coordsize="21600,21600" o:spt="202" path="m,l,21600r21600,l21600,xe">
                <v:stroke joinstyle="miter"/>
                <v:path gradientshapeok="t" o:connecttype="rect"/>
              </v:shapetype>
              <v:shape id="Text Box 2" o:spid="_x0000_s1026" type="#_x0000_t202" style="position:absolute;left:0;text-align:left;margin-left:24.8pt;margin-top:432.9pt;width:458.65pt;height:2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" filled="f" stroked="f" strokeweight=".5pt">
                <v:textbox>
                  <w:txbxContent>
                    <w:p w14:paraId="13C25E53" w14:textId="77777777" w:rsidR="005D3F75" w:rsidRPr="00300E62" w:rsidRDefault="005D3F75" w:rsidP="005D3F75">
                      <w:pPr>
                        <w:pStyle w:val="PlainText"/>
                        <w:rPr>
                          <w:i/>
                          <w:iCs/>
                          <w:szCs w:val="18"/>
                        </w:rPr>
                      </w:pPr>
                      <w:r>
                        <w:rPr>
                          <w:i/>
                          <w:iCs/>
                          <w:szCs w:val="18"/>
                        </w:rPr>
                        <w:t>Fi</w:t>
                      </w:r>
                      <w:r w:rsidRPr="00300E62">
                        <w:rPr>
                          <w:i/>
                          <w:iCs/>
                          <w:szCs w:val="18"/>
                        </w:rPr>
                        <w:t>gure 1: TD3-MADDPG Framework for Electric Vehicle Charging Network Recovery Following District Outage</w:t>
                      </w:r>
                    </w:p>
                    <w:p w14:paraId="22A963DB" w14:textId="77777777" w:rsidR="005D3F75" w:rsidRDefault="005D3F75" w:rsidP="005D3F75"/>
                  </w:txbxContent>
                </v:textbox>
                <w10:wrap type="square"/>
              </v:shape>
            </w:pict>
          </mc:Fallback>
        </mc:AlternateContent>
      </w:r>
      <w:r w:rsidR="00697D29" w:rsidRPr="00300E62">
        <w:rPr>
          <w:i/>
          <w:iCs/>
          <w:noProof/>
          <w:szCs w:val="18"/>
        </w:rPr>
        <w:drawing>
          <wp:anchor distT="0" distB="0" distL="114300" distR="114300" simplePos="0" relativeHeight="251657728" behindDoc="1" locked="0" layoutInCell="1" allowOverlap="1" wp14:anchorId="694DC84E" wp14:editId="6FD11038">
            <wp:simplePos x="0" y="0"/>
            <wp:positionH relativeFrom="column">
              <wp:posOffset>523240</wp:posOffset>
            </wp:positionH>
            <wp:positionV relativeFrom="paragraph">
              <wp:posOffset>1170940</wp:posOffset>
            </wp:positionV>
            <wp:extent cx="4756785" cy="4267200"/>
            <wp:effectExtent l="0" t="0" r="5715" b="0"/>
            <wp:wrapTopAndBottom/>
            <wp:docPr id="770877196" name="Picture 1"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77196" name="Picture 1" descr="A screenshot of a 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56785" cy="4267200"/>
                    </a:xfrm>
                    <a:prstGeom prst="rect">
                      <a:avLst/>
                    </a:prstGeom>
                  </pic:spPr>
                </pic:pic>
              </a:graphicData>
            </a:graphic>
            <wp14:sizeRelH relativeFrom="page">
              <wp14:pctWidth>0</wp14:pctWidth>
            </wp14:sizeRelH>
            <wp14:sizeRelV relativeFrom="page">
              <wp14:pctHeight>0</wp14:pctHeight>
            </wp14:sizeRelV>
          </wp:anchor>
        </w:drawing>
      </w:r>
      <w:r w:rsidRPr="00B05B01">
        <w:rPr>
          <w:sz w:val="20"/>
          <w:lang w:val="en-US"/>
        </w:rPr>
        <w:t>global information to improve gradient estimation</w:t>
      </w:r>
      <w:r w:rsidR="008B03FB">
        <w:rPr>
          <w:sz w:val="20"/>
          <w:lang w:val="en-US"/>
        </w:rPr>
        <w:t>.</w:t>
      </w:r>
    </w:p>
    <w:p w14:paraId="0753B053" w14:textId="12FEA654" w:rsidR="00A76DF9" w:rsidRPr="00A76DF9" w:rsidRDefault="00A76DF9" w:rsidP="00A76DF9">
      <w:pPr>
        <w:pStyle w:val="PlainText"/>
        <w:ind w:firstLine="284"/>
        <w:rPr>
          <w:sz w:val="20"/>
          <w:lang w:val="en-US"/>
        </w:rPr>
      </w:pPr>
      <w:r w:rsidRPr="004A53A9">
        <w:rPr>
          <w:sz w:val="20"/>
        </w:rPr>
        <w:t xml:space="preserve">The TD3-MADDPG algorithm consists of actor networks </w:t>
      </w:r>
      <m:oMath>
        <m:sSub>
          <m:sSubPr>
            <m:ctrlPr>
              <w:rPr>
                <w:rFonts w:ascii="Cambria Math" w:hAnsi="Cambria Math"/>
                <w:sz w:val="20"/>
              </w:rPr>
            </m:ctrlPr>
          </m:sSubPr>
          <m:e>
            <m:r>
              <w:rPr>
                <w:rFonts w:ascii="Cambria Math" w:hAnsi="Cambria Math"/>
                <w:sz w:val="20"/>
              </w:rPr>
              <m:t xml:space="preserve">μ </m:t>
            </m:r>
          </m:e>
          <m:sub>
            <m:sSub>
              <m:sSubPr>
                <m:ctrlPr>
                  <w:rPr>
                    <w:rFonts w:ascii="Cambria Math" w:hAnsi="Cambria Math"/>
                    <w:sz w:val="20"/>
                  </w:rPr>
                </m:ctrlPr>
              </m:sSubPr>
              <m:e>
                <m:r>
                  <w:rPr>
                    <w:rFonts w:ascii="Cambria Math" w:hAnsi="Cambria Math"/>
                    <w:sz w:val="20"/>
                  </w:rPr>
                  <m:t>θ</m:t>
                </m:r>
              </m:e>
              <m:sub>
                <m:r>
                  <w:rPr>
                    <w:rFonts w:ascii="Cambria Math" w:hAnsi="Cambria Math"/>
                    <w:sz w:val="20"/>
                  </w:rPr>
                  <m:t>i</m:t>
                </m:r>
              </m:sub>
            </m:sSub>
          </m:sub>
        </m:sSub>
      </m:oMath>
      <w:r w:rsidRPr="004A53A9">
        <w:rPr>
          <w:sz w:val="20"/>
        </w:rPr>
        <w:t xml:space="preserve"> that map local observations to continuous actions and twin critic networks </w:t>
      </w:r>
      <m:oMath>
        <m:sSub>
          <m:sSubPr>
            <m:ctrlPr>
              <w:rPr>
                <w:rFonts w:ascii="Cambria Math" w:hAnsi="Cambria Math"/>
                <w:sz w:val="20"/>
              </w:rPr>
            </m:ctrlPr>
          </m:sSubPr>
          <m:e>
            <m:r>
              <w:rPr>
                <w:rFonts w:ascii="Cambria Math" w:hAnsi="Cambria Math"/>
                <w:sz w:val="20"/>
              </w:rPr>
              <m:t>Q</m:t>
            </m:r>
          </m:e>
          <m:sub>
            <m:sSub>
              <m:sSubPr>
                <m:ctrlPr>
                  <w:rPr>
                    <w:rFonts w:ascii="Cambria Math" w:hAnsi="Cambria Math"/>
                    <w:sz w:val="20"/>
                  </w:rPr>
                </m:ctrlPr>
              </m:sSubPr>
              <m:e>
                <m:r>
                  <w:rPr>
                    <w:rFonts w:ascii="Cambria Math" w:hAnsi="Cambria Math"/>
                    <w:sz w:val="20"/>
                  </w:rPr>
                  <m:t>ϕ</m:t>
                </m:r>
              </m:e>
              <m:sub>
                <m:r>
                  <w:rPr>
                    <w:rFonts w:ascii="Cambria Math" w:hAnsi="Cambria Math"/>
                    <w:sz w:val="20"/>
                  </w:rPr>
                  <m:t>i</m:t>
                </m:r>
              </m:sub>
            </m:sSub>
            <m:r>
              <m:rPr>
                <m:sty m:val="p"/>
              </m:rPr>
              <w:rPr>
                <w:rFonts w:ascii="Cambria Math" w:hAnsi="Cambria Math"/>
                <w:sz w:val="20"/>
              </w:rPr>
              <m:t>,</m:t>
            </m:r>
            <m:r>
              <w:rPr>
                <w:rFonts w:ascii="Cambria Math" w:hAnsi="Cambria Math"/>
                <w:sz w:val="20"/>
              </w:rPr>
              <m:t>1</m:t>
            </m:r>
          </m:sub>
        </m:sSub>
      </m:oMath>
      <w:r w:rsidRPr="004A53A9">
        <w:rPr>
          <w:sz w:val="20"/>
        </w:rPr>
        <w:t xml:space="preserve"> and </w:t>
      </w:r>
      <m:oMath>
        <m:sSub>
          <m:sSubPr>
            <m:ctrlPr>
              <w:rPr>
                <w:rFonts w:ascii="Cambria Math" w:hAnsi="Cambria Math"/>
                <w:sz w:val="20"/>
              </w:rPr>
            </m:ctrlPr>
          </m:sSubPr>
          <m:e>
            <m:r>
              <w:rPr>
                <w:rFonts w:ascii="Cambria Math" w:hAnsi="Cambria Math"/>
                <w:sz w:val="20"/>
              </w:rPr>
              <m:t>Q</m:t>
            </m:r>
          </m:e>
          <m:sub>
            <m:sSub>
              <m:sSubPr>
                <m:ctrlPr>
                  <w:rPr>
                    <w:rFonts w:ascii="Cambria Math" w:hAnsi="Cambria Math"/>
                    <w:sz w:val="20"/>
                  </w:rPr>
                </m:ctrlPr>
              </m:sSubPr>
              <m:e>
                <m:r>
                  <w:rPr>
                    <w:rFonts w:ascii="Cambria Math" w:hAnsi="Cambria Math"/>
                    <w:sz w:val="20"/>
                  </w:rPr>
                  <m:t>ϕ</m:t>
                </m:r>
              </m:e>
              <m:sub>
                <m:r>
                  <w:rPr>
                    <w:rFonts w:ascii="Cambria Math" w:hAnsi="Cambria Math"/>
                    <w:sz w:val="20"/>
                  </w:rPr>
                  <m:t>i</m:t>
                </m:r>
              </m:sub>
            </m:sSub>
            <m:r>
              <m:rPr>
                <m:sty m:val="p"/>
              </m:rPr>
              <w:rPr>
                <w:rFonts w:ascii="Cambria Math" w:hAnsi="Cambria Math"/>
                <w:sz w:val="20"/>
              </w:rPr>
              <m:t>,</m:t>
            </m:r>
            <m:r>
              <w:rPr>
                <w:rFonts w:ascii="Cambria Math" w:hAnsi="Cambria Math"/>
                <w:sz w:val="20"/>
              </w:rPr>
              <m:t>2</m:t>
            </m:r>
          </m:sub>
        </m:sSub>
      </m:oMath>
      <w:r w:rsidRPr="004A53A9">
        <w:rPr>
          <w:sz w:val="20"/>
        </w:rPr>
        <w:t xml:space="preserve"> that estimate Q-values by considering all agents’ actions. The actor update follows the deterministic policy gradient:</w:t>
      </w:r>
    </w:p>
    <w:p w14:paraId="6686BB75" w14:textId="530A77BF" w:rsidR="001D151E" w:rsidRPr="001D151E" w:rsidRDefault="00000000" w:rsidP="001D151E">
      <w:pPr>
        <w:pStyle w:val="BodyText"/>
        <w:jc w:val="both"/>
        <w:rPr>
          <w:rFonts w:ascii="Arial" w:hAnsi="Arial"/>
          <w:sz w:val="20"/>
          <w:szCs w:val="20"/>
          <w:rtl/>
        </w:rPr>
      </w:pPr>
      <m:oMath>
        <m:sSub>
          <m:sSubPr>
            <m:ctrlPr>
              <w:rPr>
                <w:rFonts w:ascii="Cambria Math" w:hAnsi="Cambria Math"/>
                <w:sz w:val="20"/>
                <w:szCs w:val="20"/>
              </w:rPr>
            </m:ctrlPr>
          </m:sSubPr>
          <m:e>
            <m:r>
              <m:rPr>
                <m:sty m:val="p"/>
              </m:rPr>
              <w:rPr>
                <w:rFonts w:ascii="Cambria Math" w:hAnsi="Cambria Math"/>
                <w:sz w:val="20"/>
                <w:szCs w:val="20"/>
              </w:rPr>
              <m:t>∇</m:t>
            </m:r>
          </m:e>
          <m:sub>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i</m:t>
                </m:r>
              </m:sub>
            </m:sSub>
          </m:sub>
        </m:sSub>
        <m:r>
          <w:rPr>
            <w:rFonts w:ascii="Cambria Math" w:hAnsi="Cambria Math"/>
            <w:sz w:val="20"/>
            <w:szCs w:val="20"/>
          </w:rPr>
          <m:t>J</m:t>
        </m:r>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i</m:t>
                </m:r>
              </m:sub>
            </m:sSub>
          </m:e>
        </m:d>
        <m:r>
          <m:rPr>
            <m:sty m:val="p"/>
          </m:rPr>
          <w:rPr>
            <w:rFonts w:ascii="Cambria Math" w:hAnsi="Cambria Math"/>
            <w:sz w:val="20"/>
            <w:szCs w:val="20"/>
          </w:rPr>
          <m:t>=</m:t>
        </m:r>
        <m:sSub>
          <m:sSubPr>
            <m:ctrlPr>
              <w:rPr>
                <w:rFonts w:ascii="Cambria Math" w:hAnsi="Cambria Math"/>
                <w:sz w:val="20"/>
                <w:szCs w:val="20"/>
              </w:rPr>
            </m:ctrlPr>
          </m:sSubPr>
          <m:e>
            <m:r>
              <m:rPr>
                <m:scr m:val="double-struck"/>
                <m:sty m:val="p"/>
              </m:rPr>
              <w:rPr>
                <w:rFonts w:ascii="Cambria Math" w:hAnsi="Cambria Math"/>
                <w:sz w:val="20"/>
                <w:szCs w:val="20"/>
              </w:rPr>
              <m:t>E</m:t>
            </m:r>
          </m:e>
          <m:sub>
            <m:r>
              <w:rPr>
                <w:rFonts w:ascii="Cambria Math" w:hAnsi="Cambria Math"/>
                <w:sz w:val="20"/>
                <w:szCs w:val="20"/>
              </w:rPr>
              <m:t>s</m:t>
            </m:r>
            <m:r>
              <m:rPr>
                <m:sty m:val="p"/>
              </m:rPr>
              <w:rPr>
                <w:rFonts w:ascii="Cambria Math" w:hAnsi="Cambria Math"/>
                <w:sz w:val="20"/>
                <w:szCs w:val="20"/>
              </w:rPr>
              <m:t>,</m:t>
            </m:r>
            <m:r>
              <w:rPr>
                <w:rFonts w:ascii="Cambria Math" w:hAnsi="Cambria Math"/>
                <w:sz w:val="20"/>
                <w:szCs w:val="20"/>
              </w:rPr>
              <m:t>a</m:t>
            </m:r>
            <m:r>
              <m:rPr>
                <m:scr m:val="script"/>
                <m:sty m:val="p"/>
              </m:rPr>
              <w:rPr>
                <w:rFonts w:ascii="Cambria Math" w:hAnsi="Cambria Math"/>
                <w:sz w:val="20"/>
                <w:szCs w:val="20"/>
              </w:rPr>
              <m:t>∼D</m:t>
            </m:r>
          </m:sub>
        </m:sSub>
        <m:d>
          <m:dPr>
            <m:begChr m:val="["/>
            <m:endChr m:val="]"/>
            <m:ctrlPr>
              <w:rPr>
                <w:rFonts w:ascii="Cambria Math" w:hAnsi="Cambria Math"/>
                <w:sz w:val="20"/>
                <w:szCs w:val="20"/>
              </w:rPr>
            </m:ctrlPr>
          </m:dPr>
          <m:e>
            <m:sSub>
              <m:sSubPr>
                <m:ctrlPr>
                  <w:rPr>
                    <w:rFonts w:ascii="Cambria Math" w:hAnsi="Cambria Math"/>
                    <w:sz w:val="20"/>
                    <w:szCs w:val="20"/>
                  </w:rPr>
                </m:ctrlPr>
              </m:sSubPr>
              <m:e>
                <m:r>
                  <m:rPr>
                    <m:sty m:val="p"/>
                  </m:rPr>
                  <w:rPr>
                    <w:rFonts w:ascii="Cambria Math" w:hAnsi="Cambria Math"/>
                    <w:sz w:val="20"/>
                    <w:szCs w:val="20"/>
                  </w:rPr>
                  <m:t>∇</m:t>
                </m:r>
              </m:e>
              <m:sub>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i</m:t>
                    </m:r>
                  </m:sub>
                </m:sSub>
              </m:sub>
            </m:sSub>
            <m:sSub>
              <m:sSubPr>
                <m:ctrlPr>
                  <w:rPr>
                    <w:rFonts w:ascii="Cambria Math" w:hAnsi="Cambria Math"/>
                    <w:sz w:val="20"/>
                    <w:szCs w:val="20"/>
                  </w:rPr>
                </m:ctrlPr>
              </m:sSubPr>
              <m:e>
                <m:r>
                  <w:rPr>
                    <w:rFonts w:ascii="Cambria Math" w:hAnsi="Cambria Math"/>
                    <w:sz w:val="20"/>
                    <w:szCs w:val="20"/>
                  </w:rPr>
                  <m:t>μ</m:t>
                </m:r>
              </m:e>
              <m:sub>
                <m:sSub>
                  <m:sSubPr>
                    <m:ctrlPr>
                      <w:rPr>
                        <w:rFonts w:ascii="Cambria Math" w:hAnsi="Cambria Math"/>
                        <w:sz w:val="20"/>
                        <w:szCs w:val="20"/>
                      </w:rPr>
                    </m:ctrlPr>
                  </m:sSubPr>
                  <m:e>
                    <m:r>
                      <w:rPr>
                        <w:rFonts w:ascii="Cambria Math" w:hAnsi="Cambria Math"/>
                        <w:sz w:val="20"/>
                        <w:szCs w:val="20"/>
                      </w:rPr>
                      <m:t>θ</m:t>
                    </m:r>
                  </m:e>
                  <m:sub>
                    <m:r>
                      <w:rPr>
                        <w:rFonts w:ascii="Cambria Math" w:hAnsi="Cambria Math"/>
                        <w:sz w:val="20"/>
                        <w:szCs w:val="20"/>
                      </w:rPr>
                      <m:t>i</m:t>
                    </m:r>
                  </m:sub>
                </m:sSub>
              </m:sub>
            </m:sSub>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o</m:t>
                    </m:r>
                  </m:e>
                  <m:sub>
                    <m:r>
                      <w:rPr>
                        <w:rFonts w:ascii="Cambria Math" w:hAnsi="Cambria Math"/>
                        <w:sz w:val="20"/>
                        <w:szCs w:val="20"/>
                      </w:rPr>
                      <m:t>i</m:t>
                    </m:r>
                  </m:sub>
                </m:sSub>
              </m:e>
            </m:d>
            <m:sSub>
              <m:sSubPr>
                <m:ctrlPr>
                  <w:rPr>
                    <w:rFonts w:ascii="Cambria Math" w:hAnsi="Cambria Math"/>
                    <w:sz w:val="20"/>
                    <w:szCs w:val="20"/>
                  </w:rPr>
                </m:ctrlPr>
              </m:sSubPr>
              <m:e>
                <m:r>
                  <m:rPr>
                    <m:sty m:val="p"/>
                  </m:rPr>
                  <w:rPr>
                    <w:rFonts w:ascii="Cambria Math" w:hAnsi="Cambria Math"/>
                    <w:sz w:val="20"/>
                    <w:szCs w:val="20"/>
                  </w:rPr>
                  <m:t>∇</m:t>
                </m:r>
              </m:e>
              <m:sub>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i</m:t>
                    </m:r>
                  </m:sub>
                </m:sSub>
              </m:sub>
            </m:sSub>
            <m:sSub>
              <m:sSubPr>
                <m:ctrlPr>
                  <w:rPr>
                    <w:rFonts w:ascii="Cambria Math" w:hAnsi="Cambria Math"/>
                    <w:sz w:val="20"/>
                    <w:szCs w:val="20"/>
                  </w:rPr>
                </m:ctrlPr>
              </m:sSubPr>
              <m:e>
                <m:r>
                  <w:rPr>
                    <w:rFonts w:ascii="Cambria Math" w:hAnsi="Cambria Math"/>
                    <w:sz w:val="20"/>
                    <w:szCs w:val="20"/>
                  </w:rPr>
                  <m:t>Q</m:t>
                </m:r>
              </m:e>
              <m:sub>
                <m:sSub>
                  <m:sSubPr>
                    <m:ctrlPr>
                      <w:rPr>
                        <w:rFonts w:ascii="Cambria Math" w:hAnsi="Cambria Math"/>
                        <w:sz w:val="20"/>
                        <w:szCs w:val="20"/>
                      </w:rPr>
                    </m:ctrlPr>
                  </m:sSubPr>
                  <m:e>
                    <m:r>
                      <w:rPr>
                        <w:rFonts w:ascii="Cambria Math" w:hAnsi="Cambria Math"/>
                        <w:sz w:val="20"/>
                        <w:szCs w:val="20"/>
                      </w:rPr>
                      <m:t>ϕ</m:t>
                    </m:r>
                  </m:e>
                  <m:sub>
                    <m:r>
                      <w:rPr>
                        <w:rFonts w:ascii="Cambria Math" w:hAnsi="Cambria Math"/>
                        <w:sz w:val="20"/>
                        <w:szCs w:val="20"/>
                      </w:rPr>
                      <m:t>i</m:t>
                    </m:r>
                  </m:sub>
                </m:sSub>
                <m:r>
                  <m:rPr>
                    <m:sty m:val="p"/>
                  </m:rPr>
                  <w:rPr>
                    <w:rFonts w:ascii="Cambria Math" w:hAnsi="Cambria Math"/>
                    <w:sz w:val="20"/>
                    <w:szCs w:val="20"/>
                  </w:rPr>
                  <m:t>,</m:t>
                </m:r>
                <m:r>
                  <w:rPr>
                    <w:rFonts w:ascii="Cambria Math" w:hAnsi="Cambria Math"/>
                    <w:sz w:val="20"/>
                    <w:szCs w:val="20"/>
                  </w:rPr>
                  <m:t>1</m:t>
                </m:r>
              </m:sub>
            </m:sSub>
            <m:d>
              <m:dPr>
                <m:ctrlPr>
                  <w:rPr>
                    <w:rFonts w:ascii="Cambria Math" w:hAnsi="Cambria Math"/>
                    <w:sz w:val="20"/>
                    <w:szCs w:val="20"/>
                  </w:rPr>
                </m:ctrlPr>
              </m:dPr>
              <m:e>
                <m:r>
                  <w:rPr>
                    <w:rFonts w:ascii="Cambria Math" w:hAnsi="Cambria Math"/>
                    <w:sz w:val="20"/>
                    <w:szCs w:val="20"/>
                  </w:rPr>
                  <m:t>o</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N</m:t>
                    </m:r>
                  </m:sub>
                </m:sSub>
              </m:e>
            </m:d>
          </m:e>
        </m:d>
      </m:oMath>
      <w:r w:rsidR="00ED3835">
        <w:rPr>
          <w:rFonts w:ascii="Arial" w:hAnsi="Arial"/>
          <w:sz w:val="20"/>
          <w:szCs w:val="20"/>
        </w:rPr>
        <w:t>(</w:t>
      </w:r>
      <w:r w:rsidR="00DA7291">
        <w:rPr>
          <w:rFonts w:ascii="Arial" w:hAnsi="Arial"/>
          <w:sz w:val="20"/>
          <w:szCs w:val="20"/>
        </w:rPr>
        <w:fldChar w:fldCharType="begin"/>
      </w:r>
      <w:r w:rsidR="00DA7291">
        <w:rPr>
          <w:rFonts w:ascii="Arial" w:hAnsi="Arial"/>
          <w:sz w:val="20"/>
          <w:szCs w:val="20"/>
        </w:rPr>
        <w:instrText xml:space="preserve"> SEQ eq \* ARABIC </w:instrText>
      </w:r>
      <w:r w:rsidR="00DA7291">
        <w:rPr>
          <w:rFonts w:ascii="Arial" w:hAnsi="Arial"/>
          <w:sz w:val="20"/>
          <w:szCs w:val="20"/>
        </w:rPr>
        <w:fldChar w:fldCharType="separate"/>
      </w:r>
      <w:r w:rsidR="005E3E05">
        <w:rPr>
          <w:rFonts w:ascii="Arial" w:hAnsi="Arial"/>
          <w:noProof/>
          <w:sz w:val="20"/>
          <w:szCs w:val="20"/>
        </w:rPr>
        <w:t>1</w:t>
      </w:r>
      <w:r w:rsidR="00DA7291">
        <w:rPr>
          <w:rFonts w:ascii="Arial" w:hAnsi="Arial"/>
          <w:sz w:val="20"/>
          <w:szCs w:val="20"/>
        </w:rPr>
        <w:fldChar w:fldCharType="end"/>
      </w:r>
      <w:r w:rsidR="00ED3835">
        <w:rPr>
          <w:rFonts w:ascii="Arial" w:hAnsi="Arial"/>
          <w:sz w:val="20"/>
          <w:szCs w:val="20"/>
        </w:rPr>
        <w:t>)</w:t>
      </w:r>
    </w:p>
    <w:p w14:paraId="09C46627" w14:textId="5966717F" w:rsidR="00A76DF9" w:rsidRPr="004A53A9" w:rsidRDefault="00A76DF9" w:rsidP="00A76DF9">
      <w:pPr>
        <w:pStyle w:val="FirstParagraph"/>
        <w:jc w:val="both"/>
        <w:rPr>
          <w:rFonts w:ascii="Arial" w:hAnsi="Arial"/>
          <w:sz w:val="20"/>
          <w:szCs w:val="20"/>
        </w:rPr>
      </w:pPr>
      <w:r w:rsidRPr="004A53A9">
        <w:rPr>
          <w:rFonts w:ascii="Arial" w:hAnsi="Arial"/>
          <w:sz w:val="20"/>
          <w:szCs w:val="20"/>
        </w:rPr>
        <w:t>The critic networks are updated using the Bellman equation with the minimum value from both critics to reduce overestimation:</w:t>
      </w:r>
    </w:p>
    <w:p w14:paraId="4E8FA136" w14:textId="0CEE352E" w:rsidR="00A76DF9" w:rsidRPr="004A53A9" w:rsidRDefault="00CA2B65" w:rsidP="00A76DF9">
      <w:pPr>
        <w:pStyle w:val="BodyText"/>
        <w:jc w:val="both"/>
        <w:rPr>
          <w:rFonts w:ascii="Arial" w:hAnsi="Arial"/>
          <w:sz w:val="20"/>
          <w:szCs w:val="20"/>
        </w:rPr>
      </w:pPr>
      <m:oMath>
        <m:r>
          <w:rPr>
            <w:rFonts w:ascii="Cambria Math" w:hAnsi="Cambria Math"/>
            <w:sz w:val="20"/>
            <w:szCs w:val="20"/>
          </w:rPr>
          <m:t>L</m:t>
        </m:r>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ϕ</m:t>
                </m:r>
              </m:e>
              <m:sub>
                <m:r>
                  <w:rPr>
                    <w:rFonts w:ascii="Cambria Math" w:hAnsi="Cambria Math"/>
                    <w:sz w:val="20"/>
                    <w:szCs w:val="20"/>
                  </w:rPr>
                  <m:t>i</m:t>
                </m:r>
              </m:sub>
            </m:sSub>
          </m:e>
        </m:d>
        <m:r>
          <m:rPr>
            <m:sty m:val="p"/>
          </m:rPr>
          <w:rPr>
            <w:rFonts w:ascii="Cambria Math" w:hAnsi="Cambria Math"/>
            <w:sz w:val="20"/>
            <w:szCs w:val="20"/>
          </w:rPr>
          <m:t>=</m:t>
        </m:r>
        <m:sSub>
          <m:sSubPr>
            <m:ctrlPr>
              <w:rPr>
                <w:rFonts w:ascii="Cambria Math" w:hAnsi="Cambria Math"/>
                <w:sz w:val="20"/>
                <w:szCs w:val="20"/>
              </w:rPr>
            </m:ctrlPr>
          </m:sSubPr>
          <m:e>
            <m:r>
              <m:rPr>
                <m:scr m:val="double-struck"/>
                <m:sty m:val="p"/>
              </m:rPr>
              <w:rPr>
                <w:rFonts w:ascii="Cambria Math" w:hAnsi="Cambria Math"/>
                <w:sz w:val="20"/>
                <w:szCs w:val="20"/>
              </w:rPr>
              <m:t>E</m:t>
            </m:r>
          </m:e>
          <m:sub>
            <m:d>
              <m:dPr>
                <m:ctrlPr>
                  <w:rPr>
                    <w:rFonts w:ascii="Cambria Math" w:hAnsi="Cambria Math"/>
                    <w:sz w:val="20"/>
                    <w:szCs w:val="20"/>
                  </w:rPr>
                </m:ctrlPr>
              </m:dPr>
              <m:e>
                <m:r>
                  <w:rPr>
                    <w:rFonts w:ascii="Cambria Math" w:hAnsi="Cambria Math"/>
                    <w:sz w:val="20"/>
                    <w:szCs w:val="20"/>
                  </w:rPr>
                  <m:t>s</m:t>
                </m:r>
                <m:r>
                  <m:rPr>
                    <m:sty m:val="p"/>
                  </m:rPr>
                  <w:rPr>
                    <w:rFonts w:ascii="Cambria Math" w:hAnsi="Cambria Math"/>
                    <w:sz w:val="20"/>
                    <w:szCs w:val="20"/>
                  </w:rPr>
                  <m:t>,</m:t>
                </m:r>
                <m:r>
                  <w:rPr>
                    <w:rFonts w:ascii="Cambria Math" w:hAnsi="Cambria Math"/>
                    <w:sz w:val="20"/>
                    <w:szCs w:val="20"/>
                  </w:rPr>
                  <m:t>a</m:t>
                </m:r>
                <m:r>
                  <m:rPr>
                    <m:sty m:val="p"/>
                  </m:rPr>
                  <w:rPr>
                    <w:rFonts w:ascii="Cambria Math" w:hAnsi="Cambria Math"/>
                    <w:sz w:val="20"/>
                    <w:szCs w:val="20"/>
                  </w:rPr>
                  <m:t>,</m:t>
                </m:r>
                <m:r>
                  <w:rPr>
                    <w:rFonts w:ascii="Cambria Math" w:hAnsi="Cambria Math"/>
                    <w:sz w:val="20"/>
                    <w:szCs w:val="20"/>
                  </w:rPr>
                  <m:t>r</m:t>
                </m:r>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s</m:t>
                    </m:r>
                  </m:e>
                  <m:sup>
                    <m:r>
                      <m:rPr>
                        <m:sty m:val="p"/>
                      </m:rPr>
                      <w:rPr>
                        <w:rFonts w:ascii="Cambria Math" w:hAnsi="Cambria Math"/>
                        <w:sz w:val="20"/>
                        <w:szCs w:val="20"/>
                      </w:rPr>
                      <m:t>'</m:t>
                    </m:r>
                  </m:sup>
                </m:sSup>
              </m:e>
            </m:d>
            <m:r>
              <m:rPr>
                <m:scr m:val="script"/>
                <m:sty m:val="p"/>
              </m:rPr>
              <w:rPr>
                <w:rFonts w:ascii="Cambria Math" w:hAnsi="Cambria Math"/>
                <w:sz w:val="20"/>
                <w:szCs w:val="20"/>
              </w:rPr>
              <m:t>∼D</m:t>
            </m:r>
          </m:sub>
        </m:sSub>
        <m:d>
          <m:dPr>
            <m:begChr m:val="["/>
            <m:endChr m:val="]"/>
            <m:ctrlPr>
              <w:rPr>
                <w:rFonts w:ascii="Cambria Math" w:hAnsi="Cambria Math"/>
                <w:sz w:val="20"/>
                <w:szCs w:val="20"/>
              </w:rPr>
            </m:ctrlPr>
          </m:dPr>
          <m:e>
            <m:sSup>
              <m:sSupPr>
                <m:ctrlPr>
                  <w:rPr>
                    <w:rFonts w:ascii="Cambria Math" w:hAnsi="Cambria Math"/>
                    <w:sz w:val="20"/>
                    <w:szCs w:val="20"/>
                  </w:rPr>
                </m:ctrlPr>
              </m:sSupPr>
              <m:e>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Q</m:t>
                        </m:r>
                      </m:e>
                      <m:sub>
                        <m:sSub>
                          <m:sSubPr>
                            <m:ctrlPr>
                              <w:rPr>
                                <w:rFonts w:ascii="Cambria Math" w:hAnsi="Cambria Math"/>
                                <w:sz w:val="20"/>
                                <w:szCs w:val="20"/>
                              </w:rPr>
                            </m:ctrlPr>
                          </m:sSubPr>
                          <m:e>
                            <m:r>
                              <w:rPr>
                                <w:rFonts w:ascii="Cambria Math" w:hAnsi="Cambria Math"/>
                                <w:sz w:val="20"/>
                                <w:szCs w:val="20"/>
                              </w:rPr>
                              <m:t>ϕ</m:t>
                            </m:r>
                          </m:e>
                          <m:sub>
                            <m:r>
                              <w:rPr>
                                <w:rFonts w:ascii="Cambria Math" w:hAnsi="Cambria Math"/>
                                <w:sz w:val="20"/>
                                <w:szCs w:val="20"/>
                              </w:rPr>
                              <m:t>i</m:t>
                            </m:r>
                          </m:sub>
                        </m:sSub>
                        <m:r>
                          <m:rPr>
                            <m:sty m:val="p"/>
                          </m:rPr>
                          <w:rPr>
                            <w:rFonts w:ascii="Cambria Math" w:hAnsi="Cambria Math"/>
                            <w:sz w:val="20"/>
                            <w:szCs w:val="20"/>
                          </w:rPr>
                          <m:t>,</m:t>
                        </m:r>
                        <m:r>
                          <w:rPr>
                            <w:rFonts w:ascii="Cambria Math" w:hAnsi="Cambria Math"/>
                            <w:sz w:val="20"/>
                            <w:szCs w:val="20"/>
                          </w:rPr>
                          <m:t>j</m:t>
                        </m:r>
                      </m:sub>
                    </m:sSub>
                    <m:d>
                      <m:dPr>
                        <m:ctrlPr>
                          <w:rPr>
                            <w:rFonts w:ascii="Cambria Math" w:hAnsi="Cambria Math"/>
                            <w:sz w:val="20"/>
                            <w:szCs w:val="20"/>
                          </w:rPr>
                        </m:ctrlPr>
                      </m:dPr>
                      <m:e>
                        <m:r>
                          <w:rPr>
                            <w:rFonts w:ascii="Cambria Math" w:hAnsi="Cambria Math"/>
                            <w:sz w:val="20"/>
                            <w:szCs w:val="20"/>
                          </w:rPr>
                          <m:t>s</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1</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a</m:t>
                            </m:r>
                          </m:e>
                          <m:sub>
                            <m:r>
                              <w:rPr>
                                <w:rFonts w:ascii="Cambria Math" w:hAnsi="Cambria Math"/>
                                <w:sz w:val="20"/>
                                <w:szCs w:val="20"/>
                              </w:rPr>
                              <m:t>N</m:t>
                            </m:r>
                          </m:sub>
                        </m:sSub>
                      </m:e>
                    </m:d>
                    <m:r>
                      <m:rPr>
                        <m:sty m:val="p"/>
                      </m:rPr>
                      <w:rPr>
                        <w:rFonts w:ascii="Cambria Math" w:hAnsi="Cambria Math"/>
                        <w:sz w:val="20"/>
                        <w:szCs w:val="20"/>
                      </w:rPr>
                      <m:t>-</m:t>
                    </m:r>
                    <m:r>
                      <w:rPr>
                        <w:rFonts w:ascii="Cambria Math" w:hAnsi="Cambria Math"/>
                        <w:sz w:val="20"/>
                        <w:szCs w:val="20"/>
                      </w:rPr>
                      <m:t>y</m:t>
                    </m:r>
                  </m:e>
                </m:d>
              </m:e>
              <m:sup>
                <m:r>
                  <w:rPr>
                    <w:rFonts w:ascii="Cambria Math" w:hAnsi="Cambria Math"/>
                    <w:sz w:val="20"/>
                    <w:szCs w:val="20"/>
                  </w:rPr>
                  <m:t>2</m:t>
                </m:r>
              </m:sup>
            </m:sSup>
          </m:e>
        </m:d>
      </m:oMath>
      <w:r w:rsidR="009B7D5C">
        <w:rPr>
          <w:rFonts w:ascii="Arial" w:hAnsi="Arial"/>
          <w:sz w:val="20"/>
          <w:szCs w:val="20"/>
        </w:rPr>
        <w:tab/>
        <w:t>(</w:t>
      </w:r>
      <w:r w:rsidR="00880957">
        <w:rPr>
          <w:rFonts w:ascii="Arial" w:hAnsi="Arial"/>
          <w:sz w:val="20"/>
          <w:szCs w:val="20"/>
        </w:rPr>
        <w:fldChar w:fldCharType="begin"/>
      </w:r>
      <w:r w:rsidR="00880957">
        <w:rPr>
          <w:rFonts w:ascii="Arial" w:hAnsi="Arial"/>
          <w:sz w:val="20"/>
          <w:szCs w:val="20"/>
        </w:rPr>
        <w:instrText xml:space="preserve"> </w:instrText>
      </w:r>
      <w:r w:rsidR="00880957" w:rsidRPr="00880957">
        <w:rPr>
          <w:rFonts w:ascii="Arial" w:hAnsi="Arial"/>
          <w:sz w:val="20"/>
          <w:szCs w:val="20"/>
        </w:rPr>
        <w:instrText>SEQ eq \* ARABIC</w:instrText>
      </w:r>
      <w:r w:rsidR="00880957">
        <w:rPr>
          <w:rFonts w:ascii="Arial" w:hAnsi="Arial"/>
          <w:sz w:val="20"/>
          <w:szCs w:val="20"/>
        </w:rPr>
        <w:instrText xml:space="preserve"> </w:instrText>
      </w:r>
      <w:r w:rsidR="00880957">
        <w:rPr>
          <w:rFonts w:ascii="Arial" w:hAnsi="Arial"/>
          <w:sz w:val="20"/>
          <w:szCs w:val="20"/>
        </w:rPr>
        <w:fldChar w:fldCharType="separate"/>
      </w:r>
      <w:r w:rsidR="005E3E05">
        <w:rPr>
          <w:rFonts w:ascii="Arial" w:hAnsi="Arial"/>
          <w:noProof/>
          <w:sz w:val="20"/>
          <w:szCs w:val="20"/>
        </w:rPr>
        <w:t>2</w:t>
      </w:r>
      <w:r w:rsidR="00880957">
        <w:rPr>
          <w:rFonts w:ascii="Arial" w:hAnsi="Arial"/>
          <w:sz w:val="20"/>
          <w:szCs w:val="20"/>
        </w:rPr>
        <w:fldChar w:fldCharType="end"/>
      </w:r>
      <w:r w:rsidR="009B7D5C">
        <w:rPr>
          <w:rFonts w:ascii="Arial" w:hAnsi="Arial"/>
          <w:sz w:val="20"/>
          <w:szCs w:val="20"/>
        </w:rPr>
        <w:t>)</w:t>
      </w:r>
    </w:p>
    <w:p w14:paraId="7728738C" w14:textId="77777777" w:rsidR="00A76DF9" w:rsidRPr="004A53A9" w:rsidRDefault="00A76DF9" w:rsidP="00A76DF9">
      <w:pPr>
        <w:pStyle w:val="FirstParagraph"/>
        <w:jc w:val="both"/>
        <w:rPr>
          <w:rFonts w:ascii="Arial" w:hAnsi="Arial"/>
          <w:sz w:val="20"/>
          <w:szCs w:val="20"/>
        </w:rPr>
      </w:pPr>
      <w:r w:rsidRPr="004A53A9">
        <w:rPr>
          <w:rFonts w:ascii="Arial" w:hAnsi="Arial"/>
          <w:sz w:val="20"/>
          <w:szCs w:val="20"/>
        </w:rPr>
        <w:t>where the target value is:</w:t>
      </w:r>
    </w:p>
    <w:p w14:paraId="65E5C761" w14:textId="7E3F5B8B" w:rsidR="00A76DF9" w:rsidRPr="00880957" w:rsidRDefault="00A76DF9" w:rsidP="00EB2B18">
      <w:pPr>
        <w:pStyle w:val="BodyText"/>
        <w:jc w:val="center"/>
        <w:rPr>
          <w:rFonts w:ascii="Arial" w:hAnsi="Arial"/>
          <w:sz w:val="20"/>
          <w:szCs w:val="20"/>
        </w:rPr>
      </w:pPr>
      <m:oMath>
        <m:r>
          <w:rPr>
            <w:rFonts w:ascii="Cambria Math" w:hAnsi="Cambria Math"/>
            <w:sz w:val="20"/>
            <w:szCs w:val="20"/>
          </w:rPr>
          <m:t>y</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i</m:t>
            </m:r>
          </m:sub>
        </m:sSub>
        <m:r>
          <m:rPr>
            <m:sty m:val="p"/>
          </m:rPr>
          <w:rPr>
            <w:rFonts w:ascii="Cambria Math" w:hAnsi="Cambria Math"/>
            <w:sz w:val="20"/>
            <w:szCs w:val="20"/>
          </w:rPr>
          <m:t>+</m:t>
        </m:r>
        <m:r>
          <w:rPr>
            <w:rFonts w:ascii="Cambria Math" w:hAnsi="Cambria Math"/>
            <w:sz w:val="20"/>
            <w:szCs w:val="20"/>
          </w:rPr>
          <m:t>γ</m:t>
        </m:r>
        <m:limLow>
          <m:limLowPr>
            <m:ctrlPr>
              <w:rPr>
                <w:rFonts w:ascii="Cambria Math" w:hAnsi="Cambria Math"/>
                <w:sz w:val="20"/>
                <w:szCs w:val="20"/>
              </w:rPr>
            </m:ctrlPr>
          </m:limLowPr>
          <m:e>
            <m:r>
              <m:rPr>
                <m:sty m:val="p"/>
              </m:rPr>
              <w:rPr>
                <w:rFonts w:ascii="Cambria Math" w:hAnsi="Cambria Math"/>
                <w:sz w:val="20"/>
                <w:szCs w:val="20"/>
              </w:rPr>
              <m:t>min</m:t>
            </m:r>
          </m:e>
          <m:lim>
            <m:r>
              <w:rPr>
                <w:rFonts w:ascii="Cambria Math" w:hAnsi="Cambria Math"/>
                <w:sz w:val="20"/>
                <w:szCs w:val="20"/>
              </w:rPr>
              <m:t>j</m:t>
            </m:r>
            <m:r>
              <m:rPr>
                <m:sty m:val="p"/>
              </m:rPr>
              <w:rPr>
                <w:rFonts w:ascii="Cambria Math" w:hAnsi="Cambria Math"/>
                <w:sz w:val="20"/>
                <w:szCs w:val="20"/>
              </w:rPr>
              <m:t>=</m:t>
            </m:r>
            <m:r>
              <w:rPr>
                <w:rFonts w:ascii="Cambria Math" w:hAnsi="Cambria Math"/>
                <w:sz w:val="20"/>
                <w:szCs w:val="20"/>
              </w:rPr>
              <m:t>1</m:t>
            </m:r>
            <m:r>
              <m:rPr>
                <m:sty m:val="p"/>
              </m:rPr>
              <w:rPr>
                <w:rFonts w:ascii="Cambria Math" w:hAnsi="Cambria Math"/>
                <w:sz w:val="20"/>
                <w:szCs w:val="20"/>
              </w:rPr>
              <m:t>,</m:t>
            </m:r>
            <m:r>
              <w:rPr>
                <w:rFonts w:ascii="Cambria Math" w:hAnsi="Cambria Math"/>
                <w:sz w:val="20"/>
                <w:szCs w:val="20"/>
              </w:rPr>
              <m:t>2</m:t>
            </m:r>
          </m:lim>
        </m:limLow>
        <m:sSub>
          <m:sSubPr>
            <m:ctrlPr>
              <w:rPr>
                <w:rFonts w:ascii="Cambria Math" w:hAnsi="Cambria Math"/>
                <w:sz w:val="20"/>
                <w:szCs w:val="20"/>
              </w:rPr>
            </m:ctrlPr>
          </m:sSubPr>
          <m:e>
            <m:r>
              <w:rPr>
                <w:rFonts w:ascii="Cambria Math" w:hAnsi="Cambria Math"/>
                <w:sz w:val="20"/>
                <w:szCs w:val="20"/>
              </w:rPr>
              <m:t>Q</m:t>
            </m:r>
          </m:e>
          <m:sub>
            <m:sSub>
              <m:sSubPr>
                <m:ctrlPr>
                  <w:rPr>
                    <w:rFonts w:ascii="Cambria Math" w:hAnsi="Cambria Math"/>
                    <w:sz w:val="20"/>
                    <w:szCs w:val="20"/>
                  </w:rPr>
                </m:ctrlPr>
              </m:sSubPr>
              <m:e>
                <m:r>
                  <w:rPr>
                    <w:rFonts w:ascii="Cambria Math" w:hAnsi="Cambria Math"/>
                    <w:sz w:val="20"/>
                    <w:szCs w:val="20"/>
                  </w:rPr>
                  <m:t>ϕ</m:t>
                </m:r>
              </m:e>
              <m:sub>
                <m:r>
                  <w:rPr>
                    <w:rFonts w:ascii="Cambria Math" w:hAnsi="Cambria Math"/>
                    <w:sz w:val="20"/>
                    <w:szCs w:val="20"/>
                  </w:rPr>
                  <m:t>i</m:t>
                </m:r>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j</m:t>
                </m:r>
              </m:e>
              <m:sup>
                <m:r>
                  <m:rPr>
                    <m:sty m:val="p"/>
                  </m:rPr>
                  <w:rPr>
                    <w:rFonts w:ascii="Cambria Math" w:hAnsi="Cambria Math"/>
                    <w:sz w:val="20"/>
                    <w:szCs w:val="20"/>
                  </w:rPr>
                  <m:t>'</m:t>
                </m:r>
              </m:sup>
            </m:sSup>
          </m:sub>
        </m:sSub>
        <m:r>
          <m:rPr>
            <m:sty m:val="p"/>
          </m:rPr>
          <w:rPr>
            <w:rFonts w:ascii="Cambria Math" w:hAnsi="Cambria Math"/>
            <w:sz w:val="20"/>
            <w:szCs w:val="20"/>
          </w:rPr>
          <m:t>(</m:t>
        </m:r>
        <m:sSup>
          <m:sSupPr>
            <m:ctrlPr>
              <w:rPr>
                <w:rFonts w:ascii="Cambria Math" w:hAnsi="Cambria Math"/>
                <w:sz w:val="20"/>
                <w:szCs w:val="20"/>
              </w:rPr>
            </m:ctrlPr>
          </m:sSupPr>
          <m:e>
            <m:r>
              <w:rPr>
                <w:rFonts w:ascii="Cambria Math" w:hAnsi="Cambria Math"/>
                <w:sz w:val="20"/>
                <w:szCs w:val="20"/>
              </w:rPr>
              <m:t>s</m:t>
            </m:r>
          </m:e>
          <m:sup>
            <m:r>
              <m:rPr>
                <m:sty m:val="p"/>
              </m:rPr>
              <w:rPr>
                <w:rFonts w:ascii="Cambria Math" w:hAnsi="Cambria Math"/>
                <w:sz w:val="20"/>
                <w:szCs w:val="20"/>
              </w:rPr>
              <m:t>'</m:t>
            </m:r>
          </m:sup>
        </m:sSup>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a</m:t>
            </m:r>
          </m:e>
          <m:sub>
            <m:sSup>
              <m:sSupPr>
                <m:ctrlPr>
                  <w:rPr>
                    <w:rFonts w:ascii="Cambria Math" w:hAnsi="Cambria Math"/>
                    <w:sz w:val="20"/>
                    <w:szCs w:val="20"/>
                  </w:rPr>
                </m:ctrlPr>
              </m:sSupPr>
              <m:e>
                <m:r>
                  <w:rPr>
                    <w:rFonts w:ascii="Cambria Math" w:hAnsi="Cambria Math"/>
                    <w:sz w:val="20"/>
                    <w:szCs w:val="20"/>
                  </w:rPr>
                  <m:t>1</m:t>
                </m:r>
              </m:e>
              <m:sup>
                <m:r>
                  <m:rPr>
                    <m:sty m:val="p"/>
                  </m:rPr>
                  <w:rPr>
                    <w:rFonts w:ascii="Cambria Math" w:hAnsi="Cambria Math"/>
                    <w:sz w:val="20"/>
                    <w:szCs w:val="20"/>
                  </w:rPr>
                  <m:t>'</m:t>
                </m:r>
              </m:sup>
            </m:sSup>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a</m:t>
            </m:r>
          </m:e>
          <m:sub>
            <m:sSup>
              <m:sSupPr>
                <m:ctrlPr>
                  <w:rPr>
                    <w:rFonts w:ascii="Cambria Math" w:hAnsi="Cambria Math"/>
                    <w:sz w:val="20"/>
                    <w:szCs w:val="20"/>
                  </w:rPr>
                </m:ctrlPr>
              </m:sSupPr>
              <m:e>
                <m:r>
                  <w:rPr>
                    <w:rFonts w:ascii="Cambria Math" w:hAnsi="Cambria Math"/>
                    <w:sz w:val="20"/>
                    <w:szCs w:val="20"/>
                  </w:rPr>
                  <m:t>N</m:t>
                </m:r>
              </m:e>
              <m:sup>
                <m:r>
                  <m:rPr>
                    <m:sty m:val="p"/>
                  </m:rPr>
                  <w:rPr>
                    <w:rFonts w:ascii="Cambria Math" w:hAnsi="Cambria Math"/>
                    <w:sz w:val="20"/>
                    <w:szCs w:val="20"/>
                  </w:rPr>
                  <m:t>'</m:t>
                </m:r>
              </m:sup>
            </m:sSup>
          </m:sub>
        </m:sSub>
        <m:r>
          <m:rPr>
            <m:sty m:val="p"/>
          </m:rPr>
          <w:rPr>
            <w:rFonts w:ascii="Cambria Math" w:hAnsi="Cambria Math"/>
            <w:sz w:val="20"/>
            <w:szCs w:val="20"/>
          </w:rPr>
          <m:t>)</m:t>
        </m:r>
      </m:oMath>
      <w:r w:rsidR="00880957">
        <w:rPr>
          <w:rFonts w:ascii="Arial" w:hAnsi="Arial"/>
          <w:sz w:val="20"/>
          <w:szCs w:val="20"/>
        </w:rPr>
        <w:tab/>
      </w:r>
      <w:r w:rsidR="00880957">
        <w:rPr>
          <w:rFonts w:ascii="Arial" w:hAnsi="Arial"/>
          <w:sz w:val="20"/>
          <w:szCs w:val="20"/>
        </w:rPr>
        <w:tab/>
        <w:t>(</w:t>
      </w:r>
      <w:r w:rsidR="00BE27ED">
        <w:rPr>
          <w:rFonts w:ascii="Arial" w:hAnsi="Arial"/>
          <w:sz w:val="20"/>
          <w:szCs w:val="20"/>
        </w:rPr>
        <w:fldChar w:fldCharType="begin"/>
      </w:r>
      <w:r w:rsidR="00BE27ED">
        <w:rPr>
          <w:rFonts w:ascii="Arial" w:hAnsi="Arial"/>
          <w:sz w:val="20"/>
          <w:szCs w:val="20"/>
        </w:rPr>
        <w:instrText xml:space="preserve"> </w:instrText>
      </w:r>
      <w:r w:rsidR="00BE27ED" w:rsidRPr="00BE27ED">
        <w:rPr>
          <w:rFonts w:ascii="Arial" w:hAnsi="Arial"/>
          <w:sz w:val="20"/>
          <w:szCs w:val="20"/>
        </w:rPr>
        <w:instrText>SEQ eq \* ARABIC</w:instrText>
      </w:r>
      <w:r w:rsidR="00BE27ED">
        <w:rPr>
          <w:rFonts w:ascii="Arial" w:hAnsi="Arial"/>
          <w:sz w:val="20"/>
          <w:szCs w:val="20"/>
        </w:rPr>
        <w:instrText xml:space="preserve"> </w:instrText>
      </w:r>
      <w:r w:rsidR="00BE27ED">
        <w:rPr>
          <w:rFonts w:ascii="Arial" w:hAnsi="Arial"/>
          <w:sz w:val="20"/>
          <w:szCs w:val="20"/>
        </w:rPr>
        <w:fldChar w:fldCharType="separate"/>
      </w:r>
      <w:r w:rsidR="005E3E05">
        <w:rPr>
          <w:rFonts w:ascii="Arial" w:hAnsi="Arial"/>
          <w:noProof/>
          <w:sz w:val="20"/>
          <w:szCs w:val="20"/>
        </w:rPr>
        <w:t>3</w:t>
      </w:r>
      <w:r w:rsidR="00BE27ED">
        <w:rPr>
          <w:rFonts w:ascii="Arial" w:hAnsi="Arial"/>
          <w:sz w:val="20"/>
          <w:szCs w:val="20"/>
        </w:rPr>
        <w:fldChar w:fldCharType="end"/>
      </w:r>
      <w:r w:rsidR="00880957">
        <w:rPr>
          <w:rFonts w:ascii="Arial" w:hAnsi="Arial"/>
          <w:sz w:val="20"/>
          <w:szCs w:val="20"/>
        </w:rPr>
        <w:t>)</w:t>
      </w:r>
    </w:p>
    <w:p w14:paraId="3B1EC874" w14:textId="2A138CA5" w:rsidR="00A76DF9" w:rsidRPr="004A53A9" w:rsidRDefault="00A76DF9" w:rsidP="00A76DF9">
      <w:pPr>
        <w:pStyle w:val="FirstParagraph"/>
        <w:jc w:val="both"/>
        <w:rPr>
          <w:rFonts w:ascii="Arial" w:hAnsi="Arial"/>
          <w:sz w:val="20"/>
          <w:szCs w:val="20"/>
        </w:rPr>
      </w:pPr>
      <w:r w:rsidRPr="004A53A9">
        <w:rPr>
          <w:rFonts w:ascii="Arial" w:hAnsi="Arial"/>
          <w:sz w:val="20"/>
          <w:szCs w:val="20"/>
        </w:rPr>
        <w:t>We implement target policy smoothing by adding clipped noise to the target actions:</w:t>
      </w:r>
    </w:p>
    <w:p w14:paraId="26FCD96B" w14:textId="0B79E1E1" w:rsidR="00A76DF9" w:rsidRPr="00880957" w:rsidRDefault="00000000" w:rsidP="00EB2B18">
      <w:pPr>
        <w:pStyle w:val="BodyText"/>
        <w:jc w:val="center"/>
        <w:rPr>
          <w:rFonts w:ascii="Arial" w:hAnsi="Arial"/>
          <w:sz w:val="20"/>
          <w:szCs w:val="20"/>
        </w:rPr>
      </w:pPr>
      <m:oMath>
        <m:sSub>
          <m:sSubPr>
            <m:ctrlPr>
              <w:rPr>
                <w:rFonts w:ascii="Cambria Math" w:hAnsi="Cambria Math"/>
                <w:sz w:val="20"/>
                <w:szCs w:val="20"/>
              </w:rPr>
            </m:ctrlPr>
          </m:sSubPr>
          <m:e>
            <m:r>
              <w:rPr>
                <w:rFonts w:ascii="Cambria Math" w:hAnsi="Cambria Math"/>
                <w:sz w:val="20"/>
                <w:szCs w:val="20"/>
              </w:rPr>
              <m:t>a</m:t>
            </m:r>
          </m:e>
          <m:sub>
            <m:sSup>
              <m:sSupPr>
                <m:ctrlPr>
                  <w:rPr>
                    <w:rFonts w:ascii="Cambria Math" w:hAnsi="Cambria Math"/>
                    <w:sz w:val="20"/>
                    <w:szCs w:val="20"/>
                  </w:rPr>
                </m:ctrlPr>
              </m:sSupPr>
              <m:e>
                <m:r>
                  <w:rPr>
                    <w:rFonts w:ascii="Cambria Math" w:hAnsi="Cambria Math"/>
                    <w:sz w:val="20"/>
                    <w:szCs w:val="20"/>
                  </w:rPr>
                  <m:t>i</m:t>
                </m:r>
              </m:e>
              <m:sup>
                <m:r>
                  <m:rPr>
                    <m:sty m:val="p"/>
                  </m:rPr>
                  <w:rPr>
                    <w:rFonts w:ascii="Cambria Math" w:hAnsi="Cambria Math"/>
                    <w:sz w:val="20"/>
                    <w:szCs w:val="20"/>
                  </w:rPr>
                  <m:t>'</m:t>
                </m:r>
              </m:sup>
            </m:sSup>
          </m:sub>
        </m:sSub>
        <m:r>
          <m:rPr>
            <m:sty m:val="p"/>
          </m:rPr>
          <w:rPr>
            <w:rFonts w:ascii="Cambria Math" w:hAnsi="Cambria Math"/>
            <w:sz w:val="20"/>
            <w:szCs w:val="20"/>
          </w:rPr>
          <m:t>=</m:t>
        </m:r>
        <m:r>
          <m:rPr>
            <m:nor/>
          </m:rPr>
          <w:rPr>
            <w:rFonts w:ascii="Arial" w:hAnsi="Arial"/>
            <w:sz w:val="20"/>
            <w:szCs w:val="20"/>
          </w:rPr>
          <m:t>clip</m:t>
        </m:r>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μ</m:t>
            </m:r>
          </m:e>
          <m:sub>
            <m:sSub>
              <m:sSubPr>
                <m:ctrlPr>
                  <w:rPr>
                    <w:rFonts w:ascii="Cambria Math" w:hAnsi="Cambria Math"/>
                    <w:sz w:val="20"/>
                    <w:szCs w:val="20"/>
                  </w:rPr>
                </m:ctrlPr>
              </m:sSubPr>
              <m:e>
                <m:r>
                  <w:rPr>
                    <w:rFonts w:ascii="Cambria Math" w:hAnsi="Cambria Math"/>
                    <w:sz w:val="20"/>
                    <w:szCs w:val="20"/>
                  </w:rPr>
                  <m:t>θ</m:t>
                </m:r>
              </m:e>
              <m:sub>
                <m:sSup>
                  <m:sSupPr>
                    <m:ctrlPr>
                      <w:rPr>
                        <w:rFonts w:ascii="Cambria Math" w:hAnsi="Cambria Math"/>
                        <w:sz w:val="20"/>
                        <w:szCs w:val="20"/>
                      </w:rPr>
                    </m:ctrlPr>
                  </m:sSupPr>
                  <m:e>
                    <m:r>
                      <w:rPr>
                        <w:rFonts w:ascii="Cambria Math" w:hAnsi="Cambria Math"/>
                        <w:sz w:val="20"/>
                        <w:szCs w:val="20"/>
                      </w:rPr>
                      <m:t>i</m:t>
                    </m:r>
                  </m:e>
                  <m:sup>
                    <m:r>
                      <m:rPr>
                        <m:sty m:val="p"/>
                      </m:rPr>
                      <w:rPr>
                        <w:rFonts w:ascii="Cambria Math" w:hAnsi="Cambria Math"/>
                        <w:sz w:val="20"/>
                        <w:szCs w:val="20"/>
                      </w:rPr>
                      <m:t>'</m:t>
                    </m:r>
                  </m:sup>
                </m:sSup>
              </m:sub>
            </m:sSub>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o</m:t>
            </m:r>
          </m:e>
          <m:sub>
            <m:sSup>
              <m:sSupPr>
                <m:ctrlPr>
                  <w:rPr>
                    <w:rFonts w:ascii="Cambria Math" w:hAnsi="Cambria Math"/>
                    <w:sz w:val="20"/>
                    <w:szCs w:val="20"/>
                  </w:rPr>
                </m:ctrlPr>
              </m:sSupPr>
              <m:e>
                <m:r>
                  <w:rPr>
                    <w:rFonts w:ascii="Cambria Math" w:hAnsi="Cambria Math"/>
                    <w:sz w:val="20"/>
                    <w:szCs w:val="20"/>
                  </w:rPr>
                  <m:t>i</m:t>
                </m:r>
              </m:e>
              <m:sup>
                <m:r>
                  <m:rPr>
                    <m:sty m:val="p"/>
                  </m:rPr>
                  <w:rPr>
                    <w:rFonts w:ascii="Cambria Math" w:hAnsi="Cambria Math"/>
                    <w:sz w:val="20"/>
                    <w:szCs w:val="20"/>
                  </w:rPr>
                  <m:t>'</m:t>
                </m:r>
              </m:sup>
            </m:sSup>
          </m:sub>
        </m:sSub>
        <m:r>
          <m:rPr>
            <m:sty m:val="p"/>
          </m:rPr>
          <w:rPr>
            <w:rFonts w:ascii="Cambria Math" w:hAnsi="Cambria Math"/>
            <w:sz w:val="20"/>
            <w:szCs w:val="20"/>
          </w:rPr>
          <m:t>)+</m:t>
        </m:r>
        <m:r>
          <w:rPr>
            <w:rFonts w:ascii="Cambria Math" w:hAnsi="Cambria Math"/>
            <w:sz w:val="20"/>
            <w:szCs w:val="20"/>
          </w:rPr>
          <m:t>ϵ</m:t>
        </m:r>
        <m:r>
          <m:rPr>
            <m:sty m:val="p"/>
          </m:rPr>
          <w:rPr>
            <w:rFonts w:ascii="Cambria Math" w:hAnsi="Cambria Math"/>
            <w:sz w:val="20"/>
            <w:szCs w:val="20"/>
          </w:rPr>
          <m:t>,-</m:t>
        </m:r>
        <m:r>
          <w:rPr>
            <w:rFonts w:ascii="Cambria Math" w:hAnsi="Cambria Math"/>
            <w:sz w:val="20"/>
            <w:szCs w:val="20"/>
          </w:rPr>
          <m:t>c</m:t>
        </m:r>
        <m:r>
          <m:rPr>
            <m:sty m:val="p"/>
          </m:rPr>
          <w:rPr>
            <w:rFonts w:ascii="Cambria Math" w:hAnsi="Cambria Math"/>
            <w:sz w:val="20"/>
            <w:szCs w:val="20"/>
          </w:rPr>
          <m:t>,</m:t>
        </m:r>
        <m:r>
          <w:rPr>
            <w:rFonts w:ascii="Cambria Math" w:hAnsi="Cambria Math"/>
            <w:sz w:val="20"/>
            <w:szCs w:val="20"/>
          </w:rPr>
          <m:t>c</m:t>
        </m:r>
        <m:r>
          <m:rPr>
            <m:sty m:val="p"/>
          </m:rPr>
          <w:rPr>
            <w:rFonts w:ascii="Cambria Math" w:hAnsi="Cambria Math"/>
            <w:sz w:val="20"/>
            <w:szCs w:val="20"/>
          </w:rPr>
          <m:t>),</m:t>
        </m:r>
        <m:r>
          <w:rPr>
            <w:rFonts w:ascii="Cambria Math" w:hAnsi="Cambria Math"/>
            <w:sz w:val="20"/>
            <w:szCs w:val="20"/>
          </w:rPr>
          <m:t>ϵ</m:t>
        </m:r>
        <m:r>
          <m:rPr>
            <m:scr m:val="script"/>
            <m:sty m:val="p"/>
          </m:rPr>
          <w:rPr>
            <w:rFonts w:ascii="Cambria Math" w:hAnsi="Cambria Math"/>
            <w:sz w:val="20"/>
            <w:szCs w:val="20"/>
          </w:rPr>
          <m:t>∼N(</m:t>
        </m:r>
        <m:r>
          <w:rPr>
            <w:rFonts w:ascii="Cambria Math" w:hAnsi="Cambria Math"/>
            <w:sz w:val="20"/>
            <w:szCs w:val="20"/>
          </w:rPr>
          <m:t>0</m:t>
        </m:r>
        <m:r>
          <m:rPr>
            <m:sty m:val="p"/>
          </m:rPr>
          <w:rPr>
            <w:rFonts w:ascii="Cambria Math" w:hAnsi="Cambria Math"/>
            <w:sz w:val="20"/>
            <w:szCs w:val="20"/>
          </w:rPr>
          <m:t>,</m:t>
        </m:r>
        <m:r>
          <w:rPr>
            <w:rFonts w:ascii="Cambria Math" w:hAnsi="Cambria Math"/>
            <w:sz w:val="20"/>
            <w:szCs w:val="20"/>
          </w:rPr>
          <m:t>σ</m:t>
        </m:r>
        <m:r>
          <m:rPr>
            <m:sty m:val="p"/>
          </m:rPr>
          <w:rPr>
            <w:rFonts w:ascii="Cambria Math" w:hAnsi="Cambria Math"/>
            <w:sz w:val="20"/>
            <w:szCs w:val="20"/>
          </w:rPr>
          <m:t>)</m:t>
        </m:r>
      </m:oMath>
      <w:r w:rsidR="00880957">
        <w:rPr>
          <w:rFonts w:ascii="Arial" w:hAnsi="Arial"/>
          <w:sz w:val="20"/>
          <w:szCs w:val="20"/>
        </w:rPr>
        <w:tab/>
        <w:t>(</w:t>
      </w:r>
      <w:r w:rsidR="00747926">
        <w:rPr>
          <w:rFonts w:ascii="Arial" w:hAnsi="Arial"/>
          <w:sz w:val="20"/>
          <w:szCs w:val="20"/>
        </w:rPr>
        <w:t>4</w:t>
      </w:r>
      <w:r w:rsidR="00880957">
        <w:rPr>
          <w:rFonts w:ascii="Arial" w:hAnsi="Arial"/>
          <w:sz w:val="20"/>
          <w:szCs w:val="20"/>
        </w:rPr>
        <w:t>)</w:t>
      </w:r>
    </w:p>
    <w:p w14:paraId="3B416380" w14:textId="072B0137" w:rsidR="00FB2C61" w:rsidRDefault="00A76DF9" w:rsidP="006A4453">
      <w:pPr>
        <w:pStyle w:val="PlainText"/>
        <w:rPr>
          <w:sz w:val="20"/>
        </w:rPr>
      </w:pPr>
      <w:r w:rsidRPr="004A53A9">
        <w:rPr>
          <w:sz w:val="20"/>
        </w:rPr>
        <w:t xml:space="preserve">where </w:t>
      </w:r>
      <m:oMath>
        <m:r>
          <w:rPr>
            <w:rFonts w:ascii="Cambria Math" w:hAnsi="Cambria Math"/>
            <w:sz w:val="20"/>
          </w:rPr>
          <m:t>ϵ</m:t>
        </m:r>
      </m:oMath>
      <w:r w:rsidRPr="004A53A9">
        <w:rPr>
          <w:sz w:val="20"/>
        </w:rPr>
        <w:t xml:space="preserve"> is noise with standard deviation </w:t>
      </w:r>
      <m:oMath>
        <m:r>
          <w:rPr>
            <w:rFonts w:ascii="Cambria Math" w:hAnsi="Cambria Math"/>
            <w:sz w:val="20"/>
          </w:rPr>
          <m:t>σ</m:t>
        </m:r>
      </m:oMath>
      <w:r w:rsidRPr="004A53A9">
        <w:rPr>
          <w:sz w:val="20"/>
        </w:rPr>
        <w:t xml:space="preserve"> and clipping range </w:t>
      </w:r>
      <m:oMath>
        <m:r>
          <m:rPr>
            <m:sty m:val="p"/>
          </m:rPr>
          <w:rPr>
            <w:rFonts w:ascii="Cambria Math" w:hAnsi="Cambria Math"/>
            <w:sz w:val="20"/>
          </w:rPr>
          <m:t>[-</m:t>
        </m:r>
        <m:r>
          <w:rPr>
            <w:rFonts w:ascii="Cambria Math" w:hAnsi="Cambria Math"/>
            <w:sz w:val="20"/>
          </w:rPr>
          <m:t>c</m:t>
        </m:r>
        <m:r>
          <m:rPr>
            <m:sty m:val="p"/>
          </m:rPr>
          <w:rPr>
            <w:rFonts w:ascii="Cambria Math" w:hAnsi="Cambria Math"/>
            <w:sz w:val="20"/>
          </w:rPr>
          <m:t>,</m:t>
        </m:r>
        <m:r>
          <w:rPr>
            <w:rFonts w:ascii="Cambria Math" w:hAnsi="Cambria Math"/>
            <w:sz w:val="20"/>
          </w:rPr>
          <m:t>c</m:t>
        </m:r>
        <m:r>
          <m:rPr>
            <m:sty m:val="p"/>
          </m:rPr>
          <w:rPr>
            <w:rFonts w:ascii="Cambria Math" w:hAnsi="Cambria Math"/>
            <w:sz w:val="20"/>
          </w:rPr>
          <m:t>]</m:t>
        </m:r>
      </m:oMath>
      <w:r w:rsidRPr="004A53A9">
        <w:rPr>
          <w:sz w:val="20"/>
        </w:rPr>
        <w:t xml:space="preserve">. The policy updates are delayed every </w:t>
      </w:r>
      <m:oMath>
        <m:r>
          <w:rPr>
            <w:rFonts w:ascii="Cambria Math" w:hAnsi="Cambria Math"/>
            <w:sz w:val="20"/>
          </w:rPr>
          <m:t>d</m:t>
        </m:r>
      </m:oMath>
      <w:r w:rsidRPr="004A53A9">
        <w:rPr>
          <w:sz w:val="20"/>
        </w:rPr>
        <w:t xml:space="preserve"> steps to reduce variance and improve stability. This formulation enables coordinated agent </w:t>
      </w:r>
      <w:proofErr w:type="spellStart"/>
      <w:r w:rsidRPr="004A53A9">
        <w:rPr>
          <w:sz w:val="20"/>
        </w:rPr>
        <w:t>behavior</w:t>
      </w:r>
      <w:proofErr w:type="spellEnd"/>
      <w:r w:rsidRPr="004A53A9">
        <w:rPr>
          <w:sz w:val="20"/>
        </w:rPr>
        <w:t>, allowing District Charging Agents and the EV Redistribution Agent to learn policies that adaptively restore QoS while maintaining grid stability.</w:t>
      </w:r>
    </w:p>
    <w:p w14:paraId="76D3DC38" w14:textId="77777777" w:rsidR="00A275D9" w:rsidRDefault="00A275D9" w:rsidP="00A275D9">
      <w:pPr>
        <w:pStyle w:val="PlainText"/>
        <w:rPr>
          <w:sz w:val="20"/>
          <w:lang w:val="en-US"/>
        </w:rPr>
      </w:pPr>
    </w:p>
    <w:p w14:paraId="45F75A46" w14:textId="4D1551CE" w:rsidR="00A275D9" w:rsidRPr="00B05B01" w:rsidRDefault="00A275D9" w:rsidP="00A275D9">
      <w:pPr>
        <w:pStyle w:val="PlainText"/>
        <w:rPr>
          <w:sz w:val="20"/>
        </w:rPr>
      </w:pPr>
      <w:r>
        <w:rPr>
          <w:b/>
          <w:sz w:val="20"/>
        </w:rPr>
        <w:t>3</w:t>
      </w:r>
      <w:r w:rsidRPr="00F05EA2">
        <w:rPr>
          <w:b/>
          <w:sz w:val="20"/>
        </w:rPr>
        <w:t>.</w:t>
      </w:r>
      <w:r>
        <w:rPr>
          <w:b/>
          <w:sz w:val="20"/>
        </w:rPr>
        <w:t>2</w:t>
      </w:r>
      <w:r w:rsidRPr="00F05EA2">
        <w:rPr>
          <w:b/>
          <w:sz w:val="20"/>
        </w:rPr>
        <w:t xml:space="preserve"> </w:t>
      </w:r>
      <w:r w:rsidR="00575F8B">
        <w:rPr>
          <w:b/>
          <w:sz w:val="20"/>
        </w:rPr>
        <w:t xml:space="preserve">Recovery </w:t>
      </w:r>
      <w:r w:rsidR="007E08D9">
        <w:rPr>
          <w:b/>
          <w:sz w:val="20"/>
        </w:rPr>
        <w:t>d</w:t>
      </w:r>
      <w:r w:rsidR="00575F8B">
        <w:rPr>
          <w:b/>
          <w:sz w:val="20"/>
        </w:rPr>
        <w:t>e</w:t>
      </w:r>
      <w:r w:rsidR="00473A1A">
        <w:rPr>
          <w:b/>
          <w:sz w:val="20"/>
        </w:rPr>
        <w:t xml:space="preserve">finition and </w:t>
      </w:r>
      <w:r w:rsidR="007E08D9">
        <w:rPr>
          <w:b/>
          <w:sz w:val="20"/>
        </w:rPr>
        <w:t>p</w:t>
      </w:r>
      <w:r w:rsidR="00473A1A">
        <w:rPr>
          <w:b/>
          <w:sz w:val="20"/>
        </w:rPr>
        <w:t>arameters</w:t>
      </w:r>
    </w:p>
    <w:p w14:paraId="55A398C8" w14:textId="663DD929" w:rsidR="002D319B" w:rsidRPr="002D319B" w:rsidRDefault="003C6085" w:rsidP="005D3F75">
      <w:pPr>
        <w:pStyle w:val="PlainText"/>
        <w:rPr>
          <w:sz w:val="20"/>
          <w:lang w:val="en-US"/>
        </w:rPr>
      </w:pPr>
      <w:r>
        <w:rPr>
          <w:sz w:val="20"/>
          <w:lang w:val="en-US"/>
        </w:rPr>
        <w:t xml:space="preserve">    </w:t>
      </w:r>
      <w:r w:rsidR="002D319B" w:rsidRPr="002D319B">
        <w:rPr>
          <w:sz w:val="20"/>
          <w:lang w:val="en-US"/>
        </w:rPr>
        <w:t>Recovery refers to restoring the charging QoS to pre-outage (or near-optimal) conditions while maintaining grid stability and preventing further bottlenecks. We track multiple metrics that collectively form a Recovery Index used for evaluation and (indirectly) in the reward function.</w:t>
      </w:r>
    </w:p>
    <w:p w14:paraId="002914D7" w14:textId="6156BD8C" w:rsidR="002D319B" w:rsidRPr="002D319B" w:rsidRDefault="002D319B" w:rsidP="00473A1A">
      <w:pPr>
        <w:pStyle w:val="PlainText"/>
        <w:ind w:firstLine="284"/>
        <w:rPr>
          <w:sz w:val="20"/>
        </w:rPr>
      </w:pPr>
      <w:r w:rsidRPr="002D319B">
        <w:rPr>
          <w:sz w:val="20"/>
        </w:rPr>
        <w:lastRenderedPageBreak/>
        <w:t xml:space="preserve">Let </w:t>
      </w:r>
      <m:oMath>
        <m:r>
          <w:rPr>
            <w:rFonts w:ascii="Cambria Math" w:hAnsi="Cambria Math"/>
            <w:sz w:val="20"/>
          </w:rPr>
          <m:t>t</m:t>
        </m:r>
      </m:oMath>
      <w:r w:rsidRPr="002D319B">
        <w:rPr>
          <w:sz w:val="20"/>
        </w:rPr>
        <w:t xml:space="preserve"> be the discrete time index for each step in the simulation. We define:</w:t>
      </w:r>
    </w:p>
    <w:p w14:paraId="136655B2" w14:textId="381DF9B2" w:rsidR="00E37449" w:rsidRPr="00CE144F" w:rsidRDefault="002D319B" w:rsidP="00CE144F">
      <w:pPr>
        <w:pStyle w:val="PlainText"/>
        <w:numPr>
          <w:ilvl w:val="0"/>
          <w:numId w:val="4"/>
        </w:numPr>
        <w:ind w:left="426" w:hanging="284"/>
        <w:rPr>
          <w:sz w:val="20"/>
        </w:rPr>
      </w:pPr>
      <w:r w:rsidRPr="002D319B">
        <w:rPr>
          <w:b/>
          <w:bCs/>
          <w:sz w:val="20"/>
        </w:rPr>
        <w:t>Traffic Intensity (</w:t>
      </w:r>
      <m:oMath>
        <m:r>
          <w:rPr>
            <w:rFonts w:ascii="Cambria Math" w:hAnsi="Cambria Math"/>
            <w:sz w:val="20"/>
          </w:rPr>
          <m:t>ρ</m:t>
        </m:r>
      </m:oMath>
      <w:r w:rsidRPr="002D319B">
        <w:rPr>
          <w:b/>
          <w:bCs/>
          <w:sz w:val="20"/>
        </w:rPr>
        <w:t>):</w:t>
      </w:r>
      <w:r w:rsidRPr="002D319B">
        <w:rPr>
          <w:sz w:val="20"/>
        </w:rPr>
        <w:t xml:space="preserve"> The ratio of arrival rate to service capacity:</w:t>
      </w:r>
      <w:r w:rsidR="00CA2B65">
        <w:rPr>
          <w:sz w:val="20"/>
        </w:rPr>
        <w:t xml:space="preserve"> </w:t>
      </w:r>
      <w:r w:rsidR="00CA2B65" w:rsidRPr="00CE144F">
        <w:rPr>
          <w:sz w:val="20"/>
        </w:rPr>
        <w:t xml:space="preserve">   </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7"/>
        <w:gridCol w:w="2047"/>
      </w:tblGrid>
      <w:tr w:rsidR="00E37449" w14:paraId="67E9183E" w14:textId="77777777" w:rsidTr="00751B35">
        <w:tc>
          <w:tcPr>
            <w:tcW w:w="2275" w:type="dxa"/>
          </w:tcPr>
          <w:p w14:paraId="64494BBD" w14:textId="200E86EE" w:rsidR="00E37449" w:rsidRPr="00CE144F" w:rsidRDefault="00E37449" w:rsidP="00E37449">
            <w:pPr>
              <w:pStyle w:val="PlainText"/>
              <w:rPr>
                <w:sz w:val="20"/>
              </w:rPr>
            </w:pPr>
            <m:oMathPara>
              <m:oMathParaPr>
                <m:jc m:val="right"/>
              </m:oMathParaPr>
              <m:oMath>
                <m:r>
                  <w:rPr>
                    <w:rFonts w:ascii="Cambria Math" w:hAnsi="Cambria Math"/>
                    <w:sz w:val="20"/>
                  </w:rPr>
                  <m:t>ρ</m:t>
                </m:r>
                <m:r>
                  <m:rPr>
                    <m:sty m:val="p"/>
                  </m:rPr>
                  <w:rPr>
                    <w:rFonts w:ascii="Cambria Math" w:hAnsi="Cambria Math"/>
                    <w:sz w:val="20"/>
                  </w:rPr>
                  <m:t>(</m:t>
                </m:r>
                <m:r>
                  <w:rPr>
                    <w:rFonts w:ascii="Cambria Math" w:hAnsi="Cambria Math"/>
                    <w:sz w:val="20"/>
                  </w:rPr>
                  <m:t>t</m:t>
                </m:r>
                <m:r>
                  <m:rPr>
                    <m:sty m:val="p"/>
                  </m:rPr>
                  <w:rPr>
                    <w:rFonts w:ascii="Cambria Math" w:hAnsi="Cambria Math"/>
                    <w:sz w:val="20"/>
                  </w:rPr>
                  <m:t>)=</m:t>
                </m:r>
                <m:f>
                  <m:fPr>
                    <m:ctrlPr>
                      <w:rPr>
                        <w:rFonts w:ascii="Cambria Math" w:hAnsi="Cambria Math"/>
                        <w:sz w:val="20"/>
                      </w:rPr>
                    </m:ctrlPr>
                  </m:fPr>
                  <m:num>
                    <m:r>
                      <w:rPr>
                        <w:rFonts w:ascii="Cambria Math" w:hAnsi="Cambria Math"/>
                        <w:sz w:val="20"/>
                      </w:rPr>
                      <m:t>λ</m:t>
                    </m:r>
                    <m:r>
                      <m:rPr>
                        <m:sty m:val="p"/>
                      </m:rPr>
                      <w:rPr>
                        <w:rFonts w:ascii="Cambria Math" w:hAnsi="Cambria Math"/>
                        <w:sz w:val="20"/>
                      </w:rPr>
                      <m:t>(</m:t>
                    </m:r>
                    <m:r>
                      <w:rPr>
                        <w:rFonts w:ascii="Cambria Math" w:hAnsi="Cambria Math"/>
                        <w:sz w:val="20"/>
                      </w:rPr>
                      <m:t>t</m:t>
                    </m:r>
                    <m:r>
                      <m:rPr>
                        <m:sty m:val="p"/>
                      </m:rPr>
                      <w:rPr>
                        <w:rFonts w:ascii="Cambria Math" w:hAnsi="Cambria Math"/>
                        <w:sz w:val="20"/>
                      </w:rPr>
                      <m:t>)</m:t>
                    </m:r>
                  </m:num>
                  <m:den>
                    <m:r>
                      <w:rPr>
                        <w:rFonts w:ascii="Cambria Math" w:hAnsi="Cambria Math"/>
                        <w:sz w:val="20"/>
                      </w:rPr>
                      <m:t>μ</m:t>
                    </m:r>
                    <m:r>
                      <m:rPr>
                        <m:sty m:val="p"/>
                      </m:rPr>
                      <w:rPr>
                        <w:rFonts w:ascii="Cambria Math" w:hAnsi="Cambria Math"/>
                        <w:sz w:val="20"/>
                      </w:rPr>
                      <m:t>⋅</m:t>
                    </m:r>
                    <m:r>
                      <w:rPr>
                        <w:rFonts w:ascii="Cambria Math" w:hAnsi="Cambria Math"/>
                        <w:sz w:val="20"/>
                      </w:rPr>
                      <m:t>c</m:t>
                    </m:r>
                  </m:den>
                </m:f>
              </m:oMath>
            </m:oMathPara>
          </w:p>
        </w:tc>
        <w:tc>
          <w:tcPr>
            <w:tcW w:w="2275" w:type="dxa"/>
            <w:vAlign w:val="center"/>
          </w:tcPr>
          <w:p w14:paraId="6AEB820D" w14:textId="052746AF" w:rsidR="00E37449" w:rsidRDefault="00751B35" w:rsidP="00751B35">
            <w:pPr>
              <w:pStyle w:val="PlainText"/>
              <w:jc w:val="right"/>
              <w:rPr>
                <w:sz w:val="20"/>
              </w:rPr>
            </w:pPr>
            <w:r>
              <w:rPr>
                <w:sz w:val="20"/>
              </w:rPr>
              <w:t>(5)</w:t>
            </w:r>
          </w:p>
        </w:tc>
      </w:tr>
      <w:tr w:rsidR="00762B71" w14:paraId="3CA3B23E" w14:textId="77777777" w:rsidTr="00751B35">
        <w:tc>
          <w:tcPr>
            <w:tcW w:w="2275" w:type="dxa"/>
          </w:tcPr>
          <w:p w14:paraId="7F681D68" w14:textId="77777777" w:rsidR="00762B71" w:rsidRDefault="00762B71" w:rsidP="00E37449">
            <w:pPr>
              <w:pStyle w:val="PlainText"/>
              <w:rPr>
                <w:sz w:val="20"/>
              </w:rPr>
            </w:pPr>
          </w:p>
        </w:tc>
        <w:tc>
          <w:tcPr>
            <w:tcW w:w="2275" w:type="dxa"/>
            <w:vAlign w:val="center"/>
          </w:tcPr>
          <w:p w14:paraId="583D243A" w14:textId="77777777" w:rsidR="00762B71" w:rsidRDefault="00762B71" w:rsidP="00751B35">
            <w:pPr>
              <w:pStyle w:val="PlainText"/>
              <w:jc w:val="right"/>
              <w:rPr>
                <w:sz w:val="20"/>
              </w:rPr>
            </w:pPr>
          </w:p>
        </w:tc>
      </w:tr>
    </w:tbl>
    <w:p w14:paraId="48FDF273" w14:textId="2A51EC79" w:rsidR="002D319B" w:rsidRPr="002D319B" w:rsidRDefault="002D319B" w:rsidP="00300E62">
      <w:pPr>
        <w:pStyle w:val="PlainText"/>
        <w:rPr>
          <w:sz w:val="20"/>
        </w:rPr>
      </w:pPr>
      <w:r w:rsidRPr="002D319B">
        <w:rPr>
          <w:sz w:val="20"/>
        </w:rPr>
        <w:t xml:space="preserve">where </w:t>
      </w:r>
      <m:oMath>
        <m:r>
          <w:rPr>
            <w:rFonts w:ascii="Cambria Math" w:hAnsi="Cambria Math"/>
            <w:sz w:val="20"/>
          </w:rPr>
          <m:t>λ</m:t>
        </m:r>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2D319B">
        <w:rPr>
          <w:sz w:val="20"/>
        </w:rPr>
        <w:t xml:space="preserve"> is the arrival rate of EVs, </w:t>
      </w:r>
      <m:oMath>
        <m:r>
          <w:rPr>
            <w:rFonts w:ascii="Cambria Math" w:hAnsi="Cambria Math"/>
            <w:sz w:val="20"/>
          </w:rPr>
          <m:t>μ</m:t>
        </m:r>
      </m:oMath>
      <w:r w:rsidRPr="002D319B">
        <w:rPr>
          <w:sz w:val="20"/>
        </w:rPr>
        <w:t xml:space="preserve"> is the service rate per charger, and </w:t>
      </w:r>
      <m:oMath>
        <m:r>
          <w:rPr>
            <w:rFonts w:ascii="Cambria Math" w:hAnsi="Cambria Math"/>
            <w:sz w:val="20"/>
          </w:rPr>
          <m:t>c</m:t>
        </m:r>
      </m:oMath>
      <w:r w:rsidRPr="002D319B">
        <w:rPr>
          <w:sz w:val="20"/>
        </w:rPr>
        <w:t xml:space="preserve"> is the number of chargers.</w:t>
      </w:r>
    </w:p>
    <w:p w14:paraId="514AF979" w14:textId="77777777" w:rsidR="002D319B" w:rsidRPr="002D319B" w:rsidRDefault="002D319B" w:rsidP="005D6537">
      <w:pPr>
        <w:pStyle w:val="PlainText"/>
        <w:numPr>
          <w:ilvl w:val="0"/>
          <w:numId w:val="4"/>
        </w:numPr>
        <w:ind w:left="426" w:hanging="284"/>
        <w:rPr>
          <w:sz w:val="20"/>
        </w:rPr>
      </w:pPr>
      <w:r w:rsidRPr="002D319B">
        <w:rPr>
          <w:b/>
          <w:bCs/>
          <w:sz w:val="20"/>
        </w:rPr>
        <w:t>Utilization Factor:</w:t>
      </w:r>
      <w:r w:rsidRPr="002D319B">
        <w:rPr>
          <w:sz w:val="20"/>
        </w:rPr>
        <w:t xml:space="preserve"> The proportion of chargers in use across districts: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153"/>
      </w:tblGrid>
      <w:tr w:rsidR="00CE144F" w14:paraId="5700E3D2" w14:textId="77777777" w:rsidTr="00CE144F">
        <w:tc>
          <w:tcPr>
            <w:tcW w:w="3397" w:type="dxa"/>
          </w:tcPr>
          <w:p w14:paraId="1B8408C7" w14:textId="10B5C95F" w:rsidR="00CE144F" w:rsidRPr="00CE144F" w:rsidRDefault="00CE144F" w:rsidP="002D319B">
            <w:pPr>
              <w:pStyle w:val="PlainText"/>
              <w:rPr>
                <w:sz w:val="20"/>
              </w:rPr>
            </w:pPr>
            <m:oMathPara>
              <m:oMathParaPr>
                <m:jc m:val="right"/>
              </m:oMathParaPr>
              <m:oMath>
                <m:r>
                  <w:rPr>
                    <w:rFonts w:ascii="Cambria Math" w:hAnsi="Cambria Math" w:cstheme="minorBidi"/>
                    <w:sz w:val="20"/>
                  </w:rPr>
                  <m:t>U</m:t>
                </m:r>
                <m:d>
                  <m:dPr>
                    <m:ctrlPr>
                      <w:rPr>
                        <w:rFonts w:ascii="Cambria Math" w:hAnsi="Cambria Math" w:cstheme="minorBidi"/>
                        <w:sz w:val="20"/>
                      </w:rPr>
                    </m:ctrlPr>
                  </m:dPr>
                  <m:e>
                    <m:r>
                      <w:rPr>
                        <w:rFonts w:ascii="Cambria Math" w:hAnsi="Cambria Math" w:cstheme="minorBidi"/>
                        <w:sz w:val="20"/>
                      </w:rPr>
                      <m:t>t</m:t>
                    </m:r>
                  </m:e>
                </m:d>
                <m:r>
                  <m:rPr>
                    <m:sty m:val="p"/>
                  </m:rPr>
                  <w:rPr>
                    <w:rFonts w:ascii="Cambria Math" w:hAnsi="Cambria Math" w:cstheme="minorBidi"/>
                    <w:sz w:val="20"/>
                  </w:rPr>
                  <m:t>=</m:t>
                </m:r>
                <m:f>
                  <m:fPr>
                    <m:ctrlPr>
                      <w:rPr>
                        <w:rFonts w:ascii="Cambria Math" w:hAnsi="Cambria Math" w:cstheme="minorBidi"/>
                        <w:sz w:val="20"/>
                      </w:rPr>
                    </m:ctrlPr>
                  </m:fPr>
                  <m:num>
                    <m:r>
                      <w:rPr>
                        <w:rFonts w:ascii="Cambria Math" w:hAnsi="Cambria Math" w:cstheme="minorBidi"/>
                        <w:sz w:val="20"/>
                      </w:rPr>
                      <m:t>1</m:t>
                    </m:r>
                  </m:num>
                  <m:den>
                    <m:r>
                      <w:rPr>
                        <w:rFonts w:ascii="Cambria Math" w:hAnsi="Cambria Math" w:cstheme="minorBidi"/>
                        <w:sz w:val="20"/>
                      </w:rPr>
                      <m:t>N</m:t>
                    </m:r>
                  </m:den>
                </m:f>
                <m:nary>
                  <m:naryPr>
                    <m:chr m:val="∑"/>
                    <m:limLoc m:val="undOvr"/>
                    <m:ctrlPr>
                      <w:rPr>
                        <w:rFonts w:ascii="Cambria Math" w:hAnsi="Cambria Math" w:cstheme="minorBidi"/>
                        <w:sz w:val="20"/>
                      </w:rPr>
                    </m:ctrlPr>
                  </m:naryPr>
                  <m:sub>
                    <m:r>
                      <w:rPr>
                        <w:rFonts w:ascii="Cambria Math" w:hAnsi="Cambria Math" w:cstheme="minorBidi"/>
                        <w:sz w:val="20"/>
                      </w:rPr>
                      <m:t>i</m:t>
                    </m:r>
                    <m:r>
                      <m:rPr>
                        <m:sty m:val="p"/>
                      </m:rPr>
                      <w:rPr>
                        <w:rFonts w:ascii="Cambria Math" w:hAnsi="Cambria Math" w:cstheme="minorBidi"/>
                        <w:sz w:val="20"/>
                      </w:rPr>
                      <m:t>=</m:t>
                    </m:r>
                    <m:r>
                      <w:rPr>
                        <w:rFonts w:ascii="Cambria Math" w:hAnsi="Cambria Math" w:cstheme="minorBidi"/>
                        <w:sz w:val="20"/>
                      </w:rPr>
                      <m:t>1</m:t>
                    </m:r>
                  </m:sub>
                  <m:sup>
                    <m:r>
                      <w:rPr>
                        <w:rFonts w:ascii="Cambria Math" w:hAnsi="Cambria Math" w:cstheme="minorBidi"/>
                        <w:sz w:val="20"/>
                      </w:rPr>
                      <m:t>N</m:t>
                    </m:r>
                  </m:sup>
                  <m:e>
                    <m:f>
                      <m:fPr>
                        <m:ctrlPr>
                          <w:rPr>
                            <w:rFonts w:ascii="Cambria Math" w:hAnsi="Cambria Math" w:cstheme="minorBidi"/>
                            <w:sz w:val="20"/>
                          </w:rPr>
                        </m:ctrlPr>
                      </m:fPr>
                      <m:num>
                        <m:sSub>
                          <m:sSubPr>
                            <m:ctrlPr>
                              <w:rPr>
                                <w:rFonts w:ascii="Cambria Math" w:hAnsi="Cambria Math" w:cstheme="minorBidi"/>
                                <w:sz w:val="20"/>
                              </w:rPr>
                            </m:ctrlPr>
                          </m:sSubPr>
                          <m:e>
                            <m:r>
                              <m:rPr>
                                <m:nor/>
                              </m:rPr>
                              <w:rPr>
                                <w:rFonts w:asciiTheme="minorBidi" w:hAnsiTheme="minorBidi" w:cstheme="minorBidi"/>
                                <w:sz w:val="20"/>
                              </w:rPr>
                              <m:t>EVs charging</m:t>
                            </m:r>
                          </m:e>
                          <m:sub>
                            <m:r>
                              <w:rPr>
                                <w:rFonts w:ascii="Cambria Math" w:hAnsi="Cambria Math" w:cstheme="minorBidi"/>
                                <w:sz w:val="20"/>
                              </w:rPr>
                              <m:t>i</m:t>
                            </m:r>
                          </m:sub>
                        </m:sSub>
                        <m:d>
                          <m:dPr>
                            <m:ctrlPr>
                              <w:rPr>
                                <w:rFonts w:ascii="Cambria Math" w:hAnsi="Cambria Math" w:cstheme="minorBidi"/>
                                <w:sz w:val="20"/>
                              </w:rPr>
                            </m:ctrlPr>
                          </m:dPr>
                          <m:e>
                            <m:r>
                              <w:rPr>
                                <w:rFonts w:ascii="Cambria Math" w:hAnsi="Cambria Math" w:cstheme="minorBidi"/>
                                <w:sz w:val="20"/>
                              </w:rPr>
                              <m:t>t</m:t>
                            </m:r>
                          </m:e>
                        </m:d>
                      </m:num>
                      <m:den>
                        <m:sSub>
                          <m:sSubPr>
                            <m:ctrlPr>
                              <w:rPr>
                                <w:rFonts w:ascii="Cambria Math" w:hAnsi="Cambria Math" w:cstheme="minorBidi"/>
                                <w:sz w:val="20"/>
                              </w:rPr>
                            </m:ctrlPr>
                          </m:sSubPr>
                          <m:e>
                            <m:r>
                              <m:rPr>
                                <m:nor/>
                              </m:rPr>
                              <w:rPr>
                                <w:rFonts w:asciiTheme="minorBidi" w:hAnsiTheme="minorBidi" w:cstheme="minorBidi"/>
                                <w:sz w:val="20"/>
                              </w:rPr>
                              <m:t>Number of chargers</m:t>
                            </m:r>
                          </m:e>
                          <m:sub>
                            <m:r>
                              <w:rPr>
                                <w:rFonts w:ascii="Cambria Math" w:hAnsi="Cambria Math" w:cstheme="minorBidi"/>
                                <w:sz w:val="20"/>
                              </w:rPr>
                              <m:t>i</m:t>
                            </m:r>
                          </m:sub>
                        </m:sSub>
                      </m:den>
                    </m:f>
                  </m:e>
                </m:nary>
              </m:oMath>
            </m:oMathPara>
          </w:p>
        </w:tc>
        <w:tc>
          <w:tcPr>
            <w:tcW w:w="1153" w:type="dxa"/>
            <w:vAlign w:val="center"/>
          </w:tcPr>
          <w:p w14:paraId="335174F7" w14:textId="084269A8" w:rsidR="00CE144F" w:rsidRDefault="00CE144F" w:rsidP="00CE144F">
            <w:pPr>
              <w:pStyle w:val="PlainText"/>
              <w:jc w:val="right"/>
              <w:rPr>
                <w:sz w:val="20"/>
              </w:rPr>
            </w:pPr>
            <w:r>
              <w:rPr>
                <w:sz w:val="20"/>
              </w:rPr>
              <w:t>(6)</w:t>
            </w:r>
          </w:p>
        </w:tc>
      </w:tr>
    </w:tbl>
    <w:p w14:paraId="44516CAD" w14:textId="4D923779" w:rsidR="002D319B" w:rsidRPr="002D319B" w:rsidRDefault="002D319B" w:rsidP="002D319B">
      <w:pPr>
        <w:pStyle w:val="PlainText"/>
        <w:rPr>
          <w:sz w:val="20"/>
        </w:rPr>
      </w:pPr>
    </w:p>
    <w:p w14:paraId="02C2FAE6" w14:textId="340717CD" w:rsidR="002D319B" w:rsidRPr="002D319B" w:rsidRDefault="002D319B" w:rsidP="00C177FE">
      <w:pPr>
        <w:pStyle w:val="PlainText"/>
        <w:numPr>
          <w:ilvl w:val="0"/>
          <w:numId w:val="3"/>
        </w:numPr>
        <w:ind w:left="426"/>
        <w:rPr>
          <w:sz w:val="20"/>
        </w:rPr>
      </w:pPr>
      <w:r w:rsidRPr="002D319B">
        <w:rPr>
          <w:sz w:val="20"/>
        </w:rPr>
        <w:t xml:space="preserve">where </w:t>
      </w:r>
      <m:oMath>
        <m:r>
          <w:rPr>
            <w:rFonts w:ascii="Cambria Math" w:hAnsi="Cambria Math"/>
            <w:sz w:val="20"/>
          </w:rPr>
          <m:t>N</m:t>
        </m:r>
      </m:oMath>
      <w:r w:rsidRPr="002D319B">
        <w:rPr>
          <w:sz w:val="20"/>
        </w:rPr>
        <w:t xml:space="preserve"> is the number of districts.</w:t>
      </w:r>
    </w:p>
    <w:p w14:paraId="0D1FF910" w14:textId="6C4955EB" w:rsidR="002D319B" w:rsidRPr="002D319B" w:rsidRDefault="002D319B" w:rsidP="005D6537">
      <w:pPr>
        <w:pStyle w:val="PlainText"/>
        <w:numPr>
          <w:ilvl w:val="0"/>
          <w:numId w:val="4"/>
        </w:numPr>
        <w:ind w:left="426" w:hanging="284"/>
        <w:rPr>
          <w:sz w:val="20"/>
        </w:rPr>
      </w:pPr>
      <w:r w:rsidRPr="002D319B">
        <w:rPr>
          <w:b/>
          <w:bCs/>
          <w:sz w:val="20"/>
        </w:rPr>
        <w:t>Congestion Level:</w:t>
      </w:r>
      <w:r w:rsidRPr="002D319B">
        <w:rPr>
          <w:sz w:val="20"/>
        </w:rPr>
        <w:t xml:space="preserve"> We track average congestion by queue lengths at stations. For district </w:t>
      </w:r>
      <m:oMath>
        <m:r>
          <w:rPr>
            <w:rFonts w:ascii="Cambria Math" w:hAnsi="Cambria Math"/>
            <w:sz w:val="20"/>
          </w:rPr>
          <m:t>i</m:t>
        </m:r>
      </m:oMath>
      <w:r w:rsidRPr="002D319B">
        <w:rPr>
          <w:sz w:val="20"/>
        </w:rPr>
        <w:t xml:space="preserve">, let </w:t>
      </w:r>
      <m:oMath>
        <m:sSub>
          <m:sSubPr>
            <m:ctrlPr>
              <w:rPr>
                <w:rFonts w:ascii="Cambria Math" w:hAnsi="Cambria Math"/>
                <w:sz w:val="20"/>
              </w:rPr>
            </m:ctrlPr>
          </m:sSubPr>
          <m:e>
            <m:r>
              <w:rPr>
                <w:rFonts w:ascii="Cambria Math" w:hAnsi="Cambria Math"/>
                <w:sz w:val="20"/>
              </w:rPr>
              <m:t>q</m:t>
            </m:r>
          </m:e>
          <m:sub>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2D319B">
        <w:rPr>
          <w:sz w:val="20"/>
        </w:rPr>
        <w:t xml:space="preserve"> be the queue length normalized by number of chargers: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27"/>
      </w:tblGrid>
      <w:tr w:rsidR="00CE144F" w14:paraId="5E9AF78D" w14:textId="77777777" w:rsidTr="00BA6517">
        <w:tc>
          <w:tcPr>
            <w:tcW w:w="3823" w:type="dxa"/>
          </w:tcPr>
          <w:p w14:paraId="6CBF25F1" w14:textId="6317E890" w:rsidR="00CE144F" w:rsidRDefault="00BA6517" w:rsidP="00BA6517">
            <w:pPr>
              <w:pStyle w:val="PlainText"/>
              <w:jc w:val="right"/>
              <w:rPr>
                <w:sz w:val="20"/>
              </w:rPr>
            </w:pPr>
            <m:oMathPara>
              <m:oMath>
                <m:r>
                  <w:rPr>
                    <w:rFonts w:ascii="Cambria Math" w:hAnsi="Cambria Math"/>
                    <w:sz w:val="20"/>
                  </w:rPr>
                  <m:t>QL</m:t>
                </m:r>
                <m:r>
                  <m:rPr>
                    <m:sty m:val="p"/>
                  </m:rPr>
                  <w:rPr>
                    <w:rFonts w:ascii="Cambria Math" w:hAnsi="Cambria Math"/>
                    <w:sz w:val="20"/>
                  </w:rPr>
                  <m:t>(</m:t>
                </m:r>
                <m:r>
                  <w:rPr>
                    <w:rFonts w:ascii="Cambria Math" w:hAnsi="Cambria Math"/>
                    <w:sz w:val="20"/>
                  </w:rPr>
                  <m:t>t</m:t>
                </m:r>
                <m:r>
                  <m:rPr>
                    <m:sty m:val="p"/>
                  </m:rPr>
                  <w:rPr>
                    <w:rFonts w:ascii="Cambria Math" w:hAnsi="Cambria Math"/>
                    <w:sz w:val="20"/>
                  </w:rPr>
                  <m:t>)=</m:t>
                </m:r>
                <m:f>
                  <m:fPr>
                    <m:ctrlPr>
                      <w:rPr>
                        <w:rFonts w:ascii="Cambria Math" w:hAnsi="Cambria Math"/>
                        <w:sz w:val="20"/>
                      </w:rPr>
                    </m:ctrlPr>
                  </m:fPr>
                  <m:num>
                    <m:r>
                      <w:rPr>
                        <w:rFonts w:ascii="Cambria Math" w:hAnsi="Cambria Math"/>
                        <w:sz w:val="20"/>
                      </w:rPr>
                      <m:t>1</m:t>
                    </m:r>
                  </m:num>
                  <m:den>
                    <m:r>
                      <w:rPr>
                        <w:rFonts w:ascii="Cambria Math" w:hAnsi="Cambria Math"/>
                        <w:sz w:val="20"/>
                      </w:rPr>
                      <m:t>N</m:t>
                    </m:r>
                  </m:den>
                </m:f>
                <m:nary>
                  <m:naryPr>
                    <m:chr m:val="∑"/>
                    <m:limLoc m:val="undOvr"/>
                    <m:ctrlPr>
                      <w:rPr>
                        <w:rFonts w:ascii="Cambria Math" w:hAnsi="Cambria Math"/>
                        <w:sz w:val="20"/>
                      </w:rPr>
                    </m:ctrlPr>
                  </m:naryPr>
                  <m:sub>
                    <m:r>
                      <w:rPr>
                        <w:rFonts w:ascii="Cambria Math" w:hAnsi="Cambria Math"/>
                        <w:sz w:val="20"/>
                      </w:rPr>
                      <m:t>i</m:t>
                    </m:r>
                    <m:r>
                      <m:rPr>
                        <m:sty m:val="p"/>
                      </m:rPr>
                      <w:rPr>
                        <w:rFonts w:ascii="Cambria Math" w:hAnsi="Cambria Math"/>
                        <w:sz w:val="20"/>
                      </w:rPr>
                      <m:t>=</m:t>
                    </m:r>
                    <m:r>
                      <w:rPr>
                        <w:rFonts w:ascii="Cambria Math" w:hAnsi="Cambria Math"/>
                        <w:sz w:val="20"/>
                      </w:rPr>
                      <m:t>1</m:t>
                    </m:r>
                  </m:sub>
                  <m:sup>
                    <m:r>
                      <w:rPr>
                        <w:rFonts w:ascii="Cambria Math" w:hAnsi="Cambria Math"/>
                        <w:sz w:val="20"/>
                      </w:rPr>
                      <m:t>N</m:t>
                    </m:r>
                  </m:sup>
                  <m:e>
                    <m:f>
                      <m:fPr>
                        <m:ctrlPr>
                          <w:rPr>
                            <w:rFonts w:ascii="Cambria Math" w:hAnsi="Cambria Math"/>
                            <w:sz w:val="20"/>
                          </w:rPr>
                        </m:ctrlPr>
                      </m:fPr>
                      <m:num>
                        <m:sSub>
                          <m:sSubPr>
                            <m:ctrlPr>
                              <w:rPr>
                                <w:rFonts w:ascii="Cambria Math" w:hAnsi="Cambria Math"/>
                                <w:sz w:val="20"/>
                              </w:rPr>
                            </m:ctrlPr>
                          </m:sSubPr>
                          <m:e>
                            <m:r>
                              <w:rPr>
                                <w:rFonts w:ascii="Cambria Math" w:hAnsi="Cambria Math"/>
                                <w:sz w:val="20"/>
                              </w:rPr>
                              <m:t>q</m:t>
                            </m:r>
                          </m:e>
                          <m:sub>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num>
                      <m:den>
                        <m:sSub>
                          <m:sSubPr>
                            <m:ctrlPr>
                              <w:rPr>
                                <w:rFonts w:ascii="Cambria Math" w:hAnsi="Cambria Math"/>
                                <w:sz w:val="20"/>
                              </w:rPr>
                            </m:ctrlPr>
                          </m:sSubPr>
                          <m:e>
                            <m:r>
                              <m:rPr>
                                <m:nor/>
                              </m:rPr>
                              <w:rPr>
                                <w:sz w:val="20"/>
                              </w:rPr>
                              <m:t>Number of chargers</m:t>
                            </m:r>
                          </m:e>
                          <m:sub>
                            <m:r>
                              <w:rPr>
                                <w:rFonts w:ascii="Cambria Math" w:hAnsi="Cambria Math"/>
                                <w:sz w:val="20"/>
                              </w:rPr>
                              <m:t>i</m:t>
                            </m:r>
                          </m:sub>
                        </m:sSub>
                      </m:den>
                    </m:f>
                  </m:e>
                </m:nary>
              </m:oMath>
            </m:oMathPara>
          </w:p>
        </w:tc>
        <w:tc>
          <w:tcPr>
            <w:tcW w:w="727" w:type="dxa"/>
            <w:vAlign w:val="center"/>
          </w:tcPr>
          <w:p w14:paraId="7C1F7A12" w14:textId="4558FA5A" w:rsidR="00CE144F" w:rsidRDefault="00BA6517" w:rsidP="00BA6517">
            <w:pPr>
              <w:pStyle w:val="PlainText"/>
              <w:jc w:val="right"/>
              <w:rPr>
                <w:sz w:val="20"/>
              </w:rPr>
            </w:pPr>
            <w:r>
              <w:rPr>
                <w:sz w:val="20"/>
              </w:rPr>
              <w:t>(7)</w:t>
            </w:r>
          </w:p>
        </w:tc>
      </w:tr>
    </w:tbl>
    <w:p w14:paraId="1EA29470" w14:textId="7435E18A" w:rsidR="002D319B" w:rsidRPr="002D319B" w:rsidRDefault="002D319B" w:rsidP="002D319B">
      <w:pPr>
        <w:pStyle w:val="PlainText"/>
        <w:rPr>
          <w:sz w:val="20"/>
        </w:rPr>
      </w:pPr>
    </w:p>
    <w:p w14:paraId="5E254AF1" w14:textId="77777777" w:rsidR="002D319B" w:rsidRPr="002D319B" w:rsidRDefault="002D319B" w:rsidP="005D6537">
      <w:pPr>
        <w:pStyle w:val="PlainText"/>
        <w:numPr>
          <w:ilvl w:val="0"/>
          <w:numId w:val="4"/>
        </w:numPr>
        <w:ind w:left="426" w:hanging="284"/>
        <w:rPr>
          <w:sz w:val="20"/>
        </w:rPr>
      </w:pPr>
      <w:r w:rsidRPr="002D319B">
        <w:rPr>
          <w:b/>
          <w:bCs/>
          <w:sz w:val="20"/>
        </w:rPr>
        <w:t>Waiting Time:</w:t>
      </w:r>
      <w:r w:rsidRPr="002D319B">
        <w:rPr>
          <w:sz w:val="20"/>
        </w:rPr>
        <w:t xml:space="preserve"> The average waiting time for EVs across districts: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86"/>
      </w:tblGrid>
      <w:tr w:rsidR="00BA6517" w14:paraId="7C3CCFFF" w14:textId="77777777" w:rsidTr="00BA6517">
        <w:tc>
          <w:tcPr>
            <w:tcW w:w="3964" w:type="dxa"/>
          </w:tcPr>
          <w:p w14:paraId="09E8C5CB" w14:textId="64C4884A" w:rsidR="00BA6517" w:rsidRPr="00BA6517" w:rsidRDefault="00BA6517" w:rsidP="00BA6517">
            <w:pPr>
              <w:pStyle w:val="PlainText"/>
              <w:jc w:val="right"/>
              <w:rPr>
                <w:sz w:val="20"/>
              </w:rPr>
            </w:pPr>
            <m:oMathPara>
              <m:oMathParaPr>
                <m:jc m:val="center"/>
              </m:oMathParaPr>
              <m:oMath>
                <m:r>
                  <w:rPr>
                    <w:rFonts w:ascii="Cambria Math" w:hAnsi="Cambria Math"/>
                    <w:sz w:val="20"/>
                  </w:rPr>
                  <m:t>WT</m:t>
                </m:r>
                <m:r>
                  <m:rPr>
                    <m:sty m:val="p"/>
                  </m:rPr>
                  <w:rPr>
                    <w:rFonts w:ascii="Cambria Math" w:hAnsi="Cambria Math"/>
                    <w:sz w:val="20"/>
                  </w:rPr>
                  <m:t>(</m:t>
                </m:r>
                <m:r>
                  <w:rPr>
                    <w:rFonts w:ascii="Cambria Math" w:hAnsi="Cambria Math"/>
                    <w:sz w:val="20"/>
                  </w:rPr>
                  <m:t>t</m:t>
                </m:r>
                <m:r>
                  <m:rPr>
                    <m:sty m:val="p"/>
                  </m:rPr>
                  <w:rPr>
                    <w:rFonts w:ascii="Cambria Math" w:hAnsi="Cambria Math"/>
                    <w:sz w:val="20"/>
                  </w:rPr>
                  <m:t>)=</m:t>
                </m:r>
                <m:f>
                  <m:fPr>
                    <m:ctrlPr>
                      <w:rPr>
                        <w:rFonts w:ascii="Cambria Math" w:hAnsi="Cambria Math"/>
                        <w:sz w:val="20"/>
                      </w:rPr>
                    </m:ctrlPr>
                  </m:fPr>
                  <m:num>
                    <m:r>
                      <w:rPr>
                        <w:rFonts w:ascii="Cambria Math" w:hAnsi="Cambria Math"/>
                        <w:sz w:val="20"/>
                      </w:rPr>
                      <m:t>1</m:t>
                    </m:r>
                  </m:num>
                  <m:den>
                    <m:r>
                      <w:rPr>
                        <w:rFonts w:ascii="Cambria Math" w:hAnsi="Cambria Math"/>
                        <w:sz w:val="20"/>
                      </w:rPr>
                      <m:t>N</m:t>
                    </m:r>
                  </m:den>
                </m:f>
                <m:nary>
                  <m:naryPr>
                    <m:chr m:val="∑"/>
                    <m:limLoc m:val="undOvr"/>
                    <m:ctrlPr>
                      <w:rPr>
                        <w:rFonts w:ascii="Cambria Math" w:hAnsi="Cambria Math"/>
                        <w:sz w:val="20"/>
                      </w:rPr>
                    </m:ctrlPr>
                  </m:naryPr>
                  <m:sub>
                    <m:r>
                      <w:rPr>
                        <w:rFonts w:ascii="Cambria Math" w:hAnsi="Cambria Math"/>
                        <w:sz w:val="20"/>
                      </w:rPr>
                      <m:t>i</m:t>
                    </m:r>
                    <m:r>
                      <m:rPr>
                        <m:sty m:val="p"/>
                      </m:rPr>
                      <w:rPr>
                        <w:rFonts w:ascii="Cambria Math" w:hAnsi="Cambria Math"/>
                        <w:sz w:val="20"/>
                      </w:rPr>
                      <m:t>=</m:t>
                    </m:r>
                    <m:r>
                      <w:rPr>
                        <w:rFonts w:ascii="Cambria Math" w:hAnsi="Cambria Math"/>
                        <w:sz w:val="20"/>
                      </w:rPr>
                      <m:t>1</m:t>
                    </m:r>
                  </m:sub>
                  <m:sup>
                    <m:r>
                      <w:rPr>
                        <w:rFonts w:ascii="Cambria Math" w:hAnsi="Cambria Math"/>
                        <w:sz w:val="20"/>
                      </w:rPr>
                      <m:t>N</m:t>
                    </m:r>
                  </m:sup>
                  <m:e>
                    <m:sSub>
                      <m:sSubPr>
                        <m:ctrlPr>
                          <w:rPr>
                            <w:rFonts w:ascii="Cambria Math" w:hAnsi="Cambria Math"/>
                            <w:sz w:val="20"/>
                          </w:rPr>
                        </m:ctrlPr>
                      </m:sSubPr>
                      <m:e>
                        <m:r>
                          <w:rPr>
                            <w:rFonts w:ascii="Cambria Math" w:hAnsi="Cambria Math"/>
                            <w:sz w:val="20"/>
                          </w:rPr>
                          <m:t>w</m:t>
                        </m:r>
                      </m:e>
                      <m:sub>
                        <m:r>
                          <w:rPr>
                            <w:rFonts w:ascii="Cambria Math" w:hAnsi="Cambria Math"/>
                            <w:sz w:val="20"/>
                          </w:rPr>
                          <m:t>i</m:t>
                        </m:r>
                      </m:sub>
                    </m:sSub>
                  </m:e>
                </m:nary>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m:oMathPara>
          </w:p>
        </w:tc>
        <w:tc>
          <w:tcPr>
            <w:tcW w:w="586" w:type="dxa"/>
            <w:vAlign w:val="center"/>
          </w:tcPr>
          <w:p w14:paraId="41F8AE20" w14:textId="711D9B4D" w:rsidR="00BA6517" w:rsidRDefault="00BA6517" w:rsidP="00BA6517">
            <w:pPr>
              <w:pStyle w:val="PlainText"/>
              <w:jc w:val="right"/>
              <w:rPr>
                <w:sz w:val="20"/>
              </w:rPr>
            </w:pPr>
            <w:r>
              <w:rPr>
                <w:sz w:val="20"/>
              </w:rPr>
              <w:t>(8)</w:t>
            </w:r>
          </w:p>
        </w:tc>
      </w:tr>
    </w:tbl>
    <w:p w14:paraId="57B8EE55" w14:textId="56680578" w:rsidR="002D319B" w:rsidRPr="002D319B" w:rsidRDefault="002D319B" w:rsidP="002D319B">
      <w:pPr>
        <w:pStyle w:val="PlainText"/>
        <w:rPr>
          <w:sz w:val="20"/>
        </w:rPr>
      </w:pPr>
    </w:p>
    <w:p w14:paraId="6C9C0EE3" w14:textId="630C1BDE" w:rsidR="002D319B" w:rsidRPr="005D3F75" w:rsidRDefault="002D319B" w:rsidP="005D3F75">
      <w:pPr>
        <w:pStyle w:val="PlainText"/>
        <w:ind w:left="426"/>
        <w:rPr>
          <w:sz w:val="20"/>
        </w:rPr>
      </w:pPr>
      <w:r w:rsidRPr="005D3F75">
        <w:rPr>
          <w:sz w:val="20"/>
        </w:rPr>
        <w:t xml:space="preserve">where </w:t>
      </w:r>
      <m:oMath>
        <m:sSub>
          <m:sSubPr>
            <m:ctrlPr>
              <w:rPr>
                <w:rFonts w:ascii="Cambria Math" w:hAnsi="Cambria Math"/>
                <w:sz w:val="20"/>
              </w:rPr>
            </m:ctrlPr>
          </m:sSubPr>
          <m:e>
            <m:r>
              <w:rPr>
                <w:rFonts w:ascii="Cambria Math" w:hAnsi="Cambria Math"/>
                <w:sz w:val="20"/>
              </w:rPr>
              <m:t>w</m:t>
            </m:r>
          </m:e>
          <m:sub>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5D3F75">
        <w:rPr>
          <w:sz w:val="20"/>
        </w:rPr>
        <w:t xml:space="preserve"> is the average waiting time for an EV in district </w:t>
      </w:r>
      <m:oMath>
        <m:r>
          <w:rPr>
            <w:rFonts w:ascii="Cambria Math" w:hAnsi="Cambria Math"/>
            <w:sz w:val="20"/>
          </w:rPr>
          <m:t>i</m:t>
        </m:r>
      </m:oMath>
      <w:r w:rsidRPr="005D3F75">
        <w:rPr>
          <w:sz w:val="20"/>
        </w:rPr>
        <w:t>.</w:t>
      </w:r>
    </w:p>
    <w:p w14:paraId="39F41CC4" w14:textId="7C52D378" w:rsidR="002D319B" w:rsidRPr="002D319B" w:rsidRDefault="002D319B" w:rsidP="005D6537">
      <w:pPr>
        <w:pStyle w:val="PlainText"/>
        <w:numPr>
          <w:ilvl w:val="0"/>
          <w:numId w:val="4"/>
        </w:numPr>
        <w:ind w:left="426" w:hanging="284"/>
        <w:rPr>
          <w:sz w:val="20"/>
        </w:rPr>
      </w:pPr>
      <w:r w:rsidRPr="002D319B">
        <w:rPr>
          <w:b/>
          <w:bCs/>
          <w:sz w:val="20"/>
        </w:rPr>
        <w:t>Grid Stability:</w:t>
      </w:r>
      <w:r w:rsidRPr="002D319B">
        <w:rPr>
          <w:sz w:val="20"/>
        </w:rPr>
        <w:t xml:space="preserve"> We measure grid stability through two components:</w:t>
      </w:r>
    </w:p>
    <w:p w14:paraId="6500603F" w14:textId="77777777" w:rsidR="002D319B" w:rsidRPr="002D319B" w:rsidRDefault="002D319B" w:rsidP="002D319B">
      <w:pPr>
        <w:pStyle w:val="PlainText"/>
        <w:numPr>
          <w:ilvl w:val="0"/>
          <w:numId w:val="3"/>
        </w:numPr>
        <w:rPr>
          <w:sz w:val="20"/>
        </w:rPr>
      </w:pPr>
      <w:r w:rsidRPr="002D319B">
        <w:rPr>
          <w:sz w:val="20"/>
        </w:rPr>
        <w:t>(1) Voltage stability based on loading: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869"/>
      </w:tblGrid>
      <w:tr w:rsidR="00BA6517" w14:paraId="7565B10E" w14:textId="77777777" w:rsidTr="00BA6517">
        <w:tc>
          <w:tcPr>
            <w:tcW w:w="3681" w:type="dxa"/>
          </w:tcPr>
          <w:p w14:paraId="059F8B63" w14:textId="5E0A2798" w:rsidR="00BA6517" w:rsidRDefault="00BA6517" w:rsidP="00BA6517">
            <w:pPr>
              <w:pStyle w:val="PlainText"/>
              <w:jc w:val="right"/>
              <w:rPr>
                <w:sz w:val="20"/>
              </w:rPr>
            </w:pPr>
            <m:oMathPara>
              <m:oMath>
                <m:r>
                  <w:rPr>
                    <w:rFonts w:ascii="Cambria Math" w:hAnsi="Cambria Math"/>
                    <w:sz w:val="20"/>
                  </w:rPr>
                  <m:t>VS</m:t>
                </m:r>
                <m:r>
                  <m:rPr>
                    <m:sty m:val="p"/>
                  </m:rPr>
                  <w:rPr>
                    <w:rFonts w:ascii="Cambria Math" w:hAnsi="Cambria Math"/>
                    <w:sz w:val="20"/>
                  </w:rPr>
                  <m:t>(</m:t>
                </m:r>
                <m:r>
                  <w:rPr>
                    <w:rFonts w:ascii="Cambria Math" w:hAnsi="Cambria Math"/>
                    <w:sz w:val="20"/>
                  </w:rPr>
                  <m:t>t</m:t>
                </m:r>
                <m:r>
                  <m:rPr>
                    <m:sty m:val="p"/>
                  </m:rPr>
                  <w:rPr>
                    <w:rFonts w:ascii="Cambria Math" w:hAnsi="Cambria Math"/>
                    <w:sz w:val="20"/>
                  </w:rPr>
                  <m:t>)=</m:t>
                </m:r>
                <m:r>
                  <w:rPr>
                    <w:rFonts w:ascii="Cambria Math" w:hAnsi="Cambria Math"/>
                    <w:sz w:val="20"/>
                  </w:rPr>
                  <m:t>1</m:t>
                </m:r>
                <m:r>
                  <m:rPr>
                    <m:sty m:val="p"/>
                  </m:rPr>
                  <w:rPr>
                    <w:rFonts w:ascii="Cambria Math" w:hAnsi="Cambria Math"/>
                    <w:sz w:val="20"/>
                  </w:rPr>
                  <m:t>-</m:t>
                </m:r>
                <m:f>
                  <m:fPr>
                    <m:ctrlPr>
                      <w:rPr>
                        <w:rFonts w:ascii="Cambria Math" w:hAnsi="Cambria Math"/>
                        <w:sz w:val="20"/>
                      </w:rPr>
                    </m:ctrlPr>
                  </m:fPr>
                  <m:num>
                    <m:r>
                      <w:rPr>
                        <w:rFonts w:ascii="Cambria Math" w:hAnsi="Cambria Math"/>
                        <w:sz w:val="20"/>
                      </w:rPr>
                      <m:t>L</m:t>
                    </m:r>
                    <m:r>
                      <m:rPr>
                        <m:sty m:val="p"/>
                      </m:rPr>
                      <w:rPr>
                        <w:rFonts w:ascii="Cambria Math" w:hAnsi="Cambria Math"/>
                        <w:sz w:val="20"/>
                      </w:rPr>
                      <m:t>(</m:t>
                    </m:r>
                    <m:r>
                      <w:rPr>
                        <w:rFonts w:ascii="Cambria Math" w:hAnsi="Cambria Math"/>
                        <w:sz w:val="20"/>
                      </w:rPr>
                      <m:t>t</m:t>
                    </m:r>
                    <m:r>
                      <m:rPr>
                        <m:sty m:val="p"/>
                      </m:rPr>
                      <w:rPr>
                        <w:rFonts w:ascii="Cambria Math" w:hAnsi="Cambria Math"/>
                        <w:sz w:val="20"/>
                      </w:rPr>
                      <m:t>)</m:t>
                    </m:r>
                  </m:num>
                  <m:den>
                    <m:sSub>
                      <m:sSubPr>
                        <m:ctrlPr>
                          <w:rPr>
                            <w:rFonts w:ascii="Cambria Math" w:hAnsi="Cambria Math"/>
                            <w:sz w:val="20"/>
                          </w:rPr>
                        </m:ctrlPr>
                      </m:sSubPr>
                      <m:e>
                        <m:r>
                          <w:rPr>
                            <w:rFonts w:ascii="Cambria Math" w:hAnsi="Cambria Math"/>
                            <w:sz w:val="20"/>
                          </w:rPr>
                          <m:t>C</m:t>
                        </m:r>
                      </m:e>
                      <m:sub>
                        <m:r>
                          <w:rPr>
                            <w:rFonts w:ascii="Cambria Math" w:hAnsi="Cambria Math"/>
                            <w:sz w:val="20"/>
                          </w:rPr>
                          <m:t>g</m:t>
                        </m:r>
                      </m:sub>
                    </m:sSub>
                  </m:den>
                </m:f>
              </m:oMath>
            </m:oMathPara>
          </w:p>
        </w:tc>
        <w:tc>
          <w:tcPr>
            <w:tcW w:w="869" w:type="dxa"/>
            <w:vAlign w:val="center"/>
          </w:tcPr>
          <w:p w14:paraId="54B31627" w14:textId="617ABF98" w:rsidR="00BA6517" w:rsidRDefault="00BA6517" w:rsidP="00BA6517">
            <w:pPr>
              <w:pStyle w:val="PlainText"/>
              <w:jc w:val="right"/>
              <w:rPr>
                <w:sz w:val="20"/>
              </w:rPr>
            </w:pPr>
            <w:r>
              <w:rPr>
                <w:sz w:val="20"/>
              </w:rPr>
              <w:t>(9)</w:t>
            </w:r>
          </w:p>
        </w:tc>
      </w:tr>
    </w:tbl>
    <w:p w14:paraId="5A7930F2" w14:textId="71B4BD29" w:rsidR="002D319B" w:rsidRPr="002D319B" w:rsidRDefault="002D319B" w:rsidP="002D319B">
      <w:pPr>
        <w:pStyle w:val="PlainText"/>
        <w:rPr>
          <w:sz w:val="20"/>
        </w:rPr>
      </w:pPr>
    </w:p>
    <w:p w14:paraId="76578881" w14:textId="20209365" w:rsidR="002D319B" w:rsidRPr="002D319B" w:rsidRDefault="002D319B" w:rsidP="00BA6517">
      <w:pPr>
        <w:pStyle w:val="PlainText"/>
        <w:ind w:left="720"/>
        <w:rPr>
          <w:sz w:val="20"/>
        </w:rPr>
      </w:pPr>
      <w:r w:rsidRPr="002D319B">
        <w:rPr>
          <w:sz w:val="20"/>
        </w:rPr>
        <w:t xml:space="preserve">where </w:t>
      </w:r>
      <m:oMath>
        <m:r>
          <w:rPr>
            <w:rFonts w:ascii="Cambria Math" w:hAnsi="Cambria Math"/>
            <w:sz w:val="20"/>
          </w:rPr>
          <m:t>L</m:t>
        </m:r>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2D319B">
        <w:rPr>
          <w:sz w:val="20"/>
        </w:rPr>
        <w:t xml:space="preserve"> is the total load from all active chargers and </w:t>
      </w:r>
      <m:oMath>
        <m:sSub>
          <m:sSubPr>
            <m:ctrlPr>
              <w:rPr>
                <w:rFonts w:ascii="Cambria Math" w:hAnsi="Cambria Math"/>
                <w:sz w:val="20"/>
              </w:rPr>
            </m:ctrlPr>
          </m:sSubPr>
          <m:e>
            <m:r>
              <w:rPr>
                <w:rFonts w:ascii="Cambria Math" w:hAnsi="Cambria Math"/>
                <w:sz w:val="20"/>
              </w:rPr>
              <m:t>C</m:t>
            </m:r>
          </m:e>
          <m:sub>
            <m:r>
              <w:rPr>
                <w:rFonts w:ascii="Cambria Math" w:hAnsi="Cambria Math"/>
                <w:sz w:val="20"/>
              </w:rPr>
              <m:t>g</m:t>
            </m:r>
          </m:sub>
        </m:sSub>
      </m:oMath>
      <w:r w:rsidRPr="002D319B">
        <w:rPr>
          <w:sz w:val="20"/>
        </w:rPr>
        <w:t xml:space="preserve"> is the grid’s capacity threshold.</w:t>
      </w:r>
    </w:p>
    <w:p w14:paraId="171CBFD7" w14:textId="77777777" w:rsidR="002D319B" w:rsidRPr="002D319B" w:rsidRDefault="002D319B" w:rsidP="002D319B">
      <w:pPr>
        <w:pStyle w:val="PlainText"/>
        <w:numPr>
          <w:ilvl w:val="0"/>
          <w:numId w:val="3"/>
        </w:numPr>
        <w:rPr>
          <w:sz w:val="20"/>
        </w:rPr>
      </w:pPr>
      <w:r w:rsidRPr="002D319B">
        <w:rPr>
          <w:sz w:val="20"/>
        </w:rPr>
        <w:t>(2) Normalized voltage deviation: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86"/>
      </w:tblGrid>
      <w:tr w:rsidR="00BA6517" w14:paraId="7BB18EE9" w14:textId="77777777" w:rsidTr="00BA6517">
        <w:tc>
          <w:tcPr>
            <w:tcW w:w="3964" w:type="dxa"/>
          </w:tcPr>
          <w:p w14:paraId="253E70EA" w14:textId="22D29AF8" w:rsidR="00BA6517" w:rsidRDefault="00000000" w:rsidP="002D319B">
            <w:pPr>
              <w:pStyle w:val="PlainText"/>
              <w:rPr>
                <w:sz w:val="20"/>
              </w:rPr>
            </w:pPr>
            <m:oMathPara>
              <m:oMath>
                <m:sSub>
                  <m:sSubPr>
                    <m:ctrlPr>
                      <w:rPr>
                        <w:rFonts w:ascii="Cambria Math" w:hAnsi="Cambria Math"/>
                        <w:sz w:val="20"/>
                      </w:rPr>
                    </m:ctrlPr>
                  </m:sSubPr>
                  <m:e>
                    <m:r>
                      <m:rPr>
                        <m:nor/>
                      </m:rPr>
                      <w:rPr>
                        <w:sz w:val="20"/>
                      </w:rPr>
                      <m:t>NVD</m:t>
                    </m:r>
                  </m:e>
                  <m:sub>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f>
                  <m:fPr>
                    <m:ctrlPr>
                      <w:rPr>
                        <w:rFonts w:ascii="Cambria Math" w:hAnsi="Cambria Math"/>
                        <w:sz w:val="20"/>
                      </w:rPr>
                    </m:ctrlPr>
                  </m:fPr>
                  <m:num>
                    <m:r>
                      <m:rPr>
                        <m:sty m:val="p"/>
                      </m:rPr>
                      <w:rPr>
                        <w:rFonts w:ascii="Cambria Math" w:hAnsi="Cambria Math"/>
                        <w:sz w:val="20"/>
                      </w:rPr>
                      <m:t>||</m:t>
                    </m:r>
                    <m:sSubSup>
                      <m:sSubSupPr>
                        <m:ctrlPr>
                          <w:rPr>
                            <w:rFonts w:ascii="Cambria Math" w:hAnsi="Cambria Math"/>
                            <w:sz w:val="20"/>
                          </w:rPr>
                        </m:ctrlPr>
                      </m:sSubSupPr>
                      <m:e>
                        <m:r>
                          <w:rPr>
                            <w:rFonts w:ascii="Cambria Math" w:hAnsi="Cambria Math"/>
                            <w:sz w:val="20"/>
                          </w:rPr>
                          <m:t>V</m:t>
                        </m:r>
                      </m:e>
                      <m:sub>
                        <m:r>
                          <w:rPr>
                            <w:rFonts w:ascii="Cambria Math" w:hAnsi="Cambria Math"/>
                            <w:sz w:val="20"/>
                          </w:rPr>
                          <m:t>i</m:t>
                        </m:r>
                      </m:sub>
                      <m:sup>
                        <m:r>
                          <w:rPr>
                            <w:rFonts w:ascii="Cambria Math" w:hAnsi="Cambria Math"/>
                            <w:sz w:val="20"/>
                          </w:rPr>
                          <m:t>t</m:t>
                        </m:r>
                      </m:sup>
                    </m:sSubSup>
                    <m:r>
                      <m:rPr>
                        <m:sty m:val="p"/>
                      </m:rPr>
                      <w:rPr>
                        <w:rFonts w:ascii="Cambria Math" w:hAnsi="Cambria Math"/>
                        <w:sz w:val="20"/>
                      </w:rPr>
                      <m:t>|-|</m:t>
                    </m:r>
                    <m:sSub>
                      <m:sSubPr>
                        <m:ctrlPr>
                          <w:rPr>
                            <w:rFonts w:ascii="Cambria Math" w:hAnsi="Cambria Math"/>
                            <w:sz w:val="20"/>
                          </w:rPr>
                        </m:ctrlPr>
                      </m:sSubPr>
                      <m:e>
                        <m:r>
                          <w:rPr>
                            <w:rFonts w:ascii="Cambria Math" w:hAnsi="Cambria Math"/>
                            <w:sz w:val="20"/>
                          </w:rPr>
                          <m:t>V</m:t>
                        </m:r>
                      </m:e>
                      <m:sub>
                        <m:r>
                          <w:rPr>
                            <w:rFonts w:ascii="Cambria Math" w:hAnsi="Cambria Math"/>
                            <w:sz w:val="20"/>
                          </w:rPr>
                          <m:t>i</m:t>
                        </m:r>
                      </m:sub>
                    </m:sSub>
                    <m:r>
                      <m:rPr>
                        <m:sty m:val="p"/>
                      </m:rPr>
                      <w:rPr>
                        <w:rFonts w:ascii="Cambria Math" w:hAnsi="Cambria Math"/>
                        <w:sz w:val="20"/>
                      </w:rPr>
                      <m:t>||</m:t>
                    </m:r>
                  </m:num>
                  <m:den>
                    <m:r>
                      <m:rPr>
                        <m:sty m:val="p"/>
                      </m:rPr>
                      <w:rPr>
                        <w:rFonts w:ascii="Cambria Math" w:hAnsi="Cambria Math"/>
                        <w:sz w:val="20"/>
                      </w:rPr>
                      <m:t>|</m:t>
                    </m:r>
                    <m:sSub>
                      <m:sSubPr>
                        <m:ctrlPr>
                          <w:rPr>
                            <w:rFonts w:ascii="Cambria Math" w:hAnsi="Cambria Math"/>
                            <w:sz w:val="20"/>
                          </w:rPr>
                        </m:ctrlPr>
                      </m:sSubPr>
                      <m:e>
                        <m:r>
                          <w:rPr>
                            <w:rFonts w:ascii="Cambria Math" w:hAnsi="Cambria Math"/>
                            <w:sz w:val="20"/>
                          </w:rPr>
                          <m:t>V</m:t>
                        </m:r>
                      </m:e>
                      <m:sub>
                        <m:r>
                          <w:rPr>
                            <w:rFonts w:ascii="Cambria Math" w:hAnsi="Cambria Math"/>
                            <w:sz w:val="20"/>
                          </w:rPr>
                          <m:t>i</m:t>
                        </m:r>
                      </m:sub>
                    </m:sSub>
                    <m:r>
                      <m:rPr>
                        <m:sty m:val="p"/>
                      </m:rPr>
                      <w:rPr>
                        <w:rFonts w:ascii="Cambria Math" w:hAnsi="Cambria Math"/>
                        <w:sz w:val="20"/>
                      </w:rPr>
                      <m:t>|</m:t>
                    </m:r>
                  </m:den>
                </m:f>
              </m:oMath>
            </m:oMathPara>
          </w:p>
        </w:tc>
        <w:tc>
          <w:tcPr>
            <w:tcW w:w="586" w:type="dxa"/>
            <w:vAlign w:val="center"/>
          </w:tcPr>
          <w:p w14:paraId="677E8497" w14:textId="11C4DB82" w:rsidR="00BA6517" w:rsidRDefault="00BA6517" w:rsidP="00BA6517">
            <w:pPr>
              <w:pStyle w:val="PlainText"/>
              <w:jc w:val="right"/>
              <w:rPr>
                <w:sz w:val="20"/>
              </w:rPr>
            </w:pPr>
            <w:r>
              <w:rPr>
                <w:sz w:val="20"/>
              </w:rPr>
              <w:t>(10)</w:t>
            </w:r>
          </w:p>
        </w:tc>
      </w:tr>
    </w:tbl>
    <w:p w14:paraId="61FFC684" w14:textId="77777777" w:rsidR="0062637C" w:rsidRPr="002D319B" w:rsidRDefault="0062637C" w:rsidP="002D319B">
      <w:pPr>
        <w:pStyle w:val="PlainText"/>
        <w:rPr>
          <w:sz w:val="20"/>
        </w:rPr>
      </w:pPr>
    </w:p>
    <w:p w14:paraId="07D6DA2E" w14:textId="77777777" w:rsidR="002D319B" w:rsidRPr="002D319B" w:rsidRDefault="002D319B" w:rsidP="002D319B">
      <w:pPr>
        <w:pStyle w:val="PlainText"/>
        <w:numPr>
          <w:ilvl w:val="0"/>
          <w:numId w:val="3"/>
        </w:numPr>
        <w:rPr>
          <w:sz w:val="20"/>
        </w:rPr>
      </w:pPr>
      <w:r w:rsidRPr="002D319B">
        <w:rPr>
          <w:sz w:val="20"/>
        </w:rPr>
        <w:t xml:space="preserve">with accepted NVD range between 0–0.03 with 1 </w:t>
      </w:r>
      <w:proofErr w:type="spellStart"/>
      <w:r w:rsidRPr="002D319B">
        <w:rPr>
          <w:sz w:val="20"/>
        </w:rPr>
        <w:t>p.u</w:t>
      </w:r>
      <w:proofErr w:type="spellEnd"/>
      <w:r w:rsidRPr="002D319B">
        <w:rPr>
          <w:sz w:val="20"/>
        </w:rPr>
        <w:t>. as the minimum voltage magnitude. The combined grid stability metric is:</w:t>
      </w:r>
    </w:p>
    <w:p w14:paraId="587CCC6F" w14:textId="06578278" w:rsidR="002D319B" w:rsidRPr="002D319B" w:rsidRDefault="00D935B6" w:rsidP="002A3B5D">
      <w:pPr>
        <w:pStyle w:val="PlainText"/>
        <w:spacing w:before="240"/>
        <w:jc w:val="right"/>
        <w:rPr>
          <w:sz w:val="20"/>
        </w:rPr>
      </w:pPr>
      <m:oMath>
        <m:r>
          <w:rPr>
            <w:rFonts w:ascii="Cambria Math" w:hAnsi="Cambria Math"/>
            <w:sz w:val="20"/>
          </w:rPr>
          <m:t>GS</m:t>
        </m:r>
        <m:d>
          <m:dPr>
            <m:ctrlPr>
              <w:rPr>
                <w:rFonts w:ascii="Cambria Math" w:hAnsi="Cambria Math"/>
                <w:sz w:val="20"/>
              </w:rPr>
            </m:ctrlPr>
          </m:dPr>
          <m:e>
            <m:r>
              <w:rPr>
                <w:rFonts w:ascii="Cambria Math" w:hAnsi="Cambria Math"/>
                <w:sz w:val="20"/>
              </w:rPr>
              <m:t>t</m:t>
            </m:r>
          </m:e>
        </m:d>
        <m:r>
          <m:rPr>
            <m:sty m:val="p"/>
          </m:rPr>
          <w:rPr>
            <w:rFonts w:ascii="Cambria Math" w:hAnsi="Cambria Math"/>
            <w:sz w:val="20"/>
          </w:rPr>
          <m:t>=</m:t>
        </m:r>
        <m:f>
          <m:fPr>
            <m:ctrlPr>
              <w:rPr>
                <w:rFonts w:ascii="Cambria Math" w:hAnsi="Cambria Math"/>
                <w:sz w:val="20"/>
              </w:rPr>
            </m:ctrlPr>
          </m:fPr>
          <m:num>
            <m:r>
              <w:rPr>
                <w:rFonts w:ascii="Cambria Math" w:hAnsi="Cambria Math"/>
                <w:sz w:val="20"/>
              </w:rPr>
              <m:t>1</m:t>
            </m:r>
          </m:num>
          <m:den>
            <m:r>
              <w:rPr>
                <w:rFonts w:ascii="Cambria Math" w:hAnsi="Cambria Math"/>
                <w:sz w:val="20"/>
              </w:rPr>
              <m:t>2</m:t>
            </m:r>
          </m:den>
        </m:f>
        <m:d>
          <m:dPr>
            <m:ctrlPr>
              <w:rPr>
                <w:rFonts w:ascii="Cambria Math" w:hAnsi="Cambria Math"/>
                <w:sz w:val="20"/>
              </w:rPr>
            </m:ctrlPr>
          </m:dPr>
          <m:e>
            <m:r>
              <w:rPr>
                <w:rFonts w:ascii="Cambria Math" w:hAnsi="Cambria Math"/>
                <w:sz w:val="20"/>
              </w:rPr>
              <m:t>VS</m:t>
            </m:r>
            <m:d>
              <m:dPr>
                <m:ctrlPr>
                  <w:rPr>
                    <w:rFonts w:ascii="Cambria Math" w:hAnsi="Cambria Math"/>
                    <w:sz w:val="20"/>
                  </w:rPr>
                </m:ctrlPr>
              </m:dPr>
              <m:e>
                <m:r>
                  <w:rPr>
                    <w:rFonts w:ascii="Cambria Math" w:hAnsi="Cambria Math"/>
                    <w:sz w:val="20"/>
                  </w:rPr>
                  <m:t>t</m:t>
                </m:r>
              </m:e>
            </m:d>
            <m:r>
              <m:rPr>
                <m:sty m:val="p"/>
              </m:rPr>
              <w:rPr>
                <w:rFonts w:ascii="Cambria Math" w:hAnsi="Cambria Math"/>
                <w:sz w:val="20"/>
              </w:rPr>
              <m:t>+</m:t>
            </m:r>
            <m:d>
              <m:dPr>
                <m:ctrlPr>
                  <w:rPr>
                    <w:rFonts w:ascii="Cambria Math" w:hAnsi="Cambria Math"/>
                    <w:sz w:val="20"/>
                  </w:rPr>
                </m:ctrlPr>
              </m:dPr>
              <m:e>
                <m:r>
                  <w:rPr>
                    <w:rFonts w:ascii="Cambria Math" w:hAnsi="Cambria Math"/>
                    <w:sz w:val="20"/>
                  </w:rPr>
                  <m:t>1</m:t>
                </m:r>
                <m:r>
                  <m:rPr>
                    <m:sty m:val="p"/>
                  </m:rPr>
                  <w:rPr>
                    <w:rFonts w:ascii="Cambria Math" w:hAnsi="Cambria Math"/>
                    <w:sz w:val="20"/>
                  </w:rPr>
                  <m:t>-</m:t>
                </m:r>
                <m:f>
                  <m:fPr>
                    <m:ctrlPr>
                      <w:rPr>
                        <w:rFonts w:ascii="Cambria Math" w:hAnsi="Cambria Math"/>
                        <w:sz w:val="20"/>
                      </w:rPr>
                    </m:ctrlPr>
                  </m:fPr>
                  <m:num>
                    <m:r>
                      <w:rPr>
                        <w:rFonts w:ascii="Cambria Math" w:hAnsi="Cambria Math"/>
                        <w:sz w:val="20"/>
                      </w:rPr>
                      <m:t>1</m:t>
                    </m:r>
                  </m:num>
                  <m:den>
                    <m:r>
                      <w:rPr>
                        <w:rFonts w:ascii="Cambria Math" w:hAnsi="Cambria Math"/>
                        <w:sz w:val="20"/>
                      </w:rPr>
                      <m:t>N</m:t>
                    </m:r>
                  </m:den>
                </m:f>
                <m:nary>
                  <m:naryPr>
                    <m:chr m:val="∑"/>
                    <m:limLoc m:val="undOvr"/>
                    <m:ctrlPr>
                      <w:rPr>
                        <w:rFonts w:ascii="Cambria Math" w:hAnsi="Cambria Math"/>
                        <w:sz w:val="20"/>
                      </w:rPr>
                    </m:ctrlPr>
                  </m:naryPr>
                  <m:sub>
                    <m:r>
                      <w:rPr>
                        <w:rFonts w:ascii="Cambria Math" w:hAnsi="Cambria Math"/>
                        <w:sz w:val="20"/>
                      </w:rPr>
                      <m:t>i</m:t>
                    </m:r>
                    <m:r>
                      <m:rPr>
                        <m:sty m:val="p"/>
                      </m:rPr>
                      <w:rPr>
                        <w:rFonts w:ascii="Cambria Math" w:hAnsi="Cambria Math"/>
                        <w:sz w:val="20"/>
                      </w:rPr>
                      <m:t>=</m:t>
                    </m:r>
                    <m:r>
                      <w:rPr>
                        <w:rFonts w:ascii="Cambria Math" w:hAnsi="Cambria Math"/>
                        <w:sz w:val="20"/>
                      </w:rPr>
                      <m:t>1</m:t>
                    </m:r>
                  </m:sub>
                  <m:sup>
                    <m:r>
                      <w:rPr>
                        <w:rFonts w:ascii="Cambria Math" w:hAnsi="Cambria Math"/>
                        <w:sz w:val="20"/>
                      </w:rPr>
                      <m:t>N</m:t>
                    </m:r>
                  </m:sup>
                  <m:e>
                    <m:sSub>
                      <m:sSubPr>
                        <m:ctrlPr>
                          <w:rPr>
                            <w:rFonts w:ascii="Cambria Math" w:hAnsi="Cambria Math"/>
                            <w:sz w:val="20"/>
                          </w:rPr>
                        </m:ctrlPr>
                      </m:sSubPr>
                      <m:e>
                        <m:r>
                          <m:rPr>
                            <m:nor/>
                          </m:rPr>
                          <w:rPr>
                            <w:sz w:val="20"/>
                          </w:rPr>
                          <m:t>NVD</m:t>
                        </m:r>
                      </m:e>
                      <m:sub>
                        <m:r>
                          <w:rPr>
                            <w:rFonts w:ascii="Cambria Math" w:hAnsi="Cambria Math"/>
                            <w:sz w:val="20"/>
                          </w:rPr>
                          <m:t>i</m:t>
                        </m:r>
                      </m:sub>
                    </m:sSub>
                  </m:e>
                </m:nary>
                <m:d>
                  <m:dPr>
                    <m:ctrlPr>
                      <w:rPr>
                        <w:rFonts w:ascii="Cambria Math" w:hAnsi="Cambria Math"/>
                        <w:sz w:val="20"/>
                      </w:rPr>
                    </m:ctrlPr>
                  </m:dPr>
                  <m:e>
                    <m:r>
                      <w:rPr>
                        <w:rFonts w:ascii="Cambria Math" w:hAnsi="Cambria Math"/>
                        <w:sz w:val="20"/>
                      </w:rPr>
                      <m:t>t</m:t>
                    </m:r>
                  </m:e>
                </m:d>
              </m:e>
            </m:d>
          </m:e>
        </m:d>
        <m:r>
          <w:rPr>
            <w:rFonts w:ascii="Cambria Math" w:hAnsi="Cambria Math"/>
            <w:sz w:val="20"/>
          </w:rPr>
          <m:t xml:space="preserve">          </m:t>
        </m:r>
      </m:oMath>
      <w:r>
        <w:rPr>
          <w:sz w:val="20"/>
        </w:rPr>
        <w:t xml:space="preserve">          </w:t>
      </w:r>
      <w:r w:rsidR="00BA6517">
        <w:rPr>
          <w:sz w:val="20"/>
        </w:rPr>
        <w:t>(11)</w:t>
      </w:r>
    </w:p>
    <w:p w14:paraId="46BBA13B" w14:textId="77777777" w:rsidR="002D319B" w:rsidRPr="002D319B" w:rsidRDefault="002D319B" w:rsidP="005D6537">
      <w:pPr>
        <w:pStyle w:val="PlainText"/>
        <w:numPr>
          <w:ilvl w:val="0"/>
          <w:numId w:val="4"/>
        </w:numPr>
        <w:ind w:left="426" w:hanging="284"/>
        <w:rPr>
          <w:sz w:val="20"/>
        </w:rPr>
      </w:pPr>
      <w:r w:rsidRPr="002D319B">
        <w:rPr>
          <w:b/>
          <w:bCs/>
          <w:sz w:val="20"/>
        </w:rPr>
        <w:t>Critical SoC Percentage:</w:t>
      </w:r>
      <w:r w:rsidRPr="002D319B">
        <w:rPr>
          <w:sz w:val="20"/>
        </w:rPr>
        <w:t xml:space="preserve"> The proportion of EVs with critically low charge:</w:t>
      </w:r>
    </w:p>
    <w:p w14:paraId="27252548" w14:textId="6053EC9D" w:rsidR="002D319B" w:rsidRPr="000D5D09" w:rsidRDefault="00BA6517" w:rsidP="002A3B5D">
      <w:pPr>
        <w:pStyle w:val="PlainText"/>
        <w:spacing w:before="240"/>
        <w:rPr>
          <w:sz w:val="20"/>
        </w:rPr>
      </w:pPr>
      <w:proofErr w:type="spellStart"/>
      <m:oMathPara>
        <m:oMathParaPr>
          <m:jc m:val="center"/>
        </m:oMathParaPr>
        <m:oMath>
          <m:r>
            <m:rPr>
              <m:nor/>
            </m:rPr>
            <w:rPr>
              <w:sz w:val="20"/>
            </w:rPr>
            <m:t>CritSoC</m:t>
          </m:r>
          <w:proofErr w:type="spellEnd"/>
          <m:d>
            <m:dPr>
              <m:ctrlPr>
                <w:rPr>
                  <w:rFonts w:ascii="Cambria Math" w:hAnsi="Cambria Math"/>
                  <w:sz w:val="20"/>
                </w:rPr>
              </m:ctrlPr>
            </m:dPr>
            <m:e>
              <m:r>
                <w:rPr>
                  <w:rFonts w:ascii="Cambria Math" w:hAnsi="Cambria Math"/>
                  <w:sz w:val="20"/>
                </w:rPr>
                <m:t>t</m:t>
              </m:r>
            </m:e>
          </m:d>
          <m:r>
            <m:rPr>
              <m:sty m:val="p"/>
            </m:rPr>
            <w:rPr>
              <w:rFonts w:ascii="Cambria Math" w:hAnsi="Cambria Math"/>
              <w:sz w:val="20"/>
            </w:rPr>
            <m:t>=</m:t>
          </m:r>
          <m:f>
            <m:fPr>
              <m:ctrlPr>
                <w:rPr>
                  <w:rFonts w:ascii="Cambria Math" w:hAnsi="Cambria Math"/>
                  <w:sz w:val="20"/>
                </w:rPr>
              </m:ctrlPr>
            </m:fPr>
            <m:num>
              <m:r>
                <m:rPr>
                  <m:nor/>
                </m:rPr>
                <w:rPr>
                  <w:sz w:val="20"/>
                </w:rPr>
                <m:t>Number of EVs with SoC</m:t>
              </m:r>
              <m:r>
                <m:rPr>
                  <m:sty m:val="p"/>
                </m:rPr>
                <w:rPr>
                  <w:rFonts w:ascii="Cambria Math" w:hAnsi="Cambria Math"/>
                  <w:sz w:val="20"/>
                </w:rPr>
                <m:t>&lt;</m:t>
              </m:r>
              <m:r>
                <w:rPr>
                  <w:rFonts w:ascii="Cambria Math" w:hAnsi="Cambria Math"/>
                  <w:sz w:val="20"/>
                </w:rPr>
                <m:t>5</m:t>
              </m:r>
              <m:r>
                <m:rPr>
                  <m:sty m:val="p"/>
                </m:rPr>
                <w:rPr>
                  <w:rFonts w:ascii="Cambria Math" w:hAnsi="Cambria Math"/>
                  <w:sz w:val="20"/>
                </w:rPr>
                <m:t>%</m:t>
              </m:r>
            </m:num>
            <m:den>
              <m:sSub>
                <m:sSubPr>
                  <m:ctrlPr>
                    <w:rPr>
                      <w:rFonts w:ascii="Cambria Math" w:hAnsi="Cambria Math"/>
                      <w:sz w:val="20"/>
                    </w:rPr>
                  </m:ctrlPr>
                </m:sSubPr>
                <m:e>
                  <m:r>
                    <w:rPr>
                      <w:rFonts w:ascii="Cambria Math" w:hAnsi="Cambria Math"/>
                      <w:sz w:val="20"/>
                    </w:rPr>
                    <m:t>N</m:t>
                  </m:r>
                </m:e>
                <m:sub>
                  <m:r>
                    <m:rPr>
                      <m:nor/>
                    </m:rPr>
                    <w:rPr>
                      <w:sz w:val="20"/>
                    </w:rPr>
                    <m:t>EV</m:t>
                  </m:r>
                </m:sub>
              </m:sSub>
            </m:den>
          </m:f>
        </m:oMath>
      </m:oMathPara>
    </w:p>
    <w:p w14:paraId="00B03E71" w14:textId="0D2AF934" w:rsidR="000D5D09" w:rsidRPr="002D319B" w:rsidRDefault="009D31E9" w:rsidP="009D31E9">
      <w:pPr>
        <w:pStyle w:val="PlainText"/>
        <w:jc w:val="right"/>
        <w:rPr>
          <w:sz w:val="20"/>
        </w:rPr>
      </w:pPr>
      <w:r>
        <w:rPr>
          <w:sz w:val="20"/>
        </w:rPr>
        <w:t>(12)</w:t>
      </w:r>
    </w:p>
    <w:p w14:paraId="5714149F" w14:textId="03EE20E6" w:rsidR="002D319B" w:rsidRPr="002D319B" w:rsidRDefault="002D319B" w:rsidP="002D319B">
      <w:pPr>
        <w:pStyle w:val="PlainText"/>
        <w:numPr>
          <w:ilvl w:val="0"/>
          <w:numId w:val="3"/>
        </w:numPr>
        <w:rPr>
          <w:sz w:val="20"/>
        </w:rPr>
      </w:pPr>
      <w:r w:rsidRPr="002D319B">
        <w:rPr>
          <w:sz w:val="20"/>
        </w:rPr>
        <w:t xml:space="preserve">where </w:t>
      </w:r>
      <m:oMath>
        <m:sSub>
          <m:sSubPr>
            <m:ctrlPr>
              <w:rPr>
                <w:rFonts w:ascii="Cambria Math" w:hAnsi="Cambria Math"/>
                <w:sz w:val="20"/>
              </w:rPr>
            </m:ctrlPr>
          </m:sSubPr>
          <m:e>
            <m:r>
              <w:rPr>
                <w:rFonts w:ascii="Cambria Math" w:hAnsi="Cambria Math"/>
                <w:sz w:val="20"/>
              </w:rPr>
              <m:t>N</m:t>
            </m:r>
          </m:e>
          <m:sub>
            <m:r>
              <m:rPr>
                <m:nor/>
              </m:rPr>
              <w:rPr>
                <w:sz w:val="20"/>
              </w:rPr>
              <m:t>EV</m:t>
            </m:r>
          </m:sub>
        </m:sSub>
      </m:oMath>
      <w:r w:rsidRPr="002D319B">
        <w:rPr>
          <w:sz w:val="20"/>
        </w:rPr>
        <w:t xml:space="preserve"> is the total number of EVs in the system.</w:t>
      </w:r>
    </w:p>
    <w:p w14:paraId="3867ECF5" w14:textId="77777777" w:rsidR="002D319B" w:rsidRPr="002D319B" w:rsidRDefault="002D319B" w:rsidP="009D31E9">
      <w:pPr>
        <w:pStyle w:val="PlainText"/>
        <w:ind w:firstLine="284"/>
        <w:rPr>
          <w:sz w:val="20"/>
        </w:rPr>
      </w:pPr>
      <w:r w:rsidRPr="002D319B">
        <w:rPr>
          <w:sz w:val="20"/>
        </w:rPr>
        <w:t>For evaluation, we define a Recovery Index that aggregates these normalized metrics:</w:t>
      </w:r>
    </w:p>
    <w:p w14:paraId="05FA3AA4" w14:textId="652A5F9E" w:rsidR="002D319B" w:rsidRPr="002D319B" w:rsidRDefault="002D319B" w:rsidP="002A3B5D">
      <w:pPr>
        <w:pStyle w:val="PlainText"/>
        <w:spacing w:before="240" w:after="240"/>
        <w:rPr>
          <w:sz w:val="20"/>
        </w:rPr>
      </w:pPr>
      <m:oMath>
        <m:r>
          <m:rPr>
            <m:nor/>
          </m:rPr>
          <w:rPr>
            <w:sz w:val="20"/>
          </w:rPr>
          <m:t>Recovery</m:t>
        </m:r>
        <m:r>
          <m:rPr>
            <m:sty m:val="p"/>
          </m:rPr>
          <w:rPr>
            <w:rFonts w:ascii="Cambria Math" w:hAnsi="Cambria Math"/>
            <w:sz w:val="20"/>
          </w:rPr>
          <m:t>(</m:t>
        </m:r>
        <m:r>
          <w:rPr>
            <w:rFonts w:ascii="Cambria Math" w:hAnsi="Cambria Math"/>
            <w:sz w:val="20"/>
          </w:rPr>
          <m:t>t</m:t>
        </m:r>
        <m:r>
          <m:rPr>
            <m:sty m:val="p"/>
          </m:rPr>
          <w:rPr>
            <w:rFonts w:ascii="Cambria Math" w:hAnsi="Cambria Math"/>
            <w:sz w:val="20"/>
          </w:rPr>
          <m:t>)=</m:t>
        </m:r>
        <m:acc>
          <m:accPr>
            <m:ctrlPr>
              <w:rPr>
                <w:rFonts w:ascii="Cambria Math" w:hAnsi="Cambria Math"/>
                <w:sz w:val="20"/>
              </w:rPr>
            </m:ctrlPr>
          </m:accPr>
          <m:e>
            <m:r>
              <w:rPr>
                <w:rFonts w:ascii="Cambria Math" w:hAnsi="Cambria Math"/>
                <w:sz w:val="20"/>
              </w:rPr>
              <m:t>U</m:t>
            </m:r>
          </m:e>
        </m:acc>
        <m:r>
          <m:rPr>
            <m:sty m:val="p"/>
          </m:rPr>
          <w:rPr>
            <w:rFonts w:ascii="Cambria Math" w:hAnsi="Cambria Math"/>
            <w:sz w:val="20"/>
          </w:rPr>
          <m:t>(</m:t>
        </m:r>
        <m:r>
          <w:rPr>
            <w:rFonts w:ascii="Cambria Math" w:hAnsi="Cambria Math"/>
            <w:sz w:val="20"/>
          </w:rPr>
          <m:t>t</m:t>
        </m:r>
        <m:r>
          <m:rPr>
            <m:sty m:val="p"/>
          </m:rPr>
          <w:rPr>
            <w:rFonts w:ascii="Cambria Math" w:hAnsi="Cambria Math"/>
            <w:sz w:val="20"/>
          </w:rPr>
          <m:t>)+</m:t>
        </m:r>
        <m:acc>
          <m:accPr>
            <m:ctrlPr>
              <w:rPr>
                <w:rFonts w:ascii="Cambria Math" w:hAnsi="Cambria Math"/>
                <w:sz w:val="20"/>
              </w:rPr>
            </m:ctrlPr>
          </m:accPr>
          <m:e>
            <m:r>
              <w:rPr>
                <w:rFonts w:ascii="Cambria Math" w:hAnsi="Cambria Math"/>
                <w:sz w:val="20"/>
              </w:rPr>
              <m:t>GS</m:t>
            </m:r>
          </m:e>
        </m:acc>
        <m:r>
          <m:rPr>
            <m:sty m:val="p"/>
          </m:rPr>
          <w:rPr>
            <w:rFonts w:ascii="Cambria Math" w:hAnsi="Cambria Math"/>
            <w:sz w:val="20"/>
          </w:rPr>
          <m:t>(</m:t>
        </m:r>
        <m:r>
          <w:rPr>
            <w:rFonts w:ascii="Cambria Math" w:hAnsi="Cambria Math"/>
            <w:sz w:val="20"/>
          </w:rPr>
          <m:t>t</m:t>
        </m:r>
        <m:r>
          <m:rPr>
            <m:sty m:val="p"/>
          </m:rPr>
          <w:rPr>
            <w:rFonts w:ascii="Cambria Math" w:hAnsi="Cambria Math"/>
            <w:sz w:val="20"/>
          </w:rPr>
          <m:t>)-</m:t>
        </m:r>
        <m:acc>
          <m:accPr>
            <m:ctrlPr>
              <w:rPr>
                <w:rFonts w:ascii="Cambria Math" w:hAnsi="Cambria Math"/>
                <w:sz w:val="20"/>
              </w:rPr>
            </m:ctrlPr>
          </m:accPr>
          <m:e>
            <m:r>
              <w:rPr>
                <w:rFonts w:ascii="Cambria Math" w:hAnsi="Cambria Math"/>
                <w:sz w:val="20"/>
              </w:rPr>
              <m:t>QL</m:t>
            </m:r>
          </m:e>
        </m:acc>
        <m:r>
          <m:rPr>
            <m:sty m:val="p"/>
          </m:rPr>
          <w:rPr>
            <w:rFonts w:ascii="Cambria Math" w:hAnsi="Cambria Math"/>
            <w:sz w:val="20"/>
          </w:rPr>
          <m:t>(</m:t>
        </m:r>
        <m:r>
          <w:rPr>
            <w:rFonts w:ascii="Cambria Math" w:hAnsi="Cambria Math"/>
            <w:sz w:val="20"/>
          </w:rPr>
          <m:t>t</m:t>
        </m:r>
        <m:r>
          <m:rPr>
            <m:sty m:val="p"/>
          </m:rPr>
          <w:rPr>
            <w:rFonts w:ascii="Cambria Math" w:hAnsi="Cambria Math"/>
            <w:sz w:val="20"/>
          </w:rPr>
          <m:t>)-</m:t>
        </m:r>
        <m:acc>
          <m:accPr>
            <m:ctrlPr>
              <w:rPr>
                <w:rFonts w:ascii="Cambria Math" w:hAnsi="Cambria Math"/>
                <w:sz w:val="20"/>
              </w:rPr>
            </m:ctrlPr>
          </m:accPr>
          <m:e>
            <m:r>
              <w:rPr>
                <w:rFonts w:ascii="Cambria Math" w:hAnsi="Cambria Math"/>
                <w:sz w:val="20"/>
              </w:rPr>
              <m:t>WT</m:t>
            </m:r>
          </m:e>
        </m:acc>
        <m:r>
          <m:rPr>
            <m:sty m:val="p"/>
          </m:rPr>
          <w:rPr>
            <w:rFonts w:ascii="Cambria Math" w:hAnsi="Cambria Math"/>
            <w:sz w:val="20"/>
          </w:rPr>
          <m:t>(</m:t>
        </m:r>
        <m:r>
          <w:rPr>
            <w:rFonts w:ascii="Cambria Math" w:hAnsi="Cambria Math"/>
            <w:sz w:val="20"/>
          </w:rPr>
          <m:t>t</m:t>
        </m:r>
        <m:r>
          <m:rPr>
            <m:sty m:val="p"/>
          </m:rPr>
          <w:rPr>
            <w:rFonts w:ascii="Cambria Math" w:hAnsi="Cambria Math"/>
            <w:sz w:val="20"/>
          </w:rPr>
          <m:t>)-</m:t>
        </m:r>
        <m:acc>
          <m:accPr>
            <m:ctrlPr>
              <w:rPr>
                <w:rFonts w:ascii="Cambria Math" w:hAnsi="Cambria Math"/>
                <w:sz w:val="20"/>
              </w:rPr>
            </m:ctrlPr>
          </m:accPr>
          <m:e>
            <m:r>
              <m:rPr>
                <m:nor/>
              </m:rPr>
              <w:rPr>
                <w:sz w:val="20"/>
              </w:rPr>
              <m:t>CritSoC</m:t>
            </m:r>
          </m:e>
        </m:acc>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009D31E9">
        <w:rPr>
          <w:sz w:val="20"/>
        </w:rPr>
        <w:t xml:space="preserve"> </w:t>
      </w:r>
      <w:r w:rsidR="009D31E9">
        <w:rPr>
          <w:sz w:val="20"/>
        </w:rPr>
        <w:tab/>
      </w:r>
      <w:r w:rsidR="009D31E9">
        <w:rPr>
          <w:sz w:val="20"/>
        </w:rPr>
        <w:tab/>
      </w:r>
      <w:r w:rsidR="009D31E9">
        <w:rPr>
          <w:sz w:val="20"/>
        </w:rPr>
        <w:tab/>
        <w:t xml:space="preserve">              (13)</w:t>
      </w:r>
    </w:p>
    <w:p w14:paraId="6BA84B90" w14:textId="1B5A14C9" w:rsidR="002D319B" w:rsidRPr="002D319B" w:rsidRDefault="002D319B" w:rsidP="002D319B">
      <w:pPr>
        <w:pStyle w:val="PlainText"/>
        <w:rPr>
          <w:sz w:val="20"/>
        </w:rPr>
      </w:pPr>
      <w:r w:rsidRPr="002D319B">
        <w:rPr>
          <w:sz w:val="20"/>
        </w:rPr>
        <w:t xml:space="preserve">where </w:t>
      </w:r>
      <m:oMath>
        <m:acc>
          <m:accPr>
            <m:ctrlPr>
              <w:rPr>
                <w:rFonts w:ascii="Cambria Math" w:hAnsi="Cambria Math"/>
                <w:sz w:val="20"/>
              </w:rPr>
            </m:ctrlPr>
          </m:accPr>
          <m:e>
            <m:r>
              <w:rPr>
                <w:rFonts w:ascii="Cambria Math" w:hAnsi="Cambria Math"/>
                <w:sz w:val="20"/>
              </w:rPr>
              <m:t>X</m:t>
            </m:r>
          </m:e>
        </m:acc>
      </m:oMath>
      <w:r w:rsidRPr="002D319B">
        <w:rPr>
          <w:sz w:val="20"/>
        </w:rPr>
        <w:t xml:space="preserve"> denotes the normalized version of metric </w:t>
      </w:r>
      <m:oMath>
        <m:r>
          <w:rPr>
            <w:rFonts w:ascii="Cambria Math" w:hAnsi="Cambria Math"/>
            <w:sz w:val="20"/>
          </w:rPr>
          <m:t>X</m:t>
        </m:r>
      </m:oMath>
      <w:r w:rsidRPr="002D319B">
        <w:rPr>
          <w:sz w:val="20"/>
        </w:rPr>
        <w:t xml:space="preserve"> scaled to a common range. Positive terms represent metrics where higher values indicate better recovery, while negative terms represent metrics where lower values are preferred. A higher overall value means better system recovery at time </w:t>
      </w:r>
      <m:oMath>
        <m:r>
          <w:rPr>
            <w:rFonts w:ascii="Cambria Math" w:hAnsi="Cambria Math"/>
            <w:sz w:val="20"/>
          </w:rPr>
          <m:t>t</m:t>
        </m:r>
      </m:oMath>
      <w:r w:rsidRPr="002D319B">
        <w:rPr>
          <w:sz w:val="20"/>
        </w:rPr>
        <w:t>.</w:t>
      </w:r>
    </w:p>
    <w:p w14:paraId="48762715" w14:textId="3267D70A" w:rsidR="00FB2C61" w:rsidRDefault="00FB2C61" w:rsidP="002D319B">
      <w:pPr>
        <w:pStyle w:val="PlainText"/>
        <w:rPr>
          <w:sz w:val="20"/>
        </w:rPr>
      </w:pPr>
    </w:p>
    <w:p w14:paraId="2381E56D" w14:textId="712977E4" w:rsidR="00E56566" w:rsidRPr="00B05B01" w:rsidRDefault="00E56566" w:rsidP="00E56566">
      <w:pPr>
        <w:pStyle w:val="PlainText"/>
        <w:rPr>
          <w:sz w:val="20"/>
        </w:rPr>
      </w:pPr>
      <w:r>
        <w:rPr>
          <w:b/>
          <w:sz w:val="20"/>
        </w:rPr>
        <w:t>3</w:t>
      </w:r>
      <w:r w:rsidRPr="00F05EA2">
        <w:rPr>
          <w:b/>
          <w:sz w:val="20"/>
        </w:rPr>
        <w:t>.</w:t>
      </w:r>
      <w:r>
        <w:rPr>
          <w:b/>
          <w:sz w:val="20"/>
        </w:rPr>
        <w:t>3</w:t>
      </w:r>
      <w:r w:rsidRPr="00F05EA2">
        <w:rPr>
          <w:b/>
          <w:sz w:val="20"/>
        </w:rPr>
        <w:t xml:space="preserve"> </w:t>
      </w:r>
      <w:r>
        <w:rPr>
          <w:b/>
          <w:sz w:val="20"/>
        </w:rPr>
        <w:t xml:space="preserve">Simulation </w:t>
      </w:r>
      <w:r w:rsidR="007E08D9">
        <w:rPr>
          <w:b/>
          <w:sz w:val="20"/>
        </w:rPr>
        <w:t>e</w:t>
      </w:r>
      <w:r>
        <w:rPr>
          <w:b/>
          <w:sz w:val="20"/>
        </w:rPr>
        <w:t>nvironment</w:t>
      </w:r>
    </w:p>
    <w:p w14:paraId="7E6310D3" w14:textId="6BD4316F" w:rsidR="008B1AE9" w:rsidRPr="008B1AE9" w:rsidRDefault="008B1AE9" w:rsidP="008B1AE9">
      <w:pPr>
        <w:pStyle w:val="PlainText"/>
        <w:ind w:firstLine="284"/>
        <w:rPr>
          <w:sz w:val="20"/>
        </w:rPr>
      </w:pPr>
      <w:r w:rsidRPr="008B1AE9">
        <w:rPr>
          <w:sz w:val="20"/>
        </w:rPr>
        <w:t xml:space="preserve">The system models a multi-district urban setting with </w:t>
      </w:r>
      <w:r w:rsidR="00E21BC4">
        <w:rPr>
          <w:sz w:val="20"/>
        </w:rPr>
        <w:t>six</w:t>
      </w:r>
      <w:r w:rsidRPr="008B1AE9">
        <w:rPr>
          <w:sz w:val="20"/>
        </w:rPr>
        <w:t xml:space="preserve"> districts (nodes) representing three different district types: Residential, Commercial and Industrial, adopted from the modified Roy </w:t>
      </w:r>
      <w:proofErr w:type="spellStart"/>
      <w:r w:rsidRPr="008B1AE9">
        <w:rPr>
          <w:sz w:val="20"/>
        </w:rPr>
        <w:t>Billinton</w:t>
      </w:r>
      <w:proofErr w:type="spellEnd"/>
      <w:r w:rsidRPr="008B1AE9">
        <w:rPr>
          <w:sz w:val="20"/>
        </w:rPr>
        <w:t xml:space="preserve"> test power system (RBTS), represented in Tang et al., (2023). Local charging facilities in each district experience unexpected demand surges due to the failure of charging stations in an affected district. In response, intelligent agents dynamically manage charging operations and vehicle redistribution to prevent grid overload while ensuring efficient charging service.</w:t>
      </w:r>
    </w:p>
    <w:p w14:paraId="3989669D" w14:textId="77777777" w:rsidR="008B1AE9" w:rsidRPr="008B1AE9" w:rsidRDefault="008B1AE9" w:rsidP="008B1AE9">
      <w:pPr>
        <w:pStyle w:val="PlainText"/>
        <w:rPr>
          <w:sz w:val="20"/>
        </w:rPr>
      </w:pPr>
      <w:r w:rsidRPr="008B1AE9">
        <w:rPr>
          <w:sz w:val="20"/>
        </w:rPr>
        <w:t>The environment is characterized by:</w:t>
      </w:r>
    </w:p>
    <w:p w14:paraId="67326787" w14:textId="77777777" w:rsidR="008B1AE9" w:rsidRPr="008B1AE9" w:rsidRDefault="008B1AE9" w:rsidP="008B1AE9">
      <w:pPr>
        <w:pStyle w:val="PlainText"/>
        <w:numPr>
          <w:ilvl w:val="0"/>
          <w:numId w:val="5"/>
        </w:numPr>
        <w:ind w:left="426" w:hanging="284"/>
        <w:rPr>
          <w:sz w:val="20"/>
        </w:rPr>
      </w:pPr>
      <w:r w:rsidRPr="008B1AE9">
        <w:rPr>
          <w:b/>
          <w:bCs/>
          <w:sz w:val="20"/>
        </w:rPr>
        <w:t>District Types</w:t>
      </w:r>
      <w:r w:rsidRPr="008B1AE9">
        <w:rPr>
          <w:sz w:val="20"/>
        </w:rPr>
        <w:t>: Each district is classified as residential (R), industrial (I), or commercial (C) with corresponding demand patterns, based on the National Household Travel Survey data (Zhou and Wang, 2014).</w:t>
      </w:r>
    </w:p>
    <w:p w14:paraId="13BAA5B9" w14:textId="5C2A3404" w:rsidR="008B1AE9" w:rsidRPr="008B1AE9" w:rsidRDefault="008B1AE9" w:rsidP="008B1AE9">
      <w:pPr>
        <w:pStyle w:val="PlainText"/>
        <w:numPr>
          <w:ilvl w:val="0"/>
          <w:numId w:val="5"/>
        </w:numPr>
        <w:ind w:left="426" w:hanging="284"/>
        <w:rPr>
          <w:sz w:val="20"/>
        </w:rPr>
      </w:pPr>
      <w:r w:rsidRPr="008B1AE9">
        <w:rPr>
          <w:b/>
          <w:bCs/>
          <w:sz w:val="20"/>
        </w:rPr>
        <w:t>Charging Infrastructure</w:t>
      </w:r>
      <w:r w:rsidRPr="008B1AE9">
        <w:rPr>
          <w:sz w:val="20"/>
        </w:rPr>
        <w:t>: Districts have varying numbers of fast charging stations (36 kW) based on local demand</w:t>
      </w:r>
      <w:r w:rsidR="00253618">
        <w:rPr>
          <w:sz w:val="20"/>
        </w:rPr>
        <w:t>.</w:t>
      </w:r>
    </w:p>
    <w:p w14:paraId="7A747176" w14:textId="4614225D" w:rsidR="008B1AE9" w:rsidRPr="008B1AE9" w:rsidRDefault="008B1AE9" w:rsidP="008B1AE9">
      <w:pPr>
        <w:pStyle w:val="PlainText"/>
        <w:numPr>
          <w:ilvl w:val="0"/>
          <w:numId w:val="5"/>
        </w:numPr>
        <w:ind w:left="426" w:hanging="284"/>
        <w:rPr>
          <w:sz w:val="20"/>
        </w:rPr>
      </w:pPr>
      <w:r w:rsidRPr="008B1AE9">
        <w:rPr>
          <w:b/>
          <w:bCs/>
          <w:sz w:val="20"/>
        </w:rPr>
        <w:t>EV Population</w:t>
      </w:r>
      <w:r w:rsidRPr="008B1AE9">
        <w:rPr>
          <w:sz w:val="20"/>
        </w:rPr>
        <w:t>: 35,000 EVs are distributed across districts with realistic state-of-charge (SoC) distributions. We process EV arrivals in batches based on district type and time of day</w:t>
      </w:r>
      <w:r w:rsidR="008E5C2B">
        <w:rPr>
          <w:sz w:val="20"/>
        </w:rPr>
        <w:t xml:space="preserve"> with </w:t>
      </w:r>
      <w:r w:rsidRPr="008B1AE9">
        <w:rPr>
          <w:sz w:val="20"/>
        </w:rPr>
        <w:t>realistic SoC distribution</w:t>
      </w:r>
      <w:r w:rsidR="008E5C2B">
        <w:rPr>
          <w:sz w:val="20"/>
        </w:rPr>
        <w:t>.</w:t>
      </w:r>
    </w:p>
    <w:p w14:paraId="4389D767" w14:textId="376E00B7" w:rsidR="00253618" w:rsidRPr="008B1AE9" w:rsidRDefault="008B1AE9" w:rsidP="00253618">
      <w:pPr>
        <w:pStyle w:val="PlainText"/>
        <w:numPr>
          <w:ilvl w:val="0"/>
          <w:numId w:val="5"/>
        </w:numPr>
        <w:ind w:left="426" w:hanging="284"/>
        <w:rPr>
          <w:sz w:val="20"/>
        </w:rPr>
      </w:pPr>
      <w:r w:rsidRPr="008B1AE9">
        <w:rPr>
          <w:b/>
          <w:bCs/>
          <w:sz w:val="20"/>
        </w:rPr>
        <w:t>Time Resolution</w:t>
      </w:r>
      <w:r w:rsidRPr="008B1AE9">
        <w:rPr>
          <w:sz w:val="20"/>
        </w:rPr>
        <w:t>: 30-minute timesteps to</w:t>
      </w:r>
      <w:r w:rsidR="00253618">
        <w:rPr>
          <w:sz w:val="20"/>
        </w:rPr>
        <w:t xml:space="preserve"> </w:t>
      </w:r>
      <w:r w:rsidRPr="008B1AE9">
        <w:rPr>
          <w:sz w:val="20"/>
        </w:rPr>
        <w:t>capture daily charging patterns</w:t>
      </w:r>
      <w:r w:rsidR="00253618">
        <w:rPr>
          <w:sz w:val="20"/>
        </w:rPr>
        <w:t>.</w:t>
      </w:r>
    </w:p>
    <w:p w14:paraId="6EA65925" w14:textId="77777777" w:rsidR="008B1AE9" w:rsidRPr="008B1AE9" w:rsidRDefault="008B1AE9" w:rsidP="008B1AE9">
      <w:pPr>
        <w:pStyle w:val="PlainText"/>
        <w:rPr>
          <w:sz w:val="20"/>
        </w:rPr>
      </w:pPr>
      <w:r w:rsidRPr="008B1AE9">
        <w:rPr>
          <w:sz w:val="20"/>
        </w:rPr>
        <w:t xml:space="preserve">The simulation models realistic daily arrival patterns for different district types, EV charging </w:t>
      </w:r>
      <w:proofErr w:type="spellStart"/>
      <w:r w:rsidRPr="008B1AE9">
        <w:rPr>
          <w:sz w:val="20"/>
        </w:rPr>
        <w:t>behaviors</w:t>
      </w:r>
      <w:proofErr w:type="spellEnd"/>
      <w:r w:rsidRPr="008B1AE9">
        <w:rPr>
          <w:sz w:val="20"/>
        </w:rPr>
        <w:t>, and grid load calculations. To ensure reproducibility, we designed the environment to capture key characteristics of urban EV charging networks:</w:t>
      </w:r>
    </w:p>
    <w:p w14:paraId="7EB6E177" w14:textId="5CF6BD0F" w:rsidR="008B1AE9" w:rsidRPr="008B1AE9" w:rsidRDefault="008B1AE9" w:rsidP="00B45095">
      <w:pPr>
        <w:pStyle w:val="PlainText"/>
        <w:numPr>
          <w:ilvl w:val="0"/>
          <w:numId w:val="6"/>
        </w:numPr>
        <w:ind w:left="426" w:hanging="284"/>
        <w:rPr>
          <w:sz w:val="20"/>
        </w:rPr>
      </w:pPr>
      <w:r w:rsidRPr="008B1AE9">
        <w:rPr>
          <w:b/>
          <w:bCs/>
          <w:sz w:val="20"/>
        </w:rPr>
        <w:t>Spatial Relationships</w:t>
      </w:r>
      <w:r w:rsidRPr="008B1AE9">
        <w:rPr>
          <w:sz w:val="20"/>
        </w:rPr>
        <w:t>: Districts are spatially arranged with calculated distances that affect EV redistribution</w:t>
      </w:r>
      <w:r w:rsidR="00561209">
        <w:rPr>
          <w:sz w:val="20"/>
        </w:rPr>
        <w:t>.</w:t>
      </w:r>
    </w:p>
    <w:p w14:paraId="48F4A145" w14:textId="77777777" w:rsidR="008B1AE9" w:rsidRPr="008B1AE9" w:rsidRDefault="008B1AE9" w:rsidP="00B45095">
      <w:pPr>
        <w:pStyle w:val="PlainText"/>
        <w:numPr>
          <w:ilvl w:val="0"/>
          <w:numId w:val="6"/>
        </w:numPr>
        <w:ind w:left="426" w:hanging="284"/>
        <w:rPr>
          <w:sz w:val="20"/>
        </w:rPr>
      </w:pPr>
      <w:r w:rsidRPr="008B1AE9">
        <w:rPr>
          <w:b/>
          <w:bCs/>
          <w:sz w:val="20"/>
        </w:rPr>
        <w:lastRenderedPageBreak/>
        <w:t>Temporal Patterns</w:t>
      </w:r>
      <w:r w:rsidRPr="008B1AE9">
        <w:rPr>
          <w:sz w:val="20"/>
        </w:rPr>
        <w:t>: Time-of-day arrival rates vary by district type.</w:t>
      </w:r>
    </w:p>
    <w:p w14:paraId="6BDBA476" w14:textId="7EBABD22" w:rsidR="008B1AE9" w:rsidRPr="008B1AE9" w:rsidRDefault="008B1AE9" w:rsidP="00B45095">
      <w:pPr>
        <w:pStyle w:val="PlainText"/>
        <w:numPr>
          <w:ilvl w:val="0"/>
          <w:numId w:val="6"/>
        </w:numPr>
        <w:ind w:left="426" w:hanging="284"/>
        <w:rPr>
          <w:sz w:val="20"/>
        </w:rPr>
      </w:pPr>
      <w:r w:rsidRPr="008B1AE9">
        <w:rPr>
          <w:b/>
          <w:bCs/>
          <w:sz w:val="20"/>
        </w:rPr>
        <w:t>Battery Dynamics</w:t>
      </w:r>
      <w:r w:rsidRPr="008B1AE9">
        <w:rPr>
          <w:sz w:val="20"/>
        </w:rPr>
        <w:t xml:space="preserve">: EV battery consumption is </w:t>
      </w:r>
      <w:proofErr w:type="spellStart"/>
      <w:r w:rsidRPr="008B1AE9">
        <w:rPr>
          <w:sz w:val="20"/>
        </w:rPr>
        <w:t>modeled</w:t>
      </w:r>
      <w:proofErr w:type="spellEnd"/>
      <w:r w:rsidRPr="008B1AE9">
        <w:rPr>
          <w:sz w:val="20"/>
        </w:rPr>
        <w:t xml:space="preserve"> with realistic parameters (60 kWh capacity, varying SoC distributions)</w:t>
      </w:r>
      <w:r w:rsidR="00561209">
        <w:rPr>
          <w:sz w:val="20"/>
        </w:rPr>
        <w:t>.</w:t>
      </w:r>
    </w:p>
    <w:p w14:paraId="3670FECE" w14:textId="26E68058" w:rsidR="00E56566" w:rsidRPr="007D5289" w:rsidRDefault="008B1AE9" w:rsidP="00D331FA">
      <w:pPr>
        <w:pStyle w:val="PlainText"/>
        <w:numPr>
          <w:ilvl w:val="0"/>
          <w:numId w:val="6"/>
        </w:numPr>
        <w:spacing w:after="240"/>
        <w:ind w:left="426" w:hanging="284"/>
        <w:rPr>
          <w:sz w:val="20"/>
        </w:rPr>
      </w:pPr>
      <w:r w:rsidRPr="008B1AE9">
        <w:rPr>
          <w:b/>
          <w:bCs/>
          <w:sz w:val="20"/>
        </w:rPr>
        <w:t xml:space="preserve">Charging </w:t>
      </w:r>
      <w:proofErr w:type="spellStart"/>
      <w:r w:rsidRPr="008B1AE9">
        <w:rPr>
          <w:b/>
          <w:bCs/>
          <w:sz w:val="20"/>
        </w:rPr>
        <w:t>Behavior</w:t>
      </w:r>
      <w:proofErr w:type="spellEnd"/>
      <w:r w:rsidRPr="008B1AE9">
        <w:rPr>
          <w:sz w:val="20"/>
        </w:rPr>
        <w:t>: Charging times vary based on initial SoC, charging level, and time-of-day congestion</w:t>
      </w:r>
      <w:r w:rsidR="00561209">
        <w:rPr>
          <w:sz w:val="20"/>
        </w:rPr>
        <w:t>.</w:t>
      </w:r>
    </w:p>
    <w:p w14:paraId="3E1B372E" w14:textId="575BB74E" w:rsidR="005F0CB9" w:rsidRPr="00B809C5" w:rsidRDefault="00B809C5" w:rsidP="00B809C5">
      <w:pPr>
        <w:pStyle w:val="PlainText"/>
        <w:rPr>
          <w:b/>
          <w:bCs/>
          <w:sz w:val="20"/>
        </w:rPr>
      </w:pPr>
      <w:r w:rsidRPr="00B809C5">
        <w:rPr>
          <w:b/>
          <w:bCs/>
          <w:sz w:val="20"/>
        </w:rPr>
        <w:t xml:space="preserve">3.4 Agent </w:t>
      </w:r>
      <w:r w:rsidR="007E08D9">
        <w:rPr>
          <w:b/>
          <w:bCs/>
          <w:sz w:val="20"/>
        </w:rPr>
        <w:t>d</w:t>
      </w:r>
      <w:r w:rsidRPr="00B809C5">
        <w:rPr>
          <w:b/>
          <w:bCs/>
          <w:sz w:val="20"/>
        </w:rPr>
        <w:t xml:space="preserve">esign and </w:t>
      </w:r>
      <w:r w:rsidR="007E08D9">
        <w:rPr>
          <w:b/>
          <w:bCs/>
          <w:sz w:val="20"/>
        </w:rPr>
        <w:t>d</w:t>
      </w:r>
      <w:r w:rsidRPr="00B809C5">
        <w:rPr>
          <w:b/>
          <w:bCs/>
          <w:sz w:val="20"/>
        </w:rPr>
        <w:t xml:space="preserve">ecision </w:t>
      </w:r>
      <w:r w:rsidR="007E08D9">
        <w:rPr>
          <w:b/>
          <w:bCs/>
          <w:sz w:val="20"/>
        </w:rPr>
        <w:t>f</w:t>
      </w:r>
      <w:r w:rsidRPr="00B809C5">
        <w:rPr>
          <w:b/>
          <w:bCs/>
          <w:sz w:val="20"/>
        </w:rPr>
        <w:t>ramework</w:t>
      </w:r>
    </w:p>
    <w:p w14:paraId="6EF832CA" w14:textId="1297C977" w:rsidR="005F0CB9" w:rsidRPr="008B1AE9" w:rsidRDefault="005F0CB9" w:rsidP="00B809C5">
      <w:pPr>
        <w:pStyle w:val="PlainText"/>
        <w:ind w:firstLine="284"/>
        <w:rPr>
          <w:sz w:val="20"/>
        </w:rPr>
      </w:pPr>
      <w:r w:rsidRPr="008B1AE9">
        <w:rPr>
          <w:sz w:val="20"/>
        </w:rPr>
        <w:t>The recovery problem is formulated as a Partially</w:t>
      </w:r>
      <w:r w:rsidR="00B809C5">
        <w:rPr>
          <w:sz w:val="20"/>
        </w:rPr>
        <w:t xml:space="preserve"> </w:t>
      </w:r>
      <w:r w:rsidRPr="008B1AE9">
        <w:rPr>
          <w:sz w:val="20"/>
        </w:rPr>
        <w:t>Observable Markov Decision Process (POMDP) represented by:</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727"/>
      </w:tblGrid>
      <w:tr w:rsidR="00D331FA" w14:paraId="74D1BB2D" w14:textId="77777777" w:rsidTr="00D331FA">
        <w:tc>
          <w:tcPr>
            <w:tcW w:w="3397" w:type="dxa"/>
          </w:tcPr>
          <w:p w14:paraId="2BC6A8A7" w14:textId="7224F15D" w:rsidR="00D331FA" w:rsidRDefault="00D331FA" w:rsidP="00D331FA">
            <w:pPr>
              <w:pStyle w:val="PlainText"/>
              <w:jc w:val="right"/>
              <w:rPr>
                <w:sz w:val="20"/>
              </w:rPr>
            </w:pPr>
            <m:oMathPara>
              <m:oMath>
                <m:r>
                  <w:rPr>
                    <w:rFonts w:ascii="Cambria Math" w:hAnsi="Cambria Math"/>
                    <w:sz w:val="20"/>
                  </w:rPr>
                  <m:t>M</m:t>
                </m:r>
                <m:r>
                  <m:rPr>
                    <m:sty m:val="p"/>
                  </m:rPr>
                  <w:rPr>
                    <w:rFonts w:ascii="Cambria Math" w:hAnsi="Cambria Math"/>
                    <w:sz w:val="20"/>
                  </w:rPr>
                  <m:t>=(</m:t>
                </m:r>
                <m:r>
                  <w:rPr>
                    <w:rFonts w:ascii="Cambria Math" w:hAnsi="Cambria Math"/>
                    <w:sz w:val="20"/>
                  </w:rPr>
                  <m:t>S</m:t>
                </m:r>
                <m:r>
                  <m:rPr>
                    <m:sty m:val="p"/>
                  </m:rPr>
                  <w:rPr>
                    <w:rFonts w:ascii="Cambria Math" w:hAnsi="Cambria Math"/>
                    <w:sz w:val="20"/>
                  </w:rPr>
                  <m:t>,</m:t>
                </m:r>
                <m:r>
                  <w:rPr>
                    <w:rFonts w:ascii="Cambria Math" w:hAnsi="Cambria Math"/>
                    <w:sz w:val="20"/>
                  </w:rPr>
                  <m:t>O</m:t>
                </m:r>
                <m:r>
                  <m:rPr>
                    <m:sty m:val="p"/>
                  </m:rPr>
                  <w:rPr>
                    <w:rFonts w:ascii="Cambria Math" w:hAnsi="Cambria Math"/>
                    <w:sz w:val="20"/>
                  </w:rPr>
                  <m:t>,</m:t>
                </m:r>
                <m:r>
                  <w:rPr>
                    <w:rFonts w:ascii="Cambria Math" w:hAnsi="Cambria Math"/>
                    <w:sz w:val="20"/>
                  </w:rPr>
                  <m:t>A</m:t>
                </m:r>
                <m:r>
                  <m:rPr>
                    <m:sty m:val="p"/>
                  </m:rPr>
                  <w:rPr>
                    <w:rFonts w:ascii="Cambria Math" w:hAnsi="Cambria Math"/>
                    <w:sz w:val="20"/>
                  </w:rPr>
                  <m:t>,</m:t>
                </m:r>
                <m:r>
                  <w:rPr>
                    <w:rFonts w:ascii="Cambria Math" w:hAnsi="Cambria Math"/>
                    <w:sz w:val="20"/>
                  </w:rPr>
                  <m:t>T</m:t>
                </m:r>
                <m:r>
                  <m:rPr>
                    <m:sty m:val="p"/>
                  </m:rPr>
                  <w:rPr>
                    <w:rFonts w:ascii="Cambria Math" w:hAnsi="Cambria Math"/>
                    <w:sz w:val="20"/>
                  </w:rPr>
                  <m:t>,</m:t>
                </m:r>
                <m:r>
                  <w:rPr>
                    <w:rFonts w:ascii="Cambria Math" w:hAnsi="Cambria Math"/>
                    <w:sz w:val="20"/>
                  </w:rPr>
                  <m:t>r</m:t>
                </m:r>
                <m:r>
                  <m:rPr>
                    <m:sty m:val="p"/>
                  </m:rPr>
                  <w:rPr>
                    <w:rFonts w:ascii="Cambria Math" w:hAnsi="Cambria Math"/>
                    <w:sz w:val="20"/>
                  </w:rPr>
                  <m:t>,</m:t>
                </m:r>
                <m:r>
                  <w:rPr>
                    <w:rFonts w:ascii="Cambria Math" w:hAnsi="Cambria Math"/>
                    <w:sz w:val="20"/>
                  </w:rPr>
                  <m:t>γ</m:t>
                </m:r>
                <m:r>
                  <m:rPr>
                    <m:sty m:val="p"/>
                  </m:rPr>
                  <w:rPr>
                    <w:rFonts w:ascii="Cambria Math" w:hAnsi="Cambria Math"/>
                    <w:sz w:val="20"/>
                  </w:rPr>
                  <m:t>)</m:t>
                </m:r>
              </m:oMath>
            </m:oMathPara>
          </w:p>
        </w:tc>
        <w:tc>
          <w:tcPr>
            <w:tcW w:w="727" w:type="dxa"/>
            <w:vAlign w:val="center"/>
          </w:tcPr>
          <w:p w14:paraId="7F40D253" w14:textId="1F88E012" w:rsidR="00D331FA" w:rsidRDefault="00D331FA" w:rsidP="00D331FA">
            <w:pPr>
              <w:pStyle w:val="PlainText"/>
              <w:jc w:val="right"/>
              <w:rPr>
                <w:sz w:val="20"/>
              </w:rPr>
            </w:pPr>
            <w:r>
              <w:rPr>
                <w:sz w:val="20"/>
              </w:rPr>
              <w:t>(14)</w:t>
            </w:r>
          </w:p>
        </w:tc>
      </w:tr>
    </w:tbl>
    <w:p w14:paraId="42C16505" w14:textId="3006420A" w:rsidR="005F0CB9" w:rsidRPr="008B1AE9" w:rsidRDefault="005F0CB9" w:rsidP="00D331FA">
      <w:pPr>
        <w:pStyle w:val="PlainText"/>
        <w:ind w:left="426" w:hanging="284"/>
        <w:rPr>
          <w:sz w:val="20"/>
        </w:rPr>
      </w:pPr>
    </w:p>
    <w:p w14:paraId="104D518D" w14:textId="77777777" w:rsidR="005F0CB9" w:rsidRPr="008B1AE9" w:rsidRDefault="005F0CB9" w:rsidP="005F0CB9">
      <w:pPr>
        <w:pStyle w:val="PlainText"/>
        <w:rPr>
          <w:sz w:val="20"/>
        </w:rPr>
      </w:pPr>
      <w:r w:rsidRPr="008B1AE9">
        <w:rPr>
          <w:sz w:val="20"/>
        </w:rPr>
        <w:t>where:</w:t>
      </w:r>
    </w:p>
    <w:p w14:paraId="013E54CF" w14:textId="77777777" w:rsidR="005F0CB9" w:rsidRPr="008B1AE9" w:rsidRDefault="005F0CB9" w:rsidP="005F0CB9">
      <w:pPr>
        <w:pStyle w:val="PlainText"/>
        <w:numPr>
          <w:ilvl w:val="0"/>
          <w:numId w:val="5"/>
        </w:numPr>
        <w:ind w:left="426" w:hanging="284"/>
        <w:rPr>
          <w:sz w:val="20"/>
        </w:rPr>
      </w:pPr>
      <m:oMath>
        <m:r>
          <w:rPr>
            <w:rFonts w:ascii="Cambria Math" w:hAnsi="Cambria Math"/>
            <w:sz w:val="20"/>
          </w:rPr>
          <m:t>S</m:t>
        </m:r>
      </m:oMath>
      <w:r w:rsidRPr="008B1AE9">
        <w:rPr>
          <w:sz w:val="20"/>
        </w:rPr>
        <w:t xml:space="preserve"> is the global state space, representing the full system status, which is not directly observed by agents.</w:t>
      </w:r>
    </w:p>
    <w:p w14:paraId="4F4840B8" w14:textId="77777777" w:rsidR="005F0CB9" w:rsidRPr="008B1AE9" w:rsidRDefault="005F0CB9" w:rsidP="005F0CB9">
      <w:pPr>
        <w:pStyle w:val="PlainText"/>
        <w:numPr>
          <w:ilvl w:val="0"/>
          <w:numId w:val="5"/>
        </w:numPr>
        <w:ind w:left="426" w:hanging="284"/>
        <w:rPr>
          <w:sz w:val="20"/>
        </w:rPr>
      </w:pPr>
      <m:oMath>
        <m:r>
          <w:rPr>
            <w:rFonts w:ascii="Cambria Math" w:hAnsi="Cambria Math"/>
            <w:sz w:val="20"/>
          </w:rPr>
          <m:t>O</m:t>
        </m:r>
      </m:oMath>
      <w:r w:rsidRPr="008B1AE9">
        <w:rPr>
          <w:sz w:val="20"/>
        </w:rPr>
        <w:t xml:space="preserve"> is the local observation space for each agent.</w:t>
      </w:r>
    </w:p>
    <w:p w14:paraId="21E7C38A" w14:textId="77777777" w:rsidR="005F0CB9" w:rsidRPr="008B1AE9" w:rsidRDefault="005F0CB9" w:rsidP="005F0CB9">
      <w:pPr>
        <w:pStyle w:val="PlainText"/>
        <w:numPr>
          <w:ilvl w:val="0"/>
          <w:numId w:val="5"/>
        </w:numPr>
        <w:ind w:left="426" w:hanging="284"/>
        <w:rPr>
          <w:sz w:val="20"/>
        </w:rPr>
      </w:pPr>
      <m:oMath>
        <m:r>
          <w:rPr>
            <w:rFonts w:ascii="Cambria Math" w:hAnsi="Cambria Math"/>
            <w:sz w:val="20"/>
          </w:rPr>
          <m:t>A</m:t>
        </m:r>
      </m:oMath>
      <w:r w:rsidRPr="008B1AE9">
        <w:rPr>
          <w:sz w:val="20"/>
        </w:rPr>
        <w:t xml:space="preserve"> is the set of available actions.</w:t>
      </w:r>
    </w:p>
    <w:p w14:paraId="53454B44" w14:textId="77777777" w:rsidR="005F0CB9" w:rsidRPr="008B1AE9" w:rsidRDefault="005F0CB9" w:rsidP="005F0CB9">
      <w:pPr>
        <w:pStyle w:val="PlainText"/>
        <w:numPr>
          <w:ilvl w:val="0"/>
          <w:numId w:val="5"/>
        </w:numPr>
        <w:ind w:left="426" w:hanging="284"/>
        <w:rPr>
          <w:sz w:val="20"/>
        </w:rPr>
      </w:pPr>
      <m:oMath>
        <m:r>
          <w:rPr>
            <w:rFonts w:ascii="Cambria Math" w:hAnsi="Cambria Math"/>
            <w:sz w:val="20"/>
          </w:rPr>
          <m:t>T</m:t>
        </m:r>
      </m:oMath>
      <w:r w:rsidRPr="008B1AE9">
        <w:rPr>
          <w:sz w:val="20"/>
        </w:rPr>
        <w:t xml:space="preserve"> is the transition function, which updates the environment state after each action.</w:t>
      </w:r>
    </w:p>
    <w:p w14:paraId="24654A25" w14:textId="77777777" w:rsidR="005F0CB9" w:rsidRPr="008B1AE9" w:rsidRDefault="005F0CB9" w:rsidP="005F0CB9">
      <w:pPr>
        <w:pStyle w:val="PlainText"/>
        <w:numPr>
          <w:ilvl w:val="0"/>
          <w:numId w:val="5"/>
        </w:numPr>
        <w:ind w:left="426" w:hanging="284"/>
        <w:rPr>
          <w:sz w:val="20"/>
        </w:rPr>
      </w:pPr>
      <m:oMath>
        <m:r>
          <w:rPr>
            <w:rFonts w:ascii="Cambria Math" w:hAnsi="Cambria Math"/>
            <w:sz w:val="20"/>
          </w:rPr>
          <m:t>r</m:t>
        </m:r>
      </m:oMath>
      <w:r w:rsidRPr="008B1AE9">
        <w:rPr>
          <w:sz w:val="20"/>
        </w:rPr>
        <w:t xml:space="preserve"> is the reward function, balancing local and global recovery objectives.</w:t>
      </w:r>
    </w:p>
    <w:p w14:paraId="5CDA2A22" w14:textId="77777777" w:rsidR="005F0CB9" w:rsidRDefault="005F0CB9" w:rsidP="005F0CB9">
      <w:pPr>
        <w:pStyle w:val="PlainText"/>
        <w:numPr>
          <w:ilvl w:val="0"/>
          <w:numId w:val="5"/>
        </w:numPr>
        <w:ind w:left="426" w:hanging="284"/>
        <w:rPr>
          <w:sz w:val="20"/>
        </w:rPr>
      </w:pPr>
      <m:oMath>
        <m:r>
          <w:rPr>
            <w:rFonts w:ascii="Cambria Math" w:hAnsi="Cambria Math"/>
            <w:sz w:val="20"/>
          </w:rPr>
          <m:t>γ</m:t>
        </m:r>
      </m:oMath>
      <w:r w:rsidRPr="008B1AE9">
        <w:rPr>
          <w:sz w:val="20"/>
        </w:rPr>
        <w:t xml:space="preserve"> is the discount factor, governing the importance of future rewards.</w:t>
      </w:r>
    </w:p>
    <w:p w14:paraId="0866A22B" w14:textId="6908C2B4" w:rsidR="0013069B" w:rsidRDefault="0013069B" w:rsidP="00D331FA">
      <w:pPr>
        <w:pStyle w:val="PlainText"/>
        <w:spacing w:after="240"/>
        <w:ind w:firstLine="284"/>
        <w:rPr>
          <w:sz w:val="20"/>
        </w:rPr>
      </w:pPr>
      <w:r w:rsidRPr="0013069B">
        <w:rPr>
          <w:sz w:val="20"/>
        </w:rPr>
        <w:t>The system consists of two distinct agent types: District Charging Agents and an EV Redistribution Agent, implemented using the TD3-MADDPG approach.</w:t>
      </w:r>
      <w:r w:rsidR="0004606A">
        <w:rPr>
          <w:sz w:val="20"/>
        </w:rPr>
        <w:t xml:space="preserve"> </w:t>
      </w:r>
      <w:r w:rsidR="0004606A" w:rsidRPr="004A53A9">
        <w:rPr>
          <w:sz w:val="20"/>
        </w:rPr>
        <w:t xml:space="preserve">Each agent interacts with the environment by observing its local state and selecting actions through its actor network. After executing the action, the environment updates, and the agent receives a corresponding reward based on its immediate performance and contribution to the global QoS recovery goal. </w:t>
      </w:r>
    </w:p>
    <w:p w14:paraId="7215D7A6" w14:textId="5452946D" w:rsidR="001E523F" w:rsidRPr="0013069B" w:rsidRDefault="00AE43B9" w:rsidP="005415E5">
      <w:pPr>
        <w:pStyle w:val="PlainText"/>
        <w:rPr>
          <w:sz w:val="20"/>
        </w:rPr>
      </w:pPr>
      <w:r w:rsidRPr="00B809C5">
        <w:rPr>
          <w:b/>
          <w:bCs/>
          <w:sz w:val="20"/>
        </w:rPr>
        <w:t>3.4</w:t>
      </w:r>
      <w:r>
        <w:rPr>
          <w:b/>
          <w:bCs/>
          <w:sz w:val="20"/>
        </w:rPr>
        <w:t xml:space="preserve">.1 </w:t>
      </w:r>
      <w:r w:rsidR="005415E5">
        <w:rPr>
          <w:b/>
          <w:bCs/>
          <w:sz w:val="20"/>
        </w:rPr>
        <w:t xml:space="preserve">District </w:t>
      </w:r>
      <w:r w:rsidR="007E08D9">
        <w:rPr>
          <w:b/>
          <w:bCs/>
          <w:sz w:val="20"/>
        </w:rPr>
        <w:t>c</w:t>
      </w:r>
      <w:r w:rsidR="005415E5">
        <w:rPr>
          <w:b/>
          <w:bCs/>
          <w:sz w:val="20"/>
        </w:rPr>
        <w:t xml:space="preserve">harging </w:t>
      </w:r>
      <w:r w:rsidR="007E08D9">
        <w:rPr>
          <w:b/>
          <w:bCs/>
          <w:sz w:val="20"/>
        </w:rPr>
        <w:t>a</w:t>
      </w:r>
      <w:r w:rsidR="005415E5">
        <w:rPr>
          <w:b/>
          <w:bCs/>
          <w:sz w:val="20"/>
        </w:rPr>
        <w:t>gent</w:t>
      </w:r>
      <w:r w:rsidR="000B7A6B">
        <w:rPr>
          <w:b/>
          <w:bCs/>
          <w:sz w:val="20"/>
        </w:rPr>
        <w:t>s</w:t>
      </w:r>
    </w:p>
    <w:p w14:paraId="646809FA" w14:textId="77777777" w:rsidR="0013069B" w:rsidRPr="0013069B" w:rsidRDefault="0013069B" w:rsidP="0013069B">
      <w:pPr>
        <w:pStyle w:val="PlainText"/>
        <w:ind w:firstLine="284"/>
        <w:rPr>
          <w:sz w:val="20"/>
        </w:rPr>
      </w:pPr>
      <w:r w:rsidRPr="0013069B">
        <w:rPr>
          <w:sz w:val="20"/>
        </w:rPr>
        <w:t>Each of our six districts is managed by a District Charging Agent responsible for regulating charging policies in response to local conditions. The primary goal of this agent is to control charging operations to minimize congestion and waiting times while maintaining grid stability.</w:t>
      </w:r>
    </w:p>
    <w:p w14:paraId="0653B8F9" w14:textId="77777777" w:rsidR="0013069B" w:rsidRPr="0013069B" w:rsidRDefault="0013069B" w:rsidP="00727563">
      <w:pPr>
        <w:pStyle w:val="PlainText"/>
        <w:spacing w:after="240"/>
        <w:ind w:firstLine="284"/>
        <w:rPr>
          <w:sz w:val="20"/>
        </w:rPr>
      </w:pPr>
      <w:r w:rsidRPr="0013069B">
        <w:rPr>
          <w:sz w:val="20"/>
        </w:rPr>
        <w:t>Each District Charging Agent receives local observations comprising:</w:t>
      </w:r>
    </w:p>
    <w:p w14:paraId="54EBE11A" w14:textId="64C806EB" w:rsidR="0013069B" w:rsidRPr="0013069B" w:rsidRDefault="00000000" w:rsidP="0013069B">
      <w:pPr>
        <w:pStyle w:val="PlainText"/>
        <w:rPr>
          <w:sz w:val="20"/>
        </w:rPr>
      </w:pPr>
      <m:oMathPara>
        <m:oMathParaPr>
          <m:jc m:val="left"/>
        </m:oMathParaPr>
        <m:oMath>
          <m:m>
            <m:mPr>
              <m:plcHide m:val="1"/>
              <m:mcs>
                <m:mc>
                  <m:mcPr>
                    <m:count m:val="1"/>
                    <m:mcJc m:val="center"/>
                  </m:mcPr>
                </m:mc>
              </m:mcs>
              <m:ctrlPr>
                <w:rPr>
                  <w:rFonts w:ascii="Cambria Math" w:hAnsi="Cambria Math"/>
                  <w:sz w:val="20"/>
                </w:rPr>
              </m:ctrlPr>
            </m:mPr>
            <m:mr>
              <m:e>
                <m:sSubSup>
                  <m:sSubSupPr>
                    <m:ctrlPr>
                      <w:rPr>
                        <w:rFonts w:ascii="Cambria Math" w:hAnsi="Cambria Math"/>
                        <w:sz w:val="20"/>
                      </w:rPr>
                    </m:ctrlPr>
                  </m:sSubSupPr>
                  <m:e>
                    <m:r>
                      <w:rPr>
                        <w:rFonts w:ascii="Cambria Math" w:hAnsi="Cambria Math"/>
                        <w:sz w:val="20"/>
                      </w:rPr>
                      <m:t>o</m:t>
                    </m:r>
                  </m:e>
                  <m:sub>
                    <m:r>
                      <w:rPr>
                        <w:rFonts w:ascii="Cambria Math" w:hAnsi="Cambria Math"/>
                        <w:sz w:val="20"/>
                      </w:rPr>
                      <m:t>i</m:t>
                    </m:r>
                  </m:sub>
                  <m:sup>
                    <m:r>
                      <w:rPr>
                        <w:rFonts w:ascii="Cambria Math" w:hAnsi="Cambria Math"/>
                        <w:sz w:val="20"/>
                      </w:rPr>
                      <m:t>d</m:t>
                    </m:r>
                  </m:sup>
                </m:sSubSup>
                <m:r>
                  <m:rPr>
                    <m:sty m:val="p"/>
                  </m:rPr>
                  <w:rPr>
                    <w:rFonts w:ascii="Cambria Math" w:hAnsi="Cambria Math"/>
                    <w:sz w:val="20"/>
                  </w:rPr>
                  <m:t>(</m:t>
                </m:r>
                <m:r>
                  <w:rPr>
                    <w:rFonts w:ascii="Cambria Math" w:hAnsi="Cambria Math"/>
                    <w:sz w:val="20"/>
                  </w:rPr>
                  <m:t>t</m:t>
                </m:r>
                <m:r>
                  <m:rPr>
                    <m:sty m:val="p"/>
                  </m:rPr>
                  <w:rPr>
                    <w:rFonts w:ascii="Cambria Math" w:hAnsi="Cambria Math"/>
                    <w:sz w:val="20"/>
                  </w:rPr>
                  <m:t>)={</m:t>
                </m:r>
                <m:sSub>
                  <m:sSubPr>
                    <m:ctrlPr>
                      <w:rPr>
                        <w:rFonts w:ascii="Cambria Math" w:hAnsi="Cambria Math"/>
                        <w:sz w:val="20"/>
                      </w:rPr>
                    </m:ctrlPr>
                  </m:sSubPr>
                  <m:e>
                    <m:r>
                      <w:rPr>
                        <w:rFonts w:ascii="Cambria Math" w:hAnsi="Cambria Math"/>
                        <w:sz w:val="20"/>
                      </w:rPr>
                      <m:t>q</m:t>
                    </m:r>
                  </m:e>
                  <m:sub>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r>
                  <w:rPr>
                    <w:rFonts w:ascii="Cambria Math" w:hAnsi="Cambria Math"/>
                    <w:sz w:val="20"/>
                  </w:rPr>
                  <m:t>S</m:t>
                </m:r>
                <m:sSub>
                  <m:sSubPr>
                    <m:ctrlPr>
                      <w:rPr>
                        <w:rFonts w:ascii="Cambria Math" w:hAnsi="Cambria Math"/>
                        <w:sz w:val="20"/>
                      </w:rPr>
                    </m:ctrlPr>
                  </m:sSubPr>
                  <m:e>
                    <m:r>
                      <w:rPr>
                        <w:rFonts w:ascii="Cambria Math" w:hAnsi="Cambria Math"/>
                        <w:sz w:val="20"/>
                      </w:rPr>
                      <m:t>C</m:t>
                    </m:r>
                  </m:e>
                  <m:sub>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r>
                  <w:rPr>
                    <w:rFonts w:ascii="Cambria Math" w:hAnsi="Cambria Math"/>
                    <w:sz w:val="20"/>
                  </w:rPr>
                  <m:t>W</m:t>
                </m:r>
                <m:sSub>
                  <m:sSubPr>
                    <m:ctrlPr>
                      <w:rPr>
                        <w:rFonts w:ascii="Cambria Math" w:hAnsi="Cambria Math"/>
                        <w:sz w:val="20"/>
                      </w:rPr>
                    </m:ctrlPr>
                  </m:sSubPr>
                  <m:e>
                    <m:r>
                      <w:rPr>
                        <w:rFonts w:ascii="Cambria Math" w:hAnsi="Cambria Math"/>
                        <w:sz w:val="20"/>
                      </w:rPr>
                      <m:t>T</m:t>
                    </m:r>
                  </m:e>
                  <m:sub>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sSub>
                  <m:sSubPr>
                    <m:ctrlPr>
                      <w:rPr>
                        <w:rFonts w:ascii="Cambria Math" w:hAnsi="Cambria Math"/>
                        <w:sz w:val="20"/>
                      </w:rPr>
                    </m:ctrlPr>
                  </m:sSubPr>
                  <m:e>
                    <m:r>
                      <w:rPr>
                        <w:rFonts w:ascii="Cambria Math" w:hAnsi="Cambria Math"/>
                        <w:sz w:val="20"/>
                      </w:rPr>
                      <m:t>L</m:t>
                    </m:r>
                  </m:e>
                  <m:sub>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r>
                  <w:rPr>
                    <w:rFonts w:ascii="Cambria Math" w:hAnsi="Cambria Math"/>
                    <w:sz w:val="20"/>
                  </w:rPr>
                  <m:t>E</m:t>
                </m:r>
                <m:sSub>
                  <m:sSubPr>
                    <m:ctrlPr>
                      <w:rPr>
                        <w:rFonts w:ascii="Cambria Math" w:hAnsi="Cambria Math"/>
                        <w:sz w:val="20"/>
                      </w:rPr>
                    </m:ctrlPr>
                  </m:sSubPr>
                  <m:e>
                    <m:r>
                      <w:rPr>
                        <w:rFonts w:ascii="Cambria Math" w:hAnsi="Cambria Math"/>
                        <w:sz w:val="20"/>
                      </w:rPr>
                      <m:t>V</m:t>
                    </m:r>
                  </m:e>
                  <m:sub>
                    <m:r>
                      <m:rPr>
                        <m:nor/>
                      </m:rPr>
                      <w:rPr>
                        <w:sz w:val="20"/>
                      </w:rPr>
                      <m:t>incoming</m:t>
                    </m:r>
                    <m:r>
                      <m:rPr>
                        <m:sty m:val="p"/>
                      </m:rPr>
                      <w:rPr>
                        <w:rFonts w:ascii="Cambria Math" w:hAnsi="Cambria Math"/>
                        <w:sz w:val="20"/>
                      </w:rPr>
                      <m:t>,</m:t>
                    </m:r>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e>
            </m:mr>
            <m:mr>
              <m:e>
                <m:r>
                  <w:rPr>
                    <w:rFonts w:ascii="Cambria Math" w:hAnsi="Cambria Math"/>
                    <w:sz w:val="20"/>
                  </w:rPr>
                  <m:t>outage</m:t>
                </m:r>
                <m:r>
                  <m:rPr>
                    <m:sty m:val="p"/>
                  </m:rPr>
                  <w:rPr>
                    <w:rFonts w:ascii="Cambria Math" w:hAnsi="Cambria Math"/>
                    <w:sz w:val="20"/>
                  </w:rPr>
                  <m:t>_</m:t>
                </m:r>
                <m:r>
                  <w:rPr>
                    <w:rFonts w:ascii="Cambria Math" w:hAnsi="Cambria Math"/>
                    <w:sz w:val="20"/>
                  </w:rPr>
                  <m:t>status</m:t>
                </m:r>
                <m:r>
                  <m:rPr>
                    <m:sty m:val="p"/>
                  </m:rPr>
                  <w:rPr>
                    <w:rFonts w:ascii="Cambria Math" w:hAnsi="Cambria Math"/>
                    <w:sz w:val="20"/>
                  </w:rPr>
                  <m:t>,</m:t>
                </m:r>
                <m:r>
                  <w:rPr>
                    <w:rFonts w:ascii="Cambria Math" w:hAnsi="Cambria Math"/>
                    <w:sz w:val="20"/>
                  </w:rPr>
                  <m:t>critical</m:t>
                </m:r>
                <m:r>
                  <m:rPr>
                    <m:sty m:val="p"/>
                  </m:rPr>
                  <w:rPr>
                    <w:rFonts w:ascii="Cambria Math" w:hAnsi="Cambria Math"/>
                    <w:sz w:val="20"/>
                  </w:rPr>
                  <m:t>_</m:t>
                </m:r>
                <m:r>
                  <w:rPr>
                    <w:rFonts w:ascii="Cambria Math" w:hAnsi="Cambria Math"/>
                    <w:sz w:val="20"/>
                  </w:rPr>
                  <m:t>soc</m:t>
                </m:r>
                <m:r>
                  <m:rPr>
                    <m:sty m:val="p"/>
                  </m:rPr>
                  <w:rPr>
                    <w:rFonts w:ascii="Cambria Math" w:hAnsi="Cambria Math"/>
                    <w:sz w:val="20"/>
                  </w:rPr>
                  <m:t>_</m:t>
                </m:r>
                <m:r>
                  <w:rPr>
                    <w:rFonts w:ascii="Cambria Math" w:hAnsi="Cambria Math"/>
                    <w:sz w:val="20"/>
                  </w:rPr>
                  <m:t>pct</m:t>
                </m:r>
                <m:r>
                  <m:rPr>
                    <m:sty m:val="p"/>
                  </m:rPr>
                  <w:rPr>
                    <w:rFonts w:ascii="Cambria Math" w:hAnsi="Cambria Math"/>
                    <w:sz w:val="20"/>
                  </w:rPr>
                  <m:t>,</m:t>
                </m:r>
              </m:e>
            </m:mr>
            <m:mr>
              <m:e>
                <m:r>
                  <w:rPr>
                    <w:rFonts w:ascii="Cambria Math" w:hAnsi="Cambria Math"/>
                    <w:sz w:val="20"/>
                  </w:rPr>
                  <m:t>low</m:t>
                </m:r>
                <m:r>
                  <m:rPr>
                    <m:sty m:val="p"/>
                  </m:rPr>
                  <w:rPr>
                    <w:rFonts w:ascii="Cambria Math" w:hAnsi="Cambria Math"/>
                    <w:sz w:val="20"/>
                  </w:rPr>
                  <m:t>_</m:t>
                </m:r>
                <m:r>
                  <w:rPr>
                    <w:rFonts w:ascii="Cambria Math" w:hAnsi="Cambria Math"/>
                    <w:sz w:val="20"/>
                  </w:rPr>
                  <m:t>soc</m:t>
                </m:r>
                <m:r>
                  <m:rPr>
                    <m:sty m:val="p"/>
                  </m:rPr>
                  <w:rPr>
                    <w:rFonts w:ascii="Cambria Math" w:hAnsi="Cambria Math"/>
                    <w:sz w:val="20"/>
                  </w:rPr>
                  <m:t>_</m:t>
                </m:r>
                <m:r>
                  <w:rPr>
                    <w:rFonts w:ascii="Cambria Math" w:hAnsi="Cambria Math"/>
                    <w:sz w:val="20"/>
                  </w:rPr>
                  <m:t>pct</m:t>
                </m:r>
                <m:r>
                  <m:rPr>
                    <m:sty m:val="p"/>
                  </m:rPr>
                  <w:rPr>
                    <w:rFonts w:ascii="Cambria Math" w:hAnsi="Cambria Math"/>
                    <w:sz w:val="20"/>
                  </w:rPr>
                  <m:t>,</m:t>
                </m:r>
                <m:r>
                  <w:rPr>
                    <w:rFonts w:ascii="Cambria Math" w:hAnsi="Cambria Math"/>
                    <w:sz w:val="20"/>
                  </w:rPr>
                  <m:t>med</m:t>
                </m:r>
                <m:r>
                  <m:rPr>
                    <m:sty m:val="p"/>
                  </m:rPr>
                  <w:rPr>
                    <w:rFonts w:ascii="Cambria Math" w:hAnsi="Cambria Math"/>
                    <w:sz w:val="20"/>
                  </w:rPr>
                  <m:t>_</m:t>
                </m:r>
                <m:r>
                  <w:rPr>
                    <w:rFonts w:ascii="Cambria Math" w:hAnsi="Cambria Math"/>
                    <w:sz w:val="20"/>
                  </w:rPr>
                  <m:t>soc</m:t>
                </m:r>
                <m:r>
                  <m:rPr>
                    <m:sty m:val="p"/>
                  </m:rPr>
                  <w:rPr>
                    <w:rFonts w:ascii="Cambria Math" w:hAnsi="Cambria Math"/>
                    <w:sz w:val="20"/>
                  </w:rPr>
                  <m:t>_</m:t>
                </m:r>
                <m:r>
                  <w:rPr>
                    <w:rFonts w:ascii="Cambria Math" w:hAnsi="Cambria Math"/>
                    <w:sz w:val="20"/>
                  </w:rPr>
                  <m:t>pct</m:t>
                </m:r>
                <m:r>
                  <m:rPr>
                    <m:sty m:val="p"/>
                  </m:rPr>
                  <w:rPr>
                    <w:rFonts w:ascii="Cambria Math" w:hAnsi="Cambria Math"/>
                    <w:sz w:val="20"/>
                  </w:rPr>
                  <m:t>,</m:t>
                </m:r>
                <m:r>
                  <w:rPr>
                    <w:rFonts w:ascii="Cambria Math" w:hAnsi="Cambria Math"/>
                    <w:sz w:val="20"/>
                  </w:rPr>
                  <m:t>high</m:t>
                </m:r>
                <m:r>
                  <m:rPr>
                    <m:sty m:val="p"/>
                  </m:rPr>
                  <w:rPr>
                    <w:rFonts w:ascii="Cambria Math" w:hAnsi="Cambria Math"/>
                    <w:sz w:val="20"/>
                  </w:rPr>
                  <m:t>_</m:t>
                </m:r>
                <m:r>
                  <w:rPr>
                    <w:rFonts w:ascii="Cambria Math" w:hAnsi="Cambria Math"/>
                    <w:sz w:val="20"/>
                  </w:rPr>
                  <m:t>soc</m:t>
                </m:r>
                <m:r>
                  <m:rPr>
                    <m:sty m:val="p"/>
                  </m:rPr>
                  <w:rPr>
                    <w:rFonts w:ascii="Cambria Math" w:hAnsi="Cambria Math"/>
                    <w:sz w:val="20"/>
                  </w:rPr>
                  <m:t>_</m:t>
                </m:r>
                <m:r>
                  <w:rPr>
                    <w:rFonts w:ascii="Cambria Math" w:hAnsi="Cambria Math"/>
                    <w:sz w:val="20"/>
                  </w:rPr>
                  <m:t>pct</m:t>
                </m:r>
                <m:r>
                  <m:rPr>
                    <m:sty m:val="p"/>
                  </m:rPr>
                  <w:rPr>
                    <w:rFonts w:ascii="Cambria Math" w:hAnsi="Cambria Math"/>
                    <w:sz w:val="20"/>
                  </w:rPr>
                  <m:t>}            (15)</m:t>
                </m:r>
              </m:e>
            </m:mr>
          </m:m>
        </m:oMath>
      </m:oMathPara>
    </w:p>
    <w:p w14:paraId="78278892" w14:textId="6DE1CF87" w:rsidR="0013069B" w:rsidRPr="0013069B" w:rsidRDefault="0013069B" w:rsidP="00727563">
      <w:pPr>
        <w:pStyle w:val="PlainText"/>
        <w:spacing w:before="240"/>
        <w:rPr>
          <w:sz w:val="20"/>
        </w:rPr>
      </w:pPr>
      <w:r w:rsidRPr="0013069B">
        <w:rPr>
          <w:sz w:val="20"/>
        </w:rPr>
        <w:t xml:space="preserve">where </w:t>
      </w:r>
      <m:oMath>
        <m:sSub>
          <m:sSubPr>
            <m:ctrlPr>
              <w:rPr>
                <w:rFonts w:ascii="Cambria Math" w:hAnsi="Cambria Math"/>
                <w:sz w:val="20"/>
              </w:rPr>
            </m:ctrlPr>
          </m:sSubPr>
          <m:e>
            <m:r>
              <w:rPr>
                <w:rFonts w:ascii="Cambria Math" w:hAnsi="Cambria Math"/>
                <w:sz w:val="20"/>
              </w:rPr>
              <m:t>q</m:t>
            </m:r>
          </m:e>
          <m:sub>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represents the current queue length, </w:t>
      </w:r>
      <m:oMath>
        <m:r>
          <w:rPr>
            <w:rFonts w:ascii="Cambria Math" w:hAnsi="Cambria Math"/>
            <w:sz w:val="20"/>
          </w:rPr>
          <m:t>S</m:t>
        </m:r>
        <m:sSub>
          <m:sSubPr>
            <m:ctrlPr>
              <w:rPr>
                <w:rFonts w:ascii="Cambria Math" w:hAnsi="Cambria Math"/>
                <w:sz w:val="20"/>
              </w:rPr>
            </m:ctrlPr>
          </m:sSubPr>
          <m:e>
            <m:r>
              <w:rPr>
                <w:rFonts w:ascii="Cambria Math" w:hAnsi="Cambria Math"/>
                <w:sz w:val="20"/>
              </w:rPr>
              <m:t>C</m:t>
            </m:r>
          </m:e>
          <m:sub>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is the successful charging attempts, </w:t>
      </w:r>
      <m:oMath>
        <m:r>
          <w:rPr>
            <w:rFonts w:ascii="Cambria Math" w:hAnsi="Cambria Math"/>
            <w:sz w:val="20"/>
          </w:rPr>
          <m:t>W</m:t>
        </m:r>
        <m:sSub>
          <m:sSubPr>
            <m:ctrlPr>
              <w:rPr>
                <w:rFonts w:ascii="Cambria Math" w:hAnsi="Cambria Math"/>
                <w:sz w:val="20"/>
              </w:rPr>
            </m:ctrlPr>
          </m:sSubPr>
          <m:e>
            <m:r>
              <w:rPr>
                <w:rFonts w:ascii="Cambria Math" w:hAnsi="Cambria Math"/>
                <w:sz w:val="20"/>
              </w:rPr>
              <m:t>T</m:t>
            </m:r>
          </m:e>
          <m:sub>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is the waiting time, </w:t>
      </w:r>
      <m:oMath>
        <m:sSub>
          <m:sSubPr>
            <m:ctrlPr>
              <w:rPr>
                <w:rFonts w:ascii="Cambria Math" w:hAnsi="Cambria Math"/>
                <w:sz w:val="20"/>
              </w:rPr>
            </m:ctrlPr>
          </m:sSubPr>
          <m:e>
            <m:r>
              <w:rPr>
                <w:rFonts w:ascii="Cambria Math" w:hAnsi="Cambria Math"/>
                <w:sz w:val="20"/>
              </w:rPr>
              <m:t>L</m:t>
            </m:r>
          </m:e>
          <m:sub>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is the power load, </w:t>
      </w:r>
      <m:oMath>
        <m:r>
          <w:rPr>
            <w:rFonts w:ascii="Cambria Math" w:hAnsi="Cambria Math"/>
            <w:sz w:val="20"/>
          </w:rPr>
          <m:t>E</m:t>
        </m:r>
        <m:sSub>
          <m:sSubPr>
            <m:ctrlPr>
              <w:rPr>
                <w:rFonts w:ascii="Cambria Math" w:hAnsi="Cambria Math"/>
                <w:sz w:val="20"/>
              </w:rPr>
            </m:ctrlPr>
          </m:sSubPr>
          <m:e>
            <m:r>
              <w:rPr>
                <w:rFonts w:ascii="Cambria Math" w:hAnsi="Cambria Math"/>
                <w:sz w:val="20"/>
              </w:rPr>
              <m:t>V</m:t>
            </m:r>
          </m:e>
          <m:sub>
            <m:r>
              <m:rPr>
                <m:nor/>
              </m:rPr>
              <w:rPr>
                <w:sz w:val="20"/>
              </w:rPr>
              <m:t>incoming</m:t>
            </m:r>
            <m:r>
              <m:rPr>
                <m:sty m:val="p"/>
              </m:rPr>
              <w:rPr>
                <w:rFonts w:ascii="Cambria Math" w:hAnsi="Cambria Math"/>
                <w:sz w:val="20"/>
              </w:rPr>
              <m:t>,</m:t>
            </m:r>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tracks incoming EVs, </w:t>
      </w:r>
      <m:oMath>
        <m:r>
          <w:rPr>
            <w:rFonts w:ascii="Cambria Math" w:hAnsi="Cambria Math"/>
            <w:sz w:val="20"/>
          </w:rPr>
          <m:t>outage</m:t>
        </m:r>
        <m:r>
          <m:rPr>
            <m:sty m:val="p"/>
          </m:rPr>
          <w:rPr>
            <w:rFonts w:ascii="Cambria Math" w:hAnsi="Cambria Math"/>
            <w:sz w:val="20"/>
          </w:rPr>
          <m:t>_</m:t>
        </m:r>
        <m:r>
          <w:rPr>
            <w:rFonts w:ascii="Cambria Math" w:hAnsi="Cambria Math"/>
            <w:sz w:val="20"/>
          </w:rPr>
          <m:t>status</m:t>
        </m:r>
      </m:oMath>
      <w:r w:rsidRPr="0013069B">
        <w:rPr>
          <w:sz w:val="20"/>
        </w:rPr>
        <w:t xml:space="preserve"> </w:t>
      </w:r>
      <w:r w:rsidRPr="0013069B">
        <w:rPr>
          <w:sz w:val="20"/>
        </w:rPr>
        <w:t xml:space="preserve">indicates outage conditions, and </w:t>
      </w:r>
      <m:oMath>
        <m:r>
          <w:rPr>
            <w:rFonts w:ascii="Cambria Math" w:hAnsi="Cambria Math"/>
            <w:sz w:val="20"/>
          </w:rPr>
          <m:t>critical</m:t>
        </m:r>
        <m:r>
          <m:rPr>
            <m:sty m:val="p"/>
          </m:rPr>
          <w:rPr>
            <w:rFonts w:ascii="Cambria Math" w:hAnsi="Cambria Math"/>
            <w:sz w:val="20"/>
          </w:rPr>
          <m:t>_</m:t>
        </m:r>
        <m:r>
          <w:rPr>
            <w:rFonts w:ascii="Cambria Math" w:hAnsi="Cambria Math"/>
            <w:sz w:val="20"/>
          </w:rPr>
          <m:t>soc</m:t>
        </m:r>
        <m:r>
          <m:rPr>
            <m:sty m:val="p"/>
          </m:rPr>
          <w:rPr>
            <w:rFonts w:ascii="Cambria Math" w:hAnsi="Cambria Math"/>
            <w:sz w:val="20"/>
          </w:rPr>
          <m:t>_</m:t>
        </m:r>
        <m:r>
          <w:rPr>
            <w:rFonts w:ascii="Cambria Math" w:hAnsi="Cambria Math"/>
            <w:sz w:val="20"/>
          </w:rPr>
          <m:t>pct</m:t>
        </m:r>
      </m:oMath>
      <w:r w:rsidRPr="0013069B">
        <w:rPr>
          <w:sz w:val="20"/>
        </w:rPr>
        <w:t xml:space="preserve">, </w:t>
      </w:r>
      <m:oMath>
        <m:r>
          <w:rPr>
            <w:rFonts w:ascii="Cambria Math" w:hAnsi="Cambria Math"/>
            <w:sz w:val="20"/>
          </w:rPr>
          <m:t>low</m:t>
        </m:r>
        <m:r>
          <m:rPr>
            <m:sty m:val="p"/>
          </m:rPr>
          <w:rPr>
            <w:rFonts w:ascii="Cambria Math" w:hAnsi="Cambria Math"/>
            <w:sz w:val="20"/>
          </w:rPr>
          <m:t>_</m:t>
        </m:r>
        <m:r>
          <w:rPr>
            <w:rFonts w:ascii="Cambria Math" w:hAnsi="Cambria Math"/>
            <w:sz w:val="20"/>
          </w:rPr>
          <m:t>soc</m:t>
        </m:r>
        <m:r>
          <m:rPr>
            <m:sty m:val="p"/>
          </m:rPr>
          <w:rPr>
            <w:rFonts w:ascii="Cambria Math" w:hAnsi="Cambria Math"/>
            <w:sz w:val="20"/>
          </w:rPr>
          <m:t>_</m:t>
        </m:r>
        <m:r>
          <w:rPr>
            <w:rFonts w:ascii="Cambria Math" w:hAnsi="Cambria Math"/>
            <w:sz w:val="20"/>
          </w:rPr>
          <m:t>pct</m:t>
        </m:r>
      </m:oMath>
      <w:r w:rsidRPr="0013069B">
        <w:rPr>
          <w:sz w:val="20"/>
        </w:rPr>
        <w:t xml:space="preserve">, </w:t>
      </w:r>
      <m:oMath>
        <m:r>
          <w:rPr>
            <w:rFonts w:ascii="Cambria Math" w:hAnsi="Cambria Math"/>
            <w:sz w:val="20"/>
          </w:rPr>
          <m:t>med</m:t>
        </m:r>
        <m:r>
          <m:rPr>
            <m:sty m:val="p"/>
          </m:rPr>
          <w:rPr>
            <w:rFonts w:ascii="Cambria Math" w:hAnsi="Cambria Math"/>
            <w:sz w:val="20"/>
          </w:rPr>
          <m:t>_</m:t>
        </m:r>
        <m:r>
          <w:rPr>
            <w:rFonts w:ascii="Cambria Math" w:hAnsi="Cambria Math"/>
            <w:sz w:val="20"/>
          </w:rPr>
          <m:t>soc</m:t>
        </m:r>
        <m:r>
          <m:rPr>
            <m:sty m:val="p"/>
          </m:rPr>
          <w:rPr>
            <w:rFonts w:ascii="Cambria Math" w:hAnsi="Cambria Math"/>
            <w:sz w:val="20"/>
          </w:rPr>
          <m:t>_</m:t>
        </m:r>
        <m:r>
          <w:rPr>
            <w:rFonts w:ascii="Cambria Math" w:hAnsi="Cambria Math"/>
            <w:sz w:val="20"/>
          </w:rPr>
          <m:t>pct</m:t>
        </m:r>
      </m:oMath>
      <w:r w:rsidRPr="0013069B">
        <w:rPr>
          <w:sz w:val="20"/>
        </w:rPr>
        <w:t xml:space="preserve">, and </w:t>
      </w:r>
      <m:oMath>
        <m:r>
          <w:rPr>
            <w:rFonts w:ascii="Cambria Math" w:hAnsi="Cambria Math"/>
            <w:sz w:val="20"/>
          </w:rPr>
          <m:t>high</m:t>
        </m:r>
        <m:r>
          <m:rPr>
            <m:sty m:val="p"/>
          </m:rPr>
          <w:rPr>
            <w:rFonts w:ascii="Cambria Math" w:hAnsi="Cambria Math"/>
            <w:sz w:val="20"/>
          </w:rPr>
          <m:t>_</m:t>
        </m:r>
        <m:r>
          <w:rPr>
            <w:rFonts w:ascii="Cambria Math" w:hAnsi="Cambria Math"/>
            <w:sz w:val="20"/>
          </w:rPr>
          <m:t>soc</m:t>
        </m:r>
        <m:r>
          <m:rPr>
            <m:sty m:val="p"/>
          </m:rPr>
          <w:rPr>
            <w:rFonts w:ascii="Cambria Math" w:hAnsi="Cambria Math"/>
            <w:sz w:val="20"/>
          </w:rPr>
          <m:t>_</m:t>
        </m:r>
        <m:r>
          <w:rPr>
            <w:rFonts w:ascii="Cambria Math" w:hAnsi="Cambria Math"/>
            <w:sz w:val="20"/>
          </w:rPr>
          <m:t>pct</m:t>
        </m:r>
      </m:oMath>
      <w:r w:rsidRPr="0013069B">
        <w:rPr>
          <w:sz w:val="20"/>
        </w:rPr>
        <w:t xml:space="preserve"> represent the percentage of EVs in each State of Charge (SoC) category.</w:t>
      </w:r>
    </w:p>
    <w:p w14:paraId="1FAF38FC" w14:textId="77777777" w:rsidR="0013069B" w:rsidRPr="0013069B" w:rsidRDefault="0013069B" w:rsidP="00727563">
      <w:pPr>
        <w:pStyle w:val="PlainText"/>
        <w:spacing w:after="240"/>
        <w:ind w:firstLine="284"/>
        <w:rPr>
          <w:sz w:val="20"/>
        </w:rPr>
      </w:pPr>
      <w:r w:rsidRPr="0013069B">
        <w:rPr>
          <w:sz w:val="20"/>
        </w:rPr>
        <w:t>The action space consists of cluster-specific charging policies, where the agent assigns different charging strategies to each SoC cluster:</w:t>
      </w:r>
    </w:p>
    <w:p w14:paraId="2029DD69" w14:textId="757043A4" w:rsidR="0013069B" w:rsidRPr="0013069B" w:rsidRDefault="00000000" w:rsidP="00727563">
      <w:pPr>
        <w:pStyle w:val="PlainText"/>
        <w:spacing w:after="240"/>
        <w:rPr>
          <w:sz w:val="20"/>
        </w:rPr>
      </w:pPr>
      <m:oMath>
        <m:sSubSup>
          <m:sSubSupPr>
            <m:ctrlPr>
              <w:rPr>
                <w:rFonts w:ascii="Cambria Math" w:hAnsi="Cambria Math"/>
                <w:sz w:val="20"/>
              </w:rPr>
            </m:ctrlPr>
          </m:sSubSupPr>
          <m:e>
            <m:r>
              <w:rPr>
                <w:rFonts w:ascii="Cambria Math" w:hAnsi="Cambria Math"/>
                <w:sz w:val="20"/>
              </w:rPr>
              <m:t>a</m:t>
            </m:r>
          </m:e>
          <m:sub>
            <m:r>
              <w:rPr>
                <w:rFonts w:ascii="Cambria Math" w:hAnsi="Cambria Math"/>
                <w:sz w:val="20"/>
              </w:rPr>
              <m:t>i</m:t>
            </m:r>
          </m:sub>
          <m:sup>
            <m:r>
              <w:rPr>
                <w:rFonts w:ascii="Cambria Math" w:hAnsi="Cambria Math"/>
                <w:sz w:val="20"/>
              </w:rPr>
              <m:t>d</m:t>
            </m:r>
          </m:sup>
        </m:sSubSup>
        <m:r>
          <m:rPr>
            <m:sty m:val="p"/>
          </m:rPr>
          <w:rPr>
            <w:rFonts w:ascii="Cambria Math" w:hAnsi="Cambria Math"/>
            <w:sz w:val="20"/>
          </w:rPr>
          <m:t>(</m:t>
        </m:r>
        <m:r>
          <w:rPr>
            <w:rFonts w:ascii="Cambria Math" w:hAnsi="Cambria Math"/>
            <w:sz w:val="20"/>
          </w:rPr>
          <m:t>t</m:t>
        </m:r>
        <m:r>
          <m:rPr>
            <m:sty m:val="p"/>
          </m:rPr>
          <w:rPr>
            <w:rFonts w:ascii="Cambria Math" w:hAnsi="Cambria Math"/>
            <w:sz w:val="20"/>
          </w:rPr>
          <m:t>)={</m:t>
        </m:r>
        <m:sSubSup>
          <m:sSubSupPr>
            <m:ctrlPr>
              <w:rPr>
                <w:rFonts w:ascii="Cambria Math" w:hAnsi="Cambria Math"/>
                <w:sz w:val="20"/>
              </w:rPr>
            </m:ctrlPr>
          </m:sSubSupPr>
          <m:e>
            <m:r>
              <w:rPr>
                <w:rFonts w:ascii="Cambria Math" w:hAnsi="Cambria Math"/>
                <w:sz w:val="20"/>
              </w:rPr>
              <m:t>a</m:t>
            </m:r>
          </m:e>
          <m:sub>
            <m:r>
              <w:rPr>
                <w:rFonts w:ascii="Cambria Math" w:hAnsi="Cambria Math"/>
                <w:sz w:val="20"/>
              </w:rPr>
              <m:t>i</m:t>
            </m:r>
            <m:r>
              <m:rPr>
                <m:sty m:val="p"/>
              </m:rPr>
              <w:rPr>
                <w:rFonts w:ascii="Cambria Math" w:hAnsi="Cambria Math"/>
                <w:sz w:val="20"/>
              </w:rPr>
              <m:t>,</m:t>
            </m:r>
            <m:r>
              <w:rPr>
                <w:rFonts w:ascii="Cambria Math" w:hAnsi="Cambria Math"/>
                <w:sz w:val="20"/>
              </w:rPr>
              <m:t>s</m:t>
            </m:r>
          </m:sub>
          <m:sup>
            <m:r>
              <w:rPr>
                <w:rFonts w:ascii="Cambria Math" w:hAnsi="Cambria Math"/>
                <w:sz w:val="20"/>
              </w:rPr>
              <m:t>d</m:t>
            </m:r>
          </m:sup>
        </m:sSubSup>
        <m:r>
          <m:rPr>
            <m:sty m:val="p"/>
          </m:rPr>
          <w:rPr>
            <w:rFonts w:ascii="Cambria Math" w:hAnsi="Cambria Math"/>
            <w:sz w:val="20"/>
          </w:rPr>
          <m:t>(</m:t>
        </m:r>
        <m:r>
          <w:rPr>
            <w:rFonts w:ascii="Cambria Math" w:hAnsi="Cambria Math"/>
            <w:sz w:val="20"/>
          </w:rPr>
          <m:t>t</m:t>
        </m:r>
        <m:r>
          <m:rPr>
            <m:sty m:val="p"/>
          </m:rPr>
          <w:rPr>
            <w:rFonts w:ascii="Cambria Math" w:hAnsi="Cambria Math"/>
            <w:sz w:val="20"/>
          </w:rPr>
          <m:t>)∣</m:t>
        </m:r>
        <m:r>
          <w:rPr>
            <w:rFonts w:ascii="Cambria Math" w:hAnsi="Cambria Math"/>
            <w:sz w:val="20"/>
          </w:rPr>
          <m:t>s</m:t>
        </m:r>
        <m:r>
          <m:rPr>
            <m:sty m:val="p"/>
          </m:rPr>
          <w:rPr>
            <w:rFonts w:ascii="Cambria Math" w:hAnsi="Cambria Math"/>
            <w:sz w:val="20"/>
          </w:rPr>
          <m:t>∈{</m:t>
        </m:r>
        <m:r>
          <m:rPr>
            <m:nor/>
          </m:rPr>
          <w:rPr>
            <w:sz w:val="20"/>
          </w:rPr>
          <m:t>critical</m:t>
        </m:r>
        <m:r>
          <m:rPr>
            <m:sty m:val="p"/>
          </m:rPr>
          <w:rPr>
            <w:rFonts w:ascii="Cambria Math" w:hAnsi="Cambria Math"/>
            <w:sz w:val="20"/>
          </w:rPr>
          <m:t>,</m:t>
        </m:r>
        <m:r>
          <m:rPr>
            <m:nor/>
          </m:rPr>
          <w:rPr>
            <w:sz w:val="20"/>
          </w:rPr>
          <m:t>low</m:t>
        </m:r>
        <m:r>
          <m:rPr>
            <m:sty m:val="p"/>
          </m:rPr>
          <w:rPr>
            <w:rFonts w:ascii="Cambria Math" w:hAnsi="Cambria Math"/>
            <w:sz w:val="20"/>
          </w:rPr>
          <m:t>,</m:t>
        </m:r>
        <m:r>
          <m:rPr>
            <m:nor/>
          </m:rPr>
          <w:rPr>
            <w:sz w:val="20"/>
          </w:rPr>
          <m:t>medium</m:t>
        </m:r>
        <m:r>
          <m:rPr>
            <m:sty m:val="p"/>
          </m:rPr>
          <w:rPr>
            <w:rFonts w:ascii="Cambria Math" w:hAnsi="Cambria Math"/>
            <w:sz w:val="20"/>
          </w:rPr>
          <m:t>,</m:t>
        </m:r>
        <m:r>
          <m:rPr>
            <m:nor/>
          </m:rPr>
          <w:rPr>
            <w:sz w:val="20"/>
          </w:rPr>
          <m:t>high</m:t>
        </m:r>
        <m:r>
          <m:rPr>
            <m:sty m:val="p"/>
          </m:rPr>
          <w:rPr>
            <w:rFonts w:ascii="Cambria Math" w:hAnsi="Cambria Math"/>
            <w:sz w:val="20"/>
          </w:rPr>
          <m:t>}}</m:t>
        </m:r>
      </m:oMath>
      <w:r w:rsidR="00727563">
        <w:rPr>
          <w:sz w:val="20"/>
        </w:rPr>
        <w:t xml:space="preserve"> (16)</w:t>
      </w:r>
    </w:p>
    <w:p w14:paraId="011FD206" w14:textId="7CBFAA0C" w:rsidR="0013069B" w:rsidRPr="0013069B" w:rsidRDefault="0013069B" w:rsidP="00BC1D6C">
      <w:pPr>
        <w:pStyle w:val="PlainText"/>
        <w:spacing w:after="240"/>
        <w:ind w:firstLine="284"/>
        <w:rPr>
          <w:sz w:val="20"/>
        </w:rPr>
      </w:pPr>
      <w:r w:rsidRPr="0013069B">
        <w:rPr>
          <w:sz w:val="20"/>
        </w:rPr>
        <w:t xml:space="preserve">For each SoC cluster </w:t>
      </w:r>
      <m:oMath>
        <m:r>
          <w:rPr>
            <w:rFonts w:ascii="Cambria Math" w:hAnsi="Cambria Math"/>
            <w:sz w:val="20"/>
          </w:rPr>
          <m:t>s</m:t>
        </m:r>
      </m:oMath>
      <w:r w:rsidRPr="0013069B">
        <w:rPr>
          <w:sz w:val="20"/>
        </w:rPr>
        <w:t>, the charging policy is a probability distribution over four charging options:</w:t>
      </w:r>
    </w:p>
    <w:p w14:paraId="3CC8F198" w14:textId="5408FDEF" w:rsidR="0013069B" w:rsidRPr="0013069B" w:rsidRDefault="00000000" w:rsidP="00BC1D6C">
      <w:pPr>
        <w:pStyle w:val="PlainText"/>
        <w:spacing w:after="240"/>
        <w:rPr>
          <w:sz w:val="20"/>
        </w:rPr>
      </w:pPr>
      <m:oMath>
        <m:sSubSup>
          <m:sSubSupPr>
            <m:ctrlPr>
              <w:rPr>
                <w:rFonts w:ascii="Cambria Math" w:hAnsi="Cambria Math"/>
                <w:sz w:val="20"/>
              </w:rPr>
            </m:ctrlPr>
          </m:sSubSupPr>
          <m:e>
            <m:r>
              <w:rPr>
                <w:rFonts w:ascii="Cambria Math" w:hAnsi="Cambria Math"/>
                <w:sz w:val="20"/>
              </w:rPr>
              <m:t>a</m:t>
            </m:r>
          </m:e>
          <m:sub>
            <m:r>
              <w:rPr>
                <w:rFonts w:ascii="Cambria Math" w:hAnsi="Cambria Math"/>
                <w:sz w:val="20"/>
              </w:rPr>
              <m:t>i</m:t>
            </m:r>
            <m:r>
              <m:rPr>
                <m:sty m:val="p"/>
              </m:rPr>
              <w:rPr>
                <w:rFonts w:ascii="Cambria Math" w:hAnsi="Cambria Math"/>
                <w:sz w:val="20"/>
              </w:rPr>
              <m:t>,</m:t>
            </m:r>
            <m:r>
              <w:rPr>
                <w:rFonts w:ascii="Cambria Math" w:hAnsi="Cambria Math"/>
                <w:sz w:val="20"/>
              </w:rPr>
              <m:t>s</m:t>
            </m:r>
          </m:sub>
          <m:sup>
            <m:r>
              <w:rPr>
                <w:rFonts w:ascii="Cambria Math" w:hAnsi="Cambria Math"/>
                <w:sz w:val="20"/>
              </w:rPr>
              <m:t>d</m:t>
            </m:r>
          </m:sup>
        </m:sSubSup>
        <m:r>
          <m:rPr>
            <m:sty m:val="p"/>
          </m:rPr>
          <w:rPr>
            <w:rFonts w:ascii="Cambria Math" w:hAnsi="Cambria Math"/>
            <w:sz w:val="20"/>
          </w:rPr>
          <m:t>(</m:t>
        </m:r>
        <m:r>
          <w:rPr>
            <w:rFonts w:ascii="Cambria Math" w:hAnsi="Cambria Math"/>
            <w:sz w:val="20"/>
          </w:rPr>
          <m:t>t</m:t>
        </m:r>
        <m:r>
          <m:rPr>
            <m:sty m:val="p"/>
          </m:rPr>
          <w:rPr>
            <w:rFonts w:ascii="Cambria Math" w:hAnsi="Cambria Math"/>
            <w:sz w:val="20"/>
          </w:rPr>
          <m:t>)∈</m:t>
        </m:r>
        <m:d>
          <m:dPr>
            <m:begChr m:val="{"/>
            <m:endChr m:val=""/>
            <m:ctrlPr>
              <w:rPr>
                <w:rFonts w:ascii="Cambria Math" w:hAnsi="Cambria Math"/>
                <w:sz w:val="20"/>
              </w:rPr>
            </m:ctrlPr>
          </m:dPr>
          <m:e>
            <m:m>
              <m:mPr>
                <m:plcHide m:val="1"/>
                <m:mcs>
                  <m:mc>
                    <m:mcPr>
                      <m:count m:val="1"/>
                      <m:mcJc m:val="left"/>
                    </m:mcPr>
                  </m:mc>
                </m:mcs>
                <m:ctrlPr>
                  <w:rPr>
                    <w:rFonts w:ascii="Cambria Math" w:hAnsi="Cambria Math"/>
                    <w:sz w:val="20"/>
                  </w:rPr>
                </m:ctrlPr>
              </m:mPr>
              <m:mr>
                <m:e>
                  <m:sSub>
                    <m:sSubPr>
                      <m:ctrlPr>
                        <w:rPr>
                          <w:rFonts w:ascii="Cambria Math" w:hAnsi="Cambria Math"/>
                          <w:sz w:val="20"/>
                        </w:rPr>
                      </m:ctrlPr>
                    </m:sSubPr>
                    <m:e>
                      <m:r>
                        <w:rPr>
                          <w:rFonts w:ascii="Cambria Math" w:hAnsi="Cambria Math"/>
                          <w:sz w:val="20"/>
                        </w:rPr>
                        <m:t>p</m:t>
                      </m:r>
                    </m:e>
                    <m:sub>
                      <m:r>
                        <w:rPr>
                          <w:rFonts w:ascii="Cambria Math" w:hAnsi="Cambria Math"/>
                          <w:sz w:val="20"/>
                        </w:rPr>
                        <m:t>s</m:t>
                      </m:r>
                      <m:r>
                        <m:rPr>
                          <m:sty m:val="p"/>
                        </m:rPr>
                        <w:rPr>
                          <w:rFonts w:ascii="Cambria Math" w:hAnsi="Cambria Math"/>
                          <w:sz w:val="20"/>
                        </w:rPr>
                        <m:t>,</m:t>
                      </m:r>
                      <m:r>
                        <m:rPr>
                          <m:nor/>
                        </m:rPr>
                        <w:rPr>
                          <w:sz w:val="20"/>
                        </w:rPr>
                        <m:t>full</m:t>
                      </m:r>
                    </m:sub>
                  </m:sSub>
                  <m:r>
                    <m:rPr>
                      <m:sty m:val="p"/>
                    </m:rPr>
                    <w:rPr>
                      <w:rFonts w:ascii="Cambria Math" w:hAnsi="Cambria Math"/>
                      <w:sz w:val="20"/>
                    </w:rPr>
                    <m:t>⋅</m:t>
                  </m:r>
                  <m:r>
                    <m:rPr>
                      <m:nor/>
                    </m:rPr>
                    <w:rPr>
                      <w:sz w:val="20"/>
                    </w:rPr>
                    <m:t>Full Charging (100%)</m:t>
                  </m:r>
                </m:e>
              </m:mr>
              <m:mr>
                <m:e>
                  <m:sSub>
                    <m:sSubPr>
                      <m:ctrlPr>
                        <w:rPr>
                          <w:rFonts w:ascii="Cambria Math" w:hAnsi="Cambria Math"/>
                          <w:sz w:val="20"/>
                        </w:rPr>
                      </m:ctrlPr>
                    </m:sSubPr>
                    <m:e>
                      <m:r>
                        <w:rPr>
                          <w:rFonts w:ascii="Cambria Math" w:hAnsi="Cambria Math"/>
                          <w:sz w:val="20"/>
                        </w:rPr>
                        <m:t>p</m:t>
                      </m:r>
                    </m:e>
                    <m:sub>
                      <m:r>
                        <w:rPr>
                          <w:rFonts w:ascii="Cambria Math" w:hAnsi="Cambria Math"/>
                          <w:sz w:val="20"/>
                        </w:rPr>
                        <m:t>s</m:t>
                      </m:r>
                      <m:r>
                        <m:rPr>
                          <m:sty m:val="p"/>
                        </m:rPr>
                        <w:rPr>
                          <w:rFonts w:ascii="Cambria Math" w:hAnsi="Cambria Math"/>
                          <w:sz w:val="20"/>
                        </w:rPr>
                        <m:t>,</m:t>
                      </m:r>
                      <m:r>
                        <m:rPr>
                          <m:nor/>
                        </m:rPr>
                        <w:rPr>
                          <w:sz w:val="20"/>
                        </w:rPr>
                        <m:t>partial80</m:t>
                      </m:r>
                    </m:sub>
                  </m:sSub>
                  <m:r>
                    <m:rPr>
                      <m:sty m:val="p"/>
                    </m:rPr>
                    <w:rPr>
                      <w:rFonts w:ascii="Cambria Math" w:hAnsi="Cambria Math"/>
                      <w:sz w:val="20"/>
                    </w:rPr>
                    <m:t>⋅</m:t>
                  </m:r>
                  <m:r>
                    <m:rPr>
                      <m:nor/>
                    </m:rPr>
                    <w:rPr>
                      <w:sz w:val="20"/>
                    </w:rPr>
                    <m:t>Partial Charging (80%)</m:t>
                  </m:r>
                </m:e>
              </m:mr>
              <m:mr>
                <m:e>
                  <m:sSub>
                    <m:sSubPr>
                      <m:ctrlPr>
                        <w:rPr>
                          <w:rFonts w:ascii="Cambria Math" w:hAnsi="Cambria Math"/>
                          <w:sz w:val="20"/>
                        </w:rPr>
                      </m:ctrlPr>
                    </m:sSubPr>
                    <m:e>
                      <m:r>
                        <w:rPr>
                          <w:rFonts w:ascii="Cambria Math" w:hAnsi="Cambria Math"/>
                          <w:sz w:val="20"/>
                        </w:rPr>
                        <m:t>p</m:t>
                      </m:r>
                    </m:e>
                    <m:sub>
                      <m:r>
                        <w:rPr>
                          <w:rFonts w:ascii="Cambria Math" w:hAnsi="Cambria Math"/>
                          <w:sz w:val="20"/>
                        </w:rPr>
                        <m:t>s</m:t>
                      </m:r>
                      <m:r>
                        <m:rPr>
                          <m:sty m:val="p"/>
                        </m:rPr>
                        <w:rPr>
                          <w:rFonts w:ascii="Cambria Math" w:hAnsi="Cambria Math"/>
                          <w:sz w:val="20"/>
                        </w:rPr>
                        <m:t>,</m:t>
                      </m:r>
                      <m:r>
                        <m:rPr>
                          <m:nor/>
                        </m:rPr>
                        <w:rPr>
                          <w:sz w:val="20"/>
                        </w:rPr>
                        <m:t>partial50</m:t>
                      </m:r>
                    </m:sub>
                  </m:sSub>
                  <m:r>
                    <m:rPr>
                      <m:sty m:val="p"/>
                    </m:rPr>
                    <w:rPr>
                      <w:rFonts w:ascii="Cambria Math" w:hAnsi="Cambria Math"/>
                      <w:sz w:val="20"/>
                    </w:rPr>
                    <m:t>⋅</m:t>
                  </m:r>
                  <m:r>
                    <m:rPr>
                      <m:nor/>
                    </m:rPr>
                    <w:rPr>
                      <w:sz w:val="20"/>
                    </w:rPr>
                    <m:t>Partial Charging (50%)</m:t>
                  </m:r>
                </m:e>
              </m:mr>
              <m:mr>
                <m:e>
                  <m:sSub>
                    <m:sSubPr>
                      <m:ctrlPr>
                        <w:rPr>
                          <w:rFonts w:ascii="Cambria Math" w:hAnsi="Cambria Math"/>
                          <w:sz w:val="20"/>
                        </w:rPr>
                      </m:ctrlPr>
                    </m:sSubPr>
                    <m:e>
                      <m:r>
                        <w:rPr>
                          <w:rFonts w:ascii="Cambria Math" w:hAnsi="Cambria Math"/>
                          <w:sz w:val="20"/>
                        </w:rPr>
                        <m:t>p</m:t>
                      </m:r>
                    </m:e>
                    <m:sub>
                      <m:r>
                        <w:rPr>
                          <w:rFonts w:ascii="Cambria Math" w:hAnsi="Cambria Math"/>
                          <w:sz w:val="20"/>
                        </w:rPr>
                        <m:t>s</m:t>
                      </m:r>
                      <m:r>
                        <m:rPr>
                          <m:sty m:val="p"/>
                        </m:rPr>
                        <w:rPr>
                          <w:rFonts w:ascii="Cambria Math" w:hAnsi="Cambria Math"/>
                          <w:sz w:val="20"/>
                        </w:rPr>
                        <m:t>,</m:t>
                      </m:r>
                      <m:r>
                        <m:rPr>
                          <m:nor/>
                        </m:rPr>
                        <w:rPr>
                          <w:sz w:val="20"/>
                        </w:rPr>
                        <m:t>none</m:t>
                      </m:r>
                    </m:sub>
                  </m:sSub>
                  <m:r>
                    <m:rPr>
                      <m:sty m:val="p"/>
                    </m:rPr>
                    <w:rPr>
                      <w:rFonts w:ascii="Cambria Math" w:hAnsi="Cambria Math"/>
                      <w:sz w:val="20"/>
                    </w:rPr>
                    <m:t>⋅</m:t>
                  </m:r>
                  <m:r>
                    <m:rPr>
                      <m:nor/>
                    </m:rPr>
                    <w:rPr>
                      <w:sz w:val="20"/>
                    </w:rPr>
                    <m:t>No Charging (0%)</m:t>
                  </m:r>
                </m:e>
              </m:mr>
            </m:m>
          </m:e>
        </m:d>
      </m:oMath>
      <w:r w:rsidR="00727563">
        <w:rPr>
          <w:sz w:val="20"/>
        </w:rPr>
        <w:t xml:space="preserve"> </w:t>
      </w:r>
      <w:r w:rsidR="00BC1D6C">
        <w:rPr>
          <w:sz w:val="20"/>
        </w:rPr>
        <w:t xml:space="preserve">       (17)</w:t>
      </w:r>
    </w:p>
    <w:p w14:paraId="03E91DA7" w14:textId="627E6C65" w:rsidR="0013069B" w:rsidRPr="0013069B" w:rsidRDefault="0013069B" w:rsidP="0013069B">
      <w:pPr>
        <w:pStyle w:val="PlainText"/>
        <w:rPr>
          <w:sz w:val="20"/>
        </w:rPr>
      </w:pPr>
      <w:r w:rsidRPr="0013069B">
        <w:rPr>
          <w:sz w:val="20"/>
        </w:rPr>
        <w:t xml:space="preserve">where </w:t>
      </w:r>
      <m:oMath>
        <m:r>
          <m:rPr>
            <m:sty m:val="p"/>
          </m:rP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s</m:t>
            </m:r>
            <m:r>
              <m:rPr>
                <m:sty m:val="p"/>
              </m:rPr>
              <w:rPr>
                <w:rFonts w:ascii="Cambria Math" w:hAnsi="Cambria Math"/>
                <w:sz w:val="20"/>
              </w:rPr>
              <m:t>,*</m:t>
            </m:r>
          </m:sub>
        </m:sSub>
        <m:r>
          <m:rPr>
            <m:sty m:val="p"/>
          </m:rPr>
          <w:rPr>
            <w:rFonts w:ascii="Cambria Math" w:hAnsi="Cambria Math"/>
            <w:sz w:val="20"/>
          </w:rPr>
          <m:t>=</m:t>
        </m:r>
        <m:r>
          <w:rPr>
            <w:rFonts w:ascii="Cambria Math" w:hAnsi="Cambria Math"/>
            <w:sz w:val="20"/>
          </w:rPr>
          <m:t>1</m:t>
        </m:r>
      </m:oMath>
      <w:r w:rsidRPr="0013069B">
        <w:rPr>
          <w:sz w:val="20"/>
        </w:rPr>
        <w:t xml:space="preserve"> for each SoC cluster. This design enables more sophisticated control, allowing the agent to prioritize critical SoC vehicles for full charging while potentially deferring service for high SoC vehicles during congestion periods.</w:t>
      </w:r>
    </w:p>
    <w:p w14:paraId="21234EE9" w14:textId="77777777" w:rsidR="0013069B" w:rsidRPr="0013069B" w:rsidRDefault="0013069B" w:rsidP="000B7A6B">
      <w:pPr>
        <w:pStyle w:val="PlainText"/>
        <w:ind w:firstLine="284"/>
        <w:rPr>
          <w:sz w:val="20"/>
        </w:rPr>
      </w:pPr>
      <w:r w:rsidRPr="0013069B">
        <w:rPr>
          <w:sz w:val="20"/>
        </w:rPr>
        <w:t>The reward function for each District Charging Agent balances multiple objectives with cluster-specific weighting:</w:t>
      </w:r>
    </w:p>
    <w:p w14:paraId="6296FFCF" w14:textId="7D6652A7" w:rsidR="0013069B" w:rsidRPr="0013069B" w:rsidRDefault="00000000" w:rsidP="0013069B">
      <w:pPr>
        <w:pStyle w:val="PlainText"/>
        <w:rPr>
          <w:sz w:val="20"/>
        </w:rPr>
      </w:pPr>
      <m:oMath>
        <m:m>
          <m:mPr>
            <m:plcHide m:val="1"/>
            <m:mcs>
              <m:mc>
                <m:mcPr>
                  <m:count m:val="1"/>
                  <m:mcJc m:val="center"/>
                </m:mcPr>
              </m:mc>
            </m:mcs>
            <m:ctrlPr>
              <w:rPr>
                <w:rFonts w:ascii="Cambria Math" w:hAnsi="Cambria Math"/>
                <w:sz w:val="20"/>
              </w:rPr>
            </m:ctrlPr>
          </m:mPr>
          <m:mr>
            <m:e>
              <m:sSubSup>
                <m:sSubSupPr>
                  <m:ctrlPr>
                    <w:rPr>
                      <w:rFonts w:ascii="Cambria Math" w:hAnsi="Cambria Math"/>
                      <w:sz w:val="20"/>
                    </w:rPr>
                  </m:ctrlPr>
                </m:sSubSupPr>
                <m:e>
                  <m:r>
                    <w:rPr>
                      <w:rFonts w:ascii="Cambria Math" w:hAnsi="Cambria Math"/>
                      <w:sz w:val="20"/>
                    </w:rPr>
                    <m:t>r</m:t>
                  </m:r>
                </m:e>
                <m:sub>
                  <m:r>
                    <w:rPr>
                      <w:rFonts w:ascii="Cambria Math" w:hAnsi="Cambria Math"/>
                      <w:sz w:val="20"/>
                    </w:rPr>
                    <m:t>i</m:t>
                  </m:r>
                </m:sub>
                <m:sup>
                  <m:r>
                    <w:rPr>
                      <w:rFonts w:ascii="Cambria Math" w:hAnsi="Cambria Math"/>
                      <w:sz w:val="20"/>
                    </w:rPr>
                    <m:t>d</m:t>
                  </m:r>
                </m:sup>
              </m:sSubSup>
              <m:r>
                <m:rPr>
                  <m:sty m:val="p"/>
                </m:rPr>
                <w:rPr>
                  <w:rFonts w:ascii="Cambria Math" w:hAnsi="Cambria Math"/>
                  <w:sz w:val="20"/>
                </w:rPr>
                <m:t>(</m:t>
              </m:r>
              <m:r>
                <w:rPr>
                  <w:rFonts w:ascii="Cambria Math" w:hAnsi="Cambria Math"/>
                  <w:sz w:val="20"/>
                </w:rPr>
                <m:t>t</m:t>
              </m:r>
              <m:r>
                <m:rPr>
                  <m:sty m:val="p"/>
                </m:rPr>
                <w:rPr>
                  <w:rFonts w:ascii="Cambria Math" w:hAnsi="Cambria Math"/>
                  <w:sz w:val="20"/>
                </w:rPr>
                <m:t>)=</m:t>
              </m:r>
              <m:r>
                <w:rPr>
                  <w:rFonts w:ascii="Cambria Math" w:hAnsi="Cambria Math"/>
                  <w:sz w:val="20"/>
                </w:rPr>
                <m:t>0.8</m:t>
              </m:r>
              <m:d>
                <m:dPr>
                  <m:ctrlPr>
                    <w:rPr>
                      <w:rFonts w:ascii="Cambria Math" w:hAnsi="Cambria Math"/>
                      <w:sz w:val="20"/>
                    </w:rPr>
                  </m:ctrlPr>
                </m:dPr>
                <m:e>
                  <m:eqArr>
                    <m:eqArrPr>
                      <m:ctrlPr>
                        <w:rPr>
                          <w:rFonts w:ascii="Cambria Math" w:hAnsi="Cambria Math"/>
                          <w:i/>
                          <w:sz w:val="20"/>
                        </w:rPr>
                      </m:ctrlPr>
                    </m:eqArrPr>
                    <m:e>
                      <m:nary>
                        <m:naryPr>
                          <m:chr m:val="∑"/>
                          <m:limLoc m:val="undOvr"/>
                          <m:supHide m:val="1"/>
                          <m:ctrlPr>
                            <w:rPr>
                              <w:rFonts w:ascii="Cambria Math" w:hAnsi="Cambria Math"/>
                              <w:sz w:val="20"/>
                            </w:rPr>
                          </m:ctrlPr>
                        </m:naryPr>
                        <m:sub>
                          <m:r>
                            <w:rPr>
                              <w:rFonts w:ascii="Cambria Math" w:hAnsi="Cambria Math"/>
                              <w:sz w:val="20"/>
                            </w:rPr>
                            <m:t>s</m:t>
                          </m:r>
                        </m:sub>
                        <m:sup>
                          <m:r>
                            <w:rPr>
                              <w:rFonts w:ascii="Cambria Math" w:hAnsi="Cambria Math"/>
                              <w:sz w:val="20"/>
                            </w:rPr>
                            <m:t>​</m:t>
                          </m:r>
                        </m:sup>
                        <m:e>
                          <m:sSub>
                            <m:sSubPr>
                              <m:ctrlPr>
                                <w:rPr>
                                  <w:rFonts w:ascii="Cambria Math" w:hAnsi="Cambria Math"/>
                                  <w:sz w:val="20"/>
                                </w:rPr>
                              </m:ctrlPr>
                            </m:sSubPr>
                            <m:e>
                              <m:r>
                                <w:rPr>
                                  <w:rFonts w:ascii="Cambria Math" w:hAnsi="Cambria Math"/>
                                  <w:sz w:val="20"/>
                                </w:rPr>
                                <m:t>w</m:t>
                              </m:r>
                            </m:e>
                            <m:sub>
                              <m:r>
                                <w:rPr>
                                  <w:rFonts w:ascii="Cambria Math" w:hAnsi="Cambria Math"/>
                                  <w:sz w:val="20"/>
                                </w:rPr>
                                <m:t>s</m:t>
                              </m:r>
                            </m:sub>
                          </m:sSub>
                        </m:e>
                      </m:nary>
                      <m:r>
                        <m:rPr>
                          <m:sty m:val="p"/>
                        </m:rPr>
                        <w:rPr>
                          <w:rFonts w:ascii="Cambria Math" w:hAnsi="Cambria Math"/>
                          <w:sz w:val="20"/>
                        </w:rPr>
                        <m:t>⋅(</m:t>
                      </m:r>
                      <m:r>
                        <w:rPr>
                          <w:rFonts w:ascii="Cambria Math" w:hAnsi="Cambria Math"/>
                          <w:sz w:val="20"/>
                        </w:rPr>
                        <m:t>S</m:t>
                      </m:r>
                      <m:sSub>
                        <m:sSubPr>
                          <m:ctrlPr>
                            <w:rPr>
                              <w:rFonts w:ascii="Cambria Math" w:hAnsi="Cambria Math"/>
                              <w:sz w:val="20"/>
                            </w:rPr>
                          </m:ctrlPr>
                        </m:sSubPr>
                        <m:e>
                          <m:r>
                            <w:rPr>
                              <w:rFonts w:ascii="Cambria Math" w:hAnsi="Cambria Math"/>
                              <w:sz w:val="20"/>
                            </w:rPr>
                            <m:t>C</m:t>
                          </m:r>
                        </m:e>
                        <m:sub>
                          <m:r>
                            <w:rPr>
                              <w:rFonts w:ascii="Cambria Math" w:hAnsi="Cambria Math"/>
                              <w:sz w:val="20"/>
                            </w:rPr>
                            <m:t>i</m:t>
                          </m:r>
                          <m:r>
                            <m:rPr>
                              <m:sty m:val="p"/>
                            </m:rPr>
                            <w:rPr>
                              <w:rFonts w:ascii="Cambria Math" w:hAnsi="Cambria Math"/>
                              <w:sz w:val="20"/>
                            </w:rPr>
                            <m:t>,</m:t>
                          </m:r>
                          <m:r>
                            <w:rPr>
                              <w:rFonts w:ascii="Cambria Math" w:hAnsi="Cambria Math"/>
                              <w:sz w:val="20"/>
                            </w:rPr>
                            <m:t>s</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r>
                        <w:rPr>
                          <w:rFonts w:ascii="Cambria Math" w:hAnsi="Cambria Math"/>
                          <w:sz w:val="20"/>
                        </w:rPr>
                        <m:t>Q</m:t>
                      </m:r>
                      <m:sSub>
                        <m:sSubPr>
                          <m:ctrlPr>
                            <w:rPr>
                              <w:rFonts w:ascii="Cambria Math" w:hAnsi="Cambria Math"/>
                              <w:sz w:val="20"/>
                            </w:rPr>
                          </m:ctrlPr>
                        </m:sSubPr>
                        <m:e>
                          <m:r>
                            <w:rPr>
                              <w:rFonts w:ascii="Cambria Math" w:hAnsi="Cambria Math"/>
                              <w:sz w:val="20"/>
                            </w:rPr>
                            <m:t>L</m:t>
                          </m:r>
                        </m:e>
                        <m:sub>
                          <m:r>
                            <w:rPr>
                              <w:rFonts w:ascii="Cambria Math" w:hAnsi="Cambria Math"/>
                              <w:sz w:val="20"/>
                            </w:rPr>
                            <m:t>i</m:t>
                          </m:r>
                          <m:r>
                            <m:rPr>
                              <m:sty m:val="p"/>
                            </m:rPr>
                            <w:rPr>
                              <w:rFonts w:ascii="Cambria Math" w:hAnsi="Cambria Math"/>
                              <w:sz w:val="20"/>
                            </w:rPr>
                            <m:t>,</m:t>
                          </m:r>
                          <m:r>
                            <w:rPr>
                              <w:rFonts w:ascii="Cambria Math" w:hAnsi="Cambria Math"/>
                              <w:sz w:val="20"/>
                            </w:rPr>
                            <m:t>s</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ctrlPr>
                        <w:rPr>
                          <w:rFonts w:ascii="Cambria Math" w:hAnsi="Cambria Math"/>
                          <w:sz w:val="20"/>
                        </w:rPr>
                      </m:ctrlPr>
                    </m:e>
                    <m:e>
                      <m:r>
                        <m:rPr>
                          <m:sty m:val="p"/>
                        </m:rPr>
                        <w:rPr>
                          <w:rFonts w:ascii="Cambria Math" w:hAnsi="Cambria Math"/>
                          <w:sz w:val="20"/>
                        </w:rPr>
                        <m:t>-</m:t>
                      </m:r>
                      <m:r>
                        <w:rPr>
                          <w:rFonts w:ascii="Cambria Math" w:hAnsi="Cambria Math"/>
                          <w:sz w:val="20"/>
                        </w:rPr>
                        <m:t>W</m:t>
                      </m:r>
                      <m:sSub>
                        <m:sSubPr>
                          <m:ctrlPr>
                            <w:rPr>
                              <w:rFonts w:ascii="Cambria Math" w:hAnsi="Cambria Math"/>
                              <w:sz w:val="20"/>
                            </w:rPr>
                          </m:ctrlPr>
                        </m:sSubPr>
                        <m:e>
                          <m:r>
                            <w:rPr>
                              <w:rFonts w:ascii="Cambria Math" w:hAnsi="Cambria Math"/>
                              <w:sz w:val="20"/>
                            </w:rPr>
                            <m:t>T</m:t>
                          </m:r>
                        </m:e>
                        <m:sub>
                          <m:r>
                            <w:rPr>
                              <w:rFonts w:ascii="Cambria Math" w:hAnsi="Cambria Math"/>
                              <w:sz w:val="20"/>
                            </w:rPr>
                            <m:t>i</m:t>
                          </m:r>
                          <m:r>
                            <m:rPr>
                              <m:sty m:val="p"/>
                            </m:rPr>
                            <w:rPr>
                              <w:rFonts w:ascii="Cambria Math" w:hAnsi="Cambria Math"/>
                              <w:sz w:val="20"/>
                            </w:rPr>
                            <m:t>,</m:t>
                          </m:r>
                          <m:r>
                            <w:rPr>
                              <w:rFonts w:ascii="Cambria Math" w:hAnsi="Cambria Math"/>
                              <w:sz w:val="20"/>
                            </w:rPr>
                            <m:t>s</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sSub>
                        <m:sSubPr>
                          <m:ctrlPr>
                            <w:rPr>
                              <w:rFonts w:ascii="Cambria Math" w:hAnsi="Cambria Math"/>
                              <w:sz w:val="20"/>
                            </w:rPr>
                          </m:ctrlPr>
                        </m:sSubPr>
                        <m:e>
                          <m:r>
                            <w:rPr>
                              <w:rFonts w:ascii="Cambria Math" w:hAnsi="Cambria Math"/>
                              <w:sz w:val="20"/>
                            </w:rPr>
                            <m:t>L</m:t>
                          </m:r>
                        </m:e>
                        <m:sub>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ctrlPr>
                        <w:rPr>
                          <w:rFonts w:ascii="Cambria Math" w:hAnsi="Cambria Math"/>
                          <w:sz w:val="20"/>
                        </w:rPr>
                      </m:ctrlPr>
                    </m:e>
                  </m:eqArr>
                </m:e>
              </m:d>
            </m:e>
          </m:mr>
          <m:mr>
            <m:e>
              <m:r>
                <m:rPr>
                  <m:sty m:val="p"/>
                </m:rPr>
                <w:rPr>
                  <w:rFonts w:ascii="Cambria Math" w:hAnsi="Cambria Math"/>
                  <w:sz w:val="20"/>
                </w:rPr>
                <m:t>+</m:t>
              </m:r>
              <m:r>
                <w:rPr>
                  <w:rFonts w:ascii="Cambria Math" w:hAnsi="Cambria Math"/>
                  <w:sz w:val="20"/>
                </w:rPr>
                <m:t>0.2</m:t>
              </m:r>
              <m:r>
                <m:rPr>
                  <m:sty m:val="p"/>
                </m:rPr>
                <w:rPr>
                  <w:rFonts w:ascii="Cambria Math" w:hAnsi="Cambria Math"/>
                  <w:sz w:val="20"/>
                </w:rPr>
                <m:t>⋅</m:t>
              </m:r>
              <m:sSub>
                <m:sSubPr>
                  <m:ctrlPr>
                    <w:rPr>
                      <w:rFonts w:ascii="Cambria Math" w:hAnsi="Cambria Math"/>
                      <w:sz w:val="20"/>
                    </w:rPr>
                  </m:ctrlPr>
                </m:sSubPr>
                <m:e>
                  <m:r>
                    <w:rPr>
                      <w:rFonts w:ascii="Cambria Math" w:hAnsi="Cambria Math"/>
                      <w:sz w:val="20"/>
                    </w:rPr>
                    <m:t>r</m:t>
                  </m:r>
                </m:e>
                <m:sub>
                  <m:r>
                    <m:rPr>
                      <m:nor/>
                    </m:rPr>
                    <w:rPr>
                      <w:sz w:val="20"/>
                    </w:rPr>
                    <m:t>global</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e>
          </m:mr>
        </m:m>
      </m:oMath>
      <w:r w:rsidR="00BC1D6C">
        <w:rPr>
          <w:sz w:val="20"/>
        </w:rPr>
        <w:t xml:space="preserve">             (18) </w:t>
      </w:r>
    </w:p>
    <w:p w14:paraId="7773BE74" w14:textId="6F48F1BF" w:rsidR="000B7A6B" w:rsidRPr="0013069B" w:rsidRDefault="0013069B" w:rsidP="000B7A6B">
      <w:pPr>
        <w:pStyle w:val="PlainText"/>
        <w:rPr>
          <w:sz w:val="20"/>
        </w:rPr>
      </w:pPr>
      <w:r w:rsidRPr="0013069B">
        <w:rPr>
          <w:sz w:val="20"/>
        </w:rPr>
        <w:t xml:space="preserve">where </w:t>
      </w:r>
      <m:oMath>
        <m:r>
          <w:rPr>
            <w:rFonts w:ascii="Cambria Math" w:hAnsi="Cambria Math"/>
            <w:sz w:val="20"/>
          </w:rPr>
          <m:t>S</m:t>
        </m:r>
        <m:sSub>
          <m:sSubPr>
            <m:ctrlPr>
              <w:rPr>
                <w:rFonts w:ascii="Cambria Math" w:hAnsi="Cambria Math"/>
                <w:sz w:val="20"/>
              </w:rPr>
            </m:ctrlPr>
          </m:sSubPr>
          <m:e>
            <m:r>
              <w:rPr>
                <w:rFonts w:ascii="Cambria Math" w:hAnsi="Cambria Math"/>
                <w:sz w:val="20"/>
              </w:rPr>
              <m:t>C</m:t>
            </m:r>
          </m:e>
          <m:sub>
            <m:r>
              <w:rPr>
                <w:rFonts w:ascii="Cambria Math" w:hAnsi="Cambria Math"/>
                <w:sz w:val="20"/>
              </w:rPr>
              <m:t>i</m:t>
            </m:r>
            <m:r>
              <m:rPr>
                <m:sty m:val="p"/>
              </m:rPr>
              <w:rPr>
                <w:rFonts w:ascii="Cambria Math" w:hAnsi="Cambria Math"/>
                <w:sz w:val="20"/>
              </w:rPr>
              <m:t>,</m:t>
            </m:r>
            <m:r>
              <w:rPr>
                <w:rFonts w:ascii="Cambria Math" w:hAnsi="Cambria Math"/>
                <w:sz w:val="20"/>
              </w:rPr>
              <m:t>s</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incentivizes successful charging for each SoC cluster </w:t>
      </w:r>
      <m:oMath>
        <m:r>
          <w:rPr>
            <w:rFonts w:ascii="Cambria Math" w:hAnsi="Cambria Math"/>
            <w:sz w:val="20"/>
          </w:rPr>
          <m:t>s</m:t>
        </m:r>
      </m:oMath>
      <w:r w:rsidRPr="0013069B">
        <w:rPr>
          <w:sz w:val="20"/>
        </w:rPr>
        <w:t xml:space="preserve"> with priority weights </w:t>
      </w:r>
      <m:oMath>
        <m:sSub>
          <m:sSubPr>
            <m:ctrlPr>
              <w:rPr>
                <w:rFonts w:ascii="Cambria Math" w:hAnsi="Cambria Math"/>
                <w:sz w:val="20"/>
              </w:rPr>
            </m:ctrlPr>
          </m:sSubPr>
          <m:e>
            <m:r>
              <w:rPr>
                <w:rFonts w:ascii="Cambria Math" w:hAnsi="Cambria Math"/>
                <w:sz w:val="20"/>
              </w:rPr>
              <m:t>w</m:t>
            </m:r>
          </m:e>
          <m:sub>
            <m:r>
              <w:rPr>
                <w:rFonts w:ascii="Cambria Math" w:hAnsi="Cambria Math"/>
                <w:sz w:val="20"/>
              </w:rPr>
              <m:t>s</m:t>
            </m:r>
          </m:sub>
        </m:sSub>
      </m:oMath>
      <w:r w:rsidRPr="0013069B">
        <w:rPr>
          <w:sz w:val="20"/>
        </w:rPr>
        <w:t xml:space="preserve"> (where </w:t>
      </w:r>
      <m:oMath>
        <m:sSub>
          <m:sSubPr>
            <m:ctrlPr>
              <w:rPr>
                <w:rFonts w:ascii="Cambria Math" w:hAnsi="Cambria Math"/>
                <w:sz w:val="20"/>
              </w:rPr>
            </m:ctrlPr>
          </m:sSubPr>
          <m:e>
            <m:r>
              <w:rPr>
                <w:rFonts w:ascii="Cambria Math" w:hAnsi="Cambria Math"/>
                <w:sz w:val="20"/>
              </w:rPr>
              <m:t>w</m:t>
            </m:r>
          </m:e>
          <m:sub>
            <m:r>
              <m:rPr>
                <m:nor/>
              </m:rPr>
              <w:rPr>
                <w:sz w:val="20"/>
              </w:rPr>
              <m:t>critical</m:t>
            </m:r>
          </m:sub>
        </m:sSub>
        <m:r>
          <m:rPr>
            <m:sty m:val="p"/>
          </m:rPr>
          <w:rPr>
            <w:rFonts w:ascii="Cambria Math" w:hAnsi="Cambria Math"/>
            <w:sz w:val="20"/>
          </w:rPr>
          <m:t>&gt;</m:t>
        </m:r>
        <m:sSub>
          <m:sSubPr>
            <m:ctrlPr>
              <w:rPr>
                <w:rFonts w:ascii="Cambria Math" w:hAnsi="Cambria Math"/>
                <w:sz w:val="20"/>
              </w:rPr>
            </m:ctrlPr>
          </m:sSubPr>
          <m:e>
            <m:r>
              <w:rPr>
                <w:rFonts w:ascii="Cambria Math" w:hAnsi="Cambria Math"/>
                <w:sz w:val="20"/>
              </w:rPr>
              <m:t>w</m:t>
            </m:r>
          </m:e>
          <m:sub>
            <m:r>
              <m:rPr>
                <m:nor/>
              </m:rPr>
              <w:rPr>
                <w:sz w:val="20"/>
              </w:rPr>
              <m:t>low</m:t>
            </m:r>
          </m:sub>
        </m:sSub>
        <m:r>
          <m:rPr>
            <m:sty m:val="p"/>
          </m:rPr>
          <w:rPr>
            <w:rFonts w:ascii="Cambria Math" w:hAnsi="Cambria Math"/>
            <w:sz w:val="20"/>
          </w:rPr>
          <m:t>&gt;</m:t>
        </m:r>
        <m:sSub>
          <m:sSubPr>
            <m:ctrlPr>
              <w:rPr>
                <w:rFonts w:ascii="Cambria Math" w:hAnsi="Cambria Math"/>
                <w:sz w:val="20"/>
              </w:rPr>
            </m:ctrlPr>
          </m:sSubPr>
          <m:e>
            <m:r>
              <w:rPr>
                <w:rFonts w:ascii="Cambria Math" w:hAnsi="Cambria Math"/>
                <w:sz w:val="20"/>
              </w:rPr>
              <m:t>w</m:t>
            </m:r>
          </m:e>
          <m:sub>
            <m:r>
              <m:rPr>
                <m:nor/>
              </m:rPr>
              <w:rPr>
                <w:sz w:val="20"/>
              </w:rPr>
              <m:t>medium</m:t>
            </m:r>
          </m:sub>
        </m:sSub>
        <m:r>
          <m:rPr>
            <m:sty m:val="p"/>
          </m:rPr>
          <w:rPr>
            <w:rFonts w:ascii="Cambria Math" w:hAnsi="Cambria Math"/>
            <w:sz w:val="20"/>
          </w:rPr>
          <m:t>&gt;</m:t>
        </m:r>
        <m:sSub>
          <m:sSubPr>
            <m:ctrlPr>
              <w:rPr>
                <w:rFonts w:ascii="Cambria Math" w:hAnsi="Cambria Math"/>
                <w:sz w:val="20"/>
              </w:rPr>
            </m:ctrlPr>
          </m:sSubPr>
          <m:e>
            <m:r>
              <w:rPr>
                <w:rFonts w:ascii="Cambria Math" w:hAnsi="Cambria Math"/>
                <w:sz w:val="20"/>
              </w:rPr>
              <m:t>w</m:t>
            </m:r>
          </m:e>
          <m:sub>
            <m:r>
              <m:rPr>
                <m:nor/>
              </m:rPr>
              <w:rPr>
                <w:sz w:val="20"/>
              </w:rPr>
              <m:t>high</m:t>
            </m:r>
          </m:sub>
        </m:sSub>
      </m:oMath>
      <w:r w:rsidRPr="0013069B">
        <w:rPr>
          <w:sz w:val="20"/>
        </w:rPr>
        <w:t xml:space="preserve">), </w:t>
      </w:r>
      <m:oMath>
        <m:r>
          <w:rPr>
            <w:rFonts w:ascii="Cambria Math" w:hAnsi="Cambria Math"/>
            <w:sz w:val="20"/>
          </w:rPr>
          <m:t>Q</m:t>
        </m:r>
        <m:sSub>
          <m:sSubPr>
            <m:ctrlPr>
              <w:rPr>
                <w:rFonts w:ascii="Cambria Math" w:hAnsi="Cambria Math"/>
                <w:sz w:val="20"/>
              </w:rPr>
            </m:ctrlPr>
          </m:sSubPr>
          <m:e>
            <m:r>
              <w:rPr>
                <w:rFonts w:ascii="Cambria Math" w:hAnsi="Cambria Math"/>
                <w:sz w:val="20"/>
              </w:rPr>
              <m:t>L</m:t>
            </m:r>
          </m:e>
          <m:sub>
            <m:r>
              <w:rPr>
                <w:rFonts w:ascii="Cambria Math" w:hAnsi="Cambria Math"/>
                <w:sz w:val="20"/>
              </w:rPr>
              <m:t>i</m:t>
            </m:r>
            <m:r>
              <m:rPr>
                <m:sty m:val="p"/>
              </m:rPr>
              <w:rPr>
                <w:rFonts w:ascii="Cambria Math" w:hAnsi="Cambria Math"/>
                <w:sz w:val="20"/>
              </w:rPr>
              <m:t>,</m:t>
            </m:r>
            <m:r>
              <w:rPr>
                <w:rFonts w:ascii="Cambria Math" w:hAnsi="Cambria Math"/>
                <w:sz w:val="20"/>
              </w:rPr>
              <m:t>s</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penalizes excessive queues per cluster, </w:t>
      </w:r>
      <m:oMath>
        <m:r>
          <w:rPr>
            <w:rFonts w:ascii="Cambria Math" w:hAnsi="Cambria Math"/>
            <w:sz w:val="20"/>
          </w:rPr>
          <m:t>W</m:t>
        </m:r>
        <m:sSub>
          <m:sSubPr>
            <m:ctrlPr>
              <w:rPr>
                <w:rFonts w:ascii="Cambria Math" w:hAnsi="Cambria Math"/>
                <w:sz w:val="20"/>
              </w:rPr>
            </m:ctrlPr>
          </m:sSubPr>
          <m:e>
            <m:r>
              <w:rPr>
                <w:rFonts w:ascii="Cambria Math" w:hAnsi="Cambria Math"/>
                <w:sz w:val="20"/>
              </w:rPr>
              <m:t>T</m:t>
            </m:r>
          </m:e>
          <m:sub>
            <m:r>
              <w:rPr>
                <w:rFonts w:ascii="Cambria Math" w:hAnsi="Cambria Math"/>
                <w:sz w:val="20"/>
              </w:rPr>
              <m:t>i</m:t>
            </m:r>
            <m:r>
              <m:rPr>
                <m:sty m:val="p"/>
              </m:rPr>
              <w:rPr>
                <w:rFonts w:ascii="Cambria Math" w:hAnsi="Cambria Math"/>
                <w:sz w:val="20"/>
              </w:rPr>
              <m:t>,</m:t>
            </m:r>
            <m:r>
              <w:rPr>
                <w:rFonts w:ascii="Cambria Math" w:hAnsi="Cambria Math"/>
                <w:sz w:val="20"/>
              </w:rPr>
              <m:t>s</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discourages long waiting times with higher penalties for critical SoC vehicles, </w:t>
      </w:r>
      <m:oMath>
        <m:sSub>
          <m:sSubPr>
            <m:ctrlPr>
              <w:rPr>
                <w:rFonts w:ascii="Cambria Math" w:hAnsi="Cambria Math"/>
                <w:sz w:val="20"/>
              </w:rPr>
            </m:ctrlPr>
          </m:sSubPr>
          <m:e>
            <m:r>
              <w:rPr>
                <w:rFonts w:ascii="Cambria Math" w:hAnsi="Cambria Math"/>
                <w:sz w:val="20"/>
              </w:rPr>
              <m:t>L</m:t>
            </m:r>
          </m:e>
          <m:sub>
            <m:r>
              <w:rPr>
                <w:rFonts w:ascii="Cambria Math" w:hAnsi="Cambria Math"/>
                <w:sz w:val="20"/>
              </w:rPr>
              <m:t>i</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prevents overloading inside the local district, and </w:t>
      </w:r>
      <m:oMath>
        <m:sSub>
          <m:sSubPr>
            <m:ctrlPr>
              <w:rPr>
                <w:rFonts w:ascii="Cambria Math" w:hAnsi="Cambria Math"/>
                <w:sz w:val="20"/>
              </w:rPr>
            </m:ctrlPr>
          </m:sSubPr>
          <m:e>
            <m:r>
              <w:rPr>
                <w:rFonts w:ascii="Cambria Math" w:hAnsi="Cambria Math"/>
                <w:sz w:val="20"/>
              </w:rPr>
              <m:t>r</m:t>
            </m:r>
          </m:e>
          <m:sub>
            <m:r>
              <m:rPr>
                <m:nor/>
              </m:rPr>
              <w:rPr>
                <w:sz w:val="20"/>
              </w:rPr>
              <m:t>global</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ensures contribution to overall system recovery.</w:t>
      </w:r>
    </w:p>
    <w:p w14:paraId="219EA329" w14:textId="77777777" w:rsidR="0013069B" w:rsidRPr="0013069B" w:rsidRDefault="0013069B" w:rsidP="000B7A6B">
      <w:pPr>
        <w:pStyle w:val="PlainText"/>
        <w:ind w:firstLine="284"/>
        <w:rPr>
          <w:sz w:val="20"/>
        </w:rPr>
      </w:pPr>
      <w:r w:rsidRPr="0013069B">
        <w:rPr>
          <w:sz w:val="20"/>
        </w:rPr>
        <w:t>The District Charging Agent’s actor network maps its observations to a probability distribution over the four charging policies. We implement this with a neural network architecture consisting of:</w:t>
      </w:r>
    </w:p>
    <w:p w14:paraId="5DE617D6" w14:textId="77777777" w:rsidR="0013069B" w:rsidRPr="0013069B" w:rsidRDefault="0013069B" w:rsidP="0013069B">
      <w:pPr>
        <w:pStyle w:val="PlainText"/>
        <w:numPr>
          <w:ilvl w:val="0"/>
          <w:numId w:val="5"/>
        </w:numPr>
        <w:rPr>
          <w:sz w:val="20"/>
        </w:rPr>
      </w:pPr>
      <w:r w:rsidRPr="0013069B">
        <w:rPr>
          <w:sz w:val="20"/>
        </w:rPr>
        <w:t>Input layer matching observation dimension (9)</w:t>
      </w:r>
    </w:p>
    <w:p w14:paraId="5F2D5291" w14:textId="77777777" w:rsidR="0013069B" w:rsidRPr="0013069B" w:rsidRDefault="0013069B" w:rsidP="0013069B">
      <w:pPr>
        <w:pStyle w:val="PlainText"/>
        <w:numPr>
          <w:ilvl w:val="0"/>
          <w:numId w:val="5"/>
        </w:numPr>
        <w:rPr>
          <w:sz w:val="20"/>
        </w:rPr>
      </w:pPr>
      <w:r w:rsidRPr="0013069B">
        <w:rPr>
          <w:sz w:val="20"/>
        </w:rPr>
        <w:t>Two hidden layers with 256 neurons each</w:t>
      </w:r>
    </w:p>
    <w:p w14:paraId="68C57F1B" w14:textId="77777777" w:rsidR="0013069B" w:rsidRPr="0013069B" w:rsidRDefault="0013069B" w:rsidP="0013069B">
      <w:pPr>
        <w:pStyle w:val="PlainText"/>
        <w:numPr>
          <w:ilvl w:val="0"/>
          <w:numId w:val="5"/>
        </w:numPr>
        <w:rPr>
          <w:sz w:val="20"/>
        </w:rPr>
      </w:pPr>
      <w:r w:rsidRPr="0013069B">
        <w:rPr>
          <w:sz w:val="20"/>
        </w:rPr>
        <w:t>Output layer with 3 neurons (one for each action)</w:t>
      </w:r>
    </w:p>
    <w:p w14:paraId="7BAA275D" w14:textId="77777777" w:rsidR="0013069B" w:rsidRPr="0013069B" w:rsidRDefault="0013069B" w:rsidP="0013069B">
      <w:pPr>
        <w:pStyle w:val="PlainText"/>
        <w:numPr>
          <w:ilvl w:val="0"/>
          <w:numId w:val="5"/>
        </w:numPr>
        <w:rPr>
          <w:sz w:val="20"/>
        </w:rPr>
      </w:pPr>
      <w:r w:rsidRPr="0013069B">
        <w:rPr>
          <w:sz w:val="20"/>
        </w:rPr>
        <w:t>ReLU activations and tanh for final output</w:t>
      </w:r>
    </w:p>
    <w:p w14:paraId="49B524F4" w14:textId="77777777" w:rsidR="0013069B" w:rsidRDefault="0013069B" w:rsidP="00241695">
      <w:pPr>
        <w:pStyle w:val="PlainText"/>
        <w:spacing w:after="240"/>
        <w:ind w:firstLine="284"/>
        <w:rPr>
          <w:sz w:val="20"/>
        </w:rPr>
      </w:pPr>
      <w:r w:rsidRPr="0013069B">
        <w:rPr>
          <w:sz w:val="20"/>
        </w:rPr>
        <w:t>The critic networks evaluate action-state pairs to guide policy improvement with a similar structure but larger hidden layers (384 neurons) to accommodate the joint state-action space.</w:t>
      </w:r>
    </w:p>
    <w:p w14:paraId="06D0DE25" w14:textId="77777777" w:rsidR="006A4453" w:rsidRPr="0013069B" w:rsidRDefault="006A4453" w:rsidP="00241695">
      <w:pPr>
        <w:pStyle w:val="PlainText"/>
        <w:spacing w:after="240"/>
        <w:ind w:firstLine="284"/>
        <w:rPr>
          <w:sz w:val="20"/>
        </w:rPr>
      </w:pPr>
    </w:p>
    <w:p w14:paraId="43DF0F07" w14:textId="03FCB8DF" w:rsidR="000B7A6B" w:rsidRDefault="000B7A6B" w:rsidP="000B7A6B">
      <w:pPr>
        <w:pStyle w:val="PlainText"/>
        <w:rPr>
          <w:sz w:val="20"/>
        </w:rPr>
      </w:pPr>
      <w:r w:rsidRPr="00B809C5">
        <w:rPr>
          <w:b/>
          <w:bCs/>
          <w:sz w:val="20"/>
        </w:rPr>
        <w:t>3.4</w:t>
      </w:r>
      <w:r>
        <w:rPr>
          <w:b/>
          <w:bCs/>
          <w:sz w:val="20"/>
        </w:rPr>
        <w:t xml:space="preserve">.2 </w:t>
      </w:r>
      <w:r w:rsidR="005752CC">
        <w:rPr>
          <w:b/>
          <w:bCs/>
          <w:sz w:val="20"/>
        </w:rPr>
        <w:t xml:space="preserve">Redistribution </w:t>
      </w:r>
      <w:r w:rsidR="007E08D9">
        <w:rPr>
          <w:b/>
          <w:bCs/>
          <w:sz w:val="20"/>
        </w:rPr>
        <w:t>a</w:t>
      </w:r>
      <w:r w:rsidR="005752CC">
        <w:rPr>
          <w:b/>
          <w:bCs/>
          <w:sz w:val="20"/>
        </w:rPr>
        <w:t>gent</w:t>
      </w:r>
    </w:p>
    <w:p w14:paraId="45577C62" w14:textId="132E0DEB" w:rsidR="0013069B" w:rsidRPr="0013069B" w:rsidRDefault="0013069B" w:rsidP="001C2004">
      <w:pPr>
        <w:pStyle w:val="PlainText"/>
        <w:spacing w:after="240"/>
        <w:ind w:firstLine="284"/>
        <w:rPr>
          <w:sz w:val="20"/>
        </w:rPr>
      </w:pPr>
      <w:r w:rsidRPr="0013069B">
        <w:rPr>
          <w:sz w:val="20"/>
        </w:rPr>
        <w:lastRenderedPageBreak/>
        <w:t>A single central Redistribution Agent allocates disrupted EVs across operational districts. This agent determines the percentage of EVs sent to each district to prevent congestion and optimize grid utilization. The agent’s observation space includes:</w:t>
      </w:r>
    </w:p>
    <w:p w14:paraId="484B89FA" w14:textId="56796D0F" w:rsidR="0013069B" w:rsidRPr="0013069B" w:rsidRDefault="00000000" w:rsidP="001C2004">
      <w:pPr>
        <w:pStyle w:val="PlainText"/>
        <w:spacing w:after="240"/>
        <w:rPr>
          <w:sz w:val="20"/>
        </w:rPr>
      </w:pPr>
      <m:oMathPara>
        <m:oMathParaPr>
          <m:jc m:val="center"/>
        </m:oMathParaPr>
        <m:oMath>
          <m:m>
            <m:mPr>
              <m:plcHide m:val="1"/>
              <m:mcs>
                <m:mc>
                  <m:mcPr>
                    <m:count m:val="1"/>
                    <m:mcJc m:val="center"/>
                  </m:mcPr>
                </m:mc>
              </m:mcs>
              <m:ctrlPr>
                <w:rPr>
                  <w:rFonts w:ascii="Cambria Math" w:hAnsi="Cambria Math"/>
                  <w:sz w:val="16"/>
                  <w:szCs w:val="16"/>
                </w:rPr>
              </m:ctrlPr>
            </m:mPr>
            <m:mr>
              <m:e>
                <m:sSup>
                  <m:sSupPr>
                    <m:ctrlPr>
                      <w:rPr>
                        <w:rFonts w:ascii="Cambria Math" w:hAnsi="Cambria Math"/>
                        <w:sz w:val="16"/>
                        <w:szCs w:val="16"/>
                      </w:rPr>
                    </m:ctrlPr>
                  </m:sSupPr>
                  <m:e>
                    <m:r>
                      <w:rPr>
                        <w:rFonts w:ascii="Cambria Math" w:hAnsi="Cambria Math"/>
                        <w:sz w:val="16"/>
                        <w:szCs w:val="16"/>
                      </w:rPr>
                      <m:t>o</m:t>
                    </m:r>
                  </m:e>
                  <m:sup>
                    <m:r>
                      <w:rPr>
                        <w:rFonts w:ascii="Cambria Math" w:hAnsi="Cambria Math"/>
                        <w:sz w:val="16"/>
                        <w:szCs w:val="16"/>
                      </w:rPr>
                      <m:t>r</m:t>
                    </m:r>
                  </m:sup>
                </m:sSup>
                <m:r>
                  <m:rPr>
                    <m:sty m:val="p"/>
                  </m:rPr>
                  <w:rPr>
                    <w:rFonts w:ascii="Cambria Math" w:hAnsi="Cambria Math"/>
                    <w:sz w:val="16"/>
                    <w:szCs w:val="16"/>
                  </w:rPr>
                  <m:t>(</m:t>
                </m:r>
                <m:r>
                  <w:rPr>
                    <w:rFonts w:ascii="Cambria Math" w:hAnsi="Cambria Math"/>
                    <w:sz w:val="16"/>
                    <w:szCs w:val="16"/>
                  </w:rPr>
                  <m:t>t</m:t>
                </m:r>
                <m:r>
                  <m:rPr>
                    <m:sty m:val="p"/>
                  </m:rPr>
                  <w:rPr>
                    <w:rFonts w:ascii="Cambria Math" w:hAnsi="Cambria Math"/>
                    <w:sz w:val="16"/>
                    <w:szCs w:val="16"/>
                  </w:rPr>
                  <m:t>)={</m:t>
                </m:r>
                <m:sSub>
                  <m:sSubPr>
                    <m:ctrlPr>
                      <w:rPr>
                        <w:rFonts w:ascii="Cambria Math" w:hAnsi="Cambria Math"/>
                        <w:sz w:val="16"/>
                        <w:szCs w:val="16"/>
                      </w:rPr>
                    </m:ctrlPr>
                  </m:sSubPr>
                  <m:e>
                    <m:r>
                      <w:rPr>
                        <w:rFonts w:ascii="Cambria Math" w:hAnsi="Cambria Math"/>
                        <w:sz w:val="16"/>
                        <w:szCs w:val="16"/>
                      </w:rPr>
                      <m:t>q</m:t>
                    </m:r>
                  </m:e>
                  <m:sub>
                    <m:r>
                      <w:rPr>
                        <w:rFonts w:ascii="Cambria Math" w:hAnsi="Cambria Math"/>
                        <w:sz w:val="16"/>
                        <w:szCs w:val="16"/>
                      </w:rPr>
                      <m:t>k</m:t>
                    </m:r>
                  </m:sub>
                </m:sSub>
                <m:r>
                  <m:rPr>
                    <m:sty m:val="p"/>
                  </m:rPr>
                  <w:rPr>
                    <w:rFonts w:ascii="Cambria Math" w:hAnsi="Cambria Math"/>
                    <w:sz w:val="16"/>
                    <w:szCs w:val="16"/>
                  </w:rPr>
                  <m:t>(</m:t>
                </m:r>
                <m:r>
                  <w:rPr>
                    <w:rFonts w:ascii="Cambria Math" w:hAnsi="Cambria Math"/>
                    <w:sz w:val="16"/>
                    <w:szCs w:val="16"/>
                  </w:rPr>
                  <m:t>t</m:t>
                </m:r>
                <m:r>
                  <m:rPr>
                    <m:sty m:val="p"/>
                  </m:rPr>
                  <w:rPr>
                    <w:rFonts w:ascii="Cambria Math" w:hAnsi="Cambria Math"/>
                    <w:sz w:val="16"/>
                    <w:szCs w:val="16"/>
                  </w:rPr>
                  <m:t>),</m:t>
                </m:r>
                <m:r>
                  <w:rPr>
                    <w:rFonts w:ascii="Cambria Math" w:hAnsi="Cambria Math"/>
                    <w:sz w:val="16"/>
                    <w:szCs w:val="16"/>
                  </w:rPr>
                  <m:t> </m:t>
                </m:r>
                <m:sSub>
                  <m:sSubPr>
                    <m:ctrlPr>
                      <w:rPr>
                        <w:rFonts w:ascii="Cambria Math" w:hAnsi="Cambria Math"/>
                        <w:sz w:val="16"/>
                        <w:szCs w:val="16"/>
                      </w:rPr>
                    </m:ctrlPr>
                  </m:sSubPr>
                  <m:e>
                    <m:r>
                      <w:rPr>
                        <w:rFonts w:ascii="Cambria Math" w:hAnsi="Cambria Math"/>
                        <w:sz w:val="16"/>
                        <w:szCs w:val="16"/>
                      </w:rPr>
                      <m:t>L</m:t>
                    </m:r>
                  </m:e>
                  <m:sub>
                    <m:r>
                      <w:rPr>
                        <w:rFonts w:ascii="Cambria Math" w:hAnsi="Cambria Math"/>
                        <w:sz w:val="16"/>
                        <w:szCs w:val="16"/>
                      </w:rPr>
                      <m:t>k</m:t>
                    </m:r>
                  </m:sub>
                </m:sSub>
                <m:r>
                  <m:rPr>
                    <m:sty m:val="p"/>
                  </m:rPr>
                  <w:rPr>
                    <w:rFonts w:ascii="Cambria Math" w:hAnsi="Cambria Math"/>
                    <w:sz w:val="16"/>
                    <w:szCs w:val="16"/>
                  </w:rPr>
                  <m:t>(</m:t>
                </m:r>
                <m:r>
                  <w:rPr>
                    <w:rFonts w:ascii="Cambria Math" w:hAnsi="Cambria Math"/>
                    <w:sz w:val="16"/>
                    <w:szCs w:val="16"/>
                  </w:rPr>
                  <m:t>t</m:t>
                </m:r>
                <m:r>
                  <m:rPr>
                    <m:sty m:val="p"/>
                  </m:rPr>
                  <w:rPr>
                    <w:rFonts w:ascii="Cambria Math" w:hAnsi="Cambria Math"/>
                    <w:sz w:val="16"/>
                    <w:szCs w:val="16"/>
                  </w:rPr>
                  <m:t>),</m:t>
                </m:r>
                <m:r>
                  <w:rPr>
                    <w:rFonts w:ascii="Cambria Math" w:hAnsi="Cambria Math"/>
                    <w:sz w:val="16"/>
                    <w:szCs w:val="16"/>
                  </w:rPr>
                  <m:t> E</m:t>
                </m:r>
                <m:sSub>
                  <m:sSubPr>
                    <m:ctrlPr>
                      <w:rPr>
                        <w:rFonts w:ascii="Cambria Math" w:hAnsi="Cambria Math"/>
                        <w:sz w:val="16"/>
                        <w:szCs w:val="16"/>
                      </w:rPr>
                    </m:ctrlPr>
                  </m:sSubPr>
                  <m:e>
                    <m:r>
                      <w:rPr>
                        <w:rFonts w:ascii="Cambria Math" w:hAnsi="Cambria Math"/>
                        <w:sz w:val="16"/>
                        <w:szCs w:val="16"/>
                      </w:rPr>
                      <m:t>V</m:t>
                    </m:r>
                  </m:e>
                  <m:sub>
                    <m:r>
                      <m:rPr>
                        <m:nor/>
                      </m:rPr>
                      <w:rPr>
                        <w:sz w:val="16"/>
                        <w:szCs w:val="16"/>
                      </w:rPr>
                      <m:t>disrupted</m:t>
                    </m:r>
                  </m:sub>
                </m:sSub>
                <m:r>
                  <m:rPr>
                    <m:sty m:val="p"/>
                  </m:rPr>
                  <w:rPr>
                    <w:rFonts w:ascii="Cambria Math" w:hAnsi="Cambria Math"/>
                    <w:sz w:val="16"/>
                    <w:szCs w:val="16"/>
                  </w:rPr>
                  <m:t>(</m:t>
                </m:r>
                <m:r>
                  <w:rPr>
                    <w:rFonts w:ascii="Cambria Math" w:hAnsi="Cambria Math"/>
                    <w:sz w:val="16"/>
                    <w:szCs w:val="16"/>
                  </w:rPr>
                  <m:t>t</m:t>
                </m:r>
                <m:r>
                  <m:rPr>
                    <m:sty m:val="p"/>
                  </m:rPr>
                  <w:rPr>
                    <w:rFonts w:ascii="Cambria Math" w:hAnsi="Cambria Math"/>
                    <w:sz w:val="16"/>
                    <w:szCs w:val="16"/>
                  </w:rPr>
                  <m:t>),</m:t>
                </m:r>
                <m:r>
                  <w:rPr>
                    <w:rFonts w:ascii="Cambria Math" w:hAnsi="Cambria Math"/>
                    <w:sz w:val="16"/>
                    <w:szCs w:val="16"/>
                  </w:rPr>
                  <m:t> </m:t>
                </m:r>
                <m:sSub>
                  <m:sSubPr>
                    <m:ctrlPr>
                      <w:rPr>
                        <w:rFonts w:ascii="Cambria Math" w:hAnsi="Cambria Math"/>
                        <w:sz w:val="16"/>
                        <w:szCs w:val="16"/>
                      </w:rPr>
                    </m:ctrlPr>
                  </m:sSubPr>
                  <m:e>
                    <m:r>
                      <w:rPr>
                        <w:rFonts w:ascii="Cambria Math" w:hAnsi="Cambria Math"/>
                        <w:sz w:val="16"/>
                        <w:szCs w:val="16"/>
                      </w:rPr>
                      <m:t>C</m:t>
                    </m:r>
                  </m:e>
                  <m:sub>
                    <m:r>
                      <w:rPr>
                        <w:rFonts w:ascii="Cambria Math" w:hAnsi="Cambria Math"/>
                        <w:sz w:val="16"/>
                        <w:szCs w:val="16"/>
                      </w:rPr>
                      <m:t>k</m:t>
                    </m:r>
                  </m:sub>
                </m:sSub>
                <m:r>
                  <m:rPr>
                    <m:sty m:val="p"/>
                  </m:rPr>
                  <w:rPr>
                    <w:rFonts w:ascii="Cambria Math" w:hAnsi="Cambria Math"/>
                    <w:sz w:val="16"/>
                    <w:szCs w:val="16"/>
                  </w:rPr>
                  <m:t>,</m:t>
                </m:r>
                <m:r>
                  <w:rPr>
                    <w:rFonts w:ascii="Cambria Math" w:hAnsi="Cambria Math"/>
                    <w:sz w:val="16"/>
                    <w:szCs w:val="16"/>
                  </w:rPr>
                  <m:t> is</m:t>
                </m:r>
                <m:r>
                  <m:rPr>
                    <m:sty m:val="p"/>
                  </m:rPr>
                  <w:rPr>
                    <w:rFonts w:ascii="Cambria Math" w:hAnsi="Cambria Math"/>
                    <w:sz w:val="16"/>
                    <w:szCs w:val="16"/>
                  </w:rPr>
                  <m:t>_</m:t>
                </m:r>
                <m:r>
                  <w:rPr>
                    <w:rFonts w:ascii="Cambria Math" w:hAnsi="Cambria Math"/>
                    <w:sz w:val="16"/>
                    <w:szCs w:val="16"/>
                  </w:rPr>
                  <m:t>outage</m:t>
                </m:r>
                <m:r>
                  <m:rPr>
                    <m:sty m:val="p"/>
                  </m:rPr>
                  <w:rPr>
                    <w:rFonts w:ascii="Cambria Math" w:hAnsi="Cambria Math"/>
                    <w:sz w:val="16"/>
                    <w:szCs w:val="16"/>
                  </w:rPr>
                  <m:t>_</m:t>
                </m:r>
                <m:r>
                  <w:rPr>
                    <w:rFonts w:ascii="Cambria Math" w:hAnsi="Cambria Math"/>
                    <w:sz w:val="16"/>
                    <w:szCs w:val="16"/>
                  </w:rPr>
                  <m:t>k</m:t>
                </m:r>
                <m:r>
                  <m:rPr>
                    <m:sty m:val="p"/>
                  </m:rPr>
                  <w:rPr>
                    <w:rFonts w:ascii="Cambria Math" w:hAnsi="Cambria Math"/>
                    <w:sz w:val="16"/>
                    <w:szCs w:val="16"/>
                  </w:rPr>
                  <m:t xml:space="preserve">, </m:t>
                </m:r>
              </m:e>
            </m:mr>
            <m:mr>
              <m:e>
                <m:sSub>
                  <m:sSubPr>
                    <m:ctrlPr>
                      <w:rPr>
                        <w:rFonts w:ascii="Cambria Math" w:hAnsi="Cambria Math"/>
                        <w:sz w:val="16"/>
                        <w:szCs w:val="16"/>
                      </w:rPr>
                    </m:ctrlPr>
                  </m:sSubPr>
                  <m:e>
                    <m:r>
                      <m:rPr>
                        <m:nor/>
                      </m:rPr>
                      <w:rPr>
                        <w:sz w:val="16"/>
                        <w:szCs w:val="16"/>
                      </w:rPr>
                      <m:t>crit_soc</m:t>
                    </m:r>
                  </m:e>
                  <m:sub>
                    <m:r>
                      <w:rPr>
                        <w:rFonts w:ascii="Cambria Math" w:hAnsi="Cambria Math"/>
                        <w:sz w:val="16"/>
                        <w:szCs w:val="16"/>
                      </w:rPr>
                      <m:t>k</m:t>
                    </m:r>
                  </m:sub>
                </m:sSub>
                <m:r>
                  <m:rPr>
                    <m:sty m:val="p"/>
                  </m:rPr>
                  <w:rPr>
                    <w:rFonts w:ascii="Cambria Math" w:hAnsi="Cambria Math"/>
                    <w:sz w:val="16"/>
                    <w:szCs w:val="16"/>
                  </w:rPr>
                  <m:t>(</m:t>
                </m:r>
                <m:r>
                  <w:rPr>
                    <w:rFonts w:ascii="Cambria Math" w:hAnsi="Cambria Math"/>
                    <w:sz w:val="16"/>
                    <w:szCs w:val="16"/>
                  </w:rPr>
                  <m:t>t</m:t>
                </m:r>
                <m:r>
                  <m:rPr>
                    <m:sty m:val="p"/>
                  </m:rPr>
                  <w:rPr>
                    <w:rFonts w:ascii="Cambria Math" w:hAnsi="Cambria Math"/>
                    <w:sz w:val="16"/>
                    <w:szCs w:val="16"/>
                  </w:rPr>
                  <m:t>),</m:t>
                </m:r>
                <m:r>
                  <w:rPr>
                    <w:rFonts w:ascii="Cambria Math" w:hAnsi="Cambria Math"/>
                    <w:sz w:val="16"/>
                    <w:szCs w:val="16"/>
                  </w:rPr>
                  <m:t> </m:t>
                </m:r>
                <m:sSub>
                  <m:sSubPr>
                    <m:ctrlPr>
                      <w:rPr>
                        <w:rFonts w:ascii="Cambria Math" w:hAnsi="Cambria Math"/>
                        <w:sz w:val="16"/>
                        <w:szCs w:val="16"/>
                      </w:rPr>
                    </m:ctrlPr>
                  </m:sSubPr>
                  <m:e>
                    <m:r>
                      <m:rPr>
                        <m:nor/>
                      </m:rPr>
                      <w:rPr>
                        <w:sz w:val="16"/>
                        <w:szCs w:val="16"/>
                      </w:rPr>
                      <m:t>low_soc</m:t>
                    </m:r>
                  </m:e>
                  <m:sub>
                    <m:r>
                      <w:rPr>
                        <w:rFonts w:ascii="Cambria Math" w:hAnsi="Cambria Math"/>
                        <w:sz w:val="16"/>
                        <w:szCs w:val="16"/>
                      </w:rPr>
                      <m:t>k</m:t>
                    </m:r>
                  </m:sub>
                </m:sSub>
                <m:r>
                  <m:rPr>
                    <m:sty m:val="p"/>
                  </m:rPr>
                  <w:rPr>
                    <w:rFonts w:ascii="Cambria Math" w:hAnsi="Cambria Math"/>
                    <w:sz w:val="16"/>
                    <w:szCs w:val="16"/>
                  </w:rPr>
                  <m:t>(</m:t>
                </m:r>
                <m:r>
                  <w:rPr>
                    <w:rFonts w:ascii="Cambria Math" w:hAnsi="Cambria Math"/>
                    <w:sz w:val="16"/>
                    <w:szCs w:val="16"/>
                  </w:rPr>
                  <m:t>t</m:t>
                </m:r>
                <m:r>
                  <m:rPr>
                    <m:sty m:val="p"/>
                  </m:rPr>
                  <w:rPr>
                    <w:rFonts w:ascii="Cambria Math" w:hAnsi="Cambria Math"/>
                    <w:sz w:val="16"/>
                    <w:szCs w:val="16"/>
                  </w:rPr>
                  <m:t>),</m:t>
                </m:r>
                <m:r>
                  <w:rPr>
                    <w:rFonts w:ascii="Cambria Math" w:hAnsi="Cambria Math"/>
                    <w:sz w:val="16"/>
                    <w:szCs w:val="16"/>
                  </w:rPr>
                  <m:t> </m:t>
                </m:r>
                <m:sSub>
                  <m:sSubPr>
                    <m:ctrlPr>
                      <w:rPr>
                        <w:rFonts w:ascii="Cambria Math" w:hAnsi="Cambria Math"/>
                        <w:sz w:val="16"/>
                        <w:szCs w:val="16"/>
                      </w:rPr>
                    </m:ctrlPr>
                  </m:sSubPr>
                  <m:e>
                    <m:r>
                      <m:rPr>
                        <m:nor/>
                      </m:rPr>
                      <w:rPr>
                        <w:sz w:val="16"/>
                        <w:szCs w:val="16"/>
                      </w:rPr>
                      <m:t>med_soc</m:t>
                    </m:r>
                  </m:e>
                  <m:sub>
                    <m:r>
                      <w:rPr>
                        <w:rFonts w:ascii="Cambria Math" w:hAnsi="Cambria Math"/>
                        <w:sz w:val="16"/>
                        <w:szCs w:val="16"/>
                      </w:rPr>
                      <m:t>k</m:t>
                    </m:r>
                  </m:sub>
                </m:sSub>
                <m:r>
                  <m:rPr>
                    <m:sty m:val="p"/>
                  </m:rPr>
                  <w:rPr>
                    <w:rFonts w:ascii="Cambria Math" w:hAnsi="Cambria Math"/>
                    <w:sz w:val="16"/>
                    <w:szCs w:val="16"/>
                  </w:rPr>
                  <m:t>(</m:t>
                </m:r>
                <m:r>
                  <w:rPr>
                    <w:rFonts w:ascii="Cambria Math" w:hAnsi="Cambria Math"/>
                    <w:sz w:val="16"/>
                    <w:szCs w:val="16"/>
                  </w:rPr>
                  <m:t>t</m:t>
                </m:r>
                <m:r>
                  <m:rPr>
                    <m:sty m:val="p"/>
                  </m:rPr>
                  <w:rPr>
                    <w:rFonts w:ascii="Cambria Math" w:hAnsi="Cambria Math"/>
                    <w:sz w:val="16"/>
                    <w:szCs w:val="16"/>
                  </w:rPr>
                  <m:t>),</m:t>
                </m:r>
                <m:r>
                  <w:rPr>
                    <w:rFonts w:ascii="Cambria Math" w:hAnsi="Cambria Math"/>
                    <w:sz w:val="16"/>
                    <w:szCs w:val="16"/>
                  </w:rPr>
                  <m:t> </m:t>
                </m:r>
                <m:sSub>
                  <m:sSubPr>
                    <m:ctrlPr>
                      <w:rPr>
                        <w:rFonts w:ascii="Cambria Math" w:hAnsi="Cambria Math"/>
                        <w:sz w:val="16"/>
                        <w:szCs w:val="16"/>
                      </w:rPr>
                    </m:ctrlPr>
                  </m:sSubPr>
                  <m:e>
                    <m:r>
                      <m:rPr>
                        <m:nor/>
                      </m:rPr>
                      <w:rPr>
                        <w:sz w:val="16"/>
                        <w:szCs w:val="16"/>
                      </w:rPr>
                      <m:t>high_soc</m:t>
                    </m:r>
                  </m:e>
                  <m:sub>
                    <m:r>
                      <w:rPr>
                        <w:rFonts w:ascii="Cambria Math" w:hAnsi="Cambria Math"/>
                        <w:sz w:val="16"/>
                        <w:szCs w:val="16"/>
                      </w:rPr>
                      <m:t>k</m:t>
                    </m:r>
                  </m:sub>
                </m:sSub>
                <m:d>
                  <m:dPr>
                    <m:ctrlPr>
                      <w:rPr>
                        <w:rFonts w:ascii="Cambria Math" w:hAnsi="Cambria Math"/>
                        <w:sz w:val="16"/>
                        <w:szCs w:val="16"/>
                      </w:rPr>
                    </m:ctrlPr>
                  </m:dPr>
                  <m:e>
                    <m:r>
                      <w:rPr>
                        <w:rFonts w:ascii="Cambria Math" w:hAnsi="Cambria Math"/>
                        <w:sz w:val="16"/>
                        <w:szCs w:val="16"/>
                      </w:rPr>
                      <m:t>t</m:t>
                    </m:r>
                  </m:e>
                </m:d>
                <m:r>
                  <m:rPr>
                    <m:sty m:val="p"/>
                  </m:rPr>
                  <w:rPr>
                    <w:rFonts w:ascii="Cambria Math" w:hAnsi="Cambria Math"/>
                    <w:sz w:val="16"/>
                    <w:szCs w:val="16"/>
                  </w:rPr>
                  <m:t>}</m:t>
                </m:r>
              </m:e>
            </m:mr>
          </m:m>
          <m:r>
            <w:rPr>
              <w:rFonts w:ascii="Cambria Math" w:hAnsi="Cambria Math"/>
              <w:sz w:val="16"/>
              <w:szCs w:val="16"/>
            </w:rPr>
            <m:t xml:space="preserve"> (19)</m:t>
          </m:r>
        </m:oMath>
      </m:oMathPara>
    </w:p>
    <w:p w14:paraId="14F91583" w14:textId="5E82E847" w:rsidR="0013069B" w:rsidRPr="0013069B" w:rsidRDefault="0013069B" w:rsidP="0013069B">
      <w:pPr>
        <w:pStyle w:val="PlainText"/>
        <w:rPr>
          <w:sz w:val="20"/>
        </w:rPr>
      </w:pPr>
      <w:r w:rsidRPr="0013069B">
        <w:rPr>
          <w:sz w:val="20"/>
        </w:rPr>
        <w:t xml:space="preserve">where </w:t>
      </w:r>
      <m:oMath>
        <m:sSub>
          <m:sSubPr>
            <m:ctrlPr>
              <w:rPr>
                <w:rFonts w:ascii="Cambria Math" w:hAnsi="Cambria Math"/>
                <w:sz w:val="20"/>
              </w:rPr>
            </m:ctrlPr>
          </m:sSubPr>
          <m:e>
            <m:r>
              <w:rPr>
                <w:rFonts w:ascii="Cambria Math" w:hAnsi="Cambria Math"/>
                <w:sz w:val="20"/>
              </w:rPr>
              <m:t>q</m:t>
            </m:r>
          </m:e>
          <m:sub>
            <m:r>
              <w:rPr>
                <w:rFonts w:ascii="Cambria Math" w:hAnsi="Cambria Math"/>
                <w:sz w:val="20"/>
              </w:rPr>
              <m:t>k</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represents queue lengths across districts, </w:t>
      </w:r>
      <m:oMath>
        <m:sSub>
          <m:sSubPr>
            <m:ctrlPr>
              <w:rPr>
                <w:rFonts w:ascii="Cambria Math" w:hAnsi="Cambria Math"/>
                <w:sz w:val="20"/>
              </w:rPr>
            </m:ctrlPr>
          </m:sSubPr>
          <m:e>
            <m:r>
              <w:rPr>
                <w:rFonts w:ascii="Cambria Math" w:hAnsi="Cambria Math"/>
                <w:sz w:val="20"/>
              </w:rPr>
              <m:t>L</m:t>
            </m:r>
          </m:e>
          <m:sub>
            <m:r>
              <w:rPr>
                <w:rFonts w:ascii="Cambria Math" w:hAnsi="Cambria Math"/>
                <w:sz w:val="20"/>
              </w:rPr>
              <m:t>k</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denotes grid loads, </w:t>
      </w:r>
      <m:oMath>
        <m:r>
          <w:rPr>
            <w:rFonts w:ascii="Cambria Math" w:hAnsi="Cambria Math"/>
            <w:sz w:val="20"/>
          </w:rPr>
          <m:t>E</m:t>
        </m:r>
        <m:sSub>
          <m:sSubPr>
            <m:ctrlPr>
              <w:rPr>
                <w:rFonts w:ascii="Cambria Math" w:hAnsi="Cambria Math"/>
                <w:sz w:val="20"/>
              </w:rPr>
            </m:ctrlPr>
          </m:sSubPr>
          <m:e>
            <m:r>
              <w:rPr>
                <w:rFonts w:ascii="Cambria Math" w:hAnsi="Cambria Math"/>
                <w:sz w:val="20"/>
              </w:rPr>
              <m:t>V</m:t>
            </m:r>
          </m:e>
          <m:sub>
            <m:r>
              <m:rPr>
                <m:nor/>
              </m:rPr>
              <w:rPr>
                <w:sz w:val="20"/>
              </w:rPr>
              <m:t>disrupted</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captures the total number of displaced EVs, </w:t>
      </w:r>
      <m:oMath>
        <m:sSub>
          <m:sSubPr>
            <m:ctrlPr>
              <w:rPr>
                <w:rFonts w:ascii="Cambria Math" w:hAnsi="Cambria Math"/>
                <w:sz w:val="20"/>
              </w:rPr>
            </m:ctrlPr>
          </m:sSubPr>
          <m:e>
            <m:r>
              <w:rPr>
                <w:rFonts w:ascii="Cambria Math" w:hAnsi="Cambria Math"/>
                <w:sz w:val="20"/>
              </w:rPr>
              <m:t>C</m:t>
            </m:r>
          </m:e>
          <m:sub>
            <m:r>
              <w:rPr>
                <w:rFonts w:ascii="Cambria Math" w:hAnsi="Cambria Math"/>
                <w:sz w:val="20"/>
              </w:rPr>
              <m:t>k</m:t>
            </m:r>
          </m:sub>
        </m:sSub>
      </m:oMath>
      <w:r w:rsidRPr="0013069B">
        <w:rPr>
          <w:sz w:val="20"/>
        </w:rPr>
        <w:t xml:space="preserve"> is the charging capacity, </w:t>
      </w:r>
      <m:oMath>
        <m:r>
          <w:rPr>
            <w:rFonts w:ascii="Cambria Math" w:hAnsi="Cambria Math"/>
            <w:sz w:val="20"/>
          </w:rPr>
          <m:t>is</m:t>
        </m:r>
        <m:r>
          <m:rPr>
            <m:sty m:val="p"/>
          </m:rPr>
          <w:rPr>
            <w:rFonts w:ascii="Cambria Math" w:hAnsi="Cambria Math"/>
            <w:sz w:val="20"/>
          </w:rPr>
          <m:t>_</m:t>
        </m:r>
        <m:r>
          <w:rPr>
            <w:rFonts w:ascii="Cambria Math" w:hAnsi="Cambria Math"/>
            <w:sz w:val="20"/>
          </w:rPr>
          <m:t>outage</m:t>
        </m:r>
        <m:r>
          <m:rPr>
            <m:sty m:val="p"/>
          </m:rPr>
          <w:rPr>
            <w:rFonts w:ascii="Cambria Math" w:hAnsi="Cambria Math"/>
            <w:sz w:val="20"/>
          </w:rPr>
          <m:t>_</m:t>
        </m:r>
        <m:r>
          <w:rPr>
            <w:rFonts w:ascii="Cambria Math" w:hAnsi="Cambria Math"/>
            <w:sz w:val="20"/>
          </w:rPr>
          <m:t>k</m:t>
        </m:r>
      </m:oMath>
      <w:r w:rsidRPr="0013069B">
        <w:rPr>
          <w:sz w:val="20"/>
        </w:rPr>
        <w:t xml:space="preserve"> identifies districts with outages, and </w:t>
      </w:r>
      <m:oMath>
        <m:sSub>
          <m:sSubPr>
            <m:ctrlPr>
              <w:rPr>
                <w:rFonts w:ascii="Cambria Math" w:hAnsi="Cambria Math"/>
                <w:sz w:val="20"/>
              </w:rPr>
            </m:ctrlPr>
          </m:sSubPr>
          <m:e>
            <m:r>
              <m:rPr>
                <m:nor/>
              </m:rPr>
              <w:rPr>
                <w:sz w:val="20"/>
              </w:rPr>
              <m:t>crit_soc</m:t>
            </m:r>
          </m:e>
          <m:sub>
            <m:r>
              <w:rPr>
                <w:rFonts w:ascii="Cambria Math" w:hAnsi="Cambria Math"/>
                <w:sz w:val="20"/>
              </w:rPr>
              <m:t>k</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w:t>
      </w:r>
      <m:oMath>
        <m:sSub>
          <m:sSubPr>
            <m:ctrlPr>
              <w:rPr>
                <w:rFonts w:ascii="Cambria Math" w:hAnsi="Cambria Math"/>
                <w:sz w:val="20"/>
              </w:rPr>
            </m:ctrlPr>
          </m:sSubPr>
          <m:e>
            <m:r>
              <m:rPr>
                <m:nor/>
              </m:rPr>
              <w:rPr>
                <w:sz w:val="20"/>
              </w:rPr>
              <m:t>low_soc</m:t>
            </m:r>
          </m:e>
          <m:sub>
            <m:r>
              <w:rPr>
                <w:rFonts w:ascii="Cambria Math" w:hAnsi="Cambria Math"/>
                <w:sz w:val="20"/>
              </w:rPr>
              <m:t>k</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w:t>
      </w:r>
      <m:oMath>
        <m:sSub>
          <m:sSubPr>
            <m:ctrlPr>
              <w:rPr>
                <w:rFonts w:ascii="Cambria Math" w:hAnsi="Cambria Math"/>
                <w:sz w:val="20"/>
              </w:rPr>
            </m:ctrlPr>
          </m:sSubPr>
          <m:e>
            <m:r>
              <m:rPr>
                <m:nor/>
              </m:rPr>
              <w:rPr>
                <w:sz w:val="20"/>
              </w:rPr>
              <m:t>med_soc</m:t>
            </m:r>
          </m:e>
          <m:sub>
            <m:r>
              <w:rPr>
                <w:rFonts w:ascii="Cambria Math" w:hAnsi="Cambria Math"/>
                <w:sz w:val="20"/>
              </w:rPr>
              <m:t>k</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w:t>
      </w:r>
      <m:oMath>
        <m:sSub>
          <m:sSubPr>
            <m:ctrlPr>
              <w:rPr>
                <w:rFonts w:ascii="Cambria Math" w:hAnsi="Cambria Math"/>
                <w:sz w:val="20"/>
              </w:rPr>
            </m:ctrlPr>
          </m:sSubPr>
          <m:e>
            <m:r>
              <m:rPr>
                <m:nor/>
              </m:rPr>
              <w:rPr>
                <w:sz w:val="20"/>
              </w:rPr>
              <m:t>high_soc</m:t>
            </m:r>
          </m:e>
          <m:sub>
            <m:r>
              <w:rPr>
                <w:rFonts w:ascii="Cambria Math" w:hAnsi="Cambria Math"/>
                <w:sz w:val="20"/>
              </w:rPr>
              <m:t>k</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respectively represent the number of EVs in each SoC category per district.</w:t>
      </w:r>
    </w:p>
    <w:p w14:paraId="32BB0653" w14:textId="77777777" w:rsidR="0013069B" w:rsidRDefault="0013069B" w:rsidP="005752CC">
      <w:pPr>
        <w:pStyle w:val="PlainText"/>
        <w:ind w:firstLine="284"/>
        <w:rPr>
          <w:sz w:val="20"/>
        </w:rPr>
      </w:pPr>
      <w:r w:rsidRPr="0013069B">
        <w:rPr>
          <w:sz w:val="20"/>
        </w:rPr>
        <w:t>The action space defines a percentage-based allocation strategy for SoC-based EV classes: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869"/>
      </w:tblGrid>
      <w:tr w:rsidR="00241695" w14:paraId="3A7003C3" w14:textId="77777777" w:rsidTr="00346234">
        <w:tc>
          <w:tcPr>
            <w:tcW w:w="3681" w:type="dxa"/>
          </w:tcPr>
          <w:p w14:paraId="574C3502" w14:textId="688AF2D4" w:rsidR="00241695" w:rsidRDefault="00000000" w:rsidP="00241695">
            <w:pPr>
              <w:pStyle w:val="PlainText"/>
              <w:jc w:val="right"/>
              <w:rPr>
                <w:sz w:val="20"/>
              </w:rPr>
            </w:pPr>
            <m:oMathPara>
              <m:oMath>
                <m:sSup>
                  <m:sSupPr>
                    <m:ctrlPr>
                      <w:rPr>
                        <w:rFonts w:ascii="Cambria Math" w:hAnsi="Cambria Math"/>
                        <w:sz w:val="20"/>
                      </w:rPr>
                    </m:ctrlPr>
                  </m:sSupPr>
                  <m:e>
                    <m:r>
                      <w:rPr>
                        <w:rFonts w:ascii="Cambria Math" w:hAnsi="Cambria Math"/>
                        <w:sz w:val="20"/>
                      </w:rPr>
                      <m:t>a</m:t>
                    </m:r>
                  </m:e>
                  <m:sup>
                    <m:r>
                      <w:rPr>
                        <w:rFonts w:ascii="Cambria Math" w:hAnsi="Cambria Math"/>
                        <w:sz w:val="20"/>
                      </w:rPr>
                      <m:t>r</m:t>
                    </m:r>
                  </m:sup>
                </m:sSup>
                <m:r>
                  <m:rPr>
                    <m:sty m:val="p"/>
                  </m:rPr>
                  <w:rPr>
                    <w:rFonts w:ascii="Cambria Math" w:hAnsi="Cambria Math"/>
                    <w:sz w:val="20"/>
                  </w:rPr>
                  <m:t>(</m:t>
                </m:r>
                <m:r>
                  <w:rPr>
                    <w:rFonts w:ascii="Cambria Math" w:hAnsi="Cambria Math"/>
                    <w:sz w:val="20"/>
                  </w:rPr>
                  <m:t>t</m:t>
                </m:r>
                <m:r>
                  <m:rPr>
                    <m:sty m:val="p"/>
                  </m:rP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s</m:t>
                    </m:r>
                    <m:r>
                      <m:rPr>
                        <m:sty m:val="p"/>
                      </m:rPr>
                      <w:rPr>
                        <w:rFonts w:ascii="Cambria Math" w:hAnsi="Cambria Math"/>
                        <w:sz w:val="20"/>
                      </w:rPr>
                      <m:t>,</m:t>
                    </m:r>
                    <m:r>
                      <w:rPr>
                        <w:rFonts w:ascii="Cambria Math" w:hAnsi="Cambria Math"/>
                        <w:sz w:val="20"/>
                      </w:rPr>
                      <m:t>k</m:t>
                    </m:r>
                  </m:sub>
                </m:sSub>
                <m:r>
                  <m:rPr>
                    <m:sty m:val="p"/>
                  </m:rPr>
                  <w:rPr>
                    <w:rFonts w:ascii="Cambria Math" w:hAnsi="Cambria Math"/>
                    <w:sz w:val="20"/>
                  </w:rPr>
                  <m:t>},</m:t>
                </m:r>
                <m:r>
                  <w:rPr>
                    <w:rFonts w:ascii="Cambria Math" w:hAnsi="Cambria Math"/>
                    <w:sz w:val="20"/>
                  </w:rPr>
                  <m:t> </m:t>
                </m:r>
                <m:nary>
                  <m:naryPr>
                    <m:chr m:val="∑"/>
                    <m:limLoc m:val="undOvr"/>
                    <m:supHide m:val="1"/>
                    <m:ctrlPr>
                      <w:rPr>
                        <w:rFonts w:ascii="Cambria Math" w:hAnsi="Cambria Math"/>
                        <w:sz w:val="20"/>
                      </w:rPr>
                    </m:ctrlPr>
                  </m:naryPr>
                  <m:sub>
                    <m:r>
                      <w:rPr>
                        <w:rFonts w:ascii="Cambria Math" w:hAnsi="Cambria Math"/>
                        <w:sz w:val="20"/>
                      </w:rPr>
                      <m:t>s</m:t>
                    </m:r>
                  </m:sub>
                  <m:sup>
                    <m:r>
                      <w:rPr>
                        <w:rFonts w:ascii="Cambria Math" w:hAnsi="Cambria Math"/>
                        <w:sz w:val="20"/>
                      </w:rPr>
                      <m:t>​</m:t>
                    </m:r>
                  </m:sup>
                  <m:e>
                    <m:nary>
                      <m:naryPr>
                        <m:chr m:val="∑"/>
                        <m:limLoc m:val="undOvr"/>
                        <m:ctrlPr>
                          <w:rPr>
                            <w:rFonts w:ascii="Cambria Math" w:hAnsi="Cambria Math"/>
                            <w:sz w:val="20"/>
                          </w:rPr>
                        </m:ctrlPr>
                      </m:naryPr>
                      <m:sub>
                        <m:r>
                          <w:rPr>
                            <w:rFonts w:ascii="Cambria Math" w:hAnsi="Cambria Math"/>
                            <w:sz w:val="20"/>
                          </w:rPr>
                          <m:t>k</m:t>
                        </m:r>
                        <m:r>
                          <m:rPr>
                            <m:sty m:val="p"/>
                          </m:rPr>
                          <w:rPr>
                            <w:rFonts w:ascii="Cambria Math" w:hAnsi="Cambria Math"/>
                            <w:sz w:val="20"/>
                          </w:rPr>
                          <m:t>=</m:t>
                        </m:r>
                        <m:r>
                          <w:rPr>
                            <w:rFonts w:ascii="Cambria Math" w:hAnsi="Cambria Math"/>
                            <w:sz w:val="20"/>
                          </w:rPr>
                          <m:t>1</m:t>
                        </m:r>
                      </m:sub>
                      <m:sup>
                        <m:r>
                          <w:rPr>
                            <w:rFonts w:ascii="Cambria Math" w:hAnsi="Cambria Math"/>
                            <w:sz w:val="20"/>
                          </w:rPr>
                          <m:t>N</m:t>
                        </m:r>
                      </m:sup>
                      <m:e>
                        <m:sSub>
                          <m:sSubPr>
                            <m:ctrlPr>
                              <w:rPr>
                                <w:rFonts w:ascii="Cambria Math" w:hAnsi="Cambria Math"/>
                                <w:sz w:val="20"/>
                              </w:rPr>
                            </m:ctrlPr>
                          </m:sSubPr>
                          <m:e>
                            <m:r>
                              <w:rPr>
                                <w:rFonts w:ascii="Cambria Math" w:hAnsi="Cambria Math"/>
                                <w:sz w:val="20"/>
                              </w:rPr>
                              <m:t>p</m:t>
                            </m:r>
                          </m:e>
                          <m:sub>
                            <m:r>
                              <w:rPr>
                                <w:rFonts w:ascii="Cambria Math" w:hAnsi="Cambria Math"/>
                                <w:sz w:val="20"/>
                              </w:rPr>
                              <m:t>s</m:t>
                            </m:r>
                            <m:r>
                              <m:rPr>
                                <m:sty m:val="p"/>
                              </m:rPr>
                              <w:rPr>
                                <w:rFonts w:ascii="Cambria Math" w:hAnsi="Cambria Math"/>
                                <w:sz w:val="20"/>
                              </w:rPr>
                              <m:t>,</m:t>
                            </m:r>
                            <m:r>
                              <w:rPr>
                                <w:rFonts w:ascii="Cambria Math" w:hAnsi="Cambria Math"/>
                                <w:sz w:val="20"/>
                              </w:rPr>
                              <m:t>k</m:t>
                            </m:r>
                          </m:sub>
                        </m:sSub>
                      </m:e>
                    </m:nary>
                  </m:e>
                </m:nary>
                <m:r>
                  <m:rPr>
                    <m:sty m:val="p"/>
                  </m:rPr>
                  <w:rPr>
                    <w:rFonts w:ascii="Cambria Math" w:hAnsi="Cambria Math"/>
                    <w:sz w:val="20"/>
                  </w:rPr>
                  <m:t>=</m:t>
                </m:r>
                <m:r>
                  <w:rPr>
                    <w:rFonts w:ascii="Cambria Math" w:hAnsi="Cambria Math"/>
                    <w:sz w:val="20"/>
                  </w:rPr>
                  <m:t>1</m:t>
                </m:r>
              </m:oMath>
            </m:oMathPara>
          </w:p>
        </w:tc>
        <w:tc>
          <w:tcPr>
            <w:tcW w:w="869" w:type="dxa"/>
            <w:vAlign w:val="center"/>
          </w:tcPr>
          <w:p w14:paraId="219A6060" w14:textId="7F016383" w:rsidR="00241695" w:rsidRDefault="00346234" w:rsidP="00241695">
            <w:pPr>
              <w:pStyle w:val="PlainText"/>
              <w:jc w:val="right"/>
              <w:rPr>
                <w:sz w:val="20"/>
              </w:rPr>
            </w:pPr>
            <w:r>
              <w:rPr>
                <w:sz w:val="20"/>
              </w:rPr>
              <w:t xml:space="preserve">  </w:t>
            </w:r>
            <w:r w:rsidR="00241695">
              <w:rPr>
                <w:sz w:val="20"/>
              </w:rPr>
              <w:t>(20)</w:t>
            </w:r>
          </w:p>
        </w:tc>
      </w:tr>
    </w:tbl>
    <w:p w14:paraId="3D4B342A" w14:textId="77777777" w:rsidR="00241695" w:rsidRPr="0013069B" w:rsidRDefault="00241695" w:rsidP="005752CC">
      <w:pPr>
        <w:pStyle w:val="PlainText"/>
        <w:ind w:firstLine="284"/>
        <w:rPr>
          <w:sz w:val="20"/>
        </w:rPr>
      </w:pPr>
    </w:p>
    <w:p w14:paraId="17A90F80" w14:textId="747FE579" w:rsidR="0013069B" w:rsidRPr="0013069B" w:rsidRDefault="0013069B" w:rsidP="0013069B">
      <w:pPr>
        <w:pStyle w:val="PlainText"/>
        <w:rPr>
          <w:sz w:val="20"/>
        </w:rPr>
      </w:pPr>
      <w:r w:rsidRPr="0013069B">
        <w:rPr>
          <w:sz w:val="20"/>
        </w:rPr>
        <w:t xml:space="preserve">where </w:t>
      </w:r>
      <m:oMath>
        <m:sSub>
          <m:sSubPr>
            <m:ctrlPr>
              <w:rPr>
                <w:rFonts w:ascii="Cambria Math" w:hAnsi="Cambria Math"/>
                <w:sz w:val="20"/>
              </w:rPr>
            </m:ctrlPr>
          </m:sSubPr>
          <m:e>
            <m:r>
              <w:rPr>
                <w:rFonts w:ascii="Cambria Math" w:hAnsi="Cambria Math"/>
                <w:sz w:val="20"/>
              </w:rPr>
              <m:t>p</m:t>
            </m:r>
          </m:e>
          <m:sub>
            <m:r>
              <w:rPr>
                <w:rFonts w:ascii="Cambria Math" w:hAnsi="Cambria Math"/>
                <w:sz w:val="20"/>
              </w:rPr>
              <m:t>s</m:t>
            </m:r>
            <m:r>
              <m:rPr>
                <m:sty m:val="p"/>
              </m:rPr>
              <w:rPr>
                <w:rFonts w:ascii="Cambria Math" w:hAnsi="Cambria Math"/>
                <w:sz w:val="20"/>
              </w:rPr>
              <m:t>,</m:t>
            </m:r>
            <m:r>
              <w:rPr>
                <w:rFonts w:ascii="Cambria Math" w:hAnsi="Cambria Math"/>
                <w:sz w:val="20"/>
              </w:rPr>
              <m:t>k</m:t>
            </m:r>
          </m:sub>
        </m:sSub>
      </m:oMath>
      <w:r w:rsidRPr="0013069B">
        <w:rPr>
          <w:sz w:val="20"/>
        </w:rPr>
        <w:t xml:space="preserve"> represents the proportion of EVs in SoC class </w:t>
      </w:r>
      <m:oMath>
        <m:r>
          <w:rPr>
            <w:rFonts w:ascii="Cambria Math" w:hAnsi="Cambria Math"/>
            <w:sz w:val="20"/>
          </w:rPr>
          <m:t>s</m:t>
        </m:r>
      </m:oMath>
      <w:r w:rsidRPr="0013069B">
        <w:rPr>
          <w:sz w:val="20"/>
        </w:rPr>
        <w:t xml:space="preserve"> (critical, low, medium, high) assigned to district </w:t>
      </w:r>
      <m:oMath>
        <m:r>
          <w:rPr>
            <w:rFonts w:ascii="Cambria Math" w:hAnsi="Cambria Math"/>
            <w:sz w:val="20"/>
          </w:rPr>
          <m:t>k</m:t>
        </m:r>
      </m:oMath>
      <w:r w:rsidRPr="0013069B">
        <w:rPr>
          <w:sz w:val="20"/>
        </w:rPr>
        <w:t xml:space="preserve">. The variation in allocations is restricted to </w:t>
      </w:r>
      <m:oMath>
        <m:r>
          <m:rPr>
            <m:sty m:val="p"/>
          </m:rPr>
          <w:rPr>
            <w:rFonts w:ascii="Cambria Math" w:hAnsi="Cambria Math"/>
            <w:sz w:val="20"/>
          </w:rPr>
          <m:t>±</m:t>
        </m:r>
        <m:r>
          <w:rPr>
            <w:rFonts w:ascii="Cambria Math" w:hAnsi="Cambria Math"/>
            <w:sz w:val="20"/>
          </w:rPr>
          <m:t>0.1</m:t>
        </m:r>
      </m:oMath>
      <w:r w:rsidRPr="0013069B">
        <w:rPr>
          <w:sz w:val="20"/>
        </w:rPr>
        <w:t xml:space="preserve"> (10%) per SoC group and district, preventing drastic shifts in routing behavior. For instance, if district </w:t>
      </w:r>
      <w:r w:rsidR="00474CAE">
        <w:rPr>
          <w:sz w:val="20"/>
        </w:rPr>
        <w:t>1</w:t>
      </w:r>
      <w:r w:rsidRPr="0013069B">
        <w:rPr>
          <w:sz w:val="20"/>
        </w:rPr>
        <w:t xml:space="preserve"> has outage, an action in a timestep can be 0.2 of critical EVs goes to district </w:t>
      </w:r>
      <w:r w:rsidR="00474CAE">
        <w:rPr>
          <w:sz w:val="20"/>
        </w:rPr>
        <w:t>2</w:t>
      </w:r>
      <w:r w:rsidRPr="0013069B">
        <w:rPr>
          <w:sz w:val="20"/>
        </w:rPr>
        <w:t xml:space="preserve">, 0.3 of low SoC EVs goes to </w:t>
      </w:r>
      <w:r w:rsidR="00781EA6">
        <w:rPr>
          <w:sz w:val="20"/>
        </w:rPr>
        <w:t xml:space="preserve">districts </w:t>
      </w:r>
      <w:r w:rsidR="00474CAE">
        <w:rPr>
          <w:sz w:val="20"/>
        </w:rPr>
        <w:t>3</w:t>
      </w:r>
      <w:r w:rsidRPr="0013069B">
        <w:rPr>
          <w:sz w:val="20"/>
        </w:rPr>
        <w:t xml:space="preserve"> and </w:t>
      </w:r>
      <w:r w:rsidR="00474CAE">
        <w:rPr>
          <w:sz w:val="20"/>
        </w:rPr>
        <w:t>4</w:t>
      </w:r>
      <w:r w:rsidRPr="0013069B">
        <w:rPr>
          <w:sz w:val="20"/>
        </w:rPr>
        <w:t xml:space="preserve">, and 0.1 of medium/high SoC to </w:t>
      </w:r>
      <w:r w:rsidR="00DA3063">
        <w:rPr>
          <w:sz w:val="20"/>
        </w:rPr>
        <w:t xml:space="preserve">districts </w:t>
      </w:r>
      <w:r w:rsidR="00474CAE">
        <w:rPr>
          <w:sz w:val="20"/>
        </w:rPr>
        <w:t>5</w:t>
      </w:r>
      <w:r w:rsidRPr="0013069B">
        <w:rPr>
          <w:sz w:val="20"/>
        </w:rPr>
        <w:t xml:space="preserve"> and </w:t>
      </w:r>
      <w:r w:rsidR="00474CAE">
        <w:rPr>
          <w:sz w:val="20"/>
        </w:rPr>
        <w:t>6</w:t>
      </w:r>
      <w:r w:rsidRPr="0013069B">
        <w:rPr>
          <w:sz w:val="20"/>
        </w:rPr>
        <w:t>.</w:t>
      </w:r>
    </w:p>
    <w:p w14:paraId="4BC44DEF" w14:textId="77777777" w:rsidR="0013069B" w:rsidRPr="0013069B" w:rsidRDefault="0013069B" w:rsidP="00346234">
      <w:pPr>
        <w:pStyle w:val="PlainText"/>
        <w:spacing w:after="240"/>
        <w:ind w:firstLine="284"/>
        <w:rPr>
          <w:sz w:val="20"/>
        </w:rPr>
      </w:pPr>
      <w:r w:rsidRPr="0013069B">
        <w:rPr>
          <w:sz w:val="20"/>
        </w:rPr>
        <w:t>The reward function for the EV Redistribution Agent is structured to minimize congestion disparities and optimize EV allocation efficiency while incorporating global recovery objectives:</w:t>
      </w:r>
    </w:p>
    <w:p w14:paraId="44EE98A6" w14:textId="3F9C1C72" w:rsidR="0013069B" w:rsidRPr="0013069B" w:rsidRDefault="00000000" w:rsidP="00346234">
      <w:pPr>
        <w:pStyle w:val="PlainText"/>
        <w:spacing w:after="240"/>
        <w:rPr>
          <w:sz w:val="20"/>
        </w:rPr>
      </w:pPr>
      <m:oMath>
        <m:m>
          <m:mPr>
            <m:plcHide m:val="1"/>
            <m:mcs>
              <m:mc>
                <m:mcPr>
                  <m:count m:val="1"/>
                  <m:mcJc m:val="right"/>
                </m:mcPr>
              </m:mc>
            </m:mcs>
            <m:ctrlPr>
              <w:rPr>
                <w:rFonts w:ascii="Cambria Math" w:hAnsi="Cambria Math"/>
                <w:sz w:val="20"/>
              </w:rPr>
            </m:ctrlPr>
          </m:mPr>
          <m:mr>
            <m:e>
              <m:sSup>
                <m:sSupPr>
                  <m:ctrlPr>
                    <w:rPr>
                      <w:rFonts w:ascii="Cambria Math" w:hAnsi="Cambria Math"/>
                      <w:sz w:val="20"/>
                    </w:rPr>
                  </m:ctrlPr>
                </m:sSupPr>
                <m:e>
                  <m:r>
                    <w:rPr>
                      <w:rFonts w:ascii="Cambria Math" w:hAnsi="Cambria Math"/>
                      <w:sz w:val="20"/>
                    </w:rPr>
                    <m:t>r</m:t>
                  </m:r>
                </m:e>
                <m:sup>
                  <m:r>
                    <w:rPr>
                      <w:rFonts w:ascii="Cambria Math" w:hAnsi="Cambria Math"/>
                      <w:sz w:val="20"/>
                    </w:rPr>
                    <m:t>r</m:t>
                  </m:r>
                </m:sup>
              </m:sSup>
              <m:d>
                <m:dPr>
                  <m:ctrlPr>
                    <w:rPr>
                      <w:rFonts w:ascii="Cambria Math" w:hAnsi="Cambria Math"/>
                      <w:sz w:val="20"/>
                    </w:rPr>
                  </m:ctrlPr>
                </m:dPr>
                <m:e>
                  <m:r>
                    <w:rPr>
                      <w:rFonts w:ascii="Cambria Math" w:hAnsi="Cambria Math"/>
                      <w:sz w:val="20"/>
                    </w:rPr>
                    <m:t>t</m:t>
                  </m:r>
                </m:e>
              </m:d>
              <m:r>
                <m:rPr>
                  <m:sty m:val="p"/>
                </m:rPr>
                <w:rPr>
                  <w:rFonts w:ascii="Cambria Math" w:hAnsi="Cambria Math"/>
                  <w:sz w:val="20"/>
                </w:rPr>
                <m:t>=</m:t>
              </m:r>
              <m:r>
                <w:rPr>
                  <w:rFonts w:ascii="Cambria Math" w:hAnsi="Cambria Math"/>
                  <w:sz w:val="20"/>
                </w:rPr>
                <m:t>0.8</m:t>
              </m:r>
              <m:r>
                <m:rPr>
                  <m:sty m:val="p"/>
                </m:rPr>
                <w:rPr>
                  <w:rFonts w:ascii="Cambria Math" w:hAnsi="Cambria Math"/>
                  <w:sz w:val="20"/>
                </w:rPr>
                <m:t>⋅</m:t>
              </m:r>
              <m:d>
                <m:dPr>
                  <m:ctrlPr>
                    <w:rPr>
                      <w:rFonts w:ascii="Cambria Math" w:hAnsi="Cambria Math"/>
                      <w:sz w:val="20"/>
                    </w:rPr>
                  </m:ctrlPr>
                </m:dPr>
                <m:e>
                  <m:eqArr>
                    <m:eqArrPr>
                      <m:ctrlPr>
                        <w:rPr>
                          <w:rFonts w:ascii="Cambria Math" w:hAnsi="Cambria Math"/>
                          <w:sz w:val="20"/>
                        </w:rPr>
                      </m:ctrlPr>
                    </m:eqArrPr>
                    <m:e>
                      <m:r>
                        <m:rPr>
                          <m:sty m:val="p"/>
                        </m:rPr>
                        <w:rPr>
                          <w:rFonts w:ascii="Cambria Math" w:hAnsi="Cambria Math"/>
                          <w:sz w:val="20"/>
                        </w:rPr>
                        <m:t>-</m:t>
                      </m:r>
                      <m:nary>
                        <m:naryPr>
                          <m:chr m:val="∑"/>
                          <m:limLoc m:val="undOvr"/>
                          <m:ctrlPr>
                            <w:rPr>
                              <w:rFonts w:ascii="Cambria Math" w:hAnsi="Cambria Math"/>
                              <w:sz w:val="20"/>
                            </w:rPr>
                          </m:ctrlPr>
                        </m:naryPr>
                        <m:sub>
                          <m:r>
                            <w:rPr>
                              <w:rFonts w:ascii="Cambria Math" w:hAnsi="Cambria Math"/>
                              <w:sz w:val="20"/>
                            </w:rPr>
                            <m:t>k</m:t>
                          </m:r>
                          <m:r>
                            <m:rPr>
                              <m:sty m:val="p"/>
                            </m:rPr>
                            <w:rPr>
                              <w:rFonts w:ascii="Cambria Math" w:hAnsi="Cambria Math"/>
                              <w:sz w:val="20"/>
                            </w:rPr>
                            <m:t>=</m:t>
                          </m:r>
                          <m:r>
                            <w:rPr>
                              <w:rFonts w:ascii="Cambria Math" w:hAnsi="Cambria Math"/>
                              <w:sz w:val="20"/>
                            </w:rPr>
                            <m:t>1</m:t>
                          </m:r>
                        </m:sub>
                        <m:sup>
                          <m:r>
                            <w:rPr>
                              <w:rFonts w:ascii="Cambria Math" w:hAnsi="Cambria Math"/>
                              <w:sz w:val="20"/>
                            </w:rPr>
                            <m:t>N</m:t>
                          </m:r>
                        </m:sup>
                        <m:e>
                          <m:r>
                            <w:rPr>
                              <w:rFonts w:ascii="Cambria Math" w:hAnsi="Cambria Math"/>
                              <w:sz w:val="20"/>
                            </w:rPr>
                            <m:t>Q</m:t>
                          </m:r>
                        </m:e>
                      </m:nary>
                      <m:sSub>
                        <m:sSubPr>
                          <m:ctrlPr>
                            <w:rPr>
                              <w:rFonts w:ascii="Cambria Math" w:hAnsi="Cambria Math"/>
                              <w:sz w:val="20"/>
                            </w:rPr>
                          </m:ctrlPr>
                        </m:sSubPr>
                        <m:e>
                          <m:r>
                            <w:rPr>
                              <w:rFonts w:ascii="Cambria Math" w:hAnsi="Cambria Math"/>
                              <w:sz w:val="20"/>
                            </w:rPr>
                            <m:t>L</m:t>
                          </m:r>
                        </m:e>
                        <m:sub>
                          <m:r>
                            <w:rPr>
                              <w:rFonts w:ascii="Cambria Math" w:hAnsi="Cambria Math"/>
                              <w:sz w:val="20"/>
                            </w:rPr>
                            <m:t>k</m:t>
                          </m:r>
                        </m:sub>
                      </m:sSub>
                      <m:d>
                        <m:dPr>
                          <m:ctrlPr>
                            <w:rPr>
                              <w:rFonts w:ascii="Cambria Math" w:hAnsi="Cambria Math"/>
                              <w:sz w:val="20"/>
                            </w:rPr>
                          </m:ctrlPr>
                        </m:dPr>
                        <m:e>
                          <m:r>
                            <w:rPr>
                              <w:rFonts w:ascii="Cambria Math" w:hAnsi="Cambria Math"/>
                              <w:sz w:val="20"/>
                            </w:rPr>
                            <m:t>t</m:t>
                          </m:r>
                        </m:e>
                      </m:d>
                      <m:r>
                        <m:rPr>
                          <m:sty m:val="p"/>
                        </m:rPr>
                        <w:rPr>
                          <w:rFonts w:ascii="Cambria Math" w:hAnsi="Cambria Math"/>
                          <w:sz w:val="20"/>
                        </w:rPr>
                        <m:t>-</m:t>
                      </m:r>
                      <m:nary>
                        <m:naryPr>
                          <m:chr m:val="∑"/>
                          <m:limLoc m:val="undOvr"/>
                          <m:ctrlPr>
                            <w:rPr>
                              <w:rFonts w:ascii="Cambria Math" w:hAnsi="Cambria Math"/>
                              <w:sz w:val="20"/>
                            </w:rPr>
                          </m:ctrlPr>
                        </m:naryPr>
                        <m:sub>
                          <m:r>
                            <w:rPr>
                              <w:rFonts w:ascii="Cambria Math" w:hAnsi="Cambria Math"/>
                              <w:sz w:val="20"/>
                            </w:rPr>
                            <m:t>k</m:t>
                          </m:r>
                          <m:r>
                            <m:rPr>
                              <m:sty m:val="p"/>
                            </m:rPr>
                            <w:rPr>
                              <w:rFonts w:ascii="Cambria Math" w:hAnsi="Cambria Math"/>
                              <w:sz w:val="20"/>
                            </w:rPr>
                            <m:t>=</m:t>
                          </m:r>
                          <m:r>
                            <w:rPr>
                              <w:rFonts w:ascii="Cambria Math" w:hAnsi="Cambria Math"/>
                              <w:sz w:val="20"/>
                            </w:rPr>
                            <m:t>1</m:t>
                          </m:r>
                        </m:sub>
                        <m:sup>
                          <m:r>
                            <w:rPr>
                              <w:rFonts w:ascii="Cambria Math" w:hAnsi="Cambria Math"/>
                              <w:sz w:val="20"/>
                            </w:rPr>
                            <m:t>N</m:t>
                          </m:r>
                        </m:sup>
                        <m:e>
                          <m:sSub>
                            <m:sSubPr>
                              <m:ctrlPr>
                                <w:rPr>
                                  <w:rFonts w:ascii="Cambria Math" w:hAnsi="Cambria Math"/>
                                  <w:sz w:val="20"/>
                                </w:rPr>
                              </m:ctrlPr>
                            </m:sSubPr>
                            <m:e>
                              <m:r>
                                <w:rPr>
                                  <w:rFonts w:ascii="Cambria Math" w:hAnsi="Cambria Math"/>
                                  <w:sz w:val="20"/>
                                </w:rPr>
                                <m:t>L</m:t>
                              </m:r>
                            </m:e>
                            <m:sub>
                              <m:r>
                                <w:rPr>
                                  <w:rFonts w:ascii="Cambria Math" w:hAnsi="Cambria Math"/>
                                  <w:sz w:val="20"/>
                                </w:rPr>
                                <m:t>k</m:t>
                              </m:r>
                            </m:sub>
                          </m:sSub>
                        </m:e>
                      </m:nary>
                      <m:d>
                        <m:dPr>
                          <m:ctrlPr>
                            <w:rPr>
                              <w:rFonts w:ascii="Cambria Math" w:hAnsi="Cambria Math"/>
                              <w:sz w:val="20"/>
                            </w:rPr>
                          </m:ctrlPr>
                        </m:dPr>
                        <m:e>
                          <m:r>
                            <w:rPr>
                              <w:rFonts w:ascii="Cambria Math" w:hAnsi="Cambria Math"/>
                              <w:sz w:val="20"/>
                            </w:rPr>
                            <m:t>t</m:t>
                          </m:r>
                        </m:e>
                      </m:d>
                    </m:e>
                    <m:e>
                      <m:r>
                        <w:rPr>
                          <w:rFonts w:ascii="Cambria Math" w:hAnsi="Cambria Math"/>
                          <w:sz w:val="20"/>
                        </w:rPr>
                        <m:t>+</m:t>
                      </m:r>
                      <m:nary>
                        <m:naryPr>
                          <m:chr m:val="∑"/>
                          <m:limLoc m:val="undOvr"/>
                          <m:ctrlPr>
                            <w:rPr>
                              <w:rFonts w:ascii="Cambria Math" w:hAnsi="Cambria Math"/>
                              <w:sz w:val="20"/>
                            </w:rPr>
                          </m:ctrlPr>
                        </m:naryPr>
                        <m:sub>
                          <m:r>
                            <w:rPr>
                              <w:rFonts w:ascii="Cambria Math" w:hAnsi="Cambria Math"/>
                              <w:sz w:val="20"/>
                            </w:rPr>
                            <m:t>k</m:t>
                          </m:r>
                          <m:r>
                            <m:rPr>
                              <m:sty m:val="p"/>
                            </m:rPr>
                            <w:rPr>
                              <w:rFonts w:ascii="Cambria Math" w:hAnsi="Cambria Math"/>
                              <w:sz w:val="20"/>
                            </w:rPr>
                            <m:t>=</m:t>
                          </m:r>
                          <m:r>
                            <w:rPr>
                              <w:rFonts w:ascii="Cambria Math" w:hAnsi="Cambria Math"/>
                              <w:sz w:val="20"/>
                            </w:rPr>
                            <m:t>1</m:t>
                          </m:r>
                        </m:sub>
                        <m:sup>
                          <m:r>
                            <w:rPr>
                              <w:rFonts w:ascii="Cambria Math" w:hAnsi="Cambria Math"/>
                              <w:sz w:val="20"/>
                            </w:rPr>
                            <m:t>N</m:t>
                          </m:r>
                        </m:sup>
                        <m:e>
                          <m:r>
                            <w:rPr>
                              <w:rFonts w:ascii="Cambria Math" w:hAnsi="Cambria Math"/>
                              <w:sz w:val="20"/>
                            </w:rPr>
                            <m:t>S</m:t>
                          </m:r>
                        </m:e>
                      </m:nary>
                      <m:sSub>
                        <m:sSubPr>
                          <m:ctrlPr>
                            <w:rPr>
                              <w:rFonts w:ascii="Cambria Math" w:hAnsi="Cambria Math"/>
                              <w:sz w:val="20"/>
                            </w:rPr>
                          </m:ctrlPr>
                        </m:sSubPr>
                        <m:e>
                          <m:r>
                            <w:rPr>
                              <w:rFonts w:ascii="Cambria Math" w:hAnsi="Cambria Math"/>
                              <w:sz w:val="20"/>
                            </w:rPr>
                            <m:t>C</m:t>
                          </m:r>
                        </m:e>
                        <m:sub>
                          <m:r>
                            <w:rPr>
                              <w:rFonts w:ascii="Cambria Math" w:hAnsi="Cambria Math"/>
                              <w:sz w:val="20"/>
                            </w:rPr>
                            <m:t>k</m:t>
                          </m:r>
                        </m:sub>
                      </m:sSub>
                      <m:d>
                        <m:dPr>
                          <m:ctrlPr>
                            <w:rPr>
                              <w:rFonts w:ascii="Cambria Math" w:hAnsi="Cambria Math"/>
                              <w:sz w:val="20"/>
                            </w:rPr>
                          </m:ctrlPr>
                        </m:dPr>
                        <m:e>
                          <m:r>
                            <w:rPr>
                              <w:rFonts w:ascii="Cambria Math" w:hAnsi="Cambria Math"/>
                              <w:sz w:val="20"/>
                            </w:rPr>
                            <m:t>t</m:t>
                          </m:r>
                        </m:e>
                      </m:d>
                      <m:ctrlPr>
                        <w:rPr>
                          <w:rFonts w:ascii="Cambria Math" w:hAnsi="Cambria Math"/>
                          <w:i/>
                          <w:sz w:val="20"/>
                        </w:rPr>
                      </m:ctrlPr>
                    </m:e>
                  </m:eqArr>
                </m:e>
              </m:d>
            </m:e>
          </m:mr>
          <m:mr>
            <m:e>
              <m:r>
                <m:rPr>
                  <m:sty m:val="p"/>
                </m:rPr>
                <w:rPr>
                  <w:rFonts w:ascii="Cambria Math" w:hAnsi="Cambria Math"/>
                  <w:sz w:val="20"/>
                </w:rPr>
                <m:t>+</m:t>
              </m:r>
              <m:r>
                <w:rPr>
                  <w:rFonts w:ascii="Cambria Math" w:hAnsi="Cambria Math"/>
                  <w:sz w:val="20"/>
                </w:rPr>
                <m:t>0.2</m:t>
              </m:r>
              <m:r>
                <m:rPr>
                  <m:sty m:val="p"/>
                </m:rPr>
                <w:rPr>
                  <w:rFonts w:ascii="Cambria Math" w:hAnsi="Cambria Math"/>
                  <w:sz w:val="20"/>
                </w:rPr>
                <m:t>⋅</m:t>
              </m:r>
              <m:sSub>
                <m:sSubPr>
                  <m:ctrlPr>
                    <w:rPr>
                      <w:rFonts w:ascii="Cambria Math" w:hAnsi="Cambria Math"/>
                      <w:sz w:val="20"/>
                    </w:rPr>
                  </m:ctrlPr>
                </m:sSubPr>
                <m:e>
                  <m:r>
                    <w:rPr>
                      <w:rFonts w:ascii="Cambria Math" w:hAnsi="Cambria Math"/>
                      <w:sz w:val="20"/>
                    </w:rPr>
                    <m:t>r</m:t>
                  </m:r>
                </m:e>
                <m:sub>
                  <m:r>
                    <m:rPr>
                      <m:nor/>
                    </m:rPr>
                    <w:rPr>
                      <w:sz w:val="20"/>
                    </w:rPr>
                    <m:t>global</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e>
          </m:mr>
        </m:m>
      </m:oMath>
      <w:r w:rsidR="00346234">
        <w:rPr>
          <w:sz w:val="20"/>
        </w:rPr>
        <w:t xml:space="preserve">        (21)</w:t>
      </w:r>
    </w:p>
    <w:p w14:paraId="1062F572" w14:textId="7805F0BB" w:rsidR="0013069B" w:rsidRPr="0013069B" w:rsidRDefault="0013069B" w:rsidP="0013069B">
      <w:pPr>
        <w:pStyle w:val="PlainText"/>
        <w:rPr>
          <w:sz w:val="20"/>
        </w:rPr>
      </w:pPr>
      <w:r w:rsidRPr="0013069B">
        <w:rPr>
          <w:sz w:val="20"/>
        </w:rPr>
        <w:t xml:space="preserve">where </w:t>
      </w:r>
      <m:oMath>
        <m:r>
          <w:rPr>
            <w:rFonts w:ascii="Cambria Math" w:hAnsi="Cambria Math"/>
            <w:sz w:val="20"/>
          </w:rPr>
          <m:t>Q</m:t>
        </m:r>
        <m:sSub>
          <m:sSubPr>
            <m:ctrlPr>
              <w:rPr>
                <w:rFonts w:ascii="Cambria Math" w:hAnsi="Cambria Math"/>
                <w:sz w:val="20"/>
              </w:rPr>
            </m:ctrlPr>
          </m:sSubPr>
          <m:e>
            <m:r>
              <w:rPr>
                <w:rFonts w:ascii="Cambria Math" w:hAnsi="Cambria Math"/>
                <w:sz w:val="20"/>
              </w:rPr>
              <m:t>L</m:t>
            </m:r>
          </m:e>
          <m:sub>
            <m:r>
              <w:rPr>
                <w:rFonts w:ascii="Cambria Math" w:hAnsi="Cambria Math"/>
                <w:sz w:val="20"/>
              </w:rPr>
              <m:t>k</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discourages congestion, </w:t>
      </w:r>
      <m:oMath>
        <m:sSub>
          <m:sSubPr>
            <m:ctrlPr>
              <w:rPr>
                <w:rFonts w:ascii="Cambria Math" w:hAnsi="Cambria Math"/>
                <w:sz w:val="20"/>
              </w:rPr>
            </m:ctrlPr>
          </m:sSubPr>
          <m:e>
            <m:r>
              <w:rPr>
                <w:rFonts w:ascii="Cambria Math" w:hAnsi="Cambria Math"/>
                <w:sz w:val="20"/>
              </w:rPr>
              <m:t>L</m:t>
            </m:r>
          </m:e>
          <m:sub>
            <m:r>
              <w:rPr>
                <w:rFonts w:ascii="Cambria Math" w:hAnsi="Cambria Math"/>
                <w:sz w:val="20"/>
              </w:rPr>
              <m:t>k</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prevents overloading, </w:t>
      </w:r>
      <m:oMath>
        <m:r>
          <w:rPr>
            <w:rFonts w:ascii="Cambria Math" w:hAnsi="Cambria Math"/>
            <w:sz w:val="20"/>
          </w:rPr>
          <m:t>S</m:t>
        </m:r>
        <m:sSub>
          <m:sSubPr>
            <m:ctrlPr>
              <w:rPr>
                <w:rFonts w:ascii="Cambria Math" w:hAnsi="Cambria Math"/>
                <w:sz w:val="20"/>
              </w:rPr>
            </m:ctrlPr>
          </m:sSubPr>
          <m:e>
            <m:r>
              <w:rPr>
                <w:rFonts w:ascii="Cambria Math" w:hAnsi="Cambria Math"/>
                <w:sz w:val="20"/>
              </w:rPr>
              <m:t>C</m:t>
            </m:r>
          </m:e>
          <m:sub>
            <m:r>
              <w:rPr>
                <w:rFonts w:ascii="Cambria Math" w:hAnsi="Cambria Math"/>
                <w:sz w:val="20"/>
              </w:rPr>
              <m:t>k</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promotes successful charging, and </w:t>
      </w:r>
      <m:oMath>
        <m:sSub>
          <m:sSubPr>
            <m:ctrlPr>
              <w:rPr>
                <w:rFonts w:ascii="Cambria Math" w:hAnsi="Cambria Math"/>
                <w:sz w:val="20"/>
              </w:rPr>
            </m:ctrlPr>
          </m:sSubPr>
          <m:e>
            <m:r>
              <w:rPr>
                <w:rFonts w:ascii="Cambria Math" w:hAnsi="Cambria Math"/>
                <w:sz w:val="20"/>
              </w:rPr>
              <m:t>r</m:t>
            </m:r>
          </m:e>
          <m:sub>
            <m:r>
              <m:rPr>
                <m:nor/>
              </m:rPr>
              <w:rPr>
                <w:sz w:val="20"/>
              </w:rPr>
              <m:t>global</m:t>
            </m:r>
          </m:sub>
        </m:sSub>
        <m:r>
          <m:rPr>
            <m:sty m:val="p"/>
          </m:rPr>
          <w:rPr>
            <w:rFonts w:ascii="Cambria Math" w:hAnsi="Cambria Math"/>
            <w:sz w:val="20"/>
          </w:rPr>
          <m:t>(</m:t>
        </m:r>
        <m:r>
          <w:rPr>
            <w:rFonts w:ascii="Cambria Math" w:hAnsi="Cambria Math"/>
            <w:sz w:val="20"/>
          </w:rPr>
          <m:t>t</m:t>
        </m:r>
        <m:r>
          <m:rPr>
            <m:sty m:val="p"/>
          </m:rPr>
          <w:rPr>
            <w:rFonts w:ascii="Cambria Math" w:hAnsi="Cambria Math"/>
            <w:sz w:val="20"/>
          </w:rPr>
          <m:t>)</m:t>
        </m:r>
      </m:oMath>
      <w:r w:rsidRPr="0013069B">
        <w:rPr>
          <w:sz w:val="20"/>
        </w:rPr>
        <w:t xml:space="preserve"> aligns with global recovery goals.</w:t>
      </w:r>
    </w:p>
    <w:p w14:paraId="3F6EC16C" w14:textId="77777777" w:rsidR="0013069B" w:rsidRPr="0013069B" w:rsidRDefault="0013069B" w:rsidP="005752CC">
      <w:pPr>
        <w:pStyle w:val="PlainText"/>
        <w:ind w:firstLine="284"/>
        <w:rPr>
          <w:sz w:val="20"/>
        </w:rPr>
      </w:pPr>
      <w:r w:rsidRPr="0013069B">
        <w:rPr>
          <w:sz w:val="20"/>
        </w:rPr>
        <w:t>The EV Redistribution Agent uses a more complex neural network architecture:</w:t>
      </w:r>
    </w:p>
    <w:p w14:paraId="16FF301E" w14:textId="77777777" w:rsidR="0013069B" w:rsidRPr="0013069B" w:rsidRDefault="0013069B" w:rsidP="0013069B">
      <w:pPr>
        <w:pStyle w:val="PlainText"/>
        <w:numPr>
          <w:ilvl w:val="0"/>
          <w:numId w:val="5"/>
        </w:numPr>
        <w:rPr>
          <w:sz w:val="20"/>
        </w:rPr>
      </w:pPr>
      <w:r w:rsidRPr="0013069B">
        <w:rPr>
          <w:sz w:val="20"/>
        </w:rPr>
        <w:t>Input layer matching the combined district observations (31 dimensions for 6 districts + global state)</w:t>
      </w:r>
    </w:p>
    <w:p w14:paraId="56E5A73E" w14:textId="77777777" w:rsidR="0013069B" w:rsidRPr="0013069B" w:rsidRDefault="0013069B" w:rsidP="0013069B">
      <w:pPr>
        <w:pStyle w:val="PlainText"/>
        <w:numPr>
          <w:ilvl w:val="0"/>
          <w:numId w:val="5"/>
        </w:numPr>
        <w:rPr>
          <w:sz w:val="20"/>
        </w:rPr>
      </w:pPr>
      <w:r w:rsidRPr="0013069B">
        <w:rPr>
          <w:sz w:val="20"/>
        </w:rPr>
        <w:t>Two hidden layers with 384 neurons each (larger than district agents to handle the more complex task)</w:t>
      </w:r>
    </w:p>
    <w:p w14:paraId="434DE624" w14:textId="77777777" w:rsidR="0013069B" w:rsidRPr="0013069B" w:rsidRDefault="0013069B" w:rsidP="0013069B">
      <w:pPr>
        <w:pStyle w:val="PlainText"/>
        <w:numPr>
          <w:ilvl w:val="0"/>
          <w:numId w:val="5"/>
        </w:numPr>
        <w:rPr>
          <w:sz w:val="20"/>
        </w:rPr>
      </w:pPr>
      <w:r w:rsidRPr="0013069B">
        <w:rPr>
          <w:sz w:val="20"/>
        </w:rPr>
        <w:t>Output layer with N neurons (one for each district)</w:t>
      </w:r>
    </w:p>
    <w:p w14:paraId="1E82CD25" w14:textId="77777777" w:rsidR="0013069B" w:rsidRDefault="0013069B" w:rsidP="0013069B">
      <w:pPr>
        <w:pStyle w:val="PlainText"/>
        <w:numPr>
          <w:ilvl w:val="0"/>
          <w:numId w:val="5"/>
        </w:numPr>
        <w:rPr>
          <w:sz w:val="20"/>
        </w:rPr>
      </w:pPr>
      <w:proofErr w:type="spellStart"/>
      <w:r w:rsidRPr="0013069B">
        <w:rPr>
          <w:sz w:val="20"/>
        </w:rPr>
        <w:t>Softmax</w:t>
      </w:r>
      <w:proofErr w:type="spellEnd"/>
      <w:r w:rsidRPr="0013069B">
        <w:rPr>
          <w:sz w:val="20"/>
        </w:rPr>
        <w:t xml:space="preserve"> activation to ensure valid probability distribution</w:t>
      </w:r>
    </w:p>
    <w:p w14:paraId="4FFB7AFA" w14:textId="6D856DA7" w:rsidR="00474EDE" w:rsidRPr="0013069B" w:rsidRDefault="00474EDE" w:rsidP="00474EDE">
      <w:pPr>
        <w:pStyle w:val="PlainText"/>
        <w:rPr>
          <w:b/>
          <w:bCs/>
          <w:sz w:val="20"/>
        </w:rPr>
      </w:pPr>
      <w:r w:rsidRPr="00E24377">
        <w:rPr>
          <w:b/>
          <w:bCs/>
          <w:sz w:val="20"/>
        </w:rPr>
        <w:t xml:space="preserve">3.4.3 </w:t>
      </w:r>
      <w:r w:rsidR="00E24377" w:rsidRPr="00E24377">
        <w:rPr>
          <w:b/>
          <w:bCs/>
          <w:sz w:val="20"/>
        </w:rPr>
        <w:t xml:space="preserve">Shared </w:t>
      </w:r>
      <w:r w:rsidR="007E08D9">
        <w:rPr>
          <w:b/>
          <w:bCs/>
          <w:sz w:val="20"/>
        </w:rPr>
        <w:t>l</w:t>
      </w:r>
      <w:r w:rsidR="00E24377" w:rsidRPr="00E24377">
        <w:rPr>
          <w:b/>
          <w:bCs/>
          <w:sz w:val="20"/>
        </w:rPr>
        <w:t xml:space="preserve">earning </w:t>
      </w:r>
      <w:r w:rsidR="007E08D9">
        <w:rPr>
          <w:b/>
          <w:bCs/>
          <w:sz w:val="20"/>
        </w:rPr>
        <w:t>f</w:t>
      </w:r>
      <w:r w:rsidR="00E24377" w:rsidRPr="00E24377">
        <w:rPr>
          <w:b/>
          <w:bCs/>
          <w:sz w:val="20"/>
        </w:rPr>
        <w:t>ramework</w:t>
      </w:r>
    </w:p>
    <w:p w14:paraId="1B04C4A8" w14:textId="77777777" w:rsidR="0013069B" w:rsidRPr="0013069B" w:rsidRDefault="0013069B" w:rsidP="00DF53B4">
      <w:pPr>
        <w:pStyle w:val="PlainText"/>
        <w:spacing w:after="240"/>
        <w:ind w:firstLine="284"/>
        <w:rPr>
          <w:sz w:val="20"/>
        </w:rPr>
      </w:pPr>
      <w:r w:rsidRPr="0013069B">
        <w:rPr>
          <w:sz w:val="20"/>
        </w:rPr>
        <w:t>All agents share a common learning framework with prioritized experience replay to improve sample efficiency. The prioritized replay buffer assigns higher sampling probabilities to experiences with large TD errors, calculated as:</w:t>
      </w:r>
    </w:p>
    <w:p w14:paraId="20F92E0F" w14:textId="2AD9C566" w:rsidR="0013069B" w:rsidRPr="0013069B" w:rsidRDefault="0013069B" w:rsidP="00DF53B4">
      <w:pPr>
        <w:pStyle w:val="PlainText"/>
        <w:spacing w:after="240"/>
        <w:rPr>
          <w:sz w:val="20"/>
        </w:rPr>
      </w:pPr>
      <m:oMath>
        <m:r>
          <w:rPr>
            <w:rFonts w:ascii="Cambria Math" w:hAnsi="Cambria Math"/>
            <w:sz w:val="20"/>
          </w:rPr>
          <m:t>TD</m:t>
        </m:r>
        <m:r>
          <m:rPr>
            <m:sty m:val="p"/>
          </m:rPr>
          <w:rPr>
            <w:rFonts w:ascii="Cambria Math" w:hAnsi="Cambria Math"/>
            <w:sz w:val="20"/>
          </w:rPr>
          <m:t>_</m:t>
        </m:r>
        <m:r>
          <w:rPr>
            <w:rFonts w:ascii="Cambria Math" w:hAnsi="Cambria Math"/>
            <w:sz w:val="20"/>
          </w:rPr>
          <m:t>error</m:t>
        </m:r>
        <m:r>
          <m:rPr>
            <m:sty m:val="p"/>
          </m:rPr>
          <w:rPr>
            <w:rFonts w:ascii="Cambria Math" w:hAnsi="Cambria Math"/>
            <w:sz w:val="20"/>
          </w:rPr>
          <m:t>=|</m:t>
        </m:r>
        <m:r>
          <w:rPr>
            <w:rFonts w:ascii="Cambria Math" w:hAnsi="Cambria Math"/>
            <w:sz w:val="20"/>
          </w:rPr>
          <m:t>r</m:t>
        </m:r>
        <m:r>
          <m:rPr>
            <m:sty m:val="p"/>
          </m:rPr>
          <w:rPr>
            <w:rFonts w:ascii="Cambria Math" w:hAnsi="Cambria Math"/>
            <w:sz w:val="20"/>
          </w:rPr>
          <m:t>+</m:t>
        </m:r>
        <m:r>
          <w:rPr>
            <w:rFonts w:ascii="Cambria Math" w:hAnsi="Cambria Math"/>
            <w:sz w:val="20"/>
          </w:rPr>
          <m:t>γ</m:t>
        </m:r>
        <m:limLow>
          <m:limLowPr>
            <m:ctrlPr>
              <w:rPr>
                <w:rFonts w:ascii="Cambria Math" w:hAnsi="Cambria Math"/>
                <w:sz w:val="20"/>
              </w:rPr>
            </m:ctrlPr>
          </m:limLowPr>
          <m:e>
            <m:r>
              <m:rPr>
                <m:sty m:val="p"/>
              </m:rPr>
              <w:rPr>
                <w:rFonts w:ascii="Cambria Math" w:hAnsi="Cambria Math"/>
                <w:sz w:val="20"/>
              </w:rPr>
              <m:t>min</m:t>
            </m:r>
          </m:e>
          <m:lim>
            <m:r>
              <w:rPr>
                <w:rFonts w:ascii="Cambria Math" w:hAnsi="Cambria Math"/>
                <w:sz w:val="20"/>
              </w:rPr>
              <m:t>j</m:t>
            </m:r>
            <m:r>
              <m:rPr>
                <m:sty m:val="p"/>
              </m:rPr>
              <w:rPr>
                <w:rFonts w:ascii="Cambria Math" w:hAnsi="Cambria Math"/>
                <w:sz w:val="20"/>
              </w:rPr>
              <m:t>=</m:t>
            </m:r>
            <m:r>
              <w:rPr>
                <w:rFonts w:ascii="Cambria Math" w:hAnsi="Cambria Math"/>
                <w:sz w:val="20"/>
              </w:rPr>
              <m:t>1</m:t>
            </m:r>
            <m:r>
              <m:rPr>
                <m:sty m:val="p"/>
              </m:rPr>
              <w:rPr>
                <w:rFonts w:ascii="Cambria Math" w:hAnsi="Cambria Math"/>
                <w:sz w:val="20"/>
              </w:rPr>
              <m:t>,</m:t>
            </m:r>
            <m:r>
              <w:rPr>
                <w:rFonts w:ascii="Cambria Math" w:hAnsi="Cambria Math"/>
                <w:sz w:val="20"/>
              </w:rPr>
              <m:t>2</m:t>
            </m:r>
          </m:lim>
        </m:limLow>
        <m:sSub>
          <m:sSubPr>
            <m:ctrlPr>
              <w:rPr>
                <w:rFonts w:ascii="Cambria Math" w:hAnsi="Cambria Math"/>
                <w:sz w:val="20"/>
              </w:rPr>
            </m:ctrlPr>
          </m:sSubPr>
          <m:e>
            <m:r>
              <w:rPr>
                <w:rFonts w:ascii="Cambria Math" w:hAnsi="Cambria Math"/>
                <w:sz w:val="20"/>
              </w:rPr>
              <m:t>Q</m:t>
            </m:r>
          </m:e>
          <m:sub>
            <m:r>
              <w:rPr>
                <w:rFonts w:ascii="Cambria Math" w:hAnsi="Cambria Math"/>
                <w:sz w:val="20"/>
              </w:rPr>
              <m:t>ϕ</m:t>
            </m:r>
            <m:r>
              <m:rPr>
                <m:sty m:val="p"/>
              </m:rPr>
              <w:rPr>
                <w:rFonts w:ascii="Cambria Math" w:hAnsi="Cambria Math"/>
                <w:sz w:val="20"/>
              </w:rPr>
              <m:t>,</m:t>
            </m:r>
            <m:r>
              <w:rPr>
                <w:rFonts w:ascii="Cambria Math" w:hAnsi="Cambria Math"/>
                <w:sz w:val="20"/>
              </w:rPr>
              <m:t>j</m:t>
            </m:r>
          </m:sub>
        </m:sSub>
        <m:r>
          <m:rPr>
            <m:sty m:val="p"/>
          </m:rPr>
          <w:rPr>
            <w:rFonts w:ascii="Cambria Math" w:hAnsi="Cambria Math"/>
            <w:sz w:val="20"/>
          </w:rPr>
          <m:t>(</m:t>
        </m:r>
        <m:sSup>
          <m:sSupPr>
            <m:ctrlPr>
              <w:rPr>
                <w:rFonts w:ascii="Cambria Math" w:hAnsi="Cambria Math"/>
                <w:sz w:val="20"/>
              </w:rPr>
            </m:ctrlPr>
          </m:sSupPr>
          <m:e>
            <m:r>
              <w:rPr>
                <w:rFonts w:ascii="Cambria Math" w:hAnsi="Cambria Math"/>
                <w:sz w:val="20"/>
              </w:rPr>
              <m:t>s</m:t>
            </m:r>
          </m:e>
          <m:sup>
            <m:r>
              <m:rPr>
                <m:sty m:val="p"/>
              </m:rPr>
              <w:rPr>
                <w:rFonts w:ascii="Cambria Math" w:hAnsi="Cambria Math"/>
                <w:sz w:val="20"/>
              </w:rPr>
              <m:t>'</m:t>
            </m:r>
          </m:sup>
        </m:sSup>
        <m:r>
          <m:rPr>
            <m:sty m:val="p"/>
          </m:rPr>
          <w:rPr>
            <w:rFonts w:ascii="Cambria Math" w:hAnsi="Cambria Math"/>
            <w:sz w:val="20"/>
          </w:rPr>
          <m:t>,</m:t>
        </m:r>
        <m:sSup>
          <m:sSupPr>
            <m:ctrlPr>
              <w:rPr>
                <w:rFonts w:ascii="Cambria Math" w:hAnsi="Cambria Math"/>
                <w:sz w:val="20"/>
              </w:rPr>
            </m:ctrlPr>
          </m:sSupPr>
          <m:e>
            <m:r>
              <w:rPr>
                <w:rFonts w:ascii="Cambria Math" w:hAnsi="Cambria Math"/>
                <w:sz w:val="20"/>
              </w:rPr>
              <m:t>a</m:t>
            </m:r>
          </m:e>
          <m:sup>
            <m:r>
              <m:rPr>
                <m:sty m:val="p"/>
              </m:rPr>
              <w:rPr>
                <w:rFonts w:ascii="Cambria Math" w:hAnsi="Cambria Math"/>
                <w:sz w:val="20"/>
              </w:rPr>
              <m:t>'</m:t>
            </m:r>
          </m:sup>
        </m:sSup>
        <m:r>
          <m:rPr>
            <m:sty m:val="p"/>
          </m:rPr>
          <w:rPr>
            <w:rFonts w:ascii="Cambria Math" w:hAnsi="Cambria Math"/>
            <w:sz w:val="20"/>
          </w:rPr>
          <m:t>)-</m:t>
        </m:r>
        <m:sSub>
          <m:sSubPr>
            <m:ctrlPr>
              <w:rPr>
                <w:rFonts w:ascii="Cambria Math" w:hAnsi="Cambria Math"/>
                <w:sz w:val="20"/>
              </w:rPr>
            </m:ctrlPr>
          </m:sSubPr>
          <m:e>
            <m:r>
              <w:rPr>
                <w:rFonts w:ascii="Cambria Math" w:hAnsi="Cambria Math"/>
                <w:sz w:val="20"/>
              </w:rPr>
              <m:t>Q</m:t>
            </m:r>
          </m:e>
          <m:sub>
            <m:r>
              <w:rPr>
                <w:rFonts w:ascii="Cambria Math" w:hAnsi="Cambria Math"/>
                <w:sz w:val="20"/>
              </w:rPr>
              <m:t>ϕ</m:t>
            </m:r>
            <m:r>
              <m:rPr>
                <m:sty m:val="p"/>
              </m:rPr>
              <w:rPr>
                <w:rFonts w:ascii="Cambria Math" w:hAnsi="Cambria Math"/>
                <w:sz w:val="20"/>
              </w:rPr>
              <m:t>,</m:t>
            </m:r>
            <m:r>
              <w:rPr>
                <w:rFonts w:ascii="Cambria Math" w:hAnsi="Cambria Math"/>
                <w:sz w:val="20"/>
              </w:rPr>
              <m:t>1</m:t>
            </m:r>
          </m:sub>
        </m:sSub>
        <m:r>
          <m:rPr>
            <m:sty m:val="p"/>
          </m:rPr>
          <w:rPr>
            <w:rFonts w:ascii="Cambria Math" w:hAnsi="Cambria Math"/>
            <w:sz w:val="20"/>
          </w:rPr>
          <m:t>(</m:t>
        </m:r>
        <m:r>
          <w:rPr>
            <w:rFonts w:ascii="Cambria Math" w:hAnsi="Cambria Math"/>
            <w:sz w:val="20"/>
          </w:rPr>
          <m:t>s</m:t>
        </m:r>
        <m:r>
          <m:rPr>
            <m:sty m:val="p"/>
          </m:rPr>
          <w:rPr>
            <w:rFonts w:ascii="Cambria Math" w:hAnsi="Cambria Math"/>
            <w:sz w:val="20"/>
          </w:rPr>
          <m:t>,</m:t>
        </m:r>
        <m:r>
          <w:rPr>
            <w:rFonts w:ascii="Cambria Math" w:hAnsi="Cambria Math"/>
            <w:sz w:val="20"/>
          </w:rPr>
          <m:t>a</m:t>
        </m:r>
        <m:r>
          <m:rPr>
            <m:sty m:val="p"/>
          </m:rPr>
          <w:rPr>
            <w:rFonts w:ascii="Cambria Math" w:hAnsi="Cambria Math"/>
            <w:sz w:val="20"/>
          </w:rPr>
          <m:t>)|</m:t>
        </m:r>
      </m:oMath>
      <w:r w:rsidR="00DF53B4">
        <w:rPr>
          <w:sz w:val="20"/>
        </w:rPr>
        <w:t xml:space="preserve">    (22)</w:t>
      </w:r>
    </w:p>
    <w:p w14:paraId="1268C4CD" w14:textId="77777777" w:rsidR="0013069B" w:rsidRPr="0013069B" w:rsidRDefault="0013069B" w:rsidP="00DF53B4">
      <w:pPr>
        <w:pStyle w:val="PlainText"/>
        <w:spacing w:after="240"/>
        <w:ind w:firstLine="284"/>
        <w:rPr>
          <w:sz w:val="20"/>
        </w:rPr>
      </w:pPr>
      <w:r w:rsidRPr="0013069B">
        <w:rPr>
          <w:sz w:val="20"/>
        </w:rPr>
        <w:t>We use importance sampling weights to correct the bias introduced by prioritized sampling: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5"/>
        <w:gridCol w:w="2275"/>
      </w:tblGrid>
      <w:tr w:rsidR="00DF53B4" w14:paraId="6F0ED680" w14:textId="77777777" w:rsidTr="00DF53B4">
        <w:tc>
          <w:tcPr>
            <w:tcW w:w="2275" w:type="dxa"/>
          </w:tcPr>
          <w:p w14:paraId="491CCE4D" w14:textId="0F72B1BB" w:rsidR="00DF53B4" w:rsidRPr="00DF53B4" w:rsidRDefault="00000000" w:rsidP="00DF53B4">
            <w:pPr>
              <w:pStyle w:val="PlainText"/>
              <w:jc w:val="right"/>
              <w:rPr>
                <w:sz w:val="20"/>
              </w:rPr>
            </w:pPr>
            <m:oMathPara>
              <m:oMathParaPr>
                <m:jc m:val="right"/>
              </m:oMathParaPr>
              <m:oMath>
                <m:sSub>
                  <m:sSubPr>
                    <m:ctrlPr>
                      <w:rPr>
                        <w:rFonts w:ascii="Cambria Math" w:hAnsi="Cambria Math"/>
                        <w:sz w:val="20"/>
                      </w:rPr>
                    </m:ctrlPr>
                  </m:sSubPr>
                  <m:e>
                    <m:r>
                      <w:rPr>
                        <w:rFonts w:ascii="Cambria Math" w:hAnsi="Cambria Math"/>
                        <w:sz w:val="20"/>
                      </w:rPr>
                      <m:t>w</m:t>
                    </m:r>
                  </m:e>
                  <m:sub>
                    <m:r>
                      <w:rPr>
                        <w:rFonts w:ascii="Cambria Math" w:hAnsi="Cambria Math"/>
                        <w:sz w:val="20"/>
                      </w:rPr>
                      <m:t>i</m:t>
                    </m:r>
                  </m:sub>
                </m:sSub>
                <m:r>
                  <m:rPr>
                    <m:sty m:val="p"/>
                  </m:rPr>
                  <w:rPr>
                    <w:rFonts w:ascii="Cambria Math" w:hAnsi="Cambria Math"/>
                    <w:sz w:val="20"/>
                  </w:rPr>
                  <m:t>=</m:t>
                </m:r>
                <m:sSup>
                  <m:sSupPr>
                    <m:ctrlPr>
                      <w:rPr>
                        <w:rFonts w:ascii="Cambria Math" w:hAnsi="Cambria Math"/>
                        <w:sz w:val="20"/>
                      </w:rPr>
                    </m:ctrlPr>
                  </m:sSupPr>
                  <m:e>
                    <m:d>
                      <m:dPr>
                        <m:ctrlPr>
                          <w:rPr>
                            <w:rFonts w:ascii="Cambria Math" w:hAnsi="Cambria Math"/>
                            <w:sz w:val="20"/>
                          </w:rPr>
                        </m:ctrlPr>
                      </m:dPr>
                      <m:e>
                        <m:f>
                          <m:fPr>
                            <m:ctrlPr>
                              <w:rPr>
                                <w:rFonts w:ascii="Cambria Math" w:hAnsi="Cambria Math"/>
                                <w:sz w:val="20"/>
                              </w:rPr>
                            </m:ctrlPr>
                          </m:fPr>
                          <m:num>
                            <m:r>
                              <w:rPr>
                                <w:rFonts w:ascii="Cambria Math" w:hAnsi="Cambria Math"/>
                                <w:sz w:val="20"/>
                              </w:rPr>
                              <m:t>1</m:t>
                            </m:r>
                          </m:num>
                          <m:den>
                            <m:r>
                              <w:rPr>
                                <w:rFonts w:ascii="Cambria Math" w:hAnsi="Cambria Math"/>
                                <w:sz w:val="20"/>
                              </w:rPr>
                              <m:t>N</m:t>
                            </m:r>
                          </m:den>
                        </m:f>
                        <m:r>
                          <m:rPr>
                            <m:sty m:val="p"/>
                          </m:rPr>
                          <w:rPr>
                            <w:rFonts w:ascii="Cambria Math" w:hAnsi="Cambria Math"/>
                            <w:sz w:val="20"/>
                          </w:rPr>
                          <m:t>⋅</m:t>
                        </m:r>
                        <m:f>
                          <m:fPr>
                            <m:ctrlPr>
                              <w:rPr>
                                <w:rFonts w:ascii="Cambria Math" w:hAnsi="Cambria Math"/>
                                <w:sz w:val="20"/>
                              </w:rPr>
                            </m:ctrlPr>
                          </m:fPr>
                          <m:num>
                            <m:r>
                              <w:rPr>
                                <w:rFonts w:ascii="Cambria Math" w:hAnsi="Cambria Math"/>
                                <w:sz w:val="20"/>
                              </w:rPr>
                              <m:t>1</m:t>
                            </m:r>
                          </m:num>
                          <m:den>
                            <m:r>
                              <w:rPr>
                                <w:rFonts w:ascii="Cambria Math" w:hAnsi="Cambria Math"/>
                                <w:sz w:val="20"/>
                              </w:rPr>
                              <m:t>P</m:t>
                            </m:r>
                            <m:r>
                              <m:rPr>
                                <m:sty m:val="p"/>
                              </m:rPr>
                              <w:rPr>
                                <w:rFonts w:ascii="Cambria Math" w:hAnsi="Cambria Math"/>
                                <w:sz w:val="20"/>
                              </w:rPr>
                              <m:t>(</m:t>
                            </m:r>
                            <m:r>
                              <w:rPr>
                                <w:rFonts w:ascii="Cambria Math" w:hAnsi="Cambria Math"/>
                                <w:sz w:val="20"/>
                              </w:rPr>
                              <m:t>i</m:t>
                            </m:r>
                            <m:r>
                              <m:rPr>
                                <m:sty m:val="p"/>
                              </m:rPr>
                              <w:rPr>
                                <w:rFonts w:ascii="Cambria Math" w:hAnsi="Cambria Math"/>
                                <w:sz w:val="20"/>
                              </w:rPr>
                              <m:t>)</m:t>
                            </m:r>
                          </m:den>
                        </m:f>
                      </m:e>
                    </m:d>
                  </m:e>
                  <m:sup>
                    <m:r>
                      <w:rPr>
                        <w:rFonts w:ascii="Cambria Math" w:hAnsi="Cambria Math"/>
                        <w:sz w:val="20"/>
                      </w:rPr>
                      <m:t>b</m:t>
                    </m:r>
                  </m:sup>
                </m:sSup>
              </m:oMath>
            </m:oMathPara>
          </w:p>
        </w:tc>
        <w:tc>
          <w:tcPr>
            <w:tcW w:w="2275" w:type="dxa"/>
            <w:vAlign w:val="center"/>
          </w:tcPr>
          <w:p w14:paraId="71233756" w14:textId="48B743B7" w:rsidR="00DF53B4" w:rsidRDefault="00DF53B4" w:rsidP="00DF53B4">
            <w:pPr>
              <w:pStyle w:val="PlainText"/>
              <w:jc w:val="right"/>
              <w:rPr>
                <w:sz w:val="20"/>
              </w:rPr>
            </w:pPr>
            <w:r>
              <w:rPr>
                <w:sz w:val="20"/>
              </w:rPr>
              <w:t xml:space="preserve"> (23)  </w:t>
            </w:r>
          </w:p>
        </w:tc>
      </w:tr>
    </w:tbl>
    <w:p w14:paraId="5852ADA9" w14:textId="42C7421E" w:rsidR="0013069B" w:rsidRPr="0013069B" w:rsidRDefault="0013069B" w:rsidP="0013069B">
      <w:pPr>
        <w:pStyle w:val="PlainText"/>
        <w:rPr>
          <w:sz w:val="20"/>
        </w:rPr>
      </w:pPr>
    </w:p>
    <w:p w14:paraId="683F2959" w14:textId="77777777" w:rsidR="00E17941" w:rsidRDefault="0013069B" w:rsidP="00E17941">
      <w:pPr>
        <w:pStyle w:val="PlainText"/>
        <w:rPr>
          <w:rFonts w:asciiTheme="minorBidi" w:hAnsiTheme="minorBidi" w:cstheme="minorBidi"/>
          <w:bCs/>
          <w:sz w:val="20"/>
        </w:rPr>
      </w:pPr>
      <w:r w:rsidRPr="00E24377">
        <w:rPr>
          <w:rFonts w:asciiTheme="minorBidi" w:hAnsiTheme="minorBidi" w:cstheme="minorBidi"/>
          <w:bCs/>
          <w:sz w:val="20"/>
        </w:rPr>
        <w:t xml:space="preserve">where </w:t>
      </w:r>
      <m:oMath>
        <m:r>
          <w:rPr>
            <w:rFonts w:ascii="Cambria Math" w:hAnsi="Cambria Math" w:cstheme="minorBidi"/>
            <w:sz w:val="20"/>
          </w:rPr>
          <m:t>P</m:t>
        </m:r>
        <m:r>
          <m:rPr>
            <m:sty m:val="p"/>
          </m:rPr>
          <w:rPr>
            <w:rFonts w:ascii="Cambria Math" w:hAnsi="Cambria Math" w:cstheme="minorBidi"/>
            <w:sz w:val="20"/>
          </w:rPr>
          <m:t>(</m:t>
        </m:r>
        <m:r>
          <w:rPr>
            <w:rFonts w:ascii="Cambria Math" w:hAnsi="Cambria Math" w:cstheme="minorBidi"/>
            <w:sz w:val="20"/>
          </w:rPr>
          <m:t>i</m:t>
        </m:r>
        <m:r>
          <m:rPr>
            <m:sty m:val="p"/>
          </m:rPr>
          <w:rPr>
            <w:rFonts w:ascii="Cambria Math" w:hAnsi="Cambria Math" w:cstheme="minorBidi"/>
            <w:sz w:val="20"/>
          </w:rPr>
          <m:t>)</m:t>
        </m:r>
      </m:oMath>
      <w:r w:rsidRPr="00E24377">
        <w:rPr>
          <w:rFonts w:asciiTheme="minorBidi" w:hAnsiTheme="minorBidi" w:cstheme="minorBidi"/>
          <w:bCs/>
          <w:sz w:val="20"/>
        </w:rPr>
        <w:t xml:space="preserve"> is the probability of sampling transition </w:t>
      </w:r>
      <m:oMath>
        <m:r>
          <w:rPr>
            <w:rFonts w:ascii="Cambria Math" w:hAnsi="Cambria Math" w:cstheme="minorBidi"/>
            <w:sz w:val="20"/>
          </w:rPr>
          <m:t>i</m:t>
        </m:r>
      </m:oMath>
      <w:r w:rsidRPr="00E24377">
        <w:rPr>
          <w:rFonts w:asciiTheme="minorBidi" w:hAnsiTheme="minorBidi" w:cstheme="minorBidi"/>
          <w:bCs/>
          <w:sz w:val="20"/>
        </w:rPr>
        <w:t xml:space="preserve"> and </w:t>
      </w:r>
      <m:oMath>
        <m:r>
          <w:rPr>
            <w:rFonts w:ascii="Cambria Math" w:hAnsi="Cambria Math" w:cstheme="minorBidi"/>
            <w:sz w:val="20"/>
          </w:rPr>
          <m:t>b</m:t>
        </m:r>
      </m:oMath>
      <w:r w:rsidRPr="00E24377">
        <w:rPr>
          <w:rFonts w:asciiTheme="minorBidi" w:hAnsiTheme="minorBidi" w:cstheme="minorBidi"/>
          <w:bCs/>
          <w:sz w:val="20"/>
        </w:rPr>
        <w:t xml:space="preserve"> is an annealing parameter that increases from 0.4 to 1.0 throughout training.</w:t>
      </w:r>
    </w:p>
    <w:p w14:paraId="218C6610" w14:textId="2FD3EF3C" w:rsidR="00E17941" w:rsidRPr="00E17941" w:rsidRDefault="00E17941" w:rsidP="00341DA1">
      <w:pPr>
        <w:pStyle w:val="PlainText"/>
        <w:spacing w:after="240"/>
        <w:ind w:firstLine="284"/>
        <w:rPr>
          <w:rFonts w:asciiTheme="minorBidi" w:hAnsiTheme="minorBidi" w:cstheme="minorBidi"/>
          <w:bCs/>
          <w:sz w:val="20"/>
        </w:rPr>
      </w:pPr>
      <w:r w:rsidRPr="004A53A9">
        <w:rPr>
          <w:sz w:val="20"/>
        </w:rPr>
        <w:t>To evaluate EVCAR’s performance, we implemented the TD3-MADDPG framework with carefully tuned hyperparameters as summarized in Table</w:t>
      </w:r>
      <w:r w:rsidR="00AD531C">
        <w:t xml:space="preserve"> </w:t>
      </w:r>
      <w:r w:rsidR="00AD531C" w:rsidRPr="00AD531C">
        <w:rPr>
          <w:sz w:val="20"/>
          <w:szCs w:val="22"/>
        </w:rPr>
        <w:t>1</w:t>
      </w:r>
      <w:r w:rsidRPr="004A53A9">
        <w:rPr>
          <w:sz w:val="20"/>
        </w:rPr>
        <w:t>. These parameters balance training stability and convergence speed while enabling effective coordination between district and redistribution agents.</w:t>
      </w:r>
    </w:p>
    <w:p w14:paraId="7FEFF199" w14:textId="633D5A20" w:rsidR="003D162E" w:rsidRPr="003D162E" w:rsidRDefault="003D162E" w:rsidP="003D162E">
      <w:pPr>
        <w:pStyle w:val="TableCaption"/>
        <w:rPr>
          <w:rFonts w:ascii="Arial" w:hAnsi="Arial" w:cs="Arial"/>
          <w:sz w:val="18"/>
          <w:szCs w:val="18"/>
        </w:rPr>
      </w:pPr>
      <w:r w:rsidRPr="003D162E">
        <w:rPr>
          <w:rFonts w:ascii="Arial" w:hAnsi="Arial" w:cs="Arial"/>
          <w:sz w:val="18"/>
          <w:szCs w:val="18"/>
        </w:rPr>
        <w:t xml:space="preserve">Table 1: </w:t>
      </w:r>
      <w:r w:rsidR="00E17941" w:rsidRPr="003D162E">
        <w:rPr>
          <w:rFonts w:ascii="Arial" w:hAnsi="Arial" w:cs="Arial"/>
          <w:sz w:val="18"/>
          <w:szCs w:val="18"/>
        </w:rPr>
        <w:t>Hyperparameters for EVCAR</w:t>
      </w:r>
      <w:r w:rsidRPr="003D162E">
        <w:rPr>
          <w:rFonts w:ascii="Arial" w:hAnsi="Arial" w:cs="Arial"/>
          <w:sz w:val="18"/>
          <w:szCs w:val="18"/>
        </w:rPr>
        <w:t xml:space="preserve"> </w:t>
      </w:r>
      <w:r w:rsidR="00E17941" w:rsidRPr="003D162E">
        <w:rPr>
          <w:rFonts w:ascii="Arial" w:hAnsi="Arial" w:cs="Arial"/>
          <w:sz w:val="18"/>
          <w:szCs w:val="18"/>
        </w:rPr>
        <w:t>Implementation</w:t>
      </w:r>
    </w:p>
    <w:tbl>
      <w:tblPr>
        <w:tblStyle w:val="PlainTable2"/>
        <w:tblW w:w="0" w:type="auto"/>
        <w:jc w:val="center"/>
        <w:tblLook w:val="0020" w:firstRow="1" w:lastRow="0" w:firstColumn="0" w:lastColumn="0" w:noHBand="0" w:noVBand="0"/>
      </w:tblPr>
      <w:tblGrid>
        <w:gridCol w:w="2744"/>
        <w:gridCol w:w="920"/>
      </w:tblGrid>
      <w:tr w:rsidR="00E17941" w:rsidRPr="003D162E" w14:paraId="43F6721C" w14:textId="77777777" w:rsidTr="00DF53B4">
        <w:trPr>
          <w:cnfStyle w:val="100000000000" w:firstRow="1" w:lastRow="0" w:firstColumn="0" w:lastColumn="0" w:oddVBand="0" w:evenVBand="0" w:oddHBand="0"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0" w:type="auto"/>
          </w:tcPr>
          <w:p w14:paraId="47B6FDD4" w14:textId="77777777" w:rsidR="00E17941" w:rsidRPr="003D162E" w:rsidRDefault="00E17941" w:rsidP="00C42B81">
            <w:pPr>
              <w:pStyle w:val="Compact"/>
              <w:jc w:val="both"/>
              <w:rPr>
                <w:rFonts w:asciiTheme="minorBidi" w:hAnsiTheme="minorBidi"/>
                <w:sz w:val="18"/>
                <w:szCs w:val="18"/>
              </w:rPr>
            </w:pPr>
            <w:r w:rsidRPr="003D162E">
              <w:rPr>
                <w:rFonts w:asciiTheme="minorBidi" w:hAnsiTheme="minorBidi"/>
                <w:sz w:val="18"/>
                <w:szCs w:val="18"/>
              </w:rPr>
              <w:t>Hyperparameter</w:t>
            </w:r>
          </w:p>
        </w:tc>
        <w:tc>
          <w:tcPr>
            <w:cnfStyle w:val="000001000000" w:firstRow="0" w:lastRow="0" w:firstColumn="0" w:lastColumn="0" w:oddVBand="0" w:evenVBand="1" w:oddHBand="0" w:evenHBand="0" w:firstRowFirstColumn="0" w:firstRowLastColumn="0" w:lastRowFirstColumn="0" w:lastRowLastColumn="0"/>
            <w:tcW w:w="0" w:type="auto"/>
          </w:tcPr>
          <w:p w14:paraId="5234859B" w14:textId="77777777" w:rsidR="00E17941" w:rsidRPr="003D162E" w:rsidRDefault="00E17941" w:rsidP="00C42B81">
            <w:pPr>
              <w:pStyle w:val="Compact"/>
              <w:jc w:val="both"/>
              <w:rPr>
                <w:rFonts w:asciiTheme="minorBidi" w:hAnsiTheme="minorBidi"/>
                <w:sz w:val="18"/>
                <w:szCs w:val="18"/>
              </w:rPr>
            </w:pPr>
            <w:r w:rsidRPr="003D162E">
              <w:rPr>
                <w:rFonts w:asciiTheme="minorBidi" w:hAnsiTheme="minorBidi"/>
                <w:sz w:val="18"/>
                <w:szCs w:val="18"/>
              </w:rPr>
              <w:t>Value</w:t>
            </w:r>
          </w:p>
        </w:tc>
      </w:tr>
      <w:tr w:rsidR="00E17941" w:rsidRPr="003D162E" w14:paraId="09E7186D" w14:textId="77777777" w:rsidTr="00DF53B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0" w:type="auto"/>
          </w:tcPr>
          <w:p w14:paraId="60847E1A" w14:textId="77777777" w:rsidR="00E17941" w:rsidRPr="003D162E" w:rsidRDefault="00E17941" w:rsidP="00C42B81">
            <w:pPr>
              <w:pStyle w:val="Compact"/>
              <w:jc w:val="both"/>
              <w:rPr>
                <w:rFonts w:asciiTheme="minorBidi" w:hAnsiTheme="minorBidi"/>
                <w:sz w:val="18"/>
                <w:szCs w:val="18"/>
              </w:rPr>
            </w:pPr>
            <w:r w:rsidRPr="003D162E">
              <w:rPr>
                <w:rFonts w:asciiTheme="minorBidi" w:hAnsiTheme="minorBidi"/>
                <w:sz w:val="18"/>
                <w:szCs w:val="18"/>
              </w:rPr>
              <w:t>Learning Rate (Actor &amp; Critic)</w:t>
            </w:r>
          </w:p>
        </w:tc>
        <w:tc>
          <w:tcPr>
            <w:cnfStyle w:val="000001000000" w:firstRow="0" w:lastRow="0" w:firstColumn="0" w:lastColumn="0" w:oddVBand="0" w:evenVBand="1" w:oddHBand="0" w:evenHBand="0" w:firstRowFirstColumn="0" w:firstRowLastColumn="0" w:lastRowFirstColumn="0" w:lastRowLastColumn="0"/>
            <w:tcW w:w="0" w:type="auto"/>
          </w:tcPr>
          <w:p w14:paraId="55E694CB" w14:textId="77777777" w:rsidR="00E17941" w:rsidRPr="003D162E" w:rsidRDefault="00000000" w:rsidP="00C42B81">
            <w:pPr>
              <w:pStyle w:val="Compact"/>
              <w:jc w:val="both"/>
              <w:rPr>
                <w:rFonts w:asciiTheme="minorBidi" w:hAnsiTheme="minorBidi"/>
                <w:sz w:val="18"/>
                <w:szCs w:val="18"/>
              </w:rPr>
            </w:pPr>
            <m:oMathPara>
              <m:oMath>
                <m:sSup>
                  <m:sSupPr>
                    <m:ctrlPr>
                      <w:rPr>
                        <w:rFonts w:ascii="Cambria Math" w:hAnsi="Cambria Math"/>
                        <w:sz w:val="18"/>
                        <w:szCs w:val="18"/>
                      </w:rPr>
                    </m:ctrlPr>
                  </m:sSupPr>
                  <m:e>
                    <m:r>
                      <w:rPr>
                        <w:rFonts w:ascii="Cambria Math" w:hAnsi="Cambria Math"/>
                        <w:sz w:val="18"/>
                        <w:szCs w:val="18"/>
                      </w:rPr>
                      <m:t>10</m:t>
                    </m:r>
                  </m:e>
                  <m:sup>
                    <m:r>
                      <m:rPr>
                        <m:sty m:val="p"/>
                      </m:rPr>
                      <w:rPr>
                        <w:rFonts w:ascii="Cambria Math" w:hAnsi="Cambria Math"/>
                        <w:sz w:val="18"/>
                        <w:szCs w:val="18"/>
                      </w:rPr>
                      <m:t>-</m:t>
                    </m:r>
                    <m:r>
                      <w:rPr>
                        <w:rFonts w:ascii="Cambria Math" w:hAnsi="Cambria Math"/>
                        <w:sz w:val="18"/>
                        <w:szCs w:val="18"/>
                      </w:rPr>
                      <m:t>4</m:t>
                    </m:r>
                  </m:sup>
                </m:sSup>
              </m:oMath>
            </m:oMathPara>
          </w:p>
        </w:tc>
      </w:tr>
      <w:tr w:rsidR="00E17941" w:rsidRPr="003D162E" w14:paraId="02D5A3AF" w14:textId="77777777" w:rsidTr="00DF53B4">
        <w:trPr>
          <w:jc w:val="center"/>
        </w:trPr>
        <w:tc>
          <w:tcPr>
            <w:cnfStyle w:val="000010000000" w:firstRow="0" w:lastRow="0" w:firstColumn="0" w:lastColumn="0" w:oddVBand="1" w:evenVBand="0" w:oddHBand="0" w:evenHBand="0" w:firstRowFirstColumn="0" w:firstRowLastColumn="0" w:lastRowFirstColumn="0" w:lastRowLastColumn="0"/>
            <w:tcW w:w="0" w:type="auto"/>
          </w:tcPr>
          <w:p w14:paraId="01A0B790" w14:textId="77777777" w:rsidR="00E17941" w:rsidRPr="003D162E" w:rsidRDefault="00E17941" w:rsidP="00C42B81">
            <w:pPr>
              <w:pStyle w:val="Compact"/>
              <w:jc w:val="both"/>
              <w:rPr>
                <w:rFonts w:asciiTheme="minorBidi" w:hAnsiTheme="minorBidi"/>
                <w:sz w:val="18"/>
                <w:szCs w:val="18"/>
              </w:rPr>
            </w:pPr>
            <w:r w:rsidRPr="003D162E">
              <w:rPr>
                <w:rFonts w:asciiTheme="minorBidi" w:hAnsiTheme="minorBidi"/>
                <w:sz w:val="18"/>
                <w:szCs w:val="18"/>
              </w:rPr>
              <w:t>Discount Factor (</w:t>
            </w:r>
            <m:oMath>
              <m:r>
                <w:rPr>
                  <w:rFonts w:ascii="Cambria Math" w:hAnsi="Cambria Math"/>
                  <w:sz w:val="18"/>
                  <w:szCs w:val="18"/>
                </w:rPr>
                <m:t>γ</m:t>
              </m:r>
            </m:oMath>
            <w:r w:rsidRPr="003D162E">
              <w:rPr>
                <w:rFonts w:asciiTheme="minorBidi" w:hAnsiTheme="minorBidi"/>
                <w:sz w:val="18"/>
                <w:szCs w:val="18"/>
              </w:rPr>
              <w:t>)</w:t>
            </w:r>
          </w:p>
        </w:tc>
        <w:tc>
          <w:tcPr>
            <w:cnfStyle w:val="000001000000" w:firstRow="0" w:lastRow="0" w:firstColumn="0" w:lastColumn="0" w:oddVBand="0" w:evenVBand="1" w:oddHBand="0" w:evenHBand="0" w:firstRowFirstColumn="0" w:firstRowLastColumn="0" w:lastRowFirstColumn="0" w:lastRowLastColumn="0"/>
            <w:tcW w:w="0" w:type="auto"/>
          </w:tcPr>
          <w:p w14:paraId="0DAEB801" w14:textId="77777777" w:rsidR="00E17941" w:rsidRPr="003D162E" w:rsidRDefault="00E17941" w:rsidP="00C42B81">
            <w:pPr>
              <w:pStyle w:val="Compact"/>
              <w:jc w:val="both"/>
              <w:rPr>
                <w:rFonts w:asciiTheme="minorBidi" w:hAnsiTheme="minorBidi"/>
                <w:sz w:val="18"/>
                <w:szCs w:val="18"/>
              </w:rPr>
            </w:pPr>
            <w:r w:rsidRPr="003D162E">
              <w:rPr>
                <w:rFonts w:asciiTheme="minorBidi" w:hAnsiTheme="minorBidi"/>
                <w:sz w:val="18"/>
                <w:szCs w:val="18"/>
              </w:rPr>
              <w:t>0.99</w:t>
            </w:r>
          </w:p>
        </w:tc>
      </w:tr>
      <w:tr w:rsidR="00E17941" w:rsidRPr="003D162E" w14:paraId="2F600BA9" w14:textId="77777777" w:rsidTr="00DF53B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0" w:type="auto"/>
          </w:tcPr>
          <w:p w14:paraId="58F51AB8" w14:textId="77777777" w:rsidR="00E17941" w:rsidRPr="003D162E" w:rsidRDefault="00E17941" w:rsidP="00C42B81">
            <w:pPr>
              <w:pStyle w:val="Compact"/>
              <w:jc w:val="both"/>
              <w:rPr>
                <w:rFonts w:asciiTheme="minorBidi" w:hAnsiTheme="minorBidi"/>
                <w:sz w:val="18"/>
                <w:szCs w:val="18"/>
              </w:rPr>
            </w:pPr>
            <w:r w:rsidRPr="003D162E">
              <w:rPr>
                <w:rFonts w:asciiTheme="minorBidi" w:hAnsiTheme="minorBidi"/>
                <w:sz w:val="18"/>
                <w:szCs w:val="18"/>
              </w:rPr>
              <w:t>Batch Size</w:t>
            </w:r>
          </w:p>
        </w:tc>
        <w:tc>
          <w:tcPr>
            <w:cnfStyle w:val="000001000000" w:firstRow="0" w:lastRow="0" w:firstColumn="0" w:lastColumn="0" w:oddVBand="0" w:evenVBand="1" w:oddHBand="0" w:evenHBand="0" w:firstRowFirstColumn="0" w:firstRowLastColumn="0" w:lastRowFirstColumn="0" w:lastRowLastColumn="0"/>
            <w:tcW w:w="0" w:type="auto"/>
          </w:tcPr>
          <w:p w14:paraId="4E0EF87F" w14:textId="77777777" w:rsidR="00E17941" w:rsidRPr="003D162E" w:rsidRDefault="00E17941" w:rsidP="00C42B81">
            <w:pPr>
              <w:pStyle w:val="Compact"/>
              <w:jc w:val="both"/>
              <w:rPr>
                <w:rFonts w:asciiTheme="minorBidi" w:hAnsiTheme="minorBidi"/>
                <w:sz w:val="18"/>
                <w:szCs w:val="18"/>
              </w:rPr>
            </w:pPr>
            <w:r w:rsidRPr="003D162E">
              <w:rPr>
                <w:rFonts w:asciiTheme="minorBidi" w:hAnsiTheme="minorBidi"/>
                <w:sz w:val="18"/>
                <w:szCs w:val="18"/>
              </w:rPr>
              <w:t>64</w:t>
            </w:r>
          </w:p>
        </w:tc>
      </w:tr>
      <w:tr w:rsidR="00E17941" w:rsidRPr="003D162E" w14:paraId="09C05D57" w14:textId="77777777" w:rsidTr="00DF53B4">
        <w:trPr>
          <w:jc w:val="center"/>
        </w:trPr>
        <w:tc>
          <w:tcPr>
            <w:cnfStyle w:val="000010000000" w:firstRow="0" w:lastRow="0" w:firstColumn="0" w:lastColumn="0" w:oddVBand="1" w:evenVBand="0" w:oddHBand="0" w:evenHBand="0" w:firstRowFirstColumn="0" w:firstRowLastColumn="0" w:lastRowFirstColumn="0" w:lastRowLastColumn="0"/>
            <w:tcW w:w="0" w:type="auto"/>
          </w:tcPr>
          <w:p w14:paraId="12AC1EF9" w14:textId="77777777" w:rsidR="00E17941" w:rsidRPr="003D162E" w:rsidRDefault="00E17941" w:rsidP="00C42B81">
            <w:pPr>
              <w:pStyle w:val="Compact"/>
              <w:jc w:val="both"/>
              <w:rPr>
                <w:rFonts w:asciiTheme="minorBidi" w:hAnsiTheme="minorBidi"/>
                <w:sz w:val="18"/>
                <w:szCs w:val="18"/>
              </w:rPr>
            </w:pPr>
            <w:r w:rsidRPr="003D162E">
              <w:rPr>
                <w:rFonts w:asciiTheme="minorBidi" w:hAnsiTheme="minorBidi"/>
                <w:sz w:val="18"/>
                <w:szCs w:val="18"/>
              </w:rPr>
              <w:t>Replay Buffer Size</w:t>
            </w:r>
          </w:p>
        </w:tc>
        <w:tc>
          <w:tcPr>
            <w:cnfStyle w:val="000001000000" w:firstRow="0" w:lastRow="0" w:firstColumn="0" w:lastColumn="0" w:oddVBand="0" w:evenVBand="1" w:oddHBand="0" w:evenHBand="0" w:firstRowFirstColumn="0" w:firstRowLastColumn="0" w:lastRowFirstColumn="0" w:lastRowLastColumn="0"/>
            <w:tcW w:w="0" w:type="auto"/>
          </w:tcPr>
          <w:p w14:paraId="702D025B" w14:textId="77777777" w:rsidR="00E17941" w:rsidRPr="003D162E" w:rsidRDefault="00E17941" w:rsidP="00C42B81">
            <w:pPr>
              <w:pStyle w:val="Compact"/>
              <w:jc w:val="both"/>
              <w:rPr>
                <w:rFonts w:asciiTheme="minorBidi" w:hAnsiTheme="minorBidi"/>
                <w:sz w:val="18"/>
                <w:szCs w:val="18"/>
              </w:rPr>
            </w:pPr>
            <w:r w:rsidRPr="003D162E">
              <w:rPr>
                <w:rFonts w:asciiTheme="minorBidi" w:hAnsiTheme="minorBidi"/>
                <w:sz w:val="18"/>
                <w:szCs w:val="18"/>
              </w:rPr>
              <w:t>100,000</w:t>
            </w:r>
          </w:p>
        </w:tc>
      </w:tr>
      <w:tr w:rsidR="00E17941" w:rsidRPr="003D162E" w14:paraId="5550B61C" w14:textId="77777777" w:rsidTr="00DF53B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0" w:type="auto"/>
          </w:tcPr>
          <w:p w14:paraId="33C984E2" w14:textId="77777777" w:rsidR="00E17941" w:rsidRPr="003D162E" w:rsidRDefault="00E17941" w:rsidP="00C42B81">
            <w:pPr>
              <w:pStyle w:val="Compact"/>
              <w:jc w:val="both"/>
              <w:rPr>
                <w:rFonts w:asciiTheme="minorBidi" w:hAnsiTheme="minorBidi"/>
                <w:sz w:val="18"/>
                <w:szCs w:val="18"/>
              </w:rPr>
            </w:pPr>
            <w:r w:rsidRPr="003D162E">
              <w:rPr>
                <w:rFonts w:asciiTheme="minorBidi" w:hAnsiTheme="minorBidi"/>
                <w:sz w:val="18"/>
                <w:szCs w:val="18"/>
              </w:rPr>
              <w:t>Exploration Noise</w:t>
            </w:r>
          </w:p>
        </w:tc>
        <w:tc>
          <w:tcPr>
            <w:cnfStyle w:val="000001000000" w:firstRow="0" w:lastRow="0" w:firstColumn="0" w:lastColumn="0" w:oddVBand="0" w:evenVBand="1" w:oddHBand="0" w:evenHBand="0" w:firstRowFirstColumn="0" w:firstRowLastColumn="0" w:lastRowFirstColumn="0" w:lastRowLastColumn="0"/>
            <w:tcW w:w="0" w:type="auto"/>
          </w:tcPr>
          <w:p w14:paraId="54FBA75E" w14:textId="77777777" w:rsidR="00E17941" w:rsidRPr="003D162E" w:rsidRDefault="00E17941" w:rsidP="00C42B81">
            <w:pPr>
              <w:pStyle w:val="Compact"/>
              <w:jc w:val="both"/>
              <w:rPr>
                <w:rFonts w:asciiTheme="minorBidi" w:hAnsiTheme="minorBidi"/>
                <w:sz w:val="18"/>
                <w:szCs w:val="18"/>
              </w:rPr>
            </w:pPr>
            <m:oMathPara>
              <m:oMath>
                <m:r>
                  <m:rPr>
                    <m:scr m:val="script"/>
                    <m:sty m:val="p"/>
                  </m:rPr>
                  <w:rPr>
                    <w:rFonts w:ascii="Cambria Math" w:hAnsi="Cambria Math"/>
                    <w:sz w:val="18"/>
                    <w:szCs w:val="18"/>
                  </w:rPr>
                  <m:t>N(</m:t>
                </m:r>
                <m:r>
                  <w:rPr>
                    <w:rFonts w:ascii="Cambria Math" w:hAnsi="Cambria Math"/>
                    <w:sz w:val="18"/>
                    <w:szCs w:val="18"/>
                  </w:rPr>
                  <m:t>0</m:t>
                </m:r>
                <m:r>
                  <m:rPr>
                    <m:sty m:val="p"/>
                  </m:rPr>
                  <w:rPr>
                    <w:rFonts w:ascii="Cambria Math" w:hAnsi="Cambria Math"/>
                    <w:sz w:val="18"/>
                    <w:szCs w:val="18"/>
                  </w:rPr>
                  <m:t>,</m:t>
                </m:r>
                <m:r>
                  <w:rPr>
                    <w:rFonts w:ascii="Cambria Math" w:hAnsi="Cambria Math"/>
                    <w:sz w:val="18"/>
                    <w:szCs w:val="18"/>
                  </w:rPr>
                  <m:t>0.2</m:t>
                </m:r>
                <m:r>
                  <m:rPr>
                    <m:sty m:val="p"/>
                  </m:rPr>
                  <w:rPr>
                    <w:rFonts w:ascii="Cambria Math" w:hAnsi="Cambria Math"/>
                    <w:sz w:val="18"/>
                    <w:szCs w:val="18"/>
                  </w:rPr>
                  <m:t>)</m:t>
                </m:r>
              </m:oMath>
            </m:oMathPara>
          </w:p>
        </w:tc>
      </w:tr>
      <w:tr w:rsidR="00E17941" w:rsidRPr="003D162E" w14:paraId="3E4653F2" w14:textId="77777777" w:rsidTr="00DF53B4">
        <w:trPr>
          <w:jc w:val="center"/>
        </w:trPr>
        <w:tc>
          <w:tcPr>
            <w:cnfStyle w:val="000010000000" w:firstRow="0" w:lastRow="0" w:firstColumn="0" w:lastColumn="0" w:oddVBand="1" w:evenVBand="0" w:oddHBand="0" w:evenHBand="0" w:firstRowFirstColumn="0" w:firstRowLastColumn="0" w:lastRowFirstColumn="0" w:lastRowLastColumn="0"/>
            <w:tcW w:w="0" w:type="auto"/>
          </w:tcPr>
          <w:p w14:paraId="14673EC5" w14:textId="77777777" w:rsidR="00E17941" w:rsidRPr="003D162E" w:rsidRDefault="00E17941" w:rsidP="00C42B81">
            <w:pPr>
              <w:pStyle w:val="Compact"/>
              <w:jc w:val="both"/>
              <w:rPr>
                <w:rFonts w:asciiTheme="minorBidi" w:hAnsiTheme="minorBidi"/>
                <w:sz w:val="18"/>
                <w:szCs w:val="18"/>
              </w:rPr>
            </w:pPr>
            <w:r w:rsidRPr="003D162E">
              <w:rPr>
                <w:rFonts w:asciiTheme="minorBidi" w:hAnsiTheme="minorBidi"/>
                <w:sz w:val="18"/>
                <w:szCs w:val="18"/>
              </w:rPr>
              <w:t>Target Network Update Rate (</w:t>
            </w:r>
            <m:oMath>
              <m:r>
                <w:rPr>
                  <w:rFonts w:ascii="Cambria Math" w:hAnsi="Cambria Math"/>
                  <w:sz w:val="18"/>
                  <w:szCs w:val="18"/>
                </w:rPr>
                <m:t>τ</m:t>
              </m:r>
            </m:oMath>
            <w:r w:rsidRPr="003D162E">
              <w:rPr>
                <w:rFonts w:asciiTheme="minorBidi" w:hAnsiTheme="minorBidi"/>
                <w:sz w:val="18"/>
                <w:szCs w:val="18"/>
              </w:rPr>
              <w:t>)</w:t>
            </w:r>
          </w:p>
        </w:tc>
        <w:tc>
          <w:tcPr>
            <w:cnfStyle w:val="000001000000" w:firstRow="0" w:lastRow="0" w:firstColumn="0" w:lastColumn="0" w:oddVBand="0" w:evenVBand="1" w:oddHBand="0" w:evenHBand="0" w:firstRowFirstColumn="0" w:firstRowLastColumn="0" w:lastRowFirstColumn="0" w:lastRowLastColumn="0"/>
            <w:tcW w:w="0" w:type="auto"/>
          </w:tcPr>
          <w:p w14:paraId="57DFC2F0" w14:textId="77777777" w:rsidR="00E17941" w:rsidRPr="003D162E" w:rsidRDefault="00E17941" w:rsidP="00C42B81">
            <w:pPr>
              <w:pStyle w:val="Compact"/>
              <w:jc w:val="both"/>
              <w:rPr>
                <w:rFonts w:asciiTheme="minorBidi" w:hAnsiTheme="minorBidi"/>
                <w:sz w:val="18"/>
                <w:szCs w:val="18"/>
              </w:rPr>
            </w:pPr>
            <w:r w:rsidRPr="003D162E">
              <w:rPr>
                <w:rFonts w:asciiTheme="minorBidi" w:hAnsiTheme="minorBidi"/>
                <w:sz w:val="18"/>
                <w:szCs w:val="18"/>
              </w:rPr>
              <w:t>0.005</w:t>
            </w:r>
          </w:p>
        </w:tc>
      </w:tr>
    </w:tbl>
    <w:p w14:paraId="613CA7A4" w14:textId="77777777" w:rsidR="005F0CB9" w:rsidRDefault="005F0CB9" w:rsidP="00FB2C61">
      <w:pPr>
        <w:pStyle w:val="PlainText"/>
        <w:rPr>
          <w:sz w:val="20"/>
        </w:rPr>
      </w:pPr>
    </w:p>
    <w:p w14:paraId="7FDB45E4" w14:textId="6B582B36" w:rsidR="00AE2EC7" w:rsidRDefault="007D5289" w:rsidP="00AE2EC7">
      <w:pPr>
        <w:pStyle w:val="PlainText"/>
        <w:rPr>
          <w:b/>
          <w:bCs/>
          <w:sz w:val="20"/>
        </w:rPr>
      </w:pPr>
      <w:r>
        <w:rPr>
          <w:b/>
          <w:bCs/>
          <w:sz w:val="20"/>
        </w:rPr>
        <w:t>3.</w:t>
      </w:r>
      <w:r w:rsidR="009A4733">
        <w:rPr>
          <w:b/>
          <w:bCs/>
          <w:sz w:val="20"/>
        </w:rPr>
        <w:t>5</w:t>
      </w:r>
      <w:r>
        <w:rPr>
          <w:b/>
          <w:bCs/>
          <w:sz w:val="20"/>
        </w:rPr>
        <w:t xml:space="preserve"> </w:t>
      </w:r>
      <w:r w:rsidR="00E47708">
        <w:rPr>
          <w:b/>
          <w:bCs/>
          <w:sz w:val="20"/>
        </w:rPr>
        <w:t xml:space="preserve">Simulation </w:t>
      </w:r>
      <w:r w:rsidR="007E08D9">
        <w:rPr>
          <w:b/>
          <w:bCs/>
          <w:sz w:val="20"/>
        </w:rPr>
        <w:t>c</w:t>
      </w:r>
      <w:r w:rsidR="00E47708">
        <w:rPr>
          <w:b/>
          <w:bCs/>
          <w:sz w:val="20"/>
        </w:rPr>
        <w:t>onfiguration</w:t>
      </w:r>
    </w:p>
    <w:p w14:paraId="45F366B8" w14:textId="594991CD" w:rsidR="007616CD" w:rsidRDefault="00AE2EC7" w:rsidP="00CB39D5">
      <w:pPr>
        <w:pStyle w:val="PlainText"/>
        <w:ind w:firstLine="284"/>
        <w:rPr>
          <w:sz w:val="20"/>
        </w:rPr>
      </w:pPr>
      <w:r w:rsidRPr="004A53A9">
        <w:rPr>
          <w:sz w:val="20"/>
        </w:rPr>
        <w:t>The simulation runs for 5000 episodes, with each episode termination when the recovery metrics reach their threshold with a maximum of 672 timesteps per episode (</w:t>
      </w:r>
      <w:r w:rsidR="00DA3063">
        <w:rPr>
          <w:sz w:val="20"/>
        </w:rPr>
        <w:t>two</w:t>
      </w:r>
      <w:r w:rsidRPr="004A53A9">
        <w:rPr>
          <w:sz w:val="20"/>
        </w:rPr>
        <w:t xml:space="preserve"> weeks). This configuration captures both the immediate and cumulative effects of agent decisions under varying conditions of demand and grid constraints. Table 2 provides an overview of all simulation assumptions and calculations.</w:t>
      </w:r>
    </w:p>
    <w:p w14:paraId="2D42E994" w14:textId="77777777" w:rsidR="00CB39D5" w:rsidRPr="00243FFB" w:rsidRDefault="00CB39D5" w:rsidP="00CB39D5">
      <w:pPr>
        <w:pStyle w:val="PlainText"/>
        <w:ind w:firstLine="284"/>
        <w:rPr>
          <w:sz w:val="20"/>
        </w:rPr>
      </w:pPr>
    </w:p>
    <w:p w14:paraId="2ED58D4D" w14:textId="5247840E" w:rsidR="00071C00" w:rsidRPr="007616CD" w:rsidRDefault="007616CD" w:rsidP="007616CD">
      <w:pPr>
        <w:pStyle w:val="TableCaption"/>
        <w:rPr>
          <w:rFonts w:ascii="Arial" w:hAnsi="Arial" w:cs="Arial"/>
          <w:sz w:val="18"/>
          <w:szCs w:val="18"/>
        </w:rPr>
      </w:pPr>
      <w:r w:rsidRPr="003D162E">
        <w:rPr>
          <w:rFonts w:ascii="Arial" w:hAnsi="Arial" w:cs="Arial"/>
          <w:sz w:val="18"/>
          <w:szCs w:val="18"/>
        </w:rPr>
        <w:t xml:space="preserve">Table </w:t>
      </w:r>
      <w:r>
        <w:rPr>
          <w:rFonts w:ascii="Arial" w:hAnsi="Arial" w:cs="Arial"/>
          <w:sz w:val="18"/>
          <w:szCs w:val="18"/>
        </w:rPr>
        <w:t>2</w:t>
      </w:r>
      <w:r w:rsidRPr="003D162E">
        <w:rPr>
          <w:rFonts w:ascii="Arial" w:hAnsi="Arial" w:cs="Arial"/>
          <w:sz w:val="18"/>
          <w:szCs w:val="18"/>
        </w:rPr>
        <w:t xml:space="preserve">: </w:t>
      </w:r>
      <w:r>
        <w:rPr>
          <w:rFonts w:ascii="Arial" w:hAnsi="Arial" w:cs="Arial"/>
          <w:sz w:val="18"/>
          <w:szCs w:val="18"/>
        </w:rPr>
        <w:t>EVCAR simulation configuration parameters</w:t>
      </w:r>
    </w:p>
    <w:tbl>
      <w:tblPr>
        <w:tblStyle w:val="PlainTable2"/>
        <w:tblW w:w="0" w:type="auto"/>
        <w:tblLook w:val="0020" w:firstRow="1" w:lastRow="0" w:firstColumn="0" w:lastColumn="0" w:noHBand="0" w:noVBand="0"/>
      </w:tblPr>
      <w:tblGrid>
        <w:gridCol w:w="1637"/>
        <w:gridCol w:w="2913"/>
      </w:tblGrid>
      <w:tr w:rsidR="004018FE" w:rsidRPr="007616CD" w14:paraId="2794F7F0" w14:textId="77777777" w:rsidTr="00DF53B4">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05626A80"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Parameter</w:t>
            </w:r>
          </w:p>
        </w:tc>
        <w:tc>
          <w:tcPr>
            <w:cnfStyle w:val="000001000000" w:firstRow="0" w:lastRow="0" w:firstColumn="0" w:lastColumn="0" w:oddVBand="0" w:evenVBand="1" w:oddHBand="0" w:evenHBand="0" w:firstRowFirstColumn="0" w:firstRowLastColumn="0" w:lastRowFirstColumn="0" w:lastRowLastColumn="0"/>
            <w:tcW w:w="0" w:type="auto"/>
          </w:tcPr>
          <w:p w14:paraId="2B9C55D1"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Value</w:t>
            </w:r>
          </w:p>
        </w:tc>
      </w:tr>
      <w:tr w:rsidR="004018FE" w:rsidRPr="007616CD" w14:paraId="0E0D492A" w14:textId="77777777" w:rsidTr="00DF53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2"/>
          </w:tcPr>
          <w:p w14:paraId="18F870D5"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b/>
                <w:bCs/>
                <w:sz w:val="18"/>
                <w:szCs w:val="18"/>
              </w:rPr>
              <w:t>Environment Setup</w:t>
            </w:r>
          </w:p>
        </w:tc>
      </w:tr>
      <w:tr w:rsidR="004018FE" w:rsidRPr="007616CD" w14:paraId="49E40E78" w14:textId="77777777" w:rsidTr="00DF53B4">
        <w:tc>
          <w:tcPr>
            <w:cnfStyle w:val="000010000000" w:firstRow="0" w:lastRow="0" w:firstColumn="0" w:lastColumn="0" w:oddVBand="1" w:evenVBand="0" w:oddHBand="0" w:evenHBand="0" w:firstRowFirstColumn="0" w:firstRowLastColumn="0" w:lastRowFirstColumn="0" w:lastRowLastColumn="0"/>
            <w:tcW w:w="0" w:type="auto"/>
          </w:tcPr>
          <w:p w14:paraId="2EBC8310"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lastRenderedPageBreak/>
              <w:t>Number of districts</w:t>
            </w:r>
          </w:p>
        </w:tc>
        <w:tc>
          <w:tcPr>
            <w:cnfStyle w:val="000001000000" w:firstRow="0" w:lastRow="0" w:firstColumn="0" w:lastColumn="0" w:oddVBand="0" w:evenVBand="1" w:oddHBand="0" w:evenHBand="0" w:firstRowFirstColumn="0" w:firstRowLastColumn="0" w:lastRowFirstColumn="0" w:lastRowLastColumn="0"/>
            <w:tcW w:w="0" w:type="auto"/>
          </w:tcPr>
          <w:p w14:paraId="10FCB623"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6</w:t>
            </w:r>
          </w:p>
        </w:tc>
      </w:tr>
      <w:tr w:rsidR="004018FE" w:rsidRPr="007616CD" w14:paraId="4CCF9FE5" w14:textId="77777777" w:rsidTr="00DF53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D0BDC72"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District types</w:t>
            </w:r>
          </w:p>
        </w:tc>
        <w:tc>
          <w:tcPr>
            <w:cnfStyle w:val="000001000000" w:firstRow="0" w:lastRow="0" w:firstColumn="0" w:lastColumn="0" w:oddVBand="0" w:evenVBand="1" w:oddHBand="0" w:evenHBand="0" w:firstRowFirstColumn="0" w:firstRowLastColumn="0" w:lastRowFirstColumn="0" w:lastRowLastColumn="0"/>
            <w:tcW w:w="0" w:type="auto"/>
          </w:tcPr>
          <w:p w14:paraId="5B14ECDC"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Residential (Districts 0, 3, 5), Industrial (Districts 1, 2), Commercial (District 4)</w:t>
            </w:r>
          </w:p>
        </w:tc>
      </w:tr>
      <w:tr w:rsidR="004018FE" w:rsidRPr="007616CD" w14:paraId="16D8297B" w14:textId="77777777" w:rsidTr="00DF53B4">
        <w:tc>
          <w:tcPr>
            <w:cnfStyle w:val="000010000000" w:firstRow="0" w:lastRow="0" w:firstColumn="0" w:lastColumn="0" w:oddVBand="1" w:evenVBand="0" w:oddHBand="0" w:evenHBand="0" w:firstRowFirstColumn="0" w:firstRowLastColumn="0" w:lastRowFirstColumn="0" w:lastRowLastColumn="0"/>
            <w:tcW w:w="0" w:type="auto"/>
          </w:tcPr>
          <w:p w14:paraId="5435E437"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District coordinates</w:t>
            </w:r>
          </w:p>
        </w:tc>
        <w:tc>
          <w:tcPr>
            <w:cnfStyle w:val="000001000000" w:firstRow="0" w:lastRow="0" w:firstColumn="0" w:lastColumn="0" w:oddVBand="0" w:evenVBand="1" w:oddHBand="0" w:evenHBand="0" w:firstRowFirstColumn="0" w:firstRowLastColumn="0" w:lastRowFirstColumn="0" w:lastRowLastColumn="0"/>
            <w:tcW w:w="0" w:type="auto"/>
          </w:tcPr>
          <w:p w14:paraId="3280EB85"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District 0: (5, 15), District 1: (20, 25), District 2: (5, 5), District 3: (15, 5), District 4: (10, 0), District 5: (10, -10)</w:t>
            </w:r>
          </w:p>
        </w:tc>
      </w:tr>
      <w:tr w:rsidR="004018FE" w:rsidRPr="007616CD" w14:paraId="3332F5AB" w14:textId="77777777" w:rsidTr="00DF53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7DBC1731"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District maximum loads</w:t>
            </w:r>
          </w:p>
        </w:tc>
        <w:tc>
          <w:tcPr>
            <w:cnfStyle w:val="000001000000" w:firstRow="0" w:lastRow="0" w:firstColumn="0" w:lastColumn="0" w:oddVBand="0" w:evenVBand="1" w:oddHBand="0" w:evenHBand="0" w:firstRowFirstColumn="0" w:firstRowLastColumn="0" w:lastRowFirstColumn="0" w:lastRowLastColumn="0"/>
            <w:tcW w:w="0" w:type="auto"/>
          </w:tcPr>
          <w:p w14:paraId="33D2A5E4"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20 MW, 20 MW, 85 MW, 40 MW, 20 MW, 20 MW</w:t>
            </w:r>
          </w:p>
        </w:tc>
      </w:tr>
      <w:tr w:rsidR="004018FE" w:rsidRPr="007616CD" w14:paraId="260A9FF1" w14:textId="77777777" w:rsidTr="00DF53B4">
        <w:tc>
          <w:tcPr>
            <w:cnfStyle w:val="000010000000" w:firstRow="0" w:lastRow="0" w:firstColumn="0" w:lastColumn="0" w:oddVBand="1" w:evenVBand="0" w:oddHBand="0" w:evenHBand="0" w:firstRowFirstColumn="0" w:firstRowLastColumn="0" w:lastRowFirstColumn="0" w:lastRowLastColumn="0"/>
            <w:tcW w:w="0" w:type="auto"/>
          </w:tcPr>
          <w:p w14:paraId="450772CB"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Number of charging stations per district</w:t>
            </w:r>
          </w:p>
        </w:tc>
        <w:tc>
          <w:tcPr>
            <w:cnfStyle w:val="000001000000" w:firstRow="0" w:lastRow="0" w:firstColumn="0" w:lastColumn="0" w:oddVBand="0" w:evenVBand="1" w:oddHBand="0" w:evenHBand="0" w:firstRowFirstColumn="0" w:firstRowLastColumn="0" w:lastRowFirstColumn="0" w:lastRowLastColumn="0"/>
            <w:tcW w:w="0" w:type="auto"/>
          </w:tcPr>
          <w:p w14:paraId="49CBAF23"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100, 130, 110, 190, 125, 90</w:t>
            </w:r>
          </w:p>
        </w:tc>
      </w:tr>
      <w:tr w:rsidR="004018FE" w:rsidRPr="007616CD" w14:paraId="793EF5F1" w14:textId="77777777" w:rsidTr="00DF53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00A6AC4F"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Charger type</w:t>
            </w:r>
          </w:p>
        </w:tc>
        <w:tc>
          <w:tcPr>
            <w:cnfStyle w:val="000001000000" w:firstRow="0" w:lastRow="0" w:firstColumn="0" w:lastColumn="0" w:oddVBand="0" w:evenVBand="1" w:oddHBand="0" w:evenHBand="0" w:firstRowFirstColumn="0" w:firstRowLastColumn="0" w:lastRowFirstColumn="0" w:lastRowLastColumn="0"/>
            <w:tcW w:w="0" w:type="auto"/>
          </w:tcPr>
          <w:p w14:paraId="152CF851"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Fast chargers (36 kW)</w:t>
            </w:r>
          </w:p>
        </w:tc>
      </w:tr>
      <w:tr w:rsidR="004018FE" w:rsidRPr="007616CD" w14:paraId="3F8BC927" w14:textId="77777777" w:rsidTr="00DF53B4">
        <w:tc>
          <w:tcPr>
            <w:cnfStyle w:val="000010000000" w:firstRow="0" w:lastRow="0" w:firstColumn="0" w:lastColumn="0" w:oddVBand="1" w:evenVBand="0" w:oddHBand="0" w:evenHBand="0" w:firstRowFirstColumn="0" w:firstRowLastColumn="0" w:lastRowFirstColumn="0" w:lastRowLastColumn="0"/>
            <w:tcW w:w="0" w:type="auto"/>
            <w:gridSpan w:val="2"/>
          </w:tcPr>
          <w:p w14:paraId="7F6E24EE"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b/>
                <w:bCs/>
                <w:sz w:val="18"/>
                <w:szCs w:val="18"/>
              </w:rPr>
              <w:t>Outage Scenario</w:t>
            </w:r>
          </w:p>
        </w:tc>
      </w:tr>
      <w:tr w:rsidR="004018FE" w:rsidRPr="007616CD" w14:paraId="1AFD0B5A" w14:textId="77777777" w:rsidTr="00DF53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70B0BF65"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Initial outage</w:t>
            </w:r>
          </w:p>
        </w:tc>
        <w:tc>
          <w:tcPr>
            <w:cnfStyle w:val="000001000000" w:firstRow="0" w:lastRow="0" w:firstColumn="0" w:lastColumn="0" w:oddVBand="0" w:evenVBand="1" w:oddHBand="0" w:evenHBand="0" w:firstRowFirstColumn="0" w:firstRowLastColumn="0" w:lastRowFirstColumn="0" w:lastRowLastColumn="0"/>
            <w:tcW w:w="0" w:type="auto"/>
          </w:tcPr>
          <w:p w14:paraId="47AB8AEA"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Present in district 3 (Node 3)</w:t>
            </w:r>
          </w:p>
        </w:tc>
      </w:tr>
      <w:tr w:rsidR="004018FE" w:rsidRPr="007616CD" w14:paraId="100CBFDC" w14:textId="77777777" w:rsidTr="00DF53B4">
        <w:tc>
          <w:tcPr>
            <w:cnfStyle w:val="000010000000" w:firstRow="0" w:lastRow="0" w:firstColumn="0" w:lastColumn="0" w:oddVBand="1" w:evenVBand="0" w:oddHBand="0" w:evenHBand="0" w:firstRowFirstColumn="0" w:firstRowLastColumn="0" w:lastRowFirstColumn="0" w:lastRowLastColumn="0"/>
            <w:tcW w:w="0" w:type="auto"/>
          </w:tcPr>
          <w:p w14:paraId="78A93516"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Outage duration</w:t>
            </w:r>
          </w:p>
        </w:tc>
        <w:tc>
          <w:tcPr>
            <w:cnfStyle w:val="000001000000" w:firstRow="0" w:lastRow="0" w:firstColumn="0" w:lastColumn="0" w:oddVBand="0" w:evenVBand="1" w:oddHBand="0" w:evenHBand="0" w:firstRowFirstColumn="0" w:firstRowLastColumn="0" w:lastRowFirstColumn="0" w:lastRowLastColumn="0"/>
            <w:tcW w:w="0" w:type="auto"/>
          </w:tcPr>
          <w:p w14:paraId="0E669271"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62 timesteps (31 hours) starting from 10 am next day of simulation</w:t>
            </w:r>
          </w:p>
        </w:tc>
      </w:tr>
      <w:tr w:rsidR="004018FE" w:rsidRPr="007616CD" w14:paraId="49D765A9" w14:textId="77777777" w:rsidTr="00DF53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gridSpan w:val="2"/>
          </w:tcPr>
          <w:p w14:paraId="54292759"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b/>
                <w:bCs/>
                <w:sz w:val="18"/>
                <w:szCs w:val="18"/>
              </w:rPr>
              <w:t>Battery and Charging Settings</w:t>
            </w:r>
          </w:p>
        </w:tc>
      </w:tr>
      <w:tr w:rsidR="004018FE" w:rsidRPr="007616CD" w14:paraId="099C3FDA" w14:textId="77777777" w:rsidTr="00DF53B4">
        <w:tc>
          <w:tcPr>
            <w:cnfStyle w:val="000010000000" w:firstRow="0" w:lastRow="0" w:firstColumn="0" w:lastColumn="0" w:oddVBand="1" w:evenVBand="0" w:oddHBand="0" w:evenHBand="0" w:firstRowFirstColumn="0" w:firstRowLastColumn="0" w:lastRowFirstColumn="0" w:lastRowLastColumn="0"/>
            <w:tcW w:w="0" w:type="auto"/>
          </w:tcPr>
          <w:p w14:paraId="6763E68C"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EV battery capacity</w:t>
            </w:r>
          </w:p>
        </w:tc>
        <w:tc>
          <w:tcPr>
            <w:cnfStyle w:val="000001000000" w:firstRow="0" w:lastRow="0" w:firstColumn="0" w:lastColumn="0" w:oddVBand="0" w:evenVBand="1" w:oddHBand="0" w:evenHBand="0" w:firstRowFirstColumn="0" w:firstRowLastColumn="0" w:lastRowFirstColumn="0" w:lastRowLastColumn="0"/>
            <w:tcW w:w="0" w:type="auto"/>
          </w:tcPr>
          <w:p w14:paraId="7E90871C"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60 kWh</w:t>
            </w:r>
          </w:p>
        </w:tc>
      </w:tr>
      <w:tr w:rsidR="004018FE" w:rsidRPr="007616CD" w14:paraId="1923C52B" w14:textId="77777777" w:rsidTr="00DF53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A4A3947"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Initial State of Charge (SoC)</w:t>
            </w:r>
          </w:p>
        </w:tc>
        <w:tc>
          <w:tcPr>
            <w:cnfStyle w:val="000001000000" w:firstRow="0" w:lastRow="0" w:firstColumn="0" w:lastColumn="0" w:oddVBand="0" w:evenVBand="1" w:oddHBand="0" w:evenHBand="0" w:firstRowFirstColumn="0" w:firstRowLastColumn="0" w:lastRowFirstColumn="0" w:lastRowLastColumn="0"/>
            <w:tcW w:w="0" w:type="auto"/>
          </w:tcPr>
          <w:p w14:paraId="1C8443A5"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Randomized (Critical: 5%, Low: 25%, Medium: 50%, High: 20%)</w:t>
            </w:r>
          </w:p>
        </w:tc>
      </w:tr>
      <w:tr w:rsidR="004018FE" w:rsidRPr="007616CD" w14:paraId="6C81E6CA" w14:textId="77777777" w:rsidTr="00DF53B4">
        <w:tc>
          <w:tcPr>
            <w:cnfStyle w:val="000010000000" w:firstRow="0" w:lastRow="0" w:firstColumn="0" w:lastColumn="0" w:oddVBand="1" w:evenVBand="0" w:oddHBand="0" w:evenHBand="0" w:firstRowFirstColumn="0" w:firstRowLastColumn="0" w:lastRowFirstColumn="0" w:lastRowLastColumn="0"/>
            <w:tcW w:w="0" w:type="auto"/>
            <w:gridSpan w:val="2"/>
          </w:tcPr>
          <w:p w14:paraId="0C4FCD41"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b/>
                <w:bCs/>
                <w:sz w:val="18"/>
                <w:szCs w:val="18"/>
              </w:rPr>
              <w:t>Recovery Thresholds</w:t>
            </w:r>
          </w:p>
        </w:tc>
      </w:tr>
      <w:tr w:rsidR="004018FE" w:rsidRPr="007616CD" w14:paraId="6775BCDE" w14:textId="77777777" w:rsidTr="00DF53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7FCBB8"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Successful Charging Rate</w:t>
            </w:r>
          </w:p>
        </w:tc>
        <w:tc>
          <w:tcPr>
            <w:cnfStyle w:val="000001000000" w:firstRow="0" w:lastRow="0" w:firstColumn="0" w:lastColumn="0" w:oddVBand="0" w:evenVBand="1" w:oddHBand="0" w:evenHBand="0" w:firstRowFirstColumn="0" w:firstRowLastColumn="0" w:lastRowFirstColumn="0" w:lastRowLastColumn="0"/>
            <w:tcW w:w="0" w:type="auto"/>
          </w:tcPr>
          <w:p w14:paraId="17B720E5" w14:textId="77777777" w:rsidR="004018FE" w:rsidRPr="007616CD" w:rsidRDefault="004018FE" w:rsidP="00C42B81">
            <w:pPr>
              <w:pStyle w:val="Compact"/>
              <w:jc w:val="both"/>
              <w:rPr>
                <w:rFonts w:asciiTheme="minorBidi" w:hAnsiTheme="minorBidi"/>
                <w:sz w:val="18"/>
                <w:szCs w:val="18"/>
              </w:rPr>
            </w:pPr>
            <m:oMath>
              <m:r>
                <m:rPr>
                  <m:sty m:val="p"/>
                </m:rPr>
                <w:rPr>
                  <w:rFonts w:ascii="Cambria Math" w:hAnsi="Cambria Math"/>
                  <w:sz w:val="18"/>
                  <w:szCs w:val="18"/>
                </w:rPr>
                <m:t>≥</m:t>
              </m:r>
              <m:r>
                <w:rPr>
                  <w:rFonts w:ascii="Cambria Math" w:hAnsi="Cambria Math"/>
                  <w:sz w:val="18"/>
                  <w:szCs w:val="18"/>
                </w:rPr>
                <m:t>90</m:t>
              </m:r>
              <m:r>
                <m:rPr>
                  <m:sty m:val="p"/>
                </m:rPr>
                <w:rPr>
                  <w:rFonts w:ascii="Cambria Math" w:hAnsi="Cambria Math"/>
                  <w:sz w:val="18"/>
                  <w:szCs w:val="18"/>
                </w:rPr>
                <m:t>%</m:t>
              </m:r>
            </m:oMath>
            <w:r w:rsidRPr="007616CD">
              <w:rPr>
                <w:rFonts w:asciiTheme="minorBidi" w:hAnsiTheme="minorBidi"/>
                <w:sz w:val="18"/>
                <w:szCs w:val="18"/>
              </w:rPr>
              <w:t xml:space="preserve"> of EVs charge within a rolling window of 3 timesteps</w:t>
            </w:r>
          </w:p>
        </w:tc>
      </w:tr>
      <w:tr w:rsidR="004018FE" w:rsidRPr="007616CD" w14:paraId="2A593C6F" w14:textId="77777777" w:rsidTr="00DF53B4">
        <w:tc>
          <w:tcPr>
            <w:cnfStyle w:val="000010000000" w:firstRow="0" w:lastRow="0" w:firstColumn="0" w:lastColumn="0" w:oddVBand="1" w:evenVBand="0" w:oddHBand="0" w:evenHBand="0" w:firstRowFirstColumn="0" w:firstRowLastColumn="0" w:lastRowFirstColumn="0" w:lastRowLastColumn="0"/>
            <w:tcW w:w="0" w:type="auto"/>
          </w:tcPr>
          <w:p w14:paraId="2ADB7C06"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Utilization Factor</w:t>
            </w:r>
          </w:p>
        </w:tc>
        <w:tc>
          <w:tcPr>
            <w:cnfStyle w:val="000001000000" w:firstRow="0" w:lastRow="0" w:firstColumn="0" w:lastColumn="0" w:oddVBand="0" w:evenVBand="1" w:oddHBand="0" w:evenHBand="0" w:firstRowFirstColumn="0" w:firstRowLastColumn="0" w:lastRowFirstColumn="0" w:lastRowLastColumn="0"/>
            <w:tcW w:w="0" w:type="auto"/>
          </w:tcPr>
          <w:p w14:paraId="4131B0D2"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at least 0.85 but not more than 1</w:t>
            </w:r>
          </w:p>
        </w:tc>
      </w:tr>
      <w:tr w:rsidR="004018FE" w:rsidRPr="007616CD" w14:paraId="78207ED5" w14:textId="77777777" w:rsidTr="00DF53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3C70477D"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Nodal Voltage Deviation</w:t>
            </w:r>
          </w:p>
        </w:tc>
        <w:tc>
          <w:tcPr>
            <w:cnfStyle w:val="000001000000" w:firstRow="0" w:lastRow="0" w:firstColumn="0" w:lastColumn="0" w:oddVBand="0" w:evenVBand="1" w:oddHBand="0" w:evenHBand="0" w:firstRowFirstColumn="0" w:firstRowLastColumn="0" w:lastRowFirstColumn="0" w:lastRowLastColumn="0"/>
            <w:tcW w:w="0" w:type="auto"/>
          </w:tcPr>
          <w:p w14:paraId="3A736618"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0.02</w:t>
            </w:r>
          </w:p>
        </w:tc>
      </w:tr>
      <w:tr w:rsidR="004018FE" w:rsidRPr="007616CD" w14:paraId="71442199" w14:textId="77777777" w:rsidTr="00DF53B4">
        <w:tc>
          <w:tcPr>
            <w:cnfStyle w:val="000010000000" w:firstRow="0" w:lastRow="0" w:firstColumn="0" w:lastColumn="0" w:oddVBand="1" w:evenVBand="0" w:oddHBand="0" w:evenHBand="0" w:firstRowFirstColumn="0" w:firstRowLastColumn="0" w:lastRowFirstColumn="0" w:lastRowLastColumn="0"/>
            <w:tcW w:w="0" w:type="auto"/>
          </w:tcPr>
          <w:p w14:paraId="11AEA299"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Queue Length</w:t>
            </w:r>
          </w:p>
        </w:tc>
        <w:tc>
          <w:tcPr>
            <w:cnfStyle w:val="000001000000" w:firstRow="0" w:lastRow="0" w:firstColumn="0" w:lastColumn="0" w:oddVBand="0" w:evenVBand="1" w:oddHBand="0" w:evenHBand="0" w:firstRowFirstColumn="0" w:firstRowLastColumn="0" w:lastRowFirstColumn="0" w:lastRowLastColumn="0"/>
            <w:tcW w:w="0" w:type="auto"/>
          </w:tcPr>
          <w:p w14:paraId="73A08CBD" w14:textId="77777777" w:rsidR="004018FE" w:rsidRPr="007616CD" w:rsidRDefault="004018FE" w:rsidP="00C42B81">
            <w:pPr>
              <w:pStyle w:val="Compact"/>
              <w:jc w:val="both"/>
              <w:rPr>
                <w:rFonts w:asciiTheme="minorBidi" w:hAnsiTheme="minorBidi"/>
                <w:sz w:val="18"/>
                <w:szCs w:val="18"/>
              </w:rPr>
            </w:pPr>
            <m:oMath>
              <m:r>
                <m:rPr>
                  <m:sty m:val="p"/>
                </m:rPr>
                <w:rPr>
                  <w:rFonts w:ascii="Cambria Math" w:hAnsi="Cambria Math"/>
                  <w:sz w:val="18"/>
                  <w:szCs w:val="18"/>
                </w:rPr>
                <m:t>&lt;</m:t>
              </m:r>
              <m:r>
                <w:rPr>
                  <w:rFonts w:ascii="Cambria Math" w:hAnsi="Cambria Math"/>
                  <w:sz w:val="18"/>
                  <w:szCs w:val="18"/>
                </w:rPr>
                <m:t>2</m:t>
              </m:r>
            </m:oMath>
            <w:r w:rsidRPr="007616CD">
              <w:rPr>
                <w:rFonts w:asciiTheme="minorBidi" w:hAnsiTheme="minorBidi"/>
                <w:sz w:val="18"/>
                <w:szCs w:val="18"/>
              </w:rPr>
              <w:t xml:space="preserve"> EVs per station for 5 consecutive timesteps</w:t>
            </w:r>
          </w:p>
        </w:tc>
      </w:tr>
      <w:tr w:rsidR="004018FE" w:rsidRPr="007616CD" w14:paraId="62120DAD" w14:textId="77777777" w:rsidTr="00DF53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5DC9DCFF"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Waiting Time</w:t>
            </w:r>
          </w:p>
        </w:tc>
        <w:tc>
          <w:tcPr>
            <w:cnfStyle w:val="000001000000" w:firstRow="0" w:lastRow="0" w:firstColumn="0" w:lastColumn="0" w:oddVBand="0" w:evenVBand="1" w:oddHBand="0" w:evenHBand="0" w:firstRowFirstColumn="0" w:firstRowLastColumn="0" w:lastRowFirstColumn="0" w:lastRowLastColumn="0"/>
            <w:tcW w:w="0" w:type="auto"/>
          </w:tcPr>
          <w:p w14:paraId="24300A90" w14:textId="77777777" w:rsidR="004018FE" w:rsidRPr="007616CD" w:rsidRDefault="004018FE" w:rsidP="00C42B81">
            <w:pPr>
              <w:pStyle w:val="Compact"/>
              <w:jc w:val="both"/>
              <w:rPr>
                <w:rFonts w:asciiTheme="minorBidi" w:hAnsiTheme="minorBidi"/>
                <w:sz w:val="18"/>
                <w:szCs w:val="18"/>
              </w:rPr>
            </w:pPr>
            <m:oMath>
              <m:r>
                <m:rPr>
                  <m:sty m:val="p"/>
                </m:rPr>
                <w:rPr>
                  <w:rFonts w:ascii="Cambria Math" w:hAnsi="Cambria Math"/>
                  <w:sz w:val="18"/>
                  <w:szCs w:val="18"/>
                </w:rPr>
                <m:t>&lt;</m:t>
              </m:r>
              <m:r>
                <w:rPr>
                  <w:rFonts w:ascii="Cambria Math" w:hAnsi="Cambria Math"/>
                  <w:sz w:val="18"/>
                  <w:szCs w:val="18"/>
                </w:rPr>
                <m:t>1</m:t>
              </m:r>
            </m:oMath>
            <w:r w:rsidRPr="007616CD">
              <w:rPr>
                <w:rFonts w:asciiTheme="minorBidi" w:hAnsiTheme="minorBidi"/>
                <w:sz w:val="18"/>
                <w:szCs w:val="18"/>
              </w:rPr>
              <w:t xml:space="preserve"> timestep (0.5 hour) average waiting time per EV</w:t>
            </w:r>
          </w:p>
        </w:tc>
      </w:tr>
      <w:tr w:rsidR="004018FE" w:rsidRPr="007616CD" w14:paraId="1474ADAC" w14:textId="77777777" w:rsidTr="00DF53B4">
        <w:tc>
          <w:tcPr>
            <w:cnfStyle w:val="000010000000" w:firstRow="0" w:lastRow="0" w:firstColumn="0" w:lastColumn="0" w:oddVBand="1" w:evenVBand="0" w:oddHBand="0" w:evenHBand="0" w:firstRowFirstColumn="0" w:firstRowLastColumn="0" w:lastRowFirstColumn="0" w:lastRowLastColumn="0"/>
            <w:tcW w:w="0" w:type="auto"/>
          </w:tcPr>
          <w:p w14:paraId="69A39E1B"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Grid Stability</w:t>
            </w:r>
          </w:p>
        </w:tc>
        <w:tc>
          <w:tcPr>
            <w:cnfStyle w:val="000001000000" w:firstRow="0" w:lastRow="0" w:firstColumn="0" w:lastColumn="0" w:oddVBand="0" w:evenVBand="1" w:oddHBand="0" w:evenHBand="0" w:firstRowFirstColumn="0" w:firstRowLastColumn="0" w:lastRowFirstColumn="0" w:lastRowLastColumn="0"/>
            <w:tcW w:w="0" w:type="auto"/>
          </w:tcPr>
          <w:p w14:paraId="44F5601A" w14:textId="77777777" w:rsidR="004018FE" w:rsidRPr="007616CD" w:rsidRDefault="004018FE" w:rsidP="00C42B81">
            <w:pPr>
              <w:pStyle w:val="Compact"/>
              <w:jc w:val="both"/>
              <w:rPr>
                <w:rFonts w:asciiTheme="minorBidi" w:hAnsiTheme="minorBidi"/>
                <w:sz w:val="18"/>
                <w:szCs w:val="18"/>
              </w:rPr>
            </w:pPr>
            <m:oMath>
              <m:r>
                <m:rPr>
                  <m:sty m:val="p"/>
                </m:rPr>
                <w:rPr>
                  <w:rFonts w:ascii="Cambria Math" w:hAnsi="Cambria Math"/>
                  <w:sz w:val="18"/>
                  <w:szCs w:val="18"/>
                </w:rPr>
                <m:t>≥</m:t>
              </m:r>
              <m:r>
                <w:rPr>
                  <w:rFonts w:ascii="Cambria Math" w:hAnsi="Cambria Math"/>
                  <w:sz w:val="18"/>
                  <w:szCs w:val="18"/>
                </w:rPr>
                <m:t>0.9</m:t>
              </m:r>
            </m:oMath>
            <w:r w:rsidRPr="007616CD">
              <w:rPr>
                <w:rFonts w:asciiTheme="minorBidi" w:hAnsiTheme="minorBidi"/>
                <w:sz w:val="18"/>
                <w:szCs w:val="18"/>
              </w:rPr>
              <w:t xml:space="preserve"> for 10 consecutive timesteps</w:t>
            </w:r>
          </w:p>
        </w:tc>
      </w:tr>
      <w:tr w:rsidR="004018FE" w:rsidRPr="007616CD" w14:paraId="074C86F6" w14:textId="77777777" w:rsidTr="00DF53B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5B376C5C" w14:textId="77777777" w:rsidR="004018FE" w:rsidRPr="007616CD" w:rsidRDefault="004018FE" w:rsidP="00C42B81">
            <w:pPr>
              <w:pStyle w:val="Compact"/>
              <w:jc w:val="both"/>
              <w:rPr>
                <w:rFonts w:asciiTheme="minorBidi" w:hAnsiTheme="minorBidi"/>
                <w:sz w:val="18"/>
                <w:szCs w:val="18"/>
              </w:rPr>
            </w:pPr>
            <w:r w:rsidRPr="007616CD">
              <w:rPr>
                <w:rFonts w:asciiTheme="minorBidi" w:hAnsiTheme="minorBidi"/>
                <w:sz w:val="18"/>
                <w:szCs w:val="18"/>
              </w:rPr>
              <w:t>EVs Below Critical SoC</w:t>
            </w:r>
          </w:p>
        </w:tc>
        <w:tc>
          <w:tcPr>
            <w:cnfStyle w:val="000001000000" w:firstRow="0" w:lastRow="0" w:firstColumn="0" w:lastColumn="0" w:oddVBand="0" w:evenVBand="1" w:oddHBand="0" w:evenHBand="0" w:firstRowFirstColumn="0" w:firstRowLastColumn="0" w:lastRowFirstColumn="0" w:lastRowLastColumn="0"/>
            <w:tcW w:w="0" w:type="auto"/>
          </w:tcPr>
          <w:p w14:paraId="7844ED32" w14:textId="77777777" w:rsidR="004018FE" w:rsidRPr="007616CD" w:rsidRDefault="004018FE" w:rsidP="00C42B81">
            <w:pPr>
              <w:pStyle w:val="Compact"/>
              <w:jc w:val="both"/>
              <w:rPr>
                <w:rFonts w:asciiTheme="minorBidi" w:hAnsiTheme="minorBidi"/>
                <w:sz w:val="18"/>
                <w:szCs w:val="18"/>
              </w:rPr>
            </w:pPr>
            <m:oMath>
              <m:r>
                <m:rPr>
                  <m:sty m:val="p"/>
                </m:rPr>
                <w:rPr>
                  <w:rFonts w:ascii="Cambria Math" w:hAnsi="Cambria Math"/>
                  <w:sz w:val="18"/>
                  <w:szCs w:val="18"/>
                </w:rPr>
                <m:t>&lt;</m:t>
              </m:r>
              <m:r>
                <w:rPr>
                  <w:rFonts w:ascii="Cambria Math" w:hAnsi="Cambria Math"/>
                  <w:sz w:val="18"/>
                  <w:szCs w:val="18"/>
                </w:rPr>
                <m:t>5</m:t>
              </m:r>
              <m:r>
                <m:rPr>
                  <m:sty m:val="p"/>
                </m:rPr>
                <w:rPr>
                  <w:rFonts w:ascii="Cambria Math" w:hAnsi="Cambria Math"/>
                  <w:sz w:val="18"/>
                  <w:szCs w:val="18"/>
                </w:rPr>
                <m:t>%</m:t>
              </m:r>
            </m:oMath>
            <w:r w:rsidRPr="007616CD">
              <w:rPr>
                <w:rFonts w:asciiTheme="minorBidi" w:hAnsiTheme="minorBidi"/>
                <w:sz w:val="18"/>
                <w:szCs w:val="18"/>
              </w:rPr>
              <w:t xml:space="preserve"> of total EVs have SoC </w:t>
            </w:r>
            <m:oMath>
              <m:r>
                <m:rPr>
                  <m:sty m:val="p"/>
                </m:rPr>
                <w:rPr>
                  <w:rFonts w:ascii="Cambria Math" w:hAnsi="Cambria Math"/>
                  <w:sz w:val="18"/>
                  <w:szCs w:val="18"/>
                </w:rPr>
                <m:t>&lt;</m:t>
              </m:r>
              <m:r>
                <w:rPr>
                  <w:rFonts w:ascii="Cambria Math" w:hAnsi="Cambria Math"/>
                  <w:sz w:val="18"/>
                  <w:szCs w:val="18"/>
                </w:rPr>
                <m:t>5</m:t>
              </m:r>
              <m:r>
                <m:rPr>
                  <m:sty m:val="p"/>
                </m:rPr>
                <w:rPr>
                  <w:rFonts w:ascii="Cambria Math" w:hAnsi="Cambria Math"/>
                  <w:sz w:val="18"/>
                  <w:szCs w:val="18"/>
                </w:rPr>
                <m:t>%</m:t>
              </m:r>
            </m:oMath>
            <w:r w:rsidRPr="007616CD">
              <w:rPr>
                <w:rFonts w:asciiTheme="minorBidi" w:hAnsiTheme="minorBidi"/>
                <w:sz w:val="18"/>
                <w:szCs w:val="18"/>
              </w:rPr>
              <w:t xml:space="preserve"> for 10 consecutive timesteps</w:t>
            </w:r>
          </w:p>
        </w:tc>
      </w:tr>
    </w:tbl>
    <w:p w14:paraId="5DABD0B8" w14:textId="77777777" w:rsidR="00243FFB" w:rsidRPr="004018FE" w:rsidRDefault="00243FFB" w:rsidP="00071C00">
      <w:pPr>
        <w:pStyle w:val="PlainText"/>
        <w:rPr>
          <w:b/>
          <w:bCs/>
          <w:sz w:val="20"/>
        </w:rPr>
      </w:pPr>
    </w:p>
    <w:p w14:paraId="17C3DF94" w14:textId="77777777" w:rsidR="00F719D1" w:rsidRDefault="004D4339" w:rsidP="00F719D1">
      <w:pPr>
        <w:pStyle w:val="PlainText"/>
        <w:rPr>
          <w:b/>
          <w:sz w:val="20"/>
        </w:rPr>
      </w:pPr>
      <w:r>
        <w:rPr>
          <w:b/>
          <w:sz w:val="20"/>
        </w:rPr>
        <w:t>4. RESULTS</w:t>
      </w:r>
    </w:p>
    <w:p w14:paraId="1DD6800A" w14:textId="3E683444" w:rsidR="00C87D13" w:rsidRDefault="00C87D13" w:rsidP="00F719D1">
      <w:pPr>
        <w:pStyle w:val="PlainText"/>
        <w:rPr>
          <w:b/>
          <w:sz w:val="20"/>
        </w:rPr>
      </w:pPr>
      <w:r>
        <w:rPr>
          <w:b/>
          <w:sz w:val="20"/>
        </w:rPr>
        <w:t xml:space="preserve">4.1 </w:t>
      </w:r>
      <w:r w:rsidR="00673AF0">
        <w:rPr>
          <w:b/>
          <w:sz w:val="20"/>
        </w:rPr>
        <w:t xml:space="preserve">Training </w:t>
      </w:r>
      <w:r w:rsidR="007E08D9">
        <w:rPr>
          <w:b/>
          <w:sz w:val="20"/>
        </w:rPr>
        <w:t>c</w:t>
      </w:r>
      <w:r w:rsidR="00673AF0">
        <w:rPr>
          <w:b/>
          <w:sz w:val="20"/>
        </w:rPr>
        <w:t xml:space="preserve">onvergence and </w:t>
      </w:r>
      <w:r w:rsidR="007E08D9">
        <w:rPr>
          <w:b/>
          <w:sz w:val="20"/>
        </w:rPr>
        <w:t>l</w:t>
      </w:r>
      <w:r w:rsidR="00673AF0">
        <w:rPr>
          <w:b/>
          <w:sz w:val="20"/>
        </w:rPr>
        <w:t xml:space="preserve">earning </w:t>
      </w:r>
      <w:r w:rsidR="007E08D9">
        <w:rPr>
          <w:b/>
          <w:sz w:val="20"/>
        </w:rPr>
        <w:t>d</w:t>
      </w:r>
      <w:r w:rsidR="00673AF0">
        <w:rPr>
          <w:b/>
          <w:sz w:val="20"/>
        </w:rPr>
        <w:t>ynamics</w:t>
      </w:r>
    </w:p>
    <w:p w14:paraId="7DB8E16D" w14:textId="11A7A230" w:rsidR="00F719D1" w:rsidRDefault="00F719D1" w:rsidP="00F719D1">
      <w:pPr>
        <w:pStyle w:val="PlainText"/>
        <w:ind w:firstLine="284"/>
        <w:rPr>
          <w:sz w:val="20"/>
        </w:rPr>
      </w:pPr>
      <w:r w:rsidRPr="004A53A9">
        <w:rPr>
          <w:sz w:val="20"/>
        </w:rPr>
        <w:t xml:space="preserve">Overall, the training results demonstrate a good learning progression in the TD3-MADDPG approach, with convergence of the global reward occurring around episode 3764. As shown in figure </w:t>
      </w:r>
      <w:r w:rsidR="00CB39D5">
        <w:rPr>
          <w:sz w:val="20"/>
        </w:rPr>
        <w:t>2</w:t>
      </w:r>
      <w:r w:rsidRPr="004A53A9">
        <w:rPr>
          <w:sz w:val="20"/>
        </w:rPr>
        <w:t xml:space="preserve">, the redistribution agent faced difficulties in almost the first 1000 episodes to improve in comparison to the </w:t>
      </w:r>
      <w:proofErr w:type="gramStart"/>
      <w:r w:rsidRPr="004A53A9">
        <w:rPr>
          <w:sz w:val="20"/>
        </w:rPr>
        <w:t>districts</w:t>
      </w:r>
      <w:proofErr w:type="gramEnd"/>
      <w:r w:rsidRPr="004A53A9">
        <w:rPr>
          <w:sz w:val="20"/>
        </w:rPr>
        <w:t xml:space="preserve"> agents. This reflects the more complex observation and action spaces with highest reward of around 43 at convergence. The district agents </w:t>
      </w:r>
      <w:r w:rsidRPr="004A53A9">
        <w:rPr>
          <w:sz w:val="20"/>
        </w:rPr>
        <w:t xml:space="preserve">exhibit distinct learning patterns, with District </w:t>
      </w:r>
      <w:r w:rsidR="007E156C">
        <w:rPr>
          <w:sz w:val="20"/>
        </w:rPr>
        <w:t>3</w:t>
      </w:r>
      <w:r w:rsidRPr="004A53A9">
        <w:rPr>
          <w:sz w:val="20"/>
        </w:rPr>
        <w:t xml:space="preserve"> (the outage district) demonstrating the slowest convergence, confirming the complexity of managing charging post-outage. Adjacent districts (Districts </w:t>
      </w:r>
      <w:r w:rsidR="00BB4F36">
        <w:rPr>
          <w:sz w:val="20"/>
        </w:rPr>
        <w:t>5</w:t>
      </w:r>
      <w:r w:rsidRPr="004A53A9">
        <w:rPr>
          <w:sz w:val="20"/>
        </w:rPr>
        <w:t>,</w:t>
      </w:r>
      <w:r w:rsidR="00BB4F36">
        <w:rPr>
          <w:sz w:val="20"/>
        </w:rPr>
        <w:t xml:space="preserve"> 4</w:t>
      </w:r>
      <w:r w:rsidRPr="004A53A9">
        <w:rPr>
          <w:sz w:val="20"/>
        </w:rPr>
        <w:t xml:space="preserve"> and </w:t>
      </w:r>
      <w:r w:rsidR="00BB4F36">
        <w:rPr>
          <w:sz w:val="20"/>
        </w:rPr>
        <w:t>1</w:t>
      </w:r>
      <w:r w:rsidRPr="004A53A9">
        <w:rPr>
          <w:sz w:val="20"/>
        </w:rPr>
        <w:t>) show intermediate convergence rates, while more distant districts converge faster. This pattern confirms the spatial impact of power outages on the charging network.</w:t>
      </w:r>
    </w:p>
    <w:p w14:paraId="2A1F03A6" w14:textId="77777777" w:rsidR="00092735" w:rsidRDefault="00092735" w:rsidP="00F719D1">
      <w:pPr>
        <w:pStyle w:val="PlainText"/>
        <w:ind w:firstLine="284"/>
        <w:rPr>
          <w:sz w:val="20"/>
        </w:rPr>
      </w:pPr>
    </w:p>
    <w:p w14:paraId="174EC2CB" w14:textId="77777777" w:rsidR="00092735" w:rsidRDefault="00B72222" w:rsidP="00092735">
      <w:pPr>
        <w:pStyle w:val="ImageCaption"/>
        <w:jc w:val="center"/>
        <w:rPr>
          <w:rFonts w:asciiTheme="minorBidi" w:hAnsiTheme="minorBidi"/>
          <w:sz w:val="18"/>
          <w:szCs w:val="18"/>
        </w:rPr>
      </w:pPr>
      <w:r w:rsidRPr="004A53A9">
        <w:rPr>
          <w:rFonts w:ascii="Arial" w:hAnsi="Arial" w:cs="Arial"/>
          <w:noProof/>
          <w:sz w:val="20"/>
          <w:szCs w:val="20"/>
        </w:rPr>
        <w:drawing>
          <wp:inline distT="0" distB="0" distL="0" distR="0" wp14:anchorId="71AC9064" wp14:editId="17F01136">
            <wp:extent cx="2914650" cy="3600450"/>
            <wp:effectExtent l="0" t="0" r="0" b="0"/>
            <wp:docPr id="24" name="Picture" descr="A graph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24" name="Picture" descr="A graph of a graph&#10;&#10;AI-generated content may be incorrect."/>
                    <pic:cNvPicPr>
                      <a:picLocks noChangeAspect="1" noChangeArrowheads="1"/>
                    </pic:cNvPicPr>
                  </pic:nvPicPr>
                  <pic:blipFill>
                    <a:blip r:embed="rId16"/>
                    <a:stretch>
                      <a:fillRect/>
                    </a:stretch>
                  </pic:blipFill>
                  <pic:spPr bwMode="auto">
                    <a:xfrm>
                      <a:off x="0" y="0"/>
                      <a:ext cx="2955950" cy="3651468"/>
                    </a:xfrm>
                    <a:prstGeom prst="rect">
                      <a:avLst/>
                    </a:prstGeom>
                    <a:noFill/>
                    <a:ln w="9525">
                      <a:noFill/>
                      <a:headEnd/>
                      <a:tailEnd/>
                    </a:ln>
                  </pic:spPr>
                </pic:pic>
              </a:graphicData>
            </a:graphic>
          </wp:inline>
        </w:drawing>
      </w:r>
    </w:p>
    <w:p w14:paraId="6DB0461B" w14:textId="36352990" w:rsidR="00381502" w:rsidRPr="004A53A9" w:rsidRDefault="00381502" w:rsidP="00092735">
      <w:pPr>
        <w:pStyle w:val="ImageCaption"/>
        <w:rPr>
          <w:rFonts w:ascii="Arial" w:hAnsi="Arial" w:cs="Arial"/>
          <w:sz w:val="20"/>
          <w:szCs w:val="20"/>
        </w:rPr>
      </w:pPr>
      <w:r w:rsidRPr="00092735">
        <w:rPr>
          <w:rFonts w:asciiTheme="minorBidi" w:hAnsiTheme="minorBidi"/>
          <w:sz w:val="18"/>
          <w:szCs w:val="18"/>
        </w:rPr>
        <w:t xml:space="preserve">Figure </w:t>
      </w:r>
      <w:r w:rsidR="006A4453">
        <w:rPr>
          <w:rFonts w:asciiTheme="minorBidi" w:hAnsiTheme="minorBidi"/>
          <w:sz w:val="18"/>
          <w:szCs w:val="18"/>
        </w:rPr>
        <w:t>2</w:t>
      </w:r>
      <w:r w:rsidRPr="00092735">
        <w:rPr>
          <w:rFonts w:asciiTheme="minorBidi" w:hAnsiTheme="minorBidi"/>
          <w:sz w:val="18"/>
          <w:szCs w:val="18"/>
        </w:rPr>
        <w:t>: Episodic Rewards for Agents and Global Reward</w:t>
      </w:r>
    </w:p>
    <w:p w14:paraId="72C966D9" w14:textId="1E7E7033" w:rsidR="00D461B2" w:rsidRPr="00B72222" w:rsidRDefault="00D461B2" w:rsidP="00B72222">
      <w:pPr>
        <w:pStyle w:val="PlainText"/>
        <w:ind w:firstLine="284"/>
        <w:rPr>
          <w:sz w:val="20"/>
        </w:rPr>
      </w:pPr>
    </w:p>
    <w:p w14:paraId="11AFE831" w14:textId="2344F773" w:rsidR="00673AF0" w:rsidRDefault="00673AF0" w:rsidP="00A113E7">
      <w:pPr>
        <w:pStyle w:val="PlainText"/>
        <w:rPr>
          <w:b/>
          <w:sz w:val="20"/>
        </w:rPr>
      </w:pPr>
      <w:r>
        <w:rPr>
          <w:b/>
          <w:sz w:val="20"/>
        </w:rPr>
        <w:t xml:space="preserve">4.2 Recovery </w:t>
      </w:r>
      <w:r w:rsidR="007E08D9">
        <w:rPr>
          <w:b/>
          <w:sz w:val="20"/>
        </w:rPr>
        <w:t>m</w:t>
      </w:r>
      <w:r>
        <w:rPr>
          <w:b/>
          <w:sz w:val="20"/>
        </w:rPr>
        <w:t xml:space="preserve">etrics </w:t>
      </w:r>
      <w:r w:rsidR="00FB21E1">
        <w:rPr>
          <w:b/>
          <w:sz w:val="20"/>
        </w:rPr>
        <w:t xml:space="preserve">over </w:t>
      </w:r>
      <w:r w:rsidR="007E08D9">
        <w:rPr>
          <w:b/>
          <w:sz w:val="20"/>
        </w:rPr>
        <w:t>e</w:t>
      </w:r>
      <w:r w:rsidR="00FB21E1">
        <w:rPr>
          <w:b/>
          <w:sz w:val="20"/>
        </w:rPr>
        <w:t>pisodes</w:t>
      </w:r>
    </w:p>
    <w:p w14:paraId="108A9DF5" w14:textId="2CC3BC0C" w:rsidR="00515B04" w:rsidRPr="004A53A9" w:rsidRDefault="00437DB9" w:rsidP="00515B04">
      <w:pPr>
        <w:pStyle w:val="PlainText"/>
        <w:ind w:firstLine="284"/>
        <w:rPr>
          <w:sz w:val="20"/>
        </w:rPr>
      </w:pPr>
      <w:r w:rsidRPr="004A53A9">
        <w:rPr>
          <w:sz w:val="20"/>
        </w:rPr>
        <w:t xml:space="preserve">Figure </w:t>
      </w:r>
      <w:r w:rsidR="006A4453">
        <w:rPr>
          <w:sz w:val="20"/>
        </w:rPr>
        <w:t>3</w:t>
      </w:r>
      <w:r w:rsidRPr="004A53A9">
        <w:rPr>
          <w:sz w:val="20"/>
        </w:rPr>
        <w:t xml:space="preserve"> illustrates the progression of the maximum values of performance metrics throughout the training episodes. Significant improvements are observed across all subsystems. In terms of grid stability, the maximum EV load on the power grid decreased from over 22 MW to approximately 12 MW, accompanied by a reduction in the nodal voltage deviation (NVD) from approximately 0.045 to 0.031. EVCN operational metrics show a consistent decline in both maximum station utilization (from above </w:t>
      </w:r>
      <w:r w:rsidR="005741B9">
        <w:rPr>
          <w:sz w:val="20"/>
        </w:rPr>
        <w:t>five</w:t>
      </w:r>
      <w:r w:rsidRPr="004A53A9">
        <w:rPr>
          <w:sz w:val="20"/>
        </w:rPr>
        <w:t xml:space="preserve"> to around </w:t>
      </w:r>
      <w:r w:rsidR="005741B9">
        <w:rPr>
          <w:sz w:val="20"/>
        </w:rPr>
        <w:t>two</w:t>
      </w:r>
      <w:r w:rsidRPr="004A53A9">
        <w:rPr>
          <w:sz w:val="20"/>
        </w:rPr>
        <w:t xml:space="preserve">) and traffic intensity almost stable at around </w:t>
      </w:r>
      <w:r w:rsidR="005741B9">
        <w:rPr>
          <w:sz w:val="20"/>
        </w:rPr>
        <w:t>one</w:t>
      </w:r>
      <w:r w:rsidRPr="004A53A9">
        <w:rPr>
          <w:sz w:val="20"/>
        </w:rPr>
        <w:t xml:space="preserve">, indicating improved load distribution and reduced congestion. Queue metrics reveal a sharp reduction in the maximum queue length (from approximately 15 to fewer than </w:t>
      </w:r>
      <w:r w:rsidR="005741B9">
        <w:rPr>
          <w:sz w:val="20"/>
        </w:rPr>
        <w:t>three</w:t>
      </w:r>
      <w:r w:rsidRPr="004A53A9">
        <w:rPr>
          <w:sz w:val="20"/>
        </w:rPr>
        <w:t xml:space="preserve"> vehicles) and the maximum waiting time (from approximately </w:t>
      </w:r>
      <w:r w:rsidR="005741B9">
        <w:rPr>
          <w:sz w:val="20"/>
        </w:rPr>
        <w:t>six</w:t>
      </w:r>
      <w:r w:rsidRPr="004A53A9">
        <w:rPr>
          <w:sz w:val="20"/>
        </w:rPr>
        <w:t xml:space="preserve"> to fewer than </w:t>
      </w:r>
      <w:r w:rsidR="005741B9">
        <w:rPr>
          <w:sz w:val="20"/>
        </w:rPr>
        <w:t>two</w:t>
      </w:r>
      <w:r w:rsidRPr="004A53A9">
        <w:rPr>
          <w:sz w:val="20"/>
        </w:rPr>
        <w:t xml:space="preserve"> hours), reflecting enhanced station efficiency. Lastly, the charging success rate improved steadily, </w:t>
      </w:r>
      <w:r w:rsidRPr="004A53A9">
        <w:rPr>
          <w:sz w:val="20"/>
        </w:rPr>
        <w:lastRenderedPageBreak/>
        <w:t xml:space="preserve">converging from an initial rate of approximately 30% to over 90%, demonstrating effective policy learning and increased service reliability. Figure </w:t>
      </w:r>
      <w:r w:rsidR="006A4453">
        <w:rPr>
          <w:sz w:val="20"/>
        </w:rPr>
        <w:t>4</w:t>
      </w:r>
      <w:r w:rsidRPr="004A53A9">
        <w:rPr>
          <w:sz w:val="20"/>
        </w:rPr>
        <w:t xml:space="preserve"> explains the same maximum values post-outage period, showing reaching recovery thresholds at episode 3764.</w:t>
      </w:r>
    </w:p>
    <w:p w14:paraId="30DA69AA" w14:textId="77777777" w:rsidR="00515B04" w:rsidRPr="004A53A9" w:rsidRDefault="00515B04" w:rsidP="00515B04">
      <w:pPr>
        <w:pStyle w:val="CaptionedFigure"/>
        <w:jc w:val="center"/>
        <w:rPr>
          <w:rFonts w:ascii="Arial" w:hAnsi="Arial" w:cs="Arial"/>
          <w:sz w:val="20"/>
          <w:szCs w:val="20"/>
        </w:rPr>
      </w:pPr>
      <w:bookmarkStart w:id="0" w:name="fig:fig02"/>
      <w:r w:rsidRPr="004A53A9">
        <w:rPr>
          <w:rFonts w:ascii="Arial" w:hAnsi="Arial" w:cs="Arial"/>
          <w:noProof/>
          <w:sz w:val="20"/>
          <w:szCs w:val="20"/>
        </w:rPr>
        <w:drawing>
          <wp:inline distT="0" distB="0" distL="0" distR="0" wp14:anchorId="37B4DDC7" wp14:editId="3F4D64A6">
            <wp:extent cx="2793788" cy="2209800"/>
            <wp:effectExtent l="0" t="0" r="635" b="0"/>
            <wp:docPr id="28" name="Picture" descr="A group of graphs showing different colored lines&#10;&#10;AI-generated content may be incorrect."/>
            <wp:cNvGraphicFramePr/>
            <a:graphic xmlns:a="http://schemas.openxmlformats.org/drawingml/2006/main">
              <a:graphicData uri="http://schemas.openxmlformats.org/drawingml/2006/picture">
                <pic:pic xmlns:pic="http://schemas.openxmlformats.org/drawingml/2006/picture">
                  <pic:nvPicPr>
                    <pic:cNvPr id="28" name="Picture" descr="A group of graphs showing different colored lines&#10;&#10;AI-generated content may be incorrect."/>
                    <pic:cNvPicPr>
                      <a:picLocks noChangeAspect="1" noChangeArrowheads="1"/>
                    </pic:cNvPicPr>
                  </pic:nvPicPr>
                  <pic:blipFill>
                    <a:blip r:embed="rId17"/>
                    <a:stretch>
                      <a:fillRect/>
                    </a:stretch>
                  </pic:blipFill>
                  <pic:spPr bwMode="auto">
                    <a:xfrm>
                      <a:off x="0" y="0"/>
                      <a:ext cx="2822973" cy="2232885"/>
                    </a:xfrm>
                    <a:prstGeom prst="rect">
                      <a:avLst/>
                    </a:prstGeom>
                    <a:noFill/>
                    <a:ln w="9525">
                      <a:noFill/>
                      <a:headEnd/>
                      <a:tailEnd/>
                    </a:ln>
                  </pic:spPr>
                </pic:pic>
              </a:graphicData>
            </a:graphic>
          </wp:inline>
        </w:drawing>
      </w:r>
    </w:p>
    <w:p w14:paraId="4614784C" w14:textId="63A8BE43" w:rsidR="00515B04" w:rsidRPr="00515B04" w:rsidRDefault="00515B04" w:rsidP="00515B04">
      <w:pPr>
        <w:pStyle w:val="ImageCaption"/>
        <w:jc w:val="both"/>
        <w:rPr>
          <w:rFonts w:ascii="Arial" w:hAnsi="Arial" w:cs="Arial"/>
          <w:sz w:val="18"/>
          <w:szCs w:val="18"/>
        </w:rPr>
      </w:pPr>
      <w:r>
        <w:rPr>
          <w:rFonts w:ascii="Arial" w:hAnsi="Arial" w:cs="Arial"/>
          <w:sz w:val="18"/>
          <w:szCs w:val="18"/>
        </w:rPr>
        <w:t xml:space="preserve">Figure </w:t>
      </w:r>
      <w:r w:rsidR="006A4453">
        <w:rPr>
          <w:rFonts w:ascii="Arial" w:hAnsi="Arial" w:cs="Arial"/>
          <w:sz w:val="18"/>
          <w:szCs w:val="18"/>
        </w:rPr>
        <w:t>3</w:t>
      </w:r>
      <w:r>
        <w:rPr>
          <w:rFonts w:ascii="Arial" w:hAnsi="Arial" w:cs="Arial"/>
          <w:sz w:val="18"/>
          <w:szCs w:val="18"/>
        </w:rPr>
        <w:t xml:space="preserve">: </w:t>
      </w:r>
      <w:r w:rsidRPr="00515B04">
        <w:rPr>
          <w:rFonts w:ascii="Arial" w:hAnsi="Arial" w:cs="Arial"/>
          <w:sz w:val="18"/>
          <w:szCs w:val="18"/>
        </w:rPr>
        <w:t>Maximum Values of Comprehensive Recovery Metrics during Outage Period across Episodes</w:t>
      </w:r>
    </w:p>
    <w:bookmarkEnd w:id="0"/>
    <w:p w14:paraId="1A57D7C6" w14:textId="77777777" w:rsidR="00515B04" w:rsidRPr="004A53A9" w:rsidRDefault="00515B04" w:rsidP="00515B04">
      <w:pPr>
        <w:pStyle w:val="CaptionedFigure"/>
        <w:jc w:val="center"/>
        <w:rPr>
          <w:rFonts w:ascii="Arial" w:hAnsi="Arial" w:cs="Arial"/>
          <w:sz w:val="20"/>
          <w:szCs w:val="20"/>
        </w:rPr>
      </w:pPr>
      <w:r w:rsidRPr="004A53A9">
        <w:rPr>
          <w:rFonts w:ascii="Arial" w:hAnsi="Arial" w:cs="Arial"/>
          <w:noProof/>
          <w:sz w:val="20"/>
          <w:szCs w:val="20"/>
        </w:rPr>
        <w:drawing>
          <wp:inline distT="0" distB="0" distL="0" distR="0" wp14:anchorId="7644EB05" wp14:editId="7EEC0D00">
            <wp:extent cx="2751666" cy="2057400"/>
            <wp:effectExtent l="0" t="0" r="4445" b="0"/>
            <wp:docPr id="32" name="Picture" descr="A graph of different colored lines&#10;&#10;AI-generated content may be incorrect."/>
            <wp:cNvGraphicFramePr/>
            <a:graphic xmlns:a="http://schemas.openxmlformats.org/drawingml/2006/main">
              <a:graphicData uri="http://schemas.openxmlformats.org/drawingml/2006/picture">
                <pic:pic xmlns:pic="http://schemas.openxmlformats.org/drawingml/2006/picture">
                  <pic:nvPicPr>
                    <pic:cNvPr id="32" name="Picture" descr="A graph of different colored lines&#10;&#10;AI-generated content may be incorrect."/>
                    <pic:cNvPicPr>
                      <a:picLocks noChangeAspect="1" noChangeArrowheads="1"/>
                    </pic:cNvPicPr>
                  </pic:nvPicPr>
                  <pic:blipFill>
                    <a:blip r:embed="rId18"/>
                    <a:stretch>
                      <a:fillRect/>
                    </a:stretch>
                  </pic:blipFill>
                  <pic:spPr bwMode="auto">
                    <a:xfrm>
                      <a:off x="0" y="0"/>
                      <a:ext cx="2778095" cy="2077161"/>
                    </a:xfrm>
                    <a:prstGeom prst="rect">
                      <a:avLst/>
                    </a:prstGeom>
                    <a:noFill/>
                    <a:ln w="9525">
                      <a:noFill/>
                      <a:headEnd/>
                      <a:tailEnd/>
                    </a:ln>
                  </pic:spPr>
                </pic:pic>
              </a:graphicData>
            </a:graphic>
          </wp:inline>
        </w:drawing>
      </w:r>
    </w:p>
    <w:p w14:paraId="6E1DF007" w14:textId="3C6EFD04" w:rsidR="00437DB9" w:rsidRDefault="00515B04" w:rsidP="00290817">
      <w:pPr>
        <w:pStyle w:val="PlainText"/>
        <w:spacing w:after="240"/>
        <w:ind w:firstLine="284"/>
        <w:rPr>
          <w:i/>
          <w:iCs/>
          <w:szCs w:val="18"/>
        </w:rPr>
      </w:pPr>
      <w:r>
        <w:rPr>
          <w:i/>
          <w:iCs/>
          <w:szCs w:val="18"/>
        </w:rPr>
        <w:t xml:space="preserve">Figure </w:t>
      </w:r>
      <w:r w:rsidR="006A4453">
        <w:rPr>
          <w:i/>
          <w:iCs/>
          <w:szCs w:val="18"/>
        </w:rPr>
        <w:t>4</w:t>
      </w:r>
      <w:r>
        <w:rPr>
          <w:i/>
          <w:iCs/>
          <w:szCs w:val="18"/>
        </w:rPr>
        <w:t xml:space="preserve">: </w:t>
      </w:r>
      <w:r w:rsidRPr="00515B04">
        <w:rPr>
          <w:i/>
          <w:iCs/>
          <w:szCs w:val="18"/>
        </w:rPr>
        <w:t>Maximum Values of Comprehensive Recovery Metrics Post-Outage Period across Episodes</w:t>
      </w:r>
    </w:p>
    <w:p w14:paraId="126884CB" w14:textId="65EC83AA" w:rsidR="00994805" w:rsidRDefault="00920AA2" w:rsidP="00994805">
      <w:pPr>
        <w:pStyle w:val="PlainText"/>
        <w:rPr>
          <w:b/>
          <w:sz w:val="20"/>
        </w:rPr>
      </w:pPr>
      <w:r>
        <w:rPr>
          <w:b/>
          <w:sz w:val="20"/>
        </w:rPr>
        <w:t xml:space="preserve">4.3 Policy </w:t>
      </w:r>
      <w:r w:rsidR="007E08D9">
        <w:rPr>
          <w:b/>
          <w:sz w:val="20"/>
        </w:rPr>
        <w:t>e</w:t>
      </w:r>
      <w:r w:rsidR="00AE474C">
        <w:rPr>
          <w:b/>
          <w:sz w:val="20"/>
        </w:rPr>
        <w:t xml:space="preserve">volution over </w:t>
      </w:r>
      <w:r w:rsidR="007E08D9">
        <w:rPr>
          <w:b/>
          <w:sz w:val="20"/>
        </w:rPr>
        <w:t>e</w:t>
      </w:r>
      <w:r w:rsidR="00AE474C">
        <w:rPr>
          <w:b/>
          <w:sz w:val="20"/>
        </w:rPr>
        <w:t>pisodes</w:t>
      </w:r>
    </w:p>
    <w:p w14:paraId="54C90434" w14:textId="1AADB10E" w:rsidR="00994805" w:rsidRPr="00994805" w:rsidRDefault="00994805" w:rsidP="00994805">
      <w:pPr>
        <w:pStyle w:val="PlainText"/>
        <w:ind w:firstLine="284"/>
        <w:rPr>
          <w:b/>
          <w:sz w:val="20"/>
        </w:rPr>
      </w:pPr>
      <w:r w:rsidRPr="004A53A9">
        <w:rPr>
          <w:sz w:val="20"/>
        </w:rPr>
        <w:t xml:space="preserve">Figure </w:t>
      </w:r>
      <w:r w:rsidR="006A4453">
        <w:rPr>
          <w:sz w:val="20"/>
        </w:rPr>
        <w:t>5</w:t>
      </w:r>
      <w:r w:rsidRPr="004A53A9">
        <w:rPr>
          <w:sz w:val="20"/>
        </w:rPr>
        <w:t xml:space="preserve"> illustrates the temporal evolution of the redistribution agent’s policy across three different stages until convergence: early (episode 500), mid (episode 1500), and late training (episode 3000). In the early phase, redistribution appears erratic and uncoordinated, with no clear prioritization of districts during outages. Noting that during the first 937 episodes, run ended at the maximum allowed timestep (672) because of the failure to meet recovery points. Mid-training shows improved consistency, though recovery still requires over four days post-</w:t>
      </w:r>
      <w:proofErr w:type="gramStart"/>
      <w:r w:rsidRPr="004A53A9">
        <w:rPr>
          <w:sz w:val="20"/>
        </w:rPr>
        <w:t>outage</w:t>
      </w:r>
      <w:proofErr w:type="gramEnd"/>
      <w:r w:rsidRPr="004A53A9">
        <w:rPr>
          <w:sz w:val="20"/>
        </w:rPr>
        <w:t xml:space="preserve"> but it was still difficult to understand specific strategy. By episode 3000, the agent demonstrates a more optimized strategy: in </w:t>
      </w:r>
      <w:r w:rsidRPr="004A53A9">
        <w:rPr>
          <w:sz w:val="20"/>
        </w:rPr>
        <w:t xml:space="preserve">the beginning of outage, redistribution is maximized toward </w:t>
      </w:r>
      <w:proofErr w:type="spellStart"/>
      <w:r w:rsidRPr="004A53A9">
        <w:rPr>
          <w:sz w:val="20"/>
        </w:rPr>
        <w:t>neighbor</w:t>
      </w:r>
      <w:proofErr w:type="spellEnd"/>
      <w:r w:rsidRPr="004A53A9">
        <w:rPr>
          <w:sz w:val="20"/>
        </w:rPr>
        <w:t xml:space="preserve"> districts 4 and 1 but very minimal to the closest </w:t>
      </w:r>
      <w:proofErr w:type="spellStart"/>
      <w:r w:rsidRPr="004A53A9">
        <w:rPr>
          <w:sz w:val="20"/>
        </w:rPr>
        <w:t>neighboring</w:t>
      </w:r>
      <w:proofErr w:type="spellEnd"/>
      <w:r w:rsidRPr="004A53A9">
        <w:rPr>
          <w:sz w:val="20"/>
        </w:rPr>
        <w:t xml:space="preserve"> district (District 5) at the onset of the outage. Then almost half outage time, closest </w:t>
      </w:r>
      <w:proofErr w:type="spellStart"/>
      <w:r w:rsidRPr="004A53A9">
        <w:rPr>
          <w:sz w:val="20"/>
        </w:rPr>
        <w:t>neighbor</w:t>
      </w:r>
      <w:proofErr w:type="spellEnd"/>
      <w:r w:rsidRPr="004A53A9">
        <w:rPr>
          <w:sz w:val="20"/>
        </w:rPr>
        <w:t xml:space="preserve"> got more redistribution with the totally remote districts </w:t>
      </w:r>
      <w:r w:rsidR="007E156C">
        <w:rPr>
          <w:sz w:val="20"/>
        </w:rPr>
        <w:t>2</w:t>
      </w:r>
      <w:r w:rsidRPr="004A53A9">
        <w:rPr>
          <w:sz w:val="20"/>
        </w:rPr>
        <w:t xml:space="preserve"> and 6. Then the trend at the outage start is </w:t>
      </w:r>
      <w:proofErr w:type="gramStart"/>
      <w:r w:rsidRPr="004A53A9">
        <w:rPr>
          <w:sz w:val="20"/>
        </w:rPr>
        <w:t>repeated again</w:t>
      </w:r>
      <w:proofErr w:type="gramEnd"/>
      <w:r w:rsidRPr="004A53A9">
        <w:rPr>
          <w:sz w:val="20"/>
        </w:rPr>
        <w:t xml:space="preserve"> but slightly different. Post-outage, a smooth reallocation back to the outage node (District 3) is delayed almost 10 hours post-outage. Full recovery is achieved within approximately 43 hours, and a more stable, equitable redistribution policy is observed. Interestingly, the agent at times prioritizes remote districts (Districts 2 and 6) over </w:t>
      </w:r>
      <w:proofErr w:type="spellStart"/>
      <w:r w:rsidRPr="004A53A9">
        <w:rPr>
          <w:sz w:val="20"/>
        </w:rPr>
        <w:t>neighbors</w:t>
      </w:r>
      <w:proofErr w:type="spellEnd"/>
      <w:r w:rsidRPr="004A53A9">
        <w:rPr>
          <w:sz w:val="20"/>
        </w:rPr>
        <w:t>, indicating strategic flexibility in its learned policy.</w:t>
      </w:r>
    </w:p>
    <w:p w14:paraId="79329754" w14:textId="3E3BCF53" w:rsidR="00AE474C" w:rsidRPr="00994805" w:rsidRDefault="004D1C38" w:rsidP="00055EFD">
      <w:pPr>
        <w:pStyle w:val="PlainText"/>
        <w:jc w:val="center"/>
        <w:rPr>
          <w:b/>
          <w:sz w:val="20"/>
          <w:lang w:val="en-US"/>
        </w:rPr>
      </w:pPr>
      <w:r w:rsidRPr="004A53A9">
        <w:rPr>
          <w:noProof/>
          <w:sz w:val="20"/>
        </w:rPr>
        <w:drawing>
          <wp:inline distT="0" distB="0" distL="0" distR="0" wp14:anchorId="178D7221" wp14:editId="1D748103">
            <wp:extent cx="2760133" cy="2336800"/>
            <wp:effectExtent l="0" t="0" r="0" b="0"/>
            <wp:docPr id="36" name="Picture" descr="A screenshot of a computer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36" name="Picture" descr="A screenshot of a computer screen&#10;&#10;AI-generated content may be incorrect."/>
                    <pic:cNvPicPr>
                      <a:picLocks noChangeAspect="1" noChangeArrowheads="1"/>
                    </pic:cNvPicPr>
                  </pic:nvPicPr>
                  <pic:blipFill>
                    <a:blip r:embed="rId19"/>
                    <a:stretch>
                      <a:fillRect/>
                    </a:stretch>
                  </pic:blipFill>
                  <pic:spPr bwMode="auto">
                    <a:xfrm>
                      <a:off x="0" y="0"/>
                      <a:ext cx="2782855" cy="2356037"/>
                    </a:xfrm>
                    <a:prstGeom prst="rect">
                      <a:avLst/>
                    </a:prstGeom>
                    <a:noFill/>
                    <a:ln w="9525">
                      <a:noFill/>
                      <a:headEnd/>
                      <a:tailEnd/>
                    </a:ln>
                  </pic:spPr>
                </pic:pic>
              </a:graphicData>
            </a:graphic>
          </wp:inline>
        </w:drawing>
      </w:r>
    </w:p>
    <w:p w14:paraId="668CAE01" w14:textId="1F5CA02D" w:rsidR="00835369" w:rsidRDefault="00C20A1B" w:rsidP="00317A4A">
      <w:pPr>
        <w:pStyle w:val="ImageCaption"/>
        <w:jc w:val="both"/>
        <w:rPr>
          <w:rFonts w:asciiTheme="minorBidi" w:hAnsiTheme="minorBidi"/>
          <w:sz w:val="18"/>
          <w:szCs w:val="18"/>
        </w:rPr>
      </w:pPr>
      <w:r w:rsidRPr="00055EFD">
        <w:rPr>
          <w:rFonts w:asciiTheme="minorBidi" w:hAnsiTheme="minorBidi"/>
          <w:sz w:val="18"/>
          <w:szCs w:val="18"/>
        </w:rPr>
        <w:t xml:space="preserve">Figure </w:t>
      </w:r>
      <w:r w:rsidR="006A4453">
        <w:rPr>
          <w:rFonts w:asciiTheme="minorBidi" w:hAnsiTheme="minorBidi"/>
          <w:sz w:val="18"/>
          <w:szCs w:val="18"/>
        </w:rPr>
        <w:t>5</w:t>
      </w:r>
      <w:r w:rsidRPr="00055EFD">
        <w:rPr>
          <w:rFonts w:asciiTheme="minorBidi" w:hAnsiTheme="minorBidi"/>
          <w:sz w:val="18"/>
          <w:szCs w:val="18"/>
        </w:rPr>
        <w:t xml:space="preserve">: </w:t>
      </w:r>
      <w:r w:rsidR="00055EFD" w:rsidRPr="00055EFD">
        <w:rPr>
          <w:rFonts w:asciiTheme="minorBidi" w:hAnsiTheme="minorBidi"/>
          <w:sz w:val="18"/>
          <w:szCs w:val="18"/>
        </w:rPr>
        <w:t>Redistribution Agent Policy Evolution over training episodes</w:t>
      </w:r>
    </w:p>
    <w:p w14:paraId="14F3BE4D" w14:textId="3B18A868" w:rsidR="00835369" w:rsidRDefault="00120599" w:rsidP="00120599">
      <w:pPr>
        <w:pStyle w:val="ImageCaption"/>
        <w:ind w:firstLine="284"/>
        <w:jc w:val="both"/>
        <w:rPr>
          <w:rFonts w:asciiTheme="minorBidi" w:hAnsiTheme="minorBidi"/>
          <w:bCs/>
          <w:i w:val="0"/>
          <w:iCs/>
          <w:sz w:val="20"/>
          <w:szCs w:val="20"/>
        </w:rPr>
      </w:pPr>
      <w:r>
        <w:rPr>
          <w:rFonts w:asciiTheme="minorBidi" w:hAnsiTheme="minorBidi"/>
          <w:bCs/>
          <w:i w:val="0"/>
          <w:iCs/>
          <w:sz w:val="20"/>
          <w:szCs w:val="20"/>
        </w:rPr>
        <w:t xml:space="preserve">Figure </w:t>
      </w:r>
      <w:r w:rsidR="006A4453">
        <w:rPr>
          <w:rFonts w:asciiTheme="minorBidi" w:hAnsiTheme="minorBidi"/>
          <w:bCs/>
          <w:i w:val="0"/>
          <w:iCs/>
          <w:sz w:val="20"/>
          <w:szCs w:val="20"/>
        </w:rPr>
        <w:t>6</w:t>
      </w:r>
      <w:r w:rsidRPr="00120599">
        <w:rPr>
          <w:rFonts w:asciiTheme="minorBidi" w:hAnsiTheme="minorBidi"/>
          <w:bCs/>
          <w:i w:val="0"/>
          <w:iCs/>
          <w:sz w:val="20"/>
          <w:szCs w:val="20"/>
        </w:rPr>
        <w:t xml:space="preserve"> </w:t>
      </w:r>
      <w:r>
        <w:rPr>
          <w:rFonts w:asciiTheme="minorBidi" w:hAnsiTheme="minorBidi"/>
          <w:bCs/>
          <w:i w:val="0"/>
          <w:iCs/>
          <w:sz w:val="20"/>
          <w:szCs w:val="20"/>
        </w:rPr>
        <w:t xml:space="preserve">shows </w:t>
      </w:r>
      <w:r w:rsidRPr="00120599">
        <w:rPr>
          <w:rFonts w:asciiTheme="minorBidi" w:hAnsiTheme="minorBidi"/>
          <w:bCs/>
          <w:i w:val="0"/>
          <w:iCs/>
          <w:sz w:val="20"/>
          <w:szCs w:val="20"/>
        </w:rPr>
        <w:t xml:space="preserve">the evolution of charging strategies for </w:t>
      </w:r>
      <w:r w:rsidR="00412197">
        <w:rPr>
          <w:rFonts w:asciiTheme="minorBidi" w:hAnsiTheme="minorBidi"/>
          <w:bCs/>
          <w:i w:val="0"/>
          <w:iCs/>
          <w:sz w:val="20"/>
          <w:szCs w:val="20"/>
        </w:rPr>
        <w:t xml:space="preserve">high SoC cluster in </w:t>
      </w:r>
      <w:r>
        <w:rPr>
          <w:rFonts w:asciiTheme="minorBidi" w:hAnsiTheme="minorBidi"/>
          <w:bCs/>
          <w:i w:val="0"/>
          <w:iCs/>
          <w:sz w:val="20"/>
          <w:szCs w:val="20"/>
        </w:rPr>
        <w:t>district 5, which is the nearest district to the outage district 3.</w:t>
      </w:r>
      <w:r w:rsidR="00412197">
        <w:rPr>
          <w:rFonts w:asciiTheme="minorBidi" w:hAnsiTheme="minorBidi"/>
          <w:bCs/>
          <w:i w:val="0"/>
          <w:iCs/>
          <w:sz w:val="20"/>
          <w:szCs w:val="20"/>
        </w:rPr>
        <w:t xml:space="preserve"> </w:t>
      </w:r>
      <w:r w:rsidRPr="00120599">
        <w:rPr>
          <w:rFonts w:asciiTheme="minorBidi" w:hAnsiTheme="minorBidi"/>
          <w:bCs/>
          <w:i w:val="0"/>
          <w:iCs/>
          <w:sz w:val="20"/>
          <w:szCs w:val="20"/>
        </w:rPr>
        <w:t xml:space="preserve">In early training, the system demonstrates an undeveloped policy with a </w:t>
      </w:r>
      <w:r w:rsidR="00412197">
        <w:rPr>
          <w:rFonts w:asciiTheme="minorBidi" w:hAnsiTheme="minorBidi"/>
          <w:bCs/>
          <w:i w:val="0"/>
          <w:iCs/>
          <w:sz w:val="20"/>
          <w:szCs w:val="20"/>
        </w:rPr>
        <w:t xml:space="preserve">little </w:t>
      </w:r>
      <w:r w:rsidRPr="00120599">
        <w:rPr>
          <w:rFonts w:asciiTheme="minorBidi" w:hAnsiTheme="minorBidi"/>
          <w:bCs/>
          <w:i w:val="0"/>
          <w:iCs/>
          <w:sz w:val="20"/>
          <w:szCs w:val="20"/>
        </w:rPr>
        <w:t>bias toward full charging regardless of grid condition</w:t>
      </w:r>
      <w:r w:rsidR="004E68D2">
        <w:rPr>
          <w:rFonts w:asciiTheme="minorBidi" w:hAnsiTheme="minorBidi"/>
          <w:bCs/>
          <w:i w:val="0"/>
          <w:iCs/>
          <w:sz w:val="20"/>
          <w:szCs w:val="20"/>
        </w:rPr>
        <w:t>s</w:t>
      </w:r>
      <w:r w:rsidRPr="00120599">
        <w:rPr>
          <w:rFonts w:asciiTheme="minorBidi" w:hAnsiTheme="minorBidi"/>
          <w:bCs/>
          <w:i w:val="0"/>
          <w:iCs/>
          <w:sz w:val="20"/>
          <w:szCs w:val="20"/>
        </w:rPr>
        <w:t>.</w:t>
      </w:r>
      <w:r w:rsidR="004E68D2">
        <w:rPr>
          <w:rFonts w:asciiTheme="minorBidi" w:hAnsiTheme="minorBidi"/>
          <w:bCs/>
          <w:i w:val="0"/>
          <w:iCs/>
          <w:sz w:val="20"/>
          <w:szCs w:val="20"/>
        </w:rPr>
        <w:t xml:space="preserve"> This shows an almost equal treatment for all EVs regardless their </w:t>
      </w:r>
      <w:proofErr w:type="spellStart"/>
      <w:r w:rsidR="004E68D2">
        <w:rPr>
          <w:rFonts w:asciiTheme="minorBidi" w:hAnsiTheme="minorBidi"/>
          <w:bCs/>
          <w:i w:val="0"/>
          <w:iCs/>
          <w:sz w:val="20"/>
          <w:szCs w:val="20"/>
        </w:rPr>
        <w:t>SoC.</w:t>
      </w:r>
      <w:proofErr w:type="spellEnd"/>
      <w:r w:rsidR="004E68D2">
        <w:rPr>
          <w:rFonts w:asciiTheme="minorBidi" w:hAnsiTheme="minorBidi"/>
          <w:bCs/>
          <w:i w:val="0"/>
          <w:iCs/>
          <w:sz w:val="20"/>
          <w:szCs w:val="20"/>
        </w:rPr>
        <w:t xml:space="preserve"> </w:t>
      </w:r>
      <w:r w:rsidRPr="00120599">
        <w:rPr>
          <w:rFonts w:asciiTheme="minorBidi" w:hAnsiTheme="minorBidi"/>
          <w:bCs/>
          <w:i w:val="0"/>
          <w:iCs/>
          <w:sz w:val="20"/>
          <w:szCs w:val="20"/>
        </w:rPr>
        <w:t>As learning progresses to mid-training, we observe the emergence of a more nuanced approach, with the system beginning to experiment with selective charging rejection during grid stress periods</w:t>
      </w:r>
      <w:r w:rsidR="00811B9D">
        <w:rPr>
          <w:rFonts w:asciiTheme="minorBidi" w:hAnsiTheme="minorBidi"/>
          <w:bCs/>
          <w:i w:val="0"/>
          <w:iCs/>
          <w:sz w:val="20"/>
          <w:szCs w:val="20"/>
        </w:rPr>
        <w:t xml:space="preserve"> but rejection continues during the simulation, showing failure to </w:t>
      </w:r>
      <w:r w:rsidR="009F0509">
        <w:rPr>
          <w:rFonts w:asciiTheme="minorBidi" w:hAnsiTheme="minorBidi"/>
          <w:bCs/>
          <w:i w:val="0"/>
          <w:iCs/>
          <w:sz w:val="20"/>
          <w:szCs w:val="20"/>
        </w:rPr>
        <w:t>optimize policy for successful charging</w:t>
      </w:r>
      <w:r w:rsidRPr="00120599">
        <w:rPr>
          <w:rFonts w:asciiTheme="minorBidi" w:hAnsiTheme="minorBidi"/>
          <w:bCs/>
          <w:i w:val="0"/>
          <w:iCs/>
          <w:sz w:val="20"/>
          <w:szCs w:val="20"/>
        </w:rPr>
        <w:t>. By late training</w:t>
      </w:r>
      <w:r w:rsidR="00CB34E4">
        <w:rPr>
          <w:rFonts w:asciiTheme="minorBidi" w:hAnsiTheme="minorBidi"/>
          <w:bCs/>
          <w:i w:val="0"/>
          <w:iCs/>
          <w:sz w:val="20"/>
          <w:szCs w:val="20"/>
        </w:rPr>
        <w:t xml:space="preserve"> (from episode 3000)</w:t>
      </w:r>
      <w:r w:rsidRPr="00120599">
        <w:rPr>
          <w:rFonts w:asciiTheme="minorBidi" w:hAnsiTheme="minorBidi"/>
          <w:bCs/>
          <w:i w:val="0"/>
          <w:iCs/>
          <w:sz w:val="20"/>
          <w:szCs w:val="20"/>
        </w:rPr>
        <w:t xml:space="preserve">, the system has developed a sophisticated optimization strategy characterized by significant rejection rates (&gt;75%) of </w:t>
      </w:r>
      <w:r w:rsidR="00CB34E4">
        <w:rPr>
          <w:rFonts w:asciiTheme="minorBidi" w:hAnsiTheme="minorBidi"/>
          <w:bCs/>
          <w:i w:val="0"/>
          <w:iCs/>
          <w:sz w:val="20"/>
          <w:szCs w:val="20"/>
        </w:rPr>
        <w:t>h</w:t>
      </w:r>
      <w:r w:rsidRPr="00120599">
        <w:rPr>
          <w:rFonts w:asciiTheme="minorBidi" w:hAnsiTheme="minorBidi"/>
          <w:bCs/>
          <w:i w:val="0"/>
          <w:iCs/>
          <w:sz w:val="20"/>
          <w:szCs w:val="20"/>
        </w:rPr>
        <w:t xml:space="preserve">igh SoC vehicles during network outages. This represents an intelligent load management approach where vehicles with substantial remaining charge are strategically deferred during periods of grid constraint, prioritizing critical and low SoC vehicles instead. Particularly noteworthy is the </w:t>
      </w:r>
      <w:r w:rsidRPr="00120599">
        <w:rPr>
          <w:rFonts w:asciiTheme="minorBidi" w:hAnsiTheme="minorBidi"/>
          <w:bCs/>
          <w:i w:val="0"/>
          <w:iCs/>
          <w:sz w:val="20"/>
          <w:szCs w:val="20"/>
        </w:rPr>
        <w:lastRenderedPageBreak/>
        <w:t>sustained rejection policy that continues after the outage period until</w:t>
      </w:r>
      <w:r w:rsidR="00CB34E4">
        <w:rPr>
          <w:rFonts w:asciiTheme="minorBidi" w:hAnsiTheme="minorBidi"/>
          <w:bCs/>
          <w:i w:val="0"/>
          <w:iCs/>
          <w:sz w:val="20"/>
          <w:szCs w:val="20"/>
        </w:rPr>
        <w:t xml:space="preserve"> </w:t>
      </w:r>
      <w:r w:rsidR="00317A4A">
        <w:rPr>
          <w:rFonts w:asciiTheme="minorBidi" w:hAnsiTheme="minorBidi"/>
          <w:bCs/>
          <w:i w:val="0"/>
          <w:iCs/>
          <w:sz w:val="20"/>
          <w:szCs w:val="20"/>
        </w:rPr>
        <w:t xml:space="preserve">reaching </w:t>
      </w:r>
      <w:r w:rsidRPr="00120599">
        <w:rPr>
          <w:rFonts w:asciiTheme="minorBidi" w:hAnsiTheme="minorBidi"/>
          <w:bCs/>
          <w:i w:val="0"/>
          <w:iCs/>
          <w:sz w:val="20"/>
          <w:szCs w:val="20"/>
        </w:rPr>
        <w:t>recovery threshold</w:t>
      </w:r>
      <w:r w:rsidR="00317A4A">
        <w:rPr>
          <w:rFonts w:asciiTheme="minorBidi" w:hAnsiTheme="minorBidi"/>
          <w:bCs/>
          <w:i w:val="0"/>
          <w:iCs/>
          <w:sz w:val="20"/>
          <w:szCs w:val="20"/>
        </w:rPr>
        <w:t>s</w:t>
      </w:r>
      <w:r w:rsidRPr="00120599">
        <w:rPr>
          <w:rFonts w:asciiTheme="minorBidi" w:hAnsiTheme="minorBidi"/>
          <w:bCs/>
          <w:i w:val="0"/>
          <w:iCs/>
          <w:sz w:val="20"/>
          <w:szCs w:val="20"/>
        </w:rPr>
        <w:t xml:space="preserve"> (</w:t>
      </w:r>
      <w:r w:rsidR="00317A4A">
        <w:rPr>
          <w:rFonts w:asciiTheme="minorBidi" w:hAnsiTheme="minorBidi"/>
          <w:bCs/>
          <w:i w:val="0"/>
          <w:iCs/>
          <w:sz w:val="20"/>
          <w:szCs w:val="20"/>
        </w:rPr>
        <w:t xml:space="preserve">around </w:t>
      </w:r>
      <w:r w:rsidRPr="00120599">
        <w:rPr>
          <w:rFonts w:asciiTheme="minorBidi" w:hAnsiTheme="minorBidi"/>
          <w:bCs/>
          <w:i w:val="0"/>
          <w:iCs/>
          <w:sz w:val="20"/>
          <w:szCs w:val="20"/>
        </w:rPr>
        <w:t>43 hours post-outage), allowing the grid to gradually return to normal operations while maintaining stability. This evolved strategy demonstrates how reinforcement learning can discover non-intuitive but highly effective grid management policies that balance individual vehicle needs with system-wide resilience.</w:t>
      </w:r>
    </w:p>
    <w:p w14:paraId="242BCF35" w14:textId="6E1FE1EF" w:rsidR="00317A4A" w:rsidRDefault="00317A4A" w:rsidP="00317A4A">
      <w:pPr>
        <w:pStyle w:val="ImageCaption"/>
        <w:jc w:val="both"/>
        <w:rPr>
          <w:rFonts w:asciiTheme="minorBidi" w:hAnsiTheme="minorBidi"/>
          <w:bCs/>
          <w:i w:val="0"/>
          <w:iCs/>
          <w:sz w:val="20"/>
          <w:szCs w:val="20"/>
        </w:rPr>
      </w:pPr>
      <w:r>
        <w:rPr>
          <w:rFonts w:asciiTheme="minorBidi" w:hAnsiTheme="minorBidi"/>
          <w:bCs/>
          <w:i w:val="0"/>
          <w:iCs/>
          <w:noProof/>
          <w:sz w:val="20"/>
          <w:szCs w:val="20"/>
        </w:rPr>
        <w:drawing>
          <wp:inline distT="0" distB="0" distL="0" distR="0" wp14:anchorId="582B9166" wp14:editId="711ECF76">
            <wp:extent cx="2781299" cy="2085975"/>
            <wp:effectExtent l="0" t="0" r="635" b="0"/>
            <wp:docPr id="178072719" name="Picture 1" descr="A diagram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72719" name="Picture 1" descr="A diagram of different colors&#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92823" cy="2094618"/>
                    </a:xfrm>
                    <a:prstGeom prst="rect">
                      <a:avLst/>
                    </a:prstGeom>
                  </pic:spPr>
                </pic:pic>
              </a:graphicData>
            </a:graphic>
          </wp:inline>
        </w:drawing>
      </w:r>
    </w:p>
    <w:p w14:paraId="49F63523" w14:textId="1F7024CB" w:rsidR="00317A4A" w:rsidRPr="00317A4A" w:rsidRDefault="00317A4A" w:rsidP="00317A4A">
      <w:pPr>
        <w:pStyle w:val="ImageCaption"/>
        <w:jc w:val="both"/>
        <w:rPr>
          <w:rFonts w:asciiTheme="minorBidi" w:hAnsiTheme="minorBidi"/>
          <w:sz w:val="18"/>
          <w:szCs w:val="18"/>
        </w:rPr>
      </w:pPr>
      <w:r w:rsidRPr="00055EFD">
        <w:rPr>
          <w:rFonts w:asciiTheme="minorBidi" w:hAnsiTheme="minorBidi"/>
          <w:sz w:val="18"/>
          <w:szCs w:val="18"/>
        </w:rPr>
        <w:t xml:space="preserve">Figure </w:t>
      </w:r>
      <w:r w:rsidR="006A4453">
        <w:rPr>
          <w:rFonts w:asciiTheme="minorBidi" w:hAnsiTheme="minorBidi"/>
          <w:sz w:val="18"/>
          <w:szCs w:val="18"/>
        </w:rPr>
        <w:t>6</w:t>
      </w:r>
      <w:r w:rsidRPr="00055EFD">
        <w:rPr>
          <w:rFonts w:asciiTheme="minorBidi" w:hAnsiTheme="minorBidi"/>
          <w:sz w:val="18"/>
          <w:szCs w:val="18"/>
        </w:rPr>
        <w:t xml:space="preserve">: </w:t>
      </w:r>
      <w:r>
        <w:rPr>
          <w:rFonts w:asciiTheme="minorBidi" w:hAnsiTheme="minorBidi"/>
          <w:sz w:val="18"/>
          <w:szCs w:val="18"/>
        </w:rPr>
        <w:t>District 5</w:t>
      </w:r>
      <w:r w:rsidRPr="00055EFD">
        <w:rPr>
          <w:rFonts w:asciiTheme="minorBidi" w:hAnsiTheme="minorBidi"/>
          <w:sz w:val="18"/>
          <w:szCs w:val="18"/>
        </w:rPr>
        <w:t xml:space="preserve"> Agent Policy Evolution over training episodes</w:t>
      </w:r>
      <w:r>
        <w:rPr>
          <w:rFonts w:asciiTheme="minorBidi" w:hAnsiTheme="minorBidi"/>
          <w:sz w:val="18"/>
          <w:szCs w:val="18"/>
        </w:rPr>
        <w:t xml:space="preserve"> for </w:t>
      </w:r>
      <w:r w:rsidR="00D71CEB">
        <w:rPr>
          <w:rFonts w:asciiTheme="minorBidi" w:hAnsiTheme="minorBidi"/>
          <w:sz w:val="18"/>
          <w:szCs w:val="18"/>
        </w:rPr>
        <w:t>high SoC cluster</w:t>
      </w:r>
    </w:p>
    <w:p w14:paraId="7EBC0F3A" w14:textId="77777777" w:rsidR="005B2172" w:rsidRDefault="007E08D9" w:rsidP="005B2172">
      <w:pPr>
        <w:pStyle w:val="PlainText"/>
        <w:rPr>
          <w:b/>
          <w:sz w:val="20"/>
        </w:rPr>
      </w:pPr>
      <w:r>
        <w:rPr>
          <w:b/>
          <w:sz w:val="20"/>
        </w:rPr>
        <w:t>4</w:t>
      </w:r>
      <w:r w:rsidR="00094A82" w:rsidRPr="00F05EA2">
        <w:rPr>
          <w:b/>
          <w:sz w:val="20"/>
        </w:rPr>
        <w:t>.</w:t>
      </w:r>
      <w:r>
        <w:rPr>
          <w:b/>
          <w:sz w:val="20"/>
        </w:rPr>
        <w:t>4</w:t>
      </w:r>
      <w:r w:rsidR="00094A82" w:rsidRPr="00F05EA2">
        <w:rPr>
          <w:b/>
          <w:sz w:val="20"/>
        </w:rPr>
        <w:t xml:space="preserve"> </w:t>
      </w:r>
      <w:r>
        <w:rPr>
          <w:b/>
          <w:sz w:val="20"/>
        </w:rPr>
        <w:t>Method validation</w:t>
      </w:r>
    </w:p>
    <w:p w14:paraId="557B01F3" w14:textId="2615A5F5" w:rsidR="006E5C5A" w:rsidRDefault="006E5C5A" w:rsidP="005B2172">
      <w:pPr>
        <w:pStyle w:val="PlainText"/>
        <w:rPr>
          <w:b/>
          <w:sz w:val="20"/>
        </w:rPr>
      </w:pPr>
      <w:r>
        <w:rPr>
          <w:b/>
          <w:sz w:val="20"/>
        </w:rPr>
        <w:t xml:space="preserve">4.4.1 Grid Stability and </w:t>
      </w:r>
      <w:r w:rsidR="003E3898">
        <w:rPr>
          <w:b/>
          <w:sz w:val="20"/>
        </w:rPr>
        <w:t>utilization performance</w:t>
      </w:r>
    </w:p>
    <w:p w14:paraId="4331DE6F" w14:textId="43F526CC" w:rsidR="005B2172" w:rsidRDefault="005B2172" w:rsidP="005B2172">
      <w:pPr>
        <w:pStyle w:val="PlainText"/>
        <w:ind w:firstLine="284"/>
        <w:rPr>
          <w:sz w:val="20"/>
        </w:rPr>
      </w:pPr>
      <w:r w:rsidRPr="004A53A9">
        <w:rPr>
          <w:sz w:val="20"/>
        </w:rPr>
        <w:t xml:space="preserve">We compared our TD3-MADDPG methodology to four other methods for validation: the baseline with no intervention, Fuzzy logic integrated with Markov Decision Process as implemented in Tang. et al, (2023), two fixed partial charging scenarios at 50% and 80%. Figure </w:t>
      </w:r>
      <w:r w:rsidR="006A4453">
        <w:rPr>
          <w:sz w:val="20"/>
        </w:rPr>
        <w:t>7</w:t>
      </w:r>
      <w:r w:rsidRPr="004A53A9">
        <w:rPr>
          <w:sz w:val="20"/>
        </w:rPr>
        <w:t xml:space="preserve"> compares the five strategies in terms of maximum nodal voltage deviation (NVD) and maximum station utilization factor during and after a prolonged power outage. For voltage stability, the Fixed 50% Charging method shows the fastest recovery, reducing NVD below the 0.02 </w:t>
      </w:r>
      <w:proofErr w:type="spellStart"/>
      <w:r w:rsidRPr="004A53A9">
        <w:rPr>
          <w:sz w:val="20"/>
        </w:rPr>
        <w:t>p.u</w:t>
      </w:r>
      <w:proofErr w:type="spellEnd"/>
      <w:r w:rsidRPr="004A53A9">
        <w:rPr>
          <w:sz w:val="20"/>
        </w:rPr>
        <w:t xml:space="preserve"> even before the outage end time. TD3-MADDPG follows with recovery at threshold within 4.5 hours after the outage ends, followed by fixed 80% strategy at 11.5 hours, exhibiting smooth convergence and low post-recovery oscillations. Fuzzy Logic reaches the threshold later at 26 hours, but with greater variability in its response. The No Control strategy reached recovery after 80.5 h. These results underscore the effectiveness of controlled charging—even static partial strategies—in supporting voltage recovery, while highlighting the risks of uncoordinated demand.</w:t>
      </w:r>
    </w:p>
    <w:p w14:paraId="63626D4F" w14:textId="741B9BCC" w:rsidR="005B2172" w:rsidRPr="005B2172" w:rsidRDefault="005B2172" w:rsidP="005B2172">
      <w:pPr>
        <w:pStyle w:val="PlainText"/>
        <w:ind w:firstLine="284"/>
        <w:rPr>
          <w:b/>
          <w:sz w:val="20"/>
        </w:rPr>
      </w:pPr>
      <w:r w:rsidRPr="004A53A9">
        <w:rPr>
          <w:sz w:val="20"/>
        </w:rPr>
        <w:t xml:space="preserve">In terms of charging station utilization, although fixed policies and TD3-MADDPG showed similar good pattern during </w:t>
      </w:r>
      <w:proofErr w:type="spellStart"/>
      <w:r w:rsidRPr="004A53A9">
        <w:rPr>
          <w:sz w:val="20"/>
        </w:rPr>
        <w:t>putage</w:t>
      </w:r>
      <w:proofErr w:type="spellEnd"/>
      <w:r w:rsidRPr="004A53A9">
        <w:rPr>
          <w:sz w:val="20"/>
        </w:rPr>
        <w:t xml:space="preserve">, TD3-MADDPG delivers the best performance post-outage, reducing the utilization factor below the critical threshold of 1.0 </w:t>
      </w:r>
      <w:r w:rsidRPr="004A53A9">
        <w:rPr>
          <w:sz w:val="20"/>
        </w:rPr>
        <w:t xml:space="preserve">within </w:t>
      </w:r>
      <w:r w:rsidR="00120CDA">
        <w:rPr>
          <w:sz w:val="20"/>
        </w:rPr>
        <w:t>ten</w:t>
      </w:r>
      <w:r w:rsidRPr="004A53A9">
        <w:rPr>
          <w:sz w:val="20"/>
        </w:rPr>
        <w:t xml:space="preserve"> hours and maintaining stable, balanced usage thereafter. The No Control strategy remains overutilized until day </w:t>
      </w:r>
      <w:r w:rsidR="00120CDA">
        <w:rPr>
          <w:sz w:val="20"/>
        </w:rPr>
        <w:t>six</w:t>
      </w:r>
      <w:r w:rsidRPr="004A53A9">
        <w:rPr>
          <w:sz w:val="20"/>
        </w:rPr>
        <w:t xml:space="preserve"> with maximum value of 3.6 two hours post-outage, reflecting persistent system congestion and poor load distribution. Overall, while Fixed 50% Charging excels in voltage recovery, TD3-MADDPG showed the fastest and most simultaneous stabilization of both voltage and utilization.</w:t>
      </w:r>
    </w:p>
    <w:p w14:paraId="340D521F" w14:textId="7D97F22A" w:rsidR="005B2172" w:rsidRDefault="00F11E54" w:rsidP="00F71A24">
      <w:pPr>
        <w:pStyle w:val="PlainText"/>
        <w:rPr>
          <w:b/>
          <w:sz w:val="20"/>
          <w:lang w:val="en-US"/>
        </w:rPr>
      </w:pPr>
      <w:r w:rsidRPr="004A53A9">
        <w:rPr>
          <w:noProof/>
          <w:sz w:val="20"/>
        </w:rPr>
        <w:drawing>
          <wp:inline distT="0" distB="0" distL="0" distR="0" wp14:anchorId="4932360F" wp14:editId="0653A05B">
            <wp:extent cx="2827655" cy="2219325"/>
            <wp:effectExtent l="0" t="0" r="0" b="9525"/>
            <wp:docPr id="40" name="Picture" descr="A graph of different colored lines&#10;&#10;AI-generated content may be incorrect."/>
            <wp:cNvGraphicFramePr/>
            <a:graphic xmlns:a="http://schemas.openxmlformats.org/drawingml/2006/main">
              <a:graphicData uri="http://schemas.openxmlformats.org/drawingml/2006/picture">
                <pic:pic xmlns:pic="http://schemas.openxmlformats.org/drawingml/2006/picture">
                  <pic:nvPicPr>
                    <pic:cNvPr id="40" name="Picture" descr="A graph of different colored lines&#10;&#10;AI-generated content may be incorrect."/>
                    <pic:cNvPicPr>
                      <a:picLocks noChangeAspect="1" noChangeArrowheads="1"/>
                    </pic:cNvPicPr>
                  </pic:nvPicPr>
                  <pic:blipFill>
                    <a:blip r:embed="rId21"/>
                    <a:stretch>
                      <a:fillRect/>
                    </a:stretch>
                  </pic:blipFill>
                  <pic:spPr bwMode="auto">
                    <a:xfrm>
                      <a:off x="0" y="0"/>
                      <a:ext cx="2860582" cy="2245168"/>
                    </a:xfrm>
                    <a:prstGeom prst="rect">
                      <a:avLst/>
                    </a:prstGeom>
                    <a:noFill/>
                    <a:ln w="9525">
                      <a:noFill/>
                      <a:headEnd/>
                      <a:tailEnd/>
                    </a:ln>
                  </pic:spPr>
                </pic:pic>
              </a:graphicData>
            </a:graphic>
          </wp:inline>
        </w:drawing>
      </w:r>
    </w:p>
    <w:p w14:paraId="0C90E78B" w14:textId="6A1AE88C" w:rsidR="00915FF7" w:rsidRDefault="00915FF7" w:rsidP="00915FF7">
      <w:pPr>
        <w:pStyle w:val="ImageCaption"/>
        <w:jc w:val="both"/>
        <w:rPr>
          <w:rFonts w:ascii="Arial" w:hAnsi="Arial" w:cs="Arial"/>
          <w:sz w:val="18"/>
          <w:szCs w:val="18"/>
        </w:rPr>
      </w:pPr>
      <w:r w:rsidRPr="00915FF7">
        <w:rPr>
          <w:rFonts w:ascii="Arial" w:hAnsi="Arial" w:cs="Arial"/>
          <w:sz w:val="18"/>
          <w:szCs w:val="18"/>
        </w:rPr>
        <w:t xml:space="preserve">Figure </w:t>
      </w:r>
      <w:r w:rsidR="006A4453">
        <w:rPr>
          <w:rFonts w:ascii="Arial" w:hAnsi="Arial" w:cs="Arial"/>
          <w:sz w:val="18"/>
          <w:szCs w:val="18"/>
        </w:rPr>
        <w:t>7</w:t>
      </w:r>
      <w:r w:rsidRPr="00915FF7">
        <w:rPr>
          <w:rFonts w:ascii="Arial" w:hAnsi="Arial" w:cs="Arial"/>
          <w:sz w:val="18"/>
          <w:szCs w:val="18"/>
        </w:rPr>
        <w:t>: Comparison between convergence episode of TD3-MADDPG and other methods</w:t>
      </w:r>
    </w:p>
    <w:p w14:paraId="1A608375" w14:textId="2CDFD308" w:rsidR="003E3898" w:rsidRDefault="003E3898" w:rsidP="003E3898">
      <w:pPr>
        <w:pStyle w:val="PlainText"/>
        <w:rPr>
          <w:b/>
          <w:sz w:val="20"/>
        </w:rPr>
      </w:pPr>
      <w:r>
        <w:rPr>
          <w:b/>
          <w:sz w:val="20"/>
        </w:rPr>
        <w:t xml:space="preserve">4.4.2 </w:t>
      </w:r>
      <w:r w:rsidR="0021272A">
        <w:rPr>
          <w:b/>
          <w:sz w:val="20"/>
        </w:rPr>
        <w:t>User experience metrics</w:t>
      </w:r>
    </w:p>
    <w:p w14:paraId="2958C180" w14:textId="1912F78D" w:rsidR="00B8277E" w:rsidRPr="003E3898" w:rsidRDefault="00B8277E" w:rsidP="003E3898">
      <w:pPr>
        <w:pStyle w:val="PlainText"/>
        <w:ind w:firstLine="284"/>
        <w:rPr>
          <w:b/>
          <w:sz w:val="20"/>
        </w:rPr>
      </w:pPr>
      <w:r w:rsidRPr="004A53A9">
        <w:rPr>
          <w:sz w:val="20"/>
        </w:rPr>
        <w:t xml:space="preserve">Figure </w:t>
      </w:r>
      <w:r w:rsidR="006A4453">
        <w:rPr>
          <w:sz w:val="20"/>
        </w:rPr>
        <w:t>8</w:t>
      </w:r>
      <w:r w:rsidRPr="004A53A9">
        <w:rPr>
          <w:sz w:val="20"/>
        </w:rPr>
        <w:t xml:space="preserve"> (top) compares the maximum number of vehicles in queue across different control strategies. The recovery threshold is set at </w:t>
      </w:r>
      <w:r w:rsidR="00120CDA">
        <w:rPr>
          <w:sz w:val="20"/>
        </w:rPr>
        <w:t>two</w:t>
      </w:r>
      <w:r w:rsidRPr="004A53A9">
        <w:rPr>
          <w:sz w:val="20"/>
        </w:rPr>
        <w:t xml:space="preserve"> vehicles. TD3-MADDPG demonstrates the fastest recovery, reducing the queue length below the threshold within 43.0 hours after the outage ends. Fuzzy Logic follows at 60.0 hours, while Fixed 50% Charging and Fixed 80% Charging take 72.0 hours and 84.0 hours, respectively. The No Control strategy fails to recover throughout the first </w:t>
      </w:r>
      <w:r w:rsidR="00120CDA">
        <w:rPr>
          <w:sz w:val="20"/>
        </w:rPr>
        <w:t>seven</w:t>
      </w:r>
      <w:r w:rsidRPr="004A53A9">
        <w:rPr>
          <w:sz w:val="20"/>
        </w:rPr>
        <w:t xml:space="preserve"> days of the simulation, with queue lengths remaining well above the acceptable range. These results confirm the advantage of dynamic coordination in rapidly resolving congestion during high-demand periods.</w:t>
      </w:r>
    </w:p>
    <w:p w14:paraId="791B27BA" w14:textId="09FF7C85" w:rsidR="00F11E54" w:rsidRDefault="00B8277E" w:rsidP="00B8277E">
      <w:pPr>
        <w:pStyle w:val="BodyText"/>
        <w:ind w:firstLine="284"/>
        <w:jc w:val="both"/>
        <w:rPr>
          <w:rFonts w:ascii="Arial" w:hAnsi="Arial"/>
          <w:sz w:val="20"/>
          <w:szCs w:val="20"/>
        </w:rPr>
      </w:pPr>
      <w:r w:rsidRPr="004A53A9">
        <w:rPr>
          <w:rFonts w:ascii="Arial" w:hAnsi="Arial"/>
          <w:sz w:val="20"/>
          <w:szCs w:val="20"/>
        </w:rPr>
        <w:t>The bottom plot tracks the percentage of vehicles in a critical SoC state (below a defined threshold), with a recovery target of 5%. TD3-MADDPG maintains the lowest critical SoC percentage throughout the recovery process and drops below the threshold at 12.0 hours post-outage. Fixed 50% Charging and Fuzzy Logic follow at around 25.0 for both. Fixed 80% Charging and No Control require over 48.5 and 102 hours, respectively. The consistently low SoC risk under TD3-MADDPG reflects its superior ability to prioritize vulnerable vehicles and allocate charging efficiently across the network.</w:t>
      </w:r>
    </w:p>
    <w:p w14:paraId="4C2E5924" w14:textId="77777777" w:rsidR="006A4453" w:rsidRDefault="006A4453" w:rsidP="006A4453">
      <w:pPr>
        <w:pStyle w:val="PlainText"/>
        <w:rPr>
          <w:b/>
          <w:sz w:val="20"/>
        </w:rPr>
      </w:pPr>
      <w:r>
        <w:rPr>
          <w:b/>
          <w:sz w:val="20"/>
        </w:rPr>
        <w:t>4</w:t>
      </w:r>
      <w:r w:rsidRPr="00F05EA2">
        <w:rPr>
          <w:b/>
          <w:sz w:val="20"/>
        </w:rPr>
        <w:t>.</w:t>
      </w:r>
      <w:r>
        <w:rPr>
          <w:b/>
          <w:sz w:val="20"/>
        </w:rPr>
        <w:t>4.3</w:t>
      </w:r>
      <w:r w:rsidRPr="00F05EA2">
        <w:rPr>
          <w:b/>
          <w:sz w:val="20"/>
        </w:rPr>
        <w:t xml:space="preserve"> </w:t>
      </w:r>
      <w:r>
        <w:rPr>
          <w:b/>
          <w:sz w:val="20"/>
        </w:rPr>
        <w:t>Computational considerations</w:t>
      </w:r>
    </w:p>
    <w:p w14:paraId="7D9B5C3C" w14:textId="1732626D" w:rsidR="006A4453" w:rsidRPr="006A4453" w:rsidRDefault="006A4453" w:rsidP="006A4453">
      <w:pPr>
        <w:pStyle w:val="PlainText"/>
        <w:ind w:firstLine="284"/>
        <w:rPr>
          <w:sz w:val="20"/>
        </w:rPr>
      </w:pPr>
      <w:r w:rsidRPr="004A53A9">
        <w:rPr>
          <w:sz w:val="20"/>
        </w:rPr>
        <w:lastRenderedPageBreak/>
        <w:t xml:space="preserve">Despite the superior performance of the TD3-MADDPG framework, its implementation incurs significantly higher computational costs compared to simpler control strategies. Empirical runtimes across multiple platforms—including a MacBook Pro M2, an iMac 27” with a 3.6 GHz 10-Core Intel Core i9 processor, and a Lenovo ThinkPad P1—indicate that training the proposed model requires approximately </w:t>
      </w:r>
      <w:r w:rsidR="00120CDA">
        <w:rPr>
          <w:sz w:val="20"/>
        </w:rPr>
        <w:t>six</w:t>
      </w:r>
      <w:r w:rsidRPr="004A53A9">
        <w:rPr>
          <w:sz w:val="20"/>
        </w:rPr>
        <w:t xml:space="preserve"> to </w:t>
      </w:r>
      <w:r w:rsidR="00120CDA">
        <w:rPr>
          <w:sz w:val="20"/>
        </w:rPr>
        <w:t>nine</w:t>
      </w:r>
      <w:r w:rsidRPr="004A53A9">
        <w:rPr>
          <w:sz w:val="20"/>
        </w:rPr>
        <w:t xml:space="preserve"> hours, in contrast to 20 to 40 minutes for the baseline fuzzy logic approach. This disparity highlights a trade-off between solution quality and computational efficiency.</w:t>
      </w:r>
    </w:p>
    <w:p w14:paraId="78100796" w14:textId="24EBD6A9" w:rsidR="00C06233" w:rsidRDefault="00525D28" w:rsidP="00452605">
      <w:pPr>
        <w:pStyle w:val="PlainText"/>
        <w:rPr>
          <w:sz w:val="20"/>
        </w:rPr>
      </w:pPr>
      <w:r w:rsidRPr="004A53A9">
        <w:rPr>
          <w:noProof/>
          <w:sz w:val="20"/>
        </w:rPr>
        <w:drawing>
          <wp:inline distT="0" distB="0" distL="0" distR="0" wp14:anchorId="0696E7DE" wp14:editId="1CB5FA69">
            <wp:extent cx="2733675" cy="1952625"/>
            <wp:effectExtent l="0" t="0" r="9525" b="9525"/>
            <wp:docPr id="44" name="Picture" descr="A graph of different colored lines&#10;&#10;AI-generated content may be incorrect."/>
            <wp:cNvGraphicFramePr/>
            <a:graphic xmlns:a="http://schemas.openxmlformats.org/drawingml/2006/main">
              <a:graphicData uri="http://schemas.openxmlformats.org/drawingml/2006/picture">
                <pic:pic xmlns:pic="http://schemas.openxmlformats.org/drawingml/2006/picture">
                  <pic:nvPicPr>
                    <pic:cNvPr id="44" name="Picture" descr="A graph of different colored lines&#10;&#10;AI-generated content may be incorrect."/>
                    <pic:cNvPicPr>
                      <a:picLocks noChangeAspect="1" noChangeArrowheads="1"/>
                    </pic:cNvPicPr>
                  </pic:nvPicPr>
                  <pic:blipFill>
                    <a:blip r:embed="rId22"/>
                    <a:stretch>
                      <a:fillRect/>
                    </a:stretch>
                  </pic:blipFill>
                  <pic:spPr bwMode="auto">
                    <a:xfrm>
                      <a:off x="0" y="0"/>
                      <a:ext cx="2744206" cy="1960147"/>
                    </a:xfrm>
                    <a:prstGeom prst="rect">
                      <a:avLst/>
                    </a:prstGeom>
                    <a:noFill/>
                    <a:ln w="9525">
                      <a:noFill/>
                      <a:headEnd/>
                      <a:tailEnd/>
                    </a:ln>
                  </pic:spPr>
                </pic:pic>
              </a:graphicData>
            </a:graphic>
          </wp:inline>
        </w:drawing>
      </w:r>
    </w:p>
    <w:p w14:paraId="55C18D34" w14:textId="57BDE7C0" w:rsidR="00525D28" w:rsidRPr="0021272A" w:rsidRDefault="006E5C5A" w:rsidP="0021272A">
      <w:pPr>
        <w:pStyle w:val="ImageCaption"/>
        <w:jc w:val="both"/>
        <w:rPr>
          <w:rFonts w:asciiTheme="minorBidi" w:hAnsiTheme="minorBidi"/>
          <w:sz w:val="18"/>
          <w:szCs w:val="18"/>
        </w:rPr>
      </w:pPr>
      <w:r w:rsidRPr="006E5C5A">
        <w:rPr>
          <w:rFonts w:asciiTheme="minorBidi" w:hAnsiTheme="minorBidi"/>
          <w:sz w:val="18"/>
          <w:szCs w:val="20"/>
        </w:rPr>
        <w:t xml:space="preserve">Figure </w:t>
      </w:r>
      <w:r w:rsidR="006A4453">
        <w:rPr>
          <w:rFonts w:asciiTheme="minorBidi" w:hAnsiTheme="minorBidi"/>
          <w:sz w:val="18"/>
          <w:szCs w:val="20"/>
        </w:rPr>
        <w:t>8</w:t>
      </w:r>
      <w:r w:rsidRPr="006E5C5A">
        <w:rPr>
          <w:rFonts w:asciiTheme="minorBidi" w:hAnsiTheme="minorBidi"/>
          <w:sz w:val="18"/>
          <w:szCs w:val="20"/>
        </w:rPr>
        <w:t xml:space="preserve">: </w:t>
      </w:r>
      <w:r w:rsidRPr="006E5C5A">
        <w:rPr>
          <w:rFonts w:asciiTheme="minorBidi" w:hAnsiTheme="minorBidi"/>
          <w:sz w:val="18"/>
          <w:szCs w:val="18"/>
        </w:rPr>
        <w:t>Comparison between methods for user experience metrics</w:t>
      </w:r>
    </w:p>
    <w:p w14:paraId="1BB267BB" w14:textId="65E79CF8" w:rsidR="006E3C36" w:rsidRPr="006E3C36" w:rsidRDefault="006E3C36" w:rsidP="006E3C36">
      <w:pPr>
        <w:pStyle w:val="PlainText"/>
        <w:ind w:firstLine="284"/>
        <w:rPr>
          <w:b/>
          <w:sz w:val="20"/>
        </w:rPr>
      </w:pPr>
      <w:r w:rsidRPr="004A53A9">
        <w:rPr>
          <w:sz w:val="20"/>
        </w:rPr>
        <w:t xml:space="preserve">The current implementation adopts a high-level abstraction, which significantly reduces the dimensionality of the problem and enables tractable training. However, it does not capture the granularity of individual EV </w:t>
      </w:r>
      <w:proofErr w:type="spellStart"/>
      <w:r w:rsidRPr="004A53A9">
        <w:rPr>
          <w:sz w:val="20"/>
        </w:rPr>
        <w:t>behavior</w:t>
      </w:r>
      <w:proofErr w:type="spellEnd"/>
      <w:r w:rsidRPr="004A53A9">
        <w:rPr>
          <w:sz w:val="20"/>
        </w:rPr>
        <w:t xml:space="preserve">. A fully disaggregated approach, </w:t>
      </w:r>
      <w:proofErr w:type="spellStart"/>
      <w:r w:rsidRPr="004A53A9">
        <w:rPr>
          <w:sz w:val="20"/>
        </w:rPr>
        <w:t>modeling</w:t>
      </w:r>
      <w:proofErr w:type="spellEnd"/>
      <w:r w:rsidRPr="004A53A9">
        <w:rPr>
          <w:sz w:val="20"/>
        </w:rPr>
        <w:t xml:space="preserve"> each EV as an independent agent, would dramatically increase the complexity and computational burden, potentially limiting its feasibility for practical QoS recovery scenarios.</w:t>
      </w:r>
    </w:p>
    <w:p w14:paraId="7F3E7FBD" w14:textId="77777777" w:rsidR="00C669E4" w:rsidRDefault="00C669E4" w:rsidP="0081763A">
      <w:pPr>
        <w:pStyle w:val="PlainText"/>
        <w:rPr>
          <w:sz w:val="20"/>
        </w:rPr>
      </w:pPr>
    </w:p>
    <w:p w14:paraId="056360B3" w14:textId="1E80BBF2" w:rsidR="006E3C36" w:rsidRDefault="006E3C36" w:rsidP="0081763A">
      <w:pPr>
        <w:pStyle w:val="PlainText"/>
        <w:rPr>
          <w:b/>
          <w:bCs/>
          <w:sz w:val="20"/>
        </w:rPr>
      </w:pPr>
      <w:r w:rsidRPr="006E3C36">
        <w:rPr>
          <w:b/>
          <w:bCs/>
          <w:sz w:val="20"/>
        </w:rPr>
        <w:t>5. CONCLUSION</w:t>
      </w:r>
    </w:p>
    <w:p w14:paraId="43C82F75" w14:textId="009824BB" w:rsidR="006E3C36" w:rsidRPr="006E3C36" w:rsidRDefault="00861EE9" w:rsidP="00861EE9">
      <w:pPr>
        <w:pStyle w:val="PlainText"/>
        <w:ind w:firstLine="284"/>
        <w:rPr>
          <w:b/>
          <w:bCs/>
          <w:sz w:val="20"/>
        </w:rPr>
      </w:pPr>
      <w:r w:rsidRPr="004A53A9">
        <w:rPr>
          <w:sz w:val="20"/>
        </w:rPr>
        <w:t xml:space="preserve">This study presented a multi-agent TD3-MADDPG reinforcement learning framework for coordinated recovery of Electric Vehicle Charging Networks (EVCNs) post-prolonged outages. The developed method achieved notable improvements in grid stability, station utilization, congestion management, and user-centric metrics compared to existing strategies. Results demonstrated the model’s ability to adapt strategically, sometimes making non-intuitive redistribution decisions, reflecting advanced learning capabilities. However, these advantages require higher computational resources, emphasizing a crucial balance between complexity and performance. Future research should investigate computational optimizations and explore real-world deployment feasibility for scaling agent-based models. Next steps of our work are to explore hybrid approaches that balance model </w:t>
      </w:r>
      <w:r w:rsidRPr="004A53A9">
        <w:rPr>
          <w:sz w:val="20"/>
        </w:rPr>
        <w:t>fidelity with scalability, possibly through hierarchical or cluster-based agent representations.</w:t>
      </w:r>
    </w:p>
    <w:p w14:paraId="61EA68C1" w14:textId="77777777" w:rsidR="00452605" w:rsidRPr="00F05EA2" w:rsidRDefault="00452605" w:rsidP="00452605">
      <w:pPr>
        <w:pStyle w:val="PlainText"/>
        <w:rPr>
          <w:sz w:val="20"/>
        </w:rPr>
      </w:pPr>
    </w:p>
    <w:p w14:paraId="78C1978A" w14:textId="77777777" w:rsidR="00452605" w:rsidRPr="00F05EA2" w:rsidRDefault="00452605" w:rsidP="00452605">
      <w:pPr>
        <w:pStyle w:val="Heading1"/>
        <w:rPr>
          <w:b w:val="0"/>
          <w:color w:val="FF0000"/>
          <w:lang w:val="pt-BR"/>
        </w:rPr>
      </w:pPr>
      <w:r w:rsidRPr="00F05EA2">
        <w:rPr>
          <w:lang w:val="pt-BR"/>
        </w:rPr>
        <w:t>REFERENCES</w:t>
      </w:r>
      <w:r w:rsidR="0042205D" w:rsidRPr="00F05EA2">
        <w:rPr>
          <w:lang w:val="pt-BR"/>
        </w:rPr>
        <w:t xml:space="preserve"> </w:t>
      </w:r>
    </w:p>
    <w:p w14:paraId="6C13A7F2" w14:textId="77777777" w:rsidR="00787D54" w:rsidRPr="00CA2B65" w:rsidRDefault="00787D54" w:rsidP="00787D54">
      <w:pPr>
        <w:pStyle w:val="BodyText"/>
        <w:spacing w:before="0" w:after="0"/>
        <w:jc w:val="both"/>
        <w:rPr>
          <w:rFonts w:asciiTheme="minorBidi" w:hAnsiTheme="minorBidi" w:cstheme="minorBidi"/>
          <w:sz w:val="18"/>
          <w:szCs w:val="18"/>
          <w:lang w:val="en-GB"/>
        </w:rPr>
      </w:pPr>
      <w:r w:rsidRPr="00787D54">
        <w:rPr>
          <w:rFonts w:asciiTheme="minorBidi" w:hAnsiTheme="minorBidi" w:cstheme="minorBidi"/>
          <w:sz w:val="18"/>
          <w:szCs w:val="18"/>
        </w:rPr>
        <w:t xml:space="preserve">Tang, D., Liu, X., Zhao, T., &amp; Wang, Q. (2023). Spatial–temporal QoS assessment of the EV charging network considering power outages. </w:t>
      </w:r>
      <w:r w:rsidRPr="00787D54">
        <w:rPr>
          <w:rFonts w:asciiTheme="minorBidi" w:hAnsiTheme="minorBidi" w:cstheme="minorBidi"/>
          <w:i/>
          <w:iCs/>
          <w:sz w:val="18"/>
          <w:szCs w:val="18"/>
        </w:rPr>
        <w:t>Frontiers in Energy Research, 11</w:t>
      </w:r>
      <w:r w:rsidRPr="00787D54">
        <w:rPr>
          <w:rFonts w:asciiTheme="minorBidi" w:hAnsiTheme="minorBidi" w:cstheme="minorBidi"/>
          <w:sz w:val="18"/>
          <w:szCs w:val="18"/>
        </w:rPr>
        <w:t xml:space="preserve">, 1112169. </w:t>
      </w:r>
      <w:hyperlink r:id="rId23">
        <w:r w:rsidRPr="00CA2B65">
          <w:rPr>
            <w:rStyle w:val="Hyperlink"/>
            <w:rFonts w:asciiTheme="minorBidi" w:hAnsiTheme="minorBidi" w:cstheme="minorBidi"/>
            <w:sz w:val="18"/>
            <w:szCs w:val="18"/>
            <w:lang w:val="en-GB"/>
          </w:rPr>
          <w:t>https://doi.org/10.3389/fenrg.2023.1112169</w:t>
        </w:r>
      </w:hyperlink>
    </w:p>
    <w:p w14:paraId="0DF5283D" w14:textId="04B342BB" w:rsidR="00787D54" w:rsidRPr="00787D54" w:rsidRDefault="00787D54" w:rsidP="00787D54">
      <w:pPr>
        <w:pStyle w:val="BodyText"/>
        <w:spacing w:before="0" w:after="0"/>
        <w:jc w:val="both"/>
        <w:rPr>
          <w:rFonts w:asciiTheme="minorBidi" w:hAnsiTheme="minorBidi" w:cstheme="minorBidi"/>
          <w:sz w:val="18"/>
          <w:szCs w:val="18"/>
        </w:rPr>
      </w:pPr>
      <w:r w:rsidRPr="00CA2B65">
        <w:rPr>
          <w:rFonts w:asciiTheme="minorBidi" w:hAnsiTheme="minorBidi" w:cstheme="minorBidi"/>
          <w:sz w:val="18"/>
          <w:szCs w:val="18"/>
          <w:lang w:val="en-GB"/>
        </w:rPr>
        <w:t xml:space="preserve">Zhang, A., Liu, Q., Liu, J., &amp; Cheng, L. (2024). </w:t>
      </w:r>
      <w:r w:rsidRPr="00787D54">
        <w:rPr>
          <w:rFonts w:asciiTheme="minorBidi" w:hAnsiTheme="minorBidi" w:cstheme="minorBidi"/>
          <w:sz w:val="18"/>
          <w:szCs w:val="18"/>
        </w:rPr>
        <w:t xml:space="preserve">CASA: Cost-effective EV charging scheduling based on deep reinforcement learning. </w:t>
      </w:r>
      <w:r w:rsidRPr="00787D54">
        <w:rPr>
          <w:rFonts w:asciiTheme="minorBidi" w:hAnsiTheme="minorBidi" w:cstheme="minorBidi"/>
          <w:i/>
          <w:iCs/>
          <w:sz w:val="18"/>
          <w:szCs w:val="18"/>
        </w:rPr>
        <w:t>Neural Computing and Applications, 36</w:t>
      </w:r>
      <w:r w:rsidRPr="00787D54">
        <w:rPr>
          <w:rFonts w:asciiTheme="minorBidi" w:hAnsiTheme="minorBidi" w:cstheme="minorBidi"/>
          <w:sz w:val="18"/>
          <w:szCs w:val="18"/>
        </w:rPr>
        <w:t xml:space="preserve">, 8355-8370. </w:t>
      </w:r>
      <w:hyperlink r:id="rId24">
        <w:r w:rsidRPr="00787D54">
          <w:rPr>
            <w:rStyle w:val="Hyperlink"/>
            <w:rFonts w:asciiTheme="minorBidi" w:hAnsiTheme="minorBidi" w:cstheme="minorBidi"/>
            <w:sz w:val="18"/>
            <w:szCs w:val="18"/>
          </w:rPr>
          <w:t>https://doi.org/10.1007/s00521-024-09530-3</w:t>
        </w:r>
      </w:hyperlink>
    </w:p>
    <w:p w14:paraId="111561BD" w14:textId="77777777" w:rsidR="00787D54" w:rsidRPr="00787D54" w:rsidRDefault="00787D54" w:rsidP="00787D54">
      <w:pPr>
        <w:pStyle w:val="BodyText"/>
        <w:spacing w:before="0" w:after="0"/>
        <w:jc w:val="both"/>
        <w:rPr>
          <w:rFonts w:asciiTheme="minorBidi" w:hAnsiTheme="minorBidi" w:cstheme="minorBidi"/>
          <w:sz w:val="18"/>
          <w:szCs w:val="18"/>
        </w:rPr>
      </w:pPr>
      <w:r w:rsidRPr="00787D54">
        <w:rPr>
          <w:rFonts w:asciiTheme="minorBidi" w:hAnsiTheme="minorBidi" w:cstheme="minorBidi"/>
          <w:sz w:val="18"/>
          <w:szCs w:val="18"/>
        </w:rPr>
        <w:t xml:space="preserve">Li, H., Han, B., Wang, K., &amp; Xu, J. (2023). Decentralized collaborative optimal scheduling for EV charging stations based on multi-agent reinforcement learning. </w:t>
      </w:r>
      <w:r w:rsidRPr="00787D54">
        <w:rPr>
          <w:rFonts w:asciiTheme="minorBidi" w:hAnsiTheme="minorBidi" w:cstheme="minorBidi"/>
          <w:i/>
          <w:iCs/>
          <w:sz w:val="18"/>
          <w:szCs w:val="18"/>
        </w:rPr>
        <w:t>IET Generation, Transmission &amp; Distribution, 18</w:t>
      </w:r>
      <w:r w:rsidRPr="00787D54">
        <w:rPr>
          <w:rFonts w:asciiTheme="minorBidi" w:hAnsiTheme="minorBidi" w:cstheme="minorBidi"/>
          <w:sz w:val="18"/>
          <w:szCs w:val="18"/>
        </w:rPr>
        <w:t xml:space="preserve">, 1172-1183. </w:t>
      </w:r>
      <w:hyperlink r:id="rId25">
        <w:r w:rsidRPr="00787D54">
          <w:rPr>
            <w:rStyle w:val="Hyperlink"/>
            <w:rFonts w:asciiTheme="minorBidi" w:hAnsiTheme="minorBidi" w:cstheme="minorBidi"/>
            <w:sz w:val="18"/>
            <w:szCs w:val="18"/>
          </w:rPr>
          <w:t xml:space="preserve"> https://doi.org/10.1049/gtd2.13047</w:t>
        </w:r>
      </w:hyperlink>
    </w:p>
    <w:p w14:paraId="7C533E43" w14:textId="77777777" w:rsidR="00787D54" w:rsidRPr="00787D54" w:rsidRDefault="00787D54" w:rsidP="00787D54">
      <w:pPr>
        <w:pStyle w:val="BodyText"/>
        <w:spacing w:before="0" w:after="0"/>
        <w:jc w:val="both"/>
        <w:rPr>
          <w:rFonts w:asciiTheme="minorBidi" w:hAnsiTheme="minorBidi" w:cstheme="minorBidi"/>
          <w:sz w:val="18"/>
          <w:szCs w:val="18"/>
        </w:rPr>
      </w:pPr>
      <w:r w:rsidRPr="00787D54">
        <w:rPr>
          <w:rFonts w:asciiTheme="minorBidi" w:hAnsiTheme="minorBidi" w:cstheme="minorBidi"/>
          <w:sz w:val="18"/>
          <w:szCs w:val="18"/>
        </w:rPr>
        <w:t xml:space="preserve">Zhao, Z., &amp; Lee, C. K. M. (2022). Dynamic pricing for EV charging stations: A deep reinforcement learning approach. </w:t>
      </w:r>
      <w:r w:rsidRPr="00787D54">
        <w:rPr>
          <w:rFonts w:asciiTheme="minorBidi" w:hAnsiTheme="minorBidi" w:cstheme="minorBidi"/>
          <w:i/>
          <w:iCs/>
          <w:sz w:val="18"/>
          <w:szCs w:val="18"/>
        </w:rPr>
        <w:t>IEEE Transactions on Transportation Electrification, 8</w:t>
      </w:r>
      <w:r w:rsidRPr="00787D54">
        <w:rPr>
          <w:rFonts w:asciiTheme="minorBidi" w:hAnsiTheme="minorBidi" w:cstheme="minorBidi"/>
          <w:sz w:val="18"/>
          <w:szCs w:val="18"/>
        </w:rPr>
        <w:t xml:space="preserve">(2), 2456-2467. </w:t>
      </w:r>
      <w:hyperlink r:id="rId26">
        <w:r w:rsidRPr="00787D54">
          <w:rPr>
            <w:rStyle w:val="Hyperlink"/>
            <w:rFonts w:asciiTheme="minorBidi" w:hAnsiTheme="minorBidi" w:cstheme="minorBidi"/>
            <w:sz w:val="18"/>
            <w:szCs w:val="18"/>
          </w:rPr>
          <w:t>https://doi: 10.1109/TTE.2021.3139674</w:t>
        </w:r>
      </w:hyperlink>
    </w:p>
    <w:p w14:paraId="20888FCC" w14:textId="77777777" w:rsidR="00787D54" w:rsidRPr="00787D54" w:rsidRDefault="00787D54" w:rsidP="00787D54">
      <w:pPr>
        <w:pStyle w:val="BodyText"/>
        <w:spacing w:before="0" w:after="0"/>
        <w:jc w:val="both"/>
        <w:rPr>
          <w:rFonts w:asciiTheme="minorBidi" w:hAnsiTheme="minorBidi" w:cstheme="minorBidi"/>
          <w:sz w:val="18"/>
          <w:szCs w:val="18"/>
        </w:rPr>
      </w:pPr>
      <w:r w:rsidRPr="004138D8">
        <w:rPr>
          <w:rFonts w:asciiTheme="minorBidi" w:hAnsiTheme="minorBidi" w:cstheme="minorBidi"/>
          <w:sz w:val="18"/>
          <w:szCs w:val="18"/>
        </w:rPr>
        <w:t xml:space="preserve">Zou, L., Munir, M. S., Tun, Y. K., Kang, S., &amp; Hong, C. S. (2022). </w:t>
      </w:r>
      <w:r w:rsidRPr="00787D54">
        <w:rPr>
          <w:rFonts w:asciiTheme="minorBidi" w:hAnsiTheme="minorBidi" w:cstheme="minorBidi"/>
          <w:sz w:val="18"/>
          <w:szCs w:val="18"/>
        </w:rPr>
        <w:t xml:space="preserve">Intelligent EV charging for urban prosumer communities: An auction and multi-agent deep reinforcement learning approach. </w:t>
      </w:r>
      <w:r w:rsidRPr="00787D54">
        <w:rPr>
          <w:rFonts w:asciiTheme="minorBidi" w:hAnsiTheme="minorBidi" w:cstheme="minorBidi"/>
          <w:i/>
          <w:iCs/>
          <w:sz w:val="18"/>
          <w:szCs w:val="18"/>
        </w:rPr>
        <w:t>IEEE Transactions on Network and Service Management, 19</w:t>
      </w:r>
      <w:r w:rsidRPr="00787D54">
        <w:rPr>
          <w:rFonts w:asciiTheme="minorBidi" w:hAnsiTheme="minorBidi" w:cstheme="minorBidi"/>
          <w:sz w:val="18"/>
          <w:szCs w:val="18"/>
        </w:rPr>
        <w:t xml:space="preserve">(4), 4384-4399. </w:t>
      </w:r>
      <w:hyperlink r:id="rId27">
        <w:r w:rsidRPr="00787D54">
          <w:rPr>
            <w:rStyle w:val="Hyperlink"/>
            <w:rFonts w:asciiTheme="minorBidi" w:hAnsiTheme="minorBidi" w:cstheme="minorBidi"/>
            <w:sz w:val="18"/>
            <w:szCs w:val="18"/>
          </w:rPr>
          <w:t>https://doi.org/10.1109/TNSM.2022.3160210</w:t>
        </w:r>
      </w:hyperlink>
    </w:p>
    <w:p w14:paraId="3201378A" w14:textId="77777777" w:rsidR="00787D54" w:rsidRPr="00787D54" w:rsidRDefault="00787D54" w:rsidP="00787D54">
      <w:pPr>
        <w:pStyle w:val="BodyText"/>
        <w:spacing w:before="0" w:after="0"/>
        <w:jc w:val="both"/>
        <w:rPr>
          <w:rFonts w:asciiTheme="minorBidi" w:hAnsiTheme="minorBidi" w:cstheme="minorBidi"/>
          <w:sz w:val="18"/>
          <w:szCs w:val="18"/>
        </w:rPr>
      </w:pPr>
      <w:r w:rsidRPr="00787D54">
        <w:rPr>
          <w:rFonts w:asciiTheme="minorBidi" w:hAnsiTheme="minorBidi" w:cstheme="minorBidi"/>
          <w:sz w:val="18"/>
          <w:szCs w:val="18"/>
        </w:rPr>
        <w:t xml:space="preserve">Ucer, E., Koyuncu, I., </w:t>
      </w:r>
      <w:proofErr w:type="spellStart"/>
      <w:r w:rsidRPr="00787D54">
        <w:rPr>
          <w:rFonts w:asciiTheme="minorBidi" w:hAnsiTheme="minorBidi" w:cstheme="minorBidi"/>
          <w:sz w:val="18"/>
          <w:szCs w:val="18"/>
        </w:rPr>
        <w:t>Kisacikoglu</w:t>
      </w:r>
      <w:proofErr w:type="spellEnd"/>
      <w:r w:rsidRPr="00787D54">
        <w:rPr>
          <w:rFonts w:asciiTheme="minorBidi" w:hAnsiTheme="minorBidi" w:cstheme="minorBidi"/>
          <w:sz w:val="18"/>
          <w:szCs w:val="18"/>
        </w:rPr>
        <w:t xml:space="preserve">, M. C., Yavuz, M., Meintz, A., &amp; Rames, C. (2019). Modeling and analysis of a </w:t>
      </w:r>
      <w:proofErr w:type="gramStart"/>
      <w:r w:rsidRPr="00787D54">
        <w:rPr>
          <w:rFonts w:asciiTheme="minorBidi" w:hAnsiTheme="minorBidi" w:cstheme="minorBidi"/>
          <w:sz w:val="18"/>
          <w:szCs w:val="18"/>
        </w:rPr>
        <w:t>fast charging</w:t>
      </w:r>
      <w:proofErr w:type="gramEnd"/>
      <w:r w:rsidRPr="00787D54">
        <w:rPr>
          <w:rFonts w:asciiTheme="minorBidi" w:hAnsiTheme="minorBidi" w:cstheme="minorBidi"/>
          <w:sz w:val="18"/>
          <w:szCs w:val="18"/>
        </w:rPr>
        <w:t xml:space="preserve"> station and evaluation of service quality for electric vehicles. </w:t>
      </w:r>
      <w:r w:rsidRPr="00787D54">
        <w:rPr>
          <w:rFonts w:asciiTheme="minorBidi" w:hAnsiTheme="minorBidi" w:cstheme="minorBidi"/>
          <w:i/>
          <w:iCs/>
          <w:sz w:val="18"/>
          <w:szCs w:val="18"/>
        </w:rPr>
        <w:t>IEEE Transactions on Transportation Electrification, 5</w:t>
      </w:r>
      <w:r w:rsidRPr="00787D54">
        <w:rPr>
          <w:rFonts w:asciiTheme="minorBidi" w:hAnsiTheme="minorBidi" w:cstheme="minorBidi"/>
          <w:sz w:val="18"/>
          <w:szCs w:val="18"/>
        </w:rPr>
        <w:t xml:space="preserve">(1), 215-225. </w:t>
      </w:r>
      <w:hyperlink r:id="rId28">
        <w:r w:rsidRPr="00787D54">
          <w:rPr>
            <w:rStyle w:val="Hyperlink"/>
            <w:rFonts w:asciiTheme="minorBidi" w:hAnsiTheme="minorBidi" w:cstheme="minorBidi"/>
            <w:sz w:val="18"/>
            <w:szCs w:val="18"/>
          </w:rPr>
          <w:t>https://doi.org/10.1109/TTE.2019.2897088</w:t>
        </w:r>
      </w:hyperlink>
    </w:p>
    <w:p w14:paraId="73BC65F9" w14:textId="77777777" w:rsidR="00787D54" w:rsidRPr="00787D54" w:rsidRDefault="00787D54" w:rsidP="00787D54">
      <w:pPr>
        <w:pStyle w:val="BodyText"/>
        <w:spacing w:before="0" w:after="0"/>
        <w:jc w:val="both"/>
        <w:rPr>
          <w:rFonts w:asciiTheme="minorBidi" w:hAnsiTheme="minorBidi" w:cstheme="minorBidi"/>
          <w:sz w:val="18"/>
          <w:szCs w:val="18"/>
        </w:rPr>
      </w:pPr>
      <w:r w:rsidRPr="00787D54">
        <w:rPr>
          <w:rFonts w:asciiTheme="minorBidi" w:hAnsiTheme="minorBidi" w:cstheme="minorBidi"/>
          <w:sz w:val="18"/>
          <w:szCs w:val="18"/>
        </w:rPr>
        <w:t xml:space="preserve">Cheng, L., Chang, Y., Wu, Q., Lin, W., &amp; Singh, C. (2014). Evaluating charging service reliability for plug-in EVs from the distribution network aspect. </w:t>
      </w:r>
      <w:r w:rsidRPr="00787D54">
        <w:rPr>
          <w:rFonts w:asciiTheme="minorBidi" w:hAnsiTheme="minorBidi" w:cstheme="minorBidi"/>
          <w:i/>
          <w:iCs/>
          <w:sz w:val="18"/>
          <w:szCs w:val="18"/>
        </w:rPr>
        <w:t>IEEE Transactions on Sustainable Energy, 5</w:t>
      </w:r>
      <w:r w:rsidRPr="00787D54">
        <w:rPr>
          <w:rFonts w:asciiTheme="minorBidi" w:hAnsiTheme="minorBidi" w:cstheme="minorBidi"/>
          <w:sz w:val="18"/>
          <w:szCs w:val="18"/>
        </w:rPr>
        <w:t xml:space="preserve">(4), 1287-1296. </w:t>
      </w:r>
      <w:hyperlink r:id="rId29">
        <w:r w:rsidRPr="00787D54">
          <w:rPr>
            <w:rStyle w:val="Hyperlink"/>
            <w:rFonts w:asciiTheme="minorBidi" w:hAnsiTheme="minorBidi" w:cstheme="minorBidi"/>
            <w:sz w:val="18"/>
            <w:szCs w:val="18"/>
          </w:rPr>
          <w:t>https://doi.org/10.1109/TSTE.2014.2348575</w:t>
        </w:r>
      </w:hyperlink>
    </w:p>
    <w:p w14:paraId="1DA0EE2E" w14:textId="77777777" w:rsidR="00787D54" w:rsidRPr="00787D54" w:rsidRDefault="00787D54" w:rsidP="00787D54">
      <w:pPr>
        <w:pStyle w:val="BodyText"/>
        <w:spacing w:before="0" w:after="0"/>
        <w:jc w:val="both"/>
        <w:rPr>
          <w:rFonts w:asciiTheme="minorBidi" w:hAnsiTheme="minorBidi" w:cstheme="minorBidi"/>
          <w:sz w:val="18"/>
          <w:szCs w:val="18"/>
        </w:rPr>
      </w:pPr>
      <w:r w:rsidRPr="00787D54">
        <w:rPr>
          <w:rFonts w:asciiTheme="minorBidi" w:hAnsiTheme="minorBidi" w:cstheme="minorBidi"/>
          <w:sz w:val="18"/>
          <w:szCs w:val="18"/>
        </w:rPr>
        <w:t>Wei, W., Wu, D., Wu, Q., Shafie-</w:t>
      </w:r>
      <w:proofErr w:type="spellStart"/>
      <w:r w:rsidRPr="00787D54">
        <w:rPr>
          <w:rFonts w:asciiTheme="minorBidi" w:hAnsiTheme="minorBidi" w:cstheme="minorBidi"/>
          <w:sz w:val="18"/>
          <w:szCs w:val="18"/>
        </w:rPr>
        <w:t>Khah</w:t>
      </w:r>
      <w:proofErr w:type="spellEnd"/>
      <w:r w:rsidRPr="00787D54">
        <w:rPr>
          <w:rFonts w:asciiTheme="minorBidi" w:hAnsiTheme="minorBidi" w:cstheme="minorBidi"/>
          <w:sz w:val="18"/>
          <w:szCs w:val="18"/>
        </w:rPr>
        <w:t xml:space="preserve">, M., &amp; </w:t>
      </w:r>
      <w:proofErr w:type="spellStart"/>
      <w:r w:rsidRPr="00787D54">
        <w:rPr>
          <w:rFonts w:asciiTheme="minorBidi" w:hAnsiTheme="minorBidi" w:cstheme="minorBidi"/>
          <w:sz w:val="18"/>
          <w:szCs w:val="18"/>
        </w:rPr>
        <w:t>Catalao</w:t>
      </w:r>
      <w:proofErr w:type="spellEnd"/>
      <w:r w:rsidRPr="00787D54">
        <w:rPr>
          <w:rFonts w:asciiTheme="minorBidi" w:hAnsiTheme="minorBidi" w:cstheme="minorBidi"/>
          <w:sz w:val="18"/>
          <w:szCs w:val="18"/>
        </w:rPr>
        <w:t xml:space="preserve">, J. P. S. (2019). Interdependence between transportation system and power distribution system: A comprehensive review on models and applications. </w:t>
      </w:r>
      <w:r w:rsidRPr="00787D54">
        <w:rPr>
          <w:rFonts w:asciiTheme="minorBidi" w:hAnsiTheme="minorBidi" w:cstheme="minorBidi"/>
          <w:i/>
          <w:iCs/>
          <w:sz w:val="18"/>
          <w:szCs w:val="18"/>
        </w:rPr>
        <w:t>Journal of Modern Power Systems and Clean Energy, 7</w:t>
      </w:r>
      <w:r w:rsidRPr="00787D54">
        <w:rPr>
          <w:rFonts w:asciiTheme="minorBidi" w:hAnsiTheme="minorBidi" w:cstheme="minorBidi"/>
          <w:sz w:val="18"/>
          <w:szCs w:val="18"/>
        </w:rPr>
        <w:t xml:space="preserve">, 433-448. </w:t>
      </w:r>
      <w:hyperlink r:id="rId30">
        <w:r w:rsidRPr="00787D54">
          <w:rPr>
            <w:rStyle w:val="Hyperlink"/>
            <w:rFonts w:asciiTheme="minorBidi" w:hAnsiTheme="minorBidi" w:cstheme="minorBidi"/>
            <w:sz w:val="18"/>
            <w:szCs w:val="18"/>
          </w:rPr>
          <w:t>https://doi.org/10.1007/s40565-019-0516-7</w:t>
        </w:r>
      </w:hyperlink>
    </w:p>
    <w:p w14:paraId="41DE23C4" w14:textId="77777777" w:rsidR="00787D54" w:rsidRPr="00952624" w:rsidRDefault="00787D54" w:rsidP="00787D54">
      <w:pPr>
        <w:pStyle w:val="BodyText"/>
        <w:spacing w:before="0" w:after="0"/>
        <w:jc w:val="both"/>
        <w:rPr>
          <w:rFonts w:asciiTheme="minorBidi" w:hAnsiTheme="minorBidi" w:cstheme="minorBidi"/>
          <w:sz w:val="18"/>
          <w:szCs w:val="18"/>
          <w:lang w:val="de-DE"/>
        </w:rPr>
      </w:pPr>
      <w:r w:rsidRPr="00787D54">
        <w:rPr>
          <w:rFonts w:asciiTheme="minorBidi" w:hAnsiTheme="minorBidi" w:cstheme="minorBidi"/>
          <w:sz w:val="18"/>
          <w:szCs w:val="18"/>
        </w:rPr>
        <w:t xml:space="preserve">Lowe, R., Wu, Y., Tamar, A., Harb, J., </w:t>
      </w:r>
      <w:proofErr w:type="spellStart"/>
      <w:r w:rsidRPr="00787D54">
        <w:rPr>
          <w:rFonts w:asciiTheme="minorBidi" w:hAnsiTheme="minorBidi" w:cstheme="minorBidi"/>
          <w:sz w:val="18"/>
          <w:szCs w:val="18"/>
        </w:rPr>
        <w:t>Abbeel</w:t>
      </w:r>
      <w:proofErr w:type="spellEnd"/>
      <w:r w:rsidRPr="00787D54">
        <w:rPr>
          <w:rFonts w:asciiTheme="minorBidi" w:hAnsiTheme="minorBidi" w:cstheme="minorBidi"/>
          <w:sz w:val="18"/>
          <w:szCs w:val="18"/>
        </w:rPr>
        <w:t xml:space="preserve">, P., &amp; </w:t>
      </w:r>
      <w:proofErr w:type="spellStart"/>
      <w:r w:rsidRPr="00787D54">
        <w:rPr>
          <w:rFonts w:asciiTheme="minorBidi" w:hAnsiTheme="minorBidi" w:cstheme="minorBidi"/>
          <w:sz w:val="18"/>
          <w:szCs w:val="18"/>
        </w:rPr>
        <w:t>Mordatch</w:t>
      </w:r>
      <w:proofErr w:type="spellEnd"/>
      <w:r w:rsidRPr="00787D54">
        <w:rPr>
          <w:rFonts w:asciiTheme="minorBidi" w:hAnsiTheme="minorBidi" w:cstheme="minorBidi"/>
          <w:sz w:val="18"/>
          <w:szCs w:val="18"/>
        </w:rPr>
        <w:t xml:space="preserve">, I. (2020). Multi-Agent Actor-Critic for Mixed Cooperative-Competitive Environments. </w:t>
      </w:r>
      <w:proofErr w:type="spellStart"/>
      <w:r w:rsidRPr="00787D54">
        <w:rPr>
          <w:rFonts w:asciiTheme="minorBidi" w:hAnsiTheme="minorBidi" w:cstheme="minorBidi"/>
          <w:i/>
          <w:iCs/>
          <w:sz w:val="18"/>
          <w:szCs w:val="18"/>
        </w:rPr>
        <w:t>arXiv</w:t>
      </w:r>
      <w:proofErr w:type="spellEnd"/>
      <w:r w:rsidRPr="00787D54">
        <w:rPr>
          <w:rFonts w:asciiTheme="minorBidi" w:hAnsiTheme="minorBidi" w:cstheme="minorBidi"/>
          <w:i/>
          <w:iCs/>
          <w:sz w:val="18"/>
          <w:szCs w:val="18"/>
        </w:rPr>
        <w:t xml:space="preserve"> preprint arXiv:1706.02275</w:t>
      </w:r>
      <w:r w:rsidRPr="00787D54">
        <w:rPr>
          <w:rFonts w:asciiTheme="minorBidi" w:hAnsiTheme="minorBidi" w:cstheme="minorBidi"/>
          <w:sz w:val="18"/>
          <w:szCs w:val="18"/>
        </w:rPr>
        <w:t xml:space="preserve">. </w:t>
      </w:r>
      <w:hyperlink r:id="rId31">
        <w:r w:rsidRPr="00952624">
          <w:rPr>
            <w:rStyle w:val="Hyperlink"/>
            <w:rFonts w:asciiTheme="minorBidi" w:hAnsiTheme="minorBidi" w:cstheme="minorBidi"/>
            <w:sz w:val="18"/>
            <w:szCs w:val="18"/>
            <w:lang w:val="de-DE"/>
          </w:rPr>
          <w:t>https://doi.org/10.48550/arXiv.1706.02275</w:t>
        </w:r>
      </w:hyperlink>
    </w:p>
    <w:p w14:paraId="020EF3DE" w14:textId="77777777" w:rsidR="00787D54" w:rsidRPr="00787D54" w:rsidRDefault="00787D54" w:rsidP="00787D54">
      <w:pPr>
        <w:pStyle w:val="BodyText"/>
        <w:spacing w:before="0" w:after="0"/>
        <w:jc w:val="both"/>
        <w:rPr>
          <w:rFonts w:asciiTheme="minorBidi" w:hAnsiTheme="minorBidi" w:cstheme="minorBidi"/>
          <w:sz w:val="18"/>
          <w:szCs w:val="18"/>
        </w:rPr>
      </w:pPr>
      <w:r w:rsidRPr="00787D54">
        <w:rPr>
          <w:rFonts w:asciiTheme="minorBidi" w:hAnsiTheme="minorBidi" w:cstheme="minorBidi"/>
          <w:sz w:val="18"/>
          <w:szCs w:val="18"/>
          <w:lang w:val="de-DE"/>
        </w:rPr>
        <w:t xml:space="preserve">Huang, S., Wu, Q., Oren, S. S., Li, R., &amp; Liu, Z. (2015). </w:t>
      </w:r>
      <w:r w:rsidRPr="00787D54">
        <w:rPr>
          <w:rFonts w:asciiTheme="minorBidi" w:hAnsiTheme="minorBidi" w:cstheme="minorBidi"/>
          <w:sz w:val="18"/>
          <w:szCs w:val="18"/>
        </w:rPr>
        <w:t xml:space="preserve">Distribution locational marginal pricing through quadratic programming for congestion management in distribution networks. </w:t>
      </w:r>
      <w:r w:rsidRPr="00787D54">
        <w:rPr>
          <w:rFonts w:asciiTheme="minorBidi" w:hAnsiTheme="minorBidi" w:cstheme="minorBidi"/>
          <w:i/>
          <w:iCs/>
          <w:sz w:val="18"/>
          <w:szCs w:val="18"/>
        </w:rPr>
        <w:t>IEEE Transactions on Power Systems</w:t>
      </w:r>
      <w:r w:rsidRPr="00787D54">
        <w:rPr>
          <w:rFonts w:asciiTheme="minorBidi" w:hAnsiTheme="minorBidi" w:cstheme="minorBidi"/>
          <w:sz w:val="18"/>
          <w:szCs w:val="18"/>
        </w:rPr>
        <w:t xml:space="preserve">, </w:t>
      </w:r>
      <w:r w:rsidRPr="00787D54">
        <w:rPr>
          <w:rFonts w:asciiTheme="minorBidi" w:hAnsiTheme="minorBidi" w:cstheme="minorBidi"/>
          <w:i/>
          <w:iCs/>
          <w:sz w:val="18"/>
          <w:szCs w:val="18"/>
        </w:rPr>
        <w:t>30</w:t>
      </w:r>
      <w:r w:rsidRPr="00787D54">
        <w:rPr>
          <w:rFonts w:asciiTheme="minorBidi" w:hAnsiTheme="minorBidi" w:cstheme="minorBidi"/>
          <w:sz w:val="18"/>
          <w:szCs w:val="18"/>
        </w:rPr>
        <w:t xml:space="preserve">(4), 2170–2178. </w:t>
      </w:r>
      <w:hyperlink r:id="rId32">
        <w:r w:rsidRPr="00787D54">
          <w:rPr>
            <w:rStyle w:val="Hyperlink"/>
            <w:rFonts w:asciiTheme="minorBidi" w:hAnsiTheme="minorBidi" w:cstheme="minorBidi"/>
            <w:sz w:val="18"/>
            <w:szCs w:val="18"/>
          </w:rPr>
          <w:t>https://doi.org/10.1109/TPWRS.2014.2359977</w:t>
        </w:r>
      </w:hyperlink>
    </w:p>
    <w:p w14:paraId="0178C775" w14:textId="2567E14E" w:rsidR="00452605" w:rsidRPr="00A25EBC" w:rsidRDefault="00787D54" w:rsidP="00A25EBC">
      <w:pPr>
        <w:pStyle w:val="BodyText"/>
        <w:spacing w:before="0" w:after="0"/>
        <w:jc w:val="both"/>
        <w:rPr>
          <w:rFonts w:asciiTheme="minorBidi" w:hAnsiTheme="minorBidi" w:cstheme="minorBidi"/>
          <w:sz w:val="18"/>
          <w:szCs w:val="18"/>
        </w:rPr>
      </w:pPr>
      <w:r w:rsidRPr="00787D54">
        <w:rPr>
          <w:rFonts w:asciiTheme="minorBidi" w:hAnsiTheme="minorBidi" w:cstheme="minorBidi"/>
          <w:sz w:val="18"/>
          <w:szCs w:val="18"/>
        </w:rPr>
        <w:t>Sheng, Y., Guo, Q., Yang, T., Zhou, Z., &amp; Sun, H. (2019). A potential security threat and its solution in coupled urban power-traffic networks with high penetration of electric</w:t>
      </w:r>
      <w:r w:rsidR="00775662">
        <w:rPr>
          <w:rFonts w:asciiTheme="minorBidi" w:hAnsiTheme="minorBidi" w:cstheme="minorBidi"/>
          <w:sz w:val="18"/>
          <w:szCs w:val="18"/>
        </w:rPr>
        <w:t xml:space="preserve"> </w:t>
      </w:r>
      <w:r w:rsidRPr="00787D54">
        <w:rPr>
          <w:rFonts w:asciiTheme="minorBidi" w:hAnsiTheme="minorBidi" w:cstheme="minorBidi"/>
          <w:sz w:val="18"/>
          <w:szCs w:val="18"/>
        </w:rPr>
        <w:t xml:space="preserve">vehicles. </w:t>
      </w:r>
      <w:r w:rsidRPr="00787D54">
        <w:rPr>
          <w:rFonts w:asciiTheme="minorBidi" w:hAnsiTheme="minorBidi" w:cstheme="minorBidi"/>
          <w:i/>
          <w:iCs/>
          <w:sz w:val="18"/>
          <w:szCs w:val="18"/>
        </w:rPr>
        <w:t>CSEE Journal of Power and Energy Systems</w:t>
      </w:r>
      <w:r w:rsidRPr="00787D54">
        <w:rPr>
          <w:rFonts w:asciiTheme="minorBidi" w:hAnsiTheme="minorBidi" w:cstheme="minorBidi"/>
          <w:sz w:val="18"/>
          <w:szCs w:val="18"/>
        </w:rPr>
        <w:t xml:space="preserve">. </w:t>
      </w:r>
      <w:hyperlink r:id="rId33">
        <w:r w:rsidRPr="00787D54">
          <w:rPr>
            <w:rStyle w:val="Hyperlink"/>
            <w:rFonts w:asciiTheme="minorBidi" w:hAnsiTheme="minorBidi" w:cstheme="minorBidi"/>
            <w:sz w:val="18"/>
            <w:szCs w:val="18"/>
          </w:rPr>
          <w:t>https://doi.org/10.17775/CSEEJPES.2020.01460</w:t>
        </w:r>
      </w:hyperlink>
    </w:p>
    <w:sectPr w:rsidR="00452605" w:rsidRPr="00A25EBC" w:rsidSect="00857E6D">
      <w:headerReference w:type="default" r:id="rId34"/>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0E697" w14:textId="77777777" w:rsidR="00C163B3" w:rsidRDefault="00C163B3" w:rsidP="00A974D7">
      <w:r>
        <w:separator/>
      </w:r>
    </w:p>
  </w:endnote>
  <w:endnote w:type="continuationSeparator" w:id="0">
    <w:p w14:paraId="2EE13FF2" w14:textId="77777777" w:rsidR="00C163B3" w:rsidRDefault="00C163B3"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0D8AE1F7" w:rsidR="00DF42B5" w:rsidRPr="00DF42B5" w:rsidRDefault="00DF42B5" w:rsidP="00DF42B5">
    <w:pPr>
      <w:pStyle w:val="Footer"/>
      <w:jc w:val="right"/>
      <w:rPr>
        <w:b w:val="0"/>
        <w:bCs/>
        <w:sz w:val="16"/>
        <w:szCs w:val="16"/>
      </w:rPr>
    </w:pP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B3145A4" w:rsidR="00991A6B" w:rsidRPr="00DF42B5" w:rsidRDefault="00991A6B">
    <w:pPr>
      <w:pStyle w:val="Footer"/>
      <w:jc w:val="right"/>
      <w:rPr>
        <w:b w:val="0"/>
        <w:bCs/>
        <w:sz w:val="16"/>
        <w:szCs w:val="16"/>
      </w:rPr>
    </w:pP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Pr="00DF42B5">
      <w:rPr>
        <w:b w:val="0"/>
        <w:bCs/>
        <w:noProof/>
        <w:sz w:val="16"/>
        <w:szCs w:val="16"/>
      </w:rPr>
      <w:t>2</w:t>
    </w:r>
    <w:r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C723D" w14:textId="77777777" w:rsidR="00C163B3" w:rsidRDefault="00C163B3" w:rsidP="00A974D7">
      <w:r>
        <w:separator/>
      </w:r>
    </w:p>
  </w:footnote>
  <w:footnote w:type="continuationSeparator" w:id="0">
    <w:p w14:paraId="3EA5FF1F" w14:textId="77777777" w:rsidR="00C163B3" w:rsidRDefault="00C163B3"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745DB47E" w:rsidR="007F5224" w:rsidRDefault="005F74EF" w:rsidP="009465E7">
    <w:pPr>
      <w:pStyle w:val="Header"/>
      <w:jc w:val="center"/>
    </w:pPr>
    <w:r>
      <w:rPr>
        <w:rFonts w:cs="Arial"/>
        <w:sz w:val="36"/>
      </w:rPr>
      <w:t xml:space="preserve"> </w:t>
    </w:r>
    <w:r w:rsidR="00BD4DD2">
      <w:rPr>
        <w:noProof/>
      </w:rPr>
      <w:drawing>
        <wp:inline distT="0" distB="0" distL="0" distR="0" wp14:anchorId="27CFEFE5" wp14:editId="52391EC1">
          <wp:extent cx="1797685" cy="179768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685" cy="17976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1A8C4D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1444866"/>
    <w:lvl w:ilvl="0">
      <w:start w:val="1"/>
      <w:numFmt w:val="bullet"/>
      <w:lvlText w:val=""/>
      <w:lvlJc w:val="left"/>
      <w:pPr>
        <w:ind w:left="502" w:hanging="360"/>
      </w:pPr>
      <w:rPr>
        <w:rFonts w:ascii="Wingdings" w:hAnsi="Wingdings"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201"/>
    <w:multiLevelType w:val="multilevel"/>
    <w:tmpl w:val="51CC6BC4"/>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3"/>
  </w:num>
  <w:num w:numId="2" w16cid:durableId="1159543423">
    <w:abstractNumId w:val="4"/>
  </w:num>
  <w:num w:numId="3" w16cid:durableId="1668828031">
    <w:abstractNumId w:val="0"/>
  </w:num>
  <w:num w:numId="4" w16cid:durableId="1730374880">
    <w:abstractNumId w:val="2"/>
  </w:num>
  <w:num w:numId="5" w16cid:durableId="456217789">
    <w:abstractNumId w:val="1"/>
  </w:num>
  <w:num w:numId="6" w16cid:durableId="11029896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3D74"/>
    <w:rsid w:val="00006E06"/>
    <w:rsid w:val="000115A7"/>
    <w:rsid w:val="00014300"/>
    <w:rsid w:val="00016F2D"/>
    <w:rsid w:val="00017B66"/>
    <w:rsid w:val="00017D53"/>
    <w:rsid w:val="000215C4"/>
    <w:rsid w:val="000329CA"/>
    <w:rsid w:val="00032BAF"/>
    <w:rsid w:val="00036544"/>
    <w:rsid w:val="00041183"/>
    <w:rsid w:val="00041B90"/>
    <w:rsid w:val="0004606A"/>
    <w:rsid w:val="000470C3"/>
    <w:rsid w:val="00055EFD"/>
    <w:rsid w:val="0005654D"/>
    <w:rsid w:val="00060AD0"/>
    <w:rsid w:val="0006672B"/>
    <w:rsid w:val="00071583"/>
    <w:rsid w:val="00071C00"/>
    <w:rsid w:val="00076448"/>
    <w:rsid w:val="000861F7"/>
    <w:rsid w:val="00092735"/>
    <w:rsid w:val="00094A82"/>
    <w:rsid w:val="00095014"/>
    <w:rsid w:val="000A364B"/>
    <w:rsid w:val="000B62D6"/>
    <w:rsid w:val="000B7A6B"/>
    <w:rsid w:val="000C79BC"/>
    <w:rsid w:val="000D5BB5"/>
    <w:rsid w:val="000D5D09"/>
    <w:rsid w:val="000E6C79"/>
    <w:rsid w:val="000F4745"/>
    <w:rsid w:val="00100674"/>
    <w:rsid w:val="001029BA"/>
    <w:rsid w:val="00120599"/>
    <w:rsid w:val="00120CDA"/>
    <w:rsid w:val="0012137D"/>
    <w:rsid w:val="0012216D"/>
    <w:rsid w:val="0013069B"/>
    <w:rsid w:val="00154061"/>
    <w:rsid w:val="00155EA0"/>
    <w:rsid w:val="00187143"/>
    <w:rsid w:val="001A0B08"/>
    <w:rsid w:val="001A2149"/>
    <w:rsid w:val="001A4741"/>
    <w:rsid w:val="001B0C20"/>
    <w:rsid w:val="001B6B82"/>
    <w:rsid w:val="001C1971"/>
    <w:rsid w:val="001C2004"/>
    <w:rsid w:val="001C535D"/>
    <w:rsid w:val="001D151E"/>
    <w:rsid w:val="001D6CCF"/>
    <w:rsid w:val="001D72F8"/>
    <w:rsid w:val="001E03B8"/>
    <w:rsid w:val="001E523F"/>
    <w:rsid w:val="001F56EB"/>
    <w:rsid w:val="001F603E"/>
    <w:rsid w:val="002100A8"/>
    <w:rsid w:val="0021272A"/>
    <w:rsid w:val="00213073"/>
    <w:rsid w:val="00213E0F"/>
    <w:rsid w:val="00216CAD"/>
    <w:rsid w:val="00230396"/>
    <w:rsid w:val="00241695"/>
    <w:rsid w:val="00243FFB"/>
    <w:rsid w:val="0024432C"/>
    <w:rsid w:val="00246E7B"/>
    <w:rsid w:val="00251A53"/>
    <w:rsid w:val="00253618"/>
    <w:rsid w:val="002715DF"/>
    <w:rsid w:val="002739B1"/>
    <w:rsid w:val="002812C9"/>
    <w:rsid w:val="00283E92"/>
    <w:rsid w:val="00290817"/>
    <w:rsid w:val="002956FB"/>
    <w:rsid w:val="00295B55"/>
    <w:rsid w:val="00297D53"/>
    <w:rsid w:val="002A3B5D"/>
    <w:rsid w:val="002D0E2F"/>
    <w:rsid w:val="002D319B"/>
    <w:rsid w:val="002E1E48"/>
    <w:rsid w:val="002E2FE5"/>
    <w:rsid w:val="00300E62"/>
    <w:rsid w:val="00302192"/>
    <w:rsid w:val="0031556A"/>
    <w:rsid w:val="00316160"/>
    <w:rsid w:val="00317A4A"/>
    <w:rsid w:val="00324810"/>
    <w:rsid w:val="0033283E"/>
    <w:rsid w:val="003412C9"/>
    <w:rsid w:val="00341DA1"/>
    <w:rsid w:val="00346234"/>
    <w:rsid w:val="00364DE2"/>
    <w:rsid w:val="00372649"/>
    <w:rsid w:val="00373D4E"/>
    <w:rsid w:val="00381502"/>
    <w:rsid w:val="00381804"/>
    <w:rsid w:val="003B45D4"/>
    <w:rsid w:val="003C6085"/>
    <w:rsid w:val="003D162E"/>
    <w:rsid w:val="003E1723"/>
    <w:rsid w:val="003E3898"/>
    <w:rsid w:val="003F1F2A"/>
    <w:rsid w:val="004018FE"/>
    <w:rsid w:val="00411EDA"/>
    <w:rsid w:val="00412197"/>
    <w:rsid w:val="004138D8"/>
    <w:rsid w:val="00421586"/>
    <w:rsid w:val="0042205D"/>
    <w:rsid w:val="0042338A"/>
    <w:rsid w:val="004331D6"/>
    <w:rsid w:val="00437DB9"/>
    <w:rsid w:val="00452605"/>
    <w:rsid w:val="00473697"/>
    <w:rsid w:val="00473A1A"/>
    <w:rsid w:val="0047494E"/>
    <w:rsid w:val="00474CAE"/>
    <w:rsid w:val="00474EDE"/>
    <w:rsid w:val="00480680"/>
    <w:rsid w:val="004939CF"/>
    <w:rsid w:val="00493DE1"/>
    <w:rsid w:val="004B5883"/>
    <w:rsid w:val="004D1C38"/>
    <w:rsid w:val="004D4339"/>
    <w:rsid w:val="004E20F3"/>
    <w:rsid w:val="004E68D2"/>
    <w:rsid w:val="004F55C0"/>
    <w:rsid w:val="004F6326"/>
    <w:rsid w:val="005021D7"/>
    <w:rsid w:val="005065FE"/>
    <w:rsid w:val="00506D84"/>
    <w:rsid w:val="00513DBC"/>
    <w:rsid w:val="00515B04"/>
    <w:rsid w:val="00521F7B"/>
    <w:rsid w:val="005228B8"/>
    <w:rsid w:val="00523059"/>
    <w:rsid w:val="00525D28"/>
    <w:rsid w:val="005356CF"/>
    <w:rsid w:val="005415E5"/>
    <w:rsid w:val="0054466D"/>
    <w:rsid w:val="00561209"/>
    <w:rsid w:val="005741B9"/>
    <w:rsid w:val="005752CC"/>
    <w:rsid w:val="00575F8B"/>
    <w:rsid w:val="00580E0F"/>
    <w:rsid w:val="005A0994"/>
    <w:rsid w:val="005A108C"/>
    <w:rsid w:val="005A1DA5"/>
    <w:rsid w:val="005B2172"/>
    <w:rsid w:val="005B2BD1"/>
    <w:rsid w:val="005B399D"/>
    <w:rsid w:val="005B724E"/>
    <w:rsid w:val="005C79AC"/>
    <w:rsid w:val="005D3F75"/>
    <w:rsid w:val="005D6537"/>
    <w:rsid w:val="005E3E05"/>
    <w:rsid w:val="005E4273"/>
    <w:rsid w:val="005F0CB9"/>
    <w:rsid w:val="005F74EF"/>
    <w:rsid w:val="006069C3"/>
    <w:rsid w:val="00621641"/>
    <w:rsid w:val="00623362"/>
    <w:rsid w:val="0062637C"/>
    <w:rsid w:val="00637024"/>
    <w:rsid w:val="006370A7"/>
    <w:rsid w:val="00641267"/>
    <w:rsid w:val="00655CAD"/>
    <w:rsid w:val="0065674D"/>
    <w:rsid w:val="00656C2C"/>
    <w:rsid w:val="00663133"/>
    <w:rsid w:val="00666DA0"/>
    <w:rsid w:val="00673AF0"/>
    <w:rsid w:val="00681F34"/>
    <w:rsid w:val="00697D29"/>
    <w:rsid w:val="006A2AB1"/>
    <w:rsid w:val="006A4453"/>
    <w:rsid w:val="006A6A7E"/>
    <w:rsid w:val="006A7AF0"/>
    <w:rsid w:val="006B228A"/>
    <w:rsid w:val="006B264D"/>
    <w:rsid w:val="006C079B"/>
    <w:rsid w:val="006C4863"/>
    <w:rsid w:val="006C5367"/>
    <w:rsid w:val="006C79D8"/>
    <w:rsid w:val="006D5C01"/>
    <w:rsid w:val="006E3C36"/>
    <w:rsid w:val="006E5C5A"/>
    <w:rsid w:val="00700811"/>
    <w:rsid w:val="00701B43"/>
    <w:rsid w:val="007023F2"/>
    <w:rsid w:val="0071499A"/>
    <w:rsid w:val="007240F1"/>
    <w:rsid w:val="00727563"/>
    <w:rsid w:val="0072784F"/>
    <w:rsid w:val="00730FC9"/>
    <w:rsid w:val="007356F6"/>
    <w:rsid w:val="007459B1"/>
    <w:rsid w:val="00747926"/>
    <w:rsid w:val="00751B35"/>
    <w:rsid w:val="007573F6"/>
    <w:rsid w:val="007616CD"/>
    <w:rsid w:val="00762B71"/>
    <w:rsid w:val="007638D1"/>
    <w:rsid w:val="00775662"/>
    <w:rsid w:val="00781485"/>
    <w:rsid w:val="00781EA6"/>
    <w:rsid w:val="00782E81"/>
    <w:rsid w:val="00787D54"/>
    <w:rsid w:val="0079586B"/>
    <w:rsid w:val="007A70E0"/>
    <w:rsid w:val="007B134F"/>
    <w:rsid w:val="007C3528"/>
    <w:rsid w:val="007C3737"/>
    <w:rsid w:val="007D5289"/>
    <w:rsid w:val="007E08D9"/>
    <w:rsid w:val="007E156C"/>
    <w:rsid w:val="007E3BD9"/>
    <w:rsid w:val="007F2CCF"/>
    <w:rsid w:val="007F30EC"/>
    <w:rsid w:val="007F5224"/>
    <w:rsid w:val="007F6AAE"/>
    <w:rsid w:val="00801AB1"/>
    <w:rsid w:val="00811B9D"/>
    <w:rsid w:val="00812538"/>
    <w:rsid w:val="00814B3A"/>
    <w:rsid w:val="0081763A"/>
    <w:rsid w:val="00821DF0"/>
    <w:rsid w:val="00826CBC"/>
    <w:rsid w:val="0083446D"/>
    <w:rsid w:val="00835369"/>
    <w:rsid w:val="008365F1"/>
    <w:rsid w:val="00842657"/>
    <w:rsid w:val="00845689"/>
    <w:rsid w:val="008461C1"/>
    <w:rsid w:val="00850825"/>
    <w:rsid w:val="00854663"/>
    <w:rsid w:val="008556AB"/>
    <w:rsid w:val="00857E6D"/>
    <w:rsid w:val="00861EE9"/>
    <w:rsid w:val="00864DB0"/>
    <w:rsid w:val="00865E31"/>
    <w:rsid w:val="0086672F"/>
    <w:rsid w:val="00880957"/>
    <w:rsid w:val="008872C4"/>
    <w:rsid w:val="0089389A"/>
    <w:rsid w:val="0089655D"/>
    <w:rsid w:val="008968E9"/>
    <w:rsid w:val="00896AB3"/>
    <w:rsid w:val="008A1384"/>
    <w:rsid w:val="008B03FB"/>
    <w:rsid w:val="008B1AE9"/>
    <w:rsid w:val="008B4F49"/>
    <w:rsid w:val="008B583D"/>
    <w:rsid w:val="008B6A2D"/>
    <w:rsid w:val="008B7508"/>
    <w:rsid w:val="008C1D1F"/>
    <w:rsid w:val="008C70E5"/>
    <w:rsid w:val="008C7709"/>
    <w:rsid w:val="008D1758"/>
    <w:rsid w:val="008D55B7"/>
    <w:rsid w:val="008E5C2B"/>
    <w:rsid w:val="008F0255"/>
    <w:rsid w:val="008F3AA5"/>
    <w:rsid w:val="0090778C"/>
    <w:rsid w:val="00910728"/>
    <w:rsid w:val="0091410E"/>
    <w:rsid w:val="00915FF7"/>
    <w:rsid w:val="00920AA2"/>
    <w:rsid w:val="00923F70"/>
    <w:rsid w:val="009251E5"/>
    <w:rsid w:val="00925A5F"/>
    <w:rsid w:val="00933D04"/>
    <w:rsid w:val="00936D2D"/>
    <w:rsid w:val="009450F6"/>
    <w:rsid w:val="009465E7"/>
    <w:rsid w:val="00947200"/>
    <w:rsid w:val="00952624"/>
    <w:rsid w:val="0095421F"/>
    <w:rsid w:val="0095653F"/>
    <w:rsid w:val="009648B4"/>
    <w:rsid w:val="00964B2F"/>
    <w:rsid w:val="0098069D"/>
    <w:rsid w:val="00984AE5"/>
    <w:rsid w:val="00991A6B"/>
    <w:rsid w:val="00994805"/>
    <w:rsid w:val="00996337"/>
    <w:rsid w:val="009A4733"/>
    <w:rsid w:val="009B7D5C"/>
    <w:rsid w:val="009D31E9"/>
    <w:rsid w:val="009D3296"/>
    <w:rsid w:val="009D72B3"/>
    <w:rsid w:val="009E06BD"/>
    <w:rsid w:val="009E5926"/>
    <w:rsid w:val="009E7F70"/>
    <w:rsid w:val="009F0509"/>
    <w:rsid w:val="009F0B7A"/>
    <w:rsid w:val="009F3890"/>
    <w:rsid w:val="009F52A1"/>
    <w:rsid w:val="00A06C3A"/>
    <w:rsid w:val="00A113E7"/>
    <w:rsid w:val="00A1355D"/>
    <w:rsid w:val="00A22D61"/>
    <w:rsid w:val="00A23450"/>
    <w:rsid w:val="00A25EBC"/>
    <w:rsid w:val="00A275D9"/>
    <w:rsid w:val="00A3747D"/>
    <w:rsid w:val="00A70111"/>
    <w:rsid w:val="00A7221C"/>
    <w:rsid w:val="00A74484"/>
    <w:rsid w:val="00A76DF9"/>
    <w:rsid w:val="00A77ECB"/>
    <w:rsid w:val="00A87382"/>
    <w:rsid w:val="00A9057B"/>
    <w:rsid w:val="00A92A2C"/>
    <w:rsid w:val="00A974D7"/>
    <w:rsid w:val="00AA1895"/>
    <w:rsid w:val="00AA1FBC"/>
    <w:rsid w:val="00AA5330"/>
    <w:rsid w:val="00AB2309"/>
    <w:rsid w:val="00AC40DF"/>
    <w:rsid w:val="00AC4D20"/>
    <w:rsid w:val="00AC79BB"/>
    <w:rsid w:val="00AD531C"/>
    <w:rsid w:val="00AE2EC7"/>
    <w:rsid w:val="00AE43B9"/>
    <w:rsid w:val="00AE474C"/>
    <w:rsid w:val="00AF1F2B"/>
    <w:rsid w:val="00AF7083"/>
    <w:rsid w:val="00B001A6"/>
    <w:rsid w:val="00B05B01"/>
    <w:rsid w:val="00B07C6A"/>
    <w:rsid w:val="00B1319D"/>
    <w:rsid w:val="00B149CC"/>
    <w:rsid w:val="00B20A61"/>
    <w:rsid w:val="00B45095"/>
    <w:rsid w:val="00B56F8C"/>
    <w:rsid w:val="00B72222"/>
    <w:rsid w:val="00B750B3"/>
    <w:rsid w:val="00B76C0C"/>
    <w:rsid w:val="00B77A41"/>
    <w:rsid w:val="00B803A0"/>
    <w:rsid w:val="00B809C5"/>
    <w:rsid w:val="00B8277E"/>
    <w:rsid w:val="00B84E07"/>
    <w:rsid w:val="00B86B2E"/>
    <w:rsid w:val="00BA6517"/>
    <w:rsid w:val="00BB44D5"/>
    <w:rsid w:val="00BB4F36"/>
    <w:rsid w:val="00BC0D0B"/>
    <w:rsid w:val="00BC1D6C"/>
    <w:rsid w:val="00BD4DD2"/>
    <w:rsid w:val="00BE258C"/>
    <w:rsid w:val="00BE27ED"/>
    <w:rsid w:val="00BF5227"/>
    <w:rsid w:val="00BF5B80"/>
    <w:rsid w:val="00C04303"/>
    <w:rsid w:val="00C06233"/>
    <w:rsid w:val="00C07CE0"/>
    <w:rsid w:val="00C07F73"/>
    <w:rsid w:val="00C10295"/>
    <w:rsid w:val="00C163B3"/>
    <w:rsid w:val="00C177FE"/>
    <w:rsid w:val="00C20A1B"/>
    <w:rsid w:val="00C31D5E"/>
    <w:rsid w:val="00C32EB1"/>
    <w:rsid w:val="00C35773"/>
    <w:rsid w:val="00C4130E"/>
    <w:rsid w:val="00C41557"/>
    <w:rsid w:val="00C4506F"/>
    <w:rsid w:val="00C61F11"/>
    <w:rsid w:val="00C669E4"/>
    <w:rsid w:val="00C8701C"/>
    <w:rsid w:val="00C87D13"/>
    <w:rsid w:val="00C93570"/>
    <w:rsid w:val="00C956D1"/>
    <w:rsid w:val="00CA2B65"/>
    <w:rsid w:val="00CA3ECE"/>
    <w:rsid w:val="00CB2332"/>
    <w:rsid w:val="00CB34E4"/>
    <w:rsid w:val="00CB39D5"/>
    <w:rsid w:val="00CB4872"/>
    <w:rsid w:val="00CC6C6A"/>
    <w:rsid w:val="00CD0DC9"/>
    <w:rsid w:val="00CE144F"/>
    <w:rsid w:val="00CE5799"/>
    <w:rsid w:val="00CE5B24"/>
    <w:rsid w:val="00CE6561"/>
    <w:rsid w:val="00CE721C"/>
    <w:rsid w:val="00CF139F"/>
    <w:rsid w:val="00CF20EA"/>
    <w:rsid w:val="00CF475C"/>
    <w:rsid w:val="00CF6922"/>
    <w:rsid w:val="00D053CB"/>
    <w:rsid w:val="00D14182"/>
    <w:rsid w:val="00D24542"/>
    <w:rsid w:val="00D31278"/>
    <w:rsid w:val="00D331FA"/>
    <w:rsid w:val="00D40C12"/>
    <w:rsid w:val="00D43670"/>
    <w:rsid w:val="00D45D34"/>
    <w:rsid w:val="00D461B2"/>
    <w:rsid w:val="00D508F1"/>
    <w:rsid w:val="00D71CEB"/>
    <w:rsid w:val="00D77DA7"/>
    <w:rsid w:val="00D92909"/>
    <w:rsid w:val="00D935B6"/>
    <w:rsid w:val="00DA3063"/>
    <w:rsid w:val="00DA3A93"/>
    <w:rsid w:val="00DA7291"/>
    <w:rsid w:val="00DB60B6"/>
    <w:rsid w:val="00DD1770"/>
    <w:rsid w:val="00DD2059"/>
    <w:rsid w:val="00DD687C"/>
    <w:rsid w:val="00DE1562"/>
    <w:rsid w:val="00DE2C5C"/>
    <w:rsid w:val="00DE4250"/>
    <w:rsid w:val="00DE4AB5"/>
    <w:rsid w:val="00DF3472"/>
    <w:rsid w:val="00DF42B5"/>
    <w:rsid w:val="00DF53B4"/>
    <w:rsid w:val="00E10D5C"/>
    <w:rsid w:val="00E13700"/>
    <w:rsid w:val="00E17941"/>
    <w:rsid w:val="00E215D2"/>
    <w:rsid w:val="00E21BC4"/>
    <w:rsid w:val="00E24377"/>
    <w:rsid w:val="00E34D7A"/>
    <w:rsid w:val="00E37449"/>
    <w:rsid w:val="00E402DF"/>
    <w:rsid w:val="00E4344D"/>
    <w:rsid w:val="00E47708"/>
    <w:rsid w:val="00E506F0"/>
    <w:rsid w:val="00E537D0"/>
    <w:rsid w:val="00E56566"/>
    <w:rsid w:val="00E70355"/>
    <w:rsid w:val="00E72291"/>
    <w:rsid w:val="00E84285"/>
    <w:rsid w:val="00E85CB1"/>
    <w:rsid w:val="00E90A6D"/>
    <w:rsid w:val="00E970F9"/>
    <w:rsid w:val="00EB2B18"/>
    <w:rsid w:val="00EB7CB0"/>
    <w:rsid w:val="00EC1253"/>
    <w:rsid w:val="00EC61B4"/>
    <w:rsid w:val="00ED3661"/>
    <w:rsid w:val="00ED3835"/>
    <w:rsid w:val="00EE40DD"/>
    <w:rsid w:val="00EF0109"/>
    <w:rsid w:val="00EF5BFB"/>
    <w:rsid w:val="00EF7644"/>
    <w:rsid w:val="00F04C92"/>
    <w:rsid w:val="00F05EA2"/>
    <w:rsid w:val="00F11E54"/>
    <w:rsid w:val="00F2258D"/>
    <w:rsid w:val="00F26717"/>
    <w:rsid w:val="00F26E45"/>
    <w:rsid w:val="00F50B7A"/>
    <w:rsid w:val="00F51F2B"/>
    <w:rsid w:val="00F54D2C"/>
    <w:rsid w:val="00F608DB"/>
    <w:rsid w:val="00F634DB"/>
    <w:rsid w:val="00F64A83"/>
    <w:rsid w:val="00F65C51"/>
    <w:rsid w:val="00F66C12"/>
    <w:rsid w:val="00F702A6"/>
    <w:rsid w:val="00F719D1"/>
    <w:rsid w:val="00F71A24"/>
    <w:rsid w:val="00F733B8"/>
    <w:rsid w:val="00F8264F"/>
    <w:rsid w:val="00FA6FE6"/>
    <w:rsid w:val="00FB1B83"/>
    <w:rsid w:val="00FB21D6"/>
    <w:rsid w:val="00FB21E1"/>
    <w:rsid w:val="00FB2C61"/>
    <w:rsid w:val="00FB51D4"/>
    <w:rsid w:val="00FD5523"/>
    <w:rsid w:val="00FE4248"/>
    <w:rsid w:val="00FF3C8C"/>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val="en-GB"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BodyText">
    <w:name w:val="Body Text"/>
    <w:basedOn w:val="Normal"/>
    <w:link w:val="BodyTextChar"/>
    <w:qFormat/>
    <w:rsid w:val="00BF5227"/>
    <w:pPr>
      <w:spacing w:before="180" w:after="180"/>
      <w:jc w:val="left"/>
    </w:pPr>
    <w:rPr>
      <w:rFonts w:ascii="Aptos" w:eastAsia="Aptos" w:hAnsi="Aptos" w:cs="Arial"/>
      <w:b w:val="0"/>
      <w:lang w:val="en-US"/>
    </w:rPr>
  </w:style>
  <w:style w:type="character" w:customStyle="1" w:styleId="BodyTextChar">
    <w:name w:val="Body Text Char"/>
    <w:link w:val="BodyText"/>
    <w:rsid w:val="00BF5227"/>
    <w:rPr>
      <w:rFonts w:ascii="Aptos" w:eastAsia="Aptos" w:hAnsi="Aptos" w:cs="Arial"/>
      <w:sz w:val="24"/>
      <w:szCs w:val="24"/>
      <w:lang w:val="en-US" w:eastAsia="en-US"/>
    </w:rPr>
  </w:style>
  <w:style w:type="paragraph" w:customStyle="1" w:styleId="FirstParagraph">
    <w:name w:val="First Paragraph"/>
    <w:basedOn w:val="BodyText"/>
    <w:next w:val="BodyText"/>
    <w:qFormat/>
    <w:rsid w:val="00BF5227"/>
  </w:style>
  <w:style w:type="paragraph" w:customStyle="1" w:styleId="Compact">
    <w:name w:val="Compact"/>
    <w:basedOn w:val="BodyText"/>
    <w:qFormat/>
    <w:rsid w:val="00E17941"/>
    <w:pPr>
      <w:spacing w:before="36" w:after="36" w:line="259" w:lineRule="auto"/>
    </w:pPr>
    <w:rPr>
      <w:rFonts w:asciiTheme="minorHAnsi" w:eastAsiaTheme="minorHAnsi" w:hAnsiTheme="minorHAnsi" w:cstheme="minorBidi"/>
      <w:kern w:val="2"/>
      <w:sz w:val="22"/>
      <w:szCs w:val="22"/>
      <w:lang w:val="en-GB"/>
      <w14:ligatures w14:val="standardContextual"/>
    </w:rPr>
  </w:style>
  <w:style w:type="table" w:customStyle="1" w:styleId="Table">
    <w:name w:val="Table"/>
    <w:semiHidden/>
    <w:unhideWhenUsed/>
    <w:qFormat/>
    <w:rsid w:val="00E17941"/>
    <w:pPr>
      <w:spacing w:after="200"/>
    </w:pPr>
    <w:rPr>
      <w:rFonts w:asciiTheme="minorHAnsi" w:eastAsiaTheme="minorHAnsi" w:hAnsiTheme="minorHAnsi" w:cstheme="minorBidi"/>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E17941"/>
    <w:pPr>
      <w:keepNext/>
      <w:spacing w:after="120" w:line="259" w:lineRule="auto"/>
      <w:jc w:val="left"/>
    </w:pPr>
    <w:rPr>
      <w:rFonts w:asciiTheme="minorHAnsi" w:eastAsiaTheme="minorHAnsi" w:hAnsiTheme="minorHAnsi" w:cstheme="minorBidi"/>
      <w:b w:val="0"/>
      <w:iCs w:val="0"/>
      <w:color w:val="auto"/>
      <w:kern w:val="2"/>
      <w:sz w:val="22"/>
      <w:szCs w:val="22"/>
      <w14:ligatures w14:val="standardContextual"/>
    </w:rPr>
  </w:style>
  <w:style w:type="paragraph" w:styleId="Caption">
    <w:name w:val="caption"/>
    <w:basedOn w:val="Normal"/>
    <w:next w:val="Normal"/>
    <w:uiPriority w:val="35"/>
    <w:semiHidden/>
    <w:unhideWhenUsed/>
    <w:qFormat/>
    <w:rsid w:val="00E17941"/>
    <w:pPr>
      <w:spacing w:after="200"/>
    </w:pPr>
    <w:rPr>
      <w:i/>
      <w:iCs/>
      <w:color w:val="0E2841" w:themeColor="text2"/>
      <w:sz w:val="18"/>
      <w:szCs w:val="18"/>
    </w:rPr>
  </w:style>
  <w:style w:type="paragraph" w:customStyle="1" w:styleId="ImageCaption">
    <w:name w:val="Image Caption"/>
    <w:basedOn w:val="Caption"/>
    <w:rsid w:val="00381502"/>
    <w:pPr>
      <w:spacing w:after="120" w:line="259" w:lineRule="auto"/>
      <w:jc w:val="left"/>
    </w:pPr>
    <w:rPr>
      <w:rFonts w:asciiTheme="minorHAnsi" w:eastAsiaTheme="minorHAnsi" w:hAnsiTheme="minorHAnsi" w:cstheme="minorBidi"/>
      <w:b w:val="0"/>
      <w:iCs w:val="0"/>
      <w:color w:val="auto"/>
      <w:kern w:val="2"/>
      <w:sz w:val="22"/>
      <w:szCs w:val="22"/>
    </w:rPr>
  </w:style>
  <w:style w:type="paragraph" w:customStyle="1" w:styleId="CaptionedFigure">
    <w:name w:val="Captioned Figure"/>
    <w:basedOn w:val="Normal"/>
    <w:rsid w:val="00515B04"/>
    <w:pPr>
      <w:keepNext/>
      <w:spacing w:after="160" w:line="259" w:lineRule="auto"/>
      <w:jc w:val="left"/>
    </w:pPr>
    <w:rPr>
      <w:rFonts w:asciiTheme="minorHAnsi" w:eastAsiaTheme="minorHAnsi" w:hAnsiTheme="minorHAnsi" w:cstheme="minorBidi"/>
      <w:b w:val="0"/>
      <w:kern w:val="2"/>
      <w:sz w:val="22"/>
      <w:szCs w:val="22"/>
    </w:rPr>
  </w:style>
  <w:style w:type="table" w:styleId="PlainTable2">
    <w:name w:val="Plain Table 2"/>
    <w:basedOn w:val="TableNormal"/>
    <w:uiPriority w:val="42"/>
    <w:rsid w:val="00DF53B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98069D"/>
    <w:rPr>
      <w:sz w:val="16"/>
      <w:szCs w:val="16"/>
    </w:rPr>
  </w:style>
  <w:style w:type="paragraph" w:styleId="CommentText">
    <w:name w:val="annotation text"/>
    <w:basedOn w:val="Normal"/>
    <w:link w:val="CommentTextChar"/>
    <w:uiPriority w:val="99"/>
    <w:unhideWhenUsed/>
    <w:rsid w:val="0098069D"/>
    <w:rPr>
      <w:sz w:val="20"/>
      <w:szCs w:val="20"/>
    </w:rPr>
  </w:style>
  <w:style w:type="character" w:customStyle="1" w:styleId="CommentTextChar">
    <w:name w:val="Comment Text Char"/>
    <w:basedOn w:val="DefaultParagraphFont"/>
    <w:link w:val="CommentText"/>
    <w:uiPriority w:val="99"/>
    <w:rsid w:val="0098069D"/>
    <w:rPr>
      <w:rFonts w:ascii="Arial" w:eastAsia="Times New Roman" w:hAnsi="Arial"/>
      <w:b/>
      <w:lang w:val="en-GB" w:eastAsia="en-US"/>
    </w:rPr>
  </w:style>
  <w:style w:type="paragraph" w:styleId="CommentSubject">
    <w:name w:val="annotation subject"/>
    <w:basedOn w:val="CommentText"/>
    <w:next w:val="CommentText"/>
    <w:link w:val="CommentSubjectChar"/>
    <w:uiPriority w:val="99"/>
    <w:semiHidden/>
    <w:unhideWhenUsed/>
    <w:rsid w:val="0098069D"/>
    <w:rPr>
      <w:bCs/>
    </w:rPr>
  </w:style>
  <w:style w:type="character" w:customStyle="1" w:styleId="CommentSubjectChar">
    <w:name w:val="Comment Subject Char"/>
    <w:basedOn w:val="CommentTextChar"/>
    <w:link w:val="CommentSubject"/>
    <w:uiPriority w:val="99"/>
    <w:semiHidden/>
    <w:rsid w:val="0098069D"/>
    <w:rPr>
      <w:rFonts w:ascii="Arial" w:eastAsia="Times New Roman" w:hAnsi="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42546897">
      <w:bodyDiv w:val="1"/>
      <w:marLeft w:val="0"/>
      <w:marRight w:val="0"/>
      <w:marTop w:val="0"/>
      <w:marBottom w:val="0"/>
      <w:divBdr>
        <w:top w:val="none" w:sz="0" w:space="0" w:color="auto"/>
        <w:left w:val="none" w:sz="0" w:space="0" w:color="auto"/>
        <w:bottom w:val="none" w:sz="0" w:space="0" w:color="auto"/>
        <w:right w:val="none" w:sz="0" w:space="0" w:color="auto"/>
      </w:divBdr>
      <w:divsChild>
        <w:div w:id="1181352964">
          <w:marLeft w:val="0"/>
          <w:marRight w:val="0"/>
          <w:marTop w:val="0"/>
          <w:marBottom w:val="0"/>
          <w:divBdr>
            <w:top w:val="none" w:sz="0" w:space="0" w:color="auto"/>
            <w:left w:val="none" w:sz="0" w:space="0" w:color="auto"/>
            <w:bottom w:val="none" w:sz="0" w:space="0" w:color="auto"/>
            <w:right w:val="none" w:sz="0" w:space="0" w:color="auto"/>
          </w:divBdr>
          <w:divsChild>
            <w:div w:id="1248032220">
              <w:marLeft w:val="0"/>
              <w:marRight w:val="0"/>
              <w:marTop w:val="0"/>
              <w:marBottom w:val="0"/>
              <w:divBdr>
                <w:top w:val="none" w:sz="0" w:space="0" w:color="auto"/>
                <w:left w:val="none" w:sz="0" w:space="0" w:color="auto"/>
                <w:bottom w:val="none" w:sz="0" w:space="0" w:color="auto"/>
                <w:right w:val="none" w:sz="0" w:space="0" w:color="auto"/>
              </w:divBdr>
            </w:div>
            <w:div w:id="619578261">
              <w:marLeft w:val="0"/>
              <w:marRight w:val="0"/>
              <w:marTop w:val="0"/>
              <w:marBottom w:val="0"/>
              <w:divBdr>
                <w:top w:val="none" w:sz="0" w:space="0" w:color="auto"/>
                <w:left w:val="none" w:sz="0" w:space="0" w:color="auto"/>
                <w:bottom w:val="none" w:sz="0" w:space="0" w:color="auto"/>
                <w:right w:val="none" w:sz="0" w:space="0" w:color="auto"/>
              </w:divBdr>
            </w:div>
            <w:div w:id="1880896102">
              <w:marLeft w:val="0"/>
              <w:marRight w:val="0"/>
              <w:marTop w:val="0"/>
              <w:marBottom w:val="0"/>
              <w:divBdr>
                <w:top w:val="none" w:sz="0" w:space="0" w:color="auto"/>
                <w:left w:val="none" w:sz="0" w:space="0" w:color="auto"/>
                <w:bottom w:val="none" w:sz="0" w:space="0" w:color="auto"/>
                <w:right w:val="none" w:sz="0" w:space="0" w:color="auto"/>
              </w:divBdr>
            </w:div>
            <w:div w:id="2042389717">
              <w:marLeft w:val="0"/>
              <w:marRight w:val="0"/>
              <w:marTop w:val="0"/>
              <w:marBottom w:val="0"/>
              <w:divBdr>
                <w:top w:val="none" w:sz="0" w:space="0" w:color="auto"/>
                <w:left w:val="none" w:sz="0" w:space="0" w:color="auto"/>
                <w:bottom w:val="none" w:sz="0" w:space="0" w:color="auto"/>
                <w:right w:val="none" w:sz="0" w:space="0" w:color="auto"/>
              </w:divBdr>
            </w:div>
            <w:div w:id="1425108304">
              <w:marLeft w:val="0"/>
              <w:marRight w:val="0"/>
              <w:marTop w:val="0"/>
              <w:marBottom w:val="0"/>
              <w:divBdr>
                <w:top w:val="none" w:sz="0" w:space="0" w:color="auto"/>
                <w:left w:val="none" w:sz="0" w:space="0" w:color="auto"/>
                <w:bottom w:val="none" w:sz="0" w:space="0" w:color="auto"/>
                <w:right w:val="none" w:sz="0" w:space="0" w:color="auto"/>
              </w:divBdr>
            </w:div>
            <w:div w:id="788429590">
              <w:marLeft w:val="0"/>
              <w:marRight w:val="0"/>
              <w:marTop w:val="0"/>
              <w:marBottom w:val="0"/>
              <w:divBdr>
                <w:top w:val="none" w:sz="0" w:space="0" w:color="auto"/>
                <w:left w:val="none" w:sz="0" w:space="0" w:color="auto"/>
                <w:bottom w:val="none" w:sz="0" w:space="0" w:color="auto"/>
                <w:right w:val="none" w:sz="0" w:space="0" w:color="auto"/>
              </w:divBdr>
            </w:div>
            <w:div w:id="961572151">
              <w:marLeft w:val="0"/>
              <w:marRight w:val="0"/>
              <w:marTop w:val="0"/>
              <w:marBottom w:val="0"/>
              <w:divBdr>
                <w:top w:val="none" w:sz="0" w:space="0" w:color="auto"/>
                <w:left w:val="none" w:sz="0" w:space="0" w:color="auto"/>
                <w:bottom w:val="none" w:sz="0" w:space="0" w:color="auto"/>
                <w:right w:val="none" w:sz="0" w:space="0" w:color="auto"/>
              </w:divBdr>
            </w:div>
            <w:div w:id="107899405">
              <w:marLeft w:val="0"/>
              <w:marRight w:val="0"/>
              <w:marTop w:val="0"/>
              <w:marBottom w:val="0"/>
              <w:divBdr>
                <w:top w:val="none" w:sz="0" w:space="0" w:color="auto"/>
                <w:left w:val="none" w:sz="0" w:space="0" w:color="auto"/>
                <w:bottom w:val="none" w:sz="0" w:space="0" w:color="auto"/>
                <w:right w:val="none" w:sz="0" w:space="0" w:color="auto"/>
              </w:divBdr>
            </w:div>
            <w:div w:id="216017216">
              <w:marLeft w:val="0"/>
              <w:marRight w:val="0"/>
              <w:marTop w:val="0"/>
              <w:marBottom w:val="0"/>
              <w:divBdr>
                <w:top w:val="none" w:sz="0" w:space="0" w:color="auto"/>
                <w:left w:val="none" w:sz="0" w:space="0" w:color="auto"/>
                <w:bottom w:val="none" w:sz="0" w:space="0" w:color="auto"/>
                <w:right w:val="none" w:sz="0" w:space="0" w:color="auto"/>
              </w:divBdr>
            </w:div>
            <w:div w:id="36709423">
              <w:marLeft w:val="0"/>
              <w:marRight w:val="0"/>
              <w:marTop w:val="0"/>
              <w:marBottom w:val="0"/>
              <w:divBdr>
                <w:top w:val="none" w:sz="0" w:space="0" w:color="auto"/>
                <w:left w:val="none" w:sz="0" w:space="0" w:color="auto"/>
                <w:bottom w:val="none" w:sz="0" w:space="0" w:color="auto"/>
                <w:right w:val="none" w:sz="0" w:space="0" w:color="auto"/>
              </w:divBdr>
            </w:div>
            <w:div w:id="754129861">
              <w:marLeft w:val="0"/>
              <w:marRight w:val="0"/>
              <w:marTop w:val="0"/>
              <w:marBottom w:val="0"/>
              <w:divBdr>
                <w:top w:val="none" w:sz="0" w:space="0" w:color="auto"/>
                <w:left w:val="none" w:sz="0" w:space="0" w:color="auto"/>
                <w:bottom w:val="none" w:sz="0" w:space="0" w:color="auto"/>
                <w:right w:val="none" w:sz="0" w:space="0" w:color="auto"/>
              </w:divBdr>
            </w:div>
            <w:div w:id="1499539538">
              <w:marLeft w:val="0"/>
              <w:marRight w:val="0"/>
              <w:marTop w:val="0"/>
              <w:marBottom w:val="0"/>
              <w:divBdr>
                <w:top w:val="none" w:sz="0" w:space="0" w:color="auto"/>
                <w:left w:val="none" w:sz="0" w:space="0" w:color="auto"/>
                <w:bottom w:val="none" w:sz="0" w:space="0" w:color="auto"/>
                <w:right w:val="none" w:sz="0" w:space="0" w:color="auto"/>
              </w:divBdr>
            </w:div>
            <w:div w:id="1561014032">
              <w:marLeft w:val="0"/>
              <w:marRight w:val="0"/>
              <w:marTop w:val="0"/>
              <w:marBottom w:val="0"/>
              <w:divBdr>
                <w:top w:val="none" w:sz="0" w:space="0" w:color="auto"/>
                <w:left w:val="none" w:sz="0" w:space="0" w:color="auto"/>
                <w:bottom w:val="none" w:sz="0" w:space="0" w:color="auto"/>
                <w:right w:val="none" w:sz="0" w:space="0" w:color="auto"/>
              </w:divBdr>
            </w:div>
            <w:div w:id="90392100">
              <w:marLeft w:val="0"/>
              <w:marRight w:val="0"/>
              <w:marTop w:val="0"/>
              <w:marBottom w:val="0"/>
              <w:divBdr>
                <w:top w:val="none" w:sz="0" w:space="0" w:color="auto"/>
                <w:left w:val="none" w:sz="0" w:space="0" w:color="auto"/>
                <w:bottom w:val="none" w:sz="0" w:space="0" w:color="auto"/>
                <w:right w:val="none" w:sz="0" w:space="0" w:color="auto"/>
              </w:divBdr>
            </w:div>
            <w:div w:id="9702">
              <w:marLeft w:val="0"/>
              <w:marRight w:val="0"/>
              <w:marTop w:val="0"/>
              <w:marBottom w:val="0"/>
              <w:divBdr>
                <w:top w:val="none" w:sz="0" w:space="0" w:color="auto"/>
                <w:left w:val="none" w:sz="0" w:space="0" w:color="auto"/>
                <w:bottom w:val="none" w:sz="0" w:space="0" w:color="auto"/>
                <w:right w:val="none" w:sz="0" w:space="0" w:color="auto"/>
              </w:divBdr>
            </w:div>
            <w:div w:id="25911144">
              <w:marLeft w:val="0"/>
              <w:marRight w:val="0"/>
              <w:marTop w:val="0"/>
              <w:marBottom w:val="0"/>
              <w:divBdr>
                <w:top w:val="none" w:sz="0" w:space="0" w:color="auto"/>
                <w:left w:val="none" w:sz="0" w:space="0" w:color="auto"/>
                <w:bottom w:val="none" w:sz="0" w:space="0" w:color="auto"/>
                <w:right w:val="none" w:sz="0" w:space="0" w:color="auto"/>
              </w:divBdr>
            </w:div>
            <w:div w:id="962077171">
              <w:marLeft w:val="0"/>
              <w:marRight w:val="0"/>
              <w:marTop w:val="0"/>
              <w:marBottom w:val="0"/>
              <w:divBdr>
                <w:top w:val="none" w:sz="0" w:space="0" w:color="auto"/>
                <w:left w:val="none" w:sz="0" w:space="0" w:color="auto"/>
                <w:bottom w:val="none" w:sz="0" w:space="0" w:color="auto"/>
                <w:right w:val="none" w:sz="0" w:space="0" w:color="auto"/>
              </w:divBdr>
            </w:div>
            <w:div w:id="1865828335">
              <w:marLeft w:val="0"/>
              <w:marRight w:val="0"/>
              <w:marTop w:val="0"/>
              <w:marBottom w:val="0"/>
              <w:divBdr>
                <w:top w:val="none" w:sz="0" w:space="0" w:color="auto"/>
                <w:left w:val="none" w:sz="0" w:space="0" w:color="auto"/>
                <w:bottom w:val="none" w:sz="0" w:space="0" w:color="auto"/>
                <w:right w:val="none" w:sz="0" w:space="0" w:color="auto"/>
              </w:divBdr>
            </w:div>
            <w:div w:id="1260138354">
              <w:marLeft w:val="0"/>
              <w:marRight w:val="0"/>
              <w:marTop w:val="0"/>
              <w:marBottom w:val="0"/>
              <w:divBdr>
                <w:top w:val="none" w:sz="0" w:space="0" w:color="auto"/>
                <w:left w:val="none" w:sz="0" w:space="0" w:color="auto"/>
                <w:bottom w:val="none" w:sz="0" w:space="0" w:color="auto"/>
                <w:right w:val="none" w:sz="0" w:space="0" w:color="auto"/>
              </w:divBdr>
            </w:div>
            <w:div w:id="1049762648">
              <w:marLeft w:val="0"/>
              <w:marRight w:val="0"/>
              <w:marTop w:val="0"/>
              <w:marBottom w:val="0"/>
              <w:divBdr>
                <w:top w:val="none" w:sz="0" w:space="0" w:color="auto"/>
                <w:left w:val="none" w:sz="0" w:space="0" w:color="auto"/>
                <w:bottom w:val="none" w:sz="0" w:space="0" w:color="auto"/>
                <w:right w:val="none" w:sz="0" w:space="0" w:color="auto"/>
              </w:divBdr>
            </w:div>
            <w:div w:id="49623321">
              <w:marLeft w:val="0"/>
              <w:marRight w:val="0"/>
              <w:marTop w:val="0"/>
              <w:marBottom w:val="0"/>
              <w:divBdr>
                <w:top w:val="none" w:sz="0" w:space="0" w:color="auto"/>
                <w:left w:val="none" w:sz="0" w:space="0" w:color="auto"/>
                <w:bottom w:val="none" w:sz="0" w:space="0" w:color="auto"/>
                <w:right w:val="none" w:sz="0" w:space="0" w:color="auto"/>
              </w:divBdr>
            </w:div>
            <w:div w:id="799767999">
              <w:marLeft w:val="0"/>
              <w:marRight w:val="0"/>
              <w:marTop w:val="0"/>
              <w:marBottom w:val="0"/>
              <w:divBdr>
                <w:top w:val="none" w:sz="0" w:space="0" w:color="auto"/>
                <w:left w:val="none" w:sz="0" w:space="0" w:color="auto"/>
                <w:bottom w:val="none" w:sz="0" w:space="0" w:color="auto"/>
                <w:right w:val="none" w:sz="0" w:space="0" w:color="auto"/>
              </w:divBdr>
            </w:div>
            <w:div w:id="602612750">
              <w:marLeft w:val="0"/>
              <w:marRight w:val="0"/>
              <w:marTop w:val="0"/>
              <w:marBottom w:val="0"/>
              <w:divBdr>
                <w:top w:val="none" w:sz="0" w:space="0" w:color="auto"/>
                <w:left w:val="none" w:sz="0" w:space="0" w:color="auto"/>
                <w:bottom w:val="none" w:sz="0" w:space="0" w:color="auto"/>
                <w:right w:val="none" w:sz="0" w:space="0" w:color="auto"/>
              </w:divBdr>
            </w:div>
            <w:div w:id="1044714436">
              <w:marLeft w:val="0"/>
              <w:marRight w:val="0"/>
              <w:marTop w:val="0"/>
              <w:marBottom w:val="0"/>
              <w:divBdr>
                <w:top w:val="none" w:sz="0" w:space="0" w:color="auto"/>
                <w:left w:val="none" w:sz="0" w:space="0" w:color="auto"/>
                <w:bottom w:val="none" w:sz="0" w:space="0" w:color="auto"/>
                <w:right w:val="none" w:sz="0" w:space="0" w:color="auto"/>
              </w:divBdr>
            </w:div>
            <w:div w:id="1218517073">
              <w:marLeft w:val="0"/>
              <w:marRight w:val="0"/>
              <w:marTop w:val="0"/>
              <w:marBottom w:val="0"/>
              <w:divBdr>
                <w:top w:val="none" w:sz="0" w:space="0" w:color="auto"/>
                <w:left w:val="none" w:sz="0" w:space="0" w:color="auto"/>
                <w:bottom w:val="none" w:sz="0" w:space="0" w:color="auto"/>
                <w:right w:val="none" w:sz="0" w:space="0" w:color="auto"/>
              </w:divBdr>
            </w:div>
            <w:div w:id="1851137233">
              <w:marLeft w:val="0"/>
              <w:marRight w:val="0"/>
              <w:marTop w:val="0"/>
              <w:marBottom w:val="0"/>
              <w:divBdr>
                <w:top w:val="none" w:sz="0" w:space="0" w:color="auto"/>
                <w:left w:val="none" w:sz="0" w:space="0" w:color="auto"/>
                <w:bottom w:val="none" w:sz="0" w:space="0" w:color="auto"/>
                <w:right w:val="none" w:sz="0" w:space="0" w:color="auto"/>
              </w:divBdr>
            </w:div>
            <w:div w:id="25764856">
              <w:marLeft w:val="0"/>
              <w:marRight w:val="0"/>
              <w:marTop w:val="0"/>
              <w:marBottom w:val="0"/>
              <w:divBdr>
                <w:top w:val="none" w:sz="0" w:space="0" w:color="auto"/>
                <w:left w:val="none" w:sz="0" w:space="0" w:color="auto"/>
                <w:bottom w:val="none" w:sz="0" w:space="0" w:color="auto"/>
                <w:right w:val="none" w:sz="0" w:space="0" w:color="auto"/>
              </w:divBdr>
            </w:div>
            <w:div w:id="2040543683">
              <w:marLeft w:val="0"/>
              <w:marRight w:val="0"/>
              <w:marTop w:val="0"/>
              <w:marBottom w:val="0"/>
              <w:divBdr>
                <w:top w:val="none" w:sz="0" w:space="0" w:color="auto"/>
                <w:left w:val="none" w:sz="0" w:space="0" w:color="auto"/>
                <w:bottom w:val="none" w:sz="0" w:space="0" w:color="auto"/>
                <w:right w:val="none" w:sz="0" w:space="0" w:color="auto"/>
              </w:divBdr>
            </w:div>
            <w:div w:id="10037552">
              <w:marLeft w:val="0"/>
              <w:marRight w:val="0"/>
              <w:marTop w:val="0"/>
              <w:marBottom w:val="0"/>
              <w:divBdr>
                <w:top w:val="none" w:sz="0" w:space="0" w:color="auto"/>
                <w:left w:val="none" w:sz="0" w:space="0" w:color="auto"/>
                <w:bottom w:val="none" w:sz="0" w:space="0" w:color="auto"/>
                <w:right w:val="none" w:sz="0" w:space="0" w:color="auto"/>
              </w:divBdr>
            </w:div>
            <w:div w:id="628360348">
              <w:marLeft w:val="0"/>
              <w:marRight w:val="0"/>
              <w:marTop w:val="0"/>
              <w:marBottom w:val="0"/>
              <w:divBdr>
                <w:top w:val="none" w:sz="0" w:space="0" w:color="auto"/>
                <w:left w:val="none" w:sz="0" w:space="0" w:color="auto"/>
                <w:bottom w:val="none" w:sz="0" w:space="0" w:color="auto"/>
                <w:right w:val="none" w:sz="0" w:space="0" w:color="auto"/>
              </w:divBdr>
            </w:div>
            <w:div w:id="1514490769">
              <w:marLeft w:val="0"/>
              <w:marRight w:val="0"/>
              <w:marTop w:val="0"/>
              <w:marBottom w:val="0"/>
              <w:divBdr>
                <w:top w:val="none" w:sz="0" w:space="0" w:color="auto"/>
                <w:left w:val="none" w:sz="0" w:space="0" w:color="auto"/>
                <w:bottom w:val="none" w:sz="0" w:space="0" w:color="auto"/>
                <w:right w:val="none" w:sz="0" w:space="0" w:color="auto"/>
              </w:divBdr>
            </w:div>
            <w:div w:id="229847601">
              <w:marLeft w:val="0"/>
              <w:marRight w:val="0"/>
              <w:marTop w:val="0"/>
              <w:marBottom w:val="0"/>
              <w:divBdr>
                <w:top w:val="none" w:sz="0" w:space="0" w:color="auto"/>
                <w:left w:val="none" w:sz="0" w:space="0" w:color="auto"/>
                <w:bottom w:val="none" w:sz="0" w:space="0" w:color="auto"/>
                <w:right w:val="none" w:sz="0" w:space="0" w:color="auto"/>
              </w:divBdr>
            </w:div>
            <w:div w:id="357581447">
              <w:marLeft w:val="0"/>
              <w:marRight w:val="0"/>
              <w:marTop w:val="0"/>
              <w:marBottom w:val="0"/>
              <w:divBdr>
                <w:top w:val="none" w:sz="0" w:space="0" w:color="auto"/>
                <w:left w:val="none" w:sz="0" w:space="0" w:color="auto"/>
                <w:bottom w:val="none" w:sz="0" w:space="0" w:color="auto"/>
                <w:right w:val="none" w:sz="0" w:space="0" w:color="auto"/>
              </w:divBdr>
            </w:div>
            <w:div w:id="1173374610">
              <w:marLeft w:val="0"/>
              <w:marRight w:val="0"/>
              <w:marTop w:val="0"/>
              <w:marBottom w:val="0"/>
              <w:divBdr>
                <w:top w:val="none" w:sz="0" w:space="0" w:color="auto"/>
                <w:left w:val="none" w:sz="0" w:space="0" w:color="auto"/>
                <w:bottom w:val="none" w:sz="0" w:space="0" w:color="auto"/>
                <w:right w:val="none" w:sz="0" w:space="0" w:color="auto"/>
              </w:divBdr>
            </w:div>
            <w:div w:id="1609972807">
              <w:marLeft w:val="0"/>
              <w:marRight w:val="0"/>
              <w:marTop w:val="0"/>
              <w:marBottom w:val="0"/>
              <w:divBdr>
                <w:top w:val="none" w:sz="0" w:space="0" w:color="auto"/>
                <w:left w:val="none" w:sz="0" w:space="0" w:color="auto"/>
                <w:bottom w:val="none" w:sz="0" w:space="0" w:color="auto"/>
                <w:right w:val="none" w:sz="0" w:space="0" w:color="auto"/>
              </w:divBdr>
            </w:div>
            <w:div w:id="230585750">
              <w:marLeft w:val="0"/>
              <w:marRight w:val="0"/>
              <w:marTop w:val="0"/>
              <w:marBottom w:val="0"/>
              <w:divBdr>
                <w:top w:val="none" w:sz="0" w:space="0" w:color="auto"/>
                <w:left w:val="none" w:sz="0" w:space="0" w:color="auto"/>
                <w:bottom w:val="none" w:sz="0" w:space="0" w:color="auto"/>
                <w:right w:val="none" w:sz="0" w:space="0" w:color="auto"/>
              </w:divBdr>
            </w:div>
            <w:div w:id="845825712">
              <w:marLeft w:val="0"/>
              <w:marRight w:val="0"/>
              <w:marTop w:val="0"/>
              <w:marBottom w:val="0"/>
              <w:divBdr>
                <w:top w:val="none" w:sz="0" w:space="0" w:color="auto"/>
                <w:left w:val="none" w:sz="0" w:space="0" w:color="auto"/>
                <w:bottom w:val="none" w:sz="0" w:space="0" w:color="auto"/>
                <w:right w:val="none" w:sz="0" w:space="0" w:color="auto"/>
              </w:divBdr>
            </w:div>
            <w:div w:id="1510873364">
              <w:marLeft w:val="0"/>
              <w:marRight w:val="0"/>
              <w:marTop w:val="0"/>
              <w:marBottom w:val="0"/>
              <w:divBdr>
                <w:top w:val="none" w:sz="0" w:space="0" w:color="auto"/>
                <w:left w:val="none" w:sz="0" w:space="0" w:color="auto"/>
                <w:bottom w:val="none" w:sz="0" w:space="0" w:color="auto"/>
                <w:right w:val="none" w:sz="0" w:space="0" w:color="auto"/>
              </w:divBdr>
            </w:div>
            <w:div w:id="746197168">
              <w:marLeft w:val="0"/>
              <w:marRight w:val="0"/>
              <w:marTop w:val="0"/>
              <w:marBottom w:val="0"/>
              <w:divBdr>
                <w:top w:val="none" w:sz="0" w:space="0" w:color="auto"/>
                <w:left w:val="none" w:sz="0" w:space="0" w:color="auto"/>
                <w:bottom w:val="none" w:sz="0" w:space="0" w:color="auto"/>
                <w:right w:val="none" w:sz="0" w:space="0" w:color="auto"/>
              </w:divBdr>
            </w:div>
            <w:div w:id="1301612306">
              <w:marLeft w:val="0"/>
              <w:marRight w:val="0"/>
              <w:marTop w:val="0"/>
              <w:marBottom w:val="0"/>
              <w:divBdr>
                <w:top w:val="none" w:sz="0" w:space="0" w:color="auto"/>
                <w:left w:val="none" w:sz="0" w:space="0" w:color="auto"/>
                <w:bottom w:val="none" w:sz="0" w:space="0" w:color="auto"/>
                <w:right w:val="none" w:sz="0" w:space="0" w:color="auto"/>
              </w:divBdr>
            </w:div>
            <w:div w:id="1349260826">
              <w:marLeft w:val="0"/>
              <w:marRight w:val="0"/>
              <w:marTop w:val="0"/>
              <w:marBottom w:val="0"/>
              <w:divBdr>
                <w:top w:val="none" w:sz="0" w:space="0" w:color="auto"/>
                <w:left w:val="none" w:sz="0" w:space="0" w:color="auto"/>
                <w:bottom w:val="none" w:sz="0" w:space="0" w:color="auto"/>
                <w:right w:val="none" w:sz="0" w:space="0" w:color="auto"/>
              </w:divBdr>
            </w:div>
            <w:div w:id="1705786196">
              <w:marLeft w:val="0"/>
              <w:marRight w:val="0"/>
              <w:marTop w:val="0"/>
              <w:marBottom w:val="0"/>
              <w:divBdr>
                <w:top w:val="none" w:sz="0" w:space="0" w:color="auto"/>
                <w:left w:val="none" w:sz="0" w:space="0" w:color="auto"/>
                <w:bottom w:val="none" w:sz="0" w:space="0" w:color="auto"/>
                <w:right w:val="none" w:sz="0" w:space="0" w:color="auto"/>
              </w:divBdr>
            </w:div>
            <w:div w:id="290718754">
              <w:marLeft w:val="0"/>
              <w:marRight w:val="0"/>
              <w:marTop w:val="0"/>
              <w:marBottom w:val="0"/>
              <w:divBdr>
                <w:top w:val="none" w:sz="0" w:space="0" w:color="auto"/>
                <w:left w:val="none" w:sz="0" w:space="0" w:color="auto"/>
                <w:bottom w:val="none" w:sz="0" w:space="0" w:color="auto"/>
                <w:right w:val="none" w:sz="0" w:space="0" w:color="auto"/>
              </w:divBdr>
            </w:div>
            <w:div w:id="600186804">
              <w:marLeft w:val="0"/>
              <w:marRight w:val="0"/>
              <w:marTop w:val="0"/>
              <w:marBottom w:val="0"/>
              <w:divBdr>
                <w:top w:val="none" w:sz="0" w:space="0" w:color="auto"/>
                <w:left w:val="none" w:sz="0" w:space="0" w:color="auto"/>
                <w:bottom w:val="none" w:sz="0" w:space="0" w:color="auto"/>
                <w:right w:val="none" w:sz="0" w:space="0" w:color="auto"/>
              </w:divBdr>
            </w:div>
            <w:div w:id="1576552873">
              <w:marLeft w:val="0"/>
              <w:marRight w:val="0"/>
              <w:marTop w:val="0"/>
              <w:marBottom w:val="0"/>
              <w:divBdr>
                <w:top w:val="none" w:sz="0" w:space="0" w:color="auto"/>
                <w:left w:val="none" w:sz="0" w:space="0" w:color="auto"/>
                <w:bottom w:val="none" w:sz="0" w:space="0" w:color="auto"/>
                <w:right w:val="none" w:sz="0" w:space="0" w:color="auto"/>
              </w:divBdr>
            </w:div>
            <w:div w:id="2047486003">
              <w:marLeft w:val="0"/>
              <w:marRight w:val="0"/>
              <w:marTop w:val="0"/>
              <w:marBottom w:val="0"/>
              <w:divBdr>
                <w:top w:val="none" w:sz="0" w:space="0" w:color="auto"/>
                <w:left w:val="none" w:sz="0" w:space="0" w:color="auto"/>
                <w:bottom w:val="none" w:sz="0" w:space="0" w:color="auto"/>
                <w:right w:val="none" w:sz="0" w:space="0" w:color="auto"/>
              </w:divBdr>
            </w:div>
            <w:div w:id="930628711">
              <w:marLeft w:val="0"/>
              <w:marRight w:val="0"/>
              <w:marTop w:val="0"/>
              <w:marBottom w:val="0"/>
              <w:divBdr>
                <w:top w:val="none" w:sz="0" w:space="0" w:color="auto"/>
                <w:left w:val="none" w:sz="0" w:space="0" w:color="auto"/>
                <w:bottom w:val="none" w:sz="0" w:space="0" w:color="auto"/>
                <w:right w:val="none" w:sz="0" w:space="0" w:color="auto"/>
              </w:divBdr>
            </w:div>
            <w:div w:id="1101996534">
              <w:marLeft w:val="0"/>
              <w:marRight w:val="0"/>
              <w:marTop w:val="0"/>
              <w:marBottom w:val="0"/>
              <w:divBdr>
                <w:top w:val="none" w:sz="0" w:space="0" w:color="auto"/>
                <w:left w:val="none" w:sz="0" w:space="0" w:color="auto"/>
                <w:bottom w:val="none" w:sz="0" w:space="0" w:color="auto"/>
                <w:right w:val="none" w:sz="0" w:space="0" w:color="auto"/>
              </w:divBdr>
            </w:div>
            <w:div w:id="1612127396">
              <w:marLeft w:val="0"/>
              <w:marRight w:val="0"/>
              <w:marTop w:val="0"/>
              <w:marBottom w:val="0"/>
              <w:divBdr>
                <w:top w:val="none" w:sz="0" w:space="0" w:color="auto"/>
                <w:left w:val="none" w:sz="0" w:space="0" w:color="auto"/>
                <w:bottom w:val="none" w:sz="0" w:space="0" w:color="auto"/>
                <w:right w:val="none" w:sz="0" w:space="0" w:color="auto"/>
              </w:divBdr>
            </w:div>
            <w:div w:id="1309480536">
              <w:marLeft w:val="0"/>
              <w:marRight w:val="0"/>
              <w:marTop w:val="0"/>
              <w:marBottom w:val="0"/>
              <w:divBdr>
                <w:top w:val="none" w:sz="0" w:space="0" w:color="auto"/>
                <w:left w:val="none" w:sz="0" w:space="0" w:color="auto"/>
                <w:bottom w:val="none" w:sz="0" w:space="0" w:color="auto"/>
                <w:right w:val="none" w:sz="0" w:space="0" w:color="auto"/>
              </w:divBdr>
            </w:div>
            <w:div w:id="1252398125">
              <w:marLeft w:val="0"/>
              <w:marRight w:val="0"/>
              <w:marTop w:val="0"/>
              <w:marBottom w:val="0"/>
              <w:divBdr>
                <w:top w:val="none" w:sz="0" w:space="0" w:color="auto"/>
                <w:left w:val="none" w:sz="0" w:space="0" w:color="auto"/>
                <w:bottom w:val="none" w:sz="0" w:space="0" w:color="auto"/>
                <w:right w:val="none" w:sz="0" w:space="0" w:color="auto"/>
              </w:divBdr>
            </w:div>
            <w:div w:id="593829614">
              <w:marLeft w:val="0"/>
              <w:marRight w:val="0"/>
              <w:marTop w:val="0"/>
              <w:marBottom w:val="0"/>
              <w:divBdr>
                <w:top w:val="none" w:sz="0" w:space="0" w:color="auto"/>
                <w:left w:val="none" w:sz="0" w:space="0" w:color="auto"/>
                <w:bottom w:val="none" w:sz="0" w:space="0" w:color="auto"/>
                <w:right w:val="none" w:sz="0" w:space="0" w:color="auto"/>
              </w:divBdr>
            </w:div>
            <w:div w:id="609043718">
              <w:marLeft w:val="0"/>
              <w:marRight w:val="0"/>
              <w:marTop w:val="0"/>
              <w:marBottom w:val="0"/>
              <w:divBdr>
                <w:top w:val="none" w:sz="0" w:space="0" w:color="auto"/>
                <w:left w:val="none" w:sz="0" w:space="0" w:color="auto"/>
                <w:bottom w:val="none" w:sz="0" w:space="0" w:color="auto"/>
                <w:right w:val="none" w:sz="0" w:space="0" w:color="auto"/>
              </w:divBdr>
            </w:div>
            <w:div w:id="634288204">
              <w:marLeft w:val="0"/>
              <w:marRight w:val="0"/>
              <w:marTop w:val="0"/>
              <w:marBottom w:val="0"/>
              <w:divBdr>
                <w:top w:val="none" w:sz="0" w:space="0" w:color="auto"/>
                <w:left w:val="none" w:sz="0" w:space="0" w:color="auto"/>
                <w:bottom w:val="none" w:sz="0" w:space="0" w:color="auto"/>
                <w:right w:val="none" w:sz="0" w:space="0" w:color="auto"/>
              </w:divBdr>
            </w:div>
            <w:div w:id="410394926">
              <w:marLeft w:val="0"/>
              <w:marRight w:val="0"/>
              <w:marTop w:val="0"/>
              <w:marBottom w:val="0"/>
              <w:divBdr>
                <w:top w:val="none" w:sz="0" w:space="0" w:color="auto"/>
                <w:left w:val="none" w:sz="0" w:space="0" w:color="auto"/>
                <w:bottom w:val="none" w:sz="0" w:space="0" w:color="auto"/>
                <w:right w:val="none" w:sz="0" w:space="0" w:color="auto"/>
              </w:divBdr>
            </w:div>
            <w:div w:id="1625187632">
              <w:marLeft w:val="0"/>
              <w:marRight w:val="0"/>
              <w:marTop w:val="0"/>
              <w:marBottom w:val="0"/>
              <w:divBdr>
                <w:top w:val="none" w:sz="0" w:space="0" w:color="auto"/>
                <w:left w:val="none" w:sz="0" w:space="0" w:color="auto"/>
                <w:bottom w:val="none" w:sz="0" w:space="0" w:color="auto"/>
                <w:right w:val="none" w:sz="0" w:space="0" w:color="auto"/>
              </w:divBdr>
            </w:div>
            <w:div w:id="43919616">
              <w:marLeft w:val="0"/>
              <w:marRight w:val="0"/>
              <w:marTop w:val="0"/>
              <w:marBottom w:val="0"/>
              <w:divBdr>
                <w:top w:val="none" w:sz="0" w:space="0" w:color="auto"/>
                <w:left w:val="none" w:sz="0" w:space="0" w:color="auto"/>
                <w:bottom w:val="none" w:sz="0" w:space="0" w:color="auto"/>
                <w:right w:val="none" w:sz="0" w:space="0" w:color="auto"/>
              </w:divBdr>
            </w:div>
            <w:div w:id="175585901">
              <w:marLeft w:val="0"/>
              <w:marRight w:val="0"/>
              <w:marTop w:val="0"/>
              <w:marBottom w:val="0"/>
              <w:divBdr>
                <w:top w:val="none" w:sz="0" w:space="0" w:color="auto"/>
                <w:left w:val="none" w:sz="0" w:space="0" w:color="auto"/>
                <w:bottom w:val="none" w:sz="0" w:space="0" w:color="auto"/>
                <w:right w:val="none" w:sz="0" w:space="0" w:color="auto"/>
              </w:divBdr>
            </w:div>
            <w:div w:id="2042658660">
              <w:marLeft w:val="0"/>
              <w:marRight w:val="0"/>
              <w:marTop w:val="0"/>
              <w:marBottom w:val="0"/>
              <w:divBdr>
                <w:top w:val="none" w:sz="0" w:space="0" w:color="auto"/>
                <w:left w:val="none" w:sz="0" w:space="0" w:color="auto"/>
                <w:bottom w:val="none" w:sz="0" w:space="0" w:color="auto"/>
                <w:right w:val="none" w:sz="0" w:space="0" w:color="auto"/>
              </w:divBdr>
            </w:div>
            <w:div w:id="1500003403">
              <w:marLeft w:val="0"/>
              <w:marRight w:val="0"/>
              <w:marTop w:val="0"/>
              <w:marBottom w:val="0"/>
              <w:divBdr>
                <w:top w:val="none" w:sz="0" w:space="0" w:color="auto"/>
                <w:left w:val="none" w:sz="0" w:space="0" w:color="auto"/>
                <w:bottom w:val="none" w:sz="0" w:space="0" w:color="auto"/>
                <w:right w:val="none" w:sz="0" w:space="0" w:color="auto"/>
              </w:divBdr>
            </w:div>
            <w:div w:id="340014694">
              <w:marLeft w:val="0"/>
              <w:marRight w:val="0"/>
              <w:marTop w:val="0"/>
              <w:marBottom w:val="0"/>
              <w:divBdr>
                <w:top w:val="none" w:sz="0" w:space="0" w:color="auto"/>
                <w:left w:val="none" w:sz="0" w:space="0" w:color="auto"/>
                <w:bottom w:val="none" w:sz="0" w:space="0" w:color="auto"/>
                <w:right w:val="none" w:sz="0" w:space="0" w:color="auto"/>
              </w:divBdr>
            </w:div>
            <w:div w:id="1850679448">
              <w:marLeft w:val="0"/>
              <w:marRight w:val="0"/>
              <w:marTop w:val="0"/>
              <w:marBottom w:val="0"/>
              <w:divBdr>
                <w:top w:val="none" w:sz="0" w:space="0" w:color="auto"/>
                <w:left w:val="none" w:sz="0" w:space="0" w:color="auto"/>
                <w:bottom w:val="none" w:sz="0" w:space="0" w:color="auto"/>
                <w:right w:val="none" w:sz="0" w:space="0" w:color="auto"/>
              </w:divBdr>
            </w:div>
            <w:div w:id="1718774725">
              <w:marLeft w:val="0"/>
              <w:marRight w:val="0"/>
              <w:marTop w:val="0"/>
              <w:marBottom w:val="0"/>
              <w:divBdr>
                <w:top w:val="none" w:sz="0" w:space="0" w:color="auto"/>
                <w:left w:val="none" w:sz="0" w:space="0" w:color="auto"/>
                <w:bottom w:val="none" w:sz="0" w:space="0" w:color="auto"/>
                <w:right w:val="none" w:sz="0" w:space="0" w:color="auto"/>
              </w:divBdr>
            </w:div>
            <w:div w:id="211818956">
              <w:marLeft w:val="0"/>
              <w:marRight w:val="0"/>
              <w:marTop w:val="0"/>
              <w:marBottom w:val="0"/>
              <w:divBdr>
                <w:top w:val="none" w:sz="0" w:space="0" w:color="auto"/>
                <w:left w:val="none" w:sz="0" w:space="0" w:color="auto"/>
                <w:bottom w:val="none" w:sz="0" w:space="0" w:color="auto"/>
                <w:right w:val="none" w:sz="0" w:space="0" w:color="auto"/>
              </w:divBdr>
            </w:div>
            <w:div w:id="769662558">
              <w:marLeft w:val="0"/>
              <w:marRight w:val="0"/>
              <w:marTop w:val="0"/>
              <w:marBottom w:val="0"/>
              <w:divBdr>
                <w:top w:val="none" w:sz="0" w:space="0" w:color="auto"/>
                <w:left w:val="none" w:sz="0" w:space="0" w:color="auto"/>
                <w:bottom w:val="none" w:sz="0" w:space="0" w:color="auto"/>
                <w:right w:val="none" w:sz="0" w:space="0" w:color="auto"/>
              </w:divBdr>
            </w:div>
            <w:div w:id="363096727">
              <w:marLeft w:val="0"/>
              <w:marRight w:val="0"/>
              <w:marTop w:val="0"/>
              <w:marBottom w:val="0"/>
              <w:divBdr>
                <w:top w:val="none" w:sz="0" w:space="0" w:color="auto"/>
                <w:left w:val="none" w:sz="0" w:space="0" w:color="auto"/>
                <w:bottom w:val="none" w:sz="0" w:space="0" w:color="auto"/>
                <w:right w:val="none" w:sz="0" w:space="0" w:color="auto"/>
              </w:divBdr>
            </w:div>
            <w:div w:id="1165391333">
              <w:marLeft w:val="0"/>
              <w:marRight w:val="0"/>
              <w:marTop w:val="0"/>
              <w:marBottom w:val="0"/>
              <w:divBdr>
                <w:top w:val="none" w:sz="0" w:space="0" w:color="auto"/>
                <w:left w:val="none" w:sz="0" w:space="0" w:color="auto"/>
                <w:bottom w:val="none" w:sz="0" w:space="0" w:color="auto"/>
                <w:right w:val="none" w:sz="0" w:space="0" w:color="auto"/>
              </w:divBdr>
            </w:div>
            <w:div w:id="1960915475">
              <w:marLeft w:val="0"/>
              <w:marRight w:val="0"/>
              <w:marTop w:val="0"/>
              <w:marBottom w:val="0"/>
              <w:divBdr>
                <w:top w:val="none" w:sz="0" w:space="0" w:color="auto"/>
                <w:left w:val="none" w:sz="0" w:space="0" w:color="auto"/>
                <w:bottom w:val="none" w:sz="0" w:space="0" w:color="auto"/>
                <w:right w:val="none" w:sz="0" w:space="0" w:color="auto"/>
              </w:divBdr>
            </w:div>
            <w:div w:id="663557949">
              <w:marLeft w:val="0"/>
              <w:marRight w:val="0"/>
              <w:marTop w:val="0"/>
              <w:marBottom w:val="0"/>
              <w:divBdr>
                <w:top w:val="none" w:sz="0" w:space="0" w:color="auto"/>
                <w:left w:val="none" w:sz="0" w:space="0" w:color="auto"/>
                <w:bottom w:val="none" w:sz="0" w:space="0" w:color="auto"/>
                <w:right w:val="none" w:sz="0" w:space="0" w:color="auto"/>
              </w:divBdr>
            </w:div>
            <w:div w:id="236668885">
              <w:marLeft w:val="0"/>
              <w:marRight w:val="0"/>
              <w:marTop w:val="0"/>
              <w:marBottom w:val="0"/>
              <w:divBdr>
                <w:top w:val="none" w:sz="0" w:space="0" w:color="auto"/>
                <w:left w:val="none" w:sz="0" w:space="0" w:color="auto"/>
                <w:bottom w:val="none" w:sz="0" w:space="0" w:color="auto"/>
                <w:right w:val="none" w:sz="0" w:space="0" w:color="auto"/>
              </w:divBdr>
            </w:div>
            <w:div w:id="1191530859">
              <w:marLeft w:val="0"/>
              <w:marRight w:val="0"/>
              <w:marTop w:val="0"/>
              <w:marBottom w:val="0"/>
              <w:divBdr>
                <w:top w:val="none" w:sz="0" w:space="0" w:color="auto"/>
                <w:left w:val="none" w:sz="0" w:space="0" w:color="auto"/>
                <w:bottom w:val="none" w:sz="0" w:space="0" w:color="auto"/>
                <w:right w:val="none" w:sz="0" w:space="0" w:color="auto"/>
              </w:divBdr>
            </w:div>
            <w:div w:id="239487663">
              <w:marLeft w:val="0"/>
              <w:marRight w:val="0"/>
              <w:marTop w:val="0"/>
              <w:marBottom w:val="0"/>
              <w:divBdr>
                <w:top w:val="none" w:sz="0" w:space="0" w:color="auto"/>
                <w:left w:val="none" w:sz="0" w:space="0" w:color="auto"/>
                <w:bottom w:val="none" w:sz="0" w:space="0" w:color="auto"/>
                <w:right w:val="none" w:sz="0" w:space="0" w:color="auto"/>
              </w:divBdr>
            </w:div>
            <w:div w:id="799809353">
              <w:marLeft w:val="0"/>
              <w:marRight w:val="0"/>
              <w:marTop w:val="0"/>
              <w:marBottom w:val="0"/>
              <w:divBdr>
                <w:top w:val="none" w:sz="0" w:space="0" w:color="auto"/>
                <w:left w:val="none" w:sz="0" w:space="0" w:color="auto"/>
                <w:bottom w:val="none" w:sz="0" w:space="0" w:color="auto"/>
                <w:right w:val="none" w:sz="0" w:space="0" w:color="auto"/>
              </w:divBdr>
            </w:div>
            <w:div w:id="1293171237">
              <w:marLeft w:val="0"/>
              <w:marRight w:val="0"/>
              <w:marTop w:val="0"/>
              <w:marBottom w:val="0"/>
              <w:divBdr>
                <w:top w:val="none" w:sz="0" w:space="0" w:color="auto"/>
                <w:left w:val="none" w:sz="0" w:space="0" w:color="auto"/>
                <w:bottom w:val="none" w:sz="0" w:space="0" w:color="auto"/>
                <w:right w:val="none" w:sz="0" w:space="0" w:color="auto"/>
              </w:divBdr>
            </w:div>
            <w:div w:id="913123588">
              <w:marLeft w:val="0"/>
              <w:marRight w:val="0"/>
              <w:marTop w:val="0"/>
              <w:marBottom w:val="0"/>
              <w:divBdr>
                <w:top w:val="none" w:sz="0" w:space="0" w:color="auto"/>
                <w:left w:val="none" w:sz="0" w:space="0" w:color="auto"/>
                <w:bottom w:val="none" w:sz="0" w:space="0" w:color="auto"/>
                <w:right w:val="none" w:sz="0" w:space="0" w:color="auto"/>
              </w:divBdr>
            </w:div>
            <w:div w:id="413816984">
              <w:marLeft w:val="0"/>
              <w:marRight w:val="0"/>
              <w:marTop w:val="0"/>
              <w:marBottom w:val="0"/>
              <w:divBdr>
                <w:top w:val="none" w:sz="0" w:space="0" w:color="auto"/>
                <w:left w:val="none" w:sz="0" w:space="0" w:color="auto"/>
                <w:bottom w:val="none" w:sz="0" w:space="0" w:color="auto"/>
                <w:right w:val="none" w:sz="0" w:space="0" w:color="auto"/>
              </w:divBdr>
            </w:div>
            <w:div w:id="1785732273">
              <w:marLeft w:val="0"/>
              <w:marRight w:val="0"/>
              <w:marTop w:val="0"/>
              <w:marBottom w:val="0"/>
              <w:divBdr>
                <w:top w:val="none" w:sz="0" w:space="0" w:color="auto"/>
                <w:left w:val="none" w:sz="0" w:space="0" w:color="auto"/>
                <w:bottom w:val="none" w:sz="0" w:space="0" w:color="auto"/>
                <w:right w:val="none" w:sz="0" w:space="0" w:color="auto"/>
              </w:divBdr>
            </w:div>
            <w:div w:id="812411327">
              <w:marLeft w:val="0"/>
              <w:marRight w:val="0"/>
              <w:marTop w:val="0"/>
              <w:marBottom w:val="0"/>
              <w:divBdr>
                <w:top w:val="none" w:sz="0" w:space="0" w:color="auto"/>
                <w:left w:val="none" w:sz="0" w:space="0" w:color="auto"/>
                <w:bottom w:val="none" w:sz="0" w:space="0" w:color="auto"/>
                <w:right w:val="none" w:sz="0" w:space="0" w:color="auto"/>
              </w:divBdr>
            </w:div>
            <w:div w:id="1568224591">
              <w:marLeft w:val="0"/>
              <w:marRight w:val="0"/>
              <w:marTop w:val="0"/>
              <w:marBottom w:val="0"/>
              <w:divBdr>
                <w:top w:val="none" w:sz="0" w:space="0" w:color="auto"/>
                <w:left w:val="none" w:sz="0" w:space="0" w:color="auto"/>
                <w:bottom w:val="none" w:sz="0" w:space="0" w:color="auto"/>
                <w:right w:val="none" w:sz="0" w:space="0" w:color="auto"/>
              </w:divBdr>
            </w:div>
            <w:div w:id="954605489">
              <w:marLeft w:val="0"/>
              <w:marRight w:val="0"/>
              <w:marTop w:val="0"/>
              <w:marBottom w:val="0"/>
              <w:divBdr>
                <w:top w:val="none" w:sz="0" w:space="0" w:color="auto"/>
                <w:left w:val="none" w:sz="0" w:space="0" w:color="auto"/>
                <w:bottom w:val="none" w:sz="0" w:space="0" w:color="auto"/>
                <w:right w:val="none" w:sz="0" w:space="0" w:color="auto"/>
              </w:divBdr>
            </w:div>
            <w:div w:id="1527719938">
              <w:marLeft w:val="0"/>
              <w:marRight w:val="0"/>
              <w:marTop w:val="0"/>
              <w:marBottom w:val="0"/>
              <w:divBdr>
                <w:top w:val="none" w:sz="0" w:space="0" w:color="auto"/>
                <w:left w:val="none" w:sz="0" w:space="0" w:color="auto"/>
                <w:bottom w:val="none" w:sz="0" w:space="0" w:color="auto"/>
                <w:right w:val="none" w:sz="0" w:space="0" w:color="auto"/>
              </w:divBdr>
            </w:div>
            <w:div w:id="1838879521">
              <w:marLeft w:val="0"/>
              <w:marRight w:val="0"/>
              <w:marTop w:val="0"/>
              <w:marBottom w:val="0"/>
              <w:divBdr>
                <w:top w:val="none" w:sz="0" w:space="0" w:color="auto"/>
                <w:left w:val="none" w:sz="0" w:space="0" w:color="auto"/>
                <w:bottom w:val="none" w:sz="0" w:space="0" w:color="auto"/>
                <w:right w:val="none" w:sz="0" w:space="0" w:color="auto"/>
              </w:divBdr>
            </w:div>
            <w:div w:id="1536192523">
              <w:marLeft w:val="0"/>
              <w:marRight w:val="0"/>
              <w:marTop w:val="0"/>
              <w:marBottom w:val="0"/>
              <w:divBdr>
                <w:top w:val="none" w:sz="0" w:space="0" w:color="auto"/>
                <w:left w:val="none" w:sz="0" w:space="0" w:color="auto"/>
                <w:bottom w:val="none" w:sz="0" w:space="0" w:color="auto"/>
                <w:right w:val="none" w:sz="0" w:space="0" w:color="auto"/>
              </w:divBdr>
            </w:div>
            <w:div w:id="1873614830">
              <w:marLeft w:val="0"/>
              <w:marRight w:val="0"/>
              <w:marTop w:val="0"/>
              <w:marBottom w:val="0"/>
              <w:divBdr>
                <w:top w:val="none" w:sz="0" w:space="0" w:color="auto"/>
                <w:left w:val="none" w:sz="0" w:space="0" w:color="auto"/>
                <w:bottom w:val="none" w:sz="0" w:space="0" w:color="auto"/>
                <w:right w:val="none" w:sz="0" w:space="0" w:color="auto"/>
              </w:divBdr>
            </w:div>
            <w:div w:id="507908649">
              <w:marLeft w:val="0"/>
              <w:marRight w:val="0"/>
              <w:marTop w:val="0"/>
              <w:marBottom w:val="0"/>
              <w:divBdr>
                <w:top w:val="none" w:sz="0" w:space="0" w:color="auto"/>
                <w:left w:val="none" w:sz="0" w:space="0" w:color="auto"/>
                <w:bottom w:val="none" w:sz="0" w:space="0" w:color="auto"/>
                <w:right w:val="none" w:sz="0" w:space="0" w:color="auto"/>
              </w:divBdr>
            </w:div>
            <w:div w:id="1223057365">
              <w:marLeft w:val="0"/>
              <w:marRight w:val="0"/>
              <w:marTop w:val="0"/>
              <w:marBottom w:val="0"/>
              <w:divBdr>
                <w:top w:val="none" w:sz="0" w:space="0" w:color="auto"/>
                <w:left w:val="none" w:sz="0" w:space="0" w:color="auto"/>
                <w:bottom w:val="none" w:sz="0" w:space="0" w:color="auto"/>
                <w:right w:val="none" w:sz="0" w:space="0" w:color="auto"/>
              </w:divBdr>
            </w:div>
            <w:div w:id="483009704">
              <w:marLeft w:val="0"/>
              <w:marRight w:val="0"/>
              <w:marTop w:val="0"/>
              <w:marBottom w:val="0"/>
              <w:divBdr>
                <w:top w:val="none" w:sz="0" w:space="0" w:color="auto"/>
                <w:left w:val="none" w:sz="0" w:space="0" w:color="auto"/>
                <w:bottom w:val="none" w:sz="0" w:space="0" w:color="auto"/>
                <w:right w:val="none" w:sz="0" w:space="0" w:color="auto"/>
              </w:divBdr>
            </w:div>
            <w:div w:id="1699432858">
              <w:marLeft w:val="0"/>
              <w:marRight w:val="0"/>
              <w:marTop w:val="0"/>
              <w:marBottom w:val="0"/>
              <w:divBdr>
                <w:top w:val="none" w:sz="0" w:space="0" w:color="auto"/>
                <w:left w:val="none" w:sz="0" w:space="0" w:color="auto"/>
                <w:bottom w:val="none" w:sz="0" w:space="0" w:color="auto"/>
                <w:right w:val="none" w:sz="0" w:space="0" w:color="auto"/>
              </w:divBdr>
            </w:div>
            <w:div w:id="1080057440">
              <w:marLeft w:val="0"/>
              <w:marRight w:val="0"/>
              <w:marTop w:val="0"/>
              <w:marBottom w:val="0"/>
              <w:divBdr>
                <w:top w:val="none" w:sz="0" w:space="0" w:color="auto"/>
                <w:left w:val="none" w:sz="0" w:space="0" w:color="auto"/>
                <w:bottom w:val="none" w:sz="0" w:space="0" w:color="auto"/>
                <w:right w:val="none" w:sz="0" w:space="0" w:color="auto"/>
              </w:divBdr>
            </w:div>
            <w:div w:id="1068461355">
              <w:marLeft w:val="0"/>
              <w:marRight w:val="0"/>
              <w:marTop w:val="0"/>
              <w:marBottom w:val="0"/>
              <w:divBdr>
                <w:top w:val="none" w:sz="0" w:space="0" w:color="auto"/>
                <w:left w:val="none" w:sz="0" w:space="0" w:color="auto"/>
                <w:bottom w:val="none" w:sz="0" w:space="0" w:color="auto"/>
                <w:right w:val="none" w:sz="0" w:space="0" w:color="auto"/>
              </w:divBdr>
            </w:div>
            <w:div w:id="812984338">
              <w:marLeft w:val="0"/>
              <w:marRight w:val="0"/>
              <w:marTop w:val="0"/>
              <w:marBottom w:val="0"/>
              <w:divBdr>
                <w:top w:val="none" w:sz="0" w:space="0" w:color="auto"/>
                <w:left w:val="none" w:sz="0" w:space="0" w:color="auto"/>
                <w:bottom w:val="none" w:sz="0" w:space="0" w:color="auto"/>
                <w:right w:val="none" w:sz="0" w:space="0" w:color="auto"/>
              </w:divBdr>
            </w:div>
            <w:div w:id="1414739269">
              <w:marLeft w:val="0"/>
              <w:marRight w:val="0"/>
              <w:marTop w:val="0"/>
              <w:marBottom w:val="0"/>
              <w:divBdr>
                <w:top w:val="none" w:sz="0" w:space="0" w:color="auto"/>
                <w:left w:val="none" w:sz="0" w:space="0" w:color="auto"/>
                <w:bottom w:val="none" w:sz="0" w:space="0" w:color="auto"/>
                <w:right w:val="none" w:sz="0" w:space="0" w:color="auto"/>
              </w:divBdr>
            </w:div>
            <w:div w:id="856116478">
              <w:marLeft w:val="0"/>
              <w:marRight w:val="0"/>
              <w:marTop w:val="0"/>
              <w:marBottom w:val="0"/>
              <w:divBdr>
                <w:top w:val="none" w:sz="0" w:space="0" w:color="auto"/>
                <w:left w:val="none" w:sz="0" w:space="0" w:color="auto"/>
                <w:bottom w:val="none" w:sz="0" w:space="0" w:color="auto"/>
                <w:right w:val="none" w:sz="0" w:space="0" w:color="auto"/>
              </w:divBdr>
            </w:div>
            <w:div w:id="1562138352">
              <w:marLeft w:val="0"/>
              <w:marRight w:val="0"/>
              <w:marTop w:val="0"/>
              <w:marBottom w:val="0"/>
              <w:divBdr>
                <w:top w:val="none" w:sz="0" w:space="0" w:color="auto"/>
                <w:left w:val="none" w:sz="0" w:space="0" w:color="auto"/>
                <w:bottom w:val="none" w:sz="0" w:space="0" w:color="auto"/>
                <w:right w:val="none" w:sz="0" w:space="0" w:color="auto"/>
              </w:divBdr>
            </w:div>
            <w:div w:id="1475101164">
              <w:marLeft w:val="0"/>
              <w:marRight w:val="0"/>
              <w:marTop w:val="0"/>
              <w:marBottom w:val="0"/>
              <w:divBdr>
                <w:top w:val="none" w:sz="0" w:space="0" w:color="auto"/>
                <w:left w:val="none" w:sz="0" w:space="0" w:color="auto"/>
                <w:bottom w:val="none" w:sz="0" w:space="0" w:color="auto"/>
                <w:right w:val="none" w:sz="0" w:space="0" w:color="auto"/>
              </w:divBdr>
            </w:div>
            <w:div w:id="126975573">
              <w:marLeft w:val="0"/>
              <w:marRight w:val="0"/>
              <w:marTop w:val="0"/>
              <w:marBottom w:val="0"/>
              <w:divBdr>
                <w:top w:val="none" w:sz="0" w:space="0" w:color="auto"/>
                <w:left w:val="none" w:sz="0" w:space="0" w:color="auto"/>
                <w:bottom w:val="none" w:sz="0" w:space="0" w:color="auto"/>
                <w:right w:val="none" w:sz="0" w:space="0" w:color="auto"/>
              </w:divBdr>
            </w:div>
            <w:div w:id="1003316987">
              <w:marLeft w:val="0"/>
              <w:marRight w:val="0"/>
              <w:marTop w:val="0"/>
              <w:marBottom w:val="0"/>
              <w:divBdr>
                <w:top w:val="none" w:sz="0" w:space="0" w:color="auto"/>
                <w:left w:val="none" w:sz="0" w:space="0" w:color="auto"/>
                <w:bottom w:val="none" w:sz="0" w:space="0" w:color="auto"/>
                <w:right w:val="none" w:sz="0" w:space="0" w:color="auto"/>
              </w:divBdr>
            </w:div>
            <w:div w:id="1121722902">
              <w:marLeft w:val="0"/>
              <w:marRight w:val="0"/>
              <w:marTop w:val="0"/>
              <w:marBottom w:val="0"/>
              <w:divBdr>
                <w:top w:val="none" w:sz="0" w:space="0" w:color="auto"/>
                <w:left w:val="none" w:sz="0" w:space="0" w:color="auto"/>
                <w:bottom w:val="none" w:sz="0" w:space="0" w:color="auto"/>
                <w:right w:val="none" w:sz="0" w:space="0" w:color="auto"/>
              </w:divBdr>
            </w:div>
            <w:div w:id="1122069130">
              <w:marLeft w:val="0"/>
              <w:marRight w:val="0"/>
              <w:marTop w:val="0"/>
              <w:marBottom w:val="0"/>
              <w:divBdr>
                <w:top w:val="none" w:sz="0" w:space="0" w:color="auto"/>
                <w:left w:val="none" w:sz="0" w:space="0" w:color="auto"/>
                <w:bottom w:val="none" w:sz="0" w:space="0" w:color="auto"/>
                <w:right w:val="none" w:sz="0" w:space="0" w:color="auto"/>
              </w:divBdr>
            </w:div>
            <w:div w:id="1217283615">
              <w:marLeft w:val="0"/>
              <w:marRight w:val="0"/>
              <w:marTop w:val="0"/>
              <w:marBottom w:val="0"/>
              <w:divBdr>
                <w:top w:val="none" w:sz="0" w:space="0" w:color="auto"/>
                <w:left w:val="none" w:sz="0" w:space="0" w:color="auto"/>
                <w:bottom w:val="none" w:sz="0" w:space="0" w:color="auto"/>
                <w:right w:val="none" w:sz="0" w:space="0" w:color="auto"/>
              </w:divBdr>
            </w:div>
            <w:div w:id="877663365">
              <w:marLeft w:val="0"/>
              <w:marRight w:val="0"/>
              <w:marTop w:val="0"/>
              <w:marBottom w:val="0"/>
              <w:divBdr>
                <w:top w:val="none" w:sz="0" w:space="0" w:color="auto"/>
                <w:left w:val="none" w:sz="0" w:space="0" w:color="auto"/>
                <w:bottom w:val="none" w:sz="0" w:space="0" w:color="auto"/>
                <w:right w:val="none" w:sz="0" w:space="0" w:color="auto"/>
              </w:divBdr>
            </w:div>
            <w:div w:id="1144129283">
              <w:marLeft w:val="0"/>
              <w:marRight w:val="0"/>
              <w:marTop w:val="0"/>
              <w:marBottom w:val="0"/>
              <w:divBdr>
                <w:top w:val="none" w:sz="0" w:space="0" w:color="auto"/>
                <w:left w:val="none" w:sz="0" w:space="0" w:color="auto"/>
                <w:bottom w:val="none" w:sz="0" w:space="0" w:color="auto"/>
                <w:right w:val="none" w:sz="0" w:space="0" w:color="auto"/>
              </w:divBdr>
            </w:div>
            <w:div w:id="276716835">
              <w:marLeft w:val="0"/>
              <w:marRight w:val="0"/>
              <w:marTop w:val="0"/>
              <w:marBottom w:val="0"/>
              <w:divBdr>
                <w:top w:val="none" w:sz="0" w:space="0" w:color="auto"/>
                <w:left w:val="none" w:sz="0" w:space="0" w:color="auto"/>
                <w:bottom w:val="none" w:sz="0" w:space="0" w:color="auto"/>
                <w:right w:val="none" w:sz="0" w:space="0" w:color="auto"/>
              </w:divBdr>
            </w:div>
            <w:div w:id="652488093">
              <w:marLeft w:val="0"/>
              <w:marRight w:val="0"/>
              <w:marTop w:val="0"/>
              <w:marBottom w:val="0"/>
              <w:divBdr>
                <w:top w:val="none" w:sz="0" w:space="0" w:color="auto"/>
                <w:left w:val="none" w:sz="0" w:space="0" w:color="auto"/>
                <w:bottom w:val="none" w:sz="0" w:space="0" w:color="auto"/>
                <w:right w:val="none" w:sz="0" w:space="0" w:color="auto"/>
              </w:divBdr>
            </w:div>
            <w:div w:id="1697540598">
              <w:marLeft w:val="0"/>
              <w:marRight w:val="0"/>
              <w:marTop w:val="0"/>
              <w:marBottom w:val="0"/>
              <w:divBdr>
                <w:top w:val="none" w:sz="0" w:space="0" w:color="auto"/>
                <w:left w:val="none" w:sz="0" w:space="0" w:color="auto"/>
                <w:bottom w:val="none" w:sz="0" w:space="0" w:color="auto"/>
                <w:right w:val="none" w:sz="0" w:space="0" w:color="auto"/>
              </w:divBdr>
            </w:div>
            <w:div w:id="1005863079">
              <w:marLeft w:val="0"/>
              <w:marRight w:val="0"/>
              <w:marTop w:val="0"/>
              <w:marBottom w:val="0"/>
              <w:divBdr>
                <w:top w:val="none" w:sz="0" w:space="0" w:color="auto"/>
                <w:left w:val="none" w:sz="0" w:space="0" w:color="auto"/>
                <w:bottom w:val="none" w:sz="0" w:space="0" w:color="auto"/>
                <w:right w:val="none" w:sz="0" w:space="0" w:color="auto"/>
              </w:divBdr>
            </w:div>
            <w:div w:id="1590918467">
              <w:marLeft w:val="0"/>
              <w:marRight w:val="0"/>
              <w:marTop w:val="0"/>
              <w:marBottom w:val="0"/>
              <w:divBdr>
                <w:top w:val="none" w:sz="0" w:space="0" w:color="auto"/>
                <w:left w:val="none" w:sz="0" w:space="0" w:color="auto"/>
                <w:bottom w:val="none" w:sz="0" w:space="0" w:color="auto"/>
                <w:right w:val="none" w:sz="0" w:space="0" w:color="auto"/>
              </w:divBdr>
            </w:div>
            <w:div w:id="318968772">
              <w:marLeft w:val="0"/>
              <w:marRight w:val="0"/>
              <w:marTop w:val="0"/>
              <w:marBottom w:val="0"/>
              <w:divBdr>
                <w:top w:val="none" w:sz="0" w:space="0" w:color="auto"/>
                <w:left w:val="none" w:sz="0" w:space="0" w:color="auto"/>
                <w:bottom w:val="none" w:sz="0" w:space="0" w:color="auto"/>
                <w:right w:val="none" w:sz="0" w:space="0" w:color="auto"/>
              </w:divBdr>
            </w:div>
            <w:div w:id="1636834832">
              <w:marLeft w:val="0"/>
              <w:marRight w:val="0"/>
              <w:marTop w:val="0"/>
              <w:marBottom w:val="0"/>
              <w:divBdr>
                <w:top w:val="none" w:sz="0" w:space="0" w:color="auto"/>
                <w:left w:val="none" w:sz="0" w:space="0" w:color="auto"/>
                <w:bottom w:val="none" w:sz="0" w:space="0" w:color="auto"/>
                <w:right w:val="none" w:sz="0" w:space="0" w:color="auto"/>
              </w:divBdr>
            </w:div>
            <w:div w:id="1821077349">
              <w:marLeft w:val="0"/>
              <w:marRight w:val="0"/>
              <w:marTop w:val="0"/>
              <w:marBottom w:val="0"/>
              <w:divBdr>
                <w:top w:val="none" w:sz="0" w:space="0" w:color="auto"/>
                <w:left w:val="none" w:sz="0" w:space="0" w:color="auto"/>
                <w:bottom w:val="none" w:sz="0" w:space="0" w:color="auto"/>
                <w:right w:val="none" w:sz="0" w:space="0" w:color="auto"/>
              </w:divBdr>
            </w:div>
            <w:div w:id="820200311">
              <w:marLeft w:val="0"/>
              <w:marRight w:val="0"/>
              <w:marTop w:val="0"/>
              <w:marBottom w:val="0"/>
              <w:divBdr>
                <w:top w:val="none" w:sz="0" w:space="0" w:color="auto"/>
                <w:left w:val="none" w:sz="0" w:space="0" w:color="auto"/>
                <w:bottom w:val="none" w:sz="0" w:space="0" w:color="auto"/>
                <w:right w:val="none" w:sz="0" w:space="0" w:color="auto"/>
              </w:divBdr>
            </w:div>
            <w:div w:id="913012245">
              <w:marLeft w:val="0"/>
              <w:marRight w:val="0"/>
              <w:marTop w:val="0"/>
              <w:marBottom w:val="0"/>
              <w:divBdr>
                <w:top w:val="none" w:sz="0" w:space="0" w:color="auto"/>
                <w:left w:val="none" w:sz="0" w:space="0" w:color="auto"/>
                <w:bottom w:val="none" w:sz="0" w:space="0" w:color="auto"/>
                <w:right w:val="none" w:sz="0" w:space="0" w:color="auto"/>
              </w:divBdr>
            </w:div>
            <w:div w:id="522985779">
              <w:marLeft w:val="0"/>
              <w:marRight w:val="0"/>
              <w:marTop w:val="0"/>
              <w:marBottom w:val="0"/>
              <w:divBdr>
                <w:top w:val="none" w:sz="0" w:space="0" w:color="auto"/>
                <w:left w:val="none" w:sz="0" w:space="0" w:color="auto"/>
                <w:bottom w:val="none" w:sz="0" w:space="0" w:color="auto"/>
                <w:right w:val="none" w:sz="0" w:space="0" w:color="auto"/>
              </w:divBdr>
            </w:div>
            <w:div w:id="739906493">
              <w:marLeft w:val="0"/>
              <w:marRight w:val="0"/>
              <w:marTop w:val="0"/>
              <w:marBottom w:val="0"/>
              <w:divBdr>
                <w:top w:val="none" w:sz="0" w:space="0" w:color="auto"/>
                <w:left w:val="none" w:sz="0" w:space="0" w:color="auto"/>
                <w:bottom w:val="none" w:sz="0" w:space="0" w:color="auto"/>
                <w:right w:val="none" w:sz="0" w:space="0" w:color="auto"/>
              </w:divBdr>
            </w:div>
            <w:div w:id="1382827497">
              <w:marLeft w:val="0"/>
              <w:marRight w:val="0"/>
              <w:marTop w:val="0"/>
              <w:marBottom w:val="0"/>
              <w:divBdr>
                <w:top w:val="none" w:sz="0" w:space="0" w:color="auto"/>
                <w:left w:val="none" w:sz="0" w:space="0" w:color="auto"/>
                <w:bottom w:val="none" w:sz="0" w:space="0" w:color="auto"/>
                <w:right w:val="none" w:sz="0" w:space="0" w:color="auto"/>
              </w:divBdr>
            </w:div>
            <w:div w:id="180314241">
              <w:marLeft w:val="0"/>
              <w:marRight w:val="0"/>
              <w:marTop w:val="0"/>
              <w:marBottom w:val="0"/>
              <w:divBdr>
                <w:top w:val="none" w:sz="0" w:space="0" w:color="auto"/>
                <w:left w:val="none" w:sz="0" w:space="0" w:color="auto"/>
                <w:bottom w:val="none" w:sz="0" w:space="0" w:color="auto"/>
                <w:right w:val="none" w:sz="0" w:space="0" w:color="auto"/>
              </w:divBdr>
            </w:div>
            <w:div w:id="1260019426">
              <w:marLeft w:val="0"/>
              <w:marRight w:val="0"/>
              <w:marTop w:val="0"/>
              <w:marBottom w:val="0"/>
              <w:divBdr>
                <w:top w:val="none" w:sz="0" w:space="0" w:color="auto"/>
                <w:left w:val="none" w:sz="0" w:space="0" w:color="auto"/>
                <w:bottom w:val="none" w:sz="0" w:space="0" w:color="auto"/>
                <w:right w:val="none" w:sz="0" w:space="0" w:color="auto"/>
              </w:divBdr>
            </w:div>
            <w:div w:id="523905894">
              <w:marLeft w:val="0"/>
              <w:marRight w:val="0"/>
              <w:marTop w:val="0"/>
              <w:marBottom w:val="0"/>
              <w:divBdr>
                <w:top w:val="none" w:sz="0" w:space="0" w:color="auto"/>
                <w:left w:val="none" w:sz="0" w:space="0" w:color="auto"/>
                <w:bottom w:val="none" w:sz="0" w:space="0" w:color="auto"/>
                <w:right w:val="none" w:sz="0" w:space="0" w:color="auto"/>
              </w:divBdr>
            </w:div>
            <w:div w:id="1988312846">
              <w:marLeft w:val="0"/>
              <w:marRight w:val="0"/>
              <w:marTop w:val="0"/>
              <w:marBottom w:val="0"/>
              <w:divBdr>
                <w:top w:val="none" w:sz="0" w:space="0" w:color="auto"/>
                <w:left w:val="none" w:sz="0" w:space="0" w:color="auto"/>
                <w:bottom w:val="none" w:sz="0" w:space="0" w:color="auto"/>
                <w:right w:val="none" w:sz="0" w:space="0" w:color="auto"/>
              </w:divBdr>
            </w:div>
            <w:div w:id="683171801">
              <w:marLeft w:val="0"/>
              <w:marRight w:val="0"/>
              <w:marTop w:val="0"/>
              <w:marBottom w:val="0"/>
              <w:divBdr>
                <w:top w:val="none" w:sz="0" w:space="0" w:color="auto"/>
                <w:left w:val="none" w:sz="0" w:space="0" w:color="auto"/>
                <w:bottom w:val="none" w:sz="0" w:space="0" w:color="auto"/>
                <w:right w:val="none" w:sz="0" w:space="0" w:color="auto"/>
              </w:divBdr>
            </w:div>
            <w:div w:id="920137845">
              <w:marLeft w:val="0"/>
              <w:marRight w:val="0"/>
              <w:marTop w:val="0"/>
              <w:marBottom w:val="0"/>
              <w:divBdr>
                <w:top w:val="none" w:sz="0" w:space="0" w:color="auto"/>
                <w:left w:val="none" w:sz="0" w:space="0" w:color="auto"/>
                <w:bottom w:val="none" w:sz="0" w:space="0" w:color="auto"/>
                <w:right w:val="none" w:sz="0" w:space="0" w:color="auto"/>
              </w:divBdr>
            </w:div>
            <w:div w:id="266817131">
              <w:marLeft w:val="0"/>
              <w:marRight w:val="0"/>
              <w:marTop w:val="0"/>
              <w:marBottom w:val="0"/>
              <w:divBdr>
                <w:top w:val="none" w:sz="0" w:space="0" w:color="auto"/>
                <w:left w:val="none" w:sz="0" w:space="0" w:color="auto"/>
                <w:bottom w:val="none" w:sz="0" w:space="0" w:color="auto"/>
                <w:right w:val="none" w:sz="0" w:space="0" w:color="auto"/>
              </w:divBdr>
            </w:div>
            <w:div w:id="1960843718">
              <w:marLeft w:val="0"/>
              <w:marRight w:val="0"/>
              <w:marTop w:val="0"/>
              <w:marBottom w:val="0"/>
              <w:divBdr>
                <w:top w:val="none" w:sz="0" w:space="0" w:color="auto"/>
                <w:left w:val="none" w:sz="0" w:space="0" w:color="auto"/>
                <w:bottom w:val="none" w:sz="0" w:space="0" w:color="auto"/>
                <w:right w:val="none" w:sz="0" w:space="0" w:color="auto"/>
              </w:divBdr>
            </w:div>
            <w:div w:id="1574580575">
              <w:marLeft w:val="0"/>
              <w:marRight w:val="0"/>
              <w:marTop w:val="0"/>
              <w:marBottom w:val="0"/>
              <w:divBdr>
                <w:top w:val="none" w:sz="0" w:space="0" w:color="auto"/>
                <w:left w:val="none" w:sz="0" w:space="0" w:color="auto"/>
                <w:bottom w:val="none" w:sz="0" w:space="0" w:color="auto"/>
                <w:right w:val="none" w:sz="0" w:space="0" w:color="auto"/>
              </w:divBdr>
            </w:div>
            <w:div w:id="501315662">
              <w:marLeft w:val="0"/>
              <w:marRight w:val="0"/>
              <w:marTop w:val="0"/>
              <w:marBottom w:val="0"/>
              <w:divBdr>
                <w:top w:val="none" w:sz="0" w:space="0" w:color="auto"/>
                <w:left w:val="none" w:sz="0" w:space="0" w:color="auto"/>
                <w:bottom w:val="none" w:sz="0" w:space="0" w:color="auto"/>
                <w:right w:val="none" w:sz="0" w:space="0" w:color="auto"/>
              </w:divBdr>
            </w:div>
            <w:div w:id="7680881">
              <w:marLeft w:val="0"/>
              <w:marRight w:val="0"/>
              <w:marTop w:val="0"/>
              <w:marBottom w:val="0"/>
              <w:divBdr>
                <w:top w:val="none" w:sz="0" w:space="0" w:color="auto"/>
                <w:left w:val="none" w:sz="0" w:space="0" w:color="auto"/>
                <w:bottom w:val="none" w:sz="0" w:space="0" w:color="auto"/>
                <w:right w:val="none" w:sz="0" w:space="0" w:color="auto"/>
              </w:divBdr>
            </w:div>
            <w:div w:id="313487024">
              <w:marLeft w:val="0"/>
              <w:marRight w:val="0"/>
              <w:marTop w:val="0"/>
              <w:marBottom w:val="0"/>
              <w:divBdr>
                <w:top w:val="none" w:sz="0" w:space="0" w:color="auto"/>
                <w:left w:val="none" w:sz="0" w:space="0" w:color="auto"/>
                <w:bottom w:val="none" w:sz="0" w:space="0" w:color="auto"/>
                <w:right w:val="none" w:sz="0" w:space="0" w:color="auto"/>
              </w:divBdr>
            </w:div>
            <w:div w:id="1916166853">
              <w:marLeft w:val="0"/>
              <w:marRight w:val="0"/>
              <w:marTop w:val="0"/>
              <w:marBottom w:val="0"/>
              <w:divBdr>
                <w:top w:val="none" w:sz="0" w:space="0" w:color="auto"/>
                <w:left w:val="none" w:sz="0" w:space="0" w:color="auto"/>
                <w:bottom w:val="none" w:sz="0" w:space="0" w:color="auto"/>
                <w:right w:val="none" w:sz="0" w:space="0" w:color="auto"/>
              </w:divBdr>
            </w:div>
            <w:div w:id="1086417083">
              <w:marLeft w:val="0"/>
              <w:marRight w:val="0"/>
              <w:marTop w:val="0"/>
              <w:marBottom w:val="0"/>
              <w:divBdr>
                <w:top w:val="none" w:sz="0" w:space="0" w:color="auto"/>
                <w:left w:val="none" w:sz="0" w:space="0" w:color="auto"/>
                <w:bottom w:val="none" w:sz="0" w:space="0" w:color="auto"/>
                <w:right w:val="none" w:sz="0" w:space="0" w:color="auto"/>
              </w:divBdr>
            </w:div>
            <w:div w:id="1963412924">
              <w:marLeft w:val="0"/>
              <w:marRight w:val="0"/>
              <w:marTop w:val="0"/>
              <w:marBottom w:val="0"/>
              <w:divBdr>
                <w:top w:val="none" w:sz="0" w:space="0" w:color="auto"/>
                <w:left w:val="none" w:sz="0" w:space="0" w:color="auto"/>
                <w:bottom w:val="none" w:sz="0" w:space="0" w:color="auto"/>
                <w:right w:val="none" w:sz="0" w:space="0" w:color="auto"/>
              </w:divBdr>
            </w:div>
            <w:div w:id="1207176951">
              <w:marLeft w:val="0"/>
              <w:marRight w:val="0"/>
              <w:marTop w:val="0"/>
              <w:marBottom w:val="0"/>
              <w:divBdr>
                <w:top w:val="none" w:sz="0" w:space="0" w:color="auto"/>
                <w:left w:val="none" w:sz="0" w:space="0" w:color="auto"/>
                <w:bottom w:val="none" w:sz="0" w:space="0" w:color="auto"/>
                <w:right w:val="none" w:sz="0" w:space="0" w:color="auto"/>
              </w:divBdr>
            </w:div>
            <w:div w:id="890577868">
              <w:marLeft w:val="0"/>
              <w:marRight w:val="0"/>
              <w:marTop w:val="0"/>
              <w:marBottom w:val="0"/>
              <w:divBdr>
                <w:top w:val="none" w:sz="0" w:space="0" w:color="auto"/>
                <w:left w:val="none" w:sz="0" w:space="0" w:color="auto"/>
                <w:bottom w:val="none" w:sz="0" w:space="0" w:color="auto"/>
                <w:right w:val="none" w:sz="0" w:space="0" w:color="auto"/>
              </w:divBdr>
            </w:div>
            <w:div w:id="1632903006">
              <w:marLeft w:val="0"/>
              <w:marRight w:val="0"/>
              <w:marTop w:val="0"/>
              <w:marBottom w:val="0"/>
              <w:divBdr>
                <w:top w:val="none" w:sz="0" w:space="0" w:color="auto"/>
                <w:left w:val="none" w:sz="0" w:space="0" w:color="auto"/>
                <w:bottom w:val="none" w:sz="0" w:space="0" w:color="auto"/>
                <w:right w:val="none" w:sz="0" w:space="0" w:color="auto"/>
              </w:divBdr>
            </w:div>
            <w:div w:id="1475755900">
              <w:marLeft w:val="0"/>
              <w:marRight w:val="0"/>
              <w:marTop w:val="0"/>
              <w:marBottom w:val="0"/>
              <w:divBdr>
                <w:top w:val="none" w:sz="0" w:space="0" w:color="auto"/>
                <w:left w:val="none" w:sz="0" w:space="0" w:color="auto"/>
                <w:bottom w:val="none" w:sz="0" w:space="0" w:color="auto"/>
                <w:right w:val="none" w:sz="0" w:space="0" w:color="auto"/>
              </w:divBdr>
            </w:div>
            <w:div w:id="385028402">
              <w:marLeft w:val="0"/>
              <w:marRight w:val="0"/>
              <w:marTop w:val="0"/>
              <w:marBottom w:val="0"/>
              <w:divBdr>
                <w:top w:val="none" w:sz="0" w:space="0" w:color="auto"/>
                <w:left w:val="none" w:sz="0" w:space="0" w:color="auto"/>
                <w:bottom w:val="none" w:sz="0" w:space="0" w:color="auto"/>
                <w:right w:val="none" w:sz="0" w:space="0" w:color="auto"/>
              </w:divBdr>
            </w:div>
            <w:div w:id="635910561">
              <w:marLeft w:val="0"/>
              <w:marRight w:val="0"/>
              <w:marTop w:val="0"/>
              <w:marBottom w:val="0"/>
              <w:divBdr>
                <w:top w:val="none" w:sz="0" w:space="0" w:color="auto"/>
                <w:left w:val="none" w:sz="0" w:space="0" w:color="auto"/>
                <w:bottom w:val="none" w:sz="0" w:space="0" w:color="auto"/>
                <w:right w:val="none" w:sz="0" w:space="0" w:color="auto"/>
              </w:divBdr>
            </w:div>
            <w:div w:id="1946959320">
              <w:marLeft w:val="0"/>
              <w:marRight w:val="0"/>
              <w:marTop w:val="0"/>
              <w:marBottom w:val="0"/>
              <w:divBdr>
                <w:top w:val="none" w:sz="0" w:space="0" w:color="auto"/>
                <w:left w:val="none" w:sz="0" w:space="0" w:color="auto"/>
                <w:bottom w:val="none" w:sz="0" w:space="0" w:color="auto"/>
                <w:right w:val="none" w:sz="0" w:space="0" w:color="auto"/>
              </w:divBdr>
            </w:div>
            <w:div w:id="514806037">
              <w:marLeft w:val="0"/>
              <w:marRight w:val="0"/>
              <w:marTop w:val="0"/>
              <w:marBottom w:val="0"/>
              <w:divBdr>
                <w:top w:val="none" w:sz="0" w:space="0" w:color="auto"/>
                <w:left w:val="none" w:sz="0" w:space="0" w:color="auto"/>
                <w:bottom w:val="none" w:sz="0" w:space="0" w:color="auto"/>
                <w:right w:val="none" w:sz="0" w:space="0" w:color="auto"/>
              </w:divBdr>
            </w:div>
            <w:div w:id="1107382662">
              <w:marLeft w:val="0"/>
              <w:marRight w:val="0"/>
              <w:marTop w:val="0"/>
              <w:marBottom w:val="0"/>
              <w:divBdr>
                <w:top w:val="none" w:sz="0" w:space="0" w:color="auto"/>
                <w:left w:val="none" w:sz="0" w:space="0" w:color="auto"/>
                <w:bottom w:val="none" w:sz="0" w:space="0" w:color="auto"/>
                <w:right w:val="none" w:sz="0" w:space="0" w:color="auto"/>
              </w:divBdr>
            </w:div>
            <w:div w:id="491336803">
              <w:marLeft w:val="0"/>
              <w:marRight w:val="0"/>
              <w:marTop w:val="0"/>
              <w:marBottom w:val="0"/>
              <w:divBdr>
                <w:top w:val="none" w:sz="0" w:space="0" w:color="auto"/>
                <w:left w:val="none" w:sz="0" w:space="0" w:color="auto"/>
                <w:bottom w:val="none" w:sz="0" w:space="0" w:color="auto"/>
                <w:right w:val="none" w:sz="0" w:space="0" w:color="auto"/>
              </w:divBdr>
            </w:div>
            <w:div w:id="1162506619">
              <w:marLeft w:val="0"/>
              <w:marRight w:val="0"/>
              <w:marTop w:val="0"/>
              <w:marBottom w:val="0"/>
              <w:divBdr>
                <w:top w:val="none" w:sz="0" w:space="0" w:color="auto"/>
                <w:left w:val="none" w:sz="0" w:space="0" w:color="auto"/>
                <w:bottom w:val="none" w:sz="0" w:space="0" w:color="auto"/>
                <w:right w:val="none" w:sz="0" w:space="0" w:color="auto"/>
              </w:divBdr>
            </w:div>
            <w:div w:id="784151779">
              <w:marLeft w:val="0"/>
              <w:marRight w:val="0"/>
              <w:marTop w:val="0"/>
              <w:marBottom w:val="0"/>
              <w:divBdr>
                <w:top w:val="none" w:sz="0" w:space="0" w:color="auto"/>
                <w:left w:val="none" w:sz="0" w:space="0" w:color="auto"/>
                <w:bottom w:val="none" w:sz="0" w:space="0" w:color="auto"/>
                <w:right w:val="none" w:sz="0" w:space="0" w:color="auto"/>
              </w:divBdr>
            </w:div>
            <w:div w:id="1948465988">
              <w:marLeft w:val="0"/>
              <w:marRight w:val="0"/>
              <w:marTop w:val="0"/>
              <w:marBottom w:val="0"/>
              <w:divBdr>
                <w:top w:val="none" w:sz="0" w:space="0" w:color="auto"/>
                <w:left w:val="none" w:sz="0" w:space="0" w:color="auto"/>
                <w:bottom w:val="none" w:sz="0" w:space="0" w:color="auto"/>
                <w:right w:val="none" w:sz="0" w:space="0" w:color="auto"/>
              </w:divBdr>
            </w:div>
            <w:div w:id="1123697268">
              <w:marLeft w:val="0"/>
              <w:marRight w:val="0"/>
              <w:marTop w:val="0"/>
              <w:marBottom w:val="0"/>
              <w:divBdr>
                <w:top w:val="none" w:sz="0" w:space="0" w:color="auto"/>
                <w:left w:val="none" w:sz="0" w:space="0" w:color="auto"/>
                <w:bottom w:val="none" w:sz="0" w:space="0" w:color="auto"/>
                <w:right w:val="none" w:sz="0" w:space="0" w:color="auto"/>
              </w:divBdr>
            </w:div>
            <w:div w:id="1798255356">
              <w:marLeft w:val="0"/>
              <w:marRight w:val="0"/>
              <w:marTop w:val="0"/>
              <w:marBottom w:val="0"/>
              <w:divBdr>
                <w:top w:val="none" w:sz="0" w:space="0" w:color="auto"/>
                <w:left w:val="none" w:sz="0" w:space="0" w:color="auto"/>
                <w:bottom w:val="none" w:sz="0" w:space="0" w:color="auto"/>
                <w:right w:val="none" w:sz="0" w:space="0" w:color="auto"/>
              </w:divBdr>
            </w:div>
            <w:div w:id="2136681637">
              <w:marLeft w:val="0"/>
              <w:marRight w:val="0"/>
              <w:marTop w:val="0"/>
              <w:marBottom w:val="0"/>
              <w:divBdr>
                <w:top w:val="none" w:sz="0" w:space="0" w:color="auto"/>
                <w:left w:val="none" w:sz="0" w:space="0" w:color="auto"/>
                <w:bottom w:val="none" w:sz="0" w:space="0" w:color="auto"/>
                <w:right w:val="none" w:sz="0" w:space="0" w:color="auto"/>
              </w:divBdr>
            </w:div>
            <w:div w:id="1306929800">
              <w:marLeft w:val="0"/>
              <w:marRight w:val="0"/>
              <w:marTop w:val="0"/>
              <w:marBottom w:val="0"/>
              <w:divBdr>
                <w:top w:val="none" w:sz="0" w:space="0" w:color="auto"/>
                <w:left w:val="none" w:sz="0" w:space="0" w:color="auto"/>
                <w:bottom w:val="none" w:sz="0" w:space="0" w:color="auto"/>
                <w:right w:val="none" w:sz="0" w:space="0" w:color="auto"/>
              </w:divBdr>
            </w:div>
            <w:div w:id="861087406">
              <w:marLeft w:val="0"/>
              <w:marRight w:val="0"/>
              <w:marTop w:val="0"/>
              <w:marBottom w:val="0"/>
              <w:divBdr>
                <w:top w:val="none" w:sz="0" w:space="0" w:color="auto"/>
                <w:left w:val="none" w:sz="0" w:space="0" w:color="auto"/>
                <w:bottom w:val="none" w:sz="0" w:space="0" w:color="auto"/>
                <w:right w:val="none" w:sz="0" w:space="0" w:color="auto"/>
              </w:divBdr>
            </w:div>
            <w:div w:id="2102874527">
              <w:marLeft w:val="0"/>
              <w:marRight w:val="0"/>
              <w:marTop w:val="0"/>
              <w:marBottom w:val="0"/>
              <w:divBdr>
                <w:top w:val="none" w:sz="0" w:space="0" w:color="auto"/>
                <w:left w:val="none" w:sz="0" w:space="0" w:color="auto"/>
                <w:bottom w:val="none" w:sz="0" w:space="0" w:color="auto"/>
                <w:right w:val="none" w:sz="0" w:space="0" w:color="auto"/>
              </w:divBdr>
            </w:div>
            <w:div w:id="1656375251">
              <w:marLeft w:val="0"/>
              <w:marRight w:val="0"/>
              <w:marTop w:val="0"/>
              <w:marBottom w:val="0"/>
              <w:divBdr>
                <w:top w:val="none" w:sz="0" w:space="0" w:color="auto"/>
                <w:left w:val="none" w:sz="0" w:space="0" w:color="auto"/>
                <w:bottom w:val="none" w:sz="0" w:space="0" w:color="auto"/>
                <w:right w:val="none" w:sz="0" w:space="0" w:color="auto"/>
              </w:divBdr>
            </w:div>
            <w:div w:id="2095977547">
              <w:marLeft w:val="0"/>
              <w:marRight w:val="0"/>
              <w:marTop w:val="0"/>
              <w:marBottom w:val="0"/>
              <w:divBdr>
                <w:top w:val="none" w:sz="0" w:space="0" w:color="auto"/>
                <w:left w:val="none" w:sz="0" w:space="0" w:color="auto"/>
                <w:bottom w:val="none" w:sz="0" w:space="0" w:color="auto"/>
                <w:right w:val="none" w:sz="0" w:space="0" w:color="auto"/>
              </w:divBdr>
            </w:div>
            <w:div w:id="210267840">
              <w:marLeft w:val="0"/>
              <w:marRight w:val="0"/>
              <w:marTop w:val="0"/>
              <w:marBottom w:val="0"/>
              <w:divBdr>
                <w:top w:val="none" w:sz="0" w:space="0" w:color="auto"/>
                <w:left w:val="none" w:sz="0" w:space="0" w:color="auto"/>
                <w:bottom w:val="none" w:sz="0" w:space="0" w:color="auto"/>
                <w:right w:val="none" w:sz="0" w:space="0" w:color="auto"/>
              </w:divBdr>
            </w:div>
            <w:div w:id="1924029070">
              <w:marLeft w:val="0"/>
              <w:marRight w:val="0"/>
              <w:marTop w:val="0"/>
              <w:marBottom w:val="0"/>
              <w:divBdr>
                <w:top w:val="none" w:sz="0" w:space="0" w:color="auto"/>
                <w:left w:val="none" w:sz="0" w:space="0" w:color="auto"/>
                <w:bottom w:val="none" w:sz="0" w:space="0" w:color="auto"/>
                <w:right w:val="none" w:sz="0" w:space="0" w:color="auto"/>
              </w:divBdr>
            </w:div>
            <w:div w:id="315308597">
              <w:marLeft w:val="0"/>
              <w:marRight w:val="0"/>
              <w:marTop w:val="0"/>
              <w:marBottom w:val="0"/>
              <w:divBdr>
                <w:top w:val="none" w:sz="0" w:space="0" w:color="auto"/>
                <w:left w:val="none" w:sz="0" w:space="0" w:color="auto"/>
                <w:bottom w:val="none" w:sz="0" w:space="0" w:color="auto"/>
                <w:right w:val="none" w:sz="0" w:space="0" w:color="auto"/>
              </w:divBdr>
            </w:div>
            <w:div w:id="617563218">
              <w:marLeft w:val="0"/>
              <w:marRight w:val="0"/>
              <w:marTop w:val="0"/>
              <w:marBottom w:val="0"/>
              <w:divBdr>
                <w:top w:val="none" w:sz="0" w:space="0" w:color="auto"/>
                <w:left w:val="none" w:sz="0" w:space="0" w:color="auto"/>
                <w:bottom w:val="none" w:sz="0" w:space="0" w:color="auto"/>
                <w:right w:val="none" w:sz="0" w:space="0" w:color="auto"/>
              </w:divBdr>
            </w:div>
            <w:div w:id="164249381">
              <w:marLeft w:val="0"/>
              <w:marRight w:val="0"/>
              <w:marTop w:val="0"/>
              <w:marBottom w:val="0"/>
              <w:divBdr>
                <w:top w:val="none" w:sz="0" w:space="0" w:color="auto"/>
                <w:left w:val="none" w:sz="0" w:space="0" w:color="auto"/>
                <w:bottom w:val="none" w:sz="0" w:space="0" w:color="auto"/>
                <w:right w:val="none" w:sz="0" w:space="0" w:color="auto"/>
              </w:divBdr>
            </w:div>
            <w:div w:id="137387158">
              <w:marLeft w:val="0"/>
              <w:marRight w:val="0"/>
              <w:marTop w:val="0"/>
              <w:marBottom w:val="0"/>
              <w:divBdr>
                <w:top w:val="none" w:sz="0" w:space="0" w:color="auto"/>
                <w:left w:val="none" w:sz="0" w:space="0" w:color="auto"/>
                <w:bottom w:val="none" w:sz="0" w:space="0" w:color="auto"/>
                <w:right w:val="none" w:sz="0" w:space="0" w:color="auto"/>
              </w:divBdr>
            </w:div>
            <w:div w:id="213349022">
              <w:marLeft w:val="0"/>
              <w:marRight w:val="0"/>
              <w:marTop w:val="0"/>
              <w:marBottom w:val="0"/>
              <w:divBdr>
                <w:top w:val="none" w:sz="0" w:space="0" w:color="auto"/>
                <w:left w:val="none" w:sz="0" w:space="0" w:color="auto"/>
                <w:bottom w:val="none" w:sz="0" w:space="0" w:color="auto"/>
                <w:right w:val="none" w:sz="0" w:space="0" w:color="auto"/>
              </w:divBdr>
            </w:div>
            <w:div w:id="1063598131">
              <w:marLeft w:val="0"/>
              <w:marRight w:val="0"/>
              <w:marTop w:val="0"/>
              <w:marBottom w:val="0"/>
              <w:divBdr>
                <w:top w:val="none" w:sz="0" w:space="0" w:color="auto"/>
                <w:left w:val="none" w:sz="0" w:space="0" w:color="auto"/>
                <w:bottom w:val="none" w:sz="0" w:space="0" w:color="auto"/>
                <w:right w:val="none" w:sz="0" w:space="0" w:color="auto"/>
              </w:divBdr>
            </w:div>
            <w:div w:id="465899306">
              <w:marLeft w:val="0"/>
              <w:marRight w:val="0"/>
              <w:marTop w:val="0"/>
              <w:marBottom w:val="0"/>
              <w:divBdr>
                <w:top w:val="none" w:sz="0" w:space="0" w:color="auto"/>
                <w:left w:val="none" w:sz="0" w:space="0" w:color="auto"/>
                <w:bottom w:val="none" w:sz="0" w:space="0" w:color="auto"/>
                <w:right w:val="none" w:sz="0" w:space="0" w:color="auto"/>
              </w:divBdr>
            </w:div>
            <w:div w:id="1386030750">
              <w:marLeft w:val="0"/>
              <w:marRight w:val="0"/>
              <w:marTop w:val="0"/>
              <w:marBottom w:val="0"/>
              <w:divBdr>
                <w:top w:val="none" w:sz="0" w:space="0" w:color="auto"/>
                <w:left w:val="none" w:sz="0" w:space="0" w:color="auto"/>
                <w:bottom w:val="none" w:sz="0" w:space="0" w:color="auto"/>
                <w:right w:val="none" w:sz="0" w:space="0" w:color="auto"/>
              </w:divBdr>
            </w:div>
            <w:div w:id="190338426">
              <w:marLeft w:val="0"/>
              <w:marRight w:val="0"/>
              <w:marTop w:val="0"/>
              <w:marBottom w:val="0"/>
              <w:divBdr>
                <w:top w:val="none" w:sz="0" w:space="0" w:color="auto"/>
                <w:left w:val="none" w:sz="0" w:space="0" w:color="auto"/>
                <w:bottom w:val="none" w:sz="0" w:space="0" w:color="auto"/>
                <w:right w:val="none" w:sz="0" w:space="0" w:color="auto"/>
              </w:divBdr>
            </w:div>
            <w:div w:id="1293172362">
              <w:marLeft w:val="0"/>
              <w:marRight w:val="0"/>
              <w:marTop w:val="0"/>
              <w:marBottom w:val="0"/>
              <w:divBdr>
                <w:top w:val="none" w:sz="0" w:space="0" w:color="auto"/>
                <w:left w:val="none" w:sz="0" w:space="0" w:color="auto"/>
                <w:bottom w:val="none" w:sz="0" w:space="0" w:color="auto"/>
                <w:right w:val="none" w:sz="0" w:space="0" w:color="auto"/>
              </w:divBdr>
            </w:div>
            <w:div w:id="1521311393">
              <w:marLeft w:val="0"/>
              <w:marRight w:val="0"/>
              <w:marTop w:val="0"/>
              <w:marBottom w:val="0"/>
              <w:divBdr>
                <w:top w:val="none" w:sz="0" w:space="0" w:color="auto"/>
                <w:left w:val="none" w:sz="0" w:space="0" w:color="auto"/>
                <w:bottom w:val="none" w:sz="0" w:space="0" w:color="auto"/>
                <w:right w:val="none" w:sz="0" w:space="0" w:color="auto"/>
              </w:divBdr>
            </w:div>
            <w:div w:id="2091389388">
              <w:marLeft w:val="0"/>
              <w:marRight w:val="0"/>
              <w:marTop w:val="0"/>
              <w:marBottom w:val="0"/>
              <w:divBdr>
                <w:top w:val="none" w:sz="0" w:space="0" w:color="auto"/>
                <w:left w:val="none" w:sz="0" w:space="0" w:color="auto"/>
                <w:bottom w:val="none" w:sz="0" w:space="0" w:color="auto"/>
                <w:right w:val="none" w:sz="0" w:space="0" w:color="auto"/>
              </w:divBdr>
            </w:div>
            <w:div w:id="1095443597">
              <w:marLeft w:val="0"/>
              <w:marRight w:val="0"/>
              <w:marTop w:val="0"/>
              <w:marBottom w:val="0"/>
              <w:divBdr>
                <w:top w:val="none" w:sz="0" w:space="0" w:color="auto"/>
                <w:left w:val="none" w:sz="0" w:space="0" w:color="auto"/>
                <w:bottom w:val="none" w:sz="0" w:space="0" w:color="auto"/>
                <w:right w:val="none" w:sz="0" w:space="0" w:color="auto"/>
              </w:divBdr>
            </w:div>
            <w:div w:id="1458067894">
              <w:marLeft w:val="0"/>
              <w:marRight w:val="0"/>
              <w:marTop w:val="0"/>
              <w:marBottom w:val="0"/>
              <w:divBdr>
                <w:top w:val="none" w:sz="0" w:space="0" w:color="auto"/>
                <w:left w:val="none" w:sz="0" w:space="0" w:color="auto"/>
                <w:bottom w:val="none" w:sz="0" w:space="0" w:color="auto"/>
                <w:right w:val="none" w:sz="0" w:space="0" w:color="auto"/>
              </w:divBdr>
            </w:div>
            <w:div w:id="848518484">
              <w:marLeft w:val="0"/>
              <w:marRight w:val="0"/>
              <w:marTop w:val="0"/>
              <w:marBottom w:val="0"/>
              <w:divBdr>
                <w:top w:val="none" w:sz="0" w:space="0" w:color="auto"/>
                <w:left w:val="none" w:sz="0" w:space="0" w:color="auto"/>
                <w:bottom w:val="none" w:sz="0" w:space="0" w:color="auto"/>
                <w:right w:val="none" w:sz="0" w:space="0" w:color="auto"/>
              </w:divBdr>
            </w:div>
            <w:div w:id="82118037">
              <w:marLeft w:val="0"/>
              <w:marRight w:val="0"/>
              <w:marTop w:val="0"/>
              <w:marBottom w:val="0"/>
              <w:divBdr>
                <w:top w:val="none" w:sz="0" w:space="0" w:color="auto"/>
                <w:left w:val="none" w:sz="0" w:space="0" w:color="auto"/>
                <w:bottom w:val="none" w:sz="0" w:space="0" w:color="auto"/>
                <w:right w:val="none" w:sz="0" w:space="0" w:color="auto"/>
              </w:divBdr>
            </w:div>
            <w:div w:id="852307817">
              <w:marLeft w:val="0"/>
              <w:marRight w:val="0"/>
              <w:marTop w:val="0"/>
              <w:marBottom w:val="0"/>
              <w:divBdr>
                <w:top w:val="none" w:sz="0" w:space="0" w:color="auto"/>
                <w:left w:val="none" w:sz="0" w:space="0" w:color="auto"/>
                <w:bottom w:val="none" w:sz="0" w:space="0" w:color="auto"/>
                <w:right w:val="none" w:sz="0" w:space="0" w:color="auto"/>
              </w:divBdr>
            </w:div>
            <w:div w:id="1718747253">
              <w:marLeft w:val="0"/>
              <w:marRight w:val="0"/>
              <w:marTop w:val="0"/>
              <w:marBottom w:val="0"/>
              <w:divBdr>
                <w:top w:val="none" w:sz="0" w:space="0" w:color="auto"/>
                <w:left w:val="none" w:sz="0" w:space="0" w:color="auto"/>
                <w:bottom w:val="none" w:sz="0" w:space="0" w:color="auto"/>
                <w:right w:val="none" w:sz="0" w:space="0" w:color="auto"/>
              </w:divBdr>
            </w:div>
            <w:div w:id="177811514">
              <w:marLeft w:val="0"/>
              <w:marRight w:val="0"/>
              <w:marTop w:val="0"/>
              <w:marBottom w:val="0"/>
              <w:divBdr>
                <w:top w:val="none" w:sz="0" w:space="0" w:color="auto"/>
                <w:left w:val="none" w:sz="0" w:space="0" w:color="auto"/>
                <w:bottom w:val="none" w:sz="0" w:space="0" w:color="auto"/>
                <w:right w:val="none" w:sz="0" w:space="0" w:color="auto"/>
              </w:divBdr>
            </w:div>
            <w:div w:id="1166476099">
              <w:marLeft w:val="0"/>
              <w:marRight w:val="0"/>
              <w:marTop w:val="0"/>
              <w:marBottom w:val="0"/>
              <w:divBdr>
                <w:top w:val="none" w:sz="0" w:space="0" w:color="auto"/>
                <w:left w:val="none" w:sz="0" w:space="0" w:color="auto"/>
                <w:bottom w:val="none" w:sz="0" w:space="0" w:color="auto"/>
                <w:right w:val="none" w:sz="0" w:space="0" w:color="auto"/>
              </w:divBdr>
            </w:div>
            <w:div w:id="827403739">
              <w:marLeft w:val="0"/>
              <w:marRight w:val="0"/>
              <w:marTop w:val="0"/>
              <w:marBottom w:val="0"/>
              <w:divBdr>
                <w:top w:val="none" w:sz="0" w:space="0" w:color="auto"/>
                <w:left w:val="none" w:sz="0" w:space="0" w:color="auto"/>
                <w:bottom w:val="none" w:sz="0" w:space="0" w:color="auto"/>
                <w:right w:val="none" w:sz="0" w:space="0" w:color="auto"/>
              </w:divBdr>
            </w:div>
            <w:div w:id="934753804">
              <w:marLeft w:val="0"/>
              <w:marRight w:val="0"/>
              <w:marTop w:val="0"/>
              <w:marBottom w:val="0"/>
              <w:divBdr>
                <w:top w:val="none" w:sz="0" w:space="0" w:color="auto"/>
                <w:left w:val="none" w:sz="0" w:space="0" w:color="auto"/>
                <w:bottom w:val="none" w:sz="0" w:space="0" w:color="auto"/>
                <w:right w:val="none" w:sz="0" w:space="0" w:color="auto"/>
              </w:divBdr>
            </w:div>
            <w:div w:id="354890996">
              <w:marLeft w:val="0"/>
              <w:marRight w:val="0"/>
              <w:marTop w:val="0"/>
              <w:marBottom w:val="0"/>
              <w:divBdr>
                <w:top w:val="none" w:sz="0" w:space="0" w:color="auto"/>
                <w:left w:val="none" w:sz="0" w:space="0" w:color="auto"/>
                <w:bottom w:val="none" w:sz="0" w:space="0" w:color="auto"/>
                <w:right w:val="none" w:sz="0" w:space="0" w:color="auto"/>
              </w:divBdr>
            </w:div>
            <w:div w:id="185405655">
              <w:marLeft w:val="0"/>
              <w:marRight w:val="0"/>
              <w:marTop w:val="0"/>
              <w:marBottom w:val="0"/>
              <w:divBdr>
                <w:top w:val="none" w:sz="0" w:space="0" w:color="auto"/>
                <w:left w:val="none" w:sz="0" w:space="0" w:color="auto"/>
                <w:bottom w:val="none" w:sz="0" w:space="0" w:color="auto"/>
                <w:right w:val="none" w:sz="0" w:space="0" w:color="auto"/>
              </w:divBdr>
            </w:div>
            <w:div w:id="50808116">
              <w:marLeft w:val="0"/>
              <w:marRight w:val="0"/>
              <w:marTop w:val="0"/>
              <w:marBottom w:val="0"/>
              <w:divBdr>
                <w:top w:val="none" w:sz="0" w:space="0" w:color="auto"/>
                <w:left w:val="none" w:sz="0" w:space="0" w:color="auto"/>
                <w:bottom w:val="none" w:sz="0" w:space="0" w:color="auto"/>
                <w:right w:val="none" w:sz="0" w:space="0" w:color="auto"/>
              </w:divBdr>
            </w:div>
            <w:div w:id="1755397373">
              <w:marLeft w:val="0"/>
              <w:marRight w:val="0"/>
              <w:marTop w:val="0"/>
              <w:marBottom w:val="0"/>
              <w:divBdr>
                <w:top w:val="none" w:sz="0" w:space="0" w:color="auto"/>
                <w:left w:val="none" w:sz="0" w:space="0" w:color="auto"/>
                <w:bottom w:val="none" w:sz="0" w:space="0" w:color="auto"/>
                <w:right w:val="none" w:sz="0" w:space="0" w:color="auto"/>
              </w:divBdr>
            </w:div>
            <w:div w:id="1303467439">
              <w:marLeft w:val="0"/>
              <w:marRight w:val="0"/>
              <w:marTop w:val="0"/>
              <w:marBottom w:val="0"/>
              <w:divBdr>
                <w:top w:val="none" w:sz="0" w:space="0" w:color="auto"/>
                <w:left w:val="none" w:sz="0" w:space="0" w:color="auto"/>
                <w:bottom w:val="none" w:sz="0" w:space="0" w:color="auto"/>
                <w:right w:val="none" w:sz="0" w:space="0" w:color="auto"/>
              </w:divBdr>
            </w:div>
            <w:div w:id="1045446123">
              <w:marLeft w:val="0"/>
              <w:marRight w:val="0"/>
              <w:marTop w:val="0"/>
              <w:marBottom w:val="0"/>
              <w:divBdr>
                <w:top w:val="none" w:sz="0" w:space="0" w:color="auto"/>
                <w:left w:val="none" w:sz="0" w:space="0" w:color="auto"/>
                <w:bottom w:val="none" w:sz="0" w:space="0" w:color="auto"/>
                <w:right w:val="none" w:sz="0" w:space="0" w:color="auto"/>
              </w:divBdr>
            </w:div>
            <w:div w:id="2034183504">
              <w:marLeft w:val="0"/>
              <w:marRight w:val="0"/>
              <w:marTop w:val="0"/>
              <w:marBottom w:val="0"/>
              <w:divBdr>
                <w:top w:val="none" w:sz="0" w:space="0" w:color="auto"/>
                <w:left w:val="none" w:sz="0" w:space="0" w:color="auto"/>
                <w:bottom w:val="none" w:sz="0" w:space="0" w:color="auto"/>
                <w:right w:val="none" w:sz="0" w:space="0" w:color="auto"/>
              </w:divBdr>
            </w:div>
            <w:div w:id="1975404745">
              <w:marLeft w:val="0"/>
              <w:marRight w:val="0"/>
              <w:marTop w:val="0"/>
              <w:marBottom w:val="0"/>
              <w:divBdr>
                <w:top w:val="none" w:sz="0" w:space="0" w:color="auto"/>
                <w:left w:val="none" w:sz="0" w:space="0" w:color="auto"/>
                <w:bottom w:val="none" w:sz="0" w:space="0" w:color="auto"/>
                <w:right w:val="none" w:sz="0" w:space="0" w:color="auto"/>
              </w:divBdr>
            </w:div>
            <w:div w:id="1472819421">
              <w:marLeft w:val="0"/>
              <w:marRight w:val="0"/>
              <w:marTop w:val="0"/>
              <w:marBottom w:val="0"/>
              <w:divBdr>
                <w:top w:val="none" w:sz="0" w:space="0" w:color="auto"/>
                <w:left w:val="none" w:sz="0" w:space="0" w:color="auto"/>
                <w:bottom w:val="none" w:sz="0" w:space="0" w:color="auto"/>
                <w:right w:val="none" w:sz="0" w:space="0" w:color="auto"/>
              </w:divBdr>
            </w:div>
            <w:div w:id="2029794072">
              <w:marLeft w:val="0"/>
              <w:marRight w:val="0"/>
              <w:marTop w:val="0"/>
              <w:marBottom w:val="0"/>
              <w:divBdr>
                <w:top w:val="none" w:sz="0" w:space="0" w:color="auto"/>
                <w:left w:val="none" w:sz="0" w:space="0" w:color="auto"/>
                <w:bottom w:val="none" w:sz="0" w:space="0" w:color="auto"/>
                <w:right w:val="none" w:sz="0" w:space="0" w:color="auto"/>
              </w:divBdr>
            </w:div>
            <w:div w:id="859901478">
              <w:marLeft w:val="0"/>
              <w:marRight w:val="0"/>
              <w:marTop w:val="0"/>
              <w:marBottom w:val="0"/>
              <w:divBdr>
                <w:top w:val="none" w:sz="0" w:space="0" w:color="auto"/>
                <w:left w:val="none" w:sz="0" w:space="0" w:color="auto"/>
                <w:bottom w:val="none" w:sz="0" w:space="0" w:color="auto"/>
                <w:right w:val="none" w:sz="0" w:space="0" w:color="auto"/>
              </w:divBdr>
            </w:div>
            <w:div w:id="1392383542">
              <w:marLeft w:val="0"/>
              <w:marRight w:val="0"/>
              <w:marTop w:val="0"/>
              <w:marBottom w:val="0"/>
              <w:divBdr>
                <w:top w:val="none" w:sz="0" w:space="0" w:color="auto"/>
                <w:left w:val="none" w:sz="0" w:space="0" w:color="auto"/>
                <w:bottom w:val="none" w:sz="0" w:space="0" w:color="auto"/>
                <w:right w:val="none" w:sz="0" w:space="0" w:color="auto"/>
              </w:divBdr>
            </w:div>
            <w:div w:id="430517849">
              <w:marLeft w:val="0"/>
              <w:marRight w:val="0"/>
              <w:marTop w:val="0"/>
              <w:marBottom w:val="0"/>
              <w:divBdr>
                <w:top w:val="none" w:sz="0" w:space="0" w:color="auto"/>
                <w:left w:val="none" w:sz="0" w:space="0" w:color="auto"/>
                <w:bottom w:val="none" w:sz="0" w:space="0" w:color="auto"/>
                <w:right w:val="none" w:sz="0" w:space="0" w:color="auto"/>
              </w:divBdr>
            </w:div>
            <w:div w:id="367924034">
              <w:marLeft w:val="0"/>
              <w:marRight w:val="0"/>
              <w:marTop w:val="0"/>
              <w:marBottom w:val="0"/>
              <w:divBdr>
                <w:top w:val="none" w:sz="0" w:space="0" w:color="auto"/>
                <w:left w:val="none" w:sz="0" w:space="0" w:color="auto"/>
                <w:bottom w:val="none" w:sz="0" w:space="0" w:color="auto"/>
                <w:right w:val="none" w:sz="0" w:space="0" w:color="auto"/>
              </w:divBdr>
            </w:div>
            <w:div w:id="1613056180">
              <w:marLeft w:val="0"/>
              <w:marRight w:val="0"/>
              <w:marTop w:val="0"/>
              <w:marBottom w:val="0"/>
              <w:divBdr>
                <w:top w:val="none" w:sz="0" w:space="0" w:color="auto"/>
                <w:left w:val="none" w:sz="0" w:space="0" w:color="auto"/>
                <w:bottom w:val="none" w:sz="0" w:space="0" w:color="auto"/>
                <w:right w:val="none" w:sz="0" w:space="0" w:color="auto"/>
              </w:divBdr>
            </w:div>
            <w:div w:id="1163862215">
              <w:marLeft w:val="0"/>
              <w:marRight w:val="0"/>
              <w:marTop w:val="0"/>
              <w:marBottom w:val="0"/>
              <w:divBdr>
                <w:top w:val="none" w:sz="0" w:space="0" w:color="auto"/>
                <w:left w:val="none" w:sz="0" w:space="0" w:color="auto"/>
                <w:bottom w:val="none" w:sz="0" w:space="0" w:color="auto"/>
                <w:right w:val="none" w:sz="0" w:space="0" w:color="auto"/>
              </w:divBdr>
            </w:div>
            <w:div w:id="2022777455">
              <w:marLeft w:val="0"/>
              <w:marRight w:val="0"/>
              <w:marTop w:val="0"/>
              <w:marBottom w:val="0"/>
              <w:divBdr>
                <w:top w:val="none" w:sz="0" w:space="0" w:color="auto"/>
                <w:left w:val="none" w:sz="0" w:space="0" w:color="auto"/>
                <w:bottom w:val="none" w:sz="0" w:space="0" w:color="auto"/>
                <w:right w:val="none" w:sz="0" w:space="0" w:color="auto"/>
              </w:divBdr>
            </w:div>
            <w:div w:id="109402511">
              <w:marLeft w:val="0"/>
              <w:marRight w:val="0"/>
              <w:marTop w:val="0"/>
              <w:marBottom w:val="0"/>
              <w:divBdr>
                <w:top w:val="none" w:sz="0" w:space="0" w:color="auto"/>
                <w:left w:val="none" w:sz="0" w:space="0" w:color="auto"/>
                <w:bottom w:val="none" w:sz="0" w:space="0" w:color="auto"/>
                <w:right w:val="none" w:sz="0" w:space="0" w:color="auto"/>
              </w:divBdr>
            </w:div>
            <w:div w:id="1734237342">
              <w:marLeft w:val="0"/>
              <w:marRight w:val="0"/>
              <w:marTop w:val="0"/>
              <w:marBottom w:val="0"/>
              <w:divBdr>
                <w:top w:val="none" w:sz="0" w:space="0" w:color="auto"/>
                <w:left w:val="none" w:sz="0" w:space="0" w:color="auto"/>
                <w:bottom w:val="none" w:sz="0" w:space="0" w:color="auto"/>
                <w:right w:val="none" w:sz="0" w:space="0" w:color="auto"/>
              </w:divBdr>
            </w:div>
            <w:div w:id="897862739">
              <w:marLeft w:val="0"/>
              <w:marRight w:val="0"/>
              <w:marTop w:val="0"/>
              <w:marBottom w:val="0"/>
              <w:divBdr>
                <w:top w:val="none" w:sz="0" w:space="0" w:color="auto"/>
                <w:left w:val="none" w:sz="0" w:space="0" w:color="auto"/>
                <w:bottom w:val="none" w:sz="0" w:space="0" w:color="auto"/>
                <w:right w:val="none" w:sz="0" w:space="0" w:color="auto"/>
              </w:divBdr>
            </w:div>
            <w:div w:id="401677135">
              <w:marLeft w:val="0"/>
              <w:marRight w:val="0"/>
              <w:marTop w:val="0"/>
              <w:marBottom w:val="0"/>
              <w:divBdr>
                <w:top w:val="none" w:sz="0" w:space="0" w:color="auto"/>
                <w:left w:val="none" w:sz="0" w:space="0" w:color="auto"/>
                <w:bottom w:val="none" w:sz="0" w:space="0" w:color="auto"/>
                <w:right w:val="none" w:sz="0" w:space="0" w:color="auto"/>
              </w:divBdr>
            </w:div>
            <w:div w:id="751582264">
              <w:marLeft w:val="0"/>
              <w:marRight w:val="0"/>
              <w:marTop w:val="0"/>
              <w:marBottom w:val="0"/>
              <w:divBdr>
                <w:top w:val="none" w:sz="0" w:space="0" w:color="auto"/>
                <w:left w:val="none" w:sz="0" w:space="0" w:color="auto"/>
                <w:bottom w:val="none" w:sz="0" w:space="0" w:color="auto"/>
                <w:right w:val="none" w:sz="0" w:space="0" w:color="auto"/>
              </w:divBdr>
            </w:div>
            <w:div w:id="1032849282">
              <w:marLeft w:val="0"/>
              <w:marRight w:val="0"/>
              <w:marTop w:val="0"/>
              <w:marBottom w:val="0"/>
              <w:divBdr>
                <w:top w:val="none" w:sz="0" w:space="0" w:color="auto"/>
                <w:left w:val="none" w:sz="0" w:space="0" w:color="auto"/>
                <w:bottom w:val="none" w:sz="0" w:space="0" w:color="auto"/>
                <w:right w:val="none" w:sz="0" w:space="0" w:color="auto"/>
              </w:divBdr>
            </w:div>
            <w:div w:id="230889853">
              <w:marLeft w:val="0"/>
              <w:marRight w:val="0"/>
              <w:marTop w:val="0"/>
              <w:marBottom w:val="0"/>
              <w:divBdr>
                <w:top w:val="none" w:sz="0" w:space="0" w:color="auto"/>
                <w:left w:val="none" w:sz="0" w:space="0" w:color="auto"/>
                <w:bottom w:val="none" w:sz="0" w:space="0" w:color="auto"/>
                <w:right w:val="none" w:sz="0" w:space="0" w:color="auto"/>
              </w:divBdr>
            </w:div>
            <w:div w:id="1879202028">
              <w:marLeft w:val="0"/>
              <w:marRight w:val="0"/>
              <w:marTop w:val="0"/>
              <w:marBottom w:val="0"/>
              <w:divBdr>
                <w:top w:val="none" w:sz="0" w:space="0" w:color="auto"/>
                <w:left w:val="none" w:sz="0" w:space="0" w:color="auto"/>
                <w:bottom w:val="none" w:sz="0" w:space="0" w:color="auto"/>
                <w:right w:val="none" w:sz="0" w:space="0" w:color="auto"/>
              </w:divBdr>
            </w:div>
            <w:div w:id="2132438307">
              <w:marLeft w:val="0"/>
              <w:marRight w:val="0"/>
              <w:marTop w:val="0"/>
              <w:marBottom w:val="0"/>
              <w:divBdr>
                <w:top w:val="none" w:sz="0" w:space="0" w:color="auto"/>
                <w:left w:val="none" w:sz="0" w:space="0" w:color="auto"/>
                <w:bottom w:val="none" w:sz="0" w:space="0" w:color="auto"/>
                <w:right w:val="none" w:sz="0" w:space="0" w:color="auto"/>
              </w:divBdr>
            </w:div>
            <w:div w:id="1942715627">
              <w:marLeft w:val="0"/>
              <w:marRight w:val="0"/>
              <w:marTop w:val="0"/>
              <w:marBottom w:val="0"/>
              <w:divBdr>
                <w:top w:val="none" w:sz="0" w:space="0" w:color="auto"/>
                <w:left w:val="none" w:sz="0" w:space="0" w:color="auto"/>
                <w:bottom w:val="none" w:sz="0" w:space="0" w:color="auto"/>
                <w:right w:val="none" w:sz="0" w:space="0" w:color="auto"/>
              </w:divBdr>
            </w:div>
            <w:div w:id="1942105339">
              <w:marLeft w:val="0"/>
              <w:marRight w:val="0"/>
              <w:marTop w:val="0"/>
              <w:marBottom w:val="0"/>
              <w:divBdr>
                <w:top w:val="none" w:sz="0" w:space="0" w:color="auto"/>
                <w:left w:val="none" w:sz="0" w:space="0" w:color="auto"/>
                <w:bottom w:val="none" w:sz="0" w:space="0" w:color="auto"/>
                <w:right w:val="none" w:sz="0" w:space="0" w:color="auto"/>
              </w:divBdr>
            </w:div>
            <w:div w:id="674841496">
              <w:marLeft w:val="0"/>
              <w:marRight w:val="0"/>
              <w:marTop w:val="0"/>
              <w:marBottom w:val="0"/>
              <w:divBdr>
                <w:top w:val="none" w:sz="0" w:space="0" w:color="auto"/>
                <w:left w:val="none" w:sz="0" w:space="0" w:color="auto"/>
                <w:bottom w:val="none" w:sz="0" w:space="0" w:color="auto"/>
                <w:right w:val="none" w:sz="0" w:space="0" w:color="auto"/>
              </w:divBdr>
            </w:div>
            <w:div w:id="1003315609">
              <w:marLeft w:val="0"/>
              <w:marRight w:val="0"/>
              <w:marTop w:val="0"/>
              <w:marBottom w:val="0"/>
              <w:divBdr>
                <w:top w:val="none" w:sz="0" w:space="0" w:color="auto"/>
                <w:left w:val="none" w:sz="0" w:space="0" w:color="auto"/>
                <w:bottom w:val="none" w:sz="0" w:space="0" w:color="auto"/>
                <w:right w:val="none" w:sz="0" w:space="0" w:color="auto"/>
              </w:divBdr>
            </w:div>
            <w:div w:id="1502769076">
              <w:marLeft w:val="0"/>
              <w:marRight w:val="0"/>
              <w:marTop w:val="0"/>
              <w:marBottom w:val="0"/>
              <w:divBdr>
                <w:top w:val="none" w:sz="0" w:space="0" w:color="auto"/>
                <w:left w:val="none" w:sz="0" w:space="0" w:color="auto"/>
                <w:bottom w:val="none" w:sz="0" w:space="0" w:color="auto"/>
                <w:right w:val="none" w:sz="0" w:space="0" w:color="auto"/>
              </w:divBdr>
            </w:div>
            <w:div w:id="1899783675">
              <w:marLeft w:val="0"/>
              <w:marRight w:val="0"/>
              <w:marTop w:val="0"/>
              <w:marBottom w:val="0"/>
              <w:divBdr>
                <w:top w:val="none" w:sz="0" w:space="0" w:color="auto"/>
                <w:left w:val="none" w:sz="0" w:space="0" w:color="auto"/>
                <w:bottom w:val="none" w:sz="0" w:space="0" w:color="auto"/>
                <w:right w:val="none" w:sz="0" w:space="0" w:color="auto"/>
              </w:divBdr>
            </w:div>
            <w:div w:id="1705980170">
              <w:marLeft w:val="0"/>
              <w:marRight w:val="0"/>
              <w:marTop w:val="0"/>
              <w:marBottom w:val="0"/>
              <w:divBdr>
                <w:top w:val="none" w:sz="0" w:space="0" w:color="auto"/>
                <w:left w:val="none" w:sz="0" w:space="0" w:color="auto"/>
                <w:bottom w:val="none" w:sz="0" w:space="0" w:color="auto"/>
                <w:right w:val="none" w:sz="0" w:space="0" w:color="auto"/>
              </w:divBdr>
            </w:div>
            <w:div w:id="1636134596">
              <w:marLeft w:val="0"/>
              <w:marRight w:val="0"/>
              <w:marTop w:val="0"/>
              <w:marBottom w:val="0"/>
              <w:divBdr>
                <w:top w:val="none" w:sz="0" w:space="0" w:color="auto"/>
                <w:left w:val="none" w:sz="0" w:space="0" w:color="auto"/>
                <w:bottom w:val="none" w:sz="0" w:space="0" w:color="auto"/>
                <w:right w:val="none" w:sz="0" w:space="0" w:color="auto"/>
              </w:divBdr>
            </w:div>
            <w:div w:id="3479274">
              <w:marLeft w:val="0"/>
              <w:marRight w:val="0"/>
              <w:marTop w:val="0"/>
              <w:marBottom w:val="0"/>
              <w:divBdr>
                <w:top w:val="none" w:sz="0" w:space="0" w:color="auto"/>
                <w:left w:val="none" w:sz="0" w:space="0" w:color="auto"/>
                <w:bottom w:val="none" w:sz="0" w:space="0" w:color="auto"/>
                <w:right w:val="none" w:sz="0" w:space="0" w:color="auto"/>
              </w:divBdr>
            </w:div>
            <w:div w:id="654727708">
              <w:marLeft w:val="0"/>
              <w:marRight w:val="0"/>
              <w:marTop w:val="0"/>
              <w:marBottom w:val="0"/>
              <w:divBdr>
                <w:top w:val="none" w:sz="0" w:space="0" w:color="auto"/>
                <w:left w:val="none" w:sz="0" w:space="0" w:color="auto"/>
                <w:bottom w:val="none" w:sz="0" w:space="0" w:color="auto"/>
                <w:right w:val="none" w:sz="0" w:space="0" w:color="auto"/>
              </w:divBdr>
            </w:div>
            <w:div w:id="359018135">
              <w:marLeft w:val="0"/>
              <w:marRight w:val="0"/>
              <w:marTop w:val="0"/>
              <w:marBottom w:val="0"/>
              <w:divBdr>
                <w:top w:val="none" w:sz="0" w:space="0" w:color="auto"/>
                <w:left w:val="none" w:sz="0" w:space="0" w:color="auto"/>
                <w:bottom w:val="none" w:sz="0" w:space="0" w:color="auto"/>
                <w:right w:val="none" w:sz="0" w:space="0" w:color="auto"/>
              </w:divBdr>
            </w:div>
            <w:div w:id="1763642901">
              <w:marLeft w:val="0"/>
              <w:marRight w:val="0"/>
              <w:marTop w:val="0"/>
              <w:marBottom w:val="0"/>
              <w:divBdr>
                <w:top w:val="none" w:sz="0" w:space="0" w:color="auto"/>
                <w:left w:val="none" w:sz="0" w:space="0" w:color="auto"/>
                <w:bottom w:val="none" w:sz="0" w:space="0" w:color="auto"/>
                <w:right w:val="none" w:sz="0" w:space="0" w:color="auto"/>
              </w:divBdr>
            </w:div>
            <w:div w:id="1320420031">
              <w:marLeft w:val="0"/>
              <w:marRight w:val="0"/>
              <w:marTop w:val="0"/>
              <w:marBottom w:val="0"/>
              <w:divBdr>
                <w:top w:val="none" w:sz="0" w:space="0" w:color="auto"/>
                <w:left w:val="none" w:sz="0" w:space="0" w:color="auto"/>
                <w:bottom w:val="none" w:sz="0" w:space="0" w:color="auto"/>
                <w:right w:val="none" w:sz="0" w:space="0" w:color="auto"/>
              </w:divBdr>
            </w:div>
            <w:div w:id="1954627021">
              <w:marLeft w:val="0"/>
              <w:marRight w:val="0"/>
              <w:marTop w:val="0"/>
              <w:marBottom w:val="0"/>
              <w:divBdr>
                <w:top w:val="none" w:sz="0" w:space="0" w:color="auto"/>
                <w:left w:val="none" w:sz="0" w:space="0" w:color="auto"/>
                <w:bottom w:val="none" w:sz="0" w:space="0" w:color="auto"/>
                <w:right w:val="none" w:sz="0" w:space="0" w:color="auto"/>
              </w:divBdr>
            </w:div>
            <w:div w:id="29428308">
              <w:marLeft w:val="0"/>
              <w:marRight w:val="0"/>
              <w:marTop w:val="0"/>
              <w:marBottom w:val="0"/>
              <w:divBdr>
                <w:top w:val="none" w:sz="0" w:space="0" w:color="auto"/>
                <w:left w:val="none" w:sz="0" w:space="0" w:color="auto"/>
                <w:bottom w:val="none" w:sz="0" w:space="0" w:color="auto"/>
                <w:right w:val="none" w:sz="0" w:space="0" w:color="auto"/>
              </w:divBdr>
            </w:div>
            <w:div w:id="1265646305">
              <w:marLeft w:val="0"/>
              <w:marRight w:val="0"/>
              <w:marTop w:val="0"/>
              <w:marBottom w:val="0"/>
              <w:divBdr>
                <w:top w:val="none" w:sz="0" w:space="0" w:color="auto"/>
                <w:left w:val="none" w:sz="0" w:space="0" w:color="auto"/>
                <w:bottom w:val="none" w:sz="0" w:space="0" w:color="auto"/>
                <w:right w:val="none" w:sz="0" w:space="0" w:color="auto"/>
              </w:divBdr>
            </w:div>
            <w:div w:id="1795710885">
              <w:marLeft w:val="0"/>
              <w:marRight w:val="0"/>
              <w:marTop w:val="0"/>
              <w:marBottom w:val="0"/>
              <w:divBdr>
                <w:top w:val="none" w:sz="0" w:space="0" w:color="auto"/>
                <w:left w:val="none" w:sz="0" w:space="0" w:color="auto"/>
                <w:bottom w:val="none" w:sz="0" w:space="0" w:color="auto"/>
                <w:right w:val="none" w:sz="0" w:space="0" w:color="auto"/>
              </w:divBdr>
            </w:div>
            <w:div w:id="1680152890">
              <w:marLeft w:val="0"/>
              <w:marRight w:val="0"/>
              <w:marTop w:val="0"/>
              <w:marBottom w:val="0"/>
              <w:divBdr>
                <w:top w:val="none" w:sz="0" w:space="0" w:color="auto"/>
                <w:left w:val="none" w:sz="0" w:space="0" w:color="auto"/>
                <w:bottom w:val="none" w:sz="0" w:space="0" w:color="auto"/>
                <w:right w:val="none" w:sz="0" w:space="0" w:color="auto"/>
              </w:divBdr>
            </w:div>
            <w:div w:id="1248880483">
              <w:marLeft w:val="0"/>
              <w:marRight w:val="0"/>
              <w:marTop w:val="0"/>
              <w:marBottom w:val="0"/>
              <w:divBdr>
                <w:top w:val="none" w:sz="0" w:space="0" w:color="auto"/>
                <w:left w:val="none" w:sz="0" w:space="0" w:color="auto"/>
                <w:bottom w:val="none" w:sz="0" w:space="0" w:color="auto"/>
                <w:right w:val="none" w:sz="0" w:space="0" w:color="auto"/>
              </w:divBdr>
            </w:div>
            <w:div w:id="1835756582">
              <w:marLeft w:val="0"/>
              <w:marRight w:val="0"/>
              <w:marTop w:val="0"/>
              <w:marBottom w:val="0"/>
              <w:divBdr>
                <w:top w:val="none" w:sz="0" w:space="0" w:color="auto"/>
                <w:left w:val="none" w:sz="0" w:space="0" w:color="auto"/>
                <w:bottom w:val="none" w:sz="0" w:space="0" w:color="auto"/>
                <w:right w:val="none" w:sz="0" w:space="0" w:color="auto"/>
              </w:divBdr>
            </w:div>
            <w:div w:id="424614031">
              <w:marLeft w:val="0"/>
              <w:marRight w:val="0"/>
              <w:marTop w:val="0"/>
              <w:marBottom w:val="0"/>
              <w:divBdr>
                <w:top w:val="none" w:sz="0" w:space="0" w:color="auto"/>
                <w:left w:val="none" w:sz="0" w:space="0" w:color="auto"/>
                <w:bottom w:val="none" w:sz="0" w:space="0" w:color="auto"/>
                <w:right w:val="none" w:sz="0" w:space="0" w:color="auto"/>
              </w:divBdr>
            </w:div>
            <w:div w:id="1038748738">
              <w:marLeft w:val="0"/>
              <w:marRight w:val="0"/>
              <w:marTop w:val="0"/>
              <w:marBottom w:val="0"/>
              <w:divBdr>
                <w:top w:val="none" w:sz="0" w:space="0" w:color="auto"/>
                <w:left w:val="none" w:sz="0" w:space="0" w:color="auto"/>
                <w:bottom w:val="none" w:sz="0" w:space="0" w:color="auto"/>
                <w:right w:val="none" w:sz="0" w:space="0" w:color="auto"/>
              </w:divBdr>
            </w:div>
            <w:div w:id="1392462110">
              <w:marLeft w:val="0"/>
              <w:marRight w:val="0"/>
              <w:marTop w:val="0"/>
              <w:marBottom w:val="0"/>
              <w:divBdr>
                <w:top w:val="none" w:sz="0" w:space="0" w:color="auto"/>
                <w:left w:val="none" w:sz="0" w:space="0" w:color="auto"/>
                <w:bottom w:val="none" w:sz="0" w:space="0" w:color="auto"/>
                <w:right w:val="none" w:sz="0" w:space="0" w:color="auto"/>
              </w:divBdr>
            </w:div>
            <w:div w:id="577330330">
              <w:marLeft w:val="0"/>
              <w:marRight w:val="0"/>
              <w:marTop w:val="0"/>
              <w:marBottom w:val="0"/>
              <w:divBdr>
                <w:top w:val="none" w:sz="0" w:space="0" w:color="auto"/>
                <w:left w:val="none" w:sz="0" w:space="0" w:color="auto"/>
                <w:bottom w:val="none" w:sz="0" w:space="0" w:color="auto"/>
                <w:right w:val="none" w:sz="0" w:space="0" w:color="auto"/>
              </w:divBdr>
            </w:div>
            <w:div w:id="487095744">
              <w:marLeft w:val="0"/>
              <w:marRight w:val="0"/>
              <w:marTop w:val="0"/>
              <w:marBottom w:val="0"/>
              <w:divBdr>
                <w:top w:val="none" w:sz="0" w:space="0" w:color="auto"/>
                <w:left w:val="none" w:sz="0" w:space="0" w:color="auto"/>
                <w:bottom w:val="none" w:sz="0" w:space="0" w:color="auto"/>
                <w:right w:val="none" w:sz="0" w:space="0" w:color="auto"/>
              </w:divBdr>
            </w:div>
            <w:div w:id="1237476013">
              <w:marLeft w:val="0"/>
              <w:marRight w:val="0"/>
              <w:marTop w:val="0"/>
              <w:marBottom w:val="0"/>
              <w:divBdr>
                <w:top w:val="none" w:sz="0" w:space="0" w:color="auto"/>
                <w:left w:val="none" w:sz="0" w:space="0" w:color="auto"/>
                <w:bottom w:val="none" w:sz="0" w:space="0" w:color="auto"/>
                <w:right w:val="none" w:sz="0" w:space="0" w:color="auto"/>
              </w:divBdr>
            </w:div>
            <w:div w:id="927886836">
              <w:marLeft w:val="0"/>
              <w:marRight w:val="0"/>
              <w:marTop w:val="0"/>
              <w:marBottom w:val="0"/>
              <w:divBdr>
                <w:top w:val="none" w:sz="0" w:space="0" w:color="auto"/>
                <w:left w:val="none" w:sz="0" w:space="0" w:color="auto"/>
                <w:bottom w:val="none" w:sz="0" w:space="0" w:color="auto"/>
                <w:right w:val="none" w:sz="0" w:space="0" w:color="auto"/>
              </w:divBdr>
            </w:div>
            <w:div w:id="1154638880">
              <w:marLeft w:val="0"/>
              <w:marRight w:val="0"/>
              <w:marTop w:val="0"/>
              <w:marBottom w:val="0"/>
              <w:divBdr>
                <w:top w:val="none" w:sz="0" w:space="0" w:color="auto"/>
                <w:left w:val="none" w:sz="0" w:space="0" w:color="auto"/>
                <w:bottom w:val="none" w:sz="0" w:space="0" w:color="auto"/>
                <w:right w:val="none" w:sz="0" w:space="0" w:color="auto"/>
              </w:divBdr>
            </w:div>
            <w:div w:id="1457331489">
              <w:marLeft w:val="0"/>
              <w:marRight w:val="0"/>
              <w:marTop w:val="0"/>
              <w:marBottom w:val="0"/>
              <w:divBdr>
                <w:top w:val="none" w:sz="0" w:space="0" w:color="auto"/>
                <w:left w:val="none" w:sz="0" w:space="0" w:color="auto"/>
                <w:bottom w:val="none" w:sz="0" w:space="0" w:color="auto"/>
                <w:right w:val="none" w:sz="0" w:space="0" w:color="auto"/>
              </w:divBdr>
            </w:div>
            <w:div w:id="2037997021">
              <w:marLeft w:val="0"/>
              <w:marRight w:val="0"/>
              <w:marTop w:val="0"/>
              <w:marBottom w:val="0"/>
              <w:divBdr>
                <w:top w:val="none" w:sz="0" w:space="0" w:color="auto"/>
                <w:left w:val="none" w:sz="0" w:space="0" w:color="auto"/>
                <w:bottom w:val="none" w:sz="0" w:space="0" w:color="auto"/>
                <w:right w:val="none" w:sz="0" w:space="0" w:color="auto"/>
              </w:divBdr>
            </w:div>
            <w:div w:id="501550381">
              <w:marLeft w:val="0"/>
              <w:marRight w:val="0"/>
              <w:marTop w:val="0"/>
              <w:marBottom w:val="0"/>
              <w:divBdr>
                <w:top w:val="none" w:sz="0" w:space="0" w:color="auto"/>
                <w:left w:val="none" w:sz="0" w:space="0" w:color="auto"/>
                <w:bottom w:val="none" w:sz="0" w:space="0" w:color="auto"/>
                <w:right w:val="none" w:sz="0" w:space="0" w:color="auto"/>
              </w:divBdr>
            </w:div>
            <w:div w:id="1902129975">
              <w:marLeft w:val="0"/>
              <w:marRight w:val="0"/>
              <w:marTop w:val="0"/>
              <w:marBottom w:val="0"/>
              <w:divBdr>
                <w:top w:val="none" w:sz="0" w:space="0" w:color="auto"/>
                <w:left w:val="none" w:sz="0" w:space="0" w:color="auto"/>
                <w:bottom w:val="none" w:sz="0" w:space="0" w:color="auto"/>
                <w:right w:val="none" w:sz="0" w:space="0" w:color="auto"/>
              </w:divBdr>
            </w:div>
            <w:div w:id="1363093607">
              <w:marLeft w:val="0"/>
              <w:marRight w:val="0"/>
              <w:marTop w:val="0"/>
              <w:marBottom w:val="0"/>
              <w:divBdr>
                <w:top w:val="none" w:sz="0" w:space="0" w:color="auto"/>
                <w:left w:val="none" w:sz="0" w:space="0" w:color="auto"/>
                <w:bottom w:val="none" w:sz="0" w:space="0" w:color="auto"/>
                <w:right w:val="none" w:sz="0" w:space="0" w:color="auto"/>
              </w:divBdr>
            </w:div>
            <w:div w:id="2051612917">
              <w:marLeft w:val="0"/>
              <w:marRight w:val="0"/>
              <w:marTop w:val="0"/>
              <w:marBottom w:val="0"/>
              <w:divBdr>
                <w:top w:val="none" w:sz="0" w:space="0" w:color="auto"/>
                <w:left w:val="none" w:sz="0" w:space="0" w:color="auto"/>
                <w:bottom w:val="none" w:sz="0" w:space="0" w:color="auto"/>
                <w:right w:val="none" w:sz="0" w:space="0" w:color="auto"/>
              </w:divBdr>
            </w:div>
            <w:div w:id="1892954754">
              <w:marLeft w:val="0"/>
              <w:marRight w:val="0"/>
              <w:marTop w:val="0"/>
              <w:marBottom w:val="0"/>
              <w:divBdr>
                <w:top w:val="none" w:sz="0" w:space="0" w:color="auto"/>
                <w:left w:val="none" w:sz="0" w:space="0" w:color="auto"/>
                <w:bottom w:val="none" w:sz="0" w:space="0" w:color="auto"/>
                <w:right w:val="none" w:sz="0" w:space="0" w:color="auto"/>
              </w:divBdr>
            </w:div>
            <w:div w:id="773280998">
              <w:marLeft w:val="0"/>
              <w:marRight w:val="0"/>
              <w:marTop w:val="0"/>
              <w:marBottom w:val="0"/>
              <w:divBdr>
                <w:top w:val="none" w:sz="0" w:space="0" w:color="auto"/>
                <w:left w:val="none" w:sz="0" w:space="0" w:color="auto"/>
                <w:bottom w:val="none" w:sz="0" w:space="0" w:color="auto"/>
                <w:right w:val="none" w:sz="0" w:space="0" w:color="auto"/>
              </w:divBdr>
            </w:div>
            <w:div w:id="417874579">
              <w:marLeft w:val="0"/>
              <w:marRight w:val="0"/>
              <w:marTop w:val="0"/>
              <w:marBottom w:val="0"/>
              <w:divBdr>
                <w:top w:val="none" w:sz="0" w:space="0" w:color="auto"/>
                <w:left w:val="none" w:sz="0" w:space="0" w:color="auto"/>
                <w:bottom w:val="none" w:sz="0" w:space="0" w:color="auto"/>
                <w:right w:val="none" w:sz="0" w:space="0" w:color="auto"/>
              </w:divBdr>
            </w:div>
            <w:div w:id="352611012">
              <w:marLeft w:val="0"/>
              <w:marRight w:val="0"/>
              <w:marTop w:val="0"/>
              <w:marBottom w:val="0"/>
              <w:divBdr>
                <w:top w:val="none" w:sz="0" w:space="0" w:color="auto"/>
                <w:left w:val="none" w:sz="0" w:space="0" w:color="auto"/>
                <w:bottom w:val="none" w:sz="0" w:space="0" w:color="auto"/>
                <w:right w:val="none" w:sz="0" w:space="0" w:color="auto"/>
              </w:divBdr>
            </w:div>
            <w:div w:id="227613897">
              <w:marLeft w:val="0"/>
              <w:marRight w:val="0"/>
              <w:marTop w:val="0"/>
              <w:marBottom w:val="0"/>
              <w:divBdr>
                <w:top w:val="none" w:sz="0" w:space="0" w:color="auto"/>
                <w:left w:val="none" w:sz="0" w:space="0" w:color="auto"/>
                <w:bottom w:val="none" w:sz="0" w:space="0" w:color="auto"/>
                <w:right w:val="none" w:sz="0" w:space="0" w:color="auto"/>
              </w:divBdr>
            </w:div>
            <w:div w:id="1467506238">
              <w:marLeft w:val="0"/>
              <w:marRight w:val="0"/>
              <w:marTop w:val="0"/>
              <w:marBottom w:val="0"/>
              <w:divBdr>
                <w:top w:val="none" w:sz="0" w:space="0" w:color="auto"/>
                <w:left w:val="none" w:sz="0" w:space="0" w:color="auto"/>
                <w:bottom w:val="none" w:sz="0" w:space="0" w:color="auto"/>
                <w:right w:val="none" w:sz="0" w:space="0" w:color="auto"/>
              </w:divBdr>
            </w:div>
            <w:div w:id="34475736">
              <w:marLeft w:val="0"/>
              <w:marRight w:val="0"/>
              <w:marTop w:val="0"/>
              <w:marBottom w:val="0"/>
              <w:divBdr>
                <w:top w:val="none" w:sz="0" w:space="0" w:color="auto"/>
                <w:left w:val="none" w:sz="0" w:space="0" w:color="auto"/>
                <w:bottom w:val="none" w:sz="0" w:space="0" w:color="auto"/>
                <w:right w:val="none" w:sz="0" w:space="0" w:color="auto"/>
              </w:divBdr>
            </w:div>
            <w:div w:id="2096903407">
              <w:marLeft w:val="0"/>
              <w:marRight w:val="0"/>
              <w:marTop w:val="0"/>
              <w:marBottom w:val="0"/>
              <w:divBdr>
                <w:top w:val="none" w:sz="0" w:space="0" w:color="auto"/>
                <w:left w:val="none" w:sz="0" w:space="0" w:color="auto"/>
                <w:bottom w:val="none" w:sz="0" w:space="0" w:color="auto"/>
                <w:right w:val="none" w:sz="0" w:space="0" w:color="auto"/>
              </w:divBdr>
            </w:div>
            <w:div w:id="1392195645">
              <w:marLeft w:val="0"/>
              <w:marRight w:val="0"/>
              <w:marTop w:val="0"/>
              <w:marBottom w:val="0"/>
              <w:divBdr>
                <w:top w:val="none" w:sz="0" w:space="0" w:color="auto"/>
                <w:left w:val="none" w:sz="0" w:space="0" w:color="auto"/>
                <w:bottom w:val="none" w:sz="0" w:space="0" w:color="auto"/>
                <w:right w:val="none" w:sz="0" w:space="0" w:color="auto"/>
              </w:divBdr>
            </w:div>
            <w:div w:id="78527639">
              <w:marLeft w:val="0"/>
              <w:marRight w:val="0"/>
              <w:marTop w:val="0"/>
              <w:marBottom w:val="0"/>
              <w:divBdr>
                <w:top w:val="none" w:sz="0" w:space="0" w:color="auto"/>
                <w:left w:val="none" w:sz="0" w:space="0" w:color="auto"/>
                <w:bottom w:val="none" w:sz="0" w:space="0" w:color="auto"/>
                <w:right w:val="none" w:sz="0" w:space="0" w:color="auto"/>
              </w:divBdr>
            </w:div>
            <w:div w:id="4020009">
              <w:marLeft w:val="0"/>
              <w:marRight w:val="0"/>
              <w:marTop w:val="0"/>
              <w:marBottom w:val="0"/>
              <w:divBdr>
                <w:top w:val="none" w:sz="0" w:space="0" w:color="auto"/>
                <w:left w:val="none" w:sz="0" w:space="0" w:color="auto"/>
                <w:bottom w:val="none" w:sz="0" w:space="0" w:color="auto"/>
                <w:right w:val="none" w:sz="0" w:space="0" w:color="auto"/>
              </w:divBdr>
            </w:div>
            <w:div w:id="1953197782">
              <w:marLeft w:val="0"/>
              <w:marRight w:val="0"/>
              <w:marTop w:val="0"/>
              <w:marBottom w:val="0"/>
              <w:divBdr>
                <w:top w:val="none" w:sz="0" w:space="0" w:color="auto"/>
                <w:left w:val="none" w:sz="0" w:space="0" w:color="auto"/>
                <w:bottom w:val="none" w:sz="0" w:space="0" w:color="auto"/>
                <w:right w:val="none" w:sz="0" w:space="0" w:color="auto"/>
              </w:divBdr>
            </w:div>
            <w:div w:id="875119670">
              <w:marLeft w:val="0"/>
              <w:marRight w:val="0"/>
              <w:marTop w:val="0"/>
              <w:marBottom w:val="0"/>
              <w:divBdr>
                <w:top w:val="none" w:sz="0" w:space="0" w:color="auto"/>
                <w:left w:val="none" w:sz="0" w:space="0" w:color="auto"/>
                <w:bottom w:val="none" w:sz="0" w:space="0" w:color="auto"/>
                <w:right w:val="none" w:sz="0" w:space="0" w:color="auto"/>
              </w:divBdr>
            </w:div>
            <w:div w:id="1649282846">
              <w:marLeft w:val="0"/>
              <w:marRight w:val="0"/>
              <w:marTop w:val="0"/>
              <w:marBottom w:val="0"/>
              <w:divBdr>
                <w:top w:val="none" w:sz="0" w:space="0" w:color="auto"/>
                <w:left w:val="none" w:sz="0" w:space="0" w:color="auto"/>
                <w:bottom w:val="none" w:sz="0" w:space="0" w:color="auto"/>
                <w:right w:val="none" w:sz="0" w:space="0" w:color="auto"/>
              </w:divBdr>
            </w:div>
            <w:div w:id="1912352619">
              <w:marLeft w:val="0"/>
              <w:marRight w:val="0"/>
              <w:marTop w:val="0"/>
              <w:marBottom w:val="0"/>
              <w:divBdr>
                <w:top w:val="none" w:sz="0" w:space="0" w:color="auto"/>
                <w:left w:val="none" w:sz="0" w:space="0" w:color="auto"/>
                <w:bottom w:val="none" w:sz="0" w:space="0" w:color="auto"/>
                <w:right w:val="none" w:sz="0" w:space="0" w:color="auto"/>
              </w:divBdr>
            </w:div>
            <w:div w:id="588268147">
              <w:marLeft w:val="0"/>
              <w:marRight w:val="0"/>
              <w:marTop w:val="0"/>
              <w:marBottom w:val="0"/>
              <w:divBdr>
                <w:top w:val="none" w:sz="0" w:space="0" w:color="auto"/>
                <w:left w:val="none" w:sz="0" w:space="0" w:color="auto"/>
                <w:bottom w:val="none" w:sz="0" w:space="0" w:color="auto"/>
                <w:right w:val="none" w:sz="0" w:space="0" w:color="auto"/>
              </w:divBdr>
            </w:div>
            <w:div w:id="1418290458">
              <w:marLeft w:val="0"/>
              <w:marRight w:val="0"/>
              <w:marTop w:val="0"/>
              <w:marBottom w:val="0"/>
              <w:divBdr>
                <w:top w:val="none" w:sz="0" w:space="0" w:color="auto"/>
                <w:left w:val="none" w:sz="0" w:space="0" w:color="auto"/>
                <w:bottom w:val="none" w:sz="0" w:space="0" w:color="auto"/>
                <w:right w:val="none" w:sz="0" w:space="0" w:color="auto"/>
              </w:divBdr>
            </w:div>
            <w:div w:id="1210873298">
              <w:marLeft w:val="0"/>
              <w:marRight w:val="0"/>
              <w:marTop w:val="0"/>
              <w:marBottom w:val="0"/>
              <w:divBdr>
                <w:top w:val="none" w:sz="0" w:space="0" w:color="auto"/>
                <w:left w:val="none" w:sz="0" w:space="0" w:color="auto"/>
                <w:bottom w:val="none" w:sz="0" w:space="0" w:color="auto"/>
                <w:right w:val="none" w:sz="0" w:space="0" w:color="auto"/>
              </w:divBdr>
            </w:div>
            <w:div w:id="666173772">
              <w:marLeft w:val="0"/>
              <w:marRight w:val="0"/>
              <w:marTop w:val="0"/>
              <w:marBottom w:val="0"/>
              <w:divBdr>
                <w:top w:val="none" w:sz="0" w:space="0" w:color="auto"/>
                <w:left w:val="none" w:sz="0" w:space="0" w:color="auto"/>
                <w:bottom w:val="none" w:sz="0" w:space="0" w:color="auto"/>
                <w:right w:val="none" w:sz="0" w:space="0" w:color="auto"/>
              </w:divBdr>
            </w:div>
            <w:div w:id="985284118">
              <w:marLeft w:val="0"/>
              <w:marRight w:val="0"/>
              <w:marTop w:val="0"/>
              <w:marBottom w:val="0"/>
              <w:divBdr>
                <w:top w:val="none" w:sz="0" w:space="0" w:color="auto"/>
                <w:left w:val="none" w:sz="0" w:space="0" w:color="auto"/>
                <w:bottom w:val="none" w:sz="0" w:space="0" w:color="auto"/>
                <w:right w:val="none" w:sz="0" w:space="0" w:color="auto"/>
              </w:divBdr>
            </w:div>
            <w:div w:id="1590581804">
              <w:marLeft w:val="0"/>
              <w:marRight w:val="0"/>
              <w:marTop w:val="0"/>
              <w:marBottom w:val="0"/>
              <w:divBdr>
                <w:top w:val="none" w:sz="0" w:space="0" w:color="auto"/>
                <w:left w:val="none" w:sz="0" w:space="0" w:color="auto"/>
                <w:bottom w:val="none" w:sz="0" w:space="0" w:color="auto"/>
                <w:right w:val="none" w:sz="0" w:space="0" w:color="auto"/>
              </w:divBdr>
            </w:div>
            <w:div w:id="1851751729">
              <w:marLeft w:val="0"/>
              <w:marRight w:val="0"/>
              <w:marTop w:val="0"/>
              <w:marBottom w:val="0"/>
              <w:divBdr>
                <w:top w:val="none" w:sz="0" w:space="0" w:color="auto"/>
                <w:left w:val="none" w:sz="0" w:space="0" w:color="auto"/>
                <w:bottom w:val="none" w:sz="0" w:space="0" w:color="auto"/>
                <w:right w:val="none" w:sz="0" w:space="0" w:color="auto"/>
              </w:divBdr>
            </w:div>
            <w:div w:id="1599672808">
              <w:marLeft w:val="0"/>
              <w:marRight w:val="0"/>
              <w:marTop w:val="0"/>
              <w:marBottom w:val="0"/>
              <w:divBdr>
                <w:top w:val="none" w:sz="0" w:space="0" w:color="auto"/>
                <w:left w:val="none" w:sz="0" w:space="0" w:color="auto"/>
                <w:bottom w:val="none" w:sz="0" w:space="0" w:color="auto"/>
                <w:right w:val="none" w:sz="0" w:space="0" w:color="auto"/>
              </w:divBdr>
            </w:div>
            <w:div w:id="219172179">
              <w:marLeft w:val="0"/>
              <w:marRight w:val="0"/>
              <w:marTop w:val="0"/>
              <w:marBottom w:val="0"/>
              <w:divBdr>
                <w:top w:val="none" w:sz="0" w:space="0" w:color="auto"/>
                <w:left w:val="none" w:sz="0" w:space="0" w:color="auto"/>
                <w:bottom w:val="none" w:sz="0" w:space="0" w:color="auto"/>
                <w:right w:val="none" w:sz="0" w:space="0" w:color="auto"/>
              </w:divBdr>
            </w:div>
            <w:div w:id="457376865">
              <w:marLeft w:val="0"/>
              <w:marRight w:val="0"/>
              <w:marTop w:val="0"/>
              <w:marBottom w:val="0"/>
              <w:divBdr>
                <w:top w:val="none" w:sz="0" w:space="0" w:color="auto"/>
                <w:left w:val="none" w:sz="0" w:space="0" w:color="auto"/>
                <w:bottom w:val="none" w:sz="0" w:space="0" w:color="auto"/>
                <w:right w:val="none" w:sz="0" w:space="0" w:color="auto"/>
              </w:divBdr>
            </w:div>
            <w:div w:id="226117269">
              <w:marLeft w:val="0"/>
              <w:marRight w:val="0"/>
              <w:marTop w:val="0"/>
              <w:marBottom w:val="0"/>
              <w:divBdr>
                <w:top w:val="none" w:sz="0" w:space="0" w:color="auto"/>
                <w:left w:val="none" w:sz="0" w:space="0" w:color="auto"/>
                <w:bottom w:val="none" w:sz="0" w:space="0" w:color="auto"/>
                <w:right w:val="none" w:sz="0" w:space="0" w:color="auto"/>
              </w:divBdr>
            </w:div>
            <w:div w:id="1816677007">
              <w:marLeft w:val="0"/>
              <w:marRight w:val="0"/>
              <w:marTop w:val="0"/>
              <w:marBottom w:val="0"/>
              <w:divBdr>
                <w:top w:val="none" w:sz="0" w:space="0" w:color="auto"/>
                <w:left w:val="none" w:sz="0" w:space="0" w:color="auto"/>
                <w:bottom w:val="none" w:sz="0" w:space="0" w:color="auto"/>
                <w:right w:val="none" w:sz="0" w:space="0" w:color="auto"/>
              </w:divBdr>
            </w:div>
            <w:div w:id="1749767174">
              <w:marLeft w:val="0"/>
              <w:marRight w:val="0"/>
              <w:marTop w:val="0"/>
              <w:marBottom w:val="0"/>
              <w:divBdr>
                <w:top w:val="none" w:sz="0" w:space="0" w:color="auto"/>
                <w:left w:val="none" w:sz="0" w:space="0" w:color="auto"/>
                <w:bottom w:val="none" w:sz="0" w:space="0" w:color="auto"/>
                <w:right w:val="none" w:sz="0" w:space="0" w:color="auto"/>
              </w:divBdr>
            </w:div>
            <w:div w:id="23674605">
              <w:marLeft w:val="0"/>
              <w:marRight w:val="0"/>
              <w:marTop w:val="0"/>
              <w:marBottom w:val="0"/>
              <w:divBdr>
                <w:top w:val="none" w:sz="0" w:space="0" w:color="auto"/>
                <w:left w:val="none" w:sz="0" w:space="0" w:color="auto"/>
                <w:bottom w:val="none" w:sz="0" w:space="0" w:color="auto"/>
                <w:right w:val="none" w:sz="0" w:space="0" w:color="auto"/>
              </w:divBdr>
            </w:div>
            <w:div w:id="882903983">
              <w:marLeft w:val="0"/>
              <w:marRight w:val="0"/>
              <w:marTop w:val="0"/>
              <w:marBottom w:val="0"/>
              <w:divBdr>
                <w:top w:val="none" w:sz="0" w:space="0" w:color="auto"/>
                <w:left w:val="none" w:sz="0" w:space="0" w:color="auto"/>
                <w:bottom w:val="none" w:sz="0" w:space="0" w:color="auto"/>
                <w:right w:val="none" w:sz="0" w:space="0" w:color="auto"/>
              </w:divBdr>
            </w:div>
            <w:div w:id="1037125869">
              <w:marLeft w:val="0"/>
              <w:marRight w:val="0"/>
              <w:marTop w:val="0"/>
              <w:marBottom w:val="0"/>
              <w:divBdr>
                <w:top w:val="none" w:sz="0" w:space="0" w:color="auto"/>
                <w:left w:val="none" w:sz="0" w:space="0" w:color="auto"/>
                <w:bottom w:val="none" w:sz="0" w:space="0" w:color="auto"/>
                <w:right w:val="none" w:sz="0" w:space="0" w:color="auto"/>
              </w:divBdr>
            </w:div>
            <w:div w:id="986057067">
              <w:marLeft w:val="0"/>
              <w:marRight w:val="0"/>
              <w:marTop w:val="0"/>
              <w:marBottom w:val="0"/>
              <w:divBdr>
                <w:top w:val="none" w:sz="0" w:space="0" w:color="auto"/>
                <w:left w:val="none" w:sz="0" w:space="0" w:color="auto"/>
                <w:bottom w:val="none" w:sz="0" w:space="0" w:color="auto"/>
                <w:right w:val="none" w:sz="0" w:space="0" w:color="auto"/>
              </w:divBdr>
            </w:div>
            <w:div w:id="1285162563">
              <w:marLeft w:val="0"/>
              <w:marRight w:val="0"/>
              <w:marTop w:val="0"/>
              <w:marBottom w:val="0"/>
              <w:divBdr>
                <w:top w:val="none" w:sz="0" w:space="0" w:color="auto"/>
                <w:left w:val="none" w:sz="0" w:space="0" w:color="auto"/>
                <w:bottom w:val="none" w:sz="0" w:space="0" w:color="auto"/>
                <w:right w:val="none" w:sz="0" w:space="0" w:color="auto"/>
              </w:divBdr>
            </w:div>
            <w:div w:id="1423144740">
              <w:marLeft w:val="0"/>
              <w:marRight w:val="0"/>
              <w:marTop w:val="0"/>
              <w:marBottom w:val="0"/>
              <w:divBdr>
                <w:top w:val="none" w:sz="0" w:space="0" w:color="auto"/>
                <w:left w:val="none" w:sz="0" w:space="0" w:color="auto"/>
                <w:bottom w:val="none" w:sz="0" w:space="0" w:color="auto"/>
                <w:right w:val="none" w:sz="0" w:space="0" w:color="auto"/>
              </w:divBdr>
            </w:div>
            <w:div w:id="968439046">
              <w:marLeft w:val="0"/>
              <w:marRight w:val="0"/>
              <w:marTop w:val="0"/>
              <w:marBottom w:val="0"/>
              <w:divBdr>
                <w:top w:val="none" w:sz="0" w:space="0" w:color="auto"/>
                <w:left w:val="none" w:sz="0" w:space="0" w:color="auto"/>
                <w:bottom w:val="none" w:sz="0" w:space="0" w:color="auto"/>
                <w:right w:val="none" w:sz="0" w:space="0" w:color="auto"/>
              </w:divBdr>
            </w:div>
            <w:div w:id="1193305374">
              <w:marLeft w:val="0"/>
              <w:marRight w:val="0"/>
              <w:marTop w:val="0"/>
              <w:marBottom w:val="0"/>
              <w:divBdr>
                <w:top w:val="none" w:sz="0" w:space="0" w:color="auto"/>
                <w:left w:val="none" w:sz="0" w:space="0" w:color="auto"/>
                <w:bottom w:val="none" w:sz="0" w:space="0" w:color="auto"/>
                <w:right w:val="none" w:sz="0" w:space="0" w:color="auto"/>
              </w:divBdr>
            </w:div>
            <w:div w:id="1419135819">
              <w:marLeft w:val="0"/>
              <w:marRight w:val="0"/>
              <w:marTop w:val="0"/>
              <w:marBottom w:val="0"/>
              <w:divBdr>
                <w:top w:val="none" w:sz="0" w:space="0" w:color="auto"/>
                <w:left w:val="none" w:sz="0" w:space="0" w:color="auto"/>
                <w:bottom w:val="none" w:sz="0" w:space="0" w:color="auto"/>
                <w:right w:val="none" w:sz="0" w:space="0" w:color="auto"/>
              </w:divBdr>
            </w:div>
            <w:div w:id="210114574">
              <w:marLeft w:val="0"/>
              <w:marRight w:val="0"/>
              <w:marTop w:val="0"/>
              <w:marBottom w:val="0"/>
              <w:divBdr>
                <w:top w:val="none" w:sz="0" w:space="0" w:color="auto"/>
                <w:left w:val="none" w:sz="0" w:space="0" w:color="auto"/>
                <w:bottom w:val="none" w:sz="0" w:space="0" w:color="auto"/>
                <w:right w:val="none" w:sz="0" w:space="0" w:color="auto"/>
              </w:divBdr>
            </w:div>
            <w:div w:id="1478571239">
              <w:marLeft w:val="0"/>
              <w:marRight w:val="0"/>
              <w:marTop w:val="0"/>
              <w:marBottom w:val="0"/>
              <w:divBdr>
                <w:top w:val="none" w:sz="0" w:space="0" w:color="auto"/>
                <w:left w:val="none" w:sz="0" w:space="0" w:color="auto"/>
                <w:bottom w:val="none" w:sz="0" w:space="0" w:color="auto"/>
                <w:right w:val="none" w:sz="0" w:space="0" w:color="auto"/>
              </w:divBdr>
            </w:div>
            <w:div w:id="410388839">
              <w:marLeft w:val="0"/>
              <w:marRight w:val="0"/>
              <w:marTop w:val="0"/>
              <w:marBottom w:val="0"/>
              <w:divBdr>
                <w:top w:val="none" w:sz="0" w:space="0" w:color="auto"/>
                <w:left w:val="none" w:sz="0" w:space="0" w:color="auto"/>
                <w:bottom w:val="none" w:sz="0" w:space="0" w:color="auto"/>
                <w:right w:val="none" w:sz="0" w:space="0" w:color="auto"/>
              </w:divBdr>
            </w:div>
            <w:div w:id="1140030939">
              <w:marLeft w:val="0"/>
              <w:marRight w:val="0"/>
              <w:marTop w:val="0"/>
              <w:marBottom w:val="0"/>
              <w:divBdr>
                <w:top w:val="none" w:sz="0" w:space="0" w:color="auto"/>
                <w:left w:val="none" w:sz="0" w:space="0" w:color="auto"/>
                <w:bottom w:val="none" w:sz="0" w:space="0" w:color="auto"/>
                <w:right w:val="none" w:sz="0" w:space="0" w:color="auto"/>
              </w:divBdr>
            </w:div>
            <w:div w:id="1719160893">
              <w:marLeft w:val="0"/>
              <w:marRight w:val="0"/>
              <w:marTop w:val="0"/>
              <w:marBottom w:val="0"/>
              <w:divBdr>
                <w:top w:val="none" w:sz="0" w:space="0" w:color="auto"/>
                <w:left w:val="none" w:sz="0" w:space="0" w:color="auto"/>
                <w:bottom w:val="none" w:sz="0" w:space="0" w:color="auto"/>
                <w:right w:val="none" w:sz="0" w:space="0" w:color="auto"/>
              </w:divBdr>
            </w:div>
            <w:div w:id="1574311498">
              <w:marLeft w:val="0"/>
              <w:marRight w:val="0"/>
              <w:marTop w:val="0"/>
              <w:marBottom w:val="0"/>
              <w:divBdr>
                <w:top w:val="none" w:sz="0" w:space="0" w:color="auto"/>
                <w:left w:val="none" w:sz="0" w:space="0" w:color="auto"/>
                <w:bottom w:val="none" w:sz="0" w:space="0" w:color="auto"/>
                <w:right w:val="none" w:sz="0" w:space="0" w:color="auto"/>
              </w:divBdr>
            </w:div>
            <w:div w:id="578558448">
              <w:marLeft w:val="0"/>
              <w:marRight w:val="0"/>
              <w:marTop w:val="0"/>
              <w:marBottom w:val="0"/>
              <w:divBdr>
                <w:top w:val="none" w:sz="0" w:space="0" w:color="auto"/>
                <w:left w:val="none" w:sz="0" w:space="0" w:color="auto"/>
                <w:bottom w:val="none" w:sz="0" w:space="0" w:color="auto"/>
                <w:right w:val="none" w:sz="0" w:space="0" w:color="auto"/>
              </w:divBdr>
            </w:div>
            <w:div w:id="579213725">
              <w:marLeft w:val="0"/>
              <w:marRight w:val="0"/>
              <w:marTop w:val="0"/>
              <w:marBottom w:val="0"/>
              <w:divBdr>
                <w:top w:val="none" w:sz="0" w:space="0" w:color="auto"/>
                <w:left w:val="none" w:sz="0" w:space="0" w:color="auto"/>
                <w:bottom w:val="none" w:sz="0" w:space="0" w:color="auto"/>
                <w:right w:val="none" w:sz="0" w:space="0" w:color="auto"/>
              </w:divBdr>
            </w:div>
            <w:div w:id="473454708">
              <w:marLeft w:val="0"/>
              <w:marRight w:val="0"/>
              <w:marTop w:val="0"/>
              <w:marBottom w:val="0"/>
              <w:divBdr>
                <w:top w:val="none" w:sz="0" w:space="0" w:color="auto"/>
                <w:left w:val="none" w:sz="0" w:space="0" w:color="auto"/>
                <w:bottom w:val="none" w:sz="0" w:space="0" w:color="auto"/>
                <w:right w:val="none" w:sz="0" w:space="0" w:color="auto"/>
              </w:divBdr>
            </w:div>
            <w:div w:id="1873689340">
              <w:marLeft w:val="0"/>
              <w:marRight w:val="0"/>
              <w:marTop w:val="0"/>
              <w:marBottom w:val="0"/>
              <w:divBdr>
                <w:top w:val="none" w:sz="0" w:space="0" w:color="auto"/>
                <w:left w:val="none" w:sz="0" w:space="0" w:color="auto"/>
                <w:bottom w:val="none" w:sz="0" w:space="0" w:color="auto"/>
                <w:right w:val="none" w:sz="0" w:space="0" w:color="auto"/>
              </w:divBdr>
            </w:div>
            <w:div w:id="1902057026">
              <w:marLeft w:val="0"/>
              <w:marRight w:val="0"/>
              <w:marTop w:val="0"/>
              <w:marBottom w:val="0"/>
              <w:divBdr>
                <w:top w:val="none" w:sz="0" w:space="0" w:color="auto"/>
                <w:left w:val="none" w:sz="0" w:space="0" w:color="auto"/>
                <w:bottom w:val="none" w:sz="0" w:space="0" w:color="auto"/>
                <w:right w:val="none" w:sz="0" w:space="0" w:color="auto"/>
              </w:divBdr>
            </w:div>
            <w:div w:id="2020309154">
              <w:marLeft w:val="0"/>
              <w:marRight w:val="0"/>
              <w:marTop w:val="0"/>
              <w:marBottom w:val="0"/>
              <w:divBdr>
                <w:top w:val="none" w:sz="0" w:space="0" w:color="auto"/>
                <w:left w:val="none" w:sz="0" w:space="0" w:color="auto"/>
                <w:bottom w:val="none" w:sz="0" w:space="0" w:color="auto"/>
                <w:right w:val="none" w:sz="0" w:space="0" w:color="auto"/>
              </w:divBdr>
            </w:div>
            <w:div w:id="255408575">
              <w:marLeft w:val="0"/>
              <w:marRight w:val="0"/>
              <w:marTop w:val="0"/>
              <w:marBottom w:val="0"/>
              <w:divBdr>
                <w:top w:val="none" w:sz="0" w:space="0" w:color="auto"/>
                <w:left w:val="none" w:sz="0" w:space="0" w:color="auto"/>
                <w:bottom w:val="none" w:sz="0" w:space="0" w:color="auto"/>
                <w:right w:val="none" w:sz="0" w:space="0" w:color="auto"/>
              </w:divBdr>
            </w:div>
            <w:div w:id="1963878436">
              <w:marLeft w:val="0"/>
              <w:marRight w:val="0"/>
              <w:marTop w:val="0"/>
              <w:marBottom w:val="0"/>
              <w:divBdr>
                <w:top w:val="none" w:sz="0" w:space="0" w:color="auto"/>
                <w:left w:val="none" w:sz="0" w:space="0" w:color="auto"/>
                <w:bottom w:val="none" w:sz="0" w:space="0" w:color="auto"/>
                <w:right w:val="none" w:sz="0" w:space="0" w:color="auto"/>
              </w:divBdr>
            </w:div>
            <w:div w:id="1185557841">
              <w:marLeft w:val="0"/>
              <w:marRight w:val="0"/>
              <w:marTop w:val="0"/>
              <w:marBottom w:val="0"/>
              <w:divBdr>
                <w:top w:val="none" w:sz="0" w:space="0" w:color="auto"/>
                <w:left w:val="none" w:sz="0" w:space="0" w:color="auto"/>
                <w:bottom w:val="none" w:sz="0" w:space="0" w:color="auto"/>
                <w:right w:val="none" w:sz="0" w:space="0" w:color="auto"/>
              </w:divBdr>
            </w:div>
            <w:div w:id="521672683">
              <w:marLeft w:val="0"/>
              <w:marRight w:val="0"/>
              <w:marTop w:val="0"/>
              <w:marBottom w:val="0"/>
              <w:divBdr>
                <w:top w:val="none" w:sz="0" w:space="0" w:color="auto"/>
                <w:left w:val="none" w:sz="0" w:space="0" w:color="auto"/>
                <w:bottom w:val="none" w:sz="0" w:space="0" w:color="auto"/>
                <w:right w:val="none" w:sz="0" w:space="0" w:color="auto"/>
              </w:divBdr>
            </w:div>
            <w:div w:id="395663987">
              <w:marLeft w:val="0"/>
              <w:marRight w:val="0"/>
              <w:marTop w:val="0"/>
              <w:marBottom w:val="0"/>
              <w:divBdr>
                <w:top w:val="none" w:sz="0" w:space="0" w:color="auto"/>
                <w:left w:val="none" w:sz="0" w:space="0" w:color="auto"/>
                <w:bottom w:val="none" w:sz="0" w:space="0" w:color="auto"/>
                <w:right w:val="none" w:sz="0" w:space="0" w:color="auto"/>
              </w:divBdr>
            </w:div>
            <w:div w:id="579682032">
              <w:marLeft w:val="0"/>
              <w:marRight w:val="0"/>
              <w:marTop w:val="0"/>
              <w:marBottom w:val="0"/>
              <w:divBdr>
                <w:top w:val="none" w:sz="0" w:space="0" w:color="auto"/>
                <w:left w:val="none" w:sz="0" w:space="0" w:color="auto"/>
                <w:bottom w:val="none" w:sz="0" w:space="0" w:color="auto"/>
                <w:right w:val="none" w:sz="0" w:space="0" w:color="auto"/>
              </w:divBdr>
            </w:div>
            <w:div w:id="151918643">
              <w:marLeft w:val="0"/>
              <w:marRight w:val="0"/>
              <w:marTop w:val="0"/>
              <w:marBottom w:val="0"/>
              <w:divBdr>
                <w:top w:val="none" w:sz="0" w:space="0" w:color="auto"/>
                <w:left w:val="none" w:sz="0" w:space="0" w:color="auto"/>
                <w:bottom w:val="none" w:sz="0" w:space="0" w:color="auto"/>
                <w:right w:val="none" w:sz="0" w:space="0" w:color="auto"/>
              </w:divBdr>
            </w:div>
            <w:div w:id="1625889568">
              <w:marLeft w:val="0"/>
              <w:marRight w:val="0"/>
              <w:marTop w:val="0"/>
              <w:marBottom w:val="0"/>
              <w:divBdr>
                <w:top w:val="none" w:sz="0" w:space="0" w:color="auto"/>
                <w:left w:val="none" w:sz="0" w:space="0" w:color="auto"/>
                <w:bottom w:val="none" w:sz="0" w:space="0" w:color="auto"/>
                <w:right w:val="none" w:sz="0" w:space="0" w:color="auto"/>
              </w:divBdr>
            </w:div>
            <w:div w:id="1003358081">
              <w:marLeft w:val="0"/>
              <w:marRight w:val="0"/>
              <w:marTop w:val="0"/>
              <w:marBottom w:val="0"/>
              <w:divBdr>
                <w:top w:val="none" w:sz="0" w:space="0" w:color="auto"/>
                <w:left w:val="none" w:sz="0" w:space="0" w:color="auto"/>
                <w:bottom w:val="none" w:sz="0" w:space="0" w:color="auto"/>
                <w:right w:val="none" w:sz="0" w:space="0" w:color="auto"/>
              </w:divBdr>
            </w:div>
            <w:div w:id="1996882361">
              <w:marLeft w:val="0"/>
              <w:marRight w:val="0"/>
              <w:marTop w:val="0"/>
              <w:marBottom w:val="0"/>
              <w:divBdr>
                <w:top w:val="none" w:sz="0" w:space="0" w:color="auto"/>
                <w:left w:val="none" w:sz="0" w:space="0" w:color="auto"/>
                <w:bottom w:val="none" w:sz="0" w:space="0" w:color="auto"/>
                <w:right w:val="none" w:sz="0" w:space="0" w:color="auto"/>
              </w:divBdr>
            </w:div>
            <w:div w:id="232861004">
              <w:marLeft w:val="0"/>
              <w:marRight w:val="0"/>
              <w:marTop w:val="0"/>
              <w:marBottom w:val="0"/>
              <w:divBdr>
                <w:top w:val="none" w:sz="0" w:space="0" w:color="auto"/>
                <w:left w:val="none" w:sz="0" w:space="0" w:color="auto"/>
                <w:bottom w:val="none" w:sz="0" w:space="0" w:color="auto"/>
                <w:right w:val="none" w:sz="0" w:space="0" w:color="auto"/>
              </w:divBdr>
            </w:div>
            <w:div w:id="1113474552">
              <w:marLeft w:val="0"/>
              <w:marRight w:val="0"/>
              <w:marTop w:val="0"/>
              <w:marBottom w:val="0"/>
              <w:divBdr>
                <w:top w:val="none" w:sz="0" w:space="0" w:color="auto"/>
                <w:left w:val="none" w:sz="0" w:space="0" w:color="auto"/>
                <w:bottom w:val="none" w:sz="0" w:space="0" w:color="auto"/>
                <w:right w:val="none" w:sz="0" w:space="0" w:color="auto"/>
              </w:divBdr>
            </w:div>
            <w:div w:id="1563565481">
              <w:marLeft w:val="0"/>
              <w:marRight w:val="0"/>
              <w:marTop w:val="0"/>
              <w:marBottom w:val="0"/>
              <w:divBdr>
                <w:top w:val="none" w:sz="0" w:space="0" w:color="auto"/>
                <w:left w:val="none" w:sz="0" w:space="0" w:color="auto"/>
                <w:bottom w:val="none" w:sz="0" w:space="0" w:color="auto"/>
                <w:right w:val="none" w:sz="0" w:space="0" w:color="auto"/>
              </w:divBdr>
            </w:div>
            <w:div w:id="1773431477">
              <w:marLeft w:val="0"/>
              <w:marRight w:val="0"/>
              <w:marTop w:val="0"/>
              <w:marBottom w:val="0"/>
              <w:divBdr>
                <w:top w:val="none" w:sz="0" w:space="0" w:color="auto"/>
                <w:left w:val="none" w:sz="0" w:space="0" w:color="auto"/>
                <w:bottom w:val="none" w:sz="0" w:space="0" w:color="auto"/>
                <w:right w:val="none" w:sz="0" w:space="0" w:color="auto"/>
              </w:divBdr>
            </w:div>
            <w:div w:id="1227911240">
              <w:marLeft w:val="0"/>
              <w:marRight w:val="0"/>
              <w:marTop w:val="0"/>
              <w:marBottom w:val="0"/>
              <w:divBdr>
                <w:top w:val="none" w:sz="0" w:space="0" w:color="auto"/>
                <w:left w:val="none" w:sz="0" w:space="0" w:color="auto"/>
                <w:bottom w:val="none" w:sz="0" w:space="0" w:color="auto"/>
                <w:right w:val="none" w:sz="0" w:space="0" w:color="auto"/>
              </w:divBdr>
            </w:div>
            <w:div w:id="643657394">
              <w:marLeft w:val="0"/>
              <w:marRight w:val="0"/>
              <w:marTop w:val="0"/>
              <w:marBottom w:val="0"/>
              <w:divBdr>
                <w:top w:val="none" w:sz="0" w:space="0" w:color="auto"/>
                <w:left w:val="none" w:sz="0" w:space="0" w:color="auto"/>
                <w:bottom w:val="none" w:sz="0" w:space="0" w:color="auto"/>
                <w:right w:val="none" w:sz="0" w:space="0" w:color="auto"/>
              </w:divBdr>
            </w:div>
            <w:div w:id="1314018697">
              <w:marLeft w:val="0"/>
              <w:marRight w:val="0"/>
              <w:marTop w:val="0"/>
              <w:marBottom w:val="0"/>
              <w:divBdr>
                <w:top w:val="none" w:sz="0" w:space="0" w:color="auto"/>
                <w:left w:val="none" w:sz="0" w:space="0" w:color="auto"/>
                <w:bottom w:val="none" w:sz="0" w:space="0" w:color="auto"/>
                <w:right w:val="none" w:sz="0" w:space="0" w:color="auto"/>
              </w:divBdr>
            </w:div>
            <w:div w:id="277298354">
              <w:marLeft w:val="0"/>
              <w:marRight w:val="0"/>
              <w:marTop w:val="0"/>
              <w:marBottom w:val="0"/>
              <w:divBdr>
                <w:top w:val="none" w:sz="0" w:space="0" w:color="auto"/>
                <w:left w:val="none" w:sz="0" w:space="0" w:color="auto"/>
                <w:bottom w:val="none" w:sz="0" w:space="0" w:color="auto"/>
                <w:right w:val="none" w:sz="0" w:space="0" w:color="auto"/>
              </w:divBdr>
            </w:div>
            <w:div w:id="46493292">
              <w:marLeft w:val="0"/>
              <w:marRight w:val="0"/>
              <w:marTop w:val="0"/>
              <w:marBottom w:val="0"/>
              <w:divBdr>
                <w:top w:val="none" w:sz="0" w:space="0" w:color="auto"/>
                <w:left w:val="none" w:sz="0" w:space="0" w:color="auto"/>
                <w:bottom w:val="none" w:sz="0" w:space="0" w:color="auto"/>
                <w:right w:val="none" w:sz="0" w:space="0" w:color="auto"/>
              </w:divBdr>
            </w:div>
            <w:div w:id="1377394240">
              <w:marLeft w:val="0"/>
              <w:marRight w:val="0"/>
              <w:marTop w:val="0"/>
              <w:marBottom w:val="0"/>
              <w:divBdr>
                <w:top w:val="none" w:sz="0" w:space="0" w:color="auto"/>
                <w:left w:val="none" w:sz="0" w:space="0" w:color="auto"/>
                <w:bottom w:val="none" w:sz="0" w:space="0" w:color="auto"/>
                <w:right w:val="none" w:sz="0" w:space="0" w:color="auto"/>
              </w:divBdr>
            </w:div>
            <w:div w:id="1915511714">
              <w:marLeft w:val="0"/>
              <w:marRight w:val="0"/>
              <w:marTop w:val="0"/>
              <w:marBottom w:val="0"/>
              <w:divBdr>
                <w:top w:val="none" w:sz="0" w:space="0" w:color="auto"/>
                <w:left w:val="none" w:sz="0" w:space="0" w:color="auto"/>
                <w:bottom w:val="none" w:sz="0" w:space="0" w:color="auto"/>
                <w:right w:val="none" w:sz="0" w:space="0" w:color="auto"/>
              </w:divBdr>
            </w:div>
            <w:div w:id="1841965509">
              <w:marLeft w:val="0"/>
              <w:marRight w:val="0"/>
              <w:marTop w:val="0"/>
              <w:marBottom w:val="0"/>
              <w:divBdr>
                <w:top w:val="none" w:sz="0" w:space="0" w:color="auto"/>
                <w:left w:val="none" w:sz="0" w:space="0" w:color="auto"/>
                <w:bottom w:val="none" w:sz="0" w:space="0" w:color="auto"/>
                <w:right w:val="none" w:sz="0" w:space="0" w:color="auto"/>
              </w:divBdr>
            </w:div>
            <w:div w:id="1946424450">
              <w:marLeft w:val="0"/>
              <w:marRight w:val="0"/>
              <w:marTop w:val="0"/>
              <w:marBottom w:val="0"/>
              <w:divBdr>
                <w:top w:val="none" w:sz="0" w:space="0" w:color="auto"/>
                <w:left w:val="none" w:sz="0" w:space="0" w:color="auto"/>
                <w:bottom w:val="none" w:sz="0" w:space="0" w:color="auto"/>
                <w:right w:val="none" w:sz="0" w:space="0" w:color="auto"/>
              </w:divBdr>
            </w:div>
            <w:div w:id="1352490636">
              <w:marLeft w:val="0"/>
              <w:marRight w:val="0"/>
              <w:marTop w:val="0"/>
              <w:marBottom w:val="0"/>
              <w:divBdr>
                <w:top w:val="none" w:sz="0" w:space="0" w:color="auto"/>
                <w:left w:val="none" w:sz="0" w:space="0" w:color="auto"/>
                <w:bottom w:val="none" w:sz="0" w:space="0" w:color="auto"/>
                <w:right w:val="none" w:sz="0" w:space="0" w:color="auto"/>
              </w:divBdr>
            </w:div>
            <w:div w:id="1471626675">
              <w:marLeft w:val="0"/>
              <w:marRight w:val="0"/>
              <w:marTop w:val="0"/>
              <w:marBottom w:val="0"/>
              <w:divBdr>
                <w:top w:val="none" w:sz="0" w:space="0" w:color="auto"/>
                <w:left w:val="none" w:sz="0" w:space="0" w:color="auto"/>
                <w:bottom w:val="none" w:sz="0" w:space="0" w:color="auto"/>
                <w:right w:val="none" w:sz="0" w:space="0" w:color="auto"/>
              </w:divBdr>
            </w:div>
            <w:div w:id="69234562">
              <w:marLeft w:val="0"/>
              <w:marRight w:val="0"/>
              <w:marTop w:val="0"/>
              <w:marBottom w:val="0"/>
              <w:divBdr>
                <w:top w:val="none" w:sz="0" w:space="0" w:color="auto"/>
                <w:left w:val="none" w:sz="0" w:space="0" w:color="auto"/>
                <w:bottom w:val="none" w:sz="0" w:space="0" w:color="auto"/>
                <w:right w:val="none" w:sz="0" w:space="0" w:color="auto"/>
              </w:divBdr>
            </w:div>
            <w:div w:id="72362588">
              <w:marLeft w:val="0"/>
              <w:marRight w:val="0"/>
              <w:marTop w:val="0"/>
              <w:marBottom w:val="0"/>
              <w:divBdr>
                <w:top w:val="none" w:sz="0" w:space="0" w:color="auto"/>
                <w:left w:val="none" w:sz="0" w:space="0" w:color="auto"/>
                <w:bottom w:val="none" w:sz="0" w:space="0" w:color="auto"/>
                <w:right w:val="none" w:sz="0" w:space="0" w:color="auto"/>
              </w:divBdr>
            </w:div>
            <w:div w:id="573861105">
              <w:marLeft w:val="0"/>
              <w:marRight w:val="0"/>
              <w:marTop w:val="0"/>
              <w:marBottom w:val="0"/>
              <w:divBdr>
                <w:top w:val="none" w:sz="0" w:space="0" w:color="auto"/>
                <w:left w:val="none" w:sz="0" w:space="0" w:color="auto"/>
                <w:bottom w:val="none" w:sz="0" w:space="0" w:color="auto"/>
                <w:right w:val="none" w:sz="0" w:space="0" w:color="auto"/>
              </w:divBdr>
            </w:div>
            <w:div w:id="115148542">
              <w:marLeft w:val="0"/>
              <w:marRight w:val="0"/>
              <w:marTop w:val="0"/>
              <w:marBottom w:val="0"/>
              <w:divBdr>
                <w:top w:val="none" w:sz="0" w:space="0" w:color="auto"/>
                <w:left w:val="none" w:sz="0" w:space="0" w:color="auto"/>
                <w:bottom w:val="none" w:sz="0" w:space="0" w:color="auto"/>
                <w:right w:val="none" w:sz="0" w:space="0" w:color="auto"/>
              </w:divBdr>
            </w:div>
            <w:div w:id="1039167521">
              <w:marLeft w:val="0"/>
              <w:marRight w:val="0"/>
              <w:marTop w:val="0"/>
              <w:marBottom w:val="0"/>
              <w:divBdr>
                <w:top w:val="none" w:sz="0" w:space="0" w:color="auto"/>
                <w:left w:val="none" w:sz="0" w:space="0" w:color="auto"/>
                <w:bottom w:val="none" w:sz="0" w:space="0" w:color="auto"/>
                <w:right w:val="none" w:sz="0" w:space="0" w:color="auto"/>
              </w:divBdr>
            </w:div>
            <w:div w:id="1546211781">
              <w:marLeft w:val="0"/>
              <w:marRight w:val="0"/>
              <w:marTop w:val="0"/>
              <w:marBottom w:val="0"/>
              <w:divBdr>
                <w:top w:val="none" w:sz="0" w:space="0" w:color="auto"/>
                <w:left w:val="none" w:sz="0" w:space="0" w:color="auto"/>
                <w:bottom w:val="none" w:sz="0" w:space="0" w:color="auto"/>
                <w:right w:val="none" w:sz="0" w:space="0" w:color="auto"/>
              </w:divBdr>
            </w:div>
            <w:div w:id="409546354">
              <w:marLeft w:val="0"/>
              <w:marRight w:val="0"/>
              <w:marTop w:val="0"/>
              <w:marBottom w:val="0"/>
              <w:divBdr>
                <w:top w:val="none" w:sz="0" w:space="0" w:color="auto"/>
                <w:left w:val="none" w:sz="0" w:space="0" w:color="auto"/>
                <w:bottom w:val="none" w:sz="0" w:space="0" w:color="auto"/>
                <w:right w:val="none" w:sz="0" w:space="0" w:color="auto"/>
              </w:divBdr>
            </w:div>
            <w:div w:id="1337341853">
              <w:marLeft w:val="0"/>
              <w:marRight w:val="0"/>
              <w:marTop w:val="0"/>
              <w:marBottom w:val="0"/>
              <w:divBdr>
                <w:top w:val="none" w:sz="0" w:space="0" w:color="auto"/>
                <w:left w:val="none" w:sz="0" w:space="0" w:color="auto"/>
                <w:bottom w:val="none" w:sz="0" w:space="0" w:color="auto"/>
                <w:right w:val="none" w:sz="0" w:space="0" w:color="auto"/>
              </w:divBdr>
            </w:div>
            <w:div w:id="369494218">
              <w:marLeft w:val="0"/>
              <w:marRight w:val="0"/>
              <w:marTop w:val="0"/>
              <w:marBottom w:val="0"/>
              <w:divBdr>
                <w:top w:val="none" w:sz="0" w:space="0" w:color="auto"/>
                <w:left w:val="none" w:sz="0" w:space="0" w:color="auto"/>
                <w:bottom w:val="none" w:sz="0" w:space="0" w:color="auto"/>
                <w:right w:val="none" w:sz="0" w:space="0" w:color="auto"/>
              </w:divBdr>
            </w:div>
            <w:div w:id="833838246">
              <w:marLeft w:val="0"/>
              <w:marRight w:val="0"/>
              <w:marTop w:val="0"/>
              <w:marBottom w:val="0"/>
              <w:divBdr>
                <w:top w:val="none" w:sz="0" w:space="0" w:color="auto"/>
                <w:left w:val="none" w:sz="0" w:space="0" w:color="auto"/>
                <w:bottom w:val="none" w:sz="0" w:space="0" w:color="auto"/>
                <w:right w:val="none" w:sz="0" w:space="0" w:color="auto"/>
              </w:divBdr>
            </w:div>
            <w:div w:id="1586110789">
              <w:marLeft w:val="0"/>
              <w:marRight w:val="0"/>
              <w:marTop w:val="0"/>
              <w:marBottom w:val="0"/>
              <w:divBdr>
                <w:top w:val="none" w:sz="0" w:space="0" w:color="auto"/>
                <w:left w:val="none" w:sz="0" w:space="0" w:color="auto"/>
                <w:bottom w:val="none" w:sz="0" w:space="0" w:color="auto"/>
                <w:right w:val="none" w:sz="0" w:space="0" w:color="auto"/>
              </w:divBdr>
            </w:div>
            <w:div w:id="1900164219">
              <w:marLeft w:val="0"/>
              <w:marRight w:val="0"/>
              <w:marTop w:val="0"/>
              <w:marBottom w:val="0"/>
              <w:divBdr>
                <w:top w:val="none" w:sz="0" w:space="0" w:color="auto"/>
                <w:left w:val="none" w:sz="0" w:space="0" w:color="auto"/>
                <w:bottom w:val="none" w:sz="0" w:space="0" w:color="auto"/>
                <w:right w:val="none" w:sz="0" w:space="0" w:color="auto"/>
              </w:divBdr>
            </w:div>
            <w:div w:id="1726683759">
              <w:marLeft w:val="0"/>
              <w:marRight w:val="0"/>
              <w:marTop w:val="0"/>
              <w:marBottom w:val="0"/>
              <w:divBdr>
                <w:top w:val="none" w:sz="0" w:space="0" w:color="auto"/>
                <w:left w:val="none" w:sz="0" w:space="0" w:color="auto"/>
                <w:bottom w:val="none" w:sz="0" w:space="0" w:color="auto"/>
                <w:right w:val="none" w:sz="0" w:space="0" w:color="auto"/>
              </w:divBdr>
            </w:div>
            <w:div w:id="385959362">
              <w:marLeft w:val="0"/>
              <w:marRight w:val="0"/>
              <w:marTop w:val="0"/>
              <w:marBottom w:val="0"/>
              <w:divBdr>
                <w:top w:val="none" w:sz="0" w:space="0" w:color="auto"/>
                <w:left w:val="none" w:sz="0" w:space="0" w:color="auto"/>
                <w:bottom w:val="none" w:sz="0" w:space="0" w:color="auto"/>
                <w:right w:val="none" w:sz="0" w:space="0" w:color="auto"/>
              </w:divBdr>
            </w:div>
            <w:div w:id="1362777200">
              <w:marLeft w:val="0"/>
              <w:marRight w:val="0"/>
              <w:marTop w:val="0"/>
              <w:marBottom w:val="0"/>
              <w:divBdr>
                <w:top w:val="none" w:sz="0" w:space="0" w:color="auto"/>
                <w:left w:val="none" w:sz="0" w:space="0" w:color="auto"/>
                <w:bottom w:val="none" w:sz="0" w:space="0" w:color="auto"/>
                <w:right w:val="none" w:sz="0" w:space="0" w:color="auto"/>
              </w:divBdr>
            </w:div>
            <w:div w:id="1768887125">
              <w:marLeft w:val="0"/>
              <w:marRight w:val="0"/>
              <w:marTop w:val="0"/>
              <w:marBottom w:val="0"/>
              <w:divBdr>
                <w:top w:val="none" w:sz="0" w:space="0" w:color="auto"/>
                <w:left w:val="none" w:sz="0" w:space="0" w:color="auto"/>
                <w:bottom w:val="none" w:sz="0" w:space="0" w:color="auto"/>
                <w:right w:val="none" w:sz="0" w:space="0" w:color="auto"/>
              </w:divBdr>
            </w:div>
            <w:div w:id="1106118423">
              <w:marLeft w:val="0"/>
              <w:marRight w:val="0"/>
              <w:marTop w:val="0"/>
              <w:marBottom w:val="0"/>
              <w:divBdr>
                <w:top w:val="none" w:sz="0" w:space="0" w:color="auto"/>
                <w:left w:val="none" w:sz="0" w:space="0" w:color="auto"/>
                <w:bottom w:val="none" w:sz="0" w:space="0" w:color="auto"/>
                <w:right w:val="none" w:sz="0" w:space="0" w:color="auto"/>
              </w:divBdr>
            </w:div>
            <w:div w:id="346908210">
              <w:marLeft w:val="0"/>
              <w:marRight w:val="0"/>
              <w:marTop w:val="0"/>
              <w:marBottom w:val="0"/>
              <w:divBdr>
                <w:top w:val="none" w:sz="0" w:space="0" w:color="auto"/>
                <w:left w:val="none" w:sz="0" w:space="0" w:color="auto"/>
                <w:bottom w:val="none" w:sz="0" w:space="0" w:color="auto"/>
                <w:right w:val="none" w:sz="0" w:space="0" w:color="auto"/>
              </w:divBdr>
            </w:div>
            <w:div w:id="661279213">
              <w:marLeft w:val="0"/>
              <w:marRight w:val="0"/>
              <w:marTop w:val="0"/>
              <w:marBottom w:val="0"/>
              <w:divBdr>
                <w:top w:val="none" w:sz="0" w:space="0" w:color="auto"/>
                <w:left w:val="none" w:sz="0" w:space="0" w:color="auto"/>
                <w:bottom w:val="none" w:sz="0" w:space="0" w:color="auto"/>
                <w:right w:val="none" w:sz="0" w:space="0" w:color="auto"/>
              </w:divBdr>
            </w:div>
            <w:div w:id="27489636">
              <w:marLeft w:val="0"/>
              <w:marRight w:val="0"/>
              <w:marTop w:val="0"/>
              <w:marBottom w:val="0"/>
              <w:divBdr>
                <w:top w:val="none" w:sz="0" w:space="0" w:color="auto"/>
                <w:left w:val="none" w:sz="0" w:space="0" w:color="auto"/>
                <w:bottom w:val="none" w:sz="0" w:space="0" w:color="auto"/>
                <w:right w:val="none" w:sz="0" w:space="0" w:color="auto"/>
              </w:divBdr>
            </w:div>
            <w:div w:id="596134299">
              <w:marLeft w:val="0"/>
              <w:marRight w:val="0"/>
              <w:marTop w:val="0"/>
              <w:marBottom w:val="0"/>
              <w:divBdr>
                <w:top w:val="none" w:sz="0" w:space="0" w:color="auto"/>
                <w:left w:val="none" w:sz="0" w:space="0" w:color="auto"/>
                <w:bottom w:val="none" w:sz="0" w:space="0" w:color="auto"/>
                <w:right w:val="none" w:sz="0" w:space="0" w:color="auto"/>
              </w:divBdr>
            </w:div>
            <w:div w:id="1802380313">
              <w:marLeft w:val="0"/>
              <w:marRight w:val="0"/>
              <w:marTop w:val="0"/>
              <w:marBottom w:val="0"/>
              <w:divBdr>
                <w:top w:val="none" w:sz="0" w:space="0" w:color="auto"/>
                <w:left w:val="none" w:sz="0" w:space="0" w:color="auto"/>
                <w:bottom w:val="none" w:sz="0" w:space="0" w:color="auto"/>
                <w:right w:val="none" w:sz="0" w:space="0" w:color="auto"/>
              </w:divBdr>
            </w:div>
            <w:div w:id="1406800823">
              <w:marLeft w:val="0"/>
              <w:marRight w:val="0"/>
              <w:marTop w:val="0"/>
              <w:marBottom w:val="0"/>
              <w:divBdr>
                <w:top w:val="none" w:sz="0" w:space="0" w:color="auto"/>
                <w:left w:val="none" w:sz="0" w:space="0" w:color="auto"/>
                <w:bottom w:val="none" w:sz="0" w:space="0" w:color="auto"/>
                <w:right w:val="none" w:sz="0" w:space="0" w:color="auto"/>
              </w:divBdr>
            </w:div>
            <w:div w:id="1454514403">
              <w:marLeft w:val="0"/>
              <w:marRight w:val="0"/>
              <w:marTop w:val="0"/>
              <w:marBottom w:val="0"/>
              <w:divBdr>
                <w:top w:val="none" w:sz="0" w:space="0" w:color="auto"/>
                <w:left w:val="none" w:sz="0" w:space="0" w:color="auto"/>
                <w:bottom w:val="none" w:sz="0" w:space="0" w:color="auto"/>
                <w:right w:val="none" w:sz="0" w:space="0" w:color="auto"/>
              </w:divBdr>
            </w:div>
            <w:div w:id="1171019856">
              <w:marLeft w:val="0"/>
              <w:marRight w:val="0"/>
              <w:marTop w:val="0"/>
              <w:marBottom w:val="0"/>
              <w:divBdr>
                <w:top w:val="none" w:sz="0" w:space="0" w:color="auto"/>
                <w:left w:val="none" w:sz="0" w:space="0" w:color="auto"/>
                <w:bottom w:val="none" w:sz="0" w:space="0" w:color="auto"/>
                <w:right w:val="none" w:sz="0" w:space="0" w:color="auto"/>
              </w:divBdr>
            </w:div>
            <w:div w:id="615068504">
              <w:marLeft w:val="0"/>
              <w:marRight w:val="0"/>
              <w:marTop w:val="0"/>
              <w:marBottom w:val="0"/>
              <w:divBdr>
                <w:top w:val="none" w:sz="0" w:space="0" w:color="auto"/>
                <w:left w:val="none" w:sz="0" w:space="0" w:color="auto"/>
                <w:bottom w:val="none" w:sz="0" w:space="0" w:color="auto"/>
                <w:right w:val="none" w:sz="0" w:space="0" w:color="auto"/>
              </w:divBdr>
            </w:div>
            <w:div w:id="1329334622">
              <w:marLeft w:val="0"/>
              <w:marRight w:val="0"/>
              <w:marTop w:val="0"/>
              <w:marBottom w:val="0"/>
              <w:divBdr>
                <w:top w:val="none" w:sz="0" w:space="0" w:color="auto"/>
                <w:left w:val="none" w:sz="0" w:space="0" w:color="auto"/>
                <w:bottom w:val="none" w:sz="0" w:space="0" w:color="auto"/>
                <w:right w:val="none" w:sz="0" w:space="0" w:color="auto"/>
              </w:divBdr>
            </w:div>
            <w:div w:id="1648169032">
              <w:marLeft w:val="0"/>
              <w:marRight w:val="0"/>
              <w:marTop w:val="0"/>
              <w:marBottom w:val="0"/>
              <w:divBdr>
                <w:top w:val="none" w:sz="0" w:space="0" w:color="auto"/>
                <w:left w:val="none" w:sz="0" w:space="0" w:color="auto"/>
                <w:bottom w:val="none" w:sz="0" w:space="0" w:color="auto"/>
                <w:right w:val="none" w:sz="0" w:space="0" w:color="auto"/>
              </w:divBdr>
            </w:div>
            <w:div w:id="713307097">
              <w:marLeft w:val="0"/>
              <w:marRight w:val="0"/>
              <w:marTop w:val="0"/>
              <w:marBottom w:val="0"/>
              <w:divBdr>
                <w:top w:val="none" w:sz="0" w:space="0" w:color="auto"/>
                <w:left w:val="none" w:sz="0" w:space="0" w:color="auto"/>
                <w:bottom w:val="none" w:sz="0" w:space="0" w:color="auto"/>
                <w:right w:val="none" w:sz="0" w:space="0" w:color="auto"/>
              </w:divBdr>
            </w:div>
            <w:div w:id="326832261">
              <w:marLeft w:val="0"/>
              <w:marRight w:val="0"/>
              <w:marTop w:val="0"/>
              <w:marBottom w:val="0"/>
              <w:divBdr>
                <w:top w:val="none" w:sz="0" w:space="0" w:color="auto"/>
                <w:left w:val="none" w:sz="0" w:space="0" w:color="auto"/>
                <w:bottom w:val="none" w:sz="0" w:space="0" w:color="auto"/>
                <w:right w:val="none" w:sz="0" w:space="0" w:color="auto"/>
              </w:divBdr>
            </w:div>
            <w:div w:id="1146358868">
              <w:marLeft w:val="0"/>
              <w:marRight w:val="0"/>
              <w:marTop w:val="0"/>
              <w:marBottom w:val="0"/>
              <w:divBdr>
                <w:top w:val="none" w:sz="0" w:space="0" w:color="auto"/>
                <w:left w:val="none" w:sz="0" w:space="0" w:color="auto"/>
                <w:bottom w:val="none" w:sz="0" w:space="0" w:color="auto"/>
                <w:right w:val="none" w:sz="0" w:space="0" w:color="auto"/>
              </w:divBdr>
            </w:div>
            <w:div w:id="278882060">
              <w:marLeft w:val="0"/>
              <w:marRight w:val="0"/>
              <w:marTop w:val="0"/>
              <w:marBottom w:val="0"/>
              <w:divBdr>
                <w:top w:val="none" w:sz="0" w:space="0" w:color="auto"/>
                <w:left w:val="none" w:sz="0" w:space="0" w:color="auto"/>
                <w:bottom w:val="none" w:sz="0" w:space="0" w:color="auto"/>
                <w:right w:val="none" w:sz="0" w:space="0" w:color="auto"/>
              </w:divBdr>
            </w:div>
            <w:div w:id="1269511481">
              <w:marLeft w:val="0"/>
              <w:marRight w:val="0"/>
              <w:marTop w:val="0"/>
              <w:marBottom w:val="0"/>
              <w:divBdr>
                <w:top w:val="none" w:sz="0" w:space="0" w:color="auto"/>
                <w:left w:val="none" w:sz="0" w:space="0" w:color="auto"/>
                <w:bottom w:val="none" w:sz="0" w:space="0" w:color="auto"/>
                <w:right w:val="none" w:sz="0" w:space="0" w:color="auto"/>
              </w:divBdr>
            </w:div>
            <w:div w:id="1417701362">
              <w:marLeft w:val="0"/>
              <w:marRight w:val="0"/>
              <w:marTop w:val="0"/>
              <w:marBottom w:val="0"/>
              <w:divBdr>
                <w:top w:val="none" w:sz="0" w:space="0" w:color="auto"/>
                <w:left w:val="none" w:sz="0" w:space="0" w:color="auto"/>
                <w:bottom w:val="none" w:sz="0" w:space="0" w:color="auto"/>
                <w:right w:val="none" w:sz="0" w:space="0" w:color="auto"/>
              </w:divBdr>
            </w:div>
            <w:div w:id="1226376344">
              <w:marLeft w:val="0"/>
              <w:marRight w:val="0"/>
              <w:marTop w:val="0"/>
              <w:marBottom w:val="0"/>
              <w:divBdr>
                <w:top w:val="none" w:sz="0" w:space="0" w:color="auto"/>
                <w:left w:val="none" w:sz="0" w:space="0" w:color="auto"/>
                <w:bottom w:val="none" w:sz="0" w:space="0" w:color="auto"/>
                <w:right w:val="none" w:sz="0" w:space="0" w:color="auto"/>
              </w:divBdr>
            </w:div>
            <w:div w:id="867177758">
              <w:marLeft w:val="0"/>
              <w:marRight w:val="0"/>
              <w:marTop w:val="0"/>
              <w:marBottom w:val="0"/>
              <w:divBdr>
                <w:top w:val="none" w:sz="0" w:space="0" w:color="auto"/>
                <w:left w:val="none" w:sz="0" w:space="0" w:color="auto"/>
                <w:bottom w:val="none" w:sz="0" w:space="0" w:color="auto"/>
                <w:right w:val="none" w:sz="0" w:space="0" w:color="auto"/>
              </w:divBdr>
            </w:div>
            <w:div w:id="820854452">
              <w:marLeft w:val="0"/>
              <w:marRight w:val="0"/>
              <w:marTop w:val="0"/>
              <w:marBottom w:val="0"/>
              <w:divBdr>
                <w:top w:val="none" w:sz="0" w:space="0" w:color="auto"/>
                <w:left w:val="none" w:sz="0" w:space="0" w:color="auto"/>
                <w:bottom w:val="none" w:sz="0" w:space="0" w:color="auto"/>
                <w:right w:val="none" w:sz="0" w:space="0" w:color="auto"/>
              </w:divBdr>
            </w:div>
            <w:div w:id="364642953">
              <w:marLeft w:val="0"/>
              <w:marRight w:val="0"/>
              <w:marTop w:val="0"/>
              <w:marBottom w:val="0"/>
              <w:divBdr>
                <w:top w:val="none" w:sz="0" w:space="0" w:color="auto"/>
                <w:left w:val="none" w:sz="0" w:space="0" w:color="auto"/>
                <w:bottom w:val="none" w:sz="0" w:space="0" w:color="auto"/>
                <w:right w:val="none" w:sz="0" w:space="0" w:color="auto"/>
              </w:divBdr>
            </w:div>
            <w:div w:id="1241256969">
              <w:marLeft w:val="0"/>
              <w:marRight w:val="0"/>
              <w:marTop w:val="0"/>
              <w:marBottom w:val="0"/>
              <w:divBdr>
                <w:top w:val="none" w:sz="0" w:space="0" w:color="auto"/>
                <w:left w:val="none" w:sz="0" w:space="0" w:color="auto"/>
                <w:bottom w:val="none" w:sz="0" w:space="0" w:color="auto"/>
                <w:right w:val="none" w:sz="0" w:space="0" w:color="auto"/>
              </w:divBdr>
            </w:div>
            <w:div w:id="419177926">
              <w:marLeft w:val="0"/>
              <w:marRight w:val="0"/>
              <w:marTop w:val="0"/>
              <w:marBottom w:val="0"/>
              <w:divBdr>
                <w:top w:val="none" w:sz="0" w:space="0" w:color="auto"/>
                <w:left w:val="none" w:sz="0" w:space="0" w:color="auto"/>
                <w:bottom w:val="none" w:sz="0" w:space="0" w:color="auto"/>
                <w:right w:val="none" w:sz="0" w:space="0" w:color="auto"/>
              </w:divBdr>
            </w:div>
            <w:div w:id="1093284260">
              <w:marLeft w:val="0"/>
              <w:marRight w:val="0"/>
              <w:marTop w:val="0"/>
              <w:marBottom w:val="0"/>
              <w:divBdr>
                <w:top w:val="none" w:sz="0" w:space="0" w:color="auto"/>
                <w:left w:val="none" w:sz="0" w:space="0" w:color="auto"/>
                <w:bottom w:val="none" w:sz="0" w:space="0" w:color="auto"/>
                <w:right w:val="none" w:sz="0" w:space="0" w:color="auto"/>
              </w:divBdr>
            </w:div>
            <w:div w:id="1970084937">
              <w:marLeft w:val="0"/>
              <w:marRight w:val="0"/>
              <w:marTop w:val="0"/>
              <w:marBottom w:val="0"/>
              <w:divBdr>
                <w:top w:val="none" w:sz="0" w:space="0" w:color="auto"/>
                <w:left w:val="none" w:sz="0" w:space="0" w:color="auto"/>
                <w:bottom w:val="none" w:sz="0" w:space="0" w:color="auto"/>
                <w:right w:val="none" w:sz="0" w:space="0" w:color="auto"/>
              </w:divBdr>
            </w:div>
            <w:div w:id="578514977">
              <w:marLeft w:val="0"/>
              <w:marRight w:val="0"/>
              <w:marTop w:val="0"/>
              <w:marBottom w:val="0"/>
              <w:divBdr>
                <w:top w:val="none" w:sz="0" w:space="0" w:color="auto"/>
                <w:left w:val="none" w:sz="0" w:space="0" w:color="auto"/>
                <w:bottom w:val="none" w:sz="0" w:space="0" w:color="auto"/>
                <w:right w:val="none" w:sz="0" w:space="0" w:color="auto"/>
              </w:divBdr>
            </w:div>
            <w:div w:id="1155294661">
              <w:marLeft w:val="0"/>
              <w:marRight w:val="0"/>
              <w:marTop w:val="0"/>
              <w:marBottom w:val="0"/>
              <w:divBdr>
                <w:top w:val="none" w:sz="0" w:space="0" w:color="auto"/>
                <w:left w:val="none" w:sz="0" w:space="0" w:color="auto"/>
                <w:bottom w:val="none" w:sz="0" w:space="0" w:color="auto"/>
                <w:right w:val="none" w:sz="0" w:space="0" w:color="auto"/>
              </w:divBdr>
            </w:div>
            <w:div w:id="1391735133">
              <w:marLeft w:val="0"/>
              <w:marRight w:val="0"/>
              <w:marTop w:val="0"/>
              <w:marBottom w:val="0"/>
              <w:divBdr>
                <w:top w:val="none" w:sz="0" w:space="0" w:color="auto"/>
                <w:left w:val="none" w:sz="0" w:space="0" w:color="auto"/>
                <w:bottom w:val="none" w:sz="0" w:space="0" w:color="auto"/>
                <w:right w:val="none" w:sz="0" w:space="0" w:color="auto"/>
              </w:divBdr>
            </w:div>
            <w:div w:id="148184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yperlink" Target="https://doi:%2010.1109/TTE.2021.3139674"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20https://doi.org/10.1049/gtd2.13047" TargetMode="External"/><Relationship Id="rId33" Type="http://schemas.openxmlformats.org/officeDocument/2006/relationships/hyperlink" Target="https://doi.org/10.17775/CSEEJPES.2020.01460"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oi.org/10.1109/TSTE.2014.234857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i.org/10.1007/s00521-024-09530-3" TargetMode="External"/><Relationship Id="rId32" Type="http://schemas.openxmlformats.org/officeDocument/2006/relationships/hyperlink" Target="https://doi.org/10.1109/TPWRS.2014.2359977"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doi.org/10.3389/fenrg.2023.1112169" TargetMode="External"/><Relationship Id="rId28" Type="http://schemas.openxmlformats.org/officeDocument/2006/relationships/hyperlink" Target="https://doi.org/10.1109/TTE.2019.2897088"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doi.org/10.48550/arXiv.1706.0227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yperlink" Target="https://doi.org/10.1109/TNSM.2022.3160210" TargetMode="External"/><Relationship Id="rId30" Type="http://schemas.openxmlformats.org/officeDocument/2006/relationships/hyperlink" Target="https://doi.org/10.1007/s40565-019-0516-7"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22B88F-FF3F-4795-A6B0-9D609CBFB3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5594</Words>
  <Characters>31891</Characters>
  <Application>Microsoft Office Word</Application>
  <DocSecurity>0</DocSecurity>
  <Lines>265</Lines>
  <Paragraphs>74</Paragraphs>
  <ScaleCrop>false</ScaleCrop>
  <HeadingPairs>
    <vt:vector size="6" baseType="variant">
      <vt:variant>
        <vt:lpstr>Tytuł</vt:lpstr>
      </vt:variant>
      <vt:variant>
        <vt:i4>1</vt:i4>
      </vt:variant>
      <vt:variant>
        <vt:lpstr>Título</vt:lpstr>
      </vt:variant>
      <vt:variant>
        <vt:i4>1</vt:i4>
      </vt:variant>
      <vt:variant>
        <vt:lpstr>Title</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37411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Mohamed Abdelfattah</cp:lastModifiedBy>
  <cp:revision>3</cp:revision>
  <cp:lastPrinted>2025-05-12T12:56:00Z</cp:lastPrinted>
  <dcterms:created xsi:type="dcterms:W3CDTF">2025-05-12T12:55:00Z</dcterms:created>
  <dcterms:modified xsi:type="dcterms:W3CDTF">2025-05-12T12:57:00Z</dcterms:modified>
</cp:coreProperties>
</file>