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952A8" w14:textId="3F2870EF" w:rsidR="005076E1" w:rsidRPr="00D6057A" w:rsidRDefault="00FA5465" w:rsidP="00B54B32">
      <w:pPr>
        <w:spacing w:after="40" w:line="240" w:lineRule="auto"/>
        <w:jc w:val="center"/>
        <w:rPr>
          <w:rFonts w:ascii="Calibri" w:hAnsi="Calibri" w:cs="Calibri"/>
          <w:color w:val="EE0000"/>
          <w:sz w:val="24"/>
          <w:szCs w:val="24"/>
        </w:rPr>
      </w:pPr>
      <w:r w:rsidRPr="00FA5465">
        <w:rPr>
          <w:rFonts w:ascii="Calibri" w:hAnsi="Calibri" w:cs="Calibri"/>
          <w:b/>
          <w:bCs/>
          <w:sz w:val="28"/>
          <w:szCs w:val="28"/>
        </w:rPr>
        <w:t>BIM-Driven Sustainable Building Design based on Life-Cycle Analysis</w:t>
      </w:r>
      <w:r w:rsidR="005076E1" w:rsidRPr="00D6057A">
        <w:rPr>
          <w:rFonts w:ascii="Calibri" w:hAnsi="Calibri" w:cs="Calibri"/>
          <w:b/>
          <w:bCs/>
          <w:sz w:val="28"/>
          <w:szCs w:val="28"/>
        </w:rPr>
        <w:t xml:space="preserve"> </w:t>
      </w:r>
    </w:p>
    <w:p w14:paraId="7EF4B119" w14:textId="1F272A1D" w:rsidR="005076E1" w:rsidRPr="00D6057A" w:rsidRDefault="00FD6696" w:rsidP="006E77D5">
      <w:pPr>
        <w:pStyle w:val="Author"/>
        <w:spacing w:after="40"/>
        <w:jc w:val="center"/>
        <w:rPr>
          <w:rFonts w:ascii="Calibri" w:hAnsi="Calibri" w:cs="Calibri"/>
          <w:sz w:val="22"/>
          <w:szCs w:val="22"/>
        </w:rPr>
      </w:pPr>
      <w:r w:rsidRPr="00C303D3">
        <w:rPr>
          <w:rFonts w:ascii="Calibri" w:hAnsi="Calibri" w:cs="Calibri"/>
          <w:szCs w:val="22"/>
        </w:rPr>
        <w:t>Arnab Kumar</w:t>
      </w:r>
      <w:r w:rsidR="005076E1" w:rsidRPr="00C303D3">
        <w:rPr>
          <w:rFonts w:ascii="Calibri" w:hAnsi="Calibri" w:cs="Calibri"/>
          <w:szCs w:val="22"/>
        </w:rPr>
        <w:t xml:space="preserve"> </w:t>
      </w:r>
      <w:r w:rsidRPr="00C303D3">
        <w:rPr>
          <w:rFonts w:ascii="Calibri" w:hAnsi="Calibri" w:cs="Calibri"/>
          <w:szCs w:val="22"/>
        </w:rPr>
        <w:t>Bora</w:t>
      </w:r>
      <w:r w:rsidR="005076E1" w:rsidRPr="00C303D3">
        <w:rPr>
          <w:rFonts w:ascii="Calibri" w:hAnsi="Calibri" w:cs="Calibri"/>
          <w:szCs w:val="22"/>
        </w:rPr>
        <w:t xml:space="preserve">, </w:t>
      </w:r>
      <w:r w:rsidR="00C303D3" w:rsidRPr="00C303D3">
        <w:rPr>
          <w:rFonts w:ascii="Calibri" w:hAnsi="Calibri" w:cs="Calibri"/>
          <w:szCs w:val="22"/>
        </w:rPr>
        <w:t>Amrata Mishra</w:t>
      </w:r>
      <w:r w:rsidR="00C303D3" w:rsidRPr="00C303D3">
        <w:rPr>
          <w:rFonts w:ascii="Calibri" w:hAnsi="Calibri" w:cs="Calibri"/>
          <w:szCs w:val="22"/>
          <w:vertAlign w:val="superscript"/>
        </w:rPr>
        <w:t>*</w:t>
      </w:r>
      <w:r w:rsidR="00C303D3" w:rsidRPr="00C303D3">
        <w:rPr>
          <w:rFonts w:ascii="Calibri" w:hAnsi="Calibri" w:cs="Calibri"/>
          <w:szCs w:val="22"/>
        </w:rPr>
        <w:t xml:space="preserve">, </w:t>
      </w:r>
      <w:proofErr w:type="spellStart"/>
      <w:r w:rsidR="00C303D3" w:rsidRPr="00C303D3">
        <w:rPr>
          <w:rFonts w:ascii="Calibri" w:hAnsi="Calibri" w:cs="Calibri"/>
          <w:szCs w:val="22"/>
        </w:rPr>
        <w:t>Santu</w:t>
      </w:r>
      <w:proofErr w:type="spellEnd"/>
      <w:r w:rsidR="00C303D3" w:rsidRPr="00C303D3">
        <w:rPr>
          <w:rFonts w:ascii="Calibri" w:hAnsi="Calibri" w:cs="Calibri"/>
          <w:szCs w:val="22"/>
        </w:rPr>
        <w:t xml:space="preserve"> Kar</w:t>
      </w:r>
    </w:p>
    <w:p w14:paraId="0C3B0385" w14:textId="77777777" w:rsidR="005076E1" w:rsidRPr="00D6057A" w:rsidRDefault="005076E1" w:rsidP="006E77D5">
      <w:pPr>
        <w:pStyle w:val="Author"/>
        <w:spacing w:after="40"/>
        <w:rPr>
          <w:rFonts w:ascii="Calibri" w:hAnsi="Calibri" w:cs="Calibri"/>
          <w:sz w:val="22"/>
          <w:szCs w:val="22"/>
        </w:rPr>
      </w:pPr>
    </w:p>
    <w:p w14:paraId="4F02CD79" w14:textId="2EBCEFC5" w:rsidR="005076E1" w:rsidRPr="00D6057A" w:rsidRDefault="00FD6696" w:rsidP="00B54B32">
      <w:pPr>
        <w:pStyle w:val="Author"/>
        <w:spacing w:after="40"/>
        <w:jc w:val="center"/>
        <w:rPr>
          <w:rFonts w:ascii="Calibri" w:hAnsi="Calibri" w:cs="Calibri"/>
          <w:sz w:val="22"/>
          <w:szCs w:val="22"/>
        </w:rPr>
      </w:pPr>
      <w:r>
        <w:rPr>
          <w:rFonts w:ascii="Calibri" w:hAnsi="Calibri" w:cs="Calibri"/>
          <w:sz w:val="22"/>
          <w:szCs w:val="22"/>
        </w:rPr>
        <w:t>Indian Institute of Technology Guwahati</w:t>
      </w:r>
      <w:r w:rsidR="005076E1" w:rsidRPr="00D6057A">
        <w:rPr>
          <w:rFonts w:ascii="Calibri" w:hAnsi="Calibri" w:cs="Calibri"/>
          <w:sz w:val="22"/>
          <w:szCs w:val="22"/>
        </w:rPr>
        <w:t>,</w:t>
      </w:r>
      <w:r>
        <w:rPr>
          <w:rFonts w:ascii="Calibri" w:hAnsi="Calibri" w:cs="Calibri"/>
          <w:sz w:val="22"/>
          <w:szCs w:val="22"/>
        </w:rPr>
        <w:t xml:space="preserve"> Guwahati</w:t>
      </w:r>
      <w:r w:rsidR="005076E1" w:rsidRPr="00D6057A">
        <w:rPr>
          <w:rFonts w:ascii="Calibri" w:hAnsi="Calibri" w:cs="Calibri"/>
          <w:sz w:val="22"/>
          <w:szCs w:val="22"/>
        </w:rPr>
        <w:t xml:space="preserve">, </w:t>
      </w:r>
      <w:r>
        <w:rPr>
          <w:rFonts w:ascii="Calibri" w:hAnsi="Calibri" w:cs="Calibri"/>
          <w:sz w:val="22"/>
          <w:szCs w:val="22"/>
        </w:rPr>
        <w:t>India</w:t>
      </w:r>
    </w:p>
    <w:p w14:paraId="1BC4AD16" w14:textId="4C56F601" w:rsidR="005076E1" w:rsidRPr="00D6057A" w:rsidRDefault="005076E1" w:rsidP="00B54B32">
      <w:pPr>
        <w:pStyle w:val="Author"/>
        <w:spacing w:after="40"/>
        <w:jc w:val="center"/>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00C303D3" w:rsidRPr="00C303D3">
        <w:rPr>
          <w:i/>
          <w:color w:val="000000"/>
        </w:rPr>
        <w:t xml:space="preserve"> </w:t>
      </w:r>
      <w:r w:rsidR="00C303D3">
        <w:rPr>
          <w:i/>
          <w:color w:val="000000"/>
        </w:rPr>
        <w:t>amrata@iitg.ac.in</w:t>
      </w:r>
    </w:p>
    <w:p w14:paraId="6330E787" w14:textId="77777777" w:rsidR="005076E1" w:rsidRPr="00D6057A" w:rsidRDefault="005076E1" w:rsidP="006E77D5">
      <w:pPr>
        <w:spacing w:after="40" w:line="240" w:lineRule="auto"/>
        <w:rPr>
          <w:rFonts w:ascii="Calibri" w:hAnsi="Calibri" w:cs="Calibri"/>
        </w:rPr>
      </w:pPr>
    </w:p>
    <w:p w14:paraId="662F0B45" w14:textId="0D81623C"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6080D97" w14:textId="1CD13FC6" w:rsidR="005076E1" w:rsidRPr="00961363" w:rsidRDefault="008237E8" w:rsidP="00961363">
      <w:pPr>
        <w:spacing w:after="40" w:line="240" w:lineRule="auto"/>
        <w:ind w:left="1134" w:right="1088"/>
        <w:jc w:val="both"/>
        <w:rPr>
          <w:rFonts w:ascii="Calibri" w:hAnsi="Calibri" w:cs="Calibri"/>
        </w:rPr>
      </w:pPr>
      <w:bookmarkStart w:id="0" w:name="_Hlk233643320"/>
      <w:bookmarkStart w:id="1" w:name="_Hlk233643762"/>
      <w:r w:rsidRPr="0072659A">
        <w:rPr>
          <w:rFonts w:ascii="Calibri" w:hAnsi="Calibri" w:cs="Calibri"/>
        </w:rPr>
        <w:t xml:space="preserve">The building sector is a major contributor to global energy consumption and greenhouse gas emissions, </w:t>
      </w:r>
      <w:r w:rsidR="00E83E5C">
        <w:t>underscoring the need for integrated sustainability assessment during early design</w:t>
      </w:r>
      <w:r w:rsidRPr="005E36FB">
        <w:rPr>
          <w:rFonts w:ascii="Calibri" w:hAnsi="Calibri" w:cs="Calibri"/>
        </w:rPr>
        <w:t xml:space="preserve">. Although Building </w:t>
      </w:r>
      <w:r w:rsidR="0072659A">
        <w:rPr>
          <w:rFonts w:ascii="Calibri" w:hAnsi="Calibri" w:cs="Calibri"/>
        </w:rPr>
        <w:t>I</w:t>
      </w:r>
      <w:r w:rsidRPr="005E36FB">
        <w:rPr>
          <w:rFonts w:ascii="Calibri" w:hAnsi="Calibri" w:cs="Calibri"/>
        </w:rPr>
        <w:t xml:space="preserve">nformation </w:t>
      </w:r>
      <w:r w:rsidR="0072659A">
        <w:rPr>
          <w:rFonts w:ascii="Calibri" w:hAnsi="Calibri" w:cs="Calibri"/>
        </w:rPr>
        <w:t>M</w:t>
      </w:r>
      <w:r w:rsidRPr="005E36FB">
        <w:rPr>
          <w:rFonts w:ascii="Calibri" w:hAnsi="Calibri" w:cs="Calibri"/>
        </w:rPr>
        <w:t xml:space="preserve">odelling (BIM) has been widely adopted for building performance analysis, most studies </w:t>
      </w:r>
      <w:r w:rsidR="00E83E5C">
        <w:t>evaluate</w:t>
      </w:r>
      <w:r w:rsidRPr="005E36FB">
        <w:rPr>
          <w:rFonts w:ascii="Calibri" w:hAnsi="Calibri" w:cs="Calibri"/>
        </w:rPr>
        <w:t xml:space="preserve"> energy, carbon emissions, and life-cycle cost independently, limiting holistic decision-making. </w:t>
      </w:r>
      <w:r w:rsidR="00FD6696" w:rsidRPr="0072659A">
        <w:rPr>
          <w:rFonts w:ascii="Calibri" w:hAnsi="Calibri" w:cs="Calibri"/>
        </w:rPr>
        <w:t>This</w:t>
      </w:r>
      <w:r w:rsidR="00FD6696" w:rsidRPr="005E36FB">
        <w:rPr>
          <w:rFonts w:ascii="Calibri" w:hAnsi="Calibri" w:cs="Calibri"/>
        </w:rPr>
        <w:t xml:space="preserve"> study </w:t>
      </w:r>
      <w:r w:rsidR="00E83E5C">
        <w:t>developed a BIM-based workflow to assess</w:t>
      </w:r>
      <w:r w:rsidR="00FD6696" w:rsidRPr="0072659A">
        <w:rPr>
          <w:rFonts w:ascii="Calibri" w:hAnsi="Calibri" w:cs="Calibri"/>
        </w:rPr>
        <w:t xml:space="preserve"> a representative residential building in a hot, humid </w:t>
      </w:r>
      <w:r w:rsidR="00E83E5C">
        <w:rPr>
          <w:rFonts w:ascii="Calibri" w:hAnsi="Calibri" w:cs="Calibri"/>
        </w:rPr>
        <w:t xml:space="preserve">climate using </w:t>
      </w:r>
      <w:r w:rsidR="00FD6696" w:rsidRPr="0072659A">
        <w:rPr>
          <w:rFonts w:ascii="Calibri" w:hAnsi="Calibri" w:cs="Calibri"/>
        </w:rPr>
        <w:t>life-cycle energy, carbon, and cost</w:t>
      </w:r>
      <w:r w:rsidR="00E83E5C">
        <w:rPr>
          <w:rFonts w:ascii="Calibri" w:hAnsi="Calibri" w:cs="Calibri"/>
        </w:rPr>
        <w:t xml:space="preserve"> analyses</w:t>
      </w:r>
      <w:r w:rsidR="00FD6696" w:rsidRPr="0072659A">
        <w:rPr>
          <w:rFonts w:ascii="Calibri" w:hAnsi="Calibri" w:cs="Calibri"/>
        </w:rPr>
        <w:t xml:space="preserve">. A baseline model was developed in Revit and tested in Autodesk Insight to </w:t>
      </w:r>
      <w:r w:rsidR="00E83E5C">
        <w:rPr>
          <w:rFonts w:ascii="Calibri" w:hAnsi="Calibri" w:cs="Calibri"/>
        </w:rPr>
        <w:t>evaluate</w:t>
      </w:r>
      <w:r w:rsidR="00E83E5C" w:rsidRPr="0072659A">
        <w:rPr>
          <w:rFonts w:ascii="Calibri" w:hAnsi="Calibri" w:cs="Calibri"/>
        </w:rPr>
        <w:t xml:space="preserve"> </w:t>
      </w:r>
      <w:r w:rsidR="00FD6696" w:rsidRPr="0072659A">
        <w:rPr>
          <w:rFonts w:ascii="Calibri" w:hAnsi="Calibri" w:cs="Calibri"/>
        </w:rPr>
        <w:t>the effect of orientation, wall material, roof configuration, roof overhangs, window sill level, and fly ash brick substitution.</w:t>
      </w:r>
      <w:r w:rsidR="00961363" w:rsidRPr="0072659A">
        <w:rPr>
          <w:rFonts w:ascii="Calibri" w:hAnsi="Calibri" w:cs="Calibri"/>
        </w:rPr>
        <w:t xml:space="preserve"> </w:t>
      </w:r>
      <w:r w:rsidR="00E83E5C">
        <w:t>Twelve alternatives were assessed over a 50-year period and ranked using the Simple Additive Weighting (SAW) method under different stakeholder-priority scenarios. The optimal configuration, comprising Autoclaved Aerated Concrete (AAC) walls, roof overhangs, a fully pitched roof, and a higher window sill, reduced life-cycle energy by 18.31% and life-cycle carbon emissions by 16.73% compared with the baseline. The proposed BIM-based workflow provides a transparent, repeatable framework for selecting balanced residential designs compatible with local construction practices.</w:t>
      </w:r>
      <w:bookmarkEnd w:id="0"/>
    </w:p>
    <w:bookmarkEnd w:id="1"/>
    <w:p w14:paraId="377919C6" w14:textId="61D3B80D" w:rsidR="00AA334A" w:rsidRPr="00AA334A" w:rsidRDefault="00AA334A" w:rsidP="00FD6696">
      <w:pPr>
        <w:spacing w:after="40" w:line="240" w:lineRule="auto"/>
        <w:ind w:left="1134" w:right="1088"/>
        <w:jc w:val="both"/>
        <w:rPr>
          <w:rFonts w:ascii="Calibri" w:hAnsi="Calibri" w:cs="Calibri"/>
          <w:b/>
        </w:rPr>
      </w:pPr>
      <w:r w:rsidRPr="00AA334A">
        <w:rPr>
          <w:rFonts w:ascii="Calibri" w:hAnsi="Calibri" w:cs="Calibri"/>
          <w:b/>
        </w:rPr>
        <w:t>Keywords</w:t>
      </w:r>
    </w:p>
    <w:p w14:paraId="79AB04C9" w14:textId="3BDE7FA5" w:rsidR="001C2DBC" w:rsidRPr="00AA334A" w:rsidRDefault="00AA334A" w:rsidP="00FD6696">
      <w:pPr>
        <w:spacing w:after="40" w:line="240" w:lineRule="auto"/>
        <w:ind w:left="1134" w:right="1088"/>
        <w:jc w:val="both"/>
        <w:rPr>
          <w:rFonts w:ascii="Calibri" w:hAnsi="Calibri" w:cs="Calibri"/>
        </w:rPr>
      </w:pPr>
      <w:r w:rsidRPr="00AA334A">
        <w:rPr>
          <w:rFonts w:ascii="Calibri" w:hAnsi="Calibri" w:cs="Calibri"/>
        </w:rPr>
        <w:t>BIM, Energy Performance, Life Cycle Assessment, Life Cycle Cost, Life Cycle Carbon Emission</w:t>
      </w:r>
    </w:p>
    <w:p w14:paraId="242D180E" w14:textId="77777777" w:rsidR="005076E1" w:rsidRPr="00D6057A" w:rsidRDefault="005076E1" w:rsidP="006E77D5">
      <w:pPr>
        <w:spacing w:after="40" w:line="240" w:lineRule="auto"/>
        <w:rPr>
          <w:rFonts w:ascii="Calibri" w:hAnsi="Calibri" w:cs="Calibri"/>
          <w:color w:val="EE0000"/>
        </w:rPr>
      </w:pPr>
    </w:p>
    <w:p w14:paraId="19E47564" w14:textId="46077233"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44488119" w14:textId="76289DAD" w:rsidR="00435684" w:rsidRPr="003F3440" w:rsidRDefault="00435684" w:rsidP="00AE0C2C">
      <w:pPr>
        <w:pStyle w:val="Heading2"/>
      </w:pPr>
      <w:r w:rsidRPr="003F3440">
        <w:t>1.1. Background and motivation</w:t>
      </w:r>
    </w:p>
    <w:p w14:paraId="146B98E7" w14:textId="381E61FF" w:rsidR="006C101D" w:rsidRDefault="006C101D" w:rsidP="00AE0C2C">
      <w:pPr>
        <w:spacing w:after="40" w:line="240" w:lineRule="auto"/>
        <w:ind w:firstLine="851"/>
        <w:jc w:val="both"/>
        <w:rPr>
          <w:rFonts w:ascii="Calibri" w:hAnsi="Calibri" w:cs="Calibri"/>
          <w:color w:val="FF0000"/>
        </w:rPr>
      </w:pPr>
      <w:r w:rsidRPr="003F3440">
        <w:rPr>
          <w:rFonts w:ascii="Calibri" w:hAnsi="Calibri" w:cs="Calibri"/>
        </w:rPr>
        <w:t xml:space="preserve">The building sector is one of the largest consumers of global energy and a major contributor to climate change, accounting for approximately 36% of global energy consumption and nearly 40% of greenhouse gas (GHG) emissions (Liu, Y., et.al., 2022). Residential buildings alone are responsible for nearly one-third of global GHG emissions, highlighting the need for sustainable design strategies (Gan, V.J.L., et.al., 2018). </w:t>
      </w:r>
      <w:r w:rsidR="00435684" w:rsidRPr="003F3440">
        <w:rPr>
          <w:rFonts w:ascii="Calibri" w:hAnsi="Calibri" w:cs="Calibri"/>
        </w:rPr>
        <w:t xml:space="preserve">While operational </w:t>
      </w:r>
      <w:r>
        <w:rPr>
          <w:rFonts w:ascii="Calibri" w:hAnsi="Calibri" w:cs="Calibri"/>
        </w:rPr>
        <w:t>carbon</w:t>
      </w:r>
      <w:r w:rsidR="00435684" w:rsidRPr="003F3440">
        <w:rPr>
          <w:rFonts w:ascii="Calibri" w:hAnsi="Calibri" w:cs="Calibri"/>
        </w:rPr>
        <w:t xml:space="preserve"> has traditionally been the primary focus of building decarbonization, embodied carbon is becoming increasingly significant as buildings achieve higher energy efficiency (</w:t>
      </w:r>
      <w:proofErr w:type="spellStart"/>
      <w:r w:rsidR="00435684" w:rsidRPr="003F3440">
        <w:rPr>
          <w:rFonts w:ascii="Calibri" w:hAnsi="Calibri" w:cs="Calibri"/>
        </w:rPr>
        <w:t>Lützkendorf</w:t>
      </w:r>
      <w:proofErr w:type="spellEnd"/>
      <w:r w:rsidR="00435684" w:rsidRPr="003F3440">
        <w:rPr>
          <w:rFonts w:ascii="Calibri" w:hAnsi="Calibri" w:cs="Calibri"/>
        </w:rPr>
        <w:t xml:space="preserve">, T. &amp; </w:t>
      </w:r>
      <w:proofErr w:type="spellStart"/>
      <w:r w:rsidR="00435684" w:rsidRPr="003F3440">
        <w:rPr>
          <w:rFonts w:ascii="Calibri" w:hAnsi="Calibri" w:cs="Calibri"/>
        </w:rPr>
        <w:t>Balouktsi</w:t>
      </w:r>
      <w:proofErr w:type="spellEnd"/>
      <w:r w:rsidR="00435684" w:rsidRPr="003F3440">
        <w:rPr>
          <w:rFonts w:ascii="Calibri" w:hAnsi="Calibri" w:cs="Calibri"/>
        </w:rPr>
        <w:t xml:space="preserve"> M., 2022). Since embodied and operational carbon involve inherent trade-offs, both should be evaluated together through a life-cycle assessment to support effective decarbonization </w:t>
      </w:r>
      <w:r w:rsidR="00435684" w:rsidRPr="003F3440">
        <w:rPr>
          <w:rFonts w:ascii="Calibri" w:hAnsi="Calibri" w:cs="Calibri"/>
        </w:rPr>
        <w:fldChar w:fldCharType="begin"/>
      </w:r>
      <w:r w:rsidR="00435684" w:rsidRPr="003F3440">
        <w:rPr>
          <w:rFonts w:ascii="Calibri" w:hAnsi="Calibri" w:cs="Calibri"/>
        </w:rPr>
        <w:instrText xml:space="preserve"> ADDIN ZOTERO_ITEM CSL_CITATION {"citationID":"sin4FSBr","properties":{"unsorted":false,"formattedCitation":"(Liang {\\i{}et al.}, 2023)","plainCitation":"(Liang et al., 2023)","noteIndex":0},"citationItems":[{"id":8,"uris":["http://zotero.org/users/local/hIuTWy7f/items/EQHPNHMC"],"itemData":{"id":8,"type":"article-journal","abstract":"Accounting for one third of global energy-related carbon emissions, the construction and operation of buildings are crucial for mitigating climate change. Decarbonization potentials of embodied and operational energy use in buildings are worth exploring from a life-cycle perspective. This paper focuses on the individual building level and collects the latest cases, to offer a comprehensive and timely understanding of the assessment and reduction of building life cycle carbon emissions (LCCEs). As for the collected cases, the operational process accounts for the largest share of building LCCEs, averaging 67%, followed by the production and construction phase, averaging 31%. Carbon emissions from the demolition process are relatively low, averaging 2%. The most commonly used method for assessing LCCEs is process-based, combining the activity level and carbon emission factors. Advanced technologies such as building information modelling and building performance simulation have been employed in recent years to assess embodied and operational carbon emissions effectively. Different approaches are proposed for the decarbonization of each stage in the building life cycle. In the production stage, the effective approaches could be optimizing the building structure, improving the material performance, and using bio-based materials, etc. Prefabrication technology is helpful to decarbonize the construction process. Energy conservation and electrification, renewable energy integration, and smart energy management can effectively reduce the building’s operational carbon emissions. Beyond the life cycle, recycling waste materials is proven to have great environmental benefits. Further studies are suggested to trade off the embodied and operational carbon, to fully explore building life-cycle decarbonization potentials.","container-title":"Heliyon","DOI":"10.1016/j.heliyon.2023.e20190","ISSN":"24058440","issue":"10","journalAbbreviation":"Heliyon","language":"en","page":"e20190","source":"DOI.org (Crossref)","title":"Decarbonization potentials of the embodied energy use and operational process in buildings: A review from the life-cycle perspective","title-short":"Decarbonization potentials of the embodied energy use and operational process in buildings","volume":"9","author":[{"family":"Liang","given":"Yumin"},{"family":"Li","given":"Changqi"},{"family":"Liu","given":"Zhichao"},{"family":"Wang","given":"Xi"},{"family":"Zeng","given":"Fei"},{"family":"Yuan","given":"Xiaolei"},{"family":"Pan","given":"Yiqun"}],"issued":{"date-parts":[["2023",10]]}}}],"schema":"https://github.com/citation-style-language/schema/raw/master/csl-citation.json"} </w:instrText>
      </w:r>
      <w:r w:rsidR="00435684" w:rsidRPr="003F3440">
        <w:rPr>
          <w:rFonts w:ascii="Calibri" w:hAnsi="Calibri" w:cs="Calibri"/>
        </w:rPr>
        <w:fldChar w:fldCharType="separate"/>
      </w:r>
      <w:r w:rsidR="00435684" w:rsidRPr="003F3440">
        <w:rPr>
          <w:rFonts w:ascii="Calibri" w:hAnsi="Calibri" w:cs="Calibri"/>
          <w:szCs w:val="24"/>
        </w:rPr>
        <w:t xml:space="preserve">(Liang,Y., </w:t>
      </w:r>
      <w:r w:rsidR="00435684" w:rsidRPr="003F3440">
        <w:rPr>
          <w:rFonts w:ascii="Calibri" w:hAnsi="Calibri" w:cs="Calibri"/>
          <w:i/>
          <w:iCs/>
          <w:szCs w:val="24"/>
        </w:rPr>
        <w:t>et.al.</w:t>
      </w:r>
      <w:r w:rsidR="00435684" w:rsidRPr="003F3440">
        <w:rPr>
          <w:rFonts w:ascii="Calibri" w:hAnsi="Calibri" w:cs="Calibri"/>
          <w:szCs w:val="24"/>
        </w:rPr>
        <w:t>, 2023)</w:t>
      </w:r>
      <w:r w:rsidR="00435684" w:rsidRPr="003F3440">
        <w:rPr>
          <w:rFonts w:ascii="Calibri" w:hAnsi="Calibri" w:cs="Calibri"/>
        </w:rPr>
        <w:fldChar w:fldCharType="end"/>
      </w:r>
      <w:r w:rsidR="00435684" w:rsidRPr="003F3440">
        <w:rPr>
          <w:rFonts w:ascii="Calibri" w:hAnsi="Calibri" w:cs="Calibri"/>
        </w:rPr>
        <w:t xml:space="preserve">. This challenge is particularly critical in rapidly urbanizing hot and humid regions, where growing cooling demand amplifies the environmental and economic impacts of residential buildings. In such climates, early design decisions—including building orientation, envelope systems, and material selection—strongly influence long-term energy use, carbon emissions, and life-cycle cost. However, these performance indicators are often assessed </w:t>
      </w:r>
      <w:r w:rsidR="00435684" w:rsidRPr="003F3440">
        <w:rPr>
          <w:rFonts w:ascii="Calibri" w:hAnsi="Calibri" w:cs="Calibri"/>
        </w:rPr>
        <w:lastRenderedPageBreak/>
        <w:t xml:space="preserve">independently, limiting informed decision-making. Therefore, an integrated and repeatable early-stage framework that simultaneously evaluates </w:t>
      </w:r>
      <w:r>
        <w:rPr>
          <w:rFonts w:ascii="Calibri" w:hAnsi="Calibri" w:cs="Calibri"/>
        </w:rPr>
        <w:t xml:space="preserve">life cycle </w:t>
      </w:r>
      <w:r w:rsidR="00435684" w:rsidRPr="003F3440">
        <w:rPr>
          <w:rFonts w:ascii="Calibri" w:hAnsi="Calibri" w:cs="Calibri"/>
        </w:rPr>
        <w:t>energy, carbon, and cost is needed to support sustainable residential building design in hot and humid climates.</w:t>
      </w:r>
    </w:p>
    <w:p w14:paraId="0D1A6E1B" w14:textId="77777777" w:rsidR="006C101D" w:rsidRPr="003F3440" w:rsidRDefault="006C101D" w:rsidP="00AE0C2C">
      <w:pPr>
        <w:pStyle w:val="Heading2"/>
      </w:pPr>
      <w:r w:rsidRPr="003F3440">
        <w:t xml:space="preserve">1.2. Literature Review </w:t>
      </w:r>
    </w:p>
    <w:p w14:paraId="49FEB848" w14:textId="62EF0AFB" w:rsidR="006C101D" w:rsidRPr="003F3440" w:rsidRDefault="006C101D" w:rsidP="006C101D">
      <w:pPr>
        <w:spacing w:after="40" w:line="240" w:lineRule="auto"/>
        <w:ind w:firstLine="851"/>
        <w:jc w:val="both"/>
        <w:rPr>
          <w:rFonts w:ascii="Calibri" w:hAnsi="Calibri" w:cs="Calibri"/>
        </w:rPr>
      </w:pPr>
      <w:r w:rsidRPr="003F3440">
        <w:rPr>
          <w:rFonts w:ascii="Calibri" w:hAnsi="Calibri" w:cs="Calibri"/>
        </w:rPr>
        <w:t xml:space="preserve">Building Information Modelling (BIM) enables early-stage energy assessment by linking digital models with simulation tools. </w:t>
      </w:r>
      <w:r w:rsidR="00891852" w:rsidRPr="00634E3C">
        <w:rPr>
          <w:rFonts w:ascii="Calibri" w:hAnsi="Calibri" w:cs="Calibri"/>
        </w:rPr>
        <w:t>Autodesk</w:t>
      </w:r>
      <w:r w:rsidR="00891852">
        <w:rPr>
          <w:rFonts w:ascii="Calibri" w:hAnsi="Calibri" w:cs="Calibri"/>
        </w:rPr>
        <w:t xml:space="preserve"> </w:t>
      </w:r>
      <w:r w:rsidRPr="003F3440">
        <w:rPr>
          <w:rFonts w:ascii="Calibri" w:hAnsi="Calibri" w:cs="Calibri"/>
        </w:rPr>
        <w:t xml:space="preserve">Revit and Autodesk Insight have been used to evaluate orientation, window-to-wall ratio, HVAC systems, and operating schedules, demonstrating that iterative design improves building energy performance </w:t>
      </w:r>
      <w:r w:rsidRPr="003F3440">
        <w:rPr>
          <w:rFonts w:ascii="Calibri" w:hAnsi="Calibri" w:cs="Calibri"/>
        </w:rPr>
        <w:fldChar w:fldCharType="begin"/>
      </w:r>
      <w:r w:rsidRPr="003F3440">
        <w:rPr>
          <w:rFonts w:ascii="Calibri" w:hAnsi="Calibri" w:cs="Calibri"/>
        </w:rPr>
        <w:instrText xml:space="preserve"> ADDIN ZOTERO_ITEM CSL_CITATION {"citationID":"ajXnjYz2","properties":{"unsorted":false,"formattedCitation":"(Deepa {\\i{}et al.}, 2019)","plainCitation":"(Deepa et al., 2019)","noteIndex":0},"citationItems":[{"id":2,"uris":["http://zotero.org/users/local/hIuTWy7f/items/CKEPHBI4"],"itemData":{"id":2,"type":"article-journal","abstract":"Buildings demand energy in their life cycle right from its construction phase to demolition phase. High energy consumptions may lead to serious environmental impacts like increase in the rate of global warming. Therefore, it is important to study the energy consumption of building at the conceptual stage. One of the recent method to evaluate energy consumption of buildings is Energy analysis using Building Information Modeling (BIM) tools –Autodesk Insight, BIM is an intelligent 3D model-based process that gives Engineers the insight tools to more efficiently plan, design, construct, and manage buildings and infrastructure. BIM assist designers assess different design alternatives at the conceptual stage of a building life so that effective energy strategies are attained within the building constraints. This paper seeks to integrate the use of BIM based energy analysis in predicting the energy consumption of a Library building. For this purpose, the Autodesk Revit Software and Autodesk Insight which is a cloud based energy analysis program are used.","issue":"01","language":"en","source":"Zotero","title":"ENERGY ANALYSIS OF BUILDINGS","volume":"06","author":[{"family":"Deepa","given":"K"},{"family":"Suryarajan","given":"B"},{"family":"Nagaraj","given":"V"},{"family":"Srinath","given":"K"},{"family":"Vasanth","given":"K"}],"issued":{"date-parts":[["2019"]]}}}],"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(Deepa,S., </w:t>
      </w:r>
      <w:r w:rsidRPr="003F3440">
        <w:rPr>
          <w:rFonts w:ascii="Calibri" w:hAnsi="Calibri" w:cs="Calibri"/>
          <w:i/>
          <w:iCs/>
          <w:szCs w:val="24"/>
        </w:rPr>
        <w:t>et.al.</w:t>
      </w:r>
      <w:r w:rsidRPr="003F3440">
        <w:rPr>
          <w:rFonts w:ascii="Calibri" w:hAnsi="Calibri" w:cs="Calibri"/>
          <w:szCs w:val="24"/>
        </w:rPr>
        <w:t>, 2019)</w:t>
      </w:r>
      <w:r w:rsidRPr="003F3440">
        <w:rPr>
          <w:rFonts w:ascii="Calibri" w:hAnsi="Calibri" w:cs="Calibri"/>
        </w:rPr>
        <w:fldChar w:fldCharType="end"/>
      </w:r>
      <w:r w:rsidRPr="003F3440">
        <w:rPr>
          <w:rFonts w:ascii="Calibri" w:hAnsi="Calibri" w:cs="Calibri"/>
        </w:rPr>
        <w:t xml:space="preserve">. Revit integrated with Insight 360 and Green Building Studio further showed that orientation and envelope materials influence both energy use and operating costs </w:t>
      </w:r>
      <w:r w:rsidRPr="003F3440">
        <w:rPr>
          <w:rFonts w:ascii="Calibri" w:hAnsi="Calibri" w:cs="Calibri"/>
        </w:rPr>
        <w:fldChar w:fldCharType="begin"/>
      </w:r>
      <w:r w:rsidRPr="003F3440">
        <w:rPr>
          <w:rFonts w:ascii="Calibri" w:hAnsi="Calibri" w:cs="Calibri"/>
        </w:rPr>
        <w:instrText xml:space="preserve"> ADDIN ZOTERO_ITEM CSL_CITATION {"citationID":"mzNUXsbT","properties":{"unsorted":false,"formattedCitation":"(Maglad {\\i{}et al.}, 2023)","plainCitation":"(Maglad et al., 2023)","noteIndex":0},"citationItems":[{"id":9,"uris":["http://zotero.org/users/local/hIuTWy7f/items/DU6F4HUH"],"itemData":{"id":9,"type":"article-journal","container-title":"Case Studies in Construction Materials","DOI":"10.1016/j.cscm.2022.e01755","ISSN":"22145095","journalAbbreviation":"Case Studies in Construction Materials","language":"en","page":"e01755","source":"DOI.org (Crossref)","title":"Bim-based energy analysis and optimization using insight 360 (case study)","volume":"18","author":[{"family":"Maglad","given":"Ahmed M."},{"family":"Houda","given":"Moustafa"},{"family":"Alrowais","given":"Raid"},{"family":"Khan","given":"Abdul Mateen"},{"family":"Jameel","given":"Mohammed"},{"family":"Rehman","given":"Sardar Kashif Ur"},{"family":"Khan","given":"Hamza"},{"family":"Javed","given":"Muhammad Faisal"},{"family":"Rehman","given":"Muhammad Faisal"}],"issued":{"date-parts":[["2023",7]]}}}],"schema":"https://github.com/citation-style-language/schema/raw/master/csl-citation.json"}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(Maglad, A.M., </w:t>
      </w:r>
      <w:r w:rsidRPr="003F3440">
        <w:rPr>
          <w:rFonts w:ascii="Calibri" w:hAnsi="Calibri" w:cs="Calibri"/>
          <w:i/>
          <w:iCs/>
          <w:szCs w:val="24"/>
        </w:rPr>
        <w:t>et.al.</w:t>
      </w:r>
      <w:r w:rsidRPr="003F3440">
        <w:rPr>
          <w:rFonts w:ascii="Calibri" w:hAnsi="Calibri" w:cs="Calibri"/>
          <w:szCs w:val="24"/>
        </w:rPr>
        <w:t>, 2023)</w:t>
      </w:r>
      <w:r w:rsidRPr="003F3440">
        <w:rPr>
          <w:rFonts w:ascii="Calibri" w:hAnsi="Calibri" w:cs="Calibri"/>
        </w:rPr>
        <w:fldChar w:fldCharType="end"/>
      </w:r>
      <w:r w:rsidRPr="003F3440">
        <w:rPr>
          <w:rFonts w:ascii="Calibri" w:hAnsi="Calibri" w:cs="Calibri"/>
        </w:rPr>
        <w:t xml:space="preserve">. Studies across different climates confirmed that climate and envelope thermal properties strongly affect residential electricity demand </w:t>
      </w:r>
      <w:r w:rsidRPr="003F3440">
        <w:rPr>
          <w:rFonts w:ascii="Calibri" w:hAnsi="Calibri" w:cs="Calibri"/>
        </w:rPr>
        <w:fldChar w:fldCharType="begin"/>
      </w:r>
      <w:r w:rsidRPr="003F3440">
        <w:rPr>
          <w:rFonts w:ascii="Calibri" w:hAnsi="Calibri" w:cs="Calibri"/>
        </w:rPr>
        <w:instrText xml:space="preserve"> ADDIN ZOTERO_ITEM CSL_CITATION {"citationID":"B7NX8Lmi","properties":{"unsorted":false,"formattedCitation":"(Gonz\\uc0\\u225{}lez {\\i{}et al.}, 2021)","plainCitation":"(González et al., 2021)","noteIndex":0},"citationItems":[{"id":11,"uris":["http://zotero.org/users/local/hIuTWy7f/items/57RANK4D"],"itemData":{"id":11,"type":"article-journal","abstract":"Linking Building Information Modelling and Building Energy Modelling methodologies appear as a tool for the energy performance analysis of a dwelling, being able to build the physical model via Autodesk Revit and simulating the energy modeling with its complement Autodesk Insight. A residential two-story house was evaluated in ﬁve different locations within distinct climatic zones to reduce its electricity demand. Experimental Design is used as a methodological tool to deﬁne the possible arrangement of results emitted via Autodesk Insight that exhibits the minor electric demand, considering three variables: Lighting efﬁciency, Plug-Load Efﬁciency, and HVAC systems. The analysis concluded that while the higher the efﬁciency of lighting and applications, the lower the electric demand. In addition, the type of climate and thermal characteristics of the materials that conform to the building envelope have signiﬁcant effects on the energetic performance. The adjustment of different energetic measures and its comparison with other climatic zones enable decision-makers to choose the best combination of variables for developing strategies to lower the electric demand towards energy-efﬁcient buildings.","container-title":"Buildings","DOI":"10.3390/buildings11100491","ISSN":"2075-5309","issue":"10","journalAbbreviation":"Buildings","language":"en","page":"491","source":"DOI.org (Crossref)","title":"BIM and BEM Methodologies Integration in Energy-Efficient Buildings Using Experimental Design","volume":"11","author":[{"family":"González","given":"Jorge"},{"family":"Soares","given":"Carlos"},{"family":"Najjar","given":"Mohammad"},{"family":"Haddad","given":"Assed"}],"issued":{"date-parts":[["2021",10,19]]}}}],"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(González, J., </w:t>
      </w:r>
      <w:r w:rsidRPr="003F3440">
        <w:rPr>
          <w:rFonts w:ascii="Calibri" w:hAnsi="Calibri" w:cs="Calibri"/>
          <w:i/>
          <w:iCs/>
          <w:szCs w:val="24"/>
        </w:rPr>
        <w:t>et.al.</w:t>
      </w:r>
      <w:r w:rsidRPr="003F3440">
        <w:rPr>
          <w:rFonts w:ascii="Calibri" w:hAnsi="Calibri" w:cs="Calibri"/>
          <w:szCs w:val="24"/>
        </w:rPr>
        <w:t>, 2021)</w:t>
      </w:r>
      <w:r w:rsidRPr="003F3440">
        <w:rPr>
          <w:rFonts w:ascii="Calibri" w:hAnsi="Calibri" w:cs="Calibri"/>
        </w:rPr>
        <w:fldChar w:fldCharType="end"/>
      </w:r>
      <w:r w:rsidRPr="003F3440">
        <w:rPr>
          <w:rFonts w:ascii="Calibri" w:hAnsi="Calibri" w:cs="Calibri"/>
        </w:rPr>
        <w:t>. Envelope assemblies have the greatest influence on energy performance because the building envelope accounts for most heat transfer, while shading and orientation have comparatively smaller effects</w:t>
      </w:r>
      <w:r w:rsidRPr="003F3440">
        <w:rPr>
          <w:rFonts w:ascii="Calibri" w:hAnsi="Calibri" w:cs="Calibri"/>
        </w:rPr>
        <w:fldChar w:fldCharType="begin"/>
      </w:r>
      <w:r w:rsidRPr="003F3440">
        <w:rPr>
          <w:rFonts w:ascii="Calibri" w:hAnsi="Calibri" w:cs="Calibri"/>
        </w:rPr>
        <w:instrText xml:space="preserve"> ADDIN ZOTERO_ITEM CSL_CITATION {"citationID":"ttgLJS0j","properties":{"unsorted":false,"formattedCitation":"(Kumar {\\i{}et al.}, 2020; Tushar {\\i{}et al.}, 2021)","plainCitation":"(Kumar et al., 2020; Tushar et al., 2021)","noteIndex":0},"citationItems":[{"id":13,"uris":["http://zotero.org/users/local/hIuTWy7f/items/QGTI99A9"],"itemData":{"id":13,"type":"article-journal","abstract":"Building envelope insulation is crucial for an energy-efficient and comfortable indoor environment because the envelope accounts for 50–60% of total heat gain/loss in a building. Previous studies mostly used lifecycle cost as the criteria to select the optimum insulation materials with little or no consideration of embodied energy, emission, and summer overheating potential. This study presents a comparative analysis of building insulation materials properties (thermal, hygroscopic, acoustic, reaction to fire, environmental, and cost) and their performance in different climate zones and proposed an optimization framework. Insulation materials can be primarily categorized as conventional, state-of-the-art and sustainable. State-of-the-art insulation materials have the lowest thermal conductivity value amongst the three insulation types. However, their life cycle cost is higher compared to the other types. Sustainable insulation materials could be useful to delay and minimize indoor peak temperature and reduce overheating risk during the hot summer period. The analysis also showed that building walls with comparatively lower thermal resistance are more cost-effective for the cooling dominated region, but walls with higher thermal resistance are more cost-effective in heating-dominated regions. However, highly insulated and airtight houses may also lead to increased overheating risk and peak cooling demand during a hot summer period. In addition, hygroscopic, acoustic, and fire retardancy properties of insulation materials are critical to control indoor relative humidity in a humid region, to maintain a minimum noise level in a zone, and to reduce fire destruction. Hence, the optimization should include four criteria 1) Energy, 2) Environment, 3) Economic, and 4) Comfort.","container-title":"Renewable and Sustainable Energy Reviews","DOI":"10.1016/j.rser.2020.110038","ISSN":"13640321","journalAbbreviation":"Renewable and Sustainable Energy Reviews","language":"en","page":"110038","source":"DOI.org (Crossref)","title":"Comparative analysis of building insulation material properties and performance","volume":"131","author":[{"family":"Kumar","given":"Dileep"},{"family":"Alam","given":"Morshed"},{"family":"Zou","given":"Patrick X.W."},{"family":"Sanjayan","given":"Jay G."},{"family":"Memon","given":"Rizwan Ahmed"}],"issued":{"date-parts":[["2020",10]]}}},{"id":15,"uris":["http://zotero.org/users/local/hIuTWy7f/items/4PRMZ6N7"],"itemData":{"id":15,"type":"article-journal","abstract":"Passive design strategies such as orientation, shading, sealing, glazing, and insulation can signiﬁcantly reduce the necessity of an artiﬁcial heating-cooling system, accounting for 40% of total energy usage in the residential building. However, none of the previous studies have quantiﬁed the energy reduction and their environmental impacts simultaneously for these passive design parameters to achieve the national standard requirements for house rating. Hence, this study focuses on the use of Building Information Modeling (BIM-Autodesk Revit), energy rating tool (FirstRate5), and BIM-enabled life cycle assessment (LCA-Tally) to quantify, compare, and improve the building design options to reduce carbon footprint and energy consumptions in residential dwellings.","container-title":"Journal of Cleaner Production","DOI":"10.1016/j.jclepro.2020.125622","ISSN":"09596526","journalAbbreviation":"Journal of Cleaner Production","language":"en","page":"125622","source":"DOI.org (Crossref)","title":"An integrated approach of BIM-enabled LCA and energy simulation: The optimized solution towards sustainable development","title-short":"An integrated approach of BIM-enabled LCA and energy simulation","volume":"289","author":[{"family":"Tushar","given":"Quddus"},{"family":"Bhuiyan","given":"Muhammed A."},{"family":"Zhang","given":"Guomin"},{"family":"Maqsood","given":"Tariq"}],"issued":{"date-parts":[["2021",3]]}}}],"schema":"https://github.com/citation-style-language/schema/raw/master/csl-citation.json"}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(Kumar, D., </w:t>
      </w:r>
      <w:r w:rsidRPr="003F3440">
        <w:rPr>
          <w:rFonts w:ascii="Calibri" w:hAnsi="Calibri" w:cs="Calibri"/>
          <w:i/>
          <w:iCs/>
          <w:szCs w:val="24"/>
        </w:rPr>
        <w:t>et.al.</w:t>
      </w:r>
      <w:r w:rsidRPr="003F3440">
        <w:rPr>
          <w:rFonts w:ascii="Calibri" w:hAnsi="Calibri" w:cs="Calibri"/>
          <w:szCs w:val="24"/>
        </w:rPr>
        <w:t xml:space="preserve">, 2020; Tushar, Q., </w:t>
      </w:r>
      <w:r w:rsidRPr="003F3440">
        <w:rPr>
          <w:rFonts w:ascii="Calibri" w:hAnsi="Calibri" w:cs="Calibri"/>
          <w:i/>
          <w:iCs/>
          <w:szCs w:val="24"/>
        </w:rPr>
        <w:t>et.al.</w:t>
      </w:r>
      <w:r w:rsidRPr="003F3440">
        <w:rPr>
          <w:rFonts w:ascii="Calibri" w:hAnsi="Calibri" w:cs="Calibri"/>
          <w:szCs w:val="24"/>
        </w:rPr>
        <w:t>, 2021)</w:t>
      </w:r>
      <w:r w:rsidRPr="003F3440">
        <w:rPr>
          <w:rFonts w:ascii="Calibri" w:hAnsi="Calibri" w:cs="Calibri"/>
        </w:rPr>
        <w:fldChar w:fldCharType="end"/>
      </w:r>
      <w:r w:rsidRPr="003F3440">
        <w:rPr>
          <w:rFonts w:ascii="Calibri" w:hAnsi="Calibri" w:cs="Calibri"/>
        </w:rPr>
        <w:t xml:space="preserve">. Overall, </w:t>
      </w:r>
      <w:r w:rsidR="00891852">
        <w:rPr>
          <w:rFonts w:ascii="Calibri" w:hAnsi="Calibri" w:cs="Calibri"/>
        </w:rPr>
        <w:t xml:space="preserve">envelope </w:t>
      </w:r>
      <w:r w:rsidRPr="003F3440">
        <w:rPr>
          <w:rFonts w:ascii="Calibri" w:hAnsi="Calibri" w:cs="Calibri"/>
        </w:rPr>
        <w:t>materials remain a key factor in improving building energy efficiency.</w:t>
      </w:r>
    </w:p>
    <w:p w14:paraId="4BF07E05" w14:textId="078526BD" w:rsidR="006C101D" w:rsidRPr="003F3440" w:rsidRDefault="006C101D" w:rsidP="006C101D">
      <w:pPr>
        <w:spacing w:after="40" w:line="240" w:lineRule="auto"/>
        <w:ind w:firstLine="851"/>
        <w:jc w:val="both"/>
        <w:rPr>
          <w:rFonts w:ascii="Calibri" w:hAnsi="Calibri" w:cs="Calibri"/>
        </w:rPr>
      </w:pPr>
      <w:r w:rsidRPr="003F3440">
        <w:rPr>
          <w:rFonts w:ascii="Calibri" w:hAnsi="Calibri" w:cs="Calibri"/>
        </w:rPr>
        <w:t xml:space="preserve">BIM has evolved beyond operational energy analysis by integrating life-cycle assessment (LCA) to quantify embodied and operational carbon. BIM-LCA has been applied to evaluate envelope alternatives for low-carbon building design </w:t>
      </w:r>
      <w:r w:rsidRPr="003F3440">
        <w:rPr>
          <w:rFonts w:ascii="Calibri" w:hAnsi="Calibri" w:cs="Calibri"/>
        </w:rPr>
        <w:fldChar w:fldCharType="begin"/>
      </w:r>
      <w:r w:rsidRPr="003F3440">
        <w:rPr>
          <w:rFonts w:ascii="Calibri" w:hAnsi="Calibri" w:cs="Calibri"/>
        </w:rPr>
        <w:instrText xml:space="preserve"> ADDIN ZOTERO_ITEM CSL_CITATION {"citationID":"ogslGxKP","properties":{"unsorted":false,"formattedCitation":"(Gan {\\i{}et al.}, 2018)","plainCitation":"(Gan et al., 2018)","noteIndex":0},"citationItems":[{"id":4,"uris":["http://zotero.org/users/local/hIuTWy7f/items/ZLKZZZ93"],"itemData":{"id":4,"type":"article-journal","container-title":"Journal of Cleaner Production","DOI":"10.1016/j.jclepro.2018.05.272","ISSN":"09596526","journalAbbreviation":"Journal of Cleaner Production","language":"en","page":"1091-1104","source":"DOI.org (Crossref)","title":"Holistic BIM framework for sustainable low carbon design of high-rise buildings","volume":"195","author":[{"family":"Gan","given":"Vincent J.L."},{"family":"Deng","given":"M."},{"family":"Tse","given":"K.T."},{"family":"Chan","given":"C.M."},{"family":"Lo","given":"Irene M.C."},{"family":"Cheng","given":"Jack C.P."}],"issued":{"date-parts":[["2018",9]]}}}],"schema":"https://github.com/citation-style-language/schema/raw/master/csl-citation.json"}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(Gan, V.J.L., </w:t>
      </w:r>
      <w:r w:rsidRPr="003F3440">
        <w:rPr>
          <w:rFonts w:ascii="Calibri" w:hAnsi="Calibri" w:cs="Calibri"/>
          <w:i/>
          <w:iCs/>
          <w:szCs w:val="24"/>
        </w:rPr>
        <w:t>et.al.</w:t>
      </w:r>
      <w:r w:rsidRPr="003F3440">
        <w:rPr>
          <w:rFonts w:ascii="Calibri" w:hAnsi="Calibri" w:cs="Calibri"/>
          <w:szCs w:val="24"/>
        </w:rPr>
        <w:t>, 2018)</w:t>
      </w:r>
      <w:r w:rsidRPr="003F3440">
        <w:rPr>
          <w:rFonts w:ascii="Calibri" w:hAnsi="Calibri" w:cs="Calibri"/>
        </w:rPr>
        <w:fldChar w:fldCharType="end"/>
      </w:r>
      <w:r w:rsidRPr="003F3440">
        <w:rPr>
          <w:rFonts w:ascii="Calibri" w:hAnsi="Calibri" w:cs="Calibri"/>
        </w:rPr>
        <w:t xml:space="preserve">. Similar applications for Indian residential buildings assessed embodied, operational, maintenance, and end-of-life emissions, identifying operational energy as the largest contributor while emphasizing low-carbon materials </w:t>
      </w:r>
      <w:r w:rsidRPr="003F3440">
        <w:rPr>
          <w:rFonts w:ascii="Calibri" w:hAnsi="Calibri" w:cs="Calibri"/>
        </w:rPr>
        <w:fldChar w:fldCharType="begin"/>
      </w:r>
      <w:r w:rsidRPr="003F3440">
        <w:rPr>
          <w:rFonts w:ascii="Calibri" w:hAnsi="Calibri" w:cs="Calibri"/>
        </w:rPr>
        <w:instrText xml:space="preserve"> ADDIN ZOTERO_ITEM CSL_CITATION {"citationID":"qGAavsL2","properties":{"unsorted":false,"formattedCitation":"(Kumar {\\i{}et al.}, 2025)","plainCitation":"(Kumar et al., 2025)","noteIndex":0},"citationItems":[{"id":16,"uris":["http://zotero.org/users/local/hIuTWy7f/items/WHGAC9W7"],"itemData":{"id":16,"type":"article-journal","abstract":"As the population increases, the growing demand for residential housing escalates construction activities, significantly impacting global warming by contributing 42% of primary energy use and 39% of global greenhouse gas (GHG) emissions. This study addresses a gap in research on lifecycle assessment (LCA) for Indian residential buildings by evaluating the full cradle-to-grave carbon footprint of a typical single-family house in Northern India. A BIM-based LCA framework was applied to a 110 m2 single-family dwelling over a 60-year life span. Operational use performance and climate analysis was evaluated via cove tool. The total carbon footprint over a 60-year lifespan was approximately 5884 kg CO2e, with operational energy use accounting for about 87% and embodied carbon approximately 11%. Additional impacts came from maintenance and replacements. Energy usage was calculated as 71.76 kWh/m2/year and water usage as 232.2 m3/year. Energy consumption was the biggest driver of emissions, but substantial impacts also stemmed from material production. Cement-based components and steel were the largest embodied carbon contributors. Under the business-as-usual (BAU) scenario, the operational emissions reach approximately 668,000 kg CO2e with HVAC and 482,000 kg CO2e without HVAC. The findings highlight the necessity of integrating embodied carbon considerations alongside operational energy efficiency in India’s building codes, emphasizing reductions in energy consumption and the adoption of low-carbon materials to mitigate the environmental impact of residential buildings. Future work should focus on the dynamic modeling of electricity decarbonization, improved regional datasets, and scenario-based LCA to better support India’s transition to net-zero emissions by 2070.","container-title":"Buildings","DOI":"10.3390/buildings15132195","ISSN":"2075-5309","issue":"13","journalAbbreviation":"Buildings","language":"en","page":"2195","source":"DOI.org (Crossref)","title":"A Whole-Life Carbon Assessment of a Single-Family House in North India Using BIM-LCA Integration","volume":"15","author":[{"family":"Kumar","given":"Deepak"},{"family":"Maurya","given":"Kranti Kumar"},{"family":"Mandal","given":"Shailendra K."},{"family":"Halder","given":"Nandini"},{"family":"Mir","given":"Basit Afaq"},{"family":"Nurdiawati","given":"Anissa"},{"family":"Al-Ghamdi","given":"Sami G."}],"issued":{"date-parts":[["2025",6,23]]}}}],"schema":"https://github.com/citation-style-language/schema/raw/master/csl-citation.json"} </w:instrText>
      </w:r>
      <w:r w:rsidRPr="003F3440">
        <w:rPr>
          <w:rFonts w:ascii="Calibri" w:hAnsi="Calibri" w:cs="Calibri"/>
        </w:rPr>
        <w:fldChar w:fldCharType="separate"/>
      </w:r>
      <w:r w:rsidRPr="003F3440">
        <w:rPr>
          <w:rFonts w:ascii="Calibri" w:hAnsi="Calibri" w:cs="Calibri"/>
          <w:szCs w:val="24"/>
        </w:rPr>
        <w:t xml:space="preserve">(Kumar, D., </w:t>
      </w:r>
      <w:r w:rsidRPr="003F3440">
        <w:rPr>
          <w:rFonts w:ascii="Calibri" w:hAnsi="Calibri" w:cs="Calibri"/>
          <w:i/>
          <w:iCs/>
          <w:szCs w:val="24"/>
        </w:rPr>
        <w:t>et.al.</w:t>
      </w:r>
      <w:r w:rsidRPr="003F3440">
        <w:rPr>
          <w:rFonts w:ascii="Calibri" w:hAnsi="Calibri" w:cs="Calibri"/>
          <w:szCs w:val="24"/>
        </w:rPr>
        <w:t>, 2025)</w:t>
      </w:r>
      <w:r w:rsidRPr="003F3440">
        <w:rPr>
          <w:rFonts w:ascii="Calibri" w:hAnsi="Calibri" w:cs="Calibri"/>
        </w:rPr>
        <w:fldChar w:fldCharType="end"/>
      </w:r>
      <w:r w:rsidRPr="003F3440">
        <w:rPr>
          <w:rFonts w:ascii="Calibri" w:hAnsi="Calibri" w:cs="Calibri"/>
        </w:rPr>
        <w:t xml:space="preserve">. Recent studies further integrated optimization and circular economy principles to balance embodied and operational emissions through environmentally efficient material selection (Gan, J., et.al., 2023; </w:t>
      </w:r>
      <w:proofErr w:type="spellStart"/>
      <w:r w:rsidRPr="003F3440">
        <w:rPr>
          <w:rFonts w:ascii="Calibri" w:hAnsi="Calibri" w:cs="Calibri"/>
        </w:rPr>
        <w:t>Mowafy</w:t>
      </w:r>
      <w:proofErr w:type="spellEnd"/>
      <w:r w:rsidRPr="003F3440">
        <w:rPr>
          <w:rFonts w:ascii="Calibri" w:hAnsi="Calibri" w:cs="Calibri"/>
        </w:rPr>
        <w:t xml:space="preserve">, N., El </w:t>
      </w:r>
      <w:proofErr w:type="spellStart"/>
      <w:r w:rsidRPr="003F3440">
        <w:rPr>
          <w:rFonts w:ascii="Calibri" w:hAnsi="Calibri" w:cs="Calibri"/>
        </w:rPr>
        <w:t>Zayat</w:t>
      </w:r>
      <w:proofErr w:type="spellEnd"/>
      <w:r w:rsidRPr="003F3440">
        <w:rPr>
          <w:rFonts w:ascii="Calibri" w:hAnsi="Calibri" w:cs="Calibri"/>
        </w:rPr>
        <w:t xml:space="preserve"> M., &amp; Marzouk, M., 2023).</w:t>
      </w:r>
    </w:p>
    <w:p w14:paraId="641F53D1" w14:textId="77777777" w:rsidR="006C101D" w:rsidRPr="003F3440" w:rsidRDefault="006C101D" w:rsidP="006C101D">
      <w:pPr>
        <w:spacing w:after="40" w:line="240" w:lineRule="auto"/>
        <w:ind w:firstLine="851"/>
        <w:jc w:val="both"/>
        <w:rPr>
          <w:rFonts w:ascii="Calibri" w:hAnsi="Calibri" w:cs="Calibri"/>
        </w:rPr>
      </w:pPr>
      <w:r w:rsidRPr="003F3440">
        <w:rPr>
          <w:rFonts w:ascii="Calibri" w:hAnsi="Calibri" w:cs="Calibri"/>
        </w:rPr>
        <w:t>Life-cycle cost (LCC) analysis evaluates construction, operation, maintenance, and end-of-life costs over a building's service life (</w:t>
      </w:r>
      <w:proofErr w:type="spellStart"/>
      <w:r w:rsidRPr="003F3440">
        <w:rPr>
          <w:rFonts w:ascii="Calibri" w:hAnsi="Calibri" w:cs="Calibri"/>
        </w:rPr>
        <w:t>Kneifel</w:t>
      </w:r>
      <w:proofErr w:type="spellEnd"/>
      <w:r w:rsidRPr="003F3440">
        <w:rPr>
          <w:rFonts w:ascii="Calibri" w:hAnsi="Calibri" w:cs="Calibri"/>
        </w:rPr>
        <w:t>, J. &amp; Webb D., 2025; ISO 15686-5:2017). BIM-based frameworks have integrated LCC with life-cycle carbon assessment to support sustainable design decisions using Net Present Value analysis (</w:t>
      </w:r>
      <w:proofErr w:type="spellStart"/>
      <w:r w:rsidRPr="003F3440">
        <w:rPr>
          <w:rFonts w:ascii="Calibri" w:hAnsi="Calibri" w:cs="Calibri"/>
        </w:rPr>
        <w:t>Heydari</w:t>
      </w:r>
      <w:proofErr w:type="spellEnd"/>
      <w:r w:rsidRPr="003F3440">
        <w:rPr>
          <w:rFonts w:ascii="Calibri" w:hAnsi="Calibri" w:cs="Calibri"/>
        </w:rPr>
        <w:t xml:space="preserve">, M. &amp; </w:t>
      </w:r>
      <w:proofErr w:type="spellStart"/>
      <w:r w:rsidRPr="003F3440">
        <w:rPr>
          <w:rFonts w:ascii="Calibri" w:hAnsi="Calibri" w:cs="Calibri"/>
        </w:rPr>
        <w:t>Heravi</w:t>
      </w:r>
      <w:proofErr w:type="spellEnd"/>
      <w:r w:rsidRPr="003F3440">
        <w:rPr>
          <w:rFonts w:ascii="Calibri" w:hAnsi="Calibri" w:cs="Calibri"/>
        </w:rPr>
        <w:t xml:space="preserve"> G., 2023).</w:t>
      </w:r>
    </w:p>
    <w:p w14:paraId="20DF5624" w14:textId="38A7E1A8" w:rsidR="006C101D" w:rsidRPr="003F3440" w:rsidRDefault="00C30533" w:rsidP="006C101D">
      <w:pPr>
        <w:spacing w:after="40" w:line="240" w:lineRule="auto"/>
        <w:ind w:firstLine="851"/>
        <w:jc w:val="both"/>
        <w:rPr>
          <w:rFonts w:ascii="Calibri" w:hAnsi="Calibri" w:cs="Calibri"/>
        </w:rPr>
      </w:pPr>
      <w:r>
        <w:rPr>
          <w:rFonts w:ascii="Calibri" w:hAnsi="Calibri" w:cs="Calibri"/>
        </w:rPr>
        <w:t>Furthermore, m</w:t>
      </w:r>
      <w:r w:rsidR="006C101D" w:rsidRPr="003F3440">
        <w:rPr>
          <w:rFonts w:ascii="Calibri" w:hAnsi="Calibri" w:cs="Calibri"/>
        </w:rPr>
        <w:t xml:space="preserve">ulti-criteria decision-making (MCDM) methods help balance energy, carbon, and cost objectives. </w:t>
      </w:r>
      <w:r w:rsidR="00A210B8">
        <w:rPr>
          <w:rFonts w:ascii="Calibri" w:hAnsi="Calibri" w:cs="Calibri"/>
        </w:rPr>
        <w:t>Studies highlighted that</w:t>
      </w:r>
      <w:r w:rsidR="006C101D" w:rsidRPr="003F3440">
        <w:rPr>
          <w:rFonts w:ascii="Calibri" w:hAnsi="Calibri" w:cs="Calibri"/>
        </w:rPr>
        <w:t xml:space="preserve"> </w:t>
      </w:r>
      <w:r w:rsidR="00A210B8">
        <w:rPr>
          <w:rFonts w:ascii="Calibri" w:hAnsi="Calibri" w:cs="Calibri"/>
        </w:rPr>
        <w:t xml:space="preserve">the </w:t>
      </w:r>
      <w:r w:rsidR="006C101D" w:rsidRPr="003F3440">
        <w:rPr>
          <w:rFonts w:ascii="Calibri" w:hAnsi="Calibri" w:cs="Calibri"/>
        </w:rPr>
        <w:t xml:space="preserve">Simple Additive Weighting (SAW) method </w:t>
      </w:r>
      <w:r w:rsidR="00A210B8">
        <w:rPr>
          <w:rFonts w:ascii="Calibri" w:hAnsi="Calibri" w:cs="Calibri"/>
        </w:rPr>
        <w:t>can</w:t>
      </w:r>
      <w:r w:rsidR="006C101D" w:rsidRPr="003F3440">
        <w:rPr>
          <w:rFonts w:ascii="Calibri" w:hAnsi="Calibri" w:cs="Calibri"/>
        </w:rPr>
        <w:t xml:space="preserve"> </w:t>
      </w:r>
      <w:r w:rsidR="00A210B8">
        <w:rPr>
          <w:rFonts w:ascii="Calibri" w:hAnsi="Calibri" w:cs="Calibri"/>
        </w:rPr>
        <w:t>help in c</w:t>
      </w:r>
      <w:r w:rsidR="00A210B8" w:rsidRPr="00616CDC">
        <w:rPr>
          <w:rFonts w:ascii="Calibri" w:hAnsi="Calibri" w:cs="Calibri"/>
        </w:rPr>
        <w:t>omparative assessment</w:t>
      </w:r>
      <w:r w:rsidR="00A210B8">
        <w:rPr>
          <w:rFonts w:ascii="Calibri" w:hAnsi="Calibri" w:cs="Calibri"/>
        </w:rPr>
        <w:t>, providing</w:t>
      </w:r>
      <w:r w:rsidR="006C101D" w:rsidRPr="003F3440">
        <w:rPr>
          <w:rFonts w:ascii="Calibri" w:hAnsi="Calibri" w:cs="Calibri"/>
        </w:rPr>
        <w:t xml:space="preserve"> reliable and consistent rankings with low susceptibility to rank reversal, making it suitable for sustainable building design evaluation (Hosseini </w:t>
      </w:r>
      <w:proofErr w:type="spellStart"/>
      <w:r w:rsidR="006C101D" w:rsidRPr="003F3440">
        <w:rPr>
          <w:rFonts w:ascii="Calibri" w:hAnsi="Calibri" w:cs="Calibri"/>
        </w:rPr>
        <w:t>Dehshiri</w:t>
      </w:r>
      <w:proofErr w:type="spellEnd"/>
      <w:r w:rsidR="006C101D" w:rsidRPr="003F3440">
        <w:rPr>
          <w:rFonts w:ascii="Calibri" w:hAnsi="Calibri" w:cs="Calibri"/>
        </w:rPr>
        <w:t xml:space="preserve">, S.S. &amp; </w:t>
      </w:r>
      <w:proofErr w:type="spellStart"/>
      <w:r w:rsidR="006C101D" w:rsidRPr="003F3440">
        <w:rPr>
          <w:rFonts w:ascii="Calibri" w:hAnsi="Calibri" w:cs="Calibri"/>
        </w:rPr>
        <w:t>Firoozabadi</w:t>
      </w:r>
      <w:proofErr w:type="spellEnd"/>
      <w:r w:rsidR="006C101D" w:rsidRPr="003F3440">
        <w:rPr>
          <w:rFonts w:ascii="Calibri" w:hAnsi="Calibri" w:cs="Calibri"/>
        </w:rPr>
        <w:t xml:space="preserve"> B., 2025).</w:t>
      </w:r>
    </w:p>
    <w:p w14:paraId="017574BD" w14:textId="00A248D6" w:rsidR="00A210B8" w:rsidRDefault="006C101D" w:rsidP="00AE0C2C">
      <w:pPr>
        <w:spacing w:after="40" w:line="240" w:lineRule="auto"/>
        <w:ind w:firstLine="851"/>
        <w:jc w:val="both"/>
        <w:rPr>
          <w:rFonts w:ascii="Calibri" w:hAnsi="Calibri" w:cs="Calibri"/>
          <w:i/>
          <w:color w:val="000000" w:themeColor="text1"/>
        </w:rPr>
      </w:pPr>
      <w:r w:rsidRPr="003F3440">
        <w:rPr>
          <w:rFonts w:ascii="Calibri" w:hAnsi="Calibri" w:cs="Calibri"/>
        </w:rPr>
        <w:t xml:space="preserve">Existing studies mainly assess design parameters individually or in limited combinations. A unified BIM-linked framework that simultaneously evaluates building orientation, wall system, roof configuration, shading devices, and sill height together </w:t>
      </w:r>
      <w:r w:rsidR="00A210B8">
        <w:rPr>
          <w:rFonts w:ascii="Calibri" w:hAnsi="Calibri" w:cs="Calibri"/>
        </w:rPr>
        <w:t>based on</w:t>
      </w:r>
      <w:r w:rsidRPr="003F3440">
        <w:rPr>
          <w:rFonts w:ascii="Calibri" w:hAnsi="Calibri" w:cs="Calibri"/>
        </w:rPr>
        <w:t xml:space="preserve"> energy performance, life-cycle cost, and environmental impacts remains underexplored for low-rise residential buildings in hot and humid climates.</w:t>
      </w:r>
      <w:r w:rsidRPr="003F3440">
        <w:rPr>
          <w:rFonts w:ascii="Calibri" w:hAnsi="Calibri" w:cs="Calibri"/>
          <w:b/>
        </w:rPr>
        <w:t xml:space="preserve"> </w:t>
      </w:r>
    </w:p>
    <w:p w14:paraId="4774062F" w14:textId="0F065848" w:rsidR="00A210B8" w:rsidRPr="007E48C1" w:rsidRDefault="00A210B8" w:rsidP="00AE0C2C">
      <w:pPr>
        <w:pStyle w:val="Heading2"/>
      </w:pPr>
      <w:r w:rsidRPr="007E48C1">
        <w:t>1.3. Objective</w:t>
      </w:r>
    </w:p>
    <w:p w14:paraId="491E1CBB" w14:textId="77777777" w:rsidR="00A210B8" w:rsidRPr="007E48C1" w:rsidRDefault="00A210B8" w:rsidP="00A210B8">
      <w:pPr>
        <w:spacing w:after="40" w:line="240" w:lineRule="auto"/>
        <w:ind w:firstLine="851"/>
        <w:jc w:val="both"/>
        <w:rPr>
          <w:rFonts w:ascii="Calibri" w:hAnsi="Calibri" w:cs="Calibri"/>
          <w:color w:val="000000" w:themeColor="text1"/>
        </w:rPr>
      </w:pPr>
      <w:r w:rsidRPr="007E48C1">
        <w:rPr>
          <w:rFonts w:ascii="Calibri" w:hAnsi="Calibri" w:cs="Calibri"/>
          <w:color w:val="000000" w:themeColor="text1"/>
        </w:rPr>
        <w:t xml:space="preserve">The objectives of this study are: (1) to develop BIM-based models of a representative residential building in a hot, humid climate by systematically varying the building orientation, envelope configuration, and construction materials, (2) to evaluate the developed models through life-cycle energy, carbon emissions, and cost analyses to quantify their environmental and economic performance, and (3) to identify the most suitable design alternative by assessing stakeholders' priorities using varying weightages assigned to energy consumption, carbon emissions, and cost. </w:t>
      </w:r>
    </w:p>
    <w:p w14:paraId="2340FBBD" w14:textId="3140C19A" w:rsidR="00A210B8" w:rsidRPr="007E48C1" w:rsidRDefault="00A210B8" w:rsidP="00A210B8">
      <w:pPr>
        <w:spacing w:after="40" w:line="240" w:lineRule="auto"/>
        <w:ind w:firstLine="851"/>
        <w:jc w:val="both"/>
        <w:rPr>
          <w:rFonts w:ascii="Calibri" w:hAnsi="Calibri" w:cs="Calibri"/>
          <w:color w:val="000000" w:themeColor="text1"/>
        </w:rPr>
      </w:pPr>
      <w:r w:rsidRPr="007E48C1">
        <w:rPr>
          <w:rFonts w:ascii="Calibri" w:hAnsi="Calibri" w:cs="Calibri"/>
          <w:color w:val="000000" w:themeColor="text1"/>
        </w:rPr>
        <w:t xml:space="preserve">The scope of this study excludes passive climate control strategies, such as natural and cross-ventilation, because their assessment requires dedicated airflow modeling or computational fluid </w:t>
      </w:r>
      <w:r w:rsidRPr="007E48C1">
        <w:rPr>
          <w:rFonts w:ascii="Calibri" w:hAnsi="Calibri" w:cs="Calibri"/>
          <w:color w:val="000000" w:themeColor="text1"/>
        </w:rPr>
        <w:lastRenderedPageBreak/>
        <w:t xml:space="preserve">dynamics (CFD) simulations. Accordingly, the Autodesk Insight-based thermal analysis </w:t>
      </w:r>
      <w:r>
        <w:rPr>
          <w:rFonts w:ascii="Calibri" w:hAnsi="Calibri" w:cs="Calibri"/>
          <w:color w:val="000000" w:themeColor="text1"/>
        </w:rPr>
        <w:t>was</w:t>
      </w:r>
      <w:r w:rsidRPr="007E48C1">
        <w:rPr>
          <w:rFonts w:ascii="Calibri" w:hAnsi="Calibri" w:cs="Calibri"/>
          <w:color w:val="000000" w:themeColor="text1"/>
        </w:rPr>
        <w:t xml:space="preserve"> restricted to heat transfer and solar heat gain assessments and d</w:t>
      </w:r>
      <w:r>
        <w:rPr>
          <w:rFonts w:ascii="Calibri" w:hAnsi="Calibri" w:cs="Calibri"/>
          <w:color w:val="000000" w:themeColor="text1"/>
        </w:rPr>
        <w:t>id</w:t>
      </w:r>
      <w:r w:rsidRPr="007E48C1">
        <w:rPr>
          <w:rFonts w:ascii="Calibri" w:hAnsi="Calibri" w:cs="Calibri"/>
          <w:color w:val="000000" w:themeColor="text1"/>
        </w:rPr>
        <w:t xml:space="preserve"> not account for the effects of wind-driven airflow on indoor thermal comfort or cooling energy demand. </w:t>
      </w:r>
    </w:p>
    <w:p w14:paraId="255A1FAF" w14:textId="77777777" w:rsidR="003C3552" w:rsidRPr="003C3552" w:rsidRDefault="003C3552" w:rsidP="003F3440">
      <w:pPr>
        <w:spacing w:after="40" w:line="240" w:lineRule="auto"/>
        <w:jc w:val="both"/>
        <w:rPr>
          <w:rFonts w:ascii="Calibri" w:hAnsi="Calibri" w:cs="Calibri"/>
        </w:rPr>
      </w:pPr>
    </w:p>
    <w:p w14:paraId="64EA7039" w14:textId="699E0566" w:rsidR="00D6057A" w:rsidRPr="00D6057A" w:rsidRDefault="00EC635F"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62FE16DF" w14:textId="140FA59E" w:rsidR="00A210B8" w:rsidRPr="00E45566" w:rsidRDefault="00EC635F" w:rsidP="00A210B8">
      <w:pPr>
        <w:spacing w:after="40" w:line="240" w:lineRule="auto"/>
        <w:jc w:val="both"/>
        <w:rPr>
          <w:rFonts w:ascii="Calibri" w:hAnsi="Calibri" w:cs="Calibri"/>
          <w:color w:val="FF0000"/>
        </w:rPr>
      </w:pPr>
      <w:r w:rsidRPr="00EC635F">
        <w:rPr>
          <w:rFonts w:ascii="Calibri" w:hAnsi="Calibri" w:cs="Calibri"/>
        </w:rPr>
        <w:t>The study adopted a BIM-linked workflow</w:t>
      </w:r>
      <w:r w:rsidR="00A210B8">
        <w:rPr>
          <w:rFonts w:ascii="Calibri" w:hAnsi="Calibri" w:cs="Calibri"/>
        </w:rPr>
        <w:t xml:space="preserve">, with Autodesk Revit as the central platform for model development, quantity extraction, and energy simulation, and Microsoft Excel </w:t>
      </w:r>
      <w:r w:rsidRPr="00EC635F">
        <w:rPr>
          <w:rFonts w:ascii="Calibri" w:hAnsi="Calibri" w:cs="Calibri"/>
        </w:rPr>
        <w:t>for all downstream lifecycle calculations</w:t>
      </w:r>
      <w:r w:rsidR="00A210B8">
        <w:rPr>
          <w:rFonts w:ascii="Calibri" w:hAnsi="Calibri" w:cs="Calibri"/>
        </w:rPr>
        <w:t xml:space="preserve"> </w:t>
      </w:r>
      <w:r w:rsidR="00A210B8" w:rsidRPr="007E48C1">
        <w:rPr>
          <w:rFonts w:ascii="Calibri" w:hAnsi="Calibri" w:cs="Calibri"/>
          <w:color w:val="000000" w:themeColor="text1"/>
        </w:rPr>
        <w:t>and SAW-based multi-criteria ranking</w:t>
      </w:r>
      <w:r w:rsidRPr="00EC635F">
        <w:rPr>
          <w:rFonts w:ascii="Calibri" w:hAnsi="Calibri" w:cs="Calibri"/>
        </w:rPr>
        <w:t xml:space="preserve">. </w:t>
      </w:r>
      <w:r w:rsidR="00A210B8" w:rsidRPr="003F3440">
        <w:rPr>
          <w:rFonts w:ascii="Calibri" w:hAnsi="Calibri" w:cs="Calibri"/>
        </w:rPr>
        <w:t>As illustrated in Figure 1, the workflow comprises five stages: (1) developing the baseline and twelve design alternatives in Revit (2) extracting material quantities (3) simulating operational energy in Autodesk Insight to obtain the Energy Use Intensity (EUI) (4) calculating life-cycle energy, carbon, and cost over a 50-year period in Excel and (5) ranking the alternatives using the SAW method. The clearly defined inputs and outputs at each stage make the workflow transparent, reproducible, and adaptable to similar residential projects.</w:t>
      </w:r>
    </w:p>
    <w:p w14:paraId="48C05E46" w14:textId="77777777" w:rsidR="00A210B8" w:rsidRDefault="00A210B8" w:rsidP="00A210B8">
      <w:pPr>
        <w:keepNext/>
        <w:spacing w:after="40" w:line="240" w:lineRule="auto"/>
        <w:jc w:val="center"/>
      </w:pPr>
      <w:r w:rsidRPr="00A544E0">
        <w:rPr>
          <w:rFonts w:ascii="Calibri" w:hAnsi="Calibri" w:cs="Calibri"/>
          <w:noProof/>
        </w:rPr>
        <w:drawing>
          <wp:inline distT="0" distB="0" distL="0" distR="0" wp14:anchorId="31756006" wp14:editId="7EF18411">
            <wp:extent cx="5471160" cy="1370627"/>
            <wp:effectExtent l="19050" t="19050" r="1524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14" t="5866" r="1822" b="6556"/>
                    <a:stretch/>
                  </pic:blipFill>
                  <pic:spPr bwMode="auto">
                    <a:xfrm>
                      <a:off x="0" y="0"/>
                      <a:ext cx="5471160" cy="137062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6ED8789" w14:textId="77777777" w:rsidR="00A210B8" w:rsidRPr="003F3440" w:rsidRDefault="00A210B8" w:rsidP="00A210B8">
      <w:pPr>
        <w:pStyle w:val="Caption"/>
        <w:jc w:val="center"/>
        <w:rPr>
          <w:rFonts w:ascii="Calibri" w:hAnsi="Calibri" w:cs="Calibri"/>
          <w:bCs/>
          <w:color w:val="auto"/>
          <w:sz w:val="20"/>
          <w:szCs w:val="20"/>
        </w:rPr>
      </w:pPr>
      <w:r w:rsidRPr="003F3440">
        <w:rPr>
          <w:rFonts w:ascii="Calibri" w:hAnsi="Calibri" w:cs="Calibri"/>
          <w:bCs/>
          <w:color w:val="auto"/>
          <w:sz w:val="20"/>
          <w:szCs w:val="20"/>
        </w:rPr>
        <w:t xml:space="preserve">Figure </w:t>
      </w:r>
      <w:r w:rsidRPr="003F3440">
        <w:rPr>
          <w:rFonts w:ascii="Calibri" w:hAnsi="Calibri" w:cs="Calibri"/>
          <w:bCs/>
          <w:color w:val="auto"/>
          <w:sz w:val="20"/>
          <w:szCs w:val="20"/>
        </w:rPr>
        <w:fldChar w:fldCharType="begin"/>
      </w:r>
      <w:r w:rsidRPr="003F3440">
        <w:rPr>
          <w:rFonts w:ascii="Calibri" w:hAnsi="Calibri" w:cs="Calibri"/>
          <w:bCs/>
          <w:color w:val="auto"/>
          <w:sz w:val="20"/>
          <w:szCs w:val="20"/>
        </w:rPr>
        <w:instrText xml:space="preserve"> SEQ Figure \* ARABIC </w:instrText>
      </w:r>
      <w:r w:rsidRPr="003F3440">
        <w:rPr>
          <w:rFonts w:ascii="Calibri" w:hAnsi="Calibri" w:cs="Calibri"/>
          <w:bCs/>
          <w:color w:val="auto"/>
          <w:sz w:val="20"/>
          <w:szCs w:val="20"/>
        </w:rPr>
        <w:fldChar w:fldCharType="separate"/>
      </w:r>
      <w:r w:rsidRPr="003F3440">
        <w:rPr>
          <w:rFonts w:ascii="Calibri" w:hAnsi="Calibri" w:cs="Calibri"/>
          <w:bCs/>
          <w:color w:val="auto"/>
          <w:sz w:val="20"/>
          <w:szCs w:val="20"/>
        </w:rPr>
        <w:t>1</w:t>
      </w:r>
      <w:r w:rsidRPr="003F3440">
        <w:rPr>
          <w:rFonts w:ascii="Calibri" w:hAnsi="Calibri" w:cs="Calibri"/>
          <w:bCs/>
          <w:color w:val="auto"/>
          <w:sz w:val="20"/>
          <w:szCs w:val="20"/>
        </w:rPr>
        <w:fldChar w:fldCharType="end"/>
      </w:r>
      <w:r w:rsidRPr="003F3440">
        <w:rPr>
          <w:rFonts w:ascii="Calibri" w:hAnsi="Calibri" w:cs="Calibri"/>
          <w:bCs/>
          <w:color w:val="auto"/>
          <w:sz w:val="20"/>
          <w:szCs w:val="20"/>
        </w:rPr>
        <w:t>: Five-stage BIM-based LCA and MCDM workflow</w:t>
      </w:r>
    </w:p>
    <w:p w14:paraId="0C9F4333" w14:textId="64E9F8D6" w:rsidR="00EC635F" w:rsidRPr="00441507" w:rsidRDefault="00EC635F" w:rsidP="00AE0C2C">
      <w:pPr>
        <w:pStyle w:val="Heading2"/>
      </w:pPr>
      <w:r w:rsidRPr="00441507">
        <w:t>2.1 BIM Model Development</w:t>
      </w:r>
    </w:p>
    <w:p w14:paraId="3C069309" w14:textId="759100C4" w:rsidR="00A210B8" w:rsidRPr="00EC635F" w:rsidRDefault="00B406E1" w:rsidP="00EC635F">
      <w:pPr>
        <w:spacing w:after="40" w:line="240" w:lineRule="auto"/>
        <w:jc w:val="both"/>
        <w:rPr>
          <w:rFonts w:ascii="Calibri" w:hAnsi="Calibri" w:cs="Calibri"/>
        </w:rPr>
      </w:pPr>
      <w:r w:rsidRPr="009F74BB">
        <w:rPr>
          <w:rFonts w:ascii="Calibri" w:hAnsi="Calibri" w:cs="Calibri"/>
        </w:rPr>
        <w:t xml:space="preserve">         </w:t>
      </w:r>
      <w:r w:rsidR="00A50CA0">
        <w:rPr>
          <w:rFonts w:ascii="Calibri" w:hAnsi="Calibri" w:cs="Calibri"/>
        </w:rPr>
        <w:t xml:space="preserve">       </w:t>
      </w:r>
      <w:r w:rsidR="00A210B8" w:rsidRPr="003F3440">
        <w:rPr>
          <w:rFonts w:ascii="Calibri" w:hAnsi="Calibri" w:cs="Calibri"/>
        </w:rPr>
        <w:t>A representative two-storey residential building for Guwahati, Assam (warm–humid climate) was developed in Autodesk Revit as a theoretical reference model. Rather than replicating an existing dwelling, the model was based on the reference-building approach widely adopted in building performance studies, where geometry and design parameters are derived from documented sources to represent typical building stock (</w:t>
      </w:r>
      <w:proofErr w:type="spellStart"/>
      <w:r w:rsidR="00A210B8" w:rsidRPr="003F3440">
        <w:rPr>
          <w:rFonts w:ascii="Calibri" w:hAnsi="Calibri" w:cs="Calibri"/>
        </w:rPr>
        <w:t>Corgnati</w:t>
      </w:r>
      <w:proofErr w:type="spellEnd"/>
      <w:r w:rsidR="00A210B8" w:rsidRPr="003F3440">
        <w:rPr>
          <w:rFonts w:ascii="Calibri" w:hAnsi="Calibri" w:cs="Calibri"/>
        </w:rPr>
        <w:t xml:space="preserve">, S.P., et.al., 2013; de Vasconcelos, A.B., et.al., 2015; Bhatnagar, M., Mathur J., &amp; Garg, V., 2019). The floor plan was defined using two criteria: regulatory compliance and representativeness. It </w:t>
      </w:r>
      <w:r w:rsidR="009F74BB">
        <w:rPr>
          <w:rFonts w:ascii="Calibri" w:hAnsi="Calibri" w:cs="Calibri"/>
        </w:rPr>
        <w:t>complies with the GMDA Building Construction Byelaws (2014) for plot coverage, floor area ratio, setbacks, and height, while its size and occupancy reflect Guwahati's average household characteristics reported in the Census of India (2011) and standard residential design practices</w:t>
      </w:r>
      <w:r w:rsidR="00A210B8" w:rsidRPr="003F3440">
        <w:rPr>
          <w:rFonts w:ascii="Calibri" w:hAnsi="Calibri" w:cs="Calibri"/>
        </w:rPr>
        <w:t xml:space="preserve"> in Northeast India. The reference building has a rectangular plan measuring approximately 9.23 m × 15.39 m, with a gross floor area of 253.62 m². Its longer axis is oriented east–west to reduce solar heat gain from the east and west façades while supporting effective daylighting, consistent with recommended design practice for warm–humid climates. The ground floor comprises the primary living spaces, whereas the first floor accommodates additional bedrooms, a family living area, toilets, and circulation spaces, as illustrated in Figure 2. </w:t>
      </w:r>
    </w:p>
    <w:p w14:paraId="25D2D8D1" w14:textId="1E1AFA0D" w:rsidR="00A50CA0" w:rsidRDefault="00A50CA0" w:rsidP="00994FF6">
      <w:pPr>
        <w:spacing w:after="40" w:line="240" w:lineRule="auto"/>
        <w:jc w:val="both"/>
        <w:rPr>
          <w:rFonts w:ascii="Calibri" w:hAnsi="Calibri" w:cs="Calibri"/>
        </w:rPr>
      </w:pPr>
      <w:r>
        <w:rPr>
          <w:rFonts w:ascii="Calibri" w:hAnsi="Calibri" w:cs="Calibri"/>
        </w:rPr>
        <w:t xml:space="preserve">                </w:t>
      </w:r>
      <w:r w:rsidR="00EC635F" w:rsidRPr="00EC635F">
        <w:rPr>
          <w:rFonts w:ascii="Calibri" w:hAnsi="Calibri" w:cs="Calibri"/>
        </w:rPr>
        <w:t xml:space="preserve">The baseline model was assigned material properties </w:t>
      </w:r>
      <w:r w:rsidR="001C1E16">
        <w:rPr>
          <w:rFonts w:ascii="Calibri" w:hAnsi="Calibri" w:cs="Calibri"/>
        </w:rPr>
        <w:t xml:space="preserve">from the Rachna Handbook (Ministry of Housing Affairs, Govt. of India), with 230 mm clay-brick external walls, a </w:t>
      </w:r>
      <w:r w:rsidR="005E36FB" w:rsidRPr="005E36FB">
        <w:rPr>
          <w:rFonts w:ascii="Calibri" w:hAnsi="Calibri" w:cs="Calibri"/>
        </w:rPr>
        <w:t>Polyurethane Foam (PUF)-insulated Pre-Painted Galvanized Iron (PPGI)</w:t>
      </w:r>
      <w:r w:rsidR="00EC635F" w:rsidRPr="00EC635F">
        <w:rPr>
          <w:rFonts w:ascii="Calibri" w:hAnsi="Calibri" w:cs="Calibri"/>
        </w:rPr>
        <w:t xml:space="preserve"> pitched roof, and single-glazed tinted windows. Twelve alternatives were then developed by systematically modifying a single or combined set of design variables</w:t>
      </w:r>
      <w:r w:rsidR="00FD23F3">
        <w:rPr>
          <w:rFonts w:ascii="Calibri" w:hAnsi="Calibri" w:cs="Calibri"/>
        </w:rPr>
        <w:t xml:space="preserve">, </w:t>
      </w:r>
      <w:r w:rsidR="00EC635F" w:rsidRPr="00EC635F">
        <w:rPr>
          <w:rFonts w:ascii="Calibri" w:hAnsi="Calibri" w:cs="Calibri"/>
        </w:rPr>
        <w:t>orientation, wall material, roof type, roof overhangs, window sill level, and fly ash brick substitution</w:t>
      </w:r>
      <w:r w:rsidR="00FD23F3">
        <w:rPr>
          <w:rFonts w:ascii="Calibri" w:hAnsi="Calibri" w:cs="Calibri"/>
        </w:rPr>
        <w:t xml:space="preserve">, </w:t>
      </w:r>
      <w:r w:rsidR="00EC635F" w:rsidRPr="00EC635F">
        <w:rPr>
          <w:rFonts w:ascii="Calibri" w:hAnsi="Calibri" w:cs="Calibri"/>
        </w:rPr>
        <w:t>producing thirteen configurations in total for comparative analysis. Table 1 summarises the material properties across all alternative groups.</w:t>
      </w:r>
      <w:r>
        <w:rPr>
          <w:rFonts w:ascii="Calibri" w:hAnsi="Calibri" w:cs="Calibri"/>
        </w:rPr>
        <w:t xml:space="preserve"> </w:t>
      </w:r>
    </w:p>
    <w:p w14:paraId="041F5A61" w14:textId="76736686" w:rsidR="00994FF6" w:rsidRDefault="00A50CA0" w:rsidP="00EC635F">
      <w:pPr>
        <w:spacing w:after="40" w:line="240" w:lineRule="auto"/>
        <w:jc w:val="both"/>
        <w:rPr>
          <w:rFonts w:ascii="Calibri" w:hAnsi="Calibri" w:cs="Calibri"/>
        </w:rPr>
      </w:pPr>
      <w:r>
        <w:rPr>
          <w:rFonts w:ascii="Calibri" w:hAnsi="Calibri" w:cs="Calibri"/>
        </w:rPr>
        <w:lastRenderedPageBreak/>
        <w:t xml:space="preserve">                </w:t>
      </w:r>
      <w:r w:rsidR="00994FF6" w:rsidRPr="00E427BB">
        <w:rPr>
          <w:rFonts w:ascii="Calibri" w:hAnsi="Calibri" w:cs="Calibri"/>
        </w:rPr>
        <w:t xml:space="preserve">For the operational energy simulation, custom analytical spaces were configured in Revit to reflect residential usage patterns in a hot and humid climate, replacing the default commercial </w:t>
      </w:r>
      <w:proofErr w:type="spellStart"/>
      <w:r w:rsidR="00994FF6" w:rsidRPr="00E427BB">
        <w:rPr>
          <w:rFonts w:ascii="Calibri" w:hAnsi="Calibri" w:cs="Calibri"/>
        </w:rPr>
        <w:t>presets</w:t>
      </w:r>
      <w:proofErr w:type="spellEnd"/>
      <w:r w:rsidR="00994FF6">
        <w:rPr>
          <w:rFonts w:ascii="Calibri" w:hAnsi="Calibri" w:cs="Calibri"/>
        </w:rPr>
        <w:t xml:space="preserve"> as shown in Figure 3</w:t>
      </w:r>
      <w:r w:rsidR="00994FF6" w:rsidRPr="00E427BB">
        <w:rPr>
          <w:rFonts w:ascii="Calibri" w:hAnsi="Calibri" w:cs="Calibri"/>
        </w:rPr>
        <w:t xml:space="preserve">. Key input parameters included: building location set to Guwahati, Assam (weather station code 755705); building type: </w:t>
      </w:r>
      <w:r w:rsidR="00994FF6">
        <w:rPr>
          <w:rFonts w:ascii="Calibri" w:hAnsi="Calibri" w:cs="Calibri"/>
        </w:rPr>
        <w:t>s</w:t>
      </w:r>
      <w:r w:rsidR="00994FF6" w:rsidRPr="00E427BB">
        <w:rPr>
          <w:rFonts w:ascii="Calibri" w:hAnsi="Calibri" w:cs="Calibri"/>
        </w:rPr>
        <w:t xml:space="preserve">ingle </w:t>
      </w:r>
      <w:r w:rsidR="00994FF6">
        <w:rPr>
          <w:rFonts w:ascii="Calibri" w:hAnsi="Calibri" w:cs="Calibri"/>
        </w:rPr>
        <w:t>f</w:t>
      </w:r>
      <w:r w:rsidR="00994FF6" w:rsidRPr="00E427BB">
        <w:rPr>
          <w:rFonts w:ascii="Calibri" w:hAnsi="Calibri" w:cs="Calibri"/>
        </w:rPr>
        <w:t>amily; HVAC system: Residential 17 SEER/9.6 HSPF Split HP; cooling setpoint: 28°C (threshold for AC activation); heating setpoint: disabled (0°C); and analytical floor area: 155.16 m², which covers the air-conditioned habitable spaces only</w:t>
      </w:r>
      <w:r w:rsidR="00994FF6">
        <w:rPr>
          <w:rFonts w:ascii="Calibri" w:hAnsi="Calibri" w:cs="Calibri"/>
        </w:rPr>
        <w:t>. The</w:t>
      </w:r>
      <w:r w:rsidR="00994FF6" w:rsidRPr="00E427BB">
        <w:rPr>
          <w:rFonts w:ascii="Calibri" w:hAnsi="Calibri" w:cs="Calibri"/>
        </w:rPr>
        <w:t xml:space="preserve"> balconies, toilets, and the stairwell were excluded from </w:t>
      </w:r>
      <w:r w:rsidR="00994FF6">
        <w:rPr>
          <w:rFonts w:ascii="Calibri" w:hAnsi="Calibri" w:cs="Calibri"/>
        </w:rPr>
        <w:t xml:space="preserve">the energy analysis but included in the </w:t>
      </w:r>
      <w:r w:rsidR="00994FF6" w:rsidRPr="00E427BB">
        <w:rPr>
          <w:rFonts w:ascii="Calibri" w:hAnsi="Calibri" w:cs="Calibri"/>
        </w:rPr>
        <w:t>carbon and cost calculations.</w:t>
      </w:r>
      <w:r w:rsidR="00994FF6">
        <w:rPr>
          <w:rFonts w:ascii="Calibri" w:hAnsi="Calibri" w:cs="Calibri"/>
        </w:rPr>
        <w:t xml:space="preserve"> Figure 2 shows the </w:t>
      </w:r>
      <w:r w:rsidR="00994FF6">
        <w:t>selected Revit models of the baseline and its alternatives.</w:t>
      </w:r>
    </w:p>
    <w:p w14:paraId="0F724556" w14:textId="4B28F2FA" w:rsidR="00241589" w:rsidRDefault="00241589" w:rsidP="00241589">
      <w:pPr>
        <w:spacing w:after="40" w:line="240" w:lineRule="auto"/>
        <w:jc w:val="center"/>
        <w:rPr>
          <w:rFonts w:ascii="Calibri" w:hAnsi="Calibri" w:cs="Calibri"/>
        </w:rPr>
      </w:pPr>
      <w:r>
        <w:rPr>
          <w:rFonts w:ascii="Calibri" w:hAnsi="Calibri" w:cs="Calibri"/>
          <w:noProof/>
        </w:rPr>
        <w:drawing>
          <wp:inline distT="0" distB="0" distL="0" distR="0" wp14:anchorId="7CFE3722" wp14:editId="622C53B1">
            <wp:extent cx="4918363" cy="2177917"/>
            <wp:effectExtent l="19050" t="19050" r="15875" b="13335"/>
            <wp:docPr id="14439236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9483" cy="2182841"/>
                    </a:xfrm>
                    <a:prstGeom prst="rect">
                      <a:avLst/>
                    </a:prstGeom>
                    <a:noFill/>
                    <a:ln w="6350">
                      <a:solidFill>
                        <a:schemeClr val="tx1"/>
                      </a:solidFill>
                    </a:ln>
                  </pic:spPr>
                </pic:pic>
              </a:graphicData>
            </a:graphic>
          </wp:inline>
        </w:drawing>
      </w:r>
    </w:p>
    <w:p w14:paraId="6A6DE700" w14:textId="032AEDC8" w:rsidR="001F2BA2" w:rsidRPr="00FB66A9" w:rsidRDefault="00241589" w:rsidP="00FB66A9">
      <w:pPr>
        <w:spacing w:after="40" w:line="240" w:lineRule="auto"/>
        <w:jc w:val="center"/>
        <w:rPr>
          <w:rFonts w:ascii="Calibri" w:hAnsi="Calibri" w:cs="Calibri"/>
          <w:i/>
          <w:iCs/>
          <w:sz w:val="20"/>
          <w:szCs w:val="20"/>
        </w:rPr>
      </w:pPr>
      <w:r w:rsidRPr="00DD2CE0">
        <w:rPr>
          <w:rFonts w:ascii="Calibri" w:hAnsi="Calibri" w:cs="Calibri"/>
          <w:b/>
          <w:bCs/>
          <w:i/>
          <w:iCs/>
          <w:sz w:val="20"/>
          <w:szCs w:val="20"/>
        </w:rPr>
        <w:t>Figure 1:</w:t>
      </w:r>
      <w:r>
        <w:rPr>
          <w:rFonts w:ascii="Calibri" w:hAnsi="Calibri" w:cs="Calibri"/>
          <w:i/>
          <w:iCs/>
          <w:sz w:val="20"/>
          <w:szCs w:val="20"/>
        </w:rPr>
        <w:t xml:space="preserve"> </w:t>
      </w:r>
      <w:r w:rsidR="00474FCB">
        <w:rPr>
          <w:rFonts w:ascii="Calibri" w:hAnsi="Calibri" w:cs="Calibri"/>
          <w:i/>
          <w:iCs/>
          <w:sz w:val="20"/>
          <w:szCs w:val="20"/>
        </w:rPr>
        <w:t xml:space="preserve">Building plans </w:t>
      </w:r>
      <w:r w:rsidRPr="00DD2CE0">
        <w:rPr>
          <w:rFonts w:ascii="Calibri" w:hAnsi="Calibri" w:cs="Calibri"/>
          <w:i/>
          <w:iCs/>
          <w:sz w:val="20"/>
          <w:szCs w:val="20"/>
        </w:rPr>
        <w:t>(a)</w:t>
      </w:r>
      <w:r w:rsidR="00474FCB">
        <w:rPr>
          <w:rFonts w:ascii="Calibri" w:hAnsi="Calibri" w:cs="Calibri"/>
          <w:i/>
          <w:iCs/>
          <w:sz w:val="20"/>
          <w:szCs w:val="20"/>
        </w:rPr>
        <w:t>.</w:t>
      </w:r>
      <w:r w:rsidRPr="00DD2CE0">
        <w:rPr>
          <w:rFonts w:ascii="Calibri" w:hAnsi="Calibri" w:cs="Calibri"/>
          <w:i/>
          <w:iCs/>
          <w:sz w:val="20"/>
          <w:szCs w:val="20"/>
        </w:rPr>
        <w:t xml:space="preserve"> Site Pla</w:t>
      </w:r>
      <w:r>
        <w:rPr>
          <w:rFonts w:ascii="Calibri" w:hAnsi="Calibri" w:cs="Calibri"/>
          <w:i/>
          <w:iCs/>
          <w:sz w:val="20"/>
          <w:szCs w:val="20"/>
        </w:rPr>
        <w:t>n</w:t>
      </w:r>
      <w:r w:rsidRPr="00DD2CE0">
        <w:rPr>
          <w:rFonts w:ascii="Calibri" w:hAnsi="Calibri" w:cs="Calibri"/>
          <w:i/>
          <w:iCs/>
          <w:sz w:val="20"/>
          <w:szCs w:val="20"/>
        </w:rPr>
        <w:t>, (b). Ground and First floor plans</w:t>
      </w:r>
    </w:p>
    <w:p w14:paraId="22C35711" w14:textId="77777777" w:rsidR="000868C1" w:rsidRPr="00441507" w:rsidRDefault="000868C1" w:rsidP="000868C1">
      <w:pPr>
        <w:pStyle w:val="Heading2"/>
      </w:pPr>
      <w:r w:rsidRPr="00441507">
        <w:t>2.2 Life-Cycle Energy Analysis</w:t>
      </w:r>
    </w:p>
    <w:p w14:paraId="213C5631" w14:textId="6CD0DB02" w:rsidR="000868C1" w:rsidRDefault="000868C1" w:rsidP="00AE0C2C">
      <w:pPr>
        <w:spacing w:after="40" w:line="240" w:lineRule="auto"/>
        <w:jc w:val="both"/>
      </w:pPr>
      <w:r>
        <w:rPr>
          <w:rFonts w:ascii="Calibri" w:hAnsi="Calibri" w:cs="Calibri"/>
        </w:rPr>
        <w:t xml:space="preserve">          </w:t>
      </w:r>
      <w:r w:rsidRPr="00441507">
        <w:rPr>
          <w:rFonts w:ascii="Calibri" w:hAnsi="Calibri" w:cs="Calibri"/>
        </w:rPr>
        <w:t>The life-cycle energy assessment was conducted over a 50-year study period and comprised two components: embodied energy and operational energy. Operational energy for each alternative was obtained from Autodesk Insight 360 using the Revit</w:t>
      </w:r>
      <w:r>
        <w:rPr>
          <w:rFonts w:ascii="Calibri" w:hAnsi="Calibri" w:cs="Calibri"/>
        </w:rPr>
        <w:t>-</w:t>
      </w:r>
      <w:r w:rsidRPr="00441507">
        <w:rPr>
          <w:rFonts w:ascii="Calibri" w:hAnsi="Calibri" w:cs="Calibri"/>
        </w:rPr>
        <w:t xml:space="preserve">Insight real-time connection, in which the energy analytical model </w:t>
      </w:r>
      <w:r>
        <w:rPr>
          <w:rFonts w:ascii="Calibri" w:hAnsi="Calibri" w:cs="Calibri"/>
        </w:rPr>
        <w:t>was</w:t>
      </w:r>
      <w:r w:rsidRPr="00441507">
        <w:rPr>
          <w:rFonts w:ascii="Calibri" w:hAnsi="Calibri" w:cs="Calibri"/>
        </w:rPr>
        <w:t xml:space="preserve"> generated directly from the </w:t>
      </w:r>
      <w:r>
        <w:rPr>
          <w:rFonts w:ascii="Calibri" w:hAnsi="Calibri" w:cs="Calibri"/>
        </w:rPr>
        <w:t>Revit</w:t>
      </w:r>
      <w:r w:rsidRPr="00441507">
        <w:rPr>
          <w:rFonts w:ascii="Calibri" w:hAnsi="Calibri" w:cs="Calibri"/>
        </w:rPr>
        <w:t xml:space="preserve"> geometry and transmitted to the cloud for EUI simulation, consistent with the BIM–BEM interoperability approach (Deepa, S., et al., 2019; </w:t>
      </w:r>
      <w:proofErr w:type="spellStart"/>
      <w:r w:rsidRPr="00441507">
        <w:rPr>
          <w:rFonts w:ascii="Calibri" w:hAnsi="Calibri" w:cs="Calibri"/>
        </w:rPr>
        <w:t>Maglad</w:t>
      </w:r>
      <w:proofErr w:type="spellEnd"/>
      <w:r w:rsidRPr="00441507">
        <w:rPr>
          <w:rFonts w:ascii="Calibri" w:hAnsi="Calibri" w:cs="Calibri"/>
        </w:rPr>
        <w:t>, A.M., et al., 2023). Embodied energy was calculated by multiplying the material quantities extracted from Revit by the corresponding embodied energy factors from the India Construction Materials Database (IFC, 2017), expressed in MJ/kg and converted to kWh, following a cradle-to-gate lifecycle boundary consistent with ISO 14040, ISO 14044, and EN 15804. The life-cycle energy was obtained by summing embodied and operational energy across the 50-year period.</w:t>
      </w:r>
    </w:p>
    <w:p w14:paraId="76D96103" w14:textId="4E0497B2" w:rsidR="00EF0D91" w:rsidRPr="001F6E38" w:rsidRDefault="00EF0D91" w:rsidP="00343412">
      <w:pPr>
        <w:pStyle w:val="Caption"/>
        <w:keepNext/>
        <w:spacing w:before="120" w:after="120"/>
        <w:rPr>
          <w:rFonts w:ascii="Calibri" w:hAnsi="Calibri" w:cs="Calibri"/>
          <w:color w:val="auto"/>
          <w:sz w:val="20"/>
        </w:rPr>
      </w:pPr>
      <w:r w:rsidRPr="00C7712C">
        <w:rPr>
          <w:rFonts w:ascii="Calibri" w:hAnsi="Calibri" w:cs="Calibri"/>
          <w:b/>
          <w:color w:val="auto"/>
          <w:sz w:val="20"/>
        </w:rPr>
        <w:t xml:space="preserve">Table </w:t>
      </w:r>
      <w:r w:rsidR="007A4581" w:rsidRPr="00C7712C">
        <w:rPr>
          <w:rFonts w:ascii="Calibri" w:hAnsi="Calibri" w:cs="Calibri"/>
          <w:b/>
          <w:color w:val="auto"/>
          <w:sz w:val="20"/>
        </w:rPr>
        <w:fldChar w:fldCharType="begin"/>
      </w:r>
      <w:r w:rsidR="007A4581" w:rsidRPr="00C7712C">
        <w:rPr>
          <w:rFonts w:ascii="Calibri" w:hAnsi="Calibri" w:cs="Calibri"/>
          <w:b/>
          <w:color w:val="auto"/>
          <w:sz w:val="20"/>
        </w:rPr>
        <w:instrText xml:space="preserve"> SEQ Table \* ARABIC </w:instrText>
      </w:r>
      <w:r w:rsidR="007A4581" w:rsidRPr="00C7712C">
        <w:rPr>
          <w:rFonts w:ascii="Calibri" w:hAnsi="Calibri" w:cs="Calibri"/>
          <w:b/>
          <w:color w:val="auto"/>
          <w:sz w:val="20"/>
        </w:rPr>
        <w:fldChar w:fldCharType="separate"/>
      </w:r>
      <w:r w:rsidR="00424866" w:rsidRPr="00C7712C">
        <w:rPr>
          <w:rFonts w:ascii="Calibri" w:hAnsi="Calibri" w:cs="Calibri"/>
          <w:b/>
          <w:noProof/>
          <w:color w:val="auto"/>
          <w:sz w:val="20"/>
        </w:rPr>
        <w:t>1</w:t>
      </w:r>
      <w:r w:rsidR="007A4581" w:rsidRPr="00C7712C">
        <w:rPr>
          <w:rFonts w:ascii="Calibri" w:hAnsi="Calibri" w:cs="Calibri"/>
          <w:b/>
          <w:noProof/>
          <w:color w:val="auto"/>
          <w:sz w:val="20"/>
        </w:rPr>
        <w:fldChar w:fldCharType="end"/>
      </w:r>
      <w:r w:rsidRPr="00C7712C">
        <w:rPr>
          <w:rFonts w:ascii="Calibri" w:hAnsi="Calibri" w:cs="Calibri"/>
          <w:b/>
          <w:color w:val="auto"/>
          <w:sz w:val="20"/>
        </w:rPr>
        <w:t>:</w:t>
      </w:r>
      <w:r w:rsidRPr="001F6E38">
        <w:rPr>
          <w:rFonts w:ascii="Calibri" w:hAnsi="Calibri" w:cs="Calibri"/>
          <w:color w:val="auto"/>
          <w:sz w:val="20"/>
        </w:rPr>
        <w:t xml:space="preserve"> Analytical Properties of Materials</w:t>
      </w:r>
    </w:p>
    <w:tbl>
      <w:tblPr>
        <w:tblW w:w="0" w:type="auto"/>
        <w:jc w:val="center"/>
        <w:tblLook w:val="0400" w:firstRow="0" w:lastRow="0" w:firstColumn="0" w:lastColumn="0" w:noHBand="0" w:noVBand="1"/>
      </w:tblPr>
      <w:tblGrid>
        <w:gridCol w:w="2020"/>
        <w:gridCol w:w="1484"/>
        <w:gridCol w:w="1619"/>
        <w:gridCol w:w="1619"/>
        <w:gridCol w:w="1484"/>
      </w:tblGrid>
      <w:tr w:rsidR="007D2A6D" w:rsidRPr="00EC635F" w14:paraId="7D0749E0" w14:textId="77777777" w:rsidTr="003F3440">
        <w:trPr>
          <w:trHeight w:val="305"/>
          <w:jc w:val="center"/>
        </w:trPr>
        <w:tc>
          <w:tcPr>
            <w:tcW w:w="2020" w:type="dxa"/>
            <w:tcBorders>
              <w:top w:val="single" w:sz="4" w:space="0" w:color="auto"/>
              <w:bottom w:val="single" w:sz="4" w:space="0" w:color="auto"/>
            </w:tcBorders>
            <w:vAlign w:val="center"/>
            <w:hideMark/>
          </w:tcPr>
          <w:p w14:paraId="203CD91A" w14:textId="77777777" w:rsidR="00EC635F" w:rsidRPr="00FB66A9" w:rsidRDefault="00EC635F" w:rsidP="00BE04BF">
            <w:pPr>
              <w:spacing w:after="6" w:line="240" w:lineRule="auto"/>
              <w:jc w:val="center"/>
              <w:rPr>
                <w:rFonts w:ascii="Calibri" w:hAnsi="Calibri" w:cs="Calibri"/>
                <w:b/>
                <w:bCs/>
                <w:sz w:val="20"/>
                <w:szCs w:val="20"/>
                <w:lang w:val="en-IN"/>
              </w:rPr>
            </w:pPr>
            <w:r w:rsidRPr="00FB66A9">
              <w:rPr>
                <w:rFonts w:ascii="Calibri" w:hAnsi="Calibri" w:cs="Calibri"/>
                <w:b/>
                <w:bCs/>
                <w:sz w:val="20"/>
                <w:szCs w:val="20"/>
                <w:lang w:val="en-IN"/>
              </w:rPr>
              <w:t>Component</w:t>
            </w:r>
          </w:p>
        </w:tc>
        <w:tc>
          <w:tcPr>
            <w:tcW w:w="1484" w:type="dxa"/>
            <w:tcBorders>
              <w:top w:val="single" w:sz="4" w:space="0" w:color="auto"/>
              <w:bottom w:val="single" w:sz="4" w:space="0" w:color="auto"/>
            </w:tcBorders>
            <w:vAlign w:val="center"/>
            <w:hideMark/>
          </w:tcPr>
          <w:p w14:paraId="596187EC" w14:textId="77777777" w:rsidR="00EC635F" w:rsidRPr="00FB66A9" w:rsidRDefault="00EC635F" w:rsidP="00BE04BF">
            <w:pPr>
              <w:spacing w:after="6" w:line="240" w:lineRule="auto"/>
              <w:jc w:val="center"/>
              <w:rPr>
                <w:rFonts w:ascii="Calibri" w:hAnsi="Calibri" w:cs="Calibri"/>
                <w:b/>
                <w:bCs/>
                <w:sz w:val="20"/>
                <w:szCs w:val="20"/>
                <w:lang w:val="en-IN"/>
              </w:rPr>
            </w:pPr>
            <w:r w:rsidRPr="00FB66A9">
              <w:rPr>
                <w:rFonts w:ascii="Calibri" w:hAnsi="Calibri" w:cs="Calibri"/>
                <w:b/>
                <w:bCs/>
                <w:sz w:val="20"/>
                <w:szCs w:val="20"/>
                <w:lang w:val="en-IN"/>
              </w:rPr>
              <w:t>Baseline, 1, 6, 7, 9</w:t>
            </w:r>
          </w:p>
          <w:p w14:paraId="0DA83B89" w14:textId="3E69132B" w:rsidR="00EC635F" w:rsidRPr="00FB66A9" w:rsidRDefault="00EC635F" w:rsidP="00BE04BF">
            <w:pPr>
              <w:spacing w:after="6" w:line="240" w:lineRule="auto"/>
              <w:jc w:val="center"/>
              <w:rPr>
                <w:rFonts w:ascii="Calibri" w:hAnsi="Calibri" w:cs="Calibri"/>
                <w:sz w:val="20"/>
                <w:szCs w:val="20"/>
                <w:lang w:val="en-IN"/>
              </w:rPr>
            </w:pPr>
          </w:p>
        </w:tc>
        <w:tc>
          <w:tcPr>
            <w:tcW w:w="1619" w:type="dxa"/>
            <w:tcBorders>
              <w:top w:val="single" w:sz="4" w:space="0" w:color="auto"/>
              <w:bottom w:val="single" w:sz="4" w:space="0" w:color="auto"/>
            </w:tcBorders>
            <w:vAlign w:val="center"/>
            <w:hideMark/>
          </w:tcPr>
          <w:p w14:paraId="0A009F3C" w14:textId="77777777" w:rsidR="00EC635F" w:rsidRPr="00FB66A9" w:rsidRDefault="00EC635F" w:rsidP="00BE04BF">
            <w:pPr>
              <w:spacing w:after="6" w:line="240" w:lineRule="auto"/>
              <w:jc w:val="center"/>
              <w:rPr>
                <w:rFonts w:ascii="Calibri" w:hAnsi="Calibri" w:cs="Calibri"/>
                <w:b/>
                <w:bCs/>
                <w:sz w:val="20"/>
                <w:szCs w:val="20"/>
                <w:lang w:val="en-IN"/>
              </w:rPr>
            </w:pPr>
            <w:r w:rsidRPr="00FB66A9">
              <w:rPr>
                <w:rFonts w:ascii="Calibri" w:hAnsi="Calibri" w:cs="Calibri"/>
                <w:b/>
                <w:bCs/>
                <w:sz w:val="20"/>
                <w:szCs w:val="20"/>
                <w:lang w:val="en-IN"/>
              </w:rPr>
              <w:t>Alternatives 2, 3, 4, 8, 10, 12</w:t>
            </w:r>
          </w:p>
          <w:p w14:paraId="54E97792" w14:textId="70531567" w:rsidR="00EC635F" w:rsidRPr="00FB66A9" w:rsidRDefault="00EC635F" w:rsidP="00BE04BF">
            <w:pPr>
              <w:spacing w:after="6" w:line="240" w:lineRule="auto"/>
              <w:jc w:val="center"/>
              <w:rPr>
                <w:rFonts w:ascii="Calibri" w:hAnsi="Calibri" w:cs="Calibri"/>
                <w:b/>
                <w:bCs/>
                <w:sz w:val="20"/>
                <w:szCs w:val="20"/>
                <w:lang w:val="en-IN"/>
              </w:rPr>
            </w:pPr>
          </w:p>
        </w:tc>
        <w:tc>
          <w:tcPr>
            <w:tcW w:w="1619" w:type="dxa"/>
            <w:tcBorders>
              <w:top w:val="single" w:sz="4" w:space="0" w:color="auto"/>
              <w:bottom w:val="single" w:sz="4" w:space="0" w:color="auto"/>
            </w:tcBorders>
            <w:vAlign w:val="center"/>
            <w:hideMark/>
          </w:tcPr>
          <w:p w14:paraId="1B9CED6A" w14:textId="77777777" w:rsidR="00EC635F" w:rsidRPr="00FB66A9" w:rsidRDefault="00EC635F" w:rsidP="00BE04BF">
            <w:pPr>
              <w:spacing w:after="6" w:line="240" w:lineRule="auto"/>
              <w:jc w:val="center"/>
              <w:rPr>
                <w:rFonts w:ascii="Calibri" w:hAnsi="Calibri" w:cs="Calibri"/>
                <w:b/>
                <w:bCs/>
                <w:sz w:val="20"/>
                <w:szCs w:val="20"/>
                <w:lang w:val="en-IN"/>
              </w:rPr>
            </w:pPr>
            <w:r w:rsidRPr="00FB66A9">
              <w:rPr>
                <w:rFonts w:ascii="Calibri" w:hAnsi="Calibri" w:cs="Calibri"/>
                <w:b/>
                <w:bCs/>
                <w:sz w:val="20"/>
                <w:szCs w:val="20"/>
                <w:lang w:val="en-IN"/>
              </w:rPr>
              <w:t>Alternative 5</w:t>
            </w:r>
          </w:p>
          <w:p w14:paraId="6E4CB905" w14:textId="6011311C" w:rsidR="00EC635F" w:rsidRPr="00FB66A9" w:rsidRDefault="00EC635F" w:rsidP="00BE04BF">
            <w:pPr>
              <w:spacing w:after="6" w:line="240" w:lineRule="auto"/>
              <w:jc w:val="center"/>
              <w:rPr>
                <w:rFonts w:ascii="Calibri" w:hAnsi="Calibri" w:cs="Calibri"/>
                <w:sz w:val="20"/>
                <w:szCs w:val="20"/>
                <w:lang w:val="en-IN"/>
              </w:rPr>
            </w:pPr>
          </w:p>
        </w:tc>
        <w:tc>
          <w:tcPr>
            <w:tcW w:w="1484" w:type="dxa"/>
            <w:tcBorders>
              <w:top w:val="single" w:sz="4" w:space="0" w:color="auto"/>
              <w:bottom w:val="single" w:sz="4" w:space="0" w:color="auto"/>
            </w:tcBorders>
          </w:tcPr>
          <w:p w14:paraId="1062F9E4" w14:textId="77777777" w:rsidR="00EC635F" w:rsidRPr="00FB66A9" w:rsidRDefault="00EC635F" w:rsidP="00BE04BF">
            <w:pPr>
              <w:spacing w:after="6" w:line="240" w:lineRule="auto"/>
              <w:jc w:val="center"/>
              <w:rPr>
                <w:rFonts w:ascii="Calibri" w:hAnsi="Calibri" w:cs="Calibri"/>
                <w:b/>
                <w:bCs/>
                <w:sz w:val="20"/>
                <w:szCs w:val="20"/>
                <w:lang w:val="en-IN"/>
              </w:rPr>
            </w:pPr>
          </w:p>
          <w:p w14:paraId="40196A15" w14:textId="77777777" w:rsidR="00EC635F" w:rsidRPr="00FB66A9" w:rsidRDefault="00EC635F" w:rsidP="00BE04BF">
            <w:pPr>
              <w:spacing w:after="6" w:line="240" w:lineRule="auto"/>
              <w:jc w:val="center"/>
              <w:rPr>
                <w:rFonts w:ascii="Calibri" w:hAnsi="Calibri" w:cs="Calibri"/>
                <w:b/>
                <w:bCs/>
                <w:sz w:val="20"/>
                <w:szCs w:val="20"/>
                <w:lang w:val="en-IN"/>
              </w:rPr>
            </w:pPr>
            <w:r w:rsidRPr="00FB66A9">
              <w:rPr>
                <w:rFonts w:ascii="Calibri" w:hAnsi="Calibri" w:cs="Calibri"/>
                <w:b/>
                <w:bCs/>
                <w:sz w:val="20"/>
                <w:szCs w:val="20"/>
                <w:lang w:val="en-IN"/>
              </w:rPr>
              <w:t>Alternative 11</w:t>
            </w:r>
          </w:p>
          <w:p w14:paraId="2A0781B2" w14:textId="0E95ECDF" w:rsidR="00EC635F" w:rsidRPr="00FB66A9" w:rsidRDefault="00EC635F" w:rsidP="00BE04BF">
            <w:pPr>
              <w:spacing w:after="6" w:line="240" w:lineRule="auto"/>
              <w:jc w:val="center"/>
              <w:rPr>
                <w:rFonts w:ascii="Calibri" w:hAnsi="Calibri" w:cs="Calibri"/>
                <w:sz w:val="20"/>
                <w:szCs w:val="20"/>
                <w:lang w:val="en-IN"/>
              </w:rPr>
            </w:pPr>
          </w:p>
        </w:tc>
      </w:tr>
      <w:tr w:rsidR="007D2A6D" w:rsidRPr="00EC635F" w14:paraId="72B0DB04" w14:textId="77777777" w:rsidTr="003F3440">
        <w:trPr>
          <w:trHeight w:val="536"/>
          <w:jc w:val="center"/>
        </w:trPr>
        <w:tc>
          <w:tcPr>
            <w:tcW w:w="2020" w:type="dxa"/>
            <w:tcBorders>
              <w:top w:val="single" w:sz="4" w:space="0" w:color="auto"/>
            </w:tcBorders>
            <w:vAlign w:val="center"/>
            <w:hideMark/>
          </w:tcPr>
          <w:p w14:paraId="1BAA09C4" w14:textId="22D61357" w:rsidR="00EC635F" w:rsidRPr="00FB66A9" w:rsidRDefault="007D2A6D"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W</w:t>
            </w:r>
            <w:r w:rsidR="00EC635F" w:rsidRPr="00FB66A9">
              <w:rPr>
                <w:rFonts w:ascii="Calibri" w:hAnsi="Calibri" w:cs="Calibri"/>
                <w:sz w:val="20"/>
                <w:szCs w:val="20"/>
                <w:lang w:val="en-IN"/>
              </w:rPr>
              <w:t>all thermal conductivity</w:t>
            </w:r>
            <w:r w:rsidR="009653A4" w:rsidRPr="00FB66A9">
              <w:rPr>
                <w:rFonts w:ascii="Calibri" w:hAnsi="Calibri" w:cs="Calibri"/>
                <w:sz w:val="20"/>
                <w:szCs w:val="20"/>
                <w:lang w:val="en-IN"/>
              </w:rPr>
              <w:t xml:space="preserve"> </w:t>
            </w:r>
            <w:r w:rsidR="00BE04BF" w:rsidRPr="00FB66A9">
              <w:rPr>
                <w:rFonts w:ascii="Calibri" w:hAnsi="Calibri" w:cs="Calibri"/>
                <w:sz w:val="20"/>
                <w:szCs w:val="20"/>
                <w:lang w:val="en-IN"/>
              </w:rPr>
              <w:t>(</w:t>
            </w:r>
            <w:r w:rsidR="009653A4" w:rsidRPr="00FB66A9">
              <w:rPr>
                <w:rFonts w:ascii="Calibri" w:hAnsi="Calibri" w:cs="Calibri"/>
                <w:sz w:val="20"/>
                <w:szCs w:val="20"/>
                <w:lang w:val="en-IN"/>
              </w:rPr>
              <w:t>W/</w:t>
            </w:r>
            <w:proofErr w:type="spellStart"/>
            <w:r w:rsidR="009653A4" w:rsidRPr="00FB66A9">
              <w:rPr>
                <w:rFonts w:ascii="Calibri" w:hAnsi="Calibri" w:cs="Calibri"/>
                <w:sz w:val="20"/>
                <w:szCs w:val="20"/>
                <w:lang w:val="en-IN"/>
              </w:rPr>
              <w:t>m·K</w:t>
            </w:r>
            <w:proofErr w:type="spellEnd"/>
            <w:r w:rsidR="00BE04BF" w:rsidRPr="00FB66A9">
              <w:rPr>
                <w:rFonts w:ascii="Calibri" w:hAnsi="Calibri" w:cs="Calibri"/>
                <w:sz w:val="20"/>
                <w:szCs w:val="20"/>
                <w:lang w:val="en-IN"/>
              </w:rPr>
              <w:t>)</w:t>
            </w:r>
          </w:p>
        </w:tc>
        <w:tc>
          <w:tcPr>
            <w:tcW w:w="1484" w:type="dxa"/>
            <w:tcBorders>
              <w:top w:val="single" w:sz="4" w:space="0" w:color="auto"/>
            </w:tcBorders>
            <w:vAlign w:val="center"/>
            <w:hideMark/>
          </w:tcPr>
          <w:p w14:paraId="6545738D" w14:textId="32127DAC" w:rsidR="00EC635F" w:rsidRPr="00FB66A9" w:rsidRDefault="00EC635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0.56</w:t>
            </w:r>
            <w:r w:rsidR="009653A4" w:rsidRPr="00FB66A9">
              <w:rPr>
                <w:rFonts w:ascii="Calibri" w:hAnsi="Calibri" w:cs="Calibri"/>
                <w:sz w:val="20"/>
                <w:szCs w:val="20"/>
                <w:lang w:val="en-IN"/>
              </w:rPr>
              <w:t xml:space="preserve"> </w:t>
            </w:r>
            <w:r w:rsidRPr="00FB66A9">
              <w:rPr>
                <w:rFonts w:ascii="Calibri" w:hAnsi="Calibri" w:cs="Calibri"/>
                <w:sz w:val="20"/>
                <w:szCs w:val="20"/>
                <w:lang w:val="en-IN"/>
              </w:rPr>
              <w:t>(</w:t>
            </w:r>
            <w:r w:rsidR="007D2A6D" w:rsidRPr="00FB66A9">
              <w:rPr>
                <w:rFonts w:ascii="Calibri" w:hAnsi="Calibri" w:cs="Calibri"/>
                <w:sz w:val="20"/>
                <w:szCs w:val="20"/>
                <w:lang w:val="en-IN"/>
              </w:rPr>
              <w:t>Clay</w:t>
            </w:r>
            <w:r w:rsidRPr="00FB66A9">
              <w:rPr>
                <w:rFonts w:ascii="Calibri" w:hAnsi="Calibri" w:cs="Calibri"/>
                <w:sz w:val="20"/>
                <w:szCs w:val="20"/>
                <w:lang w:val="en-IN"/>
              </w:rPr>
              <w:t xml:space="preserve"> brick)</w:t>
            </w:r>
          </w:p>
        </w:tc>
        <w:tc>
          <w:tcPr>
            <w:tcW w:w="1619" w:type="dxa"/>
            <w:tcBorders>
              <w:top w:val="single" w:sz="4" w:space="0" w:color="auto"/>
            </w:tcBorders>
            <w:vAlign w:val="center"/>
            <w:hideMark/>
          </w:tcPr>
          <w:p w14:paraId="346ECFC6" w14:textId="0A6BF47F" w:rsidR="00EC635F" w:rsidRPr="00FB66A9" w:rsidRDefault="00EC635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0.1600 (AAC Block)</w:t>
            </w:r>
          </w:p>
        </w:tc>
        <w:tc>
          <w:tcPr>
            <w:tcW w:w="1619" w:type="dxa"/>
            <w:tcBorders>
              <w:top w:val="single" w:sz="4" w:space="0" w:color="auto"/>
            </w:tcBorders>
            <w:vAlign w:val="center"/>
            <w:hideMark/>
          </w:tcPr>
          <w:p w14:paraId="1A25B9D2" w14:textId="6A8F6AC6" w:rsidR="00EC635F" w:rsidRPr="00FB66A9" w:rsidRDefault="00EC635F" w:rsidP="00B3052B">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 xml:space="preserve">0.56 </w:t>
            </w:r>
            <w:r w:rsidR="007D2A6D" w:rsidRPr="00FB66A9">
              <w:rPr>
                <w:rFonts w:ascii="Calibri" w:hAnsi="Calibri" w:cs="Calibri"/>
                <w:sz w:val="20"/>
                <w:szCs w:val="20"/>
                <w:lang w:val="en-IN"/>
              </w:rPr>
              <w:t>(Clay brick)</w:t>
            </w:r>
          </w:p>
        </w:tc>
        <w:tc>
          <w:tcPr>
            <w:tcW w:w="1484" w:type="dxa"/>
            <w:tcBorders>
              <w:top w:val="single" w:sz="4" w:space="0" w:color="auto"/>
            </w:tcBorders>
            <w:vAlign w:val="center"/>
            <w:hideMark/>
          </w:tcPr>
          <w:p w14:paraId="34566D6E" w14:textId="037E6FE2" w:rsidR="00EC635F" w:rsidRPr="00FB66A9" w:rsidRDefault="00EC635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 xml:space="preserve">0.6 </w:t>
            </w:r>
            <w:r w:rsidR="007D2A6D" w:rsidRPr="00FB66A9">
              <w:rPr>
                <w:rFonts w:ascii="Calibri" w:hAnsi="Calibri" w:cs="Calibri"/>
                <w:sz w:val="20"/>
                <w:szCs w:val="20"/>
                <w:lang w:val="en-IN"/>
              </w:rPr>
              <w:t>(Clay brick)</w:t>
            </w:r>
          </w:p>
        </w:tc>
      </w:tr>
      <w:tr w:rsidR="00FD23F3" w:rsidRPr="00EC635F" w14:paraId="0A0A4429" w14:textId="77777777" w:rsidTr="003F3440">
        <w:trPr>
          <w:trHeight w:val="305"/>
          <w:jc w:val="center"/>
        </w:trPr>
        <w:tc>
          <w:tcPr>
            <w:tcW w:w="2020" w:type="dxa"/>
            <w:vAlign w:val="center"/>
            <w:hideMark/>
          </w:tcPr>
          <w:p w14:paraId="05CF224A" w14:textId="05FF317C"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Windows (SHGC)</w:t>
            </w:r>
          </w:p>
        </w:tc>
        <w:tc>
          <w:tcPr>
            <w:tcW w:w="1484" w:type="dxa"/>
            <w:vAlign w:val="center"/>
            <w:hideMark/>
          </w:tcPr>
          <w:p w14:paraId="766331D8" w14:textId="460EC379"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0.31</w:t>
            </w:r>
          </w:p>
        </w:tc>
        <w:tc>
          <w:tcPr>
            <w:tcW w:w="1619" w:type="dxa"/>
            <w:vAlign w:val="center"/>
            <w:hideMark/>
          </w:tcPr>
          <w:p w14:paraId="567C17D0" w14:textId="71E3BD4C"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0.31</w:t>
            </w:r>
          </w:p>
        </w:tc>
        <w:tc>
          <w:tcPr>
            <w:tcW w:w="1619" w:type="dxa"/>
            <w:vAlign w:val="center"/>
            <w:hideMark/>
          </w:tcPr>
          <w:p w14:paraId="71AA7993" w14:textId="22602154"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0.31</w:t>
            </w:r>
          </w:p>
        </w:tc>
        <w:tc>
          <w:tcPr>
            <w:tcW w:w="1484" w:type="dxa"/>
            <w:vAlign w:val="center"/>
            <w:hideMark/>
          </w:tcPr>
          <w:p w14:paraId="3406F5A3" w14:textId="4DD4F8FB"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0.31</w:t>
            </w:r>
          </w:p>
        </w:tc>
      </w:tr>
      <w:tr w:rsidR="00FD23F3" w:rsidRPr="00EC635F" w14:paraId="18714988" w14:textId="77777777" w:rsidTr="003F3440">
        <w:trPr>
          <w:trHeight w:val="504"/>
          <w:jc w:val="center"/>
        </w:trPr>
        <w:tc>
          <w:tcPr>
            <w:tcW w:w="2020" w:type="dxa"/>
            <w:vAlign w:val="center"/>
            <w:hideMark/>
          </w:tcPr>
          <w:p w14:paraId="46E5997C" w14:textId="3ECEB257"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Roof (Structure) U-Value</w:t>
            </w:r>
            <w:r w:rsidR="00BE04BF" w:rsidRPr="00FB66A9">
              <w:rPr>
                <w:rFonts w:ascii="Calibri" w:hAnsi="Calibri" w:cs="Calibri"/>
                <w:sz w:val="20"/>
                <w:szCs w:val="20"/>
                <w:lang w:val="en-IN"/>
              </w:rPr>
              <w:t xml:space="preserve"> (W/m</w:t>
            </w:r>
            <w:r w:rsidR="00BE04BF" w:rsidRPr="00FB66A9">
              <w:rPr>
                <w:rFonts w:ascii="Calibri" w:hAnsi="Calibri" w:cs="Calibri"/>
                <w:sz w:val="20"/>
                <w:szCs w:val="20"/>
                <w:vertAlign w:val="superscript"/>
                <w:lang w:val="en-IN"/>
              </w:rPr>
              <w:t>2</w:t>
            </w:r>
            <w:r w:rsidR="00BE04BF" w:rsidRPr="00FB66A9">
              <w:rPr>
                <w:rFonts w:ascii="Calibri" w:hAnsi="Calibri" w:cs="Calibri"/>
                <w:sz w:val="20"/>
                <w:szCs w:val="20"/>
                <w:lang w:val="en-IN"/>
              </w:rPr>
              <w:t>·K)</w:t>
            </w:r>
          </w:p>
        </w:tc>
        <w:tc>
          <w:tcPr>
            <w:tcW w:w="1484" w:type="dxa"/>
            <w:vAlign w:val="center"/>
            <w:hideMark/>
          </w:tcPr>
          <w:p w14:paraId="713DF38D" w14:textId="6F482436"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0.253</w:t>
            </w:r>
            <w:r w:rsidR="00BE04BF" w:rsidRPr="00FB66A9">
              <w:rPr>
                <w:rFonts w:ascii="Calibri" w:hAnsi="Calibri" w:cs="Calibri"/>
                <w:sz w:val="20"/>
                <w:szCs w:val="20"/>
                <w:lang w:val="en-IN"/>
              </w:rPr>
              <w:t xml:space="preserve"> (</w:t>
            </w:r>
            <w:r w:rsidR="00F13B55" w:rsidRPr="00FB66A9">
              <w:rPr>
                <w:rFonts w:ascii="Calibri" w:hAnsi="Calibri" w:cs="Calibri"/>
                <w:sz w:val="20"/>
                <w:szCs w:val="20"/>
                <w:lang w:val="en-IN"/>
              </w:rPr>
              <w:t>PPGI + PUF)</w:t>
            </w:r>
            <w:r w:rsidRPr="00FB66A9">
              <w:rPr>
                <w:rFonts w:ascii="Calibri" w:hAnsi="Calibri" w:cs="Calibri"/>
                <w:sz w:val="20"/>
                <w:szCs w:val="20"/>
                <w:lang w:val="en-IN"/>
              </w:rPr>
              <w:t xml:space="preserve"> </w:t>
            </w:r>
          </w:p>
        </w:tc>
        <w:tc>
          <w:tcPr>
            <w:tcW w:w="1619" w:type="dxa"/>
            <w:vAlign w:val="center"/>
            <w:hideMark/>
          </w:tcPr>
          <w:p w14:paraId="70B54954" w14:textId="7B86262C"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0.253 W</w:t>
            </w:r>
            <w:r w:rsidR="00BE04BF" w:rsidRPr="00FB66A9">
              <w:rPr>
                <w:rFonts w:ascii="Calibri" w:hAnsi="Calibri" w:cs="Calibri"/>
                <w:sz w:val="20"/>
                <w:szCs w:val="20"/>
                <w:lang w:val="en-IN"/>
              </w:rPr>
              <w:t xml:space="preserve"> (</w:t>
            </w:r>
            <w:r w:rsidR="00F13B55" w:rsidRPr="00FB66A9">
              <w:rPr>
                <w:rFonts w:ascii="Calibri" w:hAnsi="Calibri" w:cs="Calibri"/>
                <w:sz w:val="20"/>
                <w:szCs w:val="20"/>
                <w:lang w:val="en-IN"/>
              </w:rPr>
              <w:t>PPGI + PUF)</w:t>
            </w:r>
          </w:p>
        </w:tc>
        <w:tc>
          <w:tcPr>
            <w:tcW w:w="1619" w:type="dxa"/>
            <w:vAlign w:val="center"/>
            <w:hideMark/>
          </w:tcPr>
          <w:p w14:paraId="75CB04F0" w14:textId="63006C70"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2.7 W</w:t>
            </w:r>
            <w:r w:rsidR="00F13B55" w:rsidRPr="00FB66A9">
              <w:rPr>
                <w:rFonts w:ascii="Calibri" w:hAnsi="Calibri" w:cs="Calibri"/>
                <w:sz w:val="20"/>
                <w:szCs w:val="20"/>
                <w:lang w:val="en-IN"/>
              </w:rPr>
              <w:t xml:space="preserve"> (flat RCC)</w:t>
            </w:r>
          </w:p>
        </w:tc>
        <w:tc>
          <w:tcPr>
            <w:tcW w:w="1484" w:type="dxa"/>
            <w:vAlign w:val="center"/>
            <w:hideMark/>
          </w:tcPr>
          <w:p w14:paraId="08895AE9" w14:textId="224CF4A2" w:rsidR="00FD23F3" w:rsidRPr="00FB66A9" w:rsidRDefault="00FD23F3"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0.253</w:t>
            </w:r>
            <w:r w:rsidR="00F13B55" w:rsidRPr="00FB66A9">
              <w:rPr>
                <w:rFonts w:ascii="Calibri" w:hAnsi="Calibri" w:cs="Calibri"/>
                <w:sz w:val="20"/>
                <w:szCs w:val="20"/>
                <w:lang w:val="en-IN"/>
              </w:rPr>
              <w:t xml:space="preserve"> (PPGI + PUF)</w:t>
            </w:r>
          </w:p>
        </w:tc>
      </w:tr>
      <w:tr w:rsidR="00BE04BF" w:rsidRPr="00EC635F" w14:paraId="73D44969" w14:textId="77777777" w:rsidTr="003F3440">
        <w:trPr>
          <w:trHeight w:val="338"/>
          <w:jc w:val="center"/>
        </w:trPr>
        <w:tc>
          <w:tcPr>
            <w:tcW w:w="2020" w:type="dxa"/>
            <w:tcBorders>
              <w:bottom w:val="single" w:sz="4" w:space="0" w:color="auto"/>
            </w:tcBorders>
            <w:vAlign w:val="center"/>
          </w:tcPr>
          <w:p w14:paraId="63943D83" w14:textId="3D48870D" w:rsidR="00BE04BF" w:rsidRPr="00FB66A9" w:rsidRDefault="00BE04B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Door thermal conductivity (W/</w:t>
            </w:r>
            <w:proofErr w:type="spellStart"/>
            <w:r w:rsidRPr="00FB66A9">
              <w:rPr>
                <w:rFonts w:ascii="Calibri" w:hAnsi="Calibri" w:cs="Calibri"/>
                <w:sz w:val="20"/>
                <w:szCs w:val="20"/>
                <w:lang w:val="en-IN"/>
              </w:rPr>
              <w:t>m·K</w:t>
            </w:r>
            <w:proofErr w:type="spellEnd"/>
            <w:r w:rsidRPr="00FB66A9">
              <w:rPr>
                <w:rFonts w:ascii="Calibri" w:hAnsi="Calibri" w:cs="Calibri"/>
                <w:sz w:val="20"/>
                <w:szCs w:val="20"/>
                <w:lang w:val="en-IN"/>
              </w:rPr>
              <w:t>)</w:t>
            </w:r>
          </w:p>
        </w:tc>
        <w:tc>
          <w:tcPr>
            <w:tcW w:w="1484" w:type="dxa"/>
            <w:tcBorders>
              <w:bottom w:val="single" w:sz="4" w:space="0" w:color="auto"/>
            </w:tcBorders>
            <w:vAlign w:val="center"/>
          </w:tcPr>
          <w:p w14:paraId="4908B06B" w14:textId="28821D71" w:rsidR="00BE04BF" w:rsidRPr="00FB66A9" w:rsidRDefault="00BE04B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0.18 (Plywood)</w:t>
            </w:r>
          </w:p>
        </w:tc>
        <w:tc>
          <w:tcPr>
            <w:tcW w:w="1619" w:type="dxa"/>
            <w:tcBorders>
              <w:bottom w:val="single" w:sz="4" w:space="0" w:color="auto"/>
            </w:tcBorders>
            <w:vAlign w:val="center"/>
          </w:tcPr>
          <w:p w14:paraId="6D64CCF0" w14:textId="56326CF5" w:rsidR="00BE04BF" w:rsidRPr="00FB66A9" w:rsidRDefault="00BE04B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0.18 (Plywood)</w:t>
            </w:r>
          </w:p>
        </w:tc>
        <w:tc>
          <w:tcPr>
            <w:tcW w:w="1619" w:type="dxa"/>
            <w:tcBorders>
              <w:bottom w:val="single" w:sz="4" w:space="0" w:color="auto"/>
            </w:tcBorders>
            <w:vAlign w:val="center"/>
          </w:tcPr>
          <w:p w14:paraId="4F170BBF" w14:textId="678ACD4A" w:rsidR="00BE04BF" w:rsidRPr="00FB66A9" w:rsidRDefault="00BE04B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0.18 (Plywood)</w:t>
            </w:r>
          </w:p>
        </w:tc>
        <w:tc>
          <w:tcPr>
            <w:tcW w:w="1484" w:type="dxa"/>
            <w:tcBorders>
              <w:bottom w:val="single" w:sz="4" w:space="0" w:color="auto"/>
            </w:tcBorders>
            <w:vAlign w:val="center"/>
          </w:tcPr>
          <w:p w14:paraId="422A8244" w14:textId="52F28B5D" w:rsidR="00BE04BF" w:rsidRPr="00FB66A9" w:rsidRDefault="00BE04BF" w:rsidP="00EC635F">
            <w:pPr>
              <w:spacing w:after="40" w:line="240" w:lineRule="auto"/>
              <w:jc w:val="center"/>
              <w:rPr>
                <w:rFonts w:ascii="Calibri" w:hAnsi="Calibri" w:cs="Calibri"/>
                <w:sz w:val="20"/>
                <w:szCs w:val="20"/>
                <w:lang w:val="en-IN"/>
              </w:rPr>
            </w:pPr>
            <w:r w:rsidRPr="00FB66A9">
              <w:rPr>
                <w:rFonts w:ascii="Calibri" w:hAnsi="Calibri" w:cs="Calibri"/>
                <w:sz w:val="20"/>
                <w:szCs w:val="20"/>
                <w:lang w:val="en-IN"/>
              </w:rPr>
              <w:t>0.18 (Plywood)</w:t>
            </w:r>
          </w:p>
        </w:tc>
      </w:tr>
    </w:tbl>
    <w:p w14:paraId="6D8FC67D" w14:textId="4E9A999F" w:rsidR="00474FCB" w:rsidRDefault="008B0F5B" w:rsidP="00474FCB">
      <w:pPr>
        <w:spacing w:after="40" w:line="240" w:lineRule="auto"/>
        <w:jc w:val="center"/>
        <w:rPr>
          <w:rFonts w:ascii="Calibri" w:hAnsi="Calibri" w:cs="Calibri"/>
        </w:rPr>
      </w:pPr>
      <w:r>
        <w:rPr>
          <w:noProof/>
        </w:rPr>
        <w:lastRenderedPageBreak/>
        <w:drawing>
          <wp:inline distT="0" distB="0" distL="0" distR="0" wp14:anchorId="1C0449B9" wp14:editId="7421A2DC">
            <wp:extent cx="4461164" cy="2216727"/>
            <wp:effectExtent l="0" t="0" r="0" b="0"/>
            <wp:docPr id="936478445" name="Picture 1"/>
            <wp:cNvGraphicFramePr/>
            <a:graphic xmlns:a="http://schemas.openxmlformats.org/drawingml/2006/main">
              <a:graphicData uri="http://schemas.openxmlformats.org/drawingml/2006/picture">
                <pic:pic xmlns:pic="http://schemas.openxmlformats.org/drawingml/2006/picture">
                  <pic:nvPicPr>
                    <pic:cNvPr id="936478445" name="Picture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1164" cy="2216727"/>
                    </a:xfrm>
                    <a:prstGeom prst="rect">
                      <a:avLst/>
                    </a:prstGeom>
                    <a:noFill/>
                  </pic:spPr>
                </pic:pic>
              </a:graphicData>
            </a:graphic>
          </wp:inline>
        </w:drawing>
      </w:r>
    </w:p>
    <w:p w14:paraId="75AB8CAF" w14:textId="25C6793C" w:rsidR="00474FCB" w:rsidRPr="00AE0C2C" w:rsidRDefault="00474FCB" w:rsidP="00474FCB">
      <w:pPr>
        <w:spacing w:after="40" w:line="240" w:lineRule="auto"/>
        <w:jc w:val="both"/>
        <w:rPr>
          <w:rFonts w:ascii="Calibri" w:hAnsi="Calibri" w:cs="Calibri"/>
          <w:sz w:val="20"/>
        </w:rPr>
      </w:pPr>
      <w:r w:rsidRPr="00AE0C2C">
        <w:rPr>
          <w:rFonts w:ascii="Calibri" w:hAnsi="Calibri" w:cs="Calibri"/>
          <w:b/>
          <w:bCs/>
          <w:i/>
          <w:iCs/>
          <w:sz w:val="20"/>
          <w:lang w:val="en-IN"/>
        </w:rPr>
        <w:t xml:space="preserve">Figure </w:t>
      </w:r>
      <w:r w:rsidR="0097214A" w:rsidRPr="00AE0C2C">
        <w:rPr>
          <w:rFonts w:ascii="Calibri" w:hAnsi="Calibri" w:cs="Calibri"/>
          <w:b/>
          <w:bCs/>
          <w:i/>
          <w:iCs/>
          <w:sz w:val="20"/>
          <w:lang w:val="en-IN"/>
        </w:rPr>
        <w:t>2</w:t>
      </w:r>
      <w:r w:rsidRPr="00AE0C2C">
        <w:rPr>
          <w:rFonts w:ascii="Calibri" w:hAnsi="Calibri" w:cs="Calibri"/>
          <w:b/>
          <w:bCs/>
          <w:i/>
          <w:iCs/>
          <w:sz w:val="20"/>
          <w:lang w:val="en-IN"/>
        </w:rPr>
        <w:t xml:space="preserve">: </w:t>
      </w:r>
      <w:r w:rsidRPr="00AE0C2C">
        <w:rPr>
          <w:rFonts w:ascii="Calibri" w:hAnsi="Calibri" w:cs="Calibri"/>
          <w:i/>
          <w:iCs/>
          <w:sz w:val="20"/>
          <w:lang w:val="en-IN"/>
        </w:rPr>
        <w:t>Autodesk Revit 3D models for (a). Baseline, (b). Alt 2 - AAC wall envelope, (c). Alt 5 – flat RCC roof, (d). Alt 6 - Roof overhangs, (e). Alt 7 – Alt 6 + high sill level, (f). Fully pitched roof system</w:t>
      </w:r>
    </w:p>
    <w:p w14:paraId="0E61586B" w14:textId="6ABAB048" w:rsidR="00474FCB" w:rsidRDefault="00FB66A9" w:rsidP="00474FCB">
      <w:pPr>
        <w:spacing w:after="40" w:line="240" w:lineRule="auto"/>
        <w:jc w:val="center"/>
        <w:rPr>
          <w:rFonts w:ascii="Calibri" w:hAnsi="Calibri" w:cs="Calibri"/>
        </w:rPr>
      </w:pPr>
      <w:r>
        <w:rPr>
          <w:noProof/>
        </w:rPr>
        <w:drawing>
          <wp:anchor distT="0" distB="0" distL="114300" distR="114300" simplePos="0" relativeHeight="251658240" behindDoc="1" locked="0" layoutInCell="1" allowOverlap="1" wp14:anchorId="484E6F67" wp14:editId="725F407C">
            <wp:simplePos x="0" y="0"/>
            <wp:positionH relativeFrom="column">
              <wp:posOffset>1094105</wp:posOffset>
            </wp:positionH>
            <wp:positionV relativeFrom="paragraph">
              <wp:posOffset>27940</wp:posOffset>
            </wp:positionV>
            <wp:extent cx="3234690" cy="2146935"/>
            <wp:effectExtent l="19050" t="19050" r="22860" b="24765"/>
            <wp:wrapTight wrapText="bothSides">
              <wp:wrapPolygon edited="0">
                <wp:start x="-127" y="-192"/>
                <wp:lineTo x="-127" y="21657"/>
                <wp:lineTo x="21625" y="21657"/>
                <wp:lineTo x="21625" y="-192"/>
                <wp:lineTo x="-127" y="-192"/>
              </wp:wrapPolygon>
            </wp:wrapTight>
            <wp:docPr id="11" name="image7.jpg"/>
            <wp:cNvGraphicFramePr/>
            <a:graphic xmlns:a="http://schemas.openxmlformats.org/drawingml/2006/main">
              <a:graphicData uri="http://schemas.openxmlformats.org/drawingml/2006/picture">
                <pic:pic xmlns:pic="http://schemas.openxmlformats.org/drawingml/2006/picture">
                  <pic:nvPicPr>
                    <pic:cNvPr id="11" name="image7.jpg"/>
                    <pic:cNvPicPr/>
                  </pic:nvPicPr>
                  <pic:blipFill>
                    <a:blip r:embed="rId11" cstate="print">
                      <a:extLst>
                        <a:ext uri="{28A0092B-C50C-407E-A947-70E740481C1C}">
                          <a14:useLocalDpi xmlns:a14="http://schemas.microsoft.com/office/drawing/2010/main" val="0"/>
                        </a:ext>
                      </a:extLst>
                    </a:blip>
                    <a:srcRect t="16526"/>
                    <a:stretch>
                      <a:fillRect/>
                    </a:stretch>
                  </pic:blipFill>
                  <pic:spPr>
                    <a:xfrm>
                      <a:off x="0" y="0"/>
                      <a:ext cx="3234690" cy="2146935"/>
                    </a:xfrm>
                    <a:prstGeom prst="rect">
                      <a:avLst/>
                    </a:prstGeom>
                    <a:ln w="3175">
                      <a:solidFill>
                        <a:srgbClr val="000000"/>
                      </a:solidFill>
                      <a:prstDash val="solid"/>
                    </a:ln>
                  </pic:spPr>
                </pic:pic>
              </a:graphicData>
            </a:graphic>
            <wp14:sizeRelH relativeFrom="margin">
              <wp14:pctWidth>0</wp14:pctWidth>
            </wp14:sizeRelH>
            <wp14:sizeRelV relativeFrom="margin">
              <wp14:pctHeight>0</wp14:pctHeight>
            </wp14:sizeRelV>
          </wp:anchor>
        </w:drawing>
      </w:r>
    </w:p>
    <w:p w14:paraId="0B494E2E" w14:textId="6C88D0B7" w:rsidR="00BE04BF" w:rsidRDefault="00BE04BF" w:rsidP="00441507">
      <w:pPr>
        <w:spacing w:after="40" w:line="240" w:lineRule="auto"/>
        <w:rPr>
          <w:rFonts w:ascii="Calibri" w:hAnsi="Calibri" w:cs="Calibri"/>
          <w:i/>
        </w:rPr>
      </w:pPr>
    </w:p>
    <w:p w14:paraId="2B5E3019" w14:textId="39D63BA3" w:rsidR="0097214A" w:rsidRDefault="0097214A" w:rsidP="0097214A">
      <w:pPr>
        <w:spacing w:after="40" w:line="240" w:lineRule="auto"/>
        <w:jc w:val="center"/>
        <w:rPr>
          <w:rFonts w:ascii="Calibri" w:hAnsi="Calibri" w:cs="Calibri"/>
          <w:i/>
        </w:rPr>
      </w:pPr>
    </w:p>
    <w:p w14:paraId="6A19FA48" w14:textId="77777777" w:rsidR="00FB66A9" w:rsidRDefault="00FB66A9" w:rsidP="0097214A">
      <w:pPr>
        <w:spacing w:after="40" w:line="240" w:lineRule="auto"/>
        <w:jc w:val="center"/>
        <w:rPr>
          <w:rFonts w:ascii="Calibri" w:hAnsi="Calibri" w:cs="Calibri"/>
          <w:b/>
          <w:bCs/>
          <w:i/>
          <w:iCs/>
          <w:sz w:val="20"/>
          <w:szCs w:val="20"/>
        </w:rPr>
      </w:pPr>
    </w:p>
    <w:p w14:paraId="7C61CAB6" w14:textId="77777777" w:rsidR="00FB66A9" w:rsidRDefault="00FB66A9" w:rsidP="0097214A">
      <w:pPr>
        <w:spacing w:after="40" w:line="240" w:lineRule="auto"/>
        <w:jc w:val="center"/>
        <w:rPr>
          <w:rFonts w:ascii="Calibri" w:hAnsi="Calibri" w:cs="Calibri"/>
          <w:b/>
          <w:bCs/>
          <w:i/>
          <w:iCs/>
          <w:sz w:val="20"/>
          <w:szCs w:val="20"/>
        </w:rPr>
      </w:pPr>
    </w:p>
    <w:p w14:paraId="04026F56" w14:textId="77777777" w:rsidR="00FB66A9" w:rsidRDefault="00FB66A9" w:rsidP="0097214A">
      <w:pPr>
        <w:spacing w:after="40" w:line="240" w:lineRule="auto"/>
        <w:jc w:val="center"/>
        <w:rPr>
          <w:rFonts w:ascii="Calibri" w:hAnsi="Calibri" w:cs="Calibri"/>
          <w:b/>
          <w:bCs/>
          <w:i/>
          <w:iCs/>
          <w:sz w:val="20"/>
          <w:szCs w:val="20"/>
        </w:rPr>
      </w:pPr>
    </w:p>
    <w:p w14:paraId="04A211DA" w14:textId="77777777" w:rsidR="00FB66A9" w:rsidRDefault="00FB66A9" w:rsidP="0097214A">
      <w:pPr>
        <w:spacing w:after="40" w:line="240" w:lineRule="auto"/>
        <w:jc w:val="center"/>
        <w:rPr>
          <w:rFonts w:ascii="Calibri" w:hAnsi="Calibri" w:cs="Calibri"/>
          <w:b/>
          <w:bCs/>
          <w:i/>
          <w:iCs/>
          <w:sz w:val="20"/>
          <w:szCs w:val="20"/>
        </w:rPr>
      </w:pPr>
    </w:p>
    <w:p w14:paraId="314AC12C" w14:textId="77777777" w:rsidR="00FB66A9" w:rsidRDefault="00FB66A9" w:rsidP="0097214A">
      <w:pPr>
        <w:spacing w:after="40" w:line="240" w:lineRule="auto"/>
        <w:jc w:val="center"/>
        <w:rPr>
          <w:rFonts w:ascii="Calibri" w:hAnsi="Calibri" w:cs="Calibri"/>
          <w:b/>
          <w:bCs/>
          <w:i/>
          <w:iCs/>
          <w:sz w:val="20"/>
          <w:szCs w:val="20"/>
        </w:rPr>
      </w:pPr>
    </w:p>
    <w:p w14:paraId="359E986E" w14:textId="77777777" w:rsidR="00FB66A9" w:rsidRDefault="00FB66A9" w:rsidP="0097214A">
      <w:pPr>
        <w:spacing w:after="40" w:line="240" w:lineRule="auto"/>
        <w:jc w:val="center"/>
        <w:rPr>
          <w:rFonts w:ascii="Calibri" w:hAnsi="Calibri" w:cs="Calibri"/>
          <w:b/>
          <w:bCs/>
          <w:i/>
          <w:iCs/>
          <w:sz w:val="20"/>
          <w:szCs w:val="20"/>
        </w:rPr>
      </w:pPr>
    </w:p>
    <w:p w14:paraId="67570155" w14:textId="77777777" w:rsidR="00FB66A9" w:rsidRDefault="00FB66A9" w:rsidP="0097214A">
      <w:pPr>
        <w:spacing w:after="40" w:line="240" w:lineRule="auto"/>
        <w:jc w:val="center"/>
        <w:rPr>
          <w:rFonts w:ascii="Calibri" w:hAnsi="Calibri" w:cs="Calibri"/>
          <w:b/>
          <w:bCs/>
          <w:i/>
          <w:iCs/>
          <w:sz w:val="20"/>
          <w:szCs w:val="20"/>
        </w:rPr>
      </w:pPr>
    </w:p>
    <w:p w14:paraId="608D8B71" w14:textId="77777777" w:rsidR="00FB66A9" w:rsidRDefault="00FB66A9" w:rsidP="0097214A">
      <w:pPr>
        <w:spacing w:after="40" w:line="240" w:lineRule="auto"/>
        <w:jc w:val="center"/>
        <w:rPr>
          <w:rFonts w:ascii="Calibri" w:hAnsi="Calibri" w:cs="Calibri"/>
          <w:b/>
          <w:bCs/>
          <w:i/>
          <w:iCs/>
          <w:sz w:val="20"/>
          <w:szCs w:val="20"/>
        </w:rPr>
      </w:pPr>
    </w:p>
    <w:p w14:paraId="6671707A" w14:textId="77777777" w:rsidR="00FB66A9" w:rsidRDefault="00FB66A9" w:rsidP="0097214A">
      <w:pPr>
        <w:spacing w:after="40" w:line="240" w:lineRule="auto"/>
        <w:jc w:val="center"/>
        <w:rPr>
          <w:rFonts w:ascii="Calibri" w:hAnsi="Calibri" w:cs="Calibri"/>
          <w:b/>
          <w:bCs/>
          <w:i/>
          <w:iCs/>
          <w:sz w:val="20"/>
          <w:szCs w:val="20"/>
        </w:rPr>
      </w:pPr>
    </w:p>
    <w:p w14:paraId="456EC988" w14:textId="236ECE72" w:rsidR="0097214A" w:rsidRDefault="0097214A" w:rsidP="00AE0C2C">
      <w:pPr>
        <w:spacing w:after="40" w:line="240" w:lineRule="auto"/>
        <w:jc w:val="center"/>
        <w:rPr>
          <w:rFonts w:ascii="Calibri" w:hAnsi="Calibri" w:cs="Calibri"/>
          <w:i/>
        </w:rPr>
      </w:pPr>
      <w:r w:rsidRPr="00DD2CE0">
        <w:rPr>
          <w:rFonts w:ascii="Calibri" w:hAnsi="Calibri" w:cs="Calibri"/>
          <w:b/>
          <w:bCs/>
          <w:i/>
          <w:iCs/>
          <w:sz w:val="20"/>
          <w:szCs w:val="20"/>
        </w:rPr>
        <w:t xml:space="preserve">Figure </w:t>
      </w:r>
      <w:r>
        <w:rPr>
          <w:rFonts w:ascii="Calibri" w:hAnsi="Calibri" w:cs="Calibri"/>
          <w:b/>
          <w:bCs/>
          <w:i/>
          <w:iCs/>
          <w:sz w:val="20"/>
          <w:szCs w:val="20"/>
        </w:rPr>
        <w:t>3</w:t>
      </w:r>
      <w:r w:rsidRPr="00DD2CE0">
        <w:rPr>
          <w:rFonts w:ascii="Calibri" w:hAnsi="Calibri" w:cs="Calibri"/>
          <w:b/>
          <w:bCs/>
          <w:i/>
          <w:iCs/>
          <w:sz w:val="20"/>
          <w:szCs w:val="20"/>
        </w:rPr>
        <w:t>:</w:t>
      </w:r>
      <w:r>
        <w:rPr>
          <w:rFonts w:ascii="Calibri" w:hAnsi="Calibri" w:cs="Calibri"/>
          <w:i/>
          <w:iCs/>
          <w:sz w:val="20"/>
          <w:szCs w:val="20"/>
        </w:rPr>
        <w:t xml:space="preserve"> </w:t>
      </w:r>
      <w:r w:rsidRPr="00DD2CE0">
        <w:rPr>
          <w:rFonts w:ascii="Calibri" w:hAnsi="Calibri" w:cs="Calibri"/>
          <w:i/>
          <w:iCs/>
          <w:sz w:val="20"/>
          <w:szCs w:val="20"/>
        </w:rPr>
        <w:t>Analytical spaces</w:t>
      </w:r>
      <w:r>
        <w:rPr>
          <w:rFonts w:ascii="Calibri" w:hAnsi="Calibri" w:cs="Calibri"/>
          <w:i/>
          <w:iCs/>
          <w:sz w:val="20"/>
          <w:szCs w:val="20"/>
        </w:rPr>
        <w:t xml:space="preserve"> with energy settings defined to be simulated in Autodesk Insight.</w:t>
      </w:r>
    </w:p>
    <w:p w14:paraId="3963DE5B" w14:textId="77777777" w:rsidR="00B406E1" w:rsidRPr="00B406E1" w:rsidRDefault="00B406E1" w:rsidP="00AE0C2C">
      <w:pPr>
        <w:pStyle w:val="Heading2"/>
      </w:pPr>
      <w:r w:rsidRPr="00B406E1">
        <w:t>2.3 Life-Cycle Carbon and Cost Analysis</w:t>
      </w:r>
    </w:p>
    <w:p w14:paraId="1E873025" w14:textId="5CB1F1D8" w:rsidR="00B406E1" w:rsidRDefault="00B406E1" w:rsidP="00AE0C2C">
      <w:pPr>
        <w:spacing w:after="40" w:line="240" w:lineRule="auto"/>
        <w:jc w:val="both"/>
        <w:rPr>
          <w:rFonts w:ascii="Calibri" w:hAnsi="Calibri" w:cs="Calibri"/>
        </w:rPr>
      </w:pPr>
      <w:r>
        <w:rPr>
          <w:rFonts w:ascii="Calibri" w:hAnsi="Calibri" w:cs="Calibri"/>
        </w:rPr>
        <w:t xml:space="preserve">          </w:t>
      </w:r>
      <w:r w:rsidRPr="00B406E1">
        <w:rPr>
          <w:rFonts w:ascii="Calibri" w:hAnsi="Calibri" w:cs="Calibri"/>
        </w:rPr>
        <w:t xml:space="preserve">Life-cycle carbon was assessed over 50 years across five components: embodied, </w:t>
      </w:r>
      <w:r w:rsidR="002954F7" w:rsidRPr="00B406E1">
        <w:rPr>
          <w:rFonts w:ascii="Calibri" w:hAnsi="Calibri" w:cs="Calibri"/>
        </w:rPr>
        <w:t>transportation</w:t>
      </w:r>
      <w:r w:rsidR="002954F7">
        <w:rPr>
          <w:rFonts w:ascii="Calibri" w:hAnsi="Calibri" w:cs="Calibri"/>
        </w:rPr>
        <w:t>,</w:t>
      </w:r>
      <w:r w:rsidR="002954F7" w:rsidRPr="00B406E1">
        <w:rPr>
          <w:rFonts w:ascii="Calibri" w:hAnsi="Calibri" w:cs="Calibri"/>
        </w:rPr>
        <w:t xml:space="preserve"> construction</w:t>
      </w:r>
      <w:r w:rsidRPr="00B406E1">
        <w:rPr>
          <w:rFonts w:ascii="Calibri" w:hAnsi="Calibri" w:cs="Calibri"/>
        </w:rPr>
        <w:t xml:space="preserve">, operational and demolition carbon. Embodied carbon was calculated </w:t>
      </w:r>
      <w:r w:rsidR="0076186D">
        <w:rPr>
          <w:rFonts w:ascii="Calibri" w:hAnsi="Calibri" w:cs="Calibri"/>
        </w:rPr>
        <w:t>by applying</w:t>
      </w:r>
      <w:r w:rsidR="0076186D" w:rsidRPr="00B406E1">
        <w:rPr>
          <w:rFonts w:ascii="Calibri" w:hAnsi="Calibri" w:cs="Calibri"/>
        </w:rPr>
        <w:t xml:space="preserve"> </w:t>
      </w:r>
      <w:r w:rsidRPr="00B406E1">
        <w:rPr>
          <w:rFonts w:ascii="Calibri" w:hAnsi="Calibri" w:cs="Calibri"/>
        </w:rPr>
        <w:t>Global Warming Potential (GWP) factors from IFC</w:t>
      </w:r>
      <w:r w:rsidR="0076186D">
        <w:rPr>
          <w:rFonts w:ascii="Calibri" w:hAnsi="Calibri" w:cs="Calibri"/>
        </w:rPr>
        <w:t>-</w:t>
      </w:r>
      <w:r w:rsidRPr="00B406E1">
        <w:rPr>
          <w:rFonts w:ascii="Calibri" w:hAnsi="Calibri" w:cs="Calibri"/>
        </w:rPr>
        <w:t xml:space="preserve">2017, expressed in </w:t>
      </w:r>
      <w:proofErr w:type="spellStart"/>
      <w:r w:rsidRPr="00B406E1">
        <w:rPr>
          <w:rFonts w:ascii="Calibri" w:hAnsi="Calibri" w:cs="Calibri"/>
        </w:rPr>
        <w:t>kgCO₂e</w:t>
      </w:r>
      <w:proofErr w:type="spellEnd"/>
      <w:r w:rsidRPr="00B406E1">
        <w:rPr>
          <w:rFonts w:ascii="Calibri" w:hAnsi="Calibri" w:cs="Calibri"/>
        </w:rPr>
        <w:t xml:space="preserve">/kg, to </w:t>
      </w:r>
      <w:r w:rsidR="005142A2">
        <w:rPr>
          <w:rFonts w:ascii="Calibri" w:hAnsi="Calibri" w:cs="Calibri"/>
        </w:rPr>
        <w:t xml:space="preserve">material quantities extracted from </w:t>
      </w:r>
      <w:r w:rsidRPr="00B406E1">
        <w:rPr>
          <w:rFonts w:ascii="Calibri" w:hAnsi="Calibri" w:cs="Calibri"/>
        </w:rPr>
        <w:t>Revi</w:t>
      </w:r>
      <w:r w:rsidR="005142A2">
        <w:rPr>
          <w:rFonts w:ascii="Calibri" w:hAnsi="Calibri" w:cs="Calibri"/>
        </w:rPr>
        <w:t xml:space="preserve">t. </w:t>
      </w:r>
      <w:r w:rsidRPr="00B406E1">
        <w:rPr>
          <w:rFonts w:ascii="Calibri" w:hAnsi="Calibri" w:cs="Calibri"/>
        </w:rPr>
        <w:t xml:space="preserve">Transportation emissions were estimated using the </w:t>
      </w:r>
      <w:r w:rsidR="00B01742" w:rsidRPr="00B01742">
        <w:rPr>
          <w:rFonts w:ascii="Calibri" w:hAnsi="Calibri" w:cs="Calibri"/>
        </w:rPr>
        <w:t xml:space="preserve">European Network of Construction Companies for Research and Development </w:t>
      </w:r>
      <w:r w:rsidR="00D123D9">
        <w:rPr>
          <w:rFonts w:ascii="Calibri" w:hAnsi="Calibri" w:cs="Calibri"/>
        </w:rPr>
        <w:t>(</w:t>
      </w:r>
      <w:r w:rsidRPr="00B406E1">
        <w:rPr>
          <w:rFonts w:ascii="Calibri" w:hAnsi="Calibri" w:cs="Calibri"/>
        </w:rPr>
        <w:t>ENCORD</w:t>
      </w:r>
      <w:r w:rsidR="00D123D9">
        <w:rPr>
          <w:rFonts w:ascii="Calibri" w:hAnsi="Calibri" w:cs="Calibri"/>
        </w:rPr>
        <w:t>)</w:t>
      </w:r>
      <w:r w:rsidRPr="00B406E1">
        <w:rPr>
          <w:rFonts w:ascii="Calibri" w:hAnsi="Calibri" w:cs="Calibri"/>
        </w:rPr>
        <w:t xml:space="preserve"> Construction </w:t>
      </w:r>
      <w:proofErr w:type="spellStart"/>
      <w:r w:rsidRPr="00B406E1">
        <w:rPr>
          <w:rFonts w:ascii="Calibri" w:hAnsi="Calibri" w:cs="Calibri"/>
        </w:rPr>
        <w:t>CO₂e</w:t>
      </w:r>
      <w:proofErr w:type="spellEnd"/>
      <w:r w:rsidRPr="00B406E1">
        <w:rPr>
          <w:rFonts w:ascii="Calibri" w:hAnsi="Calibri" w:cs="Calibri"/>
        </w:rPr>
        <w:t xml:space="preserve"> Measurement Protocol, based on material weight, truck capacity, one-way travel distance of 20 km, fuel efficiency of 6.5 km/litre, and a diesel emission factor of 2.69 </w:t>
      </w:r>
      <w:proofErr w:type="spellStart"/>
      <w:r w:rsidRPr="00B406E1">
        <w:rPr>
          <w:rFonts w:ascii="Calibri" w:hAnsi="Calibri" w:cs="Calibri"/>
        </w:rPr>
        <w:t>kgCO₂e</w:t>
      </w:r>
      <w:proofErr w:type="spellEnd"/>
      <w:r w:rsidRPr="00B406E1">
        <w:rPr>
          <w:rFonts w:ascii="Calibri" w:hAnsi="Calibri" w:cs="Calibri"/>
        </w:rPr>
        <w:t xml:space="preserve">/litre </w:t>
      </w:r>
      <w:r w:rsidR="00D123D9">
        <w:rPr>
          <w:rFonts w:ascii="Calibri" w:hAnsi="Calibri" w:cs="Calibri"/>
        </w:rPr>
        <w:t xml:space="preserve">as recommended by </w:t>
      </w:r>
      <w:r w:rsidR="00D123D9" w:rsidRPr="00D123D9">
        <w:rPr>
          <w:rFonts w:ascii="Calibri" w:hAnsi="Calibri" w:cs="Calibri"/>
        </w:rPr>
        <w:t>United States Environmental Protection Agency</w:t>
      </w:r>
      <w:r w:rsidR="00D123D9">
        <w:rPr>
          <w:rFonts w:ascii="Calibri" w:hAnsi="Calibri" w:cs="Calibri"/>
        </w:rPr>
        <w:t xml:space="preserve"> </w:t>
      </w:r>
      <w:r w:rsidRPr="00B406E1">
        <w:rPr>
          <w:rFonts w:ascii="Calibri" w:hAnsi="Calibri" w:cs="Calibri"/>
        </w:rPr>
        <w:t xml:space="preserve">(USEPA). </w:t>
      </w:r>
      <w:r w:rsidR="005142A2">
        <w:rPr>
          <w:rFonts w:ascii="Calibri" w:hAnsi="Calibri" w:cs="Calibri"/>
        </w:rPr>
        <w:t>C</w:t>
      </w:r>
      <w:r w:rsidRPr="00B406E1">
        <w:rPr>
          <w:rFonts w:ascii="Calibri" w:hAnsi="Calibri" w:cs="Calibri"/>
        </w:rPr>
        <w:t xml:space="preserve">onstruction emissions were calculated from the energy demand of </w:t>
      </w:r>
      <w:r w:rsidR="00C304A0">
        <w:rPr>
          <w:rFonts w:ascii="Calibri" w:hAnsi="Calibri" w:cs="Calibri"/>
        </w:rPr>
        <w:t xml:space="preserve">major </w:t>
      </w:r>
      <w:r w:rsidRPr="00B406E1">
        <w:rPr>
          <w:rFonts w:ascii="Calibri" w:hAnsi="Calibri" w:cs="Calibri"/>
        </w:rPr>
        <w:t>equipment</w:t>
      </w:r>
      <w:r w:rsidR="00C304A0">
        <w:rPr>
          <w:rFonts w:ascii="Calibri" w:hAnsi="Calibri" w:cs="Calibri"/>
        </w:rPr>
        <w:t xml:space="preserve"> </w:t>
      </w:r>
      <w:r w:rsidRPr="00B406E1">
        <w:rPr>
          <w:rFonts w:ascii="Calibri" w:hAnsi="Calibri" w:cs="Calibri"/>
        </w:rPr>
        <w:t>powered by a diesel generator</w:t>
      </w:r>
      <w:r w:rsidR="00C304A0">
        <w:rPr>
          <w:rFonts w:ascii="Calibri" w:hAnsi="Calibri" w:cs="Calibri"/>
        </w:rPr>
        <w:t xml:space="preserve"> </w:t>
      </w:r>
      <w:r w:rsidRPr="00B406E1">
        <w:rPr>
          <w:rFonts w:ascii="Calibri" w:hAnsi="Calibri" w:cs="Calibri"/>
        </w:rPr>
        <w:t xml:space="preserve">using the same ENCORD protocol. Operational carbon was derived from the annual EUI, analytical floor area, and the Indian grid emission factor of 0.823 </w:t>
      </w:r>
      <w:proofErr w:type="spellStart"/>
      <w:r w:rsidRPr="00B406E1">
        <w:rPr>
          <w:rFonts w:ascii="Calibri" w:hAnsi="Calibri" w:cs="Calibri"/>
        </w:rPr>
        <w:t>tCO</w:t>
      </w:r>
      <w:proofErr w:type="spellEnd"/>
      <w:r w:rsidRPr="00B406E1">
        <w:rPr>
          <w:rFonts w:ascii="Calibri" w:hAnsi="Calibri" w:cs="Calibri"/>
        </w:rPr>
        <w:t>₂/MWh (CEA, 2023). Demolition carbon was calculated using emission factors per square metre (</w:t>
      </w:r>
      <w:proofErr w:type="spellStart"/>
      <w:r w:rsidRPr="00B406E1">
        <w:rPr>
          <w:rFonts w:ascii="Calibri" w:hAnsi="Calibri" w:cs="Calibri"/>
        </w:rPr>
        <w:t>kgCO₂e</w:t>
      </w:r>
      <w:proofErr w:type="spellEnd"/>
      <w:r w:rsidRPr="00B406E1">
        <w:rPr>
          <w:rFonts w:ascii="Calibri" w:hAnsi="Calibri" w:cs="Calibri"/>
        </w:rPr>
        <w:t>/m²) for reinforced concrete, brick/AAC, and wood components, following Cha &amp; Park (2025)</w:t>
      </w:r>
      <w:r w:rsidR="00C304A0">
        <w:rPr>
          <w:rFonts w:ascii="Calibri" w:hAnsi="Calibri" w:cs="Calibri"/>
        </w:rPr>
        <w:t>.</w:t>
      </w:r>
      <w:r w:rsidR="005142A2">
        <w:rPr>
          <w:rFonts w:ascii="Calibri" w:hAnsi="Calibri" w:cs="Calibri"/>
        </w:rPr>
        <w:t xml:space="preserve"> </w:t>
      </w:r>
      <w:r w:rsidRPr="00B406E1">
        <w:rPr>
          <w:rFonts w:ascii="Calibri" w:hAnsi="Calibri" w:cs="Calibri"/>
        </w:rPr>
        <w:t xml:space="preserve">Life-cycle cost analysis included four components: construction cost (Revit quantity take-off × CPWD Delhi Analysis of Rates), operational cost (EUI × floor area × APDCL tariff structure), maintenance cost (CPWD Maintenance Manual, gross floor area basis, converted to present value), and demolition cost (CPWD DAR dismantling rates, discounted to present value using discount and inflation rates per </w:t>
      </w:r>
      <w:r w:rsidR="001D54DF" w:rsidRPr="001D54DF">
        <w:rPr>
          <w:rFonts w:ascii="Calibri" w:hAnsi="Calibri" w:cs="Calibri"/>
        </w:rPr>
        <w:t>National Institute of Standards and Technology</w:t>
      </w:r>
      <w:r w:rsidR="001D54DF">
        <w:rPr>
          <w:rFonts w:ascii="Calibri" w:hAnsi="Calibri" w:cs="Calibri"/>
        </w:rPr>
        <w:t xml:space="preserve"> (</w:t>
      </w:r>
      <w:r w:rsidRPr="00B406E1">
        <w:rPr>
          <w:rFonts w:ascii="Calibri" w:hAnsi="Calibri" w:cs="Calibri"/>
        </w:rPr>
        <w:t>NIST</w:t>
      </w:r>
      <w:r w:rsidR="001D54DF">
        <w:rPr>
          <w:rFonts w:ascii="Calibri" w:hAnsi="Calibri" w:cs="Calibri"/>
        </w:rPr>
        <w:t>)</w:t>
      </w:r>
      <w:r w:rsidRPr="00B406E1">
        <w:rPr>
          <w:rFonts w:ascii="Calibri" w:hAnsi="Calibri" w:cs="Calibri"/>
        </w:rPr>
        <w:t xml:space="preserve"> Handbook 135, 2020). All </w:t>
      </w:r>
      <w:r w:rsidRPr="00B406E1">
        <w:rPr>
          <w:rFonts w:ascii="Calibri" w:hAnsi="Calibri" w:cs="Calibri"/>
        </w:rPr>
        <w:lastRenderedPageBreak/>
        <w:t>future costs were converted to present value using the discounted cash flow framework of ISO 15686-5 (2017).</w:t>
      </w:r>
    </w:p>
    <w:p w14:paraId="6C5D4053" w14:textId="77777777" w:rsidR="00B406E1" w:rsidRPr="00B406E1" w:rsidRDefault="00B406E1" w:rsidP="00AE0C2C">
      <w:pPr>
        <w:pStyle w:val="Heading2"/>
      </w:pPr>
      <w:r w:rsidRPr="00B406E1">
        <w:t>2.4 SAW Ranking Framework</w:t>
      </w:r>
    </w:p>
    <w:p w14:paraId="64058C1E" w14:textId="2AADCD32" w:rsidR="00B406E1" w:rsidRPr="00B406E1" w:rsidRDefault="00B406E1" w:rsidP="00B3052B">
      <w:pPr>
        <w:spacing w:after="40" w:line="240" w:lineRule="auto"/>
        <w:jc w:val="both"/>
        <w:rPr>
          <w:rFonts w:ascii="Calibri" w:hAnsi="Calibri" w:cs="Calibri"/>
        </w:rPr>
      </w:pPr>
      <w:r>
        <w:rPr>
          <w:rFonts w:ascii="Calibri" w:hAnsi="Calibri" w:cs="Calibri"/>
        </w:rPr>
        <w:t xml:space="preserve">          </w:t>
      </w:r>
      <w:r w:rsidRPr="00B406E1">
        <w:rPr>
          <w:rFonts w:ascii="Calibri" w:hAnsi="Calibri" w:cs="Calibri"/>
        </w:rPr>
        <w:t xml:space="preserve">The alternatives were ranked using the Simple Additive Weighting (SAW) method, a multi-criteria decision-making technique in which the normalized value </w:t>
      </w:r>
      <m:oMath>
        <m:sSub>
          <m:sSubPr>
            <m:ctrlPr>
              <w:rPr>
                <w:rFonts w:ascii="Cambria Math" w:eastAsia="Cambria Math" w:hAnsi="Cambria Math" w:cs="Calibri"/>
                <w:color w:val="000000"/>
              </w:rPr>
            </m:ctrlPr>
          </m:sSubPr>
          <m:e>
            <m:r>
              <w:rPr>
                <w:rFonts w:ascii="Cambria Math" w:eastAsia="Cambria Math" w:hAnsi="Cambria Math" w:cs="Calibri"/>
                <w:color w:val="000000"/>
              </w:rPr>
              <m:t>R</m:t>
            </m:r>
          </m:e>
          <m:sub>
            <m:r>
              <w:rPr>
                <w:rFonts w:ascii="Cambria Math" w:eastAsia="Cambria Math" w:hAnsi="Cambria Math" w:cs="Calibri"/>
                <w:color w:val="000000"/>
              </w:rPr>
              <m:t>ij</m:t>
            </m:r>
          </m:sub>
        </m:sSub>
      </m:oMath>
      <w:r w:rsidR="00073C68">
        <w:rPr>
          <w:rFonts w:ascii="Calibri" w:eastAsiaTheme="minorEastAsia" w:hAnsi="Calibri" w:cs="Calibri"/>
          <w:color w:val="000000"/>
        </w:rPr>
        <w:t xml:space="preserve"> </w:t>
      </w:r>
      <w:r w:rsidRPr="00B406E1">
        <w:rPr>
          <w:rFonts w:ascii="Calibri" w:hAnsi="Calibri" w:cs="Calibri"/>
        </w:rPr>
        <w:t xml:space="preserve">for each alternative </w:t>
      </w:r>
      <m:oMath>
        <m:sSub>
          <m:sSubPr>
            <m:ctrlPr>
              <w:rPr>
                <w:rFonts w:ascii="Cambria Math" w:eastAsia="Cambria Math" w:hAnsi="Cambria Math" w:cs="Calibri"/>
                <w:color w:val="000000"/>
              </w:rPr>
            </m:ctrlPr>
          </m:sSubPr>
          <m:e>
            <m:r>
              <w:rPr>
                <w:rFonts w:ascii="Cambria Math" w:eastAsia="Cambria Math" w:hAnsi="Cambria Math" w:cs="Calibri"/>
                <w:color w:val="000000"/>
              </w:rPr>
              <m:t>A</m:t>
            </m:r>
          </m:e>
          <m:sub>
            <m:r>
              <w:rPr>
                <w:rFonts w:ascii="Cambria Math" w:eastAsia="Cambria Math" w:hAnsi="Cambria Math" w:cs="Calibri"/>
                <w:color w:val="000000"/>
              </w:rPr>
              <m:t>i</m:t>
            </m:r>
          </m:sub>
        </m:sSub>
      </m:oMath>
      <w:r w:rsidR="00073C68">
        <w:rPr>
          <w:rFonts w:ascii="Calibri" w:eastAsiaTheme="minorEastAsia" w:hAnsi="Calibri" w:cs="Calibri"/>
          <w:color w:val="000000"/>
        </w:rPr>
        <w:t xml:space="preserve"> </w:t>
      </w:r>
      <w:r w:rsidRPr="00B406E1">
        <w:rPr>
          <w:rFonts w:ascii="Calibri" w:hAnsi="Calibri" w:cs="Calibri"/>
        </w:rPr>
        <w:t xml:space="preserve">under criterion </w:t>
      </w:r>
      <m:oMath>
        <m:sSub>
          <m:sSubPr>
            <m:ctrlPr>
              <w:rPr>
                <w:rFonts w:ascii="Cambria Math" w:eastAsia="Cambria Math" w:hAnsi="Cambria Math" w:cs="Calibri"/>
                <w:color w:val="000000"/>
              </w:rPr>
            </m:ctrlPr>
          </m:sSubPr>
          <m:e>
            <m:r>
              <w:rPr>
                <w:rFonts w:ascii="Cambria Math" w:eastAsia="Cambria Math" w:hAnsi="Cambria Math" w:cs="Calibri"/>
                <w:color w:val="000000"/>
              </w:rPr>
              <m:t>C</m:t>
            </m:r>
          </m:e>
          <m:sub>
            <m:r>
              <w:rPr>
                <w:rFonts w:ascii="Cambria Math" w:eastAsia="Cambria Math" w:hAnsi="Cambria Math" w:cs="Calibri"/>
                <w:color w:val="000000"/>
              </w:rPr>
              <m:t>j</m:t>
            </m:r>
          </m:sub>
        </m:sSub>
      </m:oMath>
      <w:r w:rsidR="00073C68">
        <w:rPr>
          <w:rFonts w:ascii="Calibri" w:eastAsiaTheme="minorEastAsia" w:hAnsi="Calibri" w:cs="Calibri"/>
          <w:color w:val="000000"/>
        </w:rPr>
        <w:t xml:space="preserve"> </w:t>
      </w:r>
      <w:r w:rsidRPr="00B406E1">
        <w:rPr>
          <w:rFonts w:ascii="Calibri" w:hAnsi="Calibri" w:cs="Calibri"/>
        </w:rPr>
        <w:t>is express</w:t>
      </w:r>
      <w:r w:rsidR="003F3440">
        <w:rPr>
          <w:rFonts w:ascii="Calibri" w:hAnsi="Calibri" w:cs="Calibri"/>
        </w:rPr>
        <w:t>ed in Eq. (1). The equation is developed in a way that the lower is the better the alternative.</w:t>
      </w:r>
    </w:p>
    <w:p w14:paraId="6FDDADEC" w14:textId="79754F6C" w:rsidR="00073C68" w:rsidRPr="00885C19" w:rsidRDefault="0011252F" w:rsidP="003F3440">
      <w:pPr>
        <w:jc w:val="center"/>
        <w:rPr>
          <w:rFonts w:ascii="Calibri" w:eastAsia="Cambria Math" w:hAnsi="Calibri" w:cs="Calibri"/>
          <w:color w:val="000000"/>
        </w:rPr>
      </w:pPr>
      <m:oMath>
        <m:sSub>
          <m:sSubPr>
            <m:ctrlPr>
              <w:rPr>
                <w:rFonts w:ascii="Cambria Math" w:eastAsia="Cambria Math" w:hAnsi="Cambria Math" w:cs="Calibri"/>
                <w:color w:val="000000"/>
              </w:rPr>
            </m:ctrlPr>
          </m:sSubPr>
          <m:e>
            <m:r>
              <m:rPr>
                <m:sty m:val="p"/>
              </m:rPr>
              <w:rPr>
                <w:rFonts w:ascii="Cambria Math" w:eastAsia="Cambria Math" w:hAnsi="Cambria Math" w:cs="Calibri"/>
                <w:color w:val="000000"/>
              </w:rPr>
              <m:t>R</m:t>
            </m:r>
          </m:e>
          <m:sub>
            <m:r>
              <m:rPr>
                <m:sty m:val="p"/>
              </m:rPr>
              <w:rPr>
                <w:rFonts w:ascii="Cambria Math" w:eastAsia="Cambria Math" w:hAnsi="Cambria Math" w:cs="Calibri"/>
                <w:color w:val="000000"/>
              </w:rPr>
              <m:t>ij</m:t>
            </m:r>
          </m:sub>
        </m:sSub>
        <m:r>
          <m:rPr>
            <m:sty m:val="p"/>
          </m:rPr>
          <w:rPr>
            <w:rFonts w:ascii="Cambria Math" w:eastAsia="Cambria Math" w:hAnsi="Cambria Math" w:cs="Calibri"/>
            <w:color w:val="000000"/>
          </w:rPr>
          <m:t>=</m:t>
        </m:r>
        <m:f>
          <m:fPr>
            <m:ctrlPr>
              <w:rPr>
                <w:rFonts w:ascii="Cambria Math" w:eastAsia="Cambria Math" w:hAnsi="Cambria Math" w:cs="Calibri"/>
                <w:color w:val="000000" w:themeColor="text1"/>
              </w:rPr>
            </m:ctrlPr>
          </m:fPr>
          <m:num>
            <m:r>
              <m:rPr>
                <m:sty m:val="p"/>
              </m:rPr>
              <w:rPr>
                <w:rFonts w:ascii="Cambria Math" w:eastAsia="Cambria Math" w:hAnsi="Cambria Math" w:cs="Calibri"/>
                <w:color w:val="000000" w:themeColor="text1"/>
              </w:rPr>
              <m:t>min</m:t>
            </m:r>
            <m:d>
              <m:dPr>
                <m:ctrlPr>
                  <w:rPr>
                    <w:rFonts w:ascii="Cambria Math" w:eastAsia="Cambria Math" w:hAnsi="Cambria Math" w:cs="Calibri"/>
                    <w:color w:val="000000" w:themeColor="text1"/>
                  </w:rPr>
                </m:ctrlPr>
              </m:dPr>
              <m:e>
                <m:sSub>
                  <m:sSubPr>
                    <m:ctrlPr>
                      <w:rPr>
                        <w:rFonts w:ascii="Cambria Math" w:eastAsia="Cambria Math" w:hAnsi="Cambria Math" w:cs="Calibri"/>
                        <w:color w:val="000000" w:themeColor="text1"/>
                      </w:rPr>
                    </m:ctrlPr>
                  </m:sSubPr>
                  <m:e>
                    <m:r>
                      <m:rPr>
                        <m:sty m:val="p"/>
                      </m:rPr>
                      <w:rPr>
                        <w:rFonts w:ascii="Cambria Math" w:eastAsia="Cambria Math" w:hAnsi="Cambria Math" w:cs="Calibri"/>
                        <w:color w:val="000000" w:themeColor="text1"/>
                      </w:rPr>
                      <m:t>x</m:t>
                    </m:r>
                  </m:e>
                  <m:sub>
                    <m:r>
                      <m:rPr>
                        <m:sty m:val="p"/>
                      </m:rPr>
                      <w:rPr>
                        <w:rFonts w:ascii="Cambria Math" w:eastAsia="Cambria Math" w:hAnsi="Cambria Math" w:cs="Calibri"/>
                        <w:color w:val="000000" w:themeColor="text1"/>
                      </w:rPr>
                      <m:t>ij</m:t>
                    </m:r>
                  </m:sub>
                </m:sSub>
              </m:e>
            </m:d>
          </m:num>
          <m:den>
            <m:sSub>
              <m:sSubPr>
                <m:ctrlPr>
                  <w:rPr>
                    <w:rFonts w:ascii="Cambria Math" w:eastAsia="Cambria Math" w:hAnsi="Cambria Math" w:cs="Calibri"/>
                    <w:color w:val="000000" w:themeColor="text1"/>
                  </w:rPr>
                </m:ctrlPr>
              </m:sSubPr>
              <m:e>
                <m:r>
                  <m:rPr>
                    <m:sty m:val="p"/>
                  </m:rPr>
                  <w:rPr>
                    <w:rFonts w:ascii="Cambria Math" w:eastAsia="Cambria Math" w:hAnsi="Cambria Math" w:cs="Calibri"/>
                    <w:color w:val="000000" w:themeColor="text1"/>
                  </w:rPr>
                  <m:t>x</m:t>
                </m:r>
              </m:e>
              <m:sub>
                <m:r>
                  <m:rPr>
                    <m:sty m:val="p"/>
                  </m:rPr>
                  <w:rPr>
                    <w:rFonts w:ascii="Cambria Math" w:eastAsia="Cambria Math" w:hAnsi="Cambria Math" w:cs="Calibri"/>
                    <w:color w:val="000000" w:themeColor="text1"/>
                  </w:rPr>
                  <m:t>ij</m:t>
                </m:r>
              </m:sub>
            </m:sSub>
          </m:den>
        </m:f>
      </m:oMath>
      <w:r w:rsidR="003F3440">
        <w:rPr>
          <w:rFonts w:ascii="Calibri" w:eastAsia="Cambria Math" w:hAnsi="Calibri" w:cs="Calibri"/>
          <w:color w:val="000000" w:themeColor="text1"/>
        </w:rPr>
        <w:t xml:space="preserve">                               (1)</w:t>
      </w:r>
    </w:p>
    <w:p w14:paraId="5F0DFF33" w14:textId="38F18BD5" w:rsidR="002443A4" w:rsidRDefault="00073C68" w:rsidP="00B3052B">
      <w:pPr>
        <w:spacing w:after="40" w:line="240" w:lineRule="auto"/>
        <w:jc w:val="both"/>
        <w:rPr>
          <w:rFonts w:ascii="Calibri" w:eastAsiaTheme="minorEastAsia" w:hAnsi="Calibri" w:cs="Calibri"/>
          <w:color w:val="000000"/>
        </w:rPr>
      </w:pPr>
      <w:r>
        <w:t xml:space="preserve">The final preference score </w:t>
      </w:r>
      <m:oMath>
        <m:sSub>
          <m:sSubPr>
            <m:ctrlPr>
              <w:rPr>
                <w:rFonts w:ascii="Cambria Math" w:eastAsia="Cambria Math" w:hAnsi="Cambria Math" w:cs="Calibri"/>
                <w:color w:val="000000"/>
              </w:rPr>
            </m:ctrlPr>
          </m:sSubPr>
          <m:e>
            <m:r>
              <w:rPr>
                <w:rFonts w:ascii="Cambria Math" w:eastAsia="Cambria Math" w:hAnsi="Cambria Math" w:cs="Calibri"/>
                <w:color w:val="000000"/>
              </w:rPr>
              <m:t>V</m:t>
            </m:r>
          </m:e>
          <m:sub>
            <m:r>
              <w:rPr>
                <w:rFonts w:ascii="Cambria Math" w:eastAsia="Cambria Math" w:hAnsi="Cambria Math" w:cs="Calibri"/>
                <w:color w:val="000000"/>
              </w:rPr>
              <m:t>i</m:t>
            </m:r>
          </m:sub>
        </m:sSub>
      </m:oMath>
      <w:r>
        <w:rPr>
          <w:rFonts w:eastAsiaTheme="minorEastAsia"/>
          <w:color w:val="000000"/>
        </w:rPr>
        <w:t xml:space="preserve"> </w:t>
      </w:r>
      <w:r>
        <w:t xml:space="preserve">for each alternative is then calculated </w:t>
      </w:r>
      <w:r w:rsidR="003F3440">
        <w:t>using Eq. (2).</w:t>
      </w:r>
      <w:r w:rsidR="00C304A0">
        <w:t xml:space="preserve"> </w:t>
      </w:r>
      <w:r w:rsidR="002443A4">
        <w:t xml:space="preserve">   </w:t>
      </w:r>
    </w:p>
    <w:p w14:paraId="58C28E62" w14:textId="5DC47486" w:rsidR="00B406E1" w:rsidRPr="00885C19" w:rsidRDefault="0011252F" w:rsidP="003F3440">
      <w:pPr>
        <w:spacing w:after="40" w:line="240" w:lineRule="auto"/>
        <w:jc w:val="center"/>
        <w:rPr>
          <w:rFonts w:ascii="Calibri" w:eastAsiaTheme="minorEastAsia" w:hAnsi="Calibri" w:cs="Calibri"/>
          <w:color w:val="000000"/>
        </w:rPr>
      </w:pPr>
      <m:oMath>
        <m:sSub>
          <m:sSubPr>
            <m:ctrlPr>
              <w:rPr>
                <w:rFonts w:ascii="Cambria Math" w:eastAsia="Cambria Math" w:hAnsi="Cambria Math" w:cs="Cambria Math"/>
                <w:color w:val="000000"/>
              </w:rPr>
            </m:ctrlPr>
          </m:sSubPr>
          <m:e>
            <m:r>
              <m:rPr>
                <m:sty m:val="p"/>
              </m:rPr>
              <w:rPr>
                <w:rFonts w:ascii="Cambria Math" w:eastAsia="Cambria Math" w:hAnsi="Cambria Math" w:cs="Cambria Math"/>
                <w:color w:val="000000"/>
              </w:rPr>
              <m:t>V</m:t>
            </m:r>
          </m:e>
          <m:sub>
            <m:r>
              <m:rPr>
                <m:sty m:val="p"/>
              </m:rPr>
              <w:rPr>
                <w:rFonts w:ascii="Cambria Math" w:eastAsia="Cambria Math" w:hAnsi="Cambria Math" w:cs="Cambria Math"/>
                <w:color w:val="000000"/>
              </w:rPr>
              <m:t>i</m:t>
            </m:r>
          </m:sub>
        </m:sSub>
        <m:r>
          <m:rPr>
            <m:sty m:val="p"/>
          </m:rPr>
          <w:rPr>
            <w:rFonts w:ascii="Cambria Math" w:eastAsia="Cambria Math" w:hAnsi="Cambria Math" w:cs="Cambria Math"/>
            <w:color w:val="000000"/>
          </w:rPr>
          <m:t xml:space="preserve"> = </m:t>
        </m:r>
        <m:sSubSup>
          <m:sSubSupPr>
            <m:ctrlPr>
              <w:rPr>
                <w:rFonts w:ascii="Cambria Math" w:eastAsia="Cambria Math" w:hAnsi="Cambria Math" w:cs="Cambria Math"/>
                <w:color w:val="000000"/>
              </w:rPr>
            </m:ctrlPr>
          </m:sSubSupPr>
          <m:e>
            <m:r>
              <m:rPr>
                <m:sty m:val="p"/>
              </m:rPr>
              <w:rPr>
                <w:rFonts w:ascii="Cambria Math" w:eastAsia="Cambria Math" w:hAnsi="Cambria Math" w:cs="Cambria Math"/>
                <w:color w:val="000000"/>
              </w:rPr>
              <m:t>Σ</m:t>
            </m:r>
          </m:e>
          <m:sub>
            <m:r>
              <m:rPr>
                <m:sty m:val="p"/>
              </m:rPr>
              <w:rPr>
                <w:rFonts w:ascii="Cambria Math" w:eastAsia="Cambria Math" w:hAnsi="Cambria Math" w:cs="Cambria Math"/>
                <w:color w:val="000000"/>
              </w:rPr>
              <m:t>j=1</m:t>
            </m:r>
          </m:sub>
          <m:sup>
            <m:r>
              <m:rPr>
                <m:sty m:val="p"/>
              </m:rPr>
              <w:rPr>
                <w:rFonts w:ascii="Cambria Math" w:eastAsia="Cambria Math" w:hAnsi="Cambria Math" w:cs="Cambria Math"/>
                <w:color w:val="000000"/>
              </w:rPr>
              <m:t>n</m:t>
            </m:r>
          </m:sup>
        </m:sSubSup>
        <m:d>
          <m:dPr>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m:rPr>
                    <m:sty m:val="p"/>
                  </m:rPr>
                  <w:rPr>
                    <w:rFonts w:ascii="Cambria Math" w:eastAsia="Cambria Math" w:hAnsi="Cambria Math" w:cs="Cambria Math"/>
                    <w:color w:val="000000"/>
                  </w:rPr>
                  <m:t>W</m:t>
                </m:r>
              </m:e>
              <m:sub>
                <m:r>
                  <m:rPr>
                    <m:sty m:val="p"/>
                  </m:rPr>
                  <w:rPr>
                    <w:rFonts w:ascii="Cambria Math" w:eastAsia="Cambria Math" w:hAnsi="Cambria Math" w:cs="Cambria Math"/>
                    <w:color w:val="000000"/>
                  </w:rPr>
                  <m:t>j</m:t>
                </m:r>
              </m:sub>
            </m:sSub>
            <m:r>
              <m:rPr>
                <m:sty m:val="p"/>
              </m:rPr>
              <w:rPr>
                <w:rFonts w:ascii="Cambria Math" w:eastAsia="Cambria Math" w:hAnsi="Cambria Math" w:cs="Cambria Math"/>
                <w:color w:val="000000"/>
              </w:rPr>
              <m:t xml:space="preserve">× </m:t>
            </m:r>
            <m:sSub>
              <m:sSubPr>
                <m:ctrlPr>
                  <w:rPr>
                    <w:rFonts w:ascii="Cambria Math" w:eastAsia="Cambria Math" w:hAnsi="Cambria Math" w:cs="Cambria Math"/>
                    <w:color w:val="000000"/>
                  </w:rPr>
                </m:ctrlPr>
              </m:sSubPr>
              <m:e>
                <m:r>
                  <m:rPr>
                    <m:sty m:val="p"/>
                  </m:rPr>
                  <w:rPr>
                    <w:rFonts w:ascii="Cambria Math" w:eastAsia="Cambria Math" w:hAnsi="Cambria Math" w:cs="Cambria Math"/>
                    <w:color w:val="000000"/>
                  </w:rPr>
                  <m:t>R</m:t>
                </m:r>
              </m:e>
              <m:sub>
                <m:r>
                  <m:rPr>
                    <m:sty m:val="p"/>
                  </m:rPr>
                  <w:rPr>
                    <w:rFonts w:ascii="Cambria Math" w:eastAsia="Cambria Math" w:hAnsi="Cambria Math" w:cs="Cambria Math"/>
                    <w:color w:val="000000"/>
                  </w:rPr>
                  <m:t>ij</m:t>
                </m:r>
              </m:sub>
            </m:sSub>
          </m:e>
        </m:d>
      </m:oMath>
      <w:r w:rsidR="003F3440">
        <w:rPr>
          <w:rFonts w:ascii="Calibri" w:eastAsiaTheme="minorEastAsia" w:hAnsi="Calibri" w:cs="Calibri"/>
          <w:color w:val="000000"/>
        </w:rPr>
        <w:t xml:space="preserve">                 (2)</w:t>
      </w:r>
    </w:p>
    <w:p w14:paraId="045D8C7A" w14:textId="0ADF2AB0" w:rsidR="004F086D" w:rsidRDefault="00073C68" w:rsidP="00B3052B">
      <w:pPr>
        <w:spacing w:after="40" w:line="240" w:lineRule="auto"/>
        <w:jc w:val="both"/>
        <w:rPr>
          <w:rFonts w:ascii="Calibri" w:hAnsi="Calibri" w:cs="Calibri"/>
        </w:rPr>
      </w:pPr>
      <w:r w:rsidRPr="00073C68">
        <w:rPr>
          <w:rFonts w:ascii="Calibri" w:hAnsi="Calibri" w:cs="Calibri"/>
        </w:rPr>
        <w:t>where</w:t>
      </w:r>
      <w:r w:rsidR="00F16A69">
        <w:rPr>
          <w:rFonts w:ascii="Calibri" w:hAnsi="Calibri" w:cs="Calibri"/>
        </w:rPr>
        <w:t xml:space="preserve">  </w:t>
      </w:r>
      <m:oMath>
        <m:sSub>
          <m:sSubPr>
            <m:ctrlPr>
              <w:rPr>
                <w:rFonts w:ascii="Cambria Math" w:eastAsia="Cambria Math" w:hAnsi="Cambria Math" w:cs="Calibri"/>
                <w:color w:val="000000"/>
              </w:rPr>
            </m:ctrlPr>
          </m:sSubPr>
          <m:e>
            <m:r>
              <m:rPr>
                <m:sty m:val="p"/>
              </m:rPr>
              <w:rPr>
                <w:rFonts w:ascii="Cambria Math" w:eastAsia="Cambria Math" w:hAnsi="Cambria Math" w:cs="Calibri"/>
                <w:color w:val="000000"/>
              </w:rPr>
              <m:t>x</m:t>
            </m:r>
          </m:e>
          <m:sub>
            <m:r>
              <m:rPr>
                <m:sty m:val="p"/>
              </m:rPr>
              <w:rPr>
                <w:rFonts w:ascii="Cambria Math" w:eastAsia="Cambria Math" w:hAnsi="Cambria Math" w:cs="Calibri"/>
                <w:color w:val="000000"/>
              </w:rPr>
              <m:t>ij</m:t>
            </m:r>
          </m:sub>
        </m:sSub>
      </m:oMath>
      <w:r w:rsidR="00F16A69">
        <w:rPr>
          <w:rFonts w:ascii="Calibri" w:hAnsi="Calibri" w:cs="Calibri"/>
        </w:rPr>
        <w:t xml:space="preserve">  </w:t>
      </w:r>
      <w:r w:rsidR="00F16A69" w:rsidRPr="00F16A69">
        <w:rPr>
          <w:rFonts w:ascii="Calibri" w:hAnsi="Calibri" w:cs="Calibri"/>
        </w:rPr>
        <w:t>is the original (unnormalized) value of the</w:t>
      </w:r>
      <w:r w:rsidR="00F16A69">
        <w:rPr>
          <w:rFonts w:ascii="Calibri" w:hAnsi="Calibri" w:cs="Calibri"/>
        </w:rPr>
        <w:t xml:space="preserve"> </w:t>
      </w:r>
      <w:proofErr w:type="spellStart"/>
      <w:r w:rsidR="00F16A69">
        <w:rPr>
          <w:rFonts w:ascii="Calibri" w:hAnsi="Calibri" w:cs="Calibri"/>
        </w:rPr>
        <w:t>i</w:t>
      </w:r>
      <w:r w:rsidR="00F16A69" w:rsidRPr="00F16A69">
        <w:rPr>
          <w:rFonts w:ascii="Calibri" w:hAnsi="Calibri" w:cs="Calibri"/>
          <w:vertAlign w:val="superscript"/>
        </w:rPr>
        <w:t>th</w:t>
      </w:r>
      <w:proofErr w:type="spellEnd"/>
      <w:r w:rsidR="00F16A69">
        <w:rPr>
          <w:rFonts w:ascii="Calibri" w:hAnsi="Calibri" w:cs="Calibri"/>
        </w:rPr>
        <w:t xml:space="preserve"> </w:t>
      </w:r>
      <w:r w:rsidR="00F16A69" w:rsidRPr="00F16A69">
        <w:rPr>
          <w:rFonts w:ascii="Calibri" w:hAnsi="Calibri" w:cs="Calibri"/>
        </w:rPr>
        <w:t>design alternative</w:t>
      </w:r>
      <w:r w:rsidR="00F16A69">
        <w:rPr>
          <w:rFonts w:ascii="Calibri" w:hAnsi="Calibri" w:cs="Calibri"/>
        </w:rPr>
        <w:t xml:space="preserve"> (A</w:t>
      </w:r>
      <w:r w:rsidR="00F16A69" w:rsidRPr="00F16A69">
        <w:rPr>
          <w:rFonts w:ascii="Calibri" w:hAnsi="Calibri" w:cs="Calibri"/>
          <w:vertAlign w:val="subscript"/>
        </w:rPr>
        <w:t>i</w:t>
      </w:r>
      <w:r w:rsidR="00F16A69">
        <w:rPr>
          <w:rFonts w:ascii="Calibri" w:hAnsi="Calibri" w:cs="Calibri"/>
        </w:rPr>
        <w:t xml:space="preserve">) </w:t>
      </w:r>
      <w:r w:rsidR="00F16A69" w:rsidRPr="00F16A69">
        <w:rPr>
          <w:rFonts w:ascii="Calibri" w:hAnsi="Calibri" w:cs="Calibri"/>
        </w:rPr>
        <w:t>with respect to the</w:t>
      </w:r>
      <w:r w:rsidR="00F16A69">
        <w:rPr>
          <w:rFonts w:ascii="Calibri" w:hAnsi="Calibri" w:cs="Calibri"/>
        </w:rPr>
        <w:t xml:space="preserve"> </w:t>
      </w:r>
      <w:proofErr w:type="spellStart"/>
      <w:r w:rsidR="00F16A69">
        <w:rPr>
          <w:rFonts w:ascii="Calibri" w:hAnsi="Calibri" w:cs="Calibri"/>
        </w:rPr>
        <w:t>j</w:t>
      </w:r>
      <w:r w:rsidR="00F16A69" w:rsidRPr="00F16A69">
        <w:rPr>
          <w:rFonts w:ascii="Calibri" w:hAnsi="Calibri" w:cs="Calibri"/>
          <w:vertAlign w:val="superscript"/>
        </w:rPr>
        <w:t>th</w:t>
      </w:r>
      <w:proofErr w:type="spellEnd"/>
      <w:r w:rsidR="00F16A69">
        <w:rPr>
          <w:rFonts w:ascii="Calibri" w:hAnsi="Calibri" w:cs="Calibri"/>
        </w:rPr>
        <w:t xml:space="preserve"> </w:t>
      </w:r>
      <w:r w:rsidR="00F16A69" w:rsidRPr="00F16A69">
        <w:rPr>
          <w:rFonts w:ascii="Calibri" w:hAnsi="Calibri" w:cs="Calibri"/>
        </w:rPr>
        <w:t>evaluation criterion</w:t>
      </w:r>
      <w:r w:rsidR="00F16A69">
        <w:rPr>
          <w:rFonts w:ascii="Calibri" w:hAnsi="Calibri" w:cs="Calibri"/>
        </w:rPr>
        <w:t xml:space="preserve"> (</w:t>
      </w:r>
      <w:proofErr w:type="spellStart"/>
      <w:r w:rsidR="00F16A69">
        <w:rPr>
          <w:rFonts w:ascii="Calibri" w:hAnsi="Calibri" w:cs="Calibri"/>
        </w:rPr>
        <w:t>C</w:t>
      </w:r>
      <w:r w:rsidR="00F16A69" w:rsidRPr="00F16A69">
        <w:rPr>
          <w:rFonts w:ascii="Calibri" w:hAnsi="Calibri" w:cs="Calibri"/>
          <w:vertAlign w:val="subscript"/>
        </w:rPr>
        <w:t>j</w:t>
      </w:r>
      <w:proofErr w:type="spellEnd"/>
      <w:r w:rsidR="00801FB3">
        <w:rPr>
          <w:rFonts w:ascii="Calibri" w:hAnsi="Calibri" w:cs="Calibri"/>
        </w:rPr>
        <w:t xml:space="preserve">), and </w:t>
      </w:r>
      <w:r w:rsidR="00291387">
        <w:rPr>
          <w:rFonts w:ascii="Calibri" w:hAnsi="Calibri" w:cs="Calibri"/>
        </w:rPr>
        <w:t>min</w:t>
      </w:r>
      <w:r w:rsidR="00801FB3">
        <w:rPr>
          <w:rFonts w:ascii="Calibri" w:hAnsi="Calibri" w:cs="Calibri"/>
        </w:rPr>
        <w:t>(</w:t>
      </w:r>
      <w:proofErr w:type="spellStart"/>
      <w:r w:rsidR="00801FB3">
        <w:rPr>
          <w:rFonts w:ascii="Calibri" w:hAnsi="Calibri" w:cs="Calibri"/>
        </w:rPr>
        <w:t>x</w:t>
      </w:r>
      <w:r w:rsidR="00801FB3" w:rsidRPr="00801FB3">
        <w:rPr>
          <w:rFonts w:ascii="Calibri" w:hAnsi="Calibri" w:cs="Calibri"/>
          <w:vertAlign w:val="subscript"/>
        </w:rPr>
        <w:t>ij</w:t>
      </w:r>
      <w:proofErr w:type="spellEnd"/>
      <w:r w:rsidR="00801FB3">
        <w:rPr>
          <w:rFonts w:ascii="Calibri" w:hAnsi="Calibri" w:cs="Calibri"/>
        </w:rPr>
        <w:t xml:space="preserve">) is the </w:t>
      </w:r>
      <w:r w:rsidR="00291387">
        <w:rPr>
          <w:rFonts w:ascii="Calibri" w:hAnsi="Calibri" w:cs="Calibri"/>
        </w:rPr>
        <w:t xml:space="preserve">minimum </w:t>
      </w:r>
      <w:r w:rsidR="00801FB3">
        <w:rPr>
          <w:rFonts w:ascii="Calibri" w:hAnsi="Calibri" w:cs="Calibri"/>
        </w:rPr>
        <w:t xml:space="preserve">value of criterion </w:t>
      </w:r>
      <w:proofErr w:type="spellStart"/>
      <w:r w:rsidR="00801FB3">
        <w:rPr>
          <w:rFonts w:ascii="Calibri" w:hAnsi="Calibri" w:cs="Calibri"/>
        </w:rPr>
        <w:t>C</w:t>
      </w:r>
      <w:r w:rsidR="00801FB3" w:rsidRPr="00801FB3">
        <w:rPr>
          <w:rFonts w:ascii="Calibri" w:hAnsi="Calibri" w:cs="Calibri"/>
          <w:vertAlign w:val="subscript"/>
        </w:rPr>
        <w:t>j</w:t>
      </w:r>
      <w:proofErr w:type="spellEnd"/>
      <w:r w:rsidR="00801FB3">
        <w:rPr>
          <w:rFonts w:ascii="Calibri" w:hAnsi="Calibri" w:cs="Calibri"/>
        </w:rPr>
        <w:t xml:space="preserve"> among all alternatives</w:t>
      </w:r>
      <w:r w:rsidR="00291387">
        <w:rPr>
          <w:rFonts w:ascii="Calibri" w:hAnsi="Calibri" w:cs="Calibri"/>
        </w:rPr>
        <w:t xml:space="preserve"> and</w:t>
      </w:r>
      <w:r w:rsidR="00801FB3">
        <w:rPr>
          <w:rFonts w:ascii="Calibri" w:hAnsi="Calibri" w:cs="Calibri"/>
        </w:rPr>
        <w:t xml:space="preserve"> </w:t>
      </w:r>
      <m:oMath>
        <m:sSub>
          <m:sSubPr>
            <m:ctrlPr>
              <w:rPr>
                <w:rFonts w:ascii="Cambria Math" w:eastAsia="Cambria Math" w:hAnsi="Cambria Math" w:cs="Calibri"/>
                <w:color w:val="000000"/>
              </w:rPr>
            </m:ctrlPr>
          </m:sSubPr>
          <m:e>
            <m:r>
              <w:rPr>
                <w:rFonts w:ascii="Cambria Math" w:eastAsia="Cambria Math" w:hAnsi="Cambria Math" w:cs="Calibri"/>
                <w:color w:val="000000"/>
              </w:rPr>
              <m:t>W</m:t>
            </m:r>
          </m:e>
          <m:sub>
            <m:r>
              <w:rPr>
                <w:rFonts w:ascii="Cambria Math" w:eastAsia="Cambria Math" w:hAnsi="Cambria Math" w:cs="Calibri"/>
                <w:color w:val="000000"/>
              </w:rPr>
              <m:t>j</m:t>
            </m:r>
          </m:sub>
        </m:sSub>
      </m:oMath>
      <w:r>
        <w:rPr>
          <w:rFonts w:ascii="Calibri" w:eastAsiaTheme="minorEastAsia" w:hAnsi="Calibri" w:cs="Calibri"/>
          <w:color w:val="000000"/>
        </w:rPr>
        <w:t xml:space="preserve"> </w:t>
      </w:r>
      <w:r w:rsidRPr="00073C68">
        <w:rPr>
          <w:rFonts w:ascii="Calibri" w:hAnsi="Calibri" w:cs="Calibri"/>
        </w:rPr>
        <w:t xml:space="preserve">is the assigned weight of </w:t>
      </w:r>
      <w:r w:rsidR="00291387">
        <w:rPr>
          <w:rFonts w:ascii="Calibri" w:hAnsi="Calibri" w:cs="Calibri"/>
        </w:rPr>
        <w:t xml:space="preserve">criterion </w:t>
      </w:r>
      <w:r w:rsidRPr="00073C68">
        <w:rPr>
          <w:rFonts w:ascii="Calibri" w:hAnsi="Calibri" w:cs="Calibri"/>
        </w:rPr>
        <w:t>(</w:t>
      </w:r>
      <w:proofErr w:type="spellStart"/>
      <w:r w:rsidRPr="00073C68">
        <w:rPr>
          <w:rFonts w:ascii="Calibri" w:hAnsi="Calibri" w:cs="Calibri"/>
        </w:rPr>
        <w:t>Arsyah</w:t>
      </w:r>
      <w:proofErr w:type="spellEnd"/>
      <w:r w:rsidRPr="00073C68">
        <w:rPr>
          <w:rFonts w:ascii="Calibri" w:hAnsi="Calibri" w:cs="Calibri"/>
        </w:rPr>
        <w:t>, R.I., et al., 2021</w:t>
      </w:r>
      <w:r w:rsidR="00291387">
        <w:rPr>
          <w:rFonts w:ascii="Calibri" w:hAnsi="Calibri" w:cs="Calibri"/>
        </w:rPr>
        <w:t>)</w:t>
      </w:r>
      <w:r w:rsidRPr="00073C68">
        <w:rPr>
          <w:rFonts w:ascii="Calibri" w:hAnsi="Calibri" w:cs="Calibri"/>
        </w:rPr>
        <w:t xml:space="preserve">. </w:t>
      </w:r>
      <w:r w:rsidR="00721EE6">
        <w:rPr>
          <w:rFonts w:ascii="Calibri" w:hAnsi="Calibri" w:cs="Calibri"/>
        </w:rPr>
        <w:t>L</w:t>
      </w:r>
      <w:r w:rsidR="00721EE6" w:rsidRPr="00073C68">
        <w:rPr>
          <w:rFonts w:ascii="Calibri" w:hAnsi="Calibri" w:cs="Calibri"/>
        </w:rPr>
        <w:t>ower values represent superior sustainable performance</w:t>
      </w:r>
      <w:r w:rsidR="00721EE6">
        <w:rPr>
          <w:rFonts w:ascii="Calibri" w:hAnsi="Calibri" w:cs="Calibri"/>
        </w:rPr>
        <w:t xml:space="preserve"> for a</w:t>
      </w:r>
      <w:r w:rsidRPr="00073C68">
        <w:rPr>
          <w:rFonts w:ascii="Calibri" w:hAnsi="Calibri" w:cs="Calibri"/>
        </w:rPr>
        <w:t>ll three criteria</w:t>
      </w:r>
      <w:r w:rsidR="00721EE6">
        <w:rPr>
          <w:rFonts w:ascii="Calibri" w:hAnsi="Calibri" w:cs="Calibri"/>
        </w:rPr>
        <w:t xml:space="preserve">: </w:t>
      </w:r>
      <w:r w:rsidRPr="00073C68">
        <w:rPr>
          <w:rFonts w:ascii="Calibri" w:hAnsi="Calibri" w:cs="Calibri"/>
        </w:rPr>
        <w:t>life-cycle energy, life-cycle carbon, and life-cycle cost</w:t>
      </w:r>
      <w:r w:rsidRPr="00B3052B">
        <w:rPr>
          <w:rFonts w:ascii="Calibri" w:hAnsi="Calibri" w:cs="Calibri"/>
        </w:rPr>
        <w:t>. Three priority scenarios were evaluated</w:t>
      </w:r>
      <w:r w:rsidR="00291387">
        <w:rPr>
          <w:rFonts w:ascii="Calibri" w:hAnsi="Calibri" w:cs="Calibri"/>
        </w:rPr>
        <w:t xml:space="preserve"> </w:t>
      </w:r>
      <w:r w:rsidR="00291387" w:rsidRPr="00AA75F2">
        <w:rPr>
          <w:rFonts w:ascii="Calibri" w:hAnsi="Calibri" w:cs="Calibri"/>
        </w:rPr>
        <w:t>by assigning a weight of 0.70 to energy, carbon, or cos</w:t>
      </w:r>
      <w:r w:rsidR="00291387">
        <w:rPr>
          <w:rFonts w:ascii="Calibri" w:hAnsi="Calibri" w:cs="Calibri"/>
        </w:rPr>
        <w:t>t,</w:t>
      </w:r>
      <w:r w:rsidRPr="00B3052B">
        <w:rPr>
          <w:rFonts w:ascii="Calibri" w:hAnsi="Calibri" w:cs="Calibri"/>
        </w:rPr>
        <w:t xml:space="preserve"> </w:t>
      </w:r>
      <w:r w:rsidRPr="00073C68">
        <w:rPr>
          <w:rFonts w:ascii="Calibri" w:hAnsi="Calibri" w:cs="Calibri"/>
        </w:rPr>
        <w:t xml:space="preserve">with the remaining </w:t>
      </w:r>
      <w:r w:rsidR="00291387">
        <w:rPr>
          <w:rFonts w:ascii="Calibri" w:hAnsi="Calibri" w:cs="Calibri"/>
        </w:rPr>
        <w:t xml:space="preserve">0.3 </w:t>
      </w:r>
      <w:r w:rsidRPr="00073C68">
        <w:rPr>
          <w:rFonts w:ascii="Calibri" w:hAnsi="Calibri" w:cs="Calibri"/>
        </w:rPr>
        <w:t xml:space="preserve">equally </w:t>
      </w:r>
      <w:r w:rsidR="00291387" w:rsidRPr="00073C68">
        <w:rPr>
          <w:rFonts w:ascii="Calibri" w:hAnsi="Calibri" w:cs="Calibri"/>
        </w:rPr>
        <w:t xml:space="preserve">distributed </w:t>
      </w:r>
      <w:r w:rsidR="00291387">
        <w:rPr>
          <w:rFonts w:ascii="Calibri" w:hAnsi="Calibri" w:cs="Calibri"/>
        </w:rPr>
        <w:t>between</w:t>
      </w:r>
      <w:r w:rsidR="00291387" w:rsidRPr="00073C68">
        <w:rPr>
          <w:rFonts w:ascii="Calibri" w:hAnsi="Calibri" w:cs="Calibri"/>
        </w:rPr>
        <w:t xml:space="preserve"> </w:t>
      </w:r>
      <w:r w:rsidRPr="00073C68">
        <w:rPr>
          <w:rFonts w:ascii="Calibri" w:hAnsi="Calibri" w:cs="Calibri"/>
        </w:rPr>
        <w:t>the other two criteri</w:t>
      </w:r>
      <w:r w:rsidR="00291387">
        <w:rPr>
          <w:rFonts w:ascii="Calibri" w:hAnsi="Calibri" w:cs="Calibri"/>
        </w:rPr>
        <w:t>a.</w:t>
      </w:r>
      <w:r w:rsidRPr="00073C68">
        <w:rPr>
          <w:rFonts w:ascii="Calibri" w:hAnsi="Calibri" w:cs="Calibri"/>
        </w:rPr>
        <w:t xml:space="preserve"> A dynamic Excel-based SAW tool </w:t>
      </w:r>
      <w:r w:rsidR="00291387" w:rsidRPr="00AA75F2">
        <w:rPr>
          <w:rFonts w:ascii="Calibri" w:hAnsi="Calibri" w:cs="Calibri"/>
        </w:rPr>
        <w:t>enabled real-time weight adjustment and automatic updating of</w:t>
      </w:r>
      <w:r w:rsidR="00291387" w:rsidRPr="00073C68" w:rsidDel="00291387">
        <w:rPr>
          <w:rFonts w:ascii="Calibri" w:hAnsi="Calibri" w:cs="Calibri"/>
        </w:rPr>
        <w:t xml:space="preserve"> </w:t>
      </w:r>
      <w:r w:rsidR="00721EE6">
        <w:rPr>
          <w:rFonts w:ascii="Calibri" w:hAnsi="Calibri" w:cs="Calibri"/>
        </w:rPr>
        <w:t>normalized scores and rankings for all 13</w:t>
      </w:r>
      <w:r w:rsidRPr="00073C68">
        <w:rPr>
          <w:rFonts w:ascii="Calibri" w:hAnsi="Calibri" w:cs="Calibri"/>
        </w:rPr>
        <w:t xml:space="preserve"> </w:t>
      </w:r>
      <w:r w:rsidR="00291387">
        <w:rPr>
          <w:rFonts w:ascii="Calibri" w:hAnsi="Calibri" w:cs="Calibri"/>
        </w:rPr>
        <w:t>models</w:t>
      </w:r>
      <w:r w:rsidRPr="00073C68">
        <w:rPr>
          <w:rFonts w:ascii="Calibri" w:hAnsi="Calibri" w:cs="Calibri"/>
        </w:rPr>
        <w:t>.</w:t>
      </w:r>
    </w:p>
    <w:p w14:paraId="75018881" w14:textId="77777777" w:rsidR="00F84F9C" w:rsidRDefault="00F84F9C" w:rsidP="00B3052B">
      <w:pPr>
        <w:spacing w:after="40" w:line="240" w:lineRule="auto"/>
        <w:jc w:val="both"/>
        <w:rPr>
          <w:rFonts w:ascii="Calibri" w:hAnsi="Calibri" w:cs="Calibri"/>
        </w:rPr>
      </w:pPr>
    </w:p>
    <w:p w14:paraId="58FBE5FB" w14:textId="4D022598" w:rsidR="005F6253" w:rsidRDefault="005F6253" w:rsidP="005F6253">
      <w:pPr>
        <w:pStyle w:val="ListParagraph"/>
        <w:numPr>
          <w:ilvl w:val="0"/>
          <w:numId w:val="1"/>
        </w:numPr>
        <w:spacing w:after="40" w:line="240" w:lineRule="auto"/>
        <w:rPr>
          <w:rFonts w:ascii="Calibri" w:hAnsi="Calibri" w:cs="Calibri"/>
          <w:b/>
          <w:bCs/>
          <w:sz w:val="28"/>
          <w:lang w:val="en-IN"/>
        </w:rPr>
      </w:pPr>
      <w:r w:rsidRPr="005F6253">
        <w:rPr>
          <w:rFonts w:ascii="Calibri" w:hAnsi="Calibri" w:cs="Calibri"/>
          <w:b/>
          <w:bCs/>
          <w:sz w:val="28"/>
          <w:lang w:val="en-IN"/>
        </w:rPr>
        <w:t>RESULTS</w:t>
      </w:r>
    </w:p>
    <w:p w14:paraId="5F29DE8C" w14:textId="3A194626" w:rsidR="005F6253" w:rsidRPr="005F6253" w:rsidRDefault="005F6253" w:rsidP="00AE0C2C">
      <w:pPr>
        <w:pStyle w:val="Heading2"/>
        <w:rPr>
          <w:lang w:val="en-IN"/>
        </w:rPr>
      </w:pPr>
      <w:r w:rsidRPr="005F6253">
        <w:rPr>
          <w:lang w:val="en-IN"/>
        </w:rPr>
        <w:t>3.1 Life-Cycle Energy</w:t>
      </w:r>
    </w:p>
    <w:p w14:paraId="644B9BF7" w14:textId="2F4F800A" w:rsidR="005F6253" w:rsidRDefault="005F6253" w:rsidP="00C11AC3">
      <w:pPr>
        <w:spacing w:after="40" w:line="240" w:lineRule="auto"/>
        <w:jc w:val="both"/>
        <w:rPr>
          <w:rFonts w:ascii="Calibri" w:hAnsi="Calibri" w:cs="Calibri"/>
          <w:lang w:val="en-IN"/>
        </w:rPr>
      </w:pPr>
      <w:r>
        <w:rPr>
          <w:rFonts w:ascii="Calibri" w:hAnsi="Calibri" w:cs="Calibri"/>
          <w:lang w:val="en-IN"/>
        </w:rPr>
        <w:t xml:space="preserve">          </w:t>
      </w:r>
      <w:r w:rsidR="00F84F9C" w:rsidRPr="00F84F9C">
        <w:rPr>
          <w:rFonts w:ascii="Calibri" w:hAnsi="Calibri" w:cs="Calibri"/>
          <w:lang w:val="en-IN"/>
        </w:rPr>
        <w:t xml:space="preserve">Table 2 summarizes the consolidated life-cycle energy for all alternatives. </w:t>
      </w:r>
      <w:r w:rsidRPr="005F6253">
        <w:rPr>
          <w:rFonts w:ascii="Calibri" w:hAnsi="Calibri" w:cs="Calibri"/>
          <w:lang w:val="en-IN"/>
        </w:rPr>
        <w:t xml:space="preserve">The baseline recorded an EUI of 98.70 kWh/m²/year from Autodesk Insight simulation, yielding a total life-cycle energy of 1,131.29 MWh over 50 years. Alternative 10 (AAC walls, overhangs, </w:t>
      </w:r>
      <w:r w:rsidR="009D09DE">
        <w:rPr>
          <w:rFonts w:ascii="Calibri" w:hAnsi="Calibri" w:cs="Calibri"/>
          <w:lang w:val="en-IN"/>
        </w:rPr>
        <w:t>full-pitched</w:t>
      </w:r>
      <w:r w:rsidRPr="005F6253">
        <w:rPr>
          <w:rFonts w:ascii="Calibri" w:hAnsi="Calibri" w:cs="Calibri"/>
          <w:lang w:val="en-IN"/>
        </w:rPr>
        <w:t xml:space="preserve"> roof, high sill) achieved the lowest EUI at 80.86 kWh/m²/year</w:t>
      </w:r>
      <w:r>
        <w:rPr>
          <w:rFonts w:ascii="Calibri" w:hAnsi="Calibri" w:cs="Calibri"/>
          <w:lang w:val="en-IN"/>
        </w:rPr>
        <w:t xml:space="preserve">, </w:t>
      </w:r>
      <w:r w:rsidRPr="005F6253">
        <w:rPr>
          <w:rFonts w:ascii="Calibri" w:hAnsi="Calibri" w:cs="Calibri"/>
          <w:lang w:val="en-IN"/>
        </w:rPr>
        <w:t>an 18.07% reduction</w:t>
      </w:r>
      <w:r>
        <w:rPr>
          <w:rFonts w:ascii="Calibri" w:hAnsi="Calibri" w:cs="Calibri"/>
          <w:lang w:val="en-IN"/>
        </w:rPr>
        <w:t xml:space="preserve">, </w:t>
      </w:r>
      <w:r w:rsidRPr="005F6253">
        <w:rPr>
          <w:rFonts w:ascii="Calibri" w:hAnsi="Calibri" w:cs="Calibri"/>
          <w:lang w:val="en-IN"/>
        </w:rPr>
        <w:t>and the lowest total life-cycle energy at 924.16 MWh. Alternative 5 (flat RCC roof) was the sole configuration to perform worse than the baseline, recording an EUI of 110.91 kWh/m²/year</w:t>
      </w:r>
      <w:r w:rsidR="009D09DE">
        <w:rPr>
          <w:rFonts w:ascii="Calibri" w:hAnsi="Calibri" w:cs="Calibri"/>
          <w:lang w:val="en-IN"/>
        </w:rPr>
        <w:t xml:space="preserve">, </w:t>
      </w:r>
      <w:r w:rsidRPr="005F6253">
        <w:rPr>
          <w:rFonts w:ascii="Calibri" w:hAnsi="Calibri" w:cs="Calibri"/>
          <w:lang w:val="en-IN"/>
        </w:rPr>
        <w:t>12.37%</w:t>
      </w:r>
      <w:r w:rsidR="009D09DE">
        <w:rPr>
          <w:rFonts w:ascii="Calibri" w:hAnsi="Calibri" w:cs="Calibri"/>
          <w:lang w:val="en-IN"/>
        </w:rPr>
        <w:t xml:space="preserve"> more than the baseline</w:t>
      </w:r>
      <w:r w:rsidRPr="005F6253">
        <w:rPr>
          <w:rFonts w:ascii="Calibri" w:hAnsi="Calibri" w:cs="Calibri"/>
          <w:lang w:val="en-IN"/>
        </w:rPr>
        <w:t>, confirming that replacing the PUF-insulated pitched roof with an uninsulated concrete slab significantly amplifies solar heat gain in a hot and humid climate. Orientation-only changes (Alt. 1) produced a negligible EUI reduction of 0.03%, while AAC wall substitution alone (Alt. 2) achieved 8.38%</w:t>
      </w:r>
      <w:r w:rsidR="009D09DE">
        <w:rPr>
          <w:rFonts w:ascii="Calibri" w:hAnsi="Calibri" w:cs="Calibri"/>
          <w:lang w:val="en-IN"/>
        </w:rPr>
        <w:t xml:space="preserve"> reduction</w:t>
      </w:r>
      <w:r w:rsidRPr="005F6253">
        <w:rPr>
          <w:rFonts w:ascii="Calibri" w:hAnsi="Calibri" w:cs="Calibri"/>
          <w:lang w:val="en-IN"/>
        </w:rPr>
        <w:t xml:space="preserve"> under identical orientation, establishing envelope thermal resistance as the primary driver of cooling load reduction.</w:t>
      </w:r>
    </w:p>
    <w:p w14:paraId="38CD0CB2" w14:textId="77777777" w:rsidR="00F84F9C" w:rsidRPr="001F6E38" w:rsidRDefault="00F84F9C" w:rsidP="00343412">
      <w:pPr>
        <w:pStyle w:val="Caption"/>
        <w:keepNext/>
        <w:spacing w:before="120" w:after="120"/>
        <w:rPr>
          <w:rFonts w:ascii="Calibri" w:hAnsi="Calibri" w:cs="Calibri"/>
          <w:color w:val="auto"/>
          <w:sz w:val="20"/>
        </w:rPr>
      </w:pPr>
      <w:r w:rsidRPr="00C7712C">
        <w:rPr>
          <w:rFonts w:ascii="Calibri" w:hAnsi="Calibri" w:cs="Calibri"/>
          <w:b/>
          <w:color w:val="auto"/>
          <w:sz w:val="20"/>
        </w:rPr>
        <w:t xml:space="preserve">Table </w:t>
      </w:r>
      <w:r w:rsidRPr="00C7712C">
        <w:rPr>
          <w:rFonts w:ascii="Calibri" w:hAnsi="Calibri" w:cs="Calibri"/>
          <w:b/>
          <w:color w:val="auto"/>
          <w:sz w:val="20"/>
        </w:rPr>
        <w:fldChar w:fldCharType="begin"/>
      </w:r>
      <w:r w:rsidRPr="00C7712C">
        <w:rPr>
          <w:rFonts w:ascii="Calibri" w:hAnsi="Calibri" w:cs="Calibri"/>
          <w:b/>
          <w:color w:val="auto"/>
          <w:sz w:val="20"/>
        </w:rPr>
        <w:instrText xml:space="preserve"> SEQ Table \* ARABIC </w:instrText>
      </w:r>
      <w:r w:rsidRPr="00C7712C">
        <w:rPr>
          <w:rFonts w:ascii="Calibri" w:hAnsi="Calibri" w:cs="Calibri"/>
          <w:b/>
          <w:color w:val="auto"/>
          <w:sz w:val="20"/>
        </w:rPr>
        <w:fldChar w:fldCharType="separate"/>
      </w:r>
      <w:r w:rsidRPr="00C7712C">
        <w:rPr>
          <w:rFonts w:ascii="Calibri" w:hAnsi="Calibri" w:cs="Calibri"/>
          <w:b/>
          <w:noProof/>
          <w:color w:val="auto"/>
          <w:sz w:val="20"/>
        </w:rPr>
        <w:t>2</w:t>
      </w:r>
      <w:r w:rsidRPr="00C7712C">
        <w:rPr>
          <w:rFonts w:ascii="Calibri" w:hAnsi="Calibri" w:cs="Calibri"/>
          <w:b/>
          <w:noProof/>
          <w:color w:val="auto"/>
          <w:sz w:val="20"/>
        </w:rPr>
        <w:fldChar w:fldCharType="end"/>
      </w:r>
      <w:r w:rsidRPr="00C7712C">
        <w:rPr>
          <w:rFonts w:ascii="Calibri" w:hAnsi="Calibri" w:cs="Calibri"/>
          <w:b/>
          <w:color w:val="auto"/>
          <w:sz w:val="20"/>
        </w:rPr>
        <w:t>:</w:t>
      </w:r>
      <w:r w:rsidRPr="001F6E38">
        <w:rPr>
          <w:rFonts w:ascii="Calibri" w:hAnsi="Calibri" w:cs="Calibri"/>
          <w:color w:val="auto"/>
          <w:sz w:val="20"/>
        </w:rPr>
        <w:t xml:space="preserve"> Combined Life-Cycle Energy, Cost, and Carbon across all alternatives</w:t>
      </w:r>
    </w:p>
    <w:tbl>
      <w:tblPr>
        <w:tblW w:w="9356" w:type="dxa"/>
        <w:jc w:val="center"/>
        <w:tblLayout w:type="fixed"/>
        <w:tblLook w:val="0400" w:firstRow="0" w:lastRow="0" w:firstColumn="0" w:lastColumn="0" w:noHBand="0" w:noVBand="1"/>
      </w:tblPr>
      <w:tblGrid>
        <w:gridCol w:w="5670"/>
        <w:gridCol w:w="1134"/>
        <w:gridCol w:w="1560"/>
        <w:gridCol w:w="992"/>
      </w:tblGrid>
      <w:tr w:rsidR="00F84F9C" w:rsidRPr="00951FA2" w14:paraId="2818DEC0" w14:textId="77777777" w:rsidTr="00343412">
        <w:trPr>
          <w:trHeight w:val="340"/>
          <w:jc w:val="center"/>
        </w:trPr>
        <w:tc>
          <w:tcPr>
            <w:tcW w:w="5670" w:type="dxa"/>
            <w:tcBorders>
              <w:top w:val="single" w:sz="4" w:space="0" w:color="auto"/>
              <w:bottom w:val="single" w:sz="4" w:space="0" w:color="auto"/>
            </w:tcBorders>
            <w:vAlign w:val="center"/>
          </w:tcPr>
          <w:p w14:paraId="2D6CEB33" w14:textId="77777777" w:rsidR="00F84F9C" w:rsidRPr="00951FA2" w:rsidRDefault="00F84F9C" w:rsidP="00F93A68">
            <w:pPr>
              <w:spacing w:after="0" w:line="240" w:lineRule="auto"/>
              <w:jc w:val="center"/>
              <w:rPr>
                <w:rFonts w:ascii="Calibri" w:hAnsi="Calibri" w:cs="Calibri"/>
                <w:b/>
                <w:bCs/>
                <w:color w:val="000000"/>
                <w:sz w:val="20"/>
                <w:szCs w:val="20"/>
              </w:rPr>
            </w:pPr>
            <w:r w:rsidRPr="00951FA2">
              <w:rPr>
                <w:rFonts w:ascii="Calibri" w:hAnsi="Calibri" w:cs="Calibri"/>
                <w:b/>
                <w:bCs/>
                <w:color w:val="000000"/>
                <w:sz w:val="20"/>
                <w:szCs w:val="20"/>
              </w:rPr>
              <w:t>Alternative</w:t>
            </w:r>
          </w:p>
        </w:tc>
        <w:tc>
          <w:tcPr>
            <w:tcW w:w="1134" w:type="dxa"/>
            <w:tcBorders>
              <w:top w:val="single" w:sz="4" w:space="0" w:color="auto"/>
              <w:bottom w:val="single" w:sz="4" w:space="0" w:color="auto"/>
            </w:tcBorders>
            <w:vAlign w:val="center"/>
          </w:tcPr>
          <w:p w14:paraId="4687BFEB" w14:textId="77777777" w:rsidR="00F84F9C" w:rsidRPr="00951FA2" w:rsidRDefault="00F84F9C" w:rsidP="00F93A68">
            <w:pPr>
              <w:spacing w:after="0" w:line="240" w:lineRule="auto"/>
              <w:jc w:val="center"/>
              <w:rPr>
                <w:rFonts w:ascii="Calibri" w:hAnsi="Calibri" w:cs="Calibri"/>
                <w:b/>
                <w:bCs/>
                <w:color w:val="000000"/>
                <w:sz w:val="20"/>
                <w:szCs w:val="20"/>
              </w:rPr>
            </w:pPr>
            <w:r w:rsidRPr="00951FA2">
              <w:rPr>
                <w:rFonts w:ascii="Calibri" w:hAnsi="Calibri" w:cs="Calibri"/>
                <w:b/>
                <w:bCs/>
                <w:color w:val="000000"/>
                <w:sz w:val="20"/>
                <w:szCs w:val="20"/>
              </w:rPr>
              <w:t>Energy (MWh)</w:t>
            </w:r>
          </w:p>
        </w:tc>
        <w:tc>
          <w:tcPr>
            <w:tcW w:w="1560" w:type="dxa"/>
            <w:tcBorders>
              <w:top w:val="single" w:sz="4" w:space="0" w:color="auto"/>
              <w:bottom w:val="single" w:sz="4" w:space="0" w:color="auto"/>
            </w:tcBorders>
            <w:vAlign w:val="center"/>
          </w:tcPr>
          <w:p w14:paraId="60DA83A5" w14:textId="77777777" w:rsidR="00F84F9C" w:rsidRPr="00951FA2" w:rsidRDefault="00F84F9C" w:rsidP="00F93A68">
            <w:pPr>
              <w:spacing w:after="0" w:line="240" w:lineRule="auto"/>
              <w:jc w:val="center"/>
              <w:rPr>
                <w:rFonts w:ascii="Calibri" w:hAnsi="Calibri" w:cs="Calibri"/>
                <w:b/>
                <w:bCs/>
                <w:color w:val="000000"/>
                <w:sz w:val="20"/>
                <w:szCs w:val="20"/>
              </w:rPr>
            </w:pPr>
            <w:r w:rsidRPr="00951FA2">
              <w:rPr>
                <w:rFonts w:ascii="Calibri" w:hAnsi="Calibri" w:cs="Calibri"/>
                <w:b/>
                <w:bCs/>
                <w:color w:val="000000"/>
                <w:sz w:val="20"/>
                <w:szCs w:val="20"/>
              </w:rPr>
              <w:t>Cost (</w:t>
            </w:r>
            <w:r>
              <w:rPr>
                <w:rFonts w:ascii="Calibri" w:hAnsi="Calibri" w:cs="Calibri"/>
                <w:b/>
                <w:bCs/>
                <w:color w:val="000000"/>
                <w:sz w:val="20"/>
                <w:szCs w:val="20"/>
              </w:rPr>
              <w:t>INR</w:t>
            </w:r>
            <w:r w:rsidRPr="00951FA2">
              <w:rPr>
                <w:rFonts w:ascii="Calibri" w:hAnsi="Calibri" w:cs="Calibri"/>
                <w:b/>
                <w:bCs/>
                <w:color w:val="000000"/>
                <w:sz w:val="20"/>
                <w:szCs w:val="20"/>
              </w:rPr>
              <w:t>)</w:t>
            </w:r>
          </w:p>
        </w:tc>
        <w:tc>
          <w:tcPr>
            <w:tcW w:w="992" w:type="dxa"/>
            <w:tcBorders>
              <w:top w:val="single" w:sz="4" w:space="0" w:color="auto"/>
              <w:bottom w:val="single" w:sz="4" w:space="0" w:color="auto"/>
            </w:tcBorders>
            <w:vAlign w:val="center"/>
          </w:tcPr>
          <w:p w14:paraId="39F932A6" w14:textId="77777777" w:rsidR="00F84F9C" w:rsidRPr="00951FA2" w:rsidRDefault="00F84F9C" w:rsidP="00F93A68">
            <w:pPr>
              <w:spacing w:after="0" w:line="240" w:lineRule="auto"/>
              <w:jc w:val="center"/>
              <w:rPr>
                <w:rFonts w:ascii="Calibri" w:hAnsi="Calibri" w:cs="Calibri"/>
                <w:b/>
                <w:bCs/>
                <w:color w:val="000000"/>
                <w:sz w:val="20"/>
                <w:szCs w:val="20"/>
              </w:rPr>
            </w:pPr>
            <w:r w:rsidRPr="00951FA2">
              <w:rPr>
                <w:rFonts w:ascii="Calibri" w:hAnsi="Calibri" w:cs="Calibri"/>
                <w:b/>
                <w:bCs/>
                <w:color w:val="000000"/>
                <w:sz w:val="20"/>
                <w:szCs w:val="20"/>
              </w:rPr>
              <w:t>Carbon (tCO</w:t>
            </w:r>
            <w:r w:rsidRPr="00951FA2">
              <w:rPr>
                <w:rFonts w:ascii="Calibri" w:hAnsi="Calibri" w:cs="Calibri"/>
                <w:b/>
                <w:bCs/>
                <w:color w:val="000000"/>
                <w:sz w:val="20"/>
                <w:szCs w:val="20"/>
                <w:vertAlign w:val="subscript"/>
              </w:rPr>
              <w:t>2</w:t>
            </w:r>
            <w:r w:rsidRPr="00951FA2">
              <w:rPr>
                <w:rFonts w:ascii="Calibri" w:hAnsi="Calibri" w:cs="Calibri"/>
                <w:b/>
                <w:bCs/>
                <w:color w:val="000000"/>
                <w:sz w:val="20"/>
                <w:szCs w:val="20"/>
              </w:rPr>
              <w:t>e)</w:t>
            </w:r>
          </w:p>
        </w:tc>
      </w:tr>
      <w:tr w:rsidR="00F84F9C" w:rsidRPr="00951FA2" w14:paraId="5D5585FE" w14:textId="77777777" w:rsidTr="00343412">
        <w:trPr>
          <w:trHeight w:val="340"/>
          <w:jc w:val="center"/>
        </w:trPr>
        <w:tc>
          <w:tcPr>
            <w:tcW w:w="5670" w:type="dxa"/>
            <w:tcBorders>
              <w:top w:val="single" w:sz="4" w:space="0" w:color="auto"/>
            </w:tcBorders>
            <w:vAlign w:val="center"/>
          </w:tcPr>
          <w:p w14:paraId="5D263A6C"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Baseline</w:t>
            </w:r>
          </w:p>
        </w:tc>
        <w:tc>
          <w:tcPr>
            <w:tcW w:w="1134" w:type="dxa"/>
            <w:tcBorders>
              <w:top w:val="single" w:sz="4" w:space="0" w:color="auto"/>
            </w:tcBorders>
            <w:vAlign w:val="center"/>
          </w:tcPr>
          <w:p w14:paraId="1E9C36CD"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1131.29</w:t>
            </w:r>
          </w:p>
        </w:tc>
        <w:tc>
          <w:tcPr>
            <w:tcW w:w="1560" w:type="dxa"/>
            <w:tcBorders>
              <w:top w:val="single" w:sz="4" w:space="0" w:color="auto"/>
            </w:tcBorders>
            <w:vAlign w:val="center"/>
          </w:tcPr>
          <w:p w14:paraId="69EF09B9"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1,09,45,115.75</w:t>
            </w:r>
          </w:p>
        </w:tc>
        <w:tc>
          <w:tcPr>
            <w:tcW w:w="992" w:type="dxa"/>
            <w:tcBorders>
              <w:top w:val="single" w:sz="4" w:space="0" w:color="auto"/>
            </w:tcBorders>
            <w:vAlign w:val="center"/>
          </w:tcPr>
          <w:p w14:paraId="1254E157"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748.42</w:t>
            </w:r>
          </w:p>
        </w:tc>
      </w:tr>
      <w:tr w:rsidR="00F84F9C" w:rsidRPr="00951FA2" w14:paraId="51EEF492" w14:textId="77777777" w:rsidTr="00343412">
        <w:trPr>
          <w:trHeight w:val="340"/>
          <w:jc w:val="center"/>
        </w:trPr>
        <w:tc>
          <w:tcPr>
            <w:tcW w:w="5670" w:type="dxa"/>
            <w:vAlign w:val="center"/>
          </w:tcPr>
          <w:p w14:paraId="350254BD"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1: </w:t>
            </w:r>
            <w:r>
              <w:rPr>
                <w:rFonts w:ascii="Calibri" w:hAnsi="Calibri" w:cs="Calibri"/>
                <w:color w:val="000000"/>
                <w:sz w:val="20"/>
                <w:szCs w:val="20"/>
              </w:rPr>
              <w:t xml:space="preserve">Rotating </w:t>
            </w:r>
            <w:r w:rsidRPr="00951FA2">
              <w:rPr>
                <w:rFonts w:ascii="Calibri" w:hAnsi="Calibri" w:cs="Calibri"/>
                <w:sz w:val="20"/>
                <w:szCs w:val="20"/>
              </w:rPr>
              <w:t>Baseline</w:t>
            </w:r>
            <w:r>
              <w:rPr>
                <w:rFonts w:ascii="Calibri" w:hAnsi="Calibri" w:cs="Calibri"/>
                <w:sz w:val="20"/>
                <w:szCs w:val="20"/>
              </w:rPr>
              <w:t xml:space="preserve"> by</w:t>
            </w:r>
            <w:r w:rsidRPr="00951FA2">
              <w:rPr>
                <w:rFonts w:ascii="Calibri" w:hAnsi="Calibri" w:cs="Calibri"/>
                <w:sz w:val="20"/>
                <w:szCs w:val="20"/>
              </w:rPr>
              <w:t xml:space="preserve"> 90°</w:t>
            </w:r>
          </w:p>
        </w:tc>
        <w:tc>
          <w:tcPr>
            <w:tcW w:w="1134" w:type="dxa"/>
            <w:vAlign w:val="center"/>
          </w:tcPr>
          <w:p w14:paraId="3579ACFB"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1130.98</w:t>
            </w:r>
          </w:p>
        </w:tc>
        <w:tc>
          <w:tcPr>
            <w:tcW w:w="1560" w:type="dxa"/>
            <w:vAlign w:val="center"/>
          </w:tcPr>
          <w:p w14:paraId="17EDD641"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1,09,43,420.85</w:t>
            </w:r>
          </w:p>
        </w:tc>
        <w:tc>
          <w:tcPr>
            <w:tcW w:w="992" w:type="dxa"/>
            <w:vAlign w:val="center"/>
          </w:tcPr>
          <w:p w14:paraId="1A413084"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748.16</w:t>
            </w:r>
          </w:p>
        </w:tc>
      </w:tr>
      <w:tr w:rsidR="00F84F9C" w:rsidRPr="00951FA2" w14:paraId="1FF0946E" w14:textId="77777777" w:rsidTr="00343412">
        <w:trPr>
          <w:trHeight w:val="340"/>
          <w:jc w:val="center"/>
        </w:trPr>
        <w:tc>
          <w:tcPr>
            <w:tcW w:w="5670" w:type="dxa"/>
            <w:vAlign w:val="center"/>
          </w:tcPr>
          <w:p w14:paraId="57295CDB"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2: </w:t>
            </w:r>
            <w:r w:rsidRPr="00951FA2">
              <w:rPr>
                <w:rFonts w:ascii="Calibri" w:hAnsi="Calibri" w:cs="Calibri"/>
                <w:sz w:val="20"/>
                <w:szCs w:val="20"/>
              </w:rPr>
              <w:t xml:space="preserve">AAC </w:t>
            </w:r>
            <w:r>
              <w:rPr>
                <w:rFonts w:ascii="Calibri" w:hAnsi="Calibri" w:cs="Calibri"/>
                <w:sz w:val="20"/>
                <w:szCs w:val="20"/>
              </w:rPr>
              <w:t>blocks replacing clay bricks in walls with</w:t>
            </w:r>
            <w:r w:rsidRPr="00951FA2">
              <w:rPr>
                <w:rFonts w:ascii="Calibri" w:hAnsi="Calibri" w:cs="Calibri"/>
                <w:sz w:val="20"/>
                <w:szCs w:val="20"/>
              </w:rPr>
              <w:t xml:space="preserve"> </w:t>
            </w:r>
            <w:r>
              <w:rPr>
                <w:rFonts w:ascii="Calibri" w:hAnsi="Calibri" w:cs="Calibri"/>
                <w:sz w:val="20"/>
                <w:szCs w:val="20"/>
              </w:rPr>
              <w:t xml:space="preserve">the </w:t>
            </w:r>
            <w:r w:rsidRPr="00951FA2">
              <w:rPr>
                <w:rFonts w:ascii="Calibri" w:hAnsi="Calibri" w:cs="Calibri"/>
                <w:sz w:val="20"/>
                <w:szCs w:val="20"/>
              </w:rPr>
              <w:t xml:space="preserve">original </w:t>
            </w:r>
            <w:r>
              <w:rPr>
                <w:rFonts w:ascii="Calibri" w:hAnsi="Calibri" w:cs="Calibri"/>
                <w:sz w:val="20"/>
                <w:szCs w:val="20"/>
              </w:rPr>
              <w:t xml:space="preserve">baseline </w:t>
            </w:r>
            <w:r w:rsidRPr="00951FA2">
              <w:rPr>
                <w:rFonts w:ascii="Calibri" w:hAnsi="Calibri" w:cs="Calibri"/>
                <w:sz w:val="20"/>
                <w:szCs w:val="20"/>
              </w:rPr>
              <w:t>orientation</w:t>
            </w:r>
          </w:p>
        </w:tc>
        <w:tc>
          <w:tcPr>
            <w:tcW w:w="1134" w:type="dxa"/>
            <w:vAlign w:val="center"/>
          </w:tcPr>
          <w:p w14:paraId="68DC12E6"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959.62</w:t>
            </w:r>
          </w:p>
        </w:tc>
        <w:tc>
          <w:tcPr>
            <w:tcW w:w="1560" w:type="dxa"/>
            <w:vAlign w:val="center"/>
          </w:tcPr>
          <w:p w14:paraId="5DCDFD7C"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1,05,96,028.42</w:t>
            </w:r>
          </w:p>
        </w:tc>
        <w:tc>
          <w:tcPr>
            <w:tcW w:w="992" w:type="dxa"/>
            <w:vAlign w:val="center"/>
          </w:tcPr>
          <w:p w14:paraId="42826885"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673.21</w:t>
            </w:r>
          </w:p>
        </w:tc>
      </w:tr>
      <w:tr w:rsidR="00F84F9C" w:rsidRPr="00951FA2" w14:paraId="3770837C" w14:textId="77777777" w:rsidTr="00343412">
        <w:trPr>
          <w:trHeight w:val="340"/>
          <w:jc w:val="center"/>
        </w:trPr>
        <w:tc>
          <w:tcPr>
            <w:tcW w:w="5670" w:type="dxa"/>
            <w:vAlign w:val="center"/>
          </w:tcPr>
          <w:p w14:paraId="6B7AF8D4"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3: </w:t>
            </w:r>
            <w:r w:rsidRPr="00951FA2">
              <w:rPr>
                <w:rFonts w:ascii="Calibri" w:hAnsi="Calibri" w:cs="Calibri"/>
                <w:sz w:val="20"/>
                <w:szCs w:val="20"/>
              </w:rPr>
              <w:t xml:space="preserve">AAC </w:t>
            </w:r>
            <w:r>
              <w:rPr>
                <w:rFonts w:ascii="Calibri" w:hAnsi="Calibri" w:cs="Calibri"/>
                <w:sz w:val="20"/>
                <w:szCs w:val="20"/>
              </w:rPr>
              <w:t>blocks replacing clay bricks in walls, and rotating baseline orientation</w:t>
            </w:r>
            <w:r w:rsidRPr="00951FA2">
              <w:rPr>
                <w:rFonts w:ascii="Calibri" w:hAnsi="Calibri" w:cs="Calibri"/>
                <w:sz w:val="20"/>
                <w:szCs w:val="20"/>
              </w:rPr>
              <w:t xml:space="preserve"> </w:t>
            </w:r>
            <w:r>
              <w:rPr>
                <w:rFonts w:ascii="Calibri" w:hAnsi="Calibri" w:cs="Calibri"/>
                <w:sz w:val="20"/>
                <w:szCs w:val="20"/>
              </w:rPr>
              <w:t xml:space="preserve">by </w:t>
            </w:r>
            <w:r w:rsidRPr="00951FA2">
              <w:rPr>
                <w:rFonts w:ascii="Calibri" w:hAnsi="Calibri" w:cs="Calibri"/>
                <w:sz w:val="20"/>
                <w:szCs w:val="20"/>
              </w:rPr>
              <w:t>180°</w:t>
            </w:r>
          </w:p>
        </w:tc>
        <w:tc>
          <w:tcPr>
            <w:tcW w:w="1134" w:type="dxa"/>
            <w:vAlign w:val="center"/>
          </w:tcPr>
          <w:p w14:paraId="67A8D80C"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992.13</w:t>
            </w:r>
          </w:p>
        </w:tc>
        <w:tc>
          <w:tcPr>
            <w:tcW w:w="1560" w:type="dxa"/>
            <w:vAlign w:val="center"/>
          </w:tcPr>
          <w:p w14:paraId="53752817"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1,07,73,568.63</w:t>
            </w:r>
          </w:p>
        </w:tc>
        <w:tc>
          <w:tcPr>
            <w:tcW w:w="992" w:type="dxa"/>
            <w:vAlign w:val="center"/>
          </w:tcPr>
          <w:p w14:paraId="508FCB21"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699.96</w:t>
            </w:r>
          </w:p>
        </w:tc>
      </w:tr>
      <w:tr w:rsidR="00F84F9C" w:rsidRPr="00951FA2" w14:paraId="3DBBD847" w14:textId="77777777" w:rsidTr="00343412">
        <w:trPr>
          <w:trHeight w:val="340"/>
          <w:jc w:val="center"/>
        </w:trPr>
        <w:tc>
          <w:tcPr>
            <w:tcW w:w="5670" w:type="dxa"/>
            <w:vAlign w:val="center"/>
          </w:tcPr>
          <w:p w14:paraId="7271055C"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4: </w:t>
            </w:r>
            <w:r w:rsidRPr="00951FA2">
              <w:rPr>
                <w:rFonts w:ascii="Calibri" w:hAnsi="Calibri" w:cs="Calibri"/>
                <w:sz w:val="20"/>
                <w:szCs w:val="20"/>
              </w:rPr>
              <w:t xml:space="preserve">AAC </w:t>
            </w:r>
            <w:r>
              <w:rPr>
                <w:rFonts w:ascii="Calibri" w:hAnsi="Calibri" w:cs="Calibri"/>
                <w:sz w:val="20"/>
                <w:szCs w:val="20"/>
              </w:rPr>
              <w:t>blocks replacing clay bricks in walls, and rotating baseline orientation</w:t>
            </w:r>
            <w:r w:rsidRPr="00951FA2">
              <w:rPr>
                <w:rFonts w:ascii="Calibri" w:hAnsi="Calibri" w:cs="Calibri"/>
                <w:sz w:val="20"/>
                <w:szCs w:val="20"/>
              </w:rPr>
              <w:t xml:space="preserve"> </w:t>
            </w:r>
            <w:r>
              <w:rPr>
                <w:rFonts w:ascii="Calibri" w:hAnsi="Calibri" w:cs="Calibri"/>
                <w:sz w:val="20"/>
                <w:szCs w:val="20"/>
              </w:rPr>
              <w:t>by 9</w:t>
            </w:r>
            <w:r w:rsidRPr="00951FA2">
              <w:rPr>
                <w:rFonts w:ascii="Calibri" w:hAnsi="Calibri" w:cs="Calibri"/>
                <w:sz w:val="20"/>
                <w:szCs w:val="20"/>
              </w:rPr>
              <w:t>0°</w:t>
            </w:r>
          </w:p>
        </w:tc>
        <w:tc>
          <w:tcPr>
            <w:tcW w:w="1134" w:type="dxa"/>
            <w:vAlign w:val="center"/>
          </w:tcPr>
          <w:p w14:paraId="74E7880A"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984.45</w:t>
            </w:r>
          </w:p>
        </w:tc>
        <w:tc>
          <w:tcPr>
            <w:tcW w:w="1560" w:type="dxa"/>
            <w:vAlign w:val="center"/>
          </w:tcPr>
          <w:p w14:paraId="715ADDF1"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1,07,31,619.99</w:t>
            </w:r>
          </w:p>
        </w:tc>
        <w:tc>
          <w:tcPr>
            <w:tcW w:w="992" w:type="dxa"/>
            <w:vAlign w:val="center"/>
          </w:tcPr>
          <w:p w14:paraId="46015F8F"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693.64</w:t>
            </w:r>
          </w:p>
        </w:tc>
      </w:tr>
      <w:tr w:rsidR="00F84F9C" w:rsidRPr="00951FA2" w14:paraId="7456152B" w14:textId="77777777" w:rsidTr="00343412">
        <w:trPr>
          <w:trHeight w:val="340"/>
          <w:jc w:val="center"/>
        </w:trPr>
        <w:tc>
          <w:tcPr>
            <w:tcW w:w="5670" w:type="dxa"/>
            <w:vAlign w:val="center"/>
          </w:tcPr>
          <w:p w14:paraId="6A64E1C6"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5: </w:t>
            </w:r>
            <w:r>
              <w:rPr>
                <w:rFonts w:ascii="Calibri" w:hAnsi="Calibri" w:cs="Calibri"/>
                <w:color w:val="000000"/>
                <w:sz w:val="20"/>
                <w:szCs w:val="20"/>
              </w:rPr>
              <w:t>F</w:t>
            </w:r>
            <w:r w:rsidRPr="00951FA2">
              <w:rPr>
                <w:rFonts w:ascii="Calibri" w:hAnsi="Calibri" w:cs="Calibri"/>
                <w:color w:val="000000"/>
                <w:sz w:val="20"/>
                <w:szCs w:val="20"/>
              </w:rPr>
              <w:t>lat RCC roof</w:t>
            </w:r>
            <w:r>
              <w:rPr>
                <w:rFonts w:ascii="Calibri" w:hAnsi="Calibri" w:cs="Calibri"/>
                <w:color w:val="000000"/>
                <w:sz w:val="20"/>
                <w:szCs w:val="20"/>
              </w:rPr>
              <w:t xml:space="preserve"> replacing the pitched roof in the baseline model and the </w:t>
            </w:r>
            <w:r w:rsidRPr="00951FA2">
              <w:rPr>
                <w:rFonts w:ascii="Calibri" w:hAnsi="Calibri" w:cs="Calibri"/>
                <w:sz w:val="20"/>
                <w:szCs w:val="20"/>
              </w:rPr>
              <w:t xml:space="preserve">original </w:t>
            </w:r>
            <w:r>
              <w:rPr>
                <w:rFonts w:ascii="Calibri" w:hAnsi="Calibri" w:cs="Calibri"/>
                <w:sz w:val="20"/>
                <w:szCs w:val="20"/>
              </w:rPr>
              <w:t xml:space="preserve">baseline </w:t>
            </w:r>
            <w:r w:rsidRPr="00951FA2">
              <w:rPr>
                <w:rFonts w:ascii="Calibri" w:hAnsi="Calibri" w:cs="Calibri"/>
                <w:sz w:val="20"/>
                <w:szCs w:val="20"/>
              </w:rPr>
              <w:t>orientation</w:t>
            </w:r>
          </w:p>
        </w:tc>
        <w:tc>
          <w:tcPr>
            <w:tcW w:w="1134" w:type="dxa"/>
            <w:vAlign w:val="center"/>
          </w:tcPr>
          <w:p w14:paraId="3B365BCC"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1198.76</w:t>
            </w:r>
          </w:p>
        </w:tc>
        <w:tc>
          <w:tcPr>
            <w:tcW w:w="1560" w:type="dxa"/>
            <w:vAlign w:val="center"/>
          </w:tcPr>
          <w:p w14:paraId="2F6C660B"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1,11,65,233.30</w:t>
            </w:r>
          </w:p>
        </w:tc>
        <w:tc>
          <w:tcPr>
            <w:tcW w:w="992" w:type="dxa"/>
            <w:vAlign w:val="center"/>
          </w:tcPr>
          <w:p w14:paraId="6C939207"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820.29</w:t>
            </w:r>
          </w:p>
        </w:tc>
      </w:tr>
      <w:tr w:rsidR="00F84F9C" w:rsidRPr="00951FA2" w14:paraId="5EBFC9BC" w14:textId="77777777" w:rsidTr="00343412">
        <w:trPr>
          <w:trHeight w:val="340"/>
          <w:jc w:val="center"/>
        </w:trPr>
        <w:tc>
          <w:tcPr>
            <w:tcW w:w="5670" w:type="dxa"/>
            <w:vAlign w:val="center"/>
          </w:tcPr>
          <w:p w14:paraId="257711ED"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lastRenderedPageBreak/>
              <w:t xml:space="preserve">Alternative 6: </w:t>
            </w:r>
            <w:r>
              <w:rPr>
                <w:rFonts w:ascii="Calibri" w:hAnsi="Calibri" w:cs="Calibri"/>
                <w:color w:val="000000"/>
                <w:sz w:val="20"/>
                <w:szCs w:val="20"/>
              </w:rPr>
              <w:t xml:space="preserve">Adding </w:t>
            </w:r>
            <w:r w:rsidRPr="00951FA2">
              <w:rPr>
                <w:rFonts w:ascii="Calibri" w:hAnsi="Calibri" w:cs="Calibri"/>
                <w:sz w:val="20"/>
                <w:szCs w:val="20"/>
              </w:rPr>
              <w:t>overhangs</w:t>
            </w:r>
            <w:r>
              <w:rPr>
                <w:rFonts w:ascii="Calibri" w:hAnsi="Calibri" w:cs="Calibri"/>
                <w:sz w:val="20"/>
                <w:szCs w:val="20"/>
              </w:rPr>
              <w:t xml:space="preserve"> to the b</w:t>
            </w:r>
            <w:r w:rsidRPr="00951FA2">
              <w:rPr>
                <w:rFonts w:ascii="Calibri" w:hAnsi="Calibri" w:cs="Calibri"/>
                <w:sz w:val="20"/>
                <w:szCs w:val="20"/>
              </w:rPr>
              <w:t xml:space="preserve">aseline </w:t>
            </w:r>
            <w:r>
              <w:rPr>
                <w:rFonts w:ascii="Calibri" w:hAnsi="Calibri" w:cs="Calibri"/>
                <w:sz w:val="20"/>
                <w:szCs w:val="20"/>
              </w:rPr>
              <w:t>model</w:t>
            </w:r>
          </w:p>
        </w:tc>
        <w:tc>
          <w:tcPr>
            <w:tcW w:w="1134" w:type="dxa"/>
            <w:vAlign w:val="center"/>
          </w:tcPr>
          <w:p w14:paraId="63F77BF3"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1121.08</w:t>
            </w:r>
          </w:p>
        </w:tc>
        <w:tc>
          <w:tcPr>
            <w:tcW w:w="1560" w:type="dxa"/>
            <w:vAlign w:val="center"/>
          </w:tcPr>
          <w:p w14:paraId="285B04BA"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1,10,22,291.19</w:t>
            </w:r>
          </w:p>
        </w:tc>
        <w:tc>
          <w:tcPr>
            <w:tcW w:w="992" w:type="dxa"/>
            <w:vAlign w:val="center"/>
          </w:tcPr>
          <w:p w14:paraId="46D1192E"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733.13</w:t>
            </w:r>
          </w:p>
        </w:tc>
      </w:tr>
      <w:tr w:rsidR="00F84F9C" w:rsidRPr="00951FA2" w14:paraId="5B5D0894" w14:textId="77777777" w:rsidTr="00343412">
        <w:trPr>
          <w:trHeight w:val="340"/>
          <w:jc w:val="center"/>
        </w:trPr>
        <w:tc>
          <w:tcPr>
            <w:tcW w:w="5670" w:type="dxa"/>
            <w:vAlign w:val="center"/>
          </w:tcPr>
          <w:p w14:paraId="7EAB0AD5"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7: </w:t>
            </w:r>
            <w:r w:rsidRPr="00600AD5">
              <w:rPr>
                <w:rFonts w:ascii="Calibri" w:hAnsi="Calibri" w:cs="Calibri"/>
                <w:color w:val="000000"/>
                <w:sz w:val="20"/>
                <w:szCs w:val="20"/>
              </w:rPr>
              <w:t>Adding roof overhangs and increasing the window sill height in the baseline model</w:t>
            </w:r>
          </w:p>
        </w:tc>
        <w:tc>
          <w:tcPr>
            <w:tcW w:w="1134" w:type="dxa"/>
            <w:vAlign w:val="center"/>
          </w:tcPr>
          <w:p w14:paraId="02CB8FE8"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1103.16</w:t>
            </w:r>
          </w:p>
        </w:tc>
        <w:tc>
          <w:tcPr>
            <w:tcW w:w="1560" w:type="dxa"/>
            <w:vAlign w:val="center"/>
          </w:tcPr>
          <w:p w14:paraId="565C7AF1"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1,10,22,292.19</w:t>
            </w:r>
          </w:p>
        </w:tc>
        <w:tc>
          <w:tcPr>
            <w:tcW w:w="992" w:type="dxa"/>
            <w:vAlign w:val="center"/>
          </w:tcPr>
          <w:p w14:paraId="34E54A38"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718.39</w:t>
            </w:r>
          </w:p>
        </w:tc>
      </w:tr>
      <w:tr w:rsidR="00F84F9C" w:rsidRPr="00951FA2" w14:paraId="0F52F0FE" w14:textId="77777777" w:rsidTr="00343412">
        <w:trPr>
          <w:trHeight w:val="340"/>
          <w:jc w:val="center"/>
        </w:trPr>
        <w:tc>
          <w:tcPr>
            <w:tcW w:w="5670" w:type="dxa"/>
            <w:vAlign w:val="center"/>
          </w:tcPr>
          <w:p w14:paraId="1B1F057C"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8: </w:t>
            </w:r>
            <w:r w:rsidRPr="00600AD5">
              <w:rPr>
                <w:rFonts w:ascii="Calibri" w:hAnsi="Calibri" w:cs="Calibri"/>
                <w:sz w:val="20"/>
                <w:szCs w:val="20"/>
              </w:rPr>
              <w:t>AAC blocks replacing clay bricks in the walls, combined with roof overhangs and an increased window sill height</w:t>
            </w:r>
          </w:p>
        </w:tc>
        <w:tc>
          <w:tcPr>
            <w:tcW w:w="1134" w:type="dxa"/>
            <w:vAlign w:val="center"/>
          </w:tcPr>
          <w:p w14:paraId="10223938"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956.53</w:t>
            </w:r>
          </w:p>
        </w:tc>
        <w:tc>
          <w:tcPr>
            <w:tcW w:w="1560" w:type="dxa"/>
            <w:vAlign w:val="center"/>
          </w:tcPr>
          <w:p w14:paraId="0BF9E4A6"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1,08,62,317.54</w:t>
            </w:r>
          </w:p>
        </w:tc>
        <w:tc>
          <w:tcPr>
            <w:tcW w:w="992" w:type="dxa"/>
            <w:vAlign w:val="center"/>
          </w:tcPr>
          <w:p w14:paraId="0CC57CD7"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655.43</w:t>
            </w:r>
          </w:p>
        </w:tc>
      </w:tr>
      <w:tr w:rsidR="00F84F9C" w:rsidRPr="00951FA2" w14:paraId="22620012" w14:textId="77777777" w:rsidTr="00343412">
        <w:trPr>
          <w:trHeight w:val="340"/>
          <w:jc w:val="center"/>
        </w:trPr>
        <w:tc>
          <w:tcPr>
            <w:tcW w:w="5670" w:type="dxa"/>
            <w:vAlign w:val="center"/>
          </w:tcPr>
          <w:p w14:paraId="7BF3EC2E"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9: </w:t>
            </w:r>
            <w:r w:rsidRPr="00600AD5">
              <w:rPr>
                <w:rFonts w:ascii="Calibri" w:hAnsi="Calibri" w:cs="Calibri"/>
                <w:sz w:val="20"/>
                <w:szCs w:val="20"/>
              </w:rPr>
              <w:t>Adding roof overhangs, a fully pitched roof system, and an increased window sill height to the baseline model</w:t>
            </w:r>
          </w:p>
        </w:tc>
        <w:tc>
          <w:tcPr>
            <w:tcW w:w="1134" w:type="dxa"/>
            <w:vAlign w:val="center"/>
          </w:tcPr>
          <w:p w14:paraId="57B88B7C"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1067.05</w:t>
            </w:r>
          </w:p>
        </w:tc>
        <w:tc>
          <w:tcPr>
            <w:tcW w:w="1560" w:type="dxa"/>
            <w:vAlign w:val="center"/>
          </w:tcPr>
          <w:p w14:paraId="5DCBE7BE"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1,11,90,854.32</w:t>
            </w:r>
          </w:p>
        </w:tc>
        <w:tc>
          <w:tcPr>
            <w:tcW w:w="992" w:type="dxa"/>
            <w:vAlign w:val="center"/>
          </w:tcPr>
          <w:p w14:paraId="728639BD"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679.17</w:t>
            </w:r>
          </w:p>
        </w:tc>
      </w:tr>
      <w:tr w:rsidR="00F84F9C" w:rsidRPr="00951FA2" w14:paraId="422F31B4" w14:textId="77777777" w:rsidTr="00343412">
        <w:trPr>
          <w:trHeight w:val="340"/>
          <w:jc w:val="center"/>
        </w:trPr>
        <w:tc>
          <w:tcPr>
            <w:tcW w:w="5670" w:type="dxa"/>
            <w:vAlign w:val="center"/>
          </w:tcPr>
          <w:p w14:paraId="24A9887C"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10: </w:t>
            </w:r>
            <w:r w:rsidRPr="00600AD5">
              <w:rPr>
                <w:rFonts w:ascii="Calibri" w:hAnsi="Calibri" w:cs="Calibri"/>
                <w:sz w:val="20"/>
                <w:szCs w:val="20"/>
              </w:rPr>
              <w:t>AAC blocks replacing clay bricks in the walls, combined with roof overhangs, a fully pitched roof system, and an increased window sill height</w:t>
            </w:r>
          </w:p>
        </w:tc>
        <w:tc>
          <w:tcPr>
            <w:tcW w:w="1134" w:type="dxa"/>
            <w:vAlign w:val="center"/>
          </w:tcPr>
          <w:p w14:paraId="16E5BDA3"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924.16</w:t>
            </w:r>
          </w:p>
        </w:tc>
        <w:tc>
          <w:tcPr>
            <w:tcW w:w="1560" w:type="dxa"/>
            <w:vAlign w:val="center"/>
          </w:tcPr>
          <w:p w14:paraId="06A8DFB9"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1,10,03,205.72</w:t>
            </w:r>
          </w:p>
        </w:tc>
        <w:tc>
          <w:tcPr>
            <w:tcW w:w="992" w:type="dxa"/>
            <w:vAlign w:val="center"/>
          </w:tcPr>
          <w:p w14:paraId="179B76F4"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623.17</w:t>
            </w:r>
          </w:p>
        </w:tc>
      </w:tr>
      <w:tr w:rsidR="00F84F9C" w:rsidRPr="00951FA2" w14:paraId="6186EF51" w14:textId="77777777" w:rsidTr="00343412">
        <w:trPr>
          <w:trHeight w:val="340"/>
          <w:jc w:val="center"/>
        </w:trPr>
        <w:tc>
          <w:tcPr>
            <w:tcW w:w="5670" w:type="dxa"/>
            <w:vAlign w:val="center"/>
          </w:tcPr>
          <w:p w14:paraId="27928FAC"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11: </w:t>
            </w:r>
            <w:r w:rsidRPr="00600AD5">
              <w:rPr>
                <w:rFonts w:ascii="Calibri" w:hAnsi="Calibri" w:cs="Calibri"/>
                <w:color w:val="000000"/>
                <w:sz w:val="20"/>
                <w:szCs w:val="20"/>
              </w:rPr>
              <w:t>Fly ash brick walls replacing clay brick walls in the baseline model</w:t>
            </w:r>
          </w:p>
        </w:tc>
        <w:tc>
          <w:tcPr>
            <w:tcW w:w="1134" w:type="dxa"/>
            <w:vAlign w:val="center"/>
          </w:tcPr>
          <w:p w14:paraId="3C9E85B0"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1073.32</w:t>
            </w:r>
          </w:p>
        </w:tc>
        <w:tc>
          <w:tcPr>
            <w:tcW w:w="1560" w:type="dxa"/>
            <w:vAlign w:val="center"/>
          </w:tcPr>
          <w:p w14:paraId="287B805D"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1,10,23,677.69</w:t>
            </w:r>
          </w:p>
        </w:tc>
        <w:tc>
          <w:tcPr>
            <w:tcW w:w="992" w:type="dxa"/>
            <w:vAlign w:val="center"/>
          </w:tcPr>
          <w:p w14:paraId="24F837F1"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720.33</w:t>
            </w:r>
          </w:p>
        </w:tc>
      </w:tr>
      <w:tr w:rsidR="00F84F9C" w:rsidRPr="00951FA2" w14:paraId="1A50C79B" w14:textId="77777777" w:rsidTr="00343412">
        <w:trPr>
          <w:trHeight w:val="340"/>
          <w:jc w:val="center"/>
        </w:trPr>
        <w:tc>
          <w:tcPr>
            <w:tcW w:w="5670" w:type="dxa"/>
            <w:tcBorders>
              <w:bottom w:val="single" w:sz="4" w:space="0" w:color="auto"/>
            </w:tcBorders>
            <w:vAlign w:val="center"/>
          </w:tcPr>
          <w:p w14:paraId="1097DD4E" w14:textId="77777777" w:rsidR="00F84F9C" w:rsidRPr="00951FA2" w:rsidRDefault="00F84F9C" w:rsidP="00343412">
            <w:pPr>
              <w:spacing w:after="0" w:line="240" w:lineRule="auto"/>
              <w:rPr>
                <w:rFonts w:ascii="Calibri" w:hAnsi="Calibri" w:cs="Calibri"/>
                <w:color w:val="000000"/>
                <w:sz w:val="20"/>
                <w:szCs w:val="20"/>
              </w:rPr>
            </w:pPr>
            <w:r w:rsidRPr="00951FA2">
              <w:rPr>
                <w:rFonts w:ascii="Calibri" w:hAnsi="Calibri" w:cs="Calibri"/>
                <w:color w:val="000000"/>
                <w:sz w:val="20"/>
                <w:szCs w:val="20"/>
              </w:rPr>
              <w:t xml:space="preserve">Alternative 12: </w:t>
            </w:r>
            <w:r w:rsidRPr="00600AD5">
              <w:rPr>
                <w:rFonts w:ascii="Calibri" w:hAnsi="Calibri" w:cs="Calibri"/>
                <w:sz w:val="20"/>
                <w:szCs w:val="20"/>
              </w:rPr>
              <w:t>AAC blocks replacing clay bricks in the walls, combined with roof overhangs, a fully pitched roof system, an increased window sill height, and a 90° rotation of the baseline orientation</w:t>
            </w:r>
          </w:p>
        </w:tc>
        <w:tc>
          <w:tcPr>
            <w:tcW w:w="1134" w:type="dxa"/>
            <w:tcBorders>
              <w:bottom w:val="single" w:sz="4" w:space="0" w:color="auto"/>
            </w:tcBorders>
            <w:vAlign w:val="center"/>
          </w:tcPr>
          <w:p w14:paraId="2D11BBE0"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991.96</w:t>
            </w:r>
          </w:p>
          <w:p w14:paraId="1C613F3E" w14:textId="77777777" w:rsidR="00F84F9C" w:rsidRPr="00951FA2" w:rsidRDefault="00F84F9C" w:rsidP="00F93A68">
            <w:pPr>
              <w:spacing w:after="0" w:line="240" w:lineRule="auto"/>
              <w:jc w:val="center"/>
              <w:rPr>
                <w:rFonts w:ascii="Calibri" w:hAnsi="Calibri" w:cs="Calibri"/>
                <w:color w:val="000000"/>
                <w:sz w:val="20"/>
                <w:szCs w:val="20"/>
              </w:rPr>
            </w:pPr>
          </w:p>
        </w:tc>
        <w:tc>
          <w:tcPr>
            <w:tcW w:w="1560" w:type="dxa"/>
            <w:tcBorders>
              <w:bottom w:val="single" w:sz="4" w:space="0" w:color="auto"/>
            </w:tcBorders>
            <w:vAlign w:val="center"/>
          </w:tcPr>
          <w:p w14:paraId="59C3F035"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1,13,62,954.79</w:t>
            </w:r>
          </w:p>
          <w:p w14:paraId="4CE3146B" w14:textId="77777777" w:rsidR="00F84F9C" w:rsidRPr="00951FA2" w:rsidRDefault="00F84F9C" w:rsidP="00F93A68">
            <w:pPr>
              <w:spacing w:after="0" w:line="240" w:lineRule="auto"/>
              <w:jc w:val="center"/>
              <w:rPr>
                <w:rFonts w:ascii="Calibri" w:hAnsi="Calibri" w:cs="Calibri"/>
                <w:color w:val="000000"/>
                <w:sz w:val="20"/>
                <w:szCs w:val="20"/>
              </w:rPr>
            </w:pPr>
          </w:p>
        </w:tc>
        <w:tc>
          <w:tcPr>
            <w:tcW w:w="992" w:type="dxa"/>
            <w:tcBorders>
              <w:bottom w:val="single" w:sz="4" w:space="0" w:color="auto"/>
            </w:tcBorders>
            <w:vAlign w:val="center"/>
          </w:tcPr>
          <w:p w14:paraId="3E932DAE" w14:textId="77777777" w:rsidR="00F84F9C" w:rsidRPr="00951FA2" w:rsidRDefault="00F84F9C" w:rsidP="00F93A68">
            <w:pPr>
              <w:spacing w:after="0" w:line="240" w:lineRule="auto"/>
              <w:jc w:val="center"/>
              <w:rPr>
                <w:rFonts w:ascii="Calibri" w:hAnsi="Calibri" w:cs="Calibri"/>
                <w:color w:val="000000"/>
                <w:sz w:val="20"/>
                <w:szCs w:val="20"/>
              </w:rPr>
            </w:pPr>
            <w:r w:rsidRPr="00951FA2">
              <w:rPr>
                <w:rFonts w:ascii="Calibri" w:hAnsi="Calibri" w:cs="Calibri"/>
                <w:color w:val="000000"/>
                <w:sz w:val="20"/>
                <w:szCs w:val="20"/>
              </w:rPr>
              <w:t>678.97</w:t>
            </w:r>
          </w:p>
          <w:p w14:paraId="2F4C39C3" w14:textId="77777777" w:rsidR="00F84F9C" w:rsidRPr="00951FA2" w:rsidRDefault="00F84F9C" w:rsidP="00F93A68">
            <w:pPr>
              <w:spacing w:after="0" w:line="240" w:lineRule="auto"/>
              <w:jc w:val="center"/>
              <w:rPr>
                <w:rFonts w:ascii="Calibri" w:hAnsi="Calibri" w:cs="Calibri"/>
                <w:color w:val="000000"/>
                <w:sz w:val="20"/>
                <w:szCs w:val="20"/>
              </w:rPr>
            </w:pPr>
          </w:p>
        </w:tc>
      </w:tr>
    </w:tbl>
    <w:p w14:paraId="03346259" w14:textId="77777777" w:rsidR="00610C02" w:rsidRPr="00610C02" w:rsidRDefault="00610C02" w:rsidP="00AE0C2C">
      <w:pPr>
        <w:pStyle w:val="Heading2"/>
        <w:rPr>
          <w:lang w:val="en-IN"/>
        </w:rPr>
      </w:pPr>
      <w:r w:rsidRPr="00610C02">
        <w:rPr>
          <w:lang w:val="en-IN"/>
        </w:rPr>
        <w:t>3.2 Life-Cycle Carbon and Cost</w:t>
      </w:r>
    </w:p>
    <w:p w14:paraId="7078BDF7" w14:textId="218840FF" w:rsidR="00F84F9C" w:rsidRDefault="00610C02" w:rsidP="00C11AC3">
      <w:pPr>
        <w:spacing w:after="40" w:line="240" w:lineRule="auto"/>
        <w:jc w:val="both"/>
        <w:rPr>
          <w:rFonts w:ascii="Calibri" w:hAnsi="Calibri" w:cs="Calibri"/>
          <w:lang w:val="en-IN"/>
        </w:rPr>
      </w:pPr>
      <w:r>
        <w:rPr>
          <w:rFonts w:ascii="Calibri" w:hAnsi="Calibri" w:cs="Calibri"/>
          <w:lang w:val="en-IN"/>
        </w:rPr>
        <w:t xml:space="preserve">          </w:t>
      </w:r>
      <w:r w:rsidR="00F84F9C" w:rsidRPr="00D9031F">
        <w:rPr>
          <w:rFonts w:ascii="Calibri" w:hAnsi="Calibri" w:cs="Calibri"/>
          <w:lang w:val="en-IN"/>
        </w:rPr>
        <w:t>As summarized in Table 2,</w:t>
      </w:r>
      <w:r w:rsidR="00F84F9C">
        <w:rPr>
          <w:rFonts w:ascii="Calibri" w:hAnsi="Calibri" w:cs="Calibri"/>
          <w:lang w:val="en-IN"/>
        </w:rPr>
        <w:t xml:space="preserve"> t</w:t>
      </w:r>
      <w:r w:rsidRPr="00610C02">
        <w:rPr>
          <w:rFonts w:ascii="Calibri" w:hAnsi="Calibri" w:cs="Calibri"/>
          <w:lang w:val="en-IN"/>
        </w:rPr>
        <w:t xml:space="preserve">he baseline life-cycle carbon was 748.42 </w:t>
      </w:r>
      <w:proofErr w:type="spellStart"/>
      <w:r w:rsidRPr="00610C02">
        <w:rPr>
          <w:rFonts w:ascii="Calibri" w:hAnsi="Calibri" w:cs="Calibri"/>
          <w:lang w:val="en-IN"/>
        </w:rPr>
        <w:t>tCO₂e</w:t>
      </w:r>
      <w:proofErr w:type="spellEnd"/>
      <w:r w:rsidRPr="00610C02">
        <w:rPr>
          <w:rFonts w:ascii="Calibri" w:hAnsi="Calibri" w:cs="Calibri"/>
          <w:lang w:val="en-IN"/>
        </w:rPr>
        <w:t xml:space="preserve">, of which operational carbon accounted for 630.18 </w:t>
      </w:r>
      <w:proofErr w:type="spellStart"/>
      <w:r w:rsidRPr="00610C02">
        <w:rPr>
          <w:rFonts w:ascii="Calibri" w:hAnsi="Calibri" w:cs="Calibri"/>
          <w:lang w:val="en-IN"/>
        </w:rPr>
        <w:t>tCO₂e</w:t>
      </w:r>
      <w:proofErr w:type="spellEnd"/>
      <w:r w:rsidRPr="00610C02">
        <w:rPr>
          <w:rFonts w:ascii="Calibri" w:hAnsi="Calibri" w:cs="Calibri"/>
          <w:lang w:val="en-IN"/>
        </w:rPr>
        <w:t xml:space="preserve"> (84.2%)</w:t>
      </w:r>
      <w:r w:rsidR="002443A4">
        <w:rPr>
          <w:rFonts w:ascii="Calibri" w:hAnsi="Calibri" w:cs="Calibri"/>
          <w:lang w:val="en-IN"/>
        </w:rPr>
        <w:t>.</w:t>
      </w:r>
      <w:r w:rsidRPr="00610C02">
        <w:rPr>
          <w:rFonts w:ascii="Calibri" w:hAnsi="Calibri" w:cs="Calibri"/>
          <w:lang w:val="en-IN"/>
        </w:rPr>
        <w:t xml:space="preserve"> Alternative 10 achieved the lowest total carbon at 623.17 </w:t>
      </w:r>
      <w:proofErr w:type="spellStart"/>
      <w:r w:rsidRPr="00610C02">
        <w:rPr>
          <w:rFonts w:ascii="Calibri" w:hAnsi="Calibri" w:cs="Calibri"/>
          <w:lang w:val="en-IN"/>
        </w:rPr>
        <w:t>tCO₂e</w:t>
      </w:r>
      <w:proofErr w:type="spellEnd"/>
      <w:r w:rsidRPr="00610C02">
        <w:rPr>
          <w:rFonts w:ascii="Calibri" w:hAnsi="Calibri" w:cs="Calibri"/>
          <w:lang w:val="en-IN"/>
        </w:rPr>
        <w:t xml:space="preserve"> (−16.73%), while Alternative 11 (fly ash bricks) recorded the lowest embodied carbon at 87.72 </w:t>
      </w:r>
      <w:proofErr w:type="spellStart"/>
      <w:r w:rsidRPr="00610C02">
        <w:rPr>
          <w:rFonts w:ascii="Calibri" w:hAnsi="Calibri" w:cs="Calibri"/>
          <w:lang w:val="en-IN"/>
        </w:rPr>
        <w:t>tCO₂e</w:t>
      </w:r>
      <w:proofErr w:type="spellEnd"/>
      <w:r w:rsidRPr="00610C02">
        <w:rPr>
          <w:rFonts w:ascii="Calibri" w:hAnsi="Calibri" w:cs="Calibri"/>
          <w:lang w:val="en-IN"/>
        </w:rPr>
        <w:t xml:space="preserve"> but delivered no operational carbon benefit</w:t>
      </w:r>
      <w:r w:rsidR="002443A4">
        <w:rPr>
          <w:rFonts w:ascii="Calibri" w:hAnsi="Calibri" w:cs="Calibri"/>
          <w:lang w:val="en-IN"/>
        </w:rPr>
        <w:t>.</w:t>
      </w:r>
      <w:r w:rsidRPr="00610C02">
        <w:rPr>
          <w:rFonts w:ascii="Calibri" w:hAnsi="Calibri" w:cs="Calibri"/>
          <w:lang w:val="en-IN"/>
        </w:rPr>
        <w:t xml:space="preserve"> Alternative 5 was the worst performer at 820.29 </w:t>
      </w:r>
      <w:proofErr w:type="spellStart"/>
      <w:r w:rsidRPr="00610C02">
        <w:rPr>
          <w:rFonts w:ascii="Calibri" w:hAnsi="Calibri" w:cs="Calibri"/>
          <w:lang w:val="en-IN"/>
        </w:rPr>
        <w:t>tCO₂e</w:t>
      </w:r>
      <w:proofErr w:type="spellEnd"/>
      <w:r w:rsidRPr="00610C02">
        <w:rPr>
          <w:rFonts w:ascii="Calibri" w:hAnsi="Calibri" w:cs="Calibri"/>
          <w:lang w:val="en-IN"/>
        </w:rPr>
        <w:t xml:space="preserve"> (+9.60%).</w:t>
      </w:r>
      <w:r w:rsidR="00AB0A97">
        <w:rPr>
          <w:rFonts w:ascii="Calibri" w:hAnsi="Calibri" w:cs="Calibri"/>
          <w:lang w:val="en-IN"/>
        </w:rPr>
        <w:t xml:space="preserve"> </w:t>
      </w:r>
      <w:r w:rsidRPr="00610C02">
        <w:rPr>
          <w:rFonts w:ascii="Calibri" w:hAnsi="Calibri" w:cs="Calibri"/>
          <w:lang w:val="en-IN"/>
        </w:rPr>
        <w:t>The baseline LCC was ₹1,09,45,116</w:t>
      </w:r>
      <w:r w:rsidR="00AB0A97">
        <w:rPr>
          <w:rFonts w:ascii="Calibri" w:hAnsi="Calibri" w:cs="Calibri"/>
          <w:lang w:val="en-IN"/>
        </w:rPr>
        <w:t xml:space="preserve">. </w:t>
      </w:r>
      <w:r w:rsidRPr="00610C02">
        <w:rPr>
          <w:rFonts w:ascii="Calibri" w:hAnsi="Calibri" w:cs="Calibri"/>
          <w:lang w:val="en-IN"/>
        </w:rPr>
        <w:t xml:space="preserve">Alternative </w:t>
      </w:r>
      <w:r w:rsidR="00AB0A97">
        <w:rPr>
          <w:rFonts w:ascii="Calibri" w:hAnsi="Calibri" w:cs="Calibri"/>
          <w:lang w:val="en-IN"/>
        </w:rPr>
        <w:t>2</w:t>
      </w:r>
      <w:r w:rsidR="00AB0A97" w:rsidRPr="00610C02">
        <w:rPr>
          <w:rFonts w:ascii="Calibri" w:hAnsi="Calibri" w:cs="Calibri"/>
          <w:lang w:val="en-IN"/>
        </w:rPr>
        <w:t xml:space="preserve"> </w:t>
      </w:r>
      <w:r w:rsidRPr="00610C02">
        <w:rPr>
          <w:rFonts w:ascii="Calibri" w:hAnsi="Calibri" w:cs="Calibri"/>
          <w:lang w:val="en-IN"/>
        </w:rPr>
        <w:t>achieved the lowest LCC at ₹1,0</w:t>
      </w:r>
      <w:r w:rsidR="00AB0A97">
        <w:rPr>
          <w:rFonts w:ascii="Calibri" w:hAnsi="Calibri" w:cs="Calibri"/>
          <w:lang w:val="en-IN"/>
        </w:rPr>
        <w:t>5</w:t>
      </w:r>
      <w:r w:rsidRPr="00610C02">
        <w:rPr>
          <w:rFonts w:ascii="Calibri" w:hAnsi="Calibri" w:cs="Calibri"/>
          <w:lang w:val="en-IN"/>
        </w:rPr>
        <w:t>,</w:t>
      </w:r>
      <w:r w:rsidR="00AB0A97">
        <w:rPr>
          <w:rFonts w:ascii="Calibri" w:hAnsi="Calibri" w:cs="Calibri"/>
          <w:lang w:val="en-IN"/>
        </w:rPr>
        <w:t>96</w:t>
      </w:r>
      <w:r w:rsidRPr="00610C02">
        <w:rPr>
          <w:rFonts w:ascii="Calibri" w:hAnsi="Calibri" w:cs="Calibri"/>
          <w:lang w:val="en-IN"/>
        </w:rPr>
        <w:t>,</w:t>
      </w:r>
      <w:r w:rsidR="00AB0A97">
        <w:rPr>
          <w:rFonts w:ascii="Calibri" w:hAnsi="Calibri" w:cs="Calibri"/>
          <w:lang w:val="en-IN"/>
        </w:rPr>
        <w:t>028</w:t>
      </w:r>
      <w:r w:rsidR="00AB0A97" w:rsidRPr="00610C02">
        <w:rPr>
          <w:rFonts w:ascii="Calibri" w:hAnsi="Calibri" w:cs="Calibri"/>
          <w:lang w:val="en-IN"/>
        </w:rPr>
        <w:t xml:space="preserve"> </w:t>
      </w:r>
      <w:r w:rsidRPr="00610C02">
        <w:rPr>
          <w:rFonts w:ascii="Calibri" w:hAnsi="Calibri" w:cs="Calibri"/>
          <w:lang w:val="en-IN"/>
        </w:rPr>
        <w:t>(−</w:t>
      </w:r>
      <w:r w:rsidR="00AB0A97">
        <w:rPr>
          <w:rFonts w:ascii="Calibri" w:hAnsi="Calibri" w:cs="Calibri"/>
          <w:lang w:val="en-IN"/>
        </w:rPr>
        <w:t>3.19</w:t>
      </w:r>
      <w:r w:rsidRPr="00610C02">
        <w:rPr>
          <w:rFonts w:ascii="Calibri" w:hAnsi="Calibri" w:cs="Calibri"/>
          <w:lang w:val="en-IN"/>
        </w:rPr>
        <w:t xml:space="preserve">%), </w:t>
      </w:r>
      <w:r w:rsidR="00AB0A97" w:rsidRPr="00AB0A97">
        <w:rPr>
          <w:rFonts w:ascii="Calibri" w:hAnsi="Calibri" w:cs="Calibri"/>
          <w:lang w:val="en-IN"/>
        </w:rPr>
        <w:t>with higher AAC wall costs offset by ₹3.50 L savings</w:t>
      </w:r>
      <w:r w:rsidR="00AB0A97" w:rsidRPr="00AB0A97" w:rsidDel="00AB0A97">
        <w:rPr>
          <w:rFonts w:ascii="Calibri" w:hAnsi="Calibri" w:cs="Calibri"/>
          <w:lang w:val="en-IN"/>
        </w:rPr>
        <w:t xml:space="preserve"> </w:t>
      </w:r>
      <w:r w:rsidRPr="00610C02">
        <w:rPr>
          <w:rFonts w:ascii="Calibri" w:hAnsi="Calibri" w:cs="Calibri"/>
          <w:lang w:val="en-IN"/>
        </w:rPr>
        <w:t xml:space="preserve">in 50-year electricity cost. </w:t>
      </w:r>
      <w:r w:rsidR="002443A4">
        <w:rPr>
          <w:rFonts w:ascii="Calibri" w:hAnsi="Calibri" w:cs="Calibri"/>
          <w:lang w:val="en-IN"/>
        </w:rPr>
        <w:t xml:space="preserve">and </w:t>
      </w:r>
      <w:r w:rsidRPr="00610C02">
        <w:rPr>
          <w:rFonts w:ascii="Calibri" w:hAnsi="Calibri" w:cs="Calibri"/>
          <w:lang w:val="en-IN"/>
        </w:rPr>
        <w:t>Alternative 12 incurred the highest LCC at ₹1,13,62,955 (+3.82%)</w:t>
      </w:r>
      <w:r w:rsidR="002443A4">
        <w:rPr>
          <w:rFonts w:ascii="Calibri" w:hAnsi="Calibri" w:cs="Calibri"/>
          <w:lang w:val="en-IN"/>
        </w:rPr>
        <w:t>.</w:t>
      </w:r>
    </w:p>
    <w:p w14:paraId="1E27F6CC" w14:textId="77777777" w:rsidR="00F84F9C" w:rsidRPr="001F6E38" w:rsidRDefault="00F84F9C" w:rsidP="00343412">
      <w:pPr>
        <w:pStyle w:val="Caption"/>
        <w:keepNext/>
        <w:spacing w:before="120" w:after="120"/>
        <w:rPr>
          <w:rFonts w:ascii="Calibri" w:hAnsi="Calibri" w:cs="Calibri"/>
          <w:color w:val="auto"/>
          <w:sz w:val="20"/>
        </w:rPr>
      </w:pPr>
      <w:r w:rsidRPr="00C7712C">
        <w:rPr>
          <w:rFonts w:ascii="Calibri" w:hAnsi="Calibri" w:cs="Calibri"/>
          <w:b/>
          <w:color w:val="auto"/>
          <w:sz w:val="20"/>
        </w:rPr>
        <w:t xml:space="preserve">Table </w:t>
      </w:r>
      <w:r w:rsidRPr="00C7712C">
        <w:rPr>
          <w:rFonts w:ascii="Calibri" w:hAnsi="Calibri" w:cs="Calibri"/>
          <w:b/>
          <w:color w:val="auto"/>
          <w:sz w:val="20"/>
        </w:rPr>
        <w:fldChar w:fldCharType="begin"/>
      </w:r>
      <w:r w:rsidRPr="00C7712C">
        <w:rPr>
          <w:rFonts w:ascii="Calibri" w:hAnsi="Calibri" w:cs="Calibri"/>
          <w:b/>
          <w:color w:val="auto"/>
          <w:sz w:val="20"/>
        </w:rPr>
        <w:instrText xml:space="preserve"> SEQ Table \* ARABIC </w:instrText>
      </w:r>
      <w:r w:rsidRPr="00C7712C">
        <w:rPr>
          <w:rFonts w:ascii="Calibri" w:hAnsi="Calibri" w:cs="Calibri"/>
          <w:b/>
          <w:color w:val="auto"/>
          <w:sz w:val="20"/>
        </w:rPr>
        <w:fldChar w:fldCharType="separate"/>
      </w:r>
      <w:r w:rsidRPr="00C7712C">
        <w:rPr>
          <w:rFonts w:ascii="Calibri" w:hAnsi="Calibri" w:cs="Calibri"/>
          <w:b/>
          <w:noProof/>
          <w:color w:val="auto"/>
          <w:sz w:val="20"/>
        </w:rPr>
        <w:t>3</w:t>
      </w:r>
      <w:r w:rsidRPr="00C7712C">
        <w:rPr>
          <w:rFonts w:ascii="Calibri" w:hAnsi="Calibri" w:cs="Calibri"/>
          <w:b/>
          <w:noProof/>
          <w:color w:val="auto"/>
          <w:sz w:val="20"/>
        </w:rPr>
        <w:fldChar w:fldCharType="end"/>
      </w:r>
      <w:r w:rsidRPr="00C7712C">
        <w:rPr>
          <w:rFonts w:ascii="Calibri" w:hAnsi="Calibri" w:cs="Calibri"/>
          <w:b/>
          <w:color w:val="auto"/>
          <w:sz w:val="20"/>
        </w:rPr>
        <w:t>:</w:t>
      </w:r>
      <w:r w:rsidRPr="001F6E38">
        <w:rPr>
          <w:rFonts w:ascii="Calibri" w:hAnsi="Calibri" w:cs="Calibri"/>
          <w:color w:val="auto"/>
          <w:sz w:val="20"/>
        </w:rPr>
        <w:t xml:space="preserve"> SAW rankings under energy-priority, cost-priority, and carbon-priority scenarios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709"/>
        <w:gridCol w:w="709"/>
        <w:gridCol w:w="845"/>
        <w:gridCol w:w="709"/>
        <w:gridCol w:w="851"/>
        <w:gridCol w:w="657"/>
      </w:tblGrid>
      <w:tr w:rsidR="00F84F9C" w:rsidRPr="00DE60D3" w14:paraId="677DB0DD" w14:textId="77777777" w:rsidTr="00F93A68">
        <w:trPr>
          <w:trHeight w:val="369"/>
          <w:jc w:val="center"/>
        </w:trPr>
        <w:tc>
          <w:tcPr>
            <w:tcW w:w="4536" w:type="dxa"/>
            <w:vMerge w:val="restart"/>
            <w:tcBorders>
              <w:top w:val="single" w:sz="4" w:space="0" w:color="auto"/>
            </w:tcBorders>
            <w:hideMark/>
          </w:tcPr>
          <w:p w14:paraId="7E33A934" w14:textId="77777777" w:rsidR="00F84F9C" w:rsidRPr="00DE60D3" w:rsidRDefault="00F84F9C" w:rsidP="00F93A68">
            <w:pPr>
              <w:spacing w:after="40" w:line="240" w:lineRule="auto"/>
              <w:jc w:val="center"/>
              <w:rPr>
                <w:rFonts w:ascii="Calibri" w:hAnsi="Calibri" w:cs="Calibri"/>
                <w:b/>
                <w:bCs/>
                <w:sz w:val="20"/>
                <w:szCs w:val="20"/>
              </w:rPr>
            </w:pPr>
          </w:p>
          <w:p w14:paraId="1EEF1978" w14:textId="77777777" w:rsidR="00F84F9C" w:rsidRPr="00DE60D3" w:rsidRDefault="00F84F9C" w:rsidP="00F93A68">
            <w:pPr>
              <w:spacing w:after="40" w:line="240" w:lineRule="auto"/>
              <w:jc w:val="center"/>
              <w:rPr>
                <w:rFonts w:ascii="Calibri" w:hAnsi="Calibri" w:cs="Calibri"/>
                <w:b/>
                <w:bCs/>
                <w:sz w:val="20"/>
                <w:szCs w:val="20"/>
              </w:rPr>
            </w:pPr>
            <w:r w:rsidRPr="00DE60D3">
              <w:rPr>
                <w:rFonts w:ascii="Calibri" w:hAnsi="Calibri" w:cs="Calibri"/>
                <w:b/>
                <w:bCs/>
                <w:sz w:val="20"/>
                <w:szCs w:val="20"/>
              </w:rPr>
              <w:t>Alternative</w:t>
            </w:r>
          </w:p>
          <w:p w14:paraId="55B0C185" w14:textId="77777777" w:rsidR="00F84F9C" w:rsidRPr="00DE60D3" w:rsidRDefault="00F84F9C" w:rsidP="00F93A68">
            <w:pPr>
              <w:spacing w:after="40" w:line="240" w:lineRule="auto"/>
              <w:jc w:val="center"/>
              <w:rPr>
                <w:rFonts w:ascii="Calibri" w:hAnsi="Calibri" w:cs="Calibri"/>
                <w:b/>
                <w:bCs/>
                <w:sz w:val="20"/>
                <w:szCs w:val="20"/>
              </w:rPr>
            </w:pPr>
          </w:p>
        </w:tc>
        <w:tc>
          <w:tcPr>
            <w:tcW w:w="1418" w:type="dxa"/>
            <w:gridSpan w:val="2"/>
            <w:tcBorders>
              <w:top w:val="single" w:sz="4" w:space="0" w:color="auto"/>
            </w:tcBorders>
            <w:hideMark/>
          </w:tcPr>
          <w:p w14:paraId="78FCFC9B"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Energy-Priority</w:t>
            </w:r>
          </w:p>
          <w:p w14:paraId="1C73B8BA" w14:textId="77777777" w:rsidR="00F84F9C" w:rsidRPr="00DE60D3" w:rsidRDefault="00F84F9C" w:rsidP="00F93A68">
            <w:pPr>
              <w:spacing w:after="40" w:line="240" w:lineRule="auto"/>
              <w:jc w:val="center"/>
              <w:rPr>
                <w:rFonts w:ascii="Calibri" w:hAnsi="Calibri" w:cs="Calibri"/>
                <w:bCs/>
                <w:sz w:val="20"/>
                <w:szCs w:val="20"/>
              </w:rPr>
            </w:pPr>
          </w:p>
        </w:tc>
        <w:tc>
          <w:tcPr>
            <w:tcW w:w="1554" w:type="dxa"/>
            <w:gridSpan w:val="2"/>
            <w:tcBorders>
              <w:top w:val="single" w:sz="4" w:space="0" w:color="auto"/>
            </w:tcBorders>
            <w:hideMark/>
          </w:tcPr>
          <w:p w14:paraId="1E827923"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Carbon-Priority</w:t>
            </w:r>
          </w:p>
          <w:p w14:paraId="0E6DE4B9" w14:textId="77777777" w:rsidR="00F84F9C" w:rsidRPr="00DE60D3" w:rsidRDefault="00F84F9C" w:rsidP="00F93A68">
            <w:pPr>
              <w:spacing w:after="40" w:line="240" w:lineRule="auto"/>
              <w:jc w:val="center"/>
              <w:rPr>
                <w:rFonts w:ascii="Calibri" w:hAnsi="Calibri" w:cs="Calibri"/>
                <w:bCs/>
                <w:sz w:val="20"/>
                <w:szCs w:val="20"/>
              </w:rPr>
            </w:pPr>
          </w:p>
        </w:tc>
        <w:tc>
          <w:tcPr>
            <w:tcW w:w="1508" w:type="dxa"/>
            <w:gridSpan w:val="2"/>
            <w:tcBorders>
              <w:top w:val="single" w:sz="4" w:space="0" w:color="auto"/>
            </w:tcBorders>
            <w:hideMark/>
          </w:tcPr>
          <w:p w14:paraId="28EC38BE"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Cost-Priority</w:t>
            </w:r>
          </w:p>
          <w:p w14:paraId="094998F5" w14:textId="77777777" w:rsidR="00F84F9C" w:rsidRPr="00DE60D3" w:rsidRDefault="00F84F9C" w:rsidP="00F93A68">
            <w:pPr>
              <w:spacing w:after="40" w:line="240" w:lineRule="auto"/>
              <w:jc w:val="center"/>
              <w:rPr>
                <w:rFonts w:ascii="Calibri" w:hAnsi="Calibri" w:cs="Calibri"/>
                <w:bCs/>
                <w:sz w:val="20"/>
                <w:szCs w:val="20"/>
              </w:rPr>
            </w:pPr>
          </w:p>
        </w:tc>
      </w:tr>
      <w:tr w:rsidR="00F84F9C" w:rsidRPr="00DE60D3" w14:paraId="2C9514F7" w14:textId="77777777" w:rsidTr="00F93A68">
        <w:trPr>
          <w:trHeight w:val="340"/>
          <w:jc w:val="center"/>
        </w:trPr>
        <w:tc>
          <w:tcPr>
            <w:tcW w:w="4536" w:type="dxa"/>
            <w:vMerge/>
            <w:tcBorders>
              <w:bottom w:val="single" w:sz="4" w:space="0" w:color="auto"/>
            </w:tcBorders>
            <w:hideMark/>
          </w:tcPr>
          <w:p w14:paraId="5BF70186" w14:textId="77777777" w:rsidR="00F84F9C" w:rsidRPr="00DE60D3" w:rsidRDefault="00F84F9C" w:rsidP="00F93A68">
            <w:pPr>
              <w:spacing w:after="40" w:line="240" w:lineRule="auto"/>
              <w:rPr>
                <w:rFonts w:ascii="Calibri" w:hAnsi="Calibri" w:cs="Calibri"/>
                <w:sz w:val="20"/>
                <w:szCs w:val="20"/>
              </w:rPr>
            </w:pPr>
          </w:p>
        </w:tc>
        <w:tc>
          <w:tcPr>
            <w:tcW w:w="709" w:type="dxa"/>
            <w:tcBorders>
              <w:bottom w:val="single" w:sz="4" w:space="0" w:color="auto"/>
            </w:tcBorders>
            <w:hideMark/>
          </w:tcPr>
          <w:p w14:paraId="2E025975"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Score</w:t>
            </w:r>
          </w:p>
        </w:tc>
        <w:tc>
          <w:tcPr>
            <w:tcW w:w="709" w:type="dxa"/>
            <w:tcBorders>
              <w:bottom w:val="single" w:sz="4" w:space="0" w:color="auto"/>
            </w:tcBorders>
            <w:hideMark/>
          </w:tcPr>
          <w:p w14:paraId="2B2EA6EF"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Rank</w:t>
            </w:r>
          </w:p>
        </w:tc>
        <w:tc>
          <w:tcPr>
            <w:tcW w:w="845" w:type="dxa"/>
            <w:tcBorders>
              <w:bottom w:val="single" w:sz="4" w:space="0" w:color="auto"/>
            </w:tcBorders>
            <w:hideMark/>
          </w:tcPr>
          <w:p w14:paraId="37C6F8F7"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Score</w:t>
            </w:r>
          </w:p>
        </w:tc>
        <w:tc>
          <w:tcPr>
            <w:tcW w:w="709" w:type="dxa"/>
            <w:tcBorders>
              <w:bottom w:val="single" w:sz="4" w:space="0" w:color="auto"/>
            </w:tcBorders>
            <w:hideMark/>
          </w:tcPr>
          <w:p w14:paraId="6749E2E9"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Rank</w:t>
            </w:r>
          </w:p>
        </w:tc>
        <w:tc>
          <w:tcPr>
            <w:tcW w:w="851" w:type="dxa"/>
            <w:tcBorders>
              <w:bottom w:val="single" w:sz="4" w:space="0" w:color="auto"/>
            </w:tcBorders>
            <w:hideMark/>
          </w:tcPr>
          <w:p w14:paraId="1892F3EA"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Score</w:t>
            </w:r>
          </w:p>
        </w:tc>
        <w:tc>
          <w:tcPr>
            <w:tcW w:w="657" w:type="dxa"/>
            <w:tcBorders>
              <w:bottom w:val="single" w:sz="4" w:space="0" w:color="auto"/>
            </w:tcBorders>
            <w:hideMark/>
          </w:tcPr>
          <w:p w14:paraId="58A427BB"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bCs/>
                <w:sz w:val="20"/>
                <w:szCs w:val="20"/>
              </w:rPr>
              <w:t>Rank</w:t>
            </w:r>
          </w:p>
        </w:tc>
      </w:tr>
      <w:tr w:rsidR="00F84F9C" w:rsidRPr="00DE60D3" w14:paraId="2B73F25C" w14:textId="77777777" w:rsidTr="00F93A68">
        <w:trPr>
          <w:trHeight w:val="340"/>
          <w:jc w:val="center"/>
        </w:trPr>
        <w:tc>
          <w:tcPr>
            <w:tcW w:w="4536" w:type="dxa"/>
            <w:tcBorders>
              <w:top w:val="single" w:sz="4" w:space="0" w:color="auto"/>
            </w:tcBorders>
            <w:vAlign w:val="center"/>
            <w:hideMark/>
          </w:tcPr>
          <w:p w14:paraId="6E520E03"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Baseline</w:t>
            </w:r>
          </w:p>
        </w:tc>
        <w:tc>
          <w:tcPr>
            <w:tcW w:w="709" w:type="dxa"/>
            <w:tcBorders>
              <w:top w:val="single" w:sz="4" w:space="0" w:color="auto"/>
            </w:tcBorders>
            <w:hideMark/>
          </w:tcPr>
          <w:p w14:paraId="5CF0717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0.842</w:t>
            </w:r>
          </w:p>
        </w:tc>
        <w:tc>
          <w:tcPr>
            <w:tcW w:w="709" w:type="dxa"/>
            <w:tcBorders>
              <w:top w:val="single" w:sz="4" w:space="0" w:color="auto"/>
            </w:tcBorders>
            <w:hideMark/>
          </w:tcPr>
          <w:p w14:paraId="0F3DBD1F"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12</w:t>
            </w:r>
          </w:p>
        </w:tc>
        <w:tc>
          <w:tcPr>
            <w:tcW w:w="845" w:type="dxa"/>
            <w:tcBorders>
              <w:top w:val="single" w:sz="4" w:space="0" w:color="auto"/>
            </w:tcBorders>
            <w:hideMark/>
          </w:tcPr>
          <w:p w14:paraId="4E8D0E66"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0.851</w:t>
            </w:r>
          </w:p>
        </w:tc>
        <w:tc>
          <w:tcPr>
            <w:tcW w:w="709" w:type="dxa"/>
            <w:tcBorders>
              <w:top w:val="single" w:sz="4" w:space="0" w:color="auto"/>
            </w:tcBorders>
            <w:hideMark/>
          </w:tcPr>
          <w:p w14:paraId="146E4B7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12</w:t>
            </w:r>
          </w:p>
        </w:tc>
        <w:tc>
          <w:tcPr>
            <w:tcW w:w="851" w:type="dxa"/>
            <w:tcBorders>
              <w:top w:val="single" w:sz="4" w:space="0" w:color="auto"/>
            </w:tcBorders>
            <w:hideMark/>
          </w:tcPr>
          <w:p w14:paraId="66525AC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0.925</w:t>
            </w:r>
          </w:p>
        </w:tc>
        <w:tc>
          <w:tcPr>
            <w:tcW w:w="657" w:type="dxa"/>
            <w:tcBorders>
              <w:top w:val="single" w:sz="4" w:space="0" w:color="auto"/>
            </w:tcBorders>
            <w:hideMark/>
          </w:tcPr>
          <w:p w14:paraId="0071DE90"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11</w:t>
            </w:r>
          </w:p>
        </w:tc>
      </w:tr>
      <w:tr w:rsidR="00F84F9C" w:rsidRPr="00DE60D3" w14:paraId="6AA9BFC2" w14:textId="77777777" w:rsidTr="00F93A68">
        <w:trPr>
          <w:trHeight w:val="340"/>
          <w:jc w:val="center"/>
        </w:trPr>
        <w:tc>
          <w:tcPr>
            <w:tcW w:w="4536" w:type="dxa"/>
            <w:vAlign w:val="center"/>
            <w:hideMark/>
          </w:tcPr>
          <w:p w14:paraId="1A25882B"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1: </w:t>
            </w:r>
            <w:r>
              <w:rPr>
                <w:rFonts w:ascii="Calibri" w:hAnsi="Calibri" w:cs="Calibri"/>
                <w:color w:val="000000"/>
                <w:sz w:val="20"/>
                <w:szCs w:val="20"/>
              </w:rPr>
              <w:t xml:space="preserve">Rotating </w:t>
            </w:r>
            <w:r w:rsidRPr="00951FA2">
              <w:rPr>
                <w:rFonts w:ascii="Calibri" w:hAnsi="Calibri" w:cs="Calibri"/>
                <w:sz w:val="20"/>
                <w:szCs w:val="20"/>
              </w:rPr>
              <w:t>Baseline</w:t>
            </w:r>
            <w:r>
              <w:rPr>
                <w:rFonts w:ascii="Calibri" w:hAnsi="Calibri" w:cs="Calibri"/>
                <w:sz w:val="20"/>
                <w:szCs w:val="20"/>
              </w:rPr>
              <w:t xml:space="preserve"> by</w:t>
            </w:r>
            <w:r w:rsidRPr="00951FA2">
              <w:rPr>
                <w:rFonts w:ascii="Calibri" w:hAnsi="Calibri" w:cs="Calibri"/>
                <w:sz w:val="20"/>
                <w:szCs w:val="20"/>
              </w:rPr>
              <w:t xml:space="preserve"> 90°</w:t>
            </w:r>
          </w:p>
        </w:tc>
        <w:tc>
          <w:tcPr>
            <w:tcW w:w="709" w:type="dxa"/>
            <w:hideMark/>
          </w:tcPr>
          <w:p w14:paraId="2CE5A94F"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0.842</w:t>
            </w:r>
          </w:p>
        </w:tc>
        <w:tc>
          <w:tcPr>
            <w:tcW w:w="709" w:type="dxa"/>
            <w:hideMark/>
          </w:tcPr>
          <w:p w14:paraId="019D091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11</w:t>
            </w:r>
          </w:p>
        </w:tc>
        <w:tc>
          <w:tcPr>
            <w:tcW w:w="845" w:type="dxa"/>
            <w:hideMark/>
          </w:tcPr>
          <w:p w14:paraId="0071865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0.851</w:t>
            </w:r>
          </w:p>
        </w:tc>
        <w:tc>
          <w:tcPr>
            <w:tcW w:w="709" w:type="dxa"/>
            <w:hideMark/>
          </w:tcPr>
          <w:p w14:paraId="1E3B796F"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11</w:t>
            </w:r>
          </w:p>
        </w:tc>
        <w:tc>
          <w:tcPr>
            <w:tcW w:w="851" w:type="dxa"/>
            <w:hideMark/>
          </w:tcPr>
          <w:p w14:paraId="6AAE590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0.925</w:t>
            </w:r>
          </w:p>
        </w:tc>
        <w:tc>
          <w:tcPr>
            <w:tcW w:w="657" w:type="dxa"/>
            <w:hideMark/>
          </w:tcPr>
          <w:p w14:paraId="3D9A7C92"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10</w:t>
            </w:r>
          </w:p>
        </w:tc>
      </w:tr>
      <w:tr w:rsidR="00F84F9C" w:rsidRPr="00DE60D3" w14:paraId="09A4D32E" w14:textId="77777777" w:rsidTr="00F93A68">
        <w:trPr>
          <w:trHeight w:val="340"/>
          <w:jc w:val="center"/>
        </w:trPr>
        <w:tc>
          <w:tcPr>
            <w:tcW w:w="4536" w:type="dxa"/>
            <w:vAlign w:val="center"/>
            <w:hideMark/>
          </w:tcPr>
          <w:p w14:paraId="0D2E63B3"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2: </w:t>
            </w:r>
            <w:r w:rsidRPr="00951FA2">
              <w:rPr>
                <w:rFonts w:ascii="Calibri" w:hAnsi="Calibri" w:cs="Calibri"/>
                <w:sz w:val="20"/>
                <w:szCs w:val="20"/>
              </w:rPr>
              <w:t xml:space="preserve">AAC </w:t>
            </w:r>
            <w:r>
              <w:rPr>
                <w:rFonts w:ascii="Calibri" w:hAnsi="Calibri" w:cs="Calibri"/>
                <w:sz w:val="20"/>
                <w:szCs w:val="20"/>
              </w:rPr>
              <w:t>blocks replacing clay bricks in walls with</w:t>
            </w:r>
            <w:r w:rsidRPr="00951FA2">
              <w:rPr>
                <w:rFonts w:ascii="Calibri" w:hAnsi="Calibri" w:cs="Calibri"/>
                <w:sz w:val="20"/>
                <w:szCs w:val="20"/>
              </w:rPr>
              <w:t xml:space="preserve"> </w:t>
            </w:r>
            <w:r>
              <w:rPr>
                <w:rFonts w:ascii="Calibri" w:hAnsi="Calibri" w:cs="Calibri"/>
                <w:sz w:val="20"/>
                <w:szCs w:val="20"/>
              </w:rPr>
              <w:t xml:space="preserve">the </w:t>
            </w:r>
            <w:r w:rsidRPr="00951FA2">
              <w:rPr>
                <w:rFonts w:ascii="Calibri" w:hAnsi="Calibri" w:cs="Calibri"/>
                <w:sz w:val="20"/>
                <w:szCs w:val="20"/>
              </w:rPr>
              <w:t xml:space="preserve">original </w:t>
            </w:r>
            <w:r>
              <w:rPr>
                <w:rFonts w:ascii="Calibri" w:hAnsi="Calibri" w:cs="Calibri"/>
                <w:sz w:val="20"/>
                <w:szCs w:val="20"/>
              </w:rPr>
              <w:t xml:space="preserve">baseline </w:t>
            </w:r>
            <w:r w:rsidRPr="00951FA2">
              <w:rPr>
                <w:rFonts w:ascii="Calibri" w:hAnsi="Calibri" w:cs="Calibri"/>
                <w:sz w:val="20"/>
                <w:szCs w:val="20"/>
              </w:rPr>
              <w:t>orientation</w:t>
            </w:r>
          </w:p>
        </w:tc>
        <w:tc>
          <w:tcPr>
            <w:tcW w:w="709" w:type="dxa"/>
            <w:hideMark/>
          </w:tcPr>
          <w:p w14:paraId="47B384E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0.963</w:t>
            </w:r>
          </w:p>
        </w:tc>
        <w:tc>
          <w:tcPr>
            <w:tcW w:w="709" w:type="dxa"/>
            <w:hideMark/>
          </w:tcPr>
          <w:p w14:paraId="4CFF22B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3</w:t>
            </w:r>
          </w:p>
        </w:tc>
        <w:tc>
          <w:tcPr>
            <w:tcW w:w="845" w:type="dxa"/>
            <w:hideMark/>
          </w:tcPr>
          <w:p w14:paraId="72E44755"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0.942</w:t>
            </w:r>
          </w:p>
        </w:tc>
        <w:tc>
          <w:tcPr>
            <w:tcW w:w="709" w:type="dxa"/>
            <w:hideMark/>
          </w:tcPr>
          <w:p w14:paraId="3A917B32"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3</w:t>
            </w:r>
          </w:p>
        </w:tc>
        <w:tc>
          <w:tcPr>
            <w:tcW w:w="851" w:type="dxa"/>
            <w:hideMark/>
          </w:tcPr>
          <w:p w14:paraId="7A2FF59E"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0.983</w:t>
            </w:r>
          </w:p>
        </w:tc>
        <w:tc>
          <w:tcPr>
            <w:tcW w:w="657" w:type="dxa"/>
            <w:hideMark/>
          </w:tcPr>
          <w:p w14:paraId="1CEEA10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w:t>
            </w:r>
          </w:p>
        </w:tc>
      </w:tr>
      <w:tr w:rsidR="00F84F9C" w:rsidRPr="00DE60D3" w14:paraId="1AC53F6C" w14:textId="77777777" w:rsidTr="00F93A68">
        <w:trPr>
          <w:trHeight w:val="340"/>
          <w:jc w:val="center"/>
        </w:trPr>
        <w:tc>
          <w:tcPr>
            <w:tcW w:w="4536" w:type="dxa"/>
            <w:vAlign w:val="center"/>
            <w:hideMark/>
          </w:tcPr>
          <w:p w14:paraId="13463752"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3: </w:t>
            </w:r>
            <w:r w:rsidRPr="00951FA2">
              <w:rPr>
                <w:rFonts w:ascii="Calibri" w:hAnsi="Calibri" w:cs="Calibri"/>
                <w:sz w:val="20"/>
                <w:szCs w:val="20"/>
              </w:rPr>
              <w:t xml:space="preserve">AAC </w:t>
            </w:r>
            <w:r>
              <w:rPr>
                <w:rFonts w:ascii="Calibri" w:hAnsi="Calibri" w:cs="Calibri"/>
                <w:sz w:val="20"/>
                <w:szCs w:val="20"/>
              </w:rPr>
              <w:t>blocks replacing clay bricks in walls, and rotating baseline orientation</w:t>
            </w:r>
            <w:r w:rsidRPr="00951FA2">
              <w:rPr>
                <w:rFonts w:ascii="Calibri" w:hAnsi="Calibri" w:cs="Calibri"/>
                <w:sz w:val="20"/>
                <w:szCs w:val="20"/>
              </w:rPr>
              <w:t xml:space="preserve"> </w:t>
            </w:r>
            <w:r>
              <w:rPr>
                <w:rFonts w:ascii="Calibri" w:hAnsi="Calibri" w:cs="Calibri"/>
                <w:sz w:val="20"/>
                <w:szCs w:val="20"/>
              </w:rPr>
              <w:t xml:space="preserve">by </w:t>
            </w:r>
            <w:r w:rsidRPr="00951FA2">
              <w:rPr>
                <w:rFonts w:ascii="Calibri" w:hAnsi="Calibri" w:cs="Calibri"/>
                <w:sz w:val="20"/>
                <w:szCs w:val="20"/>
              </w:rPr>
              <w:t>180°</w:t>
            </w:r>
          </w:p>
        </w:tc>
        <w:tc>
          <w:tcPr>
            <w:tcW w:w="709" w:type="dxa"/>
            <w:hideMark/>
          </w:tcPr>
          <w:p w14:paraId="07C513B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0.933</w:t>
            </w:r>
          </w:p>
        </w:tc>
        <w:tc>
          <w:tcPr>
            <w:tcW w:w="709" w:type="dxa"/>
            <w:hideMark/>
          </w:tcPr>
          <w:p w14:paraId="2E912B0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5</w:t>
            </w:r>
          </w:p>
        </w:tc>
        <w:tc>
          <w:tcPr>
            <w:tcW w:w="845" w:type="dxa"/>
            <w:hideMark/>
          </w:tcPr>
          <w:p w14:paraId="122D1240"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0.910</w:t>
            </w:r>
          </w:p>
        </w:tc>
        <w:tc>
          <w:tcPr>
            <w:tcW w:w="709" w:type="dxa"/>
            <w:hideMark/>
          </w:tcPr>
          <w:p w14:paraId="6621DF2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7</w:t>
            </w:r>
          </w:p>
        </w:tc>
        <w:tc>
          <w:tcPr>
            <w:tcW w:w="851" w:type="dxa"/>
            <w:hideMark/>
          </w:tcPr>
          <w:p w14:paraId="3C7A434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0.962</w:t>
            </w:r>
          </w:p>
        </w:tc>
        <w:tc>
          <w:tcPr>
            <w:tcW w:w="657" w:type="dxa"/>
            <w:hideMark/>
          </w:tcPr>
          <w:p w14:paraId="397363B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5</w:t>
            </w:r>
          </w:p>
        </w:tc>
      </w:tr>
      <w:tr w:rsidR="00F84F9C" w:rsidRPr="00DE60D3" w14:paraId="197EA756" w14:textId="77777777" w:rsidTr="00F93A68">
        <w:trPr>
          <w:trHeight w:val="340"/>
          <w:jc w:val="center"/>
        </w:trPr>
        <w:tc>
          <w:tcPr>
            <w:tcW w:w="4536" w:type="dxa"/>
            <w:vAlign w:val="center"/>
            <w:hideMark/>
          </w:tcPr>
          <w:p w14:paraId="1C1EC0D8"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4: </w:t>
            </w:r>
            <w:r w:rsidRPr="00951FA2">
              <w:rPr>
                <w:rFonts w:ascii="Calibri" w:hAnsi="Calibri" w:cs="Calibri"/>
                <w:sz w:val="20"/>
                <w:szCs w:val="20"/>
              </w:rPr>
              <w:t xml:space="preserve">AAC </w:t>
            </w:r>
            <w:r>
              <w:rPr>
                <w:rFonts w:ascii="Calibri" w:hAnsi="Calibri" w:cs="Calibri"/>
                <w:sz w:val="20"/>
                <w:szCs w:val="20"/>
              </w:rPr>
              <w:t>blocks replacing clay bricks in walls, and rotating baseline orientation</w:t>
            </w:r>
            <w:r w:rsidRPr="00951FA2">
              <w:rPr>
                <w:rFonts w:ascii="Calibri" w:hAnsi="Calibri" w:cs="Calibri"/>
                <w:sz w:val="20"/>
                <w:szCs w:val="20"/>
              </w:rPr>
              <w:t xml:space="preserve"> </w:t>
            </w:r>
            <w:r>
              <w:rPr>
                <w:rFonts w:ascii="Calibri" w:hAnsi="Calibri" w:cs="Calibri"/>
                <w:sz w:val="20"/>
                <w:szCs w:val="20"/>
              </w:rPr>
              <w:t>by 9</w:t>
            </w:r>
            <w:r w:rsidRPr="00951FA2">
              <w:rPr>
                <w:rFonts w:ascii="Calibri" w:hAnsi="Calibri" w:cs="Calibri"/>
                <w:sz w:val="20"/>
                <w:szCs w:val="20"/>
              </w:rPr>
              <w:t>0°</w:t>
            </w:r>
          </w:p>
        </w:tc>
        <w:tc>
          <w:tcPr>
            <w:tcW w:w="709" w:type="dxa"/>
            <w:hideMark/>
          </w:tcPr>
          <w:p w14:paraId="62D8D132"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0.940</w:t>
            </w:r>
          </w:p>
        </w:tc>
        <w:tc>
          <w:tcPr>
            <w:tcW w:w="709" w:type="dxa"/>
            <w:hideMark/>
          </w:tcPr>
          <w:p w14:paraId="32DE43E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4</w:t>
            </w:r>
          </w:p>
        </w:tc>
        <w:tc>
          <w:tcPr>
            <w:tcW w:w="845" w:type="dxa"/>
            <w:hideMark/>
          </w:tcPr>
          <w:p w14:paraId="13DEEAF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0.918</w:t>
            </w:r>
          </w:p>
        </w:tc>
        <w:tc>
          <w:tcPr>
            <w:tcW w:w="709" w:type="dxa"/>
            <w:hideMark/>
          </w:tcPr>
          <w:p w14:paraId="69E9434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5</w:t>
            </w:r>
          </w:p>
        </w:tc>
        <w:tc>
          <w:tcPr>
            <w:tcW w:w="851" w:type="dxa"/>
            <w:hideMark/>
          </w:tcPr>
          <w:p w14:paraId="34C7A994"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0.967</w:t>
            </w:r>
          </w:p>
        </w:tc>
        <w:tc>
          <w:tcPr>
            <w:tcW w:w="657" w:type="dxa"/>
            <w:hideMark/>
          </w:tcPr>
          <w:p w14:paraId="6AC16CFA"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4</w:t>
            </w:r>
          </w:p>
        </w:tc>
      </w:tr>
      <w:tr w:rsidR="00F84F9C" w:rsidRPr="00DE60D3" w14:paraId="7C4062BC" w14:textId="77777777" w:rsidTr="00F93A68">
        <w:trPr>
          <w:trHeight w:val="340"/>
          <w:jc w:val="center"/>
        </w:trPr>
        <w:tc>
          <w:tcPr>
            <w:tcW w:w="4536" w:type="dxa"/>
            <w:vAlign w:val="center"/>
            <w:hideMark/>
          </w:tcPr>
          <w:p w14:paraId="2AE65307"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5: </w:t>
            </w:r>
            <w:r>
              <w:rPr>
                <w:rFonts w:ascii="Calibri" w:hAnsi="Calibri" w:cs="Calibri"/>
                <w:color w:val="000000"/>
                <w:sz w:val="20"/>
                <w:szCs w:val="20"/>
              </w:rPr>
              <w:t>F</w:t>
            </w:r>
            <w:r w:rsidRPr="00951FA2">
              <w:rPr>
                <w:rFonts w:ascii="Calibri" w:hAnsi="Calibri" w:cs="Calibri"/>
                <w:color w:val="000000"/>
                <w:sz w:val="20"/>
                <w:szCs w:val="20"/>
              </w:rPr>
              <w:t>lat RCC roof</w:t>
            </w:r>
            <w:r>
              <w:rPr>
                <w:rFonts w:ascii="Calibri" w:hAnsi="Calibri" w:cs="Calibri"/>
                <w:color w:val="000000"/>
                <w:sz w:val="20"/>
                <w:szCs w:val="20"/>
              </w:rPr>
              <w:t xml:space="preserve"> replacing the pitched roof in the baseline model and the </w:t>
            </w:r>
            <w:r w:rsidRPr="00951FA2">
              <w:rPr>
                <w:rFonts w:ascii="Calibri" w:hAnsi="Calibri" w:cs="Calibri"/>
                <w:sz w:val="20"/>
                <w:szCs w:val="20"/>
              </w:rPr>
              <w:t xml:space="preserve">original </w:t>
            </w:r>
            <w:r>
              <w:rPr>
                <w:rFonts w:ascii="Calibri" w:hAnsi="Calibri" w:cs="Calibri"/>
                <w:sz w:val="20"/>
                <w:szCs w:val="20"/>
              </w:rPr>
              <w:t xml:space="preserve">baseline </w:t>
            </w:r>
            <w:r w:rsidRPr="00951FA2">
              <w:rPr>
                <w:rFonts w:ascii="Calibri" w:hAnsi="Calibri" w:cs="Calibri"/>
                <w:sz w:val="20"/>
                <w:szCs w:val="20"/>
              </w:rPr>
              <w:t>orientation</w:t>
            </w:r>
          </w:p>
        </w:tc>
        <w:tc>
          <w:tcPr>
            <w:tcW w:w="709" w:type="dxa"/>
            <w:hideMark/>
          </w:tcPr>
          <w:p w14:paraId="610C03A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0.796</w:t>
            </w:r>
          </w:p>
        </w:tc>
        <w:tc>
          <w:tcPr>
            <w:tcW w:w="709" w:type="dxa"/>
            <w:hideMark/>
          </w:tcPr>
          <w:p w14:paraId="24F48B16"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13</w:t>
            </w:r>
          </w:p>
        </w:tc>
        <w:tc>
          <w:tcPr>
            <w:tcW w:w="845" w:type="dxa"/>
            <w:hideMark/>
          </w:tcPr>
          <w:p w14:paraId="5488A30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0.790</w:t>
            </w:r>
          </w:p>
        </w:tc>
        <w:tc>
          <w:tcPr>
            <w:tcW w:w="709" w:type="dxa"/>
            <w:hideMark/>
          </w:tcPr>
          <w:p w14:paraId="18E3542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13</w:t>
            </w:r>
          </w:p>
        </w:tc>
        <w:tc>
          <w:tcPr>
            <w:tcW w:w="851" w:type="dxa"/>
            <w:hideMark/>
          </w:tcPr>
          <w:p w14:paraId="64204BB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0.894</w:t>
            </w:r>
          </w:p>
        </w:tc>
        <w:tc>
          <w:tcPr>
            <w:tcW w:w="657" w:type="dxa"/>
            <w:hideMark/>
          </w:tcPr>
          <w:p w14:paraId="460656E5"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13</w:t>
            </w:r>
          </w:p>
        </w:tc>
      </w:tr>
      <w:tr w:rsidR="00F84F9C" w:rsidRPr="00DE60D3" w14:paraId="61EDFBF3" w14:textId="77777777" w:rsidTr="00F93A68">
        <w:trPr>
          <w:trHeight w:val="340"/>
          <w:jc w:val="center"/>
        </w:trPr>
        <w:tc>
          <w:tcPr>
            <w:tcW w:w="4536" w:type="dxa"/>
            <w:vAlign w:val="center"/>
            <w:hideMark/>
          </w:tcPr>
          <w:p w14:paraId="4D18B471"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6: </w:t>
            </w:r>
            <w:r>
              <w:rPr>
                <w:rFonts w:ascii="Calibri" w:hAnsi="Calibri" w:cs="Calibri"/>
                <w:color w:val="000000"/>
                <w:sz w:val="20"/>
                <w:szCs w:val="20"/>
              </w:rPr>
              <w:t xml:space="preserve">Adding </w:t>
            </w:r>
            <w:r w:rsidRPr="00951FA2">
              <w:rPr>
                <w:rFonts w:ascii="Calibri" w:hAnsi="Calibri" w:cs="Calibri"/>
                <w:sz w:val="20"/>
                <w:szCs w:val="20"/>
              </w:rPr>
              <w:t>overhangs</w:t>
            </w:r>
            <w:r>
              <w:rPr>
                <w:rFonts w:ascii="Calibri" w:hAnsi="Calibri" w:cs="Calibri"/>
                <w:sz w:val="20"/>
                <w:szCs w:val="20"/>
              </w:rPr>
              <w:t xml:space="preserve"> to the b</w:t>
            </w:r>
            <w:r w:rsidRPr="00951FA2">
              <w:rPr>
                <w:rFonts w:ascii="Calibri" w:hAnsi="Calibri" w:cs="Calibri"/>
                <w:sz w:val="20"/>
                <w:szCs w:val="20"/>
              </w:rPr>
              <w:t xml:space="preserve">aseline </w:t>
            </w:r>
            <w:r>
              <w:rPr>
                <w:rFonts w:ascii="Calibri" w:hAnsi="Calibri" w:cs="Calibri"/>
                <w:sz w:val="20"/>
                <w:szCs w:val="20"/>
              </w:rPr>
              <w:t>model</w:t>
            </w:r>
          </w:p>
        </w:tc>
        <w:tc>
          <w:tcPr>
            <w:tcW w:w="709" w:type="dxa"/>
            <w:hideMark/>
          </w:tcPr>
          <w:p w14:paraId="47CF2D7D"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0.849</w:t>
            </w:r>
          </w:p>
        </w:tc>
        <w:tc>
          <w:tcPr>
            <w:tcW w:w="709" w:type="dxa"/>
            <w:hideMark/>
          </w:tcPr>
          <w:p w14:paraId="7210F776"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10</w:t>
            </w:r>
          </w:p>
        </w:tc>
        <w:tc>
          <w:tcPr>
            <w:tcW w:w="845" w:type="dxa"/>
            <w:hideMark/>
          </w:tcPr>
          <w:p w14:paraId="0FF26F05"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0.863</w:t>
            </w:r>
          </w:p>
        </w:tc>
        <w:tc>
          <w:tcPr>
            <w:tcW w:w="709" w:type="dxa"/>
            <w:hideMark/>
          </w:tcPr>
          <w:p w14:paraId="6299BDC0"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10</w:t>
            </w:r>
          </w:p>
        </w:tc>
        <w:tc>
          <w:tcPr>
            <w:tcW w:w="851" w:type="dxa"/>
            <w:hideMark/>
          </w:tcPr>
          <w:p w14:paraId="3F114BA9"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0.924</w:t>
            </w:r>
          </w:p>
        </w:tc>
        <w:tc>
          <w:tcPr>
            <w:tcW w:w="657" w:type="dxa"/>
            <w:hideMark/>
          </w:tcPr>
          <w:p w14:paraId="1590753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12</w:t>
            </w:r>
          </w:p>
        </w:tc>
      </w:tr>
      <w:tr w:rsidR="00F84F9C" w:rsidRPr="00DE60D3" w14:paraId="6764ED4D" w14:textId="77777777" w:rsidTr="00F93A68">
        <w:trPr>
          <w:trHeight w:val="340"/>
          <w:jc w:val="center"/>
        </w:trPr>
        <w:tc>
          <w:tcPr>
            <w:tcW w:w="4536" w:type="dxa"/>
            <w:vAlign w:val="center"/>
            <w:hideMark/>
          </w:tcPr>
          <w:p w14:paraId="01E776DE"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7: </w:t>
            </w:r>
            <w:r w:rsidRPr="00600AD5">
              <w:rPr>
                <w:rFonts w:ascii="Calibri" w:hAnsi="Calibri" w:cs="Calibri"/>
                <w:color w:val="000000"/>
                <w:sz w:val="20"/>
                <w:szCs w:val="20"/>
              </w:rPr>
              <w:t>Adding roof overhangs and increasing the window sill height in the baseline model</w:t>
            </w:r>
          </w:p>
        </w:tc>
        <w:tc>
          <w:tcPr>
            <w:tcW w:w="709" w:type="dxa"/>
            <w:hideMark/>
          </w:tcPr>
          <w:p w14:paraId="27C7D11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0.861</w:t>
            </w:r>
          </w:p>
        </w:tc>
        <w:tc>
          <w:tcPr>
            <w:tcW w:w="709" w:type="dxa"/>
            <w:hideMark/>
          </w:tcPr>
          <w:p w14:paraId="37ADC3F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9</w:t>
            </w:r>
          </w:p>
        </w:tc>
        <w:tc>
          <w:tcPr>
            <w:tcW w:w="845" w:type="dxa"/>
            <w:hideMark/>
          </w:tcPr>
          <w:p w14:paraId="2043AC5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0.877</w:t>
            </w:r>
          </w:p>
        </w:tc>
        <w:tc>
          <w:tcPr>
            <w:tcW w:w="709" w:type="dxa"/>
            <w:hideMark/>
          </w:tcPr>
          <w:p w14:paraId="5F36E4EF"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9</w:t>
            </w:r>
          </w:p>
        </w:tc>
        <w:tc>
          <w:tcPr>
            <w:tcW w:w="851" w:type="dxa"/>
            <w:hideMark/>
          </w:tcPr>
          <w:p w14:paraId="57F99D8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0.929</w:t>
            </w:r>
          </w:p>
        </w:tc>
        <w:tc>
          <w:tcPr>
            <w:tcW w:w="657" w:type="dxa"/>
            <w:hideMark/>
          </w:tcPr>
          <w:p w14:paraId="1E1D5C26"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9</w:t>
            </w:r>
          </w:p>
        </w:tc>
      </w:tr>
      <w:tr w:rsidR="00F84F9C" w:rsidRPr="00DE60D3" w14:paraId="16C9BAF8" w14:textId="77777777" w:rsidTr="00F93A68">
        <w:trPr>
          <w:trHeight w:val="340"/>
          <w:jc w:val="center"/>
        </w:trPr>
        <w:tc>
          <w:tcPr>
            <w:tcW w:w="4536" w:type="dxa"/>
            <w:vAlign w:val="center"/>
            <w:hideMark/>
          </w:tcPr>
          <w:p w14:paraId="25F09876"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8: </w:t>
            </w:r>
            <w:r w:rsidRPr="00600AD5">
              <w:rPr>
                <w:rFonts w:ascii="Calibri" w:hAnsi="Calibri" w:cs="Calibri"/>
                <w:sz w:val="20"/>
                <w:szCs w:val="20"/>
              </w:rPr>
              <w:t>AAC blocks replacing clay bricks in the walls, combined with roof overhangs and an increased window sill height</w:t>
            </w:r>
          </w:p>
        </w:tc>
        <w:tc>
          <w:tcPr>
            <w:tcW w:w="709" w:type="dxa"/>
            <w:hideMark/>
          </w:tcPr>
          <w:p w14:paraId="1A15B98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0.965</w:t>
            </w:r>
          </w:p>
        </w:tc>
        <w:tc>
          <w:tcPr>
            <w:tcW w:w="709" w:type="dxa"/>
            <w:hideMark/>
          </w:tcPr>
          <w:p w14:paraId="4E7ABDD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2</w:t>
            </w:r>
          </w:p>
        </w:tc>
        <w:tc>
          <w:tcPr>
            <w:tcW w:w="845" w:type="dxa"/>
            <w:hideMark/>
          </w:tcPr>
          <w:p w14:paraId="55D1C67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0.957</w:t>
            </w:r>
          </w:p>
        </w:tc>
        <w:tc>
          <w:tcPr>
            <w:tcW w:w="709" w:type="dxa"/>
            <w:hideMark/>
          </w:tcPr>
          <w:p w14:paraId="6BB853AB"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2</w:t>
            </w:r>
          </w:p>
        </w:tc>
        <w:tc>
          <w:tcPr>
            <w:tcW w:w="851" w:type="dxa"/>
            <w:hideMark/>
          </w:tcPr>
          <w:p w14:paraId="196EB20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0.970</w:t>
            </w:r>
          </w:p>
        </w:tc>
        <w:tc>
          <w:tcPr>
            <w:tcW w:w="657" w:type="dxa"/>
            <w:hideMark/>
          </w:tcPr>
          <w:p w14:paraId="46B131A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3</w:t>
            </w:r>
          </w:p>
        </w:tc>
      </w:tr>
      <w:tr w:rsidR="00F84F9C" w:rsidRPr="00DE60D3" w14:paraId="4E14BAFB" w14:textId="77777777" w:rsidTr="00F93A68">
        <w:trPr>
          <w:trHeight w:val="340"/>
          <w:jc w:val="center"/>
        </w:trPr>
        <w:tc>
          <w:tcPr>
            <w:tcW w:w="4536" w:type="dxa"/>
            <w:vAlign w:val="center"/>
            <w:hideMark/>
          </w:tcPr>
          <w:p w14:paraId="54166886"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lastRenderedPageBreak/>
              <w:t xml:space="preserve">Alternative 9: </w:t>
            </w:r>
            <w:r w:rsidRPr="00600AD5">
              <w:rPr>
                <w:rFonts w:ascii="Calibri" w:hAnsi="Calibri" w:cs="Calibri"/>
                <w:sz w:val="20"/>
                <w:szCs w:val="20"/>
              </w:rPr>
              <w:t>Adding roof overhangs, a fully pitched roof system, and an increased window sill height to the baseline model</w:t>
            </w:r>
          </w:p>
        </w:tc>
        <w:tc>
          <w:tcPr>
            <w:tcW w:w="709" w:type="dxa"/>
            <w:hideMark/>
          </w:tcPr>
          <w:p w14:paraId="7AB4D1DD"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0.886</w:t>
            </w:r>
          </w:p>
        </w:tc>
        <w:tc>
          <w:tcPr>
            <w:tcW w:w="709" w:type="dxa"/>
            <w:hideMark/>
          </w:tcPr>
          <w:p w14:paraId="05E40EC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7</w:t>
            </w:r>
          </w:p>
        </w:tc>
        <w:tc>
          <w:tcPr>
            <w:tcW w:w="845" w:type="dxa"/>
            <w:hideMark/>
          </w:tcPr>
          <w:p w14:paraId="1918067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0.914</w:t>
            </w:r>
          </w:p>
        </w:tc>
        <w:tc>
          <w:tcPr>
            <w:tcW w:w="709" w:type="dxa"/>
            <w:hideMark/>
          </w:tcPr>
          <w:p w14:paraId="49BCEE1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6</w:t>
            </w:r>
          </w:p>
        </w:tc>
        <w:tc>
          <w:tcPr>
            <w:tcW w:w="851" w:type="dxa"/>
            <w:hideMark/>
          </w:tcPr>
          <w:p w14:paraId="70064FD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0.930</w:t>
            </w:r>
          </w:p>
        </w:tc>
        <w:tc>
          <w:tcPr>
            <w:tcW w:w="657" w:type="dxa"/>
            <w:hideMark/>
          </w:tcPr>
          <w:p w14:paraId="3D324F30"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7</w:t>
            </w:r>
          </w:p>
        </w:tc>
      </w:tr>
      <w:tr w:rsidR="00F84F9C" w:rsidRPr="00DE60D3" w14:paraId="1959D7FA" w14:textId="77777777" w:rsidTr="00F93A68">
        <w:trPr>
          <w:trHeight w:val="340"/>
          <w:jc w:val="center"/>
        </w:trPr>
        <w:tc>
          <w:tcPr>
            <w:tcW w:w="4536" w:type="dxa"/>
            <w:vAlign w:val="center"/>
            <w:hideMark/>
          </w:tcPr>
          <w:p w14:paraId="0C560129" w14:textId="77777777" w:rsidR="00F84F9C" w:rsidRPr="00DE60D3" w:rsidRDefault="00F84F9C" w:rsidP="00343412">
            <w:pPr>
              <w:spacing w:after="40" w:line="240" w:lineRule="auto"/>
              <w:rPr>
                <w:rFonts w:ascii="Calibri" w:hAnsi="Calibri" w:cs="Calibri"/>
                <w:bCs/>
                <w:sz w:val="20"/>
                <w:szCs w:val="20"/>
              </w:rPr>
            </w:pPr>
            <w:r w:rsidRPr="00951FA2">
              <w:rPr>
                <w:rFonts w:ascii="Calibri" w:hAnsi="Calibri" w:cs="Calibri"/>
                <w:color w:val="000000"/>
                <w:sz w:val="20"/>
                <w:szCs w:val="20"/>
              </w:rPr>
              <w:t xml:space="preserve">Alternative 10: </w:t>
            </w:r>
            <w:r w:rsidRPr="00600AD5">
              <w:rPr>
                <w:rFonts w:ascii="Calibri" w:hAnsi="Calibri" w:cs="Calibri"/>
                <w:sz w:val="20"/>
                <w:szCs w:val="20"/>
              </w:rPr>
              <w:t>AAC blocks replacing clay bricks in walls, combined with roof overhangs, a fully pitched roof system, and an increased window sill height</w:t>
            </w:r>
          </w:p>
        </w:tc>
        <w:tc>
          <w:tcPr>
            <w:tcW w:w="709" w:type="dxa"/>
            <w:hideMark/>
          </w:tcPr>
          <w:p w14:paraId="5A772A6E"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0.994</w:t>
            </w:r>
          </w:p>
        </w:tc>
        <w:tc>
          <w:tcPr>
            <w:tcW w:w="709" w:type="dxa"/>
            <w:hideMark/>
          </w:tcPr>
          <w:p w14:paraId="28A3A211"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1</w:t>
            </w:r>
          </w:p>
        </w:tc>
        <w:tc>
          <w:tcPr>
            <w:tcW w:w="845" w:type="dxa"/>
            <w:hideMark/>
          </w:tcPr>
          <w:p w14:paraId="288D336E"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0.994</w:t>
            </w:r>
          </w:p>
        </w:tc>
        <w:tc>
          <w:tcPr>
            <w:tcW w:w="709" w:type="dxa"/>
            <w:hideMark/>
          </w:tcPr>
          <w:p w14:paraId="4BFAC0DA" w14:textId="77777777" w:rsidR="00F84F9C" w:rsidRPr="00DE60D3" w:rsidRDefault="00F84F9C" w:rsidP="00F93A68">
            <w:pPr>
              <w:spacing w:after="40" w:line="240" w:lineRule="auto"/>
              <w:jc w:val="center"/>
              <w:rPr>
                <w:rFonts w:ascii="Calibri" w:hAnsi="Calibri" w:cs="Calibri"/>
                <w:bCs/>
                <w:sz w:val="20"/>
                <w:szCs w:val="20"/>
              </w:rPr>
            </w:pPr>
            <w:r w:rsidRPr="00DE60D3">
              <w:rPr>
                <w:rFonts w:ascii="Calibri" w:hAnsi="Calibri" w:cs="Calibri"/>
                <w:sz w:val="20"/>
                <w:szCs w:val="20"/>
              </w:rPr>
              <w:t>1</w:t>
            </w:r>
          </w:p>
        </w:tc>
        <w:tc>
          <w:tcPr>
            <w:tcW w:w="851" w:type="dxa"/>
            <w:hideMark/>
          </w:tcPr>
          <w:p w14:paraId="6DC5466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0.974</w:t>
            </w:r>
          </w:p>
        </w:tc>
        <w:tc>
          <w:tcPr>
            <w:tcW w:w="657" w:type="dxa"/>
            <w:hideMark/>
          </w:tcPr>
          <w:p w14:paraId="4429F99D"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2</w:t>
            </w:r>
          </w:p>
        </w:tc>
      </w:tr>
      <w:tr w:rsidR="00F84F9C" w:rsidRPr="00DE60D3" w14:paraId="510B4882" w14:textId="77777777" w:rsidTr="00F93A68">
        <w:trPr>
          <w:trHeight w:val="340"/>
          <w:jc w:val="center"/>
        </w:trPr>
        <w:tc>
          <w:tcPr>
            <w:tcW w:w="4536" w:type="dxa"/>
            <w:vAlign w:val="center"/>
            <w:hideMark/>
          </w:tcPr>
          <w:p w14:paraId="26BF406D"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11: </w:t>
            </w:r>
            <w:r w:rsidRPr="00600AD5">
              <w:rPr>
                <w:rFonts w:ascii="Calibri" w:hAnsi="Calibri" w:cs="Calibri"/>
                <w:color w:val="000000"/>
                <w:sz w:val="20"/>
                <w:szCs w:val="20"/>
              </w:rPr>
              <w:t>Fly ash brick walls replacing clay brick walls in the baseline model</w:t>
            </w:r>
          </w:p>
        </w:tc>
        <w:tc>
          <w:tcPr>
            <w:tcW w:w="709" w:type="dxa"/>
            <w:hideMark/>
          </w:tcPr>
          <w:p w14:paraId="12176EB1"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0.877</w:t>
            </w:r>
          </w:p>
        </w:tc>
        <w:tc>
          <w:tcPr>
            <w:tcW w:w="709" w:type="dxa"/>
            <w:hideMark/>
          </w:tcPr>
          <w:p w14:paraId="27FE2EA8"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8</w:t>
            </w:r>
          </w:p>
        </w:tc>
        <w:tc>
          <w:tcPr>
            <w:tcW w:w="845" w:type="dxa"/>
            <w:hideMark/>
          </w:tcPr>
          <w:p w14:paraId="5D5098E7"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0.879</w:t>
            </w:r>
          </w:p>
        </w:tc>
        <w:tc>
          <w:tcPr>
            <w:tcW w:w="709" w:type="dxa"/>
            <w:hideMark/>
          </w:tcPr>
          <w:p w14:paraId="7806C6C2"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8</w:t>
            </w:r>
          </w:p>
        </w:tc>
        <w:tc>
          <w:tcPr>
            <w:tcW w:w="851" w:type="dxa"/>
            <w:hideMark/>
          </w:tcPr>
          <w:p w14:paraId="3703EF72"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0.932</w:t>
            </w:r>
          </w:p>
        </w:tc>
        <w:tc>
          <w:tcPr>
            <w:tcW w:w="657" w:type="dxa"/>
            <w:hideMark/>
          </w:tcPr>
          <w:p w14:paraId="2D05C2B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6</w:t>
            </w:r>
          </w:p>
        </w:tc>
      </w:tr>
      <w:tr w:rsidR="00F84F9C" w:rsidRPr="00DE60D3" w14:paraId="7909E0EE" w14:textId="77777777" w:rsidTr="00F93A68">
        <w:trPr>
          <w:trHeight w:val="340"/>
          <w:jc w:val="center"/>
        </w:trPr>
        <w:tc>
          <w:tcPr>
            <w:tcW w:w="4536" w:type="dxa"/>
            <w:tcBorders>
              <w:bottom w:val="single" w:sz="4" w:space="0" w:color="auto"/>
            </w:tcBorders>
            <w:vAlign w:val="center"/>
            <w:hideMark/>
          </w:tcPr>
          <w:p w14:paraId="38E98A41" w14:textId="77777777" w:rsidR="00F84F9C" w:rsidRPr="00DE60D3" w:rsidRDefault="00F84F9C" w:rsidP="00343412">
            <w:pPr>
              <w:spacing w:after="40" w:line="240" w:lineRule="auto"/>
              <w:rPr>
                <w:rFonts w:ascii="Calibri" w:hAnsi="Calibri" w:cs="Calibri"/>
                <w:sz w:val="20"/>
                <w:szCs w:val="20"/>
              </w:rPr>
            </w:pPr>
            <w:r w:rsidRPr="00951FA2">
              <w:rPr>
                <w:rFonts w:ascii="Calibri" w:hAnsi="Calibri" w:cs="Calibri"/>
                <w:color w:val="000000"/>
                <w:sz w:val="20"/>
                <w:szCs w:val="20"/>
              </w:rPr>
              <w:t xml:space="preserve">Alternative 12: </w:t>
            </w:r>
            <w:r w:rsidRPr="00600AD5">
              <w:rPr>
                <w:rFonts w:ascii="Calibri" w:hAnsi="Calibri" w:cs="Calibri"/>
                <w:sz w:val="20"/>
                <w:szCs w:val="20"/>
              </w:rPr>
              <w:t>AAC blocks replacing clay bricks in the walls, combined with roof overhangs, a fully pitched roof system, an increased window sill height, and a 90° rotation of baseline orientation</w:t>
            </w:r>
          </w:p>
        </w:tc>
        <w:tc>
          <w:tcPr>
            <w:tcW w:w="709" w:type="dxa"/>
            <w:tcBorders>
              <w:bottom w:val="single" w:sz="4" w:space="0" w:color="auto"/>
            </w:tcBorders>
            <w:hideMark/>
          </w:tcPr>
          <w:p w14:paraId="7269B015"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0.930</w:t>
            </w:r>
          </w:p>
        </w:tc>
        <w:tc>
          <w:tcPr>
            <w:tcW w:w="709" w:type="dxa"/>
            <w:tcBorders>
              <w:bottom w:val="single" w:sz="4" w:space="0" w:color="auto"/>
            </w:tcBorders>
            <w:hideMark/>
          </w:tcPr>
          <w:p w14:paraId="5B9518FA"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6</w:t>
            </w:r>
          </w:p>
        </w:tc>
        <w:tc>
          <w:tcPr>
            <w:tcW w:w="845" w:type="dxa"/>
            <w:tcBorders>
              <w:bottom w:val="single" w:sz="4" w:space="0" w:color="auto"/>
            </w:tcBorders>
            <w:hideMark/>
          </w:tcPr>
          <w:p w14:paraId="01EC18B3"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0.922</w:t>
            </w:r>
          </w:p>
        </w:tc>
        <w:tc>
          <w:tcPr>
            <w:tcW w:w="709" w:type="dxa"/>
            <w:tcBorders>
              <w:bottom w:val="single" w:sz="4" w:space="0" w:color="auto"/>
            </w:tcBorders>
            <w:hideMark/>
          </w:tcPr>
          <w:p w14:paraId="597C3164"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4</w:t>
            </w:r>
          </w:p>
        </w:tc>
        <w:tc>
          <w:tcPr>
            <w:tcW w:w="851" w:type="dxa"/>
            <w:tcBorders>
              <w:bottom w:val="single" w:sz="4" w:space="0" w:color="auto"/>
            </w:tcBorders>
            <w:hideMark/>
          </w:tcPr>
          <w:p w14:paraId="0C7FA32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0.930</w:t>
            </w:r>
          </w:p>
        </w:tc>
        <w:tc>
          <w:tcPr>
            <w:tcW w:w="657" w:type="dxa"/>
            <w:tcBorders>
              <w:bottom w:val="single" w:sz="4" w:space="0" w:color="auto"/>
            </w:tcBorders>
            <w:hideMark/>
          </w:tcPr>
          <w:p w14:paraId="17A3914C" w14:textId="77777777" w:rsidR="00F84F9C" w:rsidRPr="00DE60D3" w:rsidRDefault="00F84F9C" w:rsidP="00F93A68">
            <w:pPr>
              <w:spacing w:after="40" w:line="240" w:lineRule="auto"/>
              <w:jc w:val="center"/>
              <w:rPr>
                <w:rFonts w:ascii="Calibri" w:hAnsi="Calibri" w:cs="Calibri"/>
                <w:sz w:val="20"/>
                <w:szCs w:val="20"/>
              </w:rPr>
            </w:pPr>
            <w:r w:rsidRPr="00DE60D3">
              <w:rPr>
                <w:rFonts w:ascii="Calibri" w:hAnsi="Calibri" w:cs="Calibri"/>
                <w:sz w:val="20"/>
                <w:szCs w:val="20"/>
              </w:rPr>
              <w:t>8</w:t>
            </w:r>
          </w:p>
        </w:tc>
      </w:tr>
    </w:tbl>
    <w:p w14:paraId="057CE38D" w14:textId="77777777" w:rsidR="00610C02" w:rsidRPr="00610C02" w:rsidRDefault="00610C02" w:rsidP="00AE0C2C">
      <w:pPr>
        <w:pStyle w:val="Heading2"/>
        <w:rPr>
          <w:lang w:val="en-IN"/>
        </w:rPr>
      </w:pPr>
      <w:r w:rsidRPr="00610C02">
        <w:rPr>
          <w:lang w:val="en-IN"/>
        </w:rPr>
        <w:t>3.3 SAW Ranking</w:t>
      </w:r>
    </w:p>
    <w:p w14:paraId="23324E49" w14:textId="79FD8E49" w:rsidR="00610C02" w:rsidRDefault="00610C02" w:rsidP="00C11AC3">
      <w:pPr>
        <w:spacing w:after="40" w:line="240" w:lineRule="auto"/>
        <w:jc w:val="both"/>
        <w:rPr>
          <w:rFonts w:ascii="Calibri" w:hAnsi="Calibri" w:cs="Calibri"/>
          <w:lang w:val="en-IN"/>
        </w:rPr>
      </w:pPr>
      <w:r>
        <w:rPr>
          <w:rFonts w:ascii="Calibri" w:hAnsi="Calibri" w:cs="Calibri"/>
          <w:lang w:val="en-IN"/>
        </w:rPr>
        <w:t xml:space="preserve">          </w:t>
      </w:r>
      <w:r w:rsidR="00DE60D3" w:rsidRPr="00DE60D3">
        <w:rPr>
          <w:rFonts w:ascii="Calibri" w:hAnsi="Calibri" w:cs="Calibri"/>
        </w:rPr>
        <w:t xml:space="preserve">The consolidated life-cycle energy, carbon, and cost values (Table 2) served as the decision matrix for the SAW ranking across three stakeholder priority scenarios, each assigning a weight of 0.70 to the dominant criterion and distributing the remaining 0.30 equally across the other two. </w:t>
      </w:r>
      <w:r w:rsidR="00AB0A97" w:rsidRPr="00AB0A97">
        <w:rPr>
          <w:rFonts w:ascii="Calibri" w:hAnsi="Calibri" w:cs="Calibri"/>
        </w:rPr>
        <w:t xml:space="preserve">The resulting SAW scores and rankings for the three stakeholder-priority scenarios are presented in Table 3. </w:t>
      </w:r>
      <w:r w:rsidR="00DE60D3" w:rsidRPr="00DE60D3">
        <w:rPr>
          <w:rFonts w:ascii="Calibri" w:hAnsi="Calibri" w:cs="Calibri"/>
        </w:rPr>
        <w:t xml:space="preserve">Under the energy-priority scenario </w:t>
      </w:r>
      <w:r w:rsidR="00DE60D3" w:rsidRPr="00073C68">
        <w:rPr>
          <w:rFonts w:ascii="Calibri" w:hAnsi="Calibri" w:cs="Calibri"/>
        </w:rPr>
        <w:t>(</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energy</m:t>
            </m:r>
          </m:sub>
        </m:sSub>
      </m:oMath>
      <w:r w:rsidR="00DE60D3" w:rsidRPr="00073C68">
        <w:rPr>
          <w:rFonts w:ascii="Calibri" w:hAnsi="Calibri" w:cs="Calibri"/>
        </w:rPr>
        <w:t>= 0.</w:t>
      </w:r>
      <w:r w:rsidR="00DE60D3">
        <w:rPr>
          <w:rFonts w:ascii="Calibri" w:hAnsi="Calibri" w:cs="Calibri"/>
        </w:rPr>
        <w:t>7</w:t>
      </w:r>
      <w:r w:rsidR="00DE60D3" w:rsidRPr="00073C68">
        <w:rPr>
          <w:rFonts w:ascii="Calibri" w:hAnsi="Calibri" w:cs="Calibri"/>
        </w:rPr>
        <w:t>)</w:t>
      </w:r>
      <w:r w:rsidR="009D09DE">
        <w:rPr>
          <w:rFonts w:ascii="Calibri" w:hAnsi="Calibri" w:cs="Calibri"/>
        </w:rPr>
        <w:t>,</w:t>
      </w:r>
      <w:r w:rsidR="00DE60D3">
        <w:rPr>
          <w:rFonts w:ascii="Calibri" w:hAnsi="Calibri" w:cs="Calibri"/>
        </w:rPr>
        <w:t xml:space="preserve"> </w:t>
      </w:r>
      <w:r w:rsidR="00DE60D3" w:rsidRPr="00DE60D3">
        <w:rPr>
          <w:rFonts w:ascii="Calibri" w:hAnsi="Calibri" w:cs="Calibri"/>
        </w:rPr>
        <w:t>Alternative 10 ranked first with a weighted score of 0.994, followed by Alternative 8 (0.965) and Alternative 2 (0.963). Under the carbon-priority scen</w:t>
      </w:r>
      <w:r w:rsidR="00DE60D3">
        <w:rPr>
          <w:rFonts w:ascii="Calibri" w:hAnsi="Calibri" w:cs="Calibri"/>
        </w:rPr>
        <w:t>ari</w:t>
      </w:r>
      <w:r w:rsidR="009D09DE">
        <w:rPr>
          <w:rFonts w:ascii="Calibri" w:hAnsi="Calibri" w:cs="Calibri"/>
        </w:rPr>
        <w:t>o</w:t>
      </w:r>
      <w:r w:rsidR="00DE60D3">
        <w:rPr>
          <w:rFonts w:ascii="Calibri" w:hAnsi="Calibri" w:cs="Calibri"/>
        </w:rPr>
        <w:t xml:space="preserve"> </w:t>
      </w:r>
      <w:r w:rsidR="00DE60D3" w:rsidRPr="00073C68">
        <w:rPr>
          <w:rFonts w:ascii="Calibri" w:hAnsi="Calibri" w:cs="Calibri"/>
        </w:rPr>
        <w:t>(</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 xml:space="preserve">carbon </m:t>
            </m:r>
          </m:sub>
        </m:sSub>
      </m:oMath>
      <w:r w:rsidR="00DE60D3" w:rsidRPr="00073C68">
        <w:rPr>
          <w:rFonts w:ascii="Calibri" w:hAnsi="Calibri" w:cs="Calibri"/>
        </w:rPr>
        <w:t>= 0.</w:t>
      </w:r>
      <w:r w:rsidR="00DE60D3">
        <w:rPr>
          <w:rFonts w:ascii="Calibri" w:hAnsi="Calibri" w:cs="Calibri"/>
        </w:rPr>
        <w:t>7</w:t>
      </w:r>
      <w:r w:rsidR="00DE60D3" w:rsidRPr="00073C68">
        <w:rPr>
          <w:rFonts w:ascii="Calibri" w:hAnsi="Calibri" w:cs="Calibri"/>
        </w:rPr>
        <w:t>)</w:t>
      </w:r>
      <w:r w:rsidR="00DE60D3" w:rsidRPr="00DE60D3">
        <w:rPr>
          <w:rFonts w:ascii="Calibri" w:hAnsi="Calibri" w:cs="Calibri"/>
        </w:rPr>
        <w:t>, Alternative 10 again ranked first (0.994), with Alternative 8 second (0.957). Under the cost-priority scena</w:t>
      </w:r>
      <w:r w:rsidR="00E53920">
        <w:rPr>
          <w:rFonts w:ascii="Calibri" w:hAnsi="Calibri" w:cs="Calibri"/>
        </w:rPr>
        <w:t>rio</w:t>
      </w:r>
      <w:r w:rsidR="00E53920" w:rsidRPr="00073C68">
        <w:rPr>
          <w:rFonts w:ascii="Calibri" w:hAnsi="Calibri" w:cs="Calibri"/>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cost</m:t>
            </m:r>
          </m:sub>
        </m:sSub>
      </m:oMath>
      <w:r w:rsidR="00E53920" w:rsidRPr="00073C68">
        <w:rPr>
          <w:rFonts w:ascii="Calibri" w:hAnsi="Calibri" w:cs="Calibri"/>
        </w:rPr>
        <w:t>= 0.</w:t>
      </w:r>
      <w:r w:rsidR="00E53920">
        <w:rPr>
          <w:rFonts w:ascii="Calibri" w:hAnsi="Calibri" w:cs="Calibri"/>
        </w:rPr>
        <w:t>7</w:t>
      </w:r>
      <w:r w:rsidR="00E53920" w:rsidRPr="00073C68">
        <w:rPr>
          <w:rFonts w:ascii="Calibri" w:hAnsi="Calibri" w:cs="Calibri"/>
        </w:rPr>
        <w:t>)</w:t>
      </w:r>
      <w:r w:rsidR="00E53920">
        <w:rPr>
          <w:rFonts w:ascii="Calibri" w:hAnsi="Calibri" w:cs="Calibri"/>
        </w:rPr>
        <w:t xml:space="preserve">, </w:t>
      </w:r>
      <w:r w:rsidR="00DE60D3" w:rsidRPr="00DE60D3">
        <w:rPr>
          <w:rFonts w:ascii="Calibri" w:hAnsi="Calibri" w:cs="Calibri"/>
        </w:rPr>
        <w:t xml:space="preserve">Alternative 2 ranked highest (0.983), followed by Alternative 10 (0.974) and Alternative 8 (0.970). </w:t>
      </w:r>
      <w:r w:rsidR="00AB0A97" w:rsidRPr="00AB0A97">
        <w:rPr>
          <w:rFonts w:ascii="Calibri" w:hAnsi="Calibri" w:cs="Calibri"/>
        </w:rPr>
        <w:t>Score differences below 0.001 were considered equivalent. Accordingly, the Baseline and Alternative 1 were equivalent across all scenarios, while Alternatives 9 and 12 were equivalent under the cost-priority scenario. Alternative 5 consistently ranked last, demonstrating that stakeholder priorities influence design selection.</w:t>
      </w:r>
    </w:p>
    <w:p w14:paraId="0C67AF79" w14:textId="3619115C" w:rsidR="00951FA2" w:rsidRPr="00951FA2" w:rsidRDefault="00951FA2" w:rsidP="00C11AC3">
      <w:pPr>
        <w:spacing w:after="40" w:line="240" w:lineRule="auto"/>
        <w:jc w:val="both"/>
        <w:rPr>
          <w:rFonts w:ascii="Calibri" w:hAnsi="Calibri" w:cs="Calibri"/>
          <w:b/>
          <w:bCs/>
          <w:sz w:val="28"/>
          <w:szCs w:val="28"/>
          <w:lang w:val="en-IN"/>
        </w:rPr>
      </w:pPr>
      <w:r>
        <w:rPr>
          <w:rFonts w:ascii="Calibri" w:hAnsi="Calibri" w:cs="Calibri"/>
          <w:lang w:val="en-IN"/>
        </w:rPr>
        <w:br/>
      </w:r>
      <w:r>
        <w:rPr>
          <w:rFonts w:ascii="Calibri" w:hAnsi="Calibri" w:cs="Calibri"/>
          <w:b/>
          <w:bCs/>
          <w:sz w:val="28"/>
          <w:szCs w:val="28"/>
          <w:lang w:val="en-IN"/>
        </w:rPr>
        <w:t xml:space="preserve"> </w:t>
      </w:r>
      <w:r w:rsidRPr="00951FA2">
        <w:rPr>
          <w:rFonts w:ascii="Calibri" w:hAnsi="Calibri" w:cs="Calibri"/>
          <w:b/>
          <w:bCs/>
          <w:sz w:val="28"/>
          <w:szCs w:val="28"/>
          <w:lang w:val="en-IN"/>
        </w:rPr>
        <w:t>4. DISCUSSION</w:t>
      </w:r>
    </w:p>
    <w:p w14:paraId="632E4022" w14:textId="238720FB" w:rsidR="00951FA2" w:rsidRDefault="00951FA2" w:rsidP="00AB0A97">
      <w:pPr>
        <w:spacing w:after="40" w:line="240" w:lineRule="auto"/>
        <w:jc w:val="both"/>
        <w:rPr>
          <w:rFonts w:ascii="Calibri" w:hAnsi="Calibri" w:cs="Calibri"/>
          <w:lang w:val="en-IN"/>
        </w:rPr>
      </w:pPr>
      <w:r>
        <w:rPr>
          <w:rFonts w:ascii="Calibri" w:hAnsi="Calibri" w:cs="Calibri"/>
          <w:lang w:val="en-IN"/>
        </w:rPr>
        <w:t xml:space="preserve">          </w:t>
      </w:r>
      <w:r w:rsidRPr="00951FA2">
        <w:rPr>
          <w:rFonts w:ascii="Calibri" w:hAnsi="Calibri" w:cs="Calibri"/>
          <w:lang w:val="en-IN"/>
        </w:rPr>
        <w:t xml:space="preserve">The results establish three findings of practical significance. First, wall material selection exerted </w:t>
      </w:r>
      <w:r w:rsidR="009D09DE">
        <w:rPr>
          <w:rFonts w:ascii="Calibri" w:hAnsi="Calibri" w:cs="Calibri"/>
          <w:lang w:val="en-IN"/>
        </w:rPr>
        <w:t>a substantially greater influence on EUI than orientation did</w:t>
      </w:r>
      <w:r w:rsidR="00C11AC3">
        <w:rPr>
          <w:rFonts w:ascii="Calibri" w:hAnsi="Calibri" w:cs="Calibri"/>
          <w:lang w:val="en-IN"/>
        </w:rPr>
        <w:t>.</w:t>
      </w:r>
      <w:r w:rsidR="009D09DE">
        <w:rPr>
          <w:rFonts w:ascii="Calibri" w:hAnsi="Calibri" w:cs="Calibri"/>
          <w:lang w:val="en-IN"/>
        </w:rPr>
        <w:t xml:space="preserve"> </w:t>
      </w:r>
      <w:r w:rsidRPr="00951FA2">
        <w:rPr>
          <w:rFonts w:ascii="Calibri" w:hAnsi="Calibri" w:cs="Calibri"/>
          <w:lang w:val="en-IN"/>
        </w:rPr>
        <w:t>AAC substitution alone (Alt. 2) reduced EUI by 8.38%, whereas 90° rotation alone (Alt. 1) achieved only 0.0</w:t>
      </w:r>
      <w:r w:rsidR="00B822FA">
        <w:rPr>
          <w:rFonts w:ascii="Calibri" w:hAnsi="Calibri" w:cs="Calibri"/>
          <w:lang w:val="en-IN"/>
        </w:rPr>
        <w:t>4</w:t>
      </w:r>
      <w:r w:rsidRPr="00951FA2">
        <w:rPr>
          <w:rFonts w:ascii="Calibri" w:hAnsi="Calibri" w:cs="Calibri"/>
          <w:lang w:val="en-IN"/>
        </w:rPr>
        <w:t xml:space="preserve">% </w:t>
      </w:r>
      <w:r w:rsidR="00C11AC3">
        <w:rPr>
          <w:rFonts w:ascii="Calibri" w:hAnsi="Calibri" w:cs="Calibri"/>
          <w:lang w:val="en-IN"/>
        </w:rPr>
        <w:t>reduction.</w:t>
      </w:r>
      <w:r w:rsidRPr="00951FA2">
        <w:rPr>
          <w:rFonts w:ascii="Calibri" w:hAnsi="Calibri" w:cs="Calibri"/>
          <w:lang w:val="en-IN"/>
        </w:rPr>
        <w:t xml:space="preserve"> </w:t>
      </w:r>
      <w:r w:rsidR="00B822FA" w:rsidRPr="008153F7">
        <w:rPr>
          <w:rFonts w:ascii="Calibri" w:hAnsi="Calibri" w:cs="Calibri"/>
        </w:rPr>
        <w:t xml:space="preserve">This supports the findings of Tushar, Q., </w:t>
      </w:r>
      <w:r w:rsidR="00B822FA" w:rsidRPr="008153F7">
        <w:rPr>
          <w:rFonts w:ascii="Calibri" w:hAnsi="Calibri" w:cs="Calibri"/>
          <w:i/>
          <w:iCs/>
        </w:rPr>
        <w:t>et.al.</w:t>
      </w:r>
      <w:r w:rsidR="00B822FA" w:rsidRPr="008153F7">
        <w:rPr>
          <w:rFonts w:ascii="Calibri" w:hAnsi="Calibri" w:cs="Calibri"/>
        </w:rPr>
        <w:t>, (2021), confirming that improving envelope thermal performance is more effective than changing orientation in hot and humid climates.</w:t>
      </w:r>
      <w:r w:rsidR="00B822FA">
        <w:rPr>
          <w:rFonts w:ascii="Calibri" w:hAnsi="Calibri" w:cs="Calibri"/>
        </w:rPr>
        <w:t xml:space="preserve"> </w:t>
      </w:r>
      <w:r w:rsidR="005175CD" w:rsidRPr="005175CD">
        <w:rPr>
          <w:rFonts w:ascii="Calibri" w:hAnsi="Calibri" w:cs="Calibri"/>
          <w:lang w:val="en-IN"/>
        </w:rPr>
        <w:t>Second, the integration of multiple passive envelope interventions</w:t>
      </w:r>
      <w:r w:rsidR="009D09DE">
        <w:rPr>
          <w:rFonts w:ascii="Calibri" w:hAnsi="Calibri" w:cs="Calibri"/>
          <w:lang w:val="en-IN"/>
        </w:rPr>
        <w:t>,</w:t>
      </w:r>
      <w:r w:rsidR="005175CD" w:rsidRPr="005175CD">
        <w:rPr>
          <w:rFonts w:ascii="Calibri" w:hAnsi="Calibri" w:cs="Calibri"/>
          <w:lang w:val="en-IN"/>
        </w:rPr>
        <w:t xml:space="preserve"> including AAC walls, overhangs, a full</w:t>
      </w:r>
      <w:r w:rsidR="009D09DE">
        <w:rPr>
          <w:rFonts w:ascii="Calibri" w:hAnsi="Calibri" w:cs="Calibri"/>
          <w:lang w:val="en-IN"/>
        </w:rPr>
        <w:t>-</w:t>
      </w:r>
      <w:r w:rsidR="005175CD" w:rsidRPr="005175CD">
        <w:rPr>
          <w:rFonts w:ascii="Calibri" w:hAnsi="Calibri" w:cs="Calibri"/>
          <w:lang w:val="en-IN"/>
        </w:rPr>
        <w:t>pitched roof, and an increased sill height (Alt. 10)</w:t>
      </w:r>
      <w:r w:rsidR="009D09DE">
        <w:rPr>
          <w:rFonts w:ascii="Calibri" w:hAnsi="Calibri" w:cs="Calibri"/>
          <w:lang w:val="en-IN"/>
        </w:rPr>
        <w:t>,</w:t>
      </w:r>
      <w:r w:rsidR="005175CD" w:rsidRPr="005175CD">
        <w:rPr>
          <w:rFonts w:ascii="Calibri" w:hAnsi="Calibri" w:cs="Calibri"/>
          <w:lang w:val="en-IN"/>
        </w:rPr>
        <w:t xml:space="preserve"> </w:t>
      </w:r>
      <w:r w:rsidR="00B822FA" w:rsidRPr="003F3440">
        <w:rPr>
          <w:rFonts w:ascii="Calibri" w:hAnsi="Calibri" w:cs="Calibri"/>
        </w:rPr>
        <w:t xml:space="preserve">achieved the lowest life-cycle energy and carbon emissions. Rotating the same configuration by 90° (Alt. 12) produced the highest life-cycle cost because the altered orientation reduced the effectiveness of the roof overhangs while retaining their additional construction cost, consistent with </w:t>
      </w:r>
      <w:r w:rsidR="00B822FA" w:rsidRPr="003F3440">
        <w:rPr>
          <w:rFonts w:ascii="Calibri" w:hAnsi="Calibri" w:cs="Calibri"/>
        </w:rPr>
        <w:fldChar w:fldCharType="begin"/>
      </w:r>
      <w:r w:rsidR="00B822FA" w:rsidRPr="003F3440">
        <w:rPr>
          <w:rFonts w:ascii="Calibri" w:hAnsi="Calibri" w:cs="Calibri"/>
        </w:rPr>
        <w:instrText xml:space="preserve"> ADDIN ZOTERO_ITEM CSL_CITATION {"citationID":"VQkXt1Ur","properties":{"unsorted":false,"formattedCitation":"(Palmero-Marrero and Oliveira, 2010)","plainCitation":"(Palmero-Marrero and Oliveira, 2010)","dontUpdate":true,"noteIndex":0},"citationItems":[{"id":30,"uris":["http://zotero.org/users/local/hIuTWy7f/items/X6S3HNLV"],"itemData":{"id":30,"type":"article-journal","abstract":"External louvers are increasingly used to provide solar protection for building glazed surfaces. In this work, a general study of the effect of louver shading devices applied to different façades of a building is carried out, for different locations (latitudes). Building energy requirements for a building in the cooling and heating seasons is quantiﬁed for different window and louver areas, under climatic conditions of Mexico (Mexico), Cairo (Egypt), Lisbon (Portugal), Madrid (Spain) and London (UK). Also, operative and indoor temperatures were calculated through simulations using TRNSYS software, whereas the model for the shading geometry study was solved with EES software. Both horizontal and vertical louver layouts were considered. The results show that the integration of louver shading devices in the building leads to indoor comfortable thermal conditions and may lead to signiﬁcant energy savings, by comparison to a building without shading devices.","container-title":"Applied Energy","DOI":"10.1016/j.apenergy.2009.11.020","ISSN":"03062619","issue":"6","journalAbbreviation":"Applied Energy","language":"en","page":"2040-2049","source":"DOI.org (Crossref)","title":"Effect of louver shading devices on building energy requirements","volume":"87","author":[{"family":"Palmero-Marrero","given":"Ana I."},{"family":"Oliveira","given":"Armando C."}],"issued":{"date-parts":[["2010",6]]}}}],"schema":"https://github.com/citation-style-language/schema/raw/master/csl-citation.json"} </w:instrText>
      </w:r>
      <w:r w:rsidR="00B822FA" w:rsidRPr="003F3440">
        <w:rPr>
          <w:rFonts w:ascii="Calibri" w:hAnsi="Calibri" w:cs="Calibri"/>
        </w:rPr>
        <w:fldChar w:fldCharType="separate"/>
      </w:r>
      <w:r w:rsidR="00B822FA" w:rsidRPr="003F3440">
        <w:rPr>
          <w:rFonts w:ascii="Calibri" w:hAnsi="Calibri" w:cs="Calibri"/>
        </w:rPr>
        <w:t>Palmero-Marrero, A.I. &amp; Oliveira A.C., (2010</w:t>
      </w:r>
      <w:r w:rsidR="00B822FA" w:rsidRPr="003F3440">
        <w:rPr>
          <w:rFonts w:ascii="Calibri" w:hAnsi="Calibri" w:cs="Calibri"/>
        </w:rPr>
        <w:fldChar w:fldCharType="end"/>
      </w:r>
      <w:r w:rsidR="00B822FA" w:rsidRPr="003F3440">
        <w:rPr>
          <w:rFonts w:ascii="Calibri" w:hAnsi="Calibri" w:cs="Calibri"/>
        </w:rPr>
        <w:t xml:space="preserve">). </w:t>
      </w:r>
      <w:r w:rsidRPr="00951FA2">
        <w:rPr>
          <w:rFonts w:ascii="Calibri" w:hAnsi="Calibri" w:cs="Calibri"/>
          <w:lang w:val="en-IN"/>
        </w:rPr>
        <w:t xml:space="preserve">Third, the SAW scenario analysis confirmed that the preferred alternative is inherently stakeholder-dependent, shifting between Alt. 10 (energy/carbon priority) and Alt. 4 (cost priority), which underscores the practical value of the dynamic multi-criteria ranking tool developed in this </w:t>
      </w:r>
      <w:r w:rsidR="00AB0A97">
        <w:rPr>
          <w:rFonts w:ascii="Calibri" w:hAnsi="Calibri" w:cs="Calibri"/>
          <w:lang w:val="en-IN"/>
        </w:rPr>
        <w:t>study.</w:t>
      </w:r>
    </w:p>
    <w:p w14:paraId="6AED7FA3" w14:textId="77777777" w:rsidR="00AB0A97" w:rsidRPr="00951FA2" w:rsidRDefault="00AB0A97" w:rsidP="003F3440">
      <w:pPr>
        <w:spacing w:after="40" w:line="240" w:lineRule="auto"/>
        <w:jc w:val="both"/>
        <w:rPr>
          <w:rFonts w:ascii="Calibri" w:hAnsi="Calibri" w:cs="Calibri"/>
          <w:lang w:val="en-IN"/>
        </w:rPr>
      </w:pPr>
    </w:p>
    <w:p w14:paraId="005F4288" w14:textId="77777777" w:rsidR="00951FA2" w:rsidRPr="00951FA2" w:rsidRDefault="00951FA2" w:rsidP="00951FA2">
      <w:pPr>
        <w:spacing w:after="40" w:line="240" w:lineRule="auto"/>
        <w:rPr>
          <w:rFonts w:ascii="Calibri" w:hAnsi="Calibri" w:cs="Calibri"/>
          <w:b/>
          <w:bCs/>
          <w:sz w:val="28"/>
          <w:lang w:val="en-IN"/>
        </w:rPr>
      </w:pPr>
      <w:r w:rsidRPr="00951FA2">
        <w:rPr>
          <w:rFonts w:ascii="Calibri" w:hAnsi="Calibri" w:cs="Calibri"/>
          <w:b/>
          <w:bCs/>
          <w:sz w:val="28"/>
          <w:lang w:val="en-IN"/>
        </w:rPr>
        <w:t>5. CONCLUSION</w:t>
      </w:r>
    </w:p>
    <w:p w14:paraId="618802BE" w14:textId="48916F76" w:rsidR="00951FA2" w:rsidRDefault="00951FA2" w:rsidP="00834DB2">
      <w:pPr>
        <w:spacing w:after="40" w:line="240" w:lineRule="auto"/>
        <w:jc w:val="both"/>
        <w:rPr>
          <w:rFonts w:ascii="Calibri" w:hAnsi="Calibri" w:cs="Calibri"/>
          <w:lang w:val="en-IN"/>
        </w:rPr>
      </w:pPr>
      <w:r>
        <w:rPr>
          <w:rFonts w:ascii="Calibri" w:hAnsi="Calibri" w:cs="Calibri"/>
          <w:lang w:val="en-IN"/>
        </w:rPr>
        <w:t xml:space="preserve">          </w:t>
      </w:r>
      <w:r w:rsidR="00834DB2" w:rsidRPr="00834DB2">
        <w:rPr>
          <w:rFonts w:ascii="Calibri" w:hAnsi="Calibri" w:cs="Calibri"/>
          <w:lang w:val="en-IN"/>
        </w:rPr>
        <w:t xml:space="preserve">This study presented a BIM-linked workflow integrating Autodesk Revit, Autodesk Insight, life-cycle assessment (LCA), life-cycle costing (LCC), and the Simple Additive Weighting (SAW) method to evaluate thirteen residential building configurations over a 50-year service life in a hot, humid climate. The results demonstrated that wall material, roof configuration, and shading </w:t>
      </w:r>
      <w:r w:rsidR="0007546E">
        <w:rPr>
          <w:rFonts w:ascii="Calibri" w:hAnsi="Calibri" w:cs="Calibri"/>
          <w:lang w:val="en-IN"/>
        </w:rPr>
        <w:t>features</w:t>
      </w:r>
      <w:r w:rsidR="0007546E" w:rsidRPr="00834DB2">
        <w:rPr>
          <w:rFonts w:ascii="Calibri" w:hAnsi="Calibri" w:cs="Calibri"/>
          <w:lang w:val="en-IN"/>
        </w:rPr>
        <w:t xml:space="preserve"> </w:t>
      </w:r>
      <w:r w:rsidR="00834DB2" w:rsidRPr="00834DB2">
        <w:rPr>
          <w:rFonts w:ascii="Calibri" w:hAnsi="Calibri" w:cs="Calibri"/>
          <w:lang w:val="en-IN"/>
        </w:rPr>
        <w:t xml:space="preserve">are the most influential early-stage design parameters, with the combined implementation of AAC walls, roof </w:t>
      </w:r>
      <w:r w:rsidR="00834DB2" w:rsidRPr="00834DB2">
        <w:rPr>
          <w:rFonts w:ascii="Calibri" w:hAnsi="Calibri" w:cs="Calibri"/>
          <w:lang w:val="en-IN"/>
        </w:rPr>
        <w:lastRenderedPageBreak/>
        <w:t>overhangs, a fully pitched roof, and a higher window sill reducing life-cycle energy by 18.31% and life-cycle carbon emissions by 16.73% compared with the conventional baseline. Furthermore, the SAW analysis showed that the preferred design alternative varies according to stakeholder priorities, highlighting the importance of multi-criteria decision-making in sustainable building design.</w:t>
      </w:r>
      <w:r w:rsidR="00B822FA">
        <w:rPr>
          <w:rFonts w:ascii="Calibri" w:hAnsi="Calibri" w:cs="Calibri"/>
          <w:lang w:val="en-IN"/>
        </w:rPr>
        <w:t xml:space="preserve"> </w:t>
      </w:r>
      <w:r w:rsidR="00B822FA" w:rsidRPr="00CF0C81">
        <w:rPr>
          <w:rFonts w:ascii="Calibri" w:hAnsi="Calibri" w:cs="Calibri"/>
        </w:rPr>
        <w:t>The study contributes a transparent, reproducible BIM-driven decision-support framework that integrates energy, carbon, cost, and multi-criteria assessment into a single workflow using Indian databases, standards, and construction practices, enabling informed early-stage sustainable design decisions.</w:t>
      </w:r>
    </w:p>
    <w:p w14:paraId="374850B7" w14:textId="6C4D3DAA" w:rsidR="00951FA2" w:rsidRDefault="00951FA2" w:rsidP="00951FA2">
      <w:pPr>
        <w:spacing w:after="40" w:line="240" w:lineRule="auto"/>
        <w:rPr>
          <w:rFonts w:ascii="Calibri" w:hAnsi="Calibri" w:cs="Calibri"/>
          <w:lang w:val="en-IN"/>
        </w:rPr>
      </w:pPr>
    </w:p>
    <w:p w14:paraId="58D375C6" w14:textId="77777777" w:rsidR="008B0F5B" w:rsidRDefault="008B0F5B" w:rsidP="008B0F5B">
      <w:pPr>
        <w:spacing w:after="40" w:line="240" w:lineRule="auto"/>
        <w:rPr>
          <w:rFonts w:ascii="Calibri" w:hAnsi="Calibri" w:cs="Calibri"/>
          <w:b/>
          <w:bCs/>
          <w:sz w:val="28"/>
          <w:lang w:val="en-IN"/>
        </w:rPr>
      </w:pPr>
      <w:bookmarkStart w:id="2" w:name="_Hlk233564386"/>
      <w:r>
        <w:rPr>
          <w:rFonts w:ascii="Calibri" w:hAnsi="Calibri" w:cs="Calibri"/>
          <w:b/>
          <w:bCs/>
          <w:sz w:val="28"/>
          <w:lang w:val="en-IN"/>
        </w:rPr>
        <w:t>REFERENCES</w:t>
      </w:r>
    </w:p>
    <w:p w14:paraId="704F5EE6" w14:textId="0E7069A9" w:rsidR="008B0F5B" w:rsidRDefault="008B0F5B" w:rsidP="002954F7">
      <w:pPr>
        <w:spacing w:after="0" w:line="240" w:lineRule="auto"/>
        <w:jc w:val="both"/>
        <w:rPr>
          <w:rFonts w:ascii="Calibri" w:hAnsi="Calibri" w:cs="Calibri"/>
          <w:lang w:val="en-IN"/>
        </w:rPr>
      </w:pPr>
      <w:bookmarkStart w:id="3" w:name="_GoBack"/>
      <w:proofErr w:type="spellStart"/>
      <w:r>
        <w:rPr>
          <w:rFonts w:ascii="Calibri" w:hAnsi="Calibri" w:cs="Calibri"/>
          <w:lang w:val="en-IN"/>
        </w:rPr>
        <w:t>Arsyah</w:t>
      </w:r>
      <w:proofErr w:type="spellEnd"/>
      <w:r>
        <w:rPr>
          <w:rFonts w:ascii="Calibri" w:hAnsi="Calibri" w:cs="Calibri"/>
          <w:lang w:val="en-IN"/>
        </w:rPr>
        <w:t xml:space="preserve">, U.I. </w:t>
      </w:r>
      <w:r>
        <w:rPr>
          <w:rFonts w:ascii="Calibri" w:hAnsi="Calibri" w:cs="Calibri"/>
          <w:i/>
          <w:iCs/>
          <w:lang w:val="en-IN"/>
        </w:rPr>
        <w:t>et al.</w:t>
      </w:r>
      <w:r>
        <w:rPr>
          <w:rFonts w:ascii="Calibri" w:hAnsi="Calibri" w:cs="Calibri"/>
          <w:lang w:val="en-IN"/>
        </w:rPr>
        <w:t xml:space="preserve"> (2021) 'Analysis of the simple additive weighting method in educational Aid Decision making,' </w:t>
      </w:r>
      <w:r>
        <w:rPr>
          <w:rFonts w:ascii="Calibri" w:hAnsi="Calibri" w:cs="Calibri"/>
          <w:i/>
          <w:iCs/>
          <w:lang w:val="en-IN"/>
        </w:rPr>
        <w:t>Turkish Journal of Computer and Mathematics Education (TURCOMAT)</w:t>
      </w:r>
      <w:r>
        <w:rPr>
          <w:rFonts w:ascii="Calibri" w:hAnsi="Calibri" w:cs="Calibri"/>
          <w:lang w:val="en-IN"/>
        </w:rPr>
        <w:t xml:space="preserve">, 12(14), pp. 2389–2396. </w:t>
      </w:r>
      <w:hyperlink r:id="rId12" w:history="1">
        <w:r>
          <w:rPr>
            <w:rStyle w:val="Hyperlink"/>
            <w:rFonts w:ascii="Calibri" w:hAnsi="Calibri" w:cs="Calibri"/>
            <w:lang w:val="en-IN"/>
          </w:rPr>
          <w:t>https://turcomat.org/index.php/turkbilmat/article/view/10664</w:t>
        </w:r>
      </w:hyperlink>
      <w:r>
        <w:rPr>
          <w:rFonts w:ascii="Calibri" w:hAnsi="Calibri" w:cs="Calibri"/>
          <w:lang w:val="en-IN"/>
        </w:rPr>
        <w:t>.</w:t>
      </w:r>
    </w:p>
    <w:p w14:paraId="6E339F88" w14:textId="099224D5" w:rsidR="008B0F5B" w:rsidRPr="00D7711B" w:rsidRDefault="008B0F5B" w:rsidP="002954F7">
      <w:pPr>
        <w:spacing w:after="0" w:line="240" w:lineRule="auto"/>
        <w:jc w:val="both"/>
      </w:pPr>
      <w:r>
        <w:rPr>
          <w:bCs/>
        </w:rPr>
        <w:t>Central Electricity Authority (CEA)</w:t>
      </w:r>
      <w:r>
        <w:t xml:space="preserve"> (2023) </w:t>
      </w:r>
      <w:r>
        <w:rPr>
          <w:rFonts w:ascii="Calibri" w:hAnsi="Calibri" w:cs="Calibri"/>
          <w:lang w:val="en-IN"/>
        </w:rPr>
        <w:t>'</w:t>
      </w:r>
      <w:r>
        <w:rPr>
          <w:i/>
          <w:iCs/>
        </w:rPr>
        <w:t>CO₂ baseline database for the Indian power sector: user guide. version 19.0</w:t>
      </w:r>
      <w:r>
        <w:t>,</w:t>
      </w:r>
      <w:r>
        <w:rPr>
          <w:rFonts w:ascii="Calibri" w:hAnsi="Calibri" w:cs="Calibri"/>
          <w:lang w:val="en-IN"/>
        </w:rPr>
        <w:t>'</w:t>
      </w:r>
      <w:r>
        <w:t xml:space="preserve"> </w:t>
      </w:r>
      <w:r>
        <w:rPr>
          <w:i/>
          <w:iCs/>
        </w:rPr>
        <w:t>New Delhi: ministry of power, government of India</w:t>
      </w:r>
      <w:r>
        <w:t xml:space="preserve">. Available at: </w:t>
      </w:r>
      <w:hyperlink r:id="rId13" w:history="1">
        <w:r>
          <w:rPr>
            <w:rStyle w:val="Hyperlink"/>
          </w:rPr>
          <w:t>https://cea.nic.in/wp-content/uploads/baseline/2024/01/User_Guide__Version_19.0.pdf</w:t>
        </w:r>
      </w:hyperlink>
    </w:p>
    <w:p w14:paraId="2BB287BB" w14:textId="469BA7D7"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Cha, G.-W. and Park, C.-W. (2025) 'Development of an optimal machine learning model to predict CO2 emissions at the building demolition stage,' </w:t>
      </w:r>
      <w:r>
        <w:rPr>
          <w:rFonts w:ascii="Calibri" w:hAnsi="Calibri" w:cs="Calibri"/>
          <w:i/>
          <w:iCs/>
          <w:lang w:val="en-IN"/>
        </w:rPr>
        <w:t>Buildings</w:t>
      </w:r>
      <w:r>
        <w:rPr>
          <w:rFonts w:ascii="Calibri" w:hAnsi="Calibri" w:cs="Calibri"/>
          <w:lang w:val="en-IN"/>
        </w:rPr>
        <w:t xml:space="preserve">, 15(4), p. 526. </w:t>
      </w:r>
      <w:hyperlink r:id="rId14" w:history="1">
        <w:r>
          <w:rPr>
            <w:rStyle w:val="Hyperlink"/>
            <w:rFonts w:ascii="Calibri" w:hAnsi="Calibri" w:cs="Calibri"/>
            <w:lang w:val="en-IN"/>
          </w:rPr>
          <w:t>https://doi.org/10.3390/buildings15040526</w:t>
        </w:r>
      </w:hyperlink>
      <w:r>
        <w:rPr>
          <w:rFonts w:ascii="Calibri" w:hAnsi="Calibri" w:cs="Calibri"/>
          <w:lang w:val="en-IN"/>
        </w:rPr>
        <w:t>.</w:t>
      </w:r>
    </w:p>
    <w:p w14:paraId="5FB82251" w14:textId="5C82C03D"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Deepa, K. </w:t>
      </w:r>
      <w:r>
        <w:rPr>
          <w:rFonts w:ascii="Calibri" w:hAnsi="Calibri" w:cs="Calibri"/>
          <w:i/>
          <w:iCs/>
          <w:lang w:val="en-IN"/>
        </w:rPr>
        <w:t>et al.</w:t>
      </w:r>
      <w:r>
        <w:rPr>
          <w:rFonts w:ascii="Calibri" w:hAnsi="Calibri" w:cs="Calibri"/>
          <w:lang w:val="en-IN"/>
        </w:rPr>
        <w:t xml:space="preserve"> (2019) '</w:t>
      </w:r>
      <w:r>
        <w:rPr>
          <w:rFonts w:ascii="Calibri" w:hAnsi="Calibri" w:cs="Calibri"/>
          <w:iCs/>
          <w:lang w:val="en-IN"/>
        </w:rPr>
        <w:t>Energy analysis of buildings</w:t>
      </w:r>
      <w:r>
        <w:rPr>
          <w:rFonts w:ascii="Calibri" w:hAnsi="Calibri" w:cs="Calibri"/>
          <w:lang w:val="en-IN"/>
        </w:rPr>
        <w:t xml:space="preserve">,' </w:t>
      </w:r>
      <w:r>
        <w:rPr>
          <w:rFonts w:ascii="Calibri" w:hAnsi="Calibri" w:cs="Calibri"/>
          <w:i/>
          <w:iCs/>
          <w:lang w:val="en-IN"/>
        </w:rPr>
        <w:t>International Research Journal of Engineering and Technology (IRJET)</w:t>
      </w:r>
      <w:r>
        <w:rPr>
          <w:rFonts w:ascii="Calibri" w:hAnsi="Calibri" w:cs="Calibri"/>
          <w:lang w:val="en-IN"/>
        </w:rPr>
        <w:t xml:space="preserve">, ' e-ISSN: 2395-0056. </w:t>
      </w:r>
      <w:hyperlink r:id="rId15" w:history="1">
        <w:r>
          <w:rPr>
            <w:rStyle w:val="Hyperlink"/>
            <w:rFonts w:ascii="Calibri" w:hAnsi="Calibri" w:cs="Calibri"/>
            <w:lang w:val="en-IN"/>
          </w:rPr>
          <w:t>https://www.irjet.net/archives/V6/i1/IRJET-V6I1310.pdf</w:t>
        </w:r>
      </w:hyperlink>
      <w:r>
        <w:rPr>
          <w:rFonts w:ascii="Calibri" w:hAnsi="Calibri" w:cs="Calibri"/>
          <w:lang w:val="en-IN"/>
        </w:rPr>
        <w:t>.</w:t>
      </w:r>
    </w:p>
    <w:p w14:paraId="20CFCD15" w14:textId="1F15DBE6"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Gan, V.J.L. </w:t>
      </w:r>
      <w:r>
        <w:rPr>
          <w:rFonts w:ascii="Calibri" w:hAnsi="Calibri" w:cs="Calibri"/>
          <w:i/>
          <w:iCs/>
          <w:lang w:val="en-IN"/>
        </w:rPr>
        <w:t>et al.</w:t>
      </w:r>
      <w:r>
        <w:rPr>
          <w:rFonts w:ascii="Calibri" w:hAnsi="Calibri" w:cs="Calibri"/>
          <w:lang w:val="en-IN"/>
        </w:rPr>
        <w:t xml:space="preserve"> (2018) 'Holistic BIM framework for sustainable low carbon design of high-rise buildings,' </w:t>
      </w:r>
      <w:r>
        <w:rPr>
          <w:rFonts w:ascii="Calibri" w:hAnsi="Calibri" w:cs="Calibri"/>
          <w:i/>
          <w:iCs/>
          <w:lang w:val="en-IN"/>
        </w:rPr>
        <w:t>Journal of Cleaner Production</w:t>
      </w:r>
      <w:r>
        <w:rPr>
          <w:rFonts w:ascii="Calibri" w:hAnsi="Calibri" w:cs="Calibri"/>
          <w:lang w:val="en-IN"/>
        </w:rPr>
        <w:t xml:space="preserve">, 195, pp. 1091–1104. </w:t>
      </w:r>
      <w:hyperlink r:id="rId16" w:history="1">
        <w:r>
          <w:rPr>
            <w:rStyle w:val="Hyperlink"/>
            <w:rFonts w:ascii="Calibri" w:hAnsi="Calibri" w:cs="Calibri"/>
            <w:lang w:val="en-IN"/>
          </w:rPr>
          <w:t>https://doi.org/10.1016/j.jclepro.2018.05.272</w:t>
        </w:r>
      </w:hyperlink>
      <w:r>
        <w:rPr>
          <w:rFonts w:ascii="Calibri" w:hAnsi="Calibri" w:cs="Calibri"/>
          <w:lang w:val="en-IN"/>
        </w:rPr>
        <w:t>.</w:t>
      </w:r>
    </w:p>
    <w:p w14:paraId="6D248979" w14:textId="24A1C413" w:rsidR="008B0F5B" w:rsidRDefault="008B0F5B" w:rsidP="002954F7">
      <w:pPr>
        <w:spacing w:after="0" w:line="240" w:lineRule="auto"/>
        <w:jc w:val="both"/>
        <w:rPr>
          <w:rFonts w:ascii="Calibri" w:hAnsi="Calibri" w:cs="Calibri"/>
          <w:bCs/>
        </w:rPr>
      </w:pPr>
      <w:r>
        <w:rPr>
          <w:rFonts w:ascii="Calibri" w:hAnsi="Calibri" w:cs="Calibri"/>
          <w:bCs/>
        </w:rPr>
        <w:t xml:space="preserve">International Finance Corporation (IFC) (2017), </w:t>
      </w:r>
      <w:r>
        <w:rPr>
          <w:rFonts w:ascii="Calibri" w:hAnsi="Calibri" w:cs="Calibri"/>
          <w:lang w:val="en-IN"/>
        </w:rPr>
        <w:t>'</w:t>
      </w:r>
      <w:r>
        <w:rPr>
          <w:rFonts w:ascii="Calibri" w:hAnsi="Calibri" w:cs="Calibri"/>
          <w:bCs/>
        </w:rPr>
        <w:t>India construction materials database of embodied energy and global warming potential: methodology report,</w:t>
      </w:r>
      <w:r>
        <w:rPr>
          <w:rFonts w:ascii="Calibri" w:hAnsi="Calibri" w:cs="Calibri"/>
          <w:lang w:val="en-IN"/>
        </w:rPr>
        <w:t>'</w:t>
      </w:r>
      <w:r>
        <w:rPr>
          <w:rFonts w:ascii="Calibri" w:hAnsi="Calibri" w:cs="Calibri"/>
          <w:bCs/>
        </w:rPr>
        <w:t xml:space="preserve"> </w:t>
      </w:r>
      <w:r>
        <w:rPr>
          <w:rFonts w:ascii="Calibri" w:hAnsi="Calibri" w:cs="Calibri"/>
          <w:bCs/>
          <w:i/>
          <w:iCs/>
        </w:rPr>
        <w:t>Washington, DC: International Finance Corporation</w:t>
      </w:r>
      <w:r>
        <w:rPr>
          <w:rFonts w:ascii="Calibri" w:hAnsi="Calibri" w:cs="Calibri"/>
          <w:bCs/>
        </w:rPr>
        <w:t xml:space="preserve">. Available at: </w:t>
      </w:r>
      <w:hyperlink r:id="rId17" w:history="1">
        <w:r>
          <w:rPr>
            <w:rStyle w:val="Hyperlink"/>
            <w:rFonts w:ascii="Calibri" w:hAnsi="Calibri" w:cs="Calibri"/>
            <w:bCs/>
          </w:rPr>
          <w:t>https://edgebuildings.com/wp-content/uploads/2022/04/IFC-India-Construction-Materials-Database-Methodology-Report.pdf</w:t>
        </w:r>
      </w:hyperlink>
    </w:p>
    <w:p w14:paraId="76A49D3E" w14:textId="6CEBC53F" w:rsidR="008B0F5B" w:rsidRPr="00D7711B" w:rsidRDefault="008B0F5B" w:rsidP="002954F7">
      <w:pPr>
        <w:spacing w:after="0" w:line="240" w:lineRule="auto"/>
        <w:jc w:val="both"/>
        <w:rPr>
          <w:rFonts w:ascii="Calibri" w:hAnsi="Calibri" w:cs="Calibri"/>
        </w:rPr>
      </w:pPr>
      <w:r>
        <w:rPr>
          <w:rFonts w:ascii="Calibri" w:hAnsi="Calibri" w:cs="Calibri"/>
        </w:rPr>
        <w:t xml:space="preserve">ISO (2017), </w:t>
      </w:r>
      <w:r>
        <w:rPr>
          <w:rFonts w:ascii="Calibri" w:hAnsi="Calibri" w:cs="Calibri"/>
          <w:lang w:val="en-IN"/>
        </w:rPr>
        <w:t>'</w:t>
      </w:r>
      <w:r>
        <w:rPr>
          <w:rFonts w:ascii="Calibri" w:hAnsi="Calibri" w:cs="Calibri"/>
        </w:rPr>
        <w:t>ISO 15686-5:2017, buildings and constructed assets-Service life planning-Part 5: Lifecycle costing,</w:t>
      </w:r>
      <w:r>
        <w:rPr>
          <w:rFonts w:ascii="Calibri" w:hAnsi="Calibri" w:cs="Calibri"/>
          <w:lang w:val="en-IN"/>
        </w:rPr>
        <w:t>'</w:t>
      </w:r>
      <w:r>
        <w:rPr>
          <w:rFonts w:ascii="Calibri" w:hAnsi="Calibri" w:cs="Calibri"/>
        </w:rPr>
        <w:t xml:space="preserve"> </w:t>
      </w:r>
      <w:r>
        <w:rPr>
          <w:rFonts w:ascii="Calibri" w:hAnsi="Calibri" w:cs="Calibri"/>
          <w:i/>
          <w:iCs/>
        </w:rPr>
        <w:t>ISO</w:t>
      </w:r>
      <w:r>
        <w:rPr>
          <w:rFonts w:ascii="Calibri" w:hAnsi="Calibri" w:cs="Calibri"/>
        </w:rPr>
        <w:t xml:space="preserve">. Available at: </w:t>
      </w:r>
      <w:hyperlink r:id="rId18" w:history="1">
        <w:r>
          <w:rPr>
            <w:rStyle w:val="Hyperlink"/>
            <w:rFonts w:ascii="Calibri" w:hAnsi="Calibri" w:cs="Calibri"/>
          </w:rPr>
          <w:t>https://www.iso.org/standard/61148.html</w:t>
        </w:r>
      </w:hyperlink>
    </w:p>
    <w:p w14:paraId="2039CC27" w14:textId="55361900"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Kumar, D. </w:t>
      </w:r>
      <w:r>
        <w:rPr>
          <w:rFonts w:ascii="Calibri" w:hAnsi="Calibri" w:cs="Calibri"/>
          <w:i/>
          <w:iCs/>
          <w:lang w:val="en-IN"/>
        </w:rPr>
        <w:t>et al.</w:t>
      </w:r>
      <w:r>
        <w:rPr>
          <w:rFonts w:ascii="Calibri" w:hAnsi="Calibri" w:cs="Calibri"/>
          <w:lang w:val="en-IN"/>
        </w:rPr>
        <w:t xml:space="preserve"> (2025) 'A Whole-Life carbon assessment of a Single-Family house in North India using BIM-LCA integration,' </w:t>
      </w:r>
      <w:r>
        <w:rPr>
          <w:rFonts w:ascii="Calibri" w:hAnsi="Calibri" w:cs="Calibri"/>
          <w:i/>
          <w:iCs/>
          <w:lang w:val="en-IN"/>
        </w:rPr>
        <w:t>Buildings</w:t>
      </w:r>
      <w:r>
        <w:rPr>
          <w:rFonts w:ascii="Calibri" w:hAnsi="Calibri" w:cs="Calibri"/>
          <w:lang w:val="en-IN"/>
        </w:rPr>
        <w:t xml:space="preserve">, 15(13), p. 2195. </w:t>
      </w:r>
      <w:hyperlink r:id="rId19" w:history="1">
        <w:r>
          <w:rPr>
            <w:rStyle w:val="Hyperlink"/>
            <w:rFonts w:ascii="Calibri" w:hAnsi="Calibri" w:cs="Calibri"/>
            <w:lang w:val="en-IN"/>
          </w:rPr>
          <w:t>https://doi.org/10.3390/buildings15132195</w:t>
        </w:r>
      </w:hyperlink>
      <w:r>
        <w:rPr>
          <w:rFonts w:ascii="Calibri" w:hAnsi="Calibri" w:cs="Calibri"/>
          <w:lang w:val="en-IN"/>
        </w:rPr>
        <w:t>.</w:t>
      </w:r>
    </w:p>
    <w:p w14:paraId="6044824F" w14:textId="176A028C"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Liu, Z. </w:t>
      </w:r>
      <w:r>
        <w:rPr>
          <w:rFonts w:ascii="Calibri" w:hAnsi="Calibri" w:cs="Calibri"/>
          <w:i/>
          <w:iCs/>
          <w:lang w:val="en-IN"/>
        </w:rPr>
        <w:t>et al.</w:t>
      </w:r>
      <w:r>
        <w:rPr>
          <w:rFonts w:ascii="Calibri" w:hAnsi="Calibri" w:cs="Calibri"/>
          <w:lang w:val="en-IN"/>
        </w:rPr>
        <w:t xml:space="preserve"> (2022) 'Building information modelling (BIM) driven carbon emission reduction research: a 14-year bibliometric analysis,' </w:t>
      </w:r>
      <w:r>
        <w:rPr>
          <w:rFonts w:ascii="Calibri" w:hAnsi="Calibri" w:cs="Calibri"/>
          <w:i/>
          <w:iCs/>
          <w:lang w:val="en-IN"/>
        </w:rPr>
        <w:t>International Journal of Environmental Research and Public Health</w:t>
      </w:r>
      <w:r>
        <w:rPr>
          <w:rFonts w:ascii="Calibri" w:hAnsi="Calibri" w:cs="Calibri"/>
          <w:lang w:val="en-IN"/>
        </w:rPr>
        <w:t xml:space="preserve">, 19(19), p. 12820. </w:t>
      </w:r>
      <w:hyperlink r:id="rId20" w:history="1">
        <w:r>
          <w:rPr>
            <w:rStyle w:val="Hyperlink"/>
            <w:rFonts w:ascii="Calibri" w:hAnsi="Calibri" w:cs="Calibri"/>
            <w:lang w:val="en-IN"/>
          </w:rPr>
          <w:t>https://doi.org/10.3390/ijerph191912820</w:t>
        </w:r>
      </w:hyperlink>
      <w:r>
        <w:rPr>
          <w:rFonts w:ascii="Calibri" w:hAnsi="Calibri" w:cs="Calibri"/>
          <w:lang w:val="en-IN"/>
        </w:rPr>
        <w:t>.</w:t>
      </w:r>
    </w:p>
    <w:p w14:paraId="45B299A8" w14:textId="58F07DC3" w:rsidR="008B0F5B" w:rsidRDefault="008B0F5B" w:rsidP="002954F7">
      <w:pPr>
        <w:spacing w:after="0" w:line="240" w:lineRule="auto"/>
        <w:jc w:val="both"/>
        <w:rPr>
          <w:rFonts w:ascii="Calibri" w:hAnsi="Calibri" w:cs="Calibri"/>
          <w:lang w:val="en-IN"/>
        </w:rPr>
      </w:pPr>
      <w:proofErr w:type="spellStart"/>
      <w:r>
        <w:rPr>
          <w:rFonts w:ascii="Calibri" w:hAnsi="Calibri" w:cs="Calibri"/>
          <w:lang w:val="en-IN"/>
        </w:rPr>
        <w:t>Maglad</w:t>
      </w:r>
      <w:proofErr w:type="spellEnd"/>
      <w:r>
        <w:rPr>
          <w:rFonts w:ascii="Calibri" w:hAnsi="Calibri" w:cs="Calibri"/>
          <w:lang w:val="en-IN"/>
        </w:rPr>
        <w:t xml:space="preserve">, A.M. </w:t>
      </w:r>
      <w:r>
        <w:rPr>
          <w:rFonts w:ascii="Calibri" w:hAnsi="Calibri" w:cs="Calibri"/>
          <w:i/>
          <w:iCs/>
          <w:lang w:val="en-IN"/>
        </w:rPr>
        <w:t>et al.</w:t>
      </w:r>
      <w:r>
        <w:rPr>
          <w:rFonts w:ascii="Calibri" w:hAnsi="Calibri" w:cs="Calibri"/>
          <w:lang w:val="en-IN"/>
        </w:rPr>
        <w:t xml:space="preserve"> (2022) '</w:t>
      </w:r>
      <w:proofErr w:type="spellStart"/>
      <w:r>
        <w:rPr>
          <w:rFonts w:ascii="Calibri" w:hAnsi="Calibri" w:cs="Calibri"/>
          <w:lang w:val="en-IN"/>
        </w:rPr>
        <w:t>Bim</w:t>
      </w:r>
      <w:proofErr w:type="spellEnd"/>
      <w:r>
        <w:rPr>
          <w:rFonts w:ascii="Calibri" w:hAnsi="Calibri" w:cs="Calibri"/>
          <w:lang w:val="en-IN"/>
        </w:rPr>
        <w:t xml:space="preserve">-based energy analysis and optimization using insight 360 (case study),' </w:t>
      </w:r>
      <w:r>
        <w:rPr>
          <w:rFonts w:ascii="Calibri" w:hAnsi="Calibri" w:cs="Calibri"/>
          <w:i/>
          <w:iCs/>
          <w:lang w:val="en-IN"/>
        </w:rPr>
        <w:t>Case Studies in Construction Materials</w:t>
      </w:r>
      <w:r>
        <w:rPr>
          <w:rFonts w:ascii="Calibri" w:hAnsi="Calibri" w:cs="Calibri"/>
          <w:lang w:val="en-IN"/>
        </w:rPr>
        <w:t xml:space="preserve">, 18, p. e01755. </w:t>
      </w:r>
      <w:hyperlink r:id="rId21" w:history="1">
        <w:r>
          <w:rPr>
            <w:rStyle w:val="Hyperlink"/>
            <w:rFonts w:ascii="Calibri" w:hAnsi="Calibri" w:cs="Calibri"/>
            <w:lang w:val="en-IN"/>
          </w:rPr>
          <w:t>https://doi.org/10.1016/j.cscm.2022.e01755</w:t>
        </w:r>
      </w:hyperlink>
      <w:r>
        <w:rPr>
          <w:rFonts w:ascii="Calibri" w:hAnsi="Calibri" w:cs="Calibri"/>
          <w:lang w:val="en-IN"/>
        </w:rPr>
        <w:t>.</w:t>
      </w:r>
    </w:p>
    <w:p w14:paraId="59565D12" w14:textId="1D1597EE" w:rsidR="008B0F5B" w:rsidRDefault="008B0F5B" w:rsidP="002954F7">
      <w:pPr>
        <w:spacing w:after="0" w:line="240" w:lineRule="auto"/>
        <w:jc w:val="both"/>
        <w:rPr>
          <w:rFonts w:ascii="Calibri" w:hAnsi="Calibri" w:cs="Calibri"/>
          <w:lang w:val="en-IN"/>
        </w:rPr>
      </w:pPr>
      <w:r>
        <w:rPr>
          <w:rFonts w:ascii="Calibri" w:hAnsi="Calibri" w:cs="Calibri"/>
          <w:lang w:val="en-IN"/>
        </w:rPr>
        <w:t xml:space="preserve">G, N. and L, K. (2022) 'Optimization and performance analysis of residential building for sustainable energy design through BIM,' </w:t>
      </w:r>
      <w:r>
        <w:rPr>
          <w:rFonts w:ascii="Calibri" w:hAnsi="Calibri" w:cs="Calibri"/>
          <w:i/>
          <w:iCs/>
          <w:lang w:val="en-IN"/>
        </w:rPr>
        <w:t>Journal of Engineering Research</w:t>
      </w:r>
      <w:r>
        <w:rPr>
          <w:rFonts w:ascii="Calibri" w:hAnsi="Calibri" w:cs="Calibri"/>
          <w:lang w:val="en-IN"/>
        </w:rPr>
        <w:t xml:space="preserve">. </w:t>
      </w:r>
      <w:hyperlink r:id="rId22" w:history="1">
        <w:r>
          <w:rPr>
            <w:rStyle w:val="Hyperlink"/>
            <w:rFonts w:ascii="Calibri" w:hAnsi="Calibri" w:cs="Calibri"/>
            <w:lang w:val="en-IN"/>
          </w:rPr>
          <w:t>https://doi.org/10.36909/jer.acmm.16297</w:t>
        </w:r>
      </w:hyperlink>
      <w:r>
        <w:rPr>
          <w:rFonts w:ascii="Calibri" w:hAnsi="Calibri" w:cs="Calibri"/>
          <w:lang w:val="en-IN"/>
        </w:rPr>
        <w:t>.</w:t>
      </w:r>
    </w:p>
    <w:p w14:paraId="0826C5BE" w14:textId="633E73DD" w:rsidR="008B0F5B" w:rsidRDefault="008B0F5B" w:rsidP="002954F7">
      <w:pPr>
        <w:spacing w:after="0" w:line="240" w:lineRule="auto"/>
        <w:jc w:val="both"/>
        <w:rPr>
          <w:rFonts w:ascii="Calibri" w:hAnsi="Calibri" w:cs="Calibri"/>
          <w:lang w:val="en-IN"/>
        </w:rPr>
      </w:pPr>
      <w:proofErr w:type="spellStart"/>
      <w:r>
        <w:rPr>
          <w:rFonts w:ascii="Calibri" w:hAnsi="Calibri" w:cs="Calibri"/>
          <w:lang w:val="en-IN"/>
        </w:rPr>
        <w:t>Kneifel</w:t>
      </w:r>
      <w:proofErr w:type="spellEnd"/>
      <w:r>
        <w:rPr>
          <w:rFonts w:ascii="Calibri" w:hAnsi="Calibri" w:cs="Calibri"/>
          <w:lang w:val="en-IN"/>
        </w:rPr>
        <w:t xml:space="preserve">, J. and Webb, D. (2025) 'Life cycle costing manual for the federal energy management program.' </w:t>
      </w:r>
      <w:hyperlink r:id="rId23" w:history="1">
        <w:r>
          <w:rPr>
            <w:rStyle w:val="Hyperlink"/>
            <w:rFonts w:ascii="Calibri" w:hAnsi="Calibri" w:cs="Calibri"/>
            <w:lang w:val="en-IN"/>
          </w:rPr>
          <w:t>https://doi.org/10.6028/nist.hb.135e2025</w:t>
        </w:r>
      </w:hyperlink>
      <w:r>
        <w:rPr>
          <w:rFonts w:ascii="Calibri" w:hAnsi="Calibri" w:cs="Calibri"/>
          <w:lang w:val="en-IN"/>
        </w:rPr>
        <w:t>.</w:t>
      </w:r>
    </w:p>
    <w:p w14:paraId="18695EEB" w14:textId="1A860F46" w:rsidR="008B0F5B" w:rsidRDefault="008B0F5B" w:rsidP="002954F7">
      <w:pPr>
        <w:spacing w:after="0" w:line="240" w:lineRule="auto"/>
        <w:jc w:val="both"/>
        <w:rPr>
          <w:rFonts w:ascii="Calibri" w:hAnsi="Calibri" w:cs="Calibri"/>
          <w:lang w:val="en-IN"/>
        </w:rPr>
      </w:pPr>
      <w:proofErr w:type="spellStart"/>
      <w:r>
        <w:rPr>
          <w:rFonts w:ascii="Calibri" w:hAnsi="Calibri" w:cs="Calibri"/>
          <w:lang w:val="en-IN"/>
        </w:rPr>
        <w:t>Starynina</w:t>
      </w:r>
      <w:proofErr w:type="spellEnd"/>
      <w:r>
        <w:rPr>
          <w:rFonts w:ascii="Calibri" w:hAnsi="Calibri" w:cs="Calibri"/>
          <w:lang w:val="en-IN"/>
        </w:rPr>
        <w:t xml:space="preserve">, J. and </w:t>
      </w:r>
      <w:proofErr w:type="spellStart"/>
      <w:r>
        <w:rPr>
          <w:rFonts w:ascii="Calibri" w:hAnsi="Calibri" w:cs="Calibri"/>
          <w:lang w:val="en-IN"/>
        </w:rPr>
        <w:t>Ustinovichius</w:t>
      </w:r>
      <w:proofErr w:type="spellEnd"/>
      <w:r>
        <w:rPr>
          <w:rFonts w:ascii="Calibri" w:hAnsi="Calibri" w:cs="Calibri"/>
          <w:lang w:val="en-IN"/>
        </w:rPr>
        <w:t xml:space="preserve">, L. (2020) 'A multi-criteria decision-making synthesis method to determine the most effective option for modernising a public building,' </w:t>
      </w:r>
      <w:r>
        <w:rPr>
          <w:rFonts w:ascii="Calibri" w:hAnsi="Calibri" w:cs="Calibri"/>
          <w:i/>
          <w:iCs/>
          <w:lang w:val="en-IN"/>
        </w:rPr>
        <w:t>Technological and Economic Development of Economy</w:t>
      </w:r>
      <w:r>
        <w:rPr>
          <w:rFonts w:ascii="Calibri" w:hAnsi="Calibri" w:cs="Calibri"/>
          <w:lang w:val="en-IN"/>
        </w:rPr>
        <w:t xml:space="preserve">, 26(6), pp. 1237–1262. </w:t>
      </w:r>
      <w:hyperlink r:id="rId24" w:history="1">
        <w:r>
          <w:rPr>
            <w:rStyle w:val="Hyperlink"/>
            <w:rFonts w:ascii="Calibri" w:hAnsi="Calibri" w:cs="Calibri"/>
            <w:lang w:val="en-IN"/>
          </w:rPr>
          <w:t>https://doi.org/10.3846/tede.2020.13398</w:t>
        </w:r>
      </w:hyperlink>
      <w:r>
        <w:rPr>
          <w:rFonts w:ascii="Calibri" w:hAnsi="Calibri" w:cs="Calibri"/>
          <w:lang w:val="en-IN"/>
        </w:rPr>
        <w:t>.</w:t>
      </w:r>
    </w:p>
    <w:p w14:paraId="3229C735" w14:textId="2404B272" w:rsidR="008B0F5B" w:rsidRDefault="008B0F5B" w:rsidP="002954F7">
      <w:pPr>
        <w:spacing w:after="0" w:line="240" w:lineRule="auto"/>
        <w:jc w:val="both"/>
        <w:rPr>
          <w:rFonts w:ascii="Calibri" w:hAnsi="Calibri" w:cs="Calibri"/>
          <w:lang w:val="en-IN"/>
        </w:rPr>
      </w:pPr>
      <w:r>
        <w:rPr>
          <w:rFonts w:ascii="Calibri" w:hAnsi="Calibri" w:cs="Calibri"/>
          <w:bCs/>
        </w:rPr>
        <w:t>Ministry of Housing and Urban Affairs (</w:t>
      </w:r>
      <w:proofErr w:type="spellStart"/>
      <w:r>
        <w:rPr>
          <w:rFonts w:ascii="Calibri" w:hAnsi="Calibri" w:cs="Calibri"/>
          <w:bCs/>
        </w:rPr>
        <w:t>MoHUA</w:t>
      </w:r>
      <w:proofErr w:type="spellEnd"/>
      <w:r>
        <w:rPr>
          <w:rFonts w:ascii="Calibri" w:hAnsi="Calibri" w:cs="Calibri"/>
          <w:bCs/>
        </w:rPr>
        <w:t>)</w:t>
      </w:r>
      <w:r>
        <w:rPr>
          <w:rFonts w:ascii="Calibri" w:hAnsi="Calibri" w:cs="Calibri"/>
        </w:rPr>
        <w:t xml:space="preserve"> (2022) </w:t>
      </w:r>
      <w:r>
        <w:rPr>
          <w:rFonts w:ascii="Calibri" w:hAnsi="Calibri" w:cs="Calibri"/>
          <w:lang w:val="en-IN"/>
        </w:rPr>
        <w:t>'</w:t>
      </w:r>
      <w:r>
        <w:rPr>
          <w:rFonts w:ascii="Calibri" w:hAnsi="Calibri" w:cs="Calibri"/>
        </w:rPr>
        <w:t>Innovative Construction Technologies &amp; Thermal Comfort in Affordable Housing</w:t>
      </w:r>
      <w:r>
        <w:rPr>
          <w:rFonts w:ascii="Calibri" w:hAnsi="Calibri" w:cs="Calibri"/>
          <w:i/>
          <w:iCs/>
        </w:rPr>
        <w:t>: Handbook</w:t>
      </w:r>
      <w:r>
        <w:rPr>
          <w:rFonts w:ascii="Calibri" w:hAnsi="Calibri" w:cs="Calibri"/>
        </w:rPr>
        <w:t>,</w:t>
      </w:r>
      <w:r>
        <w:rPr>
          <w:rFonts w:ascii="Calibri" w:hAnsi="Calibri" w:cs="Calibri"/>
          <w:lang w:val="en-IN"/>
        </w:rPr>
        <w:t>'</w:t>
      </w:r>
      <w:r>
        <w:rPr>
          <w:rFonts w:ascii="Calibri" w:hAnsi="Calibri" w:cs="Calibri"/>
        </w:rPr>
        <w:t xml:space="preserve"> </w:t>
      </w:r>
      <w:r>
        <w:rPr>
          <w:rFonts w:ascii="Calibri" w:hAnsi="Calibri" w:cs="Calibri"/>
          <w:i/>
          <w:iCs/>
        </w:rPr>
        <w:t>New Delhi: Ministry of Housing and Urban Affairs, Government of India</w:t>
      </w:r>
      <w:r>
        <w:rPr>
          <w:rFonts w:ascii="Calibri" w:hAnsi="Calibri" w:cs="Calibri"/>
        </w:rPr>
        <w:t xml:space="preserve">. Available at: </w:t>
      </w:r>
      <w:hyperlink r:id="rId25" w:history="1">
        <w:r>
          <w:rPr>
            <w:rStyle w:val="Hyperlink"/>
          </w:rPr>
          <w:t>Innovative Construction Technologies &amp; Thermal Comfort for Affordable Housing | NFS</w:t>
        </w:r>
      </w:hyperlink>
    </w:p>
    <w:p w14:paraId="3B6CE8E9" w14:textId="6DEFC4D1" w:rsidR="008B0F5B" w:rsidRPr="00D7711B" w:rsidRDefault="008B0F5B" w:rsidP="002954F7">
      <w:pPr>
        <w:spacing w:after="0" w:line="240" w:lineRule="auto"/>
        <w:jc w:val="both"/>
        <w:rPr>
          <w:rFonts w:ascii="Calibri" w:hAnsi="Calibri" w:cs="Calibri"/>
        </w:rPr>
      </w:pPr>
      <w:r>
        <w:rPr>
          <w:rFonts w:ascii="Calibri" w:hAnsi="Calibri" w:cs="Calibri"/>
        </w:rPr>
        <w:lastRenderedPageBreak/>
        <w:t xml:space="preserve">Central Public Works Department (CPWD) (2023) </w:t>
      </w:r>
      <w:r>
        <w:rPr>
          <w:rFonts w:ascii="Calibri" w:hAnsi="Calibri" w:cs="Calibri"/>
          <w:lang w:val="en-IN"/>
        </w:rPr>
        <w:t>'</w:t>
      </w:r>
      <w:r>
        <w:rPr>
          <w:rFonts w:ascii="Calibri" w:hAnsi="Calibri" w:cs="Calibri"/>
          <w:i/>
          <w:iCs/>
        </w:rPr>
        <w:t>Delhi Analysis of Rates (DAR) 2023. Volume I</w:t>
      </w:r>
      <w:r>
        <w:rPr>
          <w:rFonts w:ascii="Calibri" w:hAnsi="Calibri" w:cs="Calibri"/>
        </w:rPr>
        <w:t>,</w:t>
      </w:r>
      <w:r>
        <w:rPr>
          <w:rFonts w:ascii="Calibri" w:hAnsi="Calibri" w:cs="Calibri"/>
          <w:lang w:val="en-IN"/>
        </w:rPr>
        <w:t>'</w:t>
      </w:r>
      <w:r>
        <w:rPr>
          <w:rFonts w:ascii="Calibri" w:hAnsi="Calibri" w:cs="Calibri"/>
        </w:rPr>
        <w:t xml:space="preserve"> </w:t>
      </w:r>
      <w:r>
        <w:rPr>
          <w:rFonts w:ascii="Calibri" w:hAnsi="Calibri" w:cs="Calibri"/>
          <w:i/>
          <w:iCs/>
        </w:rPr>
        <w:t>New Delhi: Ministry of Housing and Urban Affairs, Government of India</w:t>
      </w:r>
      <w:r>
        <w:rPr>
          <w:rFonts w:ascii="Calibri" w:hAnsi="Calibri" w:cs="Calibri"/>
        </w:rPr>
        <w:t xml:space="preserve">. Available at: </w:t>
      </w:r>
      <w:hyperlink r:id="rId26" w:history="1">
        <w:r>
          <w:rPr>
            <w:rStyle w:val="Hyperlink"/>
            <w:rFonts w:ascii="Calibri" w:hAnsi="Calibri" w:cs="Calibri"/>
          </w:rPr>
          <w:t>https://indianrailways.gov.in/railwayboard/uploads/directorate/civil_engg/2025/CPWD_AOR_Vol_I_2023.pdf</w:t>
        </w:r>
      </w:hyperlink>
    </w:p>
    <w:p w14:paraId="37032942" w14:textId="225E7678" w:rsidR="008B0F5B" w:rsidRDefault="008B0F5B" w:rsidP="002954F7">
      <w:pPr>
        <w:spacing w:after="0" w:line="240" w:lineRule="auto"/>
        <w:jc w:val="both"/>
        <w:rPr>
          <w:rFonts w:ascii="Calibri" w:hAnsi="Calibri" w:cs="Calibri"/>
        </w:rPr>
      </w:pPr>
      <w:r>
        <w:rPr>
          <w:rFonts w:ascii="Calibri" w:hAnsi="Calibri" w:cs="Calibri"/>
        </w:rPr>
        <w:t xml:space="preserve">Central Public Works Department (CPWD) (2023) </w:t>
      </w:r>
      <w:r>
        <w:rPr>
          <w:rFonts w:ascii="Calibri" w:hAnsi="Calibri" w:cs="Calibri"/>
          <w:lang w:val="en-IN"/>
        </w:rPr>
        <w:t>'</w:t>
      </w:r>
      <w:r>
        <w:rPr>
          <w:rFonts w:ascii="Calibri" w:hAnsi="Calibri" w:cs="Calibri"/>
        </w:rPr>
        <w:t>Delhi analysis of rates (DAR) 2023. Volume II,</w:t>
      </w:r>
      <w:r>
        <w:rPr>
          <w:rFonts w:ascii="Calibri" w:hAnsi="Calibri" w:cs="Calibri"/>
          <w:lang w:val="en-IN"/>
        </w:rPr>
        <w:t>'</w:t>
      </w:r>
      <w:r>
        <w:rPr>
          <w:rFonts w:ascii="Calibri" w:hAnsi="Calibri" w:cs="Calibri"/>
        </w:rPr>
        <w:t xml:space="preserve"> </w:t>
      </w:r>
      <w:r>
        <w:rPr>
          <w:rFonts w:ascii="Calibri" w:hAnsi="Calibri" w:cs="Calibri"/>
          <w:i/>
          <w:iCs/>
        </w:rPr>
        <w:t>New Delhi: Ministry of Housing and Urban Affairs, Government of India</w:t>
      </w:r>
      <w:r>
        <w:rPr>
          <w:rFonts w:ascii="Calibri" w:hAnsi="Calibri" w:cs="Calibri"/>
        </w:rPr>
        <w:t xml:space="preserve">. Available at: </w:t>
      </w:r>
      <w:hyperlink r:id="rId27" w:history="1">
        <w:r>
          <w:rPr>
            <w:rStyle w:val="Hyperlink"/>
            <w:rFonts w:ascii="Calibri" w:hAnsi="Calibri" w:cs="Calibri"/>
          </w:rPr>
          <w:t>https://cpwd.gov.in/Publication/CPWD_DAR_Vol_II_14092023_Civil.pdf</w:t>
        </w:r>
      </w:hyperlink>
    </w:p>
    <w:bookmarkEnd w:id="2"/>
    <w:p w14:paraId="3933A07E" w14:textId="77777777" w:rsidR="00321B7E" w:rsidRPr="007A03F2" w:rsidRDefault="00321B7E" w:rsidP="002954F7">
      <w:pPr>
        <w:spacing w:after="0" w:line="240" w:lineRule="auto"/>
        <w:jc w:val="both"/>
        <w:rPr>
          <w:rFonts w:ascii="Calibri" w:hAnsi="Calibri" w:cs="Calibri"/>
          <w:color w:val="FF0000"/>
          <w:lang w:val="en-IN"/>
        </w:rPr>
      </w:pPr>
      <w:r w:rsidRPr="00490F19">
        <w:rPr>
          <w:rFonts w:ascii="Calibri" w:hAnsi="Calibri" w:cs="Calibri"/>
          <w:color w:val="000000" w:themeColor="text1"/>
          <w:lang w:val="en-IN"/>
        </w:rPr>
        <w:t xml:space="preserve">Gan, J., Li, K., Li, X., </w:t>
      </w:r>
      <w:proofErr w:type="spellStart"/>
      <w:r w:rsidRPr="00490F19">
        <w:rPr>
          <w:rFonts w:ascii="Calibri" w:hAnsi="Calibri" w:cs="Calibri"/>
          <w:color w:val="000000" w:themeColor="text1"/>
          <w:lang w:val="en-IN"/>
        </w:rPr>
        <w:t>Mok</w:t>
      </w:r>
      <w:proofErr w:type="spellEnd"/>
      <w:r w:rsidRPr="00490F19">
        <w:rPr>
          <w:rFonts w:ascii="Calibri" w:hAnsi="Calibri" w:cs="Calibri"/>
          <w:color w:val="000000" w:themeColor="text1"/>
          <w:lang w:val="en-IN"/>
        </w:rPr>
        <w:t xml:space="preserve">, E., Ho, P., Law, J., Lau, J., Kwok, R. and </w:t>
      </w:r>
      <w:proofErr w:type="spellStart"/>
      <w:r w:rsidRPr="00490F19">
        <w:rPr>
          <w:rFonts w:ascii="Calibri" w:hAnsi="Calibri" w:cs="Calibri"/>
          <w:color w:val="000000" w:themeColor="text1"/>
          <w:lang w:val="en-IN"/>
        </w:rPr>
        <w:t>Yau</w:t>
      </w:r>
      <w:proofErr w:type="spellEnd"/>
      <w:r w:rsidRPr="00490F19">
        <w:rPr>
          <w:rFonts w:ascii="Calibri" w:hAnsi="Calibri" w:cs="Calibri"/>
          <w:color w:val="000000" w:themeColor="text1"/>
          <w:lang w:val="en-IN"/>
        </w:rPr>
        <w:t>, R., 2023. Parametric BIM-based lifecycle performance prediction and optimisation for residential buildings using alternative materials and designs. Buildings, 13(4), p.904</w:t>
      </w:r>
      <w:r>
        <w:rPr>
          <w:rFonts w:ascii="Calibri" w:hAnsi="Calibri" w:cs="Calibri"/>
          <w:color w:val="000000" w:themeColor="text1"/>
          <w:lang w:val="en-IN"/>
        </w:rPr>
        <w:t xml:space="preserve">. </w:t>
      </w:r>
      <w:hyperlink r:id="rId28" w:history="1">
        <w:r w:rsidRPr="00490F19">
          <w:rPr>
            <w:rStyle w:val="Hyperlink"/>
            <w:rFonts w:ascii="Calibri" w:hAnsi="Calibri" w:cs="Calibri"/>
            <w:lang w:val="en-IN"/>
          </w:rPr>
          <w:t>https://doi.org/10.3390/buildings13040904</w:t>
        </w:r>
      </w:hyperlink>
    </w:p>
    <w:p w14:paraId="0CA0C55D" w14:textId="77777777" w:rsidR="00321B7E" w:rsidRPr="001818F9" w:rsidRDefault="00321B7E" w:rsidP="002954F7">
      <w:pPr>
        <w:spacing w:after="0" w:line="240" w:lineRule="auto"/>
        <w:jc w:val="both"/>
        <w:rPr>
          <w:rFonts w:ascii="Calibri" w:hAnsi="Calibri" w:cs="Calibri"/>
          <w:color w:val="000000" w:themeColor="text1"/>
          <w:lang w:val="en-IN"/>
        </w:rPr>
      </w:pPr>
      <w:r w:rsidRPr="001818F9">
        <w:rPr>
          <w:rFonts w:ascii="Calibri" w:hAnsi="Calibri" w:cs="Calibri"/>
          <w:color w:val="000000" w:themeColor="text1"/>
          <w:lang w:val="en-IN"/>
        </w:rPr>
        <w:t xml:space="preserve">González, J. et al. (2021) “BIM and BEM Methodologies Integration in Energy-Efficient Buildings Using Experimental Design,” Buildings, 11(10), p. 491. Available at: </w:t>
      </w:r>
      <w:hyperlink r:id="rId29" w:history="1">
        <w:r w:rsidRPr="001818F9">
          <w:rPr>
            <w:rStyle w:val="Hyperlink"/>
            <w:rFonts w:ascii="Calibri" w:hAnsi="Calibri" w:cs="Calibri"/>
            <w:color w:val="000000" w:themeColor="text1"/>
            <w:lang w:val="en-IN"/>
          </w:rPr>
          <w:t>https://doi.org/10.3390/buildings11100491</w:t>
        </w:r>
      </w:hyperlink>
    </w:p>
    <w:p w14:paraId="0EC02E1F" w14:textId="77777777" w:rsidR="00321B7E" w:rsidRPr="001818F9" w:rsidRDefault="00321B7E" w:rsidP="002954F7">
      <w:pPr>
        <w:spacing w:after="0" w:line="240" w:lineRule="auto"/>
        <w:jc w:val="both"/>
        <w:rPr>
          <w:rFonts w:ascii="Calibri" w:hAnsi="Calibri" w:cs="Calibri"/>
          <w:color w:val="000000" w:themeColor="text1"/>
          <w:lang w:val="en-IN"/>
        </w:rPr>
      </w:pPr>
      <w:proofErr w:type="spellStart"/>
      <w:r w:rsidRPr="001818F9">
        <w:rPr>
          <w:rFonts w:ascii="Calibri" w:hAnsi="Calibri" w:cs="Calibri"/>
          <w:color w:val="000000" w:themeColor="text1"/>
          <w:lang w:val="en-IN"/>
        </w:rPr>
        <w:t>Heydari</w:t>
      </w:r>
      <w:proofErr w:type="spellEnd"/>
      <w:r w:rsidRPr="001818F9">
        <w:rPr>
          <w:rFonts w:ascii="Calibri" w:hAnsi="Calibri" w:cs="Calibri"/>
          <w:color w:val="000000" w:themeColor="text1"/>
          <w:lang w:val="en-IN"/>
        </w:rPr>
        <w:t xml:space="preserve">, M. and </w:t>
      </w:r>
      <w:proofErr w:type="spellStart"/>
      <w:r w:rsidRPr="001818F9">
        <w:rPr>
          <w:rFonts w:ascii="Calibri" w:hAnsi="Calibri" w:cs="Calibri"/>
          <w:color w:val="000000" w:themeColor="text1"/>
          <w:lang w:val="en-IN"/>
        </w:rPr>
        <w:t>Heravi</w:t>
      </w:r>
      <w:proofErr w:type="spellEnd"/>
      <w:r w:rsidRPr="001818F9">
        <w:rPr>
          <w:rFonts w:ascii="Calibri" w:hAnsi="Calibri" w:cs="Calibri"/>
          <w:color w:val="000000" w:themeColor="text1"/>
          <w:lang w:val="en-IN"/>
        </w:rPr>
        <w:t xml:space="preserve">, G. (2023) “A BIM-based framework for optimization and assessment of buildings’ cost and carbon emissions,” Journal of Building Engineering, 79, p. 107762. Available at: </w:t>
      </w:r>
      <w:hyperlink r:id="rId30" w:history="1">
        <w:r w:rsidRPr="001818F9">
          <w:rPr>
            <w:rStyle w:val="Hyperlink"/>
            <w:rFonts w:ascii="Calibri" w:hAnsi="Calibri" w:cs="Calibri"/>
            <w:color w:val="000000" w:themeColor="text1"/>
            <w:lang w:val="en-IN"/>
          </w:rPr>
          <w:t>https://doi.org/10.1016/j.jobe.2023.107762</w:t>
        </w:r>
      </w:hyperlink>
    </w:p>
    <w:p w14:paraId="7DB60A9D" w14:textId="77777777" w:rsidR="00321B7E" w:rsidRPr="001818F9" w:rsidRDefault="00321B7E" w:rsidP="002954F7">
      <w:pPr>
        <w:spacing w:after="0" w:line="240" w:lineRule="auto"/>
        <w:jc w:val="both"/>
        <w:rPr>
          <w:rFonts w:ascii="Calibri" w:hAnsi="Calibri" w:cs="Calibri"/>
          <w:color w:val="000000" w:themeColor="text1"/>
          <w:lang w:val="en-IN"/>
        </w:rPr>
      </w:pPr>
      <w:r w:rsidRPr="001818F9">
        <w:rPr>
          <w:rFonts w:ascii="Calibri" w:hAnsi="Calibri" w:cs="Calibri"/>
          <w:color w:val="000000" w:themeColor="text1"/>
          <w:lang w:val="en-IN"/>
        </w:rPr>
        <w:t xml:space="preserve">Hosseini </w:t>
      </w:r>
      <w:proofErr w:type="spellStart"/>
      <w:r w:rsidRPr="001818F9">
        <w:rPr>
          <w:rFonts w:ascii="Calibri" w:hAnsi="Calibri" w:cs="Calibri"/>
          <w:color w:val="000000" w:themeColor="text1"/>
          <w:lang w:val="en-IN"/>
        </w:rPr>
        <w:t>Dehshiri</w:t>
      </w:r>
      <w:proofErr w:type="spellEnd"/>
      <w:r w:rsidRPr="001818F9">
        <w:rPr>
          <w:rFonts w:ascii="Calibri" w:hAnsi="Calibri" w:cs="Calibri"/>
          <w:color w:val="000000" w:themeColor="text1"/>
          <w:lang w:val="en-IN"/>
        </w:rPr>
        <w:t xml:space="preserve">, S.S. and </w:t>
      </w:r>
      <w:proofErr w:type="spellStart"/>
      <w:r w:rsidRPr="001818F9">
        <w:rPr>
          <w:rFonts w:ascii="Calibri" w:hAnsi="Calibri" w:cs="Calibri"/>
          <w:color w:val="000000" w:themeColor="text1"/>
          <w:lang w:val="en-IN"/>
        </w:rPr>
        <w:t>Firoozabadi</w:t>
      </w:r>
      <w:proofErr w:type="spellEnd"/>
      <w:r w:rsidRPr="001818F9">
        <w:rPr>
          <w:rFonts w:ascii="Calibri" w:hAnsi="Calibri" w:cs="Calibri"/>
          <w:color w:val="000000" w:themeColor="text1"/>
          <w:lang w:val="en-IN"/>
        </w:rPr>
        <w:t xml:space="preserve">, B. (2025) “Optimizing building energy solutions: A guideline for choosing proper multi criteria decision making methods in energy problems,” Energy, 317, p. 134598. Available at: </w:t>
      </w:r>
      <w:hyperlink r:id="rId31" w:history="1">
        <w:r w:rsidRPr="001818F9">
          <w:rPr>
            <w:rStyle w:val="Hyperlink"/>
            <w:rFonts w:ascii="Calibri" w:hAnsi="Calibri" w:cs="Calibri"/>
            <w:color w:val="000000" w:themeColor="text1"/>
            <w:lang w:val="en-IN"/>
          </w:rPr>
          <w:t>https://doi.org/10.1016/j.energy.2025.134598</w:t>
        </w:r>
      </w:hyperlink>
    </w:p>
    <w:p w14:paraId="4BC22172" w14:textId="77777777" w:rsidR="00321B7E" w:rsidRPr="007A03F2" w:rsidRDefault="00321B7E" w:rsidP="002954F7">
      <w:pPr>
        <w:spacing w:after="0" w:line="240" w:lineRule="auto"/>
        <w:jc w:val="both"/>
        <w:rPr>
          <w:rFonts w:ascii="Calibri" w:hAnsi="Calibri" w:cs="Calibri"/>
          <w:color w:val="FF0000"/>
          <w:lang w:val="en-IN"/>
        </w:rPr>
      </w:pPr>
      <w:r w:rsidRPr="001818F9">
        <w:rPr>
          <w:rFonts w:ascii="Calibri" w:hAnsi="Calibri" w:cs="Calibri"/>
          <w:color w:val="000000" w:themeColor="text1"/>
          <w:lang w:val="en-IN"/>
        </w:rPr>
        <w:t xml:space="preserve">Kumar, D. et al. (2020) “Comparative analysis of building insulation material properties and performance,” Renewable and Sustainable Energy Reviews, 131, p. 110038. Available at: </w:t>
      </w:r>
      <w:hyperlink r:id="rId32" w:history="1">
        <w:r w:rsidRPr="001818F9">
          <w:rPr>
            <w:rStyle w:val="Hyperlink"/>
            <w:rFonts w:ascii="Calibri" w:hAnsi="Calibri" w:cs="Calibri"/>
            <w:lang w:val="en-IN"/>
          </w:rPr>
          <w:t>https://doi.org/10.1016/j.rser.2020.110038</w:t>
        </w:r>
      </w:hyperlink>
    </w:p>
    <w:p w14:paraId="7189E85B" w14:textId="77777777" w:rsidR="00321B7E" w:rsidRPr="007A03F2" w:rsidRDefault="00321B7E" w:rsidP="002954F7">
      <w:pPr>
        <w:spacing w:after="0" w:line="240" w:lineRule="auto"/>
        <w:jc w:val="both"/>
        <w:rPr>
          <w:rFonts w:ascii="Calibri" w:hAnsi="Calibri" w:cs="Calibri"/>
          <w:color w:val="FF0000"/>
          <w:lang w:val="en-IN"/>
        </w:rPr>
      </w:pPr>
      <w:r w:rsidRPr="001818F9">
        <w:rPr>
          <w:rFonts w:ascii="Calibri" w:hAnsi="Calibri" w:cs="Calibri"/>
          <w:color w:val="000000" w:themeColor="text1"/>
          <w:lang w:val="en-IN"/>
        </w:rPr>
        <w:t xml:space="preserve">Liang, Y. et al. (2023) “Decarbonization potentials of the embodied energy use and operational process in buildings: A review from the life-cycle perspective,” </w:t>
      </w:r>
      <w:proofErr w:type="spellStart"/>
      <w:r w:rsidRPr="001818F9">
        <w:rPr>
          <w:rFonts w:ascii="Calibri" w:hAnsi="Calibri" w:cs="Calibri"/>
          <w:color w:val="000000" w:themeColor="text1"/>
          <w:lang w:val="en-IN"/>
        </w:rPr>
        <w:t>Heliyon</w:t>
      </w:r>
      <w:proofErr w:type="spellEnd"/>
      <w:r w:rsidRPr="001818F9">
        <w:rPr>
          <w:rFonts w:ascii="Calibri" w:hAnsi="Calibri" w:cs="Calibri"/>
          <w:color w:val="000000" w:themeColor="text1"/>
          <w:lang w:val="en-IN"/>
        </w:rPr>
        <w:t xml:space="preserve">, 9(10), p. e20190. Available at:  </w:t>
      </w:r>
      <w:hyperlink r:id="rId33" w:history="1">
        <w:r w:rsidRPr="001818F9">
          <w:rPr>
            <w:rStyle w:val="Hyperlink"/>
            <w:rFonts w:ascii="Calibri" w:hAnsi="Calibri" w:cs="Calibri"/>
            <w:lang w:val="en-IN"/>
          </w:rPr>
          <w:t>https://doi.org/10.1016/j.heliyon.2023.e20190</w:t>
        </w:r>
      </w:hyperlink>
      <w:r w:rsidRPr="006471D8">
        <w:rPr>
          <w:rFonts w:ascii="Calibri" w:hAnsi="Calibri" w:cs="Calibri"/>
          <w:color w:val="FF0000"/>
          <w:lang w:val="en-IN"/>
        </w:rPr>
        <w:t xml:space="preserve"> </w:t>
      </w:r>
    </w:p>
    <w:p w14:paraId="52A3D202" w14:textId="77777777" w:rsidR="00321B7E" w:rsidRPr="007A03F2" w:rsidRDefault="00321B7E" w:rsidP="002954F7">
      <w:pPr>
        <w:spacing w:after="0" w:line="240" w:lineRule="auto"/>
        <w:jc w:val="both"/>
        <w:rPr>
          <w:rFonts w:ascii="Calibri" w:hAnsi="Calibri" w:cs="Calibri"/>
          <w:color w:val="000000" w:themeColor="text1"/>
          <w:lang w:val="en-IN"/>
        </w:rPr>
      </w:pPr>
      <w:proofErr w:type="spellStart"/>
      <w:r w:rsidRPr="006471D8">
        <w:rPr>
          <w:rFonts w:ascii="Calibri" w:hAnsi="Calibri" w:cs="Calibri"/>
          <w:color w:val="000000" w:themeColor="text1"/>
          <w:lang w:val="en-IN"/>
        </w:rPr>
        <w:t>Lützkendorf</w:t>
      </w:r>
      <w:proofErr w:type="spellEnd"/>
      <w:r w:rsidRPr="006471D8">
        <w:rPr>
          <w:rFonts w:ascii="Calibri" w:hAnsi="Calibri" w:cs="Calibri"/>
          <w:color w:val="000000" w:themeColor="text1"/>
          <w:lang w:val="en-IN"/>
        </w:rPr>
        <w:t xml:space="preserve">, T. and </w:t>
      </w:r>
      <w:proofErr w:type="spellStart"/>
      <w:r w:rsidRPr="006471D8">
        <w:rPr>
          <w:rFonts w:ascii="Calibri" w:hAnsi="Calibri" w:cs="Calibri"/>
          <w:color w:val="000000" w:themeColor="text1"/>
          <w:lang w:val="en-IN"/>
        </w:rPr>
        <w:t>Balouktsi</w:t>
      </w:r>
      <w:proofErr w:type="spellEnd"/>
      <w:r w:rsidRPr="006471D8">
        <w:rPr>
          <w:rFonts w:ascii="Calibri" w:hAnsi="Calibri" w:cs="Calibri"/>
          <w:color w:val="000000" w:themeColor="text1"/>
          <w:lang w:val="en-IN"/>
        </w:rPr>
        <w:t xml:space="preserve">, M. (2022) “Embodied carbon emissions in buildings: explanations, interpretations, recommendations,” Buildings and Cities, 3(1), pp. 964–973. Available at: </w:t>
      </w:r>
      <w:hyperlink r:id="rId34" w:history="1">
        <w:r w:rsidRPr="007E27E2">
          <w:rPr>
            <w:rStyle w:val="Hyperlink"/>
            <w:rFonts w:ascii="Calibri" w:hAnsi="Calibri" w:cs="Calibri"/>
            <w:lang w:val="en-IN"/>
          </w:rPr>
          <w:t>https://doi.org/10.5334/bc.257</w:t>
        </w:r>
      </w:hyperlink>
    </w:p>
    <w:p w14:paraId="71BC86BE" w14:textId="77777777" w:rsidR="00321B7E" w:rsidRPr="007A03F2" w:rsidRDefault="00321B7E" w:rsidP="002954F7">
      <w:pPr>
        <w:spacing w:after="0" w:line="240" w:lineRule="auto"/>
        <w:jc w:val="both"/>
        <w:rPr>
          <w:rFonts w:ascii="Calibri" w:hAnsi="Calibri" w:cs="Calibri"/>
          <w:lang w:val="en-IN"/>
        </w:rPr>
      </w:pPr>
      <w:proofErr w:type="spellStart"/>
      <w:r w:rsidRPr="007A03F2">
        <w:rPr>
          <w:rFonts w:ascii="Calibri" w:hAnsi="Calibri" w:cs="Calibri"/>
          <w:lang w:val="en-IN"/>
        </w:rPr>
        <w:t>Mowafy</w:t>
      </w:r>
      <w:proofErr w:type="spellEnd"/>
      <w:r w:rsidRPr="007A03F2">
        <w:rPr>
          <w:rFonts w:ascii="Calibri" w:hAnsi="Calibri" w:cs="Calibri"/>
          <w:lang w:val="en-IN"/>
        </w:rPr>
        <w:t xml:space="preserve">, N., El </w:t>
      </w:r>
      <w:proofErr w:type="spellStart"/>
      <w:r w:rsidRPr="007A03F2">
        <w:rPr>
          <w:rFonts w:ascii="Calibri" w:hAnsi="Calibri" w:cs="Calibri"/>
          <w:lang w:val="en-IN"/>
        </w:rPr>
        <w:t>Zayat</w:t>
      </w:r>
      <w:proofErr w:type="spellEnd"/>
      <w:r w:rsidRPr="007A03F2">
        <w:rPr>
          <w:rFonts w:ascii="Calibri" w:hAnsi="Calibri" w:cs="Calibri"/>
          <w:lang w:val="en-IN"/>
        </w:rPr>
        <w:t xml:space="preserve">, M. and Marzouk, M. (2023) “Parametric BIM-based life cycle assessment framework for optimal sustainable design,” Journal of Building Engineering, 75, p. 106898. </w:t>
      </w:r>
      <w:hyperlink r:id="rId35" w:history="1">
        <w:r w:rsidRPr="007A03F2">
          <w:rPr>
            <w:rStyle w:val="Hyperlink"/>
            <w:rFonts w:ascii="Calibri" w:hAnsi="Calibri" w:cs="Calibri"/>
            <w:lang w:val="en-IN"/>
          </w:rPr>
          <w:t>https://doi.org/10.1016/j.jobe.2023.106898.</w:t>
        </w:r>
      </w:hyperlink>
    </w:p>
    <w:p w14:paraId="688A1611" w14:textId="77777777" w:rsidR="00321B7E" w:rsidRPr="007A03F2" w:rsidRDefault="00321B7E" w:rsidP="002954F7">
      <w:pPr>
        <w:spacing w:after="0" w:line="240" w:lineRule="auto"/>
        <w:jc w:val="both"/>
        <w:rPr>
          <w:rFonts w:ascii="Calibri" w:hAnsi="Calibri" w:cs="Calibri"/>
          <w:lang w:val="en-IN"/>
        </w:rPr>
      </w:pPr>
      <w:r w:rsidRPr="007A03F2">
        <w:rPr>
          <w:rFonts w:ascii="Calibri" w:hAnsi="Calibri" w:cs="Calibri"/>
          <w:lang w:val="en-IN"/>
        </w:rPr>
        <w:t xml:space="preserve">Tushar, Q. et al. (2021) “An integrated approach of BIM-enabled LCA and energy simulation: The optimized solution towards sustainable development,” Journal of Cleaner Production, 289, p. 125622.  </w:t>
      </w:r>
      <w:hyperlink r:id="rId36" w:history="1">
        <w:r w:rsidRPr="007A03F2">
          <w:rPr>
            <w:rStyle w:val="Hyperlink"/>
            <w:rFonts w:ascii="Calibri" w:hAnsi="Calibri" w:cs="Calibri"/>
            <w:color w:val="auto"/>
            <w:lang w:val="en-IN"/>
          </w:rPr>
          <w:t>https://doi.org/10.1016/j.jclepro.2020.125622</w:t>
        </w:r>
      </w:hyperlink>
      <w:r w:rsidRPr="007A03F2">
        <w:rPr>
          <w:rFonts w:ascii="Calibri" w:hAnsi="Calibri" w:cs="Calibri"/>
          <w:lang w:val="en-IN"/>
        </w:rPr>
        <w:t>.</w:t>
      </w:r>
    </w:p>
    <w:p w14:paraId="147D6B83" w14:textId="77777777" w:rsidR="00321B7E" w:rsidRPr="007A03F2" w:rsidRDefault="00321B7E" w:rsidP="002954F7">
      <w:pPr>
        <w:spacing w:after="0" w:line="240" w:lineRule="auto"/>
        <w:jc w:val="both"/>
        <w:rPr>
          <w:rStyle w:val="Hyperlink"/>
          <w:rFonts w:ascii="Calibri" w:hAnsi="Calibri" w:cs="Calibri"/>
          <w:kern w:val="0"/>
          <w14:ligatures w14:val="none"/>
        </w:rPr>
      </w:pPr>
      <w:proofErr w:type="spellStart"/>
      <w:r w:rsidRPr="007A03F2">
        <w:rPr>
          <w:rFonts w:ascii="Calibri" w:hAnsi="Calibri" w:cs="Calibri"/>
          <w:color w:val="222222"/>
          <w:szCs w:val="20"/>
          <w:shd w:val="clear" w:color="auto" w:fill="FFFFFF"/>
        </w:rPr>
        <w:t>Corgnati</w:t>
      </w:r>
      <w:proofErr w:type="spellEnd"/>
      <w:r w:rsidRPr="007A03F2">
        <w:rPr>
          <w:rFonts w:ascii="Calibri" w:hAnsi="Calibri" w:cs="Calibri"/>
          <w:color w:val="222222"/>
          <w:szCs w:val="20"/>
          <w:shd w:val="clear" w:color="auto" w:fill="FFFFFF"/>
        </w:rPr>
        <w:t xml:space="preserve">, S.P., Fabrizio, E., </w:t>
      </w:r>
      <w:proofErr w:type="spellStart"/>
      <w:r w:rsidRPr="007A03F2">
        <w:rPr>
          <w:rFonts w:ascii="Calibri" w:hAnsi="Calibri" w:cs="Calibri"/>
          <w:color w:val="222222"/>
          <w:szCs w:val="20"/>
          <w:shd w:val="clear" w:color="auto" w:fill="FFFFFF"/>
        </w:rPr>
        <w:t>Filippi</w:t>
      </w:r>
      <w:proofErr w:type="spellEnd"/>
      <w:r w:rsidRPr="007A03F2">
        <w:rPr>
          <w:rFonts w:ascii="Calibri" w:hAnsi="Calibri" w:cs="Calibri"/>
          <w:color w:val="222222"/>
          <w:szCs w:val="20"/>
          <w:shd w:val="clear" w:color="auto" w:fill="FFFFFF"/>
        </w:rPr>
        <w:t xml:space="preserve">, M. and </w:t>
      </w:r>
      <w:proofErr w:type="spellStart"/>
      <w:r w:rsidRPr="007A03F2">
        <w:rPr>
          <w:rFonts w:ascii="Calibri" w:hAnsi="Calibri" w:cs="Calibri"/>
          <w:color w:val="222222"/>
          <w:szCs w:val="20"/>
          <w:shd w:val="clear" w:color="auto" w:fill="FFFFFF"/>
        </w:rPr>
        <w:t>Monetti</w:t>
      </w:r>
      <w:proofErr w:type="spellEnd"/>
      <w:r w:rsidRPr="007A03F2">
        <w:rPr>
          <w:rFonts w:ascii="Calibri" w:hAnsi="Calibri" w:cs="Calibri"/>
          <w:color w:val="222222"/>
          <w:szCs w:val="20"/>
          <w:shd w:val="clear" w:color="auto" w:fill="FFFFFF"/>
        </w:rPr>
        <w:t>, V., 2013. Reference buildings for cost optimal analysis: Method of definition and application. </w:t>
      </w:r>
      <w:r w:rsidRPr="007A03F2">
        <w:rPr>
          <w:rFonts w:ascii="Calibri" w:hAnsi="Calibri" w:cs="Calibri"/>
          <w:iCs/>
          <w:color w:val="222222"/>
          <w:szCs w:val="20"/>
          <w:shd w:val="clear" w:color="auto" w:fill="FFFFFF"/>
        </w:rPr>
        <w:t>Applied energy</w:t>
      </w:r>
      <w:r w:rsidRPr="007A03F2">
        <w:rPr>
          <w:rFonts w:ascii="Calibri" w:hAnsi="Calibri" w:cs="Calibri"/>
          <w:color w:val="222222"/>
          <w:szCs w:val="20"/>
          <w:shd w:val="clear" w:color="auto" w:fill="FFFFFF"/>
        </w:rPr>
        <w:t>, </w:t>
      </w:r>
      <w:r w:rsidRPr="007A03F2">
        <w:rPr>
          <w:rFonts w:ascii="Calibri" w:hAnsi="Calibri" w:cs="Calibri"/>
          <w:iCs/>
          <w:color w:val="222222"/>
          <w:szCs w:val="20"/>
          <w:shd w:val="clear" w:color="auto" w:fill="FFFFFF"/>
        </w:rPr>
        <w:t>102</w:t>
      </w:r>
      <w:r w:rsidRPr="007A03F2">
        <w:rPr>
          <w:rFonts w:ascii="Calibri" w:hAnsi="Calibri" w:cs="Calibri"/>
          <w:color w:val="222222"/>
          <w:szCs w:val="20"/>
          <w:shd w:val="clear" w:color="auto" w:fill="FFFFFF"/>
        </w:rPr>
        <w:t>, pp.983-993.</w:t>
      </w:r>
      <w:r w:rsidRPr="007A03F2">
        <w:rPr>
          <w:rFonts w:ascii="Calibri" w:hAnsi="Calibri" w:cs="Calibri"/>
          <w:sz w:val="24"/>
        </w:rPr>
        <w:t xml:space="preserve"> </w:t>
      </w:r>
      <w:hyperlink r:id="rId37" w:history="1">
        <w:r w:rsidRPr="007A03F2">
          <w:rPr>
            <w:rStyle w:val="Hyperlink"/>
            <w:rFonts w:ascii="Calibri" w:hAnsi="Calibri" w:cs="Calibri"/>
            <w:kern w:val="0"/>
            <w14:ligatures w14:val="none"/>
          </w:rPr>
          <w:t>https://doi.org/10.1016/j.apenergy.2012.06.001</w:t>
        </w:r>
      </w:hyperlink>
    </w:p>
    <w:p w14:paraId="2A923232" w14:textId="77777777" w:rsidR="00321B7E" w:rsidRPr="007A03F2" w:rsidRDefault="00321B7E" w:rsidP="002954F7">
      <w:pPr>
        <w:spacing w:after="0" w:line="240" w:lineRule="auto"/>
        <w:jc w:val="both"/>
        <w:rPr>
          <w:rFonts w:ascii="Calibri" w:hAnsi="Calibri" w:cs="Calibri"/>
          <w:color w:val="222222"/>
          <w:szCs w:val="20"/>
          <w:shd w:val="clear" w:color="auto" w:fill="FFFFFF"/>
        </w:rPr>
      </w:pPr>
      <w:r w:rsidRPr="007A03F2">
        <w:rPr>
          <w:rFonts w:ascii="Calibri" w:hAnsi="Calibri" w:cs="Calibri"/>
          <w:color w:val="222222"/>
          <w:szCs w:val="20"/>
          <w:shd w:val="clear" w:color="auto" w:fill="FFFFFF"/>
        </w:rPr>
        <w:t xml:space="preserve">de Vasconcelos, A.B., Pinheiro, M.D., </w:t>
      </w:r>
      <w:proofErr w:type="spellStart"/>
      <w:r w:rsidRPr="007A03F2">
        <w:rPr>
          <w:rFonts w:ascii="Calibri" w:hAnsi="Calibri" w:cs="Calibri"/>
          <w:color w:val="222222"/>
          <w:szCs w:val="20"/>
          <w:shd w:val="clear" w:color="auto" w:fill="FFFFFF"/>
        </w:rPr>
        <w:t>Manso</w:t>
      </w:r>
      <w:proofErr w:type="spellEnd"/>
      <w:r w:rsidRPr="007A03F2">
        <w:rPr>
          <w:rFonts w:ascii="Calibri" w:hAnsi="Calibri" w:cs="Calibri"/>
          <w:color w:val="222222"/>
          <w:szCs w:val="20"/>
          <w:shd w:val="clear" w:color="auto" w:fill="FFFFFF"/>
        </w:rPr>
        <w:t xml:space="preserve">, A. and </w:t>
      </w:r>
      <w:proofErr w:type="spellStart"/>
      <w:r w:rsidRPr="007A03F2">
        <w:rPr>
          <w:rFonts w:ascii="Calibri" w:hAnsi="Calibri" w:cs="Calibri"/>
          <w:color w:val="222222"/>
          <w:szCs w:val="20"/>
          <w:shd w:val="clear" w:color="auto" w:fill="FFFFFF"/>
        </w:rPr>
        <w:t>Cabaço</w:t>
      </w:r>
      <w:proofErr w:type="spellEnd"/>
      <w:r w:rsidRPr="007A03F2">
        <w:rPr>
          <w:rFonts w:ascii="Calibri" w:hAnsi="Calibri" w:cs="Calibri"/>
          <w:color w:val="222222"/>
          <w:szCs w:val="20"/>
          <w:shd w:val="clear" w:color="auto" w:fill="FFFFFF"/>
        </w:rPr>
        <w:t>, A., 2015. A Portuguese approach to define reference buildings for cost-optimal methodologies. </w:t>
      </w:r>
      <w:r w:rsidRPr="007A03F2">
        <w:rPr>
          <w:rFonts w:ascii="Calibri" w:hAnsi="Calibri" w:cs="Calibri"/>
          <w:iCs/>
          <w:color w:val="222222"/>
          <w:szCs w:val="20"/>
          <w:shd w:val="clear" w:color="auto" w:fill="FFFFFF"/>
        </w:rPr>
        <w:t>Applied Energy</w:t>
      </w:r>
      <w:r w:rsidRPr="007A03F2">
        <w:rPr>
          <w:rFonts w:ascii="Calibri" w:hAnsi="Calibri" w:cs="Calibri"/>
          <w:color w:val="222222"/>
          <w:szCs w:val="20"/>
          <w:shd w:val="clear" w:color="auto" w:fill="FFFFFF"/>
        </w:rPr>
        <w:t>, </w:t>
      </w:r>
      <w:r w:rsidRPr="007A03F2">
        <w:rPr>
          <w:rFonts w:ascii="Calibri" w:hAnsi="Calibri" w:cs="Calibri"/>
          <w:iCs/>
          <w:color w:val="222222"/>
          <w:szCs w:val="20"/>
          <w:shd w:val="clear" w:color="auto" w:fill="FFFFFF"/>
        </w:rPr>
        <w:t>140</w:t>
      </w:r>
      <w:r w:rsidRPr="007A03F2">
        <w:rPr>
          <w:rFonts w:ascii="Calibri" w:hAnsi="Calibri" w:cs="Calibri"/>
          <w:color w:val="222222"/>
          <w:szCs w:val="20"/>
          <w:shd w:val="clear" w:color="auto" w:fill="FFFFFF"/>
        </w:rPr>
        <w:t>, pp.316-328.</w:t>
      </w:r>
      <w:r w:rsidRPr="007A03F2">
        <w:rPr>
          <w:rFonts w:ascii="Calibri" w:hAnsi="Calibri" w:cs="Calibri"/>
        </w:rPr>
        <w:t xml:space="preserve"> </w:t>
      </w:r>
      <w:hyperlink r:id="rId38" w:history="1">
        <w:r w:rsidRPr="007A03F2">
          <w:rPr>
            <w:rStyle w:val="Hyperlink"/>
            <w:rFonts w:ascii="Calibri" w:hAnsi="Calibri" w:cs="Calibri"/>
            <w:szCs w:val="20"/>
            <w:shd w:val="clear" w:color="auto" w:fill="FFFFFF"/>
          </w:rPr>
          <w:t>https://doi.org/10.1016/j.apenergy.2014.11.035</w:t>
        </w:r>
      </w:hyperlink>
    </w:p>
    <w:p w14:paraId="459C6515" w14:textId="77777777" w:rsidR="00321B7E" w:rsidRPr="007A03F2" w:rsidRDefault="00321B7E" w:rsidP="002954F7">
      <w:pPr>
        <w:spacing w:after="0" w:line="240" w:lineRule="auto"/>
        <w:jc w:val="both"/>
        <w:rPr>
          <w:rFonts w:ascii="Calibri" w:hAnsi="Calibri" w:cs="Calibri"/>
          <w:color w:val="222222"/>
          <w:szCs w:val="20"/>
          <w:shd w:val="clear" w:color="auto" w:fill="FFFFFF"/>
        </w:rPr>
      </w:pPr>
      <w:r w:rsidRPr="007A03F2">
        <w:rPr>
          <w:rFonts w:ascii="Calibri" w:hAnsi="Calibri" w:cs="Calibri"/>
          <w:color w:val="222222"/>
          <w:szCs w:val="20"/>
          <w:shd w:val="clear" w:color="auto" w:fill="FFFFFF"/>
        </w:rPr>
        <w:t>Bhatnagar, M., Mathur, J. and Garg, V., 2019. Development of reference building models for India. Journal of Building Engineering, 21, pp.267-277.</w:t>
      </w:r>
      <w:r w:rsidRPr="007A03F2">
        <w:rPr>
          <w:rFonts w:ascii="Calibri" w:hAnsi="Calibri" w:cs="Calibri"/>
        </w:rPr>
        <w:t xml:space="preserve"> </w:t>
      </w:r>
      <w:hyperlink r:id="rId39" w:history="1">
        <w:r w:rsidRPr="007A03F2">
          <w:rPr>
            <w:rStyle w:val="Hyperlink"/>
            <w:rFonts w:ascii="Calibri" w:hAnsi="Calibri" w:cs="Calibri"/>
            <w:szCs w:val="20"/>
            <w:shd w:val="clear" w:color="auto" w:fill="FFFFFF"/>
          </w:rPr>
          <w:t>https://doi.org/10.1016/j.jobe.2018.10.027</w:t>
        </w:r>
      </w:hyperlink>
    </w:p>
    <w:p w14:paraId="1BDEA3F5" w14:textId="77777777" w:rsidR="00321B7E" w:rsidRDefault="00321B7E" w:rsidP="002954F7">
      <w:pPr>
        <w:spacing w:after="0" w:line="240" w:lineRule="auto"/>
        <w:jc w:val="both"/>
        <w:rPr>
          <w:rStyle w:val="Hyperlink"/>
          <w:rFonts w:ascii="Calibri" w:hAnsi="Calibri" w:cs="Calibri"/>
          <w:szCs w:val="20"/>
          <w:shd w:val="clear" w:color="auto" w:fill="FFFFFF"/>
        </w:rPr>
      </w:pPr>
      <w:r w:rsidRPr="007A03F2">
        <w:rPr>
          <w:rFonts w:ascii="Calibri" w:hAnsi="Calibri" w:cs="Calibri"/>
          <w:color w:val="222222"/>
          <w:szCs w:val="20"/>
          <w:shd w:val="clear" w:color="auto" w:fill="FFFFFF"/>
        </w:rPr>
        <w:t xml:space="preserve">Guwahati building construction (regulation) byelaws,2014. </w:t>
      </w:r>
      <w:hyperlink r:id="rId40" w:history="1">
        <w:r w:rsidRPr="007A03F2">
          <w:rPr>
            <w:rStyle w:val="Hyperlink"/>
            <w:rFonts w:ascii="Calibri" w:hAnsi="Calibri" w:cs="Calibri"/>
            <w:szCs w:val="20"/>
            <w:shd w:val="clear" w:color="auto" w:fill="FFFFFF"/>
          </w:rPr>
          <w:t>https://gmda.assam.gov.in/documents-detail/building-byelaws</w:t>
        </w:r>
      </w:hyperlink>
    </w:p>
    <w:p w14:paraId="3F945953" w14:textId="4744B2DD" w:rsidR="00321B7E" w:rsidRPr="00951FA2" w:rsidRDefault="00321B7E" w:rsidP="002954F7">
      <w:pPr>
        <w:spacing w:after="0" w:line="240" w:lineRule="auto"/>
        <w:jc w:val="both"/>
        <w:rPr>
          <w:rFonts w:ascii="Calibri" w:hAnsi="Calibri" w:cs="Calibri"/>
          <w:lang w:val="en-IN"/>
        </w:rPr>
      </w:pPr>
      <w:proofErr w:type="spellStart"/>
      <w:r w:rsidRPr="007A03F2">
        <w:rPr>
          <w:rFonts w:ascii="Calibri" w:hAnsi="Calibri" w:cs="Calibri"/>
          <w:color w:val="222222"/>
          <w:szCs w:val="20"/>
          <w:shd w:val="clear" w:color="auto" w:fill="FFFFFF"/>
        </w:rPr>
        <w:t>Palmero</w:t>
      </w:r>
      <w:proofErr w:type="spellEnd"/>
      <w:r w:rsidRPr="007A03F2">
        <w:rPr>
          <w:rFonts w:ascii="Calibri" w:hAnsi="Calibri" w:cs="Calibri"/>
          <w:color w:val="222222"/>
          <w:szCs w:val="20"/>
          <w:shd w:val="clear" w:color="auto" w:fill="FFFFFF"/>
        </w:rPr>
        <w:t>-Marrero, A.I. and Oliveira, A.C., 2010. Effect of louver shading devices on building energy requirements. Applied energy, 87(6), pp.2040-2049.</w:t>
      </w:r>
      <w:r w:rsidRPr="007A03F2">
        <w:rPr>
          <w:rFonts w:ascii="Calibri" w:hAnsi="Calibri" w:cs="Calibri"/>
        </w:rPr>
        <w:t xml:space="preserve"> </w:t>
      </w:r>
      <w:hyperlink r:id="rId41" w:history="1">
        <w:r w:rsidRPr="007A03F2">
          <w:rPr>
            <w:rStyle w:val="Hyperlink"/>
            <w:rFonts w:ascii="Calibri" w:hAnsi="Calibri" w:cs="Calibri"/>
            <w:szCs w:val="20"/>
            <w:shd w:val="clear" w:color="auto" w:fill="FFFFFF"/>
          </w:rPr>
          <w:t>https://doi.org/10.1016/j.apenergy.2009.11.020</w:t>
        </w:r>
      </w:hyperlink>
    </w:p>
    <w:bookmarkEnd w:id="3"/>
    <w:p w14:paraId="2ECEB1E1" w14:textId="711F4628" w:rsidR="00B406E1" w:rsidRPr="00D6057A" w:rsidRDefault="00B406E1">
      <w:pPr>
        <w:spacing w:after="40" w:line="240" w:lineRule="auto"/>
        <w:rPr>
          <w:rFonts w:ascii="Calibri" w:hAnsi="Calibri" w:cs="Calibri"/>
        </w:rPr>
      </w:pPr>
    </w:p>
    <w:sectPr w:rsidR="00B406E1" w:rsidRPr="00D6057A">
      <w:headerReference w:type="default" r:id="rId42"/>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0AE73" w14:textId="77777777" w:rsidR="0011252F" w:rsidRDefault="0011252F" w:rsidP="005076E1">
      <w:pPr>
        <w:spacing w:after="0" w:line="240" w:lineRule="auto"/>
      </w:pPr>
      <w:r>
        <w:separator/>
      </w:r>
    </w:p>
  </w:endnote>
  <w:endnote w:type="continuationSeparator" w:id="0">
    <w:p w14:paraId="21F2DD2B" w14:textId="77777777" w:rsidR="0011252F" w:rsidRDefault="0011252F"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73924" w14:textId="5F62D05D" w:rsidR="00F93A68" w:rsidRDefault="00F93A68">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F93A68" w:rsidRDefault="00F93A68">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B5233" w14:textId="77777777" w:rsidR="0011252F" w:rsidRDefault="0011252F" w:rsidP="005076E1">
      <w:pPr>
        <w:spacing w:after="0" w:line="240" w:lineRule="auto"/>
      </w:pPr>
      <w:r>
        <w:separator/>
      </w:r>
    </w:p>
  </w:footnote>
  <w:footnote w:type="continuationSeparator" w:id="0">
    <w:p w14:paraId="4E6CE74D" w14:textId="77777777" w:rsidR="0011252F" w:rsidRDefault="0011252F"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CF128" w14:textId="77777777" w:rsidR="00F93A68" w:rsidRDefault="00F93A68" w:rsidP="005076E1">
    <w:pPr>
      <w:pStyle w:val="Header"/>
      <w:jc w:val="center"/>
      <w:rPr>
        <w:sz w:val="40"/>
        <w:szCs w:val="40"/>
      </w:rPr>
    </w:pPr>
    <w:r w:rsidRPr="00A93F99">
      <w:rPr>
        <w:sz w:val="40"/>
        <w:szCs w:val="40"/>
      </w:rPr>
      <w:t xml:space="preserve">43rd International CIB W78 Conference </w:t>
    </w:r>
  </w:p>
  <w:p w14:paraId="1E8C4CA5" w14:textId="77777777" w:rsidR="00F93A68" w:rsidRDefault="00F93A68" w:rsidP="005076E1">
    <w:pPr>
      <w:pStyle w:val="Header"/>
      <w:jc w:val="center"/>
      <w:rPr>
        <w:sz w:val="28"/>
        <w:szCs w:val="28"/>
      </w:rPr>
    </w:pPr>
    <w:r w:rsidRPr="00A93F99">
      <w:rPr>
        <w:sz w:val="28"/>
        <w:szCs w:val="28"/>
      </w:rPr>
      <w:t>IT in Construction</w:t>
    </w:r>
  </w:p>
  <w:p w14:paraId="076529DD" w14:textId="77777777" w:rsidR="00F93A68" w:rsidRPr="00F3628B" w:rsidRDefault="00F93A68" w:rsidP="005076E1">
    <w:pPr>
      <w:pStyle w:val="Header"/>
      <w:jc w:val="center"/>
      <w:rPr>
        <w:sz w:val="28"/>
        <w:szCs w:val="28"/>
      </w:rPr>
    </w:pPr>
    <w:r>
      <w:rPr>
        <w:sz w:val="28"/>
        <w:szCs w:val="28"/>
      </w:rPr>
      <w:t>New Delhi, India</w:t>
    </w:r>
  </w:p>
  <w:p w14:paraId="47C5E8E2" w14:textId="77777777" w:rsidR="00F93A68" w:rsidRPr="005076E1" w:rsidRDefault="00F93A68"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31727"/>
    <w:multiLevelType w:val="hybridMultilevel"/>
    <w:tmpl w:val="B4826FB0"/>
    <w:lvl w:ilvl="0" w:tplc="4009000F">
      <w:start w:val="1"/>
      <w:numFmt w:val="decimal"/>
      <w:lvlText w:val="%1."/>
      <w:lvlJc w:val="left"/>
      <w:pPr>
        <w:ind w:left="1571" w:hanging="360"/>
      </w:p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1"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3NDGwNLY0Nje0NDNW0lEKTi0uzszPAykwqgUALadj3iwAAAA="/>
  </w:docVars>
  <w:rsids>
    <w:rsidRoot w:val="005076E1"/>
    <w:rsid w:val="00055EE6"/>
    <w:rsid w:val="0007181F"/>
    <w:rsid w:val="00073C68"/>
    <w:rsid w:val="0007546E"/>
    <w:rsid w:val="000868C1"/>
    <w:rsid w:val="00095668"/>
    <w:rsid w:val="000E0C07"/>
    <w:rsid w:val="0010116B"/>
    <w:rsid w:val="00102C44"/>
    <w:rsid w:val="0011252F"/>
    <w:rsid w:val="00141F35"/>
    <w:rsid w:val="00146D74"/>
    <w:rsid w:val="0016051D"/>
    <w:rsid w:val="001838CC"/>
    <w:rsid w:val="00190185"/>
    <w:rsid w:val="001C1E16"/>
    <w:rsid w:val="001C2DBC"/>
    <w:rsid w:val="001D54DF"/>
    <w:rsid w:val="001F2BA2"/>
    <w:rsid w:val="001F6E38"/>
    <w:rsid w:val="002241E3"/>
    <w:rsid w:val="002352FF"/>
    <w:rsid w:val="00241589"/>
    <w:rsid w:val="002443A4"/>
    <w:rsid w:val="00252EF5"/>
    <w:rsid w:val="00291387"/>
    <w:rsid w:val="00292EAC"/>
    <w:rsid w:val="002954F7"/>
    <w:rsid w:val="002C39BA"/>
    <w:rsid w:val="002C5ECA"/>
    <w:rsid w:val="002C7594"/>
    <w:rsid w:val="00321B7E"/>
    <w:rsid w:val="00343412"/>
    <w:rsid w:val="00371F26"/>
    <w:rsid w:val="00376D00"/>
    <w:rsid w:val="003C2AF8"/>
    <w:rsid w:val="003C3552"/>
    <w:rsid w:val="003F3440"/>
    <w:rsid w:val="00405541"/>
    <w:rsid w:val="004078C0"/>
    <w:rsid w:val="00424866"/>
    <w:rsid w:val="00435684"/>
    <w:rsid w:val="00441507"/>
    <w:rsid w:val="0045544D"/>
    <w:rsid w:val="00462B95"/>
    <w:rsid w:val="00462CF3"/>
    <w:rsid w:val="00463ABD"/>
    <w:rsid w:val="00474FCB"/>
    <w:rsid w:val="004937A6"/>
    <w:rsid w:val="004A71E4"/>
    <w:rsid w:val="004C12BB"/>
    <w:rsid w:val="004C1672"/>
    <w:rsid w:val="004F086D"/>
    <w:rsid w:val="005076E1"/>
    <w:rsid w:val="005142A2"/>
    <w:rsid w:val="005175CD"/>
    <w:rsid w:val="0058250E"/>
    <w:rsid w:val="0058335F"/>
    <w:rsid w:val="005E2F3C"/>
    <w:rsid w:val="005E36FB"/>
    <w:rsid w:val="005F0242"/>
    <w:rsid w:val="005F6253"/>
    <w:rsid w:val="00600AD5"/>
    <w:rsid w:val="00610C02"/>
    <w:rsid w:val="0065235C"/>
    <w:rsid w:val="0066219C"/>
    <w:rsid w:val="00670E97"/>
    <w:rsid w:val="006850E6"/>
    <w:rsid w:val="006C101D"/>
    <w:rsid w:val="006C44C3"/>
    <w:rsid w:val="006E77D5"/>
    <w:rsid w:val="00721EE6"/>
    <w:rsid w:val="0072659A"/>
    <w:rsid w:val="00741FA7"/>
    <w:rsid w:val="00745DA0"/>
    <w:rsid w:val="007573EC"/>
    <w:rsid w:val="0076186D"/>
    <w:rsid w:val="00764C92"/>
    <w:rsid w:val="007824A5"/>
    <w:rsid w:val="00794FE2"/>
    <w:rsid w:val="007A4581"/>
    <w:rsid w:val="007D2A6D"/>
    <w:rsid w:val="00801FB3"/>
    <w:rsid w:val="008237E8"/>
    <w:rsid w:val="00830245"/>
    <w:rsid w:val="00834DB2"/>
    <w:rsid w:val="00845D1F"/>
    <w:rsid w:val="0085513A"/>
    <w:rsid w:val="00885C19"/>
    <w:rsid w:val="00891852"/>
    <w:rsid w:val="0089620F"/>
    <w:rsid w:val="008A46D8"/>
    <w:rsid w:val="008B0F5B"/>
    <w:rsid w:val="008B3267"/>
    <w:rsid w:val="008C5574"/>
    <w:rsid w:val="008E2A69"/>
    <w:rsid w:val="008F2B20"/>
    <w:rsid w:val="008F2BCA"/>
    <w:rsid w:val="0091508A"/>
    <w:rsid w:val="00951FA2"/>
    <w:rsid w:val="009537AA"/>
    <w:rsid w:val="00961363"/>
    <w:rsid w:val="009653A4"/>
    <w:rsid w:val="0097214A"/>
    <w:rsid w:val="00991F6F"/>
    <w:rsid w:val="00994FF6"/>
    <w:rsid w:val="009B0716"/>
    <w:rsid w:val="009D09DE"/>
    <w:rsid w:val="009F74BB"/>
    <w:rsid w:val="00A1441D"/>
    <w:rsid w:val="00A210B8"/>
    <w:rsid w:val="00A23648"/>
    <w:rsid w:val="00A24461"/>
    <w:rsid w:val="00A50CA0"/>
    <w:rsid w:val="00A517AE"/>
    <w:rsid w:val="00AA334A"/>
    <w:rsid w:val="00AA5B99"/>
    <w:rsid w:val="00AB0A97"/>
    <w:rsid w:val="00AE0C2C"/>
    <w:rsid w:val="00AF1050"/>
    <w:rsid w:val="00AF351D"/>
    <w:rsid w:val="00B01742"/>
    <w:rsid w:val="00B1720D"/>
    <w:rsid w:val="00B3052B"/>
    <w:rsid w:val="00B3073A"/>
    <w:rsid w:val="00B406E1"/>
    <w:rsid w:val="00B42868"/>
    <w:rsid w:val="00B46F85"/>
    <w:rsid w:val="00B54B32"/>
    <w:rsid w:val="00B822FA"/>
    <w:rsid w:val="00B82481"/>
    <w:rsid w:val="00B97B00"/>
    <w:rsid w:val="00B97FFE"/>
    <w:rsid w:val="00BA755B"/>
    <w:rsid w:val="00BC20CB"/>
    <w:rsid w:val="00BE04BF"/>
    <w:rsid w:val="00C11AC3"/>
    <w:rsid w:val="00C165F0"/>
    <w:rsid w:val="00C303D3"/>
    <w:rsid w:val="00C304A0"/>
    <w:rsid w:val="00C30533"/>
    <w:rsid w:val="00C513B4"/>
    <w:rsid w:val="00C7712C"/>
    <w:rsid w:val="00CB0433"/>
    <w:rsid w:val="00CC5B78"/>
    <w:rsid w:val="00CD3A07"/>
    <w:rsid w:val="00CF0A89"/>
    <w:rsid w:val="00CF509B"/>
    <w:rsid w:val="00D123D9"/>
    <w:rsid w:val="00D3652B"/>
    <w:rsid w:val="00D475F5"/>
    <w:rsid w:val="00D6057A"/>
    <w:rsid w:val="00D7711B"/>
    <w:rsid w:val="00DB0011"/>
    <w:rsid w:val="00DC1924"/>
    <w:rsid w:val="00DE60D3"/>
    <w:rsid w:val="00DF1AD5"/>
    <w:rsid w:val="00E0744E"/>
    <w:rsid w:val="00E427BB"/>
    <w:rsid w:val="00E47C93"/>
    <w:rsid w:val="00E53920"/>
    <w:rsid w:val="00E83E5C"/>
    <w:rsid w:val="00EA52B2"/>
    <w:rsid w:val="00EC53CC"/>
    <w:rsid w:val="00EC635F"/>
    <w:rsid w:val="00EE10D3"/>
    <w:rsid w:val="00EF0D91"/>
    <w:rsid w:val="00EF7EFB"/>
    <w:rsid w:val="00F13B55"/>
    <w:rsid w:val="00F16A69"/>
    <w:rsid w:val="00F605B2"/>
    <w:rsid w:val="00F84F9C"/>
    <w:rsid w:val="00F93A68"/>
    <w:rsid w:val="00F96017"/>
    <w:rsid w:val="00FA5465"/>
    <w:rsid w:val="00FB66A9"/>
    <w:rsid w:val="00FD23F3"/>
    <w:rsid w:val="00FD2F65"/>
    <w:rsid w:val="00FD6028"/>
    <w:rsid w:val="00FD6696"/>
    <w:rsid w:val="00FE7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3A68"/>
    <w:pPr>
      <w:keepNext/>
      <w:keepLines/>
      <w:spacing w:before="160" w:after="80"/>
      <w:outlineLvl w:val="1"/>
    </w:pPr>
    <w:rPr>
      <w:rFonts w:ascii="Calibri" w:eastAsiaTheme="majorEastAsia" w:hAnsi="Calibri" w:cstheme="majorBidi"/>
      <w:b/>
      <w:sz w:val="24"/>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3A68"/>
    <w:rPr>
      <w:rFonts w:ascii="Calibri" w:eastAsiaTheme="majorEastAsia" w:hAnsi="Calibri" w:cstheme="majorBidi"/>
      <w:b/>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Caption">
    <w:name w:val="caption"/>
    <w:basedOn w:val="Normal"/>
    <w:next w:val="Normal"/>
    <w:uiPriority w:val="35"/>
    <w:unhideWhenUsed/>
    <w:qFormat/>
    <w:rsid w:val="00EF0D91"/>
    <w:pPr>
      <w:spacing w:after="200" w:line="240" w:lineRule="auto"/>
    </w:pPr>
    <w:rPr>
      <w:i/>
      <w:iCs/>
      <w:color w:val="0E2841" w:themeColor="text2"/>
      <w:sz w:val="18"/>
      <w:szCs w:val="18"/>
    </w:rPr>
  </w:style>
  <w:style w:type="table" w:styleId="TableGrid">
    <w:name w:val="Table Grid"/>
    <w:basedOn w:val="TableNormal"/>
    <w:uiPriority w:val="39"/>
    <w:rsid w:val="00915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03D3"/>
    <w:rPr>
      <w:color w:val="96607D" w:themeColor="followedHyperlink"/>
      <w:u w:val="single"/>
    </w:rPr>
  </w:style>
  <w:style w:type="character" w:styleId="CommentReference">
    <w:name w:val="annotation reference"/>
    <w:basedOn w:val="DefaultParagraphFont"/>
    <w:uiPriority w:val="99"/>
    <w:semiHidden/>
    <w:unhideWhenUsed/>
    <w:rsid w:val="00CB0433"/>
    <w:rPr>
      <w:sz w:val="16"/>
      <w:szCs w:val="16"/>
    </w:rPr>
  </w:style>
  <w:style w:type="paragraph" w:styleId="CommentText">
    <w:name w:val="annotation text"/>
    <w:basedOn w:val="Normal"/>
    <w:link w:val="CommentTextChar"/>
    <w:uiPriority w:val="99"/>
    <w:semiHidden/>
    <w:unhideWhenUsed/>
    <w:rsid w:val="00CB0433"/>
    <w:pPr>
      <w:spacing w:line="240" w:lineRule="auto"/>
    </w:pPr>
    <w:rPr>
      <w:sz w:val="20"/>
      <w:szCs w:val="20"/>
    </w:rPr>
  </w:style>
  <w:style w:type="character" w:customStyle="1" w:styleId="CommentTextChar">
    <w:name w:val="Comment Text Char"/>
    <w:basedOn w:val="DefaultParagraphFont"/>
    <w:link w:val="CommentText"/>
    <w:uiPriority w:val="99"/>
    <w:semiHidden/>
    <w:rsid w:val="00CB0433"/>
    <w:rPr>
      <w:sz w:val="20"/>
      <w:szCs w:val="20"/>
    </w:rPr>
  </w:style>
  <w:style w:type="paragraph" w:styleId="CommentSubject">
    <w:name w:val="annotation subject"/>
    <w:basedOn w:val="CommentText"/>
    <w:next w:val="CommentText"/>
    <w:link w:val="CommentSubjectChar"/>
    <w:uiPriority w:val="99"/>
    <w:semiHidden/>
    <w:unhideWhenUsed/>
    <w:rsid w:val="00CB0433"/>
    <w:rPr>
      <w:b/>
      <w:bCs/>
    </w:rPr>
  </w:style>
  <w:style w:type="character" w:customStyle="1" w:styleId="CommentSubjectChar">
    <w:name w:val="Comment Subject Char"/>
    <w:basedOn w:val="CommentTextChar"/>
    <w:link w:val="CommentSubject"/>
    <w:uiPriority w:val="99"/>
    <w:semiHidden/>
    <w:rsid w:val="00CB0433"/>
    <w:rPr>
      <w:b/>
      <w:bCs/>
      <w:sz w:val="20"/>
      <w:szCs w:val="20"/>
    </w:rPr>
  </w:style>
  <w:style w:type="paragraph" w:styleId="BalloonText">
    <w:name w:val="Balloon Text"/>
    <w:basedOn w:val="Normal"/>
    <w:link w:val="BalloonTextChar"/>
    <w:uiPriority w:val="99"/>
    <w:semiHidden/>
    <w:unhideWhenUsed/>
    <w:rsid w:val="00CB04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882640">
      <w:bodyDiv w:val="1"/>
      <w:marLeft w:val="0"/>
      <w:marRight w:val="0"/>
      <w:marTop w:val="0"/>
      <w:marBottom w:val="0"/>
      <w:divBdr>
        <w:top w:val="none" w:sz="0" w:space="0" w:color="auto"/>
        <w:left w:val="none" w:sz="0" w:space="0" w:color="auto"/>
        <w:bottom w:val="none" w:sz="0" w:space="0" w:color="auto"/>
        <w:right w:val="none" w:sz="0" w:space="0" w:color="auto"/>
      </w:divBdr>
    </w:div>
    <w:div w:id="341905727">
      <w:bodyDiv w:val="1"/>
      <w:marLeft w:val="0"/>
      <w:marRight w:val="0"/>
      <w:marTop w:val="0"/>
      <w:marBottom w:val="0"/>
      <w:divBdr>
        <w:top w:val="none" w:sz="0" w:space="0" w:color="auto"/>
        <w:left w:val="none" w:sz="0" w:space="0" w:color="auto"/>
        <w:bottom w:val="none" w:sz="0" w:space="0" w:color="auto"/>
        <w:right w:val="none" w:sz="0" w:space="0" w:color="auto"/>
      </w:divBdr>
    </w:div>
    <w:div w:id="353306781">
      <w:bodyDiv w:val="1"/>
      <w:marLeft w:val="0"/>
      <w:marRight w:val="0"/>
      <w:marTop w:val="0"/>
      <w:marBottom w:val="0"/>
      <w:divBdr>
        <w:top w:val="none" w:sz="0" w:space="0" w:color="auto"/>
        <w:left w:val="none" w:sz="0" w:space="0" w:color="auto"/>
        <w:bottom w:val="none" w:sz="0" w:space="0" w:color="auto"/>
        <w:right w:val="none" w:sz="0" w:space="0" w:color="auto"/>
      </w:divBdr>
    </w:div>
    <w:div w:id="413598197">
      <w:bodyDiv w:val="1"/>
      <w:marLeft w:val="0"/>
      <w:marRight w:val="0"/>
      <w:marTop w:val="0"/>
      <w:marBottom w:val="0"/>
      <w:divBdr>
        <w:top w:val="none" w:sz="0" w:space="0" w:color="auto"/>
        <w:left w:val="none" w:sz="0" w:space="0" w:color="auto"/>
        <w:bottom w:val="none" w:sz="0" w:space="0" w:color="auto"/>
        <w:right w:val="none" w:sz="0" w:space="0" w:color="auto"/>
      </w:divBdr>
    </w:div>
    <w:div w:id="639455722">
      <w:bodyDiv w:val="1"/>
      <w:marLeft w:val="0"/>
      <w:marRight w:val="0"/>
      <w:marTop w:val="0"/>
      <w:marBottom w:val="0"/>
      <w:divBdr>
        <w:top w:val="none" w:sz="0" w:space="0" w:color="auto"/>
        <w:left w:val="none" w:sz="0" w:space="0" w:color="auto"/>
        <w:bottom w:val="none" w:sz="0" w:space="0" w:color="auto"/>
        <w:right w:val="none" w:sz="0" w:space="0" w:color="auto"/>
      </w:divBdr>
    </w:div>
    <w:div w:id="741172485">
      <w:bodyDiv w:val="1"/>
      <w:marLeft w:val="0"/>
      <w:marRight w:val="0"/>
      <w:marTop w:val="0"/>
      <w:marBottom w:val="0"/>
      <w:divBdr>
        <w:top w:val="none" w:sz="0" w:space="0" w:color="auto"/>
        <w:left w:val="none" w:sz="0" w:space="0" w:color="auto"/>
        <w:bottom w:val="none" w:sz="0" w:space="0" w:color="auto"/>
        <w:right w:val="none" w:sz="0" w:space="0" w:color="auto"/>
      </w:divBdr>
    </w:div>
    <w:div w:id="780221713">
      <w:bodyDiv w:val="1"/>
      <w:marLeft w:val="0"/>
      <w:marRight w:val="0"/>
      <w:marTop w:val="0"/>
      <w:marBottom w:val="0"/>
      <w:divBdr>
        <w:top w:val="none" w:sz="0" w:space="0" w:color="auto"/>
        <w:left w:val="none" w:sz="0" w:space="0" w:color="auto"/>
        <w:bottom w:val="none" w:sz="0" w:space="0" w:color="auto"/>
        <w:right w:val="none" w:sz="0" w:space="0" w:color="auto"/>
      </w:divBdr>
    </w:div>
    <w:div w:id="835848290">
      <w:bodyDiv w:val="1"/>
      <w:marLeft w:val="0"/>
      <w:marRight w:val="0"/>
      <w:marTop w:val="0"/>
      <w:marBottom w:val="0"/>
      <w:divBdr>
        <w:top w:val="none" w:sz="0" w:space="0" w:color="auto"/>
        <w:left w:val="none" w:sz="0" w:space="0" w:color="auto"/>
        <w:bottom w:val="none" w:sz="0" w:space="0" w:color="auto"/>
        <w:right w:val="none" w:sz="0" w:space="0" w:color="auto"/>
      </w:divBdr>
    </w:div>
    <w:div w:id="906191349">
      <w:bodyDiv w:val="1"/>
      <w:marLeft w:val="0"/>
      <w:marRight w:val="0"/>
      <w:marTop w:val="0"/>
      <w:marBottom w:val="0"/>
      <w:divBdr>
        <w:top w:val="none" w:sz="0" w:space="0" w:color="auto"/>
        <w:left w:val="none" w:sz="0" w:space="0" w:color="auto"/>
        <w:bottom w:val="none" w:sz="0" w:space="0" w:color="auto"/>
        <w:right w:val="none" w:sz="0" w:space="0" w:color="auto"/>
      </w:divBdr>
    </w:div>
    <w:div w:id="1040857308">
      <w:bodyDiv w:val="1"/>
      <w:marLeft w:val="0"/>
      <w:marRight w:val="0"/>
      <w:marTop w:val="0"/>
      <w:marBottom w:val="0"/>
      <w:divBdr>
        <w:top w:val="none" w:sz="0" w:space="0" w:color="auto"/>
        <w:left w:val="none" w:sz="0" w:space="0" w:color="auto"/>
        <w:bottom w:val="none" w:sz="0" w:space="0" w:color="auto"/>
        <w:right w:val="none" w:sz="0" w:space="0" w:color="auto"/>
      </w:divBdr>
    </w:div>
    <w:div w:id="1115949211">
      <w:bodyDiv w:val="1"/>
      <w:marLeft w:val="0"/>
      <w:marRight w:val="0"/>
      <w:marTop w:val="0"/>
      <w:marBottom w:val="0"/>
      <w:divBdr>
        <w:top w:val="none" w:sz="0" w:space="0" w:color="auto"/>
        <w:left w:val="none" w:sz="0" w:space="0" w:color="auto"/>
        <w:bottom w:val="none" w:sz="0" w:space="0" w:color="auto"/>
        <w:right w:val="none" w:sz="0" w:space="0" w:color="auto"/>
      </w:divBdr>
    </w:div>
    <w:div w:id="1168442568">
      <w:bodyDiv w:val="1"/>
      <w:marLeft w:val="0"/>
      <w:marRight w:val="0"/>
      <w:marTop w:val="0"/>
      <w:marBottom w:val="0"/>
      <w:divBdr>
        <w:top w:val="none" w:sz="0" w:space="0" w:color="auto"/>
        <w:left w:val="none" w:sz="0" w:space="0" w:color="auto"/>
        <w:bottom w:val="none" w:sz="0" w:space="0" w:color="auto"/>
        <w:right w:val="none" w:sz="0" w:space="0" w:color="auto"/>
      </w:divBdr>
    </w:div>
    <w:div w:id="1301694363">
      <w:bodyDiv w:val="1"/>
      <w:marLeft w:val="0"/>
      <w:marRight w:val="0"/>
      <w:marTop w:val="0"/>
      <w:marBottom w:val="0"/>
      <w:divBdr>
        <w:top w:val="none" w:sz="0" w:space="0" w:color="auto"/>
        <w:left w:val="none" w:sz="0" w:space="0" w:color="auto"/>
        <w:bottom w:val="none" w:sz="0" w:space="0" w:color="auto"/>
        <w:right w:val="none" w:sz="0" w:space="0" w:color="auto"/>
      </w:divBdr>
    </w:div>
    <w:div w:id="1346521673">
      <w:bodyDiv w:val="1"/>
      <w:marLeft w:val="0"/>
      <w:marRight w:val="0"/>
      <w:marTop w:val="0"/>
      <w:marBottom w:val="0"/>
      <w:divBdr>
        <w:top w:val="none" w:sz="0" w:space="0" w:color="auto"/>
        <w:left w:val="none" w:sz="0" w:space="0" w:color="auto"/>
        <w:bottom w:val="none" w:sz="0" w:space="0" w:color="auto"/>
        <w:right w:val="none" w:sz="0" w:space="0" w:color="auto"/>
      </w:divBdr>
    </w:div>
    <w:div w:id="1609779013">
      <w:bodyDiv w:val="1"/>
      <w:marLeft w:val="0"/>
      <w:marRight w:val="0"/>
      <w:marTop w:val="0"/>
      <w:marBottom w:val="0"/>
      <w:divBdr>
        <w:top w:val="none" w:sz="0" w:space="0" w:color="auto"/>
        <w:left w:val="none" w:sz="0" w:space="0" w:color="auto"/>
        <w:bottom w:val="none" w:sz="0" w:space="0" w:color="auto"/>
        <w:right w:val="none" w:sz="0" w:space="0" w:color="auto"/>
      </w:divBdr>
    </w:div>
    <w:div w:id="1698970296">
      <w:bodyDiv w:val="1"/>
      <w:marLeft w:val="0"/>
      <w:marRight w:val="0"/>
      <w:marTop w:val="0"/>
      <w:marBottom w:val="0"/>
      <w:divBdr>
        <w:top w:val="none" w:sz="0" w:space="0" w:color="auto"/>
        <w:left w:val="none" w:sz="0" w:space="0" w:color="auto"/>
        <w:bottom w:val="none" w:sz="0" w:space="0" w:color="auto"/>
        <w:right w:val="none" w:sz="0" w:space="0" w:color="auto"/>
      </w:divBdr>
    </w:div>
    <w:div w:id="1988852227">
      <w:bodyDiv w:val="1"/>
      <w:marLeft w:val="0"/>
      <w:marRight w:val="0"/>
      <w:marTop w:val="0"/>
      <w:marBottom w:val="0"/>
      <w:divBdr>
        <w:top w:val="none" w:sz="0" w:space="0" w:color="auto"/>
        <w:left w:val="none" w:sz="0" w:space="0" w:color="auto"/>
        <w:bottom w:val="none" w:sz="0" w:space="0" w:color="auto"/>
        <w:right w:val="none" w:sz="0" w:space="0" w:color="auto"/>
      </w:divBdr>
    </w:div>
    <w:div w:id="205646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a.nic.in/wp-content/uploads/baseline/2024/01/User_Guide__Version_19.0.pdf" TargetMode="External"/><Relationship Id="rId18" Type="http://schemas.openxmlformats.org/officeDocument/2006/relationships/hyperlink" Target="https://www.iso.org/standard/61148.html" TargetMode="External"/><Relationship Id="rId26" Type="http://schemas.openxmlformats.org/officeDocument/2006/relationships/hyperlink" Target="https://indianrailways.gov.in/railwayboard/uploads/directorate/civil_engg/2025/CPWD_AOR_Vol_I_2023.pdf" TargetMode="External"/><Relationship Id="rId39" Type="http://schemas.openxmlformats.org/officeDocument/2006/relationships/hyperlink" Target="https://doi.org/10.1016/j.jobe.2018.10.027" TargetMode="External"/><Relationship Id="rId21" Type="http://schemas.openxmlformats.org/officeDocument/2006/relationships/hyperlink" Target="https://doi.org/10.1016/j.cscm.2022.e01755" TargetMode="External"/><Relationship Id="rId34" Type="http://schemas.openxmlformats.org/officeDocument/2006/relationships/hyperlink" Target="https://doi.org/10.5334/bc.257"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jclepro.2018.05.272" TargetMode="External"/><Relationship Id="rId29" Type="http://schemas.openxmlformats.org/officeDocument/2006/relationships/hyperlink" Target="https://doi.org/10.3390/buildings111004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3846/tede.2020.13398" TargetMode="External"/><Relationship Id="rId32" Type="http://schemas.openxmlformats.org/officeDocument/2006/relationships/hyperlink" Target="https://doi.org/10.1016/j.rser.2020.110038" TargetMode="External"/><Relationship Id="rId37" Type="http://schemas.openxmlformats.org/officeDocument/2006/relationships/hyperlink" Target="https://doi.org/10.1016/j.apenergy.2012.06.001" TargetMode="External"/><Relationship Id="rId40" Type="http://schemas.openxmlformats.org/officeDocument/2006/relationships/hyperlink" Target="https://gmda.assam.gov.in/documents-detail/building-byelaw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rjet.net/archives/V6/i1/IRJET-V6I1310.pdf" TargetMode="External"/><Relationship Id="rId23" Type="http://schemas.openxmlformats.org/officeDocument/2006/relationships/hyperlink" Target="https://doi.org/10.6028/nist.hb.135e2025" TargetMode="External"/><Relationship Id="rId28" Type="http://schemas.openxmlformats.org/officeDocument/2006/relationships/hyperlink" Target="https://doi.org/10.3390/buildings13040904" TargetMode="External"/><Relationship Id="rId36" Type="http://schemas.openxmlformats.org/officeDocument/2006/relationships/hyperlink" Target="https://doi.org/10.1016/j.jclepro.2020.125622" TargetMode="External"/><Relationship Id="rId10" Type="http://schemas.openxmlformats.org/officeDocument/2006/relationships/image" Target="media/image3.png"/><Relationship Id="rId19" Type="http://schemas.openxmlformats.org/officeDocument/2006/relationships/hyperlink" Target="https://doi.org/10.3390/buildings15132195" TargetMode="External"/><Relationship Id="rId31" Type="http://schemas.openxmlformats.org/officeDocument/2006/relationships/hyperlink" Target="https://doi.org/10.1016/j.energy.2025.134598"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buildings15040526" TargetMode="External"/><Relationship Id="rId22" Type="http://schemas.openxmlformats.org/officeDocument/2006/relationships/hyperlink" Target="https://doi.org/10.36909/jer.acmm.16297" TargetMode="External"/><Relationship Id="rId27" Type="http://schemas.openxmlformats.org/officeDocument/2006/relationships/hyperlink" Target="https://cpwd.gov.in/Publication/CPWD_DAR_Vol_II_14092023_Civil.pdf" TargetMode="External"/><Relationship Id="rId30" Type="http://schemas.openxmlformats.org/officeDocument/2006/relationships/hyperlink" Target="https://doi.org/10.1016/j.jobe.2023.107762" TargetMode="External"/><Relationship Id="rId35" Type="http://schemas.openxmlformats.org/officeDocument/2006/relationships/hyperlink" Target="https://doi.org/10.1016/j.jobe.2023.106898."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turcomat.org/index.php/turkbilmat/article/view/10664" TargetMode="External"/><Relationship Id="rId17" Type="http://schemas.openxmlformats.org/officeDocument/2006/relationships/hyperlink" Target="https://edgebuildings.com/wp-content/uploads/2022/04/IFC-India-Construction-Materials-Database-Methodology-Report.pdf" TargetMode="External"/><Relationship Id="rId25" Type="http://schemas.openxmlformats.org/officeDocument/2006/relationships/hyperlink" Target="https://www.nitiforstates.gov.in/policy-viewer?id=RNC518F000276" TargetMode="External"/><Relationship Id="rId33" Type="http://schemas.openxmlformats.org/officeDocument/2006/relationships/hyperlink" Target="https://doi.org/10.1016/j.heliyon.2023.e20190%20" TargetMode="External"/><Relationship Id="rId38" Type="http://schemas.openxmlformats.org/officeDocument/2006/relationships/hyperlink" Target="https://doi.org/10.1016/j.apenergy.2014.11.035" TargetMode="External"/><Relationship Id="rId20" Type="http://schemas.openxmlformats.org/officeDocument/2006/relationships/hyperlink" Target="https://doi.org/10.3390/ijerph191912820" TargetMode="External"/><Relationship Id="rId41" Type="http://schemas.openxmlformats.org/officeDocument/2006/relationships/hyperlink" Target="https://doi.org/10.1016/j.apenergy.2009.11.02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E3ED2-6D5C-40E1-94BB-4B7A580A5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7877</Words>
  <Characters>44905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Amrata</cp:lastModifiedBy>
  <cp:revision>17</cp:revision>
  <dcterms:created xsi:type="dcterms:W3CDTF">2026-07-29T15:24:00Z</dcterms:created>
  <dcterms:modified xsi:type="dcterms:W3CDTF">2026-07-31T05:40:00Z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