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40402" w14:textId="07DC482C" w:rsidR="0035548D" w:rsidRPr="004B5FFC" w:rsidRDefault="00110A2C">
      <w:pPr>
        <w:spacing w:before="120" w:after="20" w:line="240" w:lineRule="auto"/>
        <w:jc w:val="center"/>
        <w:rPr>
          <w:rFonts w:ascii="Calibri" w:hAnsi="Calibri" w:cs="Calibri"/>
        </w:rPr>
      </w:pPr>
      <w:bookmarkStart w:id="0" w:name="OLE_LINK1"/>
      <w:r w:rsidRPr="00110A2C">
        <w:rPr>
          <w:rFonts w:ascii="Calibri" w:hAnsi="Calibri" w:cs="Calibri"/>
          <w:b/>
          <w:sz w:val="26"/>
        </w:rPr>
        <w:t>A Pre-Mapping Decision Model for Referent Linking in AECO Workflows</w:t>
      </w:r>
    </w:p>
    <w:p w14:paraId="19F2D370" w14:textId="77777777" w:rsidR="00F43998" w:rsidRDefault="001E0C55" w:rsidP="00F43998">
      <w:pPr>
        <w:spacing w:after="200" w:line="240" w:lineRule="auto"/>
        <w:jc w:val="center"/>
        <w:rPr>
          <w:rFonts w:ascii="Calibri" w:hAnsi="Calibri" w:cs="Calibri"/>
          <w:i/>
          <w:sz w:val="24"/>
        </w:rPr>
      </w:pPr>
      <w:r w:rsidRPr="004B5FFC">
        <w:rPr>
          <w:rFonts w:ascii="Calibri" w:hAnsi="Calibri" w:cs="Calibri"/>
          <w:i/>
          <w:sz w:val="24"/>
        </w:rPr>
        <w:t>Track: Data Integration Methods and Digital Twins</w:t>
      </w:r>
    </w:p>
    <w:p w14:paraId="6F771E17" w14:textId="35526D0D" w:rsidR="0035548D" w:rsidRDefault="006A6BD2" w:rsidP="00F43998">
      <w:pPr>
        <w:spacing w:after="200" w:line="240" w:lineRule="auto"/>
        <w:jc w:val="center"/>
        <w:rPr>
          <w:rFonts w:ascii="Calibri" w:hAnsi="Calibri" w:cs="Calibri"/>
          <w:sz w:val="24"/>
        </w:rPr>
      </w:pPr>
      <w:r w:rsidRPr="00B509B2">
        <w:rPr>
          <w:rFonts w:ascii="Calibri" w:hAnsi="Calibri" w:cs="Calibri"/>
        </w:rPr>
        <w:t>Jakob Martin</w:t>
      </w:r>
      <w:r w:rsidR="007B0889" w:rsidRPr="00B509B2">
        <w:rPr>
          <w:rFonts w:ascii="Calibri" w:hAnsi="Calibri" w:cs="Calibri"/>
          <w:vertAlign w:val="superscript"/>
        </w:rPr>
        <w:t>1</w:t>
      </w:r>
      <w:r w:rsidR="007B0889" w:rsidRPr="00D6057A">
        <w:rPr>
          <w:rFonts w:ascii="Calibri" w:hAnsi="Calibri" w:cs="Calibri"/>
          <w:vertAlign w:val="superscript"/>
        </w:rPr>
        <w:t>,*</w:t>
      </w:r>
      <w:r w:rsidR="007B0889" w:rsidRPr="00D6057A">
        <w:rPr>
          <w:rFonts w:ascii="Calibri" w:hAnsi="Calibri" w:cs="Calibri"/>
        </w:rPr>
        <w:t>,</w:t>
      </w:r>
      <w:r w:rsidR="007B0889">
        <w:rPr>
          <w:rFonts w:ascii="Calibri" w:hAnsi="Calibri" w:cs="Calibri"/>
        </w:rPr>
        <w:t xml:space="preserve"> Cornelius Preidel</w:t>
      </w:r>
      <w:r w:rsidR="007B0889" w:rsidRPr="00D6057A">
        <w:rPr>
          <w:rFonts w:ascii="Calibri" w:hAnsi="Calibri" w:cs="Calibri"/>
          <w:vertAlign w:val="superscript"/>
        </w:rPr>
        <w:t>1</w:t>
      </w:r>
      <w:r w:rsidR="007B0889">
        <w:rPr>
          <w:rFonts w:ascii="Calibri" w:hAnsi="Calibri" w:cs="Calibri"/>
        </w:rPr>
        <w:t>, Simon Vilgertshofer</w:t>
      </w:r>
      <w:r w:rsidR="007B0889" w:rsidRPr="00D6057A">
        <w:rPr>
          <w:rFonts w:ascii="Calibri" w:hAnsi="Calibri" w:cs="Calibri"/>
          <w:vertAlign w:val="superscript"/>
        </w:rPr>
        <w:t>1</w:t>
      </w:r>
      <w:r w:rsidR="007B0889">
        <w:rPr>
          <w:rFonts w:ascii="Calibri" w:hAnsi="Calibri" w:cs="Calibri"/>
        </w:rPr>
        <w:t>, André Borrmann</w:t>
      </w:r>
      <w:r w:rsidR="00991AD1" w:rsidRPr="00D6057A">
        <w:rPr>
          <w:rFonts w:ascii="Calibri" w:hAnsi="Calibri" w:cs="Calibri"/>
          <w:vertAlign w:val="superscript"/>
        </w:rPr>
        <w:t>2</w:t>
      </w:r>
    </w:p>
    <w:p w14:paraId="53C4E370" w14:textId="77777777" w:rsidR="00CA793B" w:rsidRPr="004B5FFC" w:rsidRDefault="00CA793B">
      <w:pPr>
        <w:spacing w:after="40" w:line="240" w:lineRule="auto"/>
        <w:jc w:val="center"/>
        <w:rPr>
          <w:rFonts w:ascii="Calibri" w:hAnsi="Calibri" w:cs="Calibri"/>
        </w:rPr>
      </w:pPr>
    </w:p>
    <w:p w14:paraId="21BE248C" w14:textId="415A87ED" w:rsidR="000D20B1" w:rsidRPr="0086515B" w:rsidRDefault="001E0C55" w:rsidP="0086515B">
      <w:pPr>
        <w:pStyle w:val="Author"/>
        <w:spacing w:after="40"/>
        <w:rPr>
          <w:rFonts w:ascii="Calibri" w:hAnsi="Calibri" w:cs="Calibri"/>
          <w:sz w:val="22"/>
          <w:szCs w:val="22"/>
        </w:rPr>
      </w:pPr>
      <w:r w:rsidRPr="00CA793B">
        <w:rPr>
          <w:rFonts w:ascii="Calibri" w:hAnsi="Calibri" w:cs="Calibri"/>
          <w:szCs w:val="20"/>
        </w:rPr>
        <w:t xml:space="preserve">¹ </w:t>
      </w:r>
      <w:r w:rsidR="0086515B" w:rsidRPr="007524FF">
        <w:rPr>
          <w:rFonts w:ascii="Calibri" w:hAnsi="Calibri" w:cs="Calibri"/>
          <w:sz w:val="22"/>
          <w:szCs w:val="22"/>
        </w:rPr>
        <w:t>Hochschule München University of Applied Sciences, Munich, Germany</w:t>
      </w:r>
    </w:p>
    <w:p w14:paraId="34C34504" w14:textId="7F2B7660" w:rsidR="0035548D" w:rsidRPr="00CA793B" w:rsidRDefault="001E0C55" w:rsidP="00CA793B">
      <w:pPr>
        <w:spacing w:after="40" w:line="240" w:lineRule="auto"/>
        <w:rPr>
          <w:rFonts w:ascii="Calibri" w:hAnsi="Calibri" w:cs="Calibri"/>
          <w:sz w:val="20"/>
          <w:szCs w:val="20"/>
        </w:rPr>
      </w:pPr>
      <w:r w:rsidRPr="00CA793B">
        <w:rPr>
          <w:rFonts w:ascii="Calibri" w:hAnsi="Calibri" w:cs="Calibri"/>
          <w:szCs w:val="20"/>
        </w:rPr>
        <w:t xml:space="preserve">² </w:t>
      </w:r>
      <w:r w:rsidR="00BC4238" w:rsidRPr="00BC4238">
        <w:rPr>
          <w:rFonts w:ascii="Calibri" w:hAnsi="Calibri" w:cs="Calibri"/>
          <w:szCs w:val="20"/>
        </w:rPr>
        <w:t>Technical University of Munich, Munich, German</w:t>
      </w:r>
      <w:r w:rsidR="00BC4238">
        <w:rPr>
          <w:rFonts w:ascii="Calibri" w:hAnsi="Calibri" w:cs="Calibri"/>
          <w:szCs w:val="20"/>
        </w:rPr>
        <w:t>y</w:t>
      </w:r>
    </w:p>
    <w:p w14:paraId="2691C6E7" w14:textId="39998388" w:rsidR="0086515B" w:rsidRDefault="001E0C55" w:rsidP="00CA793B">
      <w:pPr>
        <w:spacing w:after="280" w:line="240" w:lineRule="auto"/>
        <w:rPr>
          <w:rFonts w:ascii="Calibri" w:hAnsi="Calibri" w:cs="Calibri"/>
          <w:i/>
          <w:iCs/>
          <w:szCs w:val="20"/>
        </w:rPr>
      </w:pPr>
      <w:r w:rsidRPr="00CA793B">
        <w:rPr>
          <w:rFonts w:ascii="Calibri" w:hAnsi="Calibri" w:cs="Calibri"/>
          <w:i/>
          <w:iCs/>
          <w:szCs w:val="20"/>
        </w:rPr>
        <w:t xml:space="preserve">*Corresponding email: </w:t>
      </w:r>
      <w:hyperlink r:id="rId10" w:history="1">
        <w:r w:rsidR="0086515B" w:rsidRPr="008726A0">
          <w:rPr>
            <w:rStyle w:val="Hyperlink"/>
            <w:rFonts w:ascii="Calibri" w:hAnsi="Calibri" w:cs="Calibri"/>
            <w:i/>
            <w:iCs/>
            <w:szCs w:val="20"/>
          </w:rPr>
          <w:t>jakob.martin0@hm.edu</w:t>
        </w:r>
      </w:hyperlink>
    </w:p>
    <w:p w14:paraId="7E8BB738" w14:textId="77777777" w:rsidR="0035548D" w:rsidRPr="004B5FFC" w:rsidRDefault="001E0C55" w:rsidP="00F43998">
      <w:pPr>
        <w:spacing w:before="120" w:after="20" w:line="240" w:lineRule="auto"/>
        <w:ind w:left="1134" w:right="1089"/>
        <w:rPr>
          <w:rFonts w:ascii="Calibri" w:hAnsi="Calibri" w:cs="Calibri"/>
          <w:sz w:val="24"/>
          <w:szCs w:val="24"/>
        </w:rPr>
      </w:pPr>
      <w:r w:rsidRPr="004B5FFC">
        <w:rPr>
          <w:rFonts w:ascii="Calibri" w:hAnsi="Calibri" w:cs="Calibri"/>
          <w:b/>
          <w:sz w:val="28"/>
          <w:szCs w:val="24"/>
        </w:rPr>
        <w:t>ABSTRACT</w:t>
      </w:r>
    </w:p>
    <w:p w14:paraId="085AE129" w14:textId="6B950C84" w:rsidR="00F930A7" w:rsidRPr="006E6D74" w:rsidRDefault="00605BC0" w:rsidP="00F43998">
      <w:pPr>
        <w:spacing w:before="80" w:after="40" w:line="240" w:lineRule="auto"/>
        <w:ind w:left="1134" w:right="1089"/>
        <w:jc w:val="both"/>
        <w:rPr>
          <w:rFonts w:ascii="Calibri" w:hAnsi="Calibri" w:cs="Calibri"/>
          <w:lang w:val="en-GB"/>
        </w:rPr>
      </w:pPr>
      <w:r w:rsidRPr="409869C6">
        <w:rPr>
          <w:rFonts w:ascii="Calibri" w:hAnsi="Calibri" w:cs="Calibri"/>
          <w:lang w:val="en-GB"/>
        </w:rPr>
        <w:t>Construction projects rely on information exchange across disciplines, but stakeholde</w:t>
      </w:r>
      <w:r w:rsidR="003B508E">
        <w:rPr>
          <w:rFonts w:ascii="Calibri" w:hAnsi="Calibri" w:cs="Calibri"/>
          <w:lang w:val="en-GB"/>
        </w:rPr>
        <w:t>r</w:t>
      </w:r>
      <w:r w:rsidRPr="409869C6">
        <w:rPr>
          <w:rFonts w:ascii="Calibri" w:hAnsi="Calibri" w:cs="Calibri"/>
          <w:lang w:val="en-GB"/>
        </w:rPr>
        <w:t xml:space="preserve"> systems describe the same components differently: design teams </w:t>
      </w:r>
      <w:r w:rsidR="007F6103" w:rsidRPr="409869C6">
        <w:rPr>
          <w:rFonts w:ascii="Calibri" w:hAnsi="Calibri" w:cs="Calibri"/>
          <w:lang w:val="en-GB"/>
        </w:rPr>
        <w:t>develop</w:t>
      </w:r>
      <w:r w:rsidRPr="409869C6">
        <w:rPr>
          <w:rFonts w:ascii="Calibri" w:hAnsi="Calibri" w:cs="Calibri"/>
          <w:lang w:val="en-GB"/>
        </w:rPr>
        <w:t xml:space="preserve"> geometry and intent, </w:t>
      </w:r>
      <w:r w:rsidR="00F545A2" w:rsidRPr="409869C6">
        <w:rPr>
          <w:rFonts w:ascii="Calibri" w:hAnsi="Calibri" w:cs="Calibri"/>
        </w:rPr>
        <w:t xml:space="preserve">regulatory bodies treat them as subjects of verifiable compliance requirements, and facility operators maintain asset registers whose breakdown structures often do not align with design-centric boundaries. Without reliable links between records denoting the same physical component (the referent) </w:t>
      </w:r>
      <w:r w:rsidR="00C14EEB" w:rsidRPr="409869C6">
        <w:rPr>
          <w:rFonts w:ascii="Calibri" w:hAnsi="Calibri" w:cs="Calibri"/>
        </w:rPr>
        <w:t xml:space="preserve">across these views, downstream tasks such as </w:t>
      </w:r>
      <w:r w:rsidR="00AF438B" w:rsidRPr="409869C6">
        <w:rPr>
          <w:rFonts w:ascii="Calibri" w:hAnsi="Calibri" w:cs="Calibri"/>
          <w:lang w:val="en-GB"/>
        </w:rPr>
        <w:t>producing traceable compliance evidence, conducting change-impact assessments, and tracking maintenance accountability become unreliable.</w:t>
      </w:r>
      <w:r w:rsidRPr="409869C6">
        <w:rPr>
          <w:rFonts w:ascii="Calibri" w:hAnsi="Calibri" w:cs="Calibri"/>
          <w:lang w:val="en-GB"/>
        </w:rPr>
        <w:t xml:space="preserve"> </w:t>
      </w:r>
      <w:r w:rsidR="00E6395E" w:rsidRPr="00E6395E">
        <w:rPr>
          <w:rFonts w:ascii="Calibri" w:hAnsi="Calibri" w:cs="Calibri"/>
          <w:lang w:val="en-GB"/>
        </w:rPr>
        <w:t>In this paper, we address 1:1 identity and validated 1:n referent correspondences,</w:t>
      </w:r>
      <w:r w:rsidR="00650DCA">
        <w:rPr>
          <w:rFonts w:ascii="Calibri" w:hAnsi="Calibri" w:cs="Calibri"/>
          <w:lang w:val="en-GB"/>
        </w:rPr>
        <w:t xml:space="preserve"> </w:t>
      </w:r>
      <w:r w:rsidR="00E6395E" w:rsidRPr="00E6395E">
        <w:rPr>
          <w:rFonts w:ascii="Calibri" w:hAnsi="Calibri" w:cs="Calibri"/>
          <w:lang w:val="en-GB"/>
        </w:rPr>
        <w:t>and introduce an evidence-based decision model</w:t>
      </w:r>
      <w:r w:rsidRPr="409869C6">
        <w:rPr>
          <w:rFonts w:ascii="Calibri" w:hAnsi="Calibri" w:cs="Calibri"/>
          <w:lang w:val="en-GB"/>
        </w:rPr>
        <w:t xml:space="preserve"> that links candidate entities by </w:t>
      </w:r>
      <w:r w:rsidR="00980C98" w:rsidRPr="00980C98">
        <w:rPr>
          <w:rFonts w:ascii="Calibri" w:hAnsi="Calibri" w:cs="Calibri"/>
        </w:rPr>
        <w:t>aggregating evidence beyond names and labels in a fixed priority order</w:t>
      </w:r>
      <w:r w:rsidRPr="409869C6">
        <w:rPr>
          <w:rFonts w:ascii="Calibri" w:hAnsi="Calibri" w:cs="Calibri"/>
          <w:lang w:val="en-GB"/>
        </w:rPr>
        <w:t xml:space="preserve">. The model combines persistent identifiers when available, spatial context through containment and positional consistency, type coherence through classification and object typing, and boundary </w:t>
      </w:r>
      <w:r w:rsidR="00924F7C" w:rsidRPr="409869C6">
        <w:rPr>
          <w:rFonts w:ascii="Calibri" w:hAnsi="Calibri" w:cs="Calibri"/>
          <w:lang w:val="en-GB"/>
        </w:rPr>
        <w:t>checks</w:t>
      </w:r>
      <w:r w:rsidRPr="409869C6">
        <w:rPr>
          <w:rFonts w:ascii="Calibri" w:hAnsi="Calibri" w:cs="Calibri"/>
          <w:lang w:val="en-GB"/>
        </w:rPr>
        <w:t xml:space="preserve"> that handle granularity shifts. Two preprocessing steps, floor-label normalization and model-local coordinate translation, make the spatial signal robust to cross-tool authoring conventions. The logic is integrated as a referent-level validation stage before attribute alignment and produces three output classes (</w:t>
      </w:r>
      <w:r w:rsidRPr="409869C6">
        <w:rPr>
          <w:rFonts w:ascii="Consolas" w:hAnsi="Consolas" w:cs="Calibri"/>
          <w:sz w:val="18"/>
          <w:szCs w:val="18"/>
          <w:lang w:val="en-GB"/>
        </w:rPr>
        <w:t>LINKED</w:t>
      </w:r>
      <w:r w:rsidRPr="409869C6">
        <w:rPr>
          <w:rFonts w:ascii="Calibri" w:hAnsi="Calibri" w:cs="Calibri"/>
          <w:lang w:val="en-GB"/>
        </w:rPr>
        <w:t xml:space="preserve">, </w:t>
      </w:r>
      <w:r w:rsidRPr="409869C6">
        <w:rPr>
          <w:rFonts w:ascii="Consolas" w:hAnsi="Consolas" w:cs="Calibri"/>
          <w:sz w:val="18"/>
          <w:szCs w:val="18"/>
          <w:lang w:val="en-GB"/>
        </w:rPr>
        <w:t>AMBIGUOUS</w:t>
      </w:r>
      <w:r w:rsidRPr="409869C6">
        <w:rPr>
          <w:rFonts w:ascii="Calibri" w:hAnsi="Calibri" w:cs="Calibri"/>
          <w:lang w:val="en-GB"/>
        </w:rPr>
        <w:t xml:space="preserve">, </w:t>
      </w:r>
      <w:r w:rsidRPr="409869C6">
        <w:rPr>
          <w:rFonts w:ascii="Consolas" w:hAnsi="Consolas" w:cs="Calibri"/>
          <w:sz w:val="18"/>
          <w:szCs w:val="18"/>
          <w:lang w:val="en-GB"/>
        </w:rPr>
        <w:t>NOT_LINKED</w:t>
      </w:r>
      <w:r w:rsidRPr="409869C6">
        <w:rPr>
          <w:rFonts w:ascii="Calibri" w:hAnsi="Calibri" w:cs="Calibri"/>
          <w:lang w:val="en-GB"/>
        </w:rPr>
        <w:t xml:space="preserve">); deferred cases carry </w:t>
      </w:r>
      <w:r w:rsidR="00951B0A" w:rsidRPr="409869C6">
        <w:rPr>
          <w:rFonts w:ascii="Calibri" w:hAnsi="Calibri" w:cs="Calibri"/>
          <w:lang w:val="en-GB"/>
        </w:rPr>
        <w:t xml:space="preserve">suggested labels </w:t>
      </w:r>
      <w:r w:rsidRPr="409869C6">
        <w:rPr>
          <w:rFonts w:ascii="Calibri" w:hAnsi="Calibri" w:cs="Calibri"/>
          <w:lang w:val="en-GB"/>
        </w:rPr>
        <w:t xml:space="preserve">as a starting point for human review. </w:t>
      </w:r>
      <w:r w:rsidR="00B24E1E" w:rsidRPr="409869C6">
        <w:rPr>
          <w:rFonts w:ascii="Calibri" w:hAnsi="Calibri" w:cs="Calibri"/>
          <w:lang w:val="en-GB"/>
        </w:rPr>
        <w:t xml:space="preserve">On an illustrative set of twenty candidate pairs across three handover patterns, the model produces no unsafe links and recovers all positive cases. Six of the eight </w:t>
      </w:r>
      <w:r w:rsidR="00B24E1E" w:rsidRPr="409869C6">
        <w:rPr>
          <w:rFonts w:ascii="Consolas" w:hAnsi="Consolas" w:cs="Calibri"/>
          <w:sz w:val="18"/>
          <w:szCs w:val="18"/>
          <w:lang w:val="en-GB"/>
        </w:rPr>
        <w:t>LINKED</w:t>
      </w:r>
      <w:r w:rsidR="00B24E1E" w:rsidRPr="409869C6">
        <w:rPr>
          <w:rFonts w:ascii="Calibri" w:hAnsi="Calibri" w:cs="Calibri"/>
          <w:lang w:val="en-GB"/>
        </w:rPr>
        <w:t xml:space="preserve"> pairs are identifier-free, reached through aggregated evidence: </w:t>
      </w:r>
      <w:r w:rsidR="000E406F" w:rsidRPr="000E406F">
        <w:rPr>
          <w:rFonts w:ascii="Calibri" w:hAnsi="Calibri" w:cs="Calibri"/>
          <w:lang w:val="en-GB"/>
        </w:rPr>
        <w:t>two covering-covering matches and four member links in a validated 1:n precast decomposition.</w:t>
      </w:r>
      <w:r w:rsidR="000E406F">
        <w:rPr>
          <w:rFonts w:ascii="Calibri" w:hAnsi="Calibri" w:cs="Calibri"/>
          <w:lang w:val="en-GB"/>
        </w:rPr>
        <w:t xml:space="preserve"> </w:t>
      </w:r>
      <w:r w:rsidR="00BB436E" w:rsidRPr="409869C6">
        <w:rPr>
          <w:rFonts w:ascii="Calibri" w:hAnsi="Calibri" w:cs="Calibri"/>
          <w:lang w:val="en-GB"/>
        </w:rPr>
        <w:t xml:space="preserve">45% </w:t>
      </w:r>
      <w:r w:rsidR="00011C05" w:rsidRPr="409869C6">
        <w:rPr>
          <w:rFonts w:ascii="Calibri" w:hAnsi="Calibri" w:cs="Calibri"/>
          <w:lang w:val="en-GB"/>
        </w:rPr>
        <w:t xml:space="preserve">of pairs are deferred for human review, and </w:t>
      </w:r>
      <w:r w:rsidR="002F61A5" w:rsidRPr="409869C6">
        <w:rPr>
          <w:rFonts w:ascii="Calibri" w:hAnsi="Calibri" w:cs="Calibri"/>
        </w:rPr>
        <w:t>the suggested labels for these deferred cases match ground truth on all annotated cases (deferral soundness 9/9)</w:t>
      </w:r>
      <w:r w:rsidR="00011C05" w:rsidRPr="409869C6">
        <w:rPr>
          <w:rFonts w:ascii="Calibri" w:hAnsi="Calibri" w:cs="Calibri"/>
          <w:lang w:val="en-GB"/>
        </w:rPr>
        <w:t>.</w:t>
      </w:r>
      <w:r w:rsidRPr="409869C6">
        <w:rPr>
          <w:rFonts w:ascii="Calibri" w:hAnsi="Calibri" w:cs="Calibri"/>
          <w:lang w:val="en-GB"/>
        </w:rPr>
        <w:t xml:space="preserve"> </w:t>
      </w:r>
      <w:r w:rsidR="00F930A7" w:rsidRPr="409869C6">
        <w:rPr>
          <w:rFonts w:ascii="Calibri" w:hAnsi="Calibri" w:cs="Calibri"/>
          <w:lang w:val="en-GB"/>
        </w:rPr>
        <w:t xml:space="preserve">The contribution is </w:t>
      </w:r>
      <w:r w:rsidR="006E6D74" w:rsidRPr="409869C6">
        <w:rPr>
          <w:rFonts w:ascii="Calibri" w:hAnsi="Calibri" w:cs="Calibri"/>
          <w:lang w:val="en-GB"/>
        </w:rPr>
        <w:t>auditable automation</w:t>
      </w:r>
      <w:r w:rsidR="00F930A7" w:rsidRPr="409869C6">
        <w:rPr>
          <w:rFonts w:ascii="Calibri" w:hAnsi="Calibri" w:cs="Calibri"/>
          <w:lang w:val="en-GB"/>
        </w:rPr>
        <w:t>: a transparent evidence evaluation process makes the linkage auditable, and deferral with suggested labels makes unresolved cases visible rather than silently absorbed.</w:t>
      </w:r>
    </w:p>
    <w:p w14:paraId="4B6167FF" w14:textId="77777777" w:rsidR="0035548D" w:rsidRPr="004B5FFC" w:rsidRDefault="001E0C55" w:rsidP="00F43998">
      <w:pPr>
        <w:spacing w:before="120" w:after="20" w:line="240" w:lineRule="auto"/>
        <w:ind w:left="357"/>
        <w:rPr>
          <w:rFonts w:ascii="Calibri" w:hAnsi="Calibri" w:cs="Calibri"/>
          <w:sz w:val="24"/>
          <w:szCs w:val="24"/>
        </w:rPr>
      </w:pPr>
      <w:r w:rsidRPr="004B5FFC">
        <w:rPr>
          <w:rFonts w:ascii="Calibri" w:hAnsi="Calibri" w:cs="Calibri"/>
          <w:b/>
          <w:sz w:val="28"/>
          <w:szCs w:val="24"/>
        </w:rPr>
        <w:t>1. INTRODUCTION</w:t>
      </w:r>
    </w:p>
    <w:p w14:paraId="025D0B53" w14:textId="3755921B" w:rsidR="0035548D" w:rsidRPr="004B5FFC" w:rsidRDefault="000F2258" w:rsidP="00D25FF9">
      <w:pPr>
        <w:spacing w:after="40" w:line="240" w:lineRule="auto"/>
        <w:ind w:firstLine="851"/>
        <w:jc w:val="both"/>
        <w:rPr>
          <w:rFonts w:ascii="Calibri" w:hAnsi="Calibri" w:cs="Calibri"/>
        </w:rPr>
      </w:pPr>
      <w:r w:rsidRPr="000F2258">
        <w:rPr>
          <w:rFonts w:ascii="Calibri" w:hAnsi="Calibri" w:cs="Calibri"/>
        </w:rPr>
        <w:t>Construction projects rely on continuous information exchange across disciplines, yet the same physical components are routinely framed differently across stakeholder systems: in design models, a wall is represented through geometry, object type, and intended function; in regulatory workflows, it is addressed through verifiable requirements such as fire rating or energy-related performance; and in facility management, it may be managed as a maintainable asset within a breakdown structure that often does not align with design-centric boundaries (Ozturk, 2020; Pauwels et al., 2017).</w:t>
      </w:r>
      <w:r w:rsidR="00595A21" w:rsidRPr="004B5FFC">
        <w:rPr>
          <w:rFonts w:ascii="Calibri" w:hAnsi="Calibri" w:cs="Calibri"/>
        </w:rPr>
        <w:t xml:space="preserve"> </w:t>
      </w:r>
      <w:r w:rsidR="006258B3" w:rsidRPr="006258B3">
        <w:rPr>
          <w:rFonts w:ascii="Calibri" w:hAnsi="Calibri" w:cs="Calibri"/>
        </w:rPr>
        <w:t xml:space="preserve">This shift weakens asset identity across handovers and creates industry-level costs through avoidable rework (FMI, 2021); data loss remains a persistent interoperability </w:t>
      </w:r>
      <w:r w:rsidR="006258B3" w:rsidRPr="006258B3">
        <w:rPr>
          <w:rFonts w:ascii="Calibri" w:hAnsi="Calibri" w:cs="Calibri"/>
        </w:rPr>
        <w:lastRenderedPageBreak/>
        <w:t>challenge despite standards such as IFC (Ozturk, 2020).</w:t>
      </w:r>
      <w:r w:rsidR="00FE5FA6">
        <w:rPr>
          <w:rFonts w:ascii="Calibri" w:hAnsi="Calibri" w:cs="Calibri"/>
        </w:rPr>
        <w:t xml:space="preserve"> </w:t>
      </w:r>
      <w:r w:rsidR="009A7FF1" w:rsidRPr="009A7FF1">
        <w:rPr>
          <w:rFonts w:ascii="Calibri" w:hAnsi="Calibri" w:cs="Calibri"/>
        </w:rPr>
        <w:t xml:space="preserve">IFC </w:t>
      </w:r>
      <w:r w:rsidR="009A7FF1" w:rsidRPr="00757C80">
        <w:rPr>
          <w:rFonts w:ascii="Calibri" w:hAnsi="Calibri" w:cs="Calibri"/>
          <w:i/>
          <w:iCs/>
        </w:rPr>
        <w:t>GlobalIds</w:t>
      </w:r>
      <w:r w:rsidR="009A7FF1" w:rsidRPr="009A7FF1">
        <w:rPr>
          <w:rFonts w:ascii="Calibri" w:hAnsi="Calibri" w:cs="Calibri"/>
        </w:rPr>
        <w:t xml:space="preserve"> cannot always be assumed to remain stable across exports and round-trip workflows (Vehovec, 2025)</w:t>
      </w:r>
      <w:r w:rsidR="00AF5962">
        <w:rPr>
          <w:rFonts w:ascii="Calibri" w:hAnsi="Calibri" w:cs="Calibri"/>
        </w:rPr>
        <w:t>.</w:t>
      </w:r>
    </w:p>
    <w:p w14:paraId="6F325155" w14:textId="46E3D2F7" w:rsidR="0035548D" w:rsidRPr="004B5FFC" w:rsidRDefault="00E51712" w:rsidP="00D25FF9">
      <w:pPr>
        <w:spacing w:after="40" w:line="240" w:lineRule="auto"/>
        <w:ind w:firstLine="851"/>
        <w:jc w:val="both"/>
        <w:rPr>
          <w:rFonts w:ascii="Calibri" w:hAnsi="Calibri" w:cs="Calibri"/>
        </w:rPr>
      </w:pPr>
      <w:r w:rsidRPr="00E51712">
        <w:rPr>
          <w:rFonts w:ascii="Calibri" w:hAnsi="Calibri" w:cs="Calibri"/>
        </w:rPr>
        <w:t xml:space="preserve">Direct entity correspondence can appear trivial. A professional can judge that two representations refer to the same physical element even when identifiers, boundaries, and context differ, because this judgment can draw on implicit domain knowledge. </w:t>
      </w:r>
      <w:r w:rsidR="00870768" w:rsidRPr="00870768">
        <w:rPr>
          <w:rFonts w:ascii="Calibri" w:hAnsi="Calibri" w:cs="Calibri"/>
        </w:rPr>
        <w:t>In fire safety, for example, a wall modeled in the design view as one continuous architectural object appears in the fire-safety view as several distinct compartmentation sections; a professional recognizes both views as the same physical wall despite the different decomposition.</w:t>
      </w:r>
      <w:r w:rsidRPr="00E51712">
        <w:rPr>
          <w:rFonts w:ascii="Calibri" w:hAnsi="Calibri" w:cs="Calibri"/>
        </w:rPr>
        <w:t xml:space="preserve"> Automated workflows lack this expertise: identifiers may be absent, regenerated, or transformed across toolchains; object boundaries may shift when continuous architectural elements are interpreted through regulatory zones; and geometry may not be directly comparable across representations (Beck et al., 2021; Beck, 2023). The risk is not the absence of an answer but a plausible-looking wrong one. </w:t>
      </w:r>
      <w:r w:rsidR="006E6D74" w:rsidRPr="006E6D74">
        <w:rPr>
          <w:rFonts w:ascii="Calibri" w:hAnsi="Calibri" w:cs="Calibri"/>
        </w:rPr>
        <w:t xml:space="preserve">As a motivating example, a label-similarity baseline </w:t>
      </w:r>
      <w:r w:rsidR="0065156E" w:rsidRPr="0065156E">
        <w:rPr>
          <w:rFonts w:ascii="Calibri" w:hAnsi="Calibri" w:cs="Calibri"/>
        </w:rPr>
        <w:t>(label-cosine similarity, formalized as B2 in Section 5</w:t>
      </w:r>
      <w:r w:rsidR="006E6D74" w:rsidRPr="006E6D74">
        <w:rPr>
          <w:rFonts w:ascii="Calibri" w:hAnsi="Calibri" w:cs="Calibri"/>
        </w:rPr>
        <w:t xml:space="preserve">) applied to two IFC exports of the same model produced a cosine-similarity score of 97.6 % between an </w:t>
      </w:r>
      <w:r w:rsidR="006E6D74" w:rsidRPr="00DE3B8F">
        <w:rPr>
          <w:rFonts w:ascii="Calibri" w:hAnsi="Calibri" w:cs="Calibri"/>
          <w:i/>
          <w:iCs/>
        </w:rPr>
        <w:t>IfcCovering</w:t>
      </w:r>
      <w:r w:rsidR="006E6D74" w:rsidRPr="006E6D74">
        <w:rPr>
          <w:rFonts w:ascii="Calibri" w:hAnsi="Calibri" w:cs="Calibri"/>
        </w:rPr>
        <w:t xml:space="preserve"> and an </w:t>
      </w:r>
      <w:r w:rsidR="006E6D74" w:rsidRPr="00DE3B8F">
        <w:rPr>
          <w:rFonts w:ascii="Calibri" w:hAnsi="Calibri" w:cs="Calibri"/>
          <w:i/>
          <w:iCs/>
        </w:rPr>
        <w:t>IfcSlab</w:t>
      </w:r>
      <w:r w:rsidR="006E6D74" w:rsidRPr="006E6D74">
        <w:rPr>
          <w:rFonts w:ascii="Calibri" w:hAnsi="Calibri" w:cs="Calibri"/>
        </w:rPr>
        <w:t>; despite different classes and different referents, the lexical similarity of property labels was high enough to trigger automation that would propagate the error downstream.</w:t>
      </w:r>
    </w:p>
    <w:p w14:paraId="3EB2D371" w14:textId="4063F2BB" w:rsidR="009861AB" w:rsidRDefault="009861AB" w:rsidP="00D25FF9">
      <w:pPr>
        <w:spacing w:after="40" w:line="240" w:lineRule="auto"/>
        <w:ind w:firstLine="851"/>
        <w:jc w:val="both"/>
        <w:rPr>
          <w:rFonts w:ascii="Calibri" w:hAnsi="Calibri" w:cs="Calibri"/>
        </w:rPr>
      </w:pPr>
      <w:r w:rsidRPr="009861AB">
        <w:rPr>
          <w:rFonts w:ascii="Calibri" w:hAnsi="Calibri" w:cs="Calibri"/>
        </w:rPr>
        <w:t>Our earlier typology (Martin et al., 2026) identified five recurring mismatch patterns between stakeholder views, including direct entity correspondence. Ontology matching provides general primitives (Euzenat and Shvaiko, 2013; Thiéblin et al., 2020), and AECO-specific work shows that identity decisions are context-sensitive (Beck et al., 2021; Beck, 2023); however, operational logic for combining evidence beyond labels and deferring unresolved cases is still missing.</w:t>
      </w:r>
    </w:p>
    <w:p w14:paraId="281CA0EF" w14:textId="3BF72106" w:rsidR="0035548D" w:rsidRPr="004B5FFC" w:rsidRDefault="00EE031E" w:rsidP="00D25FF9">
      <w:pPr>
        <w:spacing w:after="40" w:line="240" w:lineRule="auto"/>
        <w:ind w:firstLine="851"/>
        <w:jc w:val="both"/>
        <w:rPr>
          <w:rFonts w:ascii="Calibri" w:hAnsi="Calibri" w:cs="Calibri"/>
        </w:rPr>
      </w:pPr>
      <w:r w:rsidRPr="409869C6">
        <w:rPr>
          <w:rFonts w:ascii="Calibri" w:hAnsi="Calibri" w:cs="Calibri"/>
        </w:rPr>
        <w:t xml:space="preserve">This paper addresses the missing referent step with an evidence-based linking procedure. </w:t>
      </w:r>
      <w:r w:rsidR="00BD08C6" w:rsidRPr="00BD08C6">
        <w:rPr>
          <w:rFonts w:ascii="Calibri" w:hAnsi="Calibri" w:cs="Calibri"/>
        </w:rPr>
        <w:t>The model decides whether two candidate records stand in a referent correspondence by combining</w:t>
      </w:r>
      <w:r w:rsidRPr="409869C6">
        <w:rPr>
          <w:rFonts w:ascii="Calibri" w:hAnsi="Calibri" w:cs="Calibri"/>
        </w:rPr>
        <w:t xml:space="preserve"> persistent identifiers, spatial context, type coherence, and boundary evidence, with a lifecycle-status guard preventing reference geometry from being linked to built components. The aim is </w:t>
      </w:r>
      <w:r w:rsidR="006E6D74" w:rsidRPr="409869C6">
        <w:rPr>
          <w:rFonts w:ascii="Calibri" w:hAnsi="Calibri" w:cs="Calibri"/>
        </w:rPr>
        <w:t>auditab</w:t>
      </w:r>
      <w:r w:rsidR="0054271C">
        <w:rPr>
          <w:rFonts w:ascii="Calibri" w:hAnsi="Calibri" w:cs="Calibri"/>
        </w:rPr>
        <w:t>ility</w:t>
      </w:r>
      <w:r w:rsidR="006E6D74" w:rsidRPr="409869C6">
        <w:rPr>
          <w:rFonts w:ascii="Calibri" w:hAnsi="Calibri" w:cs="Calibri"/>
        </w:rPr>
        <w:t xml:space="preserve"> rather than maximum</w:t>
      </w:r>
      <w:r w:rsidRPr="409869C6">
        <w:rPr>
          <w:rFonts w:ascii="Calibri" w:hAnsi="Calibri" w:cs="Calibri"/>
        </w:rPr>
        <w:t xml:space="preserve"> automation: the model links only when evidence is sufficient and otherwise defers with an explicit reason. We demonstrate on three handover patterns and evaluate against identifier-only and similarity-driven baselines.</w:t>
      </w:r>
    </w:p>
    <w:p w14:paraId="12ADFD91" w14:textId="77777777" w:rsidR="00DE58FC" w:rsidRPr="00CA793B" w:rsidRDefault="001E0C55" w:rsidP="00F43998">
      <w:pPr>
        <w:spacing w:before="120" w:after="20" w:line="240" w:lineRule="auto"/>
        <w:ind w:left="357"/>
        <w:rPr>
          <w:rFonts w:ascii="Calibri" w:hAnsi="Calibri" w:cs="Calibri"/>
          <w:sz w:val="28"/>
          <w:szCs w:val="28"/>
        </w:rPr>
      </w:pPr>
      <w:r w:rsidRPr="00CA793B">
        <w:rPr>
          <w:rFonts w:ascii="Calibri" w:hAnsi="Calibri" w:cs="Calibri"/>
          <w:b/>
          <w:sz w:val="28"/>
          <w:szCs w:val="28"/>
        </w:rPr>
        <w:t>2. RELATED WORK</w:t>
      </w:r>
    </w:p>
    <w:p w14:paraId="1ACFF2B3" w14:textId="77777777" w:rsidR="00892628" w:rsidRPr="004B5FFC" w:rsidRDefault="00892628" w:rsidP="000024E6">
      <w:pPr>
        <w:spacing w:before="120" w:after="20" w:line="240" w:lineRule="auto"/>
        <w:ind w:firstLine="851"/>
        <w:jc w:val="both"/>
        <w:rPr>
          <w:rFonts w:ascii="Calibri" w:hAnsi="Calibri" w:cs="Calibri"/>
        </w:rPr>
      </w:pPr>
      <w:r w:rsidRPr="409869C6">
        <w:rPr>
          <w:rFonts w:ascii="Calibri" w:hAnsi="Calibri" w:cs="Calibri"/>
        </w:rPr>
        <w:t>Referent linkage across AECO views draws on ontology matching, entity resolution, AECO-specific linking, and information-requirement specification. These bodies of work provide important foundations, but they do not directly address the practical decision considered here: whether two heterogeneous records denote the same physical component.</w:t>
      </w:r>
    </w:p>
    <w:p w14:paraId="7730B81E" w14:textId="31D765AA" w:rsidR="00DE58FC" w:rsidRPr="004B5FFC" w:rsidRDefault="00BF5161" w:rsidP="000024E6">
      <w:pPr>
        <w:spacing w:before="120" w:after="20" w:line="240" w:lineRule="auto"/>
        <w:ind w:firstLine="851"/>
        <w:jc w:val="both"/>
        <w:rPr>
          <w:rFonts w:ascii="Calibri" w:hAnsi="Calibri" w:cs="Calibri"/>
        </w:rPr>
      </w:pPr>
      <w:r w:rsidRPr="00BF5161">
        <w:rPr>
          <w:rFonts w:ascii="Calibri" w:hAnsi="Calibri" w:cs="Calibri"/>
        </w:rPr>
        <w:t>Ontology-matching research has produced a mature catalog of correspondence types and strategies (Euzenat and Shvaiko, 2013).</w:t>
      </w:r>
      <w:r>
        <w:rPr>
          <w:rFonts w:ascii="Calibri" w:hAnsi="Calibri" w:cs="Calibri"/>
        </w:rPr>
        <w:t xml:space="preserve"> </w:t>
      </w:r>
      <w:r w:rsidR="00DE58FC" w:rsidRPr="409869C6">
        <w:rPr>
          <w:rFonts w:ascii="Calibri" w:hAnsi="Calibri" w:cs="Calibri"/>
        </w:rPr>
        <w:t>Correspondences are not restricted to equivalence; they include subsumption, disjointness, and transformations such as unit conversion, aggregation, or reinterpretation (Thiéblin et al., 2020). For the present problem, the critical question is whether two project records can be treated as the same physical referent despite unstable identifiers, shifted boundaries, and different modeling intentions.</w:t>
      </w:r>
    </w:p>
    <w:p w14:paraId="3EFDB7E7" w14:textId="3D6CBFF0" w:rsidR="006258B3" w:rsidRDefault="006258B3" w:rsidP="000024E6">
      <w:pPr>
        <w:spacing w:before="120" w:after="20" w:line="240" w:lineRule="auto"/>
        <w:ind w:firstLine="851"/>
        <w:jc w:val="both"/>
        <w:rPr>
          <w:rFonts w:ascii="Calibri" w:hAnsi="Calibri" w:cs="Calibri"/>
        </w:rPr>
      </w:pPr>
      <w:r w:rsidRPr="409869C6">
        <w:rPr>
          <w:rFonts w:ascii="Calibri" w:hAnsi="Calibri" w:cs="Calibri"/>
        </w:rPr>
        <w:t xml:space="preserve">Classical entity-resolution research (Christen, 2012) provides the methodological basis for linking structured records. AECO records, however, add evidence types rarely central in generic record linkage: containment, topology, part-assembly decomposition, material layers, lifecycle status, and task-specific granularity. This paper turns these AECO-specific signals </w:t>
      </w:r>
      <w:r w:rsidR="00760F85" w:rsidRPr="409869C6">
        <w:rPr>
          <w:rFonts w:ascii="Calibri" w:hAnsi="Calibri" w:cs="Calibri"/>
        </w:rPr>
        <w:t>into an explicit pairwise referent-decision procedure</w:t>
      </w:r>
      <w:r w:rsidRPr="409869C6">
        <w:rPr>
          <w:rFonts w:ascii="Calibri" w:hAnsi="Calibri" w:cs="Calibri"/>
        </w:rPr>
        <w:t xml:space="preserve"> that defers when evidence is insufficient.</w:t>
      </w:r>
    </w:p>
    <w:p w14:paraId="00D23449" w14:textId="72315492" w:rsidR="00DE58FC" w:rsidRPr="004B5FFC" w:rsidRDefault="006258B3" w:rsidP="000024E6">
      <w:pPr>
        <w:spacing w:before="120" w:after="20" w:line="240" w:lineRule="auto"/>
        <w:ind w:firstLine="851"/>
        <w:jc w:val="both"/>
        <w:rPr>
          <w:rFonts w:ascii="Calibri" w:hAnsi="Calibri" w:cs="Calibri"/>
        </w:rPr>
      </w:pPr>
      <w:r w:rsidRPr="409869C6">
        <w:rPr>
          <w:rFonts w:ascii="Calibri" w:hAnsi="Calibri" w:cs="Calibri"/>
        </w:rPr>
        <w:t xml:space="preserve">Within AECO, prior work has shown that referent identity cannot be reduced to simple equivalence: Beck et al. (2021) demonstrate that </w:t>
      </w:r>
      <w:r w:rsidRPr="00C44AE8">
        <w:rPr>
          <w:rFonts w:ascii="Consolas" w:hAnsi="Consolas" w:cs="Calibri"/>
          <w:sz w:val="18"/>
          <w:szCs w:val="18"/>
        </w:rPr>
        <w:t>owl:sameAs</w:t>
      </w:r>
      <w:r w:rsidRPr="409869C6">
        <w:rPr>
          <w:rFonts w:ascii="Calibri" w:hAnsi="Calibri" w:cs="Calibri"/>
        </w:rPr>
        <w:t xml:space="preserve"> is too restrictive across heterogeneous acquisition methods in BIM-GIS, and Beck (2023) develops a context-sensitive framework. Implementation-oriented studies on IFC/CityGML linkage (Vilgertshofer et al., 2017), IDS-based distributed checking (Kremer and Beetz, 2023), and BIM knowledge-graph construction (Wang et al., 2024; Ramonell et al., 2023) make related progress but do not address pairwise referent identity. </w:t>
      </w:r>
      <w:r w:rsidR="00FB6106" w:rsidRPr="00FB6106">
        <w:rPr>
          <w:rFonts w:ascii="Calibri" w:hAnsi="Calibri" w:cs="Calibri"/>
        </w:rPr>
        <w:t xml:space="preserve">Ontologies for the built environment (BOT, Rasmussen et al., 2021; ifcOWL, </w:t>
      </w:r>
      <w:r w:rsidR="00FB6106" w:rsidRPr="00FB6106">
        <w:rPr>
          <w:rFonts w:ascii="Calibri" w:hAnsi="Calibri" w:cs="Calibri"/>
        </w:rPr>
        <w:lastRenderedPageBreak/>
        <w:t>Pauwels and Terkaj, 2016; DiCon, Zheng et al., 2021)</w:t>
      </w:r>
      <w:r w:rsidRPr="409869C6">
        <w:rPr>
          <w:rFonts w:ascii="Calibri" w:hAnsi="Calibri" w:cs="Calibri"/>
        </w:rPr>
        <w:t xml:space="preserve"> provide structural primitives but lack reusable patterns for relating heterogeneous representations (Bloch</w:t>
      </w:r>
      <w:r w:rsidR="00C66EAE">
        <w:rPr>
          <w:rFonts w:ascii="Calibri" w:hAnsi="Calibri" w:cs="Calibri"/>
        </w:rPr>
        <w:t>,</w:t>
      </w:r>
      <w:r w:rsidRPr="409869C6">
        <w:rPr>
          <w:rFonts w:ascii="Calibri" w:hAnsi="Calibri" w:cs="Calibri"/>
        </w:rPr>
        <w:t xml:space="preserve"> 2022). This gap motivates the typology in our earlier work (Martin et al., 2026), one type of which is operationalized here.</w:t>
      </w:r>
    </w:p>
    <w:p w14:paraId="139893C6" w14:textId="56EA3BA4" w:rsidR="00DE58FC" w:rsidRPr="004B5FFC" w:rsidRDefault="0092017A" w:rsidP="000024E6">
      <w:pPr>
        <w:spacing w:before="120" w:after="20" w:line="240" w:lineRule="auto"/>
        <w:ind w:firstLine="851"/>
        <w:jc w:val="both"/>
        <w:rPr>
          <w:rFonts w:ascii="Calibri" w:hAnsi="Calibri" w:cs="Calibri"/>
        </w:rPr>
      </w:pPr>
      <w:r w:rsidRPr="409869C6">
        <w:rPr>
          <w:rFonts w:ascii="Calibri" w:hAnsi="Calibri" w:cs="Calibri"/>
        </w:rPr>
        <w:t>IDS and related information-requirement approaches address a different part of the problem: they specify what a delivered IFC model must contain. The Information Delivery Specification (IDS) maintained by buildingSMART International (2024) and extensions for distributed checking and digital permit workflows (Kremer and Beetz, 2023; Fischer et al., 2024; Akbas et al., 2025) support automated verification of properties, classifications, and structures within a single target model, but do not specify how to decide whether two records in different stakeholder views refer to the same physical component.</w:t>
      </w:r>
    </w:p>
    <w:p w14:paraId="1090A22E" w14:textId="33466F09" w:rsidR="00DE58FC" w:rsidRPr="00CA793B" w:rsidRDefault="001E0C55" w:rsidP="00F43998">
      <w:pPr>
        <w:spacing w:before="120" w:after="20" w:line="240" w:lineRule="auto"/>
        <w:ind w:left="357"/>
        <w:rPr>
          <w:rFonts w:ascii="Calibri" w:hAnsi="Calibri" w:cs="Calibri"/>
          <w:sz w:val="28"/>
          <w:szCs w:val="28"/>
        </w:rPr>
      </w:pPr>
      <w:r w:rsidRPr="00CA793B">
        <w:rPr>
          <w:rFonts w:ascii="Calibri" w:hAnsi="Calibri" w:cs="Calibri"/>
          <w:b/>
          <w:sz w:val="28"/>
          <w:szCs w:val="28"/>
        </w:rPr>
        <w:t>3. THE EVIDENCE-BASED DECISION MODEL</w:t>
      </w:r>
    </w:p>
    <w:p w14:paraId="5ACEE3F6" w14:textId="6AAFDAFA" w:rsidR="00F2791D" w:rsidRPr="00F2791D" w:rsidRDefault="00F02F24" w:rsidP="00D25FF9">
      <w:pPr>
        <w:spacing w:before="40" w:after="0" w:line="240" w:lineRule="auto"/>
        <w:ind w:firstLine="851"/>
        <w:jc w:val="both"/>
        <w:rPr>
          <w:rFonts w:ascii="Calibri" w:hAnsi="Calibri" w:cs="Calibri"/>
        </w:rPr>
      </w:pPr>
      <w:r w:rsidRPr="00F02F24">
        <w:rPr>
          <w:rFonts w:ascii="Calibri" w:hAnsi="Calibri" w:cs="Calibri"/>
        </w:rPr>
        <w:t xml:space="preserve">The decision model determines whether two records from different stakeholder views participate in an evidence-supported referent correspondence. Our typology (Martin et al., 2026) introduced direct entity correspondence for records describing the same complete artifact at a common level of decomposition; in these 1:1 cases </w:t>
      </w:r>
      <w:r w:rsidRPr="00B36E54">
        <w:rPr>
          <w:rFonts w:ascii="Consolas" w:hAnsi="Consolas" w:cs="Calibri"/>
          <w:sz w:val="18"/>
          <w:szCs w:val="18"/>
        </w:rPr>
        <w:t>LINKED</w:t>
      </w:r>
      <w:r w:rsidRPr="00F02F24">
        <w:rPr>
          <w:rFonts w:ascii="Calibri" w:hAnsi="Calibri" w:cs="Calibri"/>
        </w:rPr>
        <w:t xml:space="preserve"> denotes that identity. Here we add the validated 1:n case, in which the target set jointly and exhaustively realises the source artifact and coverage is established by evidence rather than assumed; </w:t>
      </w:r>
      <w:r w:rsidRPr="00BA78F4">
        <w:rPr>
          <w:rFonts w:ascii="Consolas" w:hAnsi="Consolas" w:cs="Calibri"/>
          <w:sz w:val="18"/>
          <w:szCs w:val="18"/>
        </w:rPr>
        <w:t>LINKED</w:t>
      </w:r>
      <w:r w:rsidRPr="00F02F24">
        <w:rPr>
          <w:rFonts w:ascii="Calibri" w:hAnsi="Calibri" w:cs="Calibri"/>
        </w:rPr>
        <w:t xml:space="preserve"> then denotes membership in that correspondence and asserts no pairwise identity between the source and each target record. Material layers, containment relations, and reference-only geometry remain outside both types and are deferred or routed to another mapping type.</w:t>
      </w:r>
      <w:r w:rsidR="00FB19AC">
        <w:rPr>
          <w:rFonts w:ascii="Calibri" w:hAnsi="Calibri" w:cs="Calibri"/>
        </w:rPr>
        <w:t xml:space="preserve"> </w:t>
      </w:r>
      <w:r w:rsidR="00F2791D" w:rsidRPr="00F2791D">
        <w:rPr>
          <w:rFonts w:ascii="Calibri" w:hAnsi="Calibri" w:cs="Calibri"/>
        </w:rPr>
        <w:t>The model evaluates non-lexical evidence under precedence rules and returns one of three outcomes.</w:t>
      </w:r>
    </w:p>
    <w:p w14:paraId="6AB7FC71" w14:textId="77777777" w:rsidR="0035548D" w:rsidRPr="00664AEA" w:rsidRDefault="001E0C55">
      <w:pPr>
        <w:spacing w:before="40" w:after="0" w:line="240" w:lineRule="auto"/>
        <w:rPr>
          <w:rFonts w:ascii="Calibri" w:hAnsi="Calibri" w:cs="Calibri"/>
          <w:sz w:val="24"/>
          <w:szCs w:val="24"/>
        </w:rPr>
      </w:pPr>
      <w:r w:rsidRPr="00664AEA">
        <w:rPr>
          <w:rFonts w:ascii="Calibri" w:hAnsi="Calibri" w:cs="Calibri"/>
          <w:b/>
          <w:sz w:val="24"/>
          <w:szCs w:val="24"/>
        </w:rPr>
        <w:t>3.1 Position in the integration pipeline</w:t>
      </w:r>
    </w:p>
    <w:p w14:paraId="07DC6F99" w14:textId="628795BE" w:rsidR="00165999" w:rsidRDefault="00333F4A" w:rsidP="00D25FF9">
      <w:pPr>
        <w:spacing w:after="40" w:line="240" w:lineRule="auto"/>
        <w:ind w:firstLine="851"/>
        <w:jc w:val="both"/>
        <w:rPr>
          <w:rFonts w:ascii="Calibri" w:hAnsi="Calibri" w:cs="Calibri"/>
        </w:rPr>
      </w:pPr>
      <w:r w:rsidRPr="004B5FFC">
        <w:rPr>
          <w:rFonts w:ascii="Calibri" w:hAnsi="Calibri" w:cs="Calibri"/>
        </w:rPr>
        <w:t xml:space="preserve">Cross-view integration proceeds through discovery, alignment, and transformation (Euzenat and Shvaiko, 2013); our typology (Martin et al., 2026) positions five mapping types above this. </w:t>
      </w:r>
      <w:r w:rsidR="001D0262" w:rsidRPr="001D0262">
        <w:rPr>
          <w:rFonts w:ascii="Calibri" w:hAnsi="Calibri" w:cs="Calibri"/>
        </w:rPr>
        <w:t>This paper defines an executable pre-mapping decision model for evidence-supported referent correspondence.</w:t>
      </w:r>
      <w:r w:rsidR="00165999" w:rsidRPr="00165999">
        <w:rPr>
          <w:rFonts w:ascii="Calibri" w:hAnsi="Calibri" w:cs="Calibri"/>
        </w:rPr>
        <w:t xml:space="preserve"> The model runs before attribute alignment, </w:t>
      </w:r>
      <w:r w:rsidR="00BD08C6" w:rsidRPr="00BD08C6">
        <w:rPr>
          <w:rFonts w:ascii="Calibri" w:hAnsi="Calibri" w:cs="Calibri"/>
        </w:rPr>
        <w:t>since attribute-level mapping is not meaningful unless the referent relation between the candidate records is established</w:t>
      </w:r>
      <w:r w:rsidR="00165999" w:rsidRPr="00165999">
        <w:rPr>
          <w:rFonts w:ascii="Calibri" w:hAnsi="Calibri" w:cs="Calibri"/>
        </w:rPr>
        <w:t>; otherwise, the resulting error can propagate silently downstream.</w:t>
      </w:r>
    </w:p>
    <w:p w14:paraId="250B2742" w14:textId="3B08E6A8" w:rsidR="0035548D" w:rsidRPr="004B5FFC" w:rsidRDefault="00595975" w:rsidP="001D6AB3">
      <w:pPr>
        <w:spacing w:before="120" w:after="20" w:line="240" w:lineRule="auto"/>
        <w:ind w:firstLine="851"/>
        <w:jc w:val="both"/>
        <w:rPr>
          <w:rFonts w:ascii="Calibri" w:hAnsi="Calibri" w:cs="Calibri"/>
        </w:rPr>
      </w:pPr>
      <w:r w:rsidRPr="004B5FFC">
        <w:rPr>
          <w:rFonts w:ascii="Calibri" w:hAnsi="Calibri" w:cs="Calibri"/>
          <w:noProof/>
        </w:rPr>
        <w:drawing>
          <wp:anchor distT="0" distB="0" distL="114300" distR="114300" simplePos="0" relativeHeight="251658241" behindDoc="0" locked="0" layoutInCell="1" allowOverlap="1" wp14:anchorId="23CDE03A" wp14:editId="0E78FDA9">
            <wp:simplePos x="0" y="0"/>
            <wp:positionH relativeFrom="margin">
              <wp:align>center</wp:align>
            </wp:positionH>
            <wp:positionV relativeFrom="paragraph">
              <wp:posOffset>1172210</wp:posOffset>
            </wp:positionV>
            <wp:extent cx="5029200" cy="1460500"/>
            <wp:effectExtent l="0" t="0" r="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96DAC541-7B7A-43D3-8B79-37D633B846F1}">
                          <asvg:svgBlip xmlns:asvg="http://schemas.microsoft.com/office/drawing/2016/SVG/main" r:embed="rId12"/>
                        </a:ext>
                      </a:extLst>
                    </a:blip>
                    <a:srcRect l="52" r="52"/>
                    <a:stretch>
                      <a:fillRect/>
                    </a:stretch>
                  </pic:blipFill>
                  <pic:spPr bwMode="auto">
                    <a:xfrm>
                      <a:off x="0" y="0"/>
                      <a:ext cx="5029200" cy="1460500"/>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4293" w:rsidRPr="004B5FFC">
        <w:rPr>
          <w:rFonts w:ascii="Calibri" w:hAnsi="Calibri" w:cs="Calibri"/>
        </w:rPr>
        <w:t xml:space="preserve">Referent resolution acts as a gate before attribute alignment. Each candidate pair is classified as </w:t>
      </w:r>
      <w:r w:rsidR="00994293" w:rsidRPr="00B5140F">
        <w:rPr>
          <w:rFonts w:ascii="Consolas" w:hAnsi="Consolas" w:cs="Calibri"/>
          <w:sz w:val="18"/>
          <w:szCs w:val="18"/>
        </w:rPr>
        <w:t>LINKED</w:t>
      </w:r>
      <w:r w:rsidR="00994293" w:rsidRPr="004B5FFC">
        <w:rPr>
          <w:rFonts w:ascii="Calibri" w:hAnsi="Calibri" w:cs="Calibri"/>
        </w:rPr>
        <w:t xml:space="preserve">, </w:t>
      </w:r>
      <w:r w:rsidR="00994293" w:rsidRPr="00B5140F">
        <w:rPr>
          <w:rFonts w:ascii="Consolas" w:hAnsi="Consolas" w:cs="Calibri"/>
          <w:sz w:val="18"/>
          <w:szCs w:val="18"/>
        </w:rPr>
        <w:t>AMBIGUOUS</w:t>
      </w:r>
      <w:r w:rsidR="00994293" w:rsidRPr="004B5FFC">
        <w:rPr>
          <w:rFonts w:ascii="Calibri" w:hAnsi="Calibri" w:cs="Calibri"/>
        </w:rPr>
        <w:t xml:space="preserve">, or </w:t>
      </w:r>
      <w:r w:rsidR="00994293" w:rsidRPr="00B5140F">
        <w:rPr>
          <w:rFonts w:ascii="Consolas" w:hAnsi="Consolas" w:cs="Calibri"/>
          <w:sz w:val="18"/>
          <w:szCs w:val="18"/>
        </w:rPr>
        <w:t>NOT_LINKED</w:t>
      </w:r>
      <w:r w:rsidR="00994293" w:rsidRPr="004B5FFC">
        <w:rPr>
          <w:rFonts w:ascii="Calibri" w:hAnsi="Calibri" w:cs="Calibri"/>
        </w:rPr>
        <w:t xml:space="preserve">. </w:t>
      </w:r>
      <w:r w:rsidR="00B5140F" w:rsidRPr="00B5140F">
        <w:rPr>
          <w:rFonts w:ascii="Calibri" w:hAnsi="Calibri" w:cs="Calibri"/>
        </w:rPr>
        <w:t xml:space="preserve">Only 1:1 </w:t>
      </w:r>
      <w:r w:rsidR="00B5140F" w:rsidRPr="00B5140F">
        <w:rPr>
          <w:rFonts w:ascii="Consolas" w:hAnsi="Consolas" w:cs="Calibri"/>
          <w:sz w:val="18"/>
          <w:szCs w:val="18"/>
        </w:rPr>
        <w:t>LINKED</w:t>
      </w:r>
      <w:r w:rsidR="00B5140F" w:rsidRPr="00B5140F">
        <w:rPr>
          <w:rFonts w:ascii="Calibri" w:hAnsi="Calibri" w:cs="Calibri"/>
        </w:rPr>
        <w:t xml:space="preserve"> pairs proceed directly to attribute alignment; 1:n correspondences carry their group relation forward and require an explicit aggregation or distribution rule downstream. </w:t>
      </w:r>
      <w:r w:rsidR="00B5140F" w:rsidRPr="00B5140F">
        <w:rPr>
          <w:rFonts w:ascii="Consolas" w:hAnsi="Consolas" w:cs="Calibri"/>
          <w:sz w:val="18"/>
          <w:szCs w:val="18"/>
        </w:rPr>
        <w:t>NOT_LINKED</w:t>
      </w:r>
      <w:r w:rsidR="00B5140F" w:rsidRPr="00B5140F">
        <w:rPr>
          <w:rFonts w:ascii="Calibri" w:hAnsi="Calibri" w:cs="Calibri"/>
        </w:rPr>
        <w:t xml:space="preserve"> pairs are logged and reported to the user.</w:t>
      </w:r>
      <w:r w:rsidR="00575C78" w:rsidRPr="409869C6">
        <w:rPr>
          <w:rFonts w:ascii="Calibri" w:hAnsi="Calibri" w:cs="Calibri"/>
        </w:rPr>
        <w:t xml:space="preserve"> </w:t>
      </w:r>
      <w:r w:rsidR="00575C78" w:rsidRPr="00B5140F">
        <w:rPr>
          <w:rFonts w:ascii="Consolas" w:hAnsi="Consolas" w:cs="Calibri"/>
          <w:sz w:val="18"/>
          <w:szCs w:val="18"/>
        </w:rPr>
        <w:t>AMBIGUOUS</w:t>
      </w:r>
      <w:r w:rsidR="00575C78" w:rsidRPr="00575C78">
        <w:rPr>
          <w:rFonts w:ascii="Calibri" w:hAnsi="Calibri" w:cs="Calibri"/>
        </w:rPr>
        <w:t xml:space="preserve"> cases are routed to human review, but they are not passed on as unstructured exceptions: the model provides a suggested </w:t>
      </w:r>
      <w:r w:rsidR="008E50EA">
        <w:rPr>
          <w:rFonts w:ascii="Calibri" w:hAnsi="Calibri" w:cs="Calibri"/>
        </w:rPr>
        <w:t>label</w:t>
      </w:r>
      <w:r w:rsidR="00575C78" w:rsidRPr="00575C78">
        <w:rPr>
          <w:rFonts w:ascii="Calibri" w:hAnsi="Calibri" w:cs="Calibri"/>
        </w:rPr>
        <w:t xml:space="preserve"> together with the evidence pattern that led to deferral. </w:t>
      </w:r>
      <w:r w:rsidR="00575C78" w:rsidRPr="001D6AB3">
        <w:rPr>
          <w:rFonts w:ascii="Calibri" w:hAnsi="Calibri" w:cs="Calibri"/>
        </w:rPr>
        <w:t>Figure 1</w:t>
      </w:r>
      <w:r w:rsidR="00575C78" w:rsidRPr="00575C78">
        <w:rPr>
          <w:rFonts w:ascii="Calibri" w:hAnsi="Calibri" w:cs="Calibri"/>
        </w:rPr>
        <w:t xml:space="preserve"> shows the pipeline position.</w:t>
      </w:r>
    </w:p>
    <w:p w14:paraId="5299FAA8" w14:textId="43746F4A" w:rsidR="00575C78" w:rsidRDefault="001E0C55" w:rsidP="00575C78">
      <w:pPr>
        <w:spacing w:before="20" w:after="80" w:line="240" w:lineRule="auto"/>
        <w:jc w:val="center"/>
        <w:rPr>
          <w:rFonts w:ascii="Calibri" w:hAnsi="Calibri" w:cs="Calibri"/>
          <w:i/>
          <w:sz w:val="20"/>
        </w:rPr>
      </w:pPr>
      <w:r w:rsidRPr="004B5FFC">
        <w:rPr>
          <w:rFonts w:ascii="Calibri" w:hAnsi="Calibri" w:cs="Calibri"/>
          <w:i/>
          <w:sz w:val="20"/>
        </w:rPr>
        <w:t>Figure 1: The evidence-based decision model as a gating stage between candidate generation and downstream actions.</w:t>
      </w:r>
    </w:p>
    <w:p w14:paraId="62354B60" w14:textId="77777777" w:rsidR="00575C78" w:rsidRPr="00664AEA" w:rsidRDefault="001E0C55" w:rsidP="00575C78">
      <w:pPr>
        <w:spacing w:before="40" w:after="0" w:line="240" w:lineRule="auto"/>
        <w:rPr>
          <w:rFonts w:ascii="Calibri" w:hAnsi="Calibri" w:cs="Calibri"/>
          <w:b/>
          <w:sz w:val="24"/>
          <w:szCs w:val="24"/>
        </w:rPr>
      </w:pPr>
      <w:r w:rsidRPr="00664AEA">
        <w:rPr>
          <w:rFonts w:ascii="Calibri" w:hAnsi="Calibri" w:cs="Calibri"/>
          <w:b/>
          <w:sz w:val="24"/>
          <w:szCs w:val="24"/>
        </w:rPr>
        <w:t>3.2 Evidence signals</w:t>
      </w:r>
    </w:p>
    <w:p w14:paraId="3C39C78F" w14:textId="28989D43" w:rsidR="00D25FF9" w:rsidRDefault="00EE2E9C" w:rsidP="004C1EBC">
      <w:pPr>
        <w:spacing w:before="20" w:after="80" w:line="240" w:lineRule="auto"/>
        <w:ind w:firstLine="851"/>
        <w:jc w:val="both"/>
        <w:rPr>
          <w:rFonts w:ascii="Calibri" w:hAnsi="Calibri" w:cs="Calibri"/>
        </w:rPr>
      </w:pPr>
      <w:r w:rsidRPr="00EE2E9C">
        <w:rPr>
          <w:rFonts w:ascii="Calibri" w:hAnsi="Calibri" w:cs="Calibri"/>
        </w:rPr>
        <w:t xml:space="preserve">The model evaluates four non-lexical evidence classes, meaning evidence not derived from names, labels, or text similarity: persistent identifiers, spatial context, type coherence, and boundary checks. These evidence classes remain usable despite export-induced changes, tool-specific modeling conventions, and federated delivery structures. </w:t>
      </w:r>
      <w:r w:rsidRPr="001F4621">
        <w:rPr>
          <w:rFonts w:ascii="Calibri" w:hAnsi="Calibri" w:cs="Calibri"/>
          <w:i/>
          <w:iCs/>
        </w:rPr>
        <w:t>Table 1</w:t>
      </w:r>
      <w:r w:rsidRPr="00EE2E9C">
        <w:rPr>
          <w:rFonts w:ascii="Calibri" w:hAnsi="Calibri" w:cs="Calibri"/>
        </w:rPr>
        <w:t xml:space="preserve"> summarizes them with their IFC anchors, strengths, and limitations.</w:t>
      </w:r>
    </w:p>
    <w:p w14:paraId="7914DCA3" w14:textId="77777777" w:rsidR="00F02F24" w:rsidRDefault="00F02F24" w:rsidP="00BD08C6">
      <w:pPr>
        <w:spacing w:before="20" w:after="80" w:line="240" w:lineRule="auto"/>
        <w:jc w:val="both"/>
        <w:rPr>
          <w:rFonts w:ascii="Calibri" w:hAnsi="Calibri" w:cs="Calibri"/>
        </w:rPr>
      </w:pPr>
    </w:p>
    <w:p w14:paraId="210BF27C" w14:textId="0C93B57A" w:rsidR="0035548D" w:rsidRPr="004B5FFC" w:rsidRDefault="001E0C55" w:rsidP="00BF7C64">
      <w:pPr>
        <w:spacing w:before="20" w:after="80" w:line="240" w:lineRule="auto"/>
        <w:jc w:val="center"/>
        <w:rPr>
          <w:rFonts w:ascii="Calibri" w:hAnsi="Calibri" w:cs="Calibri"/>
        </w:rPr>
      </w:pPr>
      <w:r w:rsidRPr="004B5FFC">
        <w:rPr>
          <w:rFonts w:ascii="Calibri" w:hAnsi="Calibri" w:cs="Calibri"/>
          <w:i/>
          <w:sz w:val="20"/>
        </w:rPr>
        <w:lastRenderedPageBreak/>
        <w:t>Table 1: Evidence signal classes used in the decision model.</w:t>
      </w:r>
    </w:p>
    <w:tbl>
      <w:tblPr>
        <w:tblW w:w="0" w:type="auto"/>
        <w:tblLook w:val="04A0" w:firstRow="1" w:lastRow="0" w:firstColumn="1" w:lastColumn="0" w:noHBand="0" w:noVBand="1"/>
      </w:tblPr>
      <w:tblGrid>
        <w:gridCol w:w="1125"/>
        <w:gridCol w:w="134"/>
        <w:gridCol w:w="1860"/>
        <w:gridCol w:w="215"/>
        <w:gridCol w:w="2620"/>
        <w:gridCol w:w="1984"/>
        <w:gridCol w:w="1928"/>
      </w:tblGrid>
      <w:tr w:rsidR="0035548D" w:rsidRPr="004B5FFC" w14:paraId="28E38029" w14:textId="77777777" w:rsidTr="00D104AF">
        <w:tc>
          <w:tcPr>
            <w:tcW w:w="1125" w:type="dxa"/>
            <w:tcBorders>
              <w:top w:val="single" w:sz="4" w:space="0" w:color="auto"/>
              <w:bottom w:val="single" w:sz="4" w:space="0" w:color="auto"/>
            </w:tcBorders>
          </w:tcPr>
          <w:p w14:paraId="62625331"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b/>
                <w:sz w:val="18"/>
                <w:szCs w:val="18"/>
              </w:rPr>
              <w:t>Signal class</w:t>
            </w:r>
          </w:p>
        </w:tc>
        <w:tc>
          <w:tcPr>
            <w:tcW w:w="1994" w:type="dxa"/>
            <w:gridSpan w:val="2"/>
            <w:tcBorders>
              <w:top w:val="single" w:sz="4" w:space="0" w:color="auto"/>
              <w:bottom w:val="single" w:sz="4" w:space="0" w:color="auto"/>
            </w:tcBorders>
          </w:tcPr>
          <w:p w14:paraId="711E57F6"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b/>
                <w:sz w:val="18"/>
                <w:szCs w:val="18"/>
              </w:rPr>
              <w:t>What it measures</w:t>
            </w:r>
          </w:p>
        </w:tc>
        <w:tc>
          <w:tcPr>
            <w:tcW w:w="2835" w:type="dxa"/>
            <w:gridSpan w:val="2"/>
            <w:tcBorders>
              <w:top w:val="single" w:sz="4" w:space="0" w:color="auto"/>
              <w:bottom w:val="single" w:sz="4" w:space="0" w:color="auto"/>
            </w:tcBorders>
          </w:tcPr>
          <w:p w14:paraId="34217E6A"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b/>
                <w:sz w:val="18"/>
                <w:szCs w:val="18"/>
              </w:rPr>
              <w:t>Typical IFC anchors</w:t>
            </w:r>
          </w:p>
        </w:tc>
        <w:tc>
          <w:tcPr>
            <w:tcW w:w="1984" w:type="dxa"/>
            <w:tcBorders>
              <w:top w:val="single" w:sz="4" w:space="0" w:color="auto"/>
              <w:bottom w:val="single" w:sz="4" w:space="0" w:color="auto"/>
            </w:tcBorders>
          </w:tcPr>
          <w:p w14:paraId="03FB80B4"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b/>
                <w:sz w:val="18"/>
                <w:szCs w:val="18"/>
              </w:rPr>
              <w:t>Strengths</w:t>
            </w:r>
          </w:p>
        </w:tc>
        <w:tc>
          <w:tcPr>
            <w:tcW w:w="1928" w:type="dxa"/>
            <w:tcBorders>
              <w:top w:val="single" w:sz="4" w:space="0" w:color="auto"/>
              <w:bottom w:val="single" w:sz="4" w:space="0" w:color="auto"/>
            </w:tcBorders>
          </w:tcPr>
          <w:p w14:paraId="628524D9"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b/>
                <w:sz w:val="18"/>
                <w:szCs w:val="18"/>
              </w:rPr>
              <w:t>Limitations</w:t>
            </w:r>
          </w:p>
        </w:tc>
      </w:tr>
      <w:tr w:rsidR="0035548D" w:rsidRPr="004B5FFC" w14:paraId="252816FF" w14:textId="77777777" w:rsidTr="00D104AF">
        <w:tc>
          <w:tcPr>
            <w:tcW w:w="1125" w:type="dxa"/>
            <w:tcBorders>
              <w:top w:val="single" w:sz="4" w:space="0" w:color="auto"/>
            </w:tcBorders>
          </w:tcPr>
          <w:p w14:paraId="3AB86AE1"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Persistent identifier</w:t>
            </w:r>
          </w:p>
        </w:tc>
        <w:tc>
          <w:tcPr>
            <w:tcW w:w="1994" w:type="dxa"/>
            <w:gridSpan w:val="2"/>
            <w:tcBorders>
              <w:top w:val="single" w:sz="4" w:space="0" w:color="auto"/>
            </w:tcBorders>
          </w:tcPr>
          <w:p w14:paraId="35AE938A"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Existence and agreement of a stable cross-system identifier</w:t>
            </w:r>
          </w:p>
          <w:p w14:paraId="4FE9063D" w14:textId="77777777" w:rsidR="00626490" w:rsidRPr="00481A76" w:rsidRDefault="00626490" w:rsidP="00BF7C64">
            <w:pPr>
              <w:spacing w:after="0" w:line="240" w:lineRule="auto"/>
              <w:jc w:val="center"/>
              <w:rPr>
                <w:rFonts w:ascii="Calibri" w:hAnsi="Calibri" w:cs="Calibri"/>
                <w:sz w:val="18"/>
                <w:szCs w:val="18"/>
              </w:rPr>
            </w:pPr>
          </w:p>
        </w:tc>
        <w:tc>
          <w:tcPr>
            <w:tcW w:w="2835" w:type="dxa"/>
            <w:gridSpan w:val="2"/>
            <w:tcBorders>
              <w:top w:val="single" w:sz="4" w:space="0" w:color="auto"/>
            </w:tcBorders>
          </w:tcPr>
          <w:p w14:paraId="39A13D75" w14:textId="02CD5EDD"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 xml:space="preserve">IfcRoot.GlobalId, </w:t>
            </w:r>
            <w:r w:rsidR="00072AB9">
              <w:rPr>
                <w:rFonts w:ascii="Calibri" w:hAnsi="Calibri" w:cs="Calibri"/>
                <w:sz w:val="18"/>
                <w:szCs w:val="18"/>
              </w:rPr>
              <w:t>IfcElement.</w:t>
            </w:r>
            <w:r w:rsidRPr="00481A76">
              <w:rPr>
                <w:rFonts w:ascii="Calibri" w:hAnsi="Calibri" w:cs="Calibri"/>
                <w:sz w:val="18"/>
                <w:szCs w:val="18"/>
              </w:rPr>
              <w:t>Tag, externally maintained asset IDs</w:t>
            </w:r>
          </w:p>
        </w:tc>
        <w:tc>
          <w:tcPr>
            <w:tcW w:w="1984" w:type="dxa"/>
            <w:tcBorders>
              <w:top w:val="single" w:sz="4" w:space="0" w:color="auto"/>
            </w:tcBorders>
          </w:tcPr>
          <w:p w14:paraId="79BF8F89" w14:textId="120378B9"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Decisive when present</w:t>
            </w:r>
            <w:r w:rsidR="00D104AF">
              <w:rPr>
                <w:rFonts w:ascii="Calibri" w:hAnsi="Calibri" w:cs="Calibri"/>
                <w:sz w:val="18"/>
                <w:szCs w:val="18"/>
              </w:rPr>
              <w:t>,</w:t>
            </w:r>
            <w:r w:rsidRPr="00481A76">
              <w:rPr>
                <w:rFonts w:ascii="Calibri" w:hAnsi="Calibri" w:cs="Calibri"/>
                <w:sz w:val="18"/>
                <w:szCs w:val="18"/>
              </w:rPr>
              <w:t xml:space="preserve"> stable</w:t>
            </w:r>
            <w:r w:rsidR="00D104AF">
              <w:rPr>
                <w:rFonts w:ascii="Calibri" w:hAnsi="Calibri" w:cs="Calibri"/>
                <w:sz w:val="18"/>
                <w:szCs w:val="18"/>
              </w:rPr>
              <w:t xml:space="preserve"> and unique</w:t>
            </w:r>
            <w:r w:rsidRPr="00481A76">
              <w:rPr>
                <w:rFonts w:ascii="Calibri" w:hAnsi="Calibri" w:cs="Calibri"/>
                <w:sz w:val="18"/>
                <w:szCs w:val="18"/>
              </w:rPr>
              <w:t xml:space="preserve">; </w:t>
            </w:r>
            <w:r w:rsidR="003B47C9">
              <w:rPr>
                <w:rFonts w:ascii="Calibri" w:hAnsi="Calibri" w:cs="Calibri"/>
                <w:sz w:val="18"/>
                <w:szCs w:val="18"/>
              </w:rPr>
              <w:t>conflicts</w:t>
            </w:r>
            <w:r w:rsidR="00D104AF">
              <w:rPr>
                <w:rFonts w:ascii="Calibri" w:hAnsi="Calibri" w:cs="Calibri"/>
                <w:sz w:val="18"/>
                <w:szCs w:val="18"/>
              </w:rPr>
              <w:t xml:space="preserve"> must be detected explicitly</w:t>
            </w:r>
          </w:p>
        </w:tc>
        <w:tc>
          <w:tcPr>
            <w:tcW w:w="1928" w:type="dxa"/>
            <w:tcBorders>
              <w:top w:val="single" w:sz="4" w:space="0" w:color="auto"/>
            </w:tcBorders>
          </w:tcPr>
          <w:p w14:paraId="44F27966"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Frequently absent, regenerated on re-export, or system-local</w:t>
            </w:r>
          </w:p>
        </w:tc>
      </w:tr>
      <w:tr w:rsidR="0035548D" w:rsidRPr="004B5FFC" w14:paraId="01276BC2" w14:textId="77777777" w:rsidTr="00D104AF">
        <w:tc>
          <w:tcPr>
            <w:tcW w:w="1259" w:type="dxa"/>
            <w:gridSpan w:val="2"/>
          </w:tcPr>
          <w:p w14:paraId="0E06FF6B"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Spatial context</w:t>
            </w:r>
          </w:p>
        </w:tc>
        <w:tc>
          <w:tcPr>
            <w:tcW w:w="1860" w:type="dxa"/>
          </w:tcPr>
          <w:p w14:paraId="3D8169FD"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Co-location through containment and positional consistency</w:t>
            </w:r>
          </w:p>
        </w:tc>
        <w:tc>
          <w:tcPr>
            <w:tcW w:w="2835" w:type="dxa"/>
            <w:gridSpan w:val="2"/>
          </w:tcPr>
          <w:p w14:paraId="28CBD8A4"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IfcRelContainedInSpatialStructure, local placement, bounding-box overlap, IfcRelSpaceBoundary</w:t>
            </w:r>
          </w:p>
        </w:tc>
        <w:tc>
          <w:tcPr>
            <w:tcW w:w="1984" w:type="dxa"/>
          </w:tcPr>
          <w:p w14:paraId="2F42DB3A"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Robust against label drift; meaningful across federations</w:t>
            </w:r>
          </w:p>
        </w:tc>
        <w:tc>
          <w:tcPr>
            <w:tcW w:w="1928" w:type="dxa"/>
          </w:tcPr>
          <w:p w14:paraId="27306A8D"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Tolerances must be set explicitly; positional ambiguity in symmetric layouts</w:t>
            </w:r>
          </w:p>
          <w:p w14:paraId="32E11D22" w14:textId="77777777" w:rsidR="00626490" w:rsidRPr="00481A76" w:rsidRDefault="00626490" w:rsidP="00BF7C64">
            <w:pPr>
              <w:spacing w:after="0" w:line="240" w:lineRule="auto"/>
              <w:jc w:val="center"/>
              <w:rPr>
                <w:rFonts w:ascii="Calibri" w:hAnsi="Calibri" w:cs="Calibri"/>
                <w:sz w:val="18"/>
                <w:szCs w:val="18"/>
              </w:rPr>
            </w:pPr>
          </w:p>
        </w:tc>
      </w:tr>
      <w:tr w:rsidR="0035548D" w:rsidRPr="004B5FFC" w14:paraId="57242F3C" w14:textId="77777777" w:rsidTr="00D104AF">
        <w:tc>
          <w:tcPr>
            <w:tcW w:w="1259" w:type="dxa"/>
            <w:gridSpan w:val="2"/>
          </w:tcPr>
          <w:p w14:paraId="605DB31D"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Type coherence</w:t>
            </w:r>
          </w:p>
        </w:tc>
        <w:tc>
          <w:tcPr>
            <w:tcW w:w="1860" w:type="dxa"/>
          </w:tcPr>
          <w:p w14:paraId="05AD3DE0"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Agreement of typological information beyond labels</w:t>
            </w:r>
          </w:p>
        </w:tc>
        <w:tc>
          <w:tcPr>
            <w:tcW w:w="2835" w:type="dxa"/>
            <w:gridSpan w:val="2"/>
          </w:tcPr>
          <w:p w14:paraId="622B6D40"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PredefinedType, ObjectType, IfcClassificationReference (Uniclass, OmniClass), material categories</w:t>
            </w:r>
          </w:p>
        </w:tc>
        <w:tc>
          <w:tcPr>
            <w:tcW w:w="1984" w:type="dxa"/>
          </w:tcPr>
          <w:p w14:paraId="370B16E7"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Effective for exclusion rules; usable when names diverge</w:t>
            </w:r>
          </w:p>
        </w:tc>
        <w:tc>
          <w:tcPr>
            <w:tcW w:w="1928" w:type="dxa"/>
          </w:tcPr>
          <w:p w14:paraId="194253C2"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Tools differ in how strictly they populate predefined types and classifications</w:t>
            </w:r>
          </w:p>
          <w:p w14:paraId="3F7A6FEA" w14:textId="77777777" w:rsidR="00626490" w:rsidRPr="00481A76" w:rsidRDefault="00626490" w:rsidP="00BF7C64">
            <w:pPr>
              <w:spacing w:after="0" w:line="240" w:lineRule="auto"/>
              <w:jc w:val="center"/>
              <w:rPr>
                <w:rFonts w:ascii="Calibri" w:hAnsi="Calibri" w:cs="Calibri"/>
                <w:sz w:val="18"/>
                <w:szCs w:val="18"/>
              </w:rPr>
            </w:pPr>
          </w:p>
        </w:tc>
      </w:tr>
      <w:tr w:rsidR="0035548D" w:rsidRPr="004B5FFC" w14:paraId="6D8C0451" w14:textId="77777777" w:rsidTr="00D104AF">
        <w:tc>
          <w:tcPr>
            <w:tcW w:w="1259" w:type="dxa"/>
            <w:gridSpan w:val="2"/>
            <w:tcBorders>
              <w:bottom w:val="single" w:sz="4" w:space="0" w:color="auto"/>
            </w:tcBorders>
          </w:tcPr>
          <w:p w14:paraId="2234F8B9" w14:textId="50843712"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 xml:space="preserve">Boundary </w:t>
            </w:r>
            <w:r w:rsidR="00BB7FEC" w:rsidRPr="00481A76">
              <w:rPr>
                <w:rFonts w:ascii="Calibri" w:hAnsi="Calibri" w:cs="Calibri"/>
                <w:sz w:val="18"/>
                <w:szCs w:val="18"/>
              </w:rPr>
              <w:t>check</w:t>
            </w:r>
          </w:p>
        </w:tc>
        <w:tc>
          <w:tcPr>
            <w:tcW w:w="1860" w:type="dxa"/>
            <w:tcBorders>
              <w:bottom w:val="single" w:sz="4" w:space="0" w:color="auto"/>
            </w:tcBorders>
          </w:tcPr>
          <w:p w14:paraId="6536A892"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Compatibility of part-whole and granularity decisions</w:t>
            </w:r>
          </w:p>
        </w:tc>
        <w:tc>
          <w:tcPr>
            <w:tcW w:w="2835" w:type="dxa"/>
            <w:gridSpan w:val="2"/>
            <w:tcBorders>
              <w:bottom w:val="single" w:sz="4" w:space="0" w:color="auto"/>
            </w:tcBorders>
          </w:tcPr>
          <w:p w14:paraId="7CEDE14C" w14:textId="7A9CF705"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 xml:space="preserve">IfcRelAggregates, IfcElementAssembly, </w:t>
            </w:r>
            <w:r w:rsidR="009B533E">
              <w:rPr>
                <w:rFonts w:ascii="Calibri" w:hAnsi="Calibri" w:cs="Calibri"/>
                <w:sz w:val="18"/>
                <w:szCs w:val="18"/>
              </w:rPr>
              <w:t xml:space="preserve">Qto width/area/volume </w:t>
            </w:r>
            <w:r w:rsidRPr="00481A76">
              <w:rPr>
                <w:rFonts w:ascii="Calibri" w:hAnsi="Calibri" w:cs="Calibri"/>
                <w:sz w:val="18"/>
                <w:szCs w:val="18"/>
              </w:rPr>
              <w:t>consistency</w:t>
            </w:r>
          </w:p>
        </w:tc>
        <w:tc>
          <w:tcPr>
            <w:tcW w:w="1984" w:type="dxa"/>
            <w:tcBorders>
              <w:bottom w:val="single" w:sz="4" w:space="0" w:color="auto"/>
            </w:tcBorders>
          </w:tcPr>
          <w:p w14:paraId="4CE90EE7"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Captures split-and-merge and layer-versus-entity cases that defeat other signals</w:t>
            </w:r>
          </w:p>
        </w:tc>
        <w:tc>
          <w:tcPr>
            <w:tcW w:w="1928" w:type="dxa"/>
            <w:tcBorders>
              <w:bottom w:val="single" w:sz="4" w:space="0" w:color="auto"/>
            </w:tcBorders>
          </w:tcPr>
          <w:p w14:paraId="23ED9C25" w14:textId="77777777" w:rsidR="0035548D" w:rsidRPr="00481A76" w:rsidRDefault="001E0C55" w:rsidP="00BF7C64">
            <w:pPr>
              <w:spacing w:after="0" w:line="240" w:lineRule="auto"/>
              <w:jc w:val="center"/>
              <w:rPr>
                <w:rFonts w:ascii="Calibri" w:hAnsi="Calibri" w:cs="Calibri"/>
                <w:sz w:val="18"/>
                <w:szCs w:val="18"/>
              </w:rPr>
            </w:pPr>
            <w:r w:rsidRPr="00481A76">
              <w:rPr>
                <w:rFonts w:ascii="Calibri" w:hAnsi="Calibri" w:cs="Calibri"/>
                <w:sz w:val="18"/>
                <w:szCs w:val="18"/>
              </w:rPr>
              <w:t>Domain-specific; requires aggregation logic to compare a single record against a set</w:t>
            </w:r>
          </w:p>
        </w:tc>
      </w:tr>
      <w:tr w:rsidR="004A31DB" w:rsidRPr="004B5FFC" w14:paraId="6BCC4E9B" w14:textId="77777777" w:rsidTr="00D104AF">
        <w:tc>
          <w:tcPr>
            <w:tcW w:w="1259" w:type="dxa"/>
            <w:gridSpan w:val="2"/>
            <w:tcBorders>
              <w:top w:val="single" w:sz="4" w:space="0" w:color="auto"/>
            </w:tcBorders>
          </w:tcPr>
          <w:p w14:paraId="14850512" w14:textId="77777777" w:rsidR="004A31DB" w:rsidRPr="004B5FFC" w:rsidRDefault="004A31DB">
            <w:pPr>
              <w:spacing w:after="0" w:line="240" w:lineRule="auto"/>
              <w:rPr>
                <w:rFonts w:ascii="Calibri" w:hAnsi="Calibri" w:cs="Calibri"/>
                <w:sz w:val="18"/>
              </w:rPr>
            </w:pPr>
          </w:p>
        </w:tc>
        <w:tc>
          <w:tcPr>
            <w:tcW w:w="2075" w:type="dxa"/>
            <w:gridSpan w:val="2"/>
            <w:tcBorders>
              <w:top w:val="single" w:sz="4" w:space="0" w:color="auto"/>
            </w:tcBorders>
          </w:tcPr>
          <w:p w14:paraId="4E203212" w14:textId="77777777" w:rsidR="004A31DB" w:rsidRPr="004B5FFC" w:rsidRDefault="004A31DB">
            <w:pPr>
              <w:spacing w:after="0" w:line="240" w:lineRule="auto"/>
              <w:rPr>
                <w:rFonts w:ascii="Calibri" w:hAnsi="Calibri" w:cs="Calibri"/>
                <w:sz w:val="18"/>
              </w:rPr>
            </w:pPr>
          </w:p>
        </w:tc>
        <w:tc>
          <w:tcPr>
            <w:tcW w:w="2620" w:type="dxa"/>
            <w:tcBorders>
              <w:top w:val="single" w:sz="4" w:space="0" w:color="auto"/>
            </w:tcBorders>
          </w:tcPr>
          <w:p w14:paraId="442DAEA9" w14:textId="77777777" w:rsidR="004A31DB" w:rsidRPr="004B5FFC" w:rsidRDefault="004A31DB">
            <w:pPr>
              <w:spacing w:after="0" w:line="240" w:lineRule="auto"/>
              <w:rPr>
                <w:rFonts w:ascii="Calibri" w:hAnsi="Calibri" w:cs="Calibri"/>
                <w:sz w:val="18"/>
              </w:rPr>
            </w:pPr>
          </w:p>
        </w:tc>
        <w:tc>
          <w:tcPr>
            <w:tcW w:w="1984" w:type="dxa"/>
            <w:tcBorders>
              <w:top w:val="single" w:sz="4" w:space="0" w:color="auto"/>
            </w:tcBorders>
          </w:tcPr>
          <w:p w14:paraId="2792663C" w14:textId="77777777" w:rsidR="004A31DB" w:rsidRPr="004B5FFC" w:rsidRDefault="004A31DB">
            <w:pPr>
              <w:spacing w:after="0" w:line="240" w:lineRule="auto"/>
              <w:rPr>
                <w:rFonts w:ascii="Calibri" w:hAnsi="Calibri" w:cs="Calibri"/>
                <w:sz w:val="18"/>
              </w:rPr>
            </w:pPr>
          </w:p>
        </w:tc>
        <w:tc>
          <w:tcPr>
            <w:tcW w:w="1928" w:type="dxa"/>
            <w:tcBorders>
              <w:top w:val="single" w:sz="4" w:space="0" w:color="auto"/>
            </w:tcBorders>
          </w:tcPr>
          <w:p w14:paraId="3668C14C" w14:textId="77777777" w:rsidR="004A31DB" w:rsidRPr="004B5FFC" w:rsidRDefault="004A31DB">
            <w:pPr>
              <w:spacing w:after="0" w:line="240" w:lineRule="auto"/>
              <w:rPr>
                <w:rFonts w:ascii="Calibri" w:hAnsi="Calibri" w:cs="Calibri"/>
                <w:sz w:val="18"/>
              </w:rPr>
            </w:pPr>
          </w:p>
        </w:tc>
      </w:tr>
    </w:tbl>
    <w:p w14:paraId="2F8E7F34" w14:textId="2A2030A3" w:rsidR="0035548D" w:rsidRPr="004B5FFC" w:rsidRDefault="001E0C55" w:rsidP="00D25FF9">
      <w:pPr>
        <w:spacing w:after="40" w:line="240" w:lineRule="auto"/>
        <w:ind w:firstLine="851"/>
        <w:jc w:val="both"/>
        <w:rPr>
          <w:rFonts w:ascii="Calibri" w:hAnsi="Calibri" w:cs="Calibri"/>
        </w:rPr>
      </w:pPr>
      <w:r w:rsidRPr="004B5FFC">
        <w:rPr>
          <w:rFonts w:ascii="Calibri" w:hAnsi="Calibri" w:cs="Calibri"/>
        </w:rPr>
        <w:t xml:space="preserve">Lexical similarity, on which our prior baseline relies, is excluded from the signal set. The similarity-driven baseline produced a high-confidence label match between an </w:t>
      </w:r>
      <w:r w:rsidRPr="001F5666">
        <w:rPr>
          <w:rFonts w:ascii="Consolas" w:hAnsi="Consolas" w:cs="Calibri"/>
          <w:sz w:val="18"/>
          <w:szCs w:val="20"/>
        </w:rPr>
        <w:t>IfcCovering</w:t>
      </w:r>
      <w:r w:rsidRPr="004B5FFC">
        <w:rPr>
          <w:rFonts w:ascii="Calibri" w:hAnsi="Calibri" w:cs="Calibri"/>
        </w:rPr>
        <w:t xml:space="preserve"> and an </w:t>
      </w:r>
      <w:r w:rsidRPr="001F5666">
        <w:rPr>
          <w:rFonts w:ascii="Consolas" w:hAnsi="Consolas" w:cs="Calibri"/>
          <w:sz w:val="18"/>
          <w:szCs w:val="20"/>
        </w:rPr>
        <w:t>IfcSlab</w:t>
      </w:r>
      <w:r w:rsidRPr="004B5FFC">
        <w:rPr>
          <w:rFonts w:ascii="Calibri" w:hAnsi="Calibri" w:cs="Calibri"/>
        </w:rPr>
        <w:t xml:space="preserve"> from the same project. Because the two records belong to different classes and refer to different physical artifacts, the example shows why lexical evidence alone is unsafe for referent-level decisions.</w:t>
      </w:r>
    </w:p>
    <w:p w14:paraId="08B2B766" w14:textId="64DFCA85" w:rsidR="0035548D" w:rsidRPr="004B5FFC" w:rsidRDefault="001E0C55" w:rsidP="00D25FF9">
      <w:pPr>
        <w:spacing w:after="40" w:line="240" w:lineRule="auto"/>
        <w:ind w:firstLine="851"/>
        <w:jc w:val="both"/>
        <w:rPr>
          <w:rFonts w:ascii="Calibri" w:hAnsi="Calibri" w:cs="Calibri"/>
        </w:rPr>
      </w:pPr>
      <w:r w:rsidRPr="004B5FFC">
        <w:rPr>
          <w:rFonts w:ascii="Calibri" w:hAnsi="Calibri" w:cs="Calibri"/>
        </w:rPr>
        <w:t xml:space="preserve">Each signal returns a value in </w:t>
      </w:r>
      <w:r w:rsidRPr="001F5666">
        <w:rPr>
          <w:rFonts w:ascii="Calibri" w:hAnsi="Calibri" w:cs="Calibri"/>
          <w:i/>
          <w:iCs/>
        </w:rPr>
        <w:t>[0, 1].</w:t>
      </w:r>
      <w:r w:rsidRPr="004B5FFC">
        <w:rPr>
          <w:rFonts w:ascii="Calibri" w:hAnsi="Calibri" w:cs="Calibri"/>
        </w:rPr>
        <w:t xml:space="preserve"> A persistent identifier yields 1 when both records share the same stable ID, </w:t>
      </w:r>
      <w:r w:rsidRPr="00C54D6A">
        <w:rPr>
          <w:rFonts w:ascii="Calibri" w:hAnsi="Calibri" w:cs="Calibri"/>
          <w:i/>
          <w:iCs/>
        </w:rPr>
        <w:t>0</w:t>
      </w:r>
      <w:r w:rsidRPr="004B5FFC">
        <w:rPr>
          <w:rFonts w:ascii="Calibri" w:hAnsi="Calibri" w:cs="Calibri"/>
        </w:rPr>
        <w:t xml:space="preserve"> otherwise, </w:t>
      </w:r>
      <w:r w:rsidR="002E3412" w:rsidRPr="002E3412">
        <w:rPr>
          <w:rFonts w:ascii="Calibri" w:hAnsi="Calibri" w:cs="Calibri"/>
        </w:rPr>
        <w:t>with a flag on conflicting identifiers.</w:t>
      </w:r>
      <w:r w:rsidR="002E3412">
        <w:rPr>
          <w:rFonts w:ascii="Calibri" w:hAnsi="Calibri" w:cs="Calibri"/>
        </w:rPr>
        <w:t xml:space="preserve"> </w:t>
      </w:r>
      <w:r w:rsidRPr="004B5FFC">
        <w:rPr>
          <w:rFonts w:ascii="Calibri" w:hAnsi="Calibri" w:cs="Calibri"/>
        </w:rPr>
        <w:t xml:space="preserve">The spatial signal combines containment and a position-based score from centroid distance normalized by a floor-extent tolerance. Type coherence aggregates predefined-type, classification-code, and object-type agreement. The boundary </w:t>
      </w:r>
      <w:r w:rsidR="00BB7FEC">
        <w:rPr>
          <w:rFonts w:ascii="Calibri" w:hAnsi="Calibri" w:cs="Calibri"/>
        </w:rPr>
        <w:t>check</w:t>
      </w:r>
      <w:r w:rsidRPr="004B5FFC">
        <w:rPr>
          <w:rFonts w:ascii="Calibri" w:hAnsi="Calibri" w:cs="Calibri"/>
        </w:rPr>
        <w:t xml:space="preserve"> returns the maximum of a 1-to-1 score </w:t>
      </w:r>
      <w:r w:rsidR="00294359" w:rsidRPr="00294359">
        <w:rPr>
          <w:rFonts w:ascii="Calibri" w:hAnsi="Calibri" w:cs="Calibri"/>
        </w:rPr>
        <w:t>(volume agreement, or agreement in layer thickness and reference area)</w:t>
      </w:r>
      <w:r w:rsidR="00294359">
        <w:rPr>
          <w:rFonts w:ascii="Calibri" w:hAnsi="Calibri" w:cs="Calibri"/>
        </w:rPr>
        <w:t xml:space="preserve"> </w:t>
      </w:r>
      <w:r w:rsidRPr="004B5FFC">
        <w:rPr>
          <w:rFonts w:ascii="Calibri" w:hAnsi="Calibri" w:cs="Calibri"/>
        </w:rPr>
        <w:t>and a set-coverage score (</w:t>
      </w:r>
      <w:r w:rsidR="00BC2BF4" w:rsidRPr="00BC2BF4">
        <w:rPr>
          <w:rFonts w:ascii="Calibri" w:hAnsi="Calibri" w:cs="Calibri"/>
        </w:rPr>
        <w:t>whether the aggregate volume of multiple target records approximates the source volume</w:t>
      </w:r>
      <w:r w:rsidRPr="004B5FFC">
        <w:rPr>
          <w:rFonts w:ascii="Calibri" w:hAnsi="Calibri" w:cs="Calibri"/>
        </w:rPr>
        <w:t>).</w:t>
      </w:r>
    </w:p>
    <w:p w14:paraId="0283D576" w14:textId="2909781C" w:rsidR="006258B3" w:rsidRDefault="006258B3" w:rsidP="000024E6">
      <w:pPr>
        <w:spacing w:before="40" w:after="0" w:line="240" w:lineRule="auto"/>
        <w:ind w:firstLine="851"/>
        <w:jc w:val="both"/>
        <w:rPr>
          <w:rFonts w:ascii="Calibri" w:hAnsi="Calibri" w:cs="Calibri"/>
        </w:rPr>
      </w:pPr>
      <w:r w:rsidRPr="409869C6">
        <w:rPr>
          <w:rFonts w:ascii="Calibri" w:hAnsi="Calibri" w:cs="Calibri"/>
        </w:rPr>
        <w:t xml:space="preserve">Two preprocessing steps make the spatial signal robust across authoring conventions. First, raw floor labels are mapped to a canonical numbered scheme through a small alias table (e.g., </w:t>
      </w:r>
      <w:r w:rsidR="00A2758C">
        <w:rPr>
          <w:rFonts w:ascii="Calibri" w:hAnsi="Calibri" w:cs="Calibri"/>
          <w:i/>
          <w:iCs/>
        </w:rPr>
        <w:t>“</w:t>
      </w:r>
      <w:r w:rsidRPr="409869C6">
        <w:rPr>
          <w:rFonts w:ascii="Calibri" w:hAnsi="Calibri" w:cs="Calibri"/>
          <w:i/>
          <w:iCs/>
        </w:rPr>
        <w:t>Geschoss</w:t>
      </w:r>
      <w:r w:rsidR="00A2758C">
        <w:rPr>
          <w:rFonts w:ascii="Calibri" w:hAnsi="Calibri" w:cs="Calibri"/>
          <w:i/>
          <w:iCs/>
        </w:rPr>
        <w:t>”</w:t>
      </w:r>
      <w:r w:rsidRPr="409869C6">
        <w:rPr>
          <w:rFonts w:ascii="Calibri" w:hAnsi="Calibri" w:cs="Calibri"/>
          <w:i/>
          <w:iCs/>
        </w:rPr>
        <w:t xml:space="preserve">, </w:t>
      </w:r>
      <w:r w:rsidR="00A2758C">
        <w:rPr>
          <w:rFonts w:ascii="Calibri" w:hAnsi="Calibri" w:cs="Calibri"/>
          <w:i/>
          <w:iCs/>
        </w:rPr>
        <w:t>“</w:t>
      </w:r>
      <w:r w:rsidRPr="409869C6">
        <w:rPr>
          <w:rFonts w:ascii="Calibri" w:hAnsi="Calibri" w:cs="Calibri"/>
          <w:i/>
          <w:iCs/>
        </w:rPr>
        <w:t>EG</w:t>
      </w:r>
      <w:r w:rsidR="00A2758C">
        <w:rPr>
          <w:rFonts w:ascii="Calibri" w:hAnsi="Calibri" w:cs="Calibri"/>
          <w:i/>
          <w:iCs/>
        </w:rPr>
        <w:t>”</w:t>
      </w:r>
      <w:r w:rsidRPr="409869C6">
        <w:rPr>
          <w:rFonts w:ascii="Calibri" w:hAnsi="Calibri" w:cs="Calibri"/>
          <w:i/>
          <w:iCs/>
        </w:rPr>
        <w:t xml:space="preserve">, </w:t>
      </w:r>
      <w:r w:rsidR="00A2758C">
        <w:rPr>
          <w:rFonts w:ascii="Calibri" w:hAnsi="Calibri" w:cs="Calibri"/>
          <w:i/>
          <w:iCs/>
        </w:rPr>
        <w:t>“</w:t>
      </w:r>
      <w:r w:rsidRPr="409869C6">
        <w:rPr>
          <w:rFonts w:ascii="Calibri" w:hAnsi="Calibri" w:cs="Calibri"/>
          <w:i/>
          <w:iCs/>
        </w:rPr>
        <w:t>Erdgeschoss</w:t>
      </w:r>
      <w:r w:rsidR="00A2758C">
        <w:rPr>
          <w:rFonts w:ascii="Calibri" w:hAnsi="Calibri" w:cs="Calibri"/>
          <w:i/>
          <w:iCs/>
        </w:rPr>
        <w:t>”</w:t>
      </w:r>
      <w:r w:rsidRPr="409869C6">
        <w:rPr>
          <w:rFonts w:ascii="Calibri" w:hAnsi="Calibri" w:cs="Calibri"/>
        </w:rPr>
        <w:t xml:space="preserve"> all resolve to </w:t>
      </w:r>
      <w:r w:rsidR="00A2758C">
        <w:rPr>
          <w:rFonts w:ascii="Calibri" w:hAnsi="Calibri" w:cs="Calibri"/>
          <w:i/>
          <w:iCs/>
        </w:rPr>
        <w:t>“</w:t>
      </w:r>
      <w:r w:rsidRPr="409869C6">
        <w:rPr>
          <w:rFonts w:ascii="Calibri" w:hAnsi="Calibri" w:cs="Calibri"/>
          <w:i/>
          <w:iCs/>
        </w:rPr>
        <w:t>00</w:t>
      </w:r>
      <w:r w:rsidR="00A2758C">
        <w:rPr>
          <w:rFonts w:ascii="Calibri" w:hAnsi="Calibri" w:cs="Calibri"/>
          <w:i/>
          <w:iCs/>
        </w:rPr>
        <w:t>”</w:t>
      </w:r>
      <w:r w:rsidRPr="409869C6">
        <w:rPr>
          <w:rFonts w:ascii="Calibri" w:hAnsi="Calibri" w:cs="Calibri"/>
        </w:rPr>
        <w:t>). Second, the centroid of all placements in each model is computed at load time and subtracted from every placement and bounding box, putting records in a model-local coordinate frame independent of the export tool's Project Base Point convention. Both steps run once per model, are deterministic, and do not alter the underlying IFC files.</w:t>
      </w:r>
    </w:p>
    <w:p w14:paraId="4B327ECC" w14:textId="7CAC8C00" w:rsidR="0035548D" w:rsidRPr="00664AEA" w:rsidRDefault="001E0C55">
      <w:pPr>
        <w:spacing w:before="40" w:after="0" w:line="240" w:lineRule="auto"/>
        <w:rPr>
          <w:rFonts w:ascii="Calibri" w:hAnsi="Calibri" w:cs="Calibri"/>
          <w:sz w:val="24"/>
          <w:szCs w:val="24"/>
        </w:rPr>
      </w:pPr>
      <w:r w:rsidRPr="00664AEA">
        <w:rPr>
          <w:rFonts w:ascii="Calibri" w:hAnsi="Calibri" w:cs="Calibri"/>
          <w:b/>
          <w:sz w:val="24"/>
          <w:szCs w:val="24"/>
        </w:rPr>
        <w:t>3.3 Precedence and aggregation logic</w:t>
      </w:r>
    </w:p>
    <w:p w14:paraId="2FF0E632" w14:textId="1D3E70F4" w:rsidR="00110A2C" w:rsidRDefault="00110A2C" w:rsidP="00D25FF9">
      <w:pPr>
        <w:spacing w:after="40" w:line="240" w:lineRule="auto"/>
        <w:ind w:firstLine="851"/>
        <w:jc w:val="both"/>
        <w:rPr>
          <w:rFonts w:ascii="Calibri" w:hAnsi="Calibri" w:cs="Calibri"/>
        </w:rPr>
      </w:pPr>
      <w:r w:rsidRPr="00110A2C">
        <w:rPr>
          <w:rFonts w:ascii="Calibri" w:hAnsi="Calibri" w:cs="Calibri"/>
        </w:rPr>
        <w:t xml:space="preserve">For each candidate pair, the model weighs </w:t>
      </w:r>
      <w:r w:rsidR="0023359E" w:rsidRPr="0023359E">
        <w:rPr>
          <w:rFonts w:ascii="Calibri" w:hAnsi="Calibri" w:cs="Calibri"/>
        </w:rPr>
        <w:t>the four evidence classes</w:t>
      </w:r>
      <w:r w:rsidR="0023359E">
        <w:rPr>
          <w:rFonts w:ascii="Calibri" w:hAnsi="Calibri" w:cs="Calibri"/>
        </w:rPr>
        <w:t xml:space="preserve"> </w:t>
      </w:r>
      <w:r w:rsidRPr="00110A2C">
        <w:rPr>
          <w:rFonts w:ascii="Calibri" w:hAnsi="Calibri" w:cs="Calibri"/>
        </w:rPr>
        <w:t xml:space="preserve">in a fixed order of priority and assigns the pair to one of three classes: </w:t>
      </w:r>
      <w:r w:rsidRPr="00110A2C">
        <w:rPr>
          <w:rFonts w:ascii="Consolas" w:hAnsi="Consolas" w:cs="Calibri"/>
          <w:sz w:val="18"/>
          <w:szCs w:val="18"/>
        </w:rPr>
        <w:t>LINKED</w:t>
      </w:r>
      <w:r w:rsidRPr="00110A2C">
        <w:rPr>
          <w:rFonts w:ascii="Calibri" w:hAnsi="Calibri" w:cs="Calibri"/>
        </w:rPr>
        <w:t xml:space="preserve">, </w:t>
      </w:r>
      <w:r w:rsidRPr="00110A2C">
        <w:rPr>
          <w:rFonts w:ascii="Consolas" w:hAnsi="Consolas" w:cs="Calibri"/>
          <w:sz w:val="18"/>
          <w:szCs w:val="18"/>
        </w:rPr>
        <w:t>AMBIGUOUS</w:t>
      </w:r>
      <w:r w:rsidRPr="00110A2C">
        <w:rPr>
          <w:rFonts w:ascii="Calibri" w:hAnsi="Calibri" w:cs="Calibri"/>
        </w:rPr>
        <w:t xml:space="preserve">, or </w:t>
      </w:r>
      <w:r w:rsidRPr="00110A2C">
        <w:rPr>
          <w:rFonts w:ascii="Consolas" w:hAnsi="Consolas" w:cs="Calibri"/>
          <w:sz w:val="18"/>
          <w:szCs w:val="18"/>
        </w:rPr>
        <w:t>NOT_LINKED</w:t>
      </w:r>
      <w:r w:rsidRPr="00110A2C">
        <w:rPr>
          <w:rFonts w:ascii="Calibri" w:hAnsi="Calibri" w:cs="Calibri"/>
        </w:rPr>
        <w:t>. The following rules specify the precedence and aggregation logic.</w:t>
      </w:r>
    </w:p>
    <w:p w14:paraId="41B106F5" w14:textId="4C0DA426" w:rsidR="004A31DB" w:rsidRPr="004B5FFC" w:rsidRDefault="001E0C55" w:rsidP="00D25FF9">
      <w:pPr>
        <w:spacing w:after="40" w:line="240" w:lineRule="auto"/>
        <w:ind w:firstLine="851"/>
        <w:jc w:val="both"/>
        <w:rPr>
          <w:rFonts w:ascii="Calibri" w:hAnsi="Calibri" w:cs="Calibri"/>
        </w:rPr>
      </w:pPr>
      <w:r w:rsidRPr="004B5FFC">
        <w:rPr>
          <w:rFonts w:ascii="Calibri" w:hAnsi="Calibri" w:cs="Calibri"/>
        </w:rPr>
        <w:t xml:space="preserve">The decision logic applies three precedence rules. </w:t>
      </w:r>
      <w:r w:rsidR="002E3412" w:rsidRPr="002E3412">
        <w:rPr>
          <w:rFonts w:ascii="Calibri" w:hAnsi="Calibri" w:cs="Calibri"/>
        </w:rPr>
        <w:t xml:space="preserve">First, a non-conflicting persistent identifier match returns </w:t>
      </w:r>
      <w:r w:rsidR="002E3412" w:rsidRPr="002E3412">
        <w:rPr>
          <w:rFonts w:ascii="Consolas" w:hAnsi="Consolas" w:cs="Consolas"/>
          <w:sz w:val="18"/>
          <w:szCs w:val="18"/>
        </w:rPr>
        <w:t>LINKED</w:t>
      </w:r>
      <w:r w:rsidR="002E3412" w:rsidRPr="002E3412">
        <w:rPr>
          <w:rFonts w:ascii="Calibri" w:hAnsi="Calibri" w:cs="Calibri"/>
        </w:rPr>
        <w:t xml:space="preserve"> directly.</w:t>
      </w:r>
      <w:r w:rsidRPr="004B5FFC">
        <w:rPr>
          <w:rFonts w:ascii="Calibri" w:hAnsi="Calibri" w:cs="Calibri"/>
        </w:rPr>
        <w:t xml:space="preserve"> </w:t>
      </w:r>
      <w:r w:rsidR="00605683" w:rsidRPr="00605683">
        <w:rPr>
          <w:rFonts w:ascii="Calibri" w:hAnsi="Calibri" w:cs="Calibri"/>
        </w:rPr>
        <w:t>Second, conflicting persistent identifiers return</w:t>
      </w:r>
      <w:r w:rsidRPr="004B5FFC">
        <w:rPr>
          <w:rFonts w:ascii="Calibri" w:hAnsi="Calibri" w:cs="Calibri"/>
        </w:rPr>
        <w:t xml:space="preserve"> </w:t>
      </w:r>
      <w:r w:rsidRPr="00C54D6A">
        <w:rPr>
          <w:rFonts w:ascii="Consolas" w:hAnsi="Consolas" w:cs="Calibri"/>
          <w:sz w:val="18"/>
          <w:szCs w:val="18"/>
        </w:rPr>
        <w:t>NOT_LINKED</w:t>
      </w:r>
      <w:r w:rsidRPr="004B5FFC">
        <w:rPr>
          <w:rFonts w:ascii="Calibri" w:hAnsi="Calibri" w:cs="Calibri"/>
        </w:rPr>
        <w:t xml:space="preserve">. Third, when no decisive identifier evidence is available, spatial, type, and boundary evidence are evaluated jointly: pairs are linked only when all three pass their thresholds; pairs with signal disagreement or inconclusive boundary evidence are deferred as </w:t>
      </w:r>
      <w:r w:rsidRPr="00C54D6A">
        <w:rPr>
          <w:rFonts w:ascii="Consolas" w:hAnsi="Consolas" w:cs="Calibri"/>
          <w:sz w:val="18"/>
          <w:szCs w:val="18"/>
        </w:rPr>
        <w:t>AMBIGUOUS</w:t>
      </w:r>
      <w:r w:rsidRPr="004B5FFC">
        <w:rPr>
          <w:rFonts w:ascii="Calibri" w:hAnsi="Calibri" w:cs="Calibri"/>
        </w:rPr>
        <w:t xml:space="preserve">; all remaining pairs are returned as </w:t>
      </w:r>
      <w:r w:rsidRPr="00C54D6A">
        <w:rPr>
          <w:rFonts w:ascii="Consolas" w:hAnsi="Consolas" w:cs="Calibri"/>
          <w:sz w:val="18"/>
          <w:szCs w:val="18"/>
        </w:rPr>
        <w:t>NOT_LINKED</w:t>
      </w:r>
      <w:r w:rsidRPr="004B5FFC">
        <w:rPr>
          <w:rFonts w:ascii="Calibri" w:hAnsi="Calibri" w:cs="Calibri"/>
        </w:rPr>
        <w:t xml:space="preserve">. A final lifecycle-status guard overrides otherwise positive evidence and defers pairs involving </w:t>
      </w:r>
      <w:r w:rsidRPr="00C54D6A">
        <w:rPr>
          <w:rFonts w:ascii="Consolas" w:hAnsi="Consolas" w:cs="Calibri"/>
          <w:sz w:val="18"/>
          <w:szCs w:val="18"/>
        </w:rPr>
        <w:t>REFERENCE</w:t>
      </w:r>
      <w:r w:rsidRPr="004B5FFC">
        <w:rPr>
          <w:rFonts w:ascii="Calibri" w:hAnsi="Calibri" w:cs="Calibri"/>
        </w:rPr>
        <w:t xml:space="preserve"> geometry.</w:t>
      </w:r>
    </w:p>
    <w:p w14:paraId="608E3513" w14:textId="7740FE06" w:rsidR="0035548D" w:rsidRPr="004B5FFC" w:rsidRDefault="001E0C55" w:rsidP="00D25FF9">
      <w:pPr>
        <w:spacing w:after="40" w:line="240" w:lineRule="auto"/>
        <w:ind w:firstLine="851"/>
        <w:jc w:val="both"/>
        <w:rPr>
          <w:rFonts w:ascii="Calibri" w:hAnsi="Calibri" w:cs="Calibri"/>
        </w:rPr>
      </w:pPr>
      <w:r w:rsidRPr="004B5FFC">
        <w:rPr>
          <w:rFonts w:ascii="Calibri" w:hAnsi="Calibri" w:cs="Calibri"/>
        </w:rPr>
        <w:t xml:space="preserve">Thresholds </w:t>
      </w:r>
      <w:r w:rsidRPr="00332291">
        <w:rPr>
          <w:rFonts w:ascii="Consolas" w:hAnsi="Consolas" w:cs="Calibri"/>
          <w:sz w:val="18"/>
          <w:szCs w:val="18"/>
        </w:rPr>
        <w:t>θ_s</w:t>
      </w:r>
      <w:r w:rsidRPr="004B5FFC">
        <w:rPr>
          <w:rFonts w:ascii="Calibri" w:hAnsi="Calibri" w:cs="Calibri"/>
        </w:rPr>
        <w:t xml:space="preserve">, </w:t>
      </w:r>
      <w:r w:rsidRPr="00332291">
        <w:rPr>
          <w:rFonts w:ascii="Consolas" w:hAnsi="Consolas" w:cs="Calibri"/>
          <w:sz w:val="18"/>
          <w:szCs w:val="18"/>
        </w:rPr>
        <w:t>θ_t</w:t>
      </w:r>
      <w:r w:rsidRPr="004B5FFC">
        <w:rPr>
          <w:rFonts w:ascii="Calibri" w:hAnsi="Calibri" w:cs="Calibri"/>
        </w:rPr>
        <w:t xml:space="preserve">, </w:t>
      </w:r>
      <w:r w:rsidRPr="00332291">
        <w:rPr>
          <w:rFonts w:ascii="Consolas" w:hAnsi="Consolas" w:cs="Calibri"/>
          <w:sz w:val="18"/>
          <w:szCs w:val="18"/>
        </w:rPr>
        <w:t>θ_b</w:t>
      </w:r>
      <w:r w:rsidRPr="004B5FFC">
        <w:rPr>
          <w:rFonts w:ascii="Calibri" w:hAnsi="Calibri" w:cs="Calibri"/>
        </w:rPr>
        <w:t xml:space="preserve"> and weights </w:t>
      </w:r>
      <w:r w:rsidRPr="00332291">
        <w:rPr>
          <w:rFonts w:ascii="Consolas" w:hAnsi="Consolas" w:cs="Calibri"/>
          <w:sz w:val="18"/>
          <w:szCs w:val="18"/>
        </w:rPr>
        <w:t>w_s</w:t>
      </w:r>
      <w:r w:rsidRPr="004B5FFC">
        <w:rPr>
          <w:rFonts w:ascii="Calibri" w:hAnsi="Calibri" w:cs="Calibri"/>
        </w:rPr>
        <w:t xml:space="preserve">, </w:t>
      </w:r>
      <w:r w:rsidRPr="00332291">
        <w:rPr>
          <w:rFonts w:ascii="Consolas" w:hAnsi="Consolas" w:cs="Calibri"/>
          <w:sz w:val="18"/>
          <w:szCs w:val="18"/>
        </w:rPr>
        <w:t>w_t</w:t>
      </w:r>
      <w:r w:rsidRPr="004B5FFC">
        <w:rPr>
          <w:rFonts w:ascii="Calibri" w:hAnsi="Calibri" w:cs="Calibri"/>
        </w:rPr>
        <w:t xml:space="preserve">, </w:t>
      </w:r>
      <w:r w:rsidRPr="00332291">
        <w:rPr>
          <w:rFonts w:ascii="Consolas" w:hAnsi="Consolas" w:cs="Calibri"/>
          <w:sz w:val="18"/>
          <w:szCs w:val="18"/>
        </w:rPr>
        <w:t>w_b</w:t>
      </w:r>
      <w:r w:rsidRPr="00332291">
        <w:rPr>
          <w:rFonts w:ascii="Calibri" w:hAnsi="Calibri" w:cs="Calibri"/>
          <w:sz w:val="18"/>
          <w:szCs w:val="18"/>
        </w:rPr>
        <w:t xml:space="preserve"> </w:t>
      </w:r>
      <w:r w:rsidRPr="004B5FFC">
        <w:rPr>
          <w:rFonts w:ascii="Calibri" w:hAnsi="Calibri" w:cs="Calibri"/>
        </w:rPr>
        <w:t xml:space="preserve">are configurable. The peer set used in the set-coverage boundary branch contains records in the target model that share the source's containment floor and belong to a class-compatible category (same </w:t>
      </w:r>
      <w:r w:rsidRPr="00332291">
        <w:rPr>
          <w:rFonts w:ascii="Calibri" w:hAnsi="Calibri" w:cs="Calibri"/>
          <w:i/>
          <w:iCs/>
        </w:rPr>
        <w:t>IfcClass</w:t>
      </w:r>
      <w:r w:rsidRPr="004B5FFC">
        <w:rPr>
          <w:rFonts w:ascii="Calibri" w:hAnsi="Calibri" w:cs="Calibri"/>
        </w:rPr>
        <w:t xml:space="preserve"> or an explicitly listed cross-class pair such as </w:t>
      </w:r>
      <w:r w:rsidRPr="00332291">
        <w:rPr>
          <w:rFonts w:ascii="Calibri" w:hAnsi="Calibri" w:cs="Calibri"/>
          <w:i/>
          <w:iCs/>
        </w:rPr>
        <w:t>IfcSlab–</w:t>
      </w:r>
      <w:r w:rsidRPr="00332291">
        <w:rPr>
          <w:rFonts w:ascii="Calibri" w:hAnsi="Calibri" w:cs="Calibri"/>
          <w:i/>
          <w:iCs/>
        </w:rPr>
        <w:lastRenderedPageBreak/>
        <w:t>IfcElementAssembly</w:t>
      </w:r>
      <w:r w:rsidRPr="004B5FFC">
        <w:rPr>
          <w:rFonts w:ascii="Calibri" w:hAnsi="Calibri" w:cs="Calibri"/>
        </w:rPr>
        <w:t xml:space="preserve">). The defer output carries no numeric confidence; ambiguity is categorical. </w:t>
      </w:r>
      <w:r w:rsidRPr="001F4621">
        <w:rPr>
          <w:rFonts w:ascii="Calibri" w:hAnsi="Calibri" w:cs="Calibri"/>
          <w:i/>
          <w:iCs/>
        </w:rPr>
        <w:t>Figure 2</w:t>
      </w:r>
      <w:r w:rsidRPr="004B5FFC">
        <w:rPr>
          <w:rFonts w:ascii="Calibri" w:hAnsi="Calibri" w:cs="Calibri"/>
        </w:rPr>
        <w:t xml:space="preserve"> visualizes the decision flow.</w:t>
      </w:r>
    </w:p>
    <w:p w14:paraId="4F40A02F" w14:textId="45B476F8" w:rsidR="0035548D" w:rsidRPr="004B5FFC" w:rsidRDefault="00613B48" w:rsidP="001D6AB3">
      <w:pPr>
        <w:spacing w:after="40" w:line="240" w:lineRule="auto"/>
        <w:ind w:firstLine="851"/>
        <w:jc w:val="both"/>
        <w:rPr>
          <w:rFonts w:ascii="Calibri" w:hAnsi="Calibri" w:cs="Calibri"/>
        </w:rPr>
      </w:pPr>
      <w:r w:rsidRPr="004B5FFC">
        <w:rPr>
          <w:rFonts w:ascii="Calibri" w:hAnsi="Calibri" w:cs="Calibri"/>
        </w:rPr>
        <w:t xml:space="preserve">In the pilot evaluation, all three thresholds were set conservatively to </w:t>
      </w:r>
      <w:r w:rsidRPr="001D6AB3">
        <w:rPr>
          <w:rFonts w:ascii="Calibri" w:hAnsi="Calibri" w:cs="Calibri"/>
        </w:rPr>
        <w:t>0.55</w:t>
      </w:r>
      <w:r w:rsidRPr="004B5FFC">
        <w:rPr>
          <w:rFonts w:ascii="Calibri" w:hAnsi="Calibri" w:cs="Calibri"/>
        </w:rPr>
        <w:t xml:space="preserve"> (</w:t>
      </w:r>
      <w:r w:rsidRPr="001F4621">
        <w:rPr>
          <w:rFonts w:ascii="Consolas" w:hAnsi="Consolas" w:cs="Calibri"/>
          <w:sz w:val="18"/>
          <w:szCs w:val="18"/>
        </w:rPr>
        <w:t>θ_s = θ_t = θ_b</w:t>
      </w:r>
      <w:r w:rsidRPr="001D6AB3">
        <w:rPr>
          <w:rFonts w:ascii="Calibri" w:hAnsi="Calibri" w:cs="Calibri"/>
        </w:rPr>
        <w:t xml:space="preserve"> = 0.55</w:t>
      </w:r>
      <w:r w:rsidRPr="004B5FFC">
        <w:rPr>
          <w:rFonts w:ascii="Calibri" w:hAnsi="Calibri" w:cs="Calibri"/>
        </w:rPr>
        <w:t xml:space="preserve">) to privilege precision and deferral over automation coverage; confidence weights were set to </w:t>
      </w:r>
      <w:r w:rsidRPr="001D6AB3">
        <w:rPr>
          <w:rFonts w:ascii="Calibri" w:hAnsi="Calibri" w:cs="Calibri"/>
        </w:rPr>
        <w:t>w_s = 0.35</w:t>
      </w:r>
      <w:r w:rsidRPr="004B5FFC">
        <w:rPr>
          <w:rFonts w:ascii="Calibri" w:hAnsi="Calibri" w:cs="Calibri"/>
        </w:rPr>
        <w:t xml:space="preserve">, </w:t>
      </w:r>
      <w:r w:rsidRPr="001D6AB3">
        <w:rPr>
          <w:rFonts w:ascii="Calibri" w:hAnsi="Calibri" w:cs="Calibri"/>
        </w:rPr>
        <w:t>w_t = 0.35</w:t>
      </w:r>
      <w:r w:rsidRPr="004B5FFC">
        <w:rPr>
          <w:rFonts w:ascii="Calibri" w:hAnsi="Calibri" w:cs="Calibri"/>
        </w:rPr>
        <w:t xml:space="preserve">, and </w:t>
      </w:r>
      <w:r w:rsidRPr="001D6AB3">
        <w:rPr>
          <w:rFonts w:ascii="Calibri" w:hAnsi="Calibri" w:cs="Calibri"/>
        </w:rPr>
        <w:t>w_b = 0.30</w:t>
      </w:r>
      <w:r w:rsidR="00FC0AAF" w:rsidRPr="001D6AB3">
        <w:rPr>
          <w:rFonts w:ascii="Calibri" w:hAnsi="Calibri" w:cs="Calibri"/>
        </w:rPr>
        <w:t xml:space="preserve">. </w:t>
      </w:r>
      <w:r w:rsidR="00E13BB6" w:rsidRPr="00E13BB6">
        <w:rPr>
          <w:rFonts w:ascii="Calibri" w:hAnsi="Calibri" w:cs="Calibri"/>
        </w:rPr>
        <w:t>These values are design parameters fixed before evaluation, carried over from prior small-set calibration and not tuned on these patterns</w:t>
      </w:r>
      <w:r w:rsidR="00294359">
        <w:rPr>
          <w:rFonts w:ascii="Calibri" w:hAnsi="Calibri" w:cs="Calibri"/>
        </w:rPr>
        <w:t>.</w:t>
      </w:r>
    </w:p>
    <w:p w14:paraId="3F64B7CD" w14:textId="36598E5B" w:rsidR="0035548D" w:rsidRDefault="0063578C" w:rsidP="001D6AB3">
      <w:pPr>
        <w:spacing w:after="40" w:line="240" w:lineRule="auto"/>
        <w:ind w:firstLine="851"/>
        <w:jc w:val="both"/>
        <w:rPr>
          <w:rFonts w:ascii="Calibri" w:hAnsi="Calibri" w:cs="Calibri"/>
        </w:rPr>
      </w:pPr>
      <w:r w:rsidRPr="001D6AB3">
        <w:rPr>
          <w:rFonts w:ascii="Calibri" w:hAnsi="Calibri" w:cs="Calibri"/>
          <w:noProof/>
        </w:rPr>
        <w:drawing>
          <wp:anchor distT="0" distB="0" distL="114300" distR="114300" simplePos="0" relativeHeight="251658240" behindDoc="0" locked="0" layoutInCell="1" allowOverlap="1" wp14:anchorId="5399C8E8" wp14:editId="67C6F995">
            <wp:simplePos x="0" y="0"/>
            <wp:positionH relativeFrom="margin">
              <wp:align>center</wp:align>
            </wp:positionH>
            <wp:positionV relativeFrom="paragraph">
              <wp:posOffset>1378718</wp:posOffset>
            </wp:positionV>
            <wp:extent cx="5061585" cy="1827530"/>
            <wp:effectExtent l="0" t="0" r="5715" b="127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96DAC541-7B7A-43D3-8B79-37D633B846F1}">
                          <asvg:svgBlip xmlns:asvg="http://schemas.microsoft.com/office/drawing/2016/SVG/main" r:embed="rId14"/>
                        </a:ext>
                      </a:extLst>
                    </a:blip>
                    <a:stretch>
                      <a:fillRect/>
                    </a:stretch>
                  </pic:blipFill>
                  <pic:spPr>
                    <a:xfrm>
                      <a:off x="0" y="0"/>
                      <a:ext cx="5062211" cy="1828163"/>
                    </a:xfrm>
                    <a:prstGeom prst="rect">
                      <a:avLst/>
                    </a:prstGeom>
                  </pic:spPr>
                </pic:pic>
              </a:graphicData>
            </a:graphic>
            <wp14:sizeRelH relativeFrom="page">
              <wp14:pctWidth>0</wp14:pctWidth>
            </wp14:sizeRelH>
            <wp14:sizeRelV relativeFrom="page">
              <wp14:pctHeight>0</wp14:pctHeight>
            </wp14:sizeRelV>
          </wp:anchor>
        </w:drawing>
      </w:r>
      <w:r w:rsidR="00613B48" w:rsidRPr="004B5FFC">
        <w:rPr>
          <w:rFonts w:ascii="Calibri" w:hAnsi="Calibri" w:cs="Calibri"/>
        </w:rPr>
        <w:t xml:space="preserve">Two refinements address the granularity-shift case in which a single source record corresponds to multiple target records of a compatible but different IFC class (for example, </w:t>
      </w:r>
      <w:r w:rsidR="00613B48" w:rsidRPr="001D6AB3">
        <w:rPr>
          <w:rFonts w:ascii="Calibri" w:hAnsi="Calibri" w:cs="Calibri"/>
        </w:rPr>
        <w:t>IfcSlab</w:t>
      </w:r>
      <w:r w:rsidR="00613B48" w:rsidRPr="004B5FFC">
        <w:rPr>
          <w:rFonts w:ascii="Calibri" w:hAnsi="Calibri" w:cs="Calibri"/>
        </w:rPr>
        <w:t xml:space="preserve"> to </w:t>
      </w:r>
      <w:r w:rsidR="00613B48" w:rsidRPr="001D6AB3">
        <w:rPr>
          <w:rFonts w:ascii="Calibri" w:hAnsi="Calibri" w:cs="Calibri"/>
        </w:rPr>
        <w:t>IfcElementAssembly</w:t>
      </w:r>
      <w:r w:rsidR="00613B48" w:rsidRPr="004B5FFC">
        <w:rPr>
          <w:rFonts w:ascii="Calibri" w:hAnsi="Calibri" w:cs="Calibri"/>
        </w:rPr>
        <w:t xml:space="preserve"> for a precast-split). First, peers in the set-coverage branch are filtered by volume: those exceeding 70 percent of the source's volume are excluded as alternates rather than parts. </w:t>
      </w:r>
      <w:r w:rsidR="001F5C01" w:rsidRPr="001F5C01">
        <w:rPr>
          <w:rFonts w:ascii="Calibri" w:hAnsi="Calibri" w:cs="Calibri"/>
        </w:rPr>
        <w:t>Second, when the set-coverage boundary score exceeds 0.85 and the class pair is in the granularity-compatible set, the case is admitted under the 1:n extension of Section 3 and the type threshold is waived.</w:t>
      </w:r>
      <w:r w:rsidR="00FD6076">
        <w:rPr>
          <w:rFonts w:ascii="Calibri" w:hAnsi="Calibri" w:cs="Calibri"/>
        </w:rPr>
        <w:t xml:space="preserve"> </w:t>
      </w:r>
      <w:r w:rsidR="00FD6076" w:rsidRPr="00FD6076">
        <w:rPr>
          <w:rFonts w:ascii="Calibri" w:hAnsi="Calibri" w:cs="Calibri"/>
        </w:rPr>
        <w:t xml:space="preserve">The </w:t>
      </w:r>
      <w:r w:rsidR="00FD6076" w:rsidRPr="001D6AB3">
        <w:rPr>
          <w:rFonts w:ascii="Calibri" w:hAnsi="Calibri" w:cs="Calibri"/>
        </w:rPr>
        <w:t xml:space="preserve">0.70 </w:t>
      </w:r>
      <w:r w:rsidR="00FD6076" w:rsidRPr="00FD6076">
        <w:rPr>
          <w:rFonts w:ascii="Calibri" w:hAnsi="Calibri" w:cs="Calibri"/>
        </w:rPr>
        <w:t xml:space="preserve">volume cap, </w:t>
      </w:r>
      <w:r w:rsidR="00FD6076" w:rsidRPr="001D6AB3">
        <w:rPr>
          <w:rFonts w:ascii="Calibri" w:hAnsi="Calibri" w:cs="Calibri"/>
        </w:rPr>
        <w:t xml:space="preserve">0.85 </w:t>
      </w:r>
      <w:r w:rsidR="00FD6076" w:rsidRPr="00FD6076">
        <w:rPr>
          <w:rFonts w:ascii="Calibri" w:hAnsi="Calibri" w:cs="Calibri"/>
        </w:rPr>
        <w:t xml:space="preserve">set-coverage threshold, and the granularity-compatible class list are fixed before evaluation </w:t>
      </w:r>
      <w:r w:rsidR="007A7B9F" w:rsidRPr="007A7B9F">
        <w:rPr>
          <w:rFonts w:ascii="Calibri" w:hAnsi="Calibri" w:cs="Calibri"/>
        </w:rPr>
        <w:t>as conservative design parameters, not tuned on results.</w:t>
      </w:r>
    </w:p>
    <w:p w14:paraId="3874ED20" w14:textId="4D265395" w:rsidR="00D25FF9" w:rsidRPr="004B5FFC" w:rsidRDefault="00D25FF9" w:rsidP="001948CF">
      <w:pPr>
        <w:spacing w:before="20" w:after="80" w:line="240" w:lineRule="auto"/>
        <w:jc w:val="center"/>
        <w:rPr>
          <w:rFonts w:ascii="Calibri" w:hAnsi="Calibri" w:cs="Calibri"/>
          <w:i/>
          <w:sz w:val="20"/>
        </w:rPr>
      </w:pPr>
      <w:r w:rsidRPr="004B5FFC">
        <w:rPr>
          <w:rFonts w:ascii="Calibri" w:hAnsi="Calibri" w:cs="Calibri"/>
          <w:i/>
          <w:sz w:val="20"/>
        </w:rPr>
        <w:t xml:space="preserve">Figure 2: Decision flow per candidate pair. Identifier precedence resolves the linkage immediately; </w:t>
      </w:r>
      <w:r w:rsidR="00751C81" w:rsidRPr="00751C81">
        <w:rPr>
          <w:rFonts w:ascii="Calibri" w:hAnsi="Calibri" w:cs="Calibri"/>
          <w:i/>
          <w:sz w:val="20"/>
        </w:rPr>
        <w:t>remaining cases are decided jointly on spatial, type, and boundary evidence, with the type threshold waived where set coverage establishes a 1:n decomposition, and a final status guard for REFERENCE geometry.</w:t>
      </w:r>
    </w:p>
    <w:p w14:paraId="5DDAC8F7" w14:textId="50110C4B" w:rsidR="00C57488" w:rsidRPr="004B5FFC" w:rsidRDefault="002B45F7" w:rsidP="00D25FF9">
      <w:pPr>
        <w:spacing w:before="160" w:after="40" w:line="240" w:lineRule="auto"/>
        <w:ind w:firstLine="851"/>
        <w:rPr>
          <w:rFonts w:ascii="Calibri" w:hAnsi="Calibri" w:cs="Calibri"/>
        </w:rPr>
      </w:pPr>
      <w:r w:rsidRPr="002B45F7">
        <w:rPr>
          <w:rFonts w:ascii="Consolas" w:hAnsi="Consolas" w:cs="Calibri"/>
          <w:noProof/>
          <w:sz w:val="18"/>
          <w:szCs w:val="18"/>
        </w:rPr>
        <w:t>AMBIGUOUS</w:t>
      </w:r>
      <w:r w:rsidRPr="002B45F7">
        <w:rPr>
          <w:rFonts w:ascii="Calibri" w:hAnsi="Calibri" w:cs="Calibri"/>
          <w:noProof/>
        </w:rPr>
        <w:t xml:space="preserve"> cases additionally carry a suggested </w:t>
      </w:r>
      <w:r w:rsidR="008E50EA">
        <w:rPr>
          <w:rFonts w:ascii="Calibri" w:hAnsi="Calibri" w:cs="Calibri"/>
          <w:noProof/>
        </w:rPr>
        <w:t>label</w:t>
      </w:r>
      <w:r w:rsidRPr="002B45F7">
        <w:rPr>
          <w:rFonts w:ascii="Calibri" w:hAnsi="Calibri" w:cs="Calibri"/>
          <w:noProof/>
        </w:rPr>
        <w:t xml:space="preserve"> with an associated confidence value, derived from the deferral reason and the observed signal pattern: a </w:t>
      </w:r>
      <w:r w:rsidRPr="002B45F7">
        <w:rPr>
          <w:rFonts w:ascii="Consolas" w:hAnsi="Consolas" w:cs="Calibri"/>
          <w:noProof/>
          <w:sz w:val="18"/>
          <w:szCs w:val="18"/>
        </w:rPr>
        <w:t>REFERENCE</w:t>
      </w:r>
      <w:r w:rsidRPr="002B45F7">
        <w:rPr>
          <w:rFonts w:ascii="Calibri" w:hAnsi="Calibri" w:cs="Calibri"/>
          <w:noProof/>
        </w:rPr>
        <w:t xml:space="preserve">-guard deferral suggests </w:t>
      </w:r>
      <w:r w:rsidRPr="002B45F7">
        <w:rPr>
          <w:rFonts w:ascii="Consolas" w:hAnsi="Consolas" w:cs="Calibri"/>
          <w:noProof/>
          <w:sz w:val="18"/>
          <w:szCs w:val="18"/>
        </w:rPr>
        <w:t xml:space="preserve">NOT_LINKED </w:t>
      </w:r>
      <w:r w:rsidRPr="002B45F7">
        <w:rPr>
          <w:rFonts w:ascii="Calibri" w:hAnsi="Calibri" w:cs="Calibri"/>
          <w:noProof/>
        </w:rPr>
        <w:t xml:space="preserve">with high confidence; a boundary-inconclusive deferral suggests </w:t>
      </w:r>
      <w:r w:rsidRPr="002B45F7">
        <w:rPr>
          <w:rFonts w:ascii="Consolas" w:hAnsi="Consolas" w:cs="Calibri"/>
          <w:noProof/>
          <w:sz w:val="18"/>
          <w:szCs w:val="18"/>
        </w:rPr>
        <w:t>LINKED</w:t>
      </w:r>
      <w:r w:rsidRPr="002B45F7">
        <w:rPr>
          <w:rFonts w:ascii="Calibri" w:hAnsi="Calibri" w:cs="Calibri"/>
          <w:noProof/>
        </w:rPr>
        <w:t xml:space="preserve"> when both spatial and type evidence are strong and </w:t>
      </w:r>
      <w:r w:rsidRPr="002B45F7">
        <w:rPr>
          <w:rFonts w:ascii="Consolas" w:hAnsi="Consolas" w:cs="Calibri"/>
          <w:noProof/>
          <w:sz w:val="18"/>
          <w:szCs w:val="18"/>
        </w:rPr>
        <w:t xml:space="preserve">NOT_LINKED </w:t>
      </w:r>
      <w:r w:rsidRPr="002B45F7">
        <w:rPr>
          <w:rFonts w:ascii="Calibri" w:hAnsi="Calibri" w:cs="Calibri"/>
          <w:noProof/>
        </w:rPr>
        <w:t xml:space="preserve">otherwise; a spatial/type-disagree deferral suggests </w:t>
      </w:r>
      <w:r w:rsidRPr="002B45F7">
        <w:rPr>
          <w:rFonts w:ascii="Consolas" w:hAnsi="Consolas" w:cs="Calibri"/>
          <w:noProof/>
          <w:sz w:val="18"/>
          <w:szCs w:val="18"/>
        </w:rPr>
        <w:t xml:space="preserve">NOT_LINKED </w:t>
      </w:r>
      <w:r w:rsidRPr="002B45F7">
        <w:rPr>
          <w:rFonts w:ascii="Calibri" w:hAnsi="Calibri" w:cs="Calibri"/>
          <w:noProof/>
        </w:rPr>
        <w:t xml:space="preserve">when the records belong to different IFC classes and </w:t>
      </w:r>
      <w:r w:rsidRPr="002B45F7">
        <w:rPr>
          <w:rFonts w:ascii="Consolas" w:hAnsi="Consolas" w:cs="Calibri"/>
          <w:noProof/>
          <w:sz w:val="18"/>
          <w:szCs w:val="18"/>
        </w:rPr>
        <w:t>LINKED</w:t>
      </w:r>
      <w:r w:rsidRPr="002B45F7">
        <w:rPr>
          <w:rFonts w:ascii="Calibri" w:hAnsi="Calibri" w:cs="Calibri"/>
          <w:noProof/>
        </w:rPr>
        <w:t xml:space="preserve"> otherwise. The suggested </w:t>
      </w:r>
      <w:r w:rsidR="008E50EA">
        <w:rPr>
          <w:rFonts w:ascii="Calibri" w:hAnsi="Calibri" w:cs="Calibri"/>
          <w:noProof/>
        </w:rPr>
        <w:t>label</w:t>
      </w:r>
      <w:r w:rsidRPr="002B45F7">
        <w:rPr>
          <w:rFonts w:ascii="Calibri" w:hAnsi="Calibri" w:cs="Calibri"/>
          <w:noProof/>
        </w:rPr>
        <w:t xml:space="preserve"> is not used as an automatic linkage result, but as a starting point for human review; its agreement with ground truth is therefore reported separately as a deferral-soundness metric.</w:t>
      </w:r>
    </w:p>
    <w:p w14:paraId="4CABA866" w14:textId="0FFFE099" w:rsidR="00521425" w:rsidRPr="00664AEA" w:rsidRDefault="001E0C55" w:rsidP="00521425">
      <w:pPr>
        <w:spacing w:before="40" w:after="0" w:line="240" w:lineRule="auto"/>
        <w:rPr>
          <w:rFonts w:ascii="Calibri" w:hAnsi="Calibri" w:cs="Calibri"/>
          <w:sz w:val="24"/>
          <w:szCs w:val="24"/>
        </w:rPr>
      </w:pPr>
      <w:r w:rsidRPr="00664AEA">
        <w:rPr>
          <w:rFonts w:ascii="Calibri" w:hAnsi="Calibri" w:cs="Calibri"/>
          <w:b/>
          <w:sz w:val="24"/>
          <w:szCs w:val="24"/>
        </w:rPr>
        <w:t>3.4 Integration as referent-level validation stage</w:t>
      </w:r>
    </w:p>
    <w:p w14:paraId="49DC53A5" w14:textId="1E4A1912" w:rsidR="006258B3" w:rsidRDefault="001E04B8" w:rsidP="000024E6">
      <w:pPr>
        <w:spacing w:before="120" w:after="20" w:line="240" w:lineRule="auto"/>
        <w:ind w:firstLine="851"/>
        <w:jc w:val="both"/>
        <w:rPr>
          <w:rFonts w:ascii="Calibri" w:hAnsi="Calibri" w:cs="Calibri"/>
        </w:rPr>
      </w:pPr>
      <w:r w:rsidRPr="409869C6">
        <w:rPr>
          <w:rFonts w:ascii="Calibri" w:hAnsi="Calibri" w:cs="Calibri"/>
        </w:rPr>
        <w:t xml:space="preserve">The model is invoked once for each candidate pair generated by a preceding retrieval step. Retrieval may use any mechanism, including lexical similarity; its role is only to bound the candidate set, not to decide referent identity. Each pair is annotated with signal values, output class, contributing evidence, and provenance. This makes accepted links auditable, exposes </w:t>
      </w:r>
      <w:r w:rsidRPr="409869C6">
        <w:rPr>
          <w:rFonts w:ascii="Consolas" w:hAnsi="Consolas" w:cs="Calibri"/>
          <w:sz w:val="18"/>
          <w:szCs w:val="18"/>
        </w:rPr>
        <w:t>AMBIGUOUS</w:t>
      </w:r>
      <w:r w:rsidRPr="409869C6">
        <w:rPr>
          <w:rFonts w:ascii="Calibri" w:hAnsi="Calibri" w:cs="Calibri"/>
        </w:rPr>
        <w:t xml:space="preserve"> cases for human review (Martin et al., 2025b), and keeps retrieval separate from the referent-level decision logic. </w:t>
      </w:r>
    </w:p>
    <w:p w14:paraId="404D6B6E" w14:textId="4F266BC5" w:rsidR="0035548D" w:rsidRPr="00CA793B" w:rsidRDefault="001E0C55" w:rsidP="00F43998">
      <w:pPr>
        <w:spacing w:before="120" w:after="20" w:line="240" w:lineRule="auto"/>
        <w:ind w:left="357"/>
        <w:rPr>
          <w:rFonts w:ascii="Calibri" w:hAnsi="Calibri" w:cs="Calibri"/>
          <w:sz w:val="28"/>
          <w:szCs w:val="28"/>
        </w:rPr>
      </w:pPr>
      <w:r w:rsidRPr="00CA793B">
        <w:rPr>
          <w:rFonts w:ascii="Calibri" w:hAnsi="Calibri" w:cs="Calibri"/>
          <w:b/>
          <w:sz w:val="28"/>
          <w:szCs w:val="28"/>
        </w:rPr>
        <w:t>4. DEMONSTRATION</w:t>
      </w:r>
    </w:p>
    <w:p w14:paraId="751F4043" w14:textId="3B634385" w:rsidR="0035548D" w:rsidRPr="004B5FFC" w:rsidRDefault="007A7C50" w:rsidP="001948CF">
      <w:pPr>
        <w:spacing w:after="40" w:line="240" w:lineRule="auto"/>
        <w:ind w:firstLine="851"/>
        <w:jc w:val="both"/>
        <w:rPr>
          <w:rFonts w:ascii="Calibri" w:hAnsi="Calibri" w:cs="Calibri"/>
        </w:rPr>
      </w:pPr>
      <w:r w:rsidRPr="007A7C50">
        <w:rPr>
          <w:rFonts w:ascii="Calibri" w:hAnsi="Calibri" w:cs="Calibri"/>
        </w:rPr>
        <w:t xml:space="preserve">The three illustrative patterns represent distinct referent-linkage challenges in AECO handover: terminology drift between corresponding entities, boundary shifts between layers and explicit objects, and granularity changes from a single element to multiple component records. We constructed each pattern as a controlled IFC test scenario in Allplan, Archicad, and Allplan Engineering, and </w:t>
      </w:r>
      <w:r w:rsidR="00E05260" w:rsidRPr="00E05260">
        <w:rPr>
          <w:rFonts w:ascii="Calibri" w:hAnsi="Calibri" w:cs="Calibri"/>
        </w:rPr>
        <w:t xml:space="preserve">together they test whether the model distinguishes evidence-supported referent correspondence from cases requiring deferral or another </w:t>
      </w:r>
      <w:r w:rsidR="00E05260" w:rsidRPr="00E05260">
        <w:rPr>
          <w:rFonts w:ascii="Calibri" w:hAnsi="Calibri" w:cs="Calibri"/>
        </w:rPr>
        <w:lastRenderedPageBreak/>
        <w:t>mapping type</w:t>
      </w:r>
      <w:r w:rsidRPr="007A7C50">
        <w:rPr>
          <w:rFonts w:ascii="Calibri" w:hAnsi="Calibri" w:cs="Calibri"/>
        </w:rPr>
        <w:t>. Figure 3 sketches the patterns, with full per-pair records in additional CSV records (available from the authors).</w:t>
      </w:r>
    </w:p>
    <w:p w14:paraId="4AF13A5B" w14:textId="5A20470F" w:rsidR="0035548D" w:rsidRPr="004B5FFC" w:rsidRDefault="001E0C55">
      <w:pPr>
        <w:spacing w:before="160" w:after="40" w:line="240" w:lineRule="auto"/>
        <w:jc w:val="center"/>
        <w:rPr>
          <w:rFonts w:ascii="Calibri" w:hAnsi="Calibri" w:cs="Calibri"/>
        </w:rPr>
      </w:pPr>
      <w:r w:rsidRPr="004B5FFC">
        <w:rPr>
          <w:rFonts w:ascii="Calibri" w:hAnsi="Calibri" w:cs="Calibri"/>
          <w:noProof/>
        </w:rPr>
        <w:drawing>
          <wp:inline distT="0" distB="0" distL="0" distR="0" wp14:anchorId="209841D2" wp14:editId="03948631">
            <wp:extent cx="5555713" cy="277177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a:extLst>
                        <a:ext uri="{96DAC541-7B7A-43D3-8B79-37D633B846F1}">
                          <asvg:svgBlip xmlns:asvg="http://schemas.microsoft.com/office/drawing/2016/SVG/main" r:embed="rId16"/>
                        </a:ext>
                      </a:extLst>
                    </a:blip>
                    <a:srcRect t="110" b="110"/>
                    <a:stretch>
                      <a:fillRect/>
                    </a:stretch>
                  </pic:blipFill>
                  <pic:spPr bwMode="auto">
                    <a:xfrm>
                      <a:off x="0" y="0"/>
                      <a:ext cx="5707244" cy="2847374"/>
                    </a:xfrm>
                    <a:prstGeom prst="rect">
                      <a:avLst/>
                    </a:prstGeom>
                    <a:extLst>
                      <a:ext uri="{53640926-AAD7-44D8-BBD7-CCE9431645EC}">
                        <a14:shadowObscured xmlns:a14="http://schemas.microsoft.com/office/drawing/2010/main"/>
                      </a:ext>
                    </a:extLst>
                  </pic:spPr>
                </pic:pic>
              </a:graphicData>
            </a:graphic>
          </wp:inline>
        </w:drawing>
      </w:r>
    </w:p>
    <w:p w14:paraId="2358A42E" w14:textId="64020CB9" w:rsidR="0035548D" w:rsidRPr="004B5FFC" w:rsidRDefault="001E0C55" w:rsidP="409869C6">
      <w:pPr>
        <w:spacing w:before="20" w:after="80" w:line="240" w:lineRule="auto"/>
        <w:jc w:val="center"/>
        <w:rPr>
          <w:rFonts w:ascii="Calibri" w:hAnsi="Calibri" w:cs="Calibri"/>
          <w:i/>
          <w:iCs/>
          <w:sz w:val="20"/>
          <w:szCs w:val="20"/>
        </w:rPr>
      </w:pPr>
      <w:r w:rsidRPr="409869C6">
        <w:rPr>
          <w:rFonts w:ascii="Calibri" w:hAnsi="Calibri" w:cs="Calibri"/>
          <w:i/>
          <w:iCs/>
          <w:sz w:val="20"/>
          <w:szCs w:val="20"/>
        </w:rPr>
        <w:t xml:space="preserve">Figure 3: The three </w:t>
      </w:r>
      <w:r w:rsidR="00B24E1E" w:rsidRPr="409869C6">
        <w:rPr>
          <w:rFonts w:ascii="Calibri" w:hAnsi="Calibri" w:cs="Calibri"/>
          <w:i/>
          <w:iCs/>
          <w:sz w:val="20"/>
          <w:szCs w:val="20"/>
        </w:rPr>
        <w:t>illustrative patterns</w:t>
      </w:r>
      <w:r w:rsidRPr="409869C6">
        <w:rPr>
          <w:rFonts w:ascii="Calibri" w:hAnsi="Calibri" w:cs="Calibri"/>
          <w:i/>
          <w:iCs/>
          <w:sz w:val="20"/>
          <w:szCs w:val="20"/>
        </w:rPr>
        <w:t xml:space="preserve">. Pattern 1 resolves via identifier precedence; </w:t>
      </w:r>
      <w:r w:rsidR="00097547" w:rsidRPr="00097547">
        <w:rPr>
          <w:rFonts w:ascii="Calibri" w:hAnsi="Calibri" w:cs="Calibri"/>
          <w:i/>
          <w:iCs/>
          <w:sz w:val="20"/>
          <w:szCs w:val="20"/>
        </w:rPr>
        <w:t>Pattern 2 links two covering pairs and defers eight; Pattern 3 links the four granularity-shift candidates and defers the REFERENCE-geometry case.</w:t>
      </w:r>
    </w:p>
    <w:p w14:paraId="1A9F3A80" w14:textId="1BFF5E33" w:rsidR="0035548D" w:rsidRPr="00664AEA" w:rsidRDefault="001E0C55">
      <w:pPr>
        <w:spacing w:before="40" w:after="0" w:line="240" w:lineRule="auto"/>
        <w:rPr>
          <w:rFonts w:ascii="Calibri" w:hAnsi="Calibri" w:cs="Calibri"/>
          <w:sz w:val="24"/>
          <w:szCs w:val="24"/>
        </w:rPr>
      </w:pPr>
      <w:r w:rsidRPr="00664AEA">
        <w:rPr>
          <w:rFonts w:ascii="Calibri" w:hAnsi="Calibri" w:cs="Calibri"/>
          <w:b/>
          <w:sz w:val="24"/>
          <w:szCs w:val="24"/>
        </w:rPr>
        <w:t>4.1 Pattern 1: Room with floor</w:t>
      </w:r>
      <w:r w:rsidR="002F7261" w:rsidRPr="00664AEA">
        <w:rPr>
          <w:rFonts w:ascii="Calibri" w:hAnsi="Calibri" w:cs="Calibri"/>
          <w:b/>
          <w:sz w:val="24"/>
          <w:szCs w:val="24"/>
        </w:rPr>
        <w:t xml:space="preserve"> </w:t>
      </w:r>
      <w:r w:rsidRPr="00664AEA">
        <w:rPr>
          <w:rFonts w:ascii="Calibri" w:hAnsi="Calibri" w:cs="Calibri"/>
          <w:b/>
          <w:sz w:val="24"/>
          <w:szCs w:val="24"/>
        </w:rPr>
        <w:t>finish</w:t>
      </w:r>
    </w:p>
    <w:p w14:paraId="53B07404" w14:textId="77777777" w:rsidR="001A7EBA" w:rsidRDefault="001E0C55" w:rsidP="001948CF">
      <w:pPr>
        <w:spacing w:after="40" w:line="240" w:lineRule="auto"/>
        <w:ind w:firstLine="851"/>
        <w:jc w:val="both"/>
        <w:rPr>
          <w:rFonts w:ascii="Calibri" w:hAnsi="Calibri" w:cs="Calibri"/>
        </w:rPr>
      </w:pPr>
      <w:r w:rsidRPr="00406E8A">
        <w:rPr>
          <w:rFonts w:ascii="Calibri" w:hAnsi="Calibri" w:cs="Calibri"/>
          <w:u w:val="single"/>
        </w:rPr>
        <w:t>Source view:</w:t>
      </w:r>
      <w:r w:rsidRPr="004B5FFC">
        <w:rPr>
          <w:rFonts w:ascii="Calibri" w:hAnsi="Calibri" w:cs="Calibri"/>
        </w:rPr>
        <w:t xml:space="preserve"> a living room as </w:t>
      </w:r>
      <w:r w:rsidRPr="006628B0">
        <w:rPr>
          <w:rFonts w:ascii="Calibri" w:hAnsi="Calibri" w:cs="Calibri"/>
          <w:i/>
          <w:iCs/>
        </w:rPr>
        <w:t>IfcSpace</w:t>
      </w:r>
      <w:r w:rsidRPr="004B5FFC">
        <w:rPr>
          <w:rFonts w:ascii="Calibri" w:hAnsi="Calibri" w:cs="Calibri"/>
        </w:rPr>
        <w:t xml:space="preserve"> </w:t>
      </w:r>
      <w:r w:rsidRPr="001F6192">
        <w:rPr>
          <w:rFonts w:ascii="Calibri" w:hAnsi="Calibri" w:cs="Calibri"/>
          <w:i/>
          <w:iCs/>
        </w:rPr>
        <w:t>“Raum 1 - Wohnzimmer”</w:t>
      </w:r>
      <w:r w:rsidRPr="004B5FFC">
        <w:rPr>
          <w:rFonts w:ascii="Calibri" w:hAnsi="Calibri" w:cs="Calibri"/>
        </w:rPr>
        <w:t xml:space="preserve"> with the floor build-up as a separate </w:t>
      </w:r>
      <w:r w:rsidRPr="006628B0">
        <w:rPr>
          <w:rFonts w:ascii="Calibri" w:hAnsi="Calibri" w:cs="Calibri"/>
          <w:i/>
          <w:iCs/>
        </w:rPr>
        <w:t>IfcCovering</w:t>
      </w:r>
      <w:r w:rsidRPr="004B5FFC">
        <w:rPr>
          <w:rFonts w:ascii="Calibri" w:hAnsi="Calibri" w:cs="Calibri"/>
        </w:rPr>
        <w:t xml:space="preserve">. </w:t>
      </w:r>
    </w:p>
    <w:p w14:paraId="69940668" w14:textId="797D36E9" w:rsidR="0035548D" w:rsidRPr="004B5FFC" w:rsidRDefault="001E0C55" w:rsidP="001948CF">
      <w:pPr>
        <w:spacing w:after="40" w:line="240" w:lineRule="auto"/>
        <w:ind w:firstLine="851"/>
        <w:jc w:val="both"/>
        <w:rPr>
          <w:rFonts w:ascii="Calibri" w:hAnsi="Calibri" w:cs="Calibri"/>
        </w:rPr>
      </w:pPr>
      <w:r w:rsidRPr="000A1C53">
        <w:rPr>
          <w:rFonts w:ascii="Calibri" w:hAnsi="Calibri" w:cs="Calibri"/>
          <w:u w:val="single"/>
        </w:rPr>
        <w:t>Target view:</w:t>
      </w:r>
      <w:r w:rsidRPr="004B5FFC">
        <w:rPr>
          <w:rFonts w:ascii="Calibri" w:hAnsi="Calibri" w:cs="Calibri"/>
        </w:rPr>
        <w:t xml:space="preserve"> </w:t>
      </w:r>
      <w:r w:rsidRPr="006628B0">
        <w:rPr>
          <w:rFonts w:ascii="Calibri" w:hAnsi="Calibri" w:cs="Calibri"/>
          <w:i/>
          <w:iCs/>
        </w:rPr>
        <w:t>IfcSpace</w:t>
      </w:r>
      <w:r w:rsidRPr="004B5FFC">
        <w:rPr>
          <w:rFonts w:ascii="Calibri" w:hAnsi="Calibri" w:cs="Calibri"/>
        </w:rPr>
        <w:t xml:space="preserve"> </w:t>
      </w:r>
      <w:r w:rsidRPr="006628B0">
        <w:rPr>
          <w:rFonts w:ascii="Calibri" w:hAnsi="Calibri" w:cs="Calibri"/>
          <w:i/>
          <w:iCs/>
        </w:rPr>
        <w:t>“R-001” / “Wohnen</w:t>
      </w:r>
      <w:r w:rsidR="003E03EA" w:rsidRPr="003E03EA">
        <w:rPr>
          <w:rFonts w:ascii="Calibri" w:hAnsi="Calibri" w:cs="Calibri"/>
          <w:i/>
          <w:iCs/>
        </w:rPr>
        <w:t>”</w:t>
      </w:r>
      <w:r w:rsidR="009753C1">
        <w:rPr>
          <w:rFonts w:ascii="Calibri" w:hAnsi="Calibri" w:cs="Calibri"/>
          <w:i/>
          <w:iCs/>
        </w:rPr>
        <w:t xml:space="preserve"> </w:t>
      </w:r>
      <w:r w:rsidR="009753C1" w:rsidRPr="009753C1">
        <w:rPr>
          <w:rFonts w:ascii="Calibri" w:hAnsi="Calibri" w:cs="Calibri"/>
        </w:rPr>
        <w:t>plus a second space “R-004” on the upper storey, with the floor represented through the structural IfcSlab rather than via a covering.</w:t>
      </w:r>
      <w:r w:rsidRPr="004B5FFC">
        <w:rPr>
          <w:rFonts w:ascii="Calibri" w:hAnsi="Calibri" w:cs="Calibri"/>
        </w:rPr>
        <w:t xml:space="preserve"> The </w:t>
      </w:r>
      <w:r w:rsidR="00B76F1B">
        <w:rPr>
          <w:rFonts w:ascii="Calibri" w:hAnsi="Calibri" w:cs="Calibri"/>
        </w:rPr>
        <w:t>source space and “R-001”</w:t>
      </w:r>
      <w:r w:rsidRPr="004B5FFC">
        <w:rPr>
          <w:rFonts w:ascii="Calibri" w:hAnsi="Calibri" w:cs="Calibri"/>
        </w:rPr>
        <w:t xml:space="preserve"> share </w:t>
      </w:r>
      <w:r w:rsidR="004C0FE7" w:rsidRPr="004C0FE7">
        <w:rPr>
          <w:rFonts w:ascii="Calibri" w:hAnsi="Calibri" w:cs="Calibri"/>
          <w:i/>
          <w:iCs/>
        </w:rPr>
        <w:t>AssetReference.ProjectAssetId</w:t>
      </w:r>
      <w:r w:rsidR="004C0FE7">
        <w:rPr>
          <w:rFonts w:ascii="Calibri" w:hAnsi="Calibri" w:cs="Calibri"/>
          <w:i/>
          <w:iCs/>
        </w:rPr>
        <w:t xml:space="preserve"> </w:t>
      </w:r>
      <w:r w:rsidRPr="00713BE3">
        <w:rPr>
          <w:rFonts w:ascii="Calibri" w:hAnsi="Calibri" w:cs="Calibri"/>
          <w:i/>
          <w:iCs/>
        </w:rPr>
        <w:t xml:space="preserve">= </w:t>
      </w:r>
      <w:r w:rsidRPr="000A13C7">
        <w:rPr>
          <w:rFonts w:ascii="Consolas" w:hAnsi="Consolas" w:cs="Calibri"/>
          <w:i/>
          <w:iCs/>
          <w:sz w:val="18"/>
          <w:szCs w:val="18"/>
        </w:rPr>
        <w:t>ASSET-RAUM-WOHN-EG</w:t>
      </w:r>
      <w:r w:rsidRPr="004B5FFC">
        <w:rPr>
          <w:rFonts w:ascii="Calibri" w:hAnsi="Calibri" w:cs="Calibri"/>
        </w:rPr>
        <w:t>; the covering and the slab share neither identifier nor labels.</w:t>
      </w:r>
    </w:p>
    <w:p w14:paraId="6EC6AFAD" w14:textId="43BED809" w:rsidR="0035548D" w:rsidRPr="004B5FFC" w:rsidRDefault="00474126" w:rsidP="001948CF">
      <w:pPr>
        <w:spacing w:after="40" w:line="240" w:lineRule="auto"/>
        <w:ind w:firstLine="851"/>
        <w:jc w:val="both"/>
        <w:rPr>
          <w:rFonts w:ascii="Calibri" w:hAnsi="Calibri" w:cs="Calibri"/>
        </w:rPr>
      </w:pPr>
      <w:r w:rsidRPr="00474126">
        <w:rPr>
          <w:rFonts w:ascii="Calibri" w:hAnsi="Calibri" w:cs="Calibri"/>
        </w:rPr>
        <w:t xml:space="preserve">The model resolves the source-space ↔ </w:t>
      </w:r>
      <w:r>
        <w:rPr>
          <w:rFonts w:ascii="Calibri" w:hAnsi="Calibri" w:cs="Calibri"/>
        </w:rPr>
        <w:t>“</w:t>
      </w:r>
      <w:r w:rsidRPr="00474126">
        <w:rPr>
          <w:rFonts w:ascii="Calibri" w:hAnsi="Calibri" w:cs="Calibri"/>
        </w:rPr>
        <w:t>R-001</w:t>
      </w:r>
      <w:r>
        <w:rPr>
          <w:rFonts w:ascii="Calibri" w:hAnsi="Calibri" w:cs="Calibri"/>
        </w:rPr>
        <w:t>”</w:t>
      </w:r>
      <w:r w:rsidRPr="00474126">
        <w:rPr>
          <w:rFonts w:ascii="Calibri" w:hAnsi="Calibri" w:cs="Calibri"/>
        </w:rPr>
        <w:t xml:space="preserve"> pair through identifier precedence, returning </w:t>
      </w:r>
      <w:r w:rsidRPr="00474126">
        <w:rPr>
          <w:rFonts w:ascii="Consolas" w:hAnsi="Consolas" w:cs="Consolas"/>
          <w:sz w:val="18"/>
          <w:szCs w:val="18"/>
        </w:rPr>
        <w:t>LINKED</w:t>
      </w:r>
      <w:r w:rsidRPr="00474126">
        <w:rPr>
          <w:rFonts w:ascii="Calibri" w:hAnsi="Calibri" w:cs="Calibri"/>
        </w:rPr>
        <w:t xml:space="preserve"> with confidence 1.0, while the </w:t>
      </w:r>
      <w:r>
        <w:rPr>
          <w:rFonts w:ascii="Calibri" w:hAnsi="Calibri" w:cs="Calibri"/>
        </w:rPr>
        <w:t>“</w:t>
      </w:r>
      <w:r w:rsidRPr="00474126">
        <w:rPr>
          <w:rFonts w:ascii="Calibri" w:hAnsi="Calibri" w:cs="Calibri"/>
        </w:rPr>
        <w:t>R-004</w:t>
      </w:r>
      <w:r>
        <w:rPr>
          <w:rFonts w:ascii="Calibri" w:hAnsi="Calibri" w:cs="Calibri"/>
        </w:rPr>
        <w:t>”</w:t>
      </w:r>
      <w:r w:rsidRPr="00474126">
        <w:rPr>
          <w:rFonts w:ascii="Calibri" w:hAnsi="Calibri" w:cs="Calibri"/>
        </w:rPr>
        <w:t xml:space="preserve"> candidate on the upper storey is returned </w:t>
      </w:r>
      <w:r w:rsidRPr="00474126">
        <w:rPr>
          <w:rFonts w:ascii="Consolas" w:hAnsi="Consolas" w:cs="Consolas"/>
          <w:sz w:val="18"/>
          <w:szCs w:val="18"/>
        </w:rPr>
        <w:t>NOT_LINKED</w:t>
      </w:r>
      <w:r w:rsidRPr="00474126">
        <w:rPr>
          <w:rFonts w:ascii="Calibri" w:hAnsi="Calibri" w:cs="Calibri"/>
        </w:rPr>
        <w:t xml:space="preserve"> on conflicting identifiers. The covering-to-slab pair is also correctly returned </w:t>
      </w:r>
      <w:r w:rsidRPr="00474126">
        <w:rPr>
          <w:rFonts w:ascii="Consolas" w:hAnsi="Consolas" w:cs="Consolas"/>
          <w:sz w:val="18"/>
          <w:szCs w:val="18"/>
        </w:rPr>
        <w:t>NOT_LINKED</w:t>
      </w:r>
      <w:r w:rsidRPr="00474126">
        <w:rPr>
          <w:rFonts w:ascii="Calibri" w:hAnsi="Calibri" w:cs="Calibri"/>
        </w:rPr>
        <w:t>:</w:t>
      </w:r>
      <w:r>
        <w:rPr>
          <w:rFonts w:ascii="Calibri" w:hAnsi="Calibri" w:cs="Calibri"/>
        </w:rPr>
        <w:t xml:space="preserve"> </w:t>
      </w:r>
      <w:r w:rsidR="001E0C55" w:rsidRPr="004B5FFC">
        <w:rPr>
          <w:rFonts w:ascii="Calibri" w:hAnsi="Calibri" w:cs="Calibri"/>
        </w:rPr>
        <w:t>the records stand in a containment relation rather than being the same referent. Such cases fall under the cluster-based mapping type (Martin et al., 2026), not under direct entity correspondence, and the model surfaces this by withholding a positive linkage.</w:t>
      </w:r>
    </w:p>
    <w:p w14:paraId="574E6F44" w14:textId="77777777" w:rsidR="0035548D" w:rsidRPr="00664AEA" w:rsidRDefault="001E0C55">
      <w:pPr>
        <w:spacing w:before="40" w:after="0" w:line="240" w:lineRule="auto"/>
        <w:rPr>
          <w:rFonts w:ascii="Calibri" w:hAnsi="Calibri" w:cs="Calibri"/>
          <w:sz w:val="24"/>
          <w:szCs w:val="24"/>
        </w:rPr>
      </w:pPr>
      <w:r w:rsidRPr="00664AEA">
        <w:rPr>
          <w:rFonts w:ascii="Calibri" w:hAnsi="Calibri" w:cs="Calibri"/>
          <w:b/>
          <w:sz w:val="24"/>
          <w:szCs w:val="24"/>
        </w:rPr>
        <w:t>4.2 Pattern 2: Plaster as layer vs. surface covering</w:t>
      </w:r>
    </w:p>
    <w:p w14:paraId="162ACF3F" w14:textId="77777777" w:rsidR="005D6D0E" w:rsidRDefault="001E0C55" w:rsidP="001948CF">
      <w:pPr>
        <w:spacing w:after="40" w:line="240" w:lineRule="auto"/>
        <w:ind w:firstLine="851"/>
        <w:jc w:val="both"/>
        <w:rPr>
          <w:rFonts w:ascii="Calibri" w:hAnsi="Calibri" w:cs="Calibri"/>
        </w:rPr>
      </w:pPr>
      <w:r w:rsidRPr="000A1C53">
        <w:rPr>
          <w:rFonts w:ascii="Calibri" w:hAnsi="Calibri" w:cs="Calibri"/>
          <w:u w:val="single"/>
        </w:rPr>
        <w:t>Source view:</w:t>
      </w:r>
      <w:r w:rsidRPr="004B5FFC">
        <w:rPr>
          <w:rFonts w:ascii="Calibri" w:hAnsi="Calibri" w:cs="Calibri"/>
        </w:rPr>
        <w:t xml:space="preserve"> an exterior wall as one </w:t>
      </w:r>
      <w:r w:rsidRPr="00880316">
        <w:rPr>
          <w:rFonts w:ascii="Calibri" w:hAnsi="Calibri" w:cs="Calibri"/>
          <w:i/>
          <w:iCs/>
        </w:rPr>
        <w:t>IfcWall “Außenwand W-001”</w:t>
      </w:r>
      <w:r w:rsidRPr="004B5FFC">
        <w:rPr>
          <w:rFonts w:ascii="Calibri" w:hAnsi="Calibri" w:cs="Calibri"/>
        </w:rPr>
        <w:t xml:space="preserve"> with an </w:t>
      </w:r>
      <w:r w:rsidRPr="00880316">
        <w:rPr>
          <w:rFonts w:ascii="Calibri" w:hAnsi="Calibri" w:cs="Calibri"/>
          <w:i/>
          <w:iCs/>
        </w:rPr>
        <w:t>IfcMaterialLayerSet</w:t>
      </w:r>
      <w:r w:rsidRPr="004B5FFC">
        <w:rPr>
          <w:rFonts w:ascii="Calibri" w:hAnsi="Calibri" w:cs="Calibri"/>
        </w:rPr>
        <w:t xml:space="preserve"> of </w:t>
      </w:r>
      <w:r w:rsidRPr="00880316">
        <w:rPr>
          <w:rFonts w:ascii="Calibri" w:hAnsi="Calibri" w:cs="Calibri"/>
          <w:i/>
          <w:iCs/>
        </w:rPr>
        <w:t>3 cm Kalkputz, 24 cm Hochlochziegel, 4 cm Zementputz</w:t>
      </w:r>
      <w:r w:rsidRPr="004B5FFC">
        <w:rPr>
          <w:rFonts w:ascii="Calibri" w:hAnsi="Calibri" w:cs="Calibri"/>
        </w:rPr>
        <w:t xml:space="preserve">, plus two </w:t>
      </w:r>
      <w:r w:rsidRPr="00880316">
        <w:rPr>
          <w:rFonts w:ascii="Calibri" w:hAnsi="Calibri" w:cs="Calibri"/>
          <w:i/>
          <w:iCs/>
        </w:rPr>
        <w:t>IfcCovering</w:t>
      </w:r>
      <w:r w:rsidRPr="004B5FFC">
        <w:rPr>
          <w:rFonts w:ascii="Calibri" w:hAnsi="Calibri" w:cs="Calibri"/>
        </w:rPr>
        <w:t xml:space="preserve"> records for the plaster layers. </w:t>
      </w:r>
    </w:p>
    <w:p w14:paraId="770F616F" w14:textId="70701036" w:rsidR="0035548D" w:rsidRPr="004B5FFC" w:rsidRDefault="001E0C55" w:rsidP="001948CF">
      <w:pPr>
        <w:spacing w:after="40" w:line="240" w:lineRule="auto"/>
        <w:ind w:firstLine="851"/>
        <w:jc w:val="both"/>
        <w:rPr>
          <w:rFonts w:ascii="Calibri" w:hAnsi="Calibri" w:cs="Calibri"/>
        </w:rPr>
      </w:pPr>
      <w:r w:rsidRPr="002D5EB6">
        <w:rPr>
          <w:rFonts w:ascii="Calibri" w:hAnsi="Calibri" w:cs="Calibri"/>
          <w:u w:val="single"/>
        </w:rPr>
        <w:t>Target view:</w:t>
      </w:r>
      <w:r w:rsidRPr="004B5FFC">
        <w:rPr>
          <w:rFonts w:ascii="Calibri" w:hAnsi="Calibri" w:cs="Calibri"/>
        </w:rPr>
        <w:t xml:space="preserve"> one full </w:t>
      </w:r>
      <w:r w:rsidRPr="00880316">
        <w:rPr>
          <w:rFonts w:ascii="Calibri" w:hAnsi="Calibri" w:cs="Calibri"/>
          <w:i/>
          <w:iCs/>
        </w:rPr>
        <w:t>IfcWall “Außenwand W-001”</w:t>
      </w:r>
      <w:r w:rsidRPr="004B5FFC">
        <w:rPr>
          <w:rFonts w:ascii="Calibri" w:hAnsi="Calibri" w:cs="Calibri"/>
        </w:rPr>
        <w:t xml:space="preserve"> (</w:t>
      </w:r>
      <w:r w:rsidRPr="00880316">
        <w:rPr>
          <w:rFonts w:ascii="Consolas" w:hAnsi="Consolas" w:cs="Calibri"/>
          <w:sz w:val="18"/>
          <w:szCs w:val="18"/>
        </w:rPr>
        <w:t>IsExternal=True</w:t>
      </w:r>
      <w:r w:rsidRPr="004B5FFC">
        <w:rPr>
          <w:rFonts w:ascii="Calibri" w:hAnsi="Calibri" w:cs="Calibri"/>
        </w:rPr>
        <w:t xml:space="preserve">, </w:t>
      </w:r>
      <w:r w:rsidRPr="00880316">
        <w:rPr>
          <w:rFonts w:ascii="Consolas" w:hAnsi="Consolas" w:cs="Calibri"/>
          <w:sz w:val="18"/>
          <w:szCs w:val="18"/>
        </w:rPr>
        <w:t>LoadBearing=True</w:t>
      </w:r>
      <w:r w:rsidRPr="004B5FFC">
        <w:rPr>
          <w:rFonts w:ascii="Calibri" w:hAnsi="Calibri" w:cs="Calibri"/>
        </w:rPr>
        <w:t xml:space="preserve">), an additional </w:t>
      </w:r>
      <w:r w:rsidRPr="00880316">
        <w:rPr>
          <w:rFonts w:ascii="Calibri" w:hAnsi="Calibri" w:cs="Calibri"/>
          <w:i/>
          <w:iCs/>
        </w:rPr>
        <w:t>IfcWall</w:t>
      </w:r>
      <w:r w:rsidRPr="004B5FFC">
        <w:rPr>
          <w:rFonts w:ascii="Calibri" w:hAnsi="Calibri" w:cs="Calibri"/>
        </w:rPr>
        <w:t xml:space="preserve"> </w:t>
      </w:r>
      <w:r w:rsidRPr="00880316">
        <w:rPr>
          <w:rFonts w:ascii="Calibri" w:hAnsi="Calibri" w:cs="Calibri"/>
          <w:i/>
          <w:iCs/>
        </w:rPr>
        <w:t>“Außenwand W-001 (Mauerwerks-Komponente)”</w:t>
      </w:r>
      <w:r w:rsidRPr="004B5FFC">
        <w:rPr>
          <w:rFonts w:ascii="Calibri" w:hAnsi="Calibri" w:cs="Calibri"/>
        </w:rPr>
        <w:t xml:space="preserve"> representing only the masonry core (Archicad multi-layer convention), and two </w:t>
      </w:r>
      <w:r w:rsidRPr="00880316">
        <w:rPr>
          <w:rFonts w:ascii="Calibri" w:hAnsi="Calibri" w:cs="Calibri"/>
          <w:i/>
          <w:iCs/>
        </w:rPr>
        <w:t>IfcCovering</w:t>
      </w:r>
      <w:r w:rsidRPr="004B5FFC">
        <w:rPr>
          <w:rFonts w:ascii="Calibri" w:hAnsi="Calibri" w:cs="Calibri"/>
        </w:rPr>
        <w:t xml:space="preserve"> records named </w:t>
      </w:r>
      <w:r w:rsidRPr="00880316">
        <w:rPr>
          <w:rFonts w:ascii="Calibri" w:hAnsi="Calibri" w:cs="Calibri"/>
          <w:i/>
          <w:iCs/>
        </w:rPr>
        <w:t>“Kalkputz”</w:t>
      </w:r>
      <w:r w:rsidRPr="004B5FFC">
        <w:rPr>
          <w:rFonts w:ascii="Calibri" w:hAnsi="Calibri" w:cs="Calibri"/>
        </w:rPr>
        <w:t xml:space="preserve"> and </w:t>
      </w:r>
      <w:r w:rsidRPr="00880316">
        <w:rPr>
          <w:rFonts w:ascii="Calibri" w:hAnsi="Calibri" w:cs="Calibri"/>
          <w:i/>
          <w:iCs/>
        </w:rPr>
        <w:t>“Zementputz”</w:t>
      </w:r>
      <w:r w:rsidRPr="004B5FFC">
        <w:rPr>
          <w:rFonts w:ascii="Calibri" w:hAnsi="Calibri" w:cs="Calibri"/>
        </w:rPr>
        <w:t>.</w:t>
      </w:r>
    </w:p>
    <w:p w14:paraId="67A8661F" w14:textId="72AA847F" w:rsidR="00BD08C6" w:rsidRPr="004B5FFC" w:rsidRDefault="001E0C55" w:rsidP="005B7FE6">
      <w:pPr>
        <w:spacing w:after="40" w:line="240" w:lineRule="auto"/>
        <w:ind w:firstLine="851"/>
        <w:jc w:val="both"/>
        <w:rPr>
          <w:rFonts w:ascii="Calibri" w:hAnsi="Calibri" w:cs="Calibri"/>
        </w:rPr>
      </w:pPr>
      <w:r w:rsidRPr="004B5FFC">
        <w:rPr>
          <w:rFonts w:ascii="Calibri" w:hAnsi="Calibri" w:cs="Calibri"/>
        </w:rPr>
        <w:t xml:space="preserve">Identifier precedence resolves the full-wall pair </w:t>
      </w:r>
      <w:r w:rsidRPr="00406E8A">
        <w:rPr>
          <w:rFonts w:ascii="Consolas" w:hAnsi="Consolas" w:cs="Calibri"/>
          <w:sz w:val="18"/>
          <w:szCs w:val="18"/>
        </w:rPr>
        <w:t>LINKED</w:t>
      </w:r>
      <w:r w:rsidRPr="004B5FFC">
        <w:rPr>
          <w:rFonts w:ascii="Calibri" w:hAnsi="Calibri" w:cs="Calibri"/>
        </w:rPr>
        <w:t xml:space="preserve"> at confidence 1.0. The two covering pairs carry no shared identifier and rely on aggregated evidence. For </w:t>
      </w:r>
      <w:r w:rsidRPr="00406E8A">
        <w:rPr>
          <w:rFonts w:ascii="Calibri" w:hAnsi="Calibri" w:cs="Calibri"/>
          <w:i/>
          <w:iCs/>
        </w:rPr>
        <w:t>“Innenputz Kalk”</w:t>
      </w:r>
      <w:r w:rsidRPr="004B5FFC">
        <w:rPr>
          <w:rFonts w:ascii="Calibri" w:hAnsi="Calibri" w:cs="Calibri"/>
        </w:rPr>
        <w:t xml:space="preserve"> ↔ </w:t>
      </w:r>
      <w:r w:rsidRPr="00406E8A">
        <w:rPr>
          <w:rFonts w:ascii="Calibri" w:hAnsi="Calibri" w:cs="Calibri"/>
          <w:i/>
          <w:iCs/>
        </w:rPr>
        <w:t>“Kalkputz”</w:t>
      </w:r>
      <w:r w:rsidRPr="004B5FFC">
        <w:rPr>
          <w:rFonts w:ascii="Calibri" w:hAnsi="Calibri" w:cs="Calibri"/>
        </w:rPr>
        <w:t xml:space="preserve">, the model computes spatial 0.94 (same floor after label normalization, near-coincident positions after model-local re-centering), type 0.76 (same </w:t>
      </w:r>
      <w:r w:rsidRPr="00406E8A">
        <w:rPr>
          <w:rFonts w:ascii="Calibri" w:hAnsi="Calibri" w:cs="Calibri"/>
          <w:i/>
          <w:iCs/>
        </w:rPr>
        <w:t>Pset_CoveringCommon</w:t>
      </w:r>
      <w:r w:rsidRPr="004B5FFC">
        <w:rPr>
          <w:rFonts w:ascii="Calibri" w:hAnsi="Calibri" w:cs="Calibri"/>
        </w:rPr>
        <w:t xml:space="preserve">, same Uniclass code), </w:t>
      </w:r>
      <w:r w:rsidR="00F408D6" w:rsidRPr="00F408D6">
        <w:rPr>
          <w:rFonts w:ascii="Calibri" w:hAnsi="Calibri" w:cs="Calibri"/>
        </w:rPr>
        <w:t xml:space="preserve">and boundary 0.72 (agreeing layer thickness and reference area); all three signals clear the threshold and the model returns </w:t>
      </w:r>
      <w:r w:rsidR="00F408D6" w:rsidRPr="00C749D8">
        <w:rPr>
          <w:rFonts w:ascii="Consolas" w:hAnsi="Consolas" w:cs="Consolas"/>
          <w:sz w:val="18"/>
          <w:szCs w:val="18"/>
        </w:rPr>
        <w:t>LINKED</w:t>
      </w:r>
      <w:r w:rsidR="00F408D6" w:rsidRPr="00F408D6">
        <w:rPr>
          <w:rFonts w:ascii="Calibri" w:hAnsi="Calibri" w:cs="Calibri"/>
        </w:rPr>
        <w:t xml:space="preserve"> at confidence 0.81.</w:t>
      </w:r>
      <w:r w:rsidRPr="004B5FFC">
        <w:rPr>
          <w:rFonts w:ascii="Calibri" w:hAnsi="Calibri" w:cs="Calibri"/>
        </w:rPr>
        <w:t xml:space="preserve"> The “</w:t>
      </w:r>
      <w:r w:rsidRPr="00406E8A">
        <w:rPr>
          <w:rFonts w:ascii="Calibri" w:hAnsi="Calibri" w:cs="Calibri"/>
          <w:i/>
          <w:iCs/>
        </w:rPr>
        <w:t>Außenputz Zement”</w:t>
      </w:r>
      <w:r w:rsidRPr="004B5FFC">
        <w:rPr>
          <w:rFonts w:ascii="Calibri" w:hAnsi="Calibri" w:cs="Calibri"/>
        </w:rPr>
        <w:t xml:space="preserve"> ↔ </w:t>
      </w:r>
      <w:r w:rsidRPr="00406E8A">
        <w:rPr>
          <w:rFonts w:ascii="Calibri" w:hAnsi="Calibri" w:cs="Calibri"/>
          <w:i/>
          <w:iCs/>
        </w:rPr>
        <w:t>“Zementputz”</w:t>
      </w:r>
      <w:r w:rsidRPr="004B5FFC">
        <w:rPr>
          <w:rFonts w:ascii="Calibri" w:hAnsi="Calibri" w:cs="Calibri"/>
        </w:rPr>
        <w:t xml:space="preserve"> </w:t>
      </w:r>
      <w:r w:rsidR="00094713" w:rsidRPr="00094713">
        <w:rPr>
          <w:rFonts w:ascii="Calibri" w:hAnsi="Calibri" w:cs="Calibri"/>
        </w:rPr>
        <w:t>pair behaves analogously (boundary 0.72, confidence 0.82).</w:t>
      </w:r>
      <w:r w:rsidRPr="004B5FFC">
        <w:rPr>
          <w:rFonts w:ascii="Calibri" w:hAnsi="Calibri" w:cs="Calibri"/>
        </w:rPr>
        <w:t xml:space="preserve"> The remaining non-identifier candidates are correctly differentiated: the Außenwand</w:t>
      </w:r>
      <w:r w:rsidR="00406E8A">
        <w:rPr>
          <w:rFonts w:ascii="Calibri" w:hAnsi="Calibri" w:cs="Calibri"/>
        </w:rPr>
        <w:t>-</w:t>
      </w:r>
      <w:r w:rsidRPr="004B5FFC">
        <w:rPr>
          <w:rFonts w:ascii="Calibri" w:hAnsi="Calibri" w:cs="Calibri"/>
        </w:rPr>
        <w:t xml:space="preserve">Mauerwerks-Komponente pair carries conflicting </w:t>
      </w:r>
      <w:r w:rsidRPr="00406E8A">
        <w:rPr>
          <w:rFonts w:ascii="Calibri" w:hAnsi="Calibri" w:cs="Calibri"/>
          <w:i/>
          <w:iCs/>
        </w:rPr>
        <w:t>ProjectAssetIds</w:t>
      </w:r>
      <w:r w:rsidRPr="004B5FFC">
        <w:rPr>
          <w:rFonts w:ascii="Calibri" w:hAnsi="Calibri" w:cs="Calibri"/>
        </w:rPr>
        <w:t xml:space="preserve"> and is returned </w:t>
      </w:r>
      <w:r w:rsidRPr="00406E8A">
        <w:rPr>
          <w:rFonts w:ascii="Consolas" w:hAnsi="Consolas" w:cs="Calibri"/>
          <w:sz w:val="18"/>
          <w:szCs w:val="18"/>
        </w:rPr>
        <w:t>NOT_LINKED</w:t>
      </w:r>
      <w:r w:rsidRPr="004B5FFC">
        <w:rPr>
          <w:rFonts w:ascii="Calibri" w:hAnsi="Calibri" w:cs="Calibri"/>
        </w:rPr>
        <w:t xml:space="preserve"> via identifier </w:t>
      </w:r>
      <w:r w:rsidR="00605683" w:rsidRPr="00605683">
        <w:rPr>
          <w:rFonts w:ascii="Calibri" w:hAnsi="Calibri" w:cs="Calibri"/>
        </w:rPr>
        <w:t>conflict</w:t>
      </w:r>
      <w:r w:rsidRPr="004B5FFC">
        <w:rPr>
          <w:rFonts w:ascii="Calibri" w:hAnsi="Calibri" w:cs="Calibri"/>
        </w:rPr>
        <w:t xml:space="preserve">, </w:t>
      </w:r>
      <w:r w:rsidR="000C19DA" w:rsidRPr="000C19DA">
        <w:rPr>
          <w:rFonts w:ascii="Calibri" w:hAnsi="Calibri" w:cs="Calibri"/>
        </w:rPr>
        <w:t>while the six cross-type wall-covering combinations are deferred on signal disagreement and the two cross-side covering pairs on inconclusive boundary evidence, the latter separated by a 3 cm versus 4 cm layer thickness.</w:t>
      </w:r>
    </w:p>
    <w:p w14:paraId="10F7207A" w14:textId="77777777" w:rsidR="0035548D" w:rsidRPr="00664AEA" w:rsidRDefault="001E0C55">
      <w:pPr>
        <w:spacing w:before="40" w:after="0" w:line="240" w:lineRule="auto"/>
        <w:rPr>
          <w:rFonts w:ascii="Calibri" w:hAnsi="Calibri" w:cs="Calibri"/>
          <w:sz w:val="24"/>
          <w:szCs w:val="24"/>
        </w:rPr>
      </w:pPr>
      <w:r w:rsidRPr="00664AEA">
        <w:rPr>
          <w:rFonts w:ascii="Calibri" w:hAnsi="Calibri" w:cs="Calibri"/>
          <w:b/>
          <w:sz w:val="24"/>
          <w:szCs w:val="24"/>
        </w:rPr>
        <w:lastRenderedPageBreak/>
        <w:t>4.3 Pattern 3: Slab single vs. precast-split</w:t>
      </w:r>
    </w:p>
    <w:p w14:paraId="15196E51" w14:textId="77777777" w:rsidR="005D6D0E" w:rsidRDefault="001E0C55" w:rsidP="001948CF">
      <w:pPr>
        <w:spacing w:after="40" w:line="240" w:lineRule="auto"/>
        <w:ind w:firstLine="851"/>
        <w:jc w:val="both"/>
        <w:rPr>
          <w:rFonts w:ascii="Calibri" w:hAnsi="Calibri" w:cs="Calibri"/>
        </w:rPr>
      </w:pPr>
      <w:r w:rsidRPr="00873A05">
        <w:rPr>
          <w:rFonts w:ascii="Calibri" w:hAnsi="Calibri" w:cs="Calibri"/>
          <w:u w:val="single"/>
        </w:rPr>
        <w:t>Source view:</w:t>
      </w:r>
      <w:r w:rsidRPr="004B5FFC">
        <w:rPr>
          <w:rFonts w:ascii="Calibri" w:hAnsi="Calibri" w:cs="Calibri"/>
        </w:rPr>
        <w:t xml:space="preserve"> a monolithic </w:t>
      </w:r>
      <w:r w:rsidRPr="00817D51">
        <w:rPr>
          <w:rFonts w:ascii="Calibri" w:hAnsi="Calibri" w:cs="Calibri"/>
          <w:i/>
          <w:iCs/>
        </w:rPr>
        <w:t>IfcSlab</w:t>
      </w:r>
      <w:r w:rsidRPr="004B5FFC">
        <w:rPr>
          <w:rFonts w:ascii="Calibri" w:hAnsi="Calibri" w:cs="Calibri"/>
        </w:rPr>
        <w:t xml:space="preserve"> </w:t>
      </w:r>
      <w:r w:rsidRPr="00817D51">
        <w:rPr>
          <w:rFonts w:ascii="Calibri" w:hAnsi="Calibri" w:cs="Calibri"/>
          <w:i/>
          <w:iCs/>
        </w:rPr>
        <w:t>“Geschossdecke EG”</w:t>
      </w:r>
      <w:r w:rsidRPr="004B5FFC">
        <w:rPr>
          <w:rFonts w:ascii="Calibri" w:hAnsi="Calibri" w:cs="Calibri"/>
        </w:rPr>
        <w:t xml:space="preserve">, </w:t>
      </w:r>
      <w:r w:rsidRPr="00817D51">
        <w:rPr>
          <w:rFonts w:ascii="Calibri" w:hAnsi="Calibri" w:cs="Calibri"/>
          <w:i/>
          <w:iCs/>
        </w:rPr>
        <w:t>GrossVolume 11.52 m³</w:t>
      </w:r>
      <w:r w:rsidRPr="004B5FFC">
        <w:rPr>
          <w:rFonts w:ascii="Calibri" w:hAnsi="Calibri" w:cs="Calibri"/>
        </w:rPr>
        <w:t xml:space="preserve"> at floor EG</w:t>
      </w:r>
      <w:r w:rsidR="000539D7" w:rsidRPr="000539D7">
        <w:rPr>
          <w:rFonts w:ascii="Calibri" w:hAnsi="Calibri" w:cs="Calibri"/>
        </w:rPr>
        <w:t>, together with the enclosing IfcSpace of that storey.</w:t>
      </w:r>
      <w:r w:rsidRPr="004B5FFC">
        <w:rPr>
          <w:rFonts w:ascii="Calibri" w:hAnsi="Calibri" w:cs="Calibri"/>
        </w:rPr>
        <w:t xml:space="preserve"> </w:t>
      </w:r>
    </w:p>
    <w:p w14:paraId="73A5B199" w14:textId="20D8A55F" w:rsidR="0035548D" w:rsidRPr="004B5FFC" w:rsidRDefault="001E0C55" w:rsidP="001948CF">
      <w:pPr>
        <w:spacing w:after="40" w:line="240" w:lineRule="auto"/>
        <w:ind w:firstLine="851"/>
        <w:jc w:val="both"/>
        <w:rPr>
          <w:rFonts w:ascii="Calibri" w:hAnsi="Calibri" w:cs="Calibri"/>
        </w:rPr>
      </w:pPr>
      <w:r w:rsidRPr="005D6D0E">
        <w:rPr>
          <w:rFonts w:ascii="Calibri" w:hAnsi="Calibri" w:cs="Calibri"/>
          <w:u w:val="single"/>
        </w:rPr>
        <w:t>Target view</w:t>
      </w:r>
      <w:r w:rsidR="005D6D0E" w:rsidRPr="005D6D0E">
        <w:rPr>
          <w:rFonts w:ascii="Calibri" w:hAnsi="Calibri" w:cs="Calibri"/>
          <w:u w:val="single"/>
        </w:rPr>
        <w:t>:</w:t>
      </w:r>
      <w:r w:rsidRPr="004B5FFC">
        <w:rPr>
          <w:rFonts w:ascii="Calibri" w:hAnsi="Calibri" w:cs="Calibri"/>
        </w:rPr>
        <w:t xml:space="preserve"> from </w:t>
      </w:r>
      <w:r w:rsidRPr="00817D51">
        <w:rPr>
          <w:rFonts w:ascii="Calibri" w:hAnsi="Calibri" w:cs="Calibri"/>
          <w:i/>
          <w:iCs/>
        </w:rPr>
        <w:t>Allplan Engineering</w:t>
      </w:r>
      <w:r w:rsidRPr="004B5FFC">
        <w:rPr>
          <w:rFonts w:ascii="Calibri" w:hAnsi="Calibri" w:cs="Calibri"/>
        </w:rPr>
        <w:t xml:space="preserve"> for the precast contractor</w:t>
      </w:r>
      <w:r w:rsidR="00580724">
        <w:rPr>
          <w:rFonts w:ascii="Calibri" w:hAnsi="Calibri" w:cs="Calibri"/>
        </w:rPr>
        <w:t>,</w:t>
      </w:r>
      <w:r w:rsidRPr="004B5FFC">
        <w:rPr>
          <w:rFonts w:ascii="Calibri" w:hAnsi="Calibri" w:cs="Calibri"/>
        </w:rPr>
        <w:t xml:space="preserve"> four </w:t>
      </w:r>
      <w:r w:rsidRPr="00817D51">
        <w:rPr>
          <w:rFonts w:ascii="Calibri" w:hAnsi="Calibri" w:cs="Calibri"/>
          <w:i/>
          <w:iCs/>
        </w:rPr>
        <w:t>IfcElementAssembly</w:t>
      </w:r>
      <w:r w:rsidRPr="004B5FFC">
        <w:rPr>
          <w:rFonts w:ascii="Calibri" w:hAnsi="Calibri" w:cs="Calibri"/>
        </w:rPr>
        <w:t xml:space="preserve"> instances </w:t>
      </w:r>
      <w:r w:rsidRPr="00817D51">
        <w:rPr>
          <w:rFonts w:ascii="Calibri" w:hAnsi="Calibri" w:cs="Calibri"/>
          <w:i/>
          <w:iCs/>
        </w:rPr>
        <w:t>“Hohldielen-Element</w:t>
      </w:r>
      <w:r w:rsidR="00223EFC">
        <w:rPr>
          <w:rFonts w:ascii="Calibri" w:hAnsi="Calibri" w:cs="Calibri"/>
          <w:i/>
          <w:iCs/>
        </w:rPr>
        <w:t xml:space="preserve"> </w:t>
      </w:r>
      <w:r w:rsidRPr="00817D51">
        <w:rPr>
          <w:rFonts w:ascii="Calibri" w:hAnsi="Calibri" w:cs="Calibri"/>
          <w:i/>
          <w:iCs/>
        </w:rPr>
        <w:t>01..04”</w:t>
      </w:r>
      <w:r w:rsidRPr="004B5FFC">
        <w:rPr>
          <w:rFonts w:ascii="Calibri" w:hAnsi="Calibri" w:cs="Calibri"/>
        </w:rPr>
        <w:t xml:space="preserve"> (each 2.88 m³), plus an additional </w:t>
      </w:r>
      <w:r w:rsidRPr="00817D51">
        <w:rPr>
          <w:rFonts w:ascii="Calibri" w:hAnsi="Calibri" w:cs="Calibri"/>
          <w:i/>
          <w:iCs/>
        </w:rPr>
        <w:t>IfcSlab “Architekturdecke Referenz”</w:t>
      </w:r>
      <w:r w:rsidRPr="004B5FFC">
        <w:rPr>
          <w:rFonts w:ascii="Calibri" w:hAnsi="Calibri" w:cs="Calibri"/>
        </w:rPr>
        <w:t xml:space="preserve"> carried over from architecture and marked </w:t>
      </w:r>
      <w:r w:rsidR="000A13C7" w:rsidRPr="000A13C7">
        <w:rPr>
          <w:rFonts w:ascii="Calibri" w:hAnsi="Calibri" w:cs="Calibri"/>
          <w:i/>
          <w:iCs/>
        </w:rPr>
        <w:t>AssetReference.LifecycleStatus</w:t>
      </w:r>
      <w:r w:rsidR="000A13C7">
        <w:rPr>
          <w:rFonts w:ascii="Calibri" w:hAnsi="Calibri" w:cs="Calibri"/>
          <w:i/>
          <w:iCs/>
        </w:rPr>
        <w:t xml:space="preserve"> </w:t>
      </w:r>
      <w:r w:rsidRPr="00817D51">
        <w:rPr>
          <w:rFonts w:ascii="Calibri" w:hAnsi="Calibri" w:cs="Calibri"/>
          <w:i/>
          <w:iCs/>
        </w:rPr>
        <w:t>=</w:t>
      </w:r>
      <w:r w:rsidR="000A13C7">
        <w:rPr>
          <w:rFonts w:ascii="Calibri" w:hAnsi="Calibri" w:cs="Calibri"/>
          <w:i/>
          <w:iCs/>
        </w:rPr>
        <w:t xml:space="preserve"> </w:t>
      </w:r>
      <w:r w:rsidRPr="00817D51">
        <w:rPr>
          <w:rFonts w:ascii="Consolas" w:hAnsi="Consolas" w:cs="Calibri"/>
          <w:i/>
          <w:iCs/>
          <w:sz w:val="18"/>
          <w:szCs w:val="18"/>
        </w:rPr>
        <w:t>REFERENCE</w:t>
      </w:r>
      <w:r w:rsidRPr="004B5FFC">
        <w:rPr>
          <w:rFonts w:ascii="Calibri" w:hAnsi="Calibri" w:cs="Calibri"/>
        </w:rPr>
        <w:t>.</w:t>
      </w:r>
    </w:p>
    <w:p w14:paraId="369B2D26" w14:textId="6CAA5CA3" w:rsidR="0035548D" w:rsidRPr="004B5FFC" w:rsidRDefault="001E0C55" w:rsidP="001948CF">
      <w:pPr>
        <w:spacing w:after="40" w:line="240" w:lineRule="auto"/>
        <w:ind w:firstLine="851"/>
        <w:jc w:val="both"/>
        <w:rPr>
          <w:rFonts w:ascii="Calibri" w:hAnsi="Calibri" w:cs="Calibri"/>
        </w:rPr>
      </w:pPr>
      <w:r w:rsidRPr="004B5FFC">
        <w:rPr>
          <w:rFonts w:ascii="Calibri" w:hAnsi="Calibri" w:cs="Calibri"/>
        </w:rPr>
        <w:t xml:space="preserve">For the slab-to-reference pair, the model computes spatial 0.64, type 0.84, boundary 1.00. The status guard then detects </w:t>
      </w:r>
      <w:r w:rsidRPr="00817D51">
        <w:rPr>
          <w:rFonts w:ascii="Calibri" w:hAnsi="Calibri" w:cs="Calibri"/>
          <w:i/>
          <w:iCs/>
        </w:rPr>
        <w:t xml:space="preserve">LifecycleStatus = </w:t>
      </w:r>
      <w:r w:rsidRPr="00817D51">
        <w:rPr>
          <w:rFonts w:ascii="Consolas" w:hAnsi="Consolas" w:cs="Calibri"/>
          <w:i/>
          <w:iCs/>
          <w:sz w:val="18"/>
          <w:szCs w:val="18"/>
        </w:rPr>
        <w:t>REFERENCE</w:t>
      </w:r>
      <w:r w:rsidRPr="004B5FFC">
        <w:rPr>
          <w:rFonts w:ascii="Calibri" w:hAnsi="Calibri" w:cs="Calibri"/>
        </w:rPr>
        <w:t xml:space="preserve"> and overrides to </w:t>
      </w:r>
      <w:r w:rsidRPr="00817D51">
        <w:rPr>
          <w:rFonts w:ascii="Consolas" w:hAnsi="Consolas" w:cs="Calibri"/>
          <w:i/>
          <w:iCs/>
          <w:sz w:val="18"/>
          <w:szCs w:val="18"/>
        </w:rPr>
        <w:t>AMBIGUOUS</w:t>
      </w:r>
      <w:r w:rsidRPr="004B5FFC">
        <w:rPr>
          <w:rFonts w:ascii="Calibri" w:hAnsi="Calibri" w:cs="Calibri"/>
        </w:rPr>
        <w:t xml:space="preserve"> with </w:t>
      </w:r>
      <w:r w:rsidR="00951B0A">
        <w:rPr>
          <w:rFonts w:ascii="Calibri" w:hAnsi="Calibri" w:cs="Calibri"/>
        </w:rPr>
        <w:t>a suggested label</w:t>
      </w:r>
      <w:r w:rsidRPr="004B5FFC">
        <w:rPr>
          <w:rFonts w:ascii="Calibri" w:hAnsi="Calibri" w:cs="Calibri"/>
        </w:rPr>
        <w:t xml:space="preserve"> </w:t>
      </w:r>
      <w:r w:rsidRPr="00817D51">
        <w:rPr>
          <w:rFonts w:ascii="Consolas" w:hAnsi="Consolas" w:cs="Calibri"/>
          <w:i/>
          <w:iCs/>
          <w:sz w:val="18"/>
          <w:szCs w:val="18"/>
        </w:rPr>
        <w:t>NOT_LINKED</w:t>
      </w:r>
      <w:r w:rsidRPr="004B5FFC">
        <w:rPr>
          <w:rFonts w:ascii="Calibri" w:hAnsi="Calibri" w:cs="Calibri"/>
        </w:rPr>
        <w:t xml:space="preserve"> (confidence 0.85), since reference geometry is by construction not the built referent. For the four </w:t>
      </w:r>
      <w:r w:rsidRPr="006B7BF3">
        <w:rPr>
          <w:rFonts w:ascii="Calibri" w:hAnsi="Calibri" w:cs="Calibri"/>
          <w:i/>
          <w:iCs/>
        </w:rPr>
        <w:t>IfcSlab ↔ Hohldielen-Element</w:t>
      </w:r>
      <w:r w:rsidRPr="004B5FFC">
        <w:rPr>
          <w:rFonts w:ascii="Calibri" w:hAnsi="Calibri" w:cs="Calibri"/>
        </w:rPr>
        <w:t xml:space="preserve"> pairs, the 1-to-1 boundary score is low because volumes differ by a factor of four, </w:t>
      </w:r>
      <w:r w:rsidR="00B24E1E" w:rsidRPr="00B24E1E">
        <w:rPr>
          <w:rFonts w:ascii="Calibri" w:hAnsi="Calibri" w:cs="Calibri"/>
        </w:rPr>
        <w:t>but the set-coverage branch applies instead</w:t>
      </w:r>
      <w:r w:rsidRPr="004B5FFC">
        <w:rPr>
          <w:rFonts w:ascii="Calibri" w:hAnsi="Calibri" w:cs="Calibri"/>
        </w:rPr>
        <w:t xml:space="preserve">: the volume-filtered peer set contains exactly the four </w:t>
      </w:r>
      <w:r w:rsidR="006B7BF3" w:rsidRPr="006B7BF3">
        <w:rPr>
          <w:rFonts w:ascii="Calibri" w:hAnsi="Calibri" w:cs="Calibri"/>
          <w:i/>
          <w:iCs/>
        </w:rPr>
        <w:t>“</w:t>
      </w:r>
      <w:r w:rsidRPr="006B7BF3">
        <w:rPr>
          <w:rFonts w:ascii="Calibri" w:hAnsi="Calibri" w:cs="Calibri"/>
          <w:i/>
          <w:iCs/>
        </w:rPr>
        <w:t>Hohldielen</w:t>
      </w:r>
      <w:r w:rsidR="006B7BF3" w:rsidRPr="006B7BF3">
        <w:rPr>
          <w:rFonts w:ascii="Calibri" w:hAnsi="Calibri" w:cs="Calibri"/>
          <w:i/>
          <w:iCs/>
        </w:rPr>
        <w:t>”</w:t>
      </w:r>
      <w:r w:rsidRPr="004B5FFC">
        <w:rPr>
          <w:rFonts w:ascii="Calibri" w:hAnsi="Calibri" w:cs="Calibri"/>
        </w:rPr>
        <w:t xml:space="preserve">, their sum (11.52 m³) matches the source volume, and the set-coverage boundary score reaches 1.00. </w:t>
      </w:r>
      <w:r w:rsidR="00094713" w:rsidRPr="00094713">
        <w:rPr>
          <w:rFonts w:ascii="Calibri" w:hAnsi="Calibri" w:cs="Calibri"/>
        </w:rPr>
        <w:t xml:space="preserve">Because </w:t>
      </w:r>
      <w:r w:rsidR="00094713" w:rsidRPr="00094713">
        <w:rPr>
          <w:rFonts w:ascii="Calibri" w:hAnsi="Calibri" w:cs="Calibri"/>
          <w:i/>
          <w:iCs/>
        </w:rPr>
        <w:t>IfcSlab</w:t>
      </w:r>
      <w:r w:rsidR="00094713" w:rsidRPr="00094713">
        <w:rPr>
          <w:rFonts w:ascii="Calibri" w:hAnsi="Calibri" w:cs="Calibri"/>
        </w:rPr>
        <w:t xml:space="preserve"> and </w:t>
      </w:r>
      <w:r w:rsidR="00094713" w:rsidRPr="00094713">
        <w:rPr>
          <w:rFonts w:ascii="Calibri" w:hAnsi="Calibri" w:cs="Calibri"/>
          <w:i/>
          <w:iCs/>
        </w:rPr>
        <w:t xml:space="preserve">IfcElementAssembly </w:t>
      </w:r>
      <w:r w:rsidR="00094713" w:rsidRPr="00094713">
        <w:rPr>
          <w:rFonts w:ascii="Calibri" w:hAnsi="Calibri" w:cs="Calibri"/>
        </w:rPr>
        <w:t xml:space="preserve">form a granularity-compatible pair and set coverage is established, the case falls under the 1:n extension defined in Section 3; the type threshold is waived accordingly and the four pairs return </w:t>
      </w:r>
      <w:r w:rsidR="00094713" w:rsidRPr="00C749D8">
        <w:rPr>
          <w:rFonts w:ascii="Consolas" w:hAnsi="Consolas" w:cs="Calibri"/>
          <w:sz w:val="18"/>
          <w:szCs w:val="18"/>
        </w:rPr>
        <w:t>LINKED</w:t>
      </w:r>
      <w:r w:rsidR="00094713" w:rsidRPr="00094713">
        <w:rPr>
          <w:rFonts w:ascii="Calibri" w:hAnsi="Calibri" w:cs="Calibri"/>
        </w:rPr>
        <w:t xml:space="preserve"> with confidences between 0.55 and 0.57.</w:t>
      </w:r>
    </w:p>
    <w:p w14:paraId="20A79E37" w14:textId="77777777" w:rsidR="001948CF" w:rsidRDefault="001E0C55" w:rsidP="00F43998">
      <w:pPr>
        <w:spacing w:before="120" w:after="20" w:line="240" w:lineRule="auto"/>
        <w:ind w:left="357"/>
        <w:rPr>
          <w:rFonts w:ascii="Calibri" w:hAnsi="Calibri" w:cs="Calibri"/>
          <w:b/>
          <w:sz w:val="28"/>
          <w:szCs w:val="24"/>
        </w:rPr>
      </w:pPr>
      <w:r w:rsidRPr="00CA793B">
        <w:rPr>
          <w:rFonts w:ascii="Calibri" w:hAnsi="Calibri" w:cs="Calibri"/>
          <w:b/>
          <w:sz w:val="28"/>
          <w:szCs w:val="24"/>
        </w:rPr>
        <w:t>5. EVALUATION</w:t>
      </w:r>
    </w:p>
    <w:p w14:paraId="4ACFB263" w14:textId="4A8ACD92" w:rsidR="00754D52" w:rsidRDefault="00F43998" w:rsidP="001948CF">
      <w:pPr>
        <w:spacing w:before="120" w:after="20" w:line="240" w:lineRule="auto"/>
        <w:ind w:firstLine="851"/>
        <w:jc w:val="both"/>
        <w:rPr>
          <w:rFonts w:ascii="Calibri" w:hAnsi="Calibri" w:cs="Calibri"/>
        </w:rPr>
      </w:pPr>
      <w:r w:rsidRPr="00F43998">
        <w:rPr>
          <w:rFonts w:ascii="Calibri" w:hAnsi="Calibri" w:cs="Calibri"/>
        </w:rPr>
        <w:t>We compare the proposed model against two deliberately minimal reference baselines representing current practice: identifier-only matching (</w:t>
      </w:r>
      <w:r w:rsidRPr="00CB75BF">
        <w:rPr>
          <w:rFonts w:ascii="Calibri" w:hAnsi="Calibri" w:cs="Calibri"/>
          <w:i/>
          <w:iCs/>
        </w:rPr>
        <w:t>B1</w:t>
      </w:r>
      <w:r w:rsidRPr="00F43998">
        <w:rPr>
          <w:rFonts w:ascii="Calibri" w:hAnsi="Calibri" w:cs="Calibri"/>
        </w:rPr>
        <w:t>) and label-based similarity (</w:t>
      </w:r>
      <w:r w:rsidRPr="00CB75BF">
        <w:rPr>
          <w:rFonts w:ascii="Calibri" w:hAnsi="Calibri" w:cs="Calibri"/>
          <w:i/>
          <w:iCs/>
        </w:rPr>
        <w:t>B2</w:t>
      </w:r>
      <w:r w:rsidRPr="00F43998">
        <w:rPr>
          <w:rFonts w:ascii="Calibri" w:hAnsi="Calibri" w:cs="Calibri"/>
        </w:rPr>
        <w:t>).</w:t>
      </w:r>
      <w:r>
        <w:rPr>
          <w:rFonts w:ascii="Calibri" w:hAnsi="Calibri" w:cs="Calibri"/>
        </w:rPr>
        <w:t xml:space="preserve"> </w:t>
      </w:r>
      <w:r w:rsidR="001E0C55" w:rsidRPr="00CB75BF">
        <w:rPr>
          <w:rFonts w:ascii="Calibri" w:hAnsi="Calibri" w:cs="Calibri"/>
          <w:i/>
          <w:iCs/>
        </w:rPr>
        <w:t>B1</w:t>
      </w:r>
      <w:r w:rsidR="001E0C55" w:rsidRPr="004B5FFC">
        <w:rPr>
          <w:rFonts w:ascii="Calibri" w:hAnsi="Calibri" w:cs="Calibri"/>
        </w:rPr>
        <w:t xml:space="preserve"> links records sharing the same persistent cross-system identifier </w:t>
      </w:r>
      <w:r w:rsidR="00695F80">
        <w:rPr>
          <w:rFonts w:ascii="Calibri" w:hAnsi="Calibri" w:cs="Calibri"/>
        </w:rPr>
        <w:t>(</w:t>
      </w:r>
      <w:r w:rsidR="00695F80" w:rsidRPr="00695F80">
        <w:rPr>
          <w:rFonts w:ascii="Calibri" w:hAnsi="Calibri" w:cs="Calibri"/>
          <w:i/>
          <w:iCs/>
        </w:rPr>
        <w:t>AssetReference.ProjectAssetId</w:t>
      </w:r>
      <w:r w:rsidR="00A54A8A" w:rsidRPr="00A54A8A">
        <w:rPr>
          <w:rFonts w:ascii="Calibri" w:hAnsi="Calibri" w:cs="Calibri"/>
          <w:i/>
          <w:iCs/>
        </w:rPr>
        <w:t>; IfcElement.Tag where available a</w:t>
      </w:r>
      <w:r w:rsidR="00A54A8A">
        <w:rPr>
          <w:rFonts w:ascii="Calibri" w:hAnsi="Calibri" w:cs="Calibri"/>
          <w:i/>
          <w:iCs/>
        </w:rPr>
        <w:t>s</w:t>
      </w:r>
      <w:r w:rsidR="00E65083" w:rsidRPr="00E65083">
        <w:rPr>
          <w:rFonts w:ascii="Calibri" w:hAnsi="Calibri" w:cs="Calibri"/>
          <w:i/>
          <w:iCs/>
        </w:rPr>
        <w:t xml:space="preserve"> fallback). </w:t>
      </w:r>
      <w:r w:rsidR="00E65083" w:rsidRPr="00E65083">
        <w:rPr>
          <w:rFonts w:ascii="Calibri" w:hAnsi="Calibri" w:cs="Calibri"/>
        </w:rPr>
        <w:t xml:space="preserve">We note that </w:t>
      </w:r>
      <w:r w:rsidR="00E65083" w:rsidRPr="00CB75BF">
        <w:rPr>
          <w:rFonts w:ascii="Calibri" w:hAnsi="Calibri" w:cs="Calibri"/>
          <w:i/>
          <w:iCs/>
        </w:rPr>
        <w:t>B1</w:t>
      </w:r>
      <w:r w:rsidR="00E65083" w:rsidRPr="00E65083">
        <w:rPr>
          <w:rFonts w:ascii="Calibri" w:hAnsi="Calibri" w:cs="Calibri"/>
        </w:rPr>
        <w:t xml:space="preserve"> corresponds to the identifier-precedence component of the proposed model </w:t>
      </w:r>
      <w:r w:rsidR="003B47C9" w:rsidRPr="003B47C9">
        <w:rPr>
          <w:rFonts w:ascii="Calibri" w:hAnsi="Calibri" w:cs="Calibri"/>
        </w:rPr>
        <w:t>without its conflict-detection rule</w:t>
      </w:r>
      <w:r w:rsidR="00E65083" w:rsidRPr="00E65083">
        <w:rPr>
          <w:rFonts w:ascii="Calibri" w:hAnsi="Calibri" w:cs="Calibri"/>
        </w:rPr>
        <w:t>, so the comparison isolates the contribution of the non-identifier signals rather than claiming novelty over identifier matching. B2 links records</w:t>
      </w:r>
      <w:r w:rsidR="001E0C55" w:rsidRPr="004B5FFC">
        <w:rPr>
          <w:rFonts w:ascii="Calibri" w:hAnsi="Calibri" w:cs="Calibri"/>
        </w:rPr>
        <w:t xml:space="preserve"> whose concatenated label string </w:t>
      </w:r>
      <w:r w:rsidR="001E0C55" w:rsidRPr="004D0347">
        <w:rPr>
          <w:rFonts w:ascii="Calibri" w:hAnsi="Calibri" w:cs="Calibri"/>
          <w:i/>
          <w:iCs/>
        </w:rPr>
        <w:t>(IfcClass + Name + ObjectType + PredefinedType)</w:t>
      </w:r>
      <w:r w:rsidR="001E0C55" w:rsidRPr="004B5FFC">
        <w:rPr>
          <w:rFonts w:ascii="Calibri" w:hAnsi="Calibri" w:cs="Calibri"/>
        </w:rPr>
        <w:t xml:space="preserve"> reaches cosine similarity above 0.50; we implement </w:t>
      </w:r>
      <w:r w:rsidR="001E0C55" w:rsidRPr="004D0347">
        <w:rPr>
          <w:rFonts w:ascii="Calibri" w:hAnsi="Calibri" w:cs="Calibri"/>
          <w:i/>
          <w:iCs/>
        </w:rPr>
        <w:t>B2</w:t>
      </w:r>
      <w:r w:rsidR="001E0C55" w:rsidRPr="004B5FFC">
        <w:rPr>
          <w:rFonts w:ascii="Calibri" w:hAnsi="Calibri" w:cs="Calibri"/>
        </w:rPr>
        <w:t xml:space="preserve"> with character n-gram </w:t>
      </w:r>
      <w:r w:rsidR="001E0C55" w:rsidRPr="004D0347">
        <w:rPr>
          <w:rFonts w:ascii="Calibri" w:hAnsi="Calibri" w:cs="Calibri"/>
        </w:rPr>
        <w:t>TF-IDF</w:t>
      </w:r>
      <w:r w:rsidR="001E0C55" w:rsidRPr="004B5FFC">
        <w:rPr>
          <w:rFonts w:ascii="Calibri" w:hAnsi="Calibri" w:cs="Calibri"/>
        </w:rPr>
        <w:t xml:space="preserve"> </w:t>
      </w:r>
      <w:r w:rsidR="00222ACA" w:rsidRPr="00222ACA">
        <w:rPr>
          <w:rFonts w:ascii="Calibri" w:hAnsi="Calibri" w:cs="Calibri"/>
        </w:rPr>
        <w:t>for determinism and reproducibility</w:t>
      </w:r>
      <w:r w:rsidR="00222ACA">
        <w:rPr>
          <w:rFonts w:ascii="Calibri" w:hAnsi="Calibri" w:cs="Calibri"/>
        </w:rPr>
        <w:t>.</w:t>
      </w:r>
    </w:p>
    <w:p w14:paraId="4A42CE14" w14:textId="3217817F" w:rsidR="001948CF" w:rsidRDefault="001E0C55" w:rsidP="001948CF">
      <w:pPr>
        <w:spacing w:before="120" w:after="20" w:line="240" w:lineRule="auto"/>
        <w:ind w:firstLine="851"/>
        <w:jc w:val="both"/>
        <w:rPr>
          <w:rFonts w:ascii="Calibri" w:hAnsi="Calibri" w:cs="Calibri"/>
        </w:rPr>
      </w:pPr>
      <w:r w:rsidRPr="004B5FFC">
        <w:rPr>
          <w:rFonts w:ascii="Calibri" w:hAnsi="Calibri" w:cs="Calibri"/>
        </w:rPr>
        <w:t xml:space="preserve">Because the proposed model can defer cases as </w:t>
      </w:r>
      <w:r w:rsidRPr="00D874AF">
        <w:rPr>
          <w:rFonts w:ascii="Consolas" w:hAnsi="Consolas" w:cs="Calibri"/>
          <w:sz w:val="18"/>
          <w:szCs w:val="18"/>
        </w:rPr>
        <w:t>AMBIGUOUS</w:t>
      </w:r>
      <w:r w:rsidRPr="004B5FFC">
        <w:rPr>
          <w:rFonts w:ascii="Calibri" w:hAnsi="Calibri" w:cs="Calibri"/>
        </w:rPr>
        <w:t>, accuracy alone would hide important behavior. We therefore report resolved precision, recall, F1, and safe-accuracy on hard predictions (</w:t>
      </w:r>
      <w:r w:rsidRPr="00D874AF">
        <w:rPr>
          <w:rFonts w:ascii="Consolas" w:hAnsi="Consolas" w:cs="Calibri"/>
          <w:sz w:val="18"/>
          <w:szCs w:val="18"/>
        </w:rPr>
        <w:t>LINKED</w:t>
      </w:r>
      <w:r w:rsidRPr="004B5FFC">
        <w:rPr>
          <w:rFonts w:ascii="Calibri" w:hAnsi="Calibri" w:cs="Calibri"/>
        </w:rPr>
        <w:t xml:space="preserve"> vs </w:t>
      </w:r>
      <w:r w:rsidRPr="00D874AF">
        <w:rPr>
          <w:rFonts w:ascii="Consolas" w:hAnsi="Consolas" w:cs="Calibri"/>
          <w:sz w:val="18"/>
          <w:szCs w:val="18"/>
        </w:rPr>
        <w:t>NOT_LINKED</w:t>
      </w:r>
      <w:r w:rsidRPr="004B5FFC">
        <w:rPr>
          <w:rFonts w:ascii="Calibri" w:hAnsi="Calibri" w:cs="Calibri"/>
        </w:rPr>
        <w:t xml:space="preserve">), </w:t>
      </w:r>
      <w:r w:rsidR="0027499D" w:rsidRPr="0027499D">
        <w:rPr>
          <w:rFonts w:ascii="Calibri" w:hAnsi="Calibri" w:cs="Calibri"/>
        </w:rPr>
        <w:t>plus positive coverage (TP/(TP+FN+AMB+)) and deferral rate (</w:t>
      </w:r>
      <w:r w:rsidR="0027499D" w:rsidRPr="00B67B6B">
        <w:rPr>
          <w:rFonts w:ascii="Consolas" w:hAnsi="Consolas" w:cs="Calibri"/>
          <w:sz w:val="18"/>
          <w:szCs w:val="18"/>
        </w:rPr>
        <w:t>AMBIGUOUS</w:t>
      </w:r>
      <w:r w:rsidR="0027499D" w:rsidRPr="0027499D">
        <w:rPr>
          <w:rFonts w:ascii="Calibri" w:hAnsi="Calibri" w:cs="Calibri"/>
        </w:rPr>
        <w:t>/total).</w:t>
      </w:r>
      <w:r w:rsidRPr="004B5FFC">
        <w:rPr>
          <w:rFonts w:ascii="Calibri" w:hAnsi="Calibri" w:cs="Calibri"/>
        </w:rPr>
        <w:t xml:space="preserve"> </w:t>
      </w:r>
      <w:r w:rsidRPr="00D874AF">
        <w:rPr>
          <w:rFonts w:ascii="Consolas" w:hAnsi="Consolas" w:cs="Calibri"/>
          <w:sz w:val="18"/>
          <w:szCs w:val="18"/>
        </w:rPr>
        <w:t>AMBIGUOUS</w:t>
      </w:r>
      <w:r w:rsidRPr="004B5FFC">
        <w:rPr>
          <w:rFonts w:ascii="Calibri" w:hAnsi="Calibri" w:cs="Calibri"/>
        </w:rPr>
        <w:t xml:space="preserve"> pairs are excluded from the resolved metrics and reported separately.</w:t>
      </w:r>
      <w:r w:rsidR="009D15F5">
        <w:rPr>
          <w:rFonts w:ascii="Calibri" w:hAnsi="Calibri" w:cs="Calibri"/>
        </w:rPr>
        <w:t xml:space="preserve"> </w:t>
      </w:r>
      <w:r w:rsidR="009D15F5" w:rsidRPr="009D15F5">
        <w:rPr>
          <w:rFonts w:ascii="Calibri" w:hAnsi="Calibri" w:cs="Calibri"/>
        </w:rPr>
        <w:t xml:space="preserve">We additionally report deferral soundness, the share of </w:t>
      </w:r>
      <w:r w:rsidR="009D15F5" w:rsidRPr="00B67B6B">
        <w:rPr>
          <w:rFonts w:ascii="Consolas" w:hAnsi="Consolas" w:cs="Calibri"/>
          <w:sz w:val="18"/>
          <w:szCs w:val="18"/>
        </w:rPr>
        <w:t>AMBIGUOUS</w:t>
      </w:r>
      <w:r w:rsidR="009D15F5" w:rsidRPr="009D15F5">
        <w:rPr>
          <w:rFonts w:ascii="Calibri" w:hAnsi="Calibri" w:cs="Calibri"/>
        </w:rPr>
        <w:t xml:space="preserve"> pairs whose </w:t>
      </w:r>
      <w:r w:rsidR="00883286">
        <w:rPr>
          <w:rFonts w:ascii="Calibri" w:hAnsi="Calibri" w:cs="Calibri"/>
        </w:rPr>
        <w:t>suggested label</w:t>
      </w:r>
      <w:r w:rsidR="009D15F5" w:rsidRPr="009D15F5">
        <w:rPr>
          <w:rFonts w:ascii="Calibri" w:hAnsi="Calibri" w:cs="Calibri"/>
        </w:rPr>
        <w:t xml:space="preserve"> matches ground truth.</w:t>
      </w:r>
    </w:p>
    <w:p w14:paraId="7C418308" w14:textId="29CBC32F" w:rsidR="00D25FF9" w:rsidRPr="004B5FFC" w:rsidRDefault="00727B79" w:rsidP="001948CF">
      <w:pPr>
        <w:spacing w:before="120" w:after="20" w:line="240" w:lineRule="auto"/>
        <w:ind w:firstLine="851"/>
        <w:jc w:val="both"/>
        <w:rPr>
          <w:rFonts w:ascii="Calibri" w:hAnsi="Calibri" w:cs="Calibri"/>
        </w:rPr>
      </w:pPr>
      <w:r w:rsidRPr="00727B79">
        <w:rPr>
          <w:rFonts w:ascii="Calibri" w:hAnsi="Calibri" w:cs="Calibri"/>
        </w:rPr>
        <w:t>The evaluation reports on 20 ground-truth-annotated candidate pairs across the three handover models from Section 4: 3 from Pattern 1, 12 from Pattern 2, and 5 from Pattern 3 (8 ground-truth-positive and 12 ground-truth-negative). These are the pairs retained by candidate generation from the 28 possible cross-model combinations; class combinations without a plausible referent relation were not annotated.</w:t>
      </w:r>
      <w:r>
        <w:rPr>
          <w:rFonts w:ascii="Calibri" w:hAnsi="Calibri" w:cs="Calibri"/>
        </w:rPr>
        <w:t xml:space="preserve"> </w:t>
      </w:r>
      <w:r w:rsidR="005721F1" w:rsidRPr="005721F1">
        <w:rPr>
          <w:rFonts w:ascii="Calibri" w:hAnsi="Calibri" w:cs="Calibri"/>
        </w:rPr>
        <w:t>Ground truth was established by</w:t>
      </w:r>
      <w:r w:rsidR="001E0C55" w:rsidRPr="004B5FFC">
        <w:rPr>
          <w:rFonts w:ascii="Calibri" w:hAnsi="Calibri" w:cs="Calibri"/>
        </w:rPr>
        <w:t xml:space="preserve"> manually inspecting model representations against the mapping requirements in Martin et al. (2026). </w:t>
      </w:r>
      <w:r w:rsidR="001E0C55" w:rsidRPr="00812AC2">
        <w:rPr>
          <w:rFonts w:ascii="Calibri" w:hAnsi="Calibri" w:cs="Calibri"/>
          <w:i/>
          <w:iCs/>
        </w:rPr>
        <w:t xml:space="preserve">Table </w:t>
      </w:r>
      <w:r w:rsidR="003B1745">
        <w:rPr>
          <w:rFonts w:ascii="Calibri" w:hAnsi="Calibri" w:cs="Calibri"/>
          <w:i/>
          <w:iCs/>
        </w:rPr>
        <w:t>2</w:t>
      </w:r>
      <w:r w:rsidR="001E0C55" w:rsidRPr="004B5FFC">
        <w:rPr>
          <w:rFonts w:ascii="Calibri" w:hAnsi="Calibri" w:cs="Calibri"/>
        </w:rPr>
        <w:t xml:space="preserve"> reports the confusion-matrix entries and performance measures across the three patterns.</w:t>
      </w:r>
    </w:p>
    <w:p w14:paraId="23F062A9" w14:textId="7D37B85C" w:rsidR="0035548D" w:rsidRPr="004B5FFC" w:rsidRDefault="008E6298">
      <w:pPr>
        <w:spacing w:before="20" w:after="80" w:line="240" w:lineRule="auto"/>
        <w:jc w:val="center"/>
        <w:rPr>
          <w:rFonts w:ascii="Calibri" w:hAnsi="Calibri" w:cs="Calibri"/>
        </w:rPr>
      </w:pPr>
      <w:r w:rsidRPr="004B5FFC">
        <w:rPr>
          <w:rFonts w:ascii="Calibri" w:hAnsi="Calibri" w:cs="Calibri"/>
          <w:i/>
          <w:sz w:val="20"/>
        </w:rPr>
        <w:t xml:space="preserve">Table </w:t>
      </w:r>
      <w:r w:rsidR="003B1745">
        <w:rPr>
          <w:rFonts w:ascii="Calibri" w:hAnsi="Calibri" w:cs="Calibri"/>
          <w:i/>
          <w:sz w:val="20"/>
        </w:rPr>
        <w:t>2</w:t>
      </w:r>
      <w:r w:rsidRPr="004B5FFC">
        <w:rPr>
          <w:rFonts w:ascii="Calibri" w:hAnsi="Calibri" w:cs="Calibri"/>
          <w:i/>
          <w:sz w:val="20"/>
        </w:rPr>
        <w:t>:</w:t>
      </w:r>
      <w:r w:rsidR="009A0E41" w:rsidRPr="004B5FFC">
        <w:rPr>
          <w:rFonts w:ascii="Calibri" w:hAnsi="Calibri" w:cs="Calibri"/>
        </w:rPr>
        <w:t xml:space="preserve"> </w:t>
      </w:r>
      <w:r w:rsidR="00FD6076" w:rsidRPr="00FD6076">
        <w:rPr>
          <w:rFonts w:ascii="Calibri" w:hAnsi="Calibri" w:cs="Calibri"/>
          <w:i/>
          <w:sz w:val="20"/>
        </w:rPr>
        <w:t>Cross-pattern results on the illustrative pilot (20 candidate pairs, 8 positive). Numbers are proof-of-contract behavior, not benchmark performance.</w:t>
      </w:r>
    </w:p>
    <w:tbl>
      <w:tblPr>
        <w:tblW w:w="9923" w:type="dxa"/>
        <w:tblLayout w:type="fixed"/>
        <w:tblLook w:val="04A0" w:firstRow="1" w:lastRow="0" w:firstColumn="1" w:lastColumn="0" w:noHBand="0" w:noVBand="1"/>
      </w:tblPr>
      <w:tblGrid>
        <w:gridCol w:w="1271"/>
        <w:gridCol w:w="430"/>
        <w:gridCol w:w="426"/>
        <w:gridCol w:w="407"/>
        <w:gridCol w:w="519"/>
        <w:gridCol w:w="673"/>
        <w:gridCol w:w="639"/>
        <w:gridCol w:w="894"/>
        <w:gridCol w:w="889"/>
        <w:gridCol w:w="1082"/>
        <w:gridCol w:w="992"/>
        <w:gridCol w:w="142"/>
        <w:gridCol w:w="850"/>
        <w:gridCol w:w="709"/>
      </w:tblGrid>
      <w:tr w:rsidR="00FD6076" w:rsidRPr="004B5FFC" w14:paraId="5A880793" w14:textId="77777777" w:rsidTr="001C4A06">
        <w:tc>
          <w:tcPr>
            <w:tcW w:w="1271" w:type="dxa"/>
            <w:tcBorders>
              <w:top w:val="single" w:sz="4" w:space="0" w:color="auto"/>
              <w:bottom w:val="single" w:sz="4" w:space="0" w:color="auto"/>
            </w:tcBorders>
          </w:tcPr>
          <w:p w14:paraId="5805A930" w14:textId="77777777" w:rsidR="00FD6076" w:rsidRPr="004B5FFC" w:rsidRDefault="00FD6076">
            <w:pPr>
              <w:spacing w:after="0" w:line="240" w:lineRule="auto"/>
              <w:rPr>
                <w:rFonts w:ascii="Calibri" w:hAnsi="Calibri" w:cs="Calibri"/>
                <w:sz w:val="18"/>
                <w:szCs w:val="18"/>
              </w:rPr>
            </w:pPr>
            <w:r w:rsidRPr="004B5FFC">
              <w:rPr>
                <w:rFonts w:ascii="Calibri" w:hAnsi="Calibri" w:cs="Calibri"/>
                <w:b/>
                <w:sz w:val="18"/>
                <w:szCs w:val="18"/>
              </w:rPr>
              <w:t>Method</w:t>
            </w:r>
          </w:p>
        </w:tc>
        <w:tc>
          <w:tcPr>
            <w:tcW w:w="430" w:type="dxa"/>
            <w:tcBorders>
              <w:top w:val="single" w:sz="4" w:space="0" w:color="auto"/>
              <w:bottom w:val="single" w:sz="4" w:space="0" w:color="auto"/>
            </w:tcBorders>
          </w:tcPr>
          <w:p w14:paraId="6C386E53" w14:textId="77777777" w:rsidR="00FD6076" w:rsidRPr="004B5FFC" w:rsidRDefault="00FD6076">
            <w:pPr>
              <w:spacing w:after="0" w:line="240" w:lineRule="auto"/>
              <w:rPr>
                <w:rFonts w:ascii="Calibri" w:hAnsi="Calibri" w:cs="Calibri"/>
                <w:sz w:val="18"/>
                <w:szCs w:val="18"/>
              </w:rPr>
            </w:pPr>
            <w:r w:rsidRPr="004B5FFC">
              <w:rPr>
                <w:rFonts w:ascii="Calibri" w:hAnsi="Calibri" w:cs="Calibri"/>
                <w:b/>
                <w:sz w:val="18"/>
                <w:szCs w:val="18"/>
              </w:rPr>
              <w:t>TP</w:t>
            </w:r>
          </w:p>
        </w:tc>
        <w:tc>
          <w:tcPr>
            <w:tcW w:w="426" w:type="dxa"/>
            <w:tcBorders>
              <w:top w:val="single" w:sz="4" w:space="0" w:color="auto"/>
              <w:bottom w:val="single" w:sz="4" w:space="0" w:color="auto"/>
            </w:tcBorders>
          </w:tcPr>
          <w:p w14:paraId="4BED68D4" w14:textId="77777777" w:rsidR="00FD6076" w:rsidRPr="004B5FFC" w:rsidRDefault="00FD6076">
            <w:pPr>
              <w:spacing w:after="0" w:line="240" w:lineRule="auto"/>
              <w:rPr>
                <w:rFonts w:ascii="Calibri" w:hAnsi="Calibri" w:cs="Calibri"/>
                <w:sz w:val="18"/>
                <w:szCs w:val="18"/>
              </w:rPr>
            </w:pPr>
            <w:r w:rsidRPr="004B5FFC">
              <w:rPr>
                <w:rFonts w:ascii="Calibri" w:hAnsi="Calibri" w:cs="Calibri"/>
                <w:b/>
                <w:sz w:val="18"/>
                <w:szCs w:val="18"/>
              </w:rPr>
              <w:t>FP</w:t>
            </w:r>
          </w:p>
        </w:tc>
        <w:tc>
          <w:tcPr>
            <w:tcW w:w="407" w:type="dxa"/>
            <w:tcBorders>
              <w:top w:val="single" w:sz="4" w:space="0" w:color="auto"/>
              <w:bottom w:val="single" w:sz="4" w:space="0" w:color="auto"/>
            </w:tcBorders>
          </w:tcPr>
          <w:p w14:paraId="6DDB5E76" w14:textId="77777777" w:rsidR="00FD6076" w:rsidRPr="004B5FFC" w:rsidRDefault="00FD6076">
            <w:pPr>
              <w:spacing w:after="0" w:line="240" w:lineRule="auto"/>
              <w:rPr>
                <w:rFonts w:ascii="Calibri" w:hAnsi="Calibri" w:cs="Calibri"/>
                <w:sz w:val="18"/>
                <w:szCs w:val="18"/>
              </w:rPr>
            </w:pPr>
            <w:r w:rsidRPr="004B5FFC">
              <w:rPr>
                <w:rFonts w:ascii="Calibri" w:hAnsi="Calibri" w:cs="Calibri"/>
                <w:b/>
                <w:sz w:val="18"/>
                <w:szCs w:val="18"/>
              </w:rPr>
              <w:t>FN</w:t>
            </w:r>
          </w:p>
        </w:tc>
        <w:tc>
          <w:tcPr>
            <w:tcW w:w="519" w:type="dxa"/>
            <w:tcBorders>
              <w:top w:val="single" w:sz="4" w:space="0" w:color="auto"/>
              <w:bottom w:val="single" w:sz="4" w:space="0" w:color="auto"/>
            </w:tcBorders>
          </w:tcPr>
          <w:p w14:paraId="13C3BFB8" w14:textId="77777777" w:rsidR="00FD6076" w:rsidRPr="004B5FFC" w:rsidRDefault="00FD6076">
            <w:pPr>
              <w:spacing w:after="0" w:line="240" w:lineRule="auto"/>
              <w:rPr>
                <w:rFonts w:ascii="Calibri" w:hAnsi="Calibri" w:cs="Calibri"/>
                <w:sz w:val="18"/>
                <w:szCs w:val="18"/>
              </w:rPr>
            </w:pPr>
            <w:r w:rsidRPr="004B5FFC">
              <w:rPr>
                <w:rFonts w:ascii="Calibri" w:hAnsi="Calibri" w:cs="Calibri"/>
                <w:b/>
                <w:sz w:val="18"/>
                <w:szCs w:val="18"/>
              </w:rPr>
              <w:t>TN</w:t>
            </w:r>
          </w:p>
        </w:tc>
        <w:tc>
          <w:tcPr>
            <w:tcW w:w="673" w:type="dxa"/>
            <w:tcBorders>
              <w:top w:val="single" w:sz="4" w:space="0" w:color="auto"/>
              <w:bottom w:val="single" w:sz="4" w:space="0" w:color="auto"/>
            </w:tcBorders>
          </w:tcPr>
          <w:p w14:paraId="579EAA38" w14:textId="77777777" w:rsidR="00FD6076" w:rsidRPr="004B5FFC" w:rsidRDefault="00FD6076">
            <w:pPr>
              <w:spacing w:after="0" w:line="240" w:lineRule="auto"/>
              <w:rPr>
                <w:rFonts w:ascii="Calibri" w:hAnsi="Calibri" w:cs="Calibri"/>
                <w:sz w:val="18"/>
                <w:szCs w:val="18"/>
              </w:rPr>
            </w:pPr>
            <w:r w:rsidRPr="004B5FFC">
              <w:rPr>
                <w:rFonts w:ascii="Calibri" w:hAnsi="Calibri" w:cs="Calibri"/>
                <w:b/>
                <w:sz w:val="18"/>
                <w:szCs w:val="18"/>
              </w:rPr>
              <w:t>AMB+</w:t>
            </w:r>
          </w:p>
        </w:tc>
        <w:tc>
          <w:tcPr>
            <w:tcW w:w="639" w:type="dxa"/>
            <w:tcBorders>
              <w:top w:val="single" w:sz="4" w:space="0" w:color="auto"/>
              <w:bottom w:val="single" w:sz="4" w:space="0" w:color="auto"/>
            </w:tcBorders>
          </w:tcPr>
          <w:p w14:paraId="7CF4FEE8" w14:textId="77777777" w:rsidR="00FD6076" w:rsidRPr="004B5FFC" w:rsidRDefault="00FD6076">
            <w:pPr>
              <w:spacing w:after="0" w:line="240" w:lineRule="auto"/>
              <w:rPr>
                <w:rFonts w:ascii="Calibri" w:hAnsi="Calibri" w:cs="Calibri"/>
                <w:sz w:val="18"/>
                <w:szCs w:val="18"/>
              </w:rPr>
            </w:pPr>
            <w:r w:rsidRPr="004B5FFC">
              <w:rPr>
                <w:rFonts w:ascii="Calibri" w:hAnsi="Calibri" w:cs="Calibri"/>
                <w:b/>
                <w:sz w:val="18"/>
                <w:szCs w:val="18"/>
              </w:rPr>
              <w:t>AMB-</w:t>
            </w:r>
          </w:p>
        </w:tc>
        <w:tc>
          <w:tcPr>
            <w:tcW w:w="894" w:type="dxa"/>
            <w:tcBorders>
              <w:top w:val="single" w:sz="4" w:space="0" w:color="auto"/>
              <w:bottom w:val="single" w:sz="4" w:space="0" w:color="auto"/>
            </w:tcBorders>
          </w:tcPr>
          <w:p w14:paraId="5DE3FEF1" w14:textId="3765ADEF" w:rsidR="00FD6076" w:rsidRPr="004B5FFC" w:rsidRDefault="00FD6076">
            <w:pPr>
              <w:spacing w:after="0" w:line="240" w:lineRule="auto"/>
              <w:rPr>
                <w:rFonts w:ascii="Calibri" w:hAnsi="Calibri" w:cs="Calibri"/>
                <w:sz w:val="18"/>
                <w:szCs w:val="18"/>
              </w:rPr>
            </w:pPr>
            <w:r w:rsidRPr="004B5FFC">
              <w:rPr>
                <w:rFonts w:ascii="Calibri" w:hAnsi="Calibri" w:cs="Calibri"/>
                <w:b/>
                <w:sz w:val="18"/>
                <w:szCs w:val="18"/>
              </w:rPr>
              <w:t>Resolved Precision</w:t>
            </w:r>
          </w:p>
        </w:tc>
        <w:tc>
          <w:tcPr>
            <w:tcW w:w="889" w:type="dxa"/>
            <w:tcBorders>
              <w:top w:val="single" w:sz="4" w:space="0" w:color="auto"/>
              <w:bottom w:val="single" w:sz="4" w:space="0" w:color="auto"/>
            </w:tcBorders>
          </w:tcPr>
          <w:p w14:paraId="0EB85CB7" w14:textId="020A8B28" w:rsidR="00FD6076" w:rsidRPr="004B5FFC" w:rsidRDefault="00FD6076">
            <w:pPr>
              <w:spacing w:after="0" w:line="240" w:lineRule="auto"/>
              <w:rPr>
                <w:rFonts w:ascii="Calibri" w:hAnsi="Calibri" w:cs="Calibri"/>
                <w:sz w:val="18"/>
                <w:szCs w:val="18"/>
              </w:rPr>
            </w:pPr>
            <w:r w:rsidRPr="004B5FFC">
              <w:rPr>
                <w:rFonts w:ascii="Calibri" w:hAnsi="Calibri" w:cs="Calibri"/>
                <w:b/>
                <w:sz w:val="18"/>
                <w:szCs w:val="18"/>
              </w:rPr>
              <w:t>Resolved Recall</w:t>
            </w:r>
          </w:p>
        </w:tc>
        <w:tc>
          <w:tcPr>
            <w:tcW w:w="1082" w:type="dxa"/>
            <w:tcBorders>
              <w:top w:val="single" w:sz="4" w:space="0" w:color="auto"/>
              <w:bottom w:val="single" w:sz="4" w:space="0" w:color="auto"/>
            </w:tcBorders>
          </w:tcPr>
          <w:p w14:paraId="51C980F1" w14:textId="3BFF7337" w:rsidR="00FD6076" w:rsidRPr="004B5FFC" w:rsidRDefault="00FD6076">
            <w:pPr>
              <w:spacing w:after="0" w:line="240" w:lineRule="auto"/>
              <w:rPr>
                <w:rFonts w:ascii="Calibri" w:hAnsi="Calibri" w:cs="Calibri"/>
                <w:sz w:val="18"/>
                <w:szCs w:val="18"/>
              </w:rPr>
            </w:pPr>
            <w:r w:rsidRPr="004B5FFC">
              <w:rPr>
                <w:rFonts w:ascii="Calibri" w:hAnsi="Calibri" w:cs="Calibri"/>
                <w:b/>
                <w:sz w:val="18"/>
                <w:szCs w:val="18"/>
              </w:rPr>
              <w:t>Resolved F1</w:t>
            </w:r>
          </w:p>
        </w:tc>
        <w:tc>
          <w:tcPr>
            <w:tcW w:w="992" w:type="dxa"/>
            <w:tcBorders>
              <w:top w:val="single" w:sz="4" w:space="0" w:color="auto"/>
              <w:bottom w:val="single" w:sz="4" w:space="0" w:color="auto"/>
            </w:tcBorders>
          </w:tcPr>
          <w:p w14:paraId="3A647AB0" w14:textId="6748D0C5" w:rsidR="00FD6076" w:rsidRPr="004B5FFC" w:rsidRDefault="00FD6076">
            <w:pPr>
              <w:spacing w:after="0" w:line="240" w:lineRule="auto"/>
              <w:rPr>
                <w:rFonts w:ascii="Calibri" w:hAnsi="Calibri" w:cs="Calibri"/>
                <w:sz w:val="18"/>
                <w:szCs w:val="18"/>
              </w:rPr>
            </w:pPr>
            <w:r w:rsidRPr="004B5FFC">
              <w:rPr>
                <w:rFonts w:ascii="Calibri" w:hAnsi="Calibri" w:cs="Calibri"/>
                <w:b/>
                <w:sz w:val="18"/>
                <w:szCs w:val="18"/>
              </w:rPr>
              <w:t>Resolved Safe-Acc</w:t>
            </w:r>
          </w:p>
        </w:tc>
        <w:tc>
          <w:tcPr>
            <w:tcW w:w="992" w:type="dxa"/>
            <w:gridSpan w:val="2"/>
            <w:tcBorders>
              <w:top w:val="single" w:sz="4" w:space="0" w:color="auto"/>
              <w:bottom w:val="single" w:sz="4" w:space="0" w:color="auto"/>
            </w:tcBorders>
          </w:tcPr>
          <w:p w14:paraId="3BC3834F" w14:textId="77777777" w:rsidR="00FD6076" w:rsidRPr="004B5FFC" w:rsidRDefault="00FD6076">
            <w:pPr>
              <w:spacing w:after="0" w:line="240" w:lineRule="auto"/>
              <w:rPr>
                <w:rFonts w:ascii="Calibri" w:hAnsi="Calibri" w:cs="Calibri"/>
                <w:sz w:val="18"/>
                <w:szCs w:val="18"/>
              </w:rPr>
            </w:pPr>
            <w:r w:rsidRPr="004B5FFC">
              <w:rPr>
                <w:rFonts w:ascii="Calibri" w:hAnsi="Calibri" w:cs="Calibri"/>
                <w:b/>
                <w:sz w:val="18"/>
                <w:szCs w:val="18"/>
              </w:rPr>
              <w:t>Pos-Cov</w:t>
            </w:r>
          </w:p>
        </w:tc>
        <w:tc>
          <w:tcPr>
            <w:tcW w:w="709" w:type="dxa"/>
            <w:tcBorders>
              <w:top w:val="single" w:sz="4" w:space="0" w:color="auto"/>
              <w:bottom w:val="single" w:sz="4" w:space="0" w:color="auto"/>
            </w:tcBorders>
          </w:tcPr>
          <w:p w14:paraId="1FF3797A" w14:textId="77777777" w:rsidR="00FD6076" w:rsidRPr="004B5FFC" w:rsidRDefault="00FD6076">
            <w:pPr>
              <w:spacing w:after="0" w:line="240" w:lineRule="auto"/>
              <w:rPr>
                <w:rFonts w:ascii="Calibri" w:hAnsi="Calibri" w:cs="Calibri"/>
                <w:sz w:val="18"/>
                <w:szCs w:val="18"/>
              </w:rPr>
            </w:pPr>
            <w:r w:rsidRPr="004B5FFC">
              <w:rPr>
                <w:rFonts w:ascii="Calibri" w:hAnsi="Calibri" w:cs="Calibri"/>
                <w:b/>
                <w:sz w:val="18"/>
                <w:szCs w:val="18"/>
              </w:rPr>
              <w:t>Defer</w:t>
            </w:r>
          </w:p>
        </w:tc>
      </w:tr>
      <w:tr w:rsidR="00FD6076" w:rsidRPr="004B5FFC" w14:paraId="55EFDB04" w14:textId="77777777" w:rsidTr="001C4A06">
        <w:tc>
          <w:tcPr>
            <w:tcW w:w="1271" w:type="dxa"/>
            <w:tcBorders>
              <w:top w:val="single" w:sz="4" w:space="0" w:color="auto"/>
            </w:tcBorders>
          </w:tcPr>
          <w:p w14:paraId="20FA30D6"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B1 (Identifier-only)</w:t>
            </w:r>
          </w:p>
          <w:p w14:paraId="2F976C78" w14:textId="77777777" w:rsidR="00FD6076" w:rsidRPr="004B5FFC" w:rsidRDefault="00FD6076">
            <w:pPr>
              <w:spacing w:after="0" w:line="240" w:lineRule="auto"/>
              <w:rPr>
                <w:rFonts w:ascii="Calibri" w:hAnsi="Calibri" w:cs="Calibri"/>
                <w:sz w:val="18"/>
                <w:szCs w:val="18"/>
              </w:rPr>
            </w:pPr>
          </w:p>
        </w:tc>
        <w:tc>
          <w:tcPr>
            <w:tcW w:w="430" w:type="dxa"/>
            <w:tcBorders>
              <w:top w:val="single" w:sz="4" w:space="0" w:color="auto"/>
            </w:tcBorders>
          </w:tcPr>
          <w:p w14:paraId="5F28F7CE"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2</w:t>
            </w:r>
          </w:p>
        </w:tc>
        <w:tc>
          <w:tcPr>
            <w:tcW w:w="426" w:type="dxa"/>
            <w:tcBorders>
              <w:top w:val="single" w:sz="4" w:space="0" w:color="auto"/>
            </w:tcBorders>
          </w:tcPr>
          <w:p w14:paraId="41B78D3A"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w:t>
            </w:r>
          </w:p>
        </w:tc>
        <w:tc>
          <w:tcPr>
            <w:tcW w:w="407" w:type="dxa"/>
            <w:tcBorders>
              <w:top w:val="single" w:sz="4" w:space="0" w:color="auto"/>
            </w:tcBorders>
          </w:tcPr>
          <w:p w14:paraId="39B1B96C"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6</w:t>
            </w:r>
          </w:p>
        </w:tc>
        <w:tc>
          <w:tcPr>
            <w:tcW w:w="519" w:type="dxa"/>
            <w:tcBorders>
              <w:top w:val="single" w:sz="4" w:space="0" w:color="auto"/>
            </w:tcBorders>
          </w:tcPr>
          <w:p w14:paraId="7223256B"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12</w:t>
            </w:r>
          </w:p>
        </w:tc>
        <w:tc>
          <w:tcPr>
            <w:tcW w:w="673" w:type="dxa"/>
            <w:tcBorders>
              <w:top w:val="single" w:sz="4" w:space="0" w:color="auto"/>
            </w:tcBorders>
          </w:tcPr>
          <w:p w14:paraId="495F7B1F"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w:t>
            </w:r>
          </w:p>
        </w:tc>
        <w:tc>
          <w:tcPr>
            <w:tcW w:w="639" w:type="dxa"/>
            <w:tcBorders>
              <w:top w:val="single" w:sz="4" w:space="0" w:color="auto"/>
            </w:tcBorders>
          </w:tcPr>
          <w:p w14:paraId="6F033AD6"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w:t>
            </w:r>
          </w:p>
        </w:tc>
        <w:tc>
          <w:tcPr>
            <w:tcW w:w="894" w:type="dxa"/>
            <w:tcBorders>
              <w:top w:val="single" w:sz="4" w:space="0" w:color="auto"/>
            </w:tcBorders>
          </w:tcPr>
          <w:p w14:paraId="69F51721"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1.00</w:t>
            </w:r>
          </w:p>
        </w:tc>
        <w:tc>
          <w:tcPr>
            <w:tcW w:w="889" w:type="dxa"/>
            <w:tcBorders>
              <w:top w:val="single" w:sz="4" w:space="0" w:color="auto"/>
            </w:tcBorders>
          </w:tcPr>
          <w:p w14:paraId="7A8542B3"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0.25</w:t>
            </w:r>
          </w:p>
        </w:tc>
        <w:tc>
          <w:tcPr>
            <w:tcW w:w="1082" w:type="dxa"/>
            <w:tcBorders>
              <w:top w:val="single" w:sz="4" w:space="0" w:color="auto"/>
            </w:tcBorders>
          </w:tcPr>
          <w:p w14:paraId="655CB494"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0.40</w:t>
            </w:r>
          </w:p>
        </w:tc>
        <w:tc>
          <w:tcPr>
            <w:tcW w:w="1134" w:type="dxa"/>
            <w:gridSpan w:val="2"/>
            <w:tcBorders>
              <w:top w:val="single" w:sz="4" w:space="0" w:color="auto"/>
            </w:tcBorders>
          </w:tcPr>
          <w:p w14:paraId="30886CCE"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0.70</w:t>
            </w:r>
          </w:p>
        </w:tc>
        <w:tc>
          <w:tcPr>
            <w:tcW w:w="850" w:type="dxa"/>
            <w:tcBorders>
              <w:top w:val="single" w:sz="4" w:space="0" w:color="auto"/>
            </w:tcBorders>
          </w:tcPr>
          <w:p w14:paraId="7CC2E8E8"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0.25</w:t>
            </w:r>
          </w:p>
        </w:tc>
        <w:tc>
          <w:tcPr>
            <w:tcW w:w="709" w:type="dxa"/>
            <w:tcBorders>
              <w:top w:val="single" w:sz="4" w:space="0" w:color="auto"/>
            </w:tcBorders>
          </w:tcPr>
          <w:p w14:paraId="066E70F3"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0.00</w:t>
            </w:r>
          </w:p>
        </w:tc>
      </w:tr>
      <w:tr w:rsidR="00FD6076" w:rsidRPr="004B5FFC" w14:paraId="067FF6D9" w14:textId="77777777" w:rsidTr="001C4A06">
        <w:tc>
          <w:tcPr>
            <w:tcW w:w="1271" w:type="dxa"/>
          </w:tcPr>
          <w:p w14:paraId="6571E4BB"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B2 (Similarity-driven)</w:t>
            </w:r>
          </w:p>
          <w:p w14:paraId="6DB1FFE4" w14:textId="77777777" w:rsidR="00FD6076" w:rsidRPr="004B5FFC" w:rsidRDefault="00FD6076">
            <w:pPr>
              <w:spacing w:after="0" w:line="240" w:lineRule="auto"/>
              <w:rPr>
                <w:rFonts w:ascii="Calibri" w:hAnsi="Calibri" w:cs="Calibri"/>
                <w:sz w:val="18"/>
                <w:szCs w:val="18"/>
              </w:rPr>
            </w:pPr>
          </w:p>
        </w:tc>
        <w:tc>
          <w:tcPr>
            <w:tcW w:w="430" w:type="dxa"/>
          </w:tcPr>
          <w:p w14:paraId="60B2CD0E"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3</w:t>
            </w:r>
          </w:p>
        </w:tc>
        <w:tc>
          <w:tcPr>
            <w:tcW w:w="426" w:type="dxa"/>
          </w:tcPr>
          <w:p w14:paraId="46717C69"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w:t>
            </w:r>
          </w:p>
        </w:tc>
        <w:tc>
          <w:tcPr>
            <w:tcW w:w="407" w:type="dxa"/>
          </w:tcPr>
          <w:p w14:paraId="0ABE9852"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5</w:t>
            </w:r>
          </w:p>
        </w:tc>
        <w:tc>
          <w:tcPr>
            <w:tcW w:w="519" w:type="dxa"/>
          </w:tcPr>
          <w:p w14:paraId="4CE642E7"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12</w:t>
            </w:r>
          </w:p>
        </w:tc>
        <w:tc>
          <w:tcPr>
            <w:tcW w:w="673" w:type="dxa"/>
          </w:tcPr>
          <w:p w14:paraId="38A16BD7"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w:t>
            </w:r>
          </w:p>
        </w:tc>
        <w:tc>
          <w:tcPr>
            <w:tcW w:w="639" w:type="dxa"/>
          </w:tcPr>
          <w:p w14:paraId="23B2DB5E"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w:t>
            </w:r>
          </w:p>
        </w:tc>
        <w:tc>
          <w:tcPr>
            <w:tcW w:w="894" w:type="dxa"/>
          </w:tcPr>
          <w:p w14:paraId="1F966AD6"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1.00</w:t>
            </w:r>
          </w:p>
        </w:tc>
        <w:tc>
          <w:tcPr>
            <w:tcW w:w="889" w:type="dxa"/>
          </w:tcPr>
          <w:p w14:paraId="688D445E"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0.38</w:t>
            </w:r>
          </w:p>
        </w:tc>
        <w:tc>
          <w:tcPr>
            <w:tcW w:w="1082" w:type="dxa"/>
          </w:tcPr>
          <w:p w14:paraId="0E84C5EF"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0.55</w:t>
            </w:r>
          </w:p>
        </w:tc>
        <w:tc>
          <w:tcPr>
            <w:tcW w:w="1134" w:type="dxa"/>
            <w:gridSpan w:val="2"/>
          </w:tcPr>
          <w:p w14:paraId="16AA1800"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0.75</w:t>
            </w:r>
          </w:p>
        </w:tc>
        <w:tc>
          <w:tcPr>
            <w:tcW w:w="850" w:type="dxa"/>
          </w:tcPr>
          <w:p w14:paraId="166777FE"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0.38</w:t>
            </w:r>
          </w:p>
        </w:tc>
        <w:tc>
          <w:tcPr>
            <w:tcW w:w="709" w:type="dxa"/>
          </w:tcPr>
          <w:p w14:paraId="49561567"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0.00</w:t>
            </w:r>
          </w:p>
        </w:tc>
      </w:tr>
      <w:tr w:rsidR="00FD6076" w:rsidRPr="004B5FFC" w14:paraId="1FEBAF29" w14:textId="77777777" w:rsidTr="001C4A06">
        <w:tc>
          <w:tcPr>
            <w:tcW w:w="1271" w:type="dxa"/>
          </w:tcPr>
          <w:p w14:paraId="762DA1EB"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Proposed</w:t>
            </w:r>
          </w:p>
        </w:tc>
        <w:tc>
          <w:tcPr>
            <w:tcW w:w="430" w:type="dxa"/>
          </w:tcPr>
          <w:p w14:paraId="4FA9B253"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8</w:t>
            </w:r>
          </w:p>
        </w:tc>
        <w:tc>
          <w:tcPr>
            <w:tcW w:w="426" w:type="dxa"/>
          </w:tcPr>
          <w:p w14:paraId="3C2B0108"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w:t>
            </w:r>
          </w:p>
        </w:tc>
        <w:tc>
          <w:tcPr>
            <w:tcW w:w="407" w:type="dxa"/>
          </w:tcPr>
          <w:p w14:paraId="58D35271"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w:t>
            </w:r>
          </w:p>
        </w:tc>
        <w:tc>
          <w:tcPr>
            <w:tcW w:w="519" w:type="dxa"/>
          </w:tcPr>
          <w:p w14:paraId="3E0E9E48"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3</w:t>
            </w:r>
          </w:p>
        </w:tc>
        <w:tc>
          <w:tcPr>
            <w:tcW w:w="673" w:type="dxa"/>
          </w:tcPr>
          <w:p w14:paraId="51DAF2D7"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w:t>
            </w:r>
          </w:p>
        </w:tc>
        <w:tc>
          <w:tcPr>
            <w:tcW w:w="639" w:type="dxa"/>
          </w:tcPr>
          <w:p w14:paraId="57A31545"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9</w:t>
            </w:r>
          </w:p>
        </w:tc>
        <w:tc>
          <w:tcPr>
            <w:tcW w:w="894" w:type="dxa"/>
          </w:tcPr>
          <w:p w14:paraId="2673D8E0"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1.00</w:t>
            </w:r>
          </w:p>
        </w:tc>
        <w:tc>
          <w:tcPr>
            <w:tcW w:w="889" w:type="dxa"/>
          </w:tcPr>
          <w:p w14:paraId="4553D6ED"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1.00</w:t>
            </w:r>
          </w:p>
        </w:tc>
        <w:tc>
          <w:tcPr>
            <w:tcW w:w="1082" w:type="dxa"/>
          </w:tcPr>
          <w:p w14:paraId="3C691BDD"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1.00</w:t>
            </w:r>
          </w:p>
        </w:tc>
        <w:tc>
          <w:tcPr>
            <w:tcW w:w="1134" w:type="dxa"/>
            <w:gridSpan w:val="2"/>
          </w:tcPr>
          <w:p w14:paraId="275EB7FE"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1.00</w:t>
            </w:r>
          </w:p>
        </w:tc>
        <w:tc>
          <w:tcPr>
            <w:tcW w:w="850" w:type="dxa"/>
          </w:tcPr>
          <w:p w14:paraId="77C5426B"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1.00</w:t>
            </w:r>
          </w:p>
        </w:tc>
        <w:tc>
          <w:tcPr>
            <w:tcW w:w="709" w:type="dxa"/>
          </w:tcPr>
          <w:p w14:paraId="2BC0D658" w14:textId="77777777" w:rsidR="00FD6076" w:rsidRPr="004B5FFC" w:rsidRDefault="00FD6076">
            <w:pPr>
              <w:spacing w:after="0" w:line="240" w:lineRule="auto"/>
              <w:rPr>
                <w:rFonts w:ascii="Calibri" w:hAnsi="Calibri" w:cs="Calibri"/>
                <w:sz w:val="18"/>
                <w:szCs w:val="18"/>
              </w:rPr>
            </w:pPr>
            <w:r w:rsidRPr="004B5FFC">
              <w:rPr>
                <w:rFonts w:ascii="Calibri" w:hAnsi="Calibri" w:cs="Calibri"/>
                <w:sz w:val="18"/>
                <w:szCs w:val="18"/>
              </w:rPr>
              <w:t>0.45</w:t>
            </w:r>
          </w:p>
        </w:tc>
      </w:tr>
      <w:tr w:rsidR="00FD6076" w:rsidRPr="004B5FFC" w14:paraId="1A89E6C5" w14:textId="77777777" w:rsidTr="001C4A06">
        <w:tc>
          <w:tcPr>
            <w:tcW w:w="1271" w:type="dxa"/>
            <w:tcBorders>
              <w:bottom w:val="single" w:sz="4" w:space="0" w:color="auto"/>
            </w:tcBorders>
          </w:tcPr>
          <w:p w14:paraId="36703F45" w14:textId="77777777" w:rsidR="00FD6076" w:rsidRPr="004B5FFC" w:rsidRDefault="00FD6076">
            <w:pPr>
              <w:spacing w:after="0" w:line="240" w:lineRule="auto"/>
              <w:rPr>
                <w:rFonts w:ascii="Calibri" w:hAnsi="Calibri" w:cs="Calibri"/>
                <w:b/>
                <w:sz w:val="18"/>
                <w:szCs w:val="18"/>
              </w:rPr>
            </w:pPr>
          </w:p>
        </w:tc>
        <w:tc>
          <w:tcPr>
            <w:tcW w:w="430" w:type="dxa"/>
            <w:tcBorders>
              <w:bottom w:val="single" w:sz="4" w:space="0" w:color="auto"/>
            </w:tcBorders>
          </w:tcPr>
          <w:p w14:paraId="0B3807D8" w14:textId="77777777" w:rsidR="00FD6076" w:rsidRPr="004B5FFC" w:rsidRDefault="00FD6076">
            <w:pPr>
              <w:spacing w:after="0" w:line="240" w:lineRule="auto"/>
              <w:rPr>
                <w:rFonts w:ascii="Calibri" w:hAnsi="Calibri" w:cs="Calibri"/>
                <w:b/>
                <w:sz w:val="18"/>
                <w:szCs w:val="18"/>
              </w:rPr>
            </w:pPr>
          </w:p>
        </w:tc>
        <w:tc>
          <w:tcPr>
            <w:tcW w:w="426" w:type="dxa"/>
            <w:tcBorders>
              <w:bottom w:val="single" w:sz="4" w:space="0" w:color="auto"/>
            </w:tcBorders>
          </w:tcPr>
          <w:p w14:paraId="7F91B1C5" w14:textId="77777777" w:rsidR="00FD6076" w:rsidRPr="004B5FFC" w:rsidRDefault="00FD6076">
            <w:pPr>
              <w:spacing w:after="0" w:line="240" w:lineRule="auto"/>
              <w:rPr>
                <w:rFonts w:ascii="Calibri" w:hAnsi="Calibri" w:cs="Calibri"/>
                <w:b/>
                <w:sz w:val="18"/>
                <w:szCs w:val="18"/>
              </w:rPr>
            </w:pPr>
          </w:p>
        </w:tc>
        <w:tc>
          <w:tcPr>
            <w:tcW w:w="407" w:type="dxa"/>
            <w:tcBorders>
              <w:bottom w:val="single" w:sz="4" w:space="0" w:color="auto"/>
            </w:tcBorders>
          </w:tcPr>
          <w:p w14:paraId="135DDDA3" w14:textId="77777777" w:rsidR="00FD6076" w:rsidRPr="004B5FFC" w:rsidRDefault="00FD6076">
            <w:pPr>
              <w:spacing w:after="0" w:line="240" w:lineRule="auto"/>
              <w:rPr>
                <w:rFonts w:ascii="Calibri" w:hAnsi="Calibri" w:cs="Calibri"/>
                <w:b/>
                <w:sz w:val="18"/>
                <w:szCs w:val="18"/>
              </w:rPr>
            </w:pPr>
          </w:p>
        </w:tc>
        <w:tc>
          <w:tcPr>
            <w:tcW w:w="519" w:type="dxa"/>
            <w:tcBorders>
              <w:bottom w:val="single" w:sz="4" w:space="0" w:color="auto"/>
            </w:tcBorders>
          </w:tcPr>
          <w:p w14:paraId="130C6E7D" w14:textId="77777777" w:rsidR="00FD6076" w:rsidRPr="004B5FFC" w:rsidRDefault="00FD6076">
            <w:pPr>
              <w:spacing w:after="0" w:line="240" w:lineRule="auto"/>
              <w:rPr>
                <w:rFonts w:ascii="Calibri" w:hAnsi="Calibri" w:cs="Calibri"/>
                <w:b/>
                <w:sz w:val="18"/>
                <w:szCs w:val="18"/>
              </w:rPr>
            </w:pPr>
          </w:p>
        </w:tc>
        <w:tc>
          <w:tcPr>
            <w:tcW w:w="673" w:type="dxa"/>
            <w:tcBorders>
              <w:bottom w:val="single" w:sz="4" w:space="0" w:color="auto"/>
            </w:tcBorders>
          </w:tcPr>
          <w:p w14:paraId="5EF774B2" w14:textId="77777777" w:rsidR="00FD6076" w:rsidRPr="004B5FFC" w:rsidRDefault="00FD6076">
            <w:pPr>
              <w:spacing w:after="0" w:line="240" w:lineRule="auto"/>
              <w:rPr>
                <w:rFonts w:ascii="Calibri" w:hAnsi="Calibri" w:cs="Calibri"/>
                <w:b/>
                <w:sz w:val="18"/>
                <w:szCs w:val="18"/>
              </w:rPr>
            </w:pPr>
          </w:p>
        </w:tc>
        <w:tc>
          <w:tcPr>
            <w:tcW w:w="639" w:type="dxa"/>
            <w:tcBorders>
              <w:bottom w:val="single" w:sz="4" w:space="0" w:color="auto"/>
            </w:tcBorders>
          </w:tcPr>
          <w:p w14:paraId="5644AED9" w14:textId="77777777" w:rsidR="00FD6076" w:rsidRPr="004B5FFC" w:rsidRDefault="00FD6076">
            <w:pPr>
              <w:spacing w:after="0" w:line="240" w:lineRule="auto"/>
              <w:rPr>
                <w:rFonts w:ascii="Calibri" w:hAnsi="Calibri" w:cs="Calibri"/>
                <w:b/>
                <w:sz w:val="18"/>
                <w:szCs w:val="18"/>
              </w:rPr>
            </w:pPr>
          </w:p>
        </w:tc>
        <w:tc>
          <w:tcPr>
            <w:tcW w:w="894" w:type="dxa"/>
            <w:tcBorders>
              <w:bottom w:val="single" w:sz="4" w:space="0" w:color="auto"/>
            </w:tcBorders>
          </w:tcPr>
          <w:p w14:paraId="23F4A109" w14:textId="77777777" w:rsidR="00FD6076" w:rsidRPr="004B5FFC" w:rsidRDefault="00FD6076">
            <w:pPr>
              <w:spacing w:after="0" w:line="240" w:lineRule="auto"/>
              <w:rPr>
                <w:rFonts w:ascii="Calibri" w:hAnsi="Calibri" w:cs="Calibri"/>
                <w:b/>
                <w:sz w:val="18"/>
                <w:szCs w:val="18"/>
              </w:rPr>
            </w:pPr>
          </w:p>
        </w:tc>
        <w:tc>
          <w:tcPr>
            <w:tcW w:w="889" w:type="dxa"/>
            <w:tcBorders>
              <w:bottom w:val="single" w:sz="4" w:space="0" w:color="auto"/>
            </w:tcBorders>
          </w:tcPr>
          <w:p w14:paraId="7AD2A6D0" w14:textId="77777777" w:rsidR="00FD6076" w:rsidRPr="004B5FFC" w:rsidRDefault="00FD6076">
            <w:pPr>
              <w:spacing w:after="0" w:line="240" w:lineRule="auto"/>
              <w:rPr>
                <w:rFonts w:ascii="Calibri" w:hAnsi="Calibri" w:cs="Calibri"/>
                <w:b/>
                <w:sz w:val="18"/>
                <w:szCs w:val="18"/>
              </w:rPr>
            </w:pPr>
          </w:p>
        </w:tc>
        <w:tc>
          <w:tcPr>
            <w:tcW w:w="1082" w:type="dxa"/>
            <w:tcBorders>
              <w:bottom w:val="single" w:sz="4" w:space="0" w:color="auto"/>
            </w:tcBorders>
          </w:tcPr>
          <w:p w14:paraId="7E5683E0" w14:textId="77777777" w:rsidR="00FD6076" w:rsidRPr="004B5FFC" w:rsidRDefault="00FD6076">
            <w:pPr>
              <w:spacing w:after="0" w:line="240" w:lineRule="auto"/>
              <w:rPr>
                <w:rFonts w:ascii="Calibri" w:hAnsi="Calibri" w:cs="Calibri"/>
                <w:b/>
                <w:sz w:val="18"/>
                <w:szCs w:val="18"/>
              </w:rPr>
            </w:pPr>
          </w:p>
        </w:tc>
        <w:tc>
          <w:tcPr>
            <w:tcW w:w="1134" w:type="dxa"/>
            <w:gridSpan w:val="2"/>
            <w:tcBorders>
              <w:bottom w:val="single" w:sz="4" w:space="0" w:color="auto"/>
            </w:tcBorders>
          </w:tcPr>
          <w:p w14:paraId="580E3491" w14:textId="77777777" w:rsidR="00FD6076" w:rsidRPr="004B5FFC" w:rsidRDefault="00FD6076">
            <w:pPr>
              <w:spacing w:after="0" w:line="240" w:lineRule="auto"/>
              <w:rPr>
                <w:rFonts w:ascii="Calibri" w:hAnsi="Calibri" w:cs="Calibri"/>
                <w:b/>
                <w:sz w:val="18"/>
                <w:szCs w:val="18"/>
              </w:rPr>
            </w:pPr>
          </w:p>
        </w:tc>
        <w:tc>
          <w:tcPr>
            <w:tcW w:w="850" w:type="dxa"/>
            <w:tcBorders>
              <w:bottom w:val="single" w:sz="4" w:space="0" w:color="auto"/>
            </w:tcBorders>
          </w:tcPr>
          <w:p w14:paraId="340372D2" w14:textId="77777777" w:rsidR="00FD6076" w:rsidRPr="004B5FFC" w:rsidRDefault="00FD6076">
            <w:pPr>
              <w:spacing w:after="0" w:line="240" w:lineRule="auto"/>
              <w:rPr>
                <w:rFonts w:ascii="Calibri" w:hAnsi="Calibri" w:cs="Calibri"/>
                <w:b/>
                <w:sz w:val="18"/>
                <w:szCs w:val="18"/>
              </w:rPr>
            </w:pPr>
          </w:p>
        </w:tc>
        <w:tc>
          <w:tcPr>
            <w:tcW w:w="709" w:type="dxa"/>
            <w:tcBorders>
              <w:bottom w:val="single" w:sz="4" w:space="0" w:color="auto"/>
            </w:tcBorders>
          </w:tcPr>
          <w:p w14:paraId="7E1C30D2" w14:textId="77777777" w:rsidR="00FD6076" w:rsidRPr="004B5FFC" w:rsidRDefault="00FD6076">
            <w:pPr>
              <w:spacing w:after="0" w:line="240" w:lineRule="auto"/>
              <w:rPr>
                <w:rFonts w:ascii="Calibri" w:hAnsi="Calibri" w:cs="Calibri"/>
                <w:b/>
                <w:sz w:val="18"/>
                <w:szCs w:val="18"/>
              </w:rPr>
            </w:pPr>
          </w:p>
        </w:tc>
      </w:tr>
    </w:tbl>
    <w:p w14:paraId="20AD68AE" w14:textId="77777777" w:rsidR="000534B6" w:rsidRDefault="00981132" w:rsidP="001948CF">
      <w:pPr>
        <w:spacing w:before="120" w:after="20" w:line="240" w:lineRule="auto"/>
        <w:ind w:firstLine="851"/>
        <w:jc w:val="both"/>
        <w:rPr>
          <w:rFonts w:ascii="Calibri" w:hAnsi="Calibri" w:cs="Calibri"/>
        </w:rPr>
      </w:pPr>
      <w:r w:rsidRPr="004B5FFC">
        <w:rPr>
          <w:rFonts w:ascii="Calibri" w:hAnsi="Calibri" w:cs="Calibri"/>
        </w:rPr>
        <w:lastRenderedPageBreak/>
        <w:t xml:space="preserve">The results show three key points for downstream automation. First, none of the methods produces unsafe false positives, but </w:t>
      </w:r>
      <w:r w:rsidRPr="00812AC2">
        <w:rPr>
          <w:rFonts w:ascii="Calibri" w:hAnsi="Calibri" w:cs="Calibri"/>
          <w:i/>
          <w:iCs/>
        </w:rPr>
        <w:t>B1</w:t>
      </w:r>
      <w:r w:rsidRPr="004B5FFC">
        <w:rPr>
          <w:rFonts w:ascii="Calibri" w:hAnsi="Calibri" w:cs="Calibri"/>
        </w:rPr>
        <w:t xml:space="preserve"> and </w:t>
      </w:r>
      <w:r w:rsidRPr="00812AC2">
        <w:rPr>
          <w:rFonts w:ascii="Calibri" w:hAnsi="Calibri" w:cs="Calibri"/>
          <w:i/>
          <w:iCs/>
        </w:rPr>
        <w:t>B2</w:t>
      </w:r>
      <w:r w:rsidRPr="004B5FFC">
        <w:rPr>
          <w:rFonts w:ascii="Calibri" w:hAnsi="Calibri" w:cs="Calibri"/>
        </w:rPr>
        <w:t xml:space="preserve"> reach that property mainly through conservative </w:t>
      </w:r>
      <w:r w:rsidRPr="001D0C68">
        <w:rPr>
          <w:rFonts w:ascii="Consolas" w:hAnsi="Consolas" w:cs="Calibri"/>
          <w:sz w:val="18"/>
          <w:szCs w:val="18"/>
        </w:rPr>
        <w:t>NOT_LINKED</w:t>
      </w:r>
      <w:r w:rsidRPr="004B5FFC">
        <w:rPr>
          <w:rFonts w:ascii="Calibri" w:hAnsi="Calibri" w:cs="Calibri"/>
        </w:rPr>
        <w:t xml:space="preserve"> decisions that accumulate false negatives: </w:t>
      </w:r>
      <w:r w:rsidRPr="00812AC2">
        <w:rPr>
          <w:rFonts w:ascii="Calibri" w:hAnsi="Calibri" w:cs="Calibri"/>
          <w:i/>
          <w:iCs/>
        </w:rPr>
        <w:t>B1</w:t>
      </w:r>
      <w:r w:rsidRPr="004B5FFC">
        <w:rPr>
          <w:rFonts w:ascii="Calibri" w:hAnsi="Calibri" w:cs="Calibri"/>
        </w:rPr>
        <w:t xml:space="preserve"> misses six of eight positives because it cannot reason beyond identifiers, and </w:t>
      </w:r>
      <w:r w:rsidR="00B832C8" w:rsidRPr="009B3BBD">
        <w:rPr>
          <w:rFonts w:ascii="Calibri" w:hAnsi="Calibri" w:cs="Calibri"/>
          <w:i/>
          <w:iCs/>
        </w:rPr>
        <w:t>B2</w:t>
      </w:r>
      <w:r w:rsidR="00B832C8" w:rsidRPr="006258B3">
        <w:rPr>
          <w:rFonts w:ascii="Calibri" w:hAnsi="Calibri" w:cs="Calibri"/>
        </w:rPr>
        <w:t xml:space="preserve"> recovers all three Pattern-2 </w:t>
      </w:r>
      <w:r w:rsidR="00B832C8" w:rsidRPr="006258B3">
        <w:rPr>
          <w:rFonts w:ascii="Consolas" w:hAnsi="Consolas" w:cs="Calibri"/>
          <w:sz w:val="18"/>
          <w:szCs w:val="18"/>
        </w:rPr>
        <w:t>LINKED</w:t>
      </w:r>
      <w:r w:rsidR="00B832C8" w:rsidRPr="006258B3">
        <w:rPr>
          <w:rFonts w:ascii="Calibri" w:hAnsi="Calibri" w:cs="Calibri"/>
        </w:rPr>
        <w:t xml:space="preserve"> pairs through label match (the full wall via the identical </w:t>
      </w:r>
      <w:r w:rsidR="00B832C8" w:rsidRPr="006258B3">
        <w:rPr>
          <w:rFonts w:ascii="Calibri" w:hAnsi="Calibri" w:cs="Calibri"/>
          <w:i/>
          <w:iCs/>
        </w:rPr>
        <w:t>“Außenwand W-001”</w:t>
      </w:r>
      <w:r w:rsidR="00B832C8" w:rsidRPr="006258B3">
        <w:rPr>
          <w:rFonts w:ascii="Calibri" w:hAnsi="Calibri" w:cs="Calibri"/>
        </w:rPr>
        <w:t xml:space="preserve"> label, plus the two plaster pairs via substring overlap </w:t>
      </w:r>
      <w:r w:rsidR="00B832C8" w:rsidRPr="006258B3">
        <w:rPr>
          <w:rFonts w:ascii="Calibri" w:hAnsi="Calibri" w:cs="Calibri"/>
          <w:i/>
          <w:iCs/>
        </w:rPr>
        <w:t xml:space="preserve">“Kalkputz” </w:t>
      </w:r>
      <w:r w:rsidR="00B832C8" w:rsidRPr="006258B3">
        <w:rPr>
          <w:rFonts w:ascii="Calibri" w:hAnsi="Calibri" w:cs="Calibri"/>
        </w:rPr>
        <w:t xml:space="preserve">↔ </w:t>
      </w:r>
      <w:r w:rsidR="00B832C8" w:rsidRPr="006258B3">
        <w:rPr>
          <w:rFonts w:ascii="Calibri" w:hAnsi="Calibri" w:cs="Calibri"/>
          <w:i/>
          <w:iCs/>
        </w:rPr>
        <w:t xml:space="preserve">“Kalkputz” </w:t>
      </w:r>
      <w:r w:rsidR="00B832C8" w:rsidRPr="006258B3">
        <w:rPr>
          <w:rFonts w:ascii="Calibri" w:hAnsi="Calibri" w:cs="Calibri"/>
        </w:rPr>
        <w:t xml:space="preserve">and </w:t>
      </w:r>
      <w:r w:rsidR="00B832C8" w:rsidRPr="006258B3">
        <w:rPr>
          <w:rFonts w:ascii="Calibri" w:hAnsi="Calibri" w:cs="Calibri"/>
          <w:i/>
          <w:iCs/>
        </w:rPr>
        <w:t xml:space="preserve">“Zementputz” </w:t>
      </w:r>
      <w:r w:rsidR="00B832C8" w:rsidRPr="006258B3">
        <w:rPr>
          <w:rFonts w:ascii="Calibri" w:hAnsi="Calibri" w:cs="Calibri"/>
        </w:rPr>
        <w:t xml:space="preserve">↔ </w:t>
      </w:r>
      <w:r w:rsidR="00B832C8" w:rsidRPr="006258B3">
        <w:rPr>
          <w:rFonts w:ascii="Calibri" w:hAnsi="Calibri" w:cs="Calibri"/>
          <w:i/>
          <w:iCs/>
        </w:rPr>
        <w:t>“Zementputz”</w:t>
      </w:r>
      <w:r w:rsidR="00B832C8" w:rsidRPr="006258B3">
        <w:rPr>
          <w:rFonts w:ascii="Calibri" w:hAnsi="Calibri" w:cs="Calibri"/>
        </w:rPr>
        <w:t>); it fails on all four Pattern-3 granularity-shift pairs.</w:t>
      </w:r>
      <w:r w:rsidRPr="004B5FFC">
        <w:rPr>
          <w:rFonts w:ascii="Calibri" w:hAnsi="Calibri" w:cs="Calibri"/>
        </w:rPr>
        <w:t xml:space="preserve"> </w:t>
      </w:r>
      <w:r w:rsidR="000534B6" w:rsidRPr="000534B6">
        <w:rPr>
          <w:rFonts w:ascii="Calibri" w:hAnsi="Calibri" w:cs="Calibri"/>
        </w:rPr>
        <w:t>Second, the proposed model resolves all eight LINKED cases without false positives or false negatives.</w:t>
      </w:r>
      <w:r w:rsidR="000534B6">
        <w:rPr>
          <w:rFonts w:ascii="Calibri" w:hAnsi="Calibri" w:cs="Calibri"/>
        </w:rPr>
        <w:t xml:space="preserve"> </w:t>
      </w:r>
      <w:r w:rsidR="000534B6" w:rsidRPr="000534B6">
        <w:rPr>
          <w:rFonts w:ascii="Calibri" w:hAnsi="Calibri" w:cs="Calibri"/>
        </w:rPr>
        <w:t xml:space="preserve">Third, boundary and status-guard cases that B1 and B2 silently absorb as </w:t>
      </w:r>
      <w:r w:rsidR="000534B6" w:rsidRPr="000534B6">
        <w:rPr>
          <w:rFonts w:ascii="Consolas" w:hAnsi="Consolas" w:cs="Calibri"/>
          <w:sz w:val="18"/>
          <w:szCs w:val="18"/>
        </w:rPr>
        <w:t xml:space="preserve">NOT_LINKED </w:t>
      </w:r>
      <w:r w:rsidR="000534B6" w:rsidRPr="000534B6">
        <w:rPr>
          <w:rFonts w:ascii="Calibri" w:hAnsi="Calibri" w:cs="Calibri"/>
        </w:rPr>
        <w:t xml:space="preserve">are exposed as auditable </w:t>
      </w:r>
      <w:r w:rsidR="000534B6" w:rsidRPr="000534B6">
        <w:rPr>
          <w:rFonts w:ascii="Consolas" w:hAnsi="Consolas" w:cs="Calibri"/>
          <w:sz w:val="18"/>
          <w:szCs w:val="18"/>
        </w:rPr>
        <w:t>AMBIGUOUS</w:t>
      </w:r>
      <w:r w:rsidR="000534B6" w:rsidRPr="000534B6">
        <w:rPr>
          <w:rFonts w:ascii="Calibri" w:hAnsi="Calibri" w:cs="Calibri"/>
        </w:rPr>
        <w:t xml:space="preserve"> outputs with a suggested label for review.</w:t>
      </w:r>
    </w:p>
    <w:p w14:paraId="1A20FABF" w14:textId="07C3E946" w:rsidR="00981132" w:rsidRPr="004B5FFC" w:rsidRDefault="00E07565" w:rsidP="001948CF">
      <w:pPr>
        <w:spacing w:before="120" w:after="20" w:line="240" w:lineRule="auto"/>
        <w:ind w:firstLine="851"/>
        <w:jc w:val="both"/>
        <w:rPr>
          <w:rFonts w:ascii="Calibri" w:hAnsi="Calibri" w:cs="Calibri"/>
        </w:rPr>
      </w:pPr>
      <w:r w:rsidRPr="00E07565">
        <w:rPr>
          <w:rFonts w:ascii="Calibri" w:hAnsi="Calibri" w:cs="Calibri"/>
        </w:rPr>
        <w:t>Confidence values for the six identifier-free LINKED pairs lie between 0.55 and 0.82, below the identifier-precedence ceiling of 1.0</w:t>
      </w:r>
      <w:r w:rsidR="000534B6" w:rsidRPr="000534B6">
        <w:rPr>
          <w:rFonts w:ascii="Calibri" w:hAnsi="Calibri" w:cs="Calibri"/>
        </w:rPr>
        <w:t xml:space="preserve">, </w:t>
      </w:r>
      <w:r w:rsidR="00E77420" w:rsidRPr="00E77420">
        <w:rPr>
          <w:rFonts w:ascii="Calibri" w:hAnsi="Calibri" w:cs="Calibri"/>
        </w:rPr>
        <w:t>supporting a route-aware confidence behavior</w:t>
      </w:r>
      <w:r w:rsidR="000534B6" w:rsidRPr="000534B6">
        <w:rPr>
          <w:rFonts w:ascii="Calibri" w:hAnsi="Calibri" w:cs="Calibri"/>
        </w:rPr>
        <w:t>.</w:t>
      </w:r>
      <w:r w:rsidR="000534B6">
        <w:rPr>
          <w:rFonts w:ascii="Calibri" w:hAnsi="Calibri" w:cs="Calibri"/>
        </w:rPr>
        <w:t xml:space="preserve"> </w:t>
      </w:r>
      <w:r w:rsidR="00DB5F91" w:rsidRPr="00DB5F91">
        <w:rPr>
          <w:rFonts w:ascii="Calibri" w:hAnsi="Calibri" w:cs="Calibri"/>
        </w:rPr>
        <w:t xml:space="preserve">All nine deferred pairs are GT-annotated; every </w:t>
      </w:r>
      <w:r w:rsidR="00883286">
        <w:rPr>
          <w:rFonts w:ascii="Calibri" w:hAnsi="Calibri" w:cs="Calibri"/>
        </w:rPr>
        <w:t>suggested label</w:t>
      </w:r>
      <w:r w:rsidR="00DB5F91" w:rsidRPr="00DB5F91">
        <w:rPr>
          <w:rFonts w:ascii="Calibri" w:hAnsi="Calibri" w:cs="Calibri"/>
        </w:rPr>
        <w:t xml:space="preserve"> matches the true correspondence, yielding a deferral soundness of 9/9. </w:t>
      </w:r>
      <w:r w:rsidR="001F29F7" w:rsidRPr="001F29F7">
        <w:rPr>
          <w:rFonts w:ascii="Calibri" w:hAnsi="Calibri" w:cs="Calibri"/>
        </w:rPr>
        <w:t>Their associated confidences (0.55–0.8</w:t>
      </w:r>
      <w:r>
        <w:rPr>
          <w:rFonts w:ascii="Calibri" w:hAnsi="Calibri" w:cs="Calibri"/>
        </w:rPr>
        <w:t>5</w:t>
      </w:r>
      <w:r w:rsidR="001F29F7" w:rsidRPr="001F29F7">
        <w:rPr>
          <w:rFonts w:ascii="Calibri" w:hAnsi="Calibri" w:cs="Calibri"/>
        </w:rPr>
        <w:t>) are conservative priors</w:t>
      </w:r>
      <w:r w:rsidR="00DB5F91" w:rsidRPr="00DB5F91">
        <w:rPr>
          <w:rFonts w:ascii="Calibri" w:hAnsi="Calibri" w:cs="Calibri"/>
        </w:rPr>
        <w:t xml:space="preserve"> keyed to the deferral reason, not tuned values.</w:t>
      </w:r>
      <w:r w:rsidR="000534B6">
        <w:rPr>
          <w:rFonts w:ascii="Calibri" w:hAnsi="Calibri" w:cs="Calibri"/>
        </w:rPr>
        <w:t xml:space="preserve"> </w:t>
      </w:r>
      <w:r w:rsidR="00B24E1E" w:rsidRPr="00B24E1E">
        <w:rPr>
          <w:rFonts w:ascii="Calibri" w:hAnsi="Calibri" w:cs="Calibri"/>
        </w:rPr>
        <w:t xml:space="preserve">Each </w:t>
      </w:r>
      <w:r w:rsidR="00B24E1E" w:rsidRPr="001D0C68">
        <w:rPr>
          <w:rFonts w:ascii="Consolas" w:hAnsi="Consolas" w:cs="Calibri"/>
          <w:sz w:val="18"/>
          <w:szCs w:val="18"/>
        </w:rPr>
        <w:t>AMBIGUOUS</w:t>
      </w:r>
      <w:r w:rsidR="00B24E1E" w:rsidRPr="00B24E1E">
        <w:rPr>
          <w:rFonts w:ascii="Calibri" w:hAnsi="Calibri" w:cs="Calibri"/>
        </w:rPr>
        <w:t xml:space="preserve"> record carries the four signal values, the deferral reason, the suggested label with its confidence, and references to the candidate records, which the human-in-the-loop framework (Martin et al., 2025b) presents alongside side-by-side IFC views of the candidates.</w:t>
      </w:r>
    </w:p>
    <w:p w14:paraId="51E1EF4B" w14:textId="45F400DD" w:rsidR="0035548D" w:rsidRPr="00CA793B" w:rsidRDefault="001E0C55" w:rsidP="00F43998">
      <w:pPr>
        <w:spacing w:before="120" w:after="20" w:line="240" w:lineRule="auto"/>
        <w:ind w:left="357"/>
        <w:rPr>
          <w:rFonts w:ascii="Calibri" w:hAnsi="Calibri" w:cs="Calibri"/>
          <w:sz w:val="24"/>
          <w:szCs w:val="24"/>
        </w:rPr>
      </w:pPr>
      <w:r w:rsidRPr="00CA793B">
        <w:rPr>
          <w:rFonts w:ascii="Calibri" w:hAnsi="Calibri" w:cs="Calibri"/>
          <w:b/>
          <w:sz w:val="28"/>
          <w:szCs w:val="24"/>
        </w:rPr>
        <w:t>6. DISCUSSION</w:t>
      </w:r>
    </w:p>
    <w:p w14:paraId="63A5F76C" w14:textId="3FFF4B00" w:rsidR="0035548D" w:rsidRPr="004B5FFC" w:rsidRDefault="009C4D72" w:rsidP="001948CF">
      <w:pPr>
        <w:spacing w:after="40" w:line="240" w:lineRule="auto"/>
        <w:ind w:firstLine="851"/>
        <w:jc w:val="both"/>
        <w:rPr>
          <w:rFonts w:ascii="Calibri" w:hAnsi="Calibri" w:cs="Calibri"/>
        </w:rPr>
      </w:pPr>
      <w:r w:rsidRPr="004B5FFC">
        <w:rPr>
          <w:rFonts w:ascii="Calibri" w:hAnsi="Calibri" w:cs="Calibri"/>
        </w:rPr>
        <w:t xml:space="preserve">The evaluation points to three broader implications for referent linkage in AECO workflows. </w:t>
      </w:r>
      <w:r w:rsidR="003F69BF" w:rsidRPr="004B5FFC">
        <w:rPr>
          <w:rFonts w:ascii="Calibri" w:hAnsi="Calibri" w:cs="Calibri"/>
        </w:rPr>
        <w:t>These implications concern evidence design in AECO data, the role of automation under uncertainty, and the interfaces to existing tool chains and standardization practice.</w:t>
      </w:r>
    </w:p>
    <w:p w14:paraId="7111C8A4" w14:textId="77777777" w:rsidR="0035548D" w:rsidRPr="00664AEA" w:rsidRDefault="001E0C55">
      <w:pPr>
        <w:spacing w:before="40" w:after="0" w:line="240" w:lineRule="auto"/>
        <w:rPr>
          <w:rFonts w:ascii="Calibri" w:hAnsi="Calibri" w:cs="Calibri"/>
          <w:sz w:val="24"/>
          <w:szCs w:val="24"/>
        </w:rPr>
      </w:pPr>
      <w:r w:rsidRPr="00664AEA">
        <w:rPr>
          <w:rFonts w:ascii="Calibri" w:hAnsi="Calibri" w:cs="Calibri"/>
          <w:b/>
          <w:sz w:val="24"/>
          <w:szCs w:val="24"/>
        </w:rPr>
        <w:t>6.1 Lessons learned</w:t>
      </w:r>
    </w:p>
    <w:p w14:paraId="5EF1A5B7" w14:textId="45AD66A2" w:rsidR="000534B6" w:rsidRPr="004B5FFC" w:rsidRDefault="00FD6076" w:rsidP="00E06543">
      <w:pPr>
        <w:spacing w:after="40" w:line="240" w:lineRule="auto"/>
        <w:ind w:firstLine="851"/>
        <w:jc w:val="both"/>
        <w:rPr>
          <w:rFonts w:ascii="Calibri" w:hAnsi="Calibri" w:cs="Calibri"/>
        </w:rPr>
      </w:pPr>
      <w:r w:rsidRPr="00FD6076">
        <w:rPr>
          <w:rFonts w:ascii="Calibri" w:hAnsi="Calibri" w:cs="Calibri"/>
        </w:rPr>
        <w:t>Three observations from this pilot suggest directions for further validation:</w:t>
      </w:r>
      <w:r w:rsidR="003F69BF" w:rsidRPr="004B5FFC">
        <w:rPr>
          <w:rFonts w:ascii="Calibri" w:hAnsi="Calibri" w:cs="Calibri"/>
        </w:rPr>
        <w:t xml:space="preserve"> First, persistent-identifier evidence is decisive when present but cannot be assumed: identifier-based linking resolved only the room and exterior-wall pairs out of twenty candidates, consistent with reports that </w:t>
      </w:r>
      <w:r w:rsidR="003F69BF" w:rsidRPr="009A77E7">
        <w:rPr>
          <w:rFonts w:ascii="Calibri" w:hAnsi="Calibri" w:cs="Calibri"/>
          <w:i/>
          <w:iCs/>
        </w:rPr>
        <w:t>Global</w:t>
      </w:r>
      <w:r w:rsidR="00F43998">
        <w:rPr>
          <w:rFonts w:ascii="Calibri" w:hAnsi="Calibri" w:cs="Calibri"/>
          <w:i/>
          <w:iCs/>
        </w:rPr>
        <w:t>ID</w:t>
      </w:r>
      <w:r w:rsidR="003F69BF" w:rsidRPr="009A77E7">
        <w:rPr>
          <w:rFonts w:ascii="Calibri" w:hAnsi="Calibri" w:cs="Calibri"/>
          <w:i/>
          <w:iCs/>
        </w:rPr>
        <w:t>s</w:t>
      </w:r>
      <w:r w:rsidR="003F69BF" w:rsidRPr="004B5FFC">
        <w:rPr>
          <w:rFonts w:ascii="Calibri" w:hAnsi="Calibri" w:cs="Calibri"/>
        </w:rPr>
        <w:t xml:space="preserve"> regenerate across exports </w:t>
      </w:r>
      <w:r w:rsidR="004109D6" w:rsidRPr="004109D6">
        <w:rPr>
          <w:rFonts w:ascii="Calibri" w:hAnsi="Calibri" w:cs="Calibri"/>
        </w:rPr>
        <w:t xml:space="preserve">and with a component ablation </w:t>
      </w:r>
      <w:r w:rsidR="00E65083" w:rsidRPr="00E65083">
        <w:rPr>
          <w:rFonts w:ascii="Calibri" w:hAnsi="Calibri" w:cs="Calibri"/>
        </w:rPr>
        <w:t>in our evaluation logs (available from the authors)</w:t>
      </w:r>
      <w:r w:rsidR="004109D6" w:rsidRPr="004109D6">
        <w:rPr>
          <w:rFonts w:ascii="Calibri" w:hAnsi="Calibri" w:cs="Calibri"/>
        </w:rPr>
        <w:t xml:space="preserve"> </w:t>
      </w:r>
      <w:r w:rsidR="00036587" w:rsidRPr="00036587">
        <w:rPr>
          <w:rFonts w:ascii="Calibri" w:hAnsi="Calibri" w:cs="Calibri"/>
        </w:rPr>
        <w:t xml:space="preserve">showing that each component is necessary for a distinct subset of </w:t>
      </w:r>
      <w:r w:rsidR="00036587" w:rsidRPr="00036587">
        <w:rPr>
          <w:rFonts w:ascii="Consolas" w:hAnsi="Consolas" w:cs="Consolas"/>
          <w:sz w:val="18"/>
          <w:szCs w:val="18"/>
        </w:rPr>
        <w:t>LINKED</w:t>
      </w:r>
      <w:r w:rsidR="00036587" w:rsidRPr="00036587">
        <w:rPr>
          <w:rFonts w:ascii="Calibri" w:hAnsi="Calibri" w:cs="Calibri"/>
        </w:rPr>
        <w:t xml:space="preserve"> decisions</w:t>
      </w:r>
      <w:r w:rsidR="00D05176">
        <w:rPr>
          <w:rFonts w:ascii="Calibri" w:hAnsi="Calibri" w:cs="Calibri"/>
        </w:rPr>
        <w:t>.</w:t>
      </w:r>
      <w:r w:rsidR="00774CDA">
        <w:rPr>
          <w:rFonts w:ascii="Calibri" w:hAnsi="Calibri" w:cs="Calibri"/>
        </w:rPr>
        <w:t xml:space="preserve"> </w:t>
      </w:r>
      <w:r w:rsidR="00E06543" w:rsidRPr="00E06543">
        <w:rPr>
          <w:rFonts w:ascii="Calibri" w:hAnsi="Calibri" w:cs="Calibri"/>
        </w:rPr>
        <w:t>Second, in this pilot, type coherence acts mainly as an exclusion criterion,</w:t>
      </w:r>
      <w:r w:rsidR="00E06543">
        <w:rPr>
          <w:rFonts w:ascii="Calibri" w:hAnsi="Calibri" w:cs="Calibri"/>
        </w:rPr>
        <w:t xml:space="preserve"> </w:t>
      </w:r>
      <w:r w:rsidR="00E06543" w:rsidRPr="00E06543">
        <w:rPr>
          <w:rFonts w:ascii="Calibri" w:hAnsi="Calibri" w:cs="Calibri"/>
        </w:rPr>
        <w:t>deferring the cross-type wall-covering candidates, while the boundary</w:t>
      </w:r>
      <w:r w:rsidR="00E06543">
        <w:rPr>
          <w:rFonts w:ascii="Calibri" w:hAnsi="Calibri" w:cs="Calibri"/>
        </w:rPr>
        <w:t xml:space="preserve"> </w:t>
      </w:r>
      <w:r w:rsidR="00E06543" w:rsidRPr="00E06543">
        <w:rPr>
          <w:rFonts w:ascii="Calibri" w:hAnsi="Calibri" w:cs="Calibri"/>
        </w:rPr>
        <w:t>evidence carries the two covering-covering decisions.</w:t>
      </w:r>
      <w:r w:rsidR="00E06543">
        <w:rPr>
          <w:rFonts w:ascii="Calibri" w:hAnsi="Calibri" w:cs="Calibri"/>
        </w:rPr>
        <w:t xml:space="preserve"> </w:t>
      </w:r>
      <w:r w:rsidR="003F69BF" w:rsidRPr="004B5FFC">
        <w:rPr>
          <w:rFonts w:ascii="Calibri" w:hAnsi="Calibri" w:cs="Calibri"/>
        </w:rPr>
        <w:t xml:space="preserve">Third, deferral is intentional rather than a failure mode: </w:t>
      </w:r>
      <w:r w:rsidR="00F43998" w:rsidRPr="00F43998">
        <w:rPr>
          <w:rFonts w:ascii="Calibri" w:hAnsi="Calibri" w:cs="Calibri"/>
        </w:rPr>
        <w:t xml:space="preserve">in Pattern 3, </w:t>
      </w:r>
      <w:r w:rsidR="002A7931" w:rsidRPr="002A7931">
        <w:rPr>
          <w:rFonts w:ascii="Calibri" w:hAnsi="Calibri" w:cs="Calibri"/>
        </w:rPr>
        <w:t xml:space="preserve">the slab-to-reference pair is routed to </w:t>
      </w:r>
      <w:r w:rsidR="002A7931" w:rsidRPr="002A7931">
        <w:rPr>
          <w:rFonts w:ascii="Consolas" w:hAnsi="Consolas" w:cs="Consolas"/>
          <w:sz w:val="18"/>
          <w:szCs w:val="18"/>
        </w:rPr>
        <w:t>AMBIGUOUS</w:t>
      </w:r>
      <w:r w:rsidR="002A7931" w:rsidRPr="002A7931">
        <w:rPr>
          <w:rFonts w:ascii="Calibri" w:hAnsi="Calibri" w:cs="Calibri"/>
        </w:rPr>
        <w:t xml:space="preserve"> via the </w:t>
      </w:r>
      <w:r w:rsidR="002A7931" w:rsidRPr="002A7931">
        <w:rPr>
          <w:rFonts w:ascii="Consolas" w:hAnsi="Consolas" w:cs="Consolas"/>
          <w:sz w:val="18"/>
          <w:szCs w:val="18"/>
        </w:rPr>
        <w:t>REFERENCE</w:t>
      </w:r>
      <w:r w:rsidR="002A7931" w:rsidRPr="002A7931">
        <w:rPr>
          <w:rFonts w:ascii="Calibri" w:hAnsi="Calibri" w:cs="Calibri"/>
        </w:rPr>
        <w:t xml:space="preserve"> guard, with an explanatory trace that can be forwarded to human review.</w:t>
      </w:r>
    </w:p>
    <w:p w14:paraId="2A7DC233" w14:textId="77777777" w:rsidR="0035548D" w:rsidRPr="00664AEA" w:rsidRDefault="001E0C55">
      <w:pPr>
        <w:spacing w:before="40" w:after="0" w:line="240" w:lineRule="auto"/>
        <w:rPr>
          <w:rFonts w:ascii="Calibri" w:hAnsi="Calibri" w:cs="Calibri"/>
          <w:sz w:val="24"/>
          <w:szCs w:val="24"/>
        </w:rPr>
      </w:pPr>
      <w:r w:rsidRPr="00664AEA">
        <w:rPr>
          <w:rFonts w:ascii="Calibri" w:hAnsi="Calibri" w:cs="Calibri"/>
          <w:b/>
          <w:sz w:val="24"/>
          <w:szCs w:val="24"/>
        </w:rPr>
        <w:t>6.2 Practice and standardization implications</w:t>
      </w:r>
    </w:p>
    <w:p w14:paraId="53149924" w14:textId="6247CE6C" w:rsidR="006258B3" w:rsidRDefault="003F69BF" w:rsidP="006258B3">
      <w:pPr>
        <w:spacing w:after="40" w:line="240" w:lineRule="auto"/>
        <w:ind w:firstLine="851"/>
        <w:jc w:val="both"/>
        <w:rPr>
          <w:rFonts w:ascii="Calibri" w:hAnsi="Calibri" w:cs="Calibri"/>
        </w:rPr>
      </w:pPr>
      <w:r w:rsidRPr="004B5FFC">
        <w:rPr>
          <w:rFonts w:ascii="Calibri" w:hAnsi="Calibri" w:cs="Calibri"/>
        </w:rPr>
        <w:t xml:space="preserve">Two practical recommendations follow. First, organizations operating across design–construction–operations should invest in stable cross-system identifiers and lightweight property sets that carry them. The </w:t>
      </w:r>
      <w:r w:rsidRPr="008C16BB">
        <w:rPr>
          <w:rFonts w:ascii="Calibri" w:hAnsi="Calibri" w:cs="Calibri"/>
          <w:i/>
          <w:iCs/>
        </w:rPr>
        <w:t>AssetReference</w:t>
      </w:r>
      <w:r w:rsidR="00CC0771">
        <w:rPr>
          <w:rFonts w:ascii="Calibri" w:hAnsi="Calibri" w:cs="Calibri"/>
          <w:i/>
          <w:iCs/>
        </w:rPr>
        <w:t xml:space="preserve"> </w:t>
      </w:r>
      <w:r w:rsidR="00CC0771" w:rsidRPr="00CC0771">
        <w:rPr>
          <w:rFonts w:ascii="Calibri" w:hAnsi="Calibri" w:cs="Calibri"/>
          <w:i/>
          <w:iCs/>
        </w:rPr>
        <w:t>property</w:t>
      </w:r>
      <w:r w:rsidR="00CC0771">
        <w:rPr>
          <w:rFonts w:ascii="Calibri" w:hAnsi="Calibri" w:cs="Calibri"/>
        </w:rPr>
        <w:t xml:space="preserve"> </w:t>
      </w:r>
      <w:r w:rsidR="00CC0771" w:rsidRPr="00CC0771">
        <w:rPr>
          <w:rFonts w:ascii="Calibri" w:hAnsi="Calibri" w:cs="Calibri"/>
          <w:i/>
          <w:iCs/>
        </w:rPr>
        <w:t>set</w:t>
      </w:r>
      <w:r w:rsidR="00CC0771">
        <w:rPr>
          <w:rFonts w:ascii="Calibri" w:hAnsi="Calibri" w:cs="Calibri"/>
        </w:rPr>
        <w:t xml:space="preserve"> </w:t>
      </w:r>
      <w:r w:rsidRPr="004B5FFC">
        <w:rPr>
          <w:rFonts w:ascii="Calibri" w:hAnsi="Calibri" w:cs="Calibri"/>
        </w:rPr>
        <w:t>used here is one realization</w:t>
      </w:r>
      <w:r w:rsidR="00B1600F" w:rsidRPr="00B1600F">
        <w:rPr>
          <w:rFonts w:ascii="Calibri" w:hAnsi="Calibri" w:cs="Calibri"/>
        </w:rPr>
        <w:t>, named without the Pset_ prefix, which IFC reserves for its own property sets</w:t>
      </w:r>
      <w:r w:rsidRPr="004B5FFC">
        <w:rPr>
          <w:rFonts w:ascii="Calibri" w:hAnsi="Calibri" w:cs="Calibri"/>
        </w:rPr>
        <w:t xml:space="preserve">; identifiers need not be globally unique, only stable across exports and shared at known locations, which a small extension of IDS practice (Kremer and Beetz, 2023; Fischer et al., 2024) can specify. Second, status markers distinguishing built artifacts from reference geometry should be machine-readable: the Pattern-3 status guard works because the precast model carries </w:t>
      </w:r>
      <w:r w:rsidRPr="008C16BB">
        <w:rPr>
          <w:rFonts w:ascii="Calibri" w:hAnsi="Calibri" w:cs="Calibri"/>
          <w:i/>
          <w:iCs/>
        </w:rPr>
        <w:t>LifecycleStatus</w:t>
      </w:r>
      <w:r w:rsidR="005D15D0">
        <w:rPr>
          <w:rFonts w:ascii="Calibri" w:hAnsi="Calibri" w:cs="Calibri"/>
          <w:i/>
          <w:iCs/>
        </w:rPr>
        <w:t xml:space="preserve"> </w:t>
      </w:r>
      <w:r w:rsidRPr="008C16BB">
        <w:rPr>
          <w:rFonts w:ascii="Calibri" w:hAnsi="Calibri" w:cs="Calibri"/>
          <w:i/>
          <w:iCs/>
        </w:rPr>
        <w:t>=</w:t>
      </w:r>
      <w:r w:rsidR="005D15D0">
        <w:rPr>
          <w:rFonts w:ascii="Calibri" w:hAnsi="Calibri" w:cs="Calibri"/>
          <w:i/>
          <w:iCs/>
        </w:rPr>
        <w:t xml:space="preserve"> </w:t>
      </w:r>
      <w:r w:rsidRPr="008A1D40">
        <w:rPr>
          <w:rFonts w:ascii="Consolas" w:hAnsi="Consolas" w:cs="Calibri"/>
          <w:sz w:val="18"/>
          <w:szCs w:val="18"/>
        </w:rPr>
        <w:t>REFERENCE</w:t>
      </w:r>
      <w:r w:rsidRPr="004B5FFC">
        <w:rPr>
          <w:rFonts w:ascii="Calibri" w:hAnsi="Calibri" w:cs="Calibri"/>
        </w:rPr>
        <w:t>; without this, even a correct model would link auxiliary geometry to a built component.</w:t>
      </w:r>
    </w:p>
    <w:p w14:paraId="17B24A50" w14:textId="1A99A3FC" w:rsidR="004151A9" w:rsidRDefault="006258B3" w:rsidP="004151A9">
      <w:pPr>
        <w:spacing w:after="40" w:line="240" w:lineRule="auto"/>
        <w:ind w:firstLine="851"/>
        <w:jc w:val="both"/>
        <w:rPr>
          <w:rFonts w:ascii="Calibri" w:hAnsi="Calibri" w:cs="Calibri"/>
        </w:rPr>
      </w:pPr>
      <w:r>
        <w:rPr>
          <w:rFonts w:ascii="Calibri" w:hAnsi="Calibri" w:cs="Calibri"/>
        </w:rPr>
        <w:t>T</w:t>
      </w:r>
      <w:r w:rsidR="001E0C55" w:rsidRPr="004B5FFC">
        <w:rPr>
          <w:rFonts w:ascii="Calibri" w:hAnsi="Calibri" w:cs="Calibri"/>
        </w:rPr>
        <w:t xml:space="preserve">he model is designed to feed </w:t>
      </w:r>
      <w:r w:rsidR="001E0C55" w:rsidRPr="008A1D40">
        <w:rPr>
          <w:rFonts w:ascii="Consolas" w:hAnsi="Consolas" w:cs="Calibri"/>
          <w:sz w:val="18"/>
          <w:szCs w:val="18"/>
        </w:rPr>
        <w:t>AMBIGUOUS</w:t>
      </w:r>
      <w:r w:rsidR="001E0C55" w:rsidRPr="004B5FFC">
        <w:rPr>
          <w:rFonts w:ascii="Calibri" w:hAnsi="Calibri" w:cs="Calibri"/>
        </w:rPr>
        <w:t xml:space="preserve"> cases into an existing human-in-the-loop framework (Martin et al., 2025b): </w:t>
      </w:r>
      <w:r w:rsidR="00D268A8" w:rsidRPr="00D268A8">
        <w:rPr>
          <w:rFonts w:ascii="Calibri" w:hAnsi="Calibri" w:cs="Calibri"/>
        </w:rPr>
        <w:t xml:space="preserve">each </w:t>
      </w:r>
      <w:r w:rsidR="00D268A8" w:rsidRPr="004224FF">
        <w:rPr>
          <w:rFonts w:ascii="Consolas" w:hAnsi="Consolas" w:cs="Consolas"/>
          <w:sz w:val="18"/>
          <w:szCs w:val="18"/>
        </w:rPr>
        <w:t>AMBIGUOUS</w:t>
      </w:r>
      <w:r w:rsidR="00D268A8" w:rsidRPr="00D268A8">
        <w:rPr>
          <w:rFonts w:ascii="Calibri" w:hAnsi="Calibri" w:cs="Calibri"/>
        </w:rPr>
        <w:t xml:space="preserve"> pair carries the evidence that led to deferral, and confirmed reviewer decisions can later refine precedence rules and signal weights. At the 45 percent deferral rate observed in this pilot, roughly nine in twenty pairs reach the human reviewer; this is a deliberate trade-off, since each deferred pair arrives with a suggested label and full evidence trace rather than being silently absorbed into </w:t>
      </w:r>
      <w:r w:rsidR="00D268A8" w:rsidRPr="004224FF">
        <w:rPr>
          <w:rFonts w:ascii="Consolas" w:hAnsi="Consolas" w:cs="Consolas"/>
          <w:sz w:val="18"/>
          <w:szCs w:val="18"/>
        </w:rPr>
        <w:t>NOT_LINKED</w:t>
      </w:r>
      <w:r w:rsidR="00D268A8" w:rsidRPr="00D268A8">
        <w:rPr>
          <w:rFonts w:ascii="Calibri" w:hAnsi="Calibri" w:cs="Calibri"/>
        </w:rPr>
        <w:t>.</w:t>
      </w:r>
    </w:p>
    <w:p w14:paraId="609ED88C" w14:textId="77777777" w:rsidR="004151A9" w:rsidRDefault="001E0C55" w:rsidP="004151A9">
      <w:pPr>
        <w:spacing w:after="40" w:line="240" w:lineRule="auto"/>
        <w:jc w:val="both"/>
        <w:rPr>
          <w:rFonts w:ascii="Calibri" w:hAnsi="Calibri" w:cs="Calibri"/>
          <w:b/>
          <w:sz w:val="24"/>
          <w:szCs w:val="24"/>
        </w:rPr>
      </w:pPr>
      <w:r w:rsidRPr="00664AEA">
        <w:rPr>
          <w:rFonts w:ascii="Calibri" w:hAnsi="Calibri" w:cs="Calibri"/>
          <w:b/>
          <w:sz w:val="24"/>
          <w:szCs w:val="24"/>
        </w:rPr>
        <w:t>6.</w:t>
      </w:r>
      <w:r w:rsidR="00CA793B" w:rsidRPr="00664AEA">
        <w:rPr>
          <w:rFonts w:ascii="Calibri" w:hAnsi="Calibri" w:cs="Calibri"/>
          <w:b/>
          <w:sz w:val="24"/>
          <w:szCs w:val="24"/>
        </w:rPr>
        <w:t>3</w:t>
      </w:r>
      <w:r w:rsidRPr="00664AEA">
        <w:rPr>
          <w:rFonts w:ascii="Calibri" w:hAnsi="Calibri" w:cs="Calibri"/>
          <w:b/>
          <w:sz w:val="24"/>
          <w:szCs w:val="24"/>
        </w:rPr>
        <w:t xml:space="preserve"> Limitations</w:t>
      </w:r>
    </w:p>
    <w:p w14:paraId="2A375D0D" w14:textId="0CF45C68" w:rsidR="00FA298A" w:rsidRDefault="000534B6" w:rsidP="00FA298A">
      <w:pPr>
        <w:spacing w:after="40" w:line="240" w:lineRule="auto"/>
        <w:jc w:val="both"/>
        <w:rPr>
          <w:rFonts w:ascii="Calibri" w:hAnsi="Calibri" w:cs="Calibri"/>
        </w:rPr>
      </w:pPr>
      <w:r w:rsidRPr="000534B6">
        <w:rPr>
          <w:rFonts w:ascii="Calibri" w:hAnsi="Calibri" w:cs="Calibri"/>
        </w:rPr>
        <w:t xml:space="preserve">The evaluation uses three handover patterns and 20 candidate pairs, an illustrative set rather than a benchmark; </w:t>
      </w:r>
      <w:r w:rsidR="004151A9" w:rsidRPr="004151A9">
        <w:rPr>
          <w:rFonts w:ascii="Calibri" w:hAnsi="Calibri" w:cs="Calibri"/>
        </w:rPr>
        <w:t xml:space="preserve">independent ground-truth validation remains future work; scaling to a benchmark set would require ground-truth annotation across substantially more diverse cross-tool exports with established inter-rater agreement, </w:t>
      </w:r>
      <w:r w:rsidR="004151A9" w:rsidRPr="004151A9">
        <w:rPr>
          <w:rFonts w:ascii="Calibri" w:hAnsi="Calibri" w:cs="Calibri"/>
        </w:rPr>
        <w:lastRenderedPageBreak/>
        <w:t>which is the natural next step for this line of work.</w:t>
      </w:r>
      <w:r w:rsidRPr="000534B6">
        <w:rPr>
          <w:rFonts w:ascii="Calibri" w:hAnsi="Calibri" w:cs="Calibri"/>
        </w:rPr>
        <w:t xml:space="preserve"> The identifier-free mechanism is demonstrated on six cases via two distinct mechanisms (covering-covering aggregation in Pattern 2 and slab-to-precast granularity shift in Pattern 3); broader validation requires more diverse cross-tool exports, especially where floor-label normalization and model-local coordinate translation are insufficient. The four Pattern-3 </w:t>
      </w:r>
      <w:r w:rsidRPr="001D0C68">
        <w:rPr>
          <w:rFonts w:ascii="Consolas" w:hAnsi="Consolas" w:cs="Calibri"/>
          <w:sz w:val="18"/>
          <w:szCs w:val="18"/>
        </w:rPr>
        <w:t>LINKED</w:t>
      </w:r>
      <w:r w:rsidRPr="000534B6">
        <w:rPr>
          <w:rFonts w:ascii="Calibri" w:hAnsi="Calibri" w:cs="Calibri"/>
        </w:rPr>
        <w:t xml:space="preserve"> pairs sit on the precision-deferral boundary at </w:t>
      </w:r>
      <w:r w:rsidR="00CC3178" w:rsidRPr="00CC3178">
        <w:rPr>
          <w:rFonts w:ascii="Calibri" w:hAnsi="Calibri" w:cs="Calibri"/>
        </w:rPr>
        <w:t>confidences 0.55–0.57</w:t>
      </w:r>
      <w:r w:rsidRPr="000534B6">
        <w:rPr>
          <w:rFonts w:ascii="Calibri" w:hAnsi="Calibri" w:cs="Calibri"/>
        </w:rPr>
        <w:t xml:space="preserve">; a 0.02 threshold shift would route them to </w:t>
      </w:r>
      <w:r w:rsidRPr="001D0C68">
        <w:rPr>
          <w:rFonts w:ascii="Consolas" w:hAnsi="Consolas" w:cs="Calibri"/>
          <w:sz w:val="18"/>
          <w:szCs w:val="18"/>
        </w:rPr>
        <w:t>AMBIGUOUS</w:t>
      </w:r>
      <w:r w:rsidRPr="000534B6">
        <w:rPr>
          <w:rFonts w:ascii="Calibri" w:hAnsi="Calibri" w:cs="Calibri"/>
        </w:rPr>
        <w:t xml:space="preserve">, reflecting the fragility of the granularity-shift case. </w:t>
      </w:r>
      <w:r w:rsidR="00CD1F1D" w:rsidRPr="00CD1F1D">
        <w:rPr>
          <w:rFonts w:ascii="Calibri" w:hAnsi="Calibri" w:cs="Calibri"/>
        </w:rPr>
        <w:t>The four outputs are member links within one validated granularity-shift correspondence, not four independent assertions of pairwise identity; restricting the output vocabulary to the 1:1 type would defer them instead, yielding positive coverage 0.50 and a deferral rate of 0.65 on the present ground truth.</w:t>
      </w:r>
      <w:r w:rsidR="00C61C49">
        <w:rPr>
          <w:rFonts w:ascii="Calibri" w:hAnsi="Calibri" w:cs="Calibri"/>
        </w:rPr>
        <w:t xml:space="preserve"> </w:t>
      </w:r>
      <w:r w:rsidRPr="000534B6">
        <w:rPr>
          <w:rFonts w:ascii="Calibri" w:hAnsi="Calibri" w:cs="Calibri"/>
        </w:rPr>
        <w:t xml:space="preserve">Thresholds, weights, peer-volume cap, and granularity-compatible class pairs are conservative design choices, not tuned on results; sensitivity analysis requires a larger annotated dataset. The boundary check aggregates plausible target sets without geometric union computations; this works for the pilot patterns but would need refinement for industrial-scale models. </w:t>
      </w:r>
      <w:r w:rsidR="00FA298A" w:rsidRPr="00FA298A">
        <w:rPr>
          <w:rFonts w:ascii="Calibri" w:hAnsi="Calibri" w:cs="Calibri"/>
        </w:rPr>
        <w:t>Computational scalability and integration into operational BIM and Digital Twin environments also remain to be evaluated before production deployment.</w:t>
      </w:r>
    </w:p>
    <w:p w14:paraId="487C7E11" w14:textId="73724AE2" w:rsidR="0035548D" w:rsidRPr="004B5FFC" w:rsidRDefault="001E0C55" w:rsidP="00FA298A">
      <w:pPr>
        <w:spacing w:after="40" w:line="240" w:lineRule="auto"/>
        <w:jc w:val="both"/>
        <w:rPr>
          <w:rFonts w:ascii="Calibri" w:hAnsi="Calibri" w:cs="Calibri"/>
        </w:rPr>
      </w:pPr>
      <w:r w:rsidRPr="00CA793B">
        <w:rPr>
          <w:rFonts w:ascii="Calibri" w:hAnsi="Calibri" w:cs="Calibri"/>
          <w:b/>
          <w:sz w:val="28"/>
          <w:szCs w:val="24"/>
        </w:rPr>
        <w:t>7. CONCLUSIO</w:t>
      </w:r>
      <w:r w:rsidR="005A5A40">
        <w:rPr>
          <w:rFonts w:ascii="Calibri" w:hAnsi="Calibri" w:cs="Calibri"/>
          <w:b/>
          <w:sz w:val="28"/>
          <w:szCs w:val="24"/>
        </w:rPr>
        <w:t>N</w:t>
      </w:r>
    </w:p>
    <w:p w14:paraId="6AFD40C5" w14:textId="185F885C" w:rsidR="0035548D" w:rsidRPr="004B5FFC" w:rsidRDefault="003F69BF" w:rsidP="001948CF">
      <w:pPr>
        <w:spacing w:after="40" w:line="240" w:lineRule="auto"/>
        <w:ind w:firstLine="851"/>
        <w:jc w:val="both"/>
        <w:rPr>
          <w:rFonts w:ascii="Calibri" w:hAnsi="Calibri" w:cs="Calibri"/>
        </w:rPr>
      </w:pPr>
      <w:r w:rsidRPr="004B5FFC">
        <w:rPr>
          <w:rFonts w:ascii="Calibri" w:hAnsi="Calibri" w:cs="Calibri"/>
        </w:rPr>
        <w:t xml:space="preserve">Reliable AECO information integration depends on referent linkage across stakeholder views, but lexical similarity alone is insufficient. This paper introduces an evidence-based decision model </w:t>
      </w:r>
      <w:r w:rsidR="00E05260" w:rsidRPr="00E05260">
        <w:rPr>
          <w:rFonts w:ascii="Calibri" w:hAnsi="Calibri" w:cs="Calibri"/>
        </w:rPr>
        <w:t>that establishes referent correspondence by aggregating</w:t>
      </w:r>
      <w:r w:rsidRPr="004B5FFC">
        <w:rPr>
          <w:rFonts w:ascii="Calibri" w:hAnsi="Calibri" w:cs="Calibri"/>
        </w:rPr>
        <w:t xml:space="preserve"> persistent identifiers, spatial context, type coherence, and boundary </w:t>
      </w:r>
      <w:r w:rsidR="00BB7FEC">
        <w:rPr>
          <w:rFonts w:ascii="Calibri" w:hAnsi="Calibri" w:cs="Calibri"/>
        </w:rPr>
        <w:t>check</w:t>
      </w:r>
      <w:r w:rsidRPr="004B5FFC">
        <w:rPr>
          <w:rFonts w:ascii="Calibri" w:hAnsi="Calibri" w:cs="Calibri"/>
        </w:rPr>
        <w:t xml:space="preserve">s under precedence rules, subject to a categorical lifecycle-status constraint, </w:t>
      </w:r>
      <w:r w:rsidR="00C61C49" w:rsidRPr="00C61C49">
        <w:rPr>
          <w:rFonts w:ascii="Calibri" w:hAnsi="Calibri" w:cs="Calibri"/>
        </w:rPr>
        <w:t>with class-aware handling of validated 1:n decompositions.</w:t>
      </w:r>
      <w:r w:rsidRPr="004B5FFC">
        <w:rPr>
          <w:rFonts w:ascii="Calibri" w:hAnsi="Calibri" w:cs="Calibri"/>
        </w:rPr>
        <w:t xml:space="preserve"> The model operates as a gating stage before attribute alignment and produces three output classes; deferred cases carry a </w:t>
      </w:r>
      <w:r w:rsidR="00883286">
        <w:rPr>
          <w:rFonts w:ascii="Calibri" w:hAnsi="Calibri" w:cs="Calibri"/>
        </w:rPr>
        <w:t>suggested label</w:t>
      </w:r>
      <w:r w:rsidRPr="004B5FFC">
        <w:rPr>
          <w:rFonts w:ascii="Calibri" w:hAnsi="Calibri" w:cs="Calibri"/>
        </w:rPr>
        <w:t xml:space="preserve"> with confidence. On a</w:t>
      </w:r>
      <w:r w:rsidR="00E77420">
        <w:rPr>
          <w:rFonts w:ascii="Calibri" w:hAnsi="Calibri" w:cs="Calibri"/>
        </w:rPr>
        <w:t>n</w:t>
      </w:r>
      <w:r w:rsidRPr="004B5FFC">
        <w:rPr>
          <w:rFonts w:ascii="Calibri" w:hAnsi="Calibri" w:cs="Calibri"/>
        </w:rPr>
        <w:t xml:space="preserve"> </w:t>
      </w:r>
      <w:r w:rsidR="006E6D74" w:rsidRPr="006E6D74">
        <w:rPr>
          <w:rFonts w:ascii="Calibri" w:hAnsi="Calibri" w:cs="Calibri"/>
        </w:rPr>
        <w:t xml:space="preserve">illustrative set of </w:t>
      </w:r>
      <w:r w:rsidR="00FF1FFA" w:rsidRPr="00FF1FFA">
        <w:rPr>
          <w:rFonts w:ascii="Calibri" w:hAnsi="Calibri" w:cs="Calibri"/>
        </w:rPr>
        <w:t xml:space="preserve">20 candidate pairs across </w:t>
      </w:r>
      <w:r w:rsidR="00764DC9">
        <w:rPr>
          <w:rFonts w:ascii="Calibri" w:hAnsi="Calibri" w:cs="Calibri"/>
        </w:rPr>
        <w:t>3</w:t>
      </w:r>
      <w:r w:rsidR="00FF1FFA" w:rsidRPr="00FF1FFA">
        <w:rPr>
          <w:rFonts w:ascii="Calibri" w:hAnsi="Calibri" w:cs="Calibri"/>
        </w:rPr>
        <w:t xml:space="preserve"> handover patterns, the model produces no unsafe links and recovers all positive cases, including 6 identifier-free </w:t>
      </w:r>
      <w:r w:rsidR="00FF1FFA" w:rsidRPr="000D6DBB">
        <w:rPr>
          <w:rFonts w:ascii="Consolas" w:hAnsi="Consolas" w:cs="Consolas"/>
          <w:sz w:val="18"/>
          <w:szCs w:val="18"/>
        </w:rPr>
        <w:t>LINKED</w:t>
      </w:r>
      <w:r w:rsidR="00FF1FFA" w:rsidRPr="00FF1FFA">
        <w:rPr>
          <w:rFonts w:ascii="Calibri" w:hAnsi="Calibri" w:cs="Calibri"/>
        </w:rPr>
        <w:t xml:space="preserve"> cases reached through aggregated evidence: </w:t>
      </w:r>
      <w:r w:rsidR="00E6395E" w:rsidRPr="00E6395E">
        <w:rPr>
          <w:rFonts w:ascii="Calibri" w:hAnsi="Calibri" w:cs="Calibri"/>
        </w:rPr>
        <w:t>2 covering-covering matches and 4 member links in a validated 1:n precast decomposition.</w:t>
      </w:r>
      <w:r w:rsidRPr="004B5FFC">
        <w:rPr>
          <w:rFonts w:ascii="Calibri" w:hAnsi="Calibri" w:cs="Calibri"/>
        </w:rPr>
        <w:t xml:space="preserve"> </w:t>
      </w:r>
      <w:bookmarkStart w:id="1" w:name="OLE_LINK2"/>
      <w:r w:rsidR="00FF1FFA">
        <w:rPr>
          <w:rFonts w:ascii="Calibri" w:hAnsi="Calibri" w:cs="Calibri"/>
        </w:rPr>
        <w:t>45%</w:t>
      </w:r>
      <w:r w:rsidRPr="004B5FFC">
        <w:rPr>
          <w:rFonts w:ascii="Calibri" w:hAnsi="Calibri" w:cs="Calibri"/>
        </w:rPr>
        <w:t xml:space="preserve"> of candidate pairs are deferred for review; on the annotated subset, every </w:t>
      </w:r>
      <w:r w:rsidR="00883286">
        <w:rPr>
          <w:rFonts w:ascii="Calibri" w:hAnsi="Calibri" w:cs="Calibri"/>
        </w:rPr>
        <w:t>suggested label</w:t>
      </w:r>
      <w:r w:rsidRPr="004B5FFC">
        <w:rPr>
          <w:rFonts w:ascii="Calibri" w:hAnsi="Calibri" w:cs="Calibri"/>
        </w:rPr>
        <w:t xml:space="preserve"> matches </w:t>
      </w:r>
      <w:r w:rsidR="00FF1FFA">
        <w:rPr>
          <w:rFonts w:ascii="Calibri" w:hAnsi="Calibri" w:cs="Calibri"/>
        </w:rPr>
        <w:t xml:space="preserve">the </w:t>
      </w:r>
      <w:r w:rsidRPr="004B5FFC">
        <w:rPr>
          <w:rFonts w:ascii="Calibri" w:hAnsi="Calibri" w:cs="Calibri"/>
        </w:rPr>
        <w:t xml:space="preserve">ground truth. </w:t>
      </w:r>
      <w:bookmarkEnd w:id="1"/>
      <w:r w:rsidRPr="004B5FFC">
        <w:rPr>
          <w:rFonts w:ascii="Calibri" w:hAnsi="Calibri" w:cs="Calibri"/>
        </w:rPr>
        <w:t xml:space="preserve">The contribution is </w:t>
      </w:r>
      <w:r w:rsidR="006E6D74" w:rsidRPr="006E6D74">
        <w:rPr>
          <w:rFonts w:ascii="Calibri" w:hAnsi="Calibri" w:cs="Calibri"/>
        </w:rPr>
        <w:t>auditable automation</w:t>
      </w:r>
      <w:r w:rsidRPr="004B5FFC">
        <w:rPr>
          <w:rFonts w:ascii="Calibri" w:hAnsi="Calibri" w:cs="Calibri"/>
        </w:rPr>
        <w:t xml:space="preserve">: explicit evidence aggregation reduces unsafe links, and </w:t>
      </w:r>
      <w:r w:rsidR="00110A2C" w:rsidRPr="00110A2C">
        <w:rPr>
          <w:rFonts w:ascii="Calibri" w:hAnsi="Calibri" w:cs="Calibri"/>
        </w:rPr>
        <w:t>deferral with the associated confidence makes</w:t>
      </w:r>
      <w:r w:rsidRPr="004B5FFC">
        <w:rPr>
          <w:rFonts w:ascii="Calibri" w:hAnsi="Calibri" w:cs="Calibri"/>
        </w:rPr>
        <w:t xml:space="preserve"> unresolved cases visible and auditable. Together with our earlier work on attribute-level matching (Martin et al., 2025a) and cross-view mapping types (Martin et al., 2026), the model closes a referent-level step that must precede reliable cross-view integration.</w:t>
      </w:r>
    </w:p>
    <w:p w14:paraId="10AAA34E" w14:textId="77777777" w:rsidR="0035548D" w:rsidRPr="00CA793B" w:rsidRDefault="001E0C55" w:rsidP="00F43998">
      <w:pPr>
        <w:spacing w:before="80" w:after="20" w:line="240" w:lineRule="auto"/>
        <w:ind w:left="357"/>
        <w:rPr>
          <w:rFonts w:ascii="Calibri" w:hAnsi="Calibri" w:cs="Calibri"/>
          <w:sz w:val="24"/>
          <w:szCs w:val="24"/>
        </w:rPr>
      </w:pPr>
      <w:r w:rsidRPr="00CA793B">
        <w:rPr>
          <w:rFonts w:ascii="Calibri" w:hAnsi="Calibri" w:cs="Calibri"/>
          <w:b/>
          <w:sz w:val="28"/>
          <w:szCs w:val="24"/>
        </w:rPr>
        <w:t>ACKNOWLEDGEMENTS</w:t>
      </w:r>
    </w:p>
    <w:p w14:paraId="374B1397" w14:textId="047A4399" w:rsidR="001948CF" w:rsidRPr="004B5FFC" w:rsidRDefault="002B5813" w:rsidP="00F43998">
      <w:pPr>
        <w:spacing w:before="80" w:after="20" w:line="240" w:lineRule="auto"/>
        <w:ind w:firstLine="851"/>
        <w:rPr>
          <w:rFonts w:ascii="Calibri" w:hAnsi="Calibri" w:cs="Calibri"/>
          <w:szCs w:val="28"/>
        </w:rPr>
      </w:pPr>
      <w:r w:rsidRPr="004B5FFC">
        <w:rPr>
          <w:rFonts w:ascii="Calibri" w:hAnsi="Calibri" w:cs="Calibri"/>
          <w:szCs w:val="28"/>
        </w:rPr>
        <w:t>This research was supported by the Nemetschek Innovation Foundation and benefited from collaboration within the DiziPro project, funded by the German Federal Ministry of Research, Technology</w:t>
      </w:r>
      <w:r w:rsidR="00AE3FBE" w:rsidRPr="004B5FFC">
        <w:rPr>
          <w:rFonts w:ascii="Calibri" w:hAnsi="Calibri" w:cs="Calibri"/>
          <w:szCs w:val="28"/>
        </w:rPr>
        <w:t>,</w:t>
      </w:r>
      <w:r w:rsidRPr="004B5FFC">
        <w:rPr>
          <w:rFonts w:ascii="Calibri" w:hAnsi="Calibri" w:cs="Calibri"/>
          <w:szCs w:val="28"/>
        </w:rPr>
        <w:t xml:space="preserve"> and Space (BMFTR) through the GreenTech Innovationswettbewerb under the program </w:t>
      </w:r>
      <w:r w:rsidRPr="0094581D">
        <w:rPr>
          <w:rFonts w:ascii="Calibri" w:hAnsi="Calibri" w:cs="Calibri"/>
          <w:i/>
          <w:iCs/>
          <w:szCs w:val="28"/>
        </w:rPr>
        <w:t>“Entwicklung digitaler Technologien”</w:t>
      </w:r>
      <w:r w:rsidRPr="004B5FFC">
        <w:rPr>
          <w:rFonts w:ascii="Calibri" w:hAnsi="Calibri" w:cs="Calibri"/>
          <w:szCs w:val="28"/>
        </w:rPr>
        <w:t>.</w:t>
      </w:r>
    </w:p>
    <w:p w14:paraId="4063DFB7" w14:textId="3A86DFD1" w:rsidR="0035548D" w:rsidRPr="00CA793B" w:rsidRDefault="001E0C55" w:rsidP="00F43998">
      <w:pPr>
        <w:spacing w:before="80" w:after="20" w:line="240" w:lineRule="auto"/>
        <w:ind w:left="357"/>
        <w:rPr>
          <w:rFonts w:ascii="Calibri" w:hAnsi="Calibri" w:cs="Calibri"/>
          <w:b/>
          <w:sz w:val="28"/>
          <w:szCs w:val="24"/>
        </w:rPr>
      </w:pPr>
      <w:r w:rsidRPr="00CA793B">
        <w:rPr>
          <w:rFonts w:ascii="Calibri" w:hAnsi="Calibri" w:cs="Calibri"/>
          <w:b/>
          <w:sz w:val="28"/>
          <w:szCs w:val="24"/>
        </w:rPr>
        <w:t>REFERENCES</w:t>
      </w:r>
    </w:p>
    <w:p w14:paraId="1EC119BD" w14:textId="77777777" w:rsidR="0035548D" w:rsidRDefault="001E0C55">
      <w:pPr>
        <w:spacing w:after="0" w:line="240" w:lineRule="auto"/>
        <w:ind w:left="283" w:hanging="283"/>
        <w:rPr>
          <w:rFonts w:ascii="Calibri" w:hAnsi="Calibri" w:cs="Calibri"/>
        </w:rPr>
      </w:pPr>
      <w:r w:rsidRPr="005F1C3B">
        <w:rPr>
          <w:rFonts w:ascii="Calibri" w:hAnsi="Calibri" w:cs="Calibri"/>
        </w:rPr>
        <w:t>Akbas, E., Bolpagni, M., Borrmann, A., Boeykens, S., Mellenthin Filardo, M., Liu, L. and Beetz, J. (2025). A holistic approach to information requirements: Integration of level of information need and information delivery specification. Journal of Information Technology in Construction (ITcon), 30, pp. 731–744. DOI: 10.36680/j.itcon.2025.030.</w:t>
      </w:r>
    </w:p>
    <w:p w14:paraId="4175CB35" w14:textId="518232EF" w:rsidR="00CC3178" w:rsidRPr="005F1C3B" w:rsidRDefault="00CC3178" w:rsidP="00CC3178">
      <w:pPr>
        <w:spacing w:after="0" w:line="240" w:lineRule="auto"/>
        <w:ind w:left="283" w:hanging="283"/>
        <w:rPr>
          <w:rFonts w:ascii="Calibri" w:hAnsi="Calibri" w:cs="Calibri"/>
        </w:rPr>
      </w:pPr>
      <w:r w:rsidRPr="005F1C3B">
        <w:rPr>
          <w:rFonts w:ascii="Calibri" w:hAnsi="Calibri" w:cs="Calibri"/>
        </w:rPr>
        <w:t>Beck, F., Abualdenien, J. and Borrmann, A. (2021). An evaluation of the strict meaning of owl:sameAs in the field of BIM GIS Integration. In Proceedings of the 9th Linked Data in Architecture and Construction Workshop (LDAC 2021), CEUR Workshop Proceedings, Vol. 3081, pp. 154–165.</w:t>
      </w:r>
    </w:p>
    <w:p w14:paraId="71052A92" w14:textId="77777777" w:rsidR="0035548D" w:rsidRPr="005F1C3B" w:rsidRDefault="001E0C55">
      <w:pPr>
        <w:spacing w:after="0" w:line="240" w:lineRule="auto"/>
        <w:ind w:left="283" w:hanging="283"/>
        <w:rPr>
          <w:rFonts w:ascii="Calibri" w:hAnsi="Calibri" w:cs="Calibri"/>
        </w:rPr>
      </w:pPr>
      <w:r w:rsidRPr="005F1C3B">
        <w:rPr>
          <w:rFonts w:ascii="Calibri" w:hAnsi="Calibri" w:cs="Calibri"/>
        </w:rPr>
        <w:t>Beck, S.F. (2023). Context-sensitive linking of heterogeneous information models from the building and the urban domain. Doctoral dissertation, Technical University of Munich.</w:t>
      </w:r>
    </w:p>
    <w:p w14:paraId="02A5E7D6" w14:textId="77777777" w:rsidR="0035548D" w:rsidRPr="005F1C3B" w:rsidRDefault="001E0C55">
      <w:pPr>
        <w:spacing w:after="0" w:line="240" w:lineRule="auto"/>
        <w:ind w:left="283" w:hanging="283"/>
        <w:rPr>
          <w:rFonts w:ascii="Calibri" w:hAnsi="Calibri" w:cs="Calibri"/>
        </w:rPr>
      </w:pPr>
      <w:r w:rsidRPr="005F1C3B">
        <w:rPr>
          <w:rFonts w:ascii="Calibri" w:hAnsi="Calibri" w:cs="Calibri"/>
        </w:rPr>
        <w:t>Bloch, T. (2022). Connecting research on semantic enrichment of BIM: Review of approaches, methods and possible applications. Journal of Information Technology in Construction (ITcon), 27, pp. 416–440. DOI: 10.36680/j.itcon.2022.020.</w:t>
      </w:r>
    </w:p>
    <w:p w14:paraId="31BBA521" w14:textId="77777777" w:rsidR="0035548D" w:rsidRPr="005F1C3B" w:rsidRDefault="001E0C55">
      <w:pPr>
        <w:spacing w:after="0" w:line="240" w:lineRule="auto"/>
        <w:ind w:left="283" w:hanging="283"/>
        <w:rPr>
          <w:rFonts w:ascii="Calibri" w:hAnsi="Calibri" w:cs="Calibri"/>
        </w:rPr>
      </w:pPr>
      <w:r w:rsidRPr="005F1C3B">
        <w:rPr>
          <w:rFonts w:ascii="Calibri" w:hAnsi="Calibri" w:cs="Calibri"/>
        </w:rPr>
        <w:lastRenderedPageBreak/>
        <w:t>buildingSMART International (2024). Information Delivery Specification (IDS). Available at: https://www.buildingsmart.org/standards/bsi-standards/information-delivery-specification-ids/ [Accessed 20 May 2026].</w:t>
      </w:r>
    </w:p>
    <w:p w14:paraId="06BAB929" w14:textId="77777777" w:rsidR="0035548D" w:rsidRPr="005F1C3B" w:rsidRDefault="001E0C55">
      <w:pPr>
        <w:spacing w:after="0" w:line="240" w:lineRule="auto"/>
        <w:ind w:left="283" w:hanging="283"/>
        <w:rPr>
          <w:rFonts w:ascii="Calibri" w:hAnsi="Calibri" w:cs="Calibri"/>
        </w:rPr>
      </w:pPr>
      <w:r w:rsidRPr="005F1C3B">
        <w:rPr>
          <w:rFonts w:ascii="Calibri" w:hAnsi="Calibri" w:cs="Calibri"/>
        </w:rPr>
        <w:t>Christen, P. (2012). Data Matching: Concepts and Techniques for Record Linkage, Entity Resolution, and Duplicate Detection. Berlin: Springer.</w:t>
      </w:r>
    </w:p>
    <w:p w14:paraId="445E2007" w14:textId="77777777" w:rsidR="0035548D" w:rsidRPr="005F1C3B" w:rsidRDefault="001E0C55">
      <w:pPr>
        <w:spacing w:after="0" w:line="240" w:lineRule="auto"/>
        <w:ind w:left="283" w:hanging="283"/>
        <w:rPr>
          <w:rFonts w:ascii="Calibri" w:hAnsi="Calibri" w:cs="Calibri"/>
        </w:rPr>
      </w:pPr>
      <w:r w:rsidRPr="005F1C3B">
        <w:rPr>
          <w:rFonts w:ascii="Calibri" w:hAnsi="Calibri" w:cs="Calibri"/>
        </w:rPr>
        <w:t>Euzenat, J. and Shvaiko, P. (2013). Ontology Matching. 2nd ed. Berlin Heidelberg: Springer.</w:t>
      </w:r>
    </w:p>
    <w:p w14:paraId="69FF86FB" w14:textId="77777777" w:rsidR="0035548D" w:rsidRPr="005F1C3B" w:rsidRDefault="001E0C55">
      <w:pPr>
        <w:spacing w:after="0" w:line="240" w:lineRule="auto"/>
        <w:ind w:left="283" w:hanging="283"/>
        <w:rPr>
          <w:rFonts w:ascii="Calibri" w:hAnsi="Calibri" w:cs="Calibri"/>
        </w:rPr>
      </w:pPr>
      <w:r w:rsidRPr="00B63DE7">
        <w:rPr>
          <w:rFonts w:ascii="Calibri" w:hAnsi="Calibri" w:cs="Calibri"/>
          <w:lang w:val="de-DE"/>
        </w:rPr>
        <w:t xml:space="preserve">Fischer, S., Urban, H., Schranz, C., Loibl, P. and van Berlo, L. (2024). </w:t>
      </w:r>
      <w:r w:rsidRPr="005F1C3B">
        <w:rPr>
          <w:rFonts w:ascii="Calibri" w:hAnsi="Calibri" w:cs="Calibri"/>
        </w:rPr>
        <w:t>Extending information delivery specifications for digital building permit requirements. Developments in the Built Environment, 20, 100560. DOI: 10.1016/j.dibe.2024.100560.</w:t>
      </w:r>
    </w:p>
    <w:p w14:paraId="0AEA2E3E" w14:textId="77777777" w:rsidR="0035548D" w:rsidRPr="005F1C3B" w:rsidRDefault="001E0C55">
      <w:pPr>
        <w:spacing w:after="0" w:line="240" w:lineRule="auto"/>
        <w:ind w:left="283" w:hanging="283"/>
        <w:rPr>
          <w:rFonts w:ascii="Calibri" w:hAnsi="Calibri" w:cs="Calibri"/>
        </w:rPr>
      </w:pPr>
      <w:r w:rsidRPr="005F1C3B">
        <w:rPr>
          <w:rFonts w:ascii="Calibri" w:hAnsi="Calibri" w:cs="Calibri"/>
        </w:rPr>
        <w:t>FMI (2021). Harnessing the data advantage in engineering and construction. Industry report. FMI Corp.</w:t>
      </w:r>
    </w:p>
    <w:p w14:paraId="54FCB8F2" w14:textId="77777777" w:rsidR="0035548D" w:rsidRPr="005F1C3B" w:rsidRDefault="001E0C55">
      <w:pPr>
        <w:spacing w:after="0" w:line="240" w:lineRule="auto"/>
        <w:ind w:left="283" w:hanging="283"/>
        <w:rPr>
          <w:rFonts w:ascii="Calibri" w:hAnsi="Calibri" w:cs="Calibri"/>
        </w:rPr>
      </w:pPr>
      <w:r w:rsidRPr="005F1C3B">
        <w:rPr>
          <w:rFonts w:ascii="Calibri" w:hAnsi="Calibri" w:cs="Calibri"/>
        </w:rPr>
        <w:t>Kremer, N. and Beetz, J. (2023). Extending information delivery specification for linking distributed model checking services. In Proceedings of the 2023 European Conference on Computing in Construction (EC3 2023) and the 40th International CIB W78 Conference, Heraklion, Crete, Greece. DOI: 10.35490/EC3.2023.266.</w:t>
      </w:r>
    </w:p>
    <w:p w14:paraId="7E4FED22" w14:textId="77777777" w:rsidR="0035548D" w:rsidRPr="005F1C3B" w:rsidRDefault="001E0C55">
      <w:pPr>
        <w:spacing w:after="0" w:line="240" w:lineRule="auto"/>
        <w:ind w:left="283" w:hanging="283"/>
        <w:rPr>
          <w:rFonts w:ascii="Calibri" w:hAnsi="Calibri" w:cs="Calibri"/>
        </w:rPr>
      </w:pPr>
      <w:r w:rsidRPr="005F1C3B">
        <w:rPr>
          <w:rFonts w:ascii="Calibri" w:hAnsi="Calibri" w:cs="Calibri"/>
        </w:rPr>
        <w:t>Martin, J., Preidel, C., Vilgertshofer, S. and Borrmann, A. (2025a). Enhancing construction data integration through dynamic ontology alignment and automated attribute mapping. In Proceedings of the 2025 European Conference on Computing in Construction (EC3) and CIB W78 Conference, Porto, Portugal. DOI: 10.35490/EC3.2025.250.</w:t>
      </w:r>
    </w:p>
    <w:p w14:paraId="5B492DA8" w14:textId="77777777" w:rsidR="0035548D" w:rsidRPr="005F1C3B" w:rsidRDefault="001E0C55">
      <w:pPr>
        <w:spacing w:after="0" w:line="240" w:lineRule="auto"/>
        <w:ind w:left="283" w:hanging="283"/>
        <w:rPr>
          <w:rFonts w:ascii="Calibri" w:hAnsi="Calibri" w:cs="Calibri"/>
        </w:rPr>
      </w:pPr>
      <w:r w:rsidRPr="005F1C3B">
        <w:rPr>
          <w:rFonts w:ascii="Calibri" w:hAnsi="Calibri" w:cs="Calibri"/>
        </w:rPr>
        <w:t>Martin, J., Weilbach-Eyüboglu, T. and Dalvi, V.G. (2025b). Overcoming stakeholder knowledge gaps: A HITL-oriented ontology mapping framework for the construction industry. In Proceedings of the 36th Forum Bauinformatik 2025, Aachen, Germany, pp. 107–114. DOI: 10.18154/RWTH-CONV-254909.</w:t>
      </w:r>
    </w:p>
    <w:p w14:paraId="3E7DBEA4" w14:textId="77777777" w:rsidR="00341F61" w:rsidRDefault="00341F61">
      <w:pPr>
        <w:spacing w:after="0" w:line="240" w:lineRule="auto"/>
        <w:ind w:left="283" w:hanging="283"/>
        <w:rPr>
          <w:rFonts w:ascii="Calibri" w:hAnsi="Calibri" w:cs="Calibri"/>
        </w:rPr>
      </w:pPr>
      <w:r w:rsidRPr="00341F61">
        <w:rPr>
          <w:rFonts w:ascii="Calibri" w:hAnsi="Calibri" w:cs="Calibri"/>
        </w:rPr>
        <w:t>Martin, J., Preidel, C., Vilgertshofer, S. and Borrmann, A. (2026). Aligning heterogeneous views: Stakeholder terminology and multi-level mappings in the AEC industry. In Proceedings of the 2026 European Conference on Computing in Construction (EC3), Corfu, Greece. DOI: 10.35490/EC3.2026.278.</w:t>
      </w:r>
    </w:p>
    <w:p w14:paraId="6489A8EC" w14:textId="4E055AEB" w:rsidR="0035548D" w:rsidRPr="005F1C3B" w:rsidRDefault="001E0C55">
      <w:pPr>
        <w:spacing w:after="0" w:line="240" w:lineRule="auto"/>
        <w:ind w:left="283" w:hanging="283"/>
        <w:rPr>
          <w:rFonts w:ascii="Calibri" w:hAnsi="Calibri" w:cs="Calibri"/>
        </w:rPr>
      </w:pPr>
      <w:r w:rsidRPr="005F1C3B">
        <w:rPr>
          <w:rFonts w:ascii="Calibri" w:hAnsi="Calibri" w:cs="Calibri"/>
        </w:rPr>
        <w:t>Ozturk, G.B. (2020). Interoperability in building information modeling for AECO/FM industry. Automation in Construction, 113, 103122. DOI: 10.1016/j.autcon.2020.103122.</w:t>
      </w:r>
    </w:p>
    <w:p w14:paraId="102242B9" w14:textId="77777777" w:rsidR="0035548D" w:rsidRPr="005F1C3B" w:rsidRDefault="001E0C55">
      <w:pPr>
        <w:spacing w:after="0" w:line="240" w:lineRule="auto"/>
        <w:ind w:left="283" w:hanging="283"/>
        <w:rPr>
          <w:rFonts w:ascii="Calibri" w:hAnsi="Calibri" w:cs="Calibri"/>
        </w:rPr>
      </w:pPr>
      <w:r w:rsidRPr="005F1C3B">
        <w:rPr>
          <w:rFonts w:ascii="Calibri" w:hAnsi="Calibri" w:cs="Calibri"/>
        </w:rPr>
        <w:t>Pauwels, P. and Terkaj, W. (2016). EXPRESS to OWL for construction industry: Towards a recommendable and usable ifcOWL ontology. Automation in Construction, 63, pp. 100–133. DOI: 10.1016/j.autcon.2015.12.003.</w:t>
      </w:r>
    </w:p>
    <w:p w14:paraId="0D6676A5" w14:textId="77777777" w:rsidR="0035548D" w:rsidRPr="005F1C3B" w:rsidRDefault="001E0C55">
      <w:pPr>
        <w:spacing w:after="0" w:line="240" w:lineRule="auto"/>
        <w:ind w:left="283" w:hanging="283"/>
        <w:rPr>
          <w:rFonts w:ascii="Calibri" w:hAnsi="Calibri" w:cs="Calibri"/>
        </w:rPr>
      </w:pPr>
      <w:r w:rsidRPr="005F1C3B">
        <w:rPr>
          <w:rFonts w:ascii="Calibri" w:hAnsi="Calibri" w:cs="Calibri"/>
        </w:rPr>
        <w:t>Pauwels, P., Zhang, S. and Lee, Y.-C. (2017). Semantic web technologies in AEC industry: A literature overview. Automation in Construction, 73, pp. 145–165. DOI: 10.1016/j.autcon.2016.10.003.</w:t>
      </w:r>
    </w:p>
    <w:p w14:paraId="2EE25DB3" w14:textId="77777777" w:rsidR="0035548D" w:rsidRPr="005F1C3B" w:rsidRDefault="001E0C55">
      <w:pPr>
        <w:spacing w:after="0" w:line="240" w:lineRule="auto"/>
        <w:ind w:left="283" w:hanging="283"/>
        <w:rPr>
          <w:rFonts w:ascii="Calibri" w:hAnsi="Calibri" w:cs="Calibri"/>
        </w:rPr>
      </w:pPr>
      <w:r w:rsidRPr="005F1C3B">
        <w:rPr>
          <w:rFonts w:ascii="Calibri" w:hAnsi="Calibri" w:cs="Calibri"/>
        </w:rPr>
        <w:t>Ramonell, C., Chacón, R. and Posada, H. (2023). Knowledge graph-based data integration system for digital twins of built assets. Automation in Construction, 156, 105109. DOI: 10.1016/j.autcon.2023.105109.</w:t>
      </w:r>
    </w:p>
    <w:p w14:paraId="3D3179FD" w14:textId="4B8F94DD" w:rsidR="0035548D" w:rsidRPr="005F1C3B" w:rsidRDefault="001E0C55">
      <w:pPr>
        <w:spacing w:after="0" w:line="240" w:lineRule="auto"/>
        <w:ind w:left="283" w:hanging="283"/>
        <w:rPr>
          <w:rFonts w:ascii="Calibri" w:hAnsi="Calibri" w:cs="Calibri"/>
        </w:rPr>
      </w:pPr>
      <w:r w:rsidRPr="005F1C3B">
        <w:rPr>
          <w:rFonts w:ascii="Calibri" w:hAnsi="Calibri" w:cs="Calibri"/>
        </w:rPr>
        <w:t>Rasmussen, M.H., Lefrançois, M., Schneider, G.F. and Pauwels, P. (202</w:t>
      </w:r>
      <w:r w:rsidR="00162F7A">
        <w:rPr>
          <w:rFonts w:ascii="Calibri" w:hAnsi="Calibri" w:cs="Calibri"/>
        </w:rPr>
        <w:t>1</w:t>
      </w:r>
      <w:r w:rsidRPr="005F1C3B">
        <w:rPr>
          <w:rFonts w:ascii="Calibri" w:hAnsi="Calibri" w:cs="Calibri"/>
        </w:rPr>
        <w:t>). BOT: The Building Topology Ontology of the W3C Linked Building Data Group. Semantic Web, 12(1), pp. 143–161. DOI: 10.3233/SW-200385.</w:t>
      </w:r>
    </w:p>
    <w:p w14:paraId="2E21B035" w14:textId="77777777" w:rsidR="0035548D" w:rsidRDefault="001E0C55">
      <w:pPr>
        <w:spacing w:after="0" w:line="240" w:lineRule="auto"/>
        <w:ind w:left="283" w:hanging="283"/>
        <w:rPr>
          <w:rFonts w:ascii="Calibri" w:hAnsi="Calibri" w:cs="Calibri"/>
        </w:rPr>
      </w:pPr>
      <w:r w:rsidRPr="005F1C3B">
        <w:rPr>
          <w:rFonts w:ascii="Calibri" w:hAnsi="Calibri" w:cs="Calibri"/>
        </w:rPr>
        <w:t>Thiéblin, É., Haemmerlé, O., Hernandez, N. and Trojahn, C. (2020). Survey on complex ontology matching. Semantic Web, 11(4), pp. 689–727. DOI: 10.3233/SW-190366.</w:t>
      </w:r>
    </w:p>
    <w:p w14:paraId="3F70D7EF" w14:textId="017D9E3E" w:rsidR="00206832" w:rsidRPr="005F1C3B" w:rsidRDefault="00206832" w:rsidP="00206832">
      <w:pPr>
        <w:spacing w:after="0" w:line="240" w:lineRule="auto"/>
        <w:ind w:left="283" w:hanging="283"/>
        <w:rPr>
          <w:rFonts w:ascii="Calibri" w:hAnsi="Calibri" w:cs="Calibri"/>
        </w:rPr>
      </w:pPr>
      <w:r w:rsidRPr="00206832">
        <w:rPr>
          <w:rFonts w:ascii="Calibri" w:hAnsi="Calibri" w:cs="Calibri"/>
        </w:rPr>
        <w:t>Vehovec, Ž. (2025). Tracking and Restoring IFC Identifiers in Cross-Platform BIM Workflows. Master thesis, BIM A+ European Master in Building Information Modelling, University of Ljubljana.</w:t>
      </w:r>
    </w:p>
    <w:p w14:paraId="5D71BE2A" w14:textId="77777777" w:rsidR="0035548D" w:rsidRPr="005F1C3B" w:rsidRDefault="001E0C55">
      <w:pPr>
        <w:spacing w:after="0" w:line="240" w:lineRule="auto"/>
        <w:ind w:left="283" w:hanging="283"/>
        <w:rPr>
          <w:rFonts w:ascii="Calibri" w:hAnsi="Calibri" w:cs="Calibri"/>
        </w:rPr>
      </w:pPr>
      <w:r w:rsidRPr="00B63DE7">
        <w:rPr>
          <w:rFonts w:ascii="Calibri" w:hAnsi="Calibri" w:cs="Calibri"/>
          <w:lang w:val="de-DE"/>
        </w:rPr>
        <w:t xml:space="preserve">Vilgertshofer, S., Amann, J., Willenborg, B., Borrmann, A. and Kolbe, T.H. (2017). </w:t>
      </w:r>
      <w:r w:rsidRPr="005F1C3B">
        <w:rPr>
          <w:rFonts w:ascii="Calibri" w:hAnsi="Calibri" w:cs="Calibri"/>
        </w:rPr>
        <w:t>Linking BIM and GIS models in infrastructure by example of IFC and CityGML. In Computing in Civil Engineering 2017. Reston, VA: ASCE, pp. 133–140.</w:t>
      </w:r>
    </w:p>
    <w:p w14:paraId="6F993416" w14:textId="77777777" w:rsidR="0035548D" w:rsidRPr="005F1C3B" w:rsidRDefault="001E0C55">
      <w:pPr>
        <w:spacing w:after="0" w:line="240" w:lineRule="auto"/>
        <w:ind w:left="283" w:hanging="283"/>
        <w:rPr>
          <w:rFonts w:ascii="Calibri" w:hAnsi="Calibri" w:cs="Calibri"/>
        </w:rPr>
      </w:pPr>
      <w:r w:rsidRPr="005F1C3B">
        <w:rPr>
          <w:rFonts w:ascii="Calibri" w:hAnsi="Calibri" w:cs="Calibri"/>
        </w:rPr>
        <w:t>Wang, Z., Sacks, R., Ouyang, B., Ying, H. and Borrmann, A. (2024). A framework for generic semantic enrichment of BIM models. Journal of Computing in Civil Engineering, 38(1), 04023038. DOI: 10.1061/JCCEE5.CPENG-5487.</w:t>
      </w:r>
    </w:p>
    <w:p w14:paraId="6370203C" w14:textId="77777777" w:rsidR="0035548D" w:rsidRPr="005F1C3B" w:rsidRDefault="001E0C55">
      <w:pPr>
        <w:spacing w:after="0" w:line="240" w:lineRule="auto"/>
        <w:ind w:left="283" w:hanging="283"/>
        <w:rPr>
          <w:rFonts w:ascii="Calibri" w:hAnsi="Calibri" w:cs="Calibri"/>
        </w:rPr>
      </w:pPr>
      <w:r w:rsidRPr="005F1C3B">
        <w:rPr>
          <w:rFonts w:ascii="Calibri" w:hAnsi="Calibri" w:cs="Calibri"/>
        </w:rPr>
        <w:t>Zheng, Y., Törmä, S. and Seppänen, O. (2021). A shared ontology suite for digital construction workflow. Automation in Construction, 132, 103930. DOI: 10.1016/j.autcon.2021.103930.</w:t>
      </w:r>
      <w:bookmarkEnd w:id="0"/>
    </w:p>
    <w:sectPr w:rsidR="0035548D" w:rsidRPr="005F1C3B">
      <w:headerReference w:type="default" r:id="rId17"/>
      <w:footerReference w:type="default" r:id="rId18"/>
      <w:pgSz w:w="11906" w:h="16838"/>
      <w:pgMar w:top="1020" w:right="1020" w:bottom="1020" w:left="10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9A7D4" w14:textId="77777777" w:rsidR="00A652D6" w:rsidRDefault="00A652D6" w:rsidP="005076E1">
      <w:pPr>
        <w:spacing w:after="0" w:line="240" w:lineRule="auto"/>
      </w:pPr>
      <w:r>
        <w:separator/>
      </w:r>
    </w:p>
  </w:endnote>
  <w:endnote w:type="continuationSeparator" w:id="0">
    <w:p w14:paraId="5F7000EA" w14:textId="77777777" w:rsidR="00A652D6" w:rsidRDefault="00A652D6"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uzeile"/>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uzeile"/>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42B5D" w14:textId="77777777" w:rsidR="00A652D6" w:rsidRDefault="00A652D6" w:rsidP="005076E1">
      <w:pPr>
        <w:spacing w:after="0" w:line="240" w:lineRule="auto"/>
      </w:pPr>
      <w:r>
        <w:separator/>
      </w:r>
    </w:p>
  </w:footnote>
  <w:footnote w:type="continuationSeparator" w:id="0">
    <w:p w14:paraId="1B895053" w14:textId="77777777" w:rsidR="00A652D6" w:rsidRDefault="00A652D6"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Kopfzeile"/>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Kopfzeile"/>
      <w:jc w:val="center"/>
      <w:rPr>
        <w:sz w:val="28"/>
        <w:szCs w:val="28"/>
      </w:rPr>
    </w:pPr>
    <w:r w:rsidRPr="00A93F99">
      <w:rPr>
        <w:sz w:val="28"/>
        <w:szCs w:val="28"/>
      </w:rPr>
      <w:t>IT in Construction</w:t>
    </w:r>
  </w:p>
  <w:p w14:paraId="076529DD" w14:textId="77777777" w:rsidR="005076E1" w:rsidRPr="00F3628B" w:rsidRDefault="005076E1" w:rsidP="005076E1">
    <w:pPr>
      <w:pStyle w:val="Kopfzeile"/>
      <w:jc w:val="center"/>
      <w:rPr>
        <w:sz w:val="28"/>
        <w:szCs w:val="28"/>
      </w:rPr>
    </w:pPr>
    <w:r>
      <w:rPr>
        <w:sz w:val="28"/>
        <w:szCs w:val="28"/>
      </w:rPr>
      <w:t>New Delhi, India</w:t>
    </w:r>
  </w:p>
  <w:p w14:paraId="47C5E8E2" w14:textId="77777777" w:rsidR="005076E1" w:rsidRPr="005076E1" w:rsidRDefault="005076E1" w:rsidP="005076E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159F"/>
    <w:rsid w:val="000024E6"/>
    <w:rsid w:val="000053DA"/>
    <w:rsid w:val="00011C05"/>
    <w:rsid w:val="00036587"/>
    <w:rsid w:val="00040B8F"/>
    <w:rsid w:val="000534B6"/>
    <w:rsid w:val="000539D7"/>
    <w:rsid w:val="00053FE9"/>
    <w:rsid w:val="00060EEC"/>
    <w:rsid w:val="00064C35"/>
    <w:rsid w:val="00066DC6"/>
    <w:rsid w:val="00072AB9"/>
    <w:rsid w:val="0007372B"/>
    <w:rsid w:val="000830DD"/>
    <w:rsid w:val="00091BC1"/>
    <w:rsid w:val="00094713"/>
    <w:rsid w:val="00097547"/>
    <w:rsid w:val="000A00A7"/>
    <w:rsid w:val="000A0F88"/>
    <w:rsid w:val="000A13C7"/>
    <w:rsid w:val="000A1C53"/>
    <w:rsid w:val="000A4C54"/>
    <w:rsid w:val="000B6EB0"/>
    <w:rsid w:val="000C19DA"/>
    <w:rsid w:val="000C1B3A"/>
    <w:rsid w:val="000C46AB"/>
    <w:rsid w:val="000C7796"/>
    <w:rsid w:val="000D1404"/>
    <w:rsid w:val="000D20B1"/>
    <w:rsid w:val="000D3384"/>
    <w:rsid w:val="000D5F20"/>
    <w:rsid w:val="000D6DBB"/>
    <w:rsid w:val="000E406F"/>
    <w:rsid w:val="000E527F"/>
    <w:rsid w:val="000F2258"/>
    <w:rsid w:val="000F2F88"/>
    <w:rsid w:val="000F7604"/>
    <w:rsid w:val="001016E6"/>
    <w:rsid w:val="00110A2C"/>
    <w:rsid w:val="001115DA"/>
    <w:rsid w:val="001122B8"/>
    <w:rsid w:val="00112F11"/>
    <w:rsid w:val="00113C76"/>
    <w:rsid w:val="0012733B"/>
    <w:rsid w:val="00131157"/>
    <w:rsid w:val="00136906"/>
    <w:rsid w:val="00162F7A"/>
    <w:rsid w:val="00165999"/>
    <w:rsid w:val="0016717C"/>
    <w:rsid w:val="00172670"/>
    <w:rsid w:val="00172826"/>
    <w:rsid w:val="00172CC3"/>
    <w:rsid w:val="001741FC"/>
    <w:rsid w:val="0017598D"/>
    <w:rsid w:val="0018799A"/>
    <w:rsid w:val="001948CF"/>
    <w:rsid w:val="00197278"/>
    <w:rsid w:val="001A327A"/>
    <w:rsid w:val="001A6B8B"/>
    <w:rsid w:val="001A7EBA"/>
    <w:rsid w:val="001B0278"/>
    <w:rsid w:val="001B1BBC"/>
    <w:rsid w:val="001B4A51"/>
    <w:rsid w:val="001C4A06"/>
    <w:rsid w:val="001C68B8"/>
    <w:rsid w:val="001D0262"/>
    <w:rsid w:val="001D0C68"/>
    <w:rsid w:val="001D6AB3"/>
    <w:rsid w:val="001D766B"/>
    <w:rsid w:val="001E04B8"/>
    <w:rsid w:val="001E0C55"/>
    <w:rsid w:val="001F05D6"/>
    <w:rsid w:val="001F29F7"/>
    <w:rsid w:val="001F4621"/>
    <w:rsid w:val="001F5666"/>
    <w:rsid w:val="001F5C01"/>
    <w:rsid w:val="001F6192"/>
    <w:rsid w:val="00203CDC"/>
    <w:rsid w:val="00206832"/>
    <w:rsid w:val="00207DAC"/>
    <w:rsid w:val="0021268D"/>
    <w:rsid w:val="00214A13"/>
    <w:rsid w:val="002150AC"/>
    <w:rsid w:val="0021674F"/>
    <w:rsid w:val="00222ACA"/>
    <w:rsid w:val="00223EFC"/>
    <w:rsid w:val="002313FE"/>
    <w:rsid w:val="0023304B"/>
    <w:rsid w:val="0023354D"/>
    <w:rsid w:val="0023359E"/>
    <w:rsid w:val="0023638E"/>
    <w:rsid w:val="002404F7"/>
    <w:rsid w:val="002574DE"/>
    <w:rsid w:val="00262041"/>
    <w:rsid w:val="00262AA4"/>
    <w:rsid w:val="002657CB"/>
    <w:rsid w:val="0027499D"/>
    <w:rsid w:val="00294359"/>
    <w:rsid w:val="002971BC"/>
    <w:rsid w:val="002A0F11"/>
    <w:rsid w:val="002A5D41"/>
    <w:rsid w:val="002A7931"/>
    <w:rsid w:val="002B45F7"/>
    <w:rsid w:val="002B5813"/>
    <w:rsid w:val="002C2627"/>
    <w:rsid w:val="002D5EB6"/>
    <w:rsid w:val="002E2AA6"/>
    <w:rsid w:val="002E3412"/>
    <w:rsid w:val="002E74E3"/>
    <w:rsid w:val="002F07D5"/>
    <w:rsid w:val="002F3048"/>
    <w:rsid w:val="002F5871"/>
    <w:rsid w:val="002F61A5"/>
    <w:rsid w:val="002F7261"/>
    <w:rsid w:val="003018EA"/>
    <w:rsid w:val="00301C38"/>
    <w:rsid w:val="003039DD"/>
    <w:rsid w:val="003063C5"/>
    <w:rsid w:val="00310577"/>
    <w:rsid w:val="00326887"/>
    <w:rsid w:val="00326D49"/>
    <w:rsid w:val="003314EC"/>
    <w:rsid w:val="00332291"/>
    <w:rsid w:val="00333F4A"/>
    <w:rsid w:val="00334E11"/>
    <w:rsid w:val="00336003"/>
    <w:rsid w:val="00336013"/>
    <w:rsid w:val="00341F61"/>
    <w:rsid w:val="003428A2"/>
    <w:rsid w:val="0035510C"/>
    <w:rsid w:val="0035548D"/>
    <w:rsid w:val="003670B2"/>
    <w:rsid w:val="00367B7C"/>
    <w:rsid w:val="00373A6C"/>
    <w:rsid w:val="00381066"/>
    <w:rsid w:val="0038199B"/>
    <w:rsid w:val="00381A1A"/>
    <w:rsid w:val="0038236D"/>
    <w:rsid w:val="00385CE8"/>
    <w:rsid w:val="003930AF"/>
    <w:rsid w:val="003A42A6"/>
    <w:rsid w:val="003A5430"/>
    <w:rsid w:val="003A726F"/>
    <w:rsid w:val="003A7F37"/>
    <w:rsid w:val="003B06B7"/>
    <w:rsid w:val="003B1745"/>
    <w:rsid w:val="003B1F50"/>
    <w:rsid w:val="003B31DB"/>
    <w:rsid w:val="003B47C9"/>
    <w:rsid w:val="003B508E"/>
    <w:rsid w:val="003C38FD"/>
    <w:rsid w:val="003D0C91"/>
    <w:rsid w:val="003D1503"/>
    <w:rsid w:val="003E03EA"/>
    <w:rsid w:val="003E7CEE"/>
    <w:rsid w:val="003F315E"/>
    <w:rsid w:val="003F69BF"/>
    <w:rsid w:val="00406E8A"/>
    <w:rsid w:val="00410199"/>
    <w:rsid w:val="004109D6"/>
    <w:rsid w:val="004151A9"/>
    <w:rsid w:val="00416DCC"/>
    <w:rsid w:val="004224FF"/>
    <w:rsid w:val="00427BA3"/>
    <w:rsid w:val="00462F68"/>
    <w:rsid w:val="00465E26"/>
    <w:rsid w:val="00466280"/>
    <w:rsid w:val="004712A9"/>
    <w:rsid w:val="00474126"/>
    <w:rsid w:val="0047544F"/>
    <w:rsid w:val="004766BD"/>
    <w:rsid w:val="00476AF0"/>
    <w:rsid w:val="00481A76"/>
    <w:rsid w:val="00486BCC"/>
    <w:rsid w:val="00494454"/>
    <w:rsid w:val="004A22C9"/>
    <w:rsid w:val="004A31DB"/>
    <w:rsid w:val="004B4FCA"/>
    <w:rsid w:val="004B5FFC"/>
    <w:rsid w:val="004B67B4"/>
    <w:rsid w:val="004C0A1D"/>
    <w:rsid w:val="004C0FE7"/>
    <w:rsid w:val="004C1029"/>
    <w:rsid w:val="004C1EBC"/>
    <w:rsid w:val="004C5E28"/>
    <w:rsid w:val="004D0347"/>
    <w:rsid w:val="004E1812"/>
    <w:rsid w:val="004F0D40"/>
    <w:rsid w:val="004F3626"/>
    <w:rsid w:val="005007E0"/>
    <w:rsid w:val="0050107C"/>
    <w:rsid w:val="005076E1"/>
    <w:rsid w:val="005123E5"/>
    <w:rsid w:val="00513212"/>
    <w:rsid w:val="005142B3"/>
    <w:rsid w:val="00514473"/>
    <w:rsid w:val="00515CFF"/>
    <w:rsid w:val="00521425"/>
    <w:rsid w:val="0052215D"/>
    <w:rsid w:val="00537009"/>
    <w:rsid w:val="0054271C"/>
    <w:rsid w:val="00550581"/>
    <w:rsid w:val="0055185A"/>
    <w:rsid w:val="00566BD6"/>
    <w:rsid w:val="005721F1"/>
    <w:rsid w:val="00575C78"/>
    <w:rsid w:val="00580724"/>
    <w:rsid w:val="00582AA9"/>
    <w:rsid w:val="00586C21"/>
    <w:rsid w:val="00595975"/>
    <w:rsid w:val="00595A21"/>
    <w:rsid w:val="00596AC8"/>
    <w:rsid w:val="005A10B1"/>
    <w:rsid w:val="005A5A40"/>
    <w:rsid w:val="005B392A"/>
    <w:rsid w:val="005B7FE6"/>
    <w:rsid w:val="005C17E9"/>
    <w:rsid w:val="005D15D0"/>
    <w:rsid w:val="005D335E"/>
    <w:rsid w:val="005D3539"/>
    <w:rsid w:val="005D6D0E"/>
    <w:rsid w:val="005E021C"/>
    <w:rsid w:val="005E33D0"/>
    <w:rsid w:val="005F1C3B"/>
    <w:rsid w:val="006003DE"/>
    <w:rsid w:val="00605683"/>
    <w:rsid w:val="00605BC0"/>
    <w:rsid w:val="00607AEF"/>
    <w:rsid w:val="00613B48"/>
    <w:rsid w:val="006258B3"/>
    <w:rsid w:val="00626490"/>
    <w:rsid w:val="00626881"/>
    <w:rsid w:val="0063578C"/>
    <w:rsid w:val="00641599"/>
    <w:rsid w:val="00641952"/>
    <w:rsid w:val="00646138"/>
    <w:rsid w:val="00646542"/>
    <w:rsid w:val="00650DCA"/>
    <w:rsid w:val="0065156E"/>
    <w:rsid w:val="00651DF8"/>
    <w:rsid w:val="00653B85"/>
    <w:rsid w:val="00654F24"/>
    <w:rsid w:val="00660CCC"/>
    <w:rsid w:val="006628B0"/>
    <w:rsid w:val="00664AEA"/>
    <w:rsid w:val="006707A3"/>
    <w:rsid w:val="00673A65"/>
    <w:rsid w:val="006759AE"/>
    <w:rsid w:val="00676FA3"/>
    <w:rsid w:val="0067733E"/>
    <w:rsid w:val="00680AE3"/>
    <w:rsid w:val="006818AB"/>
    <w:rsid w:val="00687D85"/>
    <w:rsid w:val="00690285"/>
    <w:rsid w:val="00694194"/>
    <w:rsid w:val="00695F80"/>
    <w:rsid w:val="006A2C4B"/>
    <w:rsid w:val="006A2CE6"/>
    <w:rsid w:val="006A47DA"/>
    <w:rsid w:val="006A4AF6"/>
    <w:rsid w:val="006A5BC9"/>
    <w:rsid w:val="006A6BD2"/>
    <w:rsid w:val="006B05D1"/>
    <w:rsid w:val="006B2CEF"/>
    <w:rsid w:val="006B44EE"/>
    <w:rsid w:val="006B7BF3"/>
    <w:rsid w:val="006C5793"/>
    <w:rsid w:val="006C7BE9"/>
    <w:rsid w:val="006D2F94"/>
    <w:rsid w:val="006E6D74"/>
    <w:rsid w:val="006E6E6F"/>
    <w:rsid w:val="006E77D5"/>
    <w:rsid w:val="006F39DC"/>
    <w:rsid w:val="006F6A35"/>
    <w:rsid w:val="006F72F6"/>
    <w:rsid w:val="0070324C"/>
    <w:rsid w:val="00711E5C"/>
    <w:rsid w:val="007123B8"/>
    <w:rsid w:val="00713BE3"/>
    <w:rsid w:val="00727B79"/>
    <w:rsid w:val="00730DB0"/>
    <w:rsid w:val="00733257"/>
    <w:rsid w:val="00746551"/>
    <w:rsid w:val="007514D4"/>
    <w:rsid w:val="00751C81"/>
    <w:rsid w:val="00754D52"/>
    <w:rsid w:val="00757789"/>
    <w:rsid w:val="00757C80"/>
    <w:rsid w:val="00760F85"/>
    <w:rsid w:val="00761976"/>
    <w:rsid w:val="00764DC9"/>
    <w:rsid w:val="0076551A"/>
    <w:rsid w:val="00767E74"/>
    <w:rsid w:val="00774CDA"/>
    <w:rsid w:val="0077512E"/>
    <w:rsid w:val="0078325F"/>
    <w:rsid w:val="00783E55"/>
    <w:rsid w:val="007872FF"/>
    <w:rsid w:val="00793983"/>
    <w:rsid w:val="00793A81"/>
    <w:rsid w:val="007A7B9F"/>
    <w:rsid w:val="007A7C50"/>
    <w:rsid w:val="007B03AC"/>
    <w:rsid w:val="007B0889"/>
    <w:rsid w:val="007B7728"/>
    <w:rsid w:val="007C08BB"/>
    <w:rsid w:val="007C24D0"/>
    <w:rsid w:val="007D082B"/>
    <w:rsid w:val="007D6A1F"/>
    <w:rsid w:val="007E14C3"/>
    <w:rsid w:val="007F6103"/>
    <w:rsid w:val="008110A6"/>
    <w:rsid w:val="00812AC2"/>
    <w:rsid w:val="00817D51"/>
    <w:rsid w:val="0082548D"/>
    <w:rsid w:val="008430E9"/>
    <w:rsid w:val="008441A2"/>
    <w:rsid w:val="00845AAA"/>
    <w:rsid w:val="00845F03"/>
    <w:rsid w:val="00847C7B"/>
    <w:rsid w:val="00853BDB"/>
    <w:rsid w:val="008549ED"/>
    <w:rsid w:val="008556F2"/>
    <w:rsid w:val="00855D5B"/>
    <w:rsid w:val="00856A61"/>
    <w:rsid w:val="00861DEB"/>
    <w:rsid w:val="0086515B"/>
    <w:rsid w:val="00870255"/>
    <w:rsid w:val="00870768"/>
    <w:rsid w:val="00873A05"/>
    <w:rsid w:val="00875A59"/>
    <w:rsid w:val="00880316"/>
    <w:rsid w:val="00883286"/>
    <w:rsid w:val="0088389A"/>
    <w:rsid w:val="00890CAC"/>
    <w:rsid w:val="00892628"/>
    <w:rsid w:val="00893933"/>
    <w:rsid w:val="008A1D40"/>
    <w:rsid w:val="008B6CFD"/>
    <w:rsid w:val="008C16BB"/>
    <w:rsid w:val="008E50EA"/>
    <w:rsid w:val="008E6298"/>
    <w:rsid w:val="008E773F"/>
    <w:rsid w:val="008F3076"/>
    <w:rsid w:val="008F3F7E"/>
    <w:rsid w:val="00906552"/>
    <w:rsid w:val="00906835"/>
    <w:rsid w:val="0092017A"/>
    <w:rsid w:val="0092114C"/>
    <w:rsid w:val="00924F7C"/>
    <w:rsid w:val="009259D2"/>
    <w:rsid w:val="0093215D"/>
    <w:rsid w:val="00935638"/>
    <w:rsid w:val="00942987"/>
    <w:rsid w:val="00943E84"/>
    <w:rsid w:val="0094581D"/>
    <w:rsid w:val="00945C0F"/>
    <w:rsid w:val="00951B0A"/>
    <w:rsid w:val="009564E6"/>
    <w:rsid w:val="009666FC"/>
    <w:rsid w:val="00974AFF"/>
    <w:rsid w:val="009753C1"/>
    <w:rsid w:val="009756DF"/>
    <w:rsid w:val="00977829"/>
    <w:rsid w:val="0098068E"/>
    <w:rsid w:val="00980C98"/>
    <w:rsid w:val="00981132"/>
    <w:rsid w:val="009861AB"/>
    <w:rsid w:val="0098631E"/>
    <w:rsid w:val="0099004F"/>
    <w:rsid w:val="00991AD1"/>
    <w:rsid w:val="00994293"/>
    <w:rsid w:val="00995389"/>
    <w:rsid w:val="0099758D"/>
    <w:rsid w:val="009A0E41"/>
    <w:rsid w:val="009A15D8"/>
    <w:rsid w:val="009A44D3"/>
    <w:rsid w:val="009A77E7"/>
    <w:rsid w:val="009A7FF1"/>
    <w:rsid w:val="009B0A56"/>
    <w:rsid w:val="009B3BBD"/>
    <w:rsid w:val="009B533E"/>
    <w:rsid w:val="009B73DA"/>
    <w:rsid w:val="009C4B4C"/>
    <w:rsid w:val="009C4D72"/>
    <w:rsid w:val="009C6B1A"/>
    <w:rsid w:val="009D15F5"/>
    <w:rsid w:val="009D35E5"/>
    <w:rsid w:val="009D4B8E"/>
    <w:rsid w:val="009D5817"/>
    <w:rsid w:val="009D759E"/>
    <w:rsid w:val="009D7740"/>
    <w:rsid w:val="009F07A9"/>
    <w:rsid w:val="00A003F2"/>
    <w:rsid w:val="00A1441D"/>
    <w:rsid w:val="00A17515"/>
    <w:rsid w:val="00A23C37"/>
    <w:rsid w:val="00A25EBF"/>
    <w:rsid w:val="00A2651F"/>
    <w:rsid w:val="00A26F1B"/>
    <w:rsid w:val="00A2758C"/>
    <w:rsid w:val="00A2771D"/>
    <w:rsid w:val="00A35376"/>
    <w:rsid w:val="00A40D06"/>
    <w:rsid w:val="00A5099F"/>
    <w:rsid w:val="00A524A4"/>
    <w:rsid w:val="00A54A8A"/>
    <w:rsid w:val="00A56C97"/>
    <w:rsid w:val="00A652D6"/>
    <w:rsid w:val="00A708EC"/>
    <w:rsid w:val="00A72A3E"/>
    <w:rsid w:val="00A75E3F"/>
    <w:rsid w:val="00A77AA8"/>
    <w:rsid w:val="00A84220"/>
    <w:rsid w:val="00A8609E"/>
    <w:rsid w:val="00A87DCA"/>
    <w:rsid w:val="00A92A46"/>
    <w:rsid w:val="00A96837"/>
    <w:rsid w:val="00AA3D28"/>
    <w:rsid w:val="00AB1604"/>
    <w:rsid w:val="00AC19EE"/>
    <w:rsid w:val="00AD1A79"/>
    <w:rsid w:val="00AD6578"/>
    <w:rsid w:val="00AD6B0C"/>
    <w:rsid w:val="00AD6C1C"/>
    <w:rsid w:val="00AD7B8B"/>
    <w:rsid w:val="00AE3FBE"/>
    <w:rsid w:val="00AE4BFD"/>
    <w:rsid w:val="00AE6C2A"/>
    <w:rsid w:val="00AE7506"/>
    <w:rsid w:val="00AF438B"/>
    <w:rsid w:val="00AF5227"/>
    <w:rsid w:val="00AF5962"/>
    <w:rsid w:val="00AF6E40"/>
    <w:rsid w:val="00B14E8E"/>
    <w:rsid w:val="00B1600F"/>
    <w:rsid w:val="00B24E1E"/>
    <w:rsid w:val="00B3001A"/>
    <w:rsid w:val="00B36E54"/>
    <w:rsid w:val="00B41BEA"/>
    <w:rsid w:val="00B42868"/>
    <w:rsid w:val="00B443B0"/>
    <w:rsid w:val="00B47C6C"/>
    <w:rsid w:val="00B509B2"/>
    <w:rsid w:val="00B5140F"/>
    <w:rsid w:val="00B556FC"/>
    <w:rsid w:val="00B629E6"/>
    <w:rsid w:val="00B63DE7"/>
    <w:rsid w:val="00B646A3"/>
    <w:rsid w:val="00B67088"/>
    <w:rsid w:val="00B67864"/>
    <w:rsid w:val="00B67ACF"/>
    <w:rsid w:val="00B67B6B"/>
    <w:rsid w:val="00B72DA6"/>
    <w:rsid w:val="00B76F1B"/>
    <w:rsid w:val="00B77D81"/>
    <w:rsid w:val="00B81FE3"/>
    <w:rsid w:val="00B832C8"/>
    <w:rsid w:val="00B8519E"/>
    <w:rsid w:val="00B970B2"/>
    <w:rsid w:val="00BA4216"/>
    <w:rsid w:val="00BA4D03"/>
    <w:rsid w:val="00BA78F4"/>
    <w:rsid w:val="00BB436E"/>
    <w:rsid w:val="00BB7378"/>
    <w:rsid w:val="00BB7FEC"/>
    <w:rsid w:val="00BC2BF4"/>
    <w:rsid w:val="00BC4238"/>
    <w:rsid w:val="00BD08C6"/>
    <w:rsid w:val="00BD3C7A"/>
    <w:rsid w:val="00BE5283"/>
    <w:rsid w:val="00BE6880"/>
    <w:rsid w:val="00BE79AC"/>
    <w:rsid w:val="00BF5161"/>
    <w:rsid w:val="00BF7C64"/>
    <w:rsid w:val="00C0728A"/>
    <w:rsid w:val="00C14EEB"/>
    <w:rsid w:val="00C15E1E"/>
    <w:rsid w:val="00C16601"/>
    <w:rsid w:val="00C1756B"/>
    <w:rsid w:val="00C2329C"/>
    <w:rsid w:val="00C312EE"/>
    <w:rsid w:val="00C350E3"/>
    <w:rsid w:val="00C44AE8"/>
    <w:rsid w:val="00C4589C"/>
    <w:rsid w:val="00C46048"/>
    <w:rsid w:val="00C46148"/>
    <w:rsid w:val="00C54D6A"/>
    <w:rsid w:val="00C57488"/>
    <w:rsid w:val="00C61C49"/>
    <w:rsid w:val="00C66EAE"/>
    <w:rsid w:val="00C67ACB"/>
    <w:rsid w:val="00C749D8"/>
    <w:rsid w:val="00C914C8"/>
    <w:rsid w:val="00C9187F"/>
    <w:rsid w:val="00CA198C"/>
    <w:rsid w:val="00CA793B"/>
    <w:rsid w:val="00CB3F49"/>
    <w:rsid w:val="00CB75BF"/>
    <w:rsid w:val="00CC0771"/>
    <w:rsid w:val="00CC3178"/>
    <w:rsid w:val="00CD1F1D"/>
    <w:rsid w:val="00CD377B"/>
    <w:rsid w:val="00CD4D6C"/>
    <w:rsid w:val="00CD69A5"/>
    <w:rsid w:val="00CE7508"/>
    <w:rsid w:val="00CF0124"/>
    <w:rsid w:val="00CF457C"/>
    <w:rsid w:val="00D05176"/>
    <w:rsid w:val="00D069E7"/>
    <w:rsid w:val="00D06E1B"/>
    <w:rsid w:val="00D06E66"/>
    <w:rsid w:val="00D104AF"/>
    <w:rsid w:val="00D11E8D"/>
    <w:rsid w:val="00D2452E"/>
    <w:rsid w:val="00D24C2B"/>
    <w:rsid w:val="00D25FF9"/>
    <w:rsid w:val="00D2642A"/>
    <w:rsid w:val="00D268A8"/>
    <w:rsid w:val="00D3643F"/>
    <w:rsid w:val="00D40884"/>
    <w:rsid w:val="00D429F9"/>
    <w:rsid w:val="00D6057A"/>
    <w:rsid w:val="00D67F7D"/>
    <w:rsid w:val="00D8353B"/>
    <w:rsid w:val="00D863AE"/>
    <w:rsid w:val="00D874AF"/>
    <w:rsid w:val="00DB4DA0"/>
    <w:rsid w:val="00DB5F91"/>
    <w:rsid w:val="00DC0910"/>
    <w:rsid w:val="00DC202A"/>
    <w:rsid w:val="00DD7A51"/>
    <w:rsid w:val="00DE3B8F"/>
    <w:rsid w:val="00DE58FC"/>
    <w:rsid w:val="00DE6FBE"/>
    <w:rsid w:val="00DE7B87"/>
    <w:rsid w:val="00DF3D19"/>
    <w:rsid w:val="00DF7E4F"/>
    <w:rsid w:val="00E05260"/>
    <w:rsid w:val="00E06543"/>
    <w:rsid w:val="00E07565"/>
    <w:rsid w:val="00E075C0"/>
    <w:rsid w:val="00E13BB6"/>
    <w:rsid w:val="00E1544B"/>
    <w:rsid w:val="00E15E72"/>
    <w:rsid w:val="00E2424B"/>
    <w:rsid w:val="00E249F0"/>
    <w:rsid w:val="00E27126"/>
    <w:rsid w:val="00E36290"/>
    <w:rsid w:val="00E47220"/>
    <w:rsid w:val="00E51712"/>
    <w:rsid w:val="00E63387"/>
    <w:rsid w:val="00E6395E"/>
    <w:rsid w:val="00E65083"/>
    <w:rsid w:val="00E6575E"/>
    <w:rsid w:val="00E670FC"/>
    <w:rsid w:val="00E77420"/>
    <w:rsid w:val="00E90A72"/>
    <w:rsid w:val="00EA4648"/>
    <w:rsid w:val="00EA4A56"/>
    <w:rsid w:val="00EA5AA4"/>
    <w:rsid w:val="00EB4235"/>
    <w:rsid w:val="00EB7A5A"/>
    <w:rsid w:val="00EC096B"/>
    <w:rsid w:val="00ED3C30"/>
    <w:rsid w:val="00ED5134"/>
    <w:rsid w:val="00ED5A88"/>
    <w:rsid w:val="00EE031E"/>
    <w:rsid w:val="00EE2E9C"/>
    <w:rsid w:val="00EE7310"/>
    <w:rsid w:val="00EF311B"/>
    <w:rsid w:val="00F02F24"/>
    <w:rsid w:val="00F058CD"/>
    <w:rsid w:val="00F151D5"/>
    <w:rsid w:val="00F2791D"/>
    <w:rsid w:val="00F372DC"/>
    <w:rsid w:val="00F408D6"/>
    <w:rsid w:val="00F42A30"/>
    <w:rsid w:val="00F43998"/>
    <w:rsid w:val="00F45251"/>
    <w:rsid w:val="00F545A2"/>
    <w:rsid w:val="00F57B04"/>
    <w:rsid w:val="00F71019"/>
    <w:rsid w:val="00F746AA"/>
    <w:rsid w:val="00F77F8E"/>
    <w:rsid w:val="00F830B4"/>
    <w:rsid w:val="00F85E9A"/>
    <w:rsid w:val="00F8610B"/>
    <w:rsid w:val="00F922FF"/>
    <w:rsid w:val="00F930A7"/>
    <w:rsid w:val="00F935DC"/>
    <w:rsid w:val="00F935EC"/>
    <w:rsid w:val="00F94975"/>
    <w:rsid w:val="00FA298A"/>
    <w:rsid w:val="00FA2BDF"/>
    <w:rsid w:val="00FA72BF"/>
    <w:rsid w:val="00FB19AC"/>
    <w:rsid w:val="00FB6106"/>
    <w:rsid w:val="00FB6C3D"/>
    <w:rsid w:val="00FC0AAF"/>
    <w:rsid w:val="00FC70C0"/>
    <w:rsid w:val="00FD0C86"/>
    <w:rsid w:val="00FD14F7"/>
    <w:rsid w:val="00FD6076"/>
    <w:rsid w:val="00FE0921"/>
    <w:rsid w:val="00FE1D5F"/>
    <w:rsid w:val="00FE4866"/>
    <w:rsid w:val="00FE5FA6"/>
    <w:rsid w:val="00FF1FFA"/>
    <w:rsid w:val="00FF5BC9"/>
    <w:rsid w:val="0C9CBF76"/>
    <w:rsid w:val="1DA19B27"/>
    <w:rsid w:val="20FBECC8"/>
    <w:rsid w:val="2284A87E"/>
    <w:rsid w:val="409869C6"/>
    <w:rsid w:val="5516FD9A"/>
    <w:rsid w:val="6589FB56"/>
    <w:rsid w:val="7E706A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76E1"/>
    <w:pPr>
      <w:spacing w:line="259" w:lineRule="auto"/>
    </w:pPr>
    <w:rPr>
      <w:sz w:val="22"/>
      <w:szCs w:val="22"/>
    </w:rPr>
  </w:style>
  <w:style w:type="paragraph" w:styleId="berschrift1">
    <w:name w:val="heading 1"/>
    <w:basedOn w:val="Standard"/>
    <w:next w:val="Standard"/>
    <w:link w:val="berschrift1Zchn"/>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076E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076E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076E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076E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076E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076E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076E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076E1"/>
    <w:rPr>
      <w:rFonts w:eastAsiaTheme="majorEastAsia" w:cstheme="majorBidi"/>
      <w:color w:val="272727" w:themeColor="text1" w:themeTint="D8"/>
    </w:rPr>
  </w:style>
  <w:style w:type="paragraph" w:styleId="Titel">
    <w:name w:val="Title"/>
    <w:basedOn w:val="Standard"/>
    <w:next w:val="Standard"/>
    <w:link w:val="TitelZchn"/>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076E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076E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076E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076E1"/>
    <w:rPr>
      <w:i/>
      <w:iCs/>
      <w:color w:val="404040" w:themeColor="text1" w:themeTint="BF"/>
    </w:rPr>
  </w:style>
  <w:style w:type="paragraph" w:styleId="Listenabsatz">
    <w:name w:val="List Paragraph"/>
    <w:basedOn w:val="Standard"/>
    <w:uiPriority w:val="34"/>
    <w:qFormat/>
    <w:rsid w:val="005076E1"/>
    <w:pPr>
      <w:ind w:left="720"/>
      <w:contextualSpacing/>
    </w:pPr>
  </w:style>
  <w:style w:type="character" w:styleId="IntensiveHervorhebung">
    <w:name w:val="Intense Emphasis"/>
    <w:basedOn w:val="Absatz-Standardschriftart"/>
    <w:uiPriority w:val="21"/>
    <w:qFormat/>
    <w:rsid w:val="005076E1"/>
    <w:rPr>
      <w:i/>
      <w:iCs/>
      <w:color w:val="0F4761" w:themeColor="accent1" w:themeShade="BF"/>
    </w:rPr>
  </w:style>
  <w:style w:type="paragraph" w:styleId="IntensivesZitat">
    <w:name w:val="Intense Quote"/>
    <w:basedOn w:val="Standard"/>
    <w:next w:val="Standard"/>
    <w:link w:val="IntensivesZitatZchn"/>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076E1"/>
    <w:rPr>
      <w:i/>
      <w:iCs/>
      <w:color w:val="0F4761" w:themeColor="accent1" w:themeShade="BF"/>
    </w:rPr>
  </w:style>
  <w:style w:type="character" w:styleId="IntensiverVerweis">
    <w:name w:val="Intense Reference"/>
    <w:basedOn w:val="Absatz-Standardschriftart"/>
    <w:uiPriority w:val="32"/>
    <w:qFormat/>
    <w:rsid w:val="005076E1"/>
    <w:rPr>
      <w:b/>
      <w:bCs/>
      <w:smallCaps/>
      <w:color w:val="0F4761" w:themeColor="accent1" w:themeShade="BF"/>
      <w:spacing w:val="5"/>
    </w:rPr>
  </w:style>
  <w:style w:type="paragraph" w:styleId="Kopfzeile">
    <w:name w:val="header"/>
    <w:basedOn w:val="Standard"/>
    <w:link w:val="KopfzeileZchn"/>
    <w:uiPriority w:val="99"/>
    <w:unhideWhenUsed/>
    <w:rsid w:val="005076E1"/>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5076E1"/>
  </w:style>
  <w:style w:type="paragraph" w:styleId="Fuzeile">
    <w:name w:val="footer"/>
    <w:basedOn w:val="Standard"/>
    <w:link w:val="FuzeileZchn"/>
    <w:uiPriority w:val="99"/>
    <w:unhideWhenUsed/>
    <w:rsid w:val="005076E1"/>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5076E1"/>
  </w:style>
  <w:style w:type="character" w:styleId="Hyperlink">
    <w:name w:val="Hyperlink"/>
    <w:basedOn w:val="Absatz-Standardschriftart"/>
    <w:uiPriority w:val="99"/>
    <w:unhideWhenUsed/>
    <w:rsid w:val="005076E1"/>
    <w:rPr>
      <w:color w:val="0000FF"/>
      <w:u w:val="single"/>
    </w:rPr>
  </w:style>
  <w:style w:type="paragraph" w:customStyle="1" w:styleId="Author">
    <w:name w:val="Author"/>
    <w:basedOn w:val="Standard"/>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NurText">
    <w:name w:val="Plain Text"/>
    <w:aliases w:val="Subsection text"/>
    <w:basedOn w:val="Standard"/>
    <w:link w:val="NurTextZchn"/>
    <w:rsid w:val="00D6057A"/>
    <w:pPr>
      <w:spacing w:after="0" w:line="240" w:lineRule="auto"/>
      <w:jc w:val="both"/>
    </w:pPr>
    <w:rPr>
      <w:rFonts w:ascii="Arial" w:eastAsia="MS Mincho" w:hAnsi="Arial" w:cs="Arial"/>
      <w:kern w:val="0"/>
      <w:sz w:val="18"/>
      <w:szCs w:val="20"/>
      <w14:ligatures w14:val="none"/>
    </w:rPr>
  </w:style>
  <w:style w:type="character" w:customStyle="1" w:styleId="NurTextZchn">
    <w:name w:val="Nur Text Zchn"/>
    <w:aliases w:val="Subsection text Zchn"/>
    <w:basedOn w:val="Absatz-Standardschriftart"/>
    <w:link w:val="NurText"/>
    <w:rsid w:val="00D6057A"/>
    <w:rPr>
      <w:rFonts w:ascii="Arial" w:eastAsia="MS Mincho" w:hAnsi="Arial" w:cs="Arial"/>
      <w:kern w:val="0"/>
      <w:sz w:val="18"/>
      <w:szCs w:val="20"/>
      <w14:ligatures w14:val="none"/>
    </w:rPr>
  </w:style>
  <w:style w:type="character" w:styleId="NichtaufgelsteErwhnung">
    <w:name w:val="Unresolved Mention"/>
    <w:basedOn w:val="Absatz-Standardschriftart"/>
    <w:uiPriority w:val="99"/>
    <w:semiHidden/>
    <w:unhideWhenUsed/>
    <w:rsid w:val="00D6057A"/>
    <w:rPr>
      <w:color w:val="605E5C"/>
      <w:shd w:val="clear" w:color="auto" w:fill="E1DFDD"/>
    </w:rPr>
  </w:style>
  <w:style w:type="paragraph" w:styleId="berarbeitung">
    <w:name w:val="Revision"/>
    <w:hidden/>
    <w:uiPriority w:val="99"/>
    <w:semiHidden/>
    <w:rsid w:val="00040B8F"/>
    <w:pPr>
      <w:spacing w:after="0" w:line="240" w:lineRule="auto"/>
    </w:pPr>
    <w:rPr>
      <w:sz w:val="22"/>
      <w:szCs w:val="22"/>
    </w:rPr>
  </w:style>
  <w:style w:type="character" w:styleId="Kommentarzeichen">
    <w:name w:val="annotation reference"/>
    <w:basedOn w:val="Absatz-Standardschriftart"/>
    <w:uiPriority w:val="99"/>
    <w:semiHidden/>
    <w:unhideWhenUsed/>
    <w:rsid w:val="0035510C"/>
    <w:rPr>
      <w:sz w:val="16"/>
      <w:szCs w:val="16"/>
    </w:rPr>
  </w:style>
  <w:style w:type="paragraph" w:styleId="Kommentartext">
    <w:name w:val="annotation text"/>
    <w:basedOn w:val="Standard"/>
    <w:link w:val="KommentartextZchn"/>
    <w:uiPriority w:val="99"/>
    <w:unhideWhenUsed/>
    <w:rsid w:val="0035510C"/>
    <w:pPr>
      <w:spacing w:line="240" w:lineRule="auto"/>
    </w:pPr>
    <w:rPr>
      <w:sz w:val="20"/>
      <w:szCs w:val="20"/>
    </w:rPr>
  </w:style>
  <w:style w:type="character" w:customStyle="1" w:styleId="KommentartextZchn">
    <w:name w:val="Kommentartext Zchn"/>
    <w:basedOn w:val="Absatz-Standardschriftart"/>
    <w:link w:val="Kommentartext"/>
    <w:uiPriority w:val="99"/>
    <w:rsid w:val="0035510C"/>
    <w:rPr>
      <w:sz w:val="20"/>
      <w:szCs w:val="20"/>
    </w:rPr>
  </w:style>
  <w:style w:type="paragraph" w:styleId="Kommentarthema">
    <w:name w:val="annotation subject"/>
    <w:basedOn w:val="Kommentartext"/>
    <w:next w:val="Kommentartext"/>
    <w:link w:val="KommentarthemaZchn"/>
    <w:uiPriority w:val="99"/>
    <w:semiHidden/>
    <w:unhideWhenUsed/>
    <w:rsid w:val="0035510C"/>
    <w:rPr>
      <w:b/>
      <w:bCs/>
    </w:rPr>
  </w:style>
  <w:style w:type="character" w:customStyle="1" w:styleId="KommentarthemaZchn">
    <w:name w:val="Kommentarthema Zchn"/>
    <w:basedOn w:val="KommentartextZchn"/>
    <w:link w:val="Kommentarthema"/>
    <w:uiPriority w:val="99"/>
    <w:semiHidden/>
    <w:rsid w:val="003551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sv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yperlink" Target="mailto:jakob.martin0@hm.ed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sv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b691f54-d99d-4ee4-bf3e-48ee30a5d47a">
      <Terms xmlns="http://schemas.microsoft.com/office/infopath/2007/PartnerControls"/>
    </lcf76f155ced4ddcb4097134ff3c332f>
    <TaxCatchAll xmlns="f9319068-055e-4bb2-801f-df7610ce4e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546BD9EB478EA4EAE50587D74BE909D" ma:contentTypeVersion="14" ma:contentTypeDescription="Ein neues Dokument erstellen." ma:contentTypeScope="" ma:versionID="94df98ec7335e4e69061139d5fa6cb14">
  <xsd:schema xmlns:xsd="http://www.w3.org/2001/XMLSchema" xmlns:xs="http://www.w3.org/2001/XMLSchema" xmlns:p="http://schemas.microsoft.com/office/2006/metadata/properties" xmlns:ns2="0b691f54-d99d-4ee4-bf3e-48ee30a5d47a" xmlns:ns3="f9319068-055e-4bb2-801f-df7610ce4e2a" targetNamespace="http://schemas.microsoft.com/office/2006/metadata/properties" ma:root="true" ma:fieldsID="11ba4bc821472af300251ad709fc5476" ns2:_="" ns3:_="">
    <xsd:import namespace="0b691f54-d99d-4ee4-bf3e-48ee30a5d47a"/>
    <xsd:import namespace="f9319068-055e-4bb2-801f-df7610ce4e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91f54-d99d-4ee4-bf3e-48ee30a5d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fcda3f80-ba66-44fe-bf2f-f63b9456ec0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319068-055e-4bb2-801f-df7610ce4e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8310d23-25c6-4da5-ba46-a57b946bca70}" ma:internalName="TaxCatchAll" ma:showField="CatchAllData" ma:web="f9319068-055e-4bb2-801f-df7610ce4e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52AFF3-66F6-44C0-87C2-68D4C8684126}">
  <ds:schemaRefs>
    <ds:schemaRef ds:uri="http://schemas.microsoft.com/sharepoint/v3/contenttype/forms"/>
  </ds:schemaRefs>
</ds:datastoreItem>
</file>

<file path=customXml/itemProps2.xml><?xml version="1.0" encoding="utf-8"?>
<ds:datastoreItem xmlns:ds="http://schemas.openxmlformats.org/officeDocument/2006/customXml" ds:itemID="{F6AEB8D7-2F40-46B5-BD9F-E1A1463F8475}">
  <ds:schemaRefs>
    <ds:schemaRef ds:uri="http://schemas.microsoft.com/office/2006/metadata/properties"/>
    <ds:schemaRef ds:uri="http://schemas.microsoft.com/office/infopath/2007/PartnerControls"/>
    <ds:schemaRef ds:uri="0b691f54-d99d-4ee4-bf3e-48ee30a5d47a"/>
    <ds:schemaRef ds:uri="f9319068-055e-4bb2-801f-df7610ce4e2a"/>
  </ds:schemaRefs>
</ds:datastoreItem>
</file>

<file path=customXml/itemProps3.xml><?xml version="1.0" encoding="utf-8"?>
<ds:datastoreItem xmlns:ds="http://schemas.openxmlformats.org/officeDocument/2006/customXml" ds:itemID="{C24B08E9-F81C-4E95-ADDC-A43958C06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91f54-d99d-4ee4-bf3e-48ee30a5d47a"/>
    <ds:schemaRef ds:uri="f9319068-055e-4bb2-801f-df7610ce4e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d4505a9-6cd4-4946-8469-fe3f198364fd}" enabled="0" method="" siteId="{dd4505a9-6cd4-4946-8469-fe3f198364f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5771</Words>
  <Characters>32901</Characters>
  <Application>Microsoft Office Word</Application>
  <DocSecurity>0</DocSecurity>
  <Lines>274</Lines>
  <Paragraphs>77</Paragraphs>
  <ScaleCrop>false</ScaleCrop>
  <Company/>
  <LinksUpToDate>false</LinksUpToDate>
  <CharactersWithSpaces>38595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Jakob Martin</cp:lastModifiedBy>
  <cp:revision>170</cp:revision>
  <dcterms:created xsi:type="dcterms:W3CDTF">2026-06-22T15:18:00Z</dcterms:created>
  <dcterms:modified xsi:type="dcterms:W3CDTF">2026-09-07T08:18:00Z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ContentTypeId">
    <vt:lpwstr>0x0101005546BD9EB478EA4EAE50587D74BE909D</vt:lpwstr>
  </property>
  <property fmtid="{D5CDD505-2E9C-101B-9397-08002B2CF9AE}" pid="4" name="MediaServiceImageTags">
    <vt:lpwstr/>
  </property>
</Properties>
</file>