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62818E72" w:rsidR="005076E1" w:rsidRDefault="00EB064D" w:rsidP="006E77D5">
      <w:pPr>
        <w:spacing w:after="40" w:line="240" w:lineRule="auto"/>
        <w:jc w:val="center"/>
        <w:rPr>
          <w:rFonts w:ascii="Calibri" w:hAnsi="Calibri" w:cs="Calibri"/>
          <w:b/>
          <w:bCs/>
          <w:sz w:val="28"/>
          <w:szCs w:val="28"/>
        </w:rPr>
      </w:pPr>
      <w:r w:rsidRPr="00EB064D">
        <w:rPr>
          <w:rFonts w:ascii="Calibri" w:hAnsi="Calibri" w:cs="Calibri"/>
          <w:b/>
          <w:bCs/>
          <w:sz w:val="28"/>
          <w:szCs w:val="28"/>
        </w:rPr>
        <w:t>A Hybrid Deterministic-Neural Framework for Regulatory Compliance Verification in the Pre-Design Stage: TerraLogic.ai</w:t>
      </w:r>
      <w:r w:rsidR="005076E1" w:rsidRPr="00D6057A">
        <w:rPr>
          <w:rFonts w:ascii="Calibri" w:hAnsi="Calibri" w:cs="Calibri"/>
          <w:b/>
          <w:bCs/>
          <w:sz w:val="28"/>
          <w:szCs w:val="28"/>
        </w:rPr>
        <w:t xml:space="preserve"> </w:t>
      </w:r>
    </w:p>
    <w:p w14:paraId="576ADB16" w14:textId="77777777" w:rsidR="00954BCF" w:rsidRPr="00D6057A" w:rsidRDefault="00954BCF" w:rsidP="006E77D5">
      <w:pPr>
        <w:spacing w:after="40" w:line="240" w:lineRule="auto"/>
        <w:jc w:val="center"/>
        <w:rPr>
          <w:rFonts w:ascii="Calibri" w:hAnsi="Calibri" w:cs="Calibri"/>
          <w:b/>
          <w:bCs/>
          <w:sz w:val="28"/>
          <w:szCs w:val="28"/>
        </w:rPr>
      </w:pPr>
    </w:p>
    <w:p w14:paraId="4CA8A644" w14:textId="69BA3416" w:rsidR="00954BCF" w:rsidRPr="00954BCF" w:rsidRDefault="00F606DF" w:rsidP="00954BCF">
      <w:pPr>
        <w:jc w:val="both"/>
        <w:rPr>
          <w:rFonts w:ascii="Calibri" w:eastAsia="Calibri" w:hAnsi="Calibri" w:cs="Calibri"/>
          <w:i/>
          <w:iCs/>
          <w:color w:val="000000"/>
          <w:sz w:val="24"/>
          <w:szCs w:val="24"/>
        </w:rPr>
      </w:pPr>
      <w:r w:rsidRPr="00F606DF">
        <w:rPr>
          <w:rFonts w:ascii="Calibri" w:eastAsia="Calibri" w:hAnsi="Calibri" w:cs="Calibri"/>
          <w:b/>
          <w:bCs/>
          <w:color w:val="000000"/>
          <w:sz w:val="24"/>
          <w:szCs w:val="24"/>
        </w:rPr>
        <w:t>Keywords</w:t>
      </w:r>
      <w:r w:rsidR="00954BCF" w:rsidRPr="00B64B4C">
        <w:rPr>
          <w:rFonts w:ascii="Calibri" w:eastAsia="Calibri" w:hAnsi="Calibri" w:cs="Calibri"/>
          <w:b/>
          <w:bCs/>
          <w:color w:val="000000"/>
          <w:sz w:val="24"/>
          <w:szCs w:val="24"/>
        </w:rPr>
        <w:t>:</w:t>
      </w:r>
      <w:r w:rsidR="00954BCF">
        <w:rPr>
          <w:rFonts w:ascii="Calibri" w:eastAsia="Calibri" w:hAnsi="Calibri" w:cs="Calibri"/>
          <w:b/>
          <w:bCs/>
          <w:color w:val="000000"/>
        </w:rPr>
        <w:t xml:space="preserve"> </w:t>
      </w:r>
      <w:r w:rsidR="00954BCF" w:rsidRPr="00B64B4C">
        <w:rPr>
          <w:rFonts w:ascii="Calibri" w:eastAsia="Calibri" w:hAnsi="Calibri" w:cs="Calibri"/>
          <w:i/>
          <w:iCs/>
          <w:color w:val="000000"/>
          <w:sz w:val="24"/>
          <w:szCs w:val="24"/>
        </w:rPr>
        <w:t>Automated code compliance; hybrid AI; GIS-BIM integration; digital twin; building code; LLM accuracy limitations; pre-design; TerraLogic.ai</w:t>
      </w:r>
    </w:p>
    <w:p w14:paraId="0C3B0385" w14:textId="75B10DB3" w:rsidR="005076E1" w:rsidRDefault="00D844E1" w:rsidP="006E77D5">
      <w:pPr>
        <w:pStyle w:val="Author"/>
        <w:spacing w:after="40"/>
        <w:rPr>
          <w:rFonts w:ascii="Calibri" w:hAnsi="Calibri" w:cs="Calibri"/>
          <w:sz w:val="22"/>
          <w:szCs w:val="22"/>
        </w:rPr>
      </w:pPr>
      <w:r>
        <w:rPr>
          <w:rFonts w:ascii="Calibri" w:hAnsi="Calibri" w:cs="Calibri"/>
          <w:sz w:val="22"/>
          <w:szCs w:val="22"/>
        </w:rPr>
        <w:t xml:space="preserve">                                                                      </w:t>
      </w:r>
      <w:r w:rsidR="00EB064D">
        <w:rPr>
          <w:rFonts w:ascii="Calibri" w:hAnsi="Calibri" w:cs="Calibri"/>
          <w:sz w:val="22"/>
          <w:szCs w:val="22"/>
        </w:rPr>
        <w:t>Abdul Quader</w:t>
      </w:r>
      <w:r w:rsidR="003D7BCD" w:rsidRPr="00D6057A">
        <w:rPr>
          <w:rFonts w:ascii="Calibri" w:hAnsi="Calibri" w:cs="Calibri"/>
          <w:sz w:val="22"/>
          <w:szCs w:val="22"/>
          <w:vertAlign w:val="superscript"/>
        </w:rPr>
        <w:t>1, *</w:t>
      </w:r>
    </w:p>
    <w:p w14:paraId="1CD797F8" w14:textId="77777777" w:rsidR="00D844E1" w:rsidRPr="00D6057A" w:rsidRDefault="00D844E1" w:rsidP="006E77D5">
      <w:pPr>
        <w:pStyle w:val="Author"/>
        <w:spacing w:after="40"/>
        <w:rPr>
          <w:rFonts w:ascii="Calibri" w:hAnsi="Calibri" w:cs="Calibri"/>
          <w:sz w:val="22"/>
          <w:szCs w:val="22"/>
        </w:rPr>
      </w:pPr>
    </w:p>
    <w:p w14:paraId="4F02CD79" w14:textId="49DAC81E"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EB064D" w:rsidRPr="00EB064D">
        <w:rPr>
          <w:rFonts w:ascii="Calibri" w:hAnsi="Calibri" w:cs="Calibri"/>
          <w:sz w:val="22"/>
          <w:szCs w:val="22"/>
        </w:rPr>
        <w:t xml:space="preserve">Jawaharlal Nehru Architecture and Fine Arts University </w:t>
      </w:r>
      <w:r w:rsidR="009A4B73" w:rsidRPr="00EB064D">
        <w:rPr>
          <w:rFonts w:ascii="Calibri" w:hAnsi="Calibri" w:cs="Calibri"/>
          <w:sz w:val="22"/>
          <w:szCs w:val="22"/>
        </w:rPr>
        <w:t>(</w:t>
      </w:r>
      <w:r w:rsidR="009A4B73" w:rsidRPr="009A4B73">
        <w:rPr>
          <w:rFonts w:ascii="Calibri" w:hAnsi="Calibri" w:cs="Calibri"/>
          <w:b/>
          <w:bCs/>
          <w:sz w:val="22"/>
          <w:szCs w:val="22"/>
        </w:rPr>
        <w:t>JNAFAU</w:t>
      </w:r>
      <w:r w:rsidR="00EB064D" w:rsidRPr="00EB064D">
        <w:rPr>
          <w:rFonts w:ascii="Calibri" w:hAnsi="Calibri" w:cs="Calibri"/>
          <w:sz w:val="22"/>
          <w:szCs w:val="22"/>
        </w:rPr>
        <w:t>), Hyderabad, India</w:t>
      </w:r>
    </w:p>
    <w:p w14:paraId="1BC4AD16" w14:textId="0A2A73B7" w:rsidR="005076E1" w:rsidRDefault="005076E1" w:rsidP="006E77D5">
      <w:pPr>
        <w:pStyle w:val="Author"/>
        <w:spacing w:after="40"/>
        <w:rPr>
          <w:rFonts w:ascii="Calibri" w:hAnsi="Calibri" w:cs="Calibri"/>
          <w:i/>
          <w:iCs/>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Corresponding email:</w:t>
      </w:r>
      <w:r w:rsidR="00EB064D" w:rsidRPr="00EB064D">
        <w:rPr>
          <w:rFonts w:asciiTheme="minorHAnsi" w:hAnsiTheme="minorHAnsi" w:cstheme="minorBidi"/>
          <w:kern w:val="2"/>
          <w:sz w:val="22"/>
          <w:szCs w:val="22"/>
          <w:lang w:eastAsia="en-US"/>
          <w14:ligatures w14:val="standardContextual"/>
        </w:rPr>
        <w:t xml:space="preserve"> </w:t>
      </w:r>
      <w:hyperlink r:id="rId8" w:history="1">
        <w:r w:rsidR="00D844E1" w:rsidRPr="009F0144">
          <w:rPr>
            <w:rStyle w:val="Hyperlink"/>
            <w:rFonts w:ascii="Calibri" w:hAnsi="Calibri" w:cs="Calibri"/>
            <w:i/>
            <w:iCs/>
            <w:sz w:val="22"/>
            <w:szCs w:val="22"/>
          </w:rPr>
          <w:t>abdulquaderhunk@gmail.com</w:t>
        </w:r>
      </w:hyperlink>
    </w:p>
    <w:p w14:paraId="5ED3C7EC" w14:textId="77777777" w:rsidR="00D844E1" w:rsidRPr="00D6057A" w:rsidRDefault="00D844E1" w:rsidP="006E77D5">
      <w:pPr>
        <w:pStyle w:val="Author"/>
        <w:spacing w:after="40"/>
        <w:rPr>
          <w:rFonts w:ascii="Calibri" w:hAnsi="Calibri" w:cs="Calibri"/>
          <w:sz w:val="22"/>
          <w:szCs w:val="22"/>
        </w:rPr>
      </w:pPr>
    </w:p>
    <w:p w14:paraId="662F0B45" w14:textId="41C996EC"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26080D97" w14:textId="578BC8C0" w:rsidR="005076E1" w:rsidRPr="00D6057A" w:rsidRDefault="00EB064D" w:rsidP="006E77D5">
      <w:pPr>
        <w:spacing w:after="40" w:line="240" w:lineRule="auto"/>
        <w:ind w:left="1134" w:right="1088"/>
        <w:jc w:val="both"/>
        <w:rPr>
          <w:rFonts w:ascii="Calibri" w:hAnsi="Calibri" w:cs="Calibri"/>
          <w:color w:val="EE0000"/>
        </w:rPr>
      </w:pPr>
      <w:r w:rsidRPr="00EB064D">
        <w:rPr>
          <w:rFonts w:ascii="Calibri" w:hAnsi="Calibri" w:cs="Calibri"/>
        </w:rPr>
        <w:t xml:space="preserve">Building code compliance verification remains a primary bottleneck in the Architecture, Engineering, and Construction (AEC) </w:t>
      </w:r>
      <w:r w:rsidR="002C6478" w:rsidRPr="00EB064D">
        <w:rPr>
          <w:rFonts w:ascii="Calibri" w:hAnsi="Calibri" w:cs="Calibri"/>
        </w:rPr>
        <w:t>industry</w:t>
      </w:r>
      <w:r w:rsidR="002B5BB9">
        <w:rPr>
          <w:rFonts w:ascii="Calibri" w:hAnsi="Calibri" w:cs="Calibri"/>
        </w:rPr>
        <w:t>.</w:t>
      </w:r>
      <w:r w:rsidR="002C6478" w:rsidRPr="002C6478">
        <w:rPr>
          <w:rFonts w:ascii="Calibri" w:hAnsi="Calibri" w:cs="Calibri"/>
        </w:rPr>
        <w:t xml:space="preserve"> Large Language Models (LLMs) are increasingly proposed as compliance assistants. But recent studies show they struggle with jurisdiction-specific numerical thresholds.</w:t>
      </w:r>
      <w:r w:rsidR="002C6478">
        <w:rPr>
          <w:rFonts w:ascii="Calibri" w:hAnsi="Calibri" w:cs="Calibri"/>
        </w:rPr>
        <w:t xml:space="preserve"> </w:t>
      </w:r>
      <w:r w:rsidR="008626B5" w:rsidRPr="008626B5">
        <w:rPr>
          <w:rFonts w:ascii="Calibri" w:hAnsi="Calibri" w:cs="Calibri"/>
        </w:rPr>
        <w:t>This study presents TerraLogic.ai, a pre-design regulatory verification platform using a</w:t>
      </w:r>
      <w:r w:rsidR="00AF0F3F">
        <w:rPr>
          <w:rFonts w:ascii="Calibri" w:hAnsi="Calibri" w:cs="Calibri"/>
        </w:rPr>
        <w:t xml:space="preserve"> </w:t>
      </w:r>
      <w:r w:rsidR="728E956C" w:rsidRPr="728E956C">
        <w:rPr>
          <w:rFonts w:ascii="Calibri" w:hAnsi="Calibri" w:cs="Calibri"/>
        </w:rPr>
        <w:t>Hybrid Deterministic</w:t>
      </w:r>
      <w:r w:rsidR="008626B5" w:rsidRPr="008626B5">
        <w:rPr>
          <w:rFonts w:ascii="Calibri" w:hAnsi="Calibri" w:cs="Calibri"/>
        </w:rPr>
        <w:t xml:space="preserve">-Neural Compliance Engine (HDNCE). </w:t>
      </w:r>
      <w:r w:rsidR="00384FBB" w:rsidRPr="00384FBB">
        <w:rPr>
          <w:rFonts w:ascii="Calibri" w:hAnsi="Calibri" w:cs="Calibri"/>
        </w:rPr>
        <w:t>This research asks a simple question: can architects and builders check compliance at the pre-design stage, before mistakes become expensive? The platform uses a digital twin and AI to give them real-time compliance feedback.</w:t>
      </w:r>
      <w:r w:rsidR="00CB41AE">
        <w:rPr>
          <w:rFonts w:ascii="Calibri" w:hAnsi="Calibri" w:cs="Calibri"/>
        </w:rPr>
        <w:t xml:space="preserve"> </w:t>
      </w:r>
      <w:r w:rsidR="008626B5" w:rsidRPr="008626B5">
        <w:rPr>
          <w:rFonts w:ascii="Calibri" w:hAnsi="Calibri" w:cs="Calibri"/>
        </w:rPr>
        <w:t>The framework encodes Telangana (RCBR 2012) and National Building Code (NBC 2016) provisions as deterministic logic</w:t>
      </w:r>
      <w:r w:rsidR="00DF2F97">
        <w:rPr>
          <w:rFonts w:ascii="Calibri" w:hAnsi="Calibri" w:cs="Calibri"/>
        </w:rPr>
        <w:t>.</w:t>
      </w:r>
      <w:r w:rsidR="00A704C6" w:rsidRPr="00A704C6">
        <w:rPr>
          <w:rFonts w:ascii="Calibri" w:hAnsi="Calibri" w:cs="Calibri"/>
        </w:rPr>
        <w:t> LLMs are restricted to advisory roles within a unified 3D digital twin workflow.</w:t>
      </w:r>
      <w:r w:rsidR="008626B5" w:rsidRPr="008626B5">
        <w:rPr>
          <w:rFonts w:ascii="Calibri" w:hAnsi="Calibri" w:cs="Calibri"/>
        </w:rPr>
        <w:t xml:space="preserve"> In a two-round evaluation against 60 synthetic Hyderabad site configurations, the deterministic engine initially agreed with mathematical ground truth on 58.3% of sites (35/60).</w:t>
      </w:r>
      <w:r w:rsidR="00481D0F" w:rsidRPr="00481D0F">
        <w:rPr>
          <w:rFonts w:ascii="Inter" w:hAnsi="Inter"/>
          <w:color w:val="474C58"/>
          <w:shd w:val="clear" w:color="auto" w:fill="FFFFFF"/>
        </w:rPr>
        <w:t xml:space="preserve"> </w:t>
      </w:r>
      <w:r w:rsidR="00481D0F" w:rsidRPr="00481D0F">
        <w:rPr>
          <w:rFonts w:ascii="Calibri" w:hAnsi="Calibri" w:cs="Calibri"/>
        </w:rPr>
        <w:t>Analysis showed this was due to the system ignoring the width of adjacent roads. Once updated, a second test of the same 60 sites resulted in 100% accuracy (60/60). Because the same data was used for both rounds, these results indicate successful bug fixing rather than broad adaptability</w:t>
      </w:r>
      <w:r w:rsidR="00484E50">
        <w:rPr>
          <w:rFonts w:ascii="Calibri" w:hAnsi="Calibri" w:cs="Calibri"/>
        </w:rPr>
        <w:t xml:space="preserve">. </w:t>
      </w:r>
      <w:r w:rsidR="00F00B7F">
        <w:rPr>
          <w:rFonts w:ascii="Calibri" w:hAnsi="Calibri" w:cs="Calibri"/>
        </w:rPr>
        <w:t>I</w:t>
      </w:r>
      <w:r w:rsidR="008626B5" w:rsidRPr="008626B5">
        <w:rPr>
          <w:rFonts w:ascii="Calibri" w:hAnsi="Calibri" w:cs="Calibri"/>
        </w:rPr>
        <w:t xml:space="preserve">ndependent held-out testing remains necessary future work. </w:t>
      </w:r>
      <w:r w:rsidR="007577CA" w:rsidRPr="007577CA">
        <w:rPr>
          <w:rFonts w:ascii="Calibri" w:hAnsi="Calibri" w:cs="Calibri"/>
        </w:rPr>
        <w:t>Early user reviews were positive, suggesting the need for more formal validation studies.</w:t>
      </w:r>
    </w:p>
    <w:p w14:paraId="242D180E" w14:textId="77777777" w:rsidR="005076E1" w:rsidRPr="00D6057A" w:rsidRDefault="005076E1" w:rsidP="006E77D5">
      <w:pPr>
        <w:spacing w:after="40" w:line="240" w:lineRule="auto"/>
        <w:rPr>
          <w:rFonts w:ascii="Calibri" w:hAnsi="Calibri" w:cs="Calibri"/>
          <w:color w:val="EE0000"/>
        </w:rPr>
      </w:pPr>
    </w:p>
    <w:p w14:paraId="0EA1A8D0" w14:textId="77777777" w:rsidR="006E615B" w:rsidRDefault="005076E1" w:rsidP="006E615B">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 xml:space="preserve">INTRODUCTION </w:t>
      </w:r>
    </w:p>
    <w:p w14:paraId="5A38D412" w14:textId="61F32F89" w:rsidR="00DA37F7" w:rsidRPr="008D64CC" w:rsidRDefault="00B0094F" w:rsidP="00312801">
      <w:pPr>
        <w:pStyle w:val="ListParagraph"/>
        <w:spacing w:after="40" w:line="240" w:lineRule="auto"/>
        <w:jc w:val="both"/>
        <w:rPr>
          <w:rFonts w:ascii="Calibri" w:hAnsi="Calibri" w:cs="Calibri"/>
        </w:rPr>
      </w:pPr>
      <w:r w:rsidRPr="00B0094F">
        <w:rPr>
          <w:rFonts w:ascii="Calibri" w:hAnsi="Calibri" w:cs="Calibri"/>
        </w:rPr>
        <w:t>The AEC sector generates roughly 13% of the world's GDP but is slow to adopt digital tools</w:t>
      </w:r>
      <w:r w:rsidR="00C26811" w:rsidRPr="006E615B">
        <w:rPr>
          <w:rFonts w:ascii="Calibri" w:hAnsi="Calibri" w:cs="Calibri"/>
        </w:rPr>
        <w:t xml:space="preserve"> (Bhattacharya and Momaya, 2021). Regulatory compliance verification constitutes one of the industry’s most persistent inefficiencies. In Hyderabad, India, design-stage compliance requires the simultaneous cross-referencing of the National Building Code of India 2016 (NBC 2016) and the Telangana Revised Common Building Rules (RCBR 2012)</w:t>
      </w:r>
      <w:r w:rsidR="000F053D">
        <w:rPr>
          <w:rFonts w:ascii="Calibri" w:hAnsi="Calibri" w:cs="Calibri"/>
        </w:rPr>
        <w:t>.</w:t>
      </w:r>
      <w:r w:rsidR="00C26811" w:rsidRPr="006E615B">
        <w:rPr>
          <w:rFonts w:ascii="Calibri" w:hAnsi="Calibri" w:cs="Calibri"/>
        </w:rPr>
        <w:t xml:space="preserve"> </w:t>
      </w:r>
      <w:r w:rsidR="000F053D">
        <w:rPr>
          <w:rFonts w:ascii="Calibri" w:hAnsi="Calibri" w:cs="Calibri"/>
        </w:rPr>
        <w:t>W</w:t>
      </w:r>
      <w:r w:rsidR="00C26811" w:rsidRPr="006E615B">
        <w:rPr>
          <w:rFonts w:ascii="Calibri" w:hAnsi="Calibri" w:cs="Calibri"/>
        </w:rPr>
        <w:t>hich together specify hundreds of interdependent provisions governing setbacks, floor area ratio (FAR), ground coverage, fire safety, and structural clearances. The scale of resulting non-compliance and enforcement pressure is acute in this jurisdiction</w:t>
      </w:r>
      <w:r w:rsidR="00C259C8">
        <w:rPr>
          <w:rFonts w:ascii="Calibri" w:hAnsi="Calibri" w:cs="Calibri"/>
        </w:rPr>
        <w:t>.</w:t>
      </w:r>
      <w:r w:rsidR="00C26811" w:rsidRPr="006E615B">
        <w:rPr>
          <w:rFonts w:ascii="Calibri" w:hAnsi="Calibri" w:cs="Calibri"/>
        </w:rPr>
        <w:t xml:space="preserve"> </w:t>
      </w:r>
      <w:r w:rsidR="00394A88">
        <w:rPr>
          <w:rFonts w:ascii="Calibri" w:hAnsi="Calibri" w:cs="Calibri"/>
        </w:rPr>
        <w:t>F</w:t>
      </w:r>
      <w:r w:rsidR="00C26811" w:rsidRPr="006E615B">
        <w:rPr>
          <w:rFonts w:ascii="Calibri" w:hAnsi="Calibri" w:cs="Calibri"/>
        </w:rPr>
        <w:t xml:space="preserve">or example, in early 2026, the newly established Hyderabad Disaster Response and Asset Protection Agency (HYDRAA) undertook massive demolition drives against unauthorised structures, reclaiming approximately 87.83 acres of encroached land within the Full Tank Level (FTL) and buffer zones of city lakes </w:t>
      </w:r>
      <w:r w:rsidR="00C26811" w:rsidRPr="006E615B">
        <w:rPr>
          <w:rFonts w:ascii="Calibri" w:hAnsi="Calibri" w:cs="Calibri"/>
        </w:rPr>
        <w:lastRenderedPageBreak/>
        <w:t>(PropNewz, 2026). This complements existing enforcement pressures reported by Greater Hyderabad Municipal Corporation (GHMC) officials, who note that 40–50% of citizen complaints received through its weekly grievance redressal programme relate to unauthorised construction, and approximately 250,000 writ petitions concerning unauthorised structures were filed in the Telangana High Court over the preceding five years (Munsif Daily, 2024).</w:t>
      </w:r>
    </w:p>
    <w:p w14:paraId="4445D077" w14:textId="0B45E60C" w:rsidR="00DA37F7" w:rsidRPr="008D64CC" w:rsidRDefault="00312801" w:rsidP="00312801">
      <w:pPr>
        <w:pStyle w:val="ListParagraph"/>
        <w:spacing w:after="40" w:line="240" w:lineRule="auto"/>
        <w:jc w:val="both"/>
        <w:rPr>
          <w:rFonts w:ascii="Calibri" w:hAnsi="Calibri" w:cs="Calibri"/>
          <w:lang w:val="en-IN"/>
        </w:rPr>
      </w:pPr>
      <w:r>
        <w:rPr>
          <w:rFonts w:ascii="Calibri" w:hAnsi="Calibri" w:cs="Calibri"/>
          <w:lang w:val="en-IN"/>
        </w:rPr>
        <w:t xml:space="preserve">     </w:t>
      </w:r>
      <w:r w:rsidR="008F08D7">
        <w:rPr>
          <w:rFonts w:ascii="Calibri" w:hAnsi="Calibri" w:cs="Calibri"/>
          <w:lang w:val="en-IN"/>
        </w:rPr>
        <w:t xml:space="preserve">    </w:t>
      </w:r>
      <w:r>
        <w:rPr>
          <w:rFonts w:ascii="Calibri" w:hAnsi="Calibri" w:cs="Calibri"/>
          <w:lang w:val="en-IN"/>
        </w:rPr>
        <w:t xml:space="preserve"> </w:t>
      </w:r>
      <w:r w:rsidR="00954BCF" w:rsidRPr="00954BCF">
        <w:rPr>
          <w:rFonts w:ascii="Calibri" w:hAnsi="Calibri" w:cs="Calibri"/>
          <w:lang w:val="en-IN"/>
        </w:rPr>
        <w:t xml:space="preserve">Large Language Models (LLMs) have attracted considerable research interest as candidate compliance assistants (Zhang, 2023; Nakhaee et al., 2024; Madireddy et al., 2025). However, existing evaluations report accuracy limitations specific to jurisdiction-dependent numerical thresholds, with documented error rates for tasks of this </w:t>
      </w:r>
      <w:r w:rsidR="0099425C" w:rsidRPr="00954BCF">
        <w:rPr>
          <w:rFonts w:ascii="Calibri" w:hAnsi="Calibri" w:cs="Calibri"/>
          <w:lang w:val="en-IN"/>
        </w:rPr>
        <w:t>category</w:t>
      </w:r>
      <w:r w:rsidR="0099425C" w:rsidRPr="0099425C">
        <w:rPr>
          <w:rFonts w:ascii="Calibri" w:hAnsi="Calibri" w:cs="Calibri"/>
        </w:rPr>
        <w:t xml:space="preserve"> (Lu and Zhu, 2026)</w:t>
      </w:r>
      <w:r w:rsidR="00954BCF" w:rsidRPr="00954BCF">
        <w:rPr>
          <w:rFonts w:ascii="Calibri" w:hAnsi="Calibri" w:cs="Calibri"/>
          <w:lang w:val="en-IN"/>
        </w:rPr>
        <w:t xml:space="preserve">. Al Nama and Mahmud (2024) report comparable performance gaps for interpretive regulatory queries even following domain-specific fine-tuning, based on an analysis of ChatGPT-4 and Gemini across question categories in engineering regulations; this finding is reported here as described in the related study (Al Nama et al., 2026) and has not been independently re-verified by the present author. </w:t>
      </w:r>
    </w:p>
    <w:p w14:paraId="27110311" w14:textId="0EFC1385" w:rsidR="002F6D40" w:rsidRDefault="002F6D40" w:rsidP="00312801">
      <w:pPr>
        <w:pStyle w:val="ListParagraph"/>
        <w:spacing w:after="40" w:line="240" w:lineRule="auto"/>
        <w:jc w:val="both"/>
        <w:rPr>
          <w:rFonts w:ascii="Calibri" w:hAnsi="Calibri" w:cs="Calibri"/>
          <w:lang w:val="en-IN"/>
        </w:rPr>
      </w:pPr>
      <w:r>
        <w:rPr>
          <w:rFonts w:ascii="Calibri" w:hAnsi="Calibri" w:cs="Calibri"/>
        </w:rPr>
        <w:t xml:space="preserve">          </w:t>
      </w:r>
      <w:r w:rsidRPr="002F6D40">
        <w:rPr>
          <w:rFonts w:ascii="Calibri" w:hAnsi="Calibri" w:cs="Calibri"/>
        </w:rPr>
        <w:t>Prior research integrating GIS with 3D spatial modeling addresses spatial interoperability and urban digital twins but lacks real-time compliance feedback within a unified interface (Karan and Irizarry, 2015). Recent reviews identify hybrid rule-based and machine learning approaches as the most promising direction for automated code compliance (Amor and Dimyadi, 2021). </w:t>
      </w:r>
      <w:r w:rsidR="00882CB6" w:rsidRPr="00882CB6">
        <w:rPr>
          <w:rFonts w:ascii="Calibri" w:hAnsi="Calibri" w:cs="Calibri"/>
        </w:rPr>
        <w:t>TerraLogic.ai fills this gap by incorporating OpenStreetMap (OSM)-based context modeling, 3D digital twins, and deterministic compliance verification into a single browser-accessible pre-design workflow.</w:t>
      </w:r>
    </w:p>
    <w:p w14:paraId="7AD757A8" w14:textId="3DD81E59" w:rsidR="006E615B" w:rsidRPr="00CD2531" w:rsidRDefault="00312801" w:rsidP="00312801">
      <w:pPr>
        <w:pStyle w:val="ListParagraph"/>
        <w:spacing w:after="40" w:line="240" w:lineRule="auto"/>
        <w:jc w:val="both"/>
        <w:rPr>
          <w:rFonts w:ascii="Calibri" w:hAnsi="Calibri" w:cs="Calibri"/>
          <w:lang w:val="en-IN"/>
        </w:rPr>
      </w:pPr>
      <w:r>
        <w:rPr>
          <w:rFonts w:ascii="Calibri" w:hAnsi="Calibri" w:cs="Calibri"/>
          <w:lang w:val="en-IN"/>
        </w:rPr>
        <w:t xml:space="preserve">   </w:t>
      </w:r>
      <w:r w:rsidR="008F08D7">
        <w:rPr>
          <w:rFonts w:ascii="Calibri" w:hAnsi="Calibri" w:cs="Calibri"/>
          <w:lang w:val="en-IN"/>
        </w:rPr>
        <w:t xml:space="preserve">    </w:t>
      </w:r>
      <w:r w:rsidR="00C26811" w:rsidRPr="00C26811">
        <w:rPr>
          <w:rFonts w:ascii="Calibri" w:hAnsi="Calibri" w:cs="Calibri"/>
          <w:lang w:val="en-IN"/>
        </w:rPr>
        <w:t>This paper presents TerraLogic.ai and its Hybrid Deterministic-Neural Compliance Engine</w:t>
      </w:r>
      <w:r w:rsidR="001D7EE1">
        <w:rPr>
          <w:rFonts w:ascii="Calibri" w:hAnsi="Calibri" w:cs="Calibri"/>
          <w:lang w:val="en-IN"/>
        </w:rPr>
        <w:t>.</w:t>
      </w:r>
      <w:r w:rsidR="009A1083" w:rsidRPr="009A1083">
        <w:rPr>
          <w:rFonts w:ascii="Segoe UI" w:hAnsi="Segoe UI" w:cs="Segoe UI"/>
          <w:color w:val="F9FAFB"/>
          <w:shd w:val="clear" w:color="auto" w:fill="151517"/>
        </w:rPr>
        <w:t xml:space="preserve"> </w:t>
      </w:r>
      <w:r w:rsidR="009A1083" w:rsidRPr="009A1083">
        <w:rPr>
          <w:rFonts w:ascii="Calibri" w:hAnsi="Calibri" w:cs="Calibri"/>
        </w:rPr>
        <w:t>The architecture responds directly to the LLM accuracy limitations described above, while also addressing the GIS-compliance integration gap.</w:t>
      </w:r>
      <w:r w:rsidR="00C26811" w:rsidRPr="00C26811">
        <w:rPr>
          <w:rFonts w:ascii="Calibri" w:hAnsi="Calibri" w:cs="Calibri"/>
          <w:lang w:val="en-IN"/>
        </w:rPr>
        <w:t xml:space="preserve"> While situated within the broader academic paradigm of GIS-BIM integration, the current iteration of TerraLogic</w:t>
      </w:r>
      <w:r w:rsidR="00B62A8F">
        <w:rPr>
          <w:rFonts w:ascii="Calibri" w:hAnsi="Calibri" w:cs="Calibri"/>
          <w:lang w:val="en-IN"/>
        </w:rPr>
        <w:t>.ai</w:t>
      </w:r>
      <w:r w:rsidR="00C26811" w:rsidRPr="00C26811">
        <w:rPr>
          <w:rFonts w:ascii="Calibri" w:hAnsi="Calibri" w:cs="Calibri"/>
          <w:lang w:val="en-IN"/>
        </w:rPr>
        <w:t xml:space="preserve"> focuses specifically on the pre-design stage. It u</w:t>
      </w:r>
      <w:r w:rsidR="00AD6381">
        <w:rPr>
          <w:rFonts w:ascii="Calibri" w:hAnsi="Calibri" w:cs="Calibri"/>
          <w:lang w:val="en-IN"/>
        </w:rPr>
        <w:t>ses</w:t>
      </w:r>
      <w:r w:rsidR="00C26811" w:rsidRPr="00C26811">
        <w:rPr>
          <w:rFonts w:ascii="Calibri" w:hAnsi="Calibri" w:cs="Calibri"/>
          <w:lang w:val="en-IN"/>
        </w:rPr>
        <w:t xml:space="preserve"> 3D geospatial massing as a lightweight, browser-accessible precursor to full Building Information Modeling (BIM).</w:t>
      </w:r>
    </w:p>
    <w:p w14:paraId="4EC55B74" w14:textId="15E0E2A7" w:rsidR="00C26811" w:rsidRDefault="008F08D7" w:rsidP="00312801">
      <w:pPr>
        <w:pStyle w:val="ListParagraph"/>
        <w:spacing w:after="40" w:line="240" w:lineRule="auto"/>
        <w:jc w:val="both"/>
        <w:rPr>
          <w:rFonts w:ascii="Calibri" w:hAnsi="Calibri" w:cs="Calibri"/>
        </w:rPr>
      </w:pPr>
      <w:r>
        <w:rPr>
          <w:rFonts w:ascii="Calibri" w:hAnsi="Calibri" w:cs="Calibri"/>
          <w:lang w:val="en-IN"/>
        </w:rPr>
        <w:t xml:space="preserve">         </w:t>
      </w:r>
      <w:r w:rsidR="00441C5A" w:rsidRPr="00441C5A">
        <w:rPr>
          <w:rFonts w:ascii="Calibri" w:hAnsi="Calibri" w:cs="Calibri"/>
        </w:rPr>
        <w:t>The purpose of this research is to investigate whether binding compliance determinations can be produced by deterministic rule logic while LLMs remain confined to advisory roles. The </w:t>
      </w:r>
      <w:r w:rsidR="00DB3A35">
        <w:rPr>
          <w:rFonts w:ascii="Calibri" w:hAnsi="Calibri" w:cs="Calibri"/>
        </w:rPr>
        <w:t>terralogic.ai</w:t>
      </w:r>
      <w:r w:rsidR="00441C5A" w:rsidRPr="00441C5A">
        <w:rPr>
          <w:rFonts w:ascii="Calibri" w:hAnsi="Calibri" w:cs="Calibri"/>
        </w:rPr>
        <w:t> platform serves as the instrument for this investigation. It allows architects and builders to test massing decisions at the pre-design stage against encoded RCBR 2012 and NBC 2016 provisions.</w:t>
      </w:r>
    </w:p>
    <w:p w14:paraId="686B5220" w14:textId="74E09576" w:rsidR="00954BCF" w:rsidRDefault="00E735E3" w:rsidP="00836622">
      <w:pPr>
        <w:pStyle w:val="ListParagraph"/>
        <w:spacing w:after="40" w:line="240" w:lineRule="auto"/>
        <w:jc w:val="both"/>
        <w:rPr>
          <w:rFonts w:ascii="Calibri" w:hAnsi="Calibri" w:cs="Calibri"/>
        </w:rPr>
      </w:pPr>
      <w:r>
        <w:rPr>
          <w:rFonts w:ascii="Calibri" w:hAnsi="Calibri" w:cs="Calibri"/>
        </w:rPr>
        <w:t xml:space="preserve">                </w:t>
      </w:r>
      <w:r w:rsidR="00836622">
        <w:rPr>
          <w:rFonts w:ascii="Calibri" w:hAnsi="Calibri" w:cs="Calibri"/>
        </w:rPr>
        <w:t xml:space="preserve">Primary research question: </w:t>
      </w:r>
      <w:r w:rsidR="00836622" w:rsidRPr="00836622">
        <w:rPr>
          <w:rFonts w:ascii="Calibri" w:hAnsi="Calibri" w:cs="Calibri"/>
        </w:rPr>
        <w:t>Can a hybrid architecture that separates deterministic compliance determination from neural advisory functions reduce the accuracy limitations reported for LLM-only compliance verification, while remaining usable by non-specialist practitioners at the pre-design stage?</w:t>
      </w:r>
    </w:p>
    <w:p w14:paraId="41346C53" w14:textId="77777777" w:rsidR="00836622" w:rsidRPr="00836622" w:rsidRDefault="00836622" w:rsidP="00836622">
      <w:pPr>
        <w:pStyle w:val="ListParagraph"/>
        <w:spacing w:after="40" w:line="240" w:lineRule="auto"/>
        <w:jc w:val="both"/>
        <w:rPr>
          <w:rFonts w:ascii="Calibri" w:hAnsi="Calibri" w:cs="Calibri"/>
          <w:b/>
          <w:bCs/>
          <w:sz w:val="28"/>
          <w:szCs w:val="28"/>
        </w:rPr>
      </w:pPr>
    </w:p>
    <w:p w14:paraId="64EA7039" w14:textId="06B5DF64" w:rsidR="00D6057A" w:rsidRPr="00CD3BEF" w:rsidRDefault="001931DB" w:rsidP="006E77D5">
      <w:pPr>
        <w:pStyle w:val="ListParagraph"/>
        <w:numPr>
          <w:ilvl w:val="0"/>
          <w:numId w:val="1"/>
        </w:numPr>
        <w:spacing w:after="40" w:line="240" w:lineRule="auto"/>
        <w:rPr>
          <w:rFonts w:ascii="Calibri" w:hAnsi="Calibri" w:cs="Calibri"/>
          <w:b/>
          <w:bCs/>
          <w:sz w:val="28"/>
          <w:szCs w:val="28"/>
        </w:rPr>
      </w:pPr>
      <w:r>
        <w:rPr>
          <w:rFonts w:ascii="Calibri" w:eastAsia="Calibri" w:hAnsi="Calibri" w:cs="Calibri"/>
          <w:b/>
          <w:bCs/>
          <w:color w:val="000000"/>
          <w:sz w:val="28"/>
          <w:szCs w:val="28"/>
        </w:rPr>
        <w:t>BACKGROUND AND RELATED WORK</w:t>
      </w:r>
    </w:p>
    <w:p w14:paraId="1CB90C32" w14:textId="77777777" w:rsidR="00CD3BEF" w:rsidRPr="001931DB" w:rsidRDefault="00CD3BEF" w:rsidP="00CD3BEF">
      <w:pPr>
        <w:pStyle w:val="ListParagraph"/>
        <w:spacing w:after="40" w:line="240" w:lineRule="auto"/>
        <w:rPr>
          <w:rFonts w:ascii="Calibri" w:hAnsi="Calibri" w:cs="Calibri"/>
          <w:b/>
          <w:bCs/>
          <w:sz w:val="28"/>
          <w:szCs w:val="28"/>
        </w:rPr>
      </w:pPr>
    </w:p>
    <w:p w14:paraId="390999BC" w14:textId="77777777" w:rsidR="006E615B" w:rsidRDefault="003D7BCD" w:rsidP="006E615B">
      <w:pPr>
        <w:spacing w:after="40" w:line="240" w:lineRule="auto"/>
        <w:rPr>
          <w:rFonts w:ascii="Calibri" w:hAnsi="Calibri" w:cs="Calibri"/>
          <w:b/>
          <w:bCs/>
          <w:sz w:val="28"/>
          <w:szCs w:val="28"/>
        </w:rPr>
      </w:pPr>
      <w:r w:rsidRPr="00CD3BEF">
        <w:rPr>
          <w:rFonts w:ascii="Calibri" w:hAnsi="Calibri" w:cs="Calibri"/>
          <w:b/>
          <w:bCs/>
          <w:sz w:val="24"/>
          <w:szCs w:val="24"/>
        </w:rPr>
        <w:t>2.1</w:t>
      </w:r>
      <w:r>
        <w:rPr>
          <w:rFonts w:ascii="Calibri" w:hAnsi="Calibri" w:cs="Calibri"/>
          <w:b/>
          <w:bCs/>
          <w:sz w:val="24"/>
          <w:szCs w:val="24"/>
        </w:rPr>
        <w:t xml:space="preserve"> </w:t>
      </w:r>
      <w:r w:rsidRPr="00CD3BEF">
        <w:rPr>
          <w:rFonts w:ascii="Calibri" w:hAnsi="Calibri" w:cs="Calibri"/>
          <w:b/>
          <w:bCs/>
          <w:sz w:val="24"/>
          <w:szCs w:val="24"/>
        </w:rPr>
        <w:t>Automated</w:t>
      </w:r>
      <w:r w:rsidR="00CD3BEF" w:rsidRPr="00CD3BEF">
        <w:rPr>
          <w:rFonts w:ascii="Calibri" w:hAnsi="Calibri" w:cs="Calibri"/>
          <w:b/>
          <w:bCs/>
          <w:sz w:val="24"/>
          <w:szCs w:val="24"/>
        </w:rPr>
        <w:t xml:space="preserve"> Code Compliance</w:t>
      </w:r>
    </w:p>
    <w:p w14:paraId="50ABD712" w14:textId="52FD78A7" w:rsidR="00B00BE7" w:rsidRPr="00420F33" w:rsidRDefault="006E615B" w:rsidP="008F08D7">
      <w:pPr>
        <w:spacing w:after="40" w:line="240" w:lineRule="auto"/>
        <w:jc w:val="both"/>
        <w:rPr>
          <w:rFonts w:ascii="Calibri" w:hAnsi="Calibri" w:cs="Calibri"/>
        </w:rPr>
      </w:pPr>
      <w:r>
        <w:rPr>
          <w:rFonts w:ascii="Calibri" w:hAnsi="Calibri" w:cs="Calibri"/>
          <w:b/>
          <w:bCs/>
          <w:sz w:val="28"/>
          <w:szCs w:val="28"/>
        </w:rPr>
        <w:t xml:space="preserve">      </w:t>
      </w:r>
      <w:r w:rsidR="008F08D7">
        <w:rPr>
          <w:rFonts w:ascii="Calibri" w:hAnsi="Calibri" w:cs="Calibri"/>
          <w:b/>
          <w:bCs/>
          <w:sz w:val="28"/>
          <w:szCs w:val="28"/>
        </w:rPr>
        <w:t xml:space="preserve">    </w:t>
      </w:r>
      <w:r w:rsidR="00420F33" w:rsidRPr="00420F33">
        <w:rPr>
          <w:rFonts w:ascii="Calibri" w:hAnsi="Calibri" w:cs="Calibri"/>
        </w:rPr>
        <w:t>Automated code compliance (ACC) checking has been investigated for two decades. Early implementations such as Singapore's CORENET ePlanCheck and the US SMARTcodes initiative established the first digital review paradigms (Eastman et al., 2009). Rule-based, ontology, and machine learning approaches have all been explored. Yet research prototypes have consistently failed to reach practitioner adoption (Amor &amp; Dimyadi, 2021</w:t>
      </w:r>
      <w:r w:rsidR="005351B8">
        <w:rPr>
          <w:rFonts w:ascii="Calibri" w:hAnsi="Calibri" w:cs="Calibri"/>
        </w:rPr>
        <w:t>)</w:t>
      </w:r>
      <w:r w:rsidR="005351B8">
        <w:rPr>
          <w:rFonts w:ascii="Inter" w:hAnsi="Inter"/>
          <w:color w:val="474C58"/>
          <w:bdr w:val="single" w:sz="2" w:space="0" w:color="E5E7EB" w:frame="1"/>
          <w:shd w:val="clear" w:color="auto" w:fill="FFFFFF"/>
        </w:rPr>
        <w:t xml:space="preserve">. </w:t>
      </w:r>
      <w:r w:rsidR="005351B8" w:rsidRPr="005351B8">
        <w:rPr>
          <w:rFonts w:ascii="Calibri" w:hAnsi="Calibri" w:cs="Calibri"/>
        </w:rPr>
        <w:t>The two major obstacles preventing widespread adoption of ACC systems are the difficulty of integrating them into existing workflows and the lack of a unified pre-design interface</w:t>
      </w:r>
      <w:r w:rsidR="005351B8">
        <w:rPr>
          <w:rFonts w:ascii="Calibri" w:hAnsi="Calibri" w:cs="Calibri"/>
        </w:rPr>
        <w:t>.</w:t>
      </w:r>
    </w:p>
    <w:p w14:paraId="55BFECDA" w14:textId="650F360D" w:rsidR="00CE361E" w:rsidRPr="00CD3BEF" w:rsidRDefault="00616D37" w:rsidP="00CE361E">
      <w:pPr>
        <w:spacing w:after="40" w:line="240" w:lineRule="auto"/>
        <w:rPr>
          <w:rFonts w:ascii="Calibri" w:hAnsi="Calibri" w:cs="Calibri"/>
          <w:b/>
          <w:bCs/>
          <w:sz w:val="28"/>
          <w:szCs w:val="28"/>
        </w:rPr>
      </w:pPr>
      <w:r w:rsidRPr="00CD3BEF">
        <w:rPr>
          <w:rFonts w:ascii="Calibri" w:hAnsi="Calibri" w:cs="Calibri"/>
          <w:b/>
          <w:bCs/>
          <w:sz w:val="24"/>
          <w:szCs w:val="24"/>
        </w:rPr>
        <w:lastRenderedPageBreak/>
        <w:t>2.</w:t>
      </w:r>
      <w:r>
        <w:rPr>
          <w:rFonts w:ascii="Calibri" w:hAnsi="Calibri" w:cs="Calibri"/>
          <w:b/>
          <w:bCs/>
          <w:sz w:val="24"/>
          <w:szCs w:val="24"/>
        </w:rPr>
        <w:t xml:space="preserve">2 </w:t>
      </w:r>
      <w:r w:rsidRPr="00CD3BEF">
        <w:rPr>
          <w:rFonts w:ascii="Calibri" w:hAnsi="Calibri" w:cs="Calibri"/>
          <w:b/>
          <w:bCs/>
          <w:sz w:val="24"/>
          <w:szCs w:val="24"/>
        </w:rPr>
        <w:t>LLM</w:t>
      </w:r>
      <w:r w:rsidR="00CE361E" w:rsidRPr="00CE361E">
        <w:rPr>
          <w:rFonts w:ascii="Calibri" w:hAnsi="Calibri" w:cs="Calibri"/>
          <w:b/>
          <w:bCs/>
          <w:sz w:val="24"/>
          <w:szCs w:val="24"/>
        </w:rPr>
        <w:t>-Based Compliance</w:t>
      </w:r>
    </w:p>
    <w:p w14:paraId="1D148C51" w14:textId="6F887B6B" w:rsidR="00CE361E" w:rsidRPr="00C71F40" w:rsidRDefault="006E615B" w:rsidP="00E42F67">
      <w:pPr>
        <w:spacing w:after="40" w:line="240" w:lineRule="auto"/>
        <w:jc w:val="both"/>
        <w:rPr>
          <w:rFonts w:ascii="Segoe UI" w:hAnsi="Segoe UI" w:cs="Segoe UI"/>
          <w:color w:val="F9FAFB"/>
          <w:shd w:val="clear" w:color="auto" w:fill="151517"/>
        </w:rPr>
      </w:pPr>
      <w:r>
        <w:rPr>
          <w:rFonts w:ascii="Calibri" w:hAnsi="Calibri" w:cs="Calibri"/>
        </w:rPr>
        <w:t xml:space="preserve">      </w:t>
      </w:r>
      <w:r w:rsidR="00E42F67">
        <w:rPr>
          <w:rFonts w:ascii="Calibri" w:hAnsi="Calibri" w:cs="Calibri"/>
        </w:rPr>
        <w:t xml:space="preserve">   </w:t>
      </w:r>
      <w:r w:rsidR="00E42F67" w:rsidRPr="00E42F67">
        <w:rPr>
          <w:rFonts w:ascii="Calibri" w:hAnsi="Calibri" w:cs="Calibri"/>
        </w:rPr>
        <w:t>Early work on LLMs for building code compliance noted baseline accuracy limits alongside potential for accelerating ACC (Zhang, 2023). Hybrid frameworks combining knowledge graphs with LLMs were proposed to improve scalability (Nakhae et al., 2024). In applied BIM contexts, multiple LLM agents were embedded in Revit workflows. Efficiency gains were realized, but accuracy problems persisted on jurisdiction-specific numerical parameters (Madireddy et al., 2025</w:t>
      </w:r>
      <w:r w:rsidR="00D57257" w:rsidRPr="00E42F67">
        <w:rPr>
          <w:rFonts w:ascii="Calibri" w:hAnsi="Calibri" w:cs="Calibri"/>
        </w:rPr>
        <w:t>).</w:t>
      </w:r>
      <w:r w:rsidR="00D57257">
        <w:rPr>
          <w:rFonts w:ascii="Calibri" w:hAnsi="Calibri" w:cs="Calibri"/>
        </w:rPr>
        <w:t xml:space="preserve"> (</w:t>
      </w:r>
      <w:r w:rsidR="00E20E58" w:rsidRPr="00E20E58">
        <w:rPr>
          <w:rFonts w:ascii="Calibri" w:hAnsi="Calibri" w:cs="Calibri"/>
        </w:rPr>
        <w:t>Lu and Zhu</w:t>
      </w:r>
      <w:r w:rsidR="00C71F40">
        <w:rPr>
          <w:rFonts w:ascii="Calibri" w:hAnsi="Calibri" w:cs="Calibri"/>
        </w:rPr>
        <w:t>.,</w:t>
      </w:r>
      <w:r w:rsidR="00E20E58" w:rsidRPr="00E20E58">
        <w:rPr>
          <w:rFonts w:ascii="Calibri" w:hAnsi="Calibri" w:cs="Calibri"/>
        </w:rPr>
        <w:t xml:space="preserve"> 2026) report a similar pattern in structural compliance checking, where zero-shot prompting reached only 57.35% </w:t>
      </w:r>
      <w:r w:rsidR="00D57257" w:rsidRPr="00E20E58">
        <w:rPr>
          <w:rFonts w:ascii="Calibri" w:hAnsi="Calibri" w:cs="Calibri"/>
        </w:rPr>
        <w:t>accuracy</w:t>
      </w:r>
      <w:r w:rsidR="00D57257" w:rsidRPr="00E42F67">
        <w:rPr>
          <w:rFonts w:ascii="Calibri" w:hAnsi="Calibri" w:cs="Calibri"/>
        </w:rPr>
        <w:t>. Similar</w:t>
      </w:r>
      <w:r w:rsidR="00E42F67" w:rsidRPr="00E42F67">
        <w:rPr>
          <w:rFonts w:ascii="Calibri" w:hAnsi="Calibri" w:cs="Calibri"/>
        </w:rPr>
        <w:t xml:space="preserve"> gaps appear when LLMs handle interpretive queries in engineering law (Al Nama &amp; Mahmud, 2024). A fine-tuned Custom GPT model achieved high factual accuracy on its training set but still struggled with interpretive provisions and dynamic code updates (Al Nama et al., 2026). </w:t>
      </w:r>
      <w:r w:rsidR="00D63D8A" w:rsidRPr="00D63D8A">
        <w:rPr>
          <w:rFonts w:ascii="Calibri" w:hAnsi="Calibri" w:cs="Calibri"/>
        </w:rPr>
        <w:t>The pattern is clear. LLM-only compliance verification is not yet reliable enough for professional work. That is why this paper explores a hybrid approach.</w:t>
      </w:r>
    </w:p>
    <w:p w14:paraId="721E8AFC" w14:textId="77777777" w:rsidR="00CE361E" w:rsidRDefault="00CE361E" w:rsidP="00CE361E">
      <w:pPr>
        <w:spacing w:after="40" w:line="240" w:lineRule="auto"/>
        <w:ind w:firstLine="851"/>
        <w:jc w:val="both"/>
        <w:rPr>
          <w:rFonts w:ascii="Calibri" w:hAnsi="Calibri" w:cs="Calibri"/>
        </w:rPr>
      </w:pPr>
    </w:p>
    <w:p w14:paraId="058ADEC3" w14:textId="4DCC41C1" w:rsidR="00E73190" w:rsidRDefault="00E73190" w:rsidP="00E73190">
      <w:pPr>
        <w:pStyle w:val="ListParagraph"/>
        <w:numPr>
          <w:ilvl w:val="0"/>
          <w:numId w:val="1"/>
        </w:numPr>
        <w:spacing w:after="40" w:line="240" w:lineRule="auto"/>
        <w:jc w:val="both"/>
        <w:rPr>
          <w:rFonts w:ascii="Calibri" w:hAnsi="Calibri" w:cs="Calibri"/>
          <w:b/>
          <w:bCs/>
          <w:sz w:val="28"/>
          <w:szCs w:val="28"/>
        </w:rPr>
      </w:pPr>
      <w:r w:rsidRPr="00E73190">
        <w:rPr>
          <w:rFonts w:ascii="Calibri" w:hAnsi="Calibri" w:cs="Calibri"/>
          <w:b/>
          <w:bCs/>
          <w:sz w:val="28"/>
          <w:szCs w:val="28"/>
        </w:rPr>
        <w:t>PROPOSED METHODOLOGY: TERRALOGIC.AI ARCHITECTURE</w:t>
      </w:r>
    </w:p>
    <w:p w14:paraId="5A722DC9" w14:textId="77777777" w:rsidR="00A1688F" w:rsidRDefault="00A1688F" w:rsidP="00A1688F">
      <w:pPr>
        <w:pStyle w:val="ListParagraph"/>
        <w:spacing w:after="40" w:line="240" w:lineRule="auto"/>
        <w:jc w:val="both"/>
        <w:rPr>
          <w:rFonts w:ascii="Calibri" w:hAnsi="Calibri" w:cs="Calibri"/>
          <w:b/>
          <w:bCs/>
          <w:sz w:val="28"/>
          <w:szCs w:val="28"/>
        </w:rPr>
      </w:pPr>
    </w:p>
    <w:p w14:paraId="2DE0B3CD" w14:textId="188B976A" w:rsidR="00A1688F" w:rsidRDefault="00A1688F" w:rsidP="00A1688F">
      <w:pPr>
        <w:pStyle w:val="ListParagraph"/>
        <w:spacing w:after="40" w:line="240" w:lineRule="auto"/>
        <w:jc w:val="both"/>
        <w:rPr>
          <w:rFonts w:ascii="Calibri" w:hAnsi="Calibri" w:cs="Calibri"/>
        </w:rPr>
      </w:pPr>
      <w:r w:rsidRPr="00A1688F">
        <w:rPr>
          <w:rFonts w:ascii="Calibri" w:hAnsi="Calibri" w:cs="Calibri"/>
        </w:rPr>
        <w:t>The methodology proceeds in five stages, summarised in Fig. 1: site input, geospatial context generation, structured metric extraction, compliance evaluation, and output.</w:t>
      </w:r>
    </w:p>
    <w:p w14:paraId="3DFC4523" w14:textId="77777777" w:rsidR="00A1688F" w:rsidRPr="00A1688F" w:rsidRDefault="00A1688F" w:rsidP="00A1688F">
      <w:pPr>
        <w:pStyle w:val="ListParagraph"/>
        <w:spacing w:after="40" w:line="240" w:lineRule="auto"/>
        <w:jc w:val="both"/>
        <w:rPr>
          <w:rFonts w:ascii="Calibri" w:hAnsi="Calibri" w:cs="Calibri"/>
        </w:rPr>
      </w:pPr>
    </w:p>
    <w:p w14:paraId="6610D390" w14:textId="4C3B4D64" w:rsidR="00A01B7C" w:rsidRPr="00A01B7C" w:rsidRDefault="00B10ECE" w:rsidP="00501631">
      <w:pPr>
        <w:pStyle w:val="BodyText"/>
        <w:jc w:val="center"/>
        <w:rPr>
          <w:lang w:val="en-US"/>
        </w:rPr>
      </w:pPr>
      <w:r>
        <w:rPr>
          <w:noProof/>
          <w:lang w:val="en-US"/>
        </w:rPr>
        <w:drawing>
          <wp:inline distT="0" distB="0" distL="0" distR="0" wp14:anchorId="1A14E2CD" wp14:editId="731E2922">
            <wp:extent cx="4758286" cy="2989089"/>
            <wp:effectExtent l="0" t="0" r="4445" b="1905"/>
            <wp:docPr id="93266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66001" name="Picture 9326600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14778" cy="3087395"/>
                    </a:xfrm>
                    <a:prstGeom prst="rect">
                      <a:avLst/>
                    </a:prstGeom>
                  </pic:spPr>
                </pic:pic>
              </a:graphicData>
            </a:graphic>
          </wp:inline>
        </w:drawing>
      </w:r>
    </w:p>
    <w:p w14:paraId="2188E795" w14:textId="0692D877" w:rsidR="00A01B7C" w:rsidRPr="00A01B7C" w:rsidRDefault="00A01B7C" w:rsidP="00A01B7C">
      <w:pPr>
        <w:pStyle w:val="ImageCaption"/>
        <w:rPr>
          <w:sz w:val="20"/>
          <w:szCs w:val="20"/>
        </w:rPr>
      </w:pPr>
      <w:r>
        <w:rPr>
          <w:sz w:val="20"/>
          <w:szCs w:val="20"/>
        </w:rPr>
        <w:t xml:space="preserve">        </w:t>
      </w:r>
      <w:r w:rsidRPr="00A01B7C">
        <w:rPr>
          <w:sz w:val="20"/>
          <w:szCs w:val="20"/>
        </w:rPr>
        <w:t>Fig. 1: Overarching methodology of TerraLogic.ai — five-stage pipeline from site input through geospatial context generation and structured metric extraction to the three-level Hybrid Deterministic-Neural Compliance Engine (HDNCE) and real-time compliance feedback. The dotted boundary marks the architectural isolation between the deterministic Level 1 and the LLM layers.</w:t>
      </w:r>
    </w:p>
    <w:p w14:paraId="7D75699C" w14:textId="53396A57" w:rsidR="00D259F1" w:rsidRPr="00D259F1" w:rsidRDefault="00DA37F7" w:rsidP="00D259F1">
      <w:pPr>
        <w:pStyle w:val="ListParagraph"/>
        <w:spacing w:after="40"/>
        <w:rPr>
          <w:rFonts w:ascii="Calibri" w:hAnsi="Calibri" w:cs="Calibri"/>
          <w:lang w:val="en-IN"/>
        </w:rPr>
      </w:pPr>
      <w:r>
        <w:rPr>
          <w:rFonts w:ascii="Calibri" w:hAnsi="Calibri" w:cs="Calibri"/>
          <w:noProof/>
          <w:lang w:val="en-IN"/>
        </w:rPr>
        <w:t xml:space="preserve"> </w:t>
      </w:r>
      <w:r>
        <w:rPr>
          <w:noProof/>
        </w:rPr>
        <w:t xml:space="preserve">               </w:t>
      </w:r>
    </w:p>
    <w:p w14:paraId="604DB9BA" w14:textId="61468DE6" w:rsidR="00B54D03" w:rsidRDefault="00B54D03" w:rsidP="006B454E">
      <w:pPr>
        <w:pStyle w:val="ListParagraph"/>
        <w:numPr>
          <w:ilvl w:val="1"/>
          <w:numId w:val="6"/>
        </w:numPr>
        <w:spacing w:after="40" w:line="240" w:lineRule="auto"/>
        <w:rPr>
          <w:rFonts w:ascii="Calibri" w:hAnsi="Calibri" w:cs="Calibri"/>
          <w:b/>
          <w:bCs/>
          <w:sz w:val="24"/>
          <w:szCs w:val="24"/>
        </w:rPr>
      </w:pPr>
      <w:r w:rsidRPr="00B54D03">
        <w:rPr>
          <w:rFonts w:ascii="Calibri" w:hAnsi="Calibri" w:cs="Calibri"/>
          <w:b/>
          <w:bCs/>
          <w:sz w:val="24"/>
          <w:szCs w:val="24"/>
        </w:rPr>
        <w:t>System Topology and Isolated Execution Protocol</w:t>
      </w:r>
    </w:p>
    <w:p w14:paraId="76087308" w14:textId="77777777" w:rsidR="00B621C7" w:rsidRDefault="00B54D03" w:rsidP="00B621C7">
      <w:pPr>
        <w:spacing w:after="40" w:line="240" w:lineRule="auto"/>
        <w:ind w:left="360"/>
        <w:jc w:val="both"/>
        <w:rPr>
          <w:rFonts w:ascii="Calibri" w:hAnsi="Calibri" w:cs="Calibri"/>
        </w:rPr>
      </w:pPr>
      <w:r>
        <w:rPr>
          <w:rFonts w:ascii="Calibri" w:hAnsi="Calibri" w:cs="Calibri"/>
        </w:rPr>
        <w:t xml:space="preserve">       </w:t>
      </w:r>
      <w:r w:rsidR="00B621C7" w:rsidRPr="00B621C7">
        <w:rPr>
          <w:rFonts w:ascii="Calibri" w:hAnsi="Calibri" w:cs="Calibri"/>
        </w:rPr>
        <w:t>The system is implemented as a browser-accessible three-tier web architecture, avoiding dependence on licensed BIM environments that are not consistently accessible to students, sole-practitioner firms, or government review officers. LLM integration is governed by a three-level framework. The goal is simple: keep every binding compliance determination tied to the encoded provisions of RCBR 2012 and NBC 2016.</w:t>
      </w:r>
    </w:p>
    <w:p w14:paraId="70EDA621" w14:textId="6AA82774" w:rsidR="006E615B" w:rsidRPr="00C2511E" w:rsidRDefault="00B54D03" w:rsidP="00C2511E">
      <w:pPr>
        <w:pStyle w:val="ListParagraph"/>
        <w:numPr>
          <w:ilvl w:val="0"/>
          <w:numId w:val="3"/>
        </w:numPr>
        <w:spacing w:after="40" w:line="240" w:lineRule="auto"/>
        <w:jc w:val="both"/>
        <w:rPr>
          <w:rFonts w:ascii="Calibri" w:hAnsi="Calibri" w:cs="Calibri"/>
          <w:lang w:val="en-IN"/>
        </w:rPr>
      </w:pPr>
      <w:r w:rsidRPr="00C2511E">
        <w:rPr>
          <w:rFonts w:ascii="Calibri" w:hAnsi="Calibri" w:cs="Calibri"/>
          <w:b/>
          <w:bCs/>
          <w:lang w:val="en-IN"/>
        </w:rPr>
        <w:lastRenderedPageBreak/>
        <w:t>Level 1 — Deterministic Rule Evaluation.</w:t>
      </w:r>
      <w:r w:rsidRPr="00C2511E">
        <w:rPr>
          <w:rFonts w:ascii="Calibri" w:hAnsi="Calibri" w:cs="Calibri"/>
          <w:lang w:val="en-IN"/>
        </w:rPr>
        <w:t xml:space="preserve"> Exact conditional logic encoding RCBR 2012 and NBC 2016 provisions executes synchronously on every massing state change. The module receives a ComplianceInput </w:t>
      </w:r>
      <w:r w:rsidR="00D86E0C" w:rsidRPr="00C2511E">
        <w:rPr>
          <w:rFonts w:ascii="Calibri" w:hAnsi="Calibri" w:cs="Calibri"/>
          <w:lang w:val="en-IN"/>
        </w:rPr>
        <w:t>object containing</w:t>
      </w:r>
      <w:r w:rsidRPr="00C2511E">
        <w:rPr>
          <w:rFonts w:ascii="Calibri" w:hAnsi="Calibri" w:cs="Calibri"/>
          <w:lang w:val="en-IN"/>
        </w:rPr>
        <w:t xml:space="preserve"> site area, massing array, and computed metrics</w:t>
      </w:r>
      <w:r w:rsidR="00F55D27" w:rsidRPr="00C2511E">
        <w:rPr>
          <w:rFonts w:ascii="Calibri" w:hAnsi="Calibri" w:cs="Calibri"/>
          <w:lang w:val="en-IN"/>
        </w:rPr>
        <w:t xml:space="preserve"> </w:t>
      </w:r>
      <w:r w:rsidRPr="00C2511E">
        <w:rPr>
          <w:rFonts w:ascii="Calibri" w:hAnsi="Calibri" w:cs="Calibri"/>
          <w:lang w:val="en-IN"/>
        </w:rPr>
        <w:t>and returns an NbcRuleResult object within 5</w:t>
      </w:r>
      <w:r w:rsidR="00410203">
        <w:rPr>
          <w:rFonts w:ascii="Calibri" w:hAnsi="Calibri" w:cs="Calibri"/>
          <w:lang w:val="en-IN"/>
        </w:rPr>
        <w:t xml:space="preserve"> </w:t>
      </w:r>
      <w:r w:rsidRPr="00C2511E">
        <w:rPr>
          <w:rFonts w:ascii="Calibri" w:hAnsi="Calibri" w:cs="Calibri"/>
          <w:lang w:val="en-IN"/>
        </w:rPr>
        <w:t>ms in all tested configurations. Output is binary, with a precise regulatory citation. LLMs have no access to this layer.</w:t>
      </w:r>
    </w:p>
    <w:p w14:paraId="0DFBBF8E" w14:textId="5ADF96D7" w:rsidR="006E615B" w:rsidRPr="00F55D27" w:rsidRDefault="00D66311" w:rsidP="000E3CA3">
      <w:pPr>
        <w:pStyle w:val="ListParagraph"/>
        <w:numPr>
          <w:ilvl w:val="0"/>
          <w:numId w:val="3"/>
        </w:numPr>
        <w:spacing w:after="40"/>
        <w:jc w:val="both"/>
        <w:rPr>
          <w:rFonts w:ascii="Calibri" w:hAnsi="Calibri" w:cs="Calibri"/>
          <w:lang w:val="en-IN"/>
        </w:rPr>
      </w:pPr>
      <w:r w:rsidRPr="00D66311">
        <w:rPr>
          <w:rFonts w:ascii="Calibri" w:hAnsi="Calibri" w:cs="Calibri"/>
          <w:b/>
          <w:bCs/>
        </w:rPr>
        <w:t xml:space="preserve">Level 2 — </w:t>
      </w:r>
      <w:r w:rsidRPr="00D66311">
        <w:rPr>
          <w:rFonts w:ascii="Calibri" w:hAnsi="Calibri" w:cs="Calibri"/>
        </w:rPr>
        <w:t xml:space="preserve">AI-Generated Design Recommendations. The LLM receives the Level 1 </w:t>
      </w:r>
      <w:r w:rsidR="00D86E0C" w:rsidRPr="00D66311">
        <w:rPr>
          <w:rFonts w:ascii="Calibri" w:hAnsi="Calibri" w:cs="Calibri"/>
        </w:rPr>
        <w:t xml:space="preserve">result </w:t>
      </w:r>
      <w:r w:rsidRPr="00D66311">
        <w:rPr>
          <w:rFonts w:ascii="Calibri" w:hAnsi="Calibri" w:cs="Calibri"/>
        </w:rPr>
        <w:t>the violation list, severity ratings, and composite score as read-only context and generates 3–5 actionable design recommendations for improving the massing. The system prompt explicitly instructs the model not to contradict the rule engine's findings; it cannot modify the violation array, severity ratings, or the composite compliance score.</w:t>
      </w:r>
    </w:p>
    <w:p w14:paraId="1C958585" w14:textId="77777777" w:rsidR="00B54D03" w:rsidRDefault="00B54D03" w:rsidP="00386E5D">
      <w:pPr>
        <w:pStyle w:val="ListParagraph"/>
        <w:numPr>
          <w:ilvl w:val="0"/>
          <w:numId w:val="3"/>
        </w:numPr>
        <w:spacing w:after="40"/>
        <w:jc w:val="both"/>
        <w:rPr>
          <w:rFonts w:ascii="Calibri" w:hAnsi="Calibri" w:cs="Calibri"/>
          <w:lang w:val="en-IN"/>
        </w:rPr>
      </w:pPr>
      <w:r w:rsidRPr="00B54D03">
        <w:rPr>
          <w:rFonts w:ascii="Calibri" w:hAnsi="Calibri" w:cs="Calibri"/>
          <w:b/>
          <w:bCs/>
          <w:lang w:val="en-IN"/>
        </w:rPr>
        <w:t>Level 3 — AI Design Suggestion.</w:t>
      </w:r>
      <w:r w:rsidRPr="00B54D03">
        <w:rPr>
          <w:rFonts w:ascii="Calibri" w:hAnsi="Calibri" w:cs="Calibri"/>
          <w:lang w:val="en-IN"/>
        </w:rPr>
        <w:t xml:space="preserve"> The LLM proposes design alternatives, displayed in a visually distinct panel and framed explicitly as advisory rather than as compliance determinations.</w:t>
      </w:r>
    </w:p>
    <w:p w14:paraId="13457B67" w14:textId="77777777" w:rsidR="00711198" w:rsidRDefault="00711198" w:rsidP="00386E5D">
      <w:pPr>
        <w:pStyle w:val="ListParagraph"/>
        <w:spacing w:after="40"/>
        <w:jc w:val="both"/>
        <w:rPr>
          <w:rFonts w:ascii="Calibri" w:hAnsi="Calibri" w:cs="Calibri"/>
          <w:lang w:val="en-IN"/>
        </w:rPr>
      </w:pPr>
    </w:p>
    <w:p w14:paraId="5A12A71D" w14:textId="11CC629C" w:rsidR="009F7DBA" w:rsidRDefault="0007764E" w:rsidP="000E3CA3">
      <w:pPr>
        <w:pStyle w:val="ListParagraph"/>
        <w:spacing w:after="40"/>
        <w:jc w:val="both"/>
        <w:rPr>
          <w:noProof/>
        </w:rPr>
      </w:pPr>
      <w:r w:rsidRPr="00D259F1">
        <w:rPr>
          <w:rFonts w:ascii="Calibri" w:hAnsi="Calibri" w:cs="Calibri"/>
          <w:noProof/>
          <w:lang w:val="en-IN"/>
        </w:rPr>
        <w:drawing>
          <wp:inline distT="0" distB="0" distL="0" distR="0" wp14:anchorId="04F181FB" wp14:editId="40143D2B">
            <wp:extent cx="2174240" cy="1198133"/>
            <wp:effectExtent l="0" t="0" r="0" b="2540"/>
            <wp:docPr id="16228739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37401" cy="1232938"/>
                    </a:xfrm>
                    <a:prstGeom prst="rect">
                      <a:avLst/>
                    </a:prstGeom>
                    <a:noFill/>
                    <a:ln>
                      <a:noFill/>
                    </a:ln>
                  </pic:spPr>
                </pic:pic>
              </a:graphicData>
            </a:graphic>
          </wp:inline>
        </w:drawing>
      </w:r>
      <w:r>
        <w:rPr>
          <w:noProof/>
        </w:rPr>
        <w:t xml:space="preserve">               </w:t>
      </w:r>
      <w:r w:rsidR="00156734">
        <w:rPr>
          <w:noProof/>
        </w:rPr>
        <w:t xml:space="preserve">      </w:t>
      </w:r>
      <w:r>
        <w:rPr>
          <w:noProof/>
        </w:rPr>
        <w:t xml:space="preserve">  </w:t>
      </w:r>
      <w:r>
        <w:rPr>
          <w:noProof/>
        </w:rPr>
        <w:drawing>
          <wp:inline distT="0" distB="0" distL="0" distR="0" wp14:anchorId="6C0C04C1" wp14:editId="241F41AC">
            <wp:extent cx="2546155" cy="1185065"/>
            <wp:effectExtent l="0" t="0" r="6985" b="0"/>
            <wp:docPr id="3788517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7381" cy="1232179"/>
                    </a:xfrm>
                    <a:prstGeom prst="rect">
                      <a:avLst/>
                    </a:prstGeom>
                    <a:noFill/>
                    <a:ln>
                      <a:noFill/>
                    </a:ln>
                  </pic:spPr>
                </pic:pic>
              </a:graphicData>
            </a:graphic>
          </wp:inline>
        </w:drawing>
      </w:r>
    </w:p>
    <w:p w14:paraId="07C2DF38" w14:textId="3CA74866" w:rsidR="000F6104" w:rsidRDefault="0007764E" w:rsidP="000F6104">
      <w:pPr>
        <w:pStyle w:val="ListParagraph"/>
        <w:spacing w:after="40" w:line="240" w:lineRule="auto"/>
        <w:rPr>
          <w:rFonts w:ascii="Calibri" w:hAnsi="Calibri" w:cs="Calibri"/>
          <w:sz w:val="20"/>
          <w:szCs w:val="20"/>
        </w:rPr>
      </w:pPr>
      <w:r w:rsidRPr="00D259F1">
        <w:rPr>
          <w:rFonts w:ascii="Calibri" w:hAnsi="Calibri" w:cs="Calibri"/>
          <w:b/>
          <w:bCs/>
          <w:sz w:val="20"/>
          <w:szCs w:val="20"/>
        </w:rPr>
        <w:t xml:space="preserve">Fig. </w:t>
      </w:r>
      <w:r w:rsidR="000B1ACA">
        <w:rPr>
          <w:rFonts w:ascii="Calibri" w:hAnsi="Calibri" w:cs="Calibri"/>
          <w:b/>
          <w:bCs/>
          <w:sz w:val="20"/>
          <w:szCs w:val="20"/>
        </w:rPr>
        <w:t>2</w:t>
      </w:r>
      <w:r w:rsidRPr="00D259F1">
        <w:rPr>
          <w:rFonts w:ascii="Calibri" w:hAnsi="Calibri" w:cs="Calibri"/>
          <w:b/>
          <w:bCs/>
          <w:sz w:val="20"/>
          <w:szCs w:val="20"/>
        </w:rPr>
        <w:t>:</w:t>
      </w:r>
      <w:r w:rsidRPr="00D259F1">
        <w:rPr>
          <w:rFonts w:ascii="Calibri" w:hAnsi="Calibri" w:cs="Calibri"/>
          <w:sz w:val="20"/>
          <w:szCs w:val="20"/>
        </w:rPr>
        <w:t xml:space="preserve"> TerraLogic.ai </w:t>
      </w:r>
      <w:r w:rsidR="00A43301">
        <w:rPr>
          <w:rFonts w:ascii="Calibri" w:hAnsi="Calibri" w:cs="Calibri"/>
          <w:sz w:val="20"/>
          <w:szCs w:val="20"/>
        </w:rPr>
        <w:t>COMPLIANCE CHECKING</w:t>
      </w:r>
      <w:r w:rsidRPr="00D259F1">
        <w:rPr>
          <w:rFonts w:ascii="Calibri" w:hAnsi="Calibri" w:cs="Calibri"/>
          <w:sz w:val="20"/>
          <w:szCs w:val="20"/>
        </w:rPr>
        <w:t xml:space="preserve"> </w:t>
      </w:r>
      <w:r>
        <w:rPr>
          <w:rFonts w:ascii="Calibri" w:hAnsi="Calibri" w:cs="Calibri"/>
          <w:sz w:val="20"/>
          <w:szCs w:val="20"/>
        </w:rPr>
        <w:t xml:space="preserve">              </w:t>
      </w:r>
      <w:r w:rsidR="00C94E6F">
        <w:rPr>
          <w:rFonts w:ascii="Calibri" w:hAnsi="Calibri" w:cs="Calibri"/>
          <w:sz w:val="20"/>
          <w:szCs w:val="20"/>
        </w:rPr>
        <w:t xml:space="preserve">   </w:t>
      </w:r>
      <w:r>
        <w:rPr>
          <w:rFonts w:ascii="Calibri" w:hAnsi="Calibri" w:cs="Calibri"/>
          <w:sz w:val="20"/>
          <w:szCs w:val="20"/>
        </w:rPr>
        <w:t xml:space="preserve">    </w:t>
      </w:r>
      <w:r w:rsidRPr="00D259F1">
        <w:rPr>
          <w:rFonts w:ascii="Calibri" w:hAnsi="Calibri" w:cs="Calibri"/>
          <w:b/>
          <w:bCs/>
          <w:sz w:val="20"/>
          <w:szCs w:val="20"/>
        </w:rPr>
        <w:t xml:space="preserve">Fig. </w:t>
      </w:r>
      <w:r w:rsidR="000B1ACA">
        <w:rPr>
          <w:rFonts w:ascii="Calibri" w:hAnsi="Calibri" w:cs="Calibri"/>
          <w:b/>
          <w:bCs/>
          <w:sz w:val="20"/>
          <w:szCs w:val="20"/>
        </w:rPr>
        <w:t>3</w:t>
      </w:r>
      <w:r w:rsidRPr="00D259F1">
        <w:rPr>
          <w:rFonts w:ascii="Calibri" w:hAnsi="Calibri" w:cs="Calibri"/>
          <w:b/>
          <w:bCs/>
          <w:sz w:val="20"/>
          <w:szCs w:val="20"/>
        </w:rPr>
        <w:t>:</w:t>
      </w:r>
      <w:r w:rsidRPr="00D259F1">
        <w:rPr>
          <w:rFonts w:ascii="Calibri" w:hAnsi="Calibri" w:cs="Calibri"/>
          <w:sz w:val="20"/>
          <w:szCs w:val="20"/>
        </w:rPr>
        <w:t xml:space="preserve"> TerraLogic.ai initial Digital Twin state </w:t>
      </w:r>
      <w:r w:rsidRPr="00785B87">
        <w:rPr>
          <w:rFonts w:ascii="Calibri" w:hAnsi="Calibri" w:cs="Calibri"/>
          <w:sz w:val="20"/>
          <w:szCs w:val="20"/>
        </w:rPr>
        <w:t>guided workflow panel and site context active</w:t>
      </w:r>
      <w:r w:rsidR="0086152D">
        <w:rPr>
          <w:rFonts w:ascii="Calibri" w:hAnsi="Calibri" w:cs="Calibri"/>
          <w:sz w:val="20"/>
          <w:szCs w:val="20"/>
        </w:rPr>
        <w:t xml:space="preserve"> violation</w:t>
      </w:r>
      <w:r w:rsidR="000F6104">
        <w:rPr>
          <w:rFonts w:ascii="Calibri" w:hAnsi="Calibri" w:cs="Calibri"/>
          <w:sz w:val="20"/>
          <w:szCs w:val="20"/>
        </w:rPr>
        <w:t xml:space="preserve">           </w:t>
      </w:r>
      <w:r w:rsidR="000F6104" w:rsidRPr="00785B87">
        <w:rPr>
          <w:rFonts w:ascii="Calibri" w:hAnsi="Calibri" w:cs="Calibri"/>
          <w:sz w:val="20"/>
          <w:szCs w:val="20"/>
        </w:rPr>
        <w:t>populated from OSM-derived building data. Hyderabad (17.4776°N, 78.4973°E.</w:t>
      </w:r>
    </w:p>
    <w:p w14:paraId="02749AD1" w14:textId="781CE67A" w:rsidR="00FB0C70" w:rsidRPr="000F6104" w:rsidRDefault="0007764E" w:rsidP="000F6104">
      <w:pPr>
        <w:pStyle w:val="ListParagraph"/>
        <w:spacing w:after="40" w:line="240" w:lineRule="auto"/>
        <w:rPr>
          <w:rFonts w:ascii="Calibri" w:hAnsi="Calibri" w:cs="Calibri"/>
          <w:sz w:val="20"/>
          <w:szCs w:val="20"/>
        </w:rPr>
      </w:pPr>
      <w:r w:rsidRPr="000F6104">
        <w:rPr>
          <w:rFonts w:ascii="Calibri" w:hAnsi="Calibri" w:cs="Calibri"/>
          <w:sz w:val="20"/>
          <w:szCs w:val="20"/>
        </w:rPr>
        <w:t xml:space="preserve">          </w:t>
      </w:r>
    </w:p>
    <w:p w14:paraId="137CFC1B" w14:textId="1B098BA4" w:rsidR="0007764E" w:rsidRDefault="00FB0C70" w:rsidP="00FB0C70">
      <w:pPr>
        <w:pStyle w:val="ListParagraph"/>
        <w:spacing w:after="40"/>
        <w:jc w:val="both"/>
        <w:rPr>
          <w:rFonts w:ascii="Calibri" w:hAnsi="Calibri" w:cs="Calibri"/>
          <w:b/>
          <w:bCs/>
        </w:rPr>
      </w:pPr>
      <w:r>
        <w:rPr>
          <w:rFonts w:ascii="Calibri" w:hAnsi="Calibri" w:cs="Calibri"/>
          <w:b/>
          <w:bCs/>
        </w:rPr>
        <w:t xml:space="preserve">          </w:t>
      </w:r>
      <w:r w:rsidRPr="00FB0C70">
        <w:rPr>
          <w:rFonts w:ascii="Calibri" w:hAnsi="Calibri" w:cs="Calibri"/>
          <w:b/>
          <w:bCs/>
        </w:rPr>
        <w:t>Implementation notes</w:t>
      </w:r>
      <w:r w:rsidR="00C62826">
        <w:rPr>
          <w:rFonts w:ascii="Calibri" w:hAnsi="Calibri" w:cs="Calibri"/>
          <w:b/>
          <w:bCs/>
        </w:rPr>
        <w:t>:</w:t>
      </w:r>
      <w:r w:rsidRPr="00FB0C70">
        <w:rPr>
          <w:rFonts w:ascii="Calibri" w:hAnsi="Calibri" w:cs="Calibri"/>
          <w:b/>
          <w:bCs/>
        </w:rPr>
        <w:t> </w:t>
      </w:r>
      <w:r w:rsidRPr="00C62826">
        <w:rPr>
          <w:rFonts w:ascii="Calibri" w:hAnsi="Calibri" w:cs="Calibri"/>
        </w:rPr>
        <w:t>The platform runs in the browser without local software installation. Geospatial context is sourced from OpenStreetMap (via Overpass), Esri ArcGIS Maps SDK (terrain and solar), and Open-Meteo (irradiance); 3D massing is rendered with Three.js. LLM inference uses Google Gemini 2.5 Flash and OpenAI GPT-4o-mini. Neither model has programmatic access to the deterministic compliance module; this separation is enforced in code, not in configuration.</w:t>
      </w:r>
    </w:p>
    <w:p w14:paraId="0F099628" w14:textId="77777777" w:rsidR="00FB0C70" w:rsidRDefault="00FB0C70" w:rsidP="00FB0C70">
      <w:pPr>
        <w:pStyle w:val="ListParagraph"/>
        <w:spacing w:after="40"/>
        <w:jc w:val="both"/>
        <w:rPr>
          <w:rFonts w:ascii="Calibri" w:hAnsi="Calibri" w:cs="Calibri"/>
          <w:b/>
          <w:bCs/>
          <w:lang w:val="en-IN"/>
        </w:rPr>
      </w:pPr>
    </w:p>
    <w:p w14:paraId="430CDA70" w14:textId="799D5B84" w:rsidR="009F7DBA" w:rsidRDefault="009F7DBA" w:rsidP="009F7DBA">
      <w:pPr>
        <w:pStyle w:val="ListParagraph"/>
        <w:spacing w:after="40"/>
        <w:rPr>
          <w:rFonts w:ascii="Calibri" w:hAnsi="Calibri" w:cs="Calibri"/>
          <w:b/>
          <w:bCs/>
          <w:sz w:val="28"/>
          <w:szCs w:val="28"/>
          <w:lang w:val="en-IN"/>
        </w:rPr>
      </w:pPr>
      <w:r>
        <w:rPr>
          <w:rFonts w:ascii="Calibri" w:hAnsi="Calibri" w:cs="Calibri"/>
          <w:b/>
          <w:bCs/>
          <w:sz w:val="28"/>
          <w:szCs w:val="28"/>
          <w:lang w:val="en-IN"/>
        </w:rPr>
        <w:t>4.</w:t>
      </w:r>
      <w:r w:rsidRPr="009F7DBA">
        <w:rPr>
          <w:rFonts w:ascii="Calibri" w:hAnsi="Calibri" w:cs="Calibri"/>
          <w:b/>
          <w:bCs/>
          <w:sz w:val="28"/>
          <w:szCs w:val="28"/>
          <w:lang w:val="en-IN"/>
        </w:rPr>
        <w:t>AUTOMATED COMPLIANCE ENGINE IMPLEMENTATION</w:t>
      </w:r>
    </w:p>
    <w:p w14:paraId="62F3996E" w14:textId="77777777" w:rsidR="009F7DBA" w:rsidRPr="009F7DBA" w:rsidRDefault="009F7DBA" w:rsidP="009F7DBA">
      <w:pPr>
        <w:pStyle w:val="ListParagraph"/>
        <w:spacing w:after="40"/>
        <w:rPr>
          <w:rFonts w:ascii="Calibri" w:hAnsi="Calibri" w:cs="Calibri"/>
          <w:b/>
          <w:bCs/>
          <w:sz w:val="28"/>
          <w:szCs w:val="28"/>
          <w:lang w:val="en-IN"/>
        </w:rPr>
      </w:pPr>
    </w:p>
    <w:p w14:paraId="3D2D0F9B" w14:textId="40ED9FC9" w:rsidR="009F7DBA" w:rsidRPr="009F7DBA" w:rsidRDefault="009F7DBA" w:rsidP="009F7DBA">
      <w:pPr>
        <w:spacing w:after="40"/>
        <w:rPr>
          <w:rFonts w:ascii="Calibri" w:hAnsi="Calibri" w:cs="Calibri"/>
          <w:b/>
          <w:bCs/>
          <w:sz w:val="24"/>
          <w:szCs w:val="24"/>
          <w:lang w:val="en-IN"/>
        </w:rPr>
      </w:pPr>
      <w:r>
        <w:rPr>
          <w:rFonts w:ascii="Calibri" w:hAnsi="Calibri" w:cs="Calibri"/>
          <w:b/>
          <w:bCs/>
          <w:sz w:val="24"/>
          <w:szCs w:val="24"/>
          <w:lang w:val="en-IN"/>
        </w:rPr>
        <w:t xml:space="preserve">             </w:t>
      </w:r>
      <w:r w:rsidR="00616D37" w:rsidRPr="009F7DBA">
        <w:rPr>
          <w:rFonts w:ascii="Calibri" w:hAnsi="Calibri" w:cs="Calibri"/>
          <w:b/>
          <w:bCs/>
          <w:sz w:val="24"/>
          <w:szCs w:val="24"/>
          <w:lang w:val="en-IN"/>
        </w:rPr>
        <w:t xml:space="preserve">4.1 </w:t>
      </w:r>
      <w:r w:rsidR="00616D37">
        <w:rPr>
          <w:rFonts w:ascii="Calibri" w:hAnsi="Calibri" w:cs="Calibri"/>
          <w:b/>
          <w:bCs/>
          <w:sz w:val="24"/>
          <w:szCs w:val="24"/>
          <w:lang w:val="en-IN"/>
        </w:rPr>
        <w:t>Deterministic</w:t>
      </w:r>
      <w:r w:rsidRPr="009F7DBA">
        <w:rPr>
          <w:rFonts w:ascii="Calibri" w:hAnsi="Calibri" w:cs="Calibri"/>
          <w:b/>
          <w:bCs/>
          <w:sz w:val="24"/>
          <w:szCs w:val="24"/>
          <w:lang w:val="en-IN"/>
        </w:rPr>
        <w:t xml:space="preserve"> Spatial Rule Mapping</w:t>
      </w:r>
    </w:p>
    <w:p w14:paraId="4BAFD1B0" w14:textId="77777777" w:rsidR="007E7437" w:rsidRDefault="009F7DBA" w:rsidP="007E7437">
      <w:pPr>
        <w:pStyle w:val="ListParagraph"/>
        <w:spacing w:after="40"/>
        <w:jc w:val="both"/>
        <w:rPr>
          <w:rFonts w:ascii="Calibri" w:hAnsi="Calibri" w:cs="Calibri"/>
          <w:lang w:val="en-IN"/>
        </w:rPr>
      </w:pPr>
      <w:r>
        <w:rPr>
          <w:rFonts w:ascii="Calibri" w:hAnsi="Calibri" w:cs="Calibri"/>
          <w:lang w:val="en-IN"/>
        </w:rPr>
        <w:t xml:space="preserve">       </w:t>
      </w:r>
      <w:r w:rsidR="007E7437" w:rsidRPr="007E7437">
        <w:rPr>
          <w:rFonts w:ascii="Calibri" w:hAnsi="Calibri" w:cs="Calibri"/>
          <w:lang w:val="en-IN"/>
        </w:rPr>
        <w:t>The deterministic module encodes the RCBR 2012 setback schedule in two forms: discrete conditional branches for buildings up to 45 m, and a continuous function above that threshold. Equation (1) gives the high-rise setback.</w:t>
      </w:r>
    </w:p>
    <w:p w14:paraId="3C236713" w14:textId="77777777" w:rsidR="009043D9" w:rsidRPr="007E7437" w:rsidRDefault="009043D9" w:rsidP="007E7437">
      <w:pPr>
        <w:pStyle w:val="ListParagraph"/>
        <w:spacing w:after="40"/>
        <w:jc w:val="both"/>
        <w:rPr>
          <w:rFonts w:ascii="Calibri" w:hAnsi="Calibri" w:cs="Calibri"/>
          <w:lang w:val="en-IN"/>
        </w:rPr>
      </w:pPr>
    </w:p>
    <w:p w14:paraId="330C1758" w14:textId="6263740E" w:rsidR="007E7437" w:rsidRDefault="00651BBF" w:rsidP="007E7437">
      <w:pPr>
        <w:pStyle w:val="ListParagraph"/>
        <w:spacing w:after="40"/>
        <w:jc w:val="both"/>
        <w:rPr>
          <w:rFonts w:ascii="Calibri" w:hAnsi="Calibri" w:cs="Calibri"/>
          <w:lang w:val="en-IN"/>
        </w:rPr>
      </w:pPr>
      <w:r>
        <w:rPr>
          <w:rFonts w:ascii="Calibri" w:hAnsi="Calibri" w:cs="Calibri"/>
          <w:lang w:val="en-IN"/>
        </w:rPr>
        <w:t xml:space="preserve">                                              </w:t>
      </w:r>
      <w:r w:rsidR="007E7437" w:rsidRPr="007E7437">
        <w:rPr>
          <w:rFonts w:ascii="Calibri" w:hAnsi="Calibri" w:cs="Calibri"/>
          <w:lang w:val="en-IN"/>
        </w:rPr>
        <w:t>Setback = 12.0 + [(H − 45) / 3] (1)</w:t>
      </w:r>
    </w:p>
    <w:p w14:paraId="768A85ED" w14:textId="77777777" w:rsidR="009043D9" w:rsidRPr="007E7437" w:rsidRDefault="009043D9" w:rsidP="007E7437">
      <w:pPr>
        <w:pStyle w:val="ListParagraph"/>
        <w:spacing w:after="40"/>
        <w:jc w:val="both"/>
        <w:rPr>
          <w:rFonts w:ascii="Calibri" w:hAnsi="Calibri" w:cs="Calibri"/>
          <w:lang w:val="en-IN"/>
        </w:rPr>
      </w:pPr>
    </w:p>
    <w:p w14:paraId="2DD61B4D" w14:textId="730F1450" w:rsidR="00C94E6F" w:rsidRDefault="007E7437" w:rsidP="00C94E6F">
      <w:pPr>
        <w:pStyle w:val="ListParagraph"/>
        <w:spacing w:after="40"/>
        <w:jc w:val="both"/>
        <w:rPr>
          <w:rFonts w:ascii="Calibri" w:hAnsi="Calibri" w:cs="Calibri"/>
          <w:lang w:val="en-IN"/>
        </w:rPr>
      </w:pPr>
      <w:r w:rsidRPr="007E7437">
        <w:rPr>
          <w:rFonts w:ascii="Calibri" w:hAnsi="Calibri" w:cs="Calibri"/>
          <w:lang w:val="en-IN"/>
        </w:rPr>
        <w:t>Floor area ratio (FAR) limits are drawn from GO Ms. No. 168 (2012) and cover six use-type classifications. Ground coverage is a five-tier schedule indexed by site area. High-rise fire safety requirements are encoded verbatim from NBC 2016 Part 4 §3.7 and trigger at 24.0 m. Table 1 presents the full setback schedule.</w:t>
      </w:r>
    </w:p>
    <w:p w14:paraId="0CB2A6B2" w14:textId="77777777" w:rsidR="00C94E6F" w:rsidRDefault="00C94E6F" w:rsidP="00C94E6F">
      <w:pPr>
        <w:pStyle w:val="ListParagraph"/>
        <w:spacing w:after="40"/>
        <w:jc w:val="both"/>
        <w:rPr>
          <w:rFonts w:ascii="Calibri" w:hAnsi="Calibri" w:cs="Calibri"/>
          <w:lang w:val="en-IN"/>
        </w:rPr>
      </w:pPr>
    </w:p>
    <w:p w14:paraId="08838078" w14:textId="77777777" w:rsidR="00C94E6F" w:rsidRPr="00C94E6F" w:rsidRDefault="00C94E6F" w:rsidP="00C94E6F">
      <w:pPr>
        <w:pStyle w:val="ListParagraph"/>
        <w:spacing w:after="40"/>
        <w:jc w:val="both"/>
        <w:rPr>
          <w:rFonts w:ascii="Calibri" w:hAnsi="Calibri" w:cs="Calibri"/>
          <w:lang w:val="en-IN"/>
        </w:rPr>
      </w:pPr>
    </w:p>
    <w:p w14:paraId="7C4FE7BB" w14:textId="0D2653E7" w:rsidR="009F7DBA" w:rsidRPr="00DA37F7" w:rsidRDefault="009F7DBA" w:rsidP="00DA37F7">
      <w:pPr>
        <w:spacing w:after="40"/>
        <w:rPr>
          <w:rFonts w:ascii="Calibri" w:hAnsi="Calibri" w:cs="Calibri"/>
          <w:lang w:val="en-IN"/>
        </w:rPr>
      </w:pPr>
      <w:r w:rsidRPr="00DA37F7">
        <w:rPr>
          <w:rFonts w:ascii="Calibri" w:hAnsi="Calibri" w:cs="Calibri"/>
          <w:i/>
          <w:iCs/>
          <w:lang w:val="en-IN"/>
        </w:rPr>
        <w:lastRenderedPageBreak/>
        <w:t>Table 1: Encoded RCBR 2012 setback schedule — GO Ms. No. 168 (2012).</w:t>
      </w:r>
    </w:p>
    <w:tbl>
      <w:tblPr>
        <w:tblW w:w="8409" w:type="dxa"/>
        <w:tblCellSpacing w:w="15" w:type="dxa"/>
        <w:tblInd w:w="591"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214"/>
        <w:gridCol w:w="2548"/>
        <w:gridCol w:w="1855"/>
        <w:gridCol w:w="2792"/>
      </w:tblGrid>
      <w:tr w:rsidR="009F7DBA" w:rsidRPr="009F7DBA" w14:paraId="07710F6C" w14:textId="77777777" w:rsidTr="0053716D">
        <w:trPr>
          <w:trHeight w:val="66"/>
          <w:tblHeader/>
          <w:tblCellSpacing w:w="15" w:type="dxa"/>
        </w:trPr>
        <w:tc>
          <w:tcPr>
            <w:tcW w:w="1169" w:type="dxa"/>
            <w:vAlign w:val="center"/>
            <w:hideMark/>
          </w:tcPr>
          <w:p w14:paraId="2079E227" w14:textId="3126AB54" w:rsidR="009F7DBA" w:rsidRPr="002D1820" w:rsidRDefault="002D1820" w:rsidP="002D1820">
            <w:pPr>
              <w:spacing w:after="40"/>
              <w:rPr>
                <w:rFonts w:ascii="Calibri" w:hAnsi="Calibri" w:cs="Calibri"/>
                <w:b/>
                <w:bCs/>
                <w:sz w:val="18"/>
                <w:szCs w:val="18"/>
                <w:lang w:val="en-IN"/>
              </w:rPr>
            </w:pPr>
            <w:r>
              <w:rPr>
                <w:rFonts w:ascii="Calibri" w:hAnsi="Calibri" w:cs="Calibri"/>
                <w:b/>
                <w:bCs/>
                <w:sz w:val="18"/>
                <w:szCs w:val="18"/>
                <w:lang w:val="en-IN"/>
              </w:rPr>
              <w:t xml:space="preserve">       </w:t>
            </w:r>
            <w:r w:rsidR="009F7DBA" w:rsidRPr="002D1820">
              <w:rPr>
                <w:rFonts w:ascii="Calibri" w:hAnsi="Calibri" w:cs="Calibri"/>
                <w:b/>
                <w:bCs/>
                <w:sz w:val="18"/>
                <w:szCs w:val="18"/>
                <w:lang w:val="en-IN"/>
              </w:rPr>
              <w:t>Height (m)</w:t>
            </w:r>
          </w:p>
        </w:tc>
        <w:tc>
          <w:tcPr>
            <w:tcW w:w="2518" w:type="dxa"/>
            <w:vAlign w:val="center"/>
            <w:hideMark/>
          </w:tcPr>
          <w:p w14:paraId="7EE5B753" w14:textId="03E358E8" w:rsidR="009F7DBA" w:rsidRPr="002D1820" w:rsidRDefault="002D1820" w:rsidP="002D1820">
            <w:pPr>
              <w:spacing w:after="40"/>
              <w:rPr>
                <w:rFonts w:ascii="Calibri" w:hAnsi="Calibri" w:cs="Calibri"/>
                <w:b/>
                <w:bCs/>
                <w:sz w:val="18"/>
                <w:szCs w:val="18"/>
                <w:lang w:val="en-IN"/>
              </w:rPr>
            </w:pPr>
            <w:r>
              <w:rPr>
                <w:rFonts w:ascii="Calibri" w:hAnsi="Calibri" w:cs="Calibri"/>
                <w:b/>
                <w:bCs/>
                <w:sz w:val="18"/>
                <w:szCs w:val="18"/>
                <w:lang w:val="en-IN"/>
              </w:rPr>
              <w:t xml:space="preserve">                </w:t>
            </w:r>
            <w:r w:rsidR="009F7DBA" w:rsidRPr="002D1820">
              <w:rPr>
                <w:rFonts w:ascii="Calibri" w:hAnsi="Calibri" w:cs="Calibri"/>
                <w:b/>
                <w:bCs/>
                <w:sz w:val="18"/>
                <w:szCs w:val="18"/>
                <w:lang w:val="en-IN"/>
              </w:rPr>
              <w:t>Front Setback (m)</w:t>
            </w:r>
          </w:p>
        </w:tc>
        <w:tc>
          <w:tcPr>
            <w:tcW w:w="1825" w:type="dxa"/>
            <w:vAlign w:val="center"/>
            <w:hideMark/>
          </w:tcPr>
          <w:p w14:paraId="4DB6DE18" w14:textId="0789E341" w:rsidR="009F7DBA" w:rsidRPr="002D1820" w:rsidRDefault="002D1820" w:rsidP="002D1820">
            <w:pPr>
              <w:spacing w:after="40"/>
              <w:rPr>
                <w:rFonts w:ascii="Calibri" w:hAnsi="Calibri" w:cs="Calibri"/>
                <w:b/>
                <w:bCs/>
                <w:sz w:val="18"/>
                <w:szCs w:val="18"/>
                <w:lang w:val="en-IN"/>
              </w:rPr>
            </w:pPr>
            <w:r>
              <w:rPr>
                <w:rFonts w:ascii="Calibri" w:hAnsi="Calibri" w:cs="Calibri"/>
                <w:b/>
                <w:bCs/>
                <w:sz w:val="18"/>
                <w:szCs w:val="18"/>
                <w:lang w:val="en-IN"/>
              </w:rPr>
              <w:t xml:space="preserve">   </w:t>
            </w:r>
            <w:r w:rsidR="0053716D">
              <w:rPr>
                <w:rFonts w:ascii="Calibri" w:hAnsi="Calibri" w:cs="Calibri"/>
                <w:b/>
                <w:bCs/>
                <w:sz w:val="18"/>
                <w:szCs w:val="18"/>
                <w:lang w:val="en-IN"/>
              </w:rPr>
              <w:t xml:space="preserve">       </w:t>
            </w:r>
            <w:r w:rsidR="009F7DBA" w:rsidRPr="002D1820">
              <w:rPr>
                <w:rFonts w:ascii="Calibri" w:hAnsi="Calibri" w:cs="Calibri"/>
                <w:b/>
                <w:bCs/>
                <w:sz w:val="18"/>
                <w:szCs w:val="18"/>
                <w:lang w:val="en-IN"/>
              </w:rPr>
              <w:t>Rear/Side Setback (m)</w:t>
            </w:r>
          </w:p>
        </w:tc>
        <w:tc>
          <w:tcPr>
            <w:tcW w:w="2747" w:type="dxa"/>
            <w:vAlign w:val="center"/>
            <w:hideMark/>
          </w:tcPr>
          <w:p w14:paraId="7B730AC5" w14:textId="77777777" w:rsidR="009F7DBA" w:rsidRPr="007D6F76" w:rsidRDefault="009F7DBA" w:rsidP="007D6F76">
            <w:pPr>
              <w:pStyle w:val="ListParagraph"/>
              <w:spacing w:after="40"/>
              <w:jc w:val="center"/>
              <w:rPr>
                <w:rFonts w:ascii="Calibri" w:hAnsi="Calibri" w:cs="Calibri"/>
                <w:b/>
                <w:bCs/>
                <w:sz w:val="18"/>
                <w:szCs w:val="18"/>
                <w:lang w:val="en-IN"/>
              </w:rPr>
            </w:pPr>
            <w:r w:rsidRPr="007D6F76">
              <w:rPr>
                <w:rFonts w:ascii="Calibri" w:hAnsi="Calibri" w:cs="Calibri"/>
                <w:b/>
                <w:bCs/>
                <w:sz w:val="18"/>
                <w:szCs w:val="18"/>
                <w:lang w:val="en-IN"/>
              </w:rPr>
              <w:t>Reference</w:t>
            </w:r>
          </w:p>
        </w:tc>
      </w:tr>
      <w:tr w:rsidR="009F7DBA" w:rsidRPr="009F7DBA" w14:paraId="0AA73088" w14:textId="77777777" w:rsidTr="0053716D">
        <w:trPr>
          <w:trHeight w:val="36"/>
          <w:tblCellSpacing w:w="15" w:type="dxa"/>
        </w:trPr>
        <w:tc>
          <w:tcPr>
            <w:tcW w:w="1169" w:type="dxa"/>
            <w:vAlign w:val="center"/>
            <w:hideMark/>
          </w:tcPr>
          <w:p w14:paraId="17694C6C" w14:textId="77777777" w:rsidR="009F7DBA" w:rsidRPr="007D6F76" w:rsidRDefault="009F7DBA" w:rsidP="002D1820">
            <w:pPr>
              <w:pStyle w:val="ListParagraph"/>
              <w:spacing w:after="40"/>
              <w:rPr>
                <w:rFonts w:ascii="Calibri" w:hAnsi="Calibri" w:cs="Calibri"/>
                <w:sz w:val="18"/>
                <w:szCs w:val="18"/>
                <w:lang w:val="en-IN"/>
              </w:rPr>
            </w:pPr>
            <w:r w:rsidRPr="007D6F76">
              <w:rPr>
                <w:rFonts w:ascii="Calibri" w:hAnsi="Calibri" w:cs="Calibri"/>
                <w:sz w:val="18"/>
                <w:szCs w:val="18"/>
                <w:lang w:val="en-IN"/>
              </w:rPr>
              <w:t>≤ 7</w:t>
            </w:r>
          </w:p>
        </w:tc>
        <w:tc>
          <w:tcPr>
            <w:tcW w:w="2518" w:type="dxa"/>
            <w:vAlign w:val="center"/>
            <w:hideMark/>
          </w:tcPr>
          <w:p w14:paraId="3DA588D3" w14:textId="77777777" w:rsidR="009F7DBA" w:rsidRPr="007D6F76" w:rsidRDefault="009F7DBA" w:rsidP="002D1820">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1.5</w:t>
            </w:r>
          </w:p>
        </w:tc>
        <w:tc>
          <w:tcPr>
            <w:tcW w:w="1825" w:type="dxa"/>
            <w:vAlign w:val="center"/>
            <w:hideMark/>
          </w:tcPr>
          <w:p w14:paraId="127EEC55"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1.5</w:t>
            </w:r>
          </w:p>
        </w:tc>
        <w:tc>
          <w:tcPr>
            <w:tcW w:w="2747" w:type="dxa"/>
            <w:vAlign w:val="center"/>
            <w:hideMark/>
          </w:tcPr>
          <w:p w14:paraId="2A3D3F03"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RCBR 2012 Table H-1</w:t>
            </w:r>
          </w:p>
        </w:tc>
      </w:tr>
      <w:tr w:rsidR="009F7DBA" w:rsidRPr="009F7DBA" w14:paraId="754C524C" w14:textId="77777777" w:rsidTr="0053716D">
        <w:trPr>
          <w:trHeight w:val="38"/>
          <w:tblCellSpacing w:w="15" w:type="dxa"/>
        </w:trPr>
        <w:tc>
          <w:tcPr>
            <w:tcW w:w="1169" w:type="dxa"/>
            <w:vAlign w:val="center"/>
            <w:hideMark/>
          </w:tcPr>
          <w:p w14:paraId="7466F797" w14:textId="77777777" w:rsidR="009F7DBA" w:rsidRPr="007D6F76" w:rsidRDefault="009F7DBA" w:rsidP="002D1820">
            <w:pPr>
              <w:pStyle w:val="ListParagraph"/>
              <w:spacing w:after="40"/>
              <w:rPr>
                <w:rFonts w:ascii="Calibri" w:hAnsi="Calibri" w:cs="Calibri"/>
                <w:sz w:val="18"/>
                <w:szCs w:val="18"/>
                <w:lang w:val="en-IN"/>
              </w:rPr>
            </w:pPr>
            <w:r w:rsidRPr="007D6F76">
              <w:rPr>
                <w:rFonts w:ascii="Calibri" w:hAnsi="Calibri" w:cs="Calibri"/>
                <w:sz w:val="18"/>
                <w:szCs w:val="18"/>
                <w:lang w:val="en-IN"/>
              </w:rPr>
              <w:t>≤ 12</w:t>
            </w:r>
          </w:p>
        </w:tc>
        <w:tc>
          <w:tcPr>
            <w:tcW w:w="2518" w:type="dxa"/>
            <w:vAlign w:val="center"/>
            <w:hideMark/>
          </w:tcPr>
          <w:p w14:paraId="2D355F35" w14:textId="77777777" w:rsidR="009F7DBA" w:rsidRPr="007D6F76" w:rsidRDefault="009F7DBA" w:rsidP="002D1820">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4.5</w:t>
            </w:r>
          </w:p>
        </w:tc>
        <w:tc>
          <w:tcPr>
            <w:tcW w:w="1825" w:type="dxa"/>
            <w:vAlign w:val="center"/>
            <w:hideMark/>
          </w:tcPr>
          <w:p w14:paraId="739237C3"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3.0</w:t>
            </w:r>
          </w:p>
        </w:tc>
        <w:tc>
          <w:tcPr>
            <w:tcW w:w="2747" w:type="dxa"/>
            <w:vAlign w:val="center"/>
            <w:hideMark/>
          </w:tcPr>
          <w:p w14:paraId="4B7226EE"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RCBR 2012 Table H-1</w:t>
            </w:r>
          </w:p>
        </w:tc>
      </w:tr>
      <w:tr w:rsidR="009F7DBA" w:rsidRPr="009F7DBA" w14:paraId="76253BA9" w14:textId="77777777" w:rsidTr="0053716D">
        <w:trPr>
          <w:trHeight w:val="36"/>
          <w:tblCellSpacing w:w="15" w:type="dxa"/>
        </w:trPr>
        <w:tc>
          <w:tcPr>
            <w:tcW w:w="1169" w:type="dxa"/>
            <w:vAlign w:val="center"/>
            <w:hideMark/>
          </w:tcPr>
          <w:p w14:paraId="07BB386F" w14:textId="77777777" w:rsidR="009F7DBA" w:rsidRPr="007D6F76" w:rsidRDefault="009F7DBA" w:rsidP="002D1820">
            <w:pPr>
              <w:pStyle w:val="ListParagraph"/>
              <w:spacing w:after="40"/>
              <w:rPr>
                <w:rFonts w:ascii="Calibri" w:hAnsi="Calibri" w:cs="Calibri"/>
                <w:sz w:val="18"/>
                <w:szCs w:val="18"/>
                <w:lang w:val="en-IN"/>
              </w:rPr>
            </w:pPr>
            <w:r w:rsidRPr="007D6F76">
              <w:rPr>
                <w:rFonts w:ascii="Calibri" w:hAnsi="Calibri" w:cs="Calibri"/>
                <w:sz w:val="18"/>
                <w:szCs w:val="18"/>
                <w:lang w:val="en-IN"/>
              </w:rPr>
              <w:t>≤ 21</w:t>
            </w:r>
          </w:p>
        </w:tc>
        <w:tc>
          <w:tcPr>
            <w:tcW w:w="2518" w:type="dxa"/>
            <w:vAlign w:val="center"/>
            <w:hideMark/>
          </w:tcPr>
          <w:p w14:paraId="3470B4D8" w14:textId="77777777" w:rsidR="009F7DBA" w:rsidRPr="007D6F76" w:rsidRDefault="009F7DBA" w:rsidP="002D1820">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6.0</w:t>
            </w:r>
          </w:p>
        </w:tc>
        <w:tc>
          <w:tcPr>
            <w:tcW w:w="1825" w:type="dxa"/>
            <w:vAlign w:val="center"/>
            <w:hideMark/>
          </w:tcPr>
          <w:p w14:paraId="62D696FC"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5.0</w:t>
            </w:r>
          </w:p>
        </w:tc>
        <w:tc>
          <w:tcPr>
            <w:tcW w:w="2747" w:type="dxa"/>
            <w:vAlign w:val="center"/>
            <w:hideMark/>
          </w:tcPr>
          <w:p w14:paraId="5D6B3D8D"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RCBR 2012 Pt.3 §3.5</w:t>
            </w:r>
          </w:p>
        </w:tc>
      </w:tr>
      <w:tr w:rsidR="009F7DBA" w:rsidRPr="009F7DBA" w14:paraId="303ABB8D" w14:textId="77777777" w:rsidTr="0053716D">
        <w:trPr>
          <w:trHeight w:val="36"/>
          <w:tblCellSpacing w:w="15" w:type="dxa"/>
        </w:trPr>
        <w:tc>
          <w:tcPr>
            <w:tcW w:w="1169" w:type="dxa"/>
            <w:vAlign w:val="center"/>
            <w:hideMark/>
          </w:tcPr>
          <w:p w14:paraId="0D6EC2C0" w14:textId="77777777" w:rsidR="009F7DBA" w:rsidRPr="007D6F76" w:rsidRDefault="009F7DBA" w:rsidP="002D1820">
            <w:pPr>
              <w:pStyle w:val="ListParagraph"/>
              <w:spacing w:after="40"/>
              <w:rPr>
                <w:rFonts w:ascii="Calibri" w:hAnsi="Calibri" w:cs="Calibri"/>
                <w:sz w:val="18"/>
                <w:szCs w:val="18"/>
                <w:lang w:val="en-IN"/>
              </w:rPr>
            </w:pPr>
            <w:r w:rsidRPr="007D6F76">
              <w:rPr>
                <w:rFonts w:ascii="Calibri" w:hAnsi="Calibri" w:cs="Calibri"/>
                <w:sz w:val="18"/>
                <w:szCs w:val="18"/>
                <w:lang w:val="en-IN"/>
              </w:rPr>
              <w:t>≤ 24</w:t>
            </w:r>
          </w:p>
        </w:tc>
        <w:tc>
          <w:tcPr>
            <w:tcW w:w="2518" w:type="dxa"/>
            <w:vAlign w:val="center"/>
            <w:hideMark/>
          </w:tcPr>
          <w:p w14:paraId="6D31F911" w14:textId="77777777" w:rsidR="009F7DBA" w:rsidRPr="007D6F76" w:rsidRDefault="009F7DBA" w:rsidP="002D1820">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7.0</w:t>
            </w:r>
          </w:p>
        </w:tc>
        <w:tc>
          <w:tcPr>
            <w:tcW w:w="1825" w:type="dxa"/>
            <w:vAlign w:val="center"/>
            <w:hideMark/>
          </w:tcPr>
          <w:p w14:paraId="312CFFA8"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5.0</w:t>
            </w:r>
          </w:p>
        </w:tc>
        <w:tc>
          <w:tcPr>
            <w:tcW w:w="2747" w:type="dxa"/>
            <w:vAlign w:val="center"/>
            <w:hideMark/>
          </w:tcPr>
          <w:p w14:paraId="26589AE3"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RCBR 2012 Pt.3 §3.5</w:t>
            </w:r>
          </w:p>
        </w:tc>
      </w:tr>
      <w:tr w:rsidR="009F7DBA" w:rsidRPr="009F7DBA" w14:paraId="019FDC53" w14:textId="77777777" w:rsidTr="0053716D">
        <w:trPr>
          <w:trHeight w:val="34"/>
          <w:tblCellSpacing w:w="15" w:type="dxa"/>
        </w:trPr>
        <w:tc>
          <w:tcPr>
            <w:tcW w:w="1169" w:type="dxa"/>
            <w:vAlign w:val="center"/>
            <w:hideMark/>
          </w:tcPr>
          <w:p w14:paraId="5DE2E0B1" w14:textId="77777777" w:rsidR="009F7DBA" w:rsidRPr="007D6F76" w:rsidRDefault="009F7DBA" w:rsidP="002D1820">
            <w:pPr>
              <w:pStyle w:val="ListParagraph"/>
              <w:spacing w:after="40"/>
              <w:rPr>
                <w:rFonts w:ascii="Calibri" w:hAnsi="Calibri" w:cs="Calibri"/>
                <w:sz w:val="18"/>
                <w:szCs w:val="18"/>
                <w:lang w:val="en-IN"/>
              </w:rPr>
            </w:pPr>
            <w:r w:rsidRPr="007D6F76">
              <w:rPr>
                <w:rFonts w:ascii="Calibri" w:hAnsi="Calibri" w:cs="Calibri"/>
                <w:sz w:val="18"/>
                <w:szCs w:val="18"/>
                <w:lang w:val="en-IN"/>
              </w:rPr>
              <w:t>≤ 36</w:t>
            </w:r>
          </w:p>
        </w:tc>
        <w:tc>
          <w:tcPr>
            <w:tcW w:w="2518" w:type="dxa"/>
            <w:vAlign w:val="center"/>
            <w:hideMark/>
          </w:tcPr>
          <w:p w14:paraId="63D2C60F" w14:textId="77777777" w:rsidR="009F7DBA" w:rsidRPr="007D6F76" w:rsidRDefault="009F7DBA" w:rsidP="002D1820">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9.0</w:t>
            </w:r>
          </w:p>
        </w:tc>
        <w:tc>
          <w:tcPr>
            <w:tcW w:w="1825" w:type="dxa"/>
            <w:vAlign w:val="center"/>
            <w:hideMark/>
          </w:tcPr>
          <w:p w14:paraId="28050C89"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9.0</w:t>
            </w:r>
          </w:p>
        </w:tc>
        <w:tc>
          <w:tcPr>
            <w:tcW w:w="2747" w:type="dxa"/>
            <w:vAlign w:val="center"/>
            <w:hideMark/>
          </w:tcPr>
          <w:p w14:paraId="64BEAA80"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RCBR 2012 High-Rise §H-2</w:t>
            </w:r>
          </w:p>
        </w:tc>
      </w:tr>
      <w:tr w:rsidR="009F7DBA" w:rsidRPr="009F7DBA" w14:paraId="79850225" w14:textId="77777777" w:rsidTr="0053716D">
        <w:trPr>
          <w:trHeight w:val="73"/>
          <w:tblCellSpacing w:w="15" w:type="dxa"/>
        </w:trPr>
        <w:tc>
          <w:tcPr>
            <w:tcW w:w="1169" w:type="dxa"/>
            <w:vAlign w:val="center"/>
            <w:hideMark/>
          </w:tcPr>
          <w:p w14:paraId="6CD41E3D" w14:textId="77777777" w:rsidR="009F7DBA" w:rsidRPr="007D6F76" w:rsidRDefault="009F7DBA" w:rsidP="002D1820">
            <w:pPr>
              <w:pStyle w:val="ListParagraph"/>
              <w:spacing w:after="40"/>
              <w:rPr>
                <w:rFonts w:ascii="Calibri" w:hAnsi="Calibri" w:cs="Calibri"/>
                <w:sz w:val="18"/>
                <w:szCs w:val="18"/>
                <w:lang w:val="en-IN"/>
              </w:rPr>
            </w:pPr>
            <w:r w:rsidRPr="007D6F76">
              <w:rPr>
                <w:rFonts w:ascii="Calibri" w:hAnsi="Calibri" w:cs="Calibri"/>
                <w:sz w:val="18"/>
                <w:szCs w:val="18"/>
                <w:lang w:val="en-IN"/>
              </w:rPr>
              <w:t>≤ 45</w:t>
            </w:r>
          </w:p>
        </w:tc>
        <w:tc>
          <w:tcPr>
            <w:tcW w:w="2518" w:type="dxa"/>
            <w:vAlign w:val="center"/>
            <w:hideMark/>
          </w:tcPr>
          <w:p w14:paraId="2098EBF2" w14:textId="77777777" w:rsidR="009F7DBA" w:rsidRPr="007D6F76" w:rsidRDefault="009F7DBA" w:rsidP="002D1820">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10.0</w:t>
            </w:r>
          </w:p>
        </w:tc>
        <w:tc>
          <w:tcPr>
            <w:tcW w:w="1825" w:type="dxa"/>
            <w:vAlign w:val="center"/>
            <w:hideMark/>
          </w:tcPr>
          <w:p w14:paraId="25A06394"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10.0</w:t>
            </w:r>
          </w:p>
        </w:tc>
        <w:tc>
          <w:tcPr>
            <w:tcW w:w="2747" w:type="dxa"/>
            <w:vAlign w:val="center"/>
            <w:hideMark/>
          </w:tcPr>
          <w:p w14:paraId="1518F53E"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RCBR 2012 High-Rise §H-2</w:t>
            </w:r>
          </w:p>
        </w:tc>
      </w:tr>
      <w:tr w:rsidR="009F7DBA" w:rsidRPr="009F7DBA" w14:paraId="29CD6BF8" w14:textId="77777777" w:rsidTr="0053716D">
        <w:trPr>
          <w:trHeight w:val="52"/>
          <w:tblCellSpacing w:w="15" w:type="dxa"/>
        </w:trPr>
        <w:tc>
          <w:tcPr>
            <w:tcW w:w="1169" w:type="dxa"/>
            <w:vAlign w:val="center"/>
            <w:hideMark/>
          </w:tcPr>
          <w:p w14:paraId="7EB02F3D" w14:textId="77777777" w:rsidR="009F7DBA" w:rsidRPr="007D6F76" w:rsidRDefault="009F7DBA" w:rsidP="002D1820">
            <w:pPr>
              <w:pStyle w:val="ListParagraph"/>
              <w:spacing w:after="40"/>
              <w:rPr>
                <w:rFonts w:ascii="Calibri" w:hAnsi="Calibri" w:cs="Calibri"/>
                <w:sz w:val="18"/>
                <w:szCs w:val="18"/>
                <w:lang w:val="en-IN"/>
              </w:rPr>
            </w:pPr>
            <w:r w:rsidRPr="007D6F76">
              <w:rPr>
                <w:rFonts w:ascii="Calibri" w:hAnsi="Calibri" w:cs="Calibri"/>
                <w:sz w:val="18"/>
                <w:szCs w:val="18"/>
                <w:lang w:val="en-IN"/>
              </w:rPr>
              <w:t>&gt; 45</w:t>
            </w:r>
          </w:p>
        </w:tc>
        <w:tc>
          <w:tcPr>
            <w:tcW w:w="2518" w:type="dxa"/>
            <w:vAlign w:val="center"/>
            <w:hideMark/>
          </w:tcPr>
          <w:p w14:paraId="48112348" w14:textId="77777777" w:rsidR="009F7DBA" w:rsidRPr="007D6F76" w:rsidRDefault="009F7DBA" w:rsidP="002D1820">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 xml:space="preserve">12.0 + </w:t>
            </w:r>
            <w:r w:rsidRPr="007D6F76">
              <w:rPr>
                <w:rFonts w:ascii="Cambria Math" w:hAnsi="Cambria Math" w:cs="Cambria Math"/>
                <w:sz w:val="18"/>
                <w:szCs w:val="18"/>
                <w:lang w:val="en-IN"/>
              </w:rPr>
              <w:t>⌊</w:t>
            </w:r>
            <w:r w:rsidRPr="007D6F76">
              <w:rPr>
                <w:rFonts w:ascii="Calibri" w:hAnsi="Calibri" w:cs="Calibri"/>
                <w:sz w:val="18"/>
                <w:szCs w:val="18"/>
                <w:lang w:val="en-IN"/>
              </w:rPr>
              <w:t>(H−45)/3</w:t>
            </w:r>
            <w:r w:rsidRPr="007D6F76">
              <w:rPr>
                <w:rFonts w:ascii="Cambria Math" w:hAnsi="Cambria Math" w:cs="Cambria Math"/>
                <w:sz w:val="18"/>
                <w:szCs w:val="18"/>
                <w:lang w:val="en-IN"/>
              </w:rPr>
              <w:t>⌋</w:t>
            </w:r>
          </w:p>
        </w:tc>
        <w:tc>
          <w:tcPr>
            <w:tcW w:w="1825" w:type="dxa"/>
            <w:vAlign w:val="center"/>
            <w:hideMark/>
          </w:tcPr>
          <w:p w14:paraId="54835F31"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 xml:space="preserve">12.0 + </w:t>
            </w:r>
            <w:r w:rsidRPr="007D6F76">
              <w:rPr>
                <w:rFonts w:ascii="Cambria Math" w:hAnsi="Cambria Math" w:cs="Cambria Math"/>
                <w:sz w:val="18"/>
                <w:szCs w:val="18"/>
                <w:lang w:val="en-IN"/>
              </w:rPr>
              <w:t>⌊</w:t>
            </w:r>
            <w:r w:rsidRPr="007D6F76">
              <w:rPr>
                <w:rFonts w:ascii="Calibri" w:hAnsi="Calibri" w:cs="Calibri"/>
                <w:sz w:val="18"/>
                <w:szCs w:val="18"/>
                <w:lang w:val="en-IN"/>
              </w:rPr>
              <w:t>(H−45)/3</w:t>
            </w:r>
            <w:r w:rsidRPr="007D6F76">
              <w:rPr>
                <w:rFonts w:ascii="Cambria Math" w:hAnsi="Cambria Math" w:cs="Cambria Math"/>
                <w:sz w:val="18"/>
                <w:szCs w:val="18"/>
                <w:lang w:val="en-IN"/>
              </w:rPr>
              <w:t>⌋</w:t>
            </w:r>
          </w:p>
        </w:tc>
        <w:tc>
          <w:tcPr>
            <w:tcW w:w="2747" w:type="dxa"/>
            <w:vAlign w:val="center"/>
            <w:hideMark/>
          </w:tcPr>
          <w:p w14:paraId="4EE7B311" w14:textId="77777777" w:rsidR="009F7DBA" w:rsidRPr="007D6F76" w:rsidRDefault="009F7DBA" w:rsidP="007D6F76">
            <w:pPr>
              <w:pStyle w:val="ListParagraph"/>
              <w:spacing w:after="40"/>
              <w:jc w:val="center"/>
              <w:rPr>
                <w:rFonts w:ascii="Calibri" w:hAnsi="Calibri" w:cs="Calibri"/>
                <w:sz w:val="18"/>
                <w:szCs w:val="18"/>
                <w:lang w:val="en-IN"/>
              </w:rPr>
            </w:pPr>
            <w:r w:rsidRPr="007D6F76">
              <w:rPr>
                <w:rFonts w:ascii="Calibri" w:hAnsi="Calibri" w:cs="Calibri"/>
                <w:sz w:val="18"/>
                <w:szCs w:val="18"/>
                <w:lang w:val="en-IN"/>
              </w:rPr>
              <w:t>RCBR 2012 §H-2</w:t>
            </w:r>
          </w:p>
        </w:tc>
      </w:tr>
    </w:tbl>
    <w:p w14:paraId="3B0F4609" w14:textId="77777777" w:rsidR="009F7DBA" w:rsidRPr="007D6F76" w:rsidRDefault="009F7DBA" w:rsidP="007D6F76">
      <w:pPr>
        <w:spacing w:after="40"/>
        <w:rPr>
          <w:rFonts w:ascii="Calibri" w:hAnsi="Calibri" w:cs="Calibri"/>
          <w:lang w:val="en-IN"/>
        </w:rPr>
      </w:pPr>
    </w:p>
    <w:p w14:paraId="23EC492D" w14:textId="2144512A" w:rsidR="00C023C0" w:rsidRDefault="00D56C03" w:rsidP="001A523E">
      <w:pPr>
        <w:pStyle w:val="ListParagraph"/>
        <w:spacing w:after="40"/>
        <w:jc w:val="both"/>
        <w:rPr>
          <w:rFonts w:ascii="Calibri" w:hAnsi="Calibri" w:cs="Calibri"/>
        </w:rPr>
      </w:pPr>
      <w:r w:rsidRPr="00D56C03">
        <w:rPr>
          <w:rFonts w:ascii="Calibri" w:hAnsi="Calibri" w:cs="Calibri"/>
        </w:rPr>
        <w:t xml:space="preserve">Rule outputs are converted into a single compliance score, initialised at 100. CRITICAL violations — setback deficiency, FAR excess, coverage excess — deduct 20–30 points. WARNING violations deduct 5–10 points. INFORMATIONAL flags, such as a fire NOC trigger or a high-rise notice, deduct nothing but appear as mandatory pre-permit considerations. Scoring runs synchronously and completes within </w:t>
      </w:r>
      <w:r w:rsidR="00D67137" w:rsidRPr="00D56C03">
        <w:rPr>
          <w:rFonts w:ascii="Calibri" w:hAnsi="Calibri" w:cs="Calibri"/>
        </w:rPr>
        <w:t xml:space="preserve">5 </w:t>
      </w:r>
      <w:r w:rsidR="00D67137">
        <w:rPr>
          <w:rFonts w:ascii="Calibri" w:hAnsi="Calibri" w:cs="Calibri"/>
        </w:rPr>
        <w:t>ms</w:t>
      </w:r>
      <w:r w:rsidRPr="00D56C03">
        <w:rPr>
          <w:rFonts w:ascii="Calibri" w:hAnsi="Calibri" w:cs="Calibri"/>
        </w:rPr>
        <w:t xml:space="preserve"> of each massing change. It is coupled to the 3D viewport, so the score updates continuously as the design changes rather than at fixed checkpoints. For a 9-floor, 27 m residential massing on a 2,861 sqm site, the engine returns NON-COMPLIANT (77/100) with a CRITICAL setback violation and a HIGH-RISE classification </w:t>
      </w:r>
      <w:r w:rsidR="00573BC3" w:rsidRPr="00D56C03">
        <w:rPr>
          <w:rFonts w:ascii="Calibri" w:hAnsi="Calibri" w:cs="Calibri"/>
        </w:rPr>
        <w:t>trigger.</w:t>
      </w:r>
      <w:r w:rsidR="00573BC3">
        <w:rPr>
          <w:rFonts w:ascii="Calibri" w:hAnsi="Calibri" w:cs="Calibri"/>
        </w:rPr>
        <w:t xml:space="preserve"> (</w:t>
      </w:r>
      <w:r w:rsidR="00E2195A">
        <w:rPr>
          <w:rFonts w:ascii="Calibri" w:hAnsi="Calibri" w:cs="Calibri"/>
        </w:rPr>
        <w:t>F</w:t>
      </w:r>
      <w:r w:rsidR="00C62826">
        <w:rPr>
          <w:rFonts w:ascii="Calibri" w:hAnsi="Calibri" w:cs="Calibri"/>
        </w:rPr>
        <w:t>ig</w:t>
      </w:r>
      <w:r w:rsidR="00573BC3">
        <w:rPr>
          <w:rFonts w:ascii="Calibri" w:hAnsi="Calibri" w:cs="Calibri"/>
        </w:rPr>
        <w:t>.</w:t>
      </w:r>
      <w:r w:rsidR="004028BD">
        <w:rPr>
          <w:rFonts w:ascii="Calibri" w:hAnsi="Calibri" w:cs="Calibri"/>
        </w:rPr>
        <w:t>2</w:t>
      </w:r>
      <w:r w:rsidR="00573BC3">
        <w:rPr>
          <w:rFonts w:ascii="Calibri" w:hAnsi="Calibri" w:cs="Calibri"/>
        </w:rPr>
        <w:t>)</w:t>
      </w:r>
    </w:p>
    <w:p w14:paraId="38DE9DBA" w14:textId="77777777" w:rsidR="00D56C03" w:rsidRDefault="00D56C03" w:rsidP="00C023C0">
      <w:pPr>
        <w:pStyle w:val="ListParagraph"/>
        <w:spacing w:after="40"/>
        <w:rPr>
          <w:rFonts w:ascii="Calibri" w:hAnsi="Calibri" w:cs="Calibri"/>
          <w:lang w:val="en-IN"/>
        </w:rPr>
      </w:pPr>
    </w:p>
    <w:p w14:paraId="59C51475" w14:textId="01E141C6" w:rsidR="00C023C0" w:rsidRPr="00C023C0" w:rsidRDefault="00C023C0" w:rsidP="00C023C0">
      <w:pPr>
        <w:spacing w:after="40"/>
        <w:rPr>
          <w:rFonts w:ascii="Calibri" w:hAnsi="Calibri" w:cs="Calibri"/>
          <w:b/>
          <w:bCs/>
          <w:sz w:val="24"/>
          <w:szCs w:val="24"/>
          <w:lang w:val="en-IN"/>
        </w:rPr>
      </w:pPr>
      <w:r>
        <w:rPr>
          <w:rFonts w:ascii="Calibri" w:hAnsi="Calibri" w:cs="Calibri"/>
          <w:b/>
          <w:bCs/>
          <w:sz w:val="24"/>
          <w:szCs w:val="24"/>
        </w:rPr>
        <w:t xml:space="preserve">             </w:t>
      </w:r>
      <w:r w:rsidR="00D6656F" w:rsidRPr="00C023C0">
        <w:rPr>
          <w:rFonts w:ascii="Calibri" w:hAnsi="Calibri" w:cs="Calibri"/>
          <w:b/>
          <w:bCs/>
          <w:sz w:val="24"/>
          <w:szCs w:val="24"/>
        </w:rPr>
        <w:t xml:space="preserve">4.2 </w:t>
      </w:r>
      <w:r w:rsidR="00D6656F">
        <w:rPr>
          <w:rFonts w:ascii="Calibri" w:hAnsi="Calibri" w:cs="Calibri"/>
          <w:b/>
          <w:bCs/>
          <w:sz w:val="24"/>
          <w:szCs w:val="24"/>
        </w:rPr>
        <w:t>Constrained</w:t>
      </w:r>
      <w:r w:rsidR="00791DD2" w:rsidRPr="00791DD2">
        <w:rPr>
          <w:rFonts w:ascii="Calibri" w:hAnsi="Calibri" w:cs="Calibri"/>
          <w:b/>
          <w:bCs/>
          <w:sz w:val="24"/>
          <w:szCs w:val="24"/>
        </w:rPr>
        <w:t xml:space="preserve"> AI Recommendation Generation</w:t>
      </w:r>
    </w:p>
    <w:p w14:paraId="7B073776" w14:textId="76F5F78F" w:rsidR="001A523E" w:rsidRDefault="001A523E" w:rsidP="002A0B2F">
      <w:pPr>
        <w:pStyle w:val="ListParagraph"/>
        <w:spacing w:after="40"/>
        <w:jc w:val="both"/>
        <w:rPr>
          <w:rFonts w:ascii="Calibri" w:hAnsi="Calibri" w:cs="Calibri"/>
        </w:rPr>
      </w:pPr>
      <w:r>
        <w:rPr>
          <w:rFonts w:ascii="Calibri" w:hAnsi="Calibri" w:cs="Calibri"/>
        </w:rPr>
        <w:t xml:space="preserve">           </w:t>
      </w:r>
      <w:r w:rsidRPr="001A523E">
        <w:rPr>
          <w:rFonts w:ascii="Calibri" w:hAnsi="Calibri" w:cs="Calibri"/>
        </w:rPr>
        <w:t>Once the deterministic engine (§4.1) computes a violation list and compliance score, this result is passed to Google Gemini 2.5 Flash as read-only context. The system prompt frames the rule engine's output as authoritative. The model's only task is to generate 3–5 concise design recommendations. It is not asked to explain why a violation occurred. It has no mechanism to alter the violation list, severity ratings, or score. The API route structure enforces this separation: the deterministic result and the model-generated recommendations are returned as distinct fields, so the recommendation text cannot overwrite the compliance determination</w:t>
      </w:r>
      <w:r>
        <w:rPr>
          <w:rFonts w:ascii="Calibri" w:hAnsi="Calibri" w:cs="Calibri"/>
        </w:rPr>
        <w:t>.</w:t>
      </w:r>
    </w:p>
    <w:p w14:paraId="68BDDFCA" w14:textId="22523389" w:rsidR="00704B36" w:rsidRDefault="008F1B8D" w:rsidP="00564EC6">
      <w:pPr>
        <w:pStyle w:val="ListParagraph"/>
        <w:spacing w:after="40"/>
        <w:jc w:val="both"/>
        <w:rPr>
          <w:rFonts w:ascii="Calibri" w:hAnsi="Calibri" w:cs="Calibri"/>
        </w:rPr>
      </w:pPr>
      <w:r>
        <w:rPr>
          <w:rFonts w:ascii="Calibri" w:hAnsi="Calibri" w:cs="Calibri"/>
        </w:rPr>
        <w:t xml:space="preserve">           </w:t>
      </w:r>
      <w:r w:rsidRPr="008F1B8D">
        <w:rPr>
          <w:rFonts w:ascii="Calibri" w:hAnsi="Calibri" w:cs="Calibri"/>
        </w:rPr>
        <w:t>A separate deterministic component handles natural-language query routing for the GIS interface. A rule-based classifier scores incoming user messages against fifteen topic categories (transit, flood, soil, solar, infrastructure, and others) using keyword and pattern matching, then activates the corresponding map layer. Quantitative evaluation of this classifier is left to future work.</w:t>
      </w:r>
    </w:p>
    <w:p w14:paraId="15944B9F" w14:textId="77777777" w:rsidR="008F1B8D" w:rsidRPr="00704B36" w:rsidRDefault="008F1B8D" w:rsidP="00573173">
      <w:pPr>
        <w:pStyle w:val="ListParagraph"/>
        <w:spacing w:after="40"/>
        <w:rPr>
          <w:rFonts w:ascii="Calibri" w:hAnsi="Calibri" w:cs="Calibri"/>
          <w:lang w:val="en-IN"/>
        </w:rPr>
      </w:pPr>
    </w:p>
    <w:p w14:paraId="755EAECB" w14:textId="11CCFD28" w:rsidR="00704B36" w:rsidRPr="00786886" w:rsidRDefault="00704B36" w:rsidP="00786886">
      <w:pPr>
        <w:pStyle w:val="ListParagraph"/>
        <w:numPr>
          <w:ilvl w:val="0"/>
          <w:numId w:val="5"/>
        </w:numPr>
        <w:spacing w:after="40"/>
        <w:rPr>
          <w:rFonts w:ascii="Calibri" w:hAnsi="Calibri" w:cs="Calibri"/>
          <w:b/>
          <w:bCs/>
          <w:sz w:val="28"/>
          <w:szCs w:val="28"/>
        </w:rPr>
      </w:pPr>
      <w:r w:rsidRPr="00786886">
        <w:rPr>
          <w:rFonts w:ascii="Calibri" w:hAnsi="Calibri" w:cs="Calibri"/>
          <w:b/>
          <w:bCs/>
          <w:sz w:val="28"/>
          <w:szCs w:val="28"/>
        </w:rPr>
        <w:t>GEOSPATIAL DATA INTEGRATION AND DIGITAL TWIN PIPELINE</w:t>
      </w:r>
    </w:p>
    <w:p w14:paraId="17A25F1B" w14:textId="77777777" w:rsidR="00786886" w:rsidRPr="00786886" w:rsidRDefault="00786886" w:rsidP="00786886">
      <w:pPr>
        <w:pStyle w:val="ListParagraph"/>
        <w:spacing w:after="40"/>
        <w:rPr>
          <w:rFonts w:ascii="Calibri" w:hAnsi="Calibri" w:cs="Calibri"/>
          <w:b/>
          <w:bCs/>
          <w:sz w:val="28"/>
          <w:szCs w:val="28"/>
        </w:rPr>
      </w:pPr>
    </w:p>
    <w:p w14:paraId="518751B3" w14:textId="77777777" w:rsidR="00786886" w:rsidRDefault="00704B36" w:rsidP="00704B36">
      <w:pPr>
        <w:spacing w:after="40"/>
        <w:rPr>
          <w:rFonts w:ascii="Calibri" w:hAnsi="Calibri" w:cs="Calibri"/>
          <w:b/>
          <w:bCs/>
          <w:sz w:val="24"/>
          <w:szCs w:val="24"/>
        </w:rPr>
      </w:pPr>
      <w:r w:rsidRPr="00704B36">
        <w:rPr>
          <w:rFonts w:ascii="Calibri" w:hAnsi="Calibri" w:cs="Calibri"/>
          <w:b/>
          <w:bCs/>
          <w:sz w:val="28"/>
          <w:szCs w:val="28"/>
        </w:rPr>
        <w:t xml:space="preserve">           </w:t>
      </w:r>
      <w:r w:rsidR="00D6656F" w:rsidRPr="00704B36">
        <w:rPr>
          <w:rFonts w:ascii="Calibri" w:hAnsi="Calibri" w:cs="Calibri"/>
          <w:b/>
          <w:bCs/>
          <w:sz w:val="24"/>
          <w:szCs w:val="24"/>
        </w:rPr>
        <w:t>5.1</w:t>
      </w:r>
      <w:r w:rsidR="00D6656F">
        <w:rPr>
          <w:rFonts w:ascii="Calibri" w:hAnsi="Calibri" w:cs="Calibri"/>
          <w:b/>
          <w:bCs/>
          <w:sz w:val="24"/>
          <w:szCs w:val="24"/>
        </w:rPr>
        <w:t xml:space="preserve"> </w:t>
      </w:r>
      <w:r w:rsidR="00D6656F" w:rsidRPr="00704B36">
        <w:rPr>
          <w:rFonts w:ascii="Calibri" w:hAnsi="Calibri" w:cs="Calibri"/>
          <w:b/>
          <w:bCs/>
          <w:sz w:val="24"/>
          <w:szCs w:val="24"/>
        </w:rPr>
        <w:t>Automated</w:t>
      </w:r>
      <w:r w:rsidRPr="00704B36">
        <w:rPr>
          <w:rFonts w:ascii="Calibri" w:hAnsi="Calibri" w:cs="Calibri"/>
          <w:b/>
          <w:bCs/>
          <w:sz w:val="24"/>
          <w:szCs w:val="24"/>
        </w:rPr>
        <w:t xml:space="preserve"> Site Ingestion via Overpass/OSM APIs</w:t>
      </w:r>
    </w:p>
    <w:p w14:paraId="75BC44E5" w14:textId="2B90F49B" w:rsidR="00704B36" w:rsidRPr="00564EC6" w:rsidRDefault="00786886" w:rsidP="00564EC6">
      <w:pPr>
        <w:spacing w:after="40"/>
        <w:jc w:val="both"/>
        <w:rPr>
          <w:rFonts w:ascii="Calibri" w:hAnsi="Calibri" w:cs="Calibri"/>
        </w:rPr>
      </w:pPr>
      <w:r w:rsidRPr="00564EC6">
        <w:rPr>
          <w:rFonts w:ascii="Calibri" w:hAnsi="Calibri" w:cs="Calibri"/>
        </w:rPr>
        <w:t xml:space="preserve">     </w:t>
      </w:r>
      <w:r w:rsidR="00564EC6">
        <w:rPr>
          <w:rFonts w:ascii="Calibri" w:hAnsi="Calibri" w:cs="Calibri"/>
        </w:rPr>
        <w:t xml:space="preserve">         </w:t>
      </w:r>
      <w:r w:rsidRPr="00564EC6">
        <w:rPr>
          <w:rFonts w:ascii="Calibri" w:hAnsi="Calibri" w:cs="Calibri"/>
        </w:rPr>
        <w:t xml:space="preserve"> </w:t>
      </w:r>
      <w:r w:rsidR="00564EC6" w:rsidRPr="00564EC6">
        <w:rPr>
          <w:rFonts w:ascii="Calibri" w:hAnsi="Calibri" w:cs="Calibri"/>
        </w:rPr>
        <w:t>Site context is gathered automatically from OpenStreetMap. Queries are bounded to a user-defined zone. An Overpass API call retrieves surrounding building footprints, height attributes, and use-type tags within a buffered bounding box.</w:t>
      </w:r>
    </w:p>
    <w:p w14:paraId="1013CFA7" w14:textId="75EB99E9" w:rsidR="00704B36" w:rsidRDefault="00704B36" w:rsidP="00752121">
      <w:pPr>
        <w:spacing w:after="40"/>
        <w:jc w:val="both"/>
        <w:rPr>
          <w:rFonts w:ascii="Calibri" w:hAnsi="Calibri" w:cs="Calibri"/>
        </w:rPr>
      </w:pPr>
      <w:r>
        <w:rPr>
          <w:rFonts w:ascii="Calibri" w:hAnsi="Calibri" w:cs="Calibri"/>
          <w:lang w:val="en-IN"/>
        </w:rPr>
        <w:lastRenderedPageBreak/>
        <w:t xml:space="preserve">           </w:t>
      </w:r>
      <w:r w:rsidR="00752121" w:rsidRPr="00752121">
        <w:rPr>
          <w:rFonts w:ascii="Calibri" w:hAnsi="Calibri" w:cs="Calibri"/>
        </w:rPr>
        <w:t>This data is used only to populate the environmental context; no commercial suitability scores are generated. For the Hyderabad test site (17.4776°N, 78.4973°E), the ingestion layer recorded 42 educational facilities, 91 healthcare facilities, and 41 transit nodes within a 3 km radius. The site boundary area is then computed using the spherical excess formula. That area becomes the basis for FAR and ground coverage evaluation.</w:t>
      </w:r>
    </w:p>
    <w:p w14:paraId="5571238F" w14:textId="77777777" w:rsidR="00C7347A" w:rsidRDefault="00C7347A" w:rsidP="00752121">
      <w:pPr>
        <w:spacing w:after="40"/>
        <w:jc w:val="both"/>
        <w:rPr>
          <w:rFonts w:ascii="Calibri" w:hAnsi="Calibri" w:cs="Calibri"/>
          <w:lang w:val="en-IN"/>
        </w:rPr>
      </w:pPr>
    </w:p>
    <w:p w14:paraId="3F55E76B" w14:textId="657B607A" w:rsidR="00704B36" w:rsidRDefault="00704B36" w:rsidP="00704B36">
      <w:pPr>
        <w:spacing w:after="40"/>
        <w:rPr>
          <w:rFonts w:ascii="Calibri" w:hAnsi="Calibri" w:cs="Calibri"/>
          <w:b/>
          <w:bCs/>
          <w:sz w:val="24"/>
          <w:szCs w:val="24"/>
        </w:rPr>
      </w:pPr>
      <w:r w:rsidRPr="00704B36">
        <w:rPr>
          <w:rFonts w:ascii="Calibri" w:hAnsi="Calibri" w:cs="Calibri"/>
          <w:b/>
          <w:bCs/>
          <w:sz w:val="24"/>
          <w:szCs w:val="24"/>
          <w:lang w:val="en-IN"/>
        </w:rPr>
        <w:t xml:space="preserve">           </w:t>
      </w:r>
      <w:r w:rsidR="007D1135" w:rsidRPr="00704B36">
        <w:rPr>
          <w:rFonts w:ascii="Calibri" w:hAnsi="Calibri" w:cs="Calibri"/>
          <w:b/>
          <w:bCs/>
          <w:sz w:val="24"/>
          <w:szCs w:val="24"/>
        </w:rPr>
        <w:t>5.2</w:t>
      </w:r>
      <w:r w:rsidR="007D1135">
        <w:rPr>
          <w:rFonts w:ascii="Calibri" w:hAnsi="Calibri" w:cs="Calibri"/>
          <w:b/>
          <w:bCs/>
          <w:sz w:val="24"/>
          <w:szCs w:val="24"/>
        </w:rPr>
        <w:t xml:space="preserve"> </w:t>
      </w:r>
      <w:r w:rsidR="007D1135" w:rsidRPr="00704B36">
        <w:rPr>
          <w:rFonts w:ascii="Calibri" w:hAnsi="Calibri" w:cs="Calibri"/>
          <w:b/>
          <w:bCs/>
          <w:sz w:val="24"/>
          <w:szCs w:val="24"/>
        </w:rPr>
        <w:t>3</w:t>
      </w:r>
      <w:r w:rsidRPr="00704B36">
        <w:rPr>
          <w:rFonts w:ascii="Calibri" w:hAnsi="Calibri" w:cs="Calibri"/>
          <w:b/>
          <w:bCs/>
          <w:sz w:val="24"/>
          <w:szCs w:val="24"/>
        </w:rPr>
        <w:t>D Spatial Mesh Generation and Coordinate Synchronization</w:t>
      </w:r>
    </w:p>
    <w:p w14:paraId="64E226B2" w14:textId="78AA5EF7" w:rsidR="00DA37F7" w:rsidRPr="00C7347A" w:rsidRDefault="00704B36" w:rsidP="003A24AA">
      <w:pPr>
        <w:spacing w:after="40"/>
        <w:jc w:val="both"/>
        <w:rPr>
          <w:rFonts w:ascii="Calibri" w:hAnsi="Calibri" w:cs="Calibri"/>
          <w:lang w:val="en-IN"/>
        </w:rPr>
      </w:pPr>
      <w:r>
        <w:rPr>
          <w:rFonts w:ascii="Calibri" w:hAnsi="Calibri" w:cs="Calibri"/>
          <w:b/>
          <w:bCs/>
          <w:sz w:val="24"/>
          <w:szCs w:val="24"/>
        </w:rPr>
        <w:t xml:space="preserve">                   </w:t>
      </w:r>
      <w:r w:rsidR="00C7347A" w:rsidRPr="00C7347A">
        <w:rPr>
          <w:rFonts w:ascii="Calibri" w:hAnsi="Calibri" w:cs="Calibri"/>
        </w:rPr>
        <w:t>Two-dimensional footprint arrays are extruded into a 3D massing model using Three.js. A WebGL-based solar simulation is parameterized by site latitude, longitude, date, and time. For the Hyderabad site, 24 OSM-derived contextual buildings were rendered at their mapped heights.</w:t>
      </w:r>
    </w:p>
    <w:p w14:paraId="075F41D2" w14:textId="267773E9" w:rsidR="00003E02" w:rsidRPr="00003E02" w:rsidRDefault="00704B36" w:rsidP="003A24AA">
      <w:pPr>
        <w:spacing w:after="40"/>
        <w:jc w:val="both"/>
        <w:rPr>
          <w:rFonts w:ascii="Calibri" w:hAnsi="Calibri" w:cs="Calibri"/>
          <w:b/>
          <w:bCs/>
          <w:sz w:val="28"/>
          <w:szCs w:val="28"/>
          <w:lang w:val="en-IN"/>
        </w:rPr>
      </w:pPr>
      <w:r>
        <w:rPr>
          <w:rFonts w:ascii="Calibri" w:hAnsi="Calibri" w:cs="Calibri"/>
          <w:lang w:val="en-IN"/>
        </w:rPr>
        <w:t xml:space="preserve">                     </w:t>
      </w:r>
    </w:p>
    <w:p w14:paraId="691CBD02" w14:textId="77777777" w:rsidR="00003E02" w:rsidRDefault="00003E02" w:rsidP="00003E02">
      <w:pPr>
        <w:spacing w:after="40"/>
        <w:rPr>
          <w:rFonts w:ascii="Calibri" w:hAnsi="Calibri" w:cs="Calibri"/>
          <w:b/>
          <w:bCs/>
          <w:sz w:val="28"/>
          <w:szCs w:val="28"/>
          <w:lang w:val="en-IN"/>
        </w:rPr>
      </w:pPr>
      <w:r w:rsidRPr="00003E02">
        <w:rPr>
          <w:rFonts w:ascii="Calibri" w:hAnsi="Calibri" w:cs="Calibri"/>
          <w:b/>
          <w:bCs/>
          <w:sz w:val="28"/>
          <w:szCs w:val="28"/>
          <w:lang w:val="en-IN"/>
        </w:rPr>
        <w:t>6. EXPERIMENTAL EVALUATION AND VALIDATION</w:t>
      </w:r>
    </w:p>
    <w:p w14:paraId="1E283D82" w14:textId="77777777" w:rsidR="00003E02" w:rsidRPr="00003E02" w:rsidRDefault="00003E02" w:rsidP="00003E02">
      <w:pPr>
        <w:spacing w:after="40"/>
        <w:rPr>
          <w:rFonts w:ascii="Calibri" w:hAnsi="Calibri" w:cs="Calibri"/>
          <w:b/>
          <w:bCs/>
          <w:sz w:val="28"/>
          <w:szCs w:val="28"/>
          <w:lang w:val="en-IN"/>
        </w:rPr>
      </w:pPr>
    </w:p>
    <w:p w14:paraId="002B10EF" w14:textId="77777777" w:rsidR="006E615B" w:rsidRDefault="00D6656F" w:rsidP="006E615B">
      <w:pPr>
        <w:spacing w:after="40"/>
        <w:rPr>
          <w:rFonts w:ascii="Calibri" w:hAnsi="Calibri" w:cs="Calibri"/>
          <w:b/>
          <w:bCs/>
          <w:sz w:val="24"/>
          <w:szCs w:val="24"/>
          <w:lang w:val="en-IN"/>
        </w:rPr>
      </w:pPr>
      <w:r w:rsidRPr="00003E02">
        <w:rPr>
          <w:rFonts w:ascii="Calibri" w:hAnsi="Calibri" w:cs="Calibri"/>
          <w:b/>
          <w:bCs/>
          <w:sz w:val="24"/>
          <w:szCs w:val="24"/>
          <w:lang w:val="en-IN"/>
        </w:rPr>
        <w:t>6.1</w:t>
      </w:r>
      <w:r>
        <w:rPr>
          <w:rFonts w:ascii="Calibri" w:hAnsi="Calibri" w:cs="Calibri"/>
          <w:b/>
          <w:bCs/>
          <w:sz w:val="24"/>
          <w:szCs w:val="24"/>
          <w:lang w:val="en-IN"/>
        </w:rPr>
        <w:t xml:space="preserve"> </w:t>
      </w:r>
      <w:r w:rsidRPr="00003E02">
        <w:rPr>
          <w:rFonts w:ascii="Calibri" w:hAnsi="Calibri" w:cs="Calibri"/>
          <w:b/>
          <w:bCs/>
          <w:sz w:val="24"/>
          <w:szCs w:val="24"/>
          <w:lang w:val="en-IN"/>
        </w:rPr>
        <w:t>Experimental</w:t>
      </w:r>
      <w:r w:rsidR="00003E02" w:rsidRPr="00003E02">
        <w:rPr>
          <w:rFonts w:ascii="Calibri" w:hAnsi="Calibri" w:cs="Calibri"/>
          <w:b/>
          <w:bCs/>
          <w:sz w:val="24"/>
          <w:szCs w:val="24"/>
          <w:lang w:val="en-IN"/>
        </w:rPr>
        <w:t xml:space="preserve"> Metrics and Evaluation Framework</w:t>
      </w:r>
    </w:p>
    <w:p w14:paraId="23743FA4" w14:textId="77777777" w:rsidR="005C38B2" w:rsidRPr="005C38B2" w:rsidRDefault="006E615B" w:rsidP="005C38B2">
      <w:pPr>
        <w:spacing w:after="40"/>
        <w:jc w:val="both"/>
        <w:rPr>
          <w:rFonts w:ascii="Calibri" w:hAnsi="Calibri" w:cs="Calibri"/>
          <w:lang w:val="en-IN"/>
        </w:rPr>
      </w:pPr>
      <w:r>
        <w:rPr>
          <w:rFonts w:ascii="Calibri" w:hAnsi="Calibri" w:cs="Calibri"/>
          <w:b/>
          <w:bCs/>
          <w:sz w:val="24"/>
          <w:szCs w:val="24"/>
          <w:lang w:val="en-IN"/>
        </w:rPr>
        <w:t xml:space="preserve">      </w:t>
      </w:r>
      <w:r w:rsidR="00244B7E">
        <w:rPr>
          <w:rFonts w:ascii="Calibri" w:hAnsi="Calibri" w:cs="Calibri"/>
          <w:b/>
          <w:bCs/>
          <w:sz w:val="24"/>
          <w:szCs w:val="24"/>
          <w:lang w:val="en-IN"/>
        </w:rPr>
        <w:t xml:space="preserve">     </w:t>
      </w:r>
      <w:r w:rsidR="005C38B2" w:rsidRPr="005C38B2">
        <w:rPr>
          <w:rFonts w:ascii="Calibri" w:hAnsi="Calibri" w:cs="Calibri"/>
          <w:lang w:val="en-IN"/>
        </w:rPr>
        <w:t>The evaluation used 60 synthetic Hyderabad site configurations, split into three groups of 20. The first group was clearly compliant. The second was borderline: a single parameter was shifted to just inside or just outside a regulatory threshold. The third was clearly non-compliant: a single parameter was pushed to a definite violation. Configurations were generated by a dedicated script that encodes the GHMC / TS-bPASS / G.O. Ms. No. 168 (2012) rule tables, including their dependence on abutting road width. Mathematical ground truth was computed from these same tables at zero tolerance, independently of the application under test.</w:t>
      </w:r>
    </w:p>
    <w:p w14:paraId="1BA6930D" w14:textId="21BFC781" w:rsidR="00003E02" w:rsidRDefault="005C38B2" w:rsidP="005C38B2">
      <w:pPr>
        <w:spacing w:after="40"/>
        <w:jc w:val="both"/>
        <w:rPr>
          <w:rFonts w:ascii="Calibri" w:hAnsi="Calibri" w:cs="Calibri"/>
          <w:lang w:val="en-IN"/>
        </w:rPr>
      </w:pPr>
      <w:r>
        <w:rPr>
          <w:rFonts w:ascii="Calibri" w:hAnsi="Calibri" w:cs="Calibri"/>
          <w:lang w:val="en-IN"/>
        </w:rPr>
        <w:t xml:space="preserve">             </w:t>
      </w:r>
      <w:r w:rsidRPr="005C38B2">
        <w:rPr>
          <w:rFonts w:ascii="Calibri" w:hAnsi="Calibri" w:cs="Calibri"/>
          <w:lang w:val="en-IN"/>
        </w:rPr>
        <w:t>Ground truth was reviewed consultatively by a licensed architect at JNAFAU with working knowledge of Hyderabad bylaws. This was not a blinded, independent re-derivation; a fully blinded protocol is recommended for follow-up work.</w:t>
      </w:r>
    </w:p>
    <w:p w14:paraId="49F72DE6" w14:textId="77777777" w:rsidR="005C38B2" w:rsidRPr="00003E02" w:rsidRDefault="005C38B2" w:rsidP="005C38B2">
      <w:pPr>
        <w:spacing w:after="40"/>
        <w:jc w:val="both"/>
        <w:rPr>
          <w:rFonts w:ascii="Calibri" w:hAnsi="Calibri" w:cs="Calibri"/>
          <w:lang w:val="en-IN"/>
        </w:rPr>
      </w:pPr>
    </w:p>
    <w:p w14:paraId="3AFC572F" w14:textId="77777777" w:rsidR="006E615B" w:rsidRPr="00CC4991" w:rsidRDefault="00003E02" w:rsidP="006E615B">
      <w:pPr>
        <w:spacing w:after="40"/>
        <w:rPr>
          <w:sz w:val="24"/>
          <w:szCs w:val="24"/>
        </w:rPr>
      </w:pPr>
      <w:r w:rsidRPr="00003E02">
        <w:rPr>
          <w:rFonts w:ascii="Calibri" w:hAnsi="Calibri" w:cs="Calibri"/>
          <w:b/>
          <w:bCs/>
          <w:sz w:val="24"/>
          <w:szCs w:val="24"/>
          <w:lang w:val="en-IN"/>
        </w:rPr>
        <w:t>6.</w:t>
      </w:r>
      <w:r w:rsidRPr="00CC4991">
        <w:rPr>
          <w:rFonts w:ascii="Calibri" w:hAnsi="Calibri" w:cs="Calibri"/>
          <w:sz w:val="24"/>
          <w:szCs w:val="24"/>
          <w:lang w:val="en-IN"/>
        </w:rPr>
        <w:t xml:space="preserve">2 </w:t>
      </w:r>
      <w:r w:rsidR="007D1135" w:rsidRPr="00CC4991">
        <w:rPr>
          <w:rFonts w:ascii="Calibri" w:hAnsi="Calibri" w:cs="Calibri"/>
          <w:b/>
          <w:bCs/>
          <w:sz w:val="24"/>
          <w:szCs w:val="24"/>
        </w:rPr>
        <w:t>Two-Round Testing Protocol</w:t>
      </w:r>
    </w:p>
    <w:p w14:paraId="13A2DCE5" w14:textId="77777777" w:rsidR="00B1069C" w:rsidRPr="00B1069C" w:rsidRDefault="006E615B" w:rsidP="00B1069C">
      <w:pPr>
        <w:spacing w:after="40"/>
        <w:jc w:val="both"/>
        <w:rPr>
          <w:lang w:val="en-IN"/>
        </w:rPr>
      </w:pPr>
      <w:r>
        <w:rPr>
          <w:sz w:val="28"/>
          <w:szCs w:val="28"/>
        </w:rPr>
        <w:t xml:space="preserve">     </w:t>
      </w:r>
      <w:r w:rsidR="001139ED">
        <w:rPr>
          <w:sz w:val="28"/>
          <w:szCs w:val="28"/>
        </w:rPr>
        <w:t xml:space="preserve">     </w:t>
      </w:r>
      <w:r>
        <w:rPr>
          <w:sz w:val="28"/>
          <w:szCs w:val="28"/>
        </w:rPr>
        <w:t xml:space="preserve"> </w:t>
      </w:r>
      <w:r w:rsidR="00B1069C" w:rsidRPr="00B1069C">
        <w:rPr>
          <w:lang w:val="en-IN"/>
        </w:rPr>
        <w:t>All 60 sites were submitted to the running application, not to a standalone copy of the rule logic. Each configuration was POSTed to the live /api/bim/compliance endpoint via a dedicated test harness. This exercised the deployed deterministic rule engine followed by its downstream AI recommendation pass, in the same sequence an end user would trigger. No request bypassed any part of the application's own processing path. Testing ran in two rounds. Round 1 evaluated the engine as originally implemented. Divergences from mathematical ground truth were analysed to identify their cause (§6.3), which led to a targeted revision of road-width handling. Round 2 resubmitted the identical 60 configurations to the revised application.</w:t>
      </w:r>
    </w:p>
    <w:p w14:paraId="6A010472" w14:textId="4147F469" w:rsidR="00B1069C" w:rsidRPr="00B1069C" w:rsidRDefault="00B1069C" w:rsidP="00B1069C">
      <w:pPr>
        <w:spacing w:after="40"/>
        <w:jc w:val="both"/>
        <w:rPr>
          <w:lang w:val="en-IN"/>
        </w:rPr>
      </w:pPr>
      <w:r>
        <w:rPr>
          <w:lang w:val="en-IN"/>
        </w:rPr>
        <w:t xml:space="preserve">            </w:t>
      </w:r>
      <w:r w:rsidRPr="00B1069C">
        <w:rPr>
          <w:lang w:val="en-IN"/>
        </w:rPr>
        <w:t xml:space="preserve">This design has a limitation that should not be understated. Round 2 was evaluated on the same 60 configurations used to diagnose the Round 1 </w:t>
      </w:r>
      <w:r w:rsidR="00D57257" w:rsidRPr="00B1069C">
        <w:rPr>
          <w:lang w:val="en-IN"/>
        </w:rPr>
        <w:t>failure</w:t>
      </w:r>
      <w:r w:rsidRPr="00B1069C">
        <w:rPr>
          <w:lang w:val="en-IN"/>
        </w:rPr>
        <w:t xml:space="preserve"> that motivated the fix. It therefore shows that the specific defect was corrected, not that the revised engine generalises to configurations it was not tuned against. Independent testing on a held-out configuration set is necessary before any general accuracy claim can be supported.</w:t>
      </w:r>
    </w:p>
    <w:p w14:paraId="44147FA7" w14:textId="628AB494" w:rsidR="00B1069C" w:rsidRPr="00B1069C" w:rsidRDefault="00B1069C" w:rsidP="00B1069C">
      <w:pPr>
        <w:spacing w:after="40"/>
        <w:jc w:val="both"/>
        <w:rPr>
          <w:lang w:val="en-IN"/>
        </w:rPr>
      </w:pPr>
      <w:r>
        <w:rPr>
          <w:lang w:val="en-IN"/>
        </w:rPr>
        <w:t xml:space="preserve">            </w:t>
      </w:r>
      <w:r w:rsidRPr="00B1069C">
        <w:rPr>
          <w:lang w:val="en-IN"/>
        </w:rPr>
        <w:t xml:space="preserve">The AI recommendation pass at this endpoint is advisory by construction. The application's code comments state that it must not override violations or the final score. Both rounds therefore measure the deterministic mathematics; they do not validate the neural/advisory layer. That </w:t>
      </w:r>
      <w:r w:rsidRPr="00B1069C">
        <w:rPr>
          <w:lang w:val="en-IN"/>
        </w:rPr>
        <w:lastRenderedPageBreak/>
        <w:t>requires a separate evaluation once real, rather than fallback, model responses are consistently available.</w:t>
      </w:r>
    </w:p>
    <w:p w14:paraId="144E474F" w14:textId="6171F545" w:rsidR="007D1135" w:rsidRDefault="007D1135" w:rsidP="00B1069C">
      <w:pPr>
        <w:spacing w:after="40"/>
        <w:jc w:val="both"/>
      </w:pPr>
    </w:p>
    <w:p w14:paraId="5752A62A" w14:textId="0632A361" w:rsidR="006E615B" w:rsidRDefault="00D6656F" w:rsidP="006E615B">
      <w:pPr>
        <w:spacing w:after="40"/>
        <w:rPr>
          <w:rFonts w:ascii="Calibri" w:hAnsi="Calibri" w:cs="Calibri"/>
          <w:b/>
          <w:bCs/>
          <w:sz w:val="24"/>
          <w:szCs w:val="24"/>
          <w:lang w:val="en-IN"/>
        </w:rPr>
      </w:pPr>
      <w:r w:rsidRPr="00003E02">
        <w:rPr>
          <w:rFonts w:ascii="Calibri" w:hAnsi="Calibri" w:cs="Calibri"/>
          <w:b/>
          <w:bCs/>
          <w:sz w:val="24"/>
          <w:szCs w:val="24"/>
          <w:lang w:val="en-IN"/>
        </w:rPr>
        <w:t>6.3</w:t>
      </w:r>
      <w:r>
        <w:rPr>
          <w:rFonts w:ascii="Calibri" w:hAnsi="Calibri" w:cs="Calibri"/>
          <w:b/>
          <w:bCs/>
          <w:sz w:val="24"/>
          <w:szCs w:val="24"/>
          <w:lang w:val="en-IN"/>
        </w:rPr>
        <w:t xml:space="preserve"> </w:t>
      </w:r>
      <w:r w:rsidR="007D1135">
        <w:rPr>
          <w:rFonts w:ascii="Calibri" w:hAnsi="Calibri" w:cs="Calibri"/>
          <w:b/>
          <w:bCs/>
          <w:sz w:val="24"/>
          <w:szCs w:val="24"/>
          <w:lang w:val="en-IN"/>
        </w:rPr>
        <w:t xml:space="preserve">Root </w:t>
      </w:r>
      <w:r w:rsidR="00872E03">
        <w:rPr>
          <w:rFonts w:ascii="Calibri" w:hAnsi="Calibri" w:cs="Calibri"/>
          <w:b/>
          <w:bCs/>
          <w:sz w:val="24"/>
          <w:szCs w:val="24"/>
          <w:lang w:val="en-IN"/>
        </w:rPr>
        <w:t>Cause</w:t>
      </w:r>
      <w:r w:rsidR="007D1135">
        <w:rPr>
          <w:rFonts w:ascii="Calibri" w:hAnsi="Calibri" w:cs="Calibri"/>
          <w:b/>
          <w:bCs/>
          <w:sz w:val="24"/>
          <w:szCs w:val="24"/>
          <w:lang w:val="en-IN"/>
        </w:rPr>
        <w:t xml:space="preserve"> </w:t>
      </w:r>
      <w:r w:rsidR="00D86E0C">
        <w:rPr>
          <w:rFonts w:ascii="Calibri" w:hAnsi="Calibri" w:cs="Calibri"/>
          <w:b/>
          <w:bCs/>
          <w:sz w:val="24"/>
          <w:szCs w:val="24"/>
          <w:lang w:val="en-IN"/>
        </w:rPr>
        <w:t>of</w:t>
      </w:r>
      <w:r w:rsidR="007D1135">
        <w:rPr>
          <w:rFonts w:ascii="Calibri" w:hAnsi="Calibri" w:cs="Calibri"/>
          <w:b/>
          <w:bCs/>
          <w:sz w:val="24"/>
          <w:szCs w:val="24"/>
          <w:lang w:val="en-IN"/>
        </w:rPr>
        <w:t xml:space="preserve"> Round 1 Divergence and Road-Width Revision</w:t>
      </w:r>
    </w:p>
    <w:p w14:paraId="366E07BF" w14:textId="77777777" w:rsidR="00990E84" w:rsidRPr="00990E84" w:rsidRDefault="006E615B" w:rsidP="00990E84">
      <w:pPr>
        <w:spacing w:after="40"/>
        <w:jc w:val="both"/>
        <w:rPr>
          <w:rFonts w:ascii="Calibri" w:hAnsi="Calibri" w:cs="Calibri"/>
          <w:lang w:val="en-IN"/>
        </w:rPr>
      </w:pPr>
      <w:r>
        <w:rPr>
          <w:rFonts w:ascii="Calibri" w:hAnsi="Calibri" w:cs="Calibri"/>
          <w:b/>
          <w:bCs/>
          <w:sz w:val="24"/>
          <w:szCs w:val="24"/>
          <w:lang w:val="en-IN"/>
        </w:rPr>
        <w:t xml:space="preserve">     </w:t>
      </w:r>
      <w:r w:rsidR="00C974D7">
        <w:rPr>
          <w:rFonts w:ascii="Calibri" w:hAnsi="Calibri" w:cs="Calibri"/>
          <w:b/>
          <w:bCs/>
          <w:sz w:val="24"/>
          <w:szCs w:val="24"/>
          <w:lang w:val="en-IN"/>
        </w:rPr>
        <w:t xml:space="preserve">    </w:t>
      </w:r>
      <w:r w:rsidR="001139ED">
        <w:rPr>
          <w:rFonts w:ascii="Calibri" w:hAnsi="Calibri" w:cs="Calibri"/>
          <w:b/>
          <w:bCs/>
          <w:sz w:val="24"/>
          <w:szCs w:val="24"/>
          <w:lang w:val="en-IN"/>
        </w:rPr>
        <w:t xml:space="preserve">     </w:t>
      </w:r>
      <w:r>
        <w:rPr>
          <w:rFonts w:ascii="Calibri" w:hAnsi="Calibri" w:cs="Calibri"/>
          <w:b/>
          <w:bCs/>
          <w:sz w:val="24"/>
          <w:szCs w:val="24"/>
          <w:lang w:val="en-IN"/>
        </w:rPr>
        <w:t xml:space="preserve"> </w:t>
      </w:r>
      <w:r w:rsidR="00990E84" w:rsidRPr="00990E84">
        <w:rPr>
          <w:rFonts w:ascii="Calibri" w:hAnsi="Calibri" w:cs="Calibri"/>
          <w:lang w:val="en-IN"/>
        </w:rPr>
        <w:t>Round 1 diverged from the mathematical ground truth on 25 of 60 sites (58.3% agreement). Inspection of the rule engine traced this to a single missing input: the engine never received the width of the road a plot fronts onto, even though GHMC regulations scale several thresholds by road width. This one gap produced three distinct failure modes.</w:t>
      </w:r>
    </w:p>
    <w:p w14:paraId="362C06ED" w14:textId="4336C08C" w:rsidR="00990E84" w:rsidRPr="00990E84" w:rsidRDefault="00990E84" w:rsidP="00990E84">
      <w:pPr>
        <w:spacing w:after="40"/>
        <w:jc w:val="both"/>
        <w:rPr>
          <w:rFonts w:ascii="Calibri" w:hAnsi="Calibri" w:cs="Calibri"/>
          <w:lang w:val="en-IN"/>
        </w:rPr>
      </w:pPr>
      <w:r>
        <w:rPr>
          <w:rFonts w:ascii="Calibri" w:hAnsi="Calibri" w:cs="Calibri"/>
          <w:lang w:val="en-IN"/>
        </w:rPr>
        <w:t xml:space="preserve">                  </w:t>
      </w:r>
      <w:r w:rsidRPr="00990E84">
        <w:rPr>
          <w:rFonts w:ascii="Calibri" w:hAnsi="Calibri" w:cs="Calibri"/>
          <w:lang w:val="en-IN"/>
        </w:rPr>
        <w:t>First, FAR was encoded as a flat 2.0 regardless of road width, while GHMC grants a higher FAR allowance on wider roads (18–30 m). This incorrectly flagged compliant wide-road sites as exceeding FAR. Second, setbacks were drawn from a table indexed by building height alone, while GHMC also scales setbacks by plot area bracket. This was the largest error source. It produced 23 false setback violation flags on small compliant plots. In the opposite direction, it under-required the setback on at least one mid-sized plot enough to let a genuine violation pass with a perfect score. Third, open space was checked against a blanket 30% minimum, while GHMC permits reduced open space on plots under 300 sq. m. This produced false open-space violations on small compliant plots.</w:t>
      </w:r>
    </w:p>
    <w:p w14:paraId="1EC955B8" w14:textId="2AAAEEFF" w:rsidR="00872E03" w:rsidRDefault="00990E84" w:rsidP="00990E84">
      <w:pPr>
        <w:spacing w:after="40"/>
        <w:jc w:val="both"/>
        <w:rPr>
          <w:rFonts w:ascii="Calibri" w:hAnsi="Calibri" w:cs="Calibri"/>
          <w:b/>
          <w:bCs/>
          <w:sz w:val="24"/>
          <w:szCs w:val="24"/>
          <w:lang w:val="en-IN"/>
        </w:rPr>
      </w:pPr>
      <w:r>
        <w:rPr>
          <w:rFonts w:ascii="Calibri" w:hAnsi="Calibri" w:cs="Calibri"/>
          <w:lang w:val="en-IN"/>
        </w:rPr>
        <w:t xml:space="preserve">                  </w:t>
      </w:r>
      <w:r w:rsidRPr="00990E84">
        <w:rPr>
          <w:rFonts w:ascii="Calibri" w:hAnsi="Calibri" w:cs="Calibri"/>
          <w:lang w:val="en-IN"/>
        </w:rPr>
        <w:t>All three defects shared the same root cause and the same fix. Road width was added as an explicit input to the relevant rule functions, and each of the three thresholds was made to scale with it as GHMC's tables specify</w:t>
      </w:r>
      <w:r w:rsidRPr="00990E84">
        <w:rPr>
          <w:rFonts w:ascii="Calibri" w:hAnsi="Calibri" w:cs="Calibri"/>
          <w:b/>
          <w:bCs/>
          <w:sz w:val="24"/>
          <w:szCs w:val="24"/>
          <w:lang w:val="en-IN"/>
        </w:rPr>
        <w:t>.</w:t>
      </w:r>
    </w:p>
    <w:p w14:paraId="5465F3E8" w14:textId="77777777" w:rsidR="0018763D" w:rsidRDefault="0018763D" w:rsidP="00990E84">
      <w:pPr>
        <w:spacing w:after="40"/>
        <w:jc w:val="both"/>
        <w:rPr>
          <w:rFonts w:ascii="Calibri" w:hAnsi="Calibri" w:cs="Calibri"/>
          <w:b/>
          <w:bCs/>
          <w:sz w:val="24"/>
          <w:szCs w:val="24"/>
          <w:lang w:val="en-IN"/>
        </w:rPr>
      </w:pPr>
    </w:p>
    <w:p w14:paraId="352213DE" w14:textId="77777777" w:rsidR="006E615B" w:rsidRPr="0018763D" w:rsidRDefault="00872E03" w:rsidP="006E615B">
      <w:pPr>
        <w:pStyle w:val="BodyText"/>
        <w:rPr>
          <w:rFonts w:ascii="Calibri" w:hAnsi="Calibri" w:cs="Calibri"/>
          <w:b/>
          <w:bCs/>
          <w:sz w:val="24"/>
          <w:szCs w:val="24"/>
        </w:rPr>
      </w:pPr>
      <w:r w:rsidRPr="0018763D">
        <w:rPr>
          <w:rFonts w:ascii="Calibri" w:hAnsi="Calibri" w:cs="Calibri"/>
          <w:b/>
          <w:bCs/>
          <w:sz w:val="24"/>
          <w:szCs w:val="24"/>
        </w:rPr>
        <w:t>6.4 Results</w:t>
      </w:r>
    </w:p>
    <w:p w14:paraId="78C76A23" w14:textId="6C429756" w:rsidR="00872E03" w:rsidRPr="006E615B" w:rsidRDefault="006E615B" w:rsidP="006E615B">
      <w:pPr>
        <w:pStyle w:val="BodyText"/>
        <w:rPr>
          <w:sz w:val="28"/>
          <w:szCs w:val="28"/>
        </w:rPr>
      </w:pPr>
      <w:r>
        <w:t xml:space="preserve">      </w:t>
      </w:r>
      <w:r w:rsidR="00872E03" w:rsidRPr="00872E03">
        <w:t>Table 2 summarises application verdicts against the mathematical ground truth for both rounds; Table 3 gives the same comparison broken down by stratum.</w:t>
      </w:r>
    </w:p>
    <w:tbl>
      <w:tblPr>
        <w:tblStyle w:val="Table"/>
        <w:tblW w:w="5000" w:type="pct"/>
        <w:tblBorders>
          <w:insideH w:val="single" w:sz="4" w:space="0" w:color="auto"/>
          <w:insideV w:val="single" w:sz="4" w:space="0" w:color="auto"/>
        </w:tblBorders>
        <w:tblLook w:val="0020" w:firstRow="1" w:lastRow="0" w:firstColumn="0" w:lastColumn="0" w:noHBand="0" w:noVBand="0"/>
      </w:tblPr>
      <w:tblGrid>
        <w:gridCol w:w="4726"/>
        <w:gridCol w:w="1953"/>
        <w:gridCol w:w="2337"/>
      </w:tblGrid>
      <w:tr w:rsidR="00872E03" w:rsidRPr="00872E03" w14:paraId="70E80201" w14:textId="77777777" w:rsidTr="00313C6C">
        <w:trPr>
          <w:cnfStyle w:val="100000000000" w:firstRow="1" w:lastRow="0" w:firstColumn="0" w:lastColumn="0" w:oddVBand="0" w:evenVBand="0" w:oddHBand="0" w:evenHBand="0" w:firstRowFirstColumn="0" w:firstRowLastColumn="0" w:lastRowFirstColumn="0" w:lastRowLastColumn="0"/>
          <w:tblHeader/>
        </w:trPr>
        <w:tc>
          <w:tcPr>
            <w:tcW w:w="0" w:type="auto"/>
            <w:tcBorders>
              <w:top w:val="single" w:sz="4" w:space="0" w:color="auto"/>
              <w:left w:val="single" w:sz="4" w:space="0" w:color="auto"/>
              <w:bottom w:val="single" w:sz="4" w:space="0" w:color="auto"/>
            </w:tcBorders>
          </w:tcPr>
          <w:p w14:paraId="153FA93E" w14:textId="77777777" w:rsidR="00872E03" w:rsidRPr="00872E03" w:rsidRDefault="00872E03" w:rsidP="00DD3150">
            <w:pPr>
              <w:pStyle w:val="Compact"/>
              <w:rPr>
                <w:sz w:val="22"/>
                <w:szCs w:val="22"/>
              </w:rPr>
            </w:pPr>
            <w:r w:rsidRPr="00872E03">
              <w:rPr>
                <w:b/>
                <w:bCs/>
                <w:sz w:val="22"/>
                <w:szCs w:val="22"/>
              </w:rPr>
              <w:t>Metric</w:t>
            </w:r>
          </w:p>
        </w:tc>
        <w:tc>
          <w:tcPr>
            <w:tcW w:w="0" w:type="auto"/>
            <w:tcBorders>
              <w:top w:val="single" w:sz="4" w:space="0" w:color="auto"/>
              <w:bottom w:val="single" w:sz="4" w:space="0" w:color="auto"/>
            </w:tcBorders>
          </w:tcPr>
          <w:p w14:paraId="464C71FC" w14:textId="77777777" w:rsidR="00872E03" w:rsidRPr="00872E03" w:rsidRDefault="00872E03" w:rsidP="00DD3150">
            <w:pPr>
              <w:pStyle w:val="Compact"/>
              <w:rPr>
                <w:sz w:val="22"/>
                <w:szCs w:val="22"/>
              </w:rPr>
            </w:pPr>
            <w:r w:rsidRPr="00872E03">
              <w:rPr>
                <w:b/>
                <w:bCs/>
                <w:sz w:val="22"/>
                <w:szCs w:val="22"/>
              </w:rPr>
              <w:t>Round 1 (baseline)</w:t>
            </w:r>
          </w:p>
        </w:tc>
        <w:tc>
          <w:tcPr>
            <w:tcW w:w="0" w:type="auto"/>
            <w:tcBorders>
              <w:top w:val="single" w:sz="4" w:space="0" w:color="auto"/>
              <w:bottom w:val="single" w:sz="4" w:space="0" w:color="auto"/>
              <w:right w:val="single" w:sz="4" w:space="0" w:color="auto"/>
            </w:tcBorders>
          </w:tcPr>
          <w:p w14:paraId="7DBDAECE" w14:textId="77777777" w:rsidR="00872E03" w:rsidRPr="00872E03" w:rsidRDefault="00872E03" w:rsidP="00DD3150">
            <w:pPr>
              <w:pStyle w:val="Compact"/>
              <w:rPr>
                <w:sz w:val="22"/>
                <w:szCs w:val="22"/>
              </w:rPr>
            </w:pPr>
            <w:r w:rsidRPr="00872E03">
              <w:rPr>
                <w:b/>
                <w:bCs/>
                <w:sz w:val="22"/>
                <w:szCs w:val="22"/>
              </w:rPr>
              <w:t>Round 2 (post-revision)</w:t>
            </w:r>
          </w:p>
        </w:tc>
      </w:tr>
      <w:tr w:rsidR="00872E03" w:rsidRPr="00872E03" w14:paraId="22818C3C" w14:textId="77777777" w:rsidTr="00313C6C">
        <w:tc>
          <w:tcPr>
            <w:tcW w:w="0" w:type="auto"/>
            <w:tcBorders>
              <w:top w:val="single" w:sz="4" w:space="0" w:color="auto"/>
              <w:left w:val="single" w:sz="4" w:space="0" w:color="auto"/>
              <w:bottom w:val="single" w:sz="4" w:space="0" w:color="auto"/>
            </w:tcBorders>
          </w:tcPr>
          <w:p w14:paraId="0FA1D33B" w14:textId="77777777" w:rsidR="00872E03" w:rsidRPr="00872E03" w:rsidRDefault="00872E03" w:rsidP="00DD3150">
            <w:pPr>
              <w:pStyle w:val="Compact"/>
              <w:rPr>
                <w:sz w:val="22"/>
                <w:szCs w:val="22"/>
              </w:rPr>
            </w:pPr>
            <w:r w:rsidRPr="00872E03">
              <w:rPr>
                <w:sz w:val="22"/>
                <w:szCs w:val="22"/>
              </w:rPr>
              <w:t>Overall accuracy vs. ground truth</w:t>
            </w:r>
          </w:p>
        </w:tc>
        <w:tc>
          <w:tcPr>
            <w:tcW w:w="0" w:type="auto"/>
            <w:tcBorders>
              <w:top w:val="single" w:sz="4" w:space="0" w:color="auto"/>
            </w:tcBorders>
          </w:tcPr>
          <w:p w14:paraId="4E314371" w14:textId="77777777" w:rsidR="00872E03" w:rsidRPr="00872E03" w:rsidRDefault="00872E03" w:rsidP="00DD3150">
            <w:pPr>
              <w:pStyle w:val="Compact"/>
              <w:rPr>
                <w:sz w:val="22"/>
                <w:szCs w:val="22"/>
              </w:rPr>
            </w:pPr>
            <w:r w:rsidRPr="00872E03">
              <w:rPr>
                <w:sz w:val="22"/>
                <w:szCs w:val="22"/>
              </w:rPr>
              <w:t>58.3% (35/60)</w:t>
            </w:r>
          </w:p>
        </w:tc>
        <w:tc>
          <w:tcPr>
            <w:tcW w:w="0" w:type="auto"/>
            <w:tcBorders>
              <w:top w:val="single" w:sz="4" w:space="0" w:color="auto"/>
              <w:bottom w:val="single" w:sz="4" w:space="0" w:color="auto"/>
              <w:right w:val="single" w:sz="4" w:space="0" w:color="auto"/>
            </w:tcBorders>
          </w:tcPr>
          <w:p w14:paraId="52F52B0E" w14:textId="77777777" w:rsidR="00872E03" w:rsidRPr="00872E03" w:rsidRDefault="00872E03" w:rsidP="00DD3150">
            <w:pPr>
              <w:pStyle w:val="Compact"/>
              <w:rPr>
                <w:sz w:val="22"/>
                <w:szCs w:val="22"/>
              </w:rPr>
            </w:pPr>
            <w:r w:rsidRPr="00872E03">
              <w:rPr>
                <w:sz w:val="22"/>
                <w:szCs w:val="22"/>
              </w:rPr>
              <w:t>100.0% (60/60)</w:t>
            </w:r>
          </w:p>
        </w:tc>
      </w:tr>
      <w:tr w:rsidR="00872E03" w:rsidRPr="00872E03" w14:paraId="6232DC24" w14:textId="77777777" w:rsidTr="00313C6C">
        <w:tc>
          <w:tcPr>
            <w:tcW w:w="0" w:type="auto"/>
            <w:tcBorders>
              <w:top w:val="single" w:sz="4" w:space="0" w:color="auto"/>
              <w:left w:val="single" w:sz="4" w:space="0" w:color="auto"/>
              <w:bottom w:val="single" w:sz="4" w:space="0" w:color="auto"/>
            </w:tcBorders>
          </w:tcPr>
          <w:p w14:paraId="5EED8C99" w14:textId="77777777" w:rsidR="00872E03" w:rsidRPr="00872E03" w:rsidRDefault="00872E03" w:rsidP="00DD3150">
            <w:pPr>
              <w:pStyle w:val="Compact"/>
              <w:rPr>
                <w:sz w:val="22"/>
                <w:szCs w:val="22"/>
              </w:rPr>
            </w:pPr>
            <w:r w:rsidRPr="00872E03">
              <w:rPr>
                <w:sz w:val="22"/>
                <w:szCs w:val="22"/>
              </w:rPr>
              <w:t>Violations passed as compliant (false negatives)</w:t>
            </w:r>
          </w:p>
        </w:tc>
        <w:tc>
          <w:tcPr>
            <w:tcW w:w="0" w:type="auto"/>
          </w:tcPr>
          <w:p w14:paraId="5A37A944" w14:textId="77777777" w:rsidR="00872E03" w:rsidRPr="00872E03" w:rsidRDefault="00872E03" w:rsidP="00DD3150">
            <w:pPr>
              <w:pStyle w:val="Compact"/>
              <w:rPr>
                <w:sz w:val="22"/>
                <w:szCs w:val="22"/>
              </w:rPr>
            </w:pPr>
            <w:r w:rsidRPr="00872E03">
              <w:rPr>
                <w:sz w:val="22"/>
                <w:szCs w:val="22"/>
              </w:rPr>
              <w:t>5.0% (3/60)</w:t>
            </w:r>
          </w:p>
        </w:tc>
        <w:tc>
          <w:tcPr>
            <w:tcW w:w="0" w:type="auto"/>
            <w:tcBorders>
              <w:top w:val="single" w:sz="4" w:space="0" w:color="auto"/>
              <w:bottom w:val="single" w:sz="4" w:space="0" w:color="auto"/>
              <w:right w:val="single" w:sz="4" w:space="0" w:color="auto"/>
            </w:tcBorders>
          </w:tcPr>
          <w:p w14:paraId="24656DD2" w14:textId="77777777" w:rsidR="00872E03" w:rsidRPr="00872E03" w:rsidRDefault="00872E03" w:rsidP="00DD3150">
            <w:pPr>
              <w:pStyle w:val="Compact"/>
              <w:rPr>
                <w:sz w:val="22"/>
                <w:szCs w:val="22"/>
              </w:rPr>
            </w:pPr>
            <w:r w:rsidRPr="00872E03">
              <w:rPr>
                <w:sz w:val="22"/>
                <w:szCs w:val="22"/>
              </w:rPr>
              <w:t>0.0% (0/60)</w:t>
            </w:r>
          </w:p>
        </w:tc>
      </w:tr>
      <w:tr w:rsidR="00872E03" w:rsidRPr="00872E03" w14:paraId="277849D8" w14:textId="77777777" w:rsidTr="00313C6C">
        <w:tc>
          <w:tcPr>
            <w:tcW w:w="0" w:type="auto"/>
            <w:tcBorders>
              <w:top w:val="single" w:sz="4" w:space="0" w:color="auto"/>
              <w:left w:val="single" w:sz="4" w:space="0" w:color="auto"/>
              <w:bottom w:val="single" w:sz="4" w:space="0" w:color="auto"/>
            </w:tcBorders>
          </w:tcPr>
          <w:p w14:paraId="54343C86" w14:textId="77777777" w:rsidR="00872E03" w:rsidRPr="00872E03" w:rsidRDefault="00872E03" w:rsidP="00DD3150">
            <w:pPr>
              <w:pStyle w:val="Compact"/>
              <w:rPr>
                <w:sz w:val="22"/>
                <w:szCs w:val="22"/>
              </w:rPr>
            </w:pPr>
            <w:r w:rsidRPr="00872E03">
              <w:rPr>
                <w:sz w:val="22"/>
                <w:szCs w:val="22"/>
              </w:rPr>
              <w:t>Compliant sites flagged as violations (false positives)</w:t>
            </w:r>
          </w:p>
        </w:tc>
        <w:tc>
          <w:tcPr>
            <w:tcW w:w="0" w:type="auto"/>
            <w:tcBorders>
              <w:bottom w:val="single" w:sz="4" w:space="0" w:color="auto"/>
            </w:tcBorders>
          </w:tcPr>
          <w:p w14:paraId="7302CCA6" w14:textId="77777777" w:rsidR="00872E03" w:rsidRPr="00872E03" w:rsidRDefault="00872E03" w:rsidP="00DD3150">
            <w:pPr>
              <w:pStyle w:val="Compact"/>
              <w:rPr>
                <w:sz w:val="22"/>
                <w:szCs w:val="22"/>
              </w:rPr>
            </w:pPr>
            <w:r w:rsidRPr="00872E03">
              <w:rPr>
                <w:sz w:val="22"/>
                <w:szCs w:val="22"/>
              </w:rPr>
              <w:t>36.7% (22/60)</w:t>
            </w:r>
          </w:p>
        </w:tc>
        <w:tc>
          <w:tcPr>
            <w:tcW w:w="0" w:type="auto"/>
            <w:tcBorders>
              <w:top w:val="single" w:sz="4" w:space="0" w:color="auto"/>
              <w:bottom w:val="single" w:sz="4" w:space="0" w:color="auto"/>
              <w:right w:val="single" w:sz="4" w:space="0" w:color="auto"/>
            </w:tcBorders>
          </w:tcPr>
          <w:p w14:paraId="4D71F2B1" w14:textId="77777777" w:rsidR="00872E03" w:rsidRPr="00872E03" w:rsidRDefault="00872E03" w:rsidP="00DD3150">
            <w:pPr>
              <w:pStyle w:val="Compact"/>
              <w:rPr>
                <w:sz w:val="22"/>
                <w:szCs w:val="22"/>
              </w:rPr>
            </w:pPr>
            <w:r w:rsidRPr="00872E03">
              <w:rPr>
                <w:sz w:val="22"/>
                <w:szCs w:val="22"/>
              </w:rPr>
              <w:t>0.0% (0/60)</w:t>
            </w:r>
          </w:p>
        </w:tc>
      </w:tr>
      <w:tr w:rsidR="00872E03" w:rsidRPr="00872E03" w14:paraId="5B59F49C" w14:textId="77777777" w:rsidTr="00313C6C">
        <w:tc>
          <w:tcPr>
            <w:tcW w:w="0" w:type="auto"/>
            <w:tcBorders>
              <w:top w:val="single" w:sz="4" w:space="0" w:color="auto"/>
              <w:left w:val="single" w:sz="4" w:space="0" w:color="auto"/>
              <w:bottom w:val="single" w:sz="4" w:space="0" w:color="auto"/>
            </w:tcBorders>
          </w:tcPr>
          <w:p w14:paraId="4CB59944" w14:textId="77777777" w:rsidR="00872E03" w:rsidRPr="00872E03" w:rsidRDefault="00872E03" w:rsidP="00DD3150">
            <w:pPr>
              <w:pStyle w:val="Compact"/>
              <w:rPr>
                <w:sz w:val="22"/>
                <w:szCs w:val="22"/>
              </w:rPr>
            </w:pPr>
            <w:r w:rsidRPr="00872E03">
              <w:rPr>
                <w:sz w:val="22"/>
                <w:szCs w:val="22"/>
              </w:rPr>
              <w:t>Mean compliance score</w:t>
            </w:r>
          </w:p>
        </w:tc>
        <w:tc>
          <w:tcPr>
            <w:tcW w:w="0" w:type="auto"/>
            <w:tcBorders>
              <w:top w:val="single" w:sz="4" w:space="0" w:color="auto"/>
              <w:bottom w:val="single" w:sz="4" w:space="0" w:color="auto"/>
            </w:tcBorders>
          </w:tcPr>
          <w:p w14:paraId="6DC5AF93" w14:textId="77777777" w:rsidR="00872E03" w:rsidRPr="00872E03" w:rsidRDefault="00872E03" w:rsidP="00DD3150">
            <w:pPr>
              <w:pStyle w:val="Compact"/>
              <w:rPr>
                <w:sz w:val="22"/>
                <w:szCs w:val="22"/>
              </w:rPr>
            </w:pPr>
            <w:r w:rsidRPr="00872E03">
              <w:rPr>
                <w:sz w:val="22"/>
                <w:szCs w:val="22"/>
              </w:rPr>
              <w:t>77.1 / 100</w:t>
            </w:r>
          </w:p>
        </w:tc>
        <w:tc>
          <w:tcPr>
            <w:tcW w:w="0" w:type="auto"/>
            <w:tcBorders>
              <w:top w:val="single" w:sz="4" w:space="0" w:color="auto"/>
              <w:bottom w:val="single" w:sz="4" w:space="0" w:color="auto"/>
              <w:right w:val="single" w:sz="4" w:space="0" w:color="auto"/>
            </w:tcBorders>
          </w:tcPr>
          <w:p w14:paraId="53ED8D7E" w14:textId="77777777" w:rsidR="00872E03" w:rsidRPr="00872E03" w:rsidRDefault="00872E03" w:rsidP="00DD3150">
            <w:pPr>
              <w:pStyle w:val="Compact"/>
              <w:rPr>
                <w:sz w:val="22"/>
                <w:szCs w:val="22"/>
              </w:rPr>
            </w:pPr>
            <w:r w:rsidRPr="00872E03">
              <w:rPr>
                <w:sz w:val="22"/>
                <w:szCs w:val="22"/>
              </w:rPr>
              <w:t>80.6 / 100</w:t>
            </w:r>
          </w:p>
        </w:tc>
      </w:tr>
    </w:tbl>
    <w:p w14:paraId="2509FCB5" w14:textId="42520BDF" w:rsidR="00872E03" w:rsidRPr="00872E03" w:rsidRDefault="00872E03" w:rsidP="00872E03">
      <w:pPr>
        <w:pStyle w:val="Caption"/>
        <w:rPr>
          <w:sz w:val="22"/>
          <w:szCs w:val="22"/>
        </w:rPr>
      </w:pPr>
      <w:r w:rsidRPr="00872E03">
        <w:rPr>
          <w:b/>
          <w:bCs/>
          <w:sz w:val="22"/>
          <w:szCs w:val="22"/>
        </w:rPr>
        <w:t xml:space="preserve">Table 2: Application verdicts vs. mathematical ground truth, </w:t>
      </w:r>
      <w:r w:rsidR="00D57257" w:rsidRPr="00872E03">
        <w:rPr>
          <w:b/>
          <w:bCs/>
          <w:sz w:val="22"/>
          <w:szCs w:val="22"/>
        </w:rPr>
        <w:t>round</w:t>
      </w:r>
      <w:r w:rsidRPr="00872E03">
        <w:rPr>
          <w:b/>
          <w:bCs/>
          <w:sz w:val="22"/>
          <w:szCs w:val="22"/>
        </w:rPr>
        <w:t xml:space="preserve"> 1 (baseline) vs. Round 2 (post road-width revision), n = 60 both rounds.</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firstRow="1" w:lastRow="0" w:firstColumn="0" w:lastColumn="0" w:noHBand="0" w:noVBand="0"/>
      </w:tblPr>
      <w:tblGrid>
        <w:gridCol w:w="1416"/>
        <w:gridCol w:w="848"/>
        <w:gridCol w:w="1727"/>
        <w:gridCol w:w="1530"/>
        <w:gridCol w:w="1965"/>
        <w:gridCol w:w="1530"/>
      </w:tblGrid>
      <w:tr w:rsidR="00872E03" w:rsidRPr="00872E03" w14:paraId="57BEFA55" w14:textId="77777777" w:rsidTr="00313C6C">
        <w:trPr>
          <w:cnfStyle w:val="100000000000" w:firstRow="1" w:lastRow="0" w:firstColumn="0" w:lastColumn="0" w:oddVBand="0" w:evenVBand="0" w:oddHBand="0" w:evenHBand="0" w:firstRowFirstColumn="0" w:firstRowLastColumn="0" w:lastRowFirstColumn="0" w:lastRowLastColumn="0"/>
          <w:tblHeader/>
        </w:trPr>
        <w:tc>
          <w:tcPr>
            <w:tcW w:w="786" w:type="pct"/>
            <w:tcBorders>
              <w:bottom w:val="none" w:sz="0" w:space="0" w:color="auto"/>
            </w:tcBorders>
          </w:tcPr>
          <w:p w14:paraId="0B308526" w14:textId="77777777" w:rsidR="00872E03" w:rsidRPr="00872E03" w:rsidRDefault="00872E03" w:rsidP="00DD3150">
            <w:pPr>
              <w:pStyle w:val="Compact"/>
              <w:rPr>
                <w:sz w:val="22"/>
                <w:szCs w:val="22"/>
              </w:rPr>
            </w:pPr>
            <w:r w:rsidRPr="00872E03">
              <w:rPr>
                <w:b/>
                <w:bCs/>
                <w:sz w:val="22"/>
                <w:szCs w:val="22"/>
              </w:rPr>
              <w:t>Stratum</w:t>
            </w:r>
          </w:p>
        </w:tc>
        <w:tc>
          <w:tcPr>
            <w:tcW w:w="470" w:type="pct"/>
            <w:tcBorders>
              <w:bottom w:val="none" w:sz="0" w:space="0" w:color="auto"/>
            </w:tcBorders>
          </w:tcPr>
          <w:p w14:paraId="5F70AAAA" w14:textId="77777777" w:rsidR="00872E03" w:rsidRPr="00872E03" w:rsidRDefault="00872E03" w:rsidP="00DD3150">
            <w:pPr>
              <w:pStyle w:val="Compact"/>
              <w:rPr>
                <w:sz w:val="22"/>
                <w:szCs w:val="22"/>
              </w:rPr>
            </w:pPr>
            <w:r w:rsidRPr="00872E03">
              <w:rPr>
                <w:b/>
                <w:bCs/>
                <w:sz w:val="22"/>
                <w:szCs w:val="22"/>
              </w:rPr>
              <w:t>n</w:t>
            </w:r>
          </w:p>
        </w:tc>
        <w:tc>
          <w:tcPr>
            <w:tcW w:w="958" w:type="pct"/>
            <w:tcBorders>
              <w:bottom w:val="none" w:sz="0" w:space="0" w:color="auto"/>
            </w:tcBorders>
          </w:tcPr>
          <w:p w14:paraId="00502DE1" w14:textId="77777777" w:rsidR="00872E03" w:rsidRPr="00872E03" w:rsidRDefault="00872E03" w:rsidP="00DD3150">
            <w:pPr>
              <w:pStyle w:val="Compact"/>
              <w:rPr>
                <w:sz w:val="22"/>
                <w:szCs w:val="22"/>
              </w:rPr>
            </w:pPr>
            <w:r w:rsidRPr="00872E03">
              <w:rPr>
                <w:b/>
                <w:bCs/>
                <w:sz w:val="22"/>
                <w:szCs w:val="22"/>
              </w:rPr>
              <w:t>R1 matching maths</w:t>
            </w:r>
          </w:p>
        </w:tc>
        <w:tc>
          <w:tcPr>
            <w:tcW w:w="0" w:type="auto"/>
            <w:tcBorders>
              <w:bottom w:val="none" w:sz="0" w:space="0" w:color="auto"/>
            </w:tcBorders>
          </w:tcPr>
          <w:p w14:paraId="1EFCB65B" w14:textId="77777777" w:rsidR="00872E03" w:rsidRPr="00872E03" w:rsidRDefault="00872E03" w:rsidP="00DD3150">
            <w:pPr>
              <w:pStyle w:val="Compact"/>
              <w:rPr>
                <w:sz w:val="22"/>
                <w:szCs w:val="22"/>
              </w:rPr>
            </w:pPr>
            <w:r w:rsidRPr="00872E03">
              <w:rPr>
                <w:b/>
                <w:bCs/>
                <w:sz w:val="22"/>
                <w:szCs w:val="22"/>
              </w:rPr>
              <w:t>R1 mean score</w:t>
            </w:r>
          </w:p>
        </w:tc>
        <w:tc>
          <w:tcPr>
            <w:tcW w:w="0" w:type="auto"/>
            <w:tcBorders>
              <w:bottom w:val="none" w:sz="0" w:space="0" w:color="auto"/>
            </w:tcBorders>
          </w:tcPr>
          <w:p w14:paraId="5FEC7B94" w14:textId="77777777" w:rsidR="00872E03" w:rsidRPr="00872E03" w:rsidRDefault="00872E03" w:rsidP="00DD3150">
            <w:pPr>
              <w:pStyle w:val="Compact"/>
              <w:rPr>
                <w:sz w:val="22"/>
                <w:szCs w:val="22"/>
              </w:rPr>
            </w:pPr>
            <w:r w:rsidRPr="00872E03">
              <w:rPr>
                <w:b/>
                <w:bCs/>
                <w:sz w:val="22"/>
                <w:szCs w:val="22"/>
              </w:rPr>
              <w:t>R2 matching maths</w:t>
            </w:r>
          </w:p>
        </w:tc>
        <w:tc>
          <w:tcPr>
            <w:tcW w:w="0" w:type="auto"/>
            <w:tcBorders>
              <w:bottom w:val="none" w:sz="0" w:space="0" w:color="auto"/>
            </w:tcBorders>
          </w:tcPr>
          <w:p w14:paraId="0E4DBFAD" w14:textId="77777777" w:rsidR="00872E03" w:rsidRPr="00872E03" w:rsidRDefault="00872E03" w:rsidP="00DD3150">
            <w:pPr>
              <w:pStyle w:val="Compact"/>
              <w:rPr>
                <w:sz w:val="22"/>
                <w:szCs w:val="22"/>
              </w:rPr>
            </w:pPr>
            <w:r w:rsidRPr="00872E03">
              <w:rPr>
                <w:b/>
                <w:bCs/>
                <w:sz w:val="22"/>
                <w:szCs w:val="22"/>
              </w:rPr>
              <w:t>R2 mean score</w:t>
            </w:r>
          </w:p>
        </w:tc>
      </w:tr>
      <w:tr w:rsidR="00872E03" w:rsidRPr="00872E03" w14:paraId="43C90171" w14:textId="77777777" w:rsidTr="00313C6C">
        <w:tc>
          <w:tcPr>
            <w:tcW w:w="786" w:type="pct"/>
          </w:tcPr>
          <w:p w14:paraId="54966858" w14:textId="77777777" w:rsidR="00872E03" w:rsidRPr="00872E03" w:rsidRDefault="00872E03" w:rsidP="00DD3150">
            <w:pPr>
              <w:pStyle w:val="Compact"/>
              <w:rPr>
                <w:sz w:val="22"/>
                <w:szCs w:val="22"/>
              </w:rPr>
            </w:pPr>
            <w:r w:rsidRPr="00872E03">
              <w:rPr>
                <w:sz w:val="22"/>
                <w:szCs w:val="22"/>
              </w:rPr>
              <w:t>Compliant</w:t>
            </w:r>
          </w:p>
        </w:tc>
        <w:tc>
          <w:tcPr>
            <w:tcW w:w="470" w:type="pct"/>
          </w:tcPr>
          <w:p w14:paraId="292DCD2A" w14:textId="35C0B4AD" w:rsidR="00872E03" w:rsidRPr="00872E03" w:rsidRDefault="00872E03" w:rsidP="00DD3150">
            <w:pPr>
              <w:pStyle w:val="Compact"/>
              <w:rPr>
                <w:sz w:val="22"/>
                <w:szCs w:val="22"/>
              </w:rPr>
            </w:pPr>
            <w:r w:rsidRPr="00872E03">
              <w:rPr>
                <w:sz w:val="22"/>
                <w:szCs w:val="22"/>
              </w:rPr>
              <w:t>20</w:t>
            </w:r>
            <w:r w:rsidR="00D57257">
              <w:rPr>
                <w:sz w:val="22"/>
                <w:szCs w:val="22"/>
              </w:rPr>
              <w:t xml:space="preserve">   </w:t>
            </w:r>
          </w:p>
        </w:tc>
        <w:tc>
          <w:tcPr>
            <w:tcW w:w="958" w:type="pct"/>
          </w:tcPr>
          <w:p w14:paraId="5D248BE3" w14:textId="49675BAD" w:rsidR="00872E03" w:rsidRPr="00872E03" w:rsidRDefault="004619B5" w:rsidP="00DD3150">
            <w:pPr>
              <w:pStyle w:val="Compact"/>
              <w:rPr>
                <w:sz w:val="22"/>
                <w:szCs w:val="22"/>
              </w:rPr>
            </w:pPr>
            <w:r>
              <w:rPr>
                <w:sz w:val="22"/>
                <w:szCs w:val="22"/>
              </w:rPr>
              <w:t xml:space="preserve"> </w:t>
            </w:r>
            <w:r w:rsidR="00872E03" w:rsidRPr="00872E03">
              <w:rPr>
                <w:sz w:val="22"/>
                <w:szCs w:val="22"/>
              </w:rPr>
              <w:t xml:space="preserve">8 </w:t>
            </w:r>
            <w:r>
              <w:rPr>
                <w:sz w:val="22"/>
                <w:szCs w:val="22"/>
              </w:rPr>
              <w:t xml:space="preserve">  </w:t>
            </w:r>
            <w:r w:rsidR="00872E03" w:rsidRPr="00872E03">
              <w:rPr>
                <w:sz w:val="22"/>
                <w:szCs w:val="22"/>
              </w:rPr>
              <w:t>(40%)</w:t>
            </w:r>
          </w:p>
        </w:tc>
        <w:tc>
          <w:tcPr>
            <w:tcW w:w="0" w:type="auto"/>
          </w:tcPr>
          <w:p w14:paraId="5E17762E" w14:textId="77777777" w:rsidR="00872E03" w:rsidRPr="00872E03" w:rsidRDefault="00872E03" w:rsidP="00DD3150">
            <w:pPr>
              <w:pStyle w:val="Compact"/>
              <w:rPr>
                <w:sz w:val="22"/>
                <w:szCs w:val="22"/>
              </w:rPr>
            </w:pPr>
            <w:r w:rsidRPr="00872E03">
              <w:rPr>
                <w:sz w:val="22"/>
                <w:szCs w:val="22"/>
              </w:rPr>
              <w:t>86.7</w:t>
            </w:r>
          </w:p>
        </w:tc>
        <w:tc>
          <w:tcPr>
            <w:tcW w:w="0" w:type="auto"/>
          </w:tcPr>
          <w:p w14:paraId="451DA012" w14:textId="77777777" w:rsidR="00872E03" w:rsidRPr="00872E03" w:rsidRDefault="00872E03" w:rsidP="00DD3150">
            <w:pPr>
              <w:pStyle w:val="Compact"/>
              <w:rPr>
                <w:sz w:val="22"/>
                <w:szCs w:val="22"/>
              </w:rPr>
            </w:pPr>
            <w:r w:rsidRPr="00872E03">
              <w:rPr>
                <w:sz w:val="22"/>
                <w:szCs w:val="22"/>
              </w:rPr>
              <w:t>20 (100%)</w:t>
            </w:r>
          </w:p>
        </w:tc>
        <w:tc>
          <w:tcPr>
            <w:tcW w:w="0" w:type="auto"/>
          </w:tcPr>
          <w:p w14:paraId="1C92B8D2" w14:textId="77777777" w:rsidR="00872E03" w:rsidRPr="00872E03" w:rsidRDefault="00872E03" w:rsidP="00DD3150">
            <w:pPr>
              <w:pStyle w:val="Compact"/>
              <w:rPr>
                <w:sz w:val="22"/>
                <w:szCs w:val="22"/>
              </w:rPr>
            </w:pPr>
            <w:r w:rsidRPr="00872E03">
              <w:rPr>
                <w:sz w:val="22"/>
                <w:szCs w:val="22"/>
              </w:rPr>
              <w:t>97.2</w:t>
            </w:r>
          </w:p>
        </w:tc>
      </w:tr>
      <w:tr w:rsidR="00872E03" w:rsidRPr="00872E03" w14:paraId="20B107DF" w14:textId="77777777" w:rsidTr="00313C6C">
        <w:tc>
          <w:tcPr>
            <w:tcW w:w="786" w:type="pct"/>
          </w:tcPr>
          <w:p w14:paraId="11492BE3" w14:textId="77777777" w:rsidR="00872E03" w:rsidRPr="00872E03" w:rsidRDefault="00872E03" w:rsidP="00DD3150">
            <w:pPr>
              <w:pStyle w:val="Compact"/>
              <w:rPr>
                <w:sz w:val="22"/>
                <w:szCs w:val="22"/>
              </w:rPr>
            </w:pPr>
            <w:r w:rsidRPr="00872E03">
              <w:rPr>
                <w:sz w:val="22"/>
                <w:szCs w:val="22"/>
              </w:rPr>
              <w:t>Borderline</w:t>
            </w:r>
          </w:p>
        </w:tc>
        <w:tc>
          <w:tcPr>
            <w:tcW w:w="470" w:type="pct"/>
          </w:tcPr>
          <w:p w14:paraId="3F256327" w14:textId="77777777" w:rsidR="00872E03" w:rsidRPr="00872E03" w:rsidRDefault="00872E03" w:rsidP="00DD3150">
            <w:pPr>
              <w:pStyle w:val="Compact"/>
              <w:rPr>
                <w:sz w:val="22"/>
                <w:szCs w:val="22"/>
              </w:rPr>
            </w:pPr>
            <w:r w:rsidRPr="00872E03">
              <w:rPr>
                <w:sz w:val="22"/>
                <w:szCs w:val="22"/>
              </w:rPr>
              <w:t>20</w:t>
            </w:r>
          </w:p>
        </w:tc>
        <w:tc>
          <w:tcPr>
            <w:tcW w:w="958" w:type="pct"/>
          </w:tcPr>
          <w:p w14:paraId="1859B825" w14:textId="5A59FDB8" w:rsidR="00872E03" w:rsidRPr="00872E03" w:rsidRDefault="004619B5" w:rsidP="00DD3150">
            <w:pPr>
              <w:pStyle w:val="Compact"/>
              <w:rPr>
                <w:sz w:val="22"/>
                <w:szCs w:val="22"/>
              </w:rPr>
            </w:pPr>
            <w:r>
              <w:rPr>
                <w:sz w:val="22"/>
                <w:szCs w:val="22"/>
              </w:rPr>
              <w:t xml:space="preserve"> </w:t>
            </w:r>
            <w:r w:rsidR="00872E03" w:rsidRPr="00872E03">
              <w:rPr>
                <w:sz w:val="22"/>
                <w:szCs w:val="22"/>
              </w:rPr>
              <w:t>9</w:t>
            </w:r>
            <w:r>
              <w:rPr>
                <w:sz w:val="22"/>
                <w:szCs w:val="22"/>
              </w:rPr>
              <w:t xml:space="preserve"> </w:t>
            </w:r>
            <w:r w:rsidR="00872E03" w:rsidRPr="00872E03">
              <w:rPr>
                <w:sz w:val="22"/>
                <w:szCs w:val="22"/>
              </w:rPr>
              <w:t xml:space="preserve"> </w:t>
            </w:r>
            <w:r>
              <w:rPr>
                <w:sz w:val="22"/>
                <w:szCs w:val="22"/>
              </w:rPr>
              <w:t xml:space="preserve"> </w:t>
            </w:r>
            <w:r w:rsidR="00872E03" w:rsidRPr="00872E03">
              <w:rPr>
                <w:sz w:val="22"/>
                <w:szCs w:val="22"/>
              </w:rPr>
              <w:t>(45%)</w:t>
            </w:r>
          </w:p>
        </w:tc>
        <w:tc>
          <w:tcPr>
            <w:tcW w:w="0" w:type="auto"/>
          </w:tcPr>
          <w:p w14:paraId="44FA2946" w14:textId="77777777" w:rsidR="00872E03" w:rsidRPr="00872E03" w:rsidRDefault="00872E03" w:rsidP="00DD3150">
            <w:pPr>
              <w:pStyle w:val="Compact"/>
              <w:rPr>
                <w:sz w:val="22"/>
                <w:szCs w:val="22"/>
              </w:rPr>
            </w:pPr>
            <w:r w:rsidRPr="00872E03">
              <w:rPr>
                <w:sz w:val="22"/>
                <w:szCs w:val="22"/>
              </w:rPr>
              <w:t>76.8</w:t>
            </w:r>
          </w:p>
        </w:tc>
        <w:tc>
          <w:tcPr>
            <w:tcW w:w="0" w:type="auto"/>
          </w:tcPr>
          <w:p w14:paraId="4C0E475C" w14:textId="77777777" w:rsidR="00872E03" w:rsidRPr="00872E03" w:rsidRDefault="00872E03" w:rsidP="00DD3150">
            <w:pPr>
              <w:pStyle w:val="Compact"/>
              <w:rPr>
                <w:sz w:val="22"/>
                <w:szCs w:val="22"/>
              </w:rPr>
            </w:pPr>
            <w:r w:rsidRPr="00872E03">
              <w:rPr>
                <w:sz w:val="22"/>
                <w:szCs w:val="22"/>
              </w:rPr>
              <w:t>20 (100%)</w:t>
            </w:r>
          </w:p>
        </w:tc>
        <w:tc>
          <w:tcPr>
            <w:tcW w:w="0" w:type="auto"/>
          </w:tcPr>
          <w:p w14:paraId="5AD46199" w14:textId="77777777" w:rsidR="00872E03" w:rsidRPr="00872E03" w:rsidRDefault="00872E03" w:rsidP="00DD3150">
            <w:pPr>
              <w:pStyle w:val="Compact"/>
              <w:rPr>
                <w:sz w:val="22"/>
                <w:szCs w:val="22"/>
              </w:rPr>
            </w:pPr>
            <w:r w:rsidRPr="00872E03">
              <w:rPr>
                <w:sz w:val="22"/>
                <w:szCs w:val="22"/>
              </w:rPr>
              <w:t>85.0</w:t>
            </w:r>
          </w:p>
        </w:tc>
      </w:tr>
      <w:tr w:rsidR="00872E03" w:rsidRPr="00872E03" w14:paraId="27A3F0BB" w14:textId="77777777" w:rsidTr="00313C6C">
        <w:tc>
          <w:tcPr>
            <w:tcW w:w="786" w:type="pct"/>
          </w:tcPr>
          <w:p w14:paraId="4287AEF5" w14:textId="77777777" w:rsidR="00872E03" w:rsidRPr="00872E03" w:rsidRDefault="00872E03" w:rsidP="00DD3150">
            <w:pPr>
              <w:pStyle w:val="Compact"/>
              <w:rPr>
                <w:sz w:val="22"/>
                <w:szCs w:val="22"/>
              </w:rPr>
            </w:pPr>
            <w:r w:rsidRPr="00872E03">
              <w:rPr>
                <w:sz w:val="22"/>
                <w:szCs w:val="22"/>
              </w:rPr>
              <w:t>Non-compliant</w:t>
            </w:r>
          </w:p>
        </w:tc>
        <w:tc>
          <w:tcPr>
            <w:tcW w:w="470" w:type="pct"/>
          </w:tcPr>
          <w:p w14:paraId="6A4FC8A4" w14:textId="77777777" w:rsidR="00872E03" w:rsidRPr="00872E03" w:rsidRDefault="00872E03" w:rsidP="00DD3150">
            <w:pPr>
              <w:pStyle w:val="Compact"/>
              <w:rPr>
                <w:sz w:val="22"/>
                <w:szCs w:val="22"/>
              </w:rPr>
            </w:pPr>
            <w:r w:rsidRPr="00872E03">
              <w:rPr>
                <w:sz w:val="22"/>
                <w:szCs w:val="22"/>
              </w:rPr>
              <w:t>20</w:t>
            </w:r>
          </w:p>
        </w:tc>
        <w:tc>
          <w:tcPr>
            <w:tcW w:w="958" w:type="pct"/>
          </w:tcPr>
          <w:p w14:paraId="11D11B0A" w14:textId="1E8473C5" w:rsidR="00872E03" w:rsidRPr="00872E03" w:rsidRDefault="004619B5" w:rsidP="00DD3150">
            <w:pPr>
              <w:pStyle w:val="Compact"/>
              <w:rPr>
                <w:sz w:val="22"/>
                <w:szCs w:val="22"/>
              </w:rPr>
            </w:pPr>
            <w:r>
              <w:rPr>
                <w:sz w:val="22"/>
                <w:szCs w:val="22"/>
              </w:rPr>
              <w:t xml:space="preserve"> </w:t>
            </w:r>
            <w:r w:rsidR="00872E03" w:rsidRPr="00872E03">
              <w:rPr>
                <w:sz w:val="22"/>
                <w:szCs w:val="22"/>
              </w:rPr>
              <w:t>18</w:t>
            </w:r>
            <w:r>
              <w:rPr>
                <w:sz w:val="22"/>
                <w:szCs w:val="22"/>
              </w:rPr>
              <w:t xml:space="preserve"> </w:t>
            </w:r>
            <w:r w:rsidR="00872E03" w:rsidRPr="00872E03">
              <w:rPr>
                <w:sz w:val="22"/>
                <w:szCs w:val="22"/>
              </w:rPr>
              <w:t xml:space="preserve"> </w:t>
            </w:r>
            <w:r>
              <w:rPr>
                <w:sz w:val="22"/>
                <w:szCs w:val="22"/>
              </w:rPr>
              <w:t xml:space="preserve"> </w:t>
            </w:r>
            <w:r w:rsidR="00872E03" w:rsidRPr="00872E03">
              <w:rPr>
                <w:sz w:val="22"/>
                <w:szCs w:val="22"/>
              </w:rPr>
              <w:t>(90%)</w:t>
            </w:r>
          </w:p>
        </w:tc>
        <w:tc>
          <w:tcPr>
            <w:tcW w:w="0" w:type="auto"/>
          </w:tcPr>
          <w:p w14:paraId="1E0711D9" w14:textId="77777777" w:rsidR="00872E03" w:rsidRPr="00872E03" w:rsidRDefault="00872E03" w:rsidP="00DD3150">
            <w:pPr>
              <w:pStyle w:val="Compact"/>
              <w:rPr>
                <w:sz w:val="22"/>
                <w:szCs w:val="22"/>
              </w:rPr>
            </w:pPr>
            <w:r w:rsidRPr="00872E03">
              <w:rPr>
                <w:sz w:val="22"/>
                <w:szCs w:val="22"/>
              </w:rPr>
              <w:t>68.0</w:t>
            </w:r>
          </w:p>
        </w:tc>
        <w:tc>
          <w:tcPr>
            <w:tcW w:w="0" w:type="auto"/>
          </w:tcPr>
          <w:p w14:paraId="104462B0" w14:textId="77777777" w:rsidR="00872E03" w:rsidRPr="00872E03" w:rsidRDefault="00872E03" w:rsidP="00DD3150">
            <w:pPr>
              <w:pStyle w:val="Compact"/>
              <w:rPr>
                <w:sz w:val="22"/>
                <w:szCs w:val="22"/>
              </w:rPr>
            </w:pPr>
            <w:r w:rsidRPr="00872E03">
              <w:rPr>
                <w:sz w:val="22"/>
                <w:szCs w:val="22"/>
              </w:rPr>
              <w:t>20 (100%)</w:t>
            </w:r>
          </w:p>
        </w:tc>
        <w:tc>
          <w:tcPr>
            <w:tcW w:w="0" w:type="auto"/>
          </w:tcPr>
          <w:p w14:paraId="2A8ABDE6" w14:textId="77777777" w:rsidR="00872E03" w:rsidRPr="00872E03" w:rsidRDefault="00872E03" w:rsidP="00DD3150">
            <w:pPr>
              <w:pStyle w:val="Compact"/>
              <w:rPr>
                <w:sz w:val="22"/>
                <w:szCs w:val="22"/>
              </w:rPr>
            </w:pPr>
            <w:r w:rsidRPr="00872E03">
              <w:rPr>
                <w:sz w:val="22"/>
                <w:szCs w:val="22"/>
              </w:rPr>
              <w:t>59.5</w:t>
            </w:r>
          </w:p>
        </w:tc>
      </w:tr>
    </w:tbl>
    <w:p w14:paraId="5756F70C" w14:textId="31A3BF1F" w:rsidR="00872E03" w:rsidRPr="00872E03" w:rsidRDefault="00872E03" w:rsidP="00872E03">
      <w:pPr>
        <w:pStyle w:val="Caption"/>
        <w:rPr>
          <w:sz w:val="22"/>
          <w:szCs w:val="22"/>
        </w:rPr>
      </w:pPr>
      <w:r w:rsidRPr="00872E03">
        <w:rPr>
          <w:b/>
          <w:bCs/>
          <w:sz w:val="22"/>
          <w:szCs w:val="22"/>
        </w:rPr>
        <w:t xml:space="preserve">Table 3: Per-stratum agreement with mathematical ground truth, </w:t>
      </w:r>
      <w:r w:rsidR="00D57257" w:rsidRPr="00872E03">
        <w:rPr>
          <w:b/>
          <w:bCs/>
          <w:sz w:val="22"/>
          <w:szCs w:val="22"/>
        </w:rPr>
        <w:t>round</w:t>
      </w:r>
      <w:r w:rsidRPr="00872E03">
        <w:rPr>
          <w:b/>
          <w:bCs/>
          <w:sz w:val="22"/>
          <w:szCs w:val="22"/>
        </w:rPr>
        <w:t xml:space="preserve"> 1 vs. Round 2.</w:t>
      </w:r>
    </w:p>
    <w:p w14:paraId="730A93A0" w14:textId="599E6AA3" w:rsidR="00323468" w:rsidRDefault="009F4B98" w:rsidP="00323468">
      <w:pPr>
        <w:pStyle w:val="BodyText"/>
        <w:jc w:val="both"/>
        <w:rPr>
          <w:rFonts w:ascii="Calibri" w:hAnsi="Calibri" w:cs="Calibri"/>
          <w:lang w:val="en-IN"/>
        </w:rPr>
      </w:pPr>
      <w:r w:rsidRPr="009F4B98">
        <w:rPr>
          <w:rFonts w:ascii="Calibri" w:hAnsi="Calibri" w:cs="Calibri"/>
        </w:rPr>
        <w:lastRenderedPageBreak/>
        <w:t>The improvement landed where the diagnosis predicted. Round 1's over-flagging hurt the compliant and borderline groups the most. Both moved from 40–45% agreement to 100%.</w:t>
      </w:r>
      <w:r w:rsidRPr="00323468">
        <w:rPr>
          <w:rFonts w:ascii="Calibri" w:hAnsi="Calibri" w:cs="Calibri"/>
          <w:lang w:val="en-IN"/>
        </w:rPr>
        <w:t xml:space="preserve"> The</w:t>
      </w:r>
      <w:r w:rsidR="00323468" w:rsidRPr="00323468">
        <w:rPr>
          <w:rFonts w:ascii="Calibri" w:hAnsi="Calibri" w:cs="Calibri"/>
          <w:lang w:val="en-IN"/>
        </w:rPr>
        <w:t xml:space="preserve"> non-compliant stratum was already at 90% in Round 1 and reached 100% in Round 2. Its mean score fell from 68.0 to 59.5, consistent with the revised engine now catching road-width-dependent violations it previously missed, rather than with any loosening of the rule set. Read alongside the Round 1 diagnosis, this is evidence that a specific defect was fixed correctly, within the same-test-set limitation stated in §6.2.</w:t>
      </w:r>
    </w:p>
    <w:p w14:paraId="1A80C0D7" w14:textId="77777777" w:rsidR="00323468" w:rsidRDefault="00323468" w:rsidP="00323468">
      <w:pPr>
        <w:pStyle w:val="BodyText"/>
        <w:jc w:val="both"/>
        <w:rPr>
          <w:rFonts w:ascii="Calibri" w:hAnsi="Calibri" w:cs="Calibri"/>
          <w:lang w:val="en-IN"/>
        </w:rPr>
      </w:pPr>
      <w:r>
        <w:rPr>
          <w:rFonts w:ascii="Calibri" w:hAnsi="Calibri" w:cs="Calibri"/>
          <w:lang w:val="en-IN"/>
        </w:rPr>
        <w:t xml:space="preserve">          </w:t>
      </w:r>
      <w:r w:rsidRPr="00323468">
        <w:rPr>
          <w:rFonts w:ascii="Calibri" w:hAnsi="Calibri" w:cs="Calibri"/>
          <w:lang w:val="en-IN"/>
        </w:rPr>
        <w:t>The Round 1 result of 58.3% agreement is broadly consistent with the 57.35% zero-shot accuracy reported by Lu and Zhu (2026) for pure LLM prompting on compliance tasks, though the two figures come from different domains and rule systems. After the road-width revision, the deterministic engine reached 100% agreement on the same test set.</w:t>
      </w:r>
    </w:p>
    <w:p w14:paraId="533BEAD8" w14:textId="75043F1B" w:rsidR="0018763D" w:rsidRDefault="00323468" w:rsidP="0018763D">
      <w:pPr>
        <w:pStyle w:val="BodyText"/>
        <w:jc w:val="both"/>
        <w:rPr>
          <w:rFonts w:ascii="Calibri" w:hAnsi="Calibri" w:cs="Calibri"/>
          <w:lang w:val="en-IN"/>
        </w:rPr>
      </w:pPr>
      <w:r>
        <w:rPr>
          <w:rFonts w:ascii="Calibri" w:hAnsi="Calibri" w:cs="Calibri"/>
          <w:lang w:val="en-IN"/>
        </w:rPr>
        <w:t xml:space="preserve">         </w:t>
      </w:r>
      <w:r w:rsidRPr="00323468">
        <w:rPr>
          <w:rFonts w:ascii="Calibri" w:hAnsi="Calibri" w:cs="Calibri"/>
          <w:lang w:val="en-IN"/>
        </w:rPr>
        <w:t>No formal comparison against LLM baselines (GPT-4o, Gemini-1.5-Flash) on this system's own test configurations has yet been conducted. Such a comparison, together with a held-out generalisation test, is necessary future work (§7).</w:t>
      </w:r>
    </w:p>
    <w:p w14:paraId="7C0A35F8" w14:textId="77777777" w:rsidR="005D48B2" w:rsidRPr="0018763D" w:rsidRDefault="005D48B2" w:rsidP="0018763D">
      <w:pPr>
        <w:pStyle w:val="BodyText"/>
        <w:jc w:val="both"/>
        <w:rPr>
          <w:rFonts w:ascii="Calibri" w:hAnsi="Calibri" w:cs="Calibri"/>
          <w:lang w:val="en-IN"/>
        </w:rPr>
      </w:pPr>
    </w:p>
    <w:p w14:paraId="5861A1EB" w14:textId="77777777" w:rsidR="00003E02" w:rsidRDefault="00003E02" w:rsidP="00003E02">
      <w:pPr>
        <w:spacing w:after="40"/>
        <w:ind w:left="360"/>
        <w:rPr>
          <w:rFonts w:ascii="Calibri" w:hAnsi="Calibri" w:cs="Calibri"/>
          <w:b/>
          <w:bCs/>
          <w:sz w:val="28"/>
          <w:szCs w:val="28"/>
          <w:lang w:val="en-IN"/>
        </w:rPr>
      </w:pPr>
      <w:r w:rsidRPr="00003E02">
        <w:rPr>
          <w:rFonts w:ascii="Calibri" w:hAnsi="Calibri" w:cs="Calibri"/>
          <w:b/>
          <w:bCs/>
          <w:sz w:val="28"/>
          <w:szCs w:val="28"/>
          <w:lang w:val="en-IN"/>
        </w:rPr>
        <w:t>7. DISCUSSION AND CRITICAL REFLECTION</w:t>
      </w:r>
    </w:p>
    <w:p w14:paraId="05718D5A" w14:textId="77777777" w:rsidR="00003E02" w:rsidRPr="00712E0A" w:rsidRDefault="00003E02" w:rsidP="00003E02">
      <w:pPr>
        <w:spacing w:after="40"/>
        <w:ind w:left="360"/>
        <w:rPr>
          <w:rFonts w:ascii="Calibri" w:hAnsi="Calibri" w:cs="Calibri"/>
          <w:b/>
          <w:bCs/>
          <w:lang w:val="en-IN"/>
        </w:rPr>
      </w:pPr>
    </w:p>
    <w:p w14:paraId="338450DC" w14:textId="56CDCA0D" w:rsidR="00723196" w:rsidRDefault="00D6656F" w:rsidP="0095581B">
      <w:pPr>
        <w:spacing w:after="40"/>
        <w:ind w:left="360"/>
        <w:jc w:val="both"/>
        <w:rPr>
          <w:rFonts w:ascii="Calibri" w:hAnsi="Calibri" w:cs="Calibri"/>
          <w:lang w:val="en-IN"/>
        </w:rPr>
      </w:pPr>
      <w:r w:rsidRPr="00003E02">
        <w:rPr>
          <w:rFonts w:ascii="Calibri" w:hAnsi="Calibri" w:cs="Calibri"/>
          <w:b/>
          <w:bCs/>
          <w:sz w:val="24"/>
          <w:szCs w:val="24"/>
          <w:lang w:val="en-IN"/>
        </w:rPr>
        <w:t>7.</w:t>
      </w:r>
      <w:r w:rsidR="005375AD">
        <w:rPr>
          <w:rFonts w:ascii="Calibri" w:hAnsi="Calibri" w:cs="Calibri"/>
          <w:b/>
          <w:bCs/>
          <w:sz w:val="24"/>
          <w:szCs w:val="24"/>
          <w:lang w:val="en-IN"/>
        </w:rPr>
        <w:t>1</w:t>
      </w:r>
      <w:r w:rsidRPr="00003E02">
        <w:rPr>
          <w:rFonts w:ascii="Calibri" w:hAnsi="Calibri" w:cs="Calibri"/>
          <w:b/>
          <w:bCs/>
          <w:sz w:val="24"/>
          <w:szCs w:val="24"/>
          <w:lang w:val="en-IN"/>
        </w:rPr>
        <w:t xml:space="preserve"> </w:t>
      </w:r>
      <w:r>
        <w:rPr>
          <w:rFonts w:ascii="Calibri" w:hAnsi="Calibri" w:cs="Calibri"/>
          <w:b/>
          <w:bCs/>
          <w:sz w:val="24"/>
          <w:szCs w:val="24"/>
          <w:lang w:val="en-IN"/>
        </w:rPr>
        <w:t>Limitations</w:t>
      </w:r>
      <w:r w:rsidR="00003E02" w:rsidRPr="00003E02">
        <w:rPr>
          <w:rFonts w:ascii="Calibri" w:hAnsi="Calibri" w:cs="Calibri"/>
          <w:b/>
          <w:bCs/>
          <w:sz w:val="24"/>
          <w:szCs w:val="24"/>
          <w:lang w:val="en-IN"/>
        </w:rPr>
        <w:t xml:space="preserve"> of OpenStreetMap (OSM) Spatial Data</w:t>
      </w:r>
    </w:p>
    <w:p w14:paraId="3A0AABF3" w14:textId="0BEE66D1" w:rsidR="00003E02" w:rsidRDefault="00723196" w:rsidP="0095581B">
      <w:pPr>
        <w:spacing w:after="40"/>
        <w:ind w:left="360"/>
        <w:jc w:val="both"/>
        <w:rPr>
          <w:rFonts w:ascii="Calibri" w:hAnsi="Calibri" w:cs="Calibri"/>
          <w:lang w:val="en-IN"/>
        </w:rPr>
      </w:pPr>
      <w:r>
        <w:rPr>
          <w:rFonts w:ascii="Calibri" w:hAnsi="Calibri" w:cs="Calibri"/>
          <w:lang w:val="en-IN"/>
        </w:rPr>
        <w:t xml:space="preserve">      </w:t>
      </w:r>
      <w:r w:rsidR="00177064" w:rsidRPr="00177064">
        <w:rPr>
          <w:rFonts w:ascii="Calibri" w:hAnsi="Calibri" w:cs="Calibri"/>
        </w:rPr>
        <w:t>The primary system limitation is the uneven coverage of OpenStreetMap in peri</w:t>
      </w:r>
      <w:r w:rsidR="00DE47BF">
        <w:rPr>
          <w:rFonts w:ascii="Calibri" w:hAnsi="Calibri" w:cs="Calibri"/>
        </w:rPr>
        <w:t>-</w:t>
      </w:r>
      <w:r w:rsidR="00177064" w:rsidRPr="00177064">
        <w:rPr>
          <w:rFonts w:ascii="Calibri" w:hAnsi="Calibri" w:cs="Calibri"/>
        </w:rPr>
        <w:t>urban Indian contexts (Herfort et al., 2021). Outside established urban cores, OSM data becomes sparse, and relying on it alone risks inaccurate ground coverage calculations. The development roadmap therefore prioritizes integration of authoritative cadastral APIs from GHMC and the Telangana State Remote Sensing Applications Centre (TRSAC) before any institutional deployment.</w:t>
      </w:r>
    </w:p>
    <w:p w14:paraId="2E00F1C6" w14:textId="77777777" w:rsidR="003E3CB6" w:rsidRDefault="003E3CB6" w:rsidP="0095581B">
      <w:pPr>
        <w:spacing w:after="40"/>
        <w:ind w:left="360"/>
        <w:jc w:val="both"/>
        <w:rPr>
          <w:rFonts w:ascii="Calibri" w:hAnsi="Calibri" w:cs="Calibri"/>
          <w:lang w:val="en-IN"/>
        </w:rPr>
      </w:pPr>
    </w:p>
    <w:p w14:paraId="45E24AC1" w14:textId="6E6611A3" w:rsidR="00723196" w:rsidRPr="00FB1E40" w:rsidRDefault="003E3CB6" w:rsidP="0095581B">
      <w:pPr>
        <w:spacing w:after="40"/>
        <w:ind w:left="360"/>
        <w:jc w:val="both"/>
        <w:rPr>
          <w:rFonts w:ascii="Calibri" w:hAnsi="Calibri" w:cs="Calibri"/>
        </w:rPr>
      </w:pPr>
      <w:r w:rsidRPr="00003E02">
        <w:rPr>
          <w:rFonts w:ascii="Calibri" w:hAnsi="Calibri" w:cs="Calibri"/>
          <w:b/>
          <w:bCs/>
          <w:sz w:val="24"/>
          <w:szCs w:val="24"/>
          <w:lang w:val="en-IN"/>
        </w:rPr>
        <w:t>7.</w:t>
      </w:r>
      <w:r w:rsidR="005375AD">
        <w:rPr>
          <w:rFonts w:ascii="Calibri" w:hAnsi="Calibri" w:cs="Calibri"/>
          <w:b/>
          <w:bCs/>
          <w:sz w:val="24"/>
          <w:szCs w:val="24"/>
          <w:lang w:val="en-IN"/>
        </w:rPr>
        <w:t>2</w:t>
      </w:r>
      <w:r w:rsidRPr="00FB1E40">
        <w:rPr>
          <w:rFonts w:ascii="Calibri" w:hAnsi="Calibri" w:cs="Calibri"/>
          <w:b/>
          <w:bCs/>
          <w:sz w:val="24"/>
          <w:szCs w:val="24"/>
          <w:lang w:val="en-IN"/>
        </w:rPr>
        <w:t xml:space="preserve"> </w:t>
      </w:r>
      <w:r w:rsidRPr="00FB1E40">
        <w:rPr>
          <w:rFonts w:ascii="Calibri" w:hAnsi="Calibri" w:cs="Calibri"/>
          <w:b/>
          <w:bCs/>
          <w:sz w:val="24"/>
          <w:szCs w:val="24"/>
        </w:rPr>
        <w:t>Future Work: Held-Out Validation and LLM Baseline Comparison</w:t>
      </w:r>
    </w:p>
    <w:p w14:paraId="3273393A" w14:textId="0E31A3D5" w:rsidR="00003E02" w:rsidRPr="00EF2FD8" w:rsidRDefault="00723196" w:rsidP="0095581B">
      <w:pPr>
        <w:spacing w:after="40"/>
        <w:ind w:left="360"/>
        <w:jc w:val="both"/>
      </w:pPr>
      <w:r w:rsidRPr="00EF2FD8">
        <w:rPr>
          <w:rFonts w:ascii="Calibri" w:hAnsi="Calibri" w:cs="Calibri"/>
          <w:lang w:val="en-IN"/>
        </w:rPr>
        <w:t xml:space="preserve">      </w:t>
      </w:r>
      <w:r w:rsidR="00EF2FD8" w:rsidRPr="00EF2FD8">
        <w:rPr>
          <w:rFonts w:ascii="Calibri" w:hAnsi="Calibri" w:cs="Calibri"/>
        </w:rPr>
        <w:t xml:space="preserve">Two evaluation gaps take priority over further feature development. First, Round 2's 100% agreement was measured on the same 60 configurations used to diagnose the Round 1 defect. A freshly generated, held-out </w:t>
      </w:r>
      <w:r w:rsidR="005D48B2" w:rsidRPr="00EF2FD8">
        <w:rPr>
          <w:rFonts w:ascii="Calibri" w:hAnsi="Calibri" w:cs="Calibri"/>
        </w:rPr>
        <w:t>set evaluated</w:t>
      </w:r>
      <w:r w:rsidR="00EF2FD8" w:rsidRPr="00EF2FD8">
        <w:rPr>
          <w:rFonts w:ascii="Calibri" w:hAnsi="Calibri" w:cs="Calibri"/>
        </w:rPr>
        <w:t xml:space="preserve"> without further code changes in response to its results — is needed before a general accuracy claim can be supported. Second, no author-run comparison against LLM baselines (GPT-4o, Gemini) on this system's own test configurations has yet been conducted. Prior literature suggests a deterministic layer will outperform a purely generative one on exact numerical compliance, but this paper has not measured the size of that gap.</w:t>
      </w:r>
    </w:p>
    <w:p w14:paraId="26B4E9CE" w14:textId="77777777" w:rsidR="005C0DEB" w:rsidRPr="005C0DEB" w:rsidRDefault="005C0DEB" w:rsidP="0095581B">
      <w:pPr>
        <w:spacing w:after="40"/>
        <w:ind w:left="360"/>
        <w:jc w:val="both"/>
      </w:pPr>
    </w:p>
    <w:p w14:paraId="52784249" w14:textId="3A18B4B6" w:rsidR="00723196" w:rsidRDefault="00D6656F" w:rsidP="0095581B">
      <w:pPr>
        <w:spacing w:after="40"/>
        <w:ind w:left="360"/>
        <w:jc w:val="both"/>
        <w:rPr>
          <w:rFonts w:ascii="Calibri" w:hAnsi="Calibri" w:cs="Calibri"/>
          <w:b/>
          <w:bCs/>
          <w:lang w:val="en-IN"/>
        </w:rPr>
      </w:pPr>
      <w:r w:rsidRPr="00003E02">
        <w:rPr>
          <w:rFonts w:ascii="Calibri" w:hAnsi="Calibri" w:cs="Calibri"/>
          <w:b/>
          <w:bCs/>
          <w:lang w:val="en-IN"/>
        </w:rPr>
        <w:t>7.</w:t>
      </w:r>
      <w:r w:rsidR="005375AD">
        <w:rPr>
          <w:rFonts w:ascii="Calibri" w:hAnsi="Calibri" w:cs="Calibri"/>
          <w:b/>
          <w:bCs/>
          <w:lang w:val="en-IN"/>
        </w:rPr>
        <w:t>3</w:t>
      </w:r>
      <w:r>
        <w:rPr>
          <w:rFonts w:ascii="Calibri" w:hAnsi="Calibri" w:cs="Calibri"/>
          <w:b/>
          <w:bCs/>
          <w:lang w:val="en-IN"/>
        </w:rPr>
        <w:t xml:space="preserve"> </w:t>
      </w:r>
      <w:r w:rsidRPr="00FB1E40">
        <w:rPr>
          <w:rFonts w:ascii="Calibri" w:hAnsi="Calibri" w:cs="Calibri"/>
          <w:b/>
          <w:bCs/>
          <w:sz w:val="24"/>
          <w:szCs w:val="24"/>
          <w:lang w:val="en-IN"/>
        </w:rPr>
        <w:t>Future</w:t>
      </w:r>
      <w:r w:rsidR="00003E02" w:rsidRPr="00FB1E40">
        <w:rPr>
          <w:rFonts w:ascii="Calibri" w:hAnsi="Calibri" w:cs="Calibri"/>
          <w:b/>
          <w:bCs/>
          <w:sz w:val="24"/>
          <w:szCs w:val="24"/>
          <w:lang w:val="en-IN"/>
        </w:rPr>
        <w:t xml:space="preserve"> Work: IFC/Revit Integration for Micro-Level Spatial Assessment</w:t>
      </w:r>
    </w:p>
    <w:p w14:paraId="467349DE" w14:textId="3082E58C" w:rsidR="00003E02" w:rsidRPr="00723196" w:rsidRDefault="00723196" w:rsidP="0095581B">
      <w:pPr>
        <w:spacing w:after="40"/>
        <w:ind w:left="360"/>
        <w:jc w:val="both"/>
        <w:rPr>
          <w:rFonts w:ascii="Calibri" w:hAnsi="Calibri" w:cs="Calibri"/>
          <w:b/>
          <w:bCs/>
          <w:lang w:val="en-IN"/>
        </w:rPr>
      </w:pPr>
      <w:r>
        <w:rPr>
          <w:rFonts w:ascii="Calibri" w:hAnsi="Calibri" w:cs="Calibri"/>
          <w:b/>
          <w:bCs/>
          <w:lang w:val="en-IN"/>
        </w:rPr>
        <w:t xml:space="preserve">      </w:t>
      </w:r>
      <w:r w:rsidR="00712E0A">
        <w:rPr>
          <w:rFonts w:ascii="Calibri" w:hAnsi="Calibri" w:cs="Calibri"/>
          <w:lang w:val="en-IN"/>
        </w:rPr>
        <w:t xml:space="preserve"> </w:t>
      </w:r>
      <w:r w:rsidR="00003E02" w:rsidRPr="00003E02">
        <w:rPr>
          <w:rFonts w:ascii="Calibri" w:hAnsi="Calibri" w:cs="Calibri"/>
          <w:lang w:val="en-IN"/>
        </w:rPr>
        <w:t>While TerraLogic.ai successfully addresses macro-level massing parameters (e.g., FAR, ground coverage, site setbacks), future iterations will target micro-level spatial assessments. Guided by practitioner feedback during the validation phase, subsequent research will focus on bidirectional integration with Industry Foundation Classes (IFC) and Autodesk Revit environments. This extension will enable the deterministic evaluation of interior compliance metrics</w:t>
      </w:r>
      <w:r w:rsidR="005C0DEB">
        <w:rPr>
          <w:rFonts w:ascii="Calibri" w:hAnsi="Calibri" w:cs="Calibri"/>
          <w:lang w:val="en-IN"/>
        </w:rPr>
        <w:t xml:space="preserve"> </w:t>
      </w:r>
      <w:r w:rsidR="00003E02" w:rsidRPr="00003E02">
        <w:rPr>
          <w:rFonts w:ascii="Calibri" w:hAnsi="Calibri" w:cs="Calibri"/>
          <w:lang w:val="en-IN"/>
        </w:rPr>
        <w:t>such as precise door clearances and compartment-level fire safety provisions</w:t>
      </w:r>
      <w:r w:rsidR="005C0DEB">
        <w:rPr>
          <w:rFonts w:ascii="Calibri" w:hAnsi="Calibri" w:cs="Calibri"/>
          <w:lang w:val="en-IN"/>
        </w:rPr>
        <w:t xml:space="preserve"> </w:t>
      </w:r>
      <w:r w:rsidR="00003E02" w:rsidRPr="00003E02">
        <w:rPr>
          <w:rFonts w:ascii="Calibri" w:hAnsi="Calibri" w:cs="Calibri"/>
          <w:lang w:val="en-IN"/>
        </w:rPr>
        <w:t xml:space="preserve">directly within mature Building Information </w:t>
      </w:r>
      <w:r w:rsidRPr="00003E02">
        <w:rPr>
          <w:rFonts w:ascii="Calibri" w:hAnsi="Calibri" w:cs="Calibri"/>
          <w:lang w:val="en-IN"/>
        </w:rPr>
        <w:t>Modelling</w:t>
      </w:r>
      <w:r w:rsidR="00003E02" w:rsidRPr="00003E02">
        <w:rPr>
          <w:rFonts w:ascii="Calibri" w:hAnsi="Calibri" w:cs="Calibri"/>
          <w:lang w:val="en-IN"/>
        </w:rPr>
        <w:t xml:space="preserve"> (BIM) workflows.</w:t>
      </w:r>
    </w:p>
    <w:p w14:paraId="08B9BE25" w14:textId="77777777" w:rsidR="00723196" w:rsidRDefault="00723196" w:rsidP="00003E02">
      <w:pPr>
        <w:spacing w:after="40"/>
        <w:ind w:left="360"/>
        <w:rPr>
          <w:rFonts w:ascii="Calibri" w:hAnsi="Calibri" w:cs="Calibri"/>
          <w:lang w:val="en-IN"/>
        </w:rPr>
      </w:pPr>
    </w:p>
    <w:p w14:paraId="0E288179" w14:textId="77777777" w:rsidR="009754E3" w:rsidRDefault="009754E3" w:rsidP="00723196">
      <w:pPr>
        <w:spacing w:after="40"/>
        <w:ind w:left="360"/>
        <w:rPr>
          <w:rFonts w:ascii="Calibri" w:hAnsi="Calibri" w:cs="Calibri"/>
          <w:b/>
          <w:bCs/>
          <w:sz w:val="28"/>
          <w:szCs w:val="28"/>
          <w:lang w:val="en-IN"/>
        </w:rPr>
      </w:pPr>
    </w:p>
    <w:p w14:paraId="4F1B456C" w14:textId="77777777" w:rsidR="009754E3" w:rsidRDefault="009754E3" w:rsidP="00723196">
      <w:pPr>
        <w:spacing w:after="40"/>
        <w:ind w:left="360"/>
        <w:rPr>
          <w:rFonts w:ascii="Calibri" w:hAnsi="Calibri" w:cs="Calibri"/>
          <w:b/>
          <w:bCs/>
          <w:sz w:val="28"/>
          <w:szCs w:val="28"/>
          <w:lang w:val="en-IN"/>
        </w:rPr>
      </w:pPr>
    </w:p>
    <w:p w14:paraId="0666514B" w14:textId="04B3668E" w:rsidR="00723196" w:rsidRDefault="00723196" w:rsidP="000C3FB1">
      <w:pPr>
        <w:spacing w:after="40"/>
        <w:ind w:left="360"/>
      </w:pPr>
      <w:r w:rsidRPr="00723196">
        <w:rPr>
          <w:rFonts w:ascii="Calibri" w:hAnsi="Calibri" w:cs="Calibri"/>
          <w:b/>
          <w:bCs/>
          <w:sz w:val="28"/>
          <w:szCs w:val="28"/>
          <w:lang w:val="en-IN"/>
        </w:rPr>
        <w:t xml:space="preserve">8. </w:t>
      </w:r>
      <w:r w:rsidRPr="00723196">
        <w:rPr>
          <w:b/>
          <w:bCs/>
          <w:sz w:val="28"/>
          <w:szCs w:val="28"/>
        </w:rPr>
        <w:t>CONCLUSION</w:t>
      </w:r>
      <w:r>
        <w:t xml:space="preserve">     </w:t>
      </w:r>
    </w:p>
    <w:p w14:paraId="4A10048B" w14:textId="43670954" w:rsidR="00D776F8" w:rsidRPr="00D776F8" w:rsidRDefault="00723196" w:rsidP="00D776F8">
      <w:pPr>
        <w:spacing w:after="40"/>
        <w:ind w:left="360"/>
        <w:jc w:val="both"/>
        <w:rPr>
          <w:rFonts w:ascii="Calibri" w:hAnsi="Calibri" w:cs="Calibri"/>
          <w:lang w:val="en-IN"/>
        </w:rPr>
      </w:pPr>
      <w:r>
        <w:rPr>
          <w:rFonts w:ascii="Calibri" w:hAnsi="Calibri" w:cs="Calibri"/>
          <w:b/>
          <w:bCs/>
          <w:sz w:val="28"/>
          <w:szCs w:val="28"/>
          <w:lang w:val="en-IN"/>
        </w:rPr>
        <w:t xml:space="preserve">      </w:t>
      </w:r>
      <w:r w:rsidR="00D776F8" w:rsidRPr="00D776F8">
        <w:rPr>
          <w:rFonts w:ascii="Calibri" w:hAnsi="Calibri" w:cs="Calibri"/>
          <w:lang w:val="en-IN"/>
        </w:rPr>
        <w:t>This paper presented </w:t>
      </w:r>
      <w:r w:rsidR="00466B06">
        <w:rPr>
          <w:rFonts w:ascii="Calibri" w:hAnsi="Calibri" w:cs="Calibri"/>
          <w:lang w:val="en-IN"/>
        </w:rPr>
        <w:t>T</w:t>
      </w:r>
      <w:r w:rsidR="00A5603B">
        <w:rPr>
          <w:rFonts w:ascii="Calibri" w:hAnsi="Calibri" w:cs="Calibri"/>
          <w:lang w:val="en-IN"/>
        </w:rPr>
        <w:t>erralogic.ai</w:t>
      </w:r>
      <w:r w:rsidR="00D776F8" w:rsidRPr="00D776F8">
        <w:rPr>
          <w:rFonts w:ascii="Calibri" w:hAnsi="Calibri" w:cs="Calibri"/>
          <w:lang w:val="en-IN"/>
        </w:rPr>
        <w:t xml:space="preserve">, a pre-design regulatory compliance platform built around a Hybrid Deterministic-Neural Compliance Engine. It investigated whether a unified GIS-BIM platform can deliver deterministic compliance feedback while mitigating the accuracy limitations of large language models on jurisdiction-specific numerical provisions. The answer proposed is architectural rather than parametric. </w:t>
      </w:r>
      <w:r w:rsidR="006D3648" w:rsidRPr="006D3648">
        <w:rPr>
          <w:rFonts w:ascii="Calibri" w:hAnsi="Calibri" w:cs="Calibri"/>
        </w:rPr>
        <w:t>Binding decisions come from deterministic encodings of RCBR 2012 and NBC 2016 — nothing else. LLMs stay in advisory roles, behind an isolation boundary enforced in code.</w:t>
      </w:r>
      <w:r w:rsidR="006D3648" w:rsidRPr="00D776F8">
        <w:rPr>
          <w:rFonts w:ascii="Calibri" w:hAnsi="Calibri" w:cs="Calibri"/>
          <w:lang w:val="en-IN"/>
        </w:rPr>
        <w:t xml:space="preserve"> </w:t>
      </w:r>
      <w:r w:rsidR="0013749C" w:rsidRPr="0013749C">
        <w:rPr>
          <w:rFonts w:ascii="Calibri" w:hAnsi="Calibri" w:cs="Calibri"/>
        </w:rPr>
        <w:t>We tested against 60 synthetic site configurations in two rounds. Round 1 agreed with ground truth on 58.3%. After a targeted fix to road-width handling, round 2 reached 100%. Evaluation latency stayed under 5 ms per state change.</w:t>
      </w:r>
      <w:r w:rsidR="0013749C" w:rsidRPr="00D776F8">
        <w:rPr>
          <w:rFonts w:ascii="Calibri" w:hAnsi="Calibri" w:cs="Calibri"/>
          <w:lang w:val="en-IN"/>
        </w:rPr>
        <w:t xml:space="preserve"> Because</w:t>
      </w:r>
      <w:r w:rsidR="00D776F8" w:rsidRPr="00D776F8">
        <w:rPr>
          <w:rFonts w:ascii="Calibri" w:hAnsi="Calibri" w:cs="Calibri"/>
          <w:lang w:val="en-IN"/>
        </w:rPr>
        <w:t xml:space="preserve"> both rounds used the same configuration set, Round 2's result confirms the diagnosed defect was corrected rather than establishing general accuracy. Independent held-out testing and a formal comparison against LLM baselines remain necessary future work.</w:t>
      </w:r>
    </w:p>
    <w:p w14:paraId="638B245B" w14:textId="18855FFD" w:rsidR="00D776F8" w:rsidRPr="00D776F8" w:rsidRDefault="00A5603B" w:rsidP="00D776F8">
      <w:pPr>
        <w:spacing w:after="40"/>
        <w:ind w:left="360"/>
        <w:jc w:val="both"/>
        <w:rPr>
          <w:rFonts w:ascii="Calibri" w:hAnsi="Calibri" w:cs="Calibri"/>
          <w:lang w:val="en-IN"/>
        </w:rPr>
      </w:pPr>
      <w:r>
        <w:rPr>
          <w:rFonts w:ascii="Calibri" w:hAnsi="Calibri" w:cs="Calibri"/>
          <w:lang w:val="en-IN"/>
        </w:rPr>
        <w:t xml:space="preserve">          </w:t>
      </w:r>
      <w:r w:rsidR="00D776F8" w:rsidRPr="00D776F8">
        <w:rPr>
          <w:rFonts w:ascii="Calibri" w:hAnsi="Calibri" w:cs="Calibri"/>
          <w:lang w:val="en-IN"/>
        </w:rPr>
        <w:t>These results should be read within the study's stated limits. Round 2's 100% agreement was measured on the same configuration set used to diagnose and motivate the Round 1 fix, not on an independent held-out sample. It therefore demonstrates a specific defect was corrected, not general accuracy. No author-run LLM baseline comparison has yet been conducted. Stakeholder feedback is preliminary and qualitative. Geospatial coverage depends on OpenStreetMap completeness, which is uneven in peri-urban Indian contexts.</w:t>
      </w:r>
    </w:p>
    <w:p w14:paraId="6BFEAB6B" w14:textId="5392F738" w:rsidR="00D776F8" w:rsidRPr="00D776F8" w:rsidRDefault="00A5603B" w:rsidP="00D776F8">
      <w:pPr>
        <w:spacing w:after="40"/>
        <w:ind w:left="360"/>
        <w:jc w:val="both"/>
        <w:rPr>
          <w:rFonts w:ascii="Calibri" w:hAnsi="Calibri" w:cs="Calibri"/>
          <w:lang w:val="en-IN"/>
        </w:rPr>
      </w:pPr>
      <w:r>
        <w:rPr>
          <w:rFonts w:ascii="Calibri" w:hAnsi="Calibri" w:cs="Calibri"/>
          <w:lang w:val="en-IN"/>
        </w:rPr>
        <w:t xml:space="preserve">          </w:t>
      </w:r>
      <w:r w:rsidR="00D776F8" w:rsidRPr="00D776F8">
        <w:rPr>
          <w:rFonts w:ascii="Calibri" w:hAnsi="Calibri" w:cs="Calibri"/>
          <w:lang w:val="en-IN"/>
        </w:rPr>
        <w:t>The platform's contribution is best understood as a demonstrated architectural pattern for AI deployment in regulated settings — one in which neural systems advise and deterministic systems decide. It also demonstrates a working integration of OSM-derived digital twin generation and deterministic code compliance in a single browser-accessible workflow.</w:t>
      </w:r>
    </w:p>
    <w:p w14:paraId="24032B72" w14:textId="1258C6C6" w:rsidR="00D776F8" w:rsidRPr="00D776F8" w:rsidRDefault="00A5603B" w:rsidP="00D776F8">
      <w:pPr>
        <w:spacing w:after="40"/>
        <w:ind w:left="360"/>
        <w:jc w:val="both"/>
        <w:rPr>
          <w:rFonts w:ascii="Calibri" w:hAnsi="Calibri" w:cs="Calibri"/>
          <w:lang w:val="en-IN"/>
        </w:rPr>
      </w:pPr>
      <w:r>
        <w:rPr>
          <w:rFonts w:ascii="Calibri" w:hAnsi="Calibri" w:cs="Calibri"/>
          <w:lang w:val="en-IN"/>
        </w:rPr>
        <w:t xml:space="preserve">          </w:t>
      </w:r>
      <w:r w:rsidR="00D776F8" w:rsidRPr="00D776F8">
        <w:rPr>
          <w:rFonts w:ascii="Calibri" w:hAnsi="Calibri" w:cs="Calibri"/>
          <w:lang w:val="en-IN"/>
        </w:rPr>
        <w:t>Future work proceeds in three directions. First, a structured stakeholder validation study with a defined sample, instrument, and methodology. Second, integration of authoritative cadastral data sources (GHMC and TRSAC APIs) to address the OSM data-desert limitation. Third, IFC/Revit integration to extend deterministic checking from macro-level massing parameters to micro-level provisions such as door clearances and compartment-level fire safety. As regulatory digitisation accelerates, hybrid architectures of this kind offer a pragmatic path toward compliance tools that are both accessible to non-specialists and defensible to regulators.</w:t>
      </w:r>
    </w:p>
    <w:p w14:paraId="18CC8E13" w14:textId="28A68CC2" w:rsidR="00786886" w:rsidRPr="00786886" w:rsidRDefault="00786886" w:rsidP="00D776F8">
      <w:pPr>
        <w:spacing w:after="40"/>
        <w:ind w:left="360"/>
        <w:jc w:val="both"/>
        <w:rPr>
          <w:b/>
          <w:bCs/>
        </w:rPr>
      </w:pPr>
    </w:p>
    <w:p w14:paraId="2F4DE5A7" w14:textId="7322966B" w:rsidR="00786886" w:rsidRDefault="00A5603B" w:rsidP="006E615B">
      <w:pPr>
        <w:spacing w:after="40"/>
        <w:ind w:left="360"/>
        <w:rPr>
          <w:b/>
          <w:bCs/>
          <w:sz w:val="28"/>
          <w:szCs w:val="28"/>
        </w:rPr>
      </w:pPr>
      <w:r>
        <w:rPr>
          <w:b/>
          <w:bCs/>
          <w:sz w:val="28"/>
          <w:szCs w:val="28"/>
        </w:rPr>
        <w:t>9</w:t>
      </w:r>
      <w:r w:rsidR="00786886" w:rsidRPr="00786886">
        <w:rPr>
          <w:b/>
          <w:bCs/>
          <w:sz w:val="28"/>
          <w:szCs w:val="28"/>
        </w:rPr>
        <w:t xml:space="preserve">. </w:t>
      </w:r>
      <w:r w:rsidR="00786886">
        <w:rPr>
          <w:b/>
          <w:bCs/>
          <w:sz w:val="28"/>
          <w:szCs w:val="28"/>
        </w:rPr>
        <w:t xml:space="preserve">DATA AND CODE AVAILIBILITY </w:t>
      </w:r>
    </w:p>
    <w:p w14:paraId="266E39D1" w14:textId="77777777" w:rsidR="0041280A" w:rsidRDefault="0041280A" w:rsidP="006E615B">
      <w:pPr>
        <w:spacing w:after="40"/>
        <w:ind w:left="360"/>
        <w:rPr>
          <w:b/>
          <w:bCs/>
          <w:sz w:val="28"/>
          <w:szCs w:val="28"/>
        </w:rPr>
      </w:pPr>
    </w:p>
    <w:p w14:paraId="00BA5F9B" w14:textId="56A3E224" w:rsidR="000E61B8" w:rsidRDefault="000E61B8" w:rsidP="000E61B8">
      <w:pPr>
        <w:pStyle w:val="BodyText"/>
        <w:jc w:val="both"/>
        <w:rPr>
          <w:rFonts w:ascii="Calibri" w:hAnsi="Calibri" w:cs="Calibri"/>
        </w:rPr>
      </w:pPr>
      <w:r>
        <w:rPr>
          <w:rFonts w:ascii="Calibri" w:hAnsi="Calibri" w:cs="Calibri"/>
        </w:rPr>
        <w:t xml:space="preserve">          </w:t>
      </w:r>
      <w:r w:rsidRPr="000E61B8">
        <w:rPr>
          <w:rFonts w:ascii="Calibri" w:hAnsi="Calibri" w:cs="Calibri"/>
        </w:rPr>
        <w:t xml:space="preserve">The 60 synthetic site configurations used in this evaluation are available from the corresponding author upon reasonable request, along with the generation script, the application test harness, and the recorded results for both rounds. The platform is an internal research </w:t>
      </w:r>
      <w:r w:rsidR="00C94E6F" w:rsidRPr="000E61B8">
        <w:rPr>
          <w:rFonts w:ascii="Calibri" w:hAnsi="Calibri" w:cs="Calibri"/>
        </w:rPr>
        <w:t>prototype,</w:t>
      </w:r>
      <w:r w:rsidR="00B05864">
        <w:rPr>
          <w:rFonts w:ascii="Calibri" w:hAnsi="Calibri" w:cs="Calibri"/>
        </w:rPr>
        <w:t xml:space="preserve"> </w:t>
      </w:r>
      <w:r w:rsidRPr="000E61B8">
        <w:rPr>
          <w:rFonts w:ascii="Calibri" w:hAnsi="Calibri" w:cs="Calibri"/>
        </w:rPr>
        <w:t>and its full source code is not currently publicly released. To support reproducibility, the complete encoded rule set is specified in §4.1 and Table 1, the high-rise setback function is given in Equation (1), and the scoring protocol is described in §4.1 and §6.2.</w:t>
      </w:r>
    </w:p>
    <w:p w14:paraId="07C5C9A6" w14:textId="77777777" w:rsidR="009754E3" w:rsidRDefault="009754E3" w:rsidP="000E61B8">
      <w:pPr>
        <w:pStyle w:val="BodyText"/>
        <w:jc w:val="both"/>
        <w:rPr>
          <w:rFonts w:ascii="Calibri" w:hAnsi="Calibri" w:cs="Calibri"/>
        </w:rPr>
      </w:pPr>
    </w:p>
    <w:p w14:paraId="4D5FF3F6" w14:textId="77777777" w:rsidR="00A22618" w:rsidRPr="009754E3" w:rsidRDefault="00A22618" w:rsidP="000E61B8">
      <w:pPr>
        <w:pStyle w:val="BodyText"/>
        <w:jc w:val="both"/>
        <w:rPr>
          <w:rFonts w:ascii="Calibri" w:hAnsi="Calibri" w:cs="Calibri"/>
        </w:rPr>
      </w:pPr>
    </w:p>
    <w:p w14:paraId="31C26C1E" w14:textId="4A60D2B9" w:rsidR="009754E3" w:rsidRPr="00D6057A" w:rsidRDefault="00712E0A" w:rsidP="00712E0A">
      <w:pPr>
        <w:spacing w:after="40" w:line="240" w:lineRule="auto"/>
        <w:rPr>
          <w:rFonts w:ascii="Calibri" w:hAnsi="Calibri" w:cs="Calibri"/>
          <w:b/>
          <w:bCs/>
          <w:sz w:val="28"/>
          <w:szCs w:val="28"/>
        </w:rPr>
      </w:pPr>
      <w:r w:rsidRPr="00D6057A">
        <w:rPr>
          <w:rFonts w:ascii="Calibri" w:hAnsi="Calibri" w:cs="Calibri"/>
          <w:b/>
          <w:bCs/>
          <w:sz w:val="28"/>
          <w:szCs w:val="28"/>
        </w:rPr>
        <w:t>ACKNOWLEDGEMENTS</w:t>
      </w:r>
    </w:p>
    <w:p w14:paraId="5497AF37" w14:textId="6B774F82" w:rsidR="00704B36" w:rsidRDefault="00E62B38" w:rsidP="00616FD4">
      <w:pPr>
        <w:spacing w:after="40"/>
        <w:jc w:val="both"/>
        <w:rPr>
          <w:rFonts w:ascii="Calibri" w:hAnsi="Calibri" w:cs="Calibri"/>
        </w:rPr>
      </w:pPr>
      <w:r>
        <w:rPr>
          <w:rFonts w:ascii="Calibri" w:hAnsi="Calibri" w:cs="Calibri"/>
        </w:rPr>
        <w:t xml:space="preserve">       </w:t>
      </w:r>
      <w:r w:rsidR="00616FD4" w:rsidRPr="00616FD4">
        <w:rPr>
          <w:rFonts w:ascii="Calibri" w:hAnsi="Calibri" w:cs="Calibri"/>
        </w:rPr>
        <w:t>I thank Ar Lavanya Das for her research mentorship, and the faculty and staff of Jawaharlal Nehru Architecture and Fine Arts University (</w:t>
      </w:r>
      <w:r w:rsidR="008E0E23">
        <w:rPr>
          <w:rFonts w:ascii="Calibri" w:hAnsi="Calibri" w:cs="Calibri"/>
        </w:rPr>
        <w:t>J</w:t>
      </w:r>
      <w:r w:rsidR="00616FD4" w:rsidRPr="00616FD4">
        <w:rPr>
          <w:rFonts w:ascii="Calibri" w:hAnsi="Calibri" w:cs="Calibri"/>
        </w:rPr>
        <w:t>NAFAU), Hyderabad, for their institutional support. Geospatial data came from OpenStreetMap contributors and Open-Meteo. Large Language Models were used only for language editing during manuscript preparation. All research findings, empirical datasets, and architectural framework designs are my own original work.</w:t>
      </w:r>
    </w:p>
    <w:p w14:paraId="78B6D125" w14:textId="77777777" w:rsidR="00616FD4" w:rsidRDefault="00616FD4" w:rsidP="00616FD4">
      <w:pPr>
        <w:spacing w:after="40"/>
        <w:jc w:val="both"/>
        <w:rPr>
          <w:rFonts w:ascii="Calibri" w:hAnsi="Calibri" w:cs="Calibri"/>
          <w:b/>
          <w:bCs/>
          <w:sz w:val="24"/>
          <w:szCs w:val="24"/>
          <w:lang w:val="en-IN"/>
        </w:rPr>
      </w:pPr>
    </w:p>
    <w:p w14:paraId="1FEBDE02" w14:textId="39AC0E48" w:rsidR="009754E3" w:rsidRDefault="00712E0A" w:rsidP="00704B36">
      <w:pPr>
        <w:spacing w:after="40"/>
        <w:rPr>
          <w:rFonts w:ascii="Calibri" w:hAnsi="Calibri" w:cs="Calibri"/>
          <w:b/>
          <w:bCs/>
          <w:sz w:val="28"/>
          <w:szCs w:val="28"/>
        </w:rPr>
      </w:pPr>
      <w:r w:rsidRPr="00D6057A">
        <w:rPr>
          <w:rFonts w:ascii="Calibri" w:hAnsi="Calibri" w:cs="Calibri"/>
          <w:b/>
          <w:bCs/>
          <w:sz w:val="28"/>
          <w:szCs w:val="28"/>
        </w:rPr>
        <w:t>REFERENCES</w:t>
      </w:r>
    </w:p>
    <w:p w14:paraId="322982AF" w14:textId="77777777" w:rsidR="000C3FB1" w:rsidRDefault="000C3FB1" w:rsidP="00704B36">
      <w:pPr>
        <w:spacing w:after="40"/>
        <w:rPr>
          <w:rFonts w:ascii="Calibri" w:hAnsi="Calibri" w:cs="Calibri"/>
          <w:b/>
          <w:bCs/>
          <w:sz w:val="28"/>
          <w:szCs w:val="28"/>
        </w:rPr>
      </w:pPr>
    </w:p>
    <w:p w14:paraId="4865C31D" w14:textId="2B2FBC91" w:rsidR="00CB4461" w:rsidRDefault="00712E0A" w:rsidP="00D4376B">
      <w:pPr>
        <w:spacing w:after="40"/>
        <w:jc w:val="both"/>
        <w:rPr>
          <w:rFonts w:ascii="Calibri" w:hAnsi="Calibri" w:cs="Calibri"/>
          <w:b/>
          <w:bCs/>
          <w:lang w:val="en-IN"/>
        </w:rPr>
      </w:pPr>
      <w:r w:rsidRPr="00712E0A">
        <w:rPr>
          <w:rFonts w:ascii="Calibri" w:hAnsi="Calibri" w:cs="Calibri"/>
          <w:b/>
          <w:bCs/>
          <w:lang w:val="en-IN"/>
        </w:rPr>
        <w:t xml:space="preserve">Al Nama, E., and Mahmud, M., (2024). Building the blueprint for AI-powered compliance checking: Analyzing the performance of ChatGPT-4 &amp; Gemini by question category in engineering regulations. </w:t>
      </w:r>
      <w:r w:rsidRPr="00712E0A">
        <w:rPr>
          <w:rFonts w:ascii="Calibri" w:hAnsi="Calibri" w:cs="Calibri"/>
          <w:b/>
          <w:bCs/>
          <w:i/>
          <w:iCs/>
          <w:lang w:val="en-IN"/>
        </w:rPr>
        <w:t>Proceedings of ICCCBE 2024</w:t>
      </w:r>
      <w:r w:rsidRPr="00712E0A">
        <w:rPr>
          <w:rFonts w:ascii="Calibri" w:hAnsi="Calibri" w:cs="Calibri"/>
          <w:b/>
          <w:bCs/>
          <w:lang w:val="en-IN"/>
        </w:rPr>
        <w:t>.</w:t>
      </w:r>
    </w:p>
    <w:p w14:paraId="049EA60C" w14:textId="77777777" w:rsidR="000F095D" w:rsidRPr="00712E0A" w:rsidRDefault="000F095D" w:rsidP="00D4376B">
      <w:pPr>
        <w:spacing w:after="40"/>
        <w:jc w:val="both"/>
        <w:rPr>
          <w:rFonts w:ascii="Calibri" w:hAnsi="Calibri" w:cs="Calibri"/>
          <w:b/>
          <w:bCs/>
          <w:lang w:val="en-IN"/>
        </w:rPr>
      </w:pPr>
    </w:p>
    <w:p w14:paraId="769A5767" w14:textId="3EA59942" w:rsidR="00CB4461" w:rsidRDefault="00712E0A" w:rsidP="00D4376B">
      <w:pPr>
        <w:spacing w:after="40"/>
        <w:jc w:val="both"/>
        <w:rPr>
          <w:rFonts w:ascii="Calibri" w:hAnsi="Calibri" w:cs="Calibri"/>
          <w:b/>
          <w:bCs/>
          <w:lang w:val="en-IN"/>
        </w:rPr>
      </w:pPr>
      <w:r w:rsidRPr="00712E0A">
        <w:rPr>
          <w:rFonts w:ascii="Calibri" w:hAnsi="Calibri" w:cs="Calibri"/>
          <w:b/>
          <w:bCs/>
          <w:lang w:val="en-IN"/>
        </w:rPr>
        <w:t xml:space="preserve">Al Nama, E., Mahmud, M., and Al Madhoob, H., (2026). Enhancing regulatory compliance in AEC industry via LLM-powered decision frameworks. </w:t>
      </w:r>
      <w:r w:rsidRPr="00712E0A">
        <w:rPr>
          <w:rFonts w:ascii="Calibri" w:hAnsi="Calibri" w:cs="Calibri"/>
          <w:b/>
          <w:bCs/>
          <w:i/>
          <w:iCs/>
          <w:lang w:val="en-IN"/>
        </w:rPr>
        <w:t>Journal of Information Technology in Construction (ITcon)</w:t>
      </w:r>
      <w:r w:rsidRPr="00712E0A">
        <w:rPr>
          <w:rFonts w:ascii="Calibri" w:hAnsi="Calibri" w:cs="Calibri"/>
          <w:b/>
          <w:bCs/>
          <w:lang w:val="en-IN"/>
        </w:rPr>
        <w:t>, 31, pp. 201–224. DOI: 10.36680/j.itcon.2026.009</w:t>
      </w:r>
    </w:p>
    <w:p w14:paraId="33A282CF" w14:textId="77777777" w:rsidR="000F095D" w:rsidRPr="00712E0A" w:rsidRDefault="000F095D" w:rsidP="00D4376B">
      <w:pPr>
        <w:spacing w:after="40"/>
        <w:jc w:val="both"/>
        <w:rPr>
          <w:rFonts w:ascii="Calibri" w:hAnsi="Calibri" w:cs="Calibri"/>
          <w:b/>
          <w:bCs/>
          <w:lang w:val="en-IN"/>
        </w:rPr>
      </w:pPr>
    </w:p>
    <w:p w14:paraId="21CC1E9E" w14:textId="0D5A34FA" w:rsidR="00CB4461" w:rsidRDefault="00712E0A" w:rsidP="00D4376B">
      <w:pPr>
        <w:spacing w:after="40"/>
        <w:jc w:val="both"/>
        <w:rPr>
          <w:rFonts w:ascii="Calibri" w:hAnsi="Calibri" w:cs="Calibri"/>
          <w:b/>
          <w:bCs/>
          <w:lang w:val="en-IN"/>
        </w:rPr>
      </w:pPr>
      <w:r w:rsidRPr="00712E0A">
        <w:rPr>
          <w:rFonts w:ascii="Calibri" w:hAnsi="Calibri" w:cs="Calibri"/>
          <w:b/>
          <w:bCs/>
          <w:lang w:val="en-IN"/>
        </w:rPr>
        <w:t xml:space="preserve">Amor, R., and Dimyadi, J., (2021). The promise of automated compliance checking. </w:t>
      </w:r>
      <w:r w:rsidRPr="00712E0A">
        <w:rPr>
          <w:rFonts w:ascii="Calibri" w:hAnsi="Calibri" w:cs="Calibri"/>
          <w:b/>
          <w:bCs/>
          <w:i/>
          <w:iCs/>
          <w:lang w:val="en-IN"/>
        </w:rPr>
        <w:t>Developments in the Built Environment</w:t>
      </w:r>
      <w:r w:rsidRPr="00712E0A">
        <w:rPr>
          <w:rFonts w:ascii="Calibri" w:hAnsi="Calibri" w:cs="Calibri"/>
          <w:b/>
          <w:bCs/>
          <w:lang w:val="en-IN"/>
        </w:rPr>
        <w:t>, 5, p. 100039. DOI: 10.1016/j.dibe.2020.100039</w:t>
      </w:r>
    </w:p>
    <w:p w14:paraId="7E0C78ED" w14:textId="77777777" w:rsidR="000F095D" w:rsidRPr="00712E0A" w:rsidRDefault="000F095D" w:rsidP="00D4376B">
      <w:pPr>
        <w:spacing w:after="40"/>
        <w:jc w:val="both"/>
        <w:rPr>
          <w:rFonts w:ascii="Calibri" w:hAnsi="Calibri" w:cs="Calibri"/>
          <w:b/>
          <w:bCs/>
          <w:lang w:val="en-IN"/>
        </w:rPr>
      </w:pPr>
    </w:p>
    <w:p w14:paraId="7B792C42" w14:textId="4C1387D2" w:rsidR="00CB4461" w:rsidRDefault="00712E0A" w:rsidP="00D4376B">
      <w:pPr>
        <w:spacing w:after="40"/>
        <w:jc w:val="both"/>
        <w:rPr>
          <w:rFonts w:ascii="Calibri" w:hAnsi="Calibri" w:cs="Calibri"/>
          <w:b/>
          <w:bCs/>
          <w:lang w:val="en-IN"/>
        </w:rPr>
      </w:pPr>
      <w:r w:rsidRPr="00712E0A">
        <w:rPr>
          <w:rFonts w:ascii="Calibri" w:hAnsi="Calibri" w:cs="Calibri"/>
          <w:b/>
          <w:bCs/>
          <w:lang w:val="en-IN"/>
        </w:rPr>
        <w:t xml:space="preserve">Bhattacharya, S., and Momaya, K., (2021). Actionable strategy framework for digital transformation in AECO industry. </w:t>
      </w:r>
      <w:r w:rsidRPr="00712E0A">
        <w:rPr>
          <w:rFonts w:ascii="Calibri" w:hAnsi="Calibri" w:cs="Calibri"/>
          <w:b/>
          <w:bCs/>
          <w:i/>
          <w:iCs/>
          <w:lang w:val="en-IN"/>
        </w:rPr>
        <w:t>Engineering, Construction and Architectural Management</w:t>
      </w:r>
      <w:r w:rsidRPr="00712E0A">
        <w:rPr>
          <w:rFonts w:ascii="Calibri" w:hAnsi="Calibri" w:cs="Calibri"/>
          <w:b/>
          <w:bCs/>
          <w:lang w:val="en-IN"/>
        </w:rPr>
        <w:t>.</w:t>
      </w:r>
    </w:p>
    <w:p w14:paraId="60992B69" w14:textId="77777777" w:rsidR="000F095D" w:rsidRPr="00712E0A" w:rsidRDefault="000F095D" w:rsidP="00D4376B">
      <w:pPr>
        <w:spacing w:after="40"/>
        <w:jc w:val="both"/>
        <w:rPr>
          <w:rFonts w:ascii="Calibri" w:hAnsi="Calibri" w:cs="Calibri"/>
          <w:b/>
          <w:bCs/>
          <w:lang w:val="en-IN"/>
        </w:rPr>
      </w:pPr>
    </w:p>
    <w:p w14:paraId="1EA03033" w14:textId="77777777" w:rsidR="00712E0A" w:rsidRDefault="00712E0A" w:rsidP="00D4376B">
      <w:pPr>
        <w:spacing w:after="40"/>
        <w:jc w:val="both"/>
        <w:rPr>
          <w:rFonts w:ascii="Calibri" w:hAnsi="Calibri" w:cs="Calibri"/>
          <w:b/>
          <w:bCs/>
          <w:lang w:val="en-IN"/>
        </w:rPr>
      </w:pPr>
      <w:r w:rsidRPr="00712E0A">
        <w:rPr>
          <w:rFonts w:ascii="Calibri" w:hAnsi="Calibri" w:cs="Calibri"/>
          <w:b/>
          <w:bCs/>
          <w:lang w:val="en-IN"/>
        </w:rPr>
        <w:t xml:space="preserve">Eastman, C., Lee, J.M., Jeong, Y.S., and Lee, J.K., (2009). Automatic rule-based checking of building designs. </w:t>
      </w:r>
      <w:r w:rsidRPr="00712E0A">
        <w:rPr>
          <w:rFonts w:ascii="Calibri" w:hAnsi="Calibri" w:cs="Calibri"/>
          <w:b/>
          <w:bCs/>
          <w:i/>
          <w:iCs/>
          <w:lang w:val="en-IN"/>
        </w:rPr>
        <w:t>Automation in Construction</w:t>
      </w:r>
      <w:r w:rsidRPr="00712E0A">
        <w:rPr>
          <w:rFonts w:ascii="Calibri" w:hAnsi="Calibri" w:cs="Calibri"/>
          <w:b/>
          <w:bCs/>
          <w:lang w:val="en-IN"/>
        </w:rPr>
        <w:t>, 18(8), pp. 1011–1033. DOI: 10.1016/j.autcon.2009.07.002</w:t>
      </w:r>
    </w:p>
    <w:p w14:paraId="3968E308" w14:textId="77777777" w:rsidR="000F095D" w:rsidRPr="00712E0A" w:rsidRDefault="000F095D" w:rsidP="00D4376B">
      <w:pPr>
        <w:spacing w:after="40"/>
        <w:jc w:val="both"/>
        <w:rPr>
          <w:rFonts w:ascii="Calibri" w:hAnsi="Calibri" w:cs="Calibri"/>
          <w:b/>
          <w:bCs/>
          <w:lang w:val="en-IN"/>
        </w:rPr>
      </w:pPr>
    </w:p>
    <w:p w14:paraId="7C147191" w14:textId="0B490E2B" w:rsidR="00CB4461" w:rsidRDefault="00712E0A" w:rsidP="00D4376B">
      <w:pPr>
        <w:spacing w:after="40"/>
        <w:jc w:val="both"/>
        <w:rPr>
          <w:rFonts w:ascii="Calibri" w:hAnsi="Calibri" w:cs="Calibri"/>
          <w:b/>
          <w:bCs/>
          <w:lang w:val="en-IN"/>
        </w:rPr>
      </w:pPr>
      <w:r w:rsidRPr="00712E0A">
        <w:rPr>
          <w:rFonts w:ascii="Calibri" w:hAnsi="Calibri" w:cs="Calibri"/>
          <w:b/>
          <w:bCs/>
          <w:lang w:val="en-IN"/>
        </w:rPr>
        <w:t xml:space="preserve">Herfort, B., Lautenbach, S., Porto de Albuquerque, J., Anderson, J., and Zipf, A., (2021). The evolution of humanitarian mapping within the OpenStreetMap community. </w:t>
      </w:r>
      <w:r w:rsidRPr="00712E0A">
        <w:rPr>
          <w:rFonts w:ascii="Calibri" w:hAnsi="Calibri" w:cs="Calibri"/>
          <w:b/>
          <w:bCs/>
          <w:i/>
          <w:iCs/>
          <w:lang w:val="en-IN"/>
        </w:rPr>
        <w:t>Scientific Reports</w:t>
      </w:r>
      <w:r w:rsidRPr="00712E0A">
        <w:rPr>
          <w:rFonts w:ascii="Calibri" w:hAnsi="Calibri" w:cs="Calibri"/>
          <w:b/>
          <w:bCs/>
          <w:lang w:val="en-IN"/>
        </w:rPr>
        <w:t>, 11, p. 3037. DOI: 10.1038/s41598-021-82404-z</w:t>
      </w:r>
    </w:p>
    <w:p w14:paraId="3DEC8ACF" w14:textId="77777777" w:rsidR="00006D1D" w:rsidRDefault="00006D1D" w:rsidP="00D4376B">
      <w:pPr>
        <w:spacing w:after="40"/>
        <w:jc w:val="both"/>
        <w:rPr>
          <w:rFonts w:ascii="Calibri" w:hAnsi="Calibri" w:cs="Calibri"/>
          <w:b/>
          <w:bCs/>
          <w:lang w:val="en-IN"/>
        </w:rPr>
      </w:pPr>
    </w:p>
    <w:p w14:paraId="64E0495A" w14:textId="3D50814D" w:rsidR="000F095D" w:rsidRDefault="00006D1D" w:rsidP="00D4376B">
      <w:pPr>
        <w:spacing w:after="40"/>
        <w:jc w:val="both"/>
        <w:rPr>
          <w:rFonts w:ascii="Calibri" w:hAnsi="Calibri" w:cs="Calibri"/>
          <w:b/>
          <w:bCs/>
        </w:rPr>
      </w:pPr>
      <w:r w:rsidRPr="00006D1D">
        <w:rPr>
          <w:rFonts w:ascii="Calibri" w:hAnsi="Calibri" w:cs="Calibri"/>
          <w:b/>
          <w:bCs/>
        </w:rPr>
        <w:t>Karan, E., and Irizarry, J., (2015). Extending BIM interoperability to preconstruction operations using geospatial analyses and semantic web services. </w:t>
      </w:r>
      <w:r w:rsidRPr="00006D1D">
        <w:rPr>
          <w:rFonts w:ascii="Calibri" w:hAnsi="Calibri" w:cs="Calibri"/>
          <w:b/>
          <w:bCs/>
          <w:i/>
          <w:iCs/>
        </w:rPr>
        <w:t>Automation in Construction</w:t>
      </w:r>
      <w:r w:rsidRPr="00006D1D">
        <w:rPr>
          <w:rFonts w:ascii="Calibri" w:hAnsi="Calibri" w:cs="Calibri"/>
          <w:b/>
          <w:bCs/>
        </w:rPr>
        <w:t>, 53, pp. 1–12.</w:t>
      </w:r>
    </w:p>
    <w:p w14:paraId="337930E4" w14:textId="77777777" w:rsidR="00006D1D" w:rsidRDefault="00006D1D" w:rsidP="00D4376B">
      <w:pPr>
        <w:spacing w:after="40"/>
        <w:jc w:val="both"/>
        <w:rPr>
          <w:rFonts w:ascii="Calibri" w:hAnsi="Calibri" w:cs="Calibri"/>
          <w:b/>
          <w:bCs/>
          <w:lang w:val="en-IN"/>
        </w:rPr>
      </w:pPr>
    </w:p>
    <w:p w14:paraId="3F48DE44" w14:textId="31CBA088" w:rsidR="00DC63E2" w:rsidRDefault="00DC63E2" w:rsidP="00D4376B">
      <w:pPr>
        <w:spacing w:after="40"/>
        <w:jc w:val="both"/>
        <w:rPr>
          <w:rFonts w:ascii="Calibri" w:hAnsi="Calibri" w:cs="Calibri"/>
          <w:b/>
          <w:bCs/>
        </w:rPr>
      </w:pPr>
      <w:r w:rsidRPr="00DC63E2">
        <w:rPr>
          <w:rFonts w:ascii="Calibri" w:hAnsi="Calibri" w:cs="Calibri"/>
          <w:b/>
          <w:bCs/>
        </w:rPr>
        <w:t>Lu, X.Y., and Zhu, J.W., (2026). A role-specialized retrieval-augmented generation framework for automated compliance checking in structural engineering. </w:t>
      </w:r>
      <w:r w:rsidRPr="00DC63E2">
        <w:rPr>
          <w:rFonts w:ascii="Calibri" w:hAnsi="Calibri" w:cs="Calibri"/>
          <w:b/>
          <w:bCs/>
          <w:i/>
          <w:iCs/>
        </w:rPr>
        <w:t>Advanced Electromagnetics</w:t>
      </w:r>
      <w:r w:rsidRPr="00DC63E2">
        <w:rPr>
          <w:rFonts w:ascii="Calibri" w:hAnsi="Calibri" w:cs="Calibri"/>
          <w:b/>
          <w:bCs/>
        </w:rPr>
        <w:t>, 15(3), pp. 10917–10925. DOI: 10.7716/aem.v15i3.4301</w:t>
      </w:r>
    </w:p>
    <w:p w14:paraId="1DD0E44E" w14:textId="77777777" w:rsidR="000F095D" w:rsidRPr="00712E0A" w:rsidRDefault="000F095D" w:rsidP="00D4376B">
      <w:pPr>
        <w:spacing w:after="40"/>
        <w:jc w:val="both"/>
        <w:rPr>
          <w:rFonts w:ascii="Calibri" w:hAnsi="Calibri" w:cs="Calibri"/>
          <w:b/>
          <w:bCs/>
          <w:lang w:val="en-IN"/>
        </w:rPr>
      </w:pPr>
    </w:p>
    <w:p w14:paraId="7A1CBBE5" w14:textId="05ADE0E8" w:rsidR="00F86C3E" w:rsidRDefault="00712E0A" w:rsidP="00D4376B">
      <w:pPr>
        <w:spacing w:after="40"/>
        <w:jc w:val="both"/>
        <w:rPr>
          <w:rFonts w:ascii="Calibri" w:hAnsi="Calibri" w:cs="Calibri"/>
          <w:b/>
          <w:bCs/>
          <w:lang w:val="en-IN"/>
        </w:rPr>
      </w:pPr>
      <w:r w:rsidRPr="00712E0A">
        <w:rPr>
          <w:rFonts w:ascii="Calibri" w:hAnsi="Calibri" w:cs="Calibri"/>
          <w:b/>
          <w:bCs/>
          <w:lang w:val="en-IN"/>
        </w:rPr>
        <w:t xml:space="preserve">Madireddy, S., Gao, L., Din, Z.U., Kim, K., Senouci, A., Han, Z., and Zhang, Y., (2025). Large language model-driven code compliance checking in Building Information Modeling. </w:t>
      </w:r>
      <w:r w:rsidRPr="00712E0A">
        <w:rPr>
          <w:rFonts w:ascii="Calibri" w:hAnsi="Calibri" w:cs="Calibri"/>
          <w:b/>
          <w:bCs/>
          <w:i/>
          <w:iCs/>
          <w:lang w:val="en-IN"/>
        </w:rPr>
        <w:t>Electronics (Switzerland)</w:t>
      </w:r>
      <w:r w:rsidRPr="00712E0A">
        <w:rPr>
          <w:rFonts w:ascii="Calibri" w:hAnsi="Calibri" w:cs="Calibri"/>
          <w:b/>
          <w:bCs/>
          <w:lang w:val="en-IN"/>
        </w:rPr>
        <w:t>, 14(11). DOI: 10.3390/electronics14112146</w:t>
      </w:r>
    </w:p>
    <w:p w14:paraId="523B93C3" w14:textId="77777777" w:rsidR="000F095D" w:rsidRDefault="000F095D" w:rsidP="00D4376B">
      <w:pPr>
        <w:spacing w:after="40"/>
        <w:jc w:val="both"/>
        <w:rPr>
          <w:rFonts w:ascii="Calibri" w:hAnsi="Calibri" w:cs="Calibri"/>
          <w:b/>
          <w:bCs/>
          <w:lang w:val="en-IN"/>
        </w:rPr>
      </w:pPr>
    </w:p>
    <w:p w14:paraId="4E7364F5" w14:textId="145894C8" w:rsidR="00CB4461" w:rsidRDefault="00F86C3E" w:rsidP="00D4376B">
      <w:pPr>
        <w:spacing w:after="40"/>
        <w:jc w:val="both"/>
        <w:rPr>
          <w:rFonts w:ascii="Calibri" w:hAnsi="Calibri" w:cs="Calibri"/>
          <w:b/>
          <w:bCs/>
        </w:rPr>
      </w:pPr>
      <w:r w:rsidRPr="00F86C3E">
        <w:rPr>
          <w:rFonts w:ascii="Calibri" w:hAnsi="Calibri" w:cs="Calibri"/>
          <w:b/>
          <w:bCs/>
          <w:i/>
          <w:iCs/>
        </w:rPr>
        <w:t>Munsif Daily</w:t>
      </w:r>
      <w:r w:rsidRPr="00F86C3E">
        <w:rPr>
          <w:rFonts w:ascii="Calibri" w:hAnsi="Calibri" w:cs="Calibri"/>
          <w:b/>
          <w:bCs/>
        </w:rPr>
        <w:t xml:space="preserve"> (2024) 'Telangana High Court writ petitions concerning unauthorised structures', 15 March. Available at: https://munsifdaily.in (Accessed: </w:t>
      </w:r>
      <w:r w:rsidR="00FC4D11">
        <w:rPr>
          <w:rFonts w:ascii="Calibri" w:hAnsi="Calibri" w:cs="Calibri"/>
          <w:b/>
          <w:bCs/>
        </w:rPr>
        <w:t>19</w:t>
      </w:r>
      <w:r w:rsidRPr="00F86C3E">
        <w:rPr>
          <w:rFonts w:ascii="Calibri" w:hAnsi="Calibri" w:cs="Calibri"/>
          <w:b/>
          <w:bCs/>
        </w:rPr>
        <w:t xml:space="preserve"> June 2026).</w:t>
      </w:r>
    </w:p>
    <w:p w14:paraId="75682BD7" w14:textId="77777777" w:rsidR="000F095D" w:rsidRPr="00712E0A" w:rsidRDefault="000F095D" w:rsidP="00D4376B">
      <w:pPr>
        <w:spacing w:after="40"/>
        <w:jc w:val="both"/>
        <w:rPr>
          <w:rFonts w:ascii="Calibri" w:hAnsi="Calibri" w:cs="Calibri"/>
          <w:b/>
          <w:bCs/>
          <w:lang w:val="en-IN"/>
        </w:rPr>
      </w:pPr>
    </w:p>
    <w:p w14:paraId="12D9A728" w14:textId="579365D7" w:rsidR="00116DD8" w:rsidRDefault="00F01A77" w:rsidP="00D4376B">
      <w:pPr>
        <w:spacing w:after="40"/>
        <w:jc w:val="both"/>
        <w:rPr>
          <w:rFonts w:ascii="Calibri" w:hAnsi="Calibri" w:cs="Calibri"/>
          <w:b/>
          <w:bCs/>
          <w:lang w:val="en-IN"/>
        </w:rPr>
      </w:pPr>
      <w:r w:rsidRPr="00712E0A">
        <w:rPr>
          <w:rFonts w:ascii="Calibri" w:hAnsi="Calibri" w:cs="Calibri"/>
          <w:b/>
          <w:bCs/>
          <w:lang w:val="en-IN"/>
        </w:rPr>
        <w:t>Nakae</w:t>
      </w:r>
      <w:r w:rsidR="00712E0A" w:rsidRPr="00712E0A">
        <w:rPr>
          <w:rFonts w:ascii="Calibri" w:hAnsi="Calibri" w:cs="Calibri"/>
          <w:b/>
          <w:bCs/>
          <w:lang w:val="en-IN"/>
        </w:rPr>
        <w:t xml:space="preserve">, A., Elshani, D., and Wortmann, T., (2024). A vision for automated building code compliance checking by unifying hybrid knowledge graphs and large language models. </w:t>
      </w:r>
      <w:r w:rsidR="00712E0A" w:rsidRPr="00712E0A">
        <w:rPr>
          <w:rFonts w:ascii="Calibri" w:hAnsi="Calibri" w:cs="Calibri"/>
          <w:b/>
          <w:bCs/>
          <w:i/>
          <w:iCs/>
          <w:lang w:val="en-IN"/>
        </w:rPr>
        <w:t>Design Modelling Symposium Berlin</w:t>
      </w:r>
      <w:r w:rsidR="00712E0A" w:rsidRPr="00712E0A">
        <w:rPr>
          <w:rFonts w:ascii="Calibri" w:hAnsi="Calibri" w:cs="Calibri"/>
          <w:b/>
          <w:bCs/>
          <w:lang w:val="en-IN"/>
        </w:rPr>
        <w:t>, pp. 445–457.</w:t>
      </w:r>
    </w:p>
    <w:p w14:paraId="1B577CC9" w14:textId="77777777" w:rsidR="00390525" w:rsidRDefault="00390525" w:rsidP="00D4376B">
      <w:pPr>
        <w:spacing w:after="40"/>
        <w:jc w:val="both"/>
        <w:rPr>
          <w:rFonts w:ascii="Calibri" w:hAnsi="Calibri" w:cs="Calibri"/>
          <w:b/>
          <w:bCs/>
          <w:lang w:val="en-IN"/>
        </w:rPr>
      </w:pPr>
    </w:p>
    <w:p w14:paraId="6F9438BD" w14:textId="05F26B6A" w:rsidR="00CB4461" w:rsidRDefault="00C26811" w:rsidP="00D4376B">
      <w:pPr>
        <w:spacing w:after="40"/>
        <w:jc w:val="both"/>
        <w:rPr>
          <w:rFonts w:ascii="Calibri" w:hAnsi="Calibri" w:cs="Calibri"/>
          <w:b/>
          <w:bCs/>
        </w:rPr>
      </w:pPr>
      <w:r w:rsidRPr="00C26811">
        <w:rPr>
          <w:rFonts w:ascii="Calibri" w:hAnsi="Calibri" w:cs="Calibri"/>
          <w:b/>
          <w:bCs/>
        </w:rPr>
        <w:t xml:space="preserve">PropNewz, (2026). HYDRAA FTL Buffer Zone Hyderabad Guide. </w:t>
      </w:r>
      <w:r w:rsidRPr="00C26811">
        <w:rPr>
          <w:rFonts w:ascii="Calibri" w:hAnsi="Calibri" w:cs="Calibri"/>
          <w:b/>
          <w:bCs/>
          <w:i/>
          <w:iCs/>
        </w:rPr>
        <w:t>PropNewz</w:t>
      </w:r>
      <w:r w:rsidRPr="00C26811">
        <w:rPr>
          <w:rFonts w:ascii="Calibri" w:hAnsi="Calibri" w:cs="Calibri"/>
          <w:b/>
          <w:bCs/>
        </w:rPr>
        <w:t>, 15 June. Available at: https://www.propnewz.com/blog/hydraa-ftl-buffer-demolition-buyer-caution-hyderabad-2026-06-15 (Accessed: 9 September 2026).</w:t>
      </w:r>
    </w:p>
    <w:p w14:paraId="475D3935" w14:textId="77777777" w:rsidR="0030577B" w:rsidRPr="00712E0A" w:rsidRDefault="0030577B" w:rsidP="00D4376B">
      <w:pPr>
        <w:spacing w:after="40"/>
        <w:jc w:val="both"/>
        <w:rPr>
          <w:rFonts w:ascii="Calibri" w:hAnsi="Calibri" w:cs="Calibri"/>
          <w:b/>
          <w:bCs/>
          <w:lang w:val="en-IN"/>
        </w:rPr>
      </w:pPr>
    </w:p>
    <w:p w14:paraId="6A34A78D" w14:textId="57442976" w:rsidR="00CB4461" w:rsidRPr="00712E0A" w:rsidRDefault="00712E0A" w:rsidP="00D4376B">
      <w:pPr>
        <w:spacing w:after="40"/>
        <w:jc w:val="both"/>
        <w:rPr>
          <w:rFonts w:ascii="Calibri" w:hAnsi="Calibri" w:cs="Calibri"/>
          <w:b/>
          <w:bCs/>
          <w:lang w:val="en-IN"/>
        </w:rPr>
      </w:pPr>
      <w:r w:rsidRPr="00712E0A">
        <w:rPr>
          <w:rFonts w:ascii="Calibri" w:hAnsi="Calibri" w:cs="Calibri"/>
          <w:b/>
          <w:bCs/>
          <w:lang w:val="en-IN"/>
        </w:rPr>
        <w:t xml:space="preserve">Zhang, J., (2023). How can ChatGPT help in automated building code compliance checking? </w:t>
      </w:r>
      <w:r w:rsidRPr="00712E0A">
        <w:rPr>
          <w:rFonts w:ascii="Calibri" w:hAnsi="Calibri" w:cs="Calibri"/>
          <w:b/>
          <w:bCs/>
          <w:i/>
          <w:iCs/>
          <w:lang w:val="en-IN"/>
        </w:rPr>
        <w:t>Proceedings of ISARC 2023</w:t>
      </w:r>
      <w:r w:rsidRPr="00712E0A">
        <w:rPr>
          <w:rFonts w:ascii="Calibri" w:hAnsi="Calibri" w:cs="Calibri"/>
          <w:b/>
          <w:bCs/>
          <w:lang w:val="en-IN"/>
        </w:rPr>
        <w:t>, pp. 63–70. DOI: 10.22260/ISARC2023/0011</w:t>
      </w:r>
    </w:p>
    <w:sectPr w:rsidR="00CB4461" w:rsidRPr="00712E0A">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43D8B" w14:textId="77777777" w:rsidR="00F92107" w:rsidRDefault="00F92107" w:rsidP="005076E1">
      <w:pPr>
        <w:spacing w:after="0" w:line="240" w:lineRule="auto"/>
      </w:pPr>
      <w:r>
        <w:separator/>
      </w:r>
    </w:p>
  </w:endnote>
  <w:endnote w:type="continuationSeparator" w:id="0">
    <w:p w14:paraId="2873A554" w14:textId="77777777" w:rsidR="00F92107" w:rsidRDefault="00F92107"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Inter">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7536B" w14:textId="77777777" w:rsidR="00F92107" w:rsidRDefault="00F92107" w:rsidP="005076E1">
      <w:pPr>
        <w:spacing w:after="0" w:line="240" w:lineRule="auto"/>
      </w:pPr>
      <w:r>
        <w:separator/>
      </w:r>
    </w:p>
  </w:footnote>
  <w:footnote w:type="continuationSeparator" w:id="0">
    <w:p w14:paraId="75ADB1CB" w14:textId="77777777" w:rsidR="00F92107" w:rsidRDefault="00F92107"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0A3772"/>
    <w:multiLevelType w:val="multilevel"/>
    <w:tmpl w:val="9538F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F12BC6"/>
    <w:multiLevelType w:val="multilevel"/>
    <w:tmpl w:val="E728A33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2B9B04DF"/>
    <w:multiLevelType w:val="hybridMultilevel"/>
    <w:tmpl w:val="81D40264"/>
    <w:lvl w:ilvl="0" w:tplc="4009000F">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61072667"/>
    <w:multiLevelType w:val="multilevel"/>
    <w:tmpl w:val="8A9C006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6DC30EEE"/>
    <w:multiLevelType w:val="multilevel"/>
    <w:tmpl w:val="D36E9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3"/>
  </w:num>
  <w:num w:numId="2" w16cid:durableId="971980657">
    <w:abstractNumId w:val="5"/>
  </w:num>
  <w:num w:numId="3" w16cid:durableId="1137839851">
    <w:abstractNumId w:val="4"/>
  </w:num>
  <w:num w:numId="4" w16cid:durableId="571552091">
    <w:abstractNumId w:val="0"/>
  </w:num>
  <w:num w:numId="5" w16cid:durableId="55666139">
    <w:abstractNumId w:val="2"/>
  </w:num>
  <w:num w:numId="6" w16cid:durableId="607010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3E02"/>
    <w:rsid w:val="00006D1D"/>
    <w:rsid w:val="00013D8E"/>
    <w:rsid w:val="00014575"/>
    <w:rsid w:val="00020A0D"/>
    <w:rsid w:val="000318CF"/>
    <w:rsid w:val="0003694B"/>
    <w:rsid w:val="00061F06"/>
    <w:rsid w:val="0006359B"/>
    <w:rsid w:val="000754B3"/>
    <w:rsid w:val="0007764E"/>
    <w:rsid w:val="00082357"/>
    <w:rsid w:val="00091607"/>
    <w:rsid w:val="000965DE"/>
    <w:rsid w:val="000A3A46"/>
    <w:rsid w:val="000A7B92"/>
    <w:rsid w:val="000B1ACA"/>
    <w:rsid w:val="000B4205"/>
    <w:rsid w:val="000C3FB1"/>
    <w:rsid w:val="000D3EA2"/>
    <w:rsid w:val="000E0C5F"/>
    <w:rsid w:val="000E3CA3"/>
    <w:rsid w:val="000E61B8"/>
    <w:rsid w:val="000F053D"/>
    <w:rsid w:val="000F095D"/>
    <w:rsid w:val="000F6104"/>
    <w:rsid w:val="000F73B4"/>
    <w:rsid w:val="0010234E"/>
    <w:rsid w:val="0010514C"/>
    <w:rsid w:val="001139ED"/>
    <w:rsid w:val="00116DD8"/>
    <w:rsid w:val="00121C83"/>
    <w:rsid w:val="00125B64"/>
    <w:rsid w:val="00133769"/>
    <w:rsid w:val="0013749C"/>
    <w:rsid w:val="00156734"/>
    <w:rsid w:val="00161330"/>
    <w:rsid w:val="00163155"/>
    <w:rsid w:val="00166CCD"/>
    <w:rsid w:val="00171760"/>
    <w:rsid w:val="00176316"/>
    <w:rsid w:val="00177064"/>
    <w:rsid w:val="001803EA"/>
    <w:rsid w:val="00180D43"/>
    <w:rsid w:val="0018763D"/>
    <w:rsid w:val="001878BD"/>
    <w:rsid w:val="001931DB"/>
    <w:rsid w:val="001A523E"/>
    <w:rsid w:val="001A5CD9"/>
    <w:rsid w:val="001A7BC1"/>
    <w:rsid w:val="001B31AB"/>
    <w:rsid w:val="001B4AED"/>
    <w:rsid w:val="001D4696"/>
    <w:rsid w:val="001D7EE1"/>
    <w:rsid w:val="001F48E6"/>
    <w:rsid w:val="001F7666"/>
    <w:rsid w:val="00210FDA"/>
    <w:rsid w:val="00211776"/>
    <w:rsid w:val="00211AFB"/>
    <w:rsid w:val="002142E3"/>
    <w:rsid w:val="002238BD"/>
    <w:rsid w:val="00224F67"/>
    <w:rsid w:val="00227B22"/>
    <w:rsid w:val="00233599"/>
    <w:rsid w:val="0024199F"/>
    <w:rsid w:val="00244B7E"/>
    <w:rsid w:val="002736B6"/>
    <w:rsid w:val="002770AA"/>
    <w:rsid w:val="002830AB"/>
    <w:rsid w:val="00296CE2"/>
    <w:rsid w:val="002A0B2F"/>
    <w:rsid w:val="002B5BB9"/>
    <w:rsid w:val="002C6478"/>
    <w:rsid w:val="002D1820"/>
    <w:rsid w:val="002D1BE3"/>
    <w:rsid w:val="002D6050"/>
    <w:rsid w:val="002E09DF"/>
    <w:rsid w:val="002E2AB9"/>
    <w:rsid w:val="002E394A"/>
    <w:rsid w:val="002F12D3"/>
    <w:rsid w:val="002F6D40"/>
    <w:rsid w:val="0030577B"/>
    <w:rsid w:val="00312801"/>
    <w:rsid w:val="00313C6C"/>
    <w:rsid w:val="0031521F"/>
    <w:rsid w:val="0031641E"/>
    <w:rsid w:val="00323468"/>
    <w:rsid w:val="0034087E"/>
    <w:rsid w:val="003428C0"/>
    <w:rsid w:val="00342F73"/>
    <w:rsid w:val="00361AB7"/>
    <w:rsid w:val="003638C1"/>
    <w:rsid w:val="0036542E"/>
    <w:rsid w:val="003666E2"/>
    <w:rsid w:val="00370AEE"/>
    <w:rsid w:val="00373DE9"/>
    <w:rsid w:val="00384FBB"/>
    <w:rsid w:val="00386E5D"/>
    <w:rsid w:val="00390525"/>
    <w:rsid w:val="00394A88"/>
    <w:rsid w:val="003A1A0C"/>
    <w:rsid w:val="003A24AA"/>
    <w:rsid w:val="003A395C"/>
    <w:rsid w:val="003C1953"/>
    <w:rsid w:val="003D1E21"/>
    <w:rsid w:val="003D2BF3"/>
    <w:rsid w:val="003D7BCD"/>
    <w:rsid w:val="003E3CB6"/>
    <w:rsid w:val="003E55EE"/>
    <w:rsid w:val="003F2F92"/>
    <w:rsid w:val="0040128F"/>
    <w:rsid w:val="004028BD"/>
    <w:rsid w:val="00410203"/>
    <w:rsid w:val="0041280A"/>
    <w:rsid w:val="00420F33"/>
    <w:rsid w:val="00441C5A"/>
    <w:rsid w:val="00446707"/>
    <w:rsid w:val="004619B5"/>
    <w:rsid w:val="00463E0A"/>
    <w:rsid w:val="00466B06"/>
    <w:rsid w:val="0047013B"/>
    <w:rsid w:val="00481D0F"/>
    <w:rsid w:val="00484E50"/>
    <w:rsid w:val="004A12A1"/>
    <w:rsid w:val="004A3217"/>
    <w:rsid w:val="004A5058"/>
    <w:rsid w:val="004D2C26"/>
    <w:rsid w:val="004F1E9F"/>
    <w:rsid w:val="00501631"/>
    <w:rsid w:val="00504CD1"/>
    <w:rsid w:val="005076E1"/>
    <w:rsid w:val="005236F0"/>
    <w:rsid w:val="005351B8"/>
    <w:rsid w:val="0053716D"/>
    <w:rsid w:val="005375AD"/>
    <w:rsid w:val="00544344"/>
    <w:rsid w:val="0056303A"/>
    <w:rsid w:val="00564EC6"/>
    <w:rsid w:val="00573173"/>
    <w:rsid w:val="00573BC3"/>
    <w:rsid w:val="00574FF7"/>
    <w:rsid w:val="0058646E"/>
    <w:rsid w:val="005902BA"/>
    <w:rsid w:val="00594EC4"/>
    <w:rsid w:val="005952D0"/>
    <w:rsid w:val="005B46D3"/>
    <w:rsid w:val="005C0DEB"/>
    <w:rsid w:val="005C38B2"/>
    <w:rsid w:val="005C76F6"/>
    <w:rsid w:val="005D48B2"/>
    <w:rsid w:val="005E5C72"/>
    <w:rsid w:val="005F2CFD"/>
    <w:rsid w:val="005F3221"/>
    <w:rsid w:val="0060122B"/>
    <w:rsid w:val="00610D12"/>
    <w:rsid w:val="00616D37"/>
    <w:rsid w:val="00616FD4"/>
    <w:rsid w:val="006311E5"/>
    <w:rsid w:val="00633B6C"/>
    <w:rsid w:val="00640C91"/>
    <w:rsid w:val="00651BBF"/>
    <w:rsid w:val="00652352"/>
    <w:rsid w:val="006561EF"/>
    <w:rsid w:val="0066230E"/>
    <w:rsid w:val="006635FE"/>
    <w:rsid w:val="0067262D"/>
    <w:rsid w:val="00675206"/>
    <w:rsid w:val="006B454E"/>
    <w:rsid w:val="006D3648"/>
    <w:rsid w:val="006E1015"/>
    <w:rsid w:val="006E615B"/>
    <w:rsid w:val="006E77D5"/>
    <w:rsid w:val="006F0C84"/>
    <w:rsid w:val="00703554"/>
    <w:rsid w:val="00704B36"/>
    <w:rsid w:val="00707E53"/>
    <w:rsid w:val="00711198"/>
    <w:rsid w:val="00712E0A"/>
    <w:rsid w:val="007224C5"/>
    <w:rsid w:val="00723196"/>
    <w:rsid w:val="00752121"/>
    <w:rsid w:val="007577CA"/>
    <w:rsid w:val="007619AE"/>
    <w:rsid w:val="00771FB4"/>
    <w:rsid w:val="00775EB2"/>
    <w:rsid w:val="007776BD"/>
    <w:rsid w:val="00785B87"/>
    <w:rsid w:val="00786886"/>
    <w:rsid w:val="00791DD2"/>
    <w:rsid w:val="00797345"/>
    <w:rsid w:val="007A62EA"/>
    <w:rsid w:val="007D1135"/>
    <w:rsid w:val="007D6F76"/>
    <w:rsid w:val="007E1D88"/>
    <w:rsid w:val="007E7437"/>
    <w:rsid w:val="007E763E"/>
    <w:rsid w:val="007F26F7"/>
    <w:rsid w:val="00823CD6"/>
    <w:rsid w:val="008354A1"/>
    <w:rsid w:val="008356E4"/>
    <w:rsid w:val="00836622"/>
    <w:rsid w:val="00851E72"/>
    <w:rsid w:val="0086152D"/>
    <w:rsid w:val="008626B5"/>
    <w:rsid w:val="00872E03"/>
    <w:rsid w:val="00874EA3"/>
    <w:rsid w:val="00877392"/>
    <w:rsid w:val="00882CB6"/>
    <w:rsid w:val="00884B7A"/>
    <w:rsid w:val="008A1AE5"/>
    <w:rsid w:val="008B7FA6"/>
    <w:rsid w:val="008C2A0F"/>
    <w:rsid w:val="008D64CC"/>
    <w:rsid w:val="008E0E23"/>
    <w:rsid w:val="008F08D7"/>
    <w:rsid w:val="008F1B8D"/>
    <w:rsid w:val="009043D9"/>
    <w:rsid w:val="0091508C"/>
    <w:rsid w:val="0091652A"/>
    <w:rsid w:val="00936508"/>
    <w:rsid w:val="00954BCF"/>
    <w:rsid w:val="0095581B"/>
    <w:rsid w:val="0096253B"/>
    <w:rsid w:val="00966FFB"/>
    <w:rsid w:val="00970DA1"/>
    <w:rsid w:val="009754E3"/>
    <w:rsid w:val="00990E84"/>
    <w:rsid w:val="0099425C"/>
    <w:rsid w:val="009956A5"/>
    <w:rsid w:val="009A1083"/>
    <w:rsid w:val="009A4B73"/>
    <w:rsid w:val="009A7898"/>
    <w:rsid w:val="009B2F46"/>
    <w:rsid w:val="009B60B0"/>
    <w:rsid w:val="009D19CA"/>
    <w:rsid w:val="009D492F"/>
    <w:rsid w:val="009E4721"/>
    <w:rsid w:val="009F4B98"/>
    <w:rsid w:val="009F7DBA"/>
    <w:rsid w:val="00A014A6"/>
    <w:rsid w:val="00A01B7C"/>
    <w:rsid w:val="00A1441D"/>
    <w:rsid w:val="00A1688F"/>
    <w:rsid w:val="00A22618"/>
    <w:rsid w:val="00A25066"/>
    <w:rsid w:val="00A300B7"/>
    <w:rsid w:val="00A36FC0"/>
    <w:rsid w:val="00A43301"/>
    <w:rsid w:val="00A5603B"/>
    <w:rsid w:val="00A63C53"/>
    <w:rsid w:val="00A704C6"/>
    <w:rsid w:val="00A707AF"/>
    <w:rsid w:val="00A8794A"/>
    <w:rsid w:val="00AA4A23"/>
    <w:rsid w:val="00AD379C"/>
    <w:rsid w:val="00AD3E3B"/>
    <w:rsid w:val="00AD4BAF"/>
    <w:rsid w:val="00AD6381"/>
    <w:rsid w:val="00AD7CE6"/>
    <w:rsid w:val="00AF0F3F"/>
    <w:rsid w:val="00AF3BDE"/>
    <w:rsid w:val="00B0094F"/>
    <w:rsid w:val="00B00BE7"/>
    <w:rsid w:val="00B0266B"/>
    <w:rsid w:val="00B02AD2"/>
    <w:rsid w:val="00B037B8"/>
    <w:rsid w:val="00B05864"/>
    <w:rsid w:val="00B1069C"/>
    <w:rsid w:val="00B10ECE"/>
    <w:rsid w:val="00B2013D"/>
    <w:rsid w:val="00B2263C"/>
    <w:rsid w:val="00B42868"/>
    <w:rsid w:val="00B514DA"/>
    <w:rsid w:val="00B54D03"/>
    <w:rsid w:val="00B55F85"/>
    <w:rsid w:val="00B613E0"/>
    <w:rsid w:val="00B621C7"/>
    <w:rsid w:val="00B62A8F"/>
    <w:rsid w:val="00B66149"/>
    <w:rsid w:val="00B77BE6"/>
    <w:rsid w:val="00B77D63"/>
    <w:rsid w:val="00BC2F01"/>
    <w:rsid w:val="00BD0766"/>
    <w:rsid w:val="00BE24BA"/>
    <w:rsid w:val="00BF2656"/>
    <w:rsid w:val="00BF5786"/>
    <w:rsid w:val="00C023C0"/>
    <w:rsid w:val="00C15A59"/>
    <w:rsid w:val="00C2511E"/>
    <w:rsid w:val="00C259C8"/>
    <w:rsid w:val="00C26811"/>
    <w:rsid w:val="00C3056C"/>
    <w:rsid w:val="00C30DEB"/>
    <w:rsid w:val="00C327E6"/>
    <w:rsid w:val="00C40FAD"/>
    <w:rsid w:val="00C4638D"/>
    <w:rsid w:val="00C62826"/>
    <w:rsid w:val="00C71F40"/>
    <w:rsid w:val="00C7347A"/>
    <w:rsid w:val="00C86563"/>
    <w:rsid w:val="00C90905"/>
    <w:rsid w:val="00C93FAD"/>
    <w:rsid w:val="00C94E6F"/>
    <w:rsid w:val="00C974D7"/>
    <w:rsid w:val="00CB276F"/>
    <w:rsid w:val="00CB41AE"/>
    <w:rsid w:val="00CB4461"/>
    <w:rsid w:val="00CC4991"/>
    <w:rsid w:val="00CC6B0D"/>
    <w:rsid w:val="00CD2531"/>
    <w:rsid w:val="00CD2E82"/>
    <w:rsid w:val="00CD3BEF"/>
    <w:rsid w:val="00CD4BB4"/>
    <w:rsid w:val="00CD57A7"/>
    <w:rsid w:val="00CE0BF6"/>
    <w:rsid w:val="00CE361E"/>
    <w:rsid w:val="00CE36A2"/>
    <w:rsid w:val="00CE4575"/>
    <w:rsid w:val="00CF0236"/>
    <w:rsid w:val="00CF7ED8"/>
    <w:rsid w:val="00D132AA"/>
    <w:rsid w:val="00D15F8D"/>
    <w:rsid w:val="00D259F1"/>
    <w:rsid w:val="00D3415A"/>
    <w:rsid w:val="00D4376B"/>
    <w:rsid w:val="00D45FD9"/>
    <w:rsid w:val="00D506AB"/>
    <w:rsid w:val="00D50ABE"/>
    <w:rsid w:val="00D56C03"/>
    <w:rsid w:val="00D57257"/>
    <w:rsid w:val="00D6057A"/>
    <w:rsid w:val="00D63D8A"/>
    <w:rsid w:val="00D66311"/>
    <w:rsid w:val="00D6656F"/>
    <w:rsid w:val="00D67137"/>
    <w:rsid w:val="00D7046C"/>
    <w:rsid w:val="00D776F8"/>
    <w:rsid w:val="00D844E1"/>
    <w:rsid w:val="00D86E0C"/>
    <w:rsid w:val="00D90AE0"/>
    <w:rsid w:val="00D9555F"/>
    <w:rsid w:val="00DA14FB"/>
    <w:rsid w:val="00DA37F7"/>
    <w:rsid w:val="00DB3A35"/>
    <w:rsid w:val="00DB3DC4"/>
    <w:rsid w:val="00DC63E2"/>
    <w:rsid w:val="00DD4273"/>
    <w:rsid w:val="00DE47BF"/>
    <w:rsid w:val="00DF2F97"/>
    <w:rsid w:val="00E12312"/>
    <w:rsid w:val="00E20E58"/>
    <w:rsid w:val="00E2195A"/>
    <w:rsid w:val="00E27480"/>
    <w:rsid w:val="00E3282D"/>
    <w:rsid w:val="00E42F67"/>
    <w:rsid w:val="00E62B38"/>
    <w:rsid w:val="00E6665B"/>
    <w:rsid w:val="00E70C57"/>
    <w:rsid w:val="00E73190"/>
    <w:rsid w:val="00E735E3"/>
    <w:rsid w:val="00E8789D"/>
    <w:rsid w:val="00E96F0B"/>
    <w:rsid w:val="00EA4DCA"/>
    <w:rsid w:val="00EB064D"/>
    <w:rsid w:val="00EB7247"/>
    <w:rsid w:val="00EC41F9"/>
    <w:rsid w:val="00ED0AE3"/>
    <w:rsid w:val="00EE30C5"/>
    <w:rsid w:val="00EF0C86"/>
    <w:rsid w:val="00EF2FD8"/>
    <w:rsid w:val="00F00B7F"/>
    <w:rsid w:val="00F01A77"/>
    <w:rsid w:val="00F10C8C"/>
    <w:rsid w:val="00F16D36"/>
    <w:rsid w:val="00F335D3"/>
    <w:rsid w:val="00F33D63"/>
    <w:rsid w:val="00F44492"/>
    <w:rsid w:val="00F45693"/>
    <w:rsid w:val="00F50545"/>
    <w:rsid w:val="00F509A9"/>
    <w:rsid w:val="00F51A20"/>
    <w:rsid w:val="00F55D27"/>
    <w:rsid w:val="00F606DF"/>
    <w:rsid w:val="00F7478F"/>
    <w:rsid w:val="00F83DC4"/>
    <w:rsid w:val="00F85225"/>
    <w:rsid w:val="00F86C3E"/>
    <w:rsid w:val="00F92107"/>
    <w:rsid w:val="00FB0C70"/>
    <w:rsid w:val="00FB1E40"/>
    <w:rsid w:val="00FC4D11"/>
    <w:rsid w:val="00FD3F00"/>
    <w:rsid w:val="00FE5327"/>
    <w:rsid w:val="00FE7868"/>
    <w:rsid w:val="19C3F762"/>
    <w:rsid w:val="215FCD18"/>
    <w:rsid w:val="2B6DFE22"/>
    <w:rsid w:val="300FBDFD"/>
    <w:rsid w:val="488F4CD7"/>
    <w:rsid w:val="4DC7E3FE"/>
    <w:rsid w:val="66F135D8"/>
    <w:rsid w:val="728E956C"/>
    <w:rsid w:val="7D8292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paragraph" w:styleId="NormalWeb">
    <w:name w:val="Normal (Web)"/>
    <w:basedOn w:val="Normal"/>
    <w:uiPriority w:val="99"/>
    <w:semiHidden/>
    <w:unhideWhenUsed/>
    <w:rsid w:val="00704B36"/>
    <w:rPr>
      <w:rFonts w:ascii="Times New Roman" w:hAnsi="Times New Roman" w:cs="Times New Roman"/>
      <w:sz w:val="24"/>
      <w:szCs w:val="24"/>
    </w:rPr>
  </w:style>
  <w:style w:type="character" w:styleId="PlaceholderText">
    <w:name w:val="Placeholder Text"/>
    <w:basedOn w:val="DefaultParagraphFont"/>
    <w:uiPriority w:val="99"/>
    <w:semiHidden/>
    <w:rsid w:val="006311E5"/>
    <w:rPr>
      <w:color w:val="666666"/>
    </w:rPr>
  </w:style>
  <w:style w:type="paragraph" w:customStyle="1" w:styleId="FirstParagraph">
    <w:name w:val="First Paragraph"/>
    <w:basedOn w:val="BodyText"/>
    <w:next w:val="BodyText"/>
    <w:qFormat/>
    <w:rsid w:val="00373DE9"/>
    <w:pPr>
      <w:spacing w:before="180" w:after="180" w:line="240" w:lineRule="auto"/>
    </w:pPr>
    <w:rPr>
      <w:kern w:val="0"/>
      <w:sz w:val="24"/>
      <w:szCs w:val="24"/>
      <w:lang w:val="en-US"/>
      <w14:ligatures w14:val="none"/>
    </w:rPr>
  </w:style>
  <w:style w:type="paragraph" w:styleId="BodyText">
    <w:name w:val="Body Text"/>
    <w:basedOn w:val="Normal"/>
    <w:link w:val="BodyTextChar"/>
    <w:uiPriority w:val="99"/>
    <w:unhideWhenUsed/>
    <w:rsid w:val="00373DE9"/>
    <w:pPr>
      <w:spacing w:after="120"/>
    </w:pPr>
  </w:style>
  <w:style w:type="character" w:customStyle="1" w:styleId="BodyTextChar">
    <w:name w:val="Body Text Char"/>
    <w:basedOn w:val="DefaultParagraphFont"/>
    <w:link w:val="BodyText"/>
    <w:uiPriority w:val="99"/>
    <w:rsid w:val="00373DE9"/>
    <w:rPr>
      <w:sz w:val="22"/>
      <w:szCs w:val="22"/>
    </w:rPr>
  </w:style>
  <w:style w:type="paragraph" w:customStyle="1" w:styleId="ImageCaption">
    <w:name w:val="Image Caption"/>
    <w:basedOn w:val="Caption"/>
    <w:rsid w:val="00A01B7C"/>
    <w:pPr>
      <w:spacing w:after="120"/>
    </w:pPr>
    <w:rPr>
      <w:iCs w:val="0"/>
      <w:color w:val="auto"/>
      <w:kern w:val="0"/>
      <w:sz w:val="24"/>
      <w:szCs w:val="24"/>
      <w:lang w:val="en-US"/>
      <w14:ligatures w14:val="none"/>
    </w:rPr>
  </w:style>
  <w:style w:type="paragraph" w:styleId="Caption">
    <w:name w:val="caption"/>
    <w:basedOn w:val="Normal"/>
    <w:next w:val="Normal"/>
    <w:link w:val="CaptionChar"/>
    <w:unhideWhenUsed/>
    <w:qFormat/>
    <w:rsid w:val="00A01B7C"/>
    <w:pPr>
      <w:spacing w:after="200" w:line="240" w:lineRule="auto"/>
    </w:pPr>
    <w:rPr>
      <w:i/>
      <w:iCs/>
      <w:color w:val="0E2841" w:themeColor="text2"/>
      <w:sz w:val="18"/>
      <w:szCs w:val="18"/>
    </w:rPr>
  </w:style>
  <w:style w:type="paragraph" w:customStyle="1" w:styleId="Compact">
    <w:name w:val="Compact"/>
    <w:basedOn w:val="BodyText"/>
    <w:qFormat/>
    <w:rsid w:val="00872E03"/>
    <w:pPr>
      <w:spacing w:before="36" w:after="36" w:line="240" w:lineRule="auto"/>
    </w:pPr>
    <w:rPr>
      <w:kern w:val="0"/>
      <w:sz w:val="24"/>
      <w:szCs w:val="24"/>
      <w:lang w:val="en-US"/>
      <w14:ligatures w14:val="none"/>
    </w:rPr>
  </w:style>
  <w:style w:type="table" w:customStyle="1" w:styleId="Table">
    <w:name w:val="Table"/>
    <w:semiHidden/>
    <w:unhideWhenUsed/>
    <w:qFormat/>
    <w:rsid w:val="00872E03"/>
    <w:pPr>
      <w:spacing w:after="200" w:line="240" w:lineRule="auto"/>
    </w:pPr>
    <w:rPr>
      <w:kern w:val="0"/>
      <w:sz w:val="20"/>
      <w:szCs w:val="20"/>
      <w:lang w:val="en-US" w:eastAsia="ja-JP"/>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character" w:customStyle="1" w:styleId="CaptionChar">
    <w:name w:val="Caption Char"/>
    <w:basedOn w:val="DefaultParagraphFont"/>
    <w:link w:val="Caption"/>
    <w:rsid w:val="00872E03"/>
    <w:rPr>
      <w:i/>
      <w:iCs/>
      <w:color w:val="0E2841"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bdulquaderhunk@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455A3-7906-4B27-81EB-20A4EC482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2012</TotalTime>
  <Pages>11</Pages>
  <Words>4405</Words>
  <Characters>25113</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29460</CharactersWithSpaces>
  <SharedDoc>false</SharedDoc>
  <HLinks>
    <vt:vector size="6" baseType="variant">
      <vt:variant>
        <vt:i4>1179691</vt:i4>
      </vt:variant>
      <vt:variant>
        <vt:i4>0</vt:i4>
      </vt:variant>
      <vt:variant>
        <vt:i4>0</vt:i4>
      </vt:variant>
      <vt:variant>
        <vt:i4>5</vt:i4>
      </vt:variant>
      <vt:variant>
        <vt:lpwstr>mailto:abdulquaderhunk@gmail.com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Abdul Quader</cp:lastModifiedBy>
  <cp:revision>210</cp:revision>
  <dcterms:created xsi:type="dcterms:W3CDTF">2026-09-12T17:49:00Z</dcterms:created>
  <dcterms:modified xsi:type="dcterms:W3CDTF">2026-09-14T18:13:00Z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