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8A11" w14:textId="77777777" w:rsidR="00B368B4" w:rsidRDefault="00B30360">
      <w:pPr>
        <w:spacing w:after="40"/>
        <w:jc w:val="center"/>
      </w:pPr>
      <w:r w:rsidRPr="00B30360">
        <w:rPr>
          <w:rFonts w:ascii="Calibri" w:hAnsi="Calibri" w:cs="Calibri"/>
          <w:b/>
          <w:bCs/>
          <w:sz w:val="28"/>
          <w:szCs w:val="28"/>
        </w:rPr>
        <w:t>Identifier Architectures for Lifecycle Traceability in Knowledge Graph-Based Construction Information Management</w:t>
      </w:r>
    </w:p>
    <w:p w14:paraId="77A3D4E0" w14:textId="77777777" w:rsidR="00B368B4" w:rsidRDefault="00B368B4">
      <w:pPr>
        <w:spacing w:after="40"/>
        <w:jc w:val="center"/>
      </w:pPr>
    </w:p>
    <w:p w14:paraId="5042AB99" w14:textId="66E93DDD" w:rsidR="00B368B4" w:rsidRPr="00FB7E7F" w:rsidRDefault="001F1972">
      <w:pPr>
        <w:pStyle w:val="Author"/>
        <w:spacing w:after="40"/>
        <w:jc w:val="center"/>
        <w:rPr>
          <w:lang w:val="sv-SE"/>
        </w:rPr>
      </w:pPr>
      <w:r w:rsidRPr="00FB7E7F">
        <w:rPr>
          <w:rFonts w:ascii="Calibri" w:hAnsi="Calibri" w:cs="Calibri"/>
          <w:sz w:val="22"/>
          <w:szCs w:val="22"/>
          <w:lang w:val="sv-SE"/>
        </w:rPr>
        <w:t>Peter Johansson</w:t>
      </w:r>
      <w:proofErr w:type="gramStart"/>
      <w:r w:rsidRPr="00FB7E7F">
        <w:rPr>
          <w:rFonts w:ascii="Calibri" w:hAnsi="Calibri" w:cs="Calibri"/>
          <w:sz w:val="22"/>
          <w:szCs w:val="22"/>
          <w:vertAlign w:val="superscript"/>
          <w:lang w:val="sv-SE"/>
        </w:rPr>
        <w:t>1,*</w:t>
      </w:r>
      <w:proofErr w:type="gramEnd"/>
      <w:r w:rsidR="006702CB">
        <w:rPr>
          <w:rFonts w:ascii="Calibri" w:hAnsi="Calibri" w:cs="Calibri"/>
          <w:sz w:val="22"/>
          <w:szCs w:val="22"/>
          <w:lang w:val="sv-SE"/>
        </w:rPr>
        <w:t>, K</w:t>
      </w:r>
      <w:r w:rsidR="00A53D06" w:rsidRPr="00FB7E7F">
        <w:rPr>
          <w:rFonts w:ascii="Calibri" w:hAnsi="Calibri" w:cs="Calibri"/>
          <w:sz w:val="22"/>
          <w:szCs w:val="22"/>
          <w:lang w:val="sv-SE"/>
        </w:rPr>
        <w:t>hadija Foroogh</w:t>
      </w:r>
      <w:r w:rsidR="00A53D06" w:rsidRPr="00FB7E7F">
        <w:rPr>
          <w:rFonts w:ascii="Calibri" w:hAnsi="Calibri" w:cs="Calibri"/>
          <w:sz w:val="22"/>
          <w:szCs w:val="22"/>
          <w:vertAlign w:val="superscript"/>
          <w:lang w:val="sv-SE"/>
        </w:rPr>
        <w:t>1</w:t>
      </w:r>
      <w:r w:rsidR="00A53D06" w:rsidRPr="00FB7E7F">
        <w:rPr>
          <w:rFonts w:ascii="Calibri" w:hAnsi="Calibri" w:cs="Calibri"/>
          <w:sz w:val="22"/>
          <w:szCs w:val="22"/>
          <w:lang w:val="sv-SE"/>
        </w:rPr>
        <w:t>, Reshmy Sasi Kumar</w:t>
      </w:r>
      <w:r w:rsidR="00A53D06" w:rsidRPr="00FB7E7F">
        <w:rPr>
          <w:rFonts w:ascii="Calibri" w:hAnsi="Calibri" w:cs="Calibri"/>
          <w:sz w:val="22"/>
          <w:szCs w:val="22"/>
          <w:vertAlign w:val="superscript"/>
          <w:lang w:val="sv-SE"/>
        </w:rPr>
        <w:t>1</w:t>
      </w:r>
      <w:r w:rsidR="00A53D06" w:rsidRPr="00FB7E7F">
        <w:rPr>
          <w:rFonts w:ascii="Calibri" w:hAnsi="Calibri" w:cs="Calibri"/>
          <w:sz w:val="22"/>
          <w:szCs w:val="22"/>
          <w:lang w:val="sv-SE"/>
        </w:rPr>
        <w:t xml:space="preserve">, </w:t>
      </w:r>
      <w:r w:rsidR="002E1ED3">
        <w:rPr>
          <w:rFonts w:ascii="Calibri" w:hAnsi="Calibri" w:cs="Calibri"/>
          <w:sz w:val="22"/>
          <w:szCs w:val="22"/>
          <w:lang w:val="sv-SE"/>
        </w:rPr>
        <w:t>Rahel Kebede</w:t>
      </w:r>
      <w:r w:rsidR="00E052B1" w:rsidRPr="00FB7E7F">
        <w:rPr>
          <w:rFonts w:ascii="Calibri" w:hAnsi="Calibri" w:cs="Calibri"/>
          <w:sz w:val="22"/>
          <w:szCs w:val="22"/>
          <w:vertAlign w:val="superscript"/>
          <w:lang w:val="sv-SE"/>
        </w:rPr>
        <w:t>1</w:t>
      </w:r>
      <w:r w:rsidR="00E052B1" w:rsidRPr="00FB7E7F">
        <w:rPr>
          <w:rFonts w:ascii="Calibri" w:hAnsi="Calibri" w:cs="Calibri"/>
          <w:sz w:val="22"/>
          <w:szCs w:val="22"/>
          <w:lang w:val="sv-SE"/>
        </w:rPr>
        <w:t>,</w:t>
      </w:r>
      <w:r w:rsidR="007B6CC3">
        <w:rPr>
          <w:rFonts w:ascii="Calibri" w:hAnsi="Calibri" w:cs="Calibri"/>
          <w:sz w:val="22"/>
          <w:szCs w:val="22"/>
          <w:lang w:val="sv-SE"/>
        </w:rPr>
        <w:t xml:space="preserve"> Annika Moscati</w:t>
      </w:r>
      <w:r w:rsidR="007B6CC3" w:rsidRPr="00FB7E7F">
        <w:rPr>
          <w:rFonts w:ascii="Calibri" w:hAnsi="Calibri" w:cs="Calibri"/>
          <w:sz w:val="22"/>
          <w:szCs w:val="22"/>
          <w:vertAlign w:val="superscript"/>
          <w:lang w:val="sv-SE"/>
        </w:rPr>
        <w:t>1</w:t>
      </w:r>
    </w:p>
    <w:p w14:paraId="0C3B0385" w14:textId="77777777" w:rsidR="005076E1" w:rsidRPr="00FB7E7F" w:rsidRDefault="005076E1" w:rsidP="006E77D5">
      <w:pPr>
        <w:pStyle w:val="Author"/>
        <w:spacing w:after="40"/>
        <w:rPr>
          <w:rFonts w:ascii="Calibri" w:hAnsi="Calibri" w:cs="Calibri"/>
          <w:sz w:val="22"/>
          <w:szCs w:val="22"/>
          <w:lang w:val="sv-SE"/>
        </w:rPr>
      </w:pPr>
    </w:p>
    <w:p w14:paraId="0711B75C" w14:textId="77777777" w:rsidR="00B368B4" w:rsidRPr="004D2115" w:rsidRDefault="00FB7E7F">
      <w:pPr>
        <w:pStyle w:val="Author"/>
        <w:spacing w:after="40"/>
        <w:rPr>
          <w:lang w:val="en-US"/>
        </w:rPr>
      </w:pPr>
      <w:r w:rsidRPr="004D2115">
        <w:rPr>
          <w:rFonts w:ascii="Calibri" w:hAnsi="Calibri" w:cs="Calibri"/>
          <w:sz w:val="22"/>
          <w:szCs w:val="22"/>
          <w:vertAlign w:val="superscript"/>
          <w:lang w:val="en-US"/>
        </w:rPr>
        <w:t xml:space="preserve">1 </w:t>
      </w:r>
      <w:r w:rsidRPr="004D2115">
        <w:rPr>
          <w:rFonts w:ascii="Calibri" w:hAnsi="Calibri" w:cs="Calibri"/>
          <w:sz w:val="22"/>
          <w:szCs w:val="22"/>
          <w:lang w:val="en-US"/>
        </w:rPr>
        <w:t>Jönköping University, Jönköping, Sweden</w:t>
      </w:r>
    </w:p>
    <w:p w14:paraId="3836BAB1" w14:textId="77777777" w:rsidR="00B368B4" w:rsidRDefault="00BF65B4">
      <w:pPr>
        <w:pStyle w:val="Author"/>
        <w:spacing w:after="40"/>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A97FC4" w:rsidRPr="00A97FC4">
          <w:rPr>
            <w:rStyle w:val="Hyperlink"/>
            <w:rFonts w:ascii="Calibri" w:hAnsi="Calibri" w:cs="Calibri"/>
            <w:i/>
            <w:iCs/>
            <w:sz w:val="22"/>
            <w:szCs w:val="22"/>
          </w:rPr>
          <w:t>peter.johansson@ju.se</w:t>
        </w:r>
      </w:hyperlink>
    </w:p>
    <w:p w14:paraId="6330E787" w14:textId="77777777" w:rsidR="005076E1" w:rsidRPr="00D6057A" w:rsidRDefault="005076E1" w:rsidP="006E77D5">
      <w:pPr>
        <w:spacing w:after="40" w:line="240" w:lineRule="auto"/>
        <w:rPr>
          <w:rFonts w:ascii="Calibri" w:hAnsi="Calibri" w:cs="Calibri"/>
        </w:rPr>
      </w:pPr>
    </w:p>
    <w:p w14:paraId="0A34831D" w14:textId="77777777" w:rsidR="00B368B4" w:rsidRDefault="00FA0CC9">
      <w:pPr>
        <w:spacing w:after="40"/>
        <w:ind w:left="1134" w:right="1088"/>
      </w:pPr>
      <w:r w:rsidRPr="00FA0CC9">
        <w:rPr>
          <w:rFonts w:ascii="Calibri" w:hAnsi="Calibri" w:cs="Calibri"/>
          <w:b/>
          <w:bCs/>
          <w:sz w:val="28"/>
          <w:szCs w:val="28"/>
        </w:rPr>
        <w:t>ABSTRACT</w:t>
      </w:r>
    </w:p>
    <w:p w14:paraId="0DC576A5" w14:textId="77777777" w:rsidR="002C743F" w:rsidRPr="002C743F" w:rsidRDefault="002C743F" w:rsidP="002C743F">
      <w:pPr>
        <w:spacing w:after="40"/>
        <w:ind w:left="1134" w:right="1088"/>
        <w:jc w:val="both"/>
        <w:rPr>
          <w:rFonts w:ascii="Calibri" w:hAnsi="Calibri" w:cs="Calibri"/>
        </w:rPr>
      </w:pPr>
      <w:r w:rsidRPr="002C743F">
        <w:rPr>
          <w:rFonts w:ascii="Calibri" w:hAnsi="Calibri" w:cs="Calibri"/>
        </w:rPr>
        <w:t>The digital transformation of the construction industry increasingly relies on semantically linked data to support lifecycle information management. Emerging initiatives such as Digital Product Passports and the “Golden Thread of Information” highlight the need for consistent and traceable information across the lifecycle of built assets. However, current approaches do not provide persistent, instance-level identifier architectures capable of linking object representations across lifecycle stages.</w:t>
      </w:r>
    </w:p>
    <w:p w14:paraId="71C45683" w14:textId="6A395F85" w:rsidR="00EC6486" w:rsidRDefault="00252D23">
      <w:pPr>
        <w:spacing w:after="40"/>
        <w:ind w:left="1134" w:right="1088"/>
        <w:jc w:val="both"/>
      </w:pPr>
      <w:r w:rsidRPr="002C743F">
        <w:rPr>
          <w:rFonts w:ascii="Calibri" w:hAnsi="Calibri" w:cs="Calibri"/>
        </w:rPr>
        <w:t>This paper investigates how identifier architectures can support lifecycle-consistent traceability in knowledge graph-based construction information systems. The study is grounded in Systems Engineering lifecycle logic and structured through the Semantic Modelling and Linking framework, distinguishing between Planned Functional</w:t>
      </w:r>
      <w:r w:rsidR="004B7DE2">
        <w:rPr>
          <w:rFonts w:ascii="Calibri" w:hAnsi="Calibri" w:cs="Calibri"/>
          <w:lang w:val="en-US"/>
        </w:rPr>
        <w:t xml:space="preserve"> (PF)</w:t>
      </w:r>
      <w:r w:rsidRPr="002C743F">
        <w:rPr>
          <w:rFonts w:ascii="Calibri" w:hAnsi="Calibri" w:cs="Calibri"/>
        </w:rPr>
        <w:t>, Planned Technical</w:t>
      </w:r>
      <w:r w:rsidR="004B7DE2">
        <w:rPr>
          <w:rFonts w:ascii="Calibri" w:hAnsi="Calibri" w:cs="Calibri"/>
        </w:rPr>
        <w:t xml:space="preserve"> (PT)</w:t>
      </w:r>
      <w:r w:rsidRPr="002C743F">
        <w:rPr>
          <w:rFonts w:ascii="Calibri" w:hAnsi="Calibri" w:cs="Calibri"/>
        </w:rPr>
        <w:t>, Realized Technical</w:t>
      </w:r>
      <w:r w:rsidR="004B7DE2">
        <w:rPr>
          <w:rFonts w:ascii="Calibri" w:hAnsi="Calibri" w:cs="Calibri"/>
        </w:rPr>
        <w:t xml:space="preserve"> (RT)</w:t>
      </w:r>
      <w:r w:rsidRPr="002C743F">
        <w:rPr>
          <w:rFonts w:ascii="Calibri" w:hAnsi="Calibri" w:cs="Calibri"/>
        </w:rPr>
        <w:t>, and Realized Functional</w:t>
      </w:r>
      <w:r w:rsidR="004B7DE2">
        <w:rPr>
          <w:rFonts w:ascii="Calibri" w:hAnsi="Calibri" w:cs="Calibri"/>
        </w:rPr>
        <w:t xml:space="preserve"> (RF)</w:t>
      </w:r>
      <w:r w:rsidRPr="002C743F">
        <w:rPr>
          <w:rFonts w:ascii="Calibri" w:hAnsi="Calibri" w:cs="Calibri"/>
        </w:rPr>
        <w:t xml:space="preserve"> states. A qualitative, design-oriented approach informed by Design Science Research is applied.</w:t>
      </w:r>
    </w:p>
    <w:p w14:paraId="7E18774E" w14:textId="77777777" w:rsidR="00EC6486" w:rsidRDefault="00252D23">
      <w:pPr>
        <w:spacing w:after="40"/>
        <w:ind w:left="1134" w:right="1088"/>
        <w:jc w:val="both"/>
        <w:rPr>
          <w:rFonts w:ascii="Calibri" w:hAnsi="Calibri" w:cs="Calibri"/>
        </w:rPr>
      </w:pPr>
      <w:r w:rsidRPr="002C743F">
        <w:rPr>
          <w:rFonts w:ascii="Calibri" w:hAnsi="Calibri" w:cs="Calibri"/>
        </w:rPr>
        <w:t xml:space="preserve">The analysis indicates that separating identifier roles across lifecycle states improves traceability between requirements, technical solutions, </w:t>
      </w:r>
      <w:r w:rsidR="00C8568A" w:rsidRPr="00C8568A">
        <w:rPr>
          <w:rFonts w:ascii="Calibri" w:hAnsi="Calibri" w:cs="Calibri"/>
        </w:rPr>
        <w:t>realised</w:t>
      </w:r>
      <w:r w:rsidRPr="002C743F">
        <w:rPr>
          <w:rFonts w:ascii="Calibri" w:hAnsi="Calibri" w:cs="Calibri"/>
        </w:rPr>
        <w:t xml:space="preserve"> objects, and operational performance. A key finding is the trade-off between semantic expressiveness and identifier persistence. The proposed architecture addresses this by anchoring each lifecycle role to a persistent identifier, while semantic meaning is represented through associated properties.</w:t>
      </w:r>
    </w:p>
    <w:p w14:paraId="35A7915F" w14:textId="77777777" w:rsidR="00715AF2" w:rsidRDefault="00715AF2">
      <w:pPr>
        <w:spacing w:after="40"/>
        <w:ind w:left="1134" w:right="1088"/>
        <w:jc w:val="both"/>
      </w:pPr>
    </w:p>
    <w:p w14:paraId="45649170" w14:textId="77777777" w:rsidR="002E07D5" w:rsidRPr="00D6057A" w:rsidRDefault="00917149" w:rsidP="002E07D5">
      <w:pPr>
        <w:pStyle w:val="ListParagraph"/>
        <w:numPr>
          <w:ilvl w:val="0"/>
          <w:numId w:val="1"/>
        </w:numPr>
        <w:spacing w:after="40" w:line="240" w:lineRule="auto"/>
        <w:rPr>
          <w:rFonts w:ascii="Calibri" w:hAnsi="Calibri" w:cs="Calibri"/>
          <w:b/>
          <w:bCs/>
          <w:sz w:val="28"/>
          <w:szCs w:val="28"/>
        </w:rPr>
      </w:pPr>
      <w:r w:rsidRPr="002E07D5">
        <w:rPr>
          <w:rFonts w:ascii="Calibri" w:hAnsi="Calibri" w:cs="Calibri"/>
          <w:b/>
          <w:bCs/>
          <w:sz w:val="28"/>
          <w:szCs w:val="28"/>
        </w:rPr>
        <w:t>INTRODUCTION</w:t>
      </w:r>
    </w:p>
    <w:p w14:paraId="677F8EDF" w14:textId="77777777" w:rsidR="00EC6486" w:rsidRDefault="00252D23">
      <w:pPr>
        <w:spacing w:after="40"/>
        <w:ind w:firstLine="851"/>
        <w:jc w:val="both"/>
      </w:pPr>
      <w:r w:rsidRPr="002E07D5">
        <w:rPr>
          <w:rFonts w:ascii="Calibri" w:hAnsi="Calibri" w:cs="Calibri"/>
        </w:rPr>
        <w:t xml:space="preserve">The construction industry is rapidly adopting Building Information Modelling (BIM), digital twins, and data-driven lifecycle management to improve information continuity, automation, and circular economy practices </w:t>
      </w:r>
      <w:r w:rsidRPr="008D285E">
        <w:rPr>
          <w:rFonts w:ascii="Calibri" w:hAnsi="Calibri" w:cs="Calibri"/>
        </w:rPr>
        <w:t>(Zhu and Wu, 2022; Sacks et al., 2025; König et al., 2018).</w:t>
      </w:r>
      <w:r w:rsidR="00EC42D8" w:rsidRPr="00EC42D8">
        <w:rPr>
          <w:rFonts w:ascii="Calibri" w:hAnsi="Calibri" w:cs="Calibri"/>
        </w:rPr>
        <w:t xml:space="preserve"> </w:t>
      </w:r>
      <w:r w:rsidRPr="002E07D5">
        <w:rPr>
          <w:rFonts w:ascii="Calibri" w:hAnsi="Calibri" w:cs="Calibri"/>
        </w:rPr>
        <w:t xml:space="preserve">At the same time, initiatives such as the “Golden Thread of Information” emphasise consistent, accessible, and traceable information throughout the lifecycle of built assets (Hackitt, 2018; UK Government, </w:t>
      </w:r>
      <w:r w:rsidRPr="00252A4F">
        <w:rPr>
          <w:rFonts w:ascii="Calibri" w:hAnsi="Calibri" w:cs="Calibri"/>
        </w:rPr>
        <w:t>2024</w:t>
      </w:r>
      <w:r w:rsidRPr="002E07D5">
        <w:rPr>
          <w:rFonts w:ascii="Calibri" w:hAnsi="Calibri" w:cs="Calibri"/>
        </w:rPr>
        <w:t>).</w:t>
      </w:r>
    </w:p>
    <w:p w14:paraId="5548DA46" w14:textId="714119EE" w:rsidR="00EC6486" w:rsidRPr="00553A46" w:rsidRDefault="00252D23">
      <w:pPr>
        <w:spacing w:after="40"/>
        <w:ind w:firstLine="851"/>
        <w:jc w:val="both"/>
        <w:rPr>
          <w:rFonts w:ascii="Calibri" w:hAnsi="Calibri" w:cs="Calibri"/>
        </w:rPr>
      </w:pPr>
      <w:r w:rsidRPr="0052413F">
        <w:rPr>
          <w:rFonts w:ascii="Calibri" w:hAnsi="Calibri" w:cs="Calibri"/>
        </w:rPr>
        <w:t>Yet</w:t>
      </w:r>
      <w:r w:rsidRPr="0009775C">
        <w:rPr>
          <w:rFonts w:ascii="Calibri" w:hAnsi="Calibri" w:cs="Calibri"/>
        </w:rPr>
        <w:t xml:space="preserve"> construction information remains fragmented across requirements, BIM models, product databases, construction records, and facility management systems, often using different structures and identifiers for the same physical object (Chen and Jupp, 2018; Pauwels et al., 2017). </w:t>
      </w:r>
      <w:r w:rsidRPr="0052413F">
        <w:rPr>
          <w:rFonts w:ascii="Calibri" w:hAnsi="Calibri" w:cs="Calibri"/>
        </w:rPr>
        <w:t>As</w:t>
      </w:r>
      <w:r w:rsidRPr="00553A46">
        <w:rPr>
          <w:rFonts w:ascii="Calibri" w:hAnsi="Calibri" w:cs="Calibri"/>
        </w:rPr>
        <w:t xml:space="preserve"> objects evolve from requirements to solutions, </w:t>
      </w:r>
      <w:r w:rsidRPr="00CB7B87">
        <w:rPr>
          <w:rFonts w:ascii="Calibri" w:hAnsi="Calibri" w:cs="Calibri"/>
        </w:rPr>
        <w:t>realised</w:t>
      </w:r>
      <w:r w:rsidRPr="00553A46">
        <w:rPr>
          <w:rFonts w:ascii="Calibri" w:hAnsi="Calibri" w:cs="Calibri"/>
        </w:rPr>
        <w:t xml:space="preserve"> products, and operational assets, </w:t>
      </w:r>
      <w:r w:rsidRPr="0052413F">
        <w:rPr>
          <w:rFonts w:ascii="Calibri" w:hAnsi="Calibri" w:cs="Calibri"/>
        </w:rPr>
        <w:t xml:space="preserve">these </w:t>
      </w:r>
      <w:r w:rsidRPr="00553A46">
        <w:rPr>
          <w:rFonts w:ascii="Calibri" w:hAnsi="Calibri" w:cs="Calibri"/>
        </w:rPr>
        <w:t>relationships are rarely maintained explicitly</w:t>
      </w:r>
      <w:r w:rsidRPr="0052413F">
        <w:rPr>
          <w:rFonts w:ascii="Calibri" w:hAnsi="Calibri" w:cs="Calibri"/>
        </w:rPr>
        <w:t>, limiting</w:t>
      </w:r>
      <w:r w:rsidRPr="0009775C">
        <w:rPr>
          <w:rFonts w:ascii="Calibri" w:hAnsi="Calibri" w:cs="Calibri"/>
        </w:rPr>
        <w:t xml:space="preserve"> traceability, verification</w:t>
      </w:r>
      <w:r w:rsidRPr="0052413F">
        <w:rPr>
          <w:rFonts w:ascii="Calibri" w:hAnsi="Calibri" w:cs="Calibri"/>
        </w:rPr>
        <w:t xml:space="preserve">, and lifecycle </w:t>
      </w:r>
      <w:r w:rsidRPr="0009775C">
        <w:rPr>
          <w:rFonts w:ascii="Calibri" w:hAnsi="Calibri" w:cs="Calibri"/>
        </w:rPr>
        <w:t>decision-making (Davari et al., 2023; Corallo et al., 2020).</w:t>
      </w:r>
      <w:r w:rsidR="00E7171C" w:rsidRPr="00E7171C">
        <w:t xml:space="preserve"> </w:t>
      </w:r>
      <w:r w:rsidR="00E7171C" w:rsidRPr="00E7171C">
        <w:rPr>
          <w:rFonts w:ascii="Calibri" w:hAnsi="Calibri" w:cs="Calibri"/>
        </w:rPr>
        <w:t xml:space="preserve">This limitation becomes particularly critical in lifecycle scenarios </w:t>
      </w:r>
      <w:r w:rsidR="00E7171C" w:rsidRPr="00E7171C">
        <w:rPr>
          <w:rFonts w:ascii="Calibri" w:hAnsi="Calibri" w:cs="Calibri"/>
        </w:rPr>
        <w:lastRenderedPageBreak/>
        <w:t>involving design changes, product substitution, and long-term asset management, where maintaining consistent object identity across system boundaries is essential.</w:t>
      </w:r>
    </w:p>
    <w:p w14:paraId="76D348C7" w14:textId="77777777" w:rsidR="00EC6486" w:rsidRPr="00553A46" w:rsidRDefault="00252D23">
      <w:pPr>
        <w:spacing w:after="40"/>
        <w:ind w:firstLine="851"/>
        <w:jc w:val="both"/>
        <w:rPr>
          <w:rFonts w:ascii="Calibri" w:hAnsi="Calibri" w:cs="Calibri"/>
        </w:rPr>
      </w:pPr>
      <w:r w:rsidRPr="0009775C">
        <w:rPr>
          <w:rFonts w:ascii="Calibri" w:hAnsi="Calibri" w:cs="Calibri"/>
        </w:rPr>
        <w:t xml:space="preserve">Classification systems such as </w:t>
      </w:r>
      <w:proofErr w:type="spellStart"/>
      <w:r w:rsidRPr="0009775C">
        <w:rPr>
          <w:rFonts w:ascii="Calibri" w:hAnsi="Calibri" w:cs="Calibri"/>
        </w:rPr>
        <w:t>OmniClass</w:t>
      </w:r>
      <w:proofErr w:type="spellEnd"/>
      <w:r w:rsidRPr="0009775C">
        <w:rPr>
          <w:rFonts w:ascii="Calibri" w:hAnsi="Calibri" w:cs="Calibri"/>
        </w:rPr>
        <w:t xml:space="preserve">, </w:t>
      </w:r>
      <w:proofErr w:type="spellStart"/>
      <w:r w:rsidRPr="0009775C">
        <w:rPr>
          <w:rFonts w:ascii="Calibri" w:hAnsi="Calibri" w:cs="Calibri"/>
        </w:rPr>
        <w:t>Uniclass</w:t>
      </w:r>
      <w:proofErr w:type="spellEnd"/>
      <w:r w:rsidRPr="0009775C">
        <w:rPr>
          <w:rFonts w:ascii="Calibri" w:hAnsi="Calibri" w:cs="Calibri"/>
        </w:rPr>
        <w:t xml:space="preserve">, </w:t>
      </w:r>
      <w:proofErr w:type="spellStart"/>
      <w:r w:rsidRPr="0009775C">
        <w:rPr>
          <w:rFonts w:ascii="Calibri" w:hAnsi="Calibri" w:cs="Calibri"/>
        </w:rPr>
        <w:t>MasterFormat</w:t>
      </w:r>
      <w:proofErr w:type="spellEnd"/>
      <w:r w:rsidRPr="0009775C">
        <w:rPr>
          <w:rFonts w:ascii="Calibri" w:hAnsi="Calibri" w:cs="Calibri"/>
        </w:rPr>
        <w:t xml:space="preserve">, and </w:t>
      </w:r>
      <w:proofErr w:type="spellStart"/>
      <w:r w:rsidRPr="0009775C">
        <w:rPr>
          <w:rFonts w:ascii="Calibri" w:hAnsi="Calibri" w:cs="Calibri"/>
        </w:rPr>
        <w:t>CoClass</w:t>
      </w:r>
      <w:proofErr w:type="spellEnd"/>
      <w:r w:rsidRPr="0009775C">
        <w:rPr>
          <w:rFonts w:ascii="Calibri" w:hAnsi="Calibri" w:cs="Calibri"/>
        </w:rPr>
        <w:t xml:space="preserve"> </w:t>
      </w:r>
      <w:r w:rsidRPr="003E2447">
        <w:rPr>
          <w:rFonts w:ascii="Calibri" w:hAnsi="Calibri" w:cs="Calibri"/>
        </w:rPr>
        <w:t xml:space="preserve">support type-level </w:t>
      </w:r>
      <w:r w:rsidRPr="0009775C">
        <w:rPr>
          <w:rFonts w:ascii="Calibri" w:hAnsi="Calibri" w:cs="Calibri"/>
        </w:rPr>
        <w:t>categorisation</w:t>
      </w:r>
      <w:r w:rsidRPr="003E2447">
        <w:rPr>
          <w:rFonts w:ascii="Calibri" w:hAnsi="Calibri" w:cs="Calibri"/>
        </w:rPr>
        <w:t>, while</w:t>
      </w:r>
      <w:r w:rsidRPr="0009775C">
        <w:rPr>
          <w:rFonts w:ascii="Calibri" w:hAnsi="Calibri" w:cs="Calibri"/>
        </w:rPr>
        <w:t xml:space="preserve"> ISO 19650</w:t>
      </w:r>
      <w:r>
        <w:rPr>
          <w:rFonts w:ascii="Calibri" w:hAnsi="Calibri" w:cs="Calibri"/>
        </w:rPr>
        <w:t xml:space="preserve"> </w:t>
      </w:r>
      <w:r w:rsidRPr="003E2447">
        <w:rPr>
          <w:rFonts w:ascii="Calibri" w:hAnsi="Calibri" w:cs="Calibri"/>
        </w:rPr>
        <w:t>defines</w:t>
      </w:r>
      <w:r w:rsidRPr="0009775C">
        <w:rPr>
          <w:rFonts w:ascii="Calibri" w:hAnsi="Calibri" w:cs="Calibri"/>
        </w:rPr>
        <w:t xml:space="preserve"> information management</w:t>
      </w:r>
      <w:r w:rsidRPr="003E2447">
        <w:rPr>
          <w:rFonts w:ascii="Calibri" w:hAnsi="Calibri" w:cs="Calibri"/>
        </w:rPr>
        <w:t xml:space="preserve"> processes (CEN, 2019).</w:t>
      </w:r>
      <w:r w:rsidRPr="0009775C">
        <w:rPr>
          <w:rFonts w:ascii="Calibri" w:hAnsi="Calibri" w:cs="Calibri"/>
        </w:rPr>
        <w:t xml:space="preserve"> </w:t>
      </w:r>
      <w:r w:rsidRPr="00553A46">
        <w:rPr>
          <w:rFonts w:ascii="Calibri" w:hAnsi="Calibri" w:cs="Calibri"/>
        </w:rPr>
        <w:t>However, these approaches do not provide persistent, instance-level identifiers capable of maintaining links between individual object representations across lifecycle stages (</w:t>
      </w:r>
      <w:proofErr w:type="spellStart"/>
      <w:r w:rsidRPr="00553A46">
        <w:rPr>
          <w:rFonts w:ascii="Calibri" w:hAnsi="Calibri" w:cs="Calibri"/>
        </w:rPr>
        <w:t>Rogage</w:t>
      </w:r>
      <w:proofErr w:type="spellEnd"/>
      <w:r w:rsidRPr="00553A46">
        <w:rPr>
          <w:rFonts w:ascii="Calibri" w:hAnsi="Calibri" w:cs="Calibri"/>
        </w:rPr>
        <w:t xml:space="preserve"> and Greenwood, 2020).</w:t>
      </w:r>
      <w:r w:rsidRPr="0009775C">
        <w:rPr>
          <w:rFonts w:ascii="Calibri" w:hAnsi="Calibri" w:cs="Calibri"/>
        </w:rPr>
        <w:t xml:space="preserve"> </w:t>
      </w:r>
      <w:r w:rsidRPr="003E2447">
        <w:rPr>
          <w:rFonts w:ascii="Calibri" w:hAnsi="Calibri" w:cs="Calibri"/>
        </w:rPr>
        <w:t>They</w:t>
      </w:r>
      <w:r w:rsidRPr="0009775C">
        <w:rPr>
          <w:rFonts w:ascii="Calibri" w:hAnsi="Calibri" w:cs="Calibri"/>
        </w:rPr>
        <w:t xml:space="preserve"> are </w:t>
      </w:r>
      <w:r w:rsidRPr="003E2447">
        <w:rPr>
          <w:rFonts w:ascii="Calibri" w:hAnsi="Calibri" w:cs="Calibri"/>
        </w:rPr>
        <w:t xml:space="preserve">therefore </w:t>
      </w:r>
      <w:r w:rsidRPr="0009775C">
        <w:rPr>
          <w:rFonts w:ascii="Calibri" w:hAnsi="Calibri" w:cs="Calibri"/>
        </w:rPr>
        <w:t xml:space="preserve">insufficient </w:t>
      </w:r>
      <w:r w:rsidRPr="003E2447">
        <w:rPr>
          <w:rFonts w:ascii="Calibri" w:hAnsi="Calibri" w:cs="Calibri"/>
        </w:rPr>
        <w:t xml:space="preserve">for </w:t>
      </w:r>
      <w:r w:rsidRPr="0009775C">
        <w:rPr>
          <w:rFonts w:ascii="Calibri" w:hAnsi="Calibri" w:cs="Calibri"/>
        </w:rPr>
        <w:t>lifecycle-consistent traceability required by the Golden Thread</w:t>
      </w:r>
      <w:r>
        <w:rPr>
          <w:rFonts w:ascii="Calibri" w:hAnsi="Calibri" w:cs="Calibri"/>
        </w:rPr>
        <w:t xml:space="preserve"> </w:t>
      </w:r>
      <w:r w:rsidRPr="0009775C">
        <w:rPr>
          <w:rFonts w:ascii="Calibri" w:hAnsi="Calibri" w:cs="Calibri"/>
        </w:rPr>
        <w:t xml:space="preserve">(Hackitt, 2018; UK Government, </w:t>
      </w:r>
      <w:r w:rsidRPr="009A53F8">
        <w:rPr>
          <w:rFonts w:ascii="Calibri" w:hAnsi="Calibri" w:cs="Calibri"/>
        </w:rPr>
        <w:t>2024</w:t>
      </w:r>
      <w:r w:rsidRPr="0009775C">
        <w:rPr>
          <w:rFonts w:ascii="Calibri" w:hAnsi="Calibri" w:cs="Calibri"/>
        </w:rPr>
        <w:t>).</w:t>
      </w:r>
    </w:p>
    <w:p w14:paraId="4D58847D" w14:textId="77777777" w:rsidR="00EC6486" w:rsidRPr="00553A46" w:rsidRDefault="00252D23">
      <w:pPr>
        <w:spacing w:after="40"/>
        <w:ind w:firstLine="851"/>
        <w:jc w:val="both"/>
        <w:rPr>
          <w:rFonts w:ascii="Calibri" w:hAnsi="Calibri" w:cs="Calibri"/>
        </w:rPr>
      </w:pPr>
      <w:r w:rsidRPr="0009775C">
        <w:rPr>
          <w:rFonts w:ascii="Calibri" w:hAnsi="Calibri" w:cs="Calibri"/>
        </w:rPr>
        <w:t xml:space="preserve">Semantic Web technologies and knowledge graphs </w:t>
      </w:r>
      <w:r w:rsidRPr="006E32DE">
        <w:rPr>
          <w:rFonts w:ascii="Calibri" w:hAnsi="Calibri" w:cs="Calibri"/>
        </w:rPr>
        <w:t>offer</w:t>
      </w:r>
      <w:r w:rsidRPr="0009775C">
        <w:rPr>
          <w:rFonts w:ascii="Calibri" w:hAnsi="Calibri" w:cs="Calibri"/>
        </w:rPr>
        <w:t xml:space="preserve"> machine-interpretable </w:t>
      </w:r>
      <w:r w:rsidRPr="009806B8">
        <w:rPr>
          <w:rFonts w:ascii="Calibri" w:hAnsi="Calibri" w:cs="Calibri"/>
        </w:rPr>
        <w:t>representations</w:t>
      </w:r>
      <w:r w:rsidRPr="0009775C">
        <w:rPr>
          <w:rFonts w:ascii="Calibri" w:hAnsi="Calibri" w:cs="Calibri"/>
        </w:rPr>
        <w:t xml:space="preserve"> of entities and relationships across heterogeneous data sources (</w:t>
      </w:r>
      <w:r w:rsidRPr="005326FC">
        <w:rPr>
          <w:rFonts w:ascii="Calibri" w:hAnsi="Calibri" w:cs="Calibri"/>
        </w:rPr>
        <w:t>Pauwels et al., 2017; Rasmussen et al., 2019</w:t>
      </w:r>
      <w:r w:rsidRPr="0009775C">
        <w:rPr>
          <w:rFonts w:ascii="Calibri" w:hAnsi="Calibri" w:cs="Calibri"/>
        </w:rPr>
        <w:t xml:space="preserve">). </w:t>
      </w:r>
      <w:r w:rsidRPr="006E32DE">
        <w:rPr>
          <w:rFonts w:ascii="Calibri" w:hAnsi="Calibri" w:cs="Calibri"/>
        </w:rPr>
        <w:t>Persistent</w:t>
      </w:r>
      <w:r w:rsidRPr="0009775C">
        <w:rPr>
          <w:rFonts w:ascii="Calibri" w:hAnsi="Calibri" w:cs="Calibri"/>
        </w:rPr>
        <w:t xml:space="preserve"> and globally unique identifiers</w:t>
      </w:r>
      <w:r w:rsidRPr="006E32DE">
        <w:rPr>
          <w:rFonts w:ascii="Calibri" w:hAnsi="Calibri" w:cs="Calibri"/>
        </w:rPr>
        <w:t xml:space="preserve"> are</w:t>
      </w:r>
      <w:r w:rsidRPr="0009775C">
        <w:rPr>
          <w:rFonts w:ascii="Calibri" w:hAnsi="Calibri" w:cs="Calibri"/>
        </w:rPr>
        <w:t xml:space="preserve"> central </w:t>
      </w:r>
      <w:r w:rsidRPr="006E32DE">
        <w:rPr>
          <w:rFonts w:ascii="Calibri" w:hAnsi="Calibri" w:cs="Calibri"/>
        </w:rPr>
        <w:t>to such environments, but</w:t>
      </w:r>
      <w:r w:rsidRPr="00553A46">
        <w:rPr>
          <w:rFonts w:ascii="Calibri" w:hAnsi="Calibri" w:cs="Calibri"/>
        </w:rPr>
        <w:t xml:space="preserve"> identifier architectures that support lifecycle traceability while remaining </w:t>
      </w:r>
      <w:r w:rsidRPr="006E32DE">
        <w:rPr>
          <w:rFonts w:ascii="Calibri" w:hAnsi="Calibri" w:cs="Calibri"/>
        </w:rPr>
        <w:t xml:space="preserve">both </w:t>
      </w:r>
      <w:r w:rsidRPr="00553A46">
        <w:rPr>
          <w:rFonts w:ascii="Calibri" w:hAnsi="Calibri" w:cs="Calibri"/>
        </w:rPr>
        <w:t xml:space="preserve">semantically meaningful and persistent </w:t>
      </w:r>
      <w:r w:rsidRPr="006E32DE">
        <w:rPr>
          <w:rFonts w:ascii="Calibri" w:hAnsi="Calibri" w:cs="Calibri"/>
        </w:rPr>
        <w:t>remain</w:t>
      </w:r>
      <w:r w:rsidRPr="00553A46">
        <w:rPr>
          <w:rFonts w:ascii="Calibri" w:hAnsi="Calibri" w:cs="Calibri"/>
        </w:rPr>
        <w:t xml:space="preserve"> underexplored.</w:t>
      </w:r>
    </w:p>
    <w:p w14:paraId="51B69D59" w14:textId="7A8130E4" w:rsidR="00EC6486" w:rsidRPr="00553A46" w:rsidRDefault="00252D23">
      <w:pPr>
        <w:spacing w:after="40"/>
        <w:ind w:firstLine="851"/>
        <w:jc w:val="both"/>
        <w:rPr>
          <w:rFonts w:ascii="Calibri" w:hAnsi="Calibri" w:cs="Calibri"/>
        </w:rPr>
      </w:pPr>
      <w:r w:rsidRPr="0009775C">
        <w:rPr>
          <w:rFonts w:ascii="Calibri" w:hAnsi="Calibri" w:cs="Calibri"/>
        </w:rPr>
        <w:t xml:space="preserve">The </w:t>
      </w:r>
      <w:r w:rsidR="00C3224C" w:rsidRPr="00C3224C">
        <w:rPr>
          <w:rFonts w:ascii="Calibri" w:hAnsi="Calibri" w:cs="Calibri"/>
        </w:rPr>
        <w:t xml:space="preserve">paper makes three </w:t>
      </w:r>
      <w:r w:rsidRPr="0009775C">
        <w:rPr>
          <w:rFonts w:ascii="Calibri" w:hAnsi="Calibri" w:cs="Calibri"/>
        </w:rPr>
        <w:t>contributions</w:t>
      </w:r>
      <w:r w:rsidR="00C3224C" w:rsidRPr="00C3224C">
        <w:rPr>
          <w:rFonts w:ascii="Calibri" w:hAnsi="Calibri" w:cs="Calibri"/>
        </w:rPr>
        <w:t>:</w:t>
      </w:r>
      <w:r w:rsidRPr="0009775C">
        <w:rPr>
          <w:rFonts w:ascii="Calibri" w:hAnsi="Calibri" w:cs="Calibri"/>
        </w:rPr>
        <w:t xml:space="preserve"> </w:t>
      </w:r>
      <w:r w:rsidR="00285C60" w:rsidRPr="00285C60">
        <w:rPr>
          <w:rFonts w:ascii="Calibri" w:hAnsi="Calibri" w:cs="Calibri"/>
        </w:rPr>
        <w:t>it conceptualises lifecycle-aligned identifier roles for a physical object across its different lifecycle states</w:t>
      </w:r>
      <w:r w:rsidR="00C3224C" w:rsidRPr="00C3224C">
        <w:rPr>
          <w:rFonts w:ascii="Calibri" w:hAnsi="Calibri" w:cs="Calibri"/>
        </w:rPr>
        <w:t>;</w:t>
      </w:r>
      <w:r w:rsidRPr="0009775C">
        <w:rPr>
          <w:rFonts w:ascii="Calibri" w:hAnsi="Calibri" w:cs="Calibri"/>
        </w:rPr>
        <w:t xml:space="preserve"> analyses how </w:t>
      </w:r>
      <w:r w:rsidR="00C3224C" w:rsidRPr="00C3224C">
        <w:rPr>
          <w:rFonts w:ascii="Calibri" w:hAnsi="Calibri" w:cs="Calibri"/>
        </w:rPr>
        <w:t xml:space="preserve">these roles support </w:t>
      </w:r>
      <w:r w:rsidRPr="0009775C">
        <w:rPr>
          <w:rFonts w:ascii="Calibri" w:hAnsi="Calibri" w:cs="Calibri"/>
        </w:rPr>
        <w:t xml:space="preserve">traceability </w:t>
      </w:r>
      <w:r w:rsidR="00C3224C" w:rsidRPr="00C3224C">
        <w:rPr>
          <w:rFonts w:ascii="Calibri" w:hAnsi="Calibri" w:cs="Calibri"/>
        </w:rPr>
        <w:t xml:space="preserve">across </w:t>
      </w:r>
      <w:r w:rsidRPr="0009775C">
        <w:rPr>
          <w:rFonts w:ascii="Calibri" w:hAnsi="Calibri" w:cs="Calibri"/>
        </w:rPr>
        <w:t>heterogeneous representations</w:t>
      </w:r>
      <w:r w:rsidR="00C3224C" w:rsidRPr="00C3224C">
        <w:rPr>
          <w:rFonts w:ascii="Calibri" w:hAnsi="Calibri" w:cs="Calibri"/>
        </w:rPr>
        <w:t xml:space="preserve">; and </w:t>
      </w:r>
      <w:r w:rsidRPr="0009775C">
        <w:rPr>
          <w:rFonts w:ascii="Calibri" w:hAnsi="Calibri" w:cs="Calibri"/>
        </w:rPr>
        <w:t xml:space="preserve">identifies </w:t>
      </w:r>
      <w:r w:rsidR="00C3224C" w:rsidRPr="00C3224C">
        <w:rPr>
          <w:rFonts w:ascii="Calibri" w:hAnsi="Calibri" w:cs="Calibri"/>
        </w:rPr>
        <w:t>the</w:t>
      </w:r>
      <w:r w:rsidRPr="0009775C">
        <w:rPr>
          <w:rFonts w:ascii="Calibri" w:hAnsi="Calibri" w:cs="Calibri"/>
        </w:rPr>
        <w:t xml:space="preserve"> trade-off between semantic expressiveness and identifier persistence</w:t>
      </w:r>
      <w:r w:rsidR="00C3224C" w:rsidRPr="00C3224C">
        <w:rPr>
          <w:rFonts w:ascii="Calibri" w:hAnsi="Calibri" w:cs="Calibri"/>
        </w:rPr>
        <w:t xml:space="preserve"> as</w:t>
      </w:r>
      <w:r w:rsidRPr="0009775C">
        <w:rPr>
          <w:rFonts w:ascii="Calibri" w:hAnsi="Calibri" w:cs="Calibri"/>
        </w:rPr>
        <w:t xml:space="preserve"> a key </w:t>
      </w:r>
      <w:r w:rsidR="00C3224C" w:rsidRPr="00C3224C">
        <w:rPr>
          <w:rFonts w:ascii="Calibri" w:hAnsi="Calibri" w:cs="Calibri"/>
        </w:rPr>
        <w:t xml:space="preserve">implementation </w:t>
      </w:r>
      <w:r w:rsidRPr="0009775C">
        <w:rPr>
          <w:rFonts w:ascii="Calibri" w:hAnsi="Calibri" w:cs="Calibri"/>
        </w:rPr>
        <w:t>challenge.</w:t>
      </w:r>
    </w:p>
    <w:p w14:paraId="72B10604" w14:textId="77777777" w:rsidR="009806B8" w:rsidRDefault="009806B8">
      <w:pPr>
        <w:spacing w:after="40"/>
        <w:ind w:firstLine="851"/>
        <w:jc w:val="both"/>
        <w:rPr>
          <w:rFonts w:ascii="Calibri" w:hAnsi="Calibri" w:cs="Calibri"/>
        </w:rPr>
      </w:pPr>
      <w:r>
        <w:rPr>
          <w:rFonts w:ascii="Calibri" w:hAnsi="Calibri" w:cs="Calibri"/>
        </w:rPr>
        <w:t>The central argument is that lifecycle traceability cannot be achieved by assigning a single identifier to a physical object alone. Instead, traceability requires explicit links between the functional intention, the planned technical solution, the realised technical instance, and the observed functional performance of the same lifecycle object.</w:t>
      </w:r>
    </w:p>
    <w:p w14:paraId="33A6C8BA" w14:textId="77777777" w:rsidR="00EC6486" w:rsidRDefault="00173F52">
      <w:pPr>
        <w:spacing w:after="40"/>
        <w:ind w:firstLine="851"/>
        <w:jc w:val="both"/>
      </w:pPr>
      <w:r>
        <w:rPr>
          <w:rFonts w:ascii="Calibri" w:hAnsi="Calibri" w:cs="Calibri"/>
        </w:rPr>
        <w:t xml:space="preserve">This argument is developed by first reviewing related work on lifecycle traceability, classification and identification approaches, </w:t>
      </w:r>
      <w:r w:rsidR="00F85E71" w:rsidRPr="00F85E71">
        <w:rPr>
          <w:rFonts w:ascii="Calibri" w:hAnsi="Calibri" w:cs="Calibri"/>
        </w:rPr>
        <w:t>Semantic Modelling and Linking (</w:t>
      </w:r>
      <w:r>
        <w:rPr>
          <w:rFonts w:ascii="Calibri" w:hAnsi="Calibri" w:cs="Calibri"/>
        </w:rPr>
        <w:t>SML</w:t>
      </w:r>
      <w:r w:rsidR="00F85E71" w:rsidRPr="00F85E71">
        <w:rPr>
          <w:rFonts w:ascii="Calibri" w:hAnsi="Calibri" w:cs="Calibri"/>
        </w:rPr>
        <w:t>),</w:t>
      </w:r>
      <w:r>
        <w:rPr>
          <w:rFonts w:ascii="Calibri" w:hAnsi="Calibri" w:cs="Calibri"/>
        </w:rPr>
        <w:t xml:space="preserve"> and knowledge graph technologies.</w:t>
      </w:r>
    </w:p>
    <w:p w14:paraId="45559563" w14:textId="77777777" w:rsidR="00AD475F" w:rsidRPr="009806B8" w:rsidRDefault="00AD475F">
      <w:pPr>
        <w:spacing w:after="40"/>
        <w:ind w:firstLine="851"/>
        <w:jc w:val="both"/>
        <w:rPr>
          <w:lang w:val="en-US" w:eastAsia="sv-SE"/>
        </w:rPr>
      </w:pPr>
    </w:p>
    <w:p w14:paraId="64EA7039" w14:textId="392EB0E0" w:rsidR="00D6057A" w:rsidRPr="00D6057A" w:rsidRDefault="00515A65" w:rsidP="006E77D5">
      <w:pPr>
        <w:pStyle w:val="ListParagraph"/>
        <w:numPr>
          <w:ilvl w:val="0"/>
          <w:numId w:val="1"/>
        </w:numPr>
        <w:spacing w:after="40" w:line="240" w:lineRule="auto"/>
        <w:rPr>
          <w:rFonts w:ascii="Calibri" w:hAnsi="Calibri" w:cs="Calibri"/>
          <w:b/>
          <w:bCs/>
          <w:sz w:val="28"/>
          <w:szCs w:val="28"/>
        </w:rPr>
      </w:pPr>
      <w:r w:rsidRPr="00515A65">
        <w:rPr>
          <w:rFonts w:ascii="Calibri" w:hAnsi="Calibri" w:cs="Calibri"/>
          <w:b/>
          <w:bCs/>
          <w:sz w:val="28"/>
          <w:szCs w:val="28"/>
        </w:rPr>
        <w:t>BACKGROUND AND RELATED WORK</w:t>
      </w:r>
    </w:p>
    <w:p w14:paraId="0EED0DF2" w14:textId="77777777" w:rsidR="00EC6486" w:rsidRDefault="001F754F">
      <w:pPr>
        <w:spacing w:after="40"/>
        <w:ind w:firstLine="851"/>
        <w:jc w:val="both"/>
      </w:pPr>
      <w:r w:rsidRPr="001F754F">
        <w:rPr>
          <w:rFonts w:ascii="Calibri" w:hAnsi="Calibri" w:cs="Calibri"/>
        </w:rPr>
        <w:t xml:space="preserve">This section reviews </w:t>
      </w:r>
      <w:r w:rsidR="00252D23" w:rsidRPr="00BB7AAD">
        <w:rPr>
          <w:rFonts w:ascii="Calibri" w:hAnsi="Calibri" w:cs="Calibri"/>
        </w:rPr>
        <w:t xml:space="preserve">lifecycle traceability, classification </w:t>
      </w:r>
      <w:r w:rsidRPr="001F754F">
        <w:rPr>
          <w:rFonts w:ascii="Calibri" w:hAnsi="Calibri" w:cs="Calibri"/>
        </w:rPr>
        <w:t xml:space="preserve">and identification approaches, Systems Engineering, SML, and </w:t>
      </w:r>
      <w:r w:rsidR="00252D23" w:rsidRPr="00BB7AAD">
        <w:rPr>
          <w:rFonts w:ascii="Calibri" w:hAnsi="Calibri" w:cs="Calibri"/>
        </w:rPr>
        <w:t>Semantic Web technologies</w:t>
      </w:r>
      <w:r w:rsidRPr="001F754F">
        <w:rPr>
          <w:rFonts w:ascii="Calibri" w:hAnsi="Calibri" w:cs="Calibri"/>
        </w:rPr>
        <w:t xml:space="preserve"> to position the need for lifecycle-oriented</w:t>
      </w:r>
      <w:r w:rsidR="00252D23" w:rsidRPr="00BB7AAD">
        <w:rPr>
          <w:rFonts w:ascii="Calibri" w:hAnsi="Calibri" w:cs="Calibri"/>
        </w:rPr>
        <w:t xml:space="preserve"> identifier architectures.</w:t>
      </w:r>
    </w:p>
    <w:p w14:paraId="7115C7E6" w14:textId="5784AAF8" w:rsidR="00BB7AAD" w:rsidRPr="001519E6" w:rsidRDefault="00BB7AAD" w:rsidP="001519E6">
      <w:pPr>
        <w:spacing w:after="40" w:line="240" w:lineRule="auto"/>
        <w:rPr>
          <w:rFonts w:ascii="Calibri" w:hAnsi="Calibri" w:cs="Calibri"/>
          <w:b/>
          <w:bCs/>
          <w:sz w:val="24"/>
          <w:szCs w:val="24"/>
        </w:rPr>
      </w:pPr>
      <w:r w:rsidRPr="005E6B26">
        <w:rPr>
          <w:rFonts w:ascii="Calibri" w:hAnsi="Calibri" w:cs="Calibri"/>
          <w:b/>
          <w:bCs/>
          <w:sz w:val="24"/>
          <w:szCs w:val="24"/>
        </w:rPr>
        <w:t>2.1 Lifecycle information and traceability</w:t>
      </w:r>
    </w:p>
    <w:p w14:paraId="5869E76D" w14:textId="77777777" w:rsidR="00EC6486" w:rsidRDefault="00252D23">
      <w:pPr>
        <w:spacing w:after="40"/>
        <w:ind w:firstLine="851"/>
        <w:jc w:val="both"/>
      </w:pPr>
      <w:r w:rsidRPr="00BB7AAD">
        <w:rPr>
          <w:rFonts w:ascii="Calibri" w:hAnsi="Calibri" w:cs="Calibri"/>
        </w:rPr>
        <w:t xml:space="preserve">Lifecycle information management in construction </w:t>
      </w:r>
      <w:r w:rsidR="00533162" w:rsidRPr="00533162">
        <w:rPr>
          <w:rFonts w:ascii="Calibri" w:hAnsi="Calibri" w:cs="Calibri"/>
        </w:rPr>
        <w:t>is</w:t>
      </w:r>
      <w:r w:rsidRPr="00BB7AAD">
        <w:rPr>
          <w:rFonts w:ascii="Calibri" w:hAnsi="Calibri" w:cs="Calibri"/>
        </w:rPr>
        <w:t xml:space="preserve"> challenged by fragmented data environments across BIM models, product databases, and facility management systems, </w:t>
      </w:r>
      <w:r w:rsidR="00533162" w:rsidRPr="00533162">
        <w:rPr>
          <w:rFonts w:ascii="Calibri" w:hAnsi="Calibri" w:cs="Calibri"/>
        </w:rPr>
        <w:t>which limits</w:t>
      </w:r>
      <w:r w:rsidRPr="00BB7AAD">
        <w:rPr>
          <w:rFonts w:ascii="Calibri" w:hAnsi="Calibri" w:cs="Calibri"/>
        </w:rPr>
        <w:t xml:space="preserve"> interoperability </w:t>
      </w:r>
      <w:r w:rsidR="00533162" w:rsidRPr="00533162">
        <w:rPr>
          <w:rFonts w:ascii="Calibri" w:hAnsi="Calibri" w:cs="Calibri"/>
        </w:rPr>
        <w:t>and</w:t>
      </w:r>
      <w:r w:rsidRPr="00BB7AAD">
        <w:rPr>
          <w:rFonts w:ascii="Calibri" w:hAnsi="Calibri" w:cs="Calibri"/>
        </w:rPr>
        <w:t xml:space="preserve"> traceability between requirements, design decisions, and realised assets </w:t>
      </w:r>
      <w:r w:rsidR="00533162" w:rsidRPr="00533162">
        <w:rPr>
          <w:rFonts w:ascii="Calibri" w:hAnsi="Calibri" w:cs="Calibri"/>
        </w:rPr>
        <w:t xml:space="preserve">(Kebede et al., 2022; </w:t>
      </w:r>
      <w:r w:rsidRPr="00BB7AAD">
        <w:rPr>
          <w:rFonts w:ascii="Calibri" w:hAnsi="Calibri" w:cs="Calibri"/>
        </w:rPr>
        <w:t>Chen and Jupp, 2018).</w:t>
      </w:r>
    </w:p>
    <w:p w14:paraId="26272B3D" w14:textId="77777777" w:rsidR="00EC6486" w:rsidRDefault="00252D23">
      <w:pPr>
        <w:spacing w:after="40"/>
        <w:ind w:firstLine="851"/>
        <w:jc w:val="both"/>
      </w:pPr>
      <w:r w:rsidRPr="00BB7AAD">
        <w:rPr>
          <w:rFonts w:ascii="Calibri" w:hAnsi="Calibri" w:cs="Calibri"/>
        </w:rPr>
        <w:t>Traceability</w:t>
      </w:r>
      <w:r w:rsidR="00256624" w:rsidRPr="00256624">
        <w:rPr>
          <w:rFonts w:ascii="Calibri" w:hAnsi="Calibri" w:cs="Calibri"/>
        </w:rPr>
        <w:t>, understood</w:t>
      </w:r>
      <w:r w:rsidRPr="00BB7AAD">
        <w:rPr>
          <w:rFonts w:ascii="Calibri" w:hAnsi="Calibri" w:cs="Calibri"/>
        </w:rPr>
        <w:t xml:space="preserve"> as the ability to establish and follow relationships between requirements, design elements, and realised systems</w:t>
      </w:r>
      <w:r w:rsidR="00256624" w:rsidRPr="00256624">
        <w:rPr>
          <w:rFonts w:ascii="Calibri" w:hAnsi="Calibri" w:cs="Calibri"/>
        </w:rPr>
        <w:t>, is central in Systems Engineering</w:t>
      </w:r>
      <w:r w:rsidRPr="00BB7AAD">
        <w:rPr>
          <w:rFonts w:ascii="Calibri" w:hAnsi="Calibri" w:cs="Calibri"/>
        </w:rPr>
        <w:t xml:space="preserve"> (Gotel and Finkelstein, 1994). In construction, </w:t>
      </w:r>
      <w:r w:rsidR="00256624" w:rsidRPr="00256624">
        <w:rPr>
          <w:rFonts w:ascii="Calibri" w:hAnsi="Calibri" w:cs="Calibri"/>
        </w:rPr>
        <w:t>it supports</w:t>
      </w:r>
      <w:r w:rsidRPr="00BB7AAD">
        <w:rPr>
          <w:rFonts w:ascii="Calibri" w:hAnsi="Calibri" w:cs="Calibri"/>
        </w:rPr>
        <w:t xml:space="preserve"> requirement </w:t>
      </w:r>
      <w:r w:rsidR="00256624" w:rsidRPr="00256624">
        <w:rPr>
          <w:rFonts w:ascii="Calibri" w:hAnsi="Calibri" w:cs="Calibri"/>
        </w:rPr>
        <w:t>verification,</w:t>
      </w:r>
      <w:r w:rsidRPr="00BB7AAD">
        <w:rPr>
          <w:rFonts w:ascii="Calibri" w:hAnsi="Calibri" w:cs="Calibri"/>
        </w:rPr>
        <w:t xml:space="preserve"> change management, lifecycle decision-making</w:t>
      </w:r>
      <w:r w:rsidR="00256624" w:rsidRPr="00256624">
        <w:rPr>
          <w:rFonts w:ascii="Calibri" w:hAnsi="Calibri" w:cs="Calibri"/>
        </w:rPr>
        <w:t xml:space="preserve">, and </w:t>
      </w:r>
      <w:r w:rsidRPr="00BB7AAD">
        <w:rPr>
          <w:rFonts w:ascii="Calibri" w:hAnsi="Calibri" w:cs="Calibri"/>
        </w:rPr>
        <w:t>circular economy applications</w:t>
      </w:r>
      <w:r w:rsidR="00256624" w:rsidRPr="00256624">
        <w:rPr>
          <w:rFonts w:ascii="Calibri" w:hAnsi="Calibri" w:cs="Calibri"/>
        </w:rPr>
        <w:t xml:space="preserve"> where material and component</w:t>
      </w:r>
      <w:r w:rsidRPr="00BB7AAD">
        <w:rPr>
          <w:rFonts w:ascii="Calibri" w:hAnsi="Calibri" w:cs="Calibri"/>
        </w:rPr>
        <w:t xml:space="preserve"> information must be preserved </w:t>
      </w:r>
      <w:r w:rsidR="00256624" w:rsidRPr="00256624">
        <w:rPr>
          <w:rFonts w:ascii="Calibri" w:hAnsi="Calibri" w:cs="Calibri"/>
        </w:rPr>
        <w:t>(Corallo et al., 2020; Davari et al., 2023).</w:t>
      </w:r>
    </w:p>
    <w:p w14:paraId="43CA2576" w14:textId="49EE5BE1" w:rsidR="00BB7AAD" w:rsidRPr="00B24F78" w:rsidRDefault="00BB7AAD" w:rsidP="00B24F78">
      <w:pPr>
        <w:spacing w:after="40" w:line="240" w:lineRule="auto"/>
        <w:rPr>
          <w:rFonts w:ascii="Calibri" w:hAnsi="Calibri" w:cs="Calibri"/>
          <w:b/>
          <w:bCs/>
          <w:sz w:val="24"/>
          <w:szCs w:val="24"/>
        </w:rPr>
      </w:pPr>
      <w:r w:rsidRPr="00B24F78">
        <w:rPr>
          <w:rFonts w:ascii="Calibri" w:hAnsi="Calibri" w:cs="Calibri"/>
          <w:b/>
          <w:bCs/>
          <w:sz w:val="24"/>
          <w:szCs w:val="24"/>
        </w:rPr>
        <w:t xml:space="preserve">2.2 </w:t>
      </w:r>
      <w:r w:rsidR="00E12114" w:rsidRPr="00E12114">
        <w:rPr>
          <w:rFonts w:ascii="Calibri" w:hAnsi="Calibri" w:cs="Calibri"/>
          <w:b/>
          <w:bCs/>
          <w:sz w:val="24"/>
          <w:szCs w:val="24"/>
        </w:rPr>
        <w:t>Classification systems, standards and identification approaches</w:t>
      </w:r>
    </w:p>
    <w:p w14:paraId="7BF8EA4E" w14:textId="77777777" w:rsidR="00EC6486" w:rsidRDefault="00252D23">
      <w:pPr>
        <w:spacing w:after="40"/>
        <w:ind w:firstLine="851"/>
        <w:jc w:val="both"/>
      </w:pPr>
      <w:r w:rsidRPr="00E12114">
        <w:rPr>
          <w:rFonts w:ascii="Calibri" w:hAnsi="Calibri" w:cs="Calibri"/>
        </w:rPr>
        <w:t xml:space="preserve">Classification systems such as </w:t>
      </w:r>
      <w:proofErr w:type="spellStart"/>
      <w:r w:rsidRPr="00E12114">
        <w:rPr>
          <w:rFonts w:ascii="Calibri" w:hAnsi="Calibri" w:cs="Calibri"/>
        </w:rPr>
        <w:t>OmniClass</w:t>
      </w:r>
      <w:proofErr w:type="spellEnd"/>
      <w:r w:rsidRPr="00E12114">
        <w:rPr>
          <w:rFonts w:ascii="Calibri" w:hAnsi="Calibri" w:cs="Calibri"/>
        </w:rPr>
        <w:t xml:space="preserve">, </w:t>
      </w:r>
      <w:proofErr w:type="spellStart"/>
      <w:r w:rsidRPr="00E12114">
        <w:rPr>
          <w:rFonts w:ascii="Calibri" w:hAnsi="Calibri" w:cs="Calibri"/>
        </w:rPr>
        <w:t>Uniclass</w:t>
      </w:r>
      <w:proofErr w:type="spellEnd"/>
      <w:r w:rsidRPr="00E12114">
        <w:rPr>
          <w:rFonts w:ascii="Calibri" w:hAnsi="Calibri" w:cs="Calibri"/>
        </w:rPr>
        <w:t xml:space="preserve">, </w:t>
      </w:r>
      <w:proofErr w:type="spellStart"/>
      <w:r w:rsidRPr="00E12114">
        <w:rPr>
          <w:rFonts w:ascii="Calibri" w:hAnsi="Calibri" w:cs="Calibri"/>
        </w:rPr>
        <w:t>MasterFormat</w:t>
      </w:r>
      <w:proofErr w:type="spellEnd"/>
      <w:r w:rsidRPr="00E12114">
        <w:rPr>
          <w:rFonts w:ascii="Calibri" w:hAnsi="Calibri" w:cs="Calibri"/>
        </w:rPr>
        <w:t xml:space="preserve">, and </w:t>
      </w:r>
      <w:proofErr w:type="spellStart"/>
      <w:r w:rsidRPr="00E12114">
        <w:rPr>
          <w:rFonts w:ascii="Calibri" w:hAnsi="Calibri" w:cs="Calibri"/>
        </w:rPr>
        <w:t>CoClass</w:t>
      </w:r>
      <w:proofErr w:type="spellEnd"/>
      <w:r w:rsidRPr="00E12114">
        <w:rPr>
          <w:rFonts w:ascii="Calibri" w:hAnsi="Calibri" w:cs="Calibri"/>
        </w:rPr>
        <w:t xml:space="preserve"> </w:t>
      </w:r>
      <w:r w:rsidR="001C4685" w:rsidRPr="001C4685">
        <w:rPr>
          <w:rFonts w:ascii="Calibri" w:hAnsi="Calibri" w:cs="Calibri"/>
        </w:rPr>
        <w:t>structure</w:t>
      </w:r>
      <w:r w:rsidRPr="00E12114">
        <w:rPr>
          <w:rFonts w:ascii="Calibri" w:hAnsi="Calibri" w:cs="Calibri"/>
        </w:rPr>
        <w:t xml:space="preserve"> construction information </w:t>
      </w:r>
      <w:r w:rsidR="001C4685" w:rsidRPr="001C4685">
        <w:rPr>
          <w:rFonts w:ascii="Calibri" w:hAnsi="Calibri" w:cs="Calibri"/>
        </w:rPr>
        <w:t xml:space="preserve">through </w:t>
      </w:r>
      <w:r w:rsidRPr="00E12114">
        <w:rPr>
          <w:rFonts w:ascii="Calibri" w:hAnsi="Calibri" w:cs="Calibri"/>
        </w:rPr>
        <w:t xml:space="preserve">standardised taxonomies </w:t>
      </w:r>
      <w:r w:rsidR="001C4685" w:rsidRPr="001C4685">
        <w:rPr>
          <w:rFonts w:ascii="Calibri" w:hAnsi="Calibri" w:cs="Calibri"/>
        </w:rPr>
        <w:t xml:space="preserve">and </w:t>
      </w:r>
      <w:r w:rsidRPr="00E12114">
        <w:rPr>
          <w:rFonts w:ascii="Calibri" w:hAnsi="Calibri" w:cs="Calibri"/>
        </w:rPr>
        <w:t xml:space="preserve">support BIM workflows and lifecycle-oriented requirement management </w:t>
      </w:r>
      <w:r w:rsidR="001C4685" w:rsidRPr="001C4685">
        <w:rPr>
          <w:rFonts w:ascii="Calibri" w:hAnsi="Calibri" w:cs="Calibri"/>
        </w:rPr>
        <w:t>(</w:t>
      </w:r>
      <w:proofErr w:type="spellStart"/>
      <w:r w:rsidR="001C4685" w:rsidRPr="001C4685">
        <w:rPr>
          <w:rFonts w:ascii="Calibri" w:hAnsi="Calibri" w:cs="Calibri"/>
        </w:rPr>
        <w:t>Royano</w:t>
      </w:r>
      <w:proofErr w:type="spellEnd"/>
      <w:r w:rsidR="001C4685" w:rsidRPr="001C4685">
        <w:rPr>
          <w:rFonts w:ascii="Calibri" w:hAnsi="Calibri" w:cs="Calibri"/>
        </w:rPr>
        <w:t xml:space="preserve"> et al., 2023; Tang et al., 2025; Sadrinooshabadi et al., </w:t>
      </w:r>
      <w:r w:rsidR="001C4685" w:rsidRPr="001C4685">
        <w:rPr>
          <w:rFonts w:ascii="Calibri" w:hAnsi="Calibri" w:cs="Calibri"/>
        </w:rPr>
        <w:lastRenderedPageBreak/>
        <w:t>2021). However, together with ISO 19650, they</w:t>
      </w:r>
      <w:r w:rsidRPr="00E12114">
        <w:rPr>
          <w:rFonts w:ascii="Calibri" w:hAnsi="Calibri" w:cs="Calibri"/>
        </w:rPr>
        <w:t xml:space="preserve"> primarily operate at class level and do not </w:t>
      </w:r>
      <w:r w:rsidR="001C4685" w:rsidRPr="001C4685">
        <w:rPr>
          <w:rFonts w:ascii="Calibri" w:hAnsi="Calibri" w:cs="Calibri"/>
        </w:rPr>
        <w:t>maintain</w:t>
      </w:r>
      <w:r w:rsidRPr="00E12114">
        <w:rPr>
          <w:rFonts w:ascii="Calibri" w:hAnsi="Calibri" w:cs="Calibri"/>
        </w:rPr>
        <w:t xml:space="preserve"> persistent identification of individual object instances across lifecycle stages.</w:t>
      </w:r>
    </w:p>
    <w:p w14:paraId="731D29B8" w14:textId="77777777" w:rsidR="00EC6486" w:rsidRDefault="00252D23">
      <w:pPr>
        <w:spacing w:after="40"/>
        <w:jc w:val="both"/>
      </w:pPr>
      <w:r w:rsidRPr="002912A4">
        <w:rPr>
          <w:rFonts w:ascii="Calibri" w:hAnsi="Calibri" w:cs="Calibri"/>
        </w:rPr>
        <w:t>Global</w:t>
      </w:r>
      <w:r w:rsidRPr="00E12114">
        <w:rPr>
          <w:rFonts w:ascii="Calibri" w:hAnsi="Calibri" w:cs="Calibri"/>
        </w:rPr>
        <w:t xml:space="preserve"> identification frameworks such as GS1 provide identifiers </w:t>
      </w:r>
      <w:r w:rsidRPr="002912A4">
        <w:rPr>
          <w:rFonts w:ascii="Calibri" w:hAnsi="Calibri" w:cs="Calibri"/>
        </w:rPr>
        <w:t xml:space="preserve">including GTIN, GLN, and GS1 Digital Link for </w:t>
      </w:r>
      <w:r w:rsidRPr="00E12114">
        <w:rPr>
          <w:rFonts w:ascii="Calibri" w:hAnsi="Calibri" w:cs="Calibri"/>
        </w:rPr>
        <w:t xml:space="preserve">products, locations, and supply </w:t>
      </w:r>
      <w:r w:rsidRPr="002912A4">
        <w:rPr>
          <w:rFonts w:ascii="Calibri" w:hAnsi="Calibri" w:cs="Calibri"/>
        </w:rPr>
        <w:t>chain</w:t>
      </w:r>
      <w:r w:rsidRPr="00E12114">
        <w:rPr>
          <w:rFonts w:ascii="Calibri" w:hAnsi="Calibri" w:cs="Calibri"/>
        </w:rPr>
        <w:t xml:space="preserve"> information (GS1, 2026a; GS1, 2026b). </w:t>
      </w:r>
      <w:r w:rsidRPr="0060778F">
        <w:rPr>
          <w:rFonts w:ascii="Calibri" w:hAnsi="Calibri" w:cs="Calibri"/>
        </w:rPr>
        <w:t>Digital Product Passport</w:t>
      </w:r>
      <w:r w:rsidRPr="00E12114">
        <w:rPr>
          <w:rFonts w:ascii="Calibri" w:hAnsi="Calibri" w:cs="Calibri"/>
        </w:rPr>
        <w:t xml:space="preserve"> initiatives</w:t>
      </w:r>
      <w:r w:rsidRPr="002912A4">
        <w:rPr>
          <w:rFonts w:ascii="Calibri" w:hAnsi="Calibri" w:cs="Calibri"/>
        </w:rPr>
        <w:t xml:space="preserve"> similarly</w:t>
      </w:r>
      <w:r w:rsidRPr="00E12114">
        <w:rPr>
          <w:rFonts w:ascii="Calibri" w:hAnsi="Calibri" w:cs="Calibri"/>
        </w:rPr>
        <w:t xml:space="preserve"> emphasise the </w:t>
      </w:r>
      <w:r w:rsidRPr="002912A4">
        <w:rPr>
          <w:rFonts w:ascii="Calibri" w:hAnsi="Calibri" w:cs="Calibri"/>
        </w:rPr>
        <w:t xml:space="preserve">linking of </w:t>
      </w:r>
      <w:r w:rsidRPr="00E12114">
        <w:rPr>
          <w:rFonts w:ascii="Calibri" w:hAnsi="Calibri" w:cs="Calibri"/>
        </w:rPr>
        <w:t xml:space="preserve">product and lifecycle information </w:t>
      </w:r>
      <w:r w:rsidRPr="00A7370B">
        <w:rPr>
          <w:rFonts w:ascii="Calibri" w:hAnsi="Calibri" w:cs="Calibri"/>
        </w:rPr>
        <w:t>(Kebede et al., 2023; Kebede et al., 2024).</w:t>
      </w:r>
      <w:r w:rsidRPr="002912A4">
        <w:rPr>
          <w:rFonts w:ascii="Calibri" w:hAnsi="Calibri" w:cs="Calibri"/>
        </w:rPr>
        <w:t xml:space="preserve"> Yet these approaches are not directly aligned with lifecycle modelling of construction objects across design, </w:t>
      </w:r>
      <w:r w:rsidR="003A19C3" w:rsidRPr="003A19C3">
        <w:rPr>
          <w:rFonts w:ascii="Calibri" w:hAnsi="Calibri" w:cs="Calibri"/>
        </w:rPr>
        <w:t>realisation</w:t>
      </w:r>
      <w:r w:rsidRPr="002912A4">
        <w:rPr>
          <w:rFonts w:ascii="Calibri" w:hAnsi="Calibri" w:cs="Calibri"/>
        </w:rPr>
        <w:t>, and operation.</w:t>
      </w:r>
    </w:p>
    <w:p w14:paraId="5F3152A3" w14:textId="61BF105B" w:rsidR="00BB7AAD" w:rsidRPr="00DF4622" w:rsidRDefault="00BB7AAD" w:rsidP="00DF4622">
      <w:pPr>
        <w:spacing w:after="40" w:line="240" w:lineRule="auto"/>
        <w:rPr>
          <w:rFonts w:ascii="Calibri" w:hAnsi="Calibri" w:cs="Calibri"/>
          <w:b/>
          <w:bCs/>
          <w:sz w:val="24"/>
          <w:szCs w:val="24"/>
        </w:rPr>
      </w:pPr>
      <w:r w:rsidRPr="3C327EF0">
        <w:rPr>
          <w:rFonts w:ascii="Calibri" w:hAnsi="Calibri" w:cs="Calibri"/>
          <w:b/>
          <w:bCs/>
          <w:sz w:val="24"/>
          <w:szCs w:val="24"/>
        </w:rPr>
        <w:t>2.3 Systems Engineering and Semantic Modelling and Linking (SML)</w:t>
      </w:r>
    </w:p>
    <w:p w14:paraId="23E005D5" w14:textId="77777777" w:rsidR="00EC6486" w:rsidRDefault="00252D23" w:rsidP="3C327EF0">
      <w:pPr>
        <w:spacing w:after="40"/>
        <w:ind w:firstLine="851"/>
        <w:jc w:val="both"/>
        <w:rPr>
          <w:rFonts w:ascii="Calibri" w:hAnsi="Calibri" w:cs="Calibri"/>
        </w:rPr>
      </w:pPr>
      <w:r w:rsidRPr="3C327EF0">
        <w:rPr>
          <w:rFonts w:ascii="Calibri" w:hAnsi="Calibri" w:cs="Calibri"/>
        </w:rPr>
        <w:t>Systems Engineering provides lifecycle</w:t>
      </w:r>
      <w:r w:rsidR="00ED2EE8" w:rsidRPr="3C327EF0">
        <w:rPr>
          <w:rFonts w:ascii="Calibri" w:hAnsi="Calibri" w:cs="Calibri"/>
        </w:rPr>
        <w:t xml:space="preserve"> logic</w:t>
      </w:r>
      <w:r w:rsidRPr="3C327EF0">
        <w:rPr>
          <w:rFonts w:ascii="Calibri" w:hAnsi="Calibri" w:cs="Calibri"/>
        </w:rPr>
        <w:t xml:space="preserve"> for linking requirements, design solutions, and realised systems through forward and backward traceability </w:t>
      </w:r>
      <w:r w:rsidR="00ED2EE8" w:rsidRPr="3C327EF0">
        <w:rPr>
          <w:rFonts w:ascii="Calibri" w:hAnsi="Calibri" w:cs="Calibri"/>
        </w:rPr>
        <w:t xml:space="preserve">(Chen and Jupp, 2018; </w:t>
      </w:r>
      <w:r w:rsidRPr="3C327EF0">
        <w:rPr>
          <w:rFonts w:ascii="Calibri" w:hAnsi="Calibri" w:cs="Calibri"/>
        </w:rPr>
        <w:t>Gotel and Finkelstein, 1994).</w:t>
      </w:r>
    </w:p>
    <w:p w14:paraId="275E823F" w14:textId="00B93D99" w:rsidR="00EC6486" w:rsidRDefault="00805FD9">
      <w:pPr>
        <w:spacing w:after="40"/>
        <w:ind w:firstLine="851"/>
        <w:jc w:val="both"/>
      </w:pPr>
      <w:r w:rsidRPr="3C327EF0">
        <w:rPr>
          <w:rFonts w:ascii="Calibri" w:hAnsi="Calibri" w:cs="Calibri"/>
        </w:rPr>
        <w:t>In construction, SML structures object information into four lifecycle states: Planned Functional (PF), representing functional requirements; Planned Technical (PT), representing design solutions; Realized Technical (RT), representing realised objects; and Realized Functional (RF), representing operational performance (CEN, 2022; CEN, 2024).</w:t>
      </w:r>
    </w:p>
    <w:p w14:paraId="54856DA8" w14:textId="77777777" w:rsidR="00EC6486" w:rsidRDefault="000A142C">
      <w:pPr>
        <w:spacing w:after="40"/>
        <w:ind w:firstLine="851"/>
        <w:jc w:val="both"/>
      </w:pPr>
      <w:r w:rsidRPr="000A142C">
        <w:rPr>
          <w:rFonts w:ascii="Calibri" w:hAnsi="Calibri" w:cs="Calibri"/>
        </w:rPr>
        <w:t>Although</w:t>
      </w:r>
      <w:r w:rsidR="00252D23" w:rsidRPr="00BB7AAD">
        <w:rPr>
          <w:rFonts w:ascii="Calibri" w:hAnsi="Calibri" w:cs="Calibri"/>
        </w:rPr>
        <w:t xml:space="preserve"> SE and SML define lifecycle logic and semantic relationships, they do not prescribe how object identity should be maintained across these states in a machine-interpretable way.</w:t>
      </w:r>
    </w:p>
    <w:p w14:paraId="4128679D" w14:textId="63642714" w:rsidR="00BB7AAD" w:rsidRPr="0027687A" w:rsidRDefault="00BB7AAD" w:rsidP="0027687A">
      <w:pPr>
        <w:spacing w:after="40" w:line="240" w:lineRule="auto"/>
        <w:rPr>
          <w:rFonts w:ascii="Calibri" w:hAnsi="Calibri" w:cs="Calibri"/>
          <w:b/>
          <w:bCs/>
          <w:sz w:val="24"/>
          <w:szCs w:val="24"/>
        </w:rPr>
      </w:pPr>
      <w:r w:rsidRPr="0027687A">
        <w:rPr>
          <w:rFonts w:ascii="Calibri" w:hAnsi="Calibri" w:cs="Calibri"/>
          <w:b/>
          <w:bCs/>
          <w:sz w:val="24"/>
          <w:szCs w:val="24"/>
        </w:rPr>
        <w:t>2.4 Knowledge graphs and Semantic Web technologies</w:t>
      </w:r>
    </w:p>
    <w:p w14:paraId="71F7B1C0" w14:textId="77777777" w:rsidR="00EC6486" w:rsidRDefault="00173F52">
      <w:pPr>
        <w:spacing w:after="40"/>
        <w:ind w:firstLine="851"/>
        <w:jc w:val="both"/>
      </w:pPr>
      <w:r w:rsidRPr="00162986">
        <w:rPr>
          <w:rFonts w:ascii="Calibri" w:hAnsi="Calibri" w:cs="Calibri"/>
        </w:rPr>
        <w:t xml:space="preserve">Semantic Web technologies and </w:t>
      </w:r>
      <w:r w:rsidRPr="00CA5D44">
        <w:rPr>
          <w:rFonts w:ascii="Calibri" w:hAnsi="Calibri" w:cs="Calibri"/>
        </w:rPr>
        <w:t>knowledge</w:t>
      </w:r>
      <w:r w:rsidRPr="00162986">
        <w:rPr>
          <w:rFonts w:ascii="Calibri" w:hAnsi="Calibri" w:cs="Calibri"/>
        </w:rPr>
        <w:t xml:space="preserve"> graphs </w:t>
      </w:r>
      <w:r w:rsidRPr="00CA5D44">
        <w:rPr>
          <w:rFonts w:ascii="Calibri" w:hAnsi="Calibri" w:cs="Calibri"/>
        </w:rPr>
        <w:t xml:space="preserve">support </w:t>
      </w:r>
      <w:r w:rsidRPr="00162986">
        <w:rPr>
          <w:rFonts w:ascii="Calibri" w:hAnsi="Calibri" w:cs="Calibri"/>
        </w:rPr>
        <w:t xml:space="preserve">machine-interpretable integration of heterogeneous </w:t>
      </w:r>
      <w:r w:rsidRPr="00CA5D44">
        <w:rPr>
          <w:rFonts w:ascii="Calibri" w:hAnsi="Calibri" w:cs="Calibri"/>
        </w:rPr>
        <w:t xml:space="preserve">construction </w:t>
      </w:r>
      <w:r w:rsidRPr="00162986">
        <w:rPr>
          <w:rFonts w:ascii="Calibri" w:hAnsi="Calibri" w:cs="Calibri"/>
        </w:rPr>
        <w:t xml:space="preserve">information </w:t>
      </w:r>
      <w:r w:rsidRPr="00CA5D44">
        <w:rPr>
          <w:rFonts w:ascii="Calibri" w:hAnsi="Calibri" w:cs="Calibri"/>
        </w:rPr>
        <w:t xml:space="preserve">(W3C, </w:t>
      </w:r>
      <w:r w:rsidR="004F495A" w:rsidRPr="004F495A">
        <w:rPr>
          <w:rFonts w:ascii="Calibri" w:hAnsi="Calibri" w:cs="Calibri"/>
        </w:rPr>
        <w:t>2026;</w:t>
      </w:r>
      <w:r w:rsidRPr="00CA5D44">
        <w:rPr>
          <w:rFonts w:ascii="Calibri" w:hAnsi="Calibri" w:cs="Calibri"/>
        </w:rPr>
        <w:t xml:space="preserve"> Pauwels et al., 2017; </w:t>
      </w:r>
      <w:r w:rsidRPr="00162986">
        <w:rPr>
          <w:rFonts w:ascii="Calibri" w:hAnsi="Calibri" w:cs="Calibri"/>
        </w:rPr>
        <w:t>Rasmussen et al., 2019; Kebede et al., 2022).</w:t>
      </w:r>
      <w:r w:rsidRPr="00CA5D44">
        <w:rPr>
          <w:rFonts w:ascii="Calibri" w:hAnsi="Calibri" w:cs="Calibri"/>
        </w:rPr>
        <w:t xml:space="preserve"> They have been applied to link BIM data, product information, DPP data, and lifecycle analysis in the built environment (Kebede et al., 2024).</w:t>
      </w:r>
    </w:p>
    <w:p w14:paraId="1A97C541" w14:textId="77777777" w:rsidR="00EC6486" w:rsidRDefault="00252D23">
      <w:pPr>
        <w:spacing w:after="40"/>
        <w:ind w:firstLine="851"/>
        <w:jc w:val="both"/>
      </w:pPr>
      <w:r w:rsidRPr="004561B5">
        <w:rPr>
          <w:rFonts w:ascii="Calibri" w:hAnsi="Calibri" w:cs="Calibri"/>
        </w:rPr>
        <w:t xml:space="preserve">A key principle is the use of globally unique and persistent IRIs to identify entities across systems (Hogan et al., 2021). However, existing </w:t>
      </w:r>
      <w:r w:rsidR="00513864" w:rsidRPr="00513864">
        <w:rPr>
          <w:rFonts w:ascii="Calibri" w:hAnsi="Calibri" w:cs="Calibri"/>
        </w:rPr>
        <w:t>work has focused more</w:t>
      </w:r>
      <w:r w:rsidRPr="004561B5">
        <w:rPr>
          <w:rFonts w:ascii="Calibri" w:hAnsi="Calibri" w:cs="Calibri"/>
        </w:rPr>
        <w:t xml:space="preserve"> on integration and interoperability than on systematic identifier architectures aligned with lifecycle modelling.</w:t>
      </w:r>
    </w:p>
    <w:p w14:paraId="29AEB62A" w14:textId="2691142A" w:rsidR="00BB7AAD" w:rsidRPr="00A52E14" w:rsidRDefault="00BB7AAD" w:rsidP="00A52E14">
      <w:pPr>
        <w:spacing w:after="40" w:line="240" w:lineRule="auto"/>
        <w:rPr>
          <w:rFonts w:ascii="Calibri" w:hAnsi="Calibri" w:cs="Calibri"/>
          <w:b/>
          <w:bCs/>
          <w:sz w:val="24"/>
          <w:szCs w:val="24"/>
        </w:rPr>
      </w:pPr>
      <w:r w:rsidRPr="00A52E14">
        <w:rPr>
          <w:rFonts w:ascii="Calibri" w:hAnsi="Calibri" w:cs="Calibri"/>
          <w:b/>
          <w:bCs/>
          <w:sz w:val="24"/>
          <w:szCs w:val="24"/>
        </w:rPr>
        <w:t>2.5 Research gap</w:t>
      </w:r>
    </w:p>
    <w:p w14:paraId="798876C4" w14:textId="77777777" w:rsidR="00EC6486" w:rsidRDefault="00252D23">
      <w:pPr>
        <w:spacing w:after="40"/>
        <w:ind w:firstLine="851"/>
        <w:jc w:val="both"/>
      </w:pPr>
      <w:r w:rsidRPr="00F371AB">
        <w:rPr>
          <w:rFonts w:ascii="Calibri" w:hAnsi="Calibri" w:cs="Calibri"/>
        </w:rPr>
        <w:t>The literature shows progress in lifecycle modelling, information structuring, semantic data integration, global identification</w:t>
      </w:r>
      <w:r w:rsidR="00F23E8D" w:rsidRPr="00F23E8D">
        <w:rPr>
          <w:rFonts w:ascii="Calibri" w:hAnsi="Calibri" w:cs="Calibri"/>
        </w:rPr>
        <w:t xml:space="preserve">, and </w:t>
      </w:r>
      <w:r w:rsidRPr="00F371AB">
        <w:rPr>
          <w:rFonts w:ascii="Calibri" w:hAnsi="Calibri" w:cs="Calibri"/>
        </w:rPr>
        <w:t>DPP-related lifecycle information.</w:t>
      </w:r>
      <w:r w:rsidR="00F23E8D" w:rsidRPr="00F23E8D">
        <w:rPr>
          <w:rFonts w:ascii="Calibri" w:hAnsi="Calibri" w:cs="Calibri"/>
        </w:rPr>
        <w:t xml:space="preserve"> However, these developments remain disconnected and do not provide a unified identifier design for lifecycle-consistent traceability of construction objects.</w:t>
      </w:r>
    </w:p>
    <w:p w14:paraId="4B18D3F3" w14:textId="77777777" w:rsidR="00EC6486" w:rsidRDefault="001C2E4C">
      <w:pPr>
        <w:spacing w:after="40"/>
        <w:ind w:firstLine="851"/>
        <w:jc w:val="both"/>
        <w:rPr>
          <w:rFonts w:ascii="Calibri" w:hAnsi="Calibri" w:cs="Calibri"/>
        </w:rPr>
      </w:pPr>
      <w:r w:rsidRPr="001C2E4C">
        <w:rPr>
          <w:rFonts w:ascii="Calibri" w:hAnsi="Calibri" w:cs="Calibri"/>
        </w:rPr>
        <w:t>The gap</w:t>
      </w:r>
      <w:r w:rsidR="00252D23" w:rsidRPr="00F371AB">
        <w:rPr>
          <w:rFonts w:ascii="Calibri" w:hAnsi="Calibri" w:cs="Calibri"/>
        </w:rPr>
        <w:t xml:space="preserve"> is </w:t>
      </w:r>
      <w:r w:rsidRPr="001C2E4C">
        <w:rPr>
          <w:rFonts w:ascii="Calibri" w:hAnsi="Calibri" w:cs="Calibri"/>
        </w:rPr>
        <w:t>therefore the absence</w:t>
      </w:r>
      <w:r w:rsidR="00252D23" w:rsidRPr="00F371AB">
        <w:rPr>
          <w:rFonts w:ascii="Calibri" w:hAnsi="Calibri" w:cs="Calibri"/>
        </w:rPr>
        <w:t xml:space="preserve"> of identifier architectures that maintain persistent, semantically interpretable links between functional requirements, technical solutions, realised assets, and operational performance across lifecycle stages.</w:t>
      </w:r>
    </w:p>
    <w:p w14:paraId="41406C5C" w14:textId="77777777" w:rsidR="00AD475F" w:rsidRDefault="00AD475F">
      <w:pPr>
        <w:spacing w:after="40"/>
        <w:ind w:firstLine="851"/>
        <w:jc w:val="both"/>
      </w:pPr>
    </w:p>
    <w:p w14:paraId="37BABD03" w14:textId="77777777" w:rsidR="002428E3" w:rsidRPr="00D6057A" w:rsidRDefault="00736984" w:rsidP="002428E3">
      <w:pPr>
        <w:pStyle w:val="ListParagraph"/>
        <w:numPr>
          <w:ilvl w:val="0"/>
          <w:numId w:val="1"/>
        </w:numPr>
        <w:spacing w:after="40" w:line="240" w:lineRule="auto"/>
        <w:rPr>
          <w:rFonts w:ascii="Calibri" w:hAnsi="Calibri" w:cs="Calibri"/>
          <w:b/>
          <w:bCs/>
          <w:sz w:val="28"/>
          <w:szCs w:val="28"/>
        </w:rPr>
      </w:pPr>
      <w:r w:rsidRPr="002428E3">
        <w:rPr>
          <w:rFonts w:ascii="Calibri" w:hAnsi="Calibri" w:cs="Calibri"/>
          <w:b/>
          <w:bCs/>
          <w:sz w:val="28"/>
          <w:szCs w:val="28"/>
        </w:rPr>
        <w:t>RESEARCH APPROACH AND METHODOLOGY</w:t>
      </w:r>
    </w:p>
    <w:p w14:paraId="55259464" w14:textId="77777777" w:rsidR="00EC6486" w:rsidRDefault="00173F52">
      <w:pPr>
        <w:spacing w:after="40"/>
        <w:ind w:firstLine="851"/>
        <w:jc w:val="both"/>
      </w:pPr>
      <w:r w:rsidRPr="0053747D">
        <w:rPr>
          <w:rFonts w:ascii="Calibri" w:hAnsi="Calibri" w:cs="Calibri"/>
        </w:rPr>
        <w:t>This study adopts a qualitative</w:t>
      </w:r>
      <w:r w:rsidRPr="001A7873">
        <w:rPr>
          <w:rFonts w:ascii="Calibri" w:hAnsi="Calibri" w:cs="Calibri"/>
        </w:rPr>
        <w:t>,</w:t>
      </w:r>
      <w:r w:rsidRPr="0053747D">
        <w:rPr>
          <w:rFonts w:ascii="Calibri" w:hAnsi="Calibri" w:cs="Calibri"/>
        </w:rPr>
        <w:t xml:space="preserve"> design-oriented approach informed by Design Science Research </w:t>
      </w:r>
      <w:r w:rsidRPr="001A7873">
        <w:rPr>
          <w:rFonts w:ascii="Calibri" w:hAnsi="Calibri" w:cs="Calibri"/>
        </w:rPr>
        <w:t xml:space="preserve">to develop and analyse a conceptual identifier architecture </w:t>
      </w:r>
      <w:r w:rsidRPr="0053747D">
        <w:rPr>
          <w:rFonts w:ascii="Calibri" w:hAnsi="Calibri" w:cs="Calibri"/>
        </w:rPr>
        <w:t xml:space="preserve">for lifecycle traceability in knowledge graph-based construction information systems (Hevner et al., 2004; Peffers et al., 2007). </w:t>
      </w:r>
      <w:r w:rsidRPr="00447CD0">
        <w:rPr>
          <w:rFonts w:ascii="Calibri" w:hAnsi="Calibri" w:cs="Calibri"/>
        </w:rPr>
        <w:t>The approach is appropriate because the study addresses a design problem</w:t>
      </w:r>
      <w:r>
        <w:rPr>
          <w:rFonts w:ascii="Calibri" w:hAnsi="Calibri" w:cs="Calibri"/>
        </w:rPr>
        <w:t xml:space="preserve">, </w:t>
      </w:r>
      <w:r w:rsidRPr="00CC5107">
        <w:rPr>
          <w:rFonts w:ascii="Calibri" w:hAnsi="Calibri" w:cs="Calibri"/>
          <w:i/>
          <w:iCs/>
        </w:rPr>
        <w:t>how persistent identifiers should be structured and related</w:t>
      </w:r>
      <w:r>
        <w:rPr>
          <w:rFonts w:ascii="Calibri" w:hAnsi="Calibri" w:cs="Calibri"/>
        </w:rPr>
        <w:t xml:space="preserve">, </w:t>
      </w:r>
      <w:r w:rsidRPr="00447CD0">
        <w:rPr>
          <w:rFonts w:ascii="Calibri" w:hAnsi="Calibri" w:cs="Calibri"/>
        </w:rPr>
        <w:t xml:space="preserve">rather than testing an existing implementation. </w:t>
      </w:r>
      <w:r w:rsidRPr="001A7873">
        <w:rPr>
          <w:rFonts w:ascii="Calibri" w:hAnsi="Calibri" w:cs="Calibri"/>
        </w:rPr>
        <w:t>Formal</w:t>
      </w:r>
      <w:r w:rsidRPr="0053747D">
        <w:rPr>
          <w:rFonts w:ascii="Calibri" w:hAnsi="Calibri" w:cs="Calibri"/>
        </w:rPr>
        <w:t xml:space="preserve"> evaluation in an </w:t>
      </w:r>
      <w:r w:rsidRPr="00447CD0">
        <w:rPr>
          <w:rFonts w:ascii="Calibri" w:hAnsi="Calibri" w:cs="Calibri"/>
        </w:rPr>
        <w:t>operational</w:t>
      </w:r>
      <w:r w:rsidRPr="0053747D">
        <w:rPr>
          <w:rFonts w:ascii="Calibri" w:hAnsi="Calibri" w:cs="Calibri"/>
        </w:rPr>
        <w:t xml:space="preserve"> setting is left for future work.</w:t>
      </w:r>
    </w:p>
    <w:p w14:paraId="696997E0" w14:textId="4557DC0B" w:rsidR="002822CF" w:rsidRDefault="00252D23">
      <w:pPr>
        <w:spacing w:after="40"/>
        <w:ind w:firstLine="851"/>
        <w:jc w:val="both"/>
      </w:pPr>
      <w:r w:rsidRPr="0053747D">
        <w:rPr>
          <w:rFonts w:ascii="Calibri" w:hAnsi="Calibri" w:cs="Calibri"/>
        </w:rPr>
        <w:t xml:space="preserve">The analysis is structured by the lifecycle object-state framework defined in EN 17632 (SML) and grounded in Systems Engineering lifecycle logic (Chen and Jupp, 2018; CEN, 2022; CEN, 2024). The </w:t>
      </w:r>
      <w:r w:rsidRPr="0053747D">
        <w:rPr>
          <w:rFonts w:ascii="Calibri" w:hAnsi="Calibri" w:cs="Calibri"/>
        </w:rPr>
        <w:lastRenderedPageBreak/>
        <w:t xml:space="preserve">framework distinguishes </w:t>
      </w:r>
      <w:r w:rsidR="005E7815" w:rsidRPr="005E7815">
        <w:rPr>
          <w:rFonts w:ascii="Calibri" w:hAnsi="Calibri" w:cs="Calibri"/>
        </w:rPr>
        <w:t>four lifecycle object states (PF, PT, RT, RF) based on</w:t>
      </w:r>
      <w:r w:rsidRPr="0053747D">
        <w:rPr>
          <w:rFonts w:ascii="Calibri" w:hAnsi="Calibri" w:cs="Calibri"/>
        </w:rPr>
        <w:t xml:space="preserve"> lifecycle stage and level of abstraction (</w:t>
      </w:r>
      <w:r w:rsidR="005E7815" w:rsidRPr="005E7815">
        <w:rPr>
          <w:rFonts w:ascii="Calibri" w:hAnsi="Calibri" w:cs="Calibri"/>
        </w:rPr>
        <w:t>Figure 1).</w:t>
      </w:r>
      <w:r w:rsidRPr="0053747D">
        <w:rPr>
          <w:rFonts w:ascii="Calibri" w:hAnsi="Calibri" w:cs="Calibri"/>
        </w:rPr>
        <w:t xml:space="preserve"> The relations defined in SML link these states and enable traceability across the lifecycle</w:t>
      </w:r>
      <w:r w:rsidR="005E7815" w:rsidRPr="005E7815">
        <w:rPr>
          <w:rFonts w:ascii="Calibri" w:hAnsi="Calibri" w:cs="Calibri"/>
        </w:rPr>
        <w:t>.</w:t>
      </w:r>
    </w:p>
    <w:p w14:paraId="59ED02CE" w14:textId="77777777" w:rsidR="0063235A" w:rsidRDefault="0063235A" w:rsidP="0063235A">
      <w:pPr>
        <w:jc w:val="center"/>
      </w:pPr>
      <w:r>
        <w:rPr>
          <w:noProof/>
        </w:rPr>
        <w:drawing>
          <wp:inline distT="0" distB="0" distL="0" distR="0" wp14:anchorId="0CEE913F" wp14:editId="3746C42D">
            <wp:extent cx="4871436" cy="322919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871436" cy="3229193"/>
                    </a:xfrm>
                    <a:prstGeom prst="rect">
                      <a:avLst/>
                    </a:prstGeom>
                  </pic:spPr>
                </pic:pic>
              </a:graphicData>
            </a:graphic>
          </wp:inline>
        </w:drawing>
      </w:r>
    </w:p>
    <w:p w14:paraId="16059282" w14:textId="7AEE9218" w:rsidR="00EC6486" w:rsidRDefault="00252D23">
      <w:pPr>
        <w:jc w:val="center"/>
      </w:pPr>
      <w:r w:rsidRPr="00DA203E">
        <w:rPr>
          <w:i/>
          <w:sz w:val="18"/>
          <w:szCs w:val="18"/>
          <w:lang w:val="en-US"/>
        </w:rPr>
        <w:t xml:space="preserve">Figure 1. The four lifecycle object states (PF, PT, RT and RF), formed by the lifecycle stage (Planned or Realized) and the level of abstraction (Functional or Technical). The </w:t>
      </w:r>
      <w:r w:rsidR="0033020D">
        <w:rPr>
          <w:i/>
          <w:sz w:val="18"/>
          <w:szCs w:val="18"/>
          <w:lang w:val="en-US"/>
        </w:rPr>
        <w:t xml:space="preserve">blue </w:t>
      </w:r>
      <w:r w:rsidRPr="00DA203E">
        <w:rPr>
          <w:i/>
          <w:sz w:val="18"/>
          <w:szCs w:val="18"/>
          <w:lang w:val="en-US"/>
        </w:rPr>
        <w:t xml:space="preserve">arrows show the typical process flow, from intended function (PF) to planned solution (PT), </w:t>
      </w:r>
      <w:r w:rsidR="00DA203E" w:rsidRPr="00DA203E">
        <w:rPr>
          <w:i/>
          <w:iCs/>
          <w:sz w:val="18"/>
          <w:szCs w:val="18"/>
          <w:lang w:val="en-US"/>
        </w:rPr>
        <w:t>realized</w:t>
      </w:r>
      <w:r w:rsidRPr="00DA203E">
        <w:rPr>
          <w:i/>
          <w:sz w:val="18"/>
          <w:szCs w:val="18"/>
          <w:lang w:val="en-US"/>
        </w:rPr>
        <w:t xml:space="preserve"> object (RT) and observed performance (RF), which is then verified against the original function. Adapted from EN 17632-1:2022, Figure 6 (CEN, 2022).</w:t>
      </w:r>
    </w:p>
    <w:p w14:paraId="68597DE3" w14:textId="77777777" w:rsidR="00EC6486" w:rsidRDefault="00252D23">
      <w:pPr>
        <w:spacing w:after="40"/>
        <w:ind w:firstLine="851"/>
        <w:jc w:val="both"/>
      </w:pPr>
      <w:r w:rsidRPr="0053747D">
        <w:rPr>
          <w:rFonts w:ascii="Calibri" w:hAnsi="Calibri" w:cs="Calibri"/>
        </w:rPr>
        <w:t xml:space="preserve">The study draws on expert-informed material </w:t>
      </w:r>
      <w:r w:rsidR="008168F1" w:rsidRPr="008168F1">
        <w:rPr>
          <w:rFonts w:ascii="Calibri" w:hAnsi="Calibri" w:cs="Calibri"/>
        </w:rPr>
        <w:t xml:space="preserve">from </w:t>
      </w:r>
      <w:r w:rsidRPr="0053747D">
        <w:rPr>
          <w:rFonts w:ascii="Calibri" w:hAnsi="Calibri" w:cs="Calibri"/>
        </w:rPr>
        <w:t xml:space="preserve">a collaborative research project, </w:t>
      </w:r>
      <w:r w:rsidR="008168F1" w:rsidRPr="008168F1">
        <w:rPr>
          <w:rFonts w:ascii="Calibri" w:hAnsi="Calibri" w:cs="Calibri"/>
        </w:rPr>
        <w:t>including</w:t>
      </w:r>
      <w:r w:rsidRPr="0053747D">
        <w:rPr>
          <w:rFonts w:ascii="Calibri" w:hAnsi="Calibri" w:cs="Calibri"/>
        </w:rPr>
        <w:t xml:space="preserve"> a technical report on </w:t>
      </w:r>
      <w:r w:rsidR="008168F1" w:rsidRPr="008168F1">
        <w:rPr>
          <w:rFonts w:ascii="Calibri" w:hAnsi="Calibri" w:cs="Calibri"/>
        </w:rPr>
        <w:t xml:space="preserve">Semantic Web-based </w:t>
      </w:r>
      <w:r w:rsidRPr="0053747D">
        <w:rPr>
          <w:rFonts w:ascii="Calibri" w:hAnsi="Calibri" w:cs="Calibri"/>
        </w:rPr>
        <w:t xml:space="preserve">object identification </w:t>
      </w:r>
      <w:r w:rsidRPr="008E0E41">
        <w:rPr>
          <w:rFonts w:ascii="Calibri" w:hAnsi="Calibri" w:cs="Calibri"/>
        </w:rPr>
        <w:t>(Eckerberg, 2026</w:t>
      </w:r>
      <w:r w:rsidR="008168F1" w:rsidRPr="008168F1">
        <w:rPr>
          <w:rFonts w:ascii="Calibri" w:hAnsi="Calibri" w:cs="Calibri"/>
        </w:rPr>
        <w:t>),</w:t>
      </w:r>
      <w:r w:rsidRPr="0053747D">
        <w:rPr>
          <w:rFonts w:ascii="Calibri" w:hAnsi="Calibri" w:cs="Calibri"/>
        </w:rPr>
        <w:t xml:space="preserve"> conceptual modelling notes and a Turtle-based knowledge graph example</w:t>
      </w:r>
      <w:r>
        <w:rPr>
          <w:rFonts w:ascii="Calibri" w:hAnsi="Calibri" w:cs="Calibri"/>
        </w:rPr>
        <w:t xml:space="preserve"> </w:t>
      </w:r>
      <w:r w:rsidRPr="008E0E41">
        <w:rPr>
          <w:rFonts w:ascii="Calibri" w:hAnsi="Calibri" w:cs="Calibri"/>
        </w:rPr>
        <w:t>(Wikström, 2026</w:t>
      </w:r>
      <w:r w:rsidR="008168F1" w:rsidRPr="008168F1">
        <w:rPr>
          <w:rFonts w:ascii="Calibri" w:hAnsi="Calibri" w:cs="Calibri"/>
        </w:rPr>
        <w:t>),</w:t>
      </w:r>
      <w:r w:rsidRPr="0053747D">
        <w:rPr>
          <w:rFonts w:ascii="Calibri" w:hAnsi="Calibri" w:cs="Calibri"/>
        </w:rPr>
        <w:t xml:space="preserve"> and an industry-oriented report on lifecycle-oriented identifier structures</w:t>
      </w:r>
      <w:r>
        <w:rPr>
          <w:rFonts w:ascii="Calibri" w:hAnsi="Calibri" w:cs="Calibri"/>
        </w:rPr>
        <w:t xml:space="preserve"> </w:t>
      </w:r>
      <w:r w:rsidRPr="00FC0710">
        <w:rPr>
          <w:rFonts w:ascii="Calibri" w:hAnsi="Calibri" w:cs="Calibri"/>
        </w:rPr>
        <w:t>(Jansson et al., 2026)</w:t>
      </w:r>
      <w:r>
        <w:rPr>
          <w:rFonts w:ascii="Calibri" w:hAnsi="Calibri" w:cs="Calibri"/>
        </w:rPr>
        <w:t>.</w:t>
      </w:r>
    </w:p>
    <w:p w14:paraId="2E2F300D" w14:textId="77777777" w:rsidR="00EC6486" w:rsidRDefault="00252D23">
      <w:pPr>
        <w:spacing w:after="40"/>
        <w:ind w:firstLine="851"/>
        <w:jc w:val="both"/>
        <w:rPr>
          <w:rFonts w:ascii="Calibri" w:hAnsi="Calibri" w:cs="Calibri"/>
        </w:rPr>
      </w:pPr>
      <w:r w:rsidRPr="00CA618A">
        <w:rPr>
          <w:rFonts w:ascii="Calibri" w:hAnsi="Calibri" w:cs="Calibri"/>
        </w:rPr>
        <w:t xml:space="preserve">The </w:t>
      </w:r>
      <w:r w:rsidRPr="0053747D">
        <w:rPr>
          <w:rFonts w:ascii="Calibri" w:hAnsi="Calibri" w:cs="Calibri"/>
        </w:rPr>
        <w:t xml:space="preserve">materials are treated as conceptual and technical input rather than primary empirical data. The analysis </w:t>
      </w:r>
      <w:r w:rsidRPr="00CA618A">
        <w:rPr>
          <w:rFonts w:ascii="Calibri" w:hAnsi="Calibri" w:cs="Calibri"/>
        </w:rPr>
        <w:t>extracts</w:t>
      </w:r>
      <w:r w:rsidRPr="0053747D">
        <w:rPr>
          <w:rFonts w:ascii="Calibri" w:hAnsi="Calibri" w:cs="Calibri"/>
        </w:rPr>
        <w:t xml:space="preserve"> concepts related to lifecycle modelling, identifier persistence, and semantic representation</w:t>
      </w:r>
      <w:r w:rsidRPr="00CA618A">
        <w:rPr>
          <w:rFonts w:ascii="Calibri" w:hAnsi="Calibri" w:cs="Calibri"/>
        </w:rPr>
        <w:t>, maps them</w:t>
      </w:r>
      <w:r w:rsidRPr="0053747D">
        <w:rPr>
          <w:rFonts w:ascii="Calibri" w:hAnsi="Calibri" w:cs="Calibri"/>
        </w:rPr>
        <w:t xml:space="preserve"> to the four lifecycle object states</w:t>
      </w:r>
      <w:r w:rsidRPr="00CA618A">
        <w:rPr>
          <w:rFonts w:ascii="Calibri" w:hAnsi="Calibri" w:cs="Calibri"/>
        </w:rPr>
        <w:t>, and assesses the resulting</w:t>
      </w:r>
      <w:r w:rsidRPr="0053747D">
        <w:rPr>
          <w:rFonts w:ascii="Calibri" w:hAnsi="Calibri" w:cs="Calibri"/>
        </w:rPr>
        <w:t xml:space="preserve"> architecture in terms of traceability, semantic clarity, and long-term persistence.</w:t>
      </w:r>
      <w:r w:rsidR="00B707D4" w:rsidRPr="00B707D4">
        <w:rPr>
          <w:rFonts w:ascii="Calibri" w:hAnsi="Calibri" w:cs="Calibri"/>
        </w:rPr>
        <w:t xml:space="preserve"> </w:t>
      </w:r>
      <w:proofErr w:type="gramStart"/>
      <w:r w:rsidR="00B707D4" w:rsidRPr="00B707D4">
        <w:rPr>
          <w:rFonts w:ascii="Calibri" w:hAnsi="Calibri" w:cs="Calibri"/>
        </w:rPr>
        <w:t>Particular attention</w:t>
      </w:r>
      <w:proofErr w:type="gramEnd"/>
      <w:r w:rsidR="00B707D4" w:rsidRPr="00B707D4">
        <w:rPr>
          <w:rFonts w:ascii="Calibri" w:hAnsi="Calibri" w:cs="Calibri"/>
        </w:rPr>
        <w:t xml:space="preserve"> is given to whether identifiers remain stable when object properties, classifications, locations, or system contexts change over time.</w:t>
      </w:r>
    </w:p>
    <w:p w14:paraId="3B574583" w14:textId="3B33FEA7" w:rsidR="009B4C0D" w:rsidRPr="009B4C0D" w:rsidRDefault="009B4C0D">
      <w:pPr>
        <w:spacing w:after="40"/>
        <w:ind w:firstLine="851"/>
        <w:jc w:val="both"/>
        <w:rPr>
          <w:lang w:val="en-US" w:eastAsia="sv-SE"/>
        </w:rPr>
      </w:pPr>
      <w:r>
        <w:rPr>
          <w:rFonts w:ascii="Calibri" w:hAnsi="Calibri" w:cs="Calibri"/>
        </w:rPr>
        <w:t>The resulting architecture is presented in the following section as a set of identifier roles and relations aligned with the four SML lifecycle states</w:t>
      </w:r>
      <w:r w:rsidR="004F7BCF">
        <w:rPr>
          <w:rFonts w:ascii="Calibri" w:hAnsi="Calibri" w:cs="Calibri"/>
        </w:rPr>
        <w:t xml:space="preserve"> </w:t>
      </w:r>
      <w:r w:rsidR="004F7BCF" w:rsidRPr="004F7BCF">
        <w:rPr>
          <w:rFonts w:ascii="Calibri" w:hAnsi="Calibri" w:cs="Calibri"/>
        </w:rPr>
        <w:t>(PF, PT, RT and RF)</w:t>
      </w:r>
      <w:r>
        <w:rPr>
          <w:rFonts w:ascii="Calibri" w:hAnsi="Calibri" w:cs="Calibri"/>
        </w:rPr>
        <w:t>.</w:t>
      </w:r>
    </w:p>
    <w:p w14:paraId="74710E5C" w14:textId="77777777" w:rsidR="00AD475F" w:rsidRDefault="00AD475F">
      <w:pPr>
        <w:spacing w:after="40"/>
        <w:ind w:firstLine="851"/>
        <w:jc w:val="both"/>
      </w:pPr>
    </w:p>
    <w:p w14:paraId="05AD1449" w14:textId="51E047A4" w:rsidR="001D7517" w:rsidRPr="00D6057A" w:rsidRDefault="001D7517" w:rsidP="001D7517">
      <w:pPr>
        <w:pStyle w:val="ListParagraph"/>
        <w:numPr>
          <w:ilvl w:val="0"/>
          <w:numId w:val="1"/>
        </w:numPr>
        <w:spacing w:after="40" w:line="240" w:lineRule="auto"/>
        <w:rPr>
          <w:rFonts w:ascii="Calibri" w:hAnsi="Calibri" w:cs="Calibri"/>
          <w:b/>
          <w:bCs/>
          <w:sz w:val="28"/>
          <w:szCs w:val="28"/>
        </w:rPr>
      </w:pPr>
      <w:r w:rsidRPr="001D7517">
        <w:rPr>
          <w:rFonts w:ascii="Calibri" w:hAnsi="Calibri" w:cs="Calibri"/>
          <w:b/>
          <w:bCs/>
          <w:sz w:val="28"/>
          <w:szCs w:val="28"/>
        </w:rPr>
        <w:t>IDENTIFIER ARCHITECTURE</w:t>
      </w:r>
    </w:p>
    <w:p w14:paraId="15BB202B" w14:textId="77777777" w:rsidR="00EC6486" w:rsidRDefault="00173F52">
      <w:pPr>
        <w:spacing w:after="40"/>
        <w:ind w:firstLine="851"/>
        <w:jc w:val="both"/>
      </w:pPr>
      <w:r w:rsidRPr="00204F12">
        <w:rPr>
          <w:rFonts w:ascii="Calibri" w:hAnsi="Calibri" w:cs="Calibri"/>
        </w:rPr>
        <w:t>The proposed identifier architecture follows the lifecycle object states introduced in Section 3, assigning distinct identifier roles to PF, PT, RT, and RF representations across the lifecycle (Chen and Jupp, 2018; CEN, 2022; CEN, 2024).</w:t>
      </w:r>
    </w:p>
    <w:p w14:paraId="2FC65C05" w14:textId="0ABE6001" w:rsidR="00A81975" w:rsidRPr="00BC6B4F" w:rsidRDefault="00A81975">
      <w:pPr>
        <w:spacing w:after="40"/>
        <w:ind w:firstLine="851"/>
        <w:jc w:val="both"/>
        <w:rPr>
          <w:rFonts w:ascii="Calibri" w:hAnsi="Calibri" w:cs="Calibri"/>
        </w:rPr>
      </w:pPr>
      <w:r w:rsidRPr="00BC6B4F">
        <w:rPr>
          <w:rFonts w:ascii="Calibri" w:hAnsi="Calibri" w:cs="Calibri"/>
        </w:rPr>
        <w:t xml:space="preserve">Conceptually, the identifier architecture can be understood as a four-node lifecycle structure in which each construction object is represented by distinct but explicitly linked identifiers </w:t>
      </w:r>
      <w:r w:rsidRPr="00BC6B4F">
        <w:rPr>
          <w:rFonts w:ascii="Calibri" w:hAnsi="Calibri" w:cs="Calibri"/>
        </w:rPr>
        <w:lastRenderedPageBreak/>
        <w:t>corresponding to the PF, PT, RT, and RF states. Rather than assigning a single identifier to an object, the architecture defines a set of coordinated identifier roles and relations, enabling traceability across transformations from functional requirements to technical solutions, realised instances, and observed performance.</w:t>
      </w:r>
      <w:r w:rsidR="00CC10A5" w:rsidRPr="00CC10A5">
        <w:t xml:space="preserve"> </w:t>
      </w:r>
      <w:r w:rsidR="00CC10A5" w:rsidRPr="00CC10A5">
        <w:rPr>
          <w:rFonts w:ascii="Calibri" w:hAnsi="Calibri" w:cs="Calibri"/>
        </w:rPr>
        <w:t xml:space="preserve">The relationships between these identifier roles follow the lifecycle transitions defined in SML, including realisation, refinement, and verification links between states. </w:t>
      </w:r>
      <w:r w:rsidR="00823E63" w:rsidRPr="00823E63">
        <w:rPr>
          <w:rFonts w:ascii="Calibri" w:hAnsi="Calibri" w:cs="Calibri"/>
        </w:rPr>
        <w:t>These relations include refinement from PF to PT, realisation from PT to RT, and verification from RF to PF, together forming a closed lifecycle traceability loop.</w:t>
      </w:r>
    </w:p>
    <w:p w14:paraId="7A448B4D" w14:textId="77777777" w:rsidR="00EC6486" w:rsidRDefault="00173F52">
      <w:pPr>
        <w:spacing w:after="40"/>
        <w:ind w:firstLine="851"/>
        <w:jc w:val="both"/>
      </w:pPr>
      <w:r w:rsidRPr="00235112">
        <w:rPr>
          <w:rFonts w:ascii="Calibri" w:hAnsi="Calibri" w:cs="Calibri"/>
        </w:rPr>
        <w:t>Each lifecycle state has</w:t>
      </w:r>
      <w:r w:rsidRPr="00145930">
        <w:rPr>
          <w:rFonts w:ascii="Calibri" w:hAnsi="Calibri" w:cs="Calibri"/>
        </w:rPr>
        <w:t xml:space="preserve"> a complementary identifier role</w:t>
      </w:r>
      <w:r w:rsidRPr="00235112">
        <w:rPr>
          <w:rFonts w:ascii="Calibri" w:hAnsi="Calibri" w:cs="Calibri"/>
        </w:rPr>
        <w:t>:</w:t>
      </w:r>
      <w:r w:rsidRPr="00145930">
        <w:rPr>
          <w:rFonts w:ascii="Calibri" w:hAnsi="Calibri" w:cs="Calibri"/>
        </w:rPr>
        <w:t xml:space="preserve"> PF represents the intended requirement</w:t>
      </w:r>
      <w:r w:rsidRPr="00235112">
        <w:rPr>
          <w:rFonts w:ascii="Calibri" w:hAnsi="Calibri" w:cs="Calibri"/>
        </w:rPr>
        <w:t>,</w:t>
      </w:r>
      <w:r w:rsidRPr="00145930">
        <w:rPr>
          <w:rFonts w:ascii="Calibri" w:hAnsi="Calibri" w:cs="Calibri"/>
        </w:rPr>
        <w:t xml:space="preserve"> PT the selected design solution</w:t>
      </w:r>
      <w:r w:rsidRPr="00235112">
        <w:rPr>
          <w:rFonts w:ascii="Calibri" w:hAnsi="Calibri" w:cs="Calibri"/>
        </w:rPr>
        <w:t>,</w:t>
      </w:r>
      <w:r w:rsidRPr="00145930">
        <w:rPr>
          <w:rFonts w:ascii="Calibri" w:hAnsi="Calibri" w:cs="Calibri"/>
        </w:rPr>
        <w:t xml:space="preserve"> RT the </w:t>
      </w:r>
      <w:r w:rsidRPr="00BD600F">
        <w:rPr>
          <w:rFonts w:ascii="Calibri" w:hAnsi="Calibri" w:cs="Calibri"/>
        </w:rPr>
        <w:t>realised</w:t>
      </w:r>
      <w:r w:rsidRPr="00145930">
        <w:rPr>
          <w:rFonts w:ascii="Calibri" w:hAnsi="Calibri" w:cs="Calibri"/>
        </w:rPr>
        <w:t xml:space="preserve"> object instance, </w:t>
      </w:r>
      <w:r w:rsidRPr="00235112">
        <w:rPr>
          <w:rFonts w:ascii="Calibri" w:hAnsi="Calibri" w:cs="Calibri"/>
        </w:rPr>
        <w:t xml:space="preserve">and </w:t>
      </w:r>
      <w:r w:rsidRPr="00145930">
        <w:rPr>
          <w:rFonts w:ascii="Calibri" w:hAnsi="Calibri" w:cs="Calibri"/>
        </w:rPr>
        <w:t xml:space="preserve">RF </w:t>
      </w:r>
      <w:r w:rsidRPr="00235112">
        <w:rPr>
          <w:rFonts w:ascii="Calibri" w:hAnsi="Calibri" w:cs="Calibri"/>
        </w:rPr>
        <w:t xml:space="preserve">the </w:t>
      </w:r>
      <w:r w:rsidRPr="00145930">
        <w:rPr>
          <w:rFonts w:ascii="Calibri" w:hAnsi="Calibri" w:cs="Calibri"/>
        </w:rPr>
        <w:t>measured performance</w:t>
      </w:r>
      <w:r w:rsidRPr="00235112">
        <w:rPr>
          <w:rFonts w:ascii="Calibri" w:hAnsi="Calibri" w:cs="Calibri"/>
        </w:rPr>
        <w:t>. This separation</w:t>
      </w:r>
      <w:r w:rsidRPr="00145930">
        <w:rPr>
          <w:rFonts w:ascii="Calibri" w:hAnsi="Calibri" w:cs="Calibri"/>
        </w:rPr>
        <w:t xml:space="preserve"> enables explicit traceability between requirements, design decisions, </w:t>
      </w:r>
      <w:r w:rsidRPr="00BD600F">
        <w:rPr>
          <w:rFonts w:ascii="Calibri" w:hAnsi="Calibri" w:cs="Calibri"/>
        </w:rPr>
        <w:t>realised</w:t>
      </w:r>
      <w:r w:rsidRPr="00145930">
        <w:rPr>
          <w:rFonts w:ascii="Calibri" w:hAnsi="Calibri" w:cs="Calibri"/>
        </w:rPr>
        <w:t xml:space="preserve"> assets, and operational outcomes (Gotel and Finkelstein, 1994; CEN, 2022; CEN, 2024).</w:t>
      </w:r>
      <w:r w:rsidRPr="00BD600F">
        <w:rPr>
          <w:rFonts w:ascii="Calibri" w:hAnsi="Calibri" w:cs="Calibri"/>
        </w:rPr>
        <w:t xml:space="preserve"> It also makes it possible to preserve relationships when a requirement is revised, a design alternative is replaced, or a realised object is substituted during construction or operation.</w:t>
      </w:r>
    </w:p>
    <w:p w14:paraId="08062CCE" w14:textId="4A05452C" w:rsidR="001563F5" w:rsidRPr="001563F5" w:rsidRDefault="001563F5" w:rsidP="001563F5">
      <w:pPr>
        <w:spacing w:after="40"/>
        <w:ind w:firstLine="851"/>
        <w:jc w:val="both"/>
        <w:rPr>
          <w:rFonts w:ascii="Calibri" w:hAnsi="Calibri" w:cs="Calibri"/>
          <w:lang w:val="en-US"/>
        </w:rPr>
      </w:pPr>
      <w:r w:rsidRPr="001563F5">
        <w:rPr>
          <w:rFonts w:ascii="Calibri" w:hAnsi="Calibri" w:cs="Calibri"/>
          <w:lang w:val="en-US"/>
        </w:rPr>
        <w:t xml:space="preserve">The primary identifier in the knowledge graph should be globally unique and persistent, and URI-based identification is therefore adopted as the canonical mechanism </w:t>
      </w:r>
      <w:r w:rsidR="00A41857" w:rsidRPr="00A41857">
        <w:rPr>
          <w:rFonts w:ascii="Calibri" w:hAnsi="Calibri" w:cs="Calibri"/>
          <w:lang w:val="en-US"/>
        </w:rPr>
        <w:t xml:space="preserve">in line with Linked Data principles that </w:t>
      </w:r>
      <w:proofErr w:type="spellStart"/>
      <w:r w:rsidR="00A41857" w:rsidRPr="00A41857">
        <w:rPr>
          <w:rFonts w:ascii="Calibri" w:hAnsi="Calibri" w:cs="Calibri"/>
          <w:lang w:val="en-US"/>
        </w:rPr>
        <w:t>emphasise</w:t>
      </w:r>
      <w:proofErr w:type="spellEnd"/>
      <w:r w:rsidR="00A41857" w:rsidRPr="00A41857">
        <w:rPr>
          <w:rFonts w:ascii="Calibri" w:hAnsi="Calibri" w:cs="Calibri"/>
          <w:lang w:val="en-US"/>
        </w:rPr>
        <w:t xml:space="preserve"> globally unique, persistent, and dereferenceable identifiers</w:t>
      </w:r>
      <w:r w:rsidRPr="001563F5">
        <w:rPr>
          <w:rFonts w:ascii="Calibri" w:hAnsi="Calibri" w:cs="Calibri"/>
          <w:lang w:val="en-US"/>
        </w:rPr>
        <w:t xml:space="preserve"> (Hogan et al., 2021). Existing identifiers, such as classification codes, reference designations, IFC </w:t>
      </w:r>
      <w:proofErr w:type="spellStart"/>
      <w:r w:rsidRPr="001563F5">
        <w:rPr>
          <w:rFonts w:ascii="Calibri" w:hAnsi="Calibri" w:cs="Calibri"/>
          <w:lang w:val="en-US"/>
        </w:rPr>
        <w:t>GlobalIds</w:t>
      </w:r>
      <w:proofErr w:type="spellEnd"/>
      <w:r w:rsidRPr="001563F5">
        <w:rPr>
          <w:rFonts w:ascii="Calibri" w:hAnsi="Calibri" w:cs="Calibri"/>
          <w:lang w:val="en-US"/>
        </w:rPr>
        <w:t>, product identifiers, and system-specific IDs, are not replaced but explicitly linked to the persistent URI (Kebede et al., 2022). This approach enables the integration of established industry identification schemes while preserving interoperability and avoiding dependency on any single modelling tool, classification system, or product data platform.</w:t>
      </w:r>
    </w:p>
    <w:p w14:paraId="3A91AD13" w14:textId="77777777" w:rsidR="00EC6486" w:rsidRDefault="00252D23">
      <w:pPr>
        <w:spacing w:after="40"/>
        <w:ind w:firstLine="851"/>
        <w:jc w:val="both"/>
      </w:pPr>
      <w:r w:rsidRPr="00554A53">
        <w:rPr>
          <w:rFonts w:ascii="Calibri" w:hAnsi="Calibri" w:cs="Calibri"/>
        </w:rPr>
        <w:t>The architecture separates</w:t>
      </w:r>
      <w:r w:rsidRPr="00AA4DC2">
        <w:rPr>
          <w:rFonts w:ascii="Calibri" w:hAnsi="Calibri" w:cs="Calibri"/>
        </w:rPr>
        <w:t xml:space="preserve"> persistent identity </w:t>
      </w:r>
      <w:r w:rsidRPr="00554A53">
        <w:rPr>
          <w:rFonts w:ascii="Calibri" w:hAnsi="Calibri" w:cs="Calibri"/>
        </w:rPr>
        <w:t>from</w:t>
      </w:r>
      <w:r w:rsidRPr="00AA4DC2">
        <w:rPr>
          <w:rFonts w:ascii="Calibri" w:hAnsi="Calibri" w:cs="Calibri"/>
        </w:rPr>
        <w:t xml:space="preserve"> semantic description. </w:t>
      </w:r>
      <w:r w:rsidRPr="00554A53">
        <w:rPr>
          <w:rFonts w:ascii="Calibri" w:hAnsi="Calibri" w:cs="Calibri"/>
        </w:rPr>
        <w:t>Identifiers</w:t>
      </w:r>
      <w:r w:rsidRPr="00AA4DC2">
        <w:rPr>
          <w:rFonts w:ascii="Calibri" w:hAnsi="Calibri" w:cs="Calibri"/>
        </w:rPr>
        <w:t xml:space="preserve"> that </w:t>
      </w:r>
      <w:r w:rsidRPr="00554A53">
        <w:rPr>
          <w:rFonts w:ascii="Calibri" w:hAnsi="Calibri" w:cs="Calibri"/>
        </w:rPr>
        <w:t>encode</w:t>
      </w:r>
      <w:r w:rsidRPr="00AA4DC2">
        <w:rPr>
          <w:rFonts w:ascii="Calibri" w:hAnsi="Calibri" w:cs="Calibri"/>
        </w:rPr>
        <w:t xml:space="preserve"> meaning, such as </w:t>
      </w:r>
      <w:r w:rsidRPr="00554A53">
        <w:rPr>
          <w:rFonts w:ascii="Calibri" w:hAnsi="Calibri" w:cs="Calibri"/>
        </w:rPr>
        <w:t xml:space="preserve">IEC 81346-1 </w:t>
      </w:r>
      <w:r w:rsidRPr="00AA4DC2">
        <w:rPr>
          <w:rFonts w:ascii="Calibri" w:hAnsi="Calibri" w:cs="Calibri"/>
        </w:rPr>
        <w:t>reference designations</w:t>
      </w:r>
      <w:r w:rsidRPr="00554A53">
        <w:rPr>
          <w:rFonts w:ascii="Calibri" w:hAnsi="Calibri" w:cs="Calibri"/>
        </w:rPr>
        <w:t xml:space="preserve">, can </w:t>
      </w:r>
      <w:r w:rsidRPr="00AA4DC2">
        <w:rPr>
          <w:rFonts w:ascii="Calibri" w:hAnsi="Calibri" w:cs="Calibri"/>
        </w:rPr>
        <w:t xml:space="preserve">improve </w:t>
      </w:r>
      <w:r w:rsidRPr="00554A53">
        <w:rPr>
          <w:rFonts w:ascii="Calibri" w:hAnsi="Calibri" w:cs="Calibri"/>
        </w:rPr>
        <w:t>readability</w:t>
      </w:r>
      <w:r w:rsidRPr="00AA4DC2">
        <w:rPr>
          <w:rFonts w:ascii="Calibri" w:hAnsi="Calibri" w:cs="Calibri"/>
        </w:rPr>
        <w:t xml:space="preserve"> but </w:t>
      </w:r>
      <w:r w:rsidRPr="00554A53">
        <w:rPr>
          <w:rFonts w:ascii="Calibri" w:hAnsi="Calibri" w:cs="Calibri"/>
        </w:rPr>
        <w:t>may become</w:t>
      </w:r>
      <w:r w:rsidRPr="00AA4DC2">
        <w:rPr>
          <w:rFonts w:ascii="Calibri" w:hAnsi="Calibri" w:cs="Calibri"/>
        </w:rPr>
        <w:t xml:space="preserve"> unstable when objects change function, </w:t>
      </w:r>
      <w:r w:rsidRPr="00554A53">
        <w:rPr>
          <w:rFonts w:ascii="Calibri" w:hAnsi="Calibri" w:cs="Calibri"/>
        </w:rPr>
        <w:t xml:space="preserve">location, </w:t>
      </w:r>
      <w:r w:rsidRPr="00AA4DC2">
        <w:rPr>
          <w:rFonts w:ascii="Calibri" w:hAnsi="Calibri" w:cs="Calibri"/>
        </w:rPr>
        <w:t xml:space="preserve">or configuration. </w:t>
      </w:r>
      <w:r w:rsidRPr="00554A53">
        <w:rPr>
          <w:rFonts w:ascii="Calibri" w:hAnsi="Calibri" w:cs="Calibri"/>
        </w:rPr>
        <w:t>Representing</w:t>
      </w:r>
      <w:r w:rsidRPr="00AA4DC2">
        <w:rPr>
          <w:rFonts w:ascii="Calibri" w:hAnsi="Calibri" w:cs="Calibri"/>
        </w:rPr>
        <w:t xml:space="preserve"> meaning through properties </w:t>
      </w:r>
      <w:r w:rsidRPr="00554A53">
        <w:rPr>
          <w:rFonts w:ascii="Calibri" w:hAnsi="Calibri" w:cs="Calibri"/>
        </w:rPr>
        <w:t>instead</w:t>
      </w:r>
      <w:r w:rsidRPr="00AA4DC2">
        <w:rPr>
          <w:rFonts w:ascii="Calibri" w:hAnsi="Calibri" w:cs="Calibri"/>
        </w:rPr>
        <w:t xml:space="preserve"> supports more robust lifecycle traceability (Hogan et al., 2021; IEC, 2022).</w:t>
      </w:r>
      <w:r w:rsidR="00EB3578" w:rsidRPr="00EB3578">
        <w:rPr>
          <w:rFonts w:ascii="Calibri" w:hAnsi="Calibri" w:cs="Calibri"/>
        </w:rPr>
        <w:t xml:space="preserve"> For example, the same realised component may be reclassified, moved, or assigned to another system without requiring its persistent URI to change.</w:t>
      </w:r>
    </w:p>
    <w:p w14:paraId="7EE1DBA9" w14:textId="77777777" w:rsidR="00EC6486" w:rsidRDefault="00173F52">
      <w:pPr>
        <w:spacing w:after="40"/>
        <w:ind w:firstLine="851"/>
        <w:jc w:val="both"/>
      </w:pPr>
      <w:r w:rsidRPr="00732FBF">
        <w:rPr>
          <w:rFonts w:ascii="Calibri" w:hAnsi="Calibri" w:cs="Calibri"/>
        </w:rPr>
        <w:t xml:space="preserve">Figure 2 illustrates the architecture through an example of an office room lighting system. At the </w:t>
      </w:r>
      <w:r w:rsidR="00BC7E63" w:rsidRPr="00BC7E63">
        <w:rPr>
          <w:rFonts w:ascii="Calibri" w:hAnsi="Calibri" w:cs="Calibri"/>
        </w:rPr>
        <w:t>PF</w:t>
      </w:r>
      <w:r w:rsidRPr="00732FBF">
        <w:rPr>
          <w:rFonts w:ascii="Calibri" w:hAnsi="Calibri" w:cs="Calibri"/>
        </w:rPr>
        <w:t xml:space="preserve"> level</w:t>
      </w:r>
      <w:r w:rsidR="00BC7E63" w:rsidRPr="00BC7E63">
        <w:rPr>
          <w:rFonts w:ascii="Calibri" w:hAnsi="Calibri" w:cs="Calibri"/>
        </w:rPr>
        <w:t>,</w:t>
      </w:r>
      <w:r w:rsidRPr="00732FBF">
        <w:rPr>
          <w:rFonts w:ascii="Calibri" w:hAnsi="Calibri" w:cs="Calibri"/>
        </w:rPr>
        <w:t xml:space="preserve"> the identifier </w:t>
      </w:r>
      <w:r>
        <w:rPr>
          <w:rFonts w:ascii="Calibri" w:hAnsi="Calibri" w:cs="Calibri"/>
        </w:rPr>
        <w:t>denotes</w:t>
      </w:r>
      <w:r w:rsidRPr="00732FBF">
        <w:rPr>
          <w:rFonts w:ascii="Calibri" w:hAnsi="Calibri" w:cs="Calibri"/>
        </w:rPr>
        <w:t xml:space="preserve"> the lighting requirement</w:t>
      </w:r>
      <w:r w:rsidRPr="00B97755">
        <w:rPr>
          <w:rFonts w:ascii="Calibri" w:hAnsi="Calibri" w:cs="Calibri"/>
        </w:rPr>
        <w:t>.</w:t>
      </w:r>
      <w:r w:rsidRPr="00732FBF">
        <w:rPr>
          <w:rFonts w:ascii="Calibri" w:hAnsi="Calibri" w:cs="Calibri"/>
        </w:rPr>
        <w:t xml:space="preserve"> At the </w:t>
      </w:r>
      <w:r w:rsidR="00BC7E63" w:rsidRPr="00BC7E63">
        <w:rPr>
          <w:rFonts w:ascii="Calibri" w:hAnsi="Calibri" w:cs="Calibri"/>
        </w:rPr>
        <w:t>PT</w:t>
      </w:r>
      <w:r w:rsidRPr="00732FBF">
        <w:rPr>
          <w:rFonts w:ascii="Calibri" w:hAnsi="Calibri" w:cs="Calibri"/>
        </w:rPr>
        <w:t xml:space="preserve"> level</w:t>
      </w:r>
      <w:r w:rsidR="00BC7E63" w:rsidRPr="00BC7E63">
        <w:rPr>
          <w:rFonts w:ascii="Calibri" w:hAnsi="Calibri" w:cs="Calibri"/>
        </w:rPr>
        <w:t>,</w:t>
      </w:r>
      <w:r w:rsidRPr="00732FBF">
        <w:rPr>
          <w:rFonts w:ascii="Calibri" w:hAnsi="Calibri" w:cs="Calibri"/>
        </w:rPr>
        <w:t xml:space="preserve"> </w:t>
      </w:r>
      <w:r w:rsidRPr="00B97755">
        <w:rPr>
          <w:rFonts w:ascii="Calibri" w:hAnsi="Calibri" w:cs="Calibri"/>
        </w:rPr>
        <w:t>it</w:t>
      </w:r>
      <w:r w:rsidRPr="00732FBF">
        <w:rPr>
          <w:rFonts w:ascii="Calibri" w:hAnsi="Calibri" w:cs="Calibri"/>
        </w:rPr>
        <w:t xml:space="preserve"> </w:t>
      </w:r>
      <w:r>
        <w:rPr>
          <w:rFonts w:ascii="Calibri" w:hAnsi="Calibri" w:cs="Calibri"/>
        </w:rPr>
        <w:t>denotes</w:t>
      </w:r>
      <w:r w:rsidRPr="00732FBF">
        <w:rPr>
          <w:rFonts w:ascii="Calibri" w:hAnsi="Calibri" w:cs="Calibri"/>
        </w:rPr>
        <w:t xml:space="preserve"> the selected design solution</w:t>
      </w:r>
      <w:r w:rsidRPr="00B97755">
        <w:rPr>
          <w:rFonts w:ascii="Calibri" w:hAnsi="Calibri" w:cs="Calibri"/>
        </w:rPr>
        <w:t>.</w:t>
      </w:r>
      <w:r w:rsidRPr="00732FBF">
        <w:rPr>
          <w:rFonts w:ascii="Calibri" w:hAnsi="Calibri" w:cs="Calibri"/>
        </w:rPr>
        <w:t xml:space="preserve"> </w:t>
      </w:r>
      <w:r w:rsidRPr="00B95602">
        <w:rPr>
          <w:rFonts w:ascii="Calibri" w:hAnsi="Calibri" w:cs="Calibri"/>
        </w:rPr>
        <w:t xml:space="preserve">At the </w:t>
      </w:r>
      <w:r w:rsidR="00BC7E63" w:rsidRPr="00BC7E63">
        <w:rPr>
          <w:rFonts w:ascii="Calibri" w:hAnsi="Calibri" w:cs="Calibri"/>
        </w:rPr>
        <w:t>RT</w:t>
      </w:r>
      <w:r w:rsidRPr="00732FBF">
        <w:rPr>
          <w:rFonts w:ascii="Calibri" w:hAnsi="Calibri" w:cs="Calibri"/>
        </w:rPr>
        <w:t xml:space="preserve"> level</w:t>
      </w:r>
      <w:r w:rsidR="00BC7E63" w:rsidRPr="00BC7E63">
        <w:rPr>
          <w:rFonts w:ascii="Calibri" w:hAnsi="Calibri" w:cs="Calibri"/>
        </w:rPr>
        <w:t>,</w:t>
      </w:r>
      <w:r w:rsidRPr="00732FBF">
        <w:rPr>
          <w:rFonts w:ascii="Calibri" w:hAnsi="Calibri" w:cs="Calibri"/>
        </w:rPr>
        <w:t xml:space="preserve"> </w:t>
      </w:r>
      <w:r w:rsidRPr="00B97755">
        <w:rPr>
          <w:rFonts w:ascii="Calibri" w:hAnsi="Calibri" w:cs="Calibri"/>
        </w:rPr>
        <w:t>it</w:t>
      </w:r>
      <w:r w:rsidRPr="00732FBF">
        <w:rPr>
          <w:rFonts w:ascii="Calibri" w:hAnsi="Calibri" w:cs="Calibri"/>
        </w:rPr>
        <w:t xml:space="preserve"> </w:t>
      </w:r>
      <w:r>
        <w:rPr>
          <w:rFonts w:ascii="Calibri" w:hAnsi="Calibri" w:cs="Calibri"/>
        </w:rPr>
        <w:t>denotes</w:t>
      </w:r>
      <w:r w:rsidRPr="00732FBF">
        <w:rPr>
          <w:rFonts w:ascii="Calibri" w:hAnsi="Calibri" w:cs="Calibri"/>
        </w:rPr>
        <w:t xml:space="preserve"> the installed components, to which existing identifiers such as IFC </w:t>
      </w:r>
      <w:proofErr w:type="spellStart"/>
      <w:r w:rsidRPr="00732FBF">
        <w:rPr>
          <w:rFonts w:ascii="Calibri" w:hAnsi="Calibri" w:cs="Calibri"/>
        </w:rPr>
        <w:t>GlobalIds</w:t>
      </w:r>
      <w:proofErr w:type="spellEnd"/>
      <w:r w:rsidRPr="00732FBF">
        <w:rPr>
          <w:rFonts w:ascii="Calibri" w:hAnsi="Calibri" w:cs="Calibri"/>
        </w:rPr>
        <w:t>, GTINs, and serial numbers are linked</w:t>
      </w:r>
      <w:r w:rsidRPr="00B97755">
        <w:rPr>
          <w:rFonts w:ascii="Calibri" w:hAnsi="Calibri" w:cs="Calibri"/>
        </w:rPr>
        <w:t>.</w:t>
      </w:r>
      <w:r w:rsidRPr="00732FBF">
        <w:rPr>
          <w:rFonts w:ascii="Calibri" w:hAnsi="Calibri" w:cs="Calibri"/>
        </w:rPr>
        <w:t xml:space="preserve"> </w:t>
      </w:r>
      <w:r w:rsidR="00BC7E63" w:rsidRPr="00BC7E63">
        <w:rPr>
          <w:rFonts w:ascii="Calibri" w:hAnsi="Calibri" w:cs="Calibri"/>
        </w:rPr>
        <w:t>At the RF</w:t>
      </w:r>
      <w:r w:rsidRPr="00732FBF">
        <w:rPr>
          <w:rFonts w:ascii="Calibri" w:hAnsi="Calibri" w:cs="Calibri"/>
        </w:rPr>
        <w:t xml:space="preserve"> level</w:t>
      </w:r>
      <w:r w:rsidR="00BC7E63" w:rsidRPr="00BC7E63">
        <w:rPr>
          <w:rFonts w:ascii="Calibri" w:hAnsi="Calibri" w:cs="Calibri"/>
        </w:rPr>
        <w:t>,</w:t>
      </w:r>
      <w:r w:rsidRPr="00732FBF">
        <w:rPr>
          <w:rFonts w:ascii="Calibri" w:hAnsi="Calibri" w:cs="Calibri"/>
        </w:rPr>
        <w:t xml:space="preserve"> </w:t>
      </w:r>
      <w:r w:rsidRPr="00B97755">
        <w:rPr>
          <w:rFonts w:ascii="Calibri" w:hAnsi="Calibri" w:cs="Calibri"/>
        </w:rPr>
        <w:t>it</w:t>
      </w:r>
      <w:r w:rsidRPr="00732FBF">
        <w:rPr>
          <w:rFonts w:ascii="Calibri" w:hAnsi="Calibri" w:cs="Calibri"/>
        </w:rPr>
        <w:t xml:space="preserve"> </w:t>
      </w:r>
      <w:r>
        <w:rPr>
          <w:rFonts w:ascii="Calibri" w:hAnsi="Calibri" w:cs="Calibri"/>
        </w:rPr>
        <w:t>denotes</w:t>
      </w:r>
      <w:r w:rsidRPr="00732FBF">
        <w:rPr>
          <w:rFonts w:ascii="Calibri" w:hAnsi="Calibri" w:cs="Calibri"/>
        </w:rPr>
        <w:t xml:space="preserve"> measured performance, enabling verification against the original requirement.</w:t>
      </w:r>
    </w:p>
    <w:p w14:paraId="5D9CF590" w14:textId="77777777" w:rsidR="00EB3578" w:rsidRPr="00EB3578" w:rsidRDefault="00EB3578">
      <w:pPr>
        <w:spacing w:after="40"/>
        <w:ind w:firstLine="851"/>
        <w:jc w:val="both"/>
        <w:rPr>
          <w:lang w:val="en-US" w:eastAsia="sv-SE"/>
        </w:rPr>
      </w:pPr>
      <w:r>
        <w:rPr>
          <w:rFonts w:ascii="Calibri" w:hAnsi="Calibri" w:cs="Calibri"/>
        </w:rPr>
        <w:t>The example illustrates that identifiers at different lifecycle states should not be treated as duplicates. Rather, they identify different but related information objects: a requirement, a design solution, an installed technical instance, and a measured functional outcome. The value of the architecture lies in maintaining explicit links between these objects so that verification, replacement, and performance follow-up can be traced over time.</w:t>
      </w:r>
    </w:p>
    <w:p w14:paraId="502B7924" w14:textId="31FAA166" w:rsidR="00334A17" w:rsidRDefault="00334A17" w:rsidP="00334A17">
      <w:pPr>
        <w:jc w:val="center"/>
      </w:pPr>
    </w:p>
    <w:p w14:paraId="62CBE04B" w14:textId="2CF39CFC" w:rsidR="0B89725F" w:rsidRPr="00EB76ED" w:rsidRDefault="00EB76ED" w:rsidP="00EB76ED">
      <w:pPr>
        <w:jc w:val="center"/>
      </w:pPr>
      <w:r>
        <w:rPr>
          <w:noProof/>
        </w:rPr>
        <w:lastRenderedPageBreak/>
        <w:drawing>
          <wp:inline distT="0" distB="0" distL="0" distR="0" wp14:anchorId="71E3163C" wp14:editId="75E6CAAF">
            <wp:extent cx="5381299" cy="2400300"/>
            <wp:effectExtent l="0" t="0" r="0" b="0"/>
            <wp:docPr id="718122028"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5264" cy="2402069"/>
                    </a:xfrm>
                    <a:prstGeom prst="rect">
                      <a:avLst/>
                    </a:prstGeom>
                    <a:noFill/>
                    <a:ln>
                      <a:noFill/>
                    </a:ln>
                  </pic:spPr>
                </pic:pic>
              </a:graphicData>
            </a:graphic>
          </wp:inline>
        </w:drawing>
      </w:r>
    </w:p>
    <w:p w14:paraId="2ED332CB" w14:textId="77777777" w:rsidR="00334A17" w:rsidRDefault="00334A17" w:rsidP="00334A17">
      <w:pPr>
        <w:jc w:val="center"/>
        <w:rPr>
          <w:i/>
          <w:sz w:val="18"/>
          <w:lang w:val="en-US"/>
        </w:rPr>
      </w:pPr>
      <w:r w:rsidRPr="0B89725F">
        <w:rPr>
          <w:i/>
          <w:iCs/>
          <w:sz w:val="18"/>
          <w:szCs w:val="18"/>
          <w:lang w:val="en-US"/>
        </w:rPr>
        <w:t xml:space="preserve">Figure 2. The identifier architecture applied to an illustrative office room lighting example, showing the four persistent URIs (PF, PT, RT, RF), their SML relations, and the legacy identifiers linked to the </w:t>
      </w:r>
      <w:proofErr w:type="spellStart"/>
      <w:r w:rsidRPr="0B89725F">
        <w:rPr>
          <w:i/>
          <w:iCs/>
          <w:sz w:val="18"/>
          <w:szCs w:val="18"/>
          <w:lang w:val="en-US"/>
        </w:rPr>
        <w:t>realised</w:t>
      </w:r>
      <w:proofErr w:type="spellEnd"/>
      <w:r w:rsidRPr="0B89725F">
        <w:rPr>
          <w:i/>
          <w:iCs/>
          <w:sz w:val="18"/>
          <w:szCs w:val="18"/>
          <w:lang w:val="en-US"/>
        </w:rPr>
        <w:t xml:space="preserve"> object. Structure based on EN 17632-1:2022 (CEN, 2022).</w:t>
      </w:r>
    </w:p>
    <w:p w14:paraId="1DE0B6E0" w14:textId="3AAAC472" w:rsidR="4BBD6FB1" w:rsidRDefault="4BBD6FB1" w:rsidP="0B89725F">
      <w:pPr>
        <w:spacing w:after="40"/>
        <w:ind w:firstLine="851"/>
        <w:jc w:val="both"/>
        <w:rPr>
          <w:rFonts w:ascii="Calibri" w:hAnsi="Calibri" w:cs="Calibri"/>
        </w:rPr>
      </w:pPr>
      <w:r w:rsidRPr="3C327EF0">
        <w:rPr>
          <w:rFonts w:ascii="Calibri" w:hAnsi="Calibri" w:cs="Calibri"/>
        </w:rPr>
        <w:t xml:space="preserve"> Each lifecycle role (PF, PT, RT, RF) carries its own globally unique, persistent URI. The URIs are linked through the SML relations</w:t>
      </w:r>
      <w:r w:rsidR="245B4112" w:rsidRPr="3C327EF0">
        <w:rPr>
          <w:rFonts w:ascii="Calibri" w:hAnsi="Calibri" w:cs="Calibri"/>
        </w:rPr>
        <w:t>,</w:t>
      </w:r>
      <w:r w:rsidRPr="3C327EF0">
        <w:rPr>
          <w:rFonts w:ascii="Calibri" w:hAnsi="Calibri" w:cs="Calibri"/>
        </w:rPr>
        <w:t xml:space="preserve"> provid</w:t>
      </w:r>
      <w:r w:rsidR="2E382F83" w:rsidRPr="3C327EF0">
        <w:rPr>
          <w:rFonts w:ascii="Calibri" w:hAnsi="Calibri" w:cs="Calibri"/>
        </w:rPr>
        <w:t>ing</w:t>
      </w:r>
      <w:r w:rsidRPr="3C327EF0">
        <w:rPr>
          <w:rFonts w:ascii="Calibri" w:hAnsi="Calibri" w:cs="Calibri"/>
        </w:rPr>
        <w:t xml:space="preserve"> explicit traceability from requirement to performance. Existing identifiers and semantic meaning are represented as properties of the URI rather than encoded in the identifier string, which keeps the identifier stable when objects are relocated, replaced, or reclassified.</w:t>
      </w:r>
    </w:p>
    <w:p w14:paraId="46D29045" w14:textId="12EECD88" w:rsidR="00B362AA" w:rsidRDefault="00907D23" w:rsidP="00FA25C8">
      <w:pPr>
        <w:spacing w:after="40"/>
        <w:ind w:firstLine="851"/>
        <w:jc w:val="both"/>
        <w:rPr>
          <w:rFonts w:ascii="Calibri" w:hAnsi="Calibri" w:cs="Calibri"/>
        </w:rPr>
      </w:pPr>
      <w:r w:rsidRPr="0B89725F">
        <w:rPr>
          <w:rFonts w:ascii="Calibri" w:hAnsi="Calibri" w:cs="Calibri"/>
        </w:rPr>
        <w:t>This structuring introduces a fundamental trade-off between semantic expressiveness and identifier persistence. While semantically rich identifiers may improve interpretability, they risk becoming unstable as objects evolve across lifecycle stages. The proposed architecture resolves this by prioritising identifier persistence, assigning stable URIs to each lifecycle role while expressing semantic meaning through associated properties and relations rather than within the identifier itself.</w:t>
      </w:r>
    </w:p>
    <w:p w14:paraId="6E700971" w14:textId="77777777" w:rsidR="00691545" w:rsidRPr="00274ECC" w:rsidRDefault="00691545" w:rsidP="00907D23">
      <w:pPr>
        <w:spacing w:after="40"/>
        <w:ind w:firstLine="851"/>
        <w:jc w:val="both"/>
        <w:rPr>
          <w:rFonts w:ascii="Calibri" w:hAnsi="Calibri" w:cs="Calibri"/>
        </w:rPr>
      </w:pPr>
    </w:p>
    <w:p w14:paraId="52FFECDD" w14:textId="5AF5C367" w:rsidR="003530BB" w:rsidRPr="00D6057A" w:rsidRDefault="00C0678A" w:rsidP="003530BB">
      <w:pPr>
        <w:pStyle w:val="ListParagraph"/>
        <w:numPr>
          <w:ilvl w:val="0"/>
          <w:numId w:val="1"/>
        </w:numPr>
        <w:spacing w:after="40" w:line="240" w:lineRule="auto"/>
        <w:rPr>
          <w:rFonts w:ascii="Calibri" w:hAnsi="Calibri" w:cs="Calibri"/>
          <w:b/>
          <w:bCs/>
          <w:sz w:val="28"/>
          <w:szCs w:val="28"/>
        </w:rPr>
      </w:pPr>
      <w:r w:rsidRPr="00C0678A">
        <w:rPr>
          <w:rFonts w:ascii="Calibri" w:hAnsi="Calibri" w:cs="Calibri"/>
          <w:b/>
          <w:bCs/>
          <w:sz w:val="28"/>
          <w:szCs w:val="28"/>
        </w:rPr>
        <w:t>DISCUSSION</w:t>
      </w:r>
    </w:p>
    <w:p w14:paraId="7F9C22ED" w14:textId="77777777" w:rsidR="00EC6486" w:rsidRDefault="00252D23">
      <w:pPr>
        <w:spacing w:after="40"/>
        <w:ind w:firstLine="851"/>
        <w:jc w:val="both"/>
      </w:pPr>
      <w:r w:rsidRPr="00AA2877">
        <w:rPr>
          <w:rFonts w:ascii="Calibri" w:hAnsi="Calibri" w:cs="Calibri"/>
        </w:rPr>
        <w:t xml:space="preserve">The proposed architecture addresses the lack of lifecycle-aligned identification by linking PF, PT, RT, and RF states in a machine-interpretable way, consistent with Systems Engineering traceability logic (Chen and Jupp, 2018; Gotel and Finkelstein, 1994). Compared with classification-based approaches, it maintains identity at instance level, allowing realised objects to remain traceable even when classification, configuration, or location changes. </w:t>
      </w:r>
      <w:r w:rsidR="009A13A0" w:rsidRPr="009A13A0">
        <w:rPr>
          <w:rFonts w:ascii="Calibri" w:hAnsi="Calibri" w:cs="Calibri"/>
        </w:rPr>
        <w:t>The main implication is that lifecycle traceability depends not only on persistent identifiers, but also on the explicit relations that connect different lifecycle representations of the same object.</w:t>
      </w:r>
    </w:p>
    <w:p w14:paraId="32071C0D" w14:textId="0E048D3C" w:rsidR="00305858" w:rsidRPr="00305858" w:rsidRDefault="00197802" w:rsidP="00305858">
      <w:pPr>
        <w:spacing w:after="40"/>
        <w:ind w:firstLine="851"/>
        <w:jc w:val="both"/>
        <w:rPr>
          <w:rFonts w:ascii="Calibri" w:hAnsi="Calibri" w:cs="Calibri"/>
          <w:lang w:val="en-US"/>
        </w:rPr>
      </w:pPr>
      <w:r w:rsidRPr="00911374">
        <w:rPr>
          <w:rFonts w:ascii="Calibri" w:hAnsi="Calibri" w:cs="Calibri"/>
        </w:rPr>
        <w:t xml:space="preserve">For example, in a construction project, a lighting requirement defined at the PF level may initially be linked to a planned luminaire type at the PT level. If the selected product is later replaced during procurement or installation, the RT identifier changes, while the PF and PT identifiers remain unchanged. By maintaining explicit links between these identifiers, the architecture enables traceability of requirement fulfilment despite changes in technical solutions. </w:t>
      </w:r>
      <w:r w:rsidR="00305858" w:rsidRPr="00305858">
        <w:rPr>
          <w:rFonts w:ascii="Calibri" w:hAnsi="Calibri" w:cs="Calibri"/>
          <w:lang w:val="en-US"/>
        </w:rPr>
        <w:t>This illustrates how lifecycle-aligned identifier roles enable not only traceability, but also systematic handling of change and verification across lifecycle stages.</w:t>
      </w:r>
    </w:p>
    <w:p w14:paraId="6866F4A6" w14:textId="77777777" w:rsidR="00EC6486" w:rsidRDefault="00252D23">
      <w:pPr>
        <w:spacing w:after="40"/>
        <w:ind w:firstLine="851"/>
        <w:jc w:val="both"/>
      </w:pPr>
      <w:r w:rsidRPr="00ED6CB7">
        <w:rPr>
          <w:rFonts w:ascii="Calibri" w:hAnsi="Calibri" w:cs="Calibri"/>
        </w:rPr>
        <w:t xml:space="preserve">A key insight is the tension between semantic expressiveness and identifier persistence. Meaningful identifiers can improve human readability but risk instability when objects evolve. By </w:t>
      </w:r>
      <w:r w:rsidRPr="00ED6CB7">
        <w:rPr>
          <w:rFonts w:ascii="Calibri" w:hAnsi="Calibri" w:cs="Calibri"/>
        </w:rPr>
        <w:lastRenderedPageBreak/>
        <w:t>separating persistent identity from semantic description, the proposed architecture allows meaning to be expressed through properties and relationships, supporting both semantic clarity and robust lifecycle traceability.</w:t>
      </w:r>
    </w:p>
    <w:p w14:paraId="6C2B1672" w14:textId="77777777" w:rsidR="00EC6486" w:rsidRDefault="00252D23">
      <w:pPr>
        <w:spacing w:after="40"/>
        <w:ind w:firstLine="851"/>
        <w:jc w:val="both"/>
      </w:pPr>
      <w:r w:rsidRPr="00F228DC">
        <w:rPr>
          <w:rFonts w:ascii="Calibri" w:hAnsi="Calibri" w:cs="Calibri"/>
        </w:rPr>
        <w:t xml:space="preserve">The architecture also has implications for Digital Product Passports and the Golden Thread, both of which depend on reliable links between product data, requirements, design information, </w:t>
      </w:r>
      <w:r w:rsidR="00F228DC" w:rsidRPr="00F228DC">
        <w:rPr>
          <w:rFonts w:ascii="Calibri" w:hAnsi="Calibri" w:cs="Calibri"/>
        </w:rPr>
        <w:t>realised</w:t>
      </w:r>
      <w:r w:rsidRPr="00F228DC">
        <w:rPr>
          <w:rFonts w:ascii="Calibri" w:hAnsi="Calibri" w:cs="Calibri"/>
        </w:rPr>
        <w:t xml:space="preserve"> assets, and operational performance (Kebede et al., 2024). In practice, it must accommodate multiple existing identification systems, including classification codes, product identifiers, RFID-based tracking, and system-specific IDs, by linking rather than replacing them (Pyke and Madan, 2013; Huo et al., 2023).</w:t>
      </w:r>
      <w:r w:rsidR="00F228DC" w:rsidRPr="00F228DC">
        <w:rPr>
          <w:rFonts w:ascii="Calibri" w:hAnsi="Calibri" w:cs="Calibri"/>
        </w:rPr>
        <w:t xml:space="preserve"> This linking strategy is especially important in construction, where information is typically produced and maintained by many actors over long periods.</w:t>
      </w:r>
    </w:p>
    <w:p w14:paraId="5C142674" w14:textId="77777777" w:rsidR="00F228DC" w:rsidRPr="00F228DC" w:rsidRDefault="00F228DC">
      <w:pPr>
        <w:spacing w:after="40"/>
        <w:ind w:firstLine="851"/>
        <w:jc w:val="both"/>
        <w:rPr>
          <w:lang w:val="en-US" w:eastAsia="sv-SE"/>
        </w:rPr>
      </w:pPr>
      <w:r>
        <w:rPr>
          <w:rFonts w:ascii="Calibri" w:hAnsi="Calibri" w:cs="Calibri"/>
        </w:rPr>
        <w:t>From an implementation perspective, the architecture implies that governance is as important as technical modelling. Organisations need rules for URI minting, ownership, versioning, deprecation, and maintenance of links between lifecycle states. Without such governance, persistent identifiers may exist technically but fail to support reliable traceability in practice.</w:t>
      </w:r>
    </w:p>
    <w:p w14:paraId="12EAD036" w14:textId="77777777" w:rsidR="00EC6486" w:rsidRDefault="00252D23">
      <w:pPr>
        <w:spacing w:after="40"/>
        <w:ind w:firstLine="851"/>
        <w:jc w:val="both"/>
        <w:rPr>
          <w:rFonts w:ascii="Calibri" w:hAnsi="Calibri" w:cs="Calibri"/>
        </w:rPr>
      </w:pPr>
      <w:r w:rsidRPr="00053641">
        <w:rPr>
          <w:rFonts w:ascii="Calibri" w:hAnsi="Calibri" w:cs="Calibri"/>
        </w:rPr>
        <w:t>The study remains conceptual, and the architecture must be evaluated in real-world implementations involving large-scale data integration, organisational boundaries, lifecycle change management, and long-term information continuity.</w:t>
      </w:r>
      <w:r w:rsidR="00053641" w:rsidRPr="00053641">
        <w:rPr>
          <w:rFonts w:ascii="Calibri" w:hAnsi="Calibri" w:cs="Calibri"/>
        </w:rPr>
        <w:t xml:space="preserve"> Such evaluations should examine not only technical feasibility, but also usability for project actors, compatibility with existing information management processes, and the cost of maintaining identifier links over time.</w:t>
      </w:r>
    </w:p>
    <w:p w14:paraId="58F03295" w14:textId="77777777" w:rsidR="00AD475F" w:rsidRDefault="00AD475F">
      <w:pPr>
        <w:spacing w:after="40"/>
        <w:ind w:firstLine="851"/>
        <w:jc w:val="both"/>
      </w:pPr>
    </w:p>
    <w:p w14:paraId="0315D8A9" w14:textId="3082A608" w:rsidR="0041440E" w:rsidRPr="00D6057A" w:rsidRDefault="0041440E" w:rsidP="0041440E">
      <w:pPr>
        <w:pStyle w:val="ListParagraph"/>
        <w:numPr>
          <w:ilvl w:val="0"/>
          <w:numId w:val="1"/>
        </w:numPr>
        <w:spacing w:after="40" w:line="240" w:lineRule="auto"/>
        <w:rPr>
          <w:rFonts w:ascii="Calibri" w:hAnsi="Calibri" w:cs="Calibri"/>
          <w:b/>
          <w:bCs/>
          <w:sz w:val="28"/>
          <w:szCs w:val="28"/>
        </w:rPr>
      </w:pPr>
      <w:r w:rsidRPr="0041440E">
        <w:rPr>
          <w:rFonts w:ascii="Calibri" w:hAnsi="Calibri" w:cs="Calibri"/>
          <w:b/>
          <w:bCs/>
          <w:sz w:val="28"/>
          <w:szCs w:val="28"/>
        </w:rPr>
        <w:t>CONCLUSION</w:t>
      </w:r>
    </w:p>
    <w:p w14:paraId="206E0CD3" w14:textId="77777777" w:rsidR="00EC6486" w:rsidRDefault="00252D23">
      <w:pPr>
        <w:spacing w:after="40"/>
        <w:ind w:firstLine="851"/>
        <w:jc w:val="both"/>
      </w:pPr>
      <w:r w:rsidRPr="003F3A93">
        <w:rPr>
          <w:rFonts w:ascii="Calibri" w:hAnsi="Calibri" w:cs="Calibri"/>
        </w:rPr>
        <w:t xml:space="preserve">This paper examined how identifier architectures can support lifecycle-consistent traceability in knowledge graph-based construction information systems. Building on Systems Engineering and SML, it addressed the lack of persistent, instance-level identification strategies for linking requirements, technical solutions, </w:t>
      </w:r>
      <w:r w:rsidR="003F3A93" w:rsidRPr="003F3A93">
        <w:rPr>
          <w:rFonts w:ascii="Calibri" w:hAnsi="Calibri" w:cs="Calibri"/>
        </w:rPr>
        <w:t>realised</w:t>
      </w:r>
      <w:r w:rsidRPr="003F3A93">
        <w:rPr>
          <w:rFonts w:ascii="Calibri" w:hAnsi="Calibri" w:cs="Calibri"/>
        </w:rPr>
        <w:t xml:space="preserve"> objects, and operational performance across lifecycle stages.</w:t>
      </w:r>
    </w:p>
    <w:p w14:paraId="125870DD" w14:textId="38D4CEF6" w:rsidR="00EC6486" w:rsidRDefault="00252D23">
      <w:pPr>
        <w:spacing w:after="40"/>
        <w:ind w:firstLine="851"/>
        <w:jc w:val="both"/>
      </w:pPr>
      <w:r w:rsidRPr="00581ADE">
        <w:rPr>
          <w:rFonts w:ascii="Calibri" w:hAnsi="Calibri" w:cs="Calibri"/>
        </w:rPr>
        <w:t>The main contribution is a lifecycle-aligned identifier architecture distinguishing P</w:t>
      </w:r>
      <w:r w:rsidR="00597F2B">
        <w:rPr>
          <w:rFonts w:ascii="Calibri" w:hAnsi="Calibri" w:cs="Calibri"/>
        </w:rPr>
        <w:t>F</w:t>
      </w:r>
      <w:r w:rsidRPr="00581ADE">
        <w:rPr>
          <w:rFonts w:ascii="Calibri" w:hAnsi="Calibri" w:cs="Calibri"/>
        </w:rPr>
        <w:t>, P</w:t>
      </w:r>
      <w:r w:rsidR="00597F2B">
        <w:rPr>
          <w:rFonts w:ascii="Calibri" w:hAnsi="Calibri" w:cs="Calibri"/>
        </w:rPr>
        <w:t>T</w:t>
      </w:r>
      <w:r w:rsidRPr="00581ADE">
        <w:rPr>
          <w:rFonts w:ascii="Calibri" w:hAnsi="Calibri" w:cs="Calibri"/>
        </w:rPr>
        <w:t xml:space="preserve">, </w:t>
      </w:r>
      <w:r w:rsidR="00C42A76" w:rsidRPr="00C42A76">
        <w:rPr>
          <w:rFonts w:ascii="Calibri" w:hAnsi="Calibri" w:cs="Calibri"/>
        </w:rPr>
        <w:t>R</w:t>
      </w:r>
      <w:r w:rsidR="00597F2B">
        <w:rPr>
          <w:rFonts w:ascii="Calibri" w:hAnsi="Calibri" w:cs="Calibri"/>
        </w:rPr>
        <w:t>T</w:t>
      </w:r>
      <w:r w:rsidRPr="00581ADE">
        <w:rPr>
          <w:rFonts w:ascii="Calibri" w:hAnsi="Calibri" w:cs="Calibri"/>
        </w:rPr>
        <w:t xml:space="preserve">, and </w:t>
      </w:r>
      <w:r w:rsidR="00C42A76" w:rsidRPr="00C42A76">
        <w:rPr>
          <w:rFonts w:ascii="Calibri" w:hAnsi="Calibri" w:cs="Calibri"/>
        </w:rPr>
        <w:t>R</w:t>
      </w:r>
      <w:r w:rsidR="00597F2B">
        <w:rPr>
          <w:rFonts w:ascii="Calibri" w:hAnsi="Calibri" w:cs="Calibri"/>
        </w:rPr>
        <w:t>F</w:t>
      </w:r>
      <w:r w:rsidRPr="00581ADE">
        <w:rPr>
          <w:rFonts w:ascii="Calibri" w:hAnsi="Calibri" w:cs="Calibri"/>
        </w:rPr>
        <w:t xml:space="preserve"> states. By separating these identifier roles, the architecture enables explicit, machine-interpretable traceability across heterogeneous data sources while preserving object identity over time.</w:t>
      </w:r>
    </w:p>
    <w:p w14:paraId="6CBF0AD3" w14:textId="77777777" w:rsidR="00EC6486" w:rsidRDefault="00252D23">
      <w:pPr>
        <w:spacing w:after="40"/>
        <w:ind w:firstLine="851"/>
        <w:jc w:val="both"/>
      </w:pPr>
      <w:r w:rsidRPr="00971722">
        <w:rPr>
          <w:rFonts w:ascii="Calibri" w:hAnsi="Calibri" w:cs="Calibri"/>
        </w:rPr>
        <w:t>The study is conceptual and based on expert-informed material</w:t>
      </w:r>
      <w:r w:rsidR="00971722" w:rsidRPr="00971722">
        <w:rPr>
          <w:rFonts w:ascii="Calibri" w:hAnsi="Calibri" w:cs="Calibri"/>
        </w:rPr>
        <w:t>, but it clarifies an important design principle: persistent identity should be separated from semantic description while explicit relations maintain lifecycle meaning.</w:t>
      </w:r>
      <w:r w:rsidRPr="00971722">
        <w:rPr>
          <w:rFonts w:ascii="Calibri" w:hAnsi="Calibri" w:cs="Calibri"/>
        </w:rPr>
        <w:t xml:space="preserve"> Future research should validate the architecture in large-scale implementations involving BIM models, Digital Product Passports, operational systems, versioning, change management, </w:t>
      </w:r>
      <w:r w:rsidR="00971722" w:rsidRPr="00971722">
        <w:rPr>
          <w:rFonts w:ascii="Calibri" w:hAnsi="Calibri" w:cs="Calibri"/>
        </w:rPr>
        <w:t xml:space="preserve">governance models, </w:t>
      </w:r>
      <w:r w:rsidRPr="00971722">
        <w:rPr>
          <w:rFonts w:ascii="Calibri" w:hAnsi="Calibri" w:cs="Calibri"/>
        </w:rPr>
        <w:t>and real-time data integration.</w:t>
      </w:r>
    </w:p>
    <w:p w14:paraId="2D6EBAE3" w14:textId="77777777" w:rsidR="00D6057A" w:rsidRPr="00D6057A" w:rsidRDefault="00D6057A" w:rsidP="006E77D5">
      <w:pPr>
        <w:spacing w:after="40" w:line="240" w:lineRule="auto"/>
        <w:rPr>
          <w:rFonts w:ascii="Calibri" w:hAnsi="Calibri" w:cs="Calibri"/>
        </w:rPr>
      </w:pPr>
    </w:p>
    <w:p w14:paraId="319DD778" w14:textId="77777777" w:rsidR="008929AC" w:rsidRPr="008929AC" w:rsidRDefault="008929AC">
      <w:pPr>
        <w:spacing w:after="40"/>
        <w:rPr>
          <w:lang w:val="en-US" w:eastAsia="sv-SE"/>
        </w:rPr>
      </w:pPr>
      <w:r>
        <w:rPr>
          <w:rFonts w:ascii="Calibri" w:hAnsi="Calibri" w:cs="Calibri"/>
          <w:b/>
          <w:bCs/>
          <w:sz w:val="28"/>
          <w:szCs w:val="28"/>
        </w:rPr>
        <w:t>ACKNOWLEDGEMENTS</w:t>
      </w:r>
    </w:p>
    <w:p w14:paraId="55FE3F79" w14:textId="68472153" w:rsidR="008929AC" w:rsidRDefault="008929AC" w:rsidP="004532F0">
      <w:pPr>
        <w:spacing w:after="40"/>
        <w:ind w:firstLine="851"/>
        <w:jc w:val="both"/>
        <w:rPr>
          <w:rFonts w:ascii="Calibri" w:hAnsi="Calibri" w:cs="Calibri"/>
          <w:lang w:val="en-US"/>
        </w:rPr>
      </w:pPr>
      <w:r>
        <w:rPr>
          <w:rFonts w:ascii="Calibri" w:hAnsi="Calibri" w:cs="Calibri"/>
          <w:lang w:val="en-US"/>
        </w:rPr>
        <w:t>This work was supported by the Smart Built Environment project</w:t>
      </w:r>
      <w:r w:rsidR="004532F0">
        <w:rPr>
          <w:rFonts w:ascii="Calibri" w:hAnsi="Calibri" w:cs="Calibri"/>
          <w:lang w:val="en-US"/>
        </w:rPr>
        <w:t>s</w:t>
      </w:r>
      <w:r>
        <w:rPr>
          <w:rFonts w:ascii="Calibri" w:hAnsi="Calibri" w:cs="Calibri"/>
          <w:lang w:val="en-US"/>
        </w:rPr>
        <w:t xml:space="preserve"> </w:t>
      </w:r>
      <w:r w:rsidR="004532F0">
        <w:rPr>
          <w:rFonts w:ascii="Calibri" w:hAnsi="Calibri" w:cs="Calibri"/>
          <w:lang w:val="en-US"/>
        </w:rPr>
        <w:t>“</w:t>
      </w:r>
      <w:proofErr w:type="spellStart"/>
      <w:r w:rsidR="004532F0" w:rsidRPr="004532F0">
        <w:rPr>
          <w:rFonts w:ascii="Calibri" w:hAnsi="Calibri" w:cs="Calibri"/>
          <w:lang w:val="en-US"/>
        </w:rPr>
        <w:t>Digitala</w:t>
      </w:r>
      <w:proofErr w:type="spellEnd"/>
      <w:r w:rsidR="004532F0" w:rsidRPr="004532F0">
        <w:rPr>
          <w:rFonts w:ascii="Calibri" w:hAnsi="Calibri" w:cs="Calibri"/>
          <w:lang w:val="en-US"/>
        </w:rPr>
        <w:t xml:space="preserve"> </w:t>
      </w:r>
      <w:proofErr w:type="spellStart"/>
      <w:r w:rsidR="004532F0" w:rsidRPr="004532F0">
        <w:rPr>
          <w:rFonts w:ascii="Calibri" w:hAnsi="Calibri" w:cs="Calibri"/>
          <w:lang w:val="en-US"/>
        </w:rPr>
        <w:t>datablad</w:t>
      </w:r>
      <w:proofErr w:type="spellEnd"/>
      <w:r w:rsidR="004532F0" w:rsidRPr="004532F0">
        <w:rPr>
          <w:rFonts w:ascii="Calibri" w:hAnsi="Calibri" w:cs="Calibri"/>
          <w:lang w:val="en-US"/>
        </w:rPr>
        <w:t xml:space="preserve"> och</w:t>
      </w:r>
      <w:r w:rsidR="004532F0">
        <w:rPr>
          <w:rFonts w:ascii="Calibri" w:hAnsi="Calibri" w:cs="Calibri"/>
          <w:lang w:val="en-US"/>
        </w:rPr>
        <w:t xml:space="preserve"> </w:t>
      </w:r>
      <w:proofErr w:type="spellStart"/>
      <w:r w:rsidR="004532F0" w:rsidRPr="004532F0">
        <w:rPr>
          <w:rFonts w:ascii="Calibri" w:hAnsi="Calibri" w:cs="Calibri"/>
          <w:lang w:val="en-US"/>
        </w:rPr>
        <w:t>D</w:t>
      </w:r>
      <w:r w:rsidR="004532F0" w:rsidRPr="004532F0">
        <w:rPr>
          <w:rFonts w:ascii="Calibri" w:hAnsi="Calibri" w:cs="Calibri"/>
          <w:lang w:val="en-US"/>
        </w:rPr>
        <w:t>atamallar</w:t>
      </w:r>
      <w:proofErr w:type="spellEnd"/>
      <w:r w:rsidR="004532F0">
        <w:rPr>
          <w:rFonts w:ascii="Calibri" w:hAnsi="Calibri" w:cs="Calibri"/>
          <w:lang w:val="en-US"/>
        </w:rPr>
        <w:t xml:space="preserve">” and </w:t>
      </w:r>
      <w:r>
        <w:rPr>
          <w:rFonts w:ascii="Calibri" w:hAnsi="Calibri" w:cs="Calibri"/>
          <w:lang w:val="en-US"/>
        </w:rPr>
        <w:t>“</w:t>
      </w:r>
      <w:proofErr w:type="spellStart"/>
      <w:r>
        <w:rPr>
          <w:rFonts w:ascii="Calibri" w:hAnsi="Calibri" w:cs="Calibri"/>
          <w:lang w:val="en-US"/>
        </w:rPr>
        <w:t>Interoperabilitet</w:t>
      </w:r>
      <w:proofErr w:type="spellEnd"/>
      <w:r>
        <w:rPr>
          <w:rFonts w:ascii="Calibri" w:hAnsi="Calibri" w:cs="Calibri"/>
          <w:lang w:val="en-US"/>
        </w:rPr>
        <w:t xml:space="preserve"> – Digital </w:t>
      </w:r>
      <w:proofErr w:type="spellStart"/>
      <w:r>
        <w:rPr>
          <w:rFonts w:ascii="Calibri" w:hAnsi="Calibri" w:cs="Calibri"/>
          <w:lang w:val="en-US"/>
        </w:rPr>
        <w:t>samverkan</w:t>
      </w:r>
      <w:proofErr w:type="spellEnd"/>
      <w:r>
        <w:rPr>
          <w:rFonts w:ascii="Calibri" w:hAnsi="Calibri" w:cs="Calibri"/>
          <w:lang w:val="en-US"/>
        </w:rPr>
        <w:t xml:space="preserve"> för den </w:t>
      </w:r>
      <w:proofErr w:type="spellStart"/>
      <w:r>
        <w:rPr>
          <w:rFonts w:ascii="Calibri" w:hAnsi="Calibri" w:cs="Calibri"/>
          <w:lang w:val="en-US"/>
        </w:rPr>
        <w:t>byggda</w:t>
      </w:r>
      <w:proofErr w:type="spellEnd"/>
      <w:r>
        <w:rPr>
          <w:rFonts w:ascii="Calibri" w:hAnsi="Calibri" w:cs="Calibri"/>
          <w:lang w:val="en-US"/>
        </w:rPr>
        <w:t xml:space="preserve"> </w:t>
      </w:r>
      <w:proofErr w:type="spellStart"/>
      <w:r>
        <w:rPr>
          <w:rFonts w:ascii="Calibri" w:hAnsi="Calibri" w:cs="Calibri"/>
          <w:lang w:val="en-US"/>
        </w:rPr>
        <w:t>miljön</w:t>
      </w:r>
      <w:proofErr w:type="spellEnd"/>
      <w:r>
        <w:rPr>
          <w:rFonts w:ascii="Calibri" w:hAnsi="Calibri" w:cs="Calibri"/>
          <w:lang w:val="en-US"/>
        </w:rPr>
        <w:t>”, which aims to strengthen digital collaboration and interoperability in the built environment through frameworks and recommendations for information exchange, standards, and linked data approaches.</w:t>
      </w:r>
    </w:p>
    <w:p w14:paraId="5EF9E67F" w14:textId="77777777" w:rsidR="00045CDC" w:rsidRPr="008929AC" w:rsidRDefault="00045CDC">
      <w:pPr>
        <w:spacing w:after="40"/>
        <w:ind w:firstLine="851"/>
        <w:jc w:val="both"/>
        <w:rPr>
          <w:lang w:val="en-US" w:eastAsia="sv-SE"/>
        </w:rPr>
      </w:pPr>
    </w:p>
    <w:p w14:paraId="7A86AF15" w14:textId="77777777" w:rsidR="00F70462" w:rsidRPr="004532F0" w:rsidRDefault="00F70462" w:rsidP="006E77D5">
      <w:pPr>
        <w:spacing w:after="40" w:line="240" w:lineRule="auto"/>
        <w:rPr>
          <w:rFonts w:ascii="Calibri" w:hAnsi="Calibri" w:cs="Calibri"/>
          <w:b/>
          <w:bCs/>
          <w:sz w:val="28"/>
          <w:szCs w:val="28"/>
          <w:lang w:val="en-US"/>
        </w:rPr>
      </w:pPr>
    </w:p>
    <w:p w14:paraId="0963962A" w14:textId="77777777" w:rsidR="00F70462" w:rsidRDefault="00F70462" w:rsidP="006E77D5">
      <w:pPr>
        <w:spacing w:after="40" w:line="240" w:lineRule="auto"/>
        <w:rPr>
          <w:rFonts w:ascii="Calibri" w:hAnsi="Calibri" w:cs="Calibri"/>
          <w:b/>
          <w:bCs/>
          <w:sz w:val="28"/>
          <w:szCs w:val="28"/>
        </w:rPr>
      </w:pPr>
    </w:p>
    <w:p w14:paraId="1C4D7BD6" w14:textId="1BF7B83C"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68D53B81" w14:textId="77777777" w:rsidR="002822CF" w:rsidRPr="007A7C32" w:rsidRDefault="00252D23">
      <w:pPr>
        <w:spacing w:after="40"/>
        <w:ind w:left="851" w:hanging="851"/>
        <w:rPr>
          <w:rFonts w:ascii="Calibri" w:hAnsi="Calibri" w:cs="Calibri"/>
        </w:rPr>
      </w:pPr>
      <w:r w:rsidRPr="007A7C32">
        <w:rPr>
          <w:rFonts w:ascii="Calibri" w:hAnsi="Calibri" w:cs="Calibri"/>
          <w:lang w:val="en-US"/>
        </w:rPr>
        <w:t>CEN</w:t>
      </w:r>
      <w:r w:rsidR="002C03C9" w:rsidRPr="007A7C32">
        <w:rPr>
          <w:rFonts w:ascii="Calibri" w:hAnsi="Calibri" w:cs="Calibri"/>
          <w:lang w:val="en-US"/>
        </w:rPr>
        <w:t xml:space="preserve"> (</w:t>
      </w:r>
      <w:r w:rsidRPr="007A7C32">
        <w:rPr>
          <w:rFonts w:ascii="Calibri" w:hAnsi="Calibri" w:cs="Calibri"/>
          <w:lang w:val="en-US"/>
        </w:rPr>
        <w:t>2019</w:t>
      </w:r>
      <w:r w:rsidR="002C03C9" w:rsidRPr="007A7C32">
        <w:rPr>
          <w:rFonts w:ascii="Calibri" w:hAnsi="Calibri" w:cs="Calibri"/>
          <w:lang w:val="en-US"/>
        </w:rPr>
        <w:t>)</w:t>
      </w:r>
      <w:r w:rsidRPr="007A7C32">
        <w:rPr>
          <w:rFonts w:ascii="Calibri" w:hAnsi="Calibri" w:cs="Calibri"/>
          <w:lang w:val="en-US"/>
        </w:rPr>
        <w:t xml:space="preserve"> SS-EN ISO 19650-1:2019 Organization and digitization of information about buildings and civil engineering works, including building information modelling (BIM) – Information management using building information modelling – Part 1: Concepts and principles (ISO 19650-1:2018). Stockholm: Swedish Standards Institute (SIS).</w:t>
      </w:r>
    </w:p>
    <w:p w14:paraId="7D4922B7" w14:textId="1EB0F5B7" w:rsidR="00B368B4" w:rsidRPr="007A7C32" w:rsidRDefault="00BF65B4">
      <w:pPr>
        <w:spacing w:after="40"/>
        <w:ind w:left="851" w:hanging="851"/>
        <w:rPr>
          <w:rFonts w:ascii="Calibri" w:hAnsi="Calibri" w:cs="Calibri"/>
        </w:rPr>
      </w:pPr>
      <w:r w:rsidRPr="007A7C32">
        <w:rPr>
          <w:rFonts w:ascii="Calibri" w:hAnsi="Calibri" w:cs="Calibri"/>
          <w:lang w:val="en-US"/>
        </w:rPr>
        <w:t>CEN</w:t>
      </w:r>
      <w:r w:rsidR="00F80FCB" w:rsidRPr="007A7C32">
        <w:rPr>
          <w:rFonts w:ascii="Calibri" w:hAnsi="Calibri" w:cs="Calibri"/>
          <w:lang w:val="en-US"/>
        </w:rPr>
        <w:t xml:space="preserve"> (</w:t>
      </w:r>
      <w:r w:rsidRPr="007A7C32">
        <w:rPr>
          <w:rFonts w:ascii="Calibri" w:hAnsi="Calibri" w:cs="Calibri"/>
          <w:lang w:val="en-US"/>
        </w:rPr>
        <w:t>2022</w:t>
      </w:r>
      <w:r w:rsidR="00F80FCB" w:rsidRPr="007A7C32">
        <w:rPr>
          <w:rFonts w:ascii="Calibri" w:hAnsi="Calibri" w:cs="Calibri"/>
          <w:lang w:val="en-US"/>
        </w:rPr>
        <w:t>)</w:t>
      </w:r>
      <w:r w:rsidRPr="007A7C32">
        <w:rPr>
          <w:rFonts w:ascii="Calibri" w:hAnsi="Calibri" w:cs="Calibri"/>
          <w:lang w:val="en-US"/>
        </w:rPr>
        <w:t xml:space="preserve"> EN 17632-1:2022 Building information modelling (BIM) – Semantic modelling and linking (SML) – Part 1: Generic modelling patterns. Brussels: European Committee for Standardization.</w:t>
      </w:r>
    </w:p>
    <w:p w14:paraId="224C4D5E" w14:textId="77777777" w:rsidR="00B368B4" w:rsidRPr="007A7C32" w:rsidRDefault="00BF65B4">
      <w:pPr>
        <w:spacing w:after="40"/>
        <w:ind w:left="851" w:hanging="851"/>
        <w:rPr>
          <w:rFonts w:ascii="Calibri" w:hAnsi="Calibri" w:cs="Calibri"/>
        </w:rPr>
      </w:pPr>
      <w:r w:rsidRPr="007A7C32">
        <w:rPr>
          <w:rFonts w:ascii="Calibri" w:hAnsi="Calibri" w:cs="Calibri"/>
          <w:lang w:val="en-US"/>
        </w:rPr>
        <w:t>CEN</w:t>
      </w:r>
      <w:r w:rsidR="00B2100C" w:rsidRPr="007A7C32">
        <w:rPr>
          <w:rFonts w:ascii="Calibri" w:hAnsi="Calibri" w:cs="Calibri"/>
          <w:lang w:val="en-US"/>
        </w:rPr>
        <w:t xml:space="preserve"> (</w:t>
      </w:r>
      <w:r w:rsidRPr="007A7C32">
        <w:rPr>
          <w:rFonts w:ascii="Calibri" w:hAnsi="Calibri" w:cs="Calibri"/>
          <w:lang w:val="en-US"/>
        </w:rPr>
        <w:t>2024</w:t>
      </w:r>
      <w:r w:rsidR="00B2100C" w:rsidRPr="007A7C32">
        <w:rPr>
          <w:rFonts w:ascii="Calibri" w:hAnsi="Calibri" w:cs="Calibri"/>
          <w:lang w:val="en-US"/>
        </w:rPr>
        <w:t>)</w:t>
      </w:r>
      <w:r w:rsidRPr="007A7C32">
        <w:rPr>
          <w:rFonts w:ascii="Calibri" w:hAnsi="Calibri" w:cs="Calibri"/>
          <w:lang w:val="en-US"/>
        </w:rPr>
        <w:t xml:space="preserve"> EN 17632-2:2024 Building information modelling (BIM) – Semantic modelling and linking (SML) – Part 2: Domain-specific modelling patterns. Brussels: European Committee for Standardization.</w:t>
      </w:r>
    </w:p>
    <w:p w14:paraId="7557FC8A" w14:textId="77777777" w:rsidR="00B368B4" w:rsidRPr="007A7C32" w:rsidRDefault="00BF65B4">
      <w:pPr>
        <w:spacing w:after="40"/>
        <w:ind w:left="851" w:hanging="851"/>
        <w:rPr>
          <w:rFonts w:ascii="Calibri" w:hAnsi="Calibri" w:cs="Calibri"/>
        </w:rPr>
      </w:pPr>
      <w:r w:rsidRPr="007A7C32">
        <w:rPr>
          <w:rFonts w:ascii="Calibri" w:hAnsi="Calibri" w:cs="Calibri"/>
          <w:lang w:val="en-US"/>
        </w:rPr>
        <w:t>Chen, Y. and Jupp, J</w:t>
      </w:r>
      <w:r w:rsidR="00422F89" w:rsidRPr="007A7C32">
        <w:rPr>
          <w:rFonts w:ascii="Calibri" w:hAnsi="Calibri" w:cs="Calibri"/>
          <w:lang w:val="en-US"/>
        </w:rPr>
        <w:t>. (</w:t>
      </w:r>
      <w:proofErr w:type="gramStart"/>
      <w:r w:rsidRPr="007A7C32">
        <w:rPr>
          <w:rFonts w:ascii="Calibri" w:hAnsi="Calibri" w:cs="Calibri"/>
          <w:lang w:val="en-US"/>
        </w:rPr>
        <w:t>2018</w:t>
      </w:r>
      <w:r w:rsidR="00422F89" w:rsidRPr="007A7C32">
        <w:rPr>
          <w:rFonts w:ascii="Calibri" w:hAnsi="Calibri" w:cs="Calibri"/>
          <w:lang w:val="en-US"/>
        </w:rPr>
        <w:t>) ‘</w:t>
      </w:r>
      <w:proofErr w:type="gramEnd"/>
      <w:r w:rsidRPr="007A7C32">
        <w:rPr>
          <w:rFonts w:ascii="Calibri" w:hAnsi="Calibri" w:cs="Calibri"/>
          <w:lang w:val="en-US"/>
        </w:rPr>
        <w:t xml:space="preserve">Model-based systems engineering and through-life information management in complex </w:t>
      </w:r>
      <w:r w:rsidR="00422F89" w:rsidRPr="007A7C32">
        <w:rPr>
          <w:rFonts w:ascii="Calibri" w:hAnsi="Calibri" w:cs="Calibri"/>
          <w:lang w:val="en-US"/>
        </w:rPr>
        <w:t>construction’, in</w:t>
      </w:r>
      <w:r w:rsidRPr="007A7C32">
        <w:rPr>
          <w:rFonts w:ascii="Calibri" w:hAnsi="Calibri" w:cs="Calibri"/>
          <w:lang w:val="en-US"/>
        </w:rPr>
        <w:t xml:space="preserve"> Product Lifecycle Management to Support Industry 4.0. IFIP Advances in Information and Communication Technology, vol. 540. Cham: Springer, pp. 80–92. https://doi.org/10.1007/978-3-030-01614-2_8</w:t>
      </w:r>
    </w:p>
    <w:p w14:paraId="6825CBED" w14:textId="77777777" w:rsidR="00B368B4" w:rsidRPr="007A7C32" w:rsidRDefault="00BF65B4">
      <w:pPr>
        <w:spacing w:after="40"/>
        <w:ind w:left="851" w:hanging="851"/>
        <w:rPr>
          <w:rFonts w:ascii="Calibri" w:hAnsi="Calibri" w:cs="Calibri"/>
        </w:rPr>
      </w:pPr>
      <w:r w:rsidRPr="007A7C32">
        <w:rPr>
          <w:rFonts w:ascii="Calibri" w:hAnsi="Calibri" w:cs="Calibri"/>
          <w:lang w:val="en-US"/>
        </w:rPr>
        <w:t>Corallo, A., Latino, M.E., Menegoli, M. and Pontrandolfo, P. (2020) ‘A systematic literature review to explore traceability and lifecycle relationships’, International Journal of Production Research, 58(15), pp. 4789–4807.</w:t>
      </w:r>
      <w:r w:rsidR="00470BE6" w:rsidRPr="007A7C32">
        <w:rPr>
          <w:rFonts w:ascii="Calibri" w:hAnsi="Calibri" w:cs="Calibri"/>
          <w:lang w:val="en-US"/>
        </w:rPr>
        <w:t xml:space="preserve"> https://doi.org/10.1080/00207543.2020.1771455</w:t>
      </w:r>
    </w:p>
    <w:p w14:paraId="6EDC4025" w14:textId="143DBE2E" w:rsidR="00B368B4" w:rsidRPr="007A7C32" w:rsidRDefault="00BF65B4">
      <w:pPr>
        <w:spacing w:after="40"/>
        <w:ind w:left="851" w:hanging="851"/>
        <w:rPr>
          <w:rFonts w:ascii="Calibri" w:hAnsi="Calibri" w:cs="Calibri"/>
          <w:lang w:val="en-US"/>
        </w:rPr>
      </w:pPr>
      <w:r w:rsidRPr="007A7C32">
        <w:rPr>
          <w:rFonts w:ascii="Calibri" w:hAnsi="Calibri" w:cs="Calibri"/>
          <w:lang w:val="en-US"/>
        </w:rPr>
        <w:t xml:space="preserve">Davari, S., Jaberi, M., </w:t>
      </w:r>
      <w:proofErr w:type="spellStart"/>
      <w:r w:rsidRPr="007A7C32">
        <w:rPr>
          <w:rFonts w:ascii="Calibri" w:hAnsi="Calibri" w:cs="Calibri"/>
          <w:lang w:val="en-US"/>
        </w:rPr>
        <w:t>Yousfi</w:t>
      </w:r>
      <w:proofErr w:type="spellEnd"/>
      <w:r w:rsidRPr="007A7C32">
        <w:rPr>
          <w:rFonts w:ascii="Calibri" w:hAnsi="Calibri" w:cs="Calibri"/>
          <w:lang w:val="en-US"/>
        </w:rPr>
        <w:t>, A. and Poirier, E. (</w:t>
      </w:r>
      <w:proofErr w:type="gramStart"/>
      <w:r w:rsidRPr="007A7C32">
        <w:rPr>
          <w:rFonts w:ascii="Calibri" w:hAnsi="Calibri" w:cs="Calibri"/>
          <w:lang w:val="en-US"/>
        </w:rPr>
        <w:t>2023) ‘</w:t>
      </w:r>
      <w:proofErr w:type="gramEnd"/>
      <w:r w:rsidRPr="007A7C32">
        <w:rPr>
          <w:rFonts w:ascii="Calibri" w:hAnsi="Calibri" w:cs="Calibri"/>
          <w:lang w:val="en-US"/>
        </w:rPr>
        <w:t>A traceability framework to enable circularity in the built environment’, Sustainability, 15(10), 8278.</w:t>
      </w:r>
      <w:r w:rsidR="0069407D" w:rsidRPr="007A7C32">
        <w:rPr>
          <w:rFonts w:ascii="Calibri" w:hAnsi="Calibri" w:cs="Calibri"/>
          <w:lang w:val="en-US"/>
        </w:rPr>
        <w:t xml:space="preserve"> </w:t>
      </w:r>
      <w:hyperlink r:id="rId10" w:history="1">
        <w:r w:rsidR="00CB715A" w:rsidRPr="007A7C32">
          <w:rPr>
            <w:rStyle w:val="Hyperlink"/>
            <w:rFonts w:ascii="Calibri" w:hAnsi="Calibri" w:cs="Calibri"/>
            <w:lang w:val="en-US"/>
          </w:rPr>
          <w:t>https://doi.org/10.3390/su15108278</w:t>
        </w:r>
      </w:hyperlink>
    </w:p>
    <w:p w14:paraId="19548E51" w14:textId="77777777" w:rsidR="002822CF" w:rsidRPr="007A7C32" w:rsidRDefault="00252D23">
      <w:pPr>
        <w:spacing w:after="40"/>
        <w:ind w:left="851" w:hanging="851"/>
        <w:rPr>
          <w:rFonts w:ascii="Calibri" w:hAnsi="Calibri" w:cs="Calibri"/>
        </w:rPr>
      </w:pPr>
      <w:r w:rsidRPr="007A7C32">
        <w:rPr>
          <w:rFonts w:ascii="Calibri" w:hAnsi="Calibri" w:cs="Calibri"/>
          <w:lang w:val="en-US"/>
        </w:rPr>
        <w:t>Eckerberg, K</w:t>
      </w:r>
      <w:r w:rsidR="00A65630" w:rsidRPr="007A7C32">
        <w:rPr>
          <w:rFonts w:ascii="Calibri" w:hAnsi="Calibri" w:cs="Calibri"/>
          <w:lang w:val="en-US"/>
        </w:rPr>
        <w:t>. (</w:t>
      </w:r>
      <w:r w:rsidRPr="007A7C32">
        <w:rPr>
          <w:rFonts w:ascii="Calibri" w:hAnsi="Calibri" w:cs="Calibri"/>
          <w:lang w:val="en-US"/>
        </w:rPr>
        <w:t>2026</w:t>
      </w:r>
      <w:r w:rsidR="00A65630" w:rsidRPr="007A7C32">
        <w:rPr>
          <w:rFonts w:ascii="Calibri" w:hAnsi="Calibri" w:cs="Calibri"/>
          <w:lang w:val="en-US"/>
        </w:rPr>
        <w:t>)</w:t>
      </w:r>
      <w:r w:rsidRPr="007A7C32">
        <w:rPr>
          <w:rFonts w:ascii="Calibri" w:hAnsi="Calibri" w:cs="Calibri"/>
          <w:lang w:val="en-US"/>
        </w:rPr>
        <w:t xml:space="preserve"> </w:t>
      </w:r>
      <w:proofErr w:type="spellStart"/>
      <w:r w:rsidRPr="007A7C32">
        <w:rPr>
          <w:rFonts w:ascii="Calibri" w:hAnsi="Calibri" w:cs="Calibri"/>
          <w:lang w:val="en-US"/>
        </w:rPr>
        <w:t>Identifiering</w:t>
      </w:r>
      <w:proofErr w:type="spellEnd"/>
      <w:r w:rsidRPr="007A7C32">
        <w:rPr>
          <w:rFonts w:ascii="Calibri" w:hAnsi="Calibri" w:cs="Calibri"/>
          <w:lang w:val="en-US"/>
        </w:rPr>
        <w:t xml:space="preserve"> av </w:t>
      </w:r>
      <w:proofErr w:type="spellStart"/>
      <w:r w:rsidRPr="007A7C32">
        <w:rPr>
          <w:rFonts w:ascii="Calibri" w:hAnsi="Calibri" w:cs="Calibri"/>
          <w:lang w:val="en-US"/>
        </w:rPr>
        <w:t>objekt</w:t>
      </w:r>
      <w:proofErr w:type="spellEnd"/>
      <w:r w:rsidRPr="007A7C32">
        <w:rPr>
          <w:rFonts w:ascii="Calibri" w:hAnsi="Calibri" w:cs="Calibri"/>
          <w:lang w:val="en-US"/>
        </w:rPr>
        <w:t xml:space="preserve"> med </w:t>
      </w:r>
      <w:proofErr w:type="spellStart"/>
      <w:r w:rsidRPr="007A7C32">
        <w:rPr>
          <w:rFonts w:ascii="Calibri" w:hAnsi="Calibri" w:cs="Calibri"/>
          <w:lang w:val="en-US"/>
        </w:rPr>
        <w:t>semantisk</w:t>
      </w:r>
      <w:proofErr w:type="spellEnd"/>
      <w:r w:rsidRPr="007A7C32">
        <w:rPr>
          <w:rFonts w:ascii="Calibri" w:hAnsi="Calibri" w:cs="Calibri"/>
          <w:lang w:val="en-US"/>
        </w:rPr>
        <w:t xml:space="preserve"> </w:t>
      </w:r>
      <w:proofErr w:type="spellStart"/>
      <w:r w:rsidRPr="007A7C32">
        <w:rPr>
          <w:rFonts w:ascii="Calibri" w:hAnsi="Calibri" w:cs="Calibri"/>
          <w:lang w:val="en-US"/>
        </w:rPr>
        <w:t>webbteknik</w:t>
      </w:r>
      <w:proofErr w:type="spellEnd"/>
      <w:r w:rsidRPr="007A7C32">
        <w:rPr>
          <w:rFonts w:ascii="Calibri" w:hAnsi="Calibri" w:cs="Calibri"/>
          <w:lang w:val="en-US"/>
        </w:rPr>
        <w:t xml:space="preserve"> [Identification of objects using Semantic Web technologies, in Swedish]. Unpublished technical report, available from the authors upon request.</w:t>
      </w:r>
    </w:p>
    <w:p w14:paraId="005FF0BB" w14:textId="77777777" w:rsidR="00A65630" w:rsidRPr="007A7C32" w:rsidRDefault="00A65630">
      <w:pPr>
        <w:spacing w:after="40"/>
        <w:ind w:left="851" w:hanging="851"/>
        <w:rPr>
          <w:rFonts w:ascii="Calibri" w:hAnsi="Calibri" w:cs="Calibri"/>
          <w:lang w:val="en-US" w:eastAsia="sv-SE"/>
        </w:rPr>
      </w:pPr>
      <w:r w:rsidRPr="007A7C32">
        <w:rPr>
          <w:rFonts w:ascii="Calibri" w:hAnsi="Calibri" w:cs="Calibri"/>
          <w:lang w:val="en-US"/>
        </w:rPr>
        <w:t>Hevner, A.R., March, S.T., Park, J. and Ram, S. (2004) ‘Design science in information systems research’, MIS Quarterly, 28(1), pp. 75–105. https://doi.org/10.2307/25148625</w:t>
      </w:r>
    </w:p>
    <w:p w14:paraId="48F0D073" w14:textId="77777777" w:rsidR="00B368B4" w:rsidRPr="007A7C32" w:rsidRDefault="00BF65B4">
      <w:pPr>
        <w:spacing w:after="40"/>
        <w:ind w:left="851" w:hanging="851"/>
        <w:rPr>
          <w:rFonts w:ascii="Calibri" w:hAnsi="Calibri" w:cs="Calibri"/>
        </w:rPr>
      </w:pPr>
      <w:r w:rsidRPr="007A7C32">
        <w:rPr>
          <w:rFonts w:ascii="Calibri" w:hAnsi="Calibri" w:cs="Calibri"/>
          <w:lang w:val="en-US"/>
        </w:rPr>
        <w:t>Gotel, O.C.Z. and Finkelstein, A.C.W</w:t>
      </w:r>
      <w:r w:rsidR="009E0D17" w:rsidRPr="007A7C32">
        <w:rPr>
          <w:rFonts w:ascii="Calibri" w:hAnsi="Calibri" w:cs="Calibri"/>
          <w:lang w:val="en-US"/>
        </w:rPr>
        <w:t>. (</w:t>
      </w:r>
      <w:proofErr w:type="gramStart"/>
      <w:r w:rsidRPr="007A7C32">
        <w:rPr>
          <w:rFonts w:ascii="Calibri" w:hAnsi="Calibri" w:cs="Calibri"/>
          <w:lang w:val="en-US"/>
        </w:rPr>
        <w:t>1994</w:t>
      </w:r>
      <w:r w:rsidR="009E0D17" w:rsidRPr="007A7C32">
        <w:rPr>
          <w:rFonts w:ascii="Calibri" w:hAnsi="Calibri" w:cs="Calibri"/>
          <w:lang w:val="en-US"/>
        </w:rPr>
        <w:t>) ‘</w:t>
      </w:r>
      <w:proofErr w:type="gramEnd"/>
      <w:r w:rsidRPr="007A7C32">
        <w:rPr>
          <w:rFonts w:ascii="Calibri" w:hAnsi="Calibri" w:cs="Calibri"/>
          <w:lang w:val="en-US"/>
        </w:rPr>
        <w:t xml:space="preserve">An analysis of the requirements traceability </w:t>
      </w:r>
      <w:r w:rsidR="009E0D17" w:rsidRPr="007A7C32">
        <w:rPr>
          <w:rFonts w:ascii="Calibri" w:hAnsi="Calibri" w:cs="Calibri"/>
          <w:lang w:val="en-US"/>
        </w:rPr>
        <w:t>problem’, in</w:t>
      </w:r>
      <w:r w:rsidRPr="007A7C32">
        <w:rPr>
          <w:rFonts w:ascii="Calibri" w:hAnsi="Calibri" w:cs="Calibri"/>
          <w:lang w:val="en-US"/>
        </w:rPr>
        <w:t xml:space="preserve"> Proceedings of the IEEE International Conference on Requirements Engineering. IEEE, pp. 94–101. https://doi.org/10.1109/ICRE.1994.292398</w:t>
      </w:r>
    </w:p>
    <w:p w14:paraId="0615793A" w14:textId="77777777" w:rsidR="00B368B4" w:rsidRPr="007A7C32" w:rsidRDefault="00BF65B4">
      <w:pPr>
        <w:spacing w:after="40"/>
        <w:ind w:left="851" w:hanging="851"/>
        <w:rPr>
          <w:rFonts w:ascii="Calibri" w:hAnsi="Calibri" w:cs="Calibri"/>
        </w:rPr>
      </w:pPr>
      <w:r w:rsidRPr="007A7C32">
        <w:rPr>
          <w:rFonts w:ascii="Calibri" w:hAnsi="Calibri" w:cs="Calibri"/>
          <w:lang w:val="en-US"/>
        </w:rPr>
        <w:t>GS1</w:t>
      </w:r>
      <w:r w:rsidR="0091525B" w:rsidRPr="007A7C32">
        <w:rPr>
          <w:rFonts w:ascii="Calibri" w:hAnsi="Calibri" w:cs="Calibri"/>
          <w:lang w:val="en-US"/>
        </w:rPr>
        <w:t xml:space="preserve"> (</w:t>
      </w:r>
      <w:r w:rsidRPr="007A7C32">
        <w:rPr>
          <w:rFonts w:ascii="Calibri" w:hAnsi="Calibri" w:cs="Calibri"/>
          <w:lang w:val="en-US"/>
        </w:rPr>
        <w:t>2026a</w:t>
      </w:r>
      <w:r w:rsidR="0091525B" w:rsidRPr="007A7C32">
        <w:rPr>
          <w:rFonts w:ascii="Calibri" w:hAnsi="Calibri" w:cs="Calibri"/>
          <w:lang w:val="en-US"/>
        </w:rPr>
        <w:t>)</w:t>
      </w:r>
      <w:r w:rsidRPr="007A7C32">
        <w:rPr>
          <w:rFonts w:ascii="Calibri" w:hAnsi="Calibri" w:cs="Calibri"/>
          <w:lang w:val="en-US"/>
        </w:rPr>
        <w:t xml:space="preserve"> An Introduction to GS1 Identification Keys. Available at: https://www.gs1.org/standards/id-keys </w:t>
      </w:r>
      <w:r w:rsidR="0091525B" w:rsidRPr="007A7C32">
        <w:rPr>
          <w:rFonts w:ascii="Calibri" w:hAnsi="Calibri" w:cs="Calibri"/>
          <w:lang w:val="en-US"/>
        </w:rPr>
        <w:t>(</w:t>
      </w:r>
      <w:r w:rsidRPr="007A7C32">
        <w:rPr>
          <w:rFonts w:ascii="Calibri" w:hAnsi="Calibri" w:cs="Calibri"/>
          <w:lang w:val="en-US"/>
        </w:rPr>
        <w:t>Accessed</w:t>
      </w:r>
      <w:r w:rsidR="0091525B" w:rsidRPr="007A7C32">
        <w:rPr>
          <w:rFonts w:ascii="Calibri" w:hAnsi="Calibri" w:cs="Calibri"/>
          <w:lang w:val="en-US"/>
        </w:rPr>
        <w:t>:</w:t>
      </w:r>
      <w:r w:rsidRPr="007A7C32">
        <w:rPr>
          <w:rFonts w:ascii="Calibri" w:hAnsi="Calibri" w:cs="Calibri"/>
          <w:lang w:val="en-US"/>
        </w:rPr>
        <w:t xml:space="preserve"> 15 June 2026</w:t>
      </w:r>
      <w:r w:rsidR="0091525B" w:rsidRPr="007A7C32">
        <w:rPr>
          <w:rFonts w:ascii="Calibri" w:hAnsi="Calibri" w:cs="Calibri"/>
          <w:lang w:val="en-US"/>
        </w:rPr>
        <w:t>).</w:t>
      </w:r>
    </w:p>
    <w:p w14:paraId="24C665BB" w14:textId="77777777" w:rsidR="00B368B4" w:rsidRPr="007A7C32" w:rsidRDefault="00BF65B4">
      <w:pPr>
        <w:spacing w:after="40"/>
        <w:ind w:left="851" w:hanging="851"/>
        <w:rPr>
          <w:rFonts w:ascii="Calibri" w:hAnsi="Calibri" w:cs="Calibri"/>
        </w:rPr>
      </w:pPr>
      <w:r w:rsidRPr="007A7C32">
        <w:rPr>
          <w:rFonts w:ascii="Calibri" w:hAnsi="Calibri" w:cs="Calibri"/>
          <w:lang w:val="sv-SE"/>
        </w:rPr>
        <w:t>GS1</w:t>
      </w:r>
      <w:r w:rsidR="007C5FA0" w:rsidRPr="007A7C32">
        <w:rPr>
          <w:rFonts w:ascii="Calibri" w:hAnsi="Calibri" w:cs="Calibri"/>
          <w:lang w:val="sv-SE"/>
        </w:rPr>
        <w:t xml:space="preserve"> (</w:t>
      </w:r>
      <w:r w:rsidRPr="007A7C32">
        <w:rPr>
          <w:rFonts w:ascii="Calibri" w:hAnsi="Calibri" w:cs="Calibri"/>
          <w:lang w:val="sv-SE"/>
        </w:rPr>
        <w:t>2026b</w:t>
      </w:r>
      <w:r w:rsidR="007C5FA0" w:rsidRPr="007A7C32">
        <w:rPr>
          <w:rFonts w:ascii="Calibri" w:hAnsi="Calibri" w:cs="Calibri"/>
          <w:lang w:val="sv-SE"/>
        </w:rPr>
        <w:t>)</w:t>
      </w:r>
      <w:r w:rsidRPr="007A7C32">
        <w:rPr>
          <w:rFonts w:ascii="Calibri" w:hAnsi="Calibri" w:cs="Calibri"/>
          <w:lang w:val="sv-SE"/>
        </w:rPr>
        <w:t xml:space="preserve"> GS1 Digital Link Standard. </w:t>
      </w:r>
      <w:r w:rsidRPr="007A7C32">
        <w:rPr>
          <w:rFonts w:ascii="Calibri" w:hAnsi="Calibri" w:cs="Calibri"/>
          <w:lang w:val="en-US"/>
        </w:rPr>
        <w:t xml:space="preserve">Available at: https://www.gs1.org/standards/gs1-digital-link </w:t>
      </w:r>
      <w:r w:rsidR="007C5FA0" w:rsidRPr="007A7C32">
        <w:rPr>
          <w:rFonts w:ascii="Calibri" w:hAnsi="Calibri" w:cs="Calibri"/>
          <w:lang w:val="en-US"/>
        </w:rPr>
        <w:t>(</w:t>
      </w:r>
      <w:r w:rsidRPr="007A7C32">
        <w:rPr>
          <w:rFonts w:ascii="Calibri" w:hAnsi="Calibri" w:cs="Calibri"/>
          <w:lang w:val="en-US"/>
        </w:rPr>
        <w:t>Accessed</w:t>
      </w:r>
      <w:r w:rsidR="007C5FA0" w:rsidRPr="007A7C32">
        <w:rPr>
          <w:rFonts w:ascii="Calibri" w:hAnsi="Calibri" w:cs="Calibri"/>
          <w:lang w:val="en-US"/>
        </w:rPr>
        <w:t>:</w:t>
      </w:r>
      <w:r w:rsidRPr="007A7C32">
        <w:rPr>
          <w:rFonts w:ascii="Calibri" w:hAnsi="Calibri" w:cs="Calibri"/>
          <w:lang w:val="en-US"/>
        </w:rPr>
        <w:t xml:space="preserve"> 15 June 2026</w:t>
      </w:r>
      <w:r w:rsidR="007C5FA0" w:rsidRPr="007A7C32">
        <w:rPr>
          <w:rFonts w:ascii="Calibri" w:hAnsi="Calibri" w:cs="Calibri"/>
          <w:lang w:val="en-US"/>
        </w:rPr>
        <w:t>).</w:t>
      </w:r>
    </w:p>
    <w:p w14:paraId="7CE5B23C" w14:textId="77777777" w:rsidR="00B368B4" w:rsidRPr="007A7C32" w:rsidRDefault="00BF65B4">
      <w:pPr>
        <w:spacing w:after="40"/>
        <w:ind w:left="851" w:hanging="851"/>
        <w:rPr>
          <w:rFonts w:ascii="Calibri" w:hAnsi="Calibri" w:cs="Calibri"/>
        </w:rPr>
      </w:pPr>
      <w:r w:rsidRPr="007A7C32">
        <w:rPr>
          <w:rFonts w:ascii="Calibri" w:hAnsi="Calibri" w:cs="Calibri"/>
          <w:lang w:val="en-US"/>
        </w:rPr>
        <w:t>Hackitt, J. (2018) Building a Safer Future: Independent Review of Building Regulations and Fire Safety</w:t>
      </w:r>
      <w:r w:rsidR="00530853" w:rsidRPr="007A7C32">
        <w:rPr>
          <w:rFonts w:ascii="Calibri" w:hAnsi="Calibri" w:cs="Calibri"/>
          <w:lang w:val="en-US"/>
        </w:rPr>
        <w:t>: Final Report. London: Ministry of Housing, Communities &amp; Local Government. Available at: https://www.gov.uk/government/publications/independent-review-of-building-regulations-and-fire-safety-final-report (Accessed: 18 June 2026).</w:t>
      </w:r>
    </w:p>
    <w:p w14:paraId="3284B016" w14:textId="77777777" w:rsidR="00B368B4" w:rsidRPr="007A7C32" w:rsidRDefault="00BF65B4">
      <w:pPr>
        <w:spacing w:after="40"/>
        <w:ind w:left="851" w:hanging="851"/>
        <w:rPr>
          <w:rFonts w:ascii="Calibri" w:hAnsi="Calibri" w:cs="Calibri"/>
          <w:lang w:val="en-US"/>
        </w:rPr>
      </w:pPr>
      <w:r w:rsidRPr="007A7C32">
        <w:rPr>
          <w:rFonts w:ascii="Calibri" w:hAnsi="Calibri" w:cs="Calibri"/>
          <w:lang w:val="en-US"/>
        </w:rPr>
        <w:t xml:space="preserve">Hogan, A., Blomqvist, E., </w:t>
      </w:r>
      <w:proofErr w:type="spellStart"/>
      <w:r w:rsidRPr="007A7C32">
        <w:rPr>
          <w:rFonts w:ascii="Calibri" w:hAnsi="Calibri" w:cs="Calibri"/>
          <w:lang w:val="en-US"/>
        </w:rPr>
        <w:t>Cochez</w:t>
      </w:r>
      <w:proofErr w:type="spellEnd"/>
      <w:r w:rsidRPr="007A7C32">
        <w:rPr>
          <w:rFonts w:ascii="Calibri" w:hAnsi="Calibri" w:cs="Calibri"/>
          <w:lang w:val="en-US"/>
        </w:rPr>
        <w:t xml:space="preserve">, M., D’Amato, C., de Melo, G., Gutierrez, C., Kirrane, S., Neumaier, S., </w:t>
      </w:r>
      <w:proofErr w:type="spellStart"/>
      <w:r w:rsidRPr="007A7C32">
        <w:rPr>
          <w:rFonts w:ascii="Calibri" w:hAnsi="Calibri" w:cs="Calibri"/>
          <w:lang w:val="en-US"/>
        </w:rPr>
        <w:t>Polleres</w:t>
      </w:r>
      <w:proofErr w:type="spellEnd"/>
      <w:r w:rsidRPr="007A7C32">
        <w:rPr>
          <w:rFonts w:ascii="Calibri" w:hAnsi="Calibri" w:cs="Calibri"/>
          <w:lang w:val="en-US"/>
        </w:rPr>
        <w:t xml:space="preserve">, A., </w:t>
      </w:r>
      <w:proofErr w:type="spellStart"/>
      <w:r w:rsidRPr="007A7C32">
        <w:rPr>
          <w:rFonts w:ascii="Calibri" w:hAnsi="Calibri" w:cs="Calibri"/>
          <w:lang w:val="en-US"/>
        </w:rPr>
        <w:t>Sequeda</w:t>
      </w:r>
      <w:proofErr w:type="spellEnd"/>
      <w:r w:rsidRPr="007A7C32">
        <w:rPr>
          <w:rFonts w:ascii="Calibri" w:hAnsi="Calibri" w:cs="Calibri"/>
          <w:lang w:val="en-US"/>
        </w:rPr>
        <w:t>, J., Staab, S. and Zimmermann, A</w:t>
      </w:r>
      <w:r w:rsidR="00743FEA" w:rsidRPr="007A7C32">
        <w:rPr>
          <w:rFonts w:ascii="Calibri" w:hAnsi="Calibri" w:cs="Calibri"/>
          <w:lang w:val="en-US"/>
        </w:rPr>
        <w:t>. (</w:t>
      </w:r>
      <w:r w:rsidRPr="007A7C32">
        <w:rPr>
          <w:rFonts w:ascii="Calibri" w:hAnsi="Calibri" w:cs="Calibri"/>
          <w:lang w:val="en-US"/>
        </w:rPr>
        <w:t>2021</w:t>
      </w:r>
      <w:r w:rsidR="00743FEA" w:rsidRPr="007A7C32">
        <w:rPr>
          <w:rFonts w:ascii="Calibri" w:hAnsi="Calibri" w:cs="Calibri"/>
          <w:lang w:val="en-US"/>
        </w:rPr>
        <w:t>)</w:t>
      </w:r>
      <w:r w:rsidRPr="007A7C32">
        <w:rPr>
          <w:rFonts w:ascii="Calibri" w:hAnsi="Calibri" w:cs="Calibri"/>
          <w:lang w:val="en-US"/>
        </w:rPr>
        <w:t xml:space="preserve"> Knowledge Graphs. San Rafael: Morgan &amp; Claypool Publishers.</w:t>
      </w:r>
    </w:p>
    <w:p w14:paraId="34B3A51F" w14:textId="77777777" w:rsidR="00EC6486" w:rsidRPr="007A7C32" w:rsidRDefault="00252D23">
      <w:pPr>
        <w:spacing w:after="40"/>
        <w:ind w:left="851" w:hanging="851"/>
        <w:rPr>
          <w:rFonts w:ascii="Calibri" w:hAnsi="Calibri" w:cs="Calibri"/>
        </w:rPr>
      </w:pPr>
      <w:r w:rsidRPr="007A7C32">
        <w:rPr>
          <w:rFonts w:ascii="Calibri" w:hAnsi="Calibri" w:cs="Calibri"/>
          <w:lang w:val="en-US"/>
        </w:rPr>
        <w:t xml:space="preserve">Huo, H. </w:t>
      </w:r>
      <w:r w:rsidRPr="007A7C32">
        <w:rPr>
          <w:rFonts w:ascii="Calibri" w:hAnsi="Calibri" w:cs="Calibri"/>
          <w:i/>
          <w:lang w:val="en-US"/>
        </w:rPr>
        <w:t>et al</w:t>
      </w:r>
      <w:r w:rsidRPr="007A7C32">
        <w:rPr>
          <w:rFonts w:ascii="Calibri" w:hAnsi="Calibri" w:cs="Calibri"/>
          <w:i/>
          <w:iCs/>
          <w:lang w:val="en-US"/>
        </w:rPr>
        <w:t>.</w:t>
      </w:r>
      <w:r w:rsidRPr="007A7C32">
        <w:rPr>
          <w:rFonts w:ascii="Calibri" w:hAnsi="Calibri" w:cs="Calibri"/>
          <w:lang w:val="en-US"/>
        </w:rPr>
        <w:t xml:space="preserve"> (</w:t>
      </w:r>
      <w:proofErr w:type="gramStart"/>
      <w:r w:rsidRPr="007A7C32">
        <w:rPr>
          <w:rFonts w:ascii="Calibri" w:hAnsi="Calibri" w:cs="Calibri"/>
          <w:lang w:val="en-US"/>
        </w:rPr>
        <w:t>2023) ‘</w:t>
      </w:r>
      <w:proofErr w:type="gramEnd"/>
      <w:r w:rsidRPr="007A7C32">
        <w:rPr>
          <w:rFonts w:ascii="Calibri" w:hAnsi="Calibri" w:cs="Calibri"/>
          <w:lang w:val="en-US"/>
        </w:rPr>
        <w:t>Design and application of intelligent construction quality inspection system based on BIM-RFID’, Advances in Civil Engineering, 2023, Article ID 5638265. https://doi.org/10.1155/2023/5638265</w:t>
      </w:r>
    </w:p>
    <w:p w14:paraId="4CC88BE9" w14:textId="2EBFD5FE" w:rsidR="00A7370B" w:rsidRPr="007A7C32" w:rsidRDefault="00A7370B" w:rsidP="00FF105E">
      <w:pPr>
        <w:spacing w:after="40"/>
        <w:ind w:left="851" w:hanging="851"/>
        <w:rPr>
          <w:rFonts w:ascii="Calibri" w:hAnsi="Calibri" w:cs="Calibri"/>
          <w:lang w:val="en-US"/>
        </w:rPr>
      </w:pPr>
      <w:r w:rsidRPr="007A7C32">
        <w:rPr>
          <w:rFonts w:ascii="Calibri" w:hAnsi="Calibri" w:cs="Calibri"/>
          <w:lang w:val="en-US"/>
        </w:rPr>
        <w:lastRenderedPageBreak/>
        <w:t>IEC (2022) IEC 81346-1:2022</w:t>
      </w:r>
      <w:r w:rsidR="00FF105E" w:rsidRPr="007A7C32">
        <w:rPr>
          <w:rFonts w:ascii="Calibri" w:hAnsi="Calibri" w:cs="Calibri"/>
          <w:lang w:val="en-US"/>
        </w:rPr>
        <w:t xml:space="preserve"> </w:t>
      </w:r>
      <w:r w:rsidRPr="007A7C32">
        <w:rPr>
          <w:rFonts w:ascii="Calibri" w:hAnsi="Calibri" w:cs="Calibri"/>
          <w:lang w:val="en-US"/>
        </w:rPr>
        <w:t>Industrial systems, installations and equipment and industrial products – Structuring principles and reference designations – Part 1: Basic rules. Geneva: International Electrotechnical Commission.</w:t>
      </w:r>
    </w:p>
    <w:p w14:paraId="24067B71" w14:textId="77777777" w:rsidR="00EC6486" w:rsidRPr="007A7C32" w:rsidRDefault="00252D23">
      <w:pPr>
        <w:spacing w:after="40"/>
        <w:ind w:left="851" w:hanging="851"/>
        <w:rPr>
          <w:rFonts w:ascii="Calibri" w:hAnsi="Calibri" w:cs="Calibri"/>
        </w:rPr>
      </w:pPr>
      <w:r w:rsidRPr="007A7C32">
        <w:rPr>
          <w:rFonts w:ascii="Calibri" w:hAnsi="Calibri" w:cs="Calibri"/>
          <w:lang w:val="en-US"/>
        </w:rPr>
        <w:t xml:space="preserve">Jansson, T. et al. (2026) </w:t>
      </w:r>
      <w:proofErr w:type="spellStart"/>
      <w:r w:rsidRPr="007A7C32">
        <w:rPr>
          <w:rFonts w:ascii="Calibri" w:hAnsi="Calibri" w:cs="Calibri"/>
          <w:lang w:val="en-US"/>
        </w:rPr>
        <w:t>Byggnadsverkets</w:t>
      </w:r>
      <w:proofErr w:type="spellEnd"/>
      <w:r w:rsidRPr="007A7C32">
        <w:rPr>
          <w:rFonts w:ascii="Calibri" w:hAnsi="Calibri" w:cs="Calibri"/>
          <w:lang w:val="en-US"/>
        </w:rPr>
        <w:t xml:space="preserve"> </w:t>
      </w:r>
      <w:proofErr w:type="spellStart"/>
      <w:r w:rsidRPr="007A7C32">
        <w:rPr>
          <w:rFonts w:ascii="Calibri" w:hAnsi="Calibri" w:cs="Calibri"/>
          <w:lang w:val="en-US"/>
        </w:rPr>
        <w:t>informationsmodell</w:t>
      </w:r>
      <w:proofErr w:type="spellEnd"/>
      <w:r w:rsidRPr="007A7C32">
        <w:rPr>
          <w:rFonts w:ascii="Calibri" w:hAnsi="Calibri" w:cs="Calibri"/>
          <w:lang w:val="en-US"/>
        </w:rPr>
        <w:t xml:space="preserve"> och </w:t>
      </w:r>
      <w:proofErr w:type="spellStart"/>
      <w:r w:rsidRPr="007A7C32">
        <w:rPr>
          <w:rFonts w:ascii="Calibri" w:hAnsi="Calibri" w:cs="Calibri"/>
          <w:lang w:val="en-US"/>
        </w:rPr>
        <w:t>tillämpningsexempel</w:t>
      </w:r>
      <w:proofErr w:type="spellEnd"/>
      <w:r w:rsidRPr="007A7C32">
        <w:rPr>
          <w:rFonts w:ascii="Calibri" w:hAnsi="Calibri" w:cs="Calibri"/>
          <w:lang w:val="en-US"/>
        </w:rPr>
        <w:t xml:space="preserve"> [Building asset information model and application examples, in Swedish]. </w:t>
      </w:r>
      <w:r w:rsidR="00181F2C" w:rsidRPr="007A7C32">
        <w:rPr>
          <w:rFonts w:ascii="Calibri" w:hAnsi="Calibri" w:cs="Calibri"/>
        </w:rPr>
        <w:t>Available at: www.smartbuilt.se/Media/13xaawas/byggnadsverkets-informationsmodell-och-tillampningsexempel.pdf (Accessed: 25 June 2026).</w:t>
      </w:r>
    </w:p>
    <w:p w14:paraId="3516F208" w14:textId="77777777" w:rsidR="00B368B4" w:rsidRPr="007A7C32" w:rsidRDefault="00BF65B4">
      <w:pPr>
        <w:spacing w:after="40"/>
        <w:ind w:left="851" w:hanging="851"/>
        <w:rPr>
          <w:rFonts w:ascii="Calibri" w:hAnsi="Calibri" w:cs="Calibri"/>
        </w:rPr>
      </w:pPr>
      <w:r w:rsidRPr="007A7C32">
        <w:rPr>
          <w:rFonts w:ascii="Calibri" w:hAnsi="Calibri" w:cs="Calibri"/>
          <w:lang w:val="en-US"/>
        </w:rPr>
        <w:t>Kebede, R., Moscati, A., Tan, H. and Johansson, P</w:t>
      </w:r>
      <w:r w:rsidR="001F34C3" w:rsidRPr="007A7C32">
        <w:rPr>
          <w:rFonts w:ascii="Calibri" w:hAnsi="Calibri" w:cs="Calibri"/>
          <w:lang w:val="en-US"/>
        </w:rPr>
        <w:t>. (</w:t>
      </w:r>
      <w:proofErr w:type="gramStart"/>
      <w:r w:rsidRPr="007A7C32">
        <w:rPr>
          <w:rFonts w:ascii="Calibri" w:hAnsi="Calibri" w:cs="Calibri"/>
          <w:lang w:val="en-US"/>
        </w:rPr>
        <w:t>2022</w:t>
      </w:r>
      <w:r w:rsidR="001F34C3" w:rsidRPr="007A7C32">
        <w:rPr>
          <w:rFonts w:ascii="Calibri" w:hAnsi="Calibri" w:cs="Calibri"/>
          <w:lang w:val="en-US"/>
        </w:rPr>
        <w:t>) ‘</w:t>
      </w:r>
      <w:proofErr w:type="gramEnd"/>
      <w:r w:rsidRPr="007A7C32">
        <w:rPr>
          <w:rFonts w:ascii="Calibri" w:hAnsi="Calibri" w:cs="Calibri"/>
          <w:lang w:val="en-US"/>
        </w:rPr>
        <w:t xml:space="preserve">Integration of manufacturers’ product data in BIM platforms using semantic web </w:t>
      </w:r>
      <w:r w:rsidR="001F34C3" w:rsidRPr="007A7C32">
        <w:rPr>
          <w:rFonts w:ascii="Calibri" w:hAnsi="Calibri" w:cs="Calibri"/>
          <w:lang w:val="en-US"/>
        </w:rPr>
        <w:t>technologies’,</w:t>
      </w:r>
      <w:r w:rsidRPr="007A7C32">
        <w:rPr>
          <w:rFonts w:ascii="Calibri" w:hAnsi="Calibri" w:cs="Calibri"/>
          <w:lang w:val="en-US"/>
        </w:rPr>
        <w:t xml:space="preserve"> Automation in Construction, 144, 104630. https://doi.org/10.1016/j.autcon.2022.104630</w:t>
      </w:r>
    </w:p>
    <w:p w14:paraId="56960E24" w14:textId="77777777" w:rsidR="00B368B4" w:rsidRPr="007A7C32" w:rsidRDefault="00BF65B4">
      <w:pPr>
        <w:spacing w:after="40"/>
        <w:ind w:left="851" w:hanging="851"/>
        <w:rPr>
          <w:rFonts w:ascii="Calibri" w:hAnsi="Calibri" w:cs="Calibri"/>
        </w:rPr>
      </w:pPr>
      <w:r w:rsidRPr="007A7C32">
        <w:rPr>
          <w:rFonts w:ascii="Calibri" w:hAnsi="Calibri" w:cs="Calibri"/>
          <w:lang w:val="en-US"/>
        </w:rPr>
        <w:t xml:space="preserve">Kebede, R., Moscati, A., Tan, H. and Johansson, P. (2023) ‘Circular economy in the built environment: A framework for implementing digital product passports with knowledge graphs’, in Proceedings of the </w:t>
      </w:r>
      <w:r w:rsidR="008655C7" w:rsidRPr="007A7C32">
        <w:rPr>
          <w:rFonts w:ascii="Calibri" w:hAnsi="Calibri" w:cs="Calibri"/>
          <w:lang w:val="en-US"/>
        </w:rPr>
        <w:t>2023 European Conference on Computing in Construction and the 40th International CIB W78 Conference, Heraklion, Greece, 10–12 July 2023, pp. 925–932. https://doi.org/10.35490/EC3.2023.245</w:t>
      </w:r>
    </w:p>
    <w:p w14:paraId="5877D0F9" w14:textId="77777777" w:rsidR="00B368B4" w:rsidRPr="007A7C32" w:rsidRDefault="00BF65B4">
      <w:pPr>
        <w:spacing w:after="40"/>
        <w:ind w:left="851" w:hanging="851"/>
        <w:rPr>
          <w:rFonts w:ascii="Calibri" w:hAnsi="Calibri" w:cs="Calibri"/>
        </w:rPr>
      </w:pPr>
      <w:r w:rsidRPr="007A7C32">
        <w:rPr>
          <w:rFonts w:ascii="Calibri" w:hAnsi="Calibri" w:cs="Calibri"/>
          <w:lang w:val="en-US"/>
        </w:rPr>
        <w:t>Kebede, R., Moscati, A., Tan, H. and Johansson, P</w:t>
      </w:r>
      <w:r w:rsidR="007972E0" w:rsidRPr="007A7C32">
        <w:rPr>
          <w:rFonts w:ascii="Calibri" w:hAnsi="Calibri" w:cs="Calibri"/>
          <w:lang w:val="en-US"/>
        </w:rPr>
        <w:t>. (</w:t>
      </w:r>
      <w:r w:rsidRPr="007A7C32">
        <w:rPr>
          <w:rFonts w:ascii="Calibri" w:hAnsi="Calibri" w:cs="Calibri"/>
          <w:lang w:val="en-US"/>
        </w:rPr>
        <w:t>2024</w:t>
      </w:r>
      <w:r w:rsidR="007972E0" w:rsidRPr="007A7C32">
        <w:rPr>
          <w:rFonts w:ascii="Calibri" w:hAnsi="Calibri" w:cs="Calibri"/>
          <w:lang w:val="en-US"/>
        </w:rPr>
        <w:t>) ‘</w:t>
      </w:r>
      <w:r w:rsidRPr="007A7C32">
        <w:rPr>
          <w:rFonts w:ascii="Calibri" w:hAnsi="Calibri" w:cs="Calibri"/>
          <w:lang w:val="en-US"/>
        </w:rPr>
        <w:t xml:space="preserve">A modular ontology modeling approach to developing digital product passports to promote circular economy in the built </w:t>
      </w:r>
      <w:r w:rsidR="007972E0" w:rsidRPr="007A7C32">
        <w:rPr>
          <w:rFonts w:ascii="Calibri" w:hAnsi="Calibri" w:cs="Calibri"/>
          <w:lang w:val="en-US"/>
        </w:rPr>
        <w:t>environment’,</w:t>
      </w:r>
      <w:r w:rsidRPr="007A7C32">
        <w:rPr>
          <w:rFonts w:ascii="Calibri" w:hAnsi="Calibri" w:cs="Calibri"/>
          <w:lang w:val="en-US"/>
        </w:rPr>
        <w:t xml:space="preserve"> Sustainable Production and Consumption, 48, pp.</w:t>
      </w:r>
      <w:r w:rsidR="007972E0" w:rsidRPr="007A7C32">
        <w:rPr>
          <w:rFonts w:ascii="Calibri" w:hAnsi="Calibri" w:cs="Calibri"/>
          <w:lang w:val="en-US"/>
        </w:rPr>
        <w:t xml:space="preserve"> </w:t>
      </w:r>
      <w:r w:rsidRPr="007A7C32">
        <w:rPr>
          <w:rFonts w:ascii="Calibri" w:hAnsi="Calibri" w:cs="Calibri"/>
          <w:lang w:val="en-US"/>
        </w:rPr>
        <w:t>248–268. https://doi.org/10.1016/j.spc.2024.05.007</w:t>
      </w:r>
    </w:p>
    <w:p w14:paraId="33F9DE0D" w14:textId="77777777" w:rsidR="006D29F1" w:rsidRPr="007A7C32" w:rsidRDefault="006D29F1">
      <w:pPr>
        <w:spacing w:after="40"/>
        <w:ind w:left="851" w:hanging="851"/>
        <w:rPr>
          <w:rFonts w:ascii="Calibri" w:hAnsi="Calibri" w:cs="Calibri"/>
          <w:lang w:val="en-US" w:eastAsia="sv-SE"/>
        </w:rPr>
      </w:pPr>
      <w:r w:rsidRPr="007A7C32">
        <w:rPr>
          <w:rFonts w:ascii="Calibri" w:hAnsi="Calibri" w:cs="Calibri"/>
          <w:lang w:val="en-US"/>
        </w:rPr>
        <w:t xml:space="preserve">König, M., Koch, C., Beetz, J. and Borrmann, A. (2018) </w:t>
      </w:r>
      <w:r w:rsidRPr="007A7C32">
        <w:rPr>
          <w:rFonts w:ascii="Calibri" w:hAnsi="Calibri" w:cs="Calibri"/>
          <w:i/>
          <w:iCs/>
          <w:lang w:val="en-US"/>
        </w:rPr>
        <w:t>Building Information Modeling: Why? What? How?</w:t>
      </w:r>
      <w:r w:rsidRPr="007A7C32">
        <w:rPr>
          <w:rFonts w:ascii="Calibri" w:hAnsi="Calibri" w:cs="Calibri"/>
          <w:lang w:val="en-US"/>
        </w:rPr>
        <w:t xml:space="preserve"> Cham: Springer. https://doi.org/10.1007/978-3-319-92862-3</w:t>
      </w:r>
    </w:p>
    <w:p w14:paraId="08904708" w14:textId="77777777" w:rsidR="00B368B4" w:rsidRPr="007A7C32" w:rsidRDefault="00BF65B4">
      <w:pPr>
        <w:spacing w:after="40"/>
        <w:ind w:left="851" w:hanging="851"/>
        <w:rPr>
          <w:rFonts w:ascii="Calibri" w:hAnsi="Calibri" w:cs="Calibri"/>
        </w:rPr>
      </w:pPr>
      <w:r w:rsidRPr="007A7C32">
        <w:rPr>
          <w:rFonts w:ascii="Calibri" w:hAnsi="Calibri" w:cs="Calibri"/>
          <w:lang w:val="en-US"/>
        </w:rPr>
        <w:t>Pauwels, P., Zhang, S. and Lee, Y.C. (2017) ‘Semantic web technologies in the AEC industry: A literature overview’, Automation in Construction, 73, pp. 145–165.</w:t>
      </w:r>
      <w:r w:rsidR="00212DEF" w:rsidRPr="007A7C32">
        <w:rPr>
          <w:rFonts w:ascii="Calibri" w:hAnsi="Calibri" w:cs="Calibri"/>
          <w:lang w:val="en-US"/>
        </w:rPr>
        <w:t xml:space="preserve"> https://doi.org/10.1016/j.autcon.2016.10.003</w:t>
      </w:r>
    </w:p>
    <w:p w14:paraId="051525AF" w14:textId="77777777" w:rsidR="00EC42D8" w:rsidRPr="007A7C32" w:rsidRDefault="00EC42D8">
      <w:pPr>
        <w:spacing w:after="40"/>
        <w:ind w:left="851" w:hanging="851"/>
        <w:rPr>
          <w:rFonts w:ascii="Calibri" w:hAnsi="Calibri" w:cs="Calibri"/>
          <w:lang w:val="en-US" w:eastAsia="sv-SE"/>
        </w:rPr>
      </w:pPr>
      <w:r w:rsidRPr="007A7C32">
        <w:rPr>
          <w:rFonts w:ascii="Calibri" w:hAnsi="Calibri" w:cs="Calibri"/>
          <w:lang w:val="en-US"/>
        </w:rPr>
        <w:t xml:space="preserve">Peffers, K., </w:t>
      </w:r>
      <w:proofErr w:type="spellStart"/>
      <w:r w:rsidRPr="007A7C32">
        <w:rPr>
          <w:rFonts w:ascii="Calibri" w:hAnsi="Calibri" w:cs="Calibri"/>
          <w:lang w:val="en-US"/>
        </w:rPr>
        <w:t>Tuunanen</w:t>
      </w:r>
      <w:proofErr w:type="spellEnd"/>
      <w:r w:rsidRPr="007A7C32">
        <w:rPr>
          <w:rFonts w:ascii="Calibri" w:hAnsi="Calibri" w:cs="Calibri"/>
          <w:lang w:val="en-US"/>
        </w:rPr>
        <w:t>, T., Rothenberger, M.A. and Chatterjee, S. (2007) ‘A design science research methodology for information systems research’, Journal of Management Information Systems, 24(3), pp. 45–77. https://doi.org/10.2753/MIS0742-1222240302</w:t>
      </w:r>
    </w:p>
    <w:p w14:paraId="5147DEA1" w14:textId="77777777" w:rsidR="00B368B4" w:rsidRPr="007A7C32" w:rsidRDefault="00BF65B4">
      <w:pPr>
        <w:spacing w:after="40"/>
        <w:ind w:left="851" w:hanging="851"/>
        <w:rPr>
          <w:rFonts w:ascii="Calibri" w:hAnsi="Calibri" w:cs="Calibri"/>
        </w:rPr>
      </w:pPr>
      <w:r w:rsidRPr="007A7C32">
        <w:rPr>
          <w:rFonts w:ascii="Calibri" w:hAnsi="Calibri" w:cs="Calibri"/>
          <w:lang w:val="en-US"/>
        </w:rPr>
        <w:t>Pyke, C.R. and Madan, I</w:t>
      </w:r>
      <w:r w:rsidR="0069330E" w:rsidRPr="007A7C32">
        <w:rPr>
          <w:rFonts w:ascii="Calibri" w:hAnsi="Calibri" w:cs="Calibri"/>
          <w:lang w:val="en-US"/>
        </w:rPr>
        <w:t>. (</w:t>
      </w:r>
      <w:r w:rsidRPr="007A7C32">
        <w:rPr>
          <w:rFonts w:ascii="Calibri" w:hAnsi="Calibri" w:cs="Calibri"/>
          <w:lang w:val="en-US"/>
        </w:rPr>
        <w:t>2013</w:t>
      </w:r>
      <w:r w:rsidR="0069330E" w:rsidRPr="007A7C32">
        <w:rPr>
          <w:rFonts w:ascii="Calibri" w:hAnsi="Calibri" w:cs="Calibri"/>
          <w:lang w:val="en-US"/>
        </w:rPr>
        <w:t>) ‘</w:t>
      </w:r>
      <w:r w:rsidRPr="007A7C32">
        <w:rPr>
          <w:rFonts w:ascii="Calibri" w:hAnsi="Calibri" w:cs="Calibri"/>
          <w:lang w:val="en-US"/>
        </w:rPr>
        <w:t xml:space="preserve">Breaking barriers to interoperability: assigning spatially and temporally unique identifiers to spaces and </w:t>
      </w:r>
      <w:r w:rsidR="0069330E" w:rsidRPr="007A7C32">
        <w:rPr>
          <w:rFonts w:ascii="Calibri" w:hAnsi="Calibri" w:cs="Calibri"/>
          <w:lang w:val="en-US"/>
        </w:rPr>
        <w:t>buildings’,</w:t>
      </w:r>
      <w:r w:rsidRPr="007A7C32">
        <w:rPr>
          <w:rFonts w:ascii="Calibri" w:hAnsi="Calibri" w:cs="Calibri"/>
          <w:lang w:val="en-US"/>
        </w:rPr>
        <w:t xml:space="preserve"> Annals of the New York Academy of Sciences, 1295(1), pp.</w:t>
      </w:r>
      <w:r w:rsidR="0069330E" w:rsidRPr="007A7C32">
        <w:rPr>
          <w:rFonts w:ascii="Calibri" w:hAnsi="Calibri" w:cs="Calibri"/>
          <w:lang w:val="en-US"/>
        </w:rPr>
        <w:t xml:space="preserve"> </w:t>
      </w:r>
      <w:r w:rsidRPr="007A7C32">
        <w:rPr>
          <w:rFonts w:ascii="Calibri" w:hAnsi="Calibri" w:cs="Calibri"/>
          <w:lang w:val="en-US"/>
        </w:rPr>
        <w:t>10–17. https://doi.org/10.1111/nyas.12225</w:t>
      </w:r>
    </w:p>
    <w:p w14:paraId="7AFE8176" w14:textId="126FC3FD" w:rsidR="00B368B4" w:rsidRPr="007A7C32" w:rsidRDefault="00BF65B4">
      <w:pPr>
        <w:spacing w:after="40"/>
        <w:ind w:left="851" w:hanging="851"/>
        <w:rPr>
          <w:rFonts w:ascii="Calibri" w:hAnsi="Calibri" w:cs="Calibri"/>
          <w:lang w:val="en-US"/>
        </w:rPr>
      </w:pPr>
      <w:r w:rsidRPr="007A7C32">
        <w:rPr>
          <w:rFonts w:ascii="Calibri" w:hAnsi="Calibri" w:cs="Calibri"/>
          <w:lang w:val="en-US"/>
        </w:rPr>
        <w:t>Rasmussen, M.H., Lefrançois, M., Pauwels, P., Hviid, C.A. and Karlshøj, J. (2019) ‘Managing interrelated project information in AEC knowledge graphs’, Automation in Construction, 108, 102956.</w:t>
      </w:r>
      <w:r w:rsidR="00A35C0C" w:rsidRPr="007A7C32">
        <w:rPr>
          <w:rFonts w:ascii="Calibri" w:hAnsi="Calibri" w:cs="Calibri"/>
          <w:lang w:val="en-US"/>
        </w:rPr>
        <w:t xml:space="preserve"> </w:t>
      </w:r>
      <w:hyperlink r:id="rId11" w:history="1">
        <w:r w:rsidR="00B366C6" w:rsidRPr="0029226A">
          <w:rPr>
            <w:lang w:val="en-US"/>
          </w:rPr>
          <w:t>https://doi.org/10.1016/j.autcon.2019.102956</w:t>
        </w:r>
      </w:hyperlink>
    </w:p>
    <w:p w14:paraId="28B8DBE3" w14:textId="77777777" w:rsidR="00EC6486" w:rsidRPr="007A7C32" w:rsidRDefault="00252D23">
      <w:pPr>
        <w:spacing w:after="40"/>
        <w:ind w:left="851" w:hanging="851"/>
        <w:rPr>
          <w:rFonts w:ascii="Calibri" w:hAnsi="Calibri" w:cs="Calibri"/>
        </w:rPr>
      </w:pPr>
      <w:proofErr w:type="spellStart"/>
      <w:r w:rsidRPr="007A7C32">
        <w:rPr>
          <w:rFonts w:ascii="Calibri" w:hAnsi="Calibri" w:cs="Calibri"/>
        </w:rPr>
        <w:t>Rogage</w:t>
      </w:r>
      <w:proofErr w:type="spellEnd"/>
      <w:r w:rsidRPr="007A7C32">
        <w:rPr>
          <w:rFonts w:ascii="Calibri" w:hAnsi="Calibri" w:cs="Calibri"/>
        </w:rPr>
        <w:t>, K. and Greenwood, D. (2020) ‘Data transfer between digital models of built assets and their operation and maintenance systems’, Journal of Information Technology in Construction (</w:t>
      </w:r>
      <w:proofErr w:type="spellStart"/>
      <w:r w:rsidRPr="007A7C32">
        <w:rPr>
          <w:rFonts w:ascii="Calibri" w:hAnsi="Calibri" w:cs="Calibri"/>
        </w:rPr>
        <w:t>ITcon</w:t>
      </w:r>
      <w:proofErr w:type="spellEnd"/>
      <w:r w:rsidRPr="007A7C32">
        <w:rPr>
          <w:rFonts w:ascii="Calibri" w:hAnsi="Calibri" w:cs="Calibri"/>
        </w:rPr>
        <w:t>), 25, pp. 469–481. https://doi.org/10.36680/j.itcon.2020.027</w:t>
      </w:r>
    </w:p>
    <w:p w14:paraId="6AA46E6D" w14:textId="77777777" w:rsidR="00B368B4" w:rsidRPr="007A7C32" w:rsidRDefault="00BF65B4">
      <w:pPr>
        <w:spacing w:after="40"/>
        <w:ind w:left="851" w:hanging="851"/>
        <w:rPr>
          <w:rFonts w:ascii="Calibri" w:hAnsi="Calibri" w:cs="Calibri"/>
        </w:rPr>
      </w:pPr>
      <w:proofErr w:type="spellStart"/>
      <w:r w:rsidRPr="007A7C32">
        <w:rPr>
          <w:rFonts w:ascii="Calibri" w:hAnsi="Calibri" w:cs="Calibri"/>
          <w:lang w:val="en-US"/>
        </w:rPr>
        <w:t>Royano</w:t>
      </w:r>
      <w:proofErr w:type="spellEnd"/>
      <w:r w:rsidRPr="007A7C32">
        <w:rPr>
          <w:rFonts w:ascii="Calibri" w:hAnsi="Calibri" w:cs="Calibri"/>
          <w:lang w:val="en-US"/>
        </w:rPr>
        <w:t>, V., Gibert, V., Serrat, C. and Rapinski, J</w:t>
      </w:r>
      <w:r w:rsidR="00F85696" w:rsidRPr="007A7C32">
        <w:rPr>
          <w:rFonts w:ascii="Calibri" w:hAnsi="Calibri" w:cs="Calibri"/>
          <w:lang w:val="en-US"/>
        </w:rPr>
        <w:t>. (</w:t>
      </w:r>
      <w:proofErr w:type="gramStart"/>
      <w:r w:rsidRPr="007A7C32">
        <w:rPr>
          <w:rFonts w:ascii="Calibri" w:hAnsi="Calibri" w:cs="Calibri"/>
          <w:lang w:val="en-US"/>
        </w:rPr>
        <w:t>2023</w:t>
      </w:r>
      <w:r w:rsidR="00F85696" w:rsidRPr="007A7C32">
        <w:rPr>
          <w:rFonts w:ascii="Calibri" w:hAnsi="Calibri" w:cs="Calibri"/>
          <w:lang w:val="en-US"/>
        </w:rPr>
        <w:t>) ‘</w:t>
      </w:r>
      <w:proofErr w:type="gramEnd"/>
      <w:r w:rsidRPr="007A7C32">
        <w:rPr>
          <w:rFonts w:ascii="Calibri" w:hAnsi="Calibri" w:cs="Calibri"/>
          <w:lang w:val="en-US"/>
        </w:rPr>
        <w:t xml:space="preserve">Analysis of classification systems for the built environment: Historical perspective, comprehensive review and </w:t>
      </w:r>
      <w:r w:rsidR="00F85696" w:rsidRPr="007A7C32">
        <w:rPr>
          <w:rFonts w:ascii="Calibri" w:hAnsi="Calibri" w:cs="Calibri"/>
          <w:lang w:val="en-US"/>
        </w:rPr>
        <w:t>discussion’,</w:t>
      </w:r>
      <w:r w:rsidRPr="007A7C32">
        <w:rPr>
          <w:rFonts w:ascii="Calibri" w:hAnsi="Calibri" w:cs="Calibri"/>
          <w:lang w:val="en-US"/>
        </w:rPr>
        <w:t xml:space="preserve"> Journal of Building Engineering, 67, 105911. https://doi.org/10.1016/j.jobe.2023.105911</w:t>
      </w:r>
    </w:p>
    <w:p w14:paraId="21591C48" w14:textId="77777777" w:rsidR="0041772F" w:rsidRPr="007A7C32" w:rsidRDefault="0041772F">
      <w:pPr>
        <w:spacing w:after="40"/>
        <w:ind w:left="851" w:hanging="851"/>
        <w:rPr>
          <w:rFonts w:ascii="Calibri" w:hAnsi="Calibri" w:cs="Calibri"/>
          <w:lang w:val="en-US" w:eastAsia="sv-SE"/>
        </w:rPr>
      </w:pPr>
      <w:r w:rsidRPr="007A7C32">
        <w:rPr>
          <w:rFonts w:ascii="Calibri" w:hAnsi="Calibri" w:cs="Calibri"/>
          <w:lang w:val="en-US"/>
        </w:rPr>
        <w:t xml:space="preserve">Sacks, R., Lee, G., Burdi, L. and </w:t>
      </w:r>
      <w:proofErr w:type="spellStart"/>
      <w:r w:rsidRPr="007A7C32">
        <w:rPr>
          <w:rFonts w:ascii="Calibri" w:hAnsi="Calibri" w:cs="Calibri"/>
          <w:lang w:val="en-US"/>
        </w:rPr>
        <w:t>Bolpagni</w:t>
      </w:r>
      <w:proofErr w:type="spellEnd"/>
      <w:r w:rsidRPr="007A7C32">
        <w:rPr>
          <w:rFonts w:ascii="Calibri" w:hAnsi="Calibri" w:cs="Calibri"/>
          <w:lang w:val="en-US"/>
        </w:rPr>
        <w:t xml:space="preserve">, M. (2025) </w:t>
      </w:r>
      <w:r w:rsidRPr="007A7C32">
        <w:rPr>
          <w:rFonts w:ascii="Calibri" w:hAnsi="Calibri" w:cs="Calibri"/>
          <w:i/>
          <w:iCs/>
          <w:lang w:val="en-US"/>
        </w:rPr>
        <w:t>BIM Handbook: A Guide to Building Information Modeling for Owners, Designers, Engineers, Contractors, and Facility Managers</w:t>
      </w:r>
      <w:r w:rsidRPr="007A7C32">
        <w:rPr>
          <w:rFonts w:ascii="Calibri" w:hAnsi="Calibri" w:cs="Calibri"/>
          <w:lang w:val="en-US"/>
        </w:rPr>
        <w:t xml:space="preserve">. 4th </w:t>
      </w:r>
      <w:proofErr w:type="spellStart"/>
      <w:r w:rsidRPr="007A7C32">
        <w:rPr>
          <w:rFonts w:ascii="Calibri" w:hAnsi="Calibri" w:cs="Calibri"/>
          <w:lang w:val="en-US"/>
        </w:rPr>
        <w:t>edn</w:t>
      </w:r>
      <w:proofErr w:type="spellEnd"/>
      <w:r w:rsidRPr="007A7C32">
        <w:rPr>
          <w:rFonts w:ascii="Calibri" w:hAnsi="Calibri" w:cs="Calibri"/>
          <w:lang w:val="en-US"/>
        </w:rPr>
        <w:t>. Hoboken: John Wiley &amp; Sons.</w:t>
      </w:r>
    </w:p>
    <w:p w14:paraId="3DE9FC98" w14:textId="77777777" w:rsidR="00B368B4" w:rsidRPr="007A7C32" w:rsidRDefault="00BF65B4">
      <w:pPr>
        <w:spacing w:after="40"/>
        <w:ind w:left="851" w:hanging="851"/>
        <w:rPr>
          <w:rFonts w:ascii="Calibri" w:hAnsi="Calibri" w:cs="Calibri"/>
        </w:rPr>
      </w:pPr>
      <w:r w:rsidRPr="007A7C32">
        <w:rPr>
          <w:rFonts w:ascii="Calibri" w:hAnsi="Calibri" w:cs="Calibri"/>
          <w:lang w:val="en-US"/>
        </w:rPr>
        <w:lastRenderedPageBreak/>
        <w:t>Sadrinooshabadi, S., Taheri, A., Yitmen, I. and Jongeling, R</w:t>
      </w:r>
      <w:r w:rsidR="00CE77A6" w:rsidRPr="007A7C32">
        <w:rPr>
          <w:rFonts w:ascii="Calibri" w:hAnsi="Calibri" w:cs="Calibri"/>
          <w:lang w:val="en-US"/>
        </w:rPr>
        <w:t>. (</w:t>
      </w:r>
      <w:r w:rsidRPr="007A7C32">
        <w:rPr>
          <w:rFonts w:ascii="Calibri" w:hAnsi="Calibri" w:cs="Calibri"/>
          <w:lang w:val="en-US"/>
        </w:rPr>
        <w:t>2021</w:t>
      </w:r>
      <w:r w:rsidR="00CE77A6" w:rsidRPr="007A7C32">
        <w:rPr>
          <w:rFonts w:ascii="Calibri" w:hAnsi="Calibri" w:cs="Calibri"/>
          <w:lang w:val="en-US"/>
        </w:rPr>
        <w:t>) ‘</w:t>
      </w:r>
      <w:r w:rsidRPr="007A7C32">
        <w:rPr>
          <w:rFonts w:ascii="Calibri" w:hAnsi="Calibri" w:cs="Calibri"/>
          <w:lang w:val="en-US"/>
        </w:rPr>
        <w:t xml:space="preserve">Requirement management in a life cycle perspective based on ISO 19650-1 and </w:t>
      </w:r>
      <w:proofErr w:type="spellStart"/>
      <w:r w:rsidRPr="007A7C32">
        <w:rPr>
          <w:rFonts w:ascii="Calibri" w:hAnsi="Calibri" w:cs="Calibri"/>
          <w:lang w:val="en-US"/>
        </w:rPr>
        <w:t>CoClass</w:t>
      </w:r>
      <w:proofErr w:type="spellEnd"/>
      <w:r w:rsidRPr="007A7C32">
        <w:rPr>
          <w:rFonts w:ascii="Calibri" w:hAnsi="Calibri" w:cs="Calibri"/>
          <w:lang w:val="en-US"/>
        </w:rPr>
        <w:t xml:space="preserve"> as the new classification system in </w:t>
      </w:r>
      <w:r w:rsidR="00CE77A6" w:rsidRPr="007A7C32">
        <w:rPr>
          <w:rFonts w:ascii="Calibri" w:hAnsi="Calibri" w:cs="Calibri"/>
          <w:lang w:val="en-US"/>
        </w:rPr>
        <w:t>Sweden’,</w:t>
      </w:r>
      <w:r w:rsidRPr="007A7C32">
        <w:rPr>
          <w:rFonts w:ascii="Calibri" w:hAnsi="Calibri" w:cs="Calibri"/>
          <w:lang w:val="en-US"/>
        </w:rPr>
        <w:t xml:space="preserve"> Engineering, Construction and Architectural Management, 28(9), pp.</w:t>
      </w:r>
      <w:r w:rsidR="00CE77A6" w:rsidRPr="007A7C32">
        <w:rPr>
          <w:rFonts w:ascii="Calibri" w:hAnsi="Calibri" w:cs="Calibri"/>
          <w:lang w:val="en-US"/>
        </w:rPr>
        <w:t xml:space="preserve"> </w:t>
      </w:r>
      <w:r w:rsidRPr="007A7C32">
        <w:rPr>
          <w:rFonts w:ascii="Calibri" w:hAnsi="Calibri" w:cs="Calibri"/>
          <w:lang w:val="en-US"/>
        </w:rPr>
        <w:t>2736–2753. https://doi.org/10.1108/ECAM-07-2020-0538</w:t>
      </w:r>
    </w:p>
    <w:p w14:paraId="3AAEDFDE" w14:textId="77777777" w:rsidR="00B368B4" w:rsidRPr="007A7C32" w:rsidRDefault="00BF65B4">
      <w:pPr>
        <w:spacing w:after="40"/>
        <w:ind w:left="851" w:hanging="851"/>
        <w:rPr>
          <w:rFonts w:ascii="Calibri" w:hAnsi="Calibri" w:cs="Calibri"/>
        </w:rPr>
      </w:pPr>
      <w:r w:rsidRPr="007A7C32">
        <w:rPr>
          <w:rFonts w:ascii="Calibri" w:hAnsi="Calibri" w:cs="Calibri"/>
          <w:lang w:val="en-US"/>
        </w:rPr>
        <w:t>Tang, S., Bito, T. and Shide, K</w:t>
      </w:r>
      <w:r w:rsidR="00B14A3C" w:rsidRPr="007A7C32">
        <w:rPr>
          <w:rFonts w:ascii="Calibri" w:hAnsi="Calibri" w:cs="Calibri"/>
          <w:lang w:val="en-US"/>
        </w:rPr>
        <w:t>. (</w:t>
      </w:r>
      <w:r w:rsidRPr="007A7C32">
        <w:rPr>
          <w:rFonts w:ascii="Calibri" w:hAnsi="Calibri" w:cs="Calibri"/>
          <w:lang w:val="en-US"/>
        </w:rPr>
        <w:t>2025</w:t>
      </w:r>
      <w:r w:rsidR="00B14A3C" w:rsidRPr="007A7C32">
        <w:rPr>
          <w:rFonts w:ascii="Calibri" w:hAnsi="Calibri" w:cs="Calibri"/>
          <w:lang w:val="en-US"/>
        </w:rPr>
        <w:t>) ‘</w:t>
      </w:r>
      <w:r w:rsidRPr="007A7C32">
        <w:rPr>
          <w:rFonts w:ascii="Calibri" w:hAnsi="Calibri" w:cs="Calibri"/>
          <w:lang w:val="en-US"/>
        </w:rPr>
        <w:t xml:space="preserve">Automatic classification of BIM objects based on IFC data using the </w:t>
      </w:r>
      <w:proofErr w:type="spellStart"/>
      <w:r w:rsidRPr="007A7C32">
        <w:rPr>
          <w:rFonts w:ascii="Calibri" w:hAnsi="Calibri" w:cs="Calibri"/>
          <w:lang w:val="en-US"/>
        </w:rPr>
        <w:t>Uniclass</w:t>
      </w:r>
      <w:proofErr w:type="spellEnd"/>
      <w:r w:rsidRPr="007A7C32">
        <w:rPr>
          <w:rFonts w:ascii="Calibri" w:hAnsi="Calibri" w:cs="Calibri"/>
          <w:lang w:val="en-US"/>
        </w:rPr>
        <w:t xml:space="preserve"> classification </w:t>
      </w:r>
      <w:r w:rsidR="00B14A3C" w:rsidRPr="007A7C32">
        <w:rPr>
          <w:rFonts w:ascii="Calibri" w:hAnsi="Calibri" w:cs="Calibri"/>
          <w:lang w:val="en-US"/>
        </w:rPr>
        <w:t>standard’,</w:t>
      </w:r>
      <w:r w:rsidRPr="007A7C32">
        <w:rPr>
          <w:rFonts w:ascii="Calibri" w:hAnsi="Calibri" w:cs="Calibri"/>
          <w:lang w:val="en-US"/>
        </w:rPr>
        <w:t xml:space="preserve"> Buildings, 15(13), 2347. https://doi.org/10.3390/buildings15132347</w:t>
      </w:r>
    </w:p>
    <w:p w14:paraId="213ED5C0" w14:textId="77777777" w:rsidR="002822CF" w:rsidRPr="007A7C32" w:rsidRDefault="00A4707F">
      <w:pPr>
        <w:spacing w:after="40"/>
        <w:ind w:left="851" w:hanging="851"/>
        <w:rPr>
          <w:rFonts w:ascii="Calibri" w:hAnsi="Calibri" w:cs="Calibri"/>
        </w:rPr>
      </w:pPr>
      <w:r w:rsidRPr="007A7C32">
        <w:rPr>
          <w:rFonts w:ascii="Calibri" w:hAnsi="Calibri" w:cs="Calibri"/>
          <w:lang w:val="en-US"/>
        </w:rPr>
        <w:t>UK Government (2024) Keeping information about a higher-risk building: the golden thread. Available at: https://www.gov.uk/guidance/keeping-information-about-a-higher-risk-building-the-golden-thread (Accessed: 25 June 2026).</w:t>
      </w:r>
    </w:p>
    <w:p w14:paraId="4173EA84" w14:textId="77777777" w:rsidR="00EC6486" w:rsidRPr="007A7C32" w:rsidRDefault="00173F52">
      <w:pPr>
        <w:spacing w:after="40"/>
        <w:ind w:left="851" w:hanging="851"/>
        <w:rPr>
          <w:rFonts w:ascii="Calibri" w:hAnsi="Calibri" w:cs="Calibri"/>
        </w:rPr>
      </w:pPr>
      <w:r w:rsidRPr="007A7C32">
        <w:rPr>
          <w:rFonts w:ascii="Calibri" w:hAnsi="Calibri" w:cs="Calibri"/>
        </w:rPr>
        <w:t>W3C (</w:t>
      </w:r>
      <w:r w:rsidR="0080385E" w:rsidRPr="007A7C32">
        <w:rPr>
          <w:rFonts w:ascii="Calibri" w:hAnsi="Calibri" w:cs="Calibri"/>
        </w:rPr>
        <w:t>2026)</w:t>
      </w:r>
      <w:r w:rsidRPr="007A7C32">
        <w:rPr>
          <w:rFonts w:ascii="Calibri" w:hAnsi="Calibri" w:cs="Calibri"/>
        </w:rPr>
        <w:t xml:space="preserve"> Semantic Web Wiki: Main Page. Available at: https://www.w3.org/2001/sw/wiki/Main_Page (Accessed: 25 June 2026).</w:t>
      </w:r>
    </w:p>
    <w:p w14:paraId="6362413A" w14:textId="77777777" w:rsidR="00EC6486" w:rsidRPr="007A7C32" w:rsidRDefault="00252D23">
      <w:pPr>
        <w:spacing w:after="40"/>
        <w:ind w:left="851" w:hanging="851"/>
        <w:rPr>
          <w:rFonts w:ascii="Calibri" w:hAnsi="Calibri" w:cs="Calibri"/>
        </w:rPr>
      </w:pPr>
      <w:r w:rsidRPr="007A7C32">
        <w:rPr>
          <w:rFonts w:ascii="Calibri" w:hAnsi="Calibri" w:cs="Calibri"/>
          <w:lang w:val="sv-SE"/>
        </w:rPr>
        <w:t>Wikström, L</w:t>
      </w:r>
      <w:r w:rsidR="00AC28BB" w:rsidRPr="007A7C32">
        <w:rPr>
          <w:rFonts w:ascii="Calibri" w:hAnsi="Calibri" w:cs="Calibri"/>
          <w:lang w:val="sv-SE"/>
        </w:rPr>
        <w:t>. (</w:t>
      </w:r>
      <w:r w:rsidRPr="007A7C32">
        <w:rPr>
          <w:rFonts w:ascii="Calibri" w:hAnsi="Calibri" w:cs="Calibri"/>
          <w:lang w:val="sv-SE"/>
        </w:rPr>
        <w:t>2026</w:t>
      </w:r>
      <w:r w:rsidR="00AC28BB" w:rsidRPr="007A7C32">
        <w:rPr>
          <w:rFonts w:ascii="Calibri" w:hAnsi="Calibri" w:cs="Calibri"/>
          <w:lang w:val="sv-SE"/>
        </w:rPr>
        <w:t>)</w:t>
      </w:r>
      <w:r w:rsidRPr="007A7C32">
        <w:rPr>
          <w:rFonts w:ascii="Calibri" w:hAnsi="Calibri" w:cs="Calibri"/>
          <w:lang w:val="sv-SE"/>
        </w:rPr>
        <w:t xml:space="preserve"> Anteckningar och kunskapsgrafsexempel för URI-baserad identifiering [Notes and </w:t>
      </w:r>
      <w:proofErr w:type="spellStart"/>
      <w:r w:rsidRPr="007A7C32">
        <w:rPr>
          <w:rFonts w:ascii="Calibri" w:hAnsi="Calibri" w:cs="Calibri"/>
          <w:lang w:val="sv-SE"/>
        </w:rPr>
        <w:t>knowledge</w:t>
      </w:r>
      <w:proofErr w:type="spellEnd"/>
      <w:r w:rsidRPr="007A7C32">
        <w:rPr>
          <w:rFonts w:ascii="Calibri" w:hAnsi="Calibri" w:cs="Calibri"/>
          <w:lang w:val="sv-SE"/>
        </w:rPr>
        <w:t xml:space="preserve"> </w:t>
      </w:r>
      <w:proofErr w:type="spellStart"/>
      <w:r w:rsidRPr="007A7C32">
        <w:rPr>
          <w:rFonts w:ascii="Calibri" w:hAnsi="Calibri" w:cs="Calibri"/>
          <w:lang w:val="sv-SE"/>
        </w:rPr>
        <w:t>graph</w:t>
      </w:r>
      <w:proofErr w:type="spellEnd"/>
      <w:r w:rsidRPr="007A7C32">
        <w:rPr>
          <w:rFonts w:ascii="Calibri" w:hAnsi="Calibri" w:cs="Calibri"/>
          <w:lang w:val="sv-SE"/>
        </w:rPr>
        <w:t xml:space="preserve"> </w:t>
      </w:r>
      <w:proofErr w:type="spellStart"/>
      <w:r w:rsidRPr="007A7C32">
        <w:rPr>
          <w:rFonts w:ascii="Calibri" w:hAnsi="Calibri" w:cs="Calibri"/>
          <w:lang w:val="sv-SE"/>
        </w:rPr>
        <w:t>example</w:t>
      </w:r>
      <w:proofErr w:type="spellEnd"/>
      <w:r w:rsidRPr="007A7C32">
        <w:rPr>
          <w:rFonts w:ascii="Calibri" w:hAnsi="Calibri" w:cs="Calibri"/>
          <w:lang w:val="sv-SE"/>
        </w:rPr>
        <w:t xml:space="preserve"> on URI-</w:t>
      </w:r>
      <w:proofErr w:type="spellStart"/>
      <w:r w:rsidRPr="007A7C32">
        <w:rPr>
          <w:rFonts w:ascii="Calibri" w:hAnsi="Calibri" w:cs="Calibri"/>
          <w:lang w:val="sv-SE"/>
        </w:rPr>
        <w:t>based</w:t>
      </w:r>
      <w:proofErr w:type="spellEnd"/>
      <w:r w:rsidRPr="007A7C32">
        <w:rPr>
          <w:rFonts w:ascii="Calibri" w:hAnsi="Calibri" w:cs="Calibri"/>
          <w:lang w:val="sv-SE"/>
        </w:rPr>
        <w:t xml:space="preserve"> </w:t>
      </w:r>
      <w:proofErr w:type="spellStart"/>
      <w:r w:rsidRPr="007A7C32">
        <w:rPr>
          <w:rFonts w:ascii="Calibri" w:hAnsi="Calibri" w:cs="Calibri"/>
          <w:lang w:val="sv-SE"/>
        </w:rPr>
        <w:t>identifier</w:t>
      </w:r>
      <w:proofErr w:type="spellEnd"/>
      <w:r w:rsidRPr="007A7C32">
        <w:rPr>
          <w:rFonts w:ascii="Calibri" w:hAnsi="Calibri" w:cs="Calibri"/>
          <w:lang w:val="sv-SE"/>
        </w:rPr>
        <w:t xml:space="preserve"> </w:t>
      </w:r>
      <w:proofErr w:type="spellStart"/>
      <w:r w:rsidRPr="007A7C32">
        <w:rPr>
          <w:rFonts w:ascii="Calibri" w:hAnsi="Calibri" w:cs="Calibri"/>
          <w:lang w:val="sv-SE"/>
        </w:rPr>
        <w:t>modelling</w:t>
      </w:r>
      <w:proofErr w:type="spellEnd"/>
      <w:r w:rsidRPr="007A7C32">
        <w:rPr>
          <w:rFonts w:ascii="Calibri" w:hAnsi="Calibri" w:cs="Calibri"/>
          <w:lang w:val="sv-SE"/>
        </w:rPr>
        <w:t xml:space="preserve">, in Swedish]. </w:t>
      </w:r>
      <w:r w:rsidRPr="007A7C32">
        <w:rPr>
          <w:rFonts w:ascii="Calibri" w:hAnsi="Calibri" w:cs="Calibri"/>
          <w:lang w:val="en-US"/>
        </w:rPr>
        <w:t>Unpublished material and meeting notes, available from the authors upon request.</w:t>
      </w:r>
    </w:p>
    <w:p w14:paraId="130CFCC0" w14:textId="77777777" w:rsidR="00494017" w:rsidRPr="007A7C32" w:rsidRDefault="00494017">
      <w:pPr>
        <w:spacing w:after="40"/>
        <w:ind w:left="851" w:hanging="851"/>
        <w:rPr>
          <w:rFonts w:ascii="Calibri" w:hAnsi="Calibri" w:cs="Calibri"/>
          <w:lang w:val="en-US" w:eastAsia="sv-SE"/>
        </w:rPr>
      </w:pPr>
      <w:r w:rsidRPr="007A7C32">
        <w:rPr>
          <w:rFonts w:ascii="Calibri" w:hAnsi="Calibri" w:cs="Calibri"/>
          <w:lang w:val="en-US"/>
        </w:rPr>
        <w:t>Zhu, J. and Wu, P. (</w:t>
      </w:r>
      <w:proofErr w:type="gramStart"/>
      <w:r w:rsidRPr="007A7C32">
        <w:rPr>
          <w:rFonts w:ascii="Calibri" w:hAnsi="Calibri" w:cs="Calibri"/>
          <w:lang w:val="en-US"/>
        </w:rPr>
        <w:t>2022) ‘</w:t>
      </w:r>
      <w:proofErr w:type="gramEnd"/>
      <w:r w:rsidRPr="007A7C32">
        <w:rPr>
          <w:rFonts w:ascii="Calibri" w:hAnsi="Calibri" w:cs="Calibri"/>
          <w:lang w:val="en-US"/>
        </w:rPr>
        <w:t>BIM/GIS data integration from the perspective of information flow’, Automation in Construction, 136, 104166. https://doi.org/10.1016/j.autcon.2022.104166</w:t>
      </w:r>
    </w:p>
    <w:p w14:paraId="10F98FA1" w14:textId="77777777" w:rsidR="00EC6486" w:rsidRPr="00EC6486" w:rsidRDefault="00EC6486">
      <w:pPr>
        <w:spacing w:after="40"/>
        <w:ind w:left="851" w:hanging="851"/>
        <w:rPr>
          <w:lang w:val="en-US"/>
        </w:rPr>
      </w:pPr>
    </w:p>
    <w:sectPr w:rsidR="00EC6486" w:rsidRPr="00EC6486" w:rsidSect="008F02E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A3DE" w14:textId="77777777" w:rsidR="00A2174E" w:rsidRDefault="00A2174E" w:rsidP="005076E1">
      <w:pPr>
        <w:spacing w:after="0" w:line="240" w:lineRule="auto"/>
      </w:pPr>
      <w:r>
        <w:separator/>
      </w:r>
    </w:p>
  </w:endnote>
  <w:endnote w:type="continuationSeparator" w:id="0">
    <w:p w14:paraId="10602FC8" w14:textId="77777777" w:rsidR="00A2174E" w:rsidRDefault="00A2174E"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CE4F" w14:textId="77777777" w:rsidR="0036553C" w:rsidRDefault="003655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7216"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538856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B521" w14:textId="77777777" w:rsidR="0036553C" w:rsidRDefault="00365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5083" w14:textId="77777777" w:rsidR="00A2174E" w:rsidRDefault="00A2174E" w:rsidP="005076E1">
      <w:pPr>
        <w:spacing w:after="0" w:line="240" w:lineRule="auto"/>
      </w:pPr>
      <w:r>
        <w:separator/>
      </w:r>
    </w:p>
  </w:footnote>
  <w:footnote w:type="continuationSeparator" w:id="0">
    <w:p w14:paraId="0C27F605" w14:textId="77777777" w:rsidR="00A2174E" w:rsidRDefault="00A2174E"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F2F1" w14:textId="77777777" w:rsidR="0036553C" w:rsidRDefault="00365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3B33" w14:textId="77777777" w:rsidR="0036553C" w:rsidRDefault="00365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397A"/>
    <w:multiLevelType w:val="multilevel"/>
    <w:tmpl w:val="5830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C1883"/>
    <w:multiLevelType w:val="hybridMultilevel"/>
    <w:tmpl w:val="03B21372"/>
    <w:lvl w:ilvl="0" w:tplc="84984B10">
      <w:start w:val="1"/>
      <w:numFmt w:val="bullet"/>
      <w:lvlText w:val=""/>
      <w:lvlJc w:val="left"/>
      <w:pPr>
        <w:ind w:left="720" w:hanging="360"/>
      </w:pPr>
      <w:rPr>
        <w:rFonts w:ascii="Symbol" w:hAnsi="Symbol"/>
      </w:rPr>
    </w:lvl>
    <w:lvl w:ilvl="1" w:tplc="149C06AC">
      <w:start w:val="1"/>
      <w:numFmt w:val="bullet"/>
      <w:lvlText w:val=""/>
      <w:lvlJc w:val="left"/>
      <w:pPr>
        <w:ind w:left="720" w:hanging="360"/>
      </w:pPr>
      <w:rPr>
        <w:rFonts w:ascii="Symbol" w:hAnsi="Symbol"/>
      </w:rPr>
    </w:lvl>
    <w:lvl w:ilvl="2" w:tplc="6F9E885E">
      <w:start w:val="1"/>
      <w:numFmt w:val="bullet"/>
      <w:lvlText w:val=""/>
      <w:lvlJc w:val="left"/>
      <w:pPr>
        <w:ind w:left="720" w:hanging="360"/>
      </w:pPr>
      <w:rPr>
        <w:rFonts w:ascii="Symbol" w:hAnsi="Symbol"/>
      </w:rPr>
    </w:lvl>
    <w:lvl w:ilvl="3" w:tplc="1DDA9CB8">
      <w:start w:val="1"/>
      <w:numFmt w:val="bullet"/>
      <w:lvlText w:val=""/>
      <w:lvlJc w:val="left"/>
      <w:pPr>
        <w:ind w:left="720" w:hanging="360"/>
      </w:pPr>
      <w:rPr>
        <w:rFonts w:ascii="Symbol" w:hAnsi="Symbol"/>
      </w:rPr>
    </w:lvl>
    <w:lvl w:ilvl="4" w:tplc="E42AC1B0">
      <w:start w:val="1"/>
      <w:numFmt w:val="bullet"/>
      <w:lvlText w:val=""/>
      <w:lvlJc w:val="left"/>
      <w:pPr>
        <w:ind w:left="720" w:hanging="360"/>
      </w:pPr>
      <w:rPr>
        <w:rFonts w:ascii="Symbol" w:hAnsi="Symbol"/>
      </w:rPr>
    </w:lvl>
    <w:lvl w:ilvl="5" w:tplc="F8961710">
      <w:start w:val="1"/>
      <w:numFmt w:val="bullet"/>
      <w:lvlText w:val=""/>
      <w:lvlJc w:val="left"/>
      <w:pPr>
        <w:ind w:left="720" w:hanging="360"/>
      </w:pPr>
      <w:rPr>
        <w:rFonts w:ascii="Symbol" w:hAnsi="Symbol"/>
      </w:rPr>
    </w:lvl>
    <w:lvl w:ilvl="6" w:tplc="20223496">
      <w:start w:val="1"/>
      <w:numFmt w:val="bullet"/>
      <w:lvlText w:val=""/>
      <w:lvlJc w:val="left"/>
      <w:pPr>
        <w:ind w:left="720" w:hanging="360"/>
      </w:pPr>
      <w:rPr>
        <w:rFonts w:ascii="Symbol" w:hAnsi="Symbol"/>
      </w:rPr>
    </w:lvl>
    <w:lvl w:ilvl="7" w:tplc="C90E9162">
      <w:start w:val="1"/>
      <w:numFmt w:val="bullet"/>
      <w:lvlText w:val=""/>
      <w:lvlJc w:val="left"/>
      <w:pPr>
        <w:ind w:left="720" w:hanging="360"/>
      </w:pPr>
      <w:rPr>
        <w:rFonts w:ascii="Symbol" w:hAnsi="Symbol"/>
      </w:rPr>
    </w:lvl>
    <w:lvl w:ilvl="8" w:tplc="D9DC82D0">
      <w:start w:val="1"/>
      <w:numFmt w:val="bullet"/>
      <w:lvlText w:val=""/>
      <w:lvlJc w:val="left"/>
      <w:pPr>
        <w:ind w:left="720" w:hanging="360"/>
      </w:pPr>
      <w:rPr>
        <w:rFonts w:ascii="Symbol" w:hAnsi="Symbol"/>
      </w:rPr>
    </w:lvl>
  </w:abstractNum>
  <w:abstractNum w:abstractNumId="2" w15:restartNumberingAfterBreak="0">
    <w:nsid w:val="4049727A"/>
    <w:multiLevelType w:val="hybridMultilevel"/>
    <w:tmpl w:val="1652C46E"/>
    <w:lvl w:ilvl="0" w:tplc="27DC88A8">
      <w:start w:val="1"/>
      <w:numFmt w:val="bullet"/>
      <w:lvlText w:val=""/>
      <w:lvlJc w:val="left"/>
      <w:pPr>
        <w:ind w:left="720" w:hanging="360"/>
      </w:pPr>
      <w:rPr>
        <w:rFonts w:ascii="Symbol" w:hAnsi="Symbol"/>
      </w:rPr>
    </w:lvl>
    <w:lvl w:ilvl="1" w:tplc="3172721A">
      <w:start w:val="1"/>
      <w:numFmt w:val="bullet"/>
      <w:lvlText w:val=""/>
      <w:lvlJc w:val="left"/>
      <w:pPr>
        <w:ind w:left="720" w:hanging="360"/>
      </w:pPr>
      <w:rPr>
        <w:rFonts w:ascii="Symbol" w:hAnsi="Symbol"/>
      </w:rPr>
    </w:lvl>
    <w:lvl w:ilvl="2" w:tplc="C5D299CE">
      <w:start w:val="1"/>
      <w:numFmt w:val="bullet"/>
      <w:lvlText w:val=""/>
      <w:lvlJc w:val="left"/>
      <w:pPr>
        <w:ind w:left="720" w:hanging="360"/>
      </w:pPr>
      <w:rPr>
        <w:rFonts w:ascii="Symbol" w:hAnsi="Symbol"/>
      </w:rPr>
    </w:lvl>
    <w:lvl w:ilvl="3" w:tplc="1870FE60">
      <w:start w:val="1"/>
      <w:numFmt w:val="bullet"/>
      <w:lvlText w:val=""/>
      <w:lvlJc w:val="left"/>
      <w:pPr>
        <w:ind w:left="720" w:hanging="360"/>
      </w:pPr>
      <w:rPr>
        <w:rFonts w:ascii="Symbol" w:hAnsi="Symbol"/>
      </w:rPr>
    </w:lvl>
    <w:lvl w:ilvl="4" w:tplc="70B65598">
      <w:start w:val="1"/>
      <w:numFmt w:val="bullet"/>
      <w:lvlText w:val=""/>
      <w:lvlJc w:val="left"/>
      <w:pPr>
        <w:ind w:left="720" w:hanging="360"/>
      </w:pPr>
      <w:rPr>
        <w:rFonts w:ascii="Symbol" w:hAnsi="Symbol"/>
      </w:rPr>
    </w:lvl>
    <w:lvl w:ilvl="5" w:tplc="32043B70">
      <w:start w:val="1"/>
      <w:numFmt w:val="bullet"/>
      <w:lvlText w:val=""/>
      <w:lvlJc w:val="left"/>
      <w:pPr>
        <w:ind w:left="720" w:hanging="360"/>
      </w:pPr>
      <w:rPr>
        <w:rFonts w:ascii="Symbol" w:hAnsi="Symbol"/>
      </w:rPr>
    </w:lvl>
    <w:lvl w:ilvl="6" w:tplc="C7627FA0">
      <w:start w:val="1"/>
      <w:numFmt w:val="bullet"/>
      <w:lvlText w:val=""/>
      <w:lvlJc w:val="left"/>
      <w:pPr>
        <w:ind w:left="720" w:hanging="360"/>
      </w:pPr>
      <w:rPr>
        <w:rFonts w:ascii="Symbol" w:hAnsi="Symbol"/>
      </w:rPr>
    </w:lvl>
    <w:lvl w:ilvl="7" w:tplc="C6264ABC">
      <w:start w:val="1"/>
      <w:numFmt w:val="bullet"/>
      <w:lvlText w:val=""/>
      <w:lvlJc w:val="left"/>
      <w:pPr>
        <w:ind w:left="720" w:hanging="360"/>
      </w:pPr>
      <w:rPr>
        <w:rFonts w:ascii="Symbol" w:hAnsi="Symbol"/>
      </w:rPr>
    </w:lvl>
    <w:lvl w:ilvl="8" w:tplc="7B864D4E">
      <w:start w:val="1"/>
      <w:numFmt w:val="bullet"/>
      <w:lvlText w:val=""/>
      <w:lvlJc w:val="left"/>
      <w:pPr>
        <w:ind w:left="720" w:hanging="360"/>
      </w:pPr>
      <w:rPr>
        <w:rFonts w:ascii="Symbol" w:hAnsi="Symbol"/>
      </w:rPr>
    </w:lvl>
  </w:abstractNum>
  <w:abstractNum w:abstractNumId="3"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BF0F08"/>
    <w:multiLevelType w:val="multilevel"/>
    <w:tmpl w:val="A976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C4E64"/>
    <w:multiLevelType w:val="hybridMultilevel"/>
    <w:tmpl w:val="43B4E0CE"/>
    <w:lvl w:ilvl="0" w:tplc="FDF407F2">
      <w:start w:val="1"/>
      <w:numFmt w:val="bullet"/>
      <w:lvlText w:val=""/>
      <w:lvlJc w:val="left"/>
      <w:pPr>
        <w:ind w:left="720" w:hanging="360"/>
      </w:pPr>
      <w:rPr>
        <w:rFonts w:ascii="Symbol" w:hAnsi="Symbol"/>
      </w:rPr>
    </w:lvl>
    <w:lvl w:ilvl="1" w:tplc="21A4D87A">
      <w:start w:val="1"/>
      <w:numFmt w:val="bullet"/>
      <w:lvlText w:val=""/>
      <w:lvlJc w:val="left"/>
      <w:pPr>
        <w:ind w:left="720" w:hanging="360"/>
      </w:pPr>
      <w:rPr>
        <w:rFonts w:ascii="Symbol" w:hAnsi="Symbol"/>
      </w:rPr>
    </w:lvl>
    <w:lvl w:ilvl="2" w:tplc="630424BC">
      <w:start w:val="1"/>
      <w:numFmt w:val="bullet"/>
      <w:lvlText w:val=""/>
      <w:lvlJc w:val="left"/>
      <w:pPr>
        <w:ind w:left="720" w:hanging="360"/>
      </w:pPr>
      <w:rPr>
        <w:rFonts w:ascii="Symbol" w:hAnsi="Symbol"/>
      </w:rPr>
    </w:lvl>
    <w:lvl w:ilvl="3" w:tplc="82A44DA0">
      <w:start w:val="1"/>
      <w:numFmt w:val="bullet"/>
      <w:lvlText w:val=""/>
      <w:lvlJc w:val="left"/>
      <w:pPr>
        <w:ind w:left="720" w:hanging="360"/>
      </w:pPr>
      <w:rPr>
        <w:rFonts w:ascii="Symbol" w:hAnsi="Symbol"/>
      </w:rPr>
    </w:lvl>
    <w:lvl w:ilvl="4" w:tplc="4AF6204C">
      <w:start w:val="1"/>
      <w:numFmt w:val="bullet"/>
      <w:lvlText w:val=""/>
      <w:lvlJc w:val="left"/>
      <w:pPr>
        <w:ind w:left="720" w:hanging="360"/>
      </w:pPr>
      <w:rPr>
        <w:rFonts w:ascii="Symbol" w:hAnsi="Symbol"/>
      </w:rPr>
    </w:lvl>
    <w:lvl w:ilvl="5" w:tplc="6D9EA5D6">
      <w:start w:val="1"/>
      <w:numFmt w:val="bullet"/>
      <w:lvlText w:val=""/>
      <w:lvlJc w:val="left"/>
      <w:pPr>
        <w:ind w:left="720" w:hanging="360"/>
      </w:pPr>
      <w:rPr>
        <w:rFonts w:ascii="Symbol" w:hAnsi="Symbol"/>
      </w:rPr>
    </w:lvl>
    <w:lvl w:ilvl="6" w:tplc="75D60258">
      <w:start w:val="1"/>
      <w:numFmt w:val="bullet"/>
      <w:lvlText w:val=""/>
      <w:lvlJc w:val="left"/>
      <w:pPr>
        <w:ind w:left="720" w:hanging="360"/>
      </w:pPr>
      <w:rPr>
        <w:rFonts w:ascii="Symbol" w:hAnsi="Symbol"/>
      </w:rPr>
    </w:lvl>
    <w:lvl w:ilvl="7" w:tplc="613009FE">
      <w:start w:val="1"/>
      <w:numFmt w:val="bullet"/>
      <w:lvlText w:val=""/>
      <w:lvlJc w:val="left"/>
      <w:pPr>
        <w:ind w:left="720" w:hanging="360"/>
      </w:pPr>
      <w:rPr>
        <w:rFonts w:ascii="Symbol" w:hAnsi="Symbol"/>
      </w:rPr>
    </w:lvl>
    <w:lvl w:ilvl="8" w:tplc="A136FBEA">
      <w:start w:val="1"/>
      <w:numFmt w:val="bullet"/>
      <w:lvlText w:val=""/>
      <w:lvlJc w:val="left"/>
      <w:pPr>
        <w:ind w:left="720" w:hanging="360"/>
      </w:pPr>
      <w:rPr>
        <w:rFonts w:ascii="Symbol" w:hAnsi="Symbol"/>
      </w:rPr>
    </w:lvl>
  </w:abstractNum>
  <w:abstractNum w:abstractNumId="6"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3"/>
  </w:num>
  <w:num w:numId="2" w16cid:durableId="971980657">
    <w:abstractNumId w:val="6"/>
  </w:num>
  <w:num w:numId="3" w16cid:durableId="1424883876">
    <w:abstractNumId w:val="0"/>
  </w:num>
  <w:num w:numId="4" w16cid:durableId="1006128541">
    <w:abstractNumId w:val="4"/>
  </w:num>
  <w:num w:numId="5" w16cid:durableId="361395586">
    <w:abstractNumId w:val="2"/>
  </w:num>
  <w:num w:numId="6" w16cid:durableId="1867476985">
    <w:abstractNumId w:val="1"/>
  </w:num>
  <w:num w:numId="7" w16cid:durableId="1979648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5731"/>
    <w:rsid w:val="00006677"/>
    <w:rsid w:val="00016A8C"/>
    <w:rsid w:val="0002123F"/>
    <w:rsid w:val="00027579"/>
    <w:rsid w:val="00036604"/>
    <w:rsid w:val="0004217E"/>
    <w:rsid w:val="00042AD7"/>
    <w:rsid w:val="00045CDC"/>
    <w:rsid w:val="00047F87"/>
    <w:rsid w:val="00053641"/>
    <w:rsid w:val="00065D5D"/>
    <w:rsid w:val="00065F06"/>
    <w:rsid w:val="000806BC"/>
    <w:rsid w:val="00082CE6"/>
    <w:rsid w:val="00084F13"/>
    <w:rsid w:val="000901A8"/>
    <w:rsid w:val="00096E05"/>
    <w:rsid w:val="0009775C"/>
    <w:rsid w:val="000A142C"/>
    <w:rsid w:val="000A4473"/>
    <w:rsid w:val="000A7CE7"/>
    <w:rsid w:val="000B1175"/>
    <w:rsid w:val="000D08E2"/>
    <w:rsid w:val="000D4288"/>
    <w:rsid w:val="000D4E53"/>
    <w:rsid w:val="000E2736"/>
    <w:rsid w:val="000E6C15"/>
    <w:rsid w:val="000F4886"/>
    <w:rsid w:val="00106B9C"/>
    <w:rsid w:val="00127172"/>
    <w:rsid w:val="001320B5"/>
    <w:rsid w:val="001324AA"/>
    <w:rsid w:val="00144F94"/>
    <w:rsid w:val="00145930"/>
    <w:rsid w:val="001519E6"/>
    <w:rsid w:val="00151AE0"/>
    <w:rsid w:val="001563F5"/>
    <w:rsid w:val="00157D89"/>
    <w:rsid w:val="00161922"/>
    <w:rsid w:val="00162986"/>
    <w:rsid w:val="00166A5E"/>
    <w:rsid w:val="001676E0"/>
    <w:rsid w:val="00171F0F"/>
    <w:rsid w:val="001726BE"/>
    <w:rsid w:val="00173F52"/>
    <w:rsid w:val="00181F2C"/>
    <w:rsid w:val="001825D7"/>
    <w:rsid w:val="001868B4"/>
    <w:rsid w:val="00187FF1"/>
    <w:rsid w:val="00190207"/>
    <w:rsid w:val="001925D6"/>
    <w:rsid w:val="00197802"/>
    <w:rsid w:val="001A75E1"/>
    <w:rsid w:val="001A7873"/>
    <w:rsid w:val="001C2E4C"/>
    <w:rsid w:val="001C4685"/>
    <w:rsid w:val="001D7517"/>
    <w:rsid w:val="001E1803"/>
    <w:rsid w:val="001E57E2"/>
    <w:rsid w:val="001F1972"/>
    <w:rsid w:val="001F198B"/>
    <w:rsid w:val="001F34C3"/>
    <w:rsid w:val="001F5E97"/>
    <w:rsid w:val="001F754F"/>
    <w:rsid w:val="00204F12"/>
    <w:rsid w:val="0020654D"/>
    <w:rsid w:val="00212A6F"/>
    <w:rsid w:val="00212DEF"/>
    <w:rsid w:val="00220E43"/>
    <w:rsid w:val="00226C6D"/>
    <w:rsid w:val="0023423B"/>
    <w:rsid w:val="00235112"/>
    <w:rsid w:val="00237ACD"/>
    <w:rsid w:val="002428E3"/>
    <w:rsid w:val="00252A4F"/>
    <w:rsid w:val="00252D23"/>
    <w:rsid w:val="002536DD"/>
    <w:rsid w:val="00256624"/>
    <w:rsid w:val="00262FF5"/>
    <w:rsid w:val="00263751"/>
    <w:rsid w:val="00274ECC"/>
    <w:rsid w:val="0027687A"/>
    <w:rsid w:val="002822CF"/>
    <w:rsid w:val="00285C60"/>
    <w:rsid w:val="002912A4"/>
    <w:rsid w:val="0029226A"/>
    <w:rsid w:val="002A235E"/>
    <w:rsid w:val="002A2898"/>
    <w:rsid w:val="002A5784"/>
    <w:rsid w:val="002A7956"/>
    <w:rsid w:val="002B1DC6"/>
    <w:rsid w:val="002B78E6"/>
    <w:rsid w:val="002C03C9"/>
    <w:rsid w:val="002C385C"/>
    <w:rsid w:val="002C42D9"/>
    <w:rsid w:val="002C743F"/>
    <w:rsid w:val="002D41E6"/>
    <w:rsid w:val="002E07D5"/>
    <w:rsid w:val="002E1ED3"/>
    <w:rsid w:val="002F48ED"/>
    <w:rsid w:val="002F5648"/>
    <w:rsid w:val="00305858"/>
    <w:rsid w:val="0030697B"/>
    <w:rsid w:val="003110B1"/>
    <w:rsid w:val="00322CC3"/>
    <w:rsid w:val="00325F86"/>
    <w:rsid w:val="003268FB"/>
    <w:rsid w:val="0033020D"/>
    <w:rsid w:val="00334A17"/>
    <w:rsid w:val="00350360"/>
    <w:rsid w:val="00352B9A"/>
    <w:rsid w:val="003530BB"/>
    <w:rsid w:val="003557CF"/>
    <w:rsid w:val="0036553C"/>
    <w:rsid w:val="00372C99"/>
    <w:rsid w:val="00377A4F"/>
    <w:rsid w:val="003A19C3"/>
    <w:rsid w:val="003A7462"/>
    <w:rsid w:val="003B0590"/>
    <w:rsid w:val="003B553B"/>
    <w:rsid w:val="003C4244"/>
    <w:rsid w:val="003D0A21"/>
    <w:rsid w:val="003E2447"/>
    <w:rsid w:val="003E45FE"/>
    <w:rsid w:val="003F3A93"/>
    <w:rsid w:val="003F6DDB"/>
    <w:rsid w:val="003F6E2A"/>
    <w:rsid w:val="004022F6"/>
    <w:rsid w:val="0041440E"/>
    <w:rsid w:val="0041772F"/>
    <w:rsid w:val="00422F89"/>
    <w:rsid w:val="0043520E"/>
    <w:rsid w:val="00435975"/>
    <w:rsid w:val="004364C7"/>
    <w:rsid w:val="00447CD0"/>
    <w:rsid w:val="004532F0"/>
    <w:rsid w:val="004561B5"/>
    <w:rsid w:val="00460E36"/>
    <w:rsid w:val="00465EB6"/>
    <w:rsid w:val="00470BE6"/>
    <w:rsid w:val="00474021"/>
    <w:rsid w:val="00491F43"/>
    <w:rsid w:val="00494017"/>
    <w:rsid w:val="004B2A61"/>
    <w:rsid w:val="004B7DE2"/>
    <w:rsid w:val="004C2775"/>
    <w:rsid w:val="004C6ED0"/>
    <w:rsid w:val="004D133C"/>
    <w:rsid w:val="004D2070"/>
    <w:rsid w:val="004D2115"/>
    <w:rsid w:val="004D407A"/>
    <w:rsid w:val="004D57A7"/>
    <w:rsid w:val="004E2573"/>
    <w:rsid w:val="004F2D8F"/>
    <w:rsid w:val="004F495A"/>
    <w:rsid w:val="004F7BCF"/>
    <w:rsid w:val="005008ED"/>
    <w:rsid w:val="005076E1"/>
    <w:rsid w:val="005114B9"/>
    <w:rsid w:val="005122AA"/>
    <w:rsid w:val="00513864"/>
    <w:rsid w:val="00513D4B"/>
    <w:rsid w:val="00515A65"/>
    <w:rsid w:val="00522083"/>
    <w:rsid w:val="0052413F"/>
    <w:rsid w:val="005305F1"/>
    <w:rsid w:val="00530853"/>
    <w:rsid w:val="005326FC"/>
    <w:rsid w:val="00533162"/>
    <w:rsid w:val="0053747D"/>
    <w:rsid w:val="0054255B"/>
    <w:rsid w:val="00545E02"/>
    <w:rsid w:val="00553A46"/>
    <w:rsid w:val="00554A53"/>
    <w:rsid w:val="00570214"/>
    <w:rsid w:val="00575D57"/>
    <w:rsid w:val="0057757F"/>
    <w:rsid w:val="00581ADE"/>
    <w:rsid w:val="0058341F"/>
    <w:rsid w:val="00596847"/>
    <w:rsid w:val="00597F2B"/>
    <w:rsid w:val="005A2C5F"/>
    <w:rsid w:val="005A5FF3"/>
    <w:rsid w:val="005D57C5"/>
    <w:rsid w:val="005E01B2"/>
    <w:rsid w:val="005E6B26"/>
    <w:rsid w:val="005E7815"/>
    <w:rsid w:val="005F3500"/>
    <w:rsid w:val="005F6C28"/>
    <w:rsid w:val="006019EB"/>
    <w:rsid w:val="0060778F"/>
    <w:rsid w:val="00611F95"/>
    <w:rsid w:val="00621928"/>
    <w:rsid w:val="006232C1"/>
    <w:rsid w:val="006306BB"/>
    <w:rsid w:val="00630842"/>
    <w:rsid w:val="00630F4B"/>
    <w:rsid w:val="0063235A"/>
    <w:rsid w:val="00633524"/>
    <w:rsid w:val="00636B2D"/>
    <w:rsid w:val="0064010E"/>
    <w:rsid w:val="0064117B"/>
    <w:rsid w:val="00652BB8"/>
    <w:rsid w:val="006630AE"/>
    <w:rsid w:val="00665740"/>
    <w:rsid w:val="006702CB"/>
    <w:rsid w:val="00691545"/>
    <w:rsid w:val="00692967"/>
    <w:rsid w:val="00692F4F"/>
    <w:rsid w:val="0069330E"/>
    <w:rsid w:val="0069407D"/>
    <w:rsid w:val="00695747"/>
    <w:rsid w:val="006963AD"/>
    <w:rsid w:val="006B56E6"/>
    <w:rsid w:val="006B7841"/>
    <w:rsid w:val="006C2873"/>
    <w:rsid w:val="006C2A24"/>
    <w:rsid w:val="006C2B94"/>
    <w:rsid w:val="006D29F1"/>
    <w:rsid w:val="006E32DE"/>
    <w:rsid w:val="006E4866"/>
    <w:rsid w:val="006E6895"/>
    <w:rsid w:val="006E77D5"/>
    <w:rsid w:val="007000F1"/>
    <w:rsid w:val="00715AF2"/>
    <w:rsid w:val="0072388B"/>
    <w:rsid w:val="00730585"/>
    <w:rsid w:val="00730C8F"/>
    <w:rsid w:val="00732B82"/>
    <w:rsid w:val="00732FBF"/>
    <w:rsid w:val="00736984"/>
    <w:rsid w:val="00743B9A"/>
    <w:rsid w:val="00743FEA"/>
    <w:rsid w:val="00746206"/>
    <w:rsid w:val="00760604"/>
    <w:rsid w:val="007611AB"/>
    <w:rsid w:val="00765201"/>
    <w:rsid w:val="007667C5"/>
    <w:rsid w:val="007705C8"/>
    <w:rsid w:val="007809FD"/>
    <w:rsid w:val="00781FDB"/>
    <w:rsid w:val="00793823"/>
    <w:rsid w:val="007972E0"/>
    <w:rsid w:val="007A3375"/>
    <w:rsid w:val="007A7C32"/>
    <w:rsid w:val="007B6CC3"/>
    <w:rsid w:val="007C164E"/>
    <w:rsid w:val="007C171A"/>
    <w:rsid w:val="007C544F"/>
    <w:rsid w:val="007C5FA0"/>
    <w:rsid w:val="007D00D3"/>
    <w:rsid w:val="007D0EF1"/>
    <w:rsid w:val="007E5FD1"/>
    <w:rsid w:val="007F1E2B"/>
    <w:rsid w:val="0080385E"/>
    <w:rsid w:val="00805FD9"/>
    <w:rsid w:val="008168F1"/>
    <w:rsid w:val="00821834"/>
    <w:rsid w:val="00822D8E"/>
    <w:rsid w:val="00823E63"/>
    <w:rsid w:val="008326C6"/>
    <w:rsid w:val="00850E1F"/>
    <w:rsid w:val="0085681B"/>
    <w:rsid w:val="00856919"/>
    <w:rsid w:val="008655C7"/>
    <w:rsid w:val="00867164"/>
    <w:rsid w:val="008929AC"/>
    <w:rsid w:val="00894E0E"/>
    <w:rsid w:val="008953C6"/>
    <w:rsid w:val="008A0A67"/>
    <w:rsid w:val="008C488C"/>
    <w:rsid w:val="008C4BF0"/>
    <w:rsid w:val="008D1A97"/>
    <w:rsid w:val="008D285E"/>
    <w:rsid w:val="008E0045"/>
    <w:rsid w:val="008F02E5"/>
    <w:rsid w:val="00907D23"/>
    <w:rsid w:val="00911374"/>
    <w:rsid w:val="00912CEA"/>
    <w:rsid w:val="00914A1E"/>
    <w:rsid w:val="0091525B"/>
    <w:rsid w:val="00915E18"/>
    <w:rsid w:val="00917149"/>
    <w:rsid w:val="00917ADC"/>
    <w:rsid w:val="00923E20"/>
    <w:rsid w:val="00930430"/>
    <w:rsid w:val="00931A41"/>
    <w:rsid w:val="0093321E"/>
    <w:rsid w:val="009348B6"/>
    <w:rsid w:val="009373BA"/>
    <w:rsid w:val="00955D75"/>
    <w:rsid w:val="00971722"/>
    <w:rsid w:val="00975537"/>
    <w:rsid w:val="009771B8"/>
    <w:rsid w:val="009806B8"/>
    <w:rsid w:val="00981C68"/>
    <w:rsid w:val="009863AA"/>
    <w:rsid w:val="00991B9E"/>
    <w:rsid w:val="00993C90"/>
    <w:rsid w:val="009A13A0"/>
    <w:rsid w:val="009A1599"/>
    <w:rsid w:val="009A1DEF"/>
    <w:rsid w:val="009A53F8"/>
    <w:rsid w:val="009A572C"/>
    <w:rsid w:val="009A5BAD"/>
    <w:rsid w:val="009B2164"/>
    <w:rsid w:val="009B4C0D"/>
    <w:rsid w:val="009B5F42"/>
    <w:rsid w:val="009C11D6"/>
    <w:rsid w:val="009C1B88"/>
    <w:rsid w:val="009D3E39"/>
    <w:rsid w:val="009E0D17"/>
    <w:rsid w:val="009E468B"/>
    <w:rsid w:val="009F24E1"/>
    <w:rsid w:val="009F2B36"/>
    <w:rsid w:val="009F590F"/>
    <w:rsid w:val="00A002F7"/>
    <w:rsid w:val="00A02825"/>
    <w:rsid w:val="00A05002"/>
    <w:rsid w:val="00A10D4D"/>
    <w:rsid w:val="00A11F33"/>
    <w:rsid w:val="00A12DDE"/>
    <w:rsid w:val="00A1441D"/>
    <w:rsid w:val="00A17697"/>
    <w:rsid w:val="00A2174E"/>
    <w:rsid w:val="00A35C0C"/>
    <w:rsid w:val="00A41857"/>
    <w:rsid w:val="00A4707F"/>
    <w:rsid w:val="00A52E14"/>
    <w:rsid w:val="00A5356B"/>
    <w:rsid w:val="00A53D06"/>
    <w:rsid w:val="00A56E79"/>
    <w:rsid w:val="00A5741F"/>
    <w:rsid w:val="00A61794"/>
    <w:rsid w:val="00A62ABC"/>
    <w:rsid w:val="00A65630"/>
    <w:rsid w:val="00A7370B"/>
    <w:rsid w:val="00A81975"/>
    <w:rsid w:val="00A87A12"/>
    <w:rsid w:val="00A90DAC"/>
    <w:rsid w:val="00A97FC4"/>
    <w:rsid w:val="00AA00F6"/>
    <w:rsid w:val="00AA2877"/>
    <w:rsid w:val="00AA4DC2"/>
    <w:rsid w:val="00AB467C"/>
    <w:rsid w:val="00AC0E9A"/>
    <w:rsid w:val="00AC28BB"/>
    <w:rsid w:val="00AC4986"/>
    <w:rsid w:val="00AC5E8C"/>
    <w:rsid w:val="00AD475F"/>
    <w:rsid w:val="00AE0A5C"/>
    <w:rsid w:val="00AE5F29"/>
    <w:rsid w:val="00B00CC3"/>
    <w:rsid w:val="00B01D7B"/>
    <w:rsid w:val="00B02A8B"/>
    <w:rsid w:val="00B05600"/>
    <w:rsid w:val="00B14A3C"/>
    <w:rsid w:val="00B160AD"/>
    <w:rsid w:val="00B2100C"/>
    <w:rsid w:val="00B2355B"/>
    <w:rsid w:val="00B24A6C"/>
    <w:rsid w:val="00B24F78"/>
    <w:rsid w:val="00B30360"/>
    <w:rsid w:val="00B362AA"/>
    <w:rsid w:val="00B366C6"/>
    <w:rsid w:val="00B368B4"/>
    <w:rsid w:val="00B40900"/>
    <w:rsid w:val="00B40F7D"/>
    <w:rsid w:val="00B42868"/>
    <w:rsid w:val="00B429E5"/>
    <w:rsid w:val="00B43C78"/>
    <w:rsid w:val="00B43C90"/>
    <w:rsid w:val="00B5149D"/>
    <w:rsid w:val="00B56B77"/>
    <w:rsid w:val="00B60FAB"/>
    <w:rsid w:val="00B65EEA"/>
    <w:rsid w:val="00B707D4"/>
    <w:rsid w:val="00B71910"/>
    <w:rsid w:val="00B9112E"/>
    <w:rsid w:val="00B95602"/>
    <w:rsid w:val="00B97755"/>
    <w:rsid w:val="00B979CF"/>
    <w:rsid w:val="00BA1AF5"/>
    <w:rsid w:val="00BA4B08"/>
    <w:rsid w:val="00BA6F71"/>
    <w:rsid w:val="00BB5B17"/>
    <w:rsid w:val="00BB5FE6"/>
    <w:rsid w:val="00BB7AAD"/>
    <w:rsid w:val="00BC4751"/>
    <w:rsid w:val="00BC6B4F"/>
    <w:rsid w:val="00BC7E63"/>
    <w:rsid w:val="00BD22C2"/>
    <w:rsid w:val="00BD5C34"/>
    <w:rsid w:val="00BD600F"/>
    <w:rsid w:val="00BD6DDD"/>
    <w:rsid w:val="00BE61EC"/>
    <w:rsid w:val="00BE6788"/>
    <w:rsid w:val="00BF06F6"/>
    <w:rsid w:val="00BF4837"/>
    <w:rsid w:val="00BF65B4"/>
    <w:rsid w:val="00C02607"/>
    <w:rsid w:val="00C0678A"/>
    <w:rsid w:val="00C23ECA"/>
    <w:rsid w:val="00C25152"/>
    <w:rsid w:val="00C3224C"/>
    <w:rsid w:val="00C3270E"/>
    <w:rsid w:val="00C42A76"/>
    <w:rsid w:val="00C445CE"/>
    <w:rsid w:val="00C51316"/>
    <w:rsid w:val="00C63A86"/>
    <w:rsid w:val="00C73FDA"/>
    <w:rsid w:val="00C7477F"/>
    <w:rsid w:val="00C75CFB"/>
    <w:rsid w:val="00C82B46"/>
    <w:rsid w:val="00C8568A"/>
    <w:rsid w:val="00C960A5"/>
    <w:rsid w:val="00CA4C6C"/>
    <w:rsid w:val="00CA5D44"/>
    <w:rsid w:val="00CA618A"/>
    <w:rsid w:val="00CB43AB"/>
    <w:rsid w:val="00CB715A"/>
    <w:rsid w:val="00CB7B87"/>
    <w:rsid w:val="00CC10A5"/>
    <w:rsid w:val="00CC5107"/>
    <w:rsid w:val="00CC7499"/>
    <w:rsid w:val="00CE5C77"/>
    <w:rsid w:val="00CE77A6"/>
    <w:rsid w:val="00CF4622"/>
    <w:rsid w:val="00CF70D1"/>
    <w:rsid w:val="00D04D25"/>
    <w:rsid w:val="00D108E9"/>
    <w:rsid w:val="00D1251A"/>
    <w:rsid w:val="00D142E2"/>
    <w:rsid w:val="00D15299"/>
    <w:rsid w:val="00D15C35"/>
    <w:rsid w:val="00D35211"/>
    <w:rsid w:val="00D40B3D"/>
    <w:rsid w:val="00D432FE"/>
    <w:rsid w:val="00D47536"/>
    <w:rsid w:val="00D5105E"/>
    <w:rsid w:val="00D531E9"/>
    <w:rsid w:val="00D54FE7"/>
    <w:rsid w:val="00D5507E"/>
    <w:rsid w:val="00D6057A"/>
    <w:rsid w:val="00D65B16"/>
    <w:rsid w:val="00D71176"/>
    <w:rsid w:val="00D718E5"/>
    <w:rsid w:val="00D736BB"/>
    <w:rsid w:val="00D76F1C"/>
    <w:rsid w:val="00D96117"/>
    <w:rsid w:val="00DA203E"/>
    <w:rsid w:val="00DA55A8"/>
    <w:rsid w:val="00DB56BB"/>
    <w:rsid w:val="00DC1E19"/>
    <w:rsid w:val="00DC2766"/>
    <w:rsid w:val="00DC37AF"/>
    <w:rsid w:val="00DD3920"/>
    <w:rsid w:val="00DE0D2E"/>
    <w:rsid w:val="00DE75E0"/>
    <w:rsid w:val="00DF4622"/>
    <w:rsid w:val="00E0142B"/>
    <w:rsid w:val="00E0513E"/>
    <w:rsid w:val="00E052B1"/>
    <w:rsid w:val="00E12114"/>
    <w:rsid w:val="00E1216E"/>
    <w:rsid w:val="00E26476"/>
    <w:rsid w:val="00E401EE"/>
    <w:rsid w:val="00E46A93"/>
    <w:rsid w:val="00E50B4E"/>
    <w:rsid w:val="00E533E4"/>
    <w:rsid w:val="00E55E21"/>
    <w:rsid w:val="00E56A7E"/>
    <w:rsid w:val="00E57406"/>
    <w:rsid w:val="00E64E95"/>
    <w:rsid w:val="00E7171C"/>
    <w:rsid w:val="00E81E24"/>
    <w:rsid w:val="00E9480B"/>
    <w:rsid w:val="00E96110"/>
    <w:rsid w:val="00EB3578"/>
    <w:rsid w:val="00EB6BF3"/>
    <w:rsid w:val="00EB76ED"/>
    <w:rsid w:val="00EC0FDE"/>
    <w:rsid w:val="00EC14B8"/>
    <w:rsid w:val="00EC42D8"/>
    <w:rsid w:val="00EC6486"/>
    <w:rsid w:val="00ED2EE8"/>
    <w:rsid w:val="00ED4478"/>
    <w:rsid w:val="00ED5553"/>
    <w:rsid w:val="00ED6CB7"/>
    <w:rsid w:val="00EE09D5"/>
    <w:rsid w:val="00EE24B8"/>
    <w:rsid w:val="00EE392A"/>
    <w:rsid w:val="00F01504"/>
    <w:rsid w:val="00F01839"/>
    <w:rsid w:val="00F150E2"/>
    <w:rsid w:val="00F1563B"/>
    <w:rsid w:val="00F16CE1"/>
    <w:rsid w:val="00F20650"/>
    <w:rsid w:val="00F228DC"/>
    <w:rsid w:val="00F23E8D"/>
    <w:rsid w:val="00F26B45"/>
    <w:rsid w:val="00F26F2A"/>
    <w:rsid w:val="00F27793"/>
    <w:rsid w:val="00F371AB"/>
    <w:rsid w:val="00F41E6F"/>
    <w:rsid w:val="00F55376"/>
    <w:rsid w:val="00F5616F"/>
    <w:rsid w:val="00F571E9"/>
    <w:rsid w:val="00F70462"/>
    <w:rsid w:val="00F80FCB"/>
    <w:rsid w:val="00F85696"/>
    <w:rsid w:val="00F85E71"/>
    <w:rsid w:val="00F92CBA"/>
    <w:rsid w:val="00F97DBF"/>
    <w:rsid w:val="00FA0CC9"/>
    <w:rsid w:val="00FA1980"/>
    <w:rsid w:val="00FA1B8B"/>
    <w:rsid w:val="00FA25C8"/>
    <w:rsid w:val="00FA448D"/>
    <w:rsid w:val="00FA6DAD"/>
    <w:rsid w:val="00FA7DF6"/>
    <w:rsid w:val="00FB1BFF"/>
    <w:rsid w:val="00FB7E7F"/>
    <w:rsid w:val="00FC75C0"/>
    <w:rsid w:val="00FC7A46"/>
    <w:rsid w:val="00FE018D"/>
    <w:rsid w:val="00FE5255"/>
    <w:rsid w:val="00FE6F90"/>
    <w:rsid w:val="00FF105E"/>
    <w:rsid w:val="00FF1914"/>
    <w:rsid w:val="0B89725F"/>
    <w:rsid w:val="1A92C1EC"/>
    <w:rsid w:val="245B4112"/>
    <w:rsid w:val="2C5D9A79"/>
    <w:rsid w:val="2E382F83"/>
    <w:rsid w:val="3671E161"/>
    <w:rsid w:val="3C327EF0"/>
    <w:rsid w:val="4BBD6FB1"/>
    <w:rsid w:val="7BBF46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CommentReference">
    <w:name w:val="annotation reference"/>
    <w:basedOn w:val="DefaultParagraphFont"/>
    <w:uiPriority w:val="99"/>
    <w:semiHidden/>
    <w:unhideWhenUsed/>
    <w:rsid w:val="004C2775"/>
    <w:rPr>
      <w:sz w:val="16"/>
      <w:szCs w:val="16"/>
    </w:rPr>
  </w:style>
  <w:style w:type="paragraph" w:styleId="CommentText">
    <w:name w:val="annotation text"/>
    <w:basedOn w:val="Normal"/>
    <w:link w:val="CommentTextChar"/>
    <w:uiPriority w:val="99"/>
    <w:unhideWhenUsed/>
    <w:rsid w:val="004C2775"/>
    <w:pPr>
      <w:spacing w:line="240" w:lineRule="auto"/>
    </w:pPr>
    <w:rPr>
      <w:sz w:val="20"/>
      <w:szCs w:val="20"/>
    </w:rPr>
  </w:style>
  <w:style w:type="character" w:customStyle="1" w:styleId="CommentTextChar">
    <w:name w:val="Comment Text Char"/>
    <w:basedOn w:val="DefaultParagraphFont"/>
    <w:link w:val="CommentText"/>
    <w:uiPriority w:val="99"/>
    <w:rsid w:val="004C2775"/>
    <w:rPr>
      <w:sz w:val="20"/>
      <w:szCs w:val="20"/>
    </w:rPr>
  </w:style>
  <w:style w:type="paragraph" w:styleId="CommentSubject">
    <w:name w:val="annotation subject"/>
    <w:basedOn w:val="CommentText"/>
    <w:next w:val="CommentText"/>
    <w:link w:val="CommentSubjectChar"/>
    <w:uiPriority w:val="99"/>
    <w:semiHidden/>
    <w:unhideWhenUsed/>
    <w:rsid w:val="004C2775"/>
    <w:rPr>
      <w:b/>
      <w:bCs/>
    </w:rPr>
  </w:style>
  <w:style w:type="character" w:customStyle="1" w:styleId="CommentSubjectChar">
    <w:name w:val="Comment Subject Char"/>
    <w:basedOn w:val="CommentTextChar"/>
    <w:link w:val="CommentSubject"/>
    <w:uiPriority w:val="99"/>
    <w:semiHidden/>
    <w:rsid w:val="004C2775"/>
    <w:rPr>
      <w:b/>
      <w:bCs/>
      <w:sz w:val="20"/>
      <w:szCs w:val="20"/>
    </w:rPr>
  </w:style>
  <w:style w:type="character" w:styleId="LineNumber">
    <w:name w:val="line number"/>
    <w:basedOn w:val="DefaultParagraphFont"/>
    <w:uiPriority w:val="99"/>
    <w:semiHidden/>
    <w:unhideWhenUsed/>
    <w:rsid w:val="00981C68"/>
  </w:style>
  <w:style w:type="character" w:styleId="BookTitle">
    <w:name w:val="Book Title"/>
    <w:basedOn w:val="DefaultParagraphFont"/>
    <w:uiPriority w:val="33"/>
    <w:qFormat/>
    <w:rsid w:val="0036553C"/>
    <w:rPr>
      <w:b/>
      <w:bCs/>
      <w:i/>
      <w:iCs/>
      <w:spacing w:val="5"/>
    </w:rPr>
  </w:style>
  <w:style w:type="paragraph" w:styleId="Caption">
    <w:name w:val="caption"/>
    <w:basedOn w:val="Normal"/>
    <w:next w:val="Normal"/>
    <w:uiPriority w:val="35"/>
    <w:semiHidden/>
    <w:unhideWhenUsed/>
    <w:qFormat/>
    <w:rsid w:val="0036553C"/>
    <w:pPr>
      <w:spacing w:after="200" w:line="240" w:lineRule="auto"/>
    </w:pPr>
    <w:rPr>
      <w:i/>
      <w:iCs/>
      <w:color w:val="0E2841" w:themeColor="text2"/>
      <w:sz w:val="18"/>
      <w:szCs w:val="18"/>
    </w:rPr>
  </w:style>
  <w:style w:type="character" w:styleId="Emphasis">
    <w:name w:val="Emphasis"/>
    <w:basedOn w:val="DefaultParagraphFont"/>
    <w:uiPriority w:val="20"/>
    <w:qFormat/>
    <w:rsid w:val="0036553C"/>
    <w:rPr>
      <w:i/>
      <w:iCs/>
    </w:rPr>
  </w:style>
  <w:style w:type="paragraph" w:styleId="NoSpacing">
    <w:name w:val="No Spacing"/>
    <w:uiPriority w:val="1"/>
    <w:qFormat/>
    <w:rsid w:val="0036553C"/>
    <w:pPr>
      <w:spacing w:after="0" w:line="240" w:lineRule="auto"/>
    </w:pPr>
    <w:rPr>
      <w:sz w:val="22"/>
      <w:szCs w:val="22"/>
    </w:rPr>
  </w:style>
  <w:style w:type="character" w:styleId="Strong">
    <w:name w:val="Strong"/>
    <w:basedOn w:val="DefaultParagraphFont"/>
    <w:uiPriority w:val="22"/>
    <w:qFormat/>
    <w:rsid w:val="0036553C"/>
    <w:rPr>
      <w:b/>
      <w:bCs/>
    </w:rPr>
  </w:style>
  <w:style w:type="character" w:styleId="SubtleEmphasis">
    <w:name w:val="Subtle Emphasis"/>
    <w:basedOn w:val="DefaultParagraphFont"/>
    <w:uiPriority w:val="19"/>
    <w:qFormat/>
    <w:rsid w:val="0036553C"/>
    <w:rPr>
      <w:i/>
      <w:iCs/>
      <w:color w:val="404040" w:themeColor="text1" w:themeTint="BF"/>
    </w:rPr>
  </w:style>
  <w:style w:type="character" w:styleId="SubtleReference">
    <w:name w:val="Subtle Reference"/>
    <w:basedOn w:val="DefaultParagraphFont"/>
    <w:uiPriority w:val="31"/>
    <w:qFormat/>
    <w:rsid w:val="0036553C"/>
    <w:rPr>
      <w:smallCaps/>
      <w:color w:val="5A5A5A" w:themeColor="text1" w:themeTint="A5"/>
    </w:rPr>
  </w:style>
  <w:style w:type="paragraph" w:styleId="TOCHeading">
    <w:name w:val="TOC Heading"/>
    <w:basedOn w:val="Heading1"/>
    <w:next w:val="Normal"/>
    <w:uiPriority w:val="39"/>
    <w:semiHidden/>
    <w:unhideWhenUsed/>
    <w:qFormat/>
    <w:rsid w:val="0036553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rstname.lastname@domain.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autcon.2019.102956"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3390/su1510827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3974</Words>
  <Characters>25281</Characters>
  <Application>Microsoft Office Word</Application>
  <DocSecurity>0</DocSecurity>
  <Lines>574</Lines>
  <Paragraphs>160</Paragraphs>
  <ScaleCrop>false</ScaleCrop>
  <Company/>
  <LinksUpToDate>false</LinksUpToDate>
  <CharactersWithSpaces>29095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Peter Johansson</cp:lastModifiedBy>
  <cp:revision>2</cp:revision>
  <dcterms:created xsi:type="dcterms:W3CDTF">2026-09-10T12:34:00Z</dcterms:created>
  <dcterms:modified xsi:type="dcterms:W3CDTF">2026-09-10T12:34:00Z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