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BF565" w14:textId="77777777" w:rsidR="00584FE3" w:rsidRDefault="00E538C2" w:rsidP="00584FE3">
      <w:pPr>
        <w:spacing w:after="200"/>
        <w:rPr>
          <w:rFonts w:cs="Arial"/>
          <w:b w:val="0"/>
          <w:color w:val="FF0000"/>
          <w:sz w:val="32"/>
        </w:rPr>
      </w:pPr>
      <w:r w:rsidRPr="00C036D0">
        <w:rPr>
          <w:kern w:val="28"/>
          <w:sz w:val="36"/>
        </w:rPr>
        <w:t>Exploring Building Energy Performance</w:t>
      </w:r>
      <w:r w:rsidRPr="005D25CB">
        <w:rPr>
          <w:rFonts w:cs="Arial"/>
          <w:bCs/>
          <w:kern w:val="28"/>
          <w:sz w:val="36"/>
          <w:szCs w:val="32"/>
        </w:rPr>
        <w:t xml:space="preserve"> Prediction Using Graph Neural Networks</w:t>
      </w:r>
    </w:p>
    <w:p w14:paraId="2C6200D4" w14:textId="69A8DF29" w:rsidR="00584FE3" w:rsidRPr="00B261E6" w:rsidRDefault="00584FE3" w:rsidP="00584FE3">
      <w:pPr>
        <w:rPr>
          <w:rFonts w:ascii="Calibri" w:eastAsia="MS Mincho" w:hAnsi="Calibri" w:cs="Calibri"/>
          <w:b w:val="0"/>
          <w:szCs w:val="20"/>
        </w:rPr>
      </w:pPr>
      <w:r w:rsidRPr="00B261E6">
        <w:rPr>
          <w:rFonts w:ascii="Calibri" w:eastAsia="MS Mincho" w:hAnsi="Calibri" w:cs="Calibri"/>
          <w:b w:val="0"/>
          <w:szCs w:val="20"/>
        </w:rPr>
        <w:t>A</w:t>
      </w:r>
      <w:r w:rsidR="009237A9">
        <w:rPr>
          <w:rFonts w:ascii="Calibri" w:eastAsia="MS Mincho" w:hAnsi="Calibri" w:cs="Calibri"/>
          <w:b w:val="0"/>
          <w:szCs w:val="20"/>
        </w:rPr>
        <w:t>GATA DALACH</w:t>
      </w:r>
      <w:r>
        <w:rPr>
          <w:rFonts w:ascii="Calibri" w:eastAsia="MS Mincho" w:hAnsi="Calibri" w:cs="Calibri"/>
          <w:b w:val="0"/>
          <w:szCs w:val="20"/>
          <w:vertAlign w:val="superscript"/>
        </w:rPr>
        <w:t>1</w:t>
      </w:r>
      <w:r w:rsidR="0055307E">
        <w:rPr>
          <w:rFonts w:ascii="Calibri" w:eastAsia="MS Mincho" w:hAnsi="Calibri" w:cs="Calibri"/>
          <w:b w:val="0"/>
          <w:szCs w:val="20"/>
          <w:vertAlign w:val="superscript"/>
        </w:rPr>
        <w:t>2</w:t>
      </w:r>
      <w:r w:rsidR="009237A9">
        <w:rPr>
          <w:rFonts w:ascii="Calibri" w:eastAsia="MS Mincho" w:hAnsi="Calibri" w:cs="Calibri"/>
          <w:b w:val="0"/>
          <w:szCs w:val="20"/>
        </w:rPr>
        <w:t>, ZIJIAN WANG</w:t>
      </w:r>
      <w:r w:rsidR="009237A9">
        <w:rPr>
          <w:rFonts w:ascii="Calibri" w:eastAsia="MS Mincho" w:hAnsi="Calibri" w:cs="Calibri"/>
          <w:b w:val="0"/>
          <w:szCs w:val="20"/>
          <w:vertAlign w:val="superscript"/>
        </w:rPr>
        <w:t>1</w:t>
      </w:r>
      <w:r w:rsidR="0055307E">
        <w:rPr>
          <w:rFonts w:ascii="Calibri" w:eastAsia="MS Mincho" w:hAnsi="Calibri" w:cs="Calibri"/>
          <w:b w:val="0"/>
          <w:szCs w:val="20"/>
          <w:vertAlign w:val="superscript"/>
        </w:rPr>
        <w:t>2</w:t>
      </w:r>
      <w:r w:rsidR="009237A9">
        <w:rPr>
          <w:rFonts w:ascii="Calibri" w:eastAsia="MS Mincho" w:hAnsi="Calibri" w:cs="Calibri"/>
          <w:b w:val="0"/>
          <w:szCs w:val="20"/>
        </w:rPr>
        <w:t>, STAVROS NOUSIAS</w:t>
      </w:r>
      <w:r w:rsidR="009237A9">
        <w:rPr>
          <w:rFonts w:ascii="Calibri" w:eastAsia="MS Mincho" w:hAnsi="Calibri" w:cs="Calibri"/>
          <w:b w:val="0"/>
          <w:szCs w:val="20"/>
          <w:vertAlign w:val="superscript"/>
        </w:rPr>
        <w:t>1</w:t>
      </w:r>
      <w:r w:rsidR="0055307E">
        <w:rPr>
          <w:rFonts w:ascii="Calibri" w:eastAsia="MS Mincho" w:hAnsi="Calibri" w:cs="Calibri"/>
          <w:b w:val="0"/>
          <w:szCs w:val="20"/>
          <w:vertAlign w:val="superscript"/>
        </w:rPr>
        <w:t>2</w:t>
      </w:r>
      <w:r w:rsidR="009237A9">
        <w:rPr>
          <w:rFonts w:ascii="Calibri" w:eastAsia="MS Mincho" w:hAnsi="Calibri" w:cs="Calibri"/>
          <w:b w:val="0"/>
          <w:szCs w:val="20"/>
        </w:rPr>
        <w:t>, ANDRÉ BORRMANN</w:t>
      </w:r>
      <w:r w:rsidR="009237A9">
        <w:rPr>
          <w:rFonts w:ascii="Calibri" w:eastAsia="MS Mincho" w:hAnsi="Calibri" w:cs="Calibri"/>
          <w:b w:val="0"/>
          <w:szCs w:val="20"/>
          <w:vertAlign w:val="superscript"/>
        </w:rPr>
        <w:t>1</w:t>
      </w:r>
      <w:r w:rsidR="0055307E">
        <w:rPr>
          <w:rFonts w:ascii="Calibri" w:eastAsia="MS Mincho" w:hAnsi="Calibri" w:cs="Calibri"/>
          <w:b w:val="0"/>
          <w:szCs w:val="20"/>
          <w:vertAlign w:val="superscript"/>
        </w:rPr>
        <w:t>2</w:t>
      </w:r>
    </w:p>
    <w:p w14:paraId="46C69663" w14:textId="77777777" w:rsidR="00584FE3" w:rsidRPr="00B261E6" w:rsidRDefault="00584FE3" w:rsidP="00584FE3">
      <w:pPr>
        <w:pStyle w:val="PlainText"/>
      </w:pPr>
    </w:p>
    <w:p w14:paraId="4B8437D8" w14:textId="7028E5D5" w:rsidR="00584FE3" w:rsidRPr="0055307E" w:rsidRDefault="00584FE3" w:rsidP="00584FE3">
      <w:pPr>
        <w:rPr>
          <w:rFonts w:ascii="Calibri" w:eastAsia="MS Mincho" w:hAnsi="Calibri" w:cs="Calibri"/>
          <w:b w:val="0"/>
          <w:sz w:val="20"/>
          <w:szCs w:val="20"/>
          <w:lang w:val="de-DE"/>
        </w:rPr>
      </w:pPr>
      <w:r w:rsidRPr="0055307E">
        <w:rPr>
          <w:rFonts w:ascii="Calibri" w:eastAsia="MS Mincho" w:hAnsi="Calibri" w:cs="Calibri"/>
          <w:b w:val="0"/>
          <w:sz w:val="20"/>
          <w:szCs w:val="20"/>
          <w:vertAlign w:val="superscript"/>
          <w:lang w:val="de-DE"/>
        </w:rPr>
        <w:t>1</w:t>
      </w:r>
      <w:r w:rsidR="0055307E">
        <w:rPr>
          <w:rFonts w:ascii="Calibri" w:eastAsia="MS Mincho" w:hAnsi="Calibri" w:cs="Calibri"/>
          <w:b w:val="0"/>
          <w:sz w:val="20"/>
          <w:szCs w:val="20"/>
          <w:vertAlign w:val="superscript"/>
          <w:lang w:val="de-DE"/>
        </w:rPr>
        <w:t xml:space="preserve"> </w:t>
      </w:r>
      <w:r w:rsidR="0055307E" w:rsidRPr="0055307E">
        <w:rPr>
          <w:rFonts w:ascii="Calibri" w:eastAsia="MS Mincho" w:hAnsi="Calibri" w:cs="Calibri"/>
          <w:b w:val="0"/>
          <w:sz w:val="20"/>
          <w:szCs w:val="20"/>
          <w:lang w:val="de-DE"/>
        </w:rPr>
        <w:t xml:space="preserve">TUM </w:t>
      </w:r>
      <w:proofErr w:type="gramStart"/>
      <w:r w:rsidR="0055307E" w:rsidRPr="0055307E">
        <w:rPr>
          <w:rFonts w:ascii="Calibri" w:eastAsia="MS Mincho" w:hAnsi="Calibri" w:cs="Calibri"/>
          <w:b w:val="0"/>
          <w:sz w:val="20"/>
          <w:szCs w:val="20"/>
          <w:lang w:val="de-DE"/>
        </w:rPr>
        <w:t>Georg Nemetschek Institute</w:t>
      </w:r>
      <w:proofErr w:type="gramEnd"/>
      <w:r w:rsidRPr="0055307E">
        <w:rPr>
          <w:rFonts w:ascii="Calibri" w:eastAsia="MS Mincho" w:hAnsi="Calibri" w:cs="Calibri"/>
          <w:b w:val="0"/>
          <w:sz w:val="20"/>
          <w:szCs w:val="20"/>
          <w:lang w:val="de-DE"/>
        </w:rPr>
        <w:t xml:space="preserve">, </w:t>
      </w:r>
      <w:r w:rsidR="009237A9" w:rsidRPr="0055307E">
        <w:rPr>
          <w:rFonts w:ascii="Calibri" w:eastAsia="MS Mincho" w:hAnsi="Calibri" w:cs="Calibri"/>
          <w:b w:val="0"/>
          <w:sz w:val="20"/>
          <w:szCs w:val="20"/>
          <w:lang w:val="de-DE"/>
        </w:rPr>
        <w:t>Munich</w:t>
      </w:r>
      <w:r w:rsidRPr="0055307E">
        <w:rPr>
          <w:rFonts w:ascii="Calibri" w:eastAsia="MS Mincho" w:hAnsi="Calibri" w:cs="Calibri"/>
          <w:b w:val="0"/>
          <w:sz w:val="20"/>
          <w:szCs w:val="20"/>
          <w:lang w:val="de-DE"/>
        </w:rPr>
        <w:t xml:space="preserve">, </w:t>
      </w:r>
      <w:r w:rsidR="009237A9" w:rsidRPr="0055307E">
        <w:rPr>
          <w:rFonts w:ascii="Calibri" w:eastAsia="MS Mincho" w:hAnsi="Calibri" w:cs="Calibri"/>
          <w:b w:val="0"/>
          <w:sz w:val="20"/>
          <w:szCs w:val="20"/>
          <w:lang w:val="de-DE"/>
        </w:rPr>
        <w:t>Germany</w:t>
      </w:r>
    </w:p>
    <w:p w14:paraId="2A5F382E" w14:textId="494312F0" w:rsidR="00584FE3" w:rsidRPr="00B261E6" w:rsidRDefault="00584FE3" w:rsidP="0055307E">
      <w:pPr>
        <w:rPr>
          <w:rFonts w:ascii="Calibri" w:eastAsia="MS Mincho" w:hAnsi="Calibri" w:cs="Calibri"/>
          <w:b w:val="0"/>
          <w:sz w:val="20"/>
          <w:szCs w:val="20"/>
        </w:rPr>
      </w:pPr>
      <w:r w:rsidRPr="00B261E6">
        <w:rPr>
          <w:rFonts w:ascii="Calibri" w:eastAsia="MS Mincho" w:hAnsi="Calibri" w:cs="Calibri"/>
          <w:b w:val="0"/>
          <w:sz w:val="20"/>
          <w:szCs w:val="20"/>
          <w:vertAlign w:val="superscript"/>
        </w:rPr>
        <w:t>2</w:t>
      </w:r>
      <w:r w:rsidRPr="00B261E6">
        <w:rPr>
          <w:rFonts w:ascii="Calibri" w:eastAsia="MS Mincho" w:hAnsi="Calibri" w:cs="Calibri"/>
          <w:b w:val="0"/>
          <w:sz w:val="20"/>
          <w:szCs w:val="20"/>
        </w:rPr>
        <w:t xml:space="preserve"> </w:t>
      </w:r>
      <w:r w:rsidR="0055307E">
        <w:rPr>
          <w:rFonts w:ascii="Calibri" w:eastAsia="MS Mincho" w:hAnsi="Calibri" w:cs="Calibri"/>
          <w:b w:val="0"/>
          <w:sz w:val="20"/>
          <w:szCs w:val="20"/>
        </w:rPr>
        <w:t>Technical University of Munich,</w:t>
      </w:r>
      <w:r>
        <w:rPr>
          <w:rFonts w:ascii="Calibri" w:eastAsia="MS Mincho" w:hAnsi="Calibri" w:cs="Calibri"/>
          <w:b w:val="0"/>
          <w:sz w:val="20"/>
          <w:szCs w:val="20"/>
        </w:rPr>
        <w:t xml:space="preserve"> </w:t>
      </w:r>
      <w:r w:rsidR="0055307E" w:rsidRPr="0055307E">
        <w:rPr>
          <w:rFonts w:ascii="Calibri" w:eastAsia="MS Mincho" w:hAnsi="Calibri" w:cs="Calibri"/>
          <w:b w:val="0"/>
          <w:sz w:val="20"/>
          <w:szCs w:val="20"/>
        </w:rPr>
        <w:t>Chair of Computing</w:t>
      </w:r>
      <w:r w:rsidR="0055307E">
        <w:rPr>
          <w:rFonts w:ascii="Calibri" w:eastAsia="MS Mincho" w:hAnsi="Calibri" w:cs="Calibri"/>
          <w:b w:val="0"/>
          <w:sz w:val="20"/>
          <w:szCs w:val="20"/>
        </w:rPr>
        <w:t xml:space="preserve"> </w:t>
      </w:r>
      <w:r w:rsidR="0055307E" w:rsidRPr="0055307E">
        <w:rPr>
          <w:rFonts w:ascii="Calibri" w:eastAsia="MS Mincho" w:hAnsi="Calibri" w:cs="Calibri"/>
          <w:b w:val="0"/>
          <w:sz w:val="20"/>
          <w:szCs w:val="20"/>
        </w:rPr>
        <w:t>in Civil and Building</w:t>
      </w:r>
      <w:r w:rsidR="0055307E">
        <w:rPr>
          <w:rFonts w:ascii="Calibri" w:eastAsia="MS Mincho" w:hAnsi="Calibri" w:cs="Calibri"/>
          <w:b w:val="0"/>
          <w:sz w:val="20"/>
          <w:szCs w:val="20"/>
        </w:rPr>
        <w:t xml:space="preserve"> </w:t>
      </w:r>
      <w:r w:rsidR="0055307E" w:rsidRPr="0055307E">
        <w:rPr>
          <w:rFonts w:ascii="Calibri" w:eastAsia="MS Mincho" w:hAnsi="Calibri" w:cs="Calibri"/>
          <w:b w:val="0"/>
          <w:sz w:val="20"/>
          <w:szCs w:val="20"/>
        </w:rPr>
        <w:t>Engineering</w:t>
      </w:r>
      <w:r w:rsidRPr="002E4B2F">
        <w:rPr>
          <w:rFonts w:ascii="Calibri" w:eastAsia="MS Mincho" w:hAnsi="Calibri" w:cs="Calibri"/>
          <w:b w:val="0"/>
          <w:sz w:val="20"/>
          <w:szCs w:val="20"/>
        </w:rPr>
        <w:t xml:space="preserve">, </w:t>
      </w:r>
      <w:r w:rsidR="009237A9">
        <w:rPr>
          <w:rFonts w:ascii="Calibri" w:eastAsia="MS Mincho" w:hAnsi="Calibri" w:cs="Calibri"/>
          <w:b w:val="0"/>
          <w:sz w:val="20"/>
          <w:szCs w:val="20"/>
        </w:rPr>
        <w:t>Munich</w:t>
      </w:r>
      <w:r w:rsidRPr="002E4B2F">
        <w:rPr>
          <w:rFonts w:ascii="Calibri" w:eastAsia="MS Mincho" w:hAnsi="Calibri" w:cs="Calibri"/>
          <w:b w:val="0"/>
          <w:sz w:val="20"/>
          <w:szCs w:val="20"/>
        </w:rPr>
        <w:t xml:space="preserve">, </w:t>
      </w:r>
      <w:r w:rsidR="009237A9">
        <w:rPr>
          <w:rFonts w:ascii="Calibri" w:eastAsia="MS Mincho" w:hAnsi="Calibri" w:cs="Calibri"/>
          <w:b w:val="0"/>
          <w:sz w:val="20"/>
          <w:szCs w:val="20"/>
        </w:rPr>
        <w:t>Germany</w:t>
      </w:r>
    </w:p>
    <w:p w14:paraId="21FB06F8" w14:textId="77777777" w:rsidR="00584FE3" w:rsidRPr="006D1F09" w:rsidRDefault="00584FE3" w:rsidP="00584FE3">
      <w:pPr>
        <w:pStyle w:val="PlainText"/>
        <w:ind w:left="567" w:right="567" w:hanging="567"/>
        <w:rPr>
          <w:rFonts w:ascii="Calibri" w:hAnsi="Calibri"/>
          <w:sz w:val="20"/>
        </w:rPr>
      </w:pPr>
    </w:p>
    <w:p w14:paraId="36470BCC" w14:textId="77777777" w:rsidR="00584FE3" w:rsidRDefault="00584FE3" w:rsidP="00584FE3">
      <w:pPr>
        <w:pStyle w:val="PlainText"/>
      </w:pPr>
    </w:p>
    <w:p w14:paraId="24010885" w14:textId="77777777" w:rsidR="005D6EBF" w:rsidRPr="005D6EBF" w:rsidRDefault="005D6EBF" w:rsidP="00FF3D62">
      <w:pPr>
        <w:pStyle w:val="Abstracttext"/>
        <w:rPr>
          <w:b/>
          <w:bCs w:val="0"/>
        </w:rPr>
      </w:pPr>
      <w:r w:rsidRPr="005D6EBF">
        <w:rPr>
          <w:b/>
          <w:bCs w:val="0"/>
        </w:rPr>
        <w:t xml:space="preserve">ABSTRACT </w:t>
      </w:r>
    </w:p>
    <w:p w14:paraId="3E786E5F" w14:textId="1C8D7548" w:rsidR="00755D43" w:rsidRDefault="00D81C8E" w:rsidP="00FF3D62">
      <w:pPr>
        <w:pStyle w:val="Abstracttext"/>
      </w:pPr>
      <w:r w:rsidRPr="00D81C8E">
        <w:t xml:space="preserve">Building energy performance prediction is critical for optimizing energy efficiency, and recent studies have increasingly focused on replacing computationally intensive physics-based simulations with faster, data-driven methods. However, the wide variability in building typologies poses challenges when converting </w:t>
      </w:r>
      <w:r w:rsidR="0089627A">
        <w:t>building energy</w:t>
      </w:r>
      <w:r w:rsidRPr="00D81C8E">
        <w:t xml:space="preserve"> models into effective machine learning training samples. </w:t>
      </w:r>
      <w:r w:rsidR="00DD0DD4">
        <w:t>The graph data format offers a promising way to simplify the representation of building energy models and introduce</w:t>
      </w:r>
      <w:r w:rsidRPr="00D81C8E">
        <w:t xml:space="preserve"> relationships among their components. </w:t>
      </w:r>
      <w:r w:rsidR="00501BE0">
        <w:t xml:space="preserve">This </w:t>
      </w:r>
      <w:r w:rsidR="00374838">
        <w:t>paper</w:t>
      </w:r>
      <w:r w:rsidR="00501BE0">
        <w:t xml:space="preserve"> explores a data-driven approach of </w:t>
      </w:r>
      <w:r w:rsidR="009A5058">
        <w:t xml:space="preserve">representing energy models as graphs and </w:t>
      </w:r>
      <w:r w:rsidR="00501BE0">
        <w:t xml:space="preserve">adopting graph neural networks </w:t>
      </w:r>
      <w:r w:rsidR="00EF3BB8">
        <w:t>(GNN)</w:t>
      </w:r>
      <w:r w:rsidR="00501BE0">
        <w:t xml:space="preserve"> to predict </w:t>
      </w:r>
      <w:r w:rsidR="00620BCA">
        <w:t>their</w:t>
      </w:r>
      <w:r w:rsidR="00501BE0">
        <w:t xml:space="preserve"> energy performance.</w:t>
      </w:r>
      <w:r w:rsidRPr="00D81C8E" w:rsidDel="00501BE0">
        <w:t xml:space="preserve"> </w:t>
      </w:r>
      <w:r w:rsidR="00501BE0">
        <w:t>To achieve that</w:t>
      </w:r>
      <w:r w:rsidRPr="00D81C8E">
        <w:t xml:space="preserve">, we first </w:t>
      </w:r>
      <w:r w:rsidR="00501BE0">
        <w:t xml:space="preserve">select the </w:t>
      </w:r>
      <w:r w:rsidR="00337FF9" w:rsidRPr="0080644E">
        <w:t>total end-use building energy intensity</w:t>
      </w:r>
      <w:r w:rsidR="00374838">
        <w:t xml:space="preserve"> (EUI)</w:t>
      </w:r>
      <w:r w:rsidR="00501BE0" w:rsidRPr="0080644E">
        <w:t xml:space="preserve"> </w:t>
      </w:r>
      <w:r w:rsidR="00501BE0">
        <w:t>as the key building performance</w:t>
      </w:r>
      <w:r w:rsidR="00170711">
        <w:t xml:space="preserve"> criterion</w:t>
      </w:r>
      <w:r w:rsidR="00164161">
        <w:t xml:space="preserve"> to be predicted</w:t>
      </w:r>
      <w:r w:rsidR="00501BE0" w:rsidRPr="007D45E5">
        <w:t>.</w:t>
      </w:r>
      <w:r w:rsidR="00501BE0">
        <w:t xml:space="preserve"> W</w:t>
      </w:r>
      <w:r w:rsidRPr="00D81C8E">
        <w:t xml:space="preserve">e </w:t>
      </w:r>
      <w:r w:rsidR="0080644E">
        <w:t xml:space="preserve">construct a synthetic component-level building energy graph dataset where nodes are building </w:t>
      </w:r>
      <w:r w:rsidR="00CF1B1E">
        <w:t>elements</w:t>
      </w:r>
      <w:r w:rsidR="0080644E">
        <w:t>,</w:t>
      </w:r>
      <w:r w:rsidR="00C65974">
        <w:t xml:space="preserve"> and edges are</w:t>
      </w:r>
      <w:r w:rsidR="002A0295">
        <w:t xml:space="preserve"> </w:t>
      </w:r>
      <w:r w:rsidR="007D45E5" w:rsidRPr="007D45E5">
        <w:t>t</w:t>
      </w:r>
      <w:r w:rsidR="007D45E5" w:rsidRPr="0080644E">
        <w:t>heir spatial and hierarchical relationships</w:t>
      </w:r>
      <w:r w:rsidR="00F144BB">
        <w:t>. W</w:t>
      </w:r>
      <w:r w:rsidR="009C166A">
        <w:t xml:space="preserve">e formulate the energy prediction as a graph regression task and </w:t>
      </w:r>
      <w:r w:rsidRPr="00D81C8E">
        <w:t xml:space="preserve">evaluate the performance of several GNN architectures. The results demonstrate that all evaluated GNN models show promising predictive accuracy, highlighting their potential for delivering rapid building performance </w:t>
      </w:r>
      <w:r w:rsidR="00FF3D62">
        <w:t xml:space="preserve">predictions, </w:t>
      </w:r>
      <w:r w:rsidRPr="00D81C8E">
        <w:t xml:space="preserve">especially </w:t>
      </w:r>
      <w:r w:rsidR="00FF3D62">
        <w:t>suitable for</w:t>
      </w:r>
      <w:r w:rsidRPr="00D81C8E">
        <w:t xml:space="preserve"> the early design stages.</w:t>
      </w:r>
    </w:p>
    <w:p w14:paraId="6B1AE12D" w14:textId="77777777" w:rsidR="000E3A13" w:rsidRDefault="000E3A13" w:rsidP="000E3A13">
      <w:pPr>
        <w:pStyle w:val="Abstracttext"/>
      </w:pPr>
    </w:p>
    <w:p w14:paraId="687F9633" w14:textId="0941DAED" w:rsidR="00B86B2E" w:rsidRDefault="008B6A2D" w:rsidP="004A3542">
      <w:pPr>
        <w:pStyle w:val="Keywordsheading"/>
        <w:ind w:left="283" w:firstLine="851"/>
      </w:pPr>
      <w:r>
        <w:t>KEYWORDS</w:t>
      </w:r>
      <w:r w:rsidR="00BF5B80">
        <w:t xml:space="preserve">: </w:t>
      </w:r>
    </w:p>
    <w:p w14:paraId="01B20FB4" w14:textId="7C2E1CC9" w:rsidR="00452605" w:rsidRPr="000648FD" w:rsidRDefault="004A33F5" w:rsidP="008B6A2D">
      <w:pPr>
        <w:pStyle w:val="Keywordstext"/>
        <w:rPr>
          <w:color w:val="000000" w:themeColor="text1"/>
        </w:rPr>
      </w:pPr>
      <w:r>
        <w:rPr>
          <w:color w:val="000000" w:themeColor="text1"/>
        </w:rPr>
        <w:t>E</w:t>
      </w:r>
      <w:r w:rsidR="00654DAC" w:rsidRPr="595271FD">
        <w:rPr>
          <w:color w:val="000000" w:themeColor="text1"/>
        </w:rPr>
        <w:t>nergy simulation</w:t>
      </w:r>
      <w:r w:rsidR="00E626A7">
        <w:rPr>
          <w:color w:val="000000" w:themeColor="text1"/>
        </w:rPr>
        <w:t>, surrogate models, performance-</w:t>
      </w:r>
      <w:r w:rsidR="00C37FA5">
        <w:rPr>
          <w:color w:val="000000" w:themeColor="text1"/>
        </w:rPr>
        <w:t>driven design</w:t>
      </w:r>
      <w:r w:rsidR="001013F4">
        <w:rPr>
          <w:color w:val="000000" w:themeColor="text1"/>
        </w:rPr>
        <w:t>, artificial intelligence, building design</w:t>
      </w:r>
      <w:r w:rsidR="00E626A7">
        <w:rPr>
          <w:color w:val="000000" w:themeColor="text1"/>
        </w:rPr>
        <w:t>.</w:t>
      </w:r>
    </w:p>
    <w:p w14:paraId="27111275" w14:textId="77777777" w:rsidR="00AC79BB" w:rsidRPr="00F05EA2" w:rsidRDefault="00AC79BB" w:rsidP="00452605">
      <w:pPr>
        <w:pStyle w:val="PlainText"/>
        <w:ind w:left="567" w:right="567"/>
      </w:pPr>
    </w:p>
    <w:p w14:paraId="54FDD079" w14:textId="77777777" w:rsidR="00812538" w:rsidRPr="00F05EA2" w:rsidRDefault="00812538" w:rsidP="00452605">
      <w:pPr>
        <w:pStyle w:val="PlainText"/>
        <w:ind w:left="567" w:right="567"/>
        <w:rPr>
          <w:i/>
        </w:rPr>
      </w:pPr>
    </w:p>
    <w:p w14:paraId="283384C1"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5B78AEF0" w14:textId="0D33A191" w:rsidR="00452605" w:rsidRPr="007672FD" w:rsidRDefault="0095653F" w:rsidP="00452605">
      <w:pPr>
        <w:pStyle w:val="Heading1"/>
      </w:pPr>
      <w:r w:rsidRPr="007672FD">
        <w:t xml:space="preserve">1. </w:t>
      </w:r>
      <w:r w:rsidR="00452605" w:rsidRPr="007672FD">
        <w:t>INTRODUCTION</w:t>
      </w:r>
    </w:p>
    <w:p w14:paraId="6E353E64" w14:textId="62BD48BE" w:rsidR="001A78B1" w:rsidRDefault="00937633" w:rsidP="0010145F">
      <w:pPr>
        <w:pStyle w:val="MainText"/>
      </w:pPr>
      <w:r w:rsidRPr="00937633">
        <w:t xml:space="preserve">In the context of climate change and growing global energy demands, accurate building performance simulations are essential for optimizing energy efficiency in building design. </w:t>
      </w:r>
      <w:r w:rsidR="0092660C" w:rsidRPr="0092660C">
        <w:t>A common metric for assessing building energy efficiency is</w:t>
      </w:r>
      <w:r w:rsidR="00C242E8">
        <w:t>, among others,</w:t>
      </w:r>
      <w:r w:rsidR="0092660C" w:rsidRPr="0092660C">
        <w:t xml:space="preserve"> the total end-use energy intensity (EUI), typically expressed in </w:t>
      </w:r>
      <w:r w:rsidR="0006221A" w:rsidRPr="00621110">
        <w:t>kWh/m²·year</w:t>
      </w:r>
      <w:r w:rsidR="0092660C" w:rsidRPr="0092660C">
        <w:t xml:space="preserve">, </w:t>
      </w:r>
      <w:r w:rsidR="00072DA0" w:rsidRPr="00072DA0">
        <w:t>which provides a standardized measure to compare building performance across different designs and configurations</w:t>
      </w:r>
      <w:r w:rsidR="00EB5D59">
        <w:t xml:space="preserve"> </w:t>
      </w:r>
      <w:r w:rsidR="00EB5D59" w:rsidRPr="00FB61AE">
        <w:fldChar w:fldCharType="begin"/>
      </w:r>
      <w:r w:rsidR="0016199B">
        <w:instrText xml:space="preserve"> ADDIN ZOTERO_ITEM CSL_CITATION {"citationID":"PZTwablQ","properties":{"formattedCitation":"(American Society of Heating, Refrigerating and Air-Conditioning Engineers, Inc. (ASHRAE), 2021; Guy {\\i{}et al.}, 2023)","plainCitation":"(American Society of Heating, Refrigerating and Air-Conditioning Engineers, Inc. (ASHRAE), 2021; Guy et al., 2023)","dontUpdate":true,"noteIndex":0},"citationItems":[{"id":3451,"uris":["http://zotero.org/groups/5482058/items/QKF43WX8"],"itemData":{"id":3451,"type":"document","note":"Citation Key: typical-applications\nISBN: 978-1-947192-90-4\nPublication title: 2021 ASHRAE® handbook - fundamentals (SI edition)\ntex.entrytype: chapter","publisher":"American Society of Heating, Refrigerating and Air-Conditioning Engineers, Inc. (ASHRAE)","title":"ASHRAE Handbook, Chapter 19, Energy Estimating and Modeling Methods","URL":"https://app.knovel.com/hotlink/khtml/id:kt012MH6J1/ashrae-handbook-fundamentals/typical-applications","author":[{"family":"American Society of Heating, Refrigerating and Air-Conditioning Engineers, Inc. (ASHRAE)","given":""}],"issued":{"date-parts":[["2021"]]},"citation-key":"typical-applications"}},{"id":3456,"uris":["http://zotero.org/groups/5482058/items/36XCTTIF"],"itemData":{"id":3456,"type":"article-journal","container-title":"Energy and Buildings","DOI":"10.1016/j.enbuild.2023.113595","ISSN":"0378-7788","language":"en","license":"https://www.elsevier.com/tdm/userlicense/1.0/","note":"publisher: Elsevier BV","page":"113595","source":"Crossref","title":"Benchmarking the energy performance of European commercial buildings with a bayesian modeling framework","volume":"299","author":[{"family":"Guy","given":"Horace"},{"family":"Vittoz","given":"Simon"},{"family":"Caputo","given":"Giulia"},{"family":"Thiery","given":"Thimothée"}],"issued":{"date-parts":[["2023",11]]},"citation-key":"guyBenchmarkingEnergyPerformance2023"}}],"schema":"https://github.com/citation-style-language/schema/raw/master/csl-citation.json"} </w:instrText>
      </w:r>
      <w:r w:rsidR="00EB5D59" w:rsidRPr="00FB61AE">
        <w:fldChar w:fldCharType="separate"/>
      </w:r>
      <w:r w:rsidR="00FB61AE" w:rsidRPr="00FB61AE">
        <w:rPr>
          <w:rFonts w:eastAsia="PMingLiU"/>
          <w:lang w:val="en-US" w:eastAsia="en-GB"/>
        </w:rPr>
        <w:t xml:space="preserve">(ASHRAE, 2021; Guy </w:t>
      </w:r>
      <w:r w:rsidR="00FB61AE" w:rsidRPr="00FB61AE">
        <w:rPr>
          <w:rFonts w:eastAsia="PMingLiU"/>
          <w:i/>
          <w:iCs/>
          <w:lang w:val="en-US" w:eastAsia="en-GB"/>
        </w:rPr>
        <w:t>et al.</w:t>
      </w:r>
      <w:r w:rsidR="00FB61AE" w:rsidRPr="00FB61AE">
        <w:rPr>
          <w:rFonts w:eastAsia="PMingLiU"/>
          <w:lang w:val="en-US" w:eastAsia="en-GB"/>
        </w:rPr>
        <w:t>, 2023)</w:t>
      </w:r>
      <w:r w:rsidR="00EB5D59" w:rsidRPr="00FB61AE">
        <w:fldChar w:fldCharType="end"/>
      </w:r>
      <w:r w:rsidR="0092660C" w:rsidRPr="0092660C">
        <w:t xml:space="preserve">. </w:t>
      </w:r>
      <w:r w:rsidRPr="00937633">
        <w:t xml:space="preserve">Traditional physics-based simulation methods, while precise, often require extensive, high-quality </w:t>
      </w:r>
      <w:r w:rsidR="006B5EE8">
        <w:t xml:space="preserve">input </w:t>
      </w:r>
      <w:r w:rsidRPr="00937633">
        <w:t>data and substantial computational resources</w:t>
      </w:r>
      <w:r w:rsidR="004B0657">
        <w:t xml:space="preserve">. </w:t>
      </w:r>
      <w:r w:rsidR="004B0657" w:rsidRPr="004B0657">
        <w:t xml:space="preserve">This limitation reduces their practicality, especially in the early design stages, and has </w:t>
      </w:r>
      <w:r w:rsidR="004B0657">
        <w:t>led to</w:t>
      </w:r>
      <w:r w:rsidR="004B0657" w:rsidRPr="004B0657">
        <w:t xml:space="preserve"> the exploration of data-driven, A</w:t>
      </w:r>
      <w:r w:rsidR="001A78B1">
        <w:t xml:space="preserve">rtificial Intelligence (AI) </w:t>
      </w:r>
      <w:r w:rsidR="004B0657" w:rsidRPr="004B0657">
        <w:t>-based methods that promise faster and more flexible energy predictions even with incomplete building information.</w:t>
      </w:r>
    </w:p>
    <w:p w14:paraId="2E0DE8EB" w14:textId="73658592" w:rsidR="008A7564" w:rsidRDefault="0014310A" w:rsidP="0010145F">
      <w:pPr>
        <w:pStyle w:val="MainText"/>
      </w:pPr>
      <w:r w:rsidRPr="0014310A">
        <w:t xml:space="preserve">Early data-driven energy prediction approaches, including regression models </w:t>
      </w:r>
      <w:r w:rsidR="00F76745">
        <w:fldChar w:fldCharType="begin"/>
      </w:r>
      <w:r w:rsidR="0016199B">
        <w:instrText xml:space="preserve"> ADDIN ZOTERO_ITEM CSL_CITATION {"citationID":"FOKTPjuq","properties":{"formattedCitation":"(Tsanas and Xifara, 2012)","plainCitation":"(Tsanas and Xifara, 2012)","noteIndex":0},"citationItems":[{"id":3194,"uris":["http://zotero.org/groups/5482058/items/EIXRD373"],"itemData":{"id":3194,"type":"article-journal","abstract":"We develop a statistical machine learning framework to study the effect of eight input variables (relative compactness, surface area, wall area, roof area, overall height, orientation, glazing area, glazing area distribution) on two output variables, namely heating load (HL) and cooling load (CL), of residential buildings. We systematically investigate the association strength of each input variable with each of the output variables using a variety of classical and non-parametric statistical analysis tools, in order to identify the most strongly related input variables. Then, we compare a classical linear regression approach against a powerful state of the art nonlinear non-parametric method, random forests, to estimate HL and CL. Extensive simulations on 768 diverse residential buildings show that we can predict HL and CL with low mean absolute error deviations from the ground truth which is established using Ecotect (0.51 and 1.42, respectively). The results of this study support the feasibility of using machine learning tools to estimate building parameters as a convenient and accurate approach, as long as the requested query bears resemblance to the data actually used to train the mathematical model in the ﬁrst place.","container-title":"Energy and Buildings","DOI":"10.1016/j.enbuild.2012.03.003","ISSN":"03787788","journalAbbreviation":"Energy and Buildings","language":"en","license":"https://www.elsevier.com/tdm/userlicense/1.0/","page":"560-567","source":"DOI.org (Crossref)","title":"Accurate quantitative estimation of energy performance of residential buildings using statistical machine learning tools","volume":"49","author":[{"family":"Tsanas","given":"Athanasios"},{"family":"Xifara","given":"Angeliki"}],"issued":{"date-parts":[["2012",6]]},"citation-key":"tsanasAccurateQuantitativeEstimation2012"}}],"schema":"https://github.com/citation-style-language/schema/raw/master/csl-citation.json"} </w:instrText>
      </w:r>
      <w:r w:rsidR="00F76745">
        <w:fldChar w:fldCharType="separate"/>
      </w:r>
      <w:r w:rsidR="00F76745">
        <w:t>(Tsanas and Xifara, 2012)</w:t>
      </w:r>
      <w:r w:rsidR="00F76745">
        <w:fldChar w:fldCharType="end"/>
      </w:r>
      <w:r w:rsidR="00B62163">
        <w:t xml:space="preserve">, </w:t>
      </w:r>
      <w:r w:rsidR="003664DB" w:rsidRPr="003664DB">
        <w:t>have evolved into more advanced machine learning</w:t>
      </w:r>
      <w:r w:rsidR="003664DB">
        <w:t xml:space="preserve"> (ML)</w:t>
      </w:r>
      <w:r w:rsidR="003664DB" w:rsidRPr="003664DB">
        <w:t xml:space="preserve"> techniques, including Artificial Neural Networks (ANNs), Support Vector Machines (SVMs), and Gradient Boosting Machines (GBMs)</w:t>
      </w:r>
      <w:r w:rsidR="00F76745">
        <w:t xml:space="preserve"> </w:t>
      </w:r>
      <w:r w:rsidR="00F76745">
        <w:lastRenderedPageBreak/>
        <w:fldChar w:fldCharType="begin"/>
      </w:r>
      <w:r w:rsidR="0016199B">
        <w:instrText xml:space="preserve"> ADDIN ZOTERO_ITEM CSL_CITATION {"citationID":"RmvmOzsr","properties":{"formattedCitation":"(Wei {\\i{}et al.}, 2018)","plainCitation":"(Wei et al., 2018)","noteIndex":0},"citationItems":[{"id":2827,"uris":["http://zotero.org/groups/5482058/items/HCR4CKGB"],"itemData":{"id":2827,"type":"article-journal","abstract":"A recent surge of interest in building energy consumption has generated a tremendous amount of energy data, which boosts the data-driven algorithms for broad application throughout the building industry. This article reviews the prevailing data-driven approaches used in building energy analysis under di</w:instrText>
      </w:r>
      <w:r w:rsidR="0016199B">
        <w:rPr>
          <w:rFonts w:ascii="Cambria Math" w:hAnsi="Cambria Math" w:cs="Cambria Math"/>
        </w:rPr>
        <w:instrText>ﬀ</w:instrText>
      </w:r>
      <w:r w:rsidR="0016199B">
        <w:instrText xml:space="preserve">erent archetypes and granularities, including those methods for prediction (artiﬁcial neural networks, support vector machines, statistical regression, decision tree and genetic algorithm) and those methods for classiﬁcation (K-mean clustering, self-organizing map and hierarchy clustering). The review results demonstrate that the data-driven approaches have well addressed a large variety of building energy related applications, such as load forecasting and prediction, energy pattern proﬁling, regional energy-consumption mapping, benchmarking for building stocks, global retroﬁt strategies and guideline making etc. Signiﬁcantly, this review reﬁnes a few key tasks for modiﬁcation of the data-driven approaches in the context of application to building energy analysis. The conclusions drawn in this review could facilitate future micro-scale changes of energy use for a particular building through the appropriate retroﬁt and the inclusion of renewable energy technologies. It also paves an avenue to explore potential in macro-scale energy-reduction with consideration of customer demands. All these will be useful to establish a better long-term strategy for urban sustainability.","container-title":"Renewable and Sustainable Energy Reviews","DOI":"10.1016/j.rser.2017.09.108","ISSN":"13640321","journalAbbreviation":"Renewable and Sustainable Energy Reviews","language":"en","page":"1027-1047","source":"DOI.org (Crossref)","title":"A review of data-driven approaches for prediction and classification of building energy consumption","volume":"82","author":[{"family":"Wei","given":"Yixuan"},{"family":"Zhang","given":"Xingxing"},{"family":"Shi","given":"Yong"},{"family":"Xia","given":"Liang"},{"family":"Pan","given":"Song"},{"family":"Wu","given":"Jinshun"},{"family":"Han","given":"Mengjie"},{"family":"Zhao","given":"Xiaoyun"}],"issued":{"date-parts":[["2018",2]]},"citation-key":"weiReviewDatadrivenApproaches2018"}}],"schema":"https://github.com/citation-style-language/schema/raw/master/csl-citation.json"} </w:instrText>
      </w:r>
      <w:r w:rsidR="00F76745">
        <w:fldChar w:fldCharType="separate"/>
      </w:r>
      <w:r w:rsidR="00F76745" w:rsidRPr="00603498">
        <w:t>(Wei et al., 2018)</w:t>
      </w:r>
      <w:r w:rsidR="00F76745">
        <w:fldChar w:fldCharType="end"/>
      </w:r>
      <w:r w:rsidR="00B62163">
        <w:t xml:space="preserve">. </w:t>
      </w:r>
      <w:r w:rsidR="00AD5BDA" w:rsidRPr="00AD5BDA">
        <w:t>Hybrid techniques, combining ANNs with Genetic Algorithms</w:t>
      </w:r>
      <w:r w:rsidR="00D74BAC">
        <w:t xml:space="preserve">, </w:t>
      </w:r>
      <w:r w:rsidR="00D30082" w:rsidRPr="00D30082">
        <w:t>have enabled design optimization</w:t>
      </w:r>
      <w:r w:rsidR="00D74BAC">
        <w:t xml:space="preserve"> </w:t>
      </w:r>
      <w:r w:rsidR="00F76745">
        <w:fldChar w:fldCharType="begin"/>
      </w:r>
      <w:r w:rsidR="0016199B">
        <w:instrText xml:space="preserve"> ADDIN ZOTERO_ITEM CSL_CITATION {"citationID":"2X3JKq80","properties":{"formattedCitation":"(Maderspacher {\\i{}et al.}, 2016)","plainCitation":"(Maderspacher et al., 2016)","noteIndex":0},"citationItems":[{"id":3193,"uris":["http://zotero.org/groups/5482058/items/6MIMSGNX"],"itemData":{"id":3193,"type":"article-journal","abstract":"When it comes to the refurbishment of existing buildings there are different objectives; for instance, the reduction of energy consumption, global warming potential (GWP) or costs. To ﬁnd the optimal solution can be very challenging. Thus, the application of a building simulation model combined with a multiobjective optimization (MOO) might be useful. However, a drawback of a numerical optimization is the computational effort. In this paper we show that the replacement of the detailed building simulation model with a neural network can reduce the computational effort for a optimization analysis. Furthermore we conclude that it could be necessary to give special attention to the errors of the meta model on the boundaries of the range of validity.","language":"en","source":"Zotero","title":"Energy optimization of an existing building based on a neural network and a genetic algorithm","author":[{"family":"Maderspacher","given":"Johannes"},{"family":"Geyer","given":"Philipp"},{"family":"Auer","given":"Thomas"},{"family":"Lang","given":"Werner"}],"issued":{"date-parts":[["2016"]]},"citation-key":"maderspacherEnergyOptimizationExisting2016"}}],"schema":"https://github.com/citation-style-language/schema/raw/master/csl-citation.json"} </w:instrText>
      </w:r>
      <w:r w:rsidR="00F76745">
        <w:fldChar w:fldCharType="separate"/>
      </w:r>
      <w:r w:rsidR="007A64D7" w:rsidRPr="00603498">
        <w:t>(Maderspacher et al., 2016)</w:t>
      </w:r>
      <w:r w:rsidR="00F76745">
        <w:fldChar w:fldCharType="end"/>
      </w:r>
      <w:r w:rsidR="00D30082">
        <w:t>, while</w:t>
      </w:r>
      <w:r w:rsidR="009A6E43" w:rsidRPr="009A6E43">
        <w:t xml:space="preserve"> deep learning frameworks employing Long Short-Term Memory (LSTM) networks</w:t>
      </w:r>
      <w:r w:rsidR="00C25A23">
        <w:t xml:space="preserve"> have further improved energy forecasting by capturing temporal dependencies</w:t>
      </w:r>
      <w:r w:rsidR="009A6E43" w:rsidRPr="009A6E43">
        <w:t xml:space="preserve"> </w:t>
      </w:r>
      <w:r w:rsidR="007A64D7">
        <w:fldChar w:fldCharType="begin"/>
      </w:r>
      <w:r w:rsidR="0016199B">
        <w:instrText xml:space="preserve"> ADDIN ZOTERO_ITEM CSL_CITATION {"citationID":"DE4GJtnJ","properties":{"formattedCitation":"(Zhang {\\i{}et al.}, 2020)","plainCitation":"(Zhang et al., 2020)","noteIndex":0},"citationItems":[{"id":3188,"uris":["http://zotero.org/groups/5482058/items/WY8KPPGV"],"itemData":{"id":3188,"type":"article-journal","abstract":"Data driven-based building energy load prediction is of great value for building energy management tasks such as fault diagnosis and optimal control. However, there are two challenges for conventional data driven-based prediction methods. The ﬁrst challenge is that time-lag measurements such as historical cooling loads still cannot be taken full advantage of. To deal with this challenge, a hybrid prediction method is proposed based on long short-term memory networks and artiﬁcial neural networks. The second challenge is that data driven-based models are hard to explain by domain knowledge. To deal with this challenge, an interpretation method is proposed based on a dimensionless sensitivity index and a weighted Manhattan distance. Operation data of a public building are utilized to evaluate the proposed methods. Results show that the proposed hybrid prediction method has higher prediction accuracy than conventional prediction methods in one-hour-ahead cooling load prediction. Crucial factors affecting building cooling loads are revealed successfully based on the proposed sensitivity index. Moreover, the weighted Manhattan distance is utilized to quantify the difference between predicted conditions and known conditions of training data. Results show that the prediction accuracy of data driven-based methods is reduced with the increase of the weighted Manhattan distance. It is further discovered that relationships between logarithmic prediction residuals and corresponding logarithmic weighted Manhattan distances are approximatively linear.","container-title":"Energy and Buildings","DOI":"10.1016/j.enbuild.2020.110301","ISSN":"03787788","journalAbbreviation":"Energy and Buildings","language":"en","page":"110301","source":"DOI.org (Crossref)","title":"A hybrid deep learning-based method for short-term building energy load prediction combined with an interpretation process","volume":"225","author":[{"family":"Zhang","given":"Chaobo"},{"family":"Li","given":"Junyang"},{"family":"Zhao","given":"Yang"},{"family":"Li","given":"Tingting"},{"family":"Chen","given":"Qi"},{"family":"Zhang","given":"Xuejun"}],"issued":{"date-parts":[["2020",10]]},"citation-key":"zhangHybridDeepLearningbased2020"}}],"schema":"https://github.com/citation-style-language/schema/raw/master/csl-citation.json"} </w:instrText>
      </w:r>
      <w:r w:rsidR="007A64D7">
        <w:fldChar w:fldCharType="separate"/>
      </w:r>
      <w:r w:rsidR="004B0BFA" w:rsidRPr="00603498">
        <w:t>(Zhang et al., 2020)</w:t>
      </w:r>
      <w:r w:rsidR="007A64D7">
        <w:fldChar w:fldCharType="end"/>
      </w:r>
      <w:r w:rsidR="00B62163">
        <w:t>.</w:t>
      </w:r>
      <w:r w:rsidR="0010145F">
        <w:t xml:space="preserve"> Meta-reviews </w:t>
      </w:r>
      <w:r w:rsidR="00BD2156">
        <w:fldChar w:fldCharType="begin"/>
      </w:r>
      <w:r w:rsidR="0016199B">
        <w:instrText xml:space="preserve"> ADDIN ZOTERO_ITEM CSL_CITATION {"citationID":"6JuB2zpy","properties":{"formattedCitation":"(Elwy and Hagishima, 2024)","plainCitation":"(Elwy and Hagishima, 2024)","noteIndex":0},"citationItems":[{"id":2898,"uris":["http://zotero.org/groups/5482058/items/J5UY7C7F"],"itemData":{"id":2898,"type":"article-journal","abstract":"Artificial Intelligence (AI) applications in building performance prediction for environmental sustainability outcomes play a significant role in compensating for computationally incompetent and expensive approaches to solving increasingly complex optimization problems. Although machine-learning-based surrogate models (SMs), one of the many AI approximation strategies for higher-order models, have long been utilized in sophisticated optimization studies in various fields, their reliability in the field of sustainable and low-energy architectural design is now being extensively explored. To comprehend the effectiveness of applying state-of-the-art surrogateassisted optimization methodologies for building energy performance, this study presents a comprehensive review of recent studies aimed at identifying innovative theories and critical factors for each component of the optimization process. Considering passive form and envelope design variables, seventy-two relevant studies from the Scopus database were selected for review after screening. The results, including the current trends for surrogate modeling and optimization methods, accuracy levels of SMs, extent of building performance improvement, and decisive building design variables, are thoroughly discussed according to the varying conditions of each study. Finally, a further discussion of recent methodological advancements and limitations can help identify potential approaches and challenges for future research.","container-title":"Energy and Buildings","DOI":"10.1016/j.enbuild.2024.114769","ISSN":"03787788","journalAbbreviation":"Energy and Buildings","language":"en","page":"114769","source":"DOI.org (Crossref)","title":"The artificial intelligence reformation of sustainable building design approach: A systematic review on building design optimization methods using surrogate models","title-short":"The artificial intelligence reformation of sustainable building design approach","volume":"323","author":[{"family":"Elwy","given":"Ibrahim"},{"family":"Hagishima","given":"Aya"}],"issued":{"date-parts":[["2024",11]]},"citation-key":"elwyArtificialIntelligenceReformation2024"}}],"schema":"https://github.com/citation-style-language/schema/raw/master/csl-citation.json"} </w:instrText>
      </w:r>
      <w:r w:rsidR="00BD2156">
        <w:fldChar w:fldCharType="separate"/>
      </w:r>
      <w:r w:rsidR="00BD2156">
        <w:t>(Elwy and Hagishima, 2024)</w:t>
      </w:r>
      <w:r w:rsidR="00BD2156">
        <w:fldChar w:fldCharType="end"/>
      </w:r>
      <w:r w:rsidR="0010145F">
        <w:t xml:space="preserve"> </w:t>
      </w:r>
      <w:r w:rsidR="008A7564" w:rsidRPr="008A7564">
        <w:t xml:space="preserve">confirm AI’s growing role in </w:t>
      </w:r>
      <w:r w:rsidR="00BC0A28">
        <w:t>building energy performance prediction</w:t>
      </w:r>
      <w:r w:rsidR="008A7564" w:rsidRPr="008A7564">
        <w:t>, with 62% of studies focusing on early-phase predictions.</w:t>
      </w:r>
    </w:p>
    <w:p w14:paraId="64A3B395" w14:textId="011A8606" w:rsidR="0003359F" w:rsidRPr="00B83D1B" w:rsidRDefault="0003359F" w:rsidP="0003359F">
      <w:pPr>
        <w:pStyle w:val="MainText"/>
      </w:pPr>
      <w:r w:rsidRPr="0000172E">
        <w:t>Despite recent advancements, AI-driven methods still face several critical limitations. Key issues include poor generalization</w:t>
      </w:r>
      <w:r>
        <w:t xml:space="preserve">, </w:t>
      </w:r>
      <w:r w:rsidRPr="0000172E">
        <w:t>discrepancies between predicted and actual performance</w:t>
      </w:r>
      <w:r>
        <w:t xml:space="preserve">, </w:t>
      </w:r>
      <w:r w:rsidRPr="0000172E">
        <w:t>and inconsistencies in optimization approaches</w:t>
      </w:r>
      <w:r>
        <w:t xml:space="preserve"> </w:t>
      </w:r>
      <w:r>
        <w:fldChar w:fldCharType="begin"/>
      </w:r>
      <w:r w:rsidR="0016199B">
        <w:instrText xml:space="preserve"> ADDIN ZOTERO_ITEM CSL_CITATION {"citationID":"LMsiKkTg","properties":{"formattedCitation":"(Elwy and Hagishima, 2024)","plainCitation":"(Elwy and Hagishima, 2024)","noteIndex":0},"citationItems":[{"id":2898,"uris":["http://zotero.org/groups/5482058/items/J5UY7C7F"],"itemData":{"id":2898,"type":"article-journal","abstract":"Artificial Intelligence (AI) applications in building performance prediction for environmental sustainability outcomes play a significant role in compensating for computationally incompetent and expensive approaches to solving increasingly complex optimization problems. Although machine-learning-based surrogate models (SMs), one of the many AI approximation strategies for higher-order models, have long been utilized in sophisticated optimization studies in various fields, their reliability in the field of sustainable and low-energy architectural design is now being extensively explored. To comprehend the effectiveness of applying state-of-the-art surrogateassisted optimization methodologies for building energy performance, this study presents a comprehensive review of recent studies aimed at identifying innovative theories and critical factors for each component of the optimization process. Considering passive form and envelope design variables, seventy-two relevant studies from the Scopus database were selected for review after screening. The results, including the current trends for surrogate modeling and optimization methods, accuracy levels of SMs, extent of building performance improvement, and decisive building design variables, are thoroughly discussed according to the varying conditions of each study. Finally, a further discussion of recent methodological advancements and limitations can help identify potential approaches and challenges for future research.","container-title":"Energy and Buildings","DOI":"10.1016/j.enbuild.2024.114769","ISSN":"03787788","journalAbbreviation":"Energy and Buildings","language":"en","page":"114769","source":"DOI.org (Crossref)","title":"The artificial intelligence reformation of sustainable building design approach: A systematic review on building design optimization methods using surrogate models","title-short":"The artificial intelligence reformation of sustainable building design approach","volume":"323","author":[{"family":"Elwy","given":"Ibrahim"},{"family":"Hagishima","given":"Aya"}],"issued":{"date-parts":[["2024",11]]},"citation-key":"elwyArtificialIntelligenceReformation2024"}}],"schema":"https://github.com/citation-style-language/schema/raw/master/csl-citation.json"} </w:instrText>
      </w:r>
      <w:r>
        <w:fldChar w:fldCharType="separate"/>
      </w:r>
      <w:r w:rsidRPr="005B5978">
        <w:t>(Elwy and Hagishima, 2024)</w:t>
      </w:r>
      <w:r>
        <w:fldChar w:fldCharType="end"/>
      </w:r>
      <w:r>
        <w:t>.</w:t>
      </w:r>
      <w:r w:rsidRPr="000702A5">
        <w:t xml:space="preserve"> </w:t>
      </w:r>
      <w:r w:rsidRPr="0000172E">
        <w:t>Data-driven models often struggle with interpretability and generalizability</w:t>
      </w:r>
      <w:r>
        <w:t xml:space="preserve"> </w:t>
      </w:r>
      <w:r>
        <w:fldChar w:fldCharType="begin"/>
      </w:r>
      <w:r w:rsidR="0016199B">
        <w:instrText xml:space="preserve"> ADDIN ZOTERO_ITEM CSL_CITATION {"citationID":"CzQpXY5I","properties":{"formattedCitation":"(Geyer, Singh and Chen, 2024)","plainCitation":"(Geyer, Singh and Chen, 2024)","noteIndex":0},"citationItems":[{"id":3388,"uris":["http://zotero.org/groups/5482058/items/HWQB4N7F"],"itemData":{"id":3388,"type":"article-journal","abstract":"Data-driven models created by machine learning (ML) have gained importance in all fields of design and engineering. They have high potential to assist decision-makers in creating novel artifacts with better performance and sustainability. However, limited generalization and the black-box nature of these models lead to limited explainability and reusability. To overcome this situation, we developed a component-based approach to create partial component models by ML. This component-based approach aligns deep learning with systems engineering (SE). The key contribution of the component-based method is that activations at interfaces between the components are interpretable engineering quantities. In this way, the hierarchical component system forms a deep neural network (DNN) that a priori integrates interpretable information for explainability of predictions. The large range of possible configurations in composing components allows the examination of novel unseen design cases outside training data. The matching of parameter ranges of components using similar probability distributions produces reusable, well-generalizing, and trustworthy models. The approach adapts the model structure to SE methods and domain knowledge. We examine the performance of the approach in the field of energyefficient building design: First, we observed better generalization of the component-based method by analyzing prediction accuracy outside the training data. Especially for representative designs that are different in structure, we observed a much higher accuracy (R2 = 0.94) compared to conventional monolithic methods (R2 = 0.71). Second, we illustrate explainability by demonstrating how sensitivity information from SE and an interpretable model based on rules from low-depth decision trees serve engineering design. Third, we evaluate explainability using qualitative and quantitative methods that demonstrate the matching of preliminary knowledge and data-driven derived strategies and show correctness of activations at component interfaces compared to white-box simulation results (envelope components: R2 = 0.92..0.99; zones: R2 = 0.78..0.93).","container-title":"Advanced Engineering Informatics","DOI":"10.1016/j.aei.2024.102843","ISSN":"14740346","journalAbbreviation":"Advanced Engineering Informatics","language":"en","page":"102843","source":"DOI.org (Crossref)","title":"Explainable AI for engineering design: A unified approach of systems engineering and component-based deep learning demonstrated by energy-efficient building design","title-short":"Explainable AI for engineering design","volume":"62","author":[{"family":"Geyer","given":"Philipp"},{"family":"Singh","given":"Manav Mahan"},{"family":"Chen","given":"Xia"}],"issued":{"date-parts":[["2024",10]]},"citation-key":"geyerExplainableAIEngineering2024a"}}],"schema":"https://github.com/citation-style-language/schema/raw/master/csl-citation.json"} </w:instrText>
      </w:r>
      <w:r>
        <w:fldChar w:fldCharType="separate"/>
      </w:r>
      <w:r>
        <w:t>(Geyer, Singh and Chen, 2024)</w:t>
      </w:r>
      <w:r>
        <w:fldChar w:fldCharType="end"/>
      </w:r>
      <w:r>
        <w:t xml:space="preserve">, </w:t>
      </w:r>
      <w:r w:rsidRPr="0000172E">
        <w:t xml:space="preserve">and their predictive accuracy can degrade significantly when models are simplified, leading to </w:t>
      </w:r>
      <w:r>
        <w:t>significant</w:t>
      </w:r>
      <w:r w:rsidRPr="0000172E">
        <w:t xml:space="preserve"> gaps between estimated and actual energy consumption</w:t>
      </w:r>
      <w:r>
        <w:t xml:space="preserve"> </w:t>
      </w:r>
      <w:r>
        <w:fldChar w:fldCharType="begin"/>
      </w:r>
      <w:r w:rsidR="0016199B">
        <w:instrText xml:space="preserve"> ADDIN ZOTERO_ITEM CSL_CITATION {"citationID":"GHqEUor0","properties":{"formattedCitation":"(Singh {\\i{}et al.}, 2020)","plainCitation":"(Singh et al., 2020)","noteIndex":0},"citationItems":[{"id":3386,"uris":["http://zotero.org/groups/5482058/items/DBHQFAZL"],"itemData":{"id":3386,"type":"article-journal","abstract":"The energy-efficient building design requires building performance simulation (BPS) to compare multiple design options for their energy performance. However, at the early stage, BPS is often ignored, due to uncertainty, lack of details, and computational time. This article studies probabilistic and deterministic approaches to treat uncertainty; detailed and simplified zoning for creating zones; and dynamic simulation and machine learning for making energy predictions. A state-of-the-art approach, such as dynamic simulation, provide a reliable estimate of energy demand, but computationally expensive. Reducing computational time requires the use of an alternative approach, such as a machine learning (ML) model. However, an alternative approach will cause a prediction gap, and its effect on comparing options needs to be investigated. A plugin for Building information modelling (BIM) modelling tool has been developed to perform BPS using various approaches. These approaches have been tested for an office building with five design options. A method using the probabilistic approach to treat uncertainty, detailed zoning to create zones, and EnergyPlus to predict energy is treated as the reference method. The deterministic or ML approach has a small prediction gap, and the comparison results are similar to the reference method. The simplified model approach has a large prediction gap and only makes only 40% comparison results are similar to the reference method. These findings are useful to develop a BIM integrated tool to compare options at the early design stage and ascertain which approach should be adopted in a timeconstraint situation.","container-title":"Advanced Engineering Informatics","DOI":"10.1016/j.aei.2020.101185","ISSN":"14740346","journalAbbreviation":"Advanced Engineering Informatics","language":"en","page":"101185","source":"DOI.org (Crossref)","title":"Quick energy prediction and comparison of options at the early design stage","volume":"46","author":[{"family":"Singh","given":"Manav Mahan"},{"family":"Singaravel","given":"Sundaravelpandian"},{"family":"Klein","given":"Ralf"},{"family":"Geyer","given":"Philipp"}],"issued":{"date-parts":[["2020",10]]},"citation-key":"singhQuickEnergyPrediction2020"}}],"schema":"https://github.com/citation-style-language/schema/raw/master/csl-citation.json"} </w:instrText>
      </w:r>
      <w:r>
        <w:fldChar w:fldCharType="separate"/>
      </w:r>
      <w:r w:rsidRPr="00603498">
        <w:t>(Singh et al., 2020)</w:t>
      </w:r>
      <w:r>
        <w:fldChar w:fldCharType="end"/>
      </w:r>
      <w:r>
        <w:t xml:space="preserve">. Many of those challenges are also bound to limitations of AI models, such as the need for specifically formatted data and uniformly sized input samples. Data availability and quality also remain major concerns, often requiring substantial expert input to ensure robust predictions  </w:t>
      </w:r>
      <w:r>
        <w:fldChar w:fldCharType="begin"/>
      </w:r>
      <w:r w:rsidR="0016199B">
        <w:instrText xml:space="preserve"> ADDIN ZOTERO_ITEM CSL_CITATION {"citationID":"4z2r5Pfs","properties":{"formattedCitation":"(Chen, Singh and Geyer, 2024)","plainCitation":"(Chen, Singh and Geyer, 2024)","noteIndex":0},"citationItems":[{"id":3387,"uris":["http://zotero.org/groups/5482058/items/TNM7CR6A"],"itemData":{"id":3387,"type":"article-journal","abstract":"Machine learning (ML) applications often require large datasets, a requirement that can pose a major challenge in fields where data is sparse or inconsistent. To address this issue, we propose a novel approach that combines prior knowledge with data-driven methods to significantly reduce data dependency. This study represents a disentangled system compositionality knowledge by the method of Component-Based Machine Learning (CBML) in the context of energy-efficient building engineering. In this way, CBML incorporates semantic domain knowledge within the structure of a data-driven model. To understand the advantage of CBML, we conducted a case experiment to assess the effectiveness of this knowledge-encoded ML approach in scenarios with sparse data input (1 % - 0.0125 % sampling rate) and several typical ML methods. Our findings reveal three key advantages of this approach over traditional ML methods: 1) It significantly improves the robustness of ML models when dealing with extremely small and inconsistent datasets; 2) It allows for efficient utilization of data from diverse record collections; 3) It can handle incomplete data while maintaining high interpretability and reducing training time. These features offer a promising solution to the challenges associated with deploying data-intensive methods and contribute to more efficient real-world data usage. Additionally, we outline four essential prerequisites to ensure the successful integration of prior knowledge and ML generalization in target scenarios and open-sourced the code and dataset for community reproduction.","container-title":"Knowledge-Based Systems","DOI":"10.1016/j.knosys.2024.111774","ISSN":"09507051","journalAbbreviation":"Knowledge-Based Systems","language":"en","page":"111774","source":"DOI.org (Crossref)","title":"Utilizing domain knowledge: Robust machine learning for building energy performance prediction with small, inconsistent datasets","title-short":"Utilizing domain knowledge","volume":"294","author":[{"family":"Chen","given":"Xia"},{"family":"Singh","given":"Manav Mahan"},{"family":"Geyer","given":"Philipp"}],"issued":{"date-parts":[["2024",6]]},"citation-key":"chenUtilizingDomainKnowledge2024a"}}],"schema":"https://github.com/citation-style-language/schema/raw/master/csl-citation.json"} </w:instrText>
      </w:r>
      <w:r>
        <w:fldChar w:fldCharType="separate"/>
      </w:r>
      <w:r>
        <w:t>(Chen, Singh and Geyer, 2024)</w:t>
      </w:r>
      <w:r>
        <w:fldChar w:fldCharType="end"/>
      </w:r>
      <w:r>
        <w:t xml:space="preserve">. Furthermore, many traditional </w:t>
      </w:r>
      <w:r w:rsidR="00F07927">
        <w:t xml:space="preserve">ML </w:t>
      </w:r>
      <w:r>
        <w:t xml:space="preserve"> approaches to building energy performance prediction rely on monolithic models, which lack the capacity to generalize effectively across diverse building topologies </w:t>
      </w:r>
      <w:r>
        <w:fldChar w:fldCharType="begin"/>
      </w:r>
      <w:r w:rsidR="0016199B">
        <w:instrText xml:space="preserve"> ADDIN ZOTERO_ITEM CSL_CITATION {"citationID":"wkDOCSNi","properties":{"formattedCitation":"(Chen, Singh and Geyer, 2024)","plainCitation":"(Chen, Singh and Geyer, 2024)","noteIndex":0},"citationItems":[{"id":3387,"uris":["http://zotero.org/groups/5482058/items/TNM7CR6A"],"itemData":{"id":3387,"type":"article-journal","abstract":"Machine learning (ML) applications often require large datasets, a requirement that can pose a major challenge in fields where data is sparse or inconsistent. To address this issue, we propose a novel approach that combines prior knowledge with data-driven methods to significantly reduce data dependency. This study represents a disentangled system compositionality knowledge by the method of Component-Based Machine Learning (CBML) in the context of energy-efficient building engineering. In this way, CBML incorporates semantic domain knowledge within the structure of a data-driven model. To understand the advantage of CBML, we conducted a case experiment to assess the effectiveness of this knowledge-encoded ML approach in scenarios with sparse data input (1 % - 0.0125 % sampling rate) and several typical ML methods. Our findings reveal three key advantages of this approach over traditional ML methods: 1) It significantly improves the robustness of ML models when dealing with extremely small and inconsistent datasets; 2) It allows for efficient utilization of data from diverse record collections; 3) It can handle incomplete data while maintaining high interpretability and reducing training time. These features offer a promising solution to the challenges associated with deploying data-intensive methods and contribute to more efficient real-world data usage. Additionally, we outline four essential prerequisites to ensure the successful integration of prior knowledge and ML generalization in target scenarios and open-sourced the code and dataset for community reproduction.","container-title":"Knowledge-Based Systems","DOI":"10.1016/j.knosys.2024.111774","ISSN":"09507051","journalAbbreviation":"Knowledge-Based Systems","language":"en","page":"111774","source":"DOI.org (Crossref)","title":"Utilizing domain knowledge: Robust machine learning for building energy performance prediction with small, inconsistent datasets","title-short":"Utilizing domain knowledge","volume":"294","author":[{"family":"Chen","given":"Xia"},{"family":"Singh","given":"Manav Mahan"},{"family":"Geyer","given":"Philipp"}],"issued":{"date-parts":[["2024",6]]},"citation-key":"chenUtilizingDomainKnowledge2024a"}}],"schema":"https://github.com/citation-style-language/schema/raw/master/csl-citation.json"} </w:instrText>
      </w:r>
      <w:r>
        <w:fldChar w:fldCharType="separate"/>
      </w:r>
      <w:r>
        <w:t>(Chen, Singh and Geyer, 2024)</w:t>
      </w:r>
      <w:r>
        <w:fldChar w:fldCharType="end"/>
      </w:r>
      <w:r>
        <w:t>.</w:t>
      </w:r>
    </w:p>
    <w:p w14:paraId="4F279B52" w14:textId="32438275" w:rsidR="00D746F4" w:rsidRDefault="00406954" w:rsidP="002138F8">
      <w:pPr>
        <w:pStyle w:val="MainText"/>
      </w:pPr>
      <w:r w:rsidRPr="00406954">
        <w:t>To address these gaps, this paper proposes a novel Graph Neural Network (GNN)-based method for predicting building energy performance</w:t>
      </w:r>
      <w:r w:rsidR="00255A59" w:rsidRPr="00406954">
        <w:t>.</w:t>
      </w:r>
      <w:r w:rsidR="002138F8" w:rsidRPr="00406954">
        <w:t xml:space="preserve"> </w:t>
      </w:r>
      <w:r w:rsidR="00FE2670" w:rsidRPr="00406954">
        <w:t>GNNs excel at modeling complex</w:t>
      </w:r>
      <w:r w:rsidR="00FE2670" w:rsidRPr="00505D56">
        <w:t xml:space="preserve"> relationships in </w:t>
      </w:r>
      <w:r w:rsidR="004F1F7E" w:rsidRPr="004F1F7E">
        <w:t>un</w:t>
      </w:r>
      <w:r w:rsidR="00FE2670" w:rsidRPr="004F1F7E">
        <w:t>structured</w:t>
      </w:r>
      <w:r w:rsidR="00FE2670" w:rsidRPr="00505D56">
        <w:t xml:space="preserve"> data and have </w:t>
      </w:r>
      <w:r w:rsidR="0006221A">
        <w:t>been already</w:t>
      </w:r>
      <w:r w:rsidR="00FE2670" w:rsidRPr="00505D56">
        <w:t xml:space="preserve"> used to accelerate engineering simulations </w:t>
      </w:r>
      <w:r w:rsidR="00FE2670" w:rsidRPr="00505D56">
        <w:fldChar w:fldCharType="begin"/>
      </w:r>
      <w:r w:rsidR="0016199B">
        <w:instrText xml:space="preserve"> ADDIN ZOTERO_ITEM CSL_CITATION {"citationID":"AyhVcOoG","properties":{"formattedCitation":"(Jiang and Chen, 2023)","plainCitation":"(Jiang and Chen, 2023)","noteIndex":0},"citationItems":[{"id":2966,"uris":["http://zotero.org/groups/5482058/items/CAKU2DLX"],"itemData":{"id":2966,"type":"article-journal","abstract":"Finite element method (FEM) based high-fidelity simulation can be computationally demanding and timeconsuming as engineering problems become more complicated. It is thus necessary to develop a surrogate model that only requires a small amount of computational time but retains sufficient accuracy. A graph neural network (GNN) based framework is proposed as a general surrogate model for FEM to simulate the Von Mises stress distribution. The mesh body is embedded to a graph and a novel global attribute representation is introduced to capture the geometry and boundary conditions while overcoming the common problem of over smoothing in graph deep learning. The challenge to deal with varying geometry and boundary conditions is overcome by the proposed model and thus it outperforms existing methods such as proper orthogonal decomposition (POD) and greedy algorithm in terms of generalization. Numerical experiments are given to demonstrate the capability of the model developed and the results show that the proposed model not only accurately predicts the stress distribution but also speed-ups hundreds of times faster compared to a FEM-based simulator, enabling real-time structural response analysis for the application of digital twin and structural health monitoring. It is indicated that GNNs can be a powerful tool for resolving complex physical problems, thereby assisting in advancing science and enhancing engineering productivity.","container-title":"Engineering Applications of Artificial Intelligence","DOI":"10.1016/j.engappai.2023.106370","ISSN":"09521976","journalAbbreviation":"Engineering Applications of Artificial Intelligence","language":"en","page":"106370","source":"DOI.org (Crossref)","title":"Graph Neural Networks (GNNs) based accelerated numerical simulation","volume":"123","author":[{"family":"Jiang","given":"Chunhao"},{"family":"Chen","given":"Nian-Zhong"}],"issued":{"date-parts":[["2023",8]]},"citation-key":"jiangGraphNeuralNetworks2023"}}],"schema":"https://github.com/citation-style-language/schema/raw/master/csl-citation.json"} </w:instrText>
      </w:r>
      <w:r w:rsidR="00FE2670" w:rsidRPr="00505D56">
        <w:fldChar w:fldCharType="separate"/>
      </w:r>
      <w:r w:rsidR="003961E4" w:rsidRPr="00505D56">
        <w:t>(Jiang and Chen, 2023)</w:t>
      </w:r>
      <w:r w:rsidR="00FE2670" w:rsidRPr="00505D56">
        <w:fldChar w:fldCharType="end"/>
      </w:r>
      <w:r w:rsidR="00FE2670" w:rsidRPr="00505D56">
        <w:t xml:space="preserve">. They have been applied in </w:t>
      </w:r>
      <w:r w:rsidR="00833274">
        <w:t>engineering</w:t>
      </w:r>
      <w:r w:rsidR="00FE2670" w:rsidRPr="00505D56">
        <w:t xml:space="preserve"> prediction tasks, such as electricity demand forecasting </w:t>
      </w:r>
      <w:r w:rsidR="003961E4" w:rsidRPr="00505D56">
        <w:fldChar w:fldCharType="begin"/>
      </w:r>
      <w:r w:rsidR="0016199B">
        <w:instrText xml:space="preserve"> ADDIN ZOTERO_ITEM CSL_CITATION {"citationID":"VbwNj2Ov","properties":{"formattedCitation":"(Campagne {\\i{}et al.}, 2024)","plainCitation":"(Campagne et al., 2024)","noteIndex":0},"citationItems":[{"id":2958,"uris":["http://zotero.org/groups/5482058/items/NNHFWX77"],"itemData":{"id":2958,"type":"article","abstract":"Accurate electricity demand forecasting is essential for several reasons, especially as the integration of renewable energy sources and the transition to a decentralized network paradigm introduce greater complexity and uncertainty. The proposed methodology leverages graph-based representations to effectively capture the spatial distribution and relational intricacies inherent in this decentralized network structure. This research work offers a novel approach that extends beyond the conventional Generalized Additive Model framework by considering models like Graph Convolutional Networks or Graph SAGE. These graph-based models enable the incorporation of various levels of interconnectedness and information sharing among nodes, where each node corresponds to the combined load (i.e. consumption) of a subset of consumers (e.g. the regions of a country). More specifically, we introduce a range of methods for inferring graphs tailored to consumption forecasting, along with a framework for evaluating the developed models in terms of both performance and explainability. We conduct experiments on electricity forecasting, in both a synthetic and a real framework considering the French mainland regions, and the performance and merits of our approach are discussed.","DOI":"10.48550/arXiv.2408.17366","language":"en","note":"arXiv:2408.17366 [cs]","number":"arXiv:2408.17366","publisher":"arXiv","source":"arXiv.org","title":"Leveraging Graph Neural Networks to Forecast Electricity Consumption","URL":"http://arxiv.org/abs/2408.17366","author":[{"family":"Campagne","given":"Eloi"},{"family":"Amara-Ouali","given":"Yvenn"},{"family":"Goude","given":"Yannig"},{"family":"Kalogeratos","given":"Argyris"}],"accessed":{"date-parts":[["2024",11,28]]},"issued":{"date-parts":[["2024",8,30]]},"citation-key":"campagneLeveragingGraphNeural2024"}}],"schema":"https://github.com/citation-style-language/schema/raw/master/csl-citation.json"} </w:instrText>
      </w:r>
      <w:r w:rsidR="003961E4" w:rsidRPr="00505D56">
        <w:fldChar w:fldCharType="separate"/>
      </w:r>
      <w:r w:rsidR="003961E4" w:rsidRPr="00505D56">
        <w:t>(Campagne et al., 2024)</w:t>
      </w:r>
      <w:r w:rsidR="003961E4" w:rsidRPr="00505D56">
        <w:fldChar w:fldCharType="end"/>
      </w:r>
      <w:r w:rsidR="00FE2670" w:rsidRPr="00505D56">
        <w:t xml:space="preserve">, HVAC piping layout optimization </w:t>
      </w:r>
      <w:r w:rsidR="003961E4" w:rsidRPr="00505D56">
        <w:fldChar w:fldCharType="begin"/>
      </w:r>
      <w:r w:rsidR="0016199B">
        <w:instrText xml:space="preserve"> ADDIN ZOTERO_ITEM CSL_CITATION {"citationID":"pWia9RuT","properties":{"formattedCitation":"(Wang {\\i{}et al.}, 2023)","plainCitation":"(Wang et al., 2023)","noteIndex":0},"citationItems":[{"id":2962,"uris":["http://zotero.org/groups/5482058/items/NQUPUPFA"],"itemData":{"id":2962,"type":"paper-conference","DOI":"10.26868/25222708.2023.1275","event-title":"2023 Building Simulation Conference","source":"DOI.org (Crossref)","title":"GNNs based method for evaluating HVAC terminal piping layout solutions in office buildings","URL":"https://publications.ibpsa.org/conference/paper/?id=bs2023_1275","author":[{"family":"Wang","given":"Hongxin"},{"family":"Xu","given":"Peng"},{"family":"Zhang","given":"Yake"},{"family":"Jin","given":"Ruiying"},{"family":"Gu","given":"Jiefan"}],"accessed":{"date-parts":[["2024",11,28]]},"issued":{"date-parts":[["2023",9,4]]},"citation-key":"wangGNNsBasedMethod2023"}}],"schema":"https://github.com/citation-style-language/schema/raw/master/csl-citation.json"} </w:instrText>
      </w:r>
      <w:r w:rsidR="003961E4" w:rsidRPr="00505D56">
        <w:fldChar w:fldCharType="separate"/>
      </w:r>
      <w:r w:rsidR="00505D56" w:rsidRPr="00505D56">
        <w:t>(Wang et al., 2023)</w:t>
      </w:r>
      <w:r w:rsidR="003961E4" w:rsidRPr="00505D56">
        <w:fldChar w:fldCharType="end"/>
      </w:r>
      <w:r w:rsidR="00FE2670" w:rsidRPr="00505D56">
        <w:t xml:space="preserve">, and smart city energy modeling </w:t>
      </w:r>
      <w:r w:rsidR="00505D56" w:rsidRPr="00505D56">
        <w:fldChar w:fldCharType="begin"/>
      </w:r>
      <w:r w:rsidR="0016199B">
        <w:instrText xml:space="preserve"> ADDIN ZOTERO_ITEM CSL_CITATION {"citationID":"yQsKER3u","properties":{"formattedCitation":"(Sunder {\\i{}et al.}, 2024)","plainCitation":"(Sunder et al., 2024)","noteIndex":0},"citationItems":[{"id":2945,"uris":["http://zotero.org/groups/5482058/items/N37F7525"],"itemData":{"id":2945,"type":"article-journal","abstract":"In smart cities, sustainable development depends on energy load prediction since it directs utilities in effectively planning, distributing and generating energy. This work presents a novel hybrid deep learning model including components of the Improved-convolutional neural network (CNN), bidirectional long short-term memory (Bi-LSTM), Graph neural network (GNN), Transformer and Fusion Layer architectures for precise energy load forecasting. Better feature extraction results from the Improved-CNN's dilated convolution and residual block accommodation of wide receptive fields reduced the vanishing gradient problem. By capturing temporal links in both directions, Bi-LSTM networks help to better grasp complicated energy use patterns. Graph neural networks improve predictive capacities across linked systems by characterizing the spatial relationships between energy-consuming units in smart cities. Emphasizing critical trends to guarantee reliable forecasts, transformer models use attention methods to manage long-term dependencies in energy consumption data. Combining CNN, Bi-LSTM, Transformer and GNN component predictions in a Fusion Layer synthesizes numerous data representations to increase accuracy. With Root Mean Square Error of 5.7532 Wh, Mean Absolute Percentage Error of 3.5001%, Mean Absolute Error of 6.7532 Wh and R\n              2\n              of 0.9701, the hybrid model fared better than other models on the ‘Electric Power Consumption’ Kaggle dataset. This work develops a realistic model that helps informed decision-making and enhances energy efficiency techniques, promoting energy load forecasting in smart cities.","container-title":"Energy Exploration &amp; Exploitation","DOI":"10.1177/01445987241267822","ISSN":"0144-5987, 2048-4054","issue":"6","journalAbbreviation":"Energy Exploration &amp; Exploitation","language":"en","page":"2241-2269","source":"DOI.org (Crossref)","title":"An advanced hybrid deep learning model for accurate energy load prediction in smart building","volume":"42","author":[{"family":"Sunder","given":"R"},{"family":"R","given":"Sreeraj"},{"family":"Paul","given":"Vince"},{"family":"Punia","given":"Sanjeev Kumar"},{"family":"Konduri","given":"Bhagavan"},{"family":"Nabilal","given":"Khan Vajid"},{"family":"Lilhore","given":"Umesh Kumar"},{"family":"Lohani","given":"Tarun Kumar"},{"family":"Ghith","given":"Ehab"},{"family":"Tlija","given":"Mehdi"}],"issued":{"date-parts":[["2024",11]]},"citation-key":"sunderAdvancedHybridDeep2024"}}],"schema":"https://github.com/citation-style-language/schema/raw/master/csl-citation.json"} </w:instrText>
      </w:r>
      <w:r w:rsidR="00505D56" w:rsidRPr="00505D56">
        <w:fldChar w:fldCharType="separate"/>
      </w:r>
      <w:r w:rsidR="00505D56" w:rsidRPr="00505D56">
        <w:t>(Sunder et al., 2024)</w:t>
      </w:r>
      <w:r w:rsidR="00505D56" w:rsidRPr="00505D56">
        <w:fldChar w:fldCharType="end"/>
      </w:r>
      <w:r w:rsidR="00FE2670" w:rsidRPr="00505D56">
        <w:t xml:space="preserve">. Despite their potential, GNN applications in building energy performance remain underexplored, particularly regarding </w:t>
      </w:r>
      <w:r w:rsidR="007E1E59">
        <w:t xml:space="preserve">capturing </w:t>
      </w:r>
      <w:r w:rsidR="00C82F2F">
        <w:t xml:space="preserve">building </w:t>
      </w:r>
      <w:r w:rsidR="00FE2670" w:rsidRPr="00505D56">
        <w:t>geometry</w:t>
      </w:r>
      <w:r w:rsidR="00596FB4">
        <w:t xml:space="preserve"> and propert</w:t>
      </w:r>
      <w:r w:rsidR="00C82F2F">
        <w:t>i</w:t>
      </w:r>
      <w:r w:rsidR="0006489B">
        <w:t>es</w:t>
      </w:r>
      <w:r w:rsidR="00FE2670" w:rsidRPr="00505D56">
        <w:t xml:space="preserve">, </w:t>
      </w:r>
      <w:r w:rsidR="00C82F2F">
        <w:t>as well as the</w:t>
      </w:r>
      <w:r w:rsidR="00FE2670" w:rsidRPr="00505D56">
        <w:t xml:space="preserve"> environmental factors.</w:t>
      </w:r>
    </w:p>
    <w:p w14:paraId="79AD3BA0" w14:textId="6FD317D6" w:rsidR="000710B2" w:rsidRPr="00603498" w:rsidRDefault="004E3477" w:rsidP="00D52B07">
      <w:pPr>
        <w:pStyle w:val="MainText"/>
      </w:pPr>
      <w:r w:rsidRPr="004E3477">
        <w:t xml:space="preserve">Graph-based representations model buildings through nodes (e.g., spaces, components) and edges (e.g., spatial or functional relationships), offering insights into energy flows and topological dependencies </w:t>
      </w:r>
      <w:r w:rsidR="005B729D">
        <w:fldChar w:fldCharType="begin"/>
      </w:r>
      <w:r w:rsidR="0016199B">
        <w:instrText xml:space="preserve"> ADDIN ZOTERO_ITEM CSL_CITATION {"citationID":"bfPCxUoO","properties":{"formattedCitation":"(Wang {\\i{}et al.}, 2021; Wang, Sacks and Yeung, 2022)","plainCitation":"(Wang et al., 2021; Wang, Sacks and Yeung, 2022)","noteIndex":0},"citationItems":[{"id":3465,"uris":["http://zotero.org/groups/5482058/items/4ANJ4Q2F"],"itemData":{"id":3465,"type":"article-journal","abstract":"Although Building Information Modeling (BIM) is widely adopted in the Architecture, Engineering, and Construction (AEC) industry, difficulties in model interoperability remain, hindering domain-specific applications. Semantic enrichment supplements a model's semantic information automatically as an alternative approach to solve the problem. In this research, a part of the EU funded 'Cloud-BIM' project, we applied a novel deep learning technique, graph neural networks (GNNs), to enrich a BIM model, with the goal of testing the applicability of graph representation and the use of GNNs for semantic enrichment. The application scenario concerned classification of room types in apartments. An apartment layout graph dataset containing seven room types and room relationships was compiled from 224 apartment layouts. A highperformance GNN model, GraphSAGE, was selected to train and predict room classes. Despite the small dataset and the sparse relationship features used in the experiment described here, GraphSAGE succeeded in classifying room types with an accuracy of 73%. This was 12% higher accuracy than two non-graph machine learning algorithms with which it was compared, and the prediction ability was better balanced. The findings provide clear directions for significantly improving the degree of accuracy by expanding the feature set of both node and edge properties, and this is the subject of ongoing work to refine the use of GNNs for semantic enrichment of BIM models.","language":"en","source":"Zotero","title":"Room Type Classification for Semantic Enrichment of Building Information Modeling Using Graph Neural Networks","author":[{"family":"Wang","given":"Zijian"},{"family":"Yeung","given":"Timson"},{"family":"Sacks","given":"Rafael"},{"family":"Su","given":"Zhiya"}],"issued":{"date-parts":[["2021"]]},"citation-key":"wangRoomTypeClassification2021"}},{"id":3466,"uris":["http://zotero.org/groups/5482058/items/WF6GXWFR"],"itemData":{"id":3466,"type":"article-journal","abstract":"Semantic enrichment of Building Information Modeling (BIM) models supplements models with the implicit semantics for further applications. In this paper, we use the room classification task to develop, test and illustrate a novel approach to semantic enrichment of BIM models - representation of models as graphs and application of graph neural networks (GNNs). A dedicated graph dataset consisting of 224 apartment layouts with nine room types and node/edge features was compiled. An improved GNN algorithm, SAGE-E, was developed for processing both node and edge features and a batch method was used to improve efficiency. The experiments showed that (1) The novel approach of adopting graphs and GNNs was feasible. (2) SAGE-E achieved higher accuracy (79%) and more balanced prediction (F1 = 0.79) when compared with other machine learning algorithms. (3) SAGE-E shortened the training and validation process. This work1 pioneers the application of GNNs for semantic enrichment and opens the door to other possible applications.","container-title":"Automation in Construction","DOI":"10.1016/j.autcon.2021.104039","ISSN":"09265805","journalAbbreviation":"Automation in Construction","language":"en","page":"104039","source":"DOI.org (Crossref)","title":"Exploring graph neural networks for semantic enrichment: Room type classification","title-short":"Exploring graph neural networks for semantic enrichment","volume":"134","author":[{"family":"Wang","given":"Zijian"},{"family":"Sacks","given":"Rafael"},{"family":"Yeung","given":"Timson"}],"issued":{"date-parts":[["2022",2]]},"citation-key":"wangExploringGraphNeural2022"}}],"schema":"https://github.com/citation-style-language/schema/raw/master/csl-citation.json"} </w:instrText>
      </w:r>
      <w:r w:rsidR="005B729D">
        <w:fldChar w:fldCharType="separate"/>
      </w:r>
      <w:r w:rsidR="005B729D" w:rsidRPr="005B729D">
        <w:t xml:space="preserve">(Wang </w:t>
      </w:r>
      <w:r w:rsidR="005B729D" w:rsidRPr="005B729D">
        <w:rPr>
          <w:i/>
          <w:iCs/>
        </w:rPr>
        <w:t>et al.</w:t>
      </w:r>
      <w:r w:rsidR="005B729D" w:rsidRPr="005B729D">
        <w:t>, 2021; Wang, Sacks and Yeung, 2022)</w:t>
      </w:r>
      <w:r w:rsidR="005B729D">
        <w:fldChar w:fldCharType="end"/>
      </w:r>
      <w:r w:rsidRPr="004E3477">
        <w:t>.</w:t>
      </w:r>
      <w:r w:rsidR="00B20ADE">
        <w:t xml:space="preserve"> </w:t>
      </w:r>
      <w:r w:rsidR="00F02F22" w:rsidRPr="00F02F22">
        <w:t>Unlike previous component-based ML</w:t>
      </w:r>
      <w:r w:rsidR="0063615C">
        <w:t xml:space="preserve"> </w:t>
      </w:r>
      <w:r w:rsidR="00F02F22" w:rsidRPr="00F02F22">
        <w:t>strategies that model building elements independently</w:t>
      </w:r>
      <w:r w:rsidR="0096165A">
        <w:t xml:space="preserve"> </w:t>
      </w:r>
      <w:r w:rsidR="0096165A">
        <w:fldChar w:fldCharType="begin"/>
      </w:r>
      <w:r w:rsidR="0016199B">
        <w:instrText xml:space="preserve"> ADDIN ZOTERO_ITEM CSL_CITATION {"citationID":"5F0WWati","properties":{"formattedCitation":"(Chen, Singh and Geyer, 2024; Geyer, Singh and Chen, 2024)","plainCitation":"(Chen, Singh and Geyer, 2024; Geyer, Singh and Chen, 2024)","noteIndex":0},"citationItems":[{"id":3387,"uris":["http://zotero.org/groups/5482058/items/TNM7CR6A"],"itemData":{"id":3387,"type":"article-journal","abstract":"Machine learning (ML) applications often require large datasets, a requirement that can pose a major challenge in fields where data is sparse or inconsistent. To address this issue, we propose a novel approach that combines prior knowledge with data-driven methods to significantly reduce data dependency. This study represents a disentangled system compositionality knowledge by the method of Component-Based Machine Learning (CBML) in the context of energy-efficient building engineering. In this way, CBML incorporates semantic domain knowledge within the structure of a data-driven model. To understand the advantage of CBML, we conducted a case experiment to assess the effectiveness of this knowledge-encoded ML approach in scenarios with sparse data input (1 % - 0.0125 % sampling rate) and several typical ML methods. Our findings reveal three key advantages of this approach over traditional ML methods: 1) It significantly improves the robustness of ML models when dealing with extremely small and inconsistent datasets; 2) It allows for efficient utilization of data from diverse record collections; 3) It can handle incomplete data while maintaining high interpretability and reducing training time. These features offer a promising solution to the challenges associated with deploying data-intensive methods and contribute to more efficient real-world data usage. Additionally, we outline four essential prerequisites to ensure the successful integration of prior knowledge and ML generalization in target scenarios and open-sourced the code and dataset for community reproduction.","container-title":"Knowledge-Based Systems","DOI":"10.1016/j.knosys.2024.111774","ISSN":"09507051","journalAbbreviation":"Knowledge-Based Systems","language":"en","page":"111774","source":"DOI.org (Crossref)","title":"Utilizing domain knowledge: Robust machine learning for building energy performance prediction with small, inconsistent datasets","title-short":"Utilizing domain knowledge","volume":"294","author":[{"family":"Chen","given":"Xia"},{"family":"Singh","given":"Manav Mahan"},{"family":"Geyer","given":"Philipp"}],"issued":{"date-parts":[["2024",6]]},"citation-key":"chenUtilizingDomainKnowledge2024a"}},{"id":3388,"uris":["http://zotero.org/groups/5482058/items/HWQB4N7F"],"itemData":{"id":3388,"type":"article-journal","abstract":"Data-driven models created by machine learning (ML) have gained importance in all fields of design and engineering. They have high potential to assist decision-makers in creating novel artifacts with better performance and sustainability. However, limited generalization and the black-box nature of these models lead to limited explainability and reusability. To overcome this situation, we developed a component-based approach to create partial component models by ML. This component-based approach aligns deep learning with systems engineering (SE). The key contribution of the component-based method is that activations at interfaces between the components are interpretable engineering quantities. In this way, the hierarchical component system forms a deep neural network (DNN) that a priori integrates interpretable information for explainability of predictions. The large range of possible configurations in composing components allows the examination of novel unseen design cases outside training data. The matching of parameter ranges of components using similar probability distributions produces reusable, well-generalizing, and trustworthy models. The approach adapts the model structure to SE methods and domain knowledge. We examine the performance of the approach in the field of energyefficient building design: First, we observed better generalization of the component-based method by analyzing prediction accuracy outside the training data. Especially for representative designs that are different in structure, we observed a much higher accuracy (R2 = 0.94) compared to conventional monolithic methods (R2 = 0.71). Second, we illustrate explainability by demonstrating how sensitivity information from SE and an interpretable model based on rules from low-depth decision trees serve engineering design. Third, we evaluate explainability using qualitative and quantitative methods that demonstrate the matching of preliminary knowledge and data-driven derived strategies and show correctness of activations at component interfaces compared to white-box simulation results (envelope components: R2 = 0.92..0.99; zones: R2 = 0.78..0.93).","container-title":"Advanced Engineering Informatics","DOI":"10.1016/j.aei.2024.102843","ISSN":"14740346","journalAbbreviation":"Advanced Engineering Informatics","language":"en","page":"102843","source":"DOI.org (Crossref)","title":"Explainable AI for engineering design: A unified approach of systems engineering and component-based deep learning demonstrated by energy-efficient building design","title-short":"Explainable AI for engineering design","volume":"62","author":[{"family":"Geyer","given":"Philipp"},{"family":"Singh","given":"Manav Mahan"},{"family":"Chen","given":"Xia"}],"issued":{"date-parts":[["2024",10]]},"citation-key":"geyerExplainableAIEngineering2024a"}}],"schema":"https://github.com/citation-style-language/schema/raw/master/csl-citation.json"} </w:instrText>
      </w:r>
      <w:r w:rsidR="0096165A">
        <w:fldChar w:fldCharType="separate"/>
      </w:r>
      <w:r w:rsidR="003415F6">
        <w:t>(Chen, Singh and Geyer, 2024; Geyer, Singh and Chen, 2024)</w:t>
      </w:r>
      <w:r w:rsidR="0096165A">
        <w:fldChar w:fldCharType="end"/>
      </w:r>
      <w:r w:rsidR="0096165A">
        <w:t xml:space="preserve">, </w:t>
      </w:r>
      <w:r w:rsidR="006673B9" w:rsidRPr="006673B9">
        <w:t xml:space="preserve">this research leverages GNNs to model the holistic </w:t>
      </w:r>
      <w:r w:rsidR="006673B9" w:rsidRPr="006673B9">
        <w:t xml:space="preserve">interdependencies between building components, </w:t>
      </w:r>
      <w:r w:rsidR="00686887">
        <w:t>properties</w:t>
      </w:r>
      <w:r w:rsidR="006673B9" w:rsidRPr="006673B9">
        <w:t>, and environmental conditions through graph representations.</w:t>
      </w:r>
    </w:p>
    <w:p w14:paraId="20D0F347" w14:textId="74FD5655" w:rsidR="0048506C" w:rsidRPr="00603498" w:rsidRDefault="0048095F" w:rsidP="00D52B07">
      <w:pPr>
        <w:pStyle w:val="MainText"/>
      </w:pPr>
      <w:r>
        <w:t>This study</w:t>
      </w:r>
      <w:r w:rsidR="004F6F99">
        <w:t>, in an experimental form, has two main objectives</w:t>
      </w:r>
      <w:r w:rsidR="0048506C" w:rsidRPr="0048506C">
        <w:t>. First, we</w:t>
      </w:r>
      <w:r w:rsidR="00CD3538">
        <w:t xml:space="preserve"> prepare and</w:t>
      </w:r>
      <w:r w:rsidR="0048506C" w:rsidRPr="0048506C">
        <w:t xml:space="preserve"> evaluate synthetic </w:t>
      </w:r>
      <w:r w:rsidR="00D458E1">
        <w:t xml:space="preserve">dataset of </w:t>
      </w:r>
      <w:r w:rsidR="0048506C" w:rsidRPr="0048506C">
        <w:t xml:space="preserve">building </w:t>
      </w:r>
      <w:r w:rsidR="00CD3538">
        <w:t xml:space="preserve">energy </w:t>
      </w:r>
      <w:r w:rsidR="0048506C" w:rsidRPr="0048506C">
        <w:t xml:space="preserve">models to develop a GNN capable of capturing the complex interdependencies of building components. Second, </w:t>
      </w:r>
      <w:r w:rsidR="0058241F">
        <w:t>to</w:t>
      </w:r>
      <w:r w:rsidR="00746405" w:rsidRPr="00746405">
        <w:t xml:space="preserve"> predict a single performance metric</w:t>
      </w:r>
      <w:r w:rsidR="00746405">
        <w:t xml:space="preserve">, </w:t>
      </w:r>
      <w:r w:rsidR="00746405" w:rsidRPr="00746405">
        <w:t>the total end-use energy intensity (EUI)</w:t>
      </w:r>
      <w:r w:rsidR="00746405">
        <w:t xml:space="preserve">, </w:t>
      </w:r>
      <w:r w:rsidR="00746405" w:rsidRPr="00746405">
        <w:t>a</w:t>
      </w:r>
      <w:r w:rsidR="00746405">
        <w:t>ggregated at</w:t>
      </w:r>
      <w:r w:rsidR="00746405" w:rsidRPr="00746405">
        <w:t xml:space="preserve"> the graph level, serving as a proof-of-concept for early design energy </w:t>
      </w:r>
      <w:r w:rsidR="00EF6E7A">
        <w:t>predictions</w:t>
      </w:r>
      <w:r w:rsidR="0048506C" w:rsidRPr="0048506C">
        <w:t>.</w:t>
      </w:r>
    </w:p>
    <w:p w14:paraId="1231B515" w14:textId="77777777" w:rsidR="0072382B" w:rsidRPr="000710B2" w:rsidRDefault="0072382B" w:rsidP="00C243DA">
      <w:pPr>
        <w:pStyle w:val="MainText"/>
        <w:rPr>
          <w:color w:val="0F9ED5" w:themeColor="accent4"/>
          <w:highlight w:val="yellow"/>
        </w:rPr>
      </w:pPr>
    </w:p>
    <w:p w14:paraId="79D1C084" w14:textId="0F7E1F83" w:rsidR="00452605" w:rsidRDefault="0095653F" w:rsidP="00452605">
      <w:pPr>
        <w:pStyle w:val="Heading1"/>
      </w:pPr>
      <w:r w:rsidRPr="000710B2">
        <w:t xml:space="preserve">2. </w:t>
      </w:r>
      <w:r w:rsidR="00203623" w:rsidRPr="000710B2">
        <w:t>CURRENT RESEARCH</w:t>
      </w:r>
    </w:p>
    <w:p w14:paraId="4D7A562D" w14:textId="77777777" w:rsidR="00803908" w:rsidRDefault="00803908" w:rsidP="00DE5AE9">
      <w:pPr>
        <w:pStyle w:val="MainText"/>
      </w:pPr>
    </w:p>
    <w:p w14:paraId="2DAEFA2F" w14:textId="453037BA" w:rsidR="00803908" w:rsidRPr="00803908" w:rsidRDefault="00803908" w:rsidP="007672FD">
      <w:pPr>
        <w:pStyle w:val="Heading1"/>
      </w:pPr>
      <w:r w:rsidRPr="004F1F7E">
        <w:t xml:space="preserve">2.1 </w:t>
      </w:r>
      <w:r w:rsidR="00F0296C">
        <w:t>GNNs in building energy</w:t>
      </w:r>
      <w:r w:rsidR="004121DE">
        <w:t xml:space="preserve"> performance prediction</w:t>
      </w:r>
    </w:p>
    <w:p w14:paraId="1CA2FC02" w14:textId="1ECA066D" w:rsidR="00DE5AE9" w:rsidRDefault="00C562ED" w:rsidP="00DE5AE9">
      <w:pPr>
        <w:pStyle w:val="MainText"/>
      </w:pPr>
      <w:r w:rsidRPr="00C562ED">
        <w:t>Recent literature highlights the growing application of GNNs in building energy prediction tasks. For instance,</w:t>
      </w:r>
      <w:r>
        <w:t xml:space="preserve"> </w:t>
      </w:r>
      <w:r w:rsidR="001120E7">
        <w:fldChar w:fldCharType="begin"/>
      </w:r>
      <w:r w:rsidR="0016199B">
        <w:instrText xml:space="preserve"> ADDIN ZOTERO_ITEM CSL_CITATION {"citationID":"psDU3sg4","properties":{"formattedCitation":"(Hala\\uc0\\u231{}l\\uc0\\u305{} {\\i{}et al.}, 2023)","plainCitation":"(Halaçlı et al., 2023)","dontUpdate":true,"noteIndex":0},"citationItems":[{"id":3152,"uris":["http://zotero.org/groups/5482058/items/5DM2ME8T"],"itemData":{"id":3152,"type":"paper-conference","abstract":"Buildings are highly responsible for total energy consumption in cities; therefore, accurate estimation of building energy consumption is essential for developing energy-efficient strategies on an urban scale. Data-driven urban building energy models can predict energy use with high precision and low computational cost. In recent years, machine learning, especially neural networks, emerged as the prominent method for predicting energy load for buildings. These models typically use different input features on building form, occupancy and operation. However, they remain inadequate in capturing the complex inter-dependencies (i.e., heat transfer) between units in multi-zone buildings, as they do not have an explicit representation of the neighborhood relations between zones. The precision of data-driven models can be improved using Graph neural networks (GNN) that can capture the underlying relationships and dependencies between different building elements. In this paper we propose a novel GNN model that surpasses the current state-of-art methods for the prediction of zone-level heating energy use. We applied the methodology in a residential neighborhood consisting of 5866 buildings and 64462 zones. We use zone-level features regarding their geometry, material thermal characteristics, internal loads as node features, inter-zone parameters as edge features (total area and U value of the adjacent surfaces) and weather parameters. The results showed that our proposed model provides improvements over alternative approaches for precise prediction of urban building energy consumption.","container-title":"Proceedings of the 10th ACM International Conference on Systems for Energy-Efficient Buildings, Cities, and Transportation","DOI":"10.1145/3600100.3623747","event-place":"Istanbul Turkey","event-title":"BuildSys '23: The 10th ACM International Conference on Systems for Energy-Efficient Buildings, Cities, and Transportation","ISBN":"979-8-4007-0230-3","language":"en","page":"169-176","publisher":"ACM","publisher-place":"Istanbul Turkey","source":"DOI.org (Crossref)","title":"A Novel Graph Neural Network for Zone-Level Urban-Scale Building Energy Use Estimation","URL":"https://dl.acm.org/doi/10.1145/3600100.3623747","author":[{"family":"Halaçlı","given":"Eren Gökberk"},{"family":"Canlı","given":"İlkim"},{"family":"İşeri","given":"Orçun Koral"},{"family":"Yavuz","given":"Feyza"},{"family":"Akgül","given":"Çağla Meral"},{"family":"Kalkan","given":"Sinan"},{"family":"Dino","given":"Ipek Gürsel"}],"accessed":{"date-parts":[["2025",3,15]]},"issued":{"date-parts":[["2023",11,15]]},"citation-key":"halacliNovelGraphNeural2023"}}],"schema":"https://github.com/citation-style-language/schema/raw/master/csl-citation.json"} </w:instrText>
      </w:r>
      <w:r w:rsidR="001120E7">
        <w:fldChar w:fldCharType="separate"/>
      </w:r>
      <w:r w:rsidR="00A56311" w:rsidRPr="00714486">
        <w:t xml:space="preserve">Halaçlı et al. </w:t>
      </w:r>
      <w:r w:rsidR="00B74CBB">
        <w:t>(</w:t>
      </w:r>
      <w:r w:rsidR="00A56311" w:rsidRPr="00714486">
        <w:t>2023)</w:t>
      </w:r>
      <w:r w:rsidR="001120E7">
        <w:fldChar w:fldCharType="end"/>
      </w:r>
      <w:r w:rsidR="00DE5AE9">
        <w:t xml:space="preserve"> explore the use of GNNs to predict inter-zone thermal interactions. Their dataset comprise</w:t>
      </w:r>
      <w:r w:rsidR="00FB19BE">
        <w:t>s</w:t>
      </w:r>
      <w:r w:rsidR="00DE5AE9">
        <w:t xml:space="preserve"> 64462 thermal zones across 5866 buildings in a residential district of Ankara. After evaluating various architectures, they introduce their own </w:t>
      </w:r>
      <w:r w:rsidR="00A56311">
        <w:t xml:space="preserve">GNN </w:t>
      </w:r>
      <w:r w:rsidR="00DE5AE9">
        <w:t>model, GUBEM, which outperform</w:t>
      </w:r>
      <w:r w:rsidR="00FB19BE">
        <w:t>s</w:t>
      </w:r>
      <w:r w:rsidR="00DE5AE9">
        <w:t xml:space="preserve"> all baseline models in heating load estimation</w:t>
      </w:r>
      <w:r w:rsidR="00A56311">
        <w:t>, achieving</w:t>
      </w:r>
      <w:r w:rsidR="00DE5AE9">
        <w:t xml:space="preserve"> the highest R² score of 0.9202 and the lowest RMSE value </w:t>
      </w:r>
      <w:r w:rsidR="00BD457E">
        <w:t xml:space="preserve">of </w:t>
      </w:r>
      <w:r w:rsidR="00DE5AE9">
        <w:t>13.8548</w:t>
      </w:r>
      <w:r w:rsidR="00374838" w:rsidRPr="00374838">
        <w:t xml:space="preserve"> </w:t>
      </w:r>
      <w:r w:rsidR="00374838" w:rsidRPr="00374838">
        <w:t>kWh/m</w:t>
      </w:r>
      <w:r w:rsidR="00374838" w:rsidRPr="00374838">
        <w:rPr>
          <w:vertAlign w:val="superscript"/>
        </w:rPr>
        <w:t>2</w:t>
      </w:r>
      <w:r w:rsidR="00DE5AE9">
        <w:t xml:space="preserve"> </w:t>
      </w:r>
      <w:r w:rsidR="00EE0C0A">
        <w:t>o</w:t>
      </w:r>
      <w:r w:rsidR="00BD457E">
        <w:t>n</w:t>
      </w:r>
      <w:r w:rsidR="00EE0C0A" w:rsidRPr="004F1F7E">
        <w:t xml:space="preserve"> </w:t>
      </w:r>
      <w:r w:rsidR="00DE5AE9">
        <w:t>the test set.</w:t>
      </w:r>
    </w:p>
    <w:p w14:paraId="346F0EEC" w14:textId="59DA0AB8" w:rsidR="00DE5AE9" w:rsidRDefault="00EA0EAF" w:rsidP="00B55FC7">
      <w:pPr>
        <w:pStyle w:val="MainText"/>
      </w:pPr>
      <w:r>
        <w:t>Similar</w:t>
      </w:r>
      <w:r w:rsidR="000350D0">
        <w:t>ly,</w:t>
      </w:r>
      <w:r w:rsidR="00DE5AE9">
        <w:t xml:space="preserve"> </w:t>
      </w:r>
      <w:r w:rsidR="00A56311">
        <w:fldChar w:fldCharType="begin"/>
      </w:r>
      <w:r w:rsidR="0016199B">
        <w:instrText xml:space="preserve"> ADDIN ZOTERO_ITEM CSL_CITATION {"citationID":"A5dbypos","properties":{"formattedCitation":"(Hu {\\i{}et al.}, 2022)","plainCitation":"(Hu et al., 2022)","dontUpdate":true,"noteIndex":0},"citationItems":[{"id":3175,"uris":["http://zotero.org/groups/5482058/items/2DIZB4ZQ"],"itemData":{"id":3175,"type":"article-journal","abstract":"The world is increasingly urbanizing and building industry accounts for more than 40% of energy consumption in the United States. To improve urban sustainability, many cities adopt ambitious energysaving strategies through retrofitting existing buildings and constructing new communities. In this situation, an accurate urban building energy model (UBEM) is the foundation to support the design of energy-efficient communities. However, current UBEM are limited in their abilities to capture the interbuilding interdependency due to its dynamic and non-linear characteristics. Those models either ignored or oversimplified these building interdependencies, which can substantially affect the accuracy of urban energy modeling. To fill the research gap, this study proposes a novel data-driven UBEM synthesizing the solar-based building interdependency and spatial-temporal graph convolutional network (ST-GCN) algorithm. Especially, we took a university campus located in downtown of Atlanta as an example to predict the hourly energy consumption. Furthermore, we tested the feasibility of proposed model by comparing the performance of the ST-GCN model with other common time-series machine learning models. The results indicate that the ST-GCN model overall outperforms than all others. In addition, the physical knowledge embedded in the model is well interpreted. After discussion, it is found that datadriven models integrated engineering or physical knowledge can significantly improve the urban building energy simulation.","container-title":"Applied Energy","DOI":"10.1016/j.apenergy.2021.118231","ISSN":"03062619","journalAbbreviation":"Applied Energy","language":"en","page":"118231","source":"DOI.org (Crossref)","title":"Times series forecasting for urban building energy consumption based on graph convolutional network","volume":"307","author":[{"family":"Hu","given":"Yuqing"},{"family":"Cheng","given":"Xiaoyuan"},{"family":"Wang","given":"Suhang"},{"family":"Chen","given":"Jianli"},{"family":"Zhao","given":"Tianxiang"},{"family":"Dai","given":"Enyan"}],"issued":{"date-parts":[["2022",2]]},"citation-key":"huTimesSeriesForecasting2022"}}],"schema":"https://github.com/citation-style-language/schema/raw/master/csl-citation.json"} </w:instrText>
      </w:r>
      <w:r w:rsidR="00A56311">
        <w:fldChar w:fldCharType="separate"/>
      </w:r>
      <w:r w:rsidR="00C21C28" w:rsidRPr="00714486">
        <w:t xml:space="preserve">Hu et al., </w:t>
      </w:r>
      <w:r w:rsidR="00C6335F" w:rsidRPr="004F1F7E">
        <w:t>(</w:t>
      </w:r>
      <w:r w:rsidR="00C21C28" w:rsidRPr="00714486">
        <w:t>2022)</w:t>
      </w:r>
      <w:r w:rsidR="00A56311">
        <w:fldChar w:fldCharType="end"/>
      </w:r>
      <w:r w:rsidR="00DE5AE9">
        <w:t xml:space="preserve"> </w:t>
      </w:r>
      <w:r w:rsidR="00A05AB7" w:rsidRPr="00A05AB7">
        <w:t>utilize</w:t>
      </w:r>
      <w:r w:rsidR="00DE5AE9">
        <w:t xml:space="preserve"> a </w:t>
      </w:r>
      <w:proofErr w:type="spellStart"/>
      <w:r w:rsidR="00DE5AE9">
        <w:t>spatio</w:t>
      </w:r>
      <w:proofErr w:type="spellEnd"/>
      <w:r w:rsidR="00DE5AE9">
        <w:t xml:space="preserve">-temporal graph convolutional network (ST-GCN) to </w:t>
      </w:r>
      <w:r w:rsidR="00A05AB7" w:rsidRPr="00A05AB7">
        <w:t xml:space="preserve">model </w:t>
      </w:r>
      <w:r w:rsidR="00DE5AE9">
        <w:t xml:space="preserve">urban-scale building energy </w:t>
      </w:r>
      <w:r w:rsidR="00A05AB7" w:rsidRPr="00A05AB7">
        <w:t>usage, explicitly accounting for inter-building shading effects.</w:t>
      </w:r>
      <w:r w:rsidR="00DE5AE9">
        <w:t xml:space="preserve"> Their approach explicitly incorporate</w:t>
      </w:r>
      <w:r w:rsidR="00B55FC7">
        <w:t>s</w:t>
      </w:r>
      <w:r w:rsidR="00DE5AE9">
        <w:t xml:space="preserve"> solar-based interdependencies between buildings, where graph nodes represent buildings, and edges capture the shading effects of </w:t>
      </w:r>
      <w:proofErr w:type="spellStart"/>
      <w:r w:rsidR="00DE5AE9">
        <w:t>neighboring</w:t>
      </w:r>
      <w:proofErr w:type="spellEnd"/>
      <w:r w:rsidR="00DE5AE9">
        <w:t xml:space="preserve"> structures. Their model achieve</w:t>
      </w:r>
      <w:r w:rsidR="00B55FC7">
        <w:t>s</w:t>
      </w:r>
      <w:r w:rsidR="00DE5AE9">
        <w:t xml:space="preserve"> a high prediction accuracy</w:t>
      </w:r>
      <w:r w:rsidR="00374838">
        <w:t xml:space="preserve"> (lower RMSE than other models),</w:t>
      </w:r>
      <w:r w:rsidR="00DE5AE9">
        <w:t xml:space="preserve"> and their findings confirm that buildings with a greater number of interdependencies (i.e., more connections in the graph) benefit the most from their approach.</w:t>
      </w:r>
    </w:p>
    <w:p w14:paraId="3AE379E8" w14:textId="3BAB43BF" w:rsidR="00DE5AE9" w:rsidRDefault="00C21C28" w:rsidP="00DE5AE9">
      <w:pPr>
        <w:pStyle w:val="MainText"/>
      </w:pPr>
      <w:r>
        <w:fldChar w:fldCharType="begin"/>
      </w:r>
      <w:r w:rsidR="0016199B">
        <w:instrText xml:space="preserve"> ADDIN ZOTERO_ITEM CSL_CITATION {"citationID":"K9I9tJ7p","properties":{"formattedCitation":"(Kiavarz, Jadidi and Esmaili, 2023)","plainCitation":"(Kiavarz, Jadidi and Esmaili, 2023)","dontUpdate":true,"noteIndex":0},"citationItems":[{"id":3151,"uris":["http://zotero.org/groups/5482058/items/WLS9Q4LW"],"itemData":{"id":3151,"type":"article-journal","abstract":"Introduction:\n              In recent years, the growing interest in building energy consumption and estimation has led to a wealth of energy data and Building Information Modelling (BIM), providing ample opportunities for data-driven algorithms to be widely applied in the building industry. However, despite promising accuracy in data-driven models for building energy estimation, they only consider building elements and their attributes independently and neglect the interconnected relationship of building elements. Also, Current data-driven models lack interpretability and are often treated as black boxes. As a result, the models cannot be fully trusted for engineering without reasoning the underlying mechanisms behind the estimation.\n            \n            \n              Method:\n              This paper emphasizes the potential of graph-based learning algorithms, specifically GraphSAGE, in utilizing the enriched semantic, geometry, and room topology information derived from BIM data. The aim is to identify critical zones within the building based on their energy consumption characteristics. Besides that, the paper proposed a GraphSAGE explainable model by adopting the SHAP with the proposed NE-GraphSAGE prediction model to make more transparency behind the data-driven models.\n            \n            \n              Results and Discussion:\n              Preliminary results demonstrate the potential to improve pre-construction and post-construction steps by identifying critical zones in buildings and identifying the parameters which affected the efficiency of the zones with low energy consumption.","container-title":"Frontiers in Built Environment","DOI":"10.3389/fbuil.2023.1256921","ISSN":"2297-3362","journalAbbreviation":"Front. Built Environ.","language":"en","page":"1256921","source":"DOI.org (Crossref)","title":"A graph-based explanatory model for room-based energy efficiency analysis based on BIM data","volume":"9","author":[{"family":"Kiavarz","given":"Hamid"},{"family":"Jadidi","given":"Mojgan"},{"family":"Esmaili","given":"Payam"}],"issued":{"date-parts":[["2023",9,13]]},"citation-key":"kiavarzGraphbasedExplanatoryModel2023"}}],"schema":"https://github.com/citation-style-language/schema/raw/master/csl-citation.json"} </w:instrText>
      </w:r>
      <w:r>
        <w:fldChar w:fldCharType="separate"/>
      </w:r>
      <w:r w:rsidR="004E301F">
        <w:t xml:space="preserve">Kiavarz, Jadidi and Esmaili </w:t>
      </w:r>
      <w:r w:rsidR="003F6552" w:rsidRPr="004F1F7E">
        <w:t>(</w:t>
      </w:r>
      <w:r w:rsidR="004E301F">
        <w:t>2023)</w:t>
      </w:r>
      <w:r>
        <w:fldChar w:fldCharType="end"/>
      </w:r>
      <w:r w:rsidR="00DE5AE9">
        <w:t xml:space="preserve"> appl</w:t>
      </w:r>
      <w:r w:rsidR="00B55FC7">
        <w:t>y</w:t>
      </w:r>
      <w:r w:rsidR="00DE5AE9">
        <w:t xml:space="preserve"> the </w:t>
      </w:r>
      <w:proofErr w:type="spellStart"/>
      <w:r w:rsidR="00DE5AE9">
        <w:t>GraphSAGE</w:t>
      </w:r>
      <w:proofErr w:type="spellEnd"/>
      <w:r w:rsidR="00DE5AE9">
        <w:t xml:space="preserve"> </w:t>
      </w:r>
      <w:r w:rsidR="00895697">
        <w:t>algorithm</w:t>
      </w:r>
      <w:r w:rsidR="00DE5AE9">
        <w:t xml:space="preserve"> for a classification task aimed at identifying critical rooms with the highest energy consumption. Using openly available IFC</w:t>
      </w:r>
      <w:r w:rsidR="0006221A">
        <w:t xml:space="preserve"> </w:t>
      </w:r>
      <w:r w:rsidR="0006221A">
        <w:t>(Industry Foundation Classes)</w:t>
      </w:r>
      <w:r w:rsidR="00DE5AE9">
        <w:t xml:space="preserve"> building models, they construct a dataset where nodes represent individual rooms, and edges </w:t>
      </w:r>
      <w:r w:rsidR="00B55FC7">
        <w:t>are</w:t>
      </w:r>
      <w:r w:rsidR="00DE5AE9">
        <w:t xml:space="preserve"> defin</w:t>
      </w:r>
      <w:r w:rsidR="00B55FC7">
        <w:t>ed</w:t>
      </w:r>
      <w:r w:rsidR="00DE5AE9">
        <w:t xml:space="preserve"> by weighted adjacency based on spatial relationships. Node features include geometric properties, energy qualit</w:t>
      </w:r>
      <w:r w:rsidR="004E301F">
        <w:t>ies</w:t>
      </w:r>
      <w:r w:rsidR="00DE5AE9">
        <w:t>, and occupancy intensity. Their model achiev</w:t>
      </w:r>
      <w:r w:rsidR="00B55FC7">
        <w:t>es</w:t>
      </w:r>
      <w:r w:rsidR="00DE5AE9">
        <w:t xml:space="preserve"> a classification accuracy of 91.2% when tested on a single building, highlighting its effectiveness in identifying energy-intensive zones.</w:t>
      </w:r>
    </w:p>
    <w:p w14:paraId="012E1906" w14:textId="0E3651C6" w:rsidR="00DE5AE9" w:rsidRDefault="004E301F" w:rsidP="00DE5AE9">
      <w:pPr>
        <w:pStyle w:val="MainText"/>
      </w:pPr>
      <w:r>
        <w:fldChar w:fldCharType="begin"/>
      </w:r>
      <w:r w:rsidR="0016199B">
        <w:instrText xml:space="preserve"> ADDIN ZOTERO_ITEM CSL_CITATION {"citationID":"9hDLrqiW","properties":{"formattedCitation":"(Vontzos {\\i{}et al.}, 2024)","plainCitation":"(Vontzos et al., 2024)","dontUpdate":true,"noteIndex":0},"citationItems":[{"id":3176,"uris":["http://zotero.org/groups/5482058/items/SCY7ZCLW"],"itemData":{"id":3176,"type":"article-journal","abstract":"Buildings are responsible for around 30% and 42% of the consumed energy at the global and European levels, respectively. Accurate building power consumption estimation is crucial for resource saving. This research investigates the combination of graph convolutional networks (GCNs) and long short-term memory networks (LSTMs) to analyze power building consumption, thereby focusing on predictive modeling. Specifically, by structuring graphs based on Pearson’s correlation and Euclidean distance methods, GCNs are employed to discern intricate spatial dependencies, and LSTM is used for temporal dependencies. The proposed models are applied to data from a multistory, multizone educational building, and they are then compared with baseline machine learning, deep learning, and statistical models. The performance of all models is evaluated using metrics such as the mean absolute error (MAE), mean squared error (MSE), R-squared (R2), and the coefficient of variation of the root mean squared error (CV(RMSE)). Among the proposed computation models, one of the Euclidean-based models consistently achieved the lowest MAE and MSE values, thus indicating superior prediction accuracy. The suggested methods seem promising and highlight the effectiveness of GCNs in improving accuracy and reliability in predicting power consumption. The results could be useful in the planning of building energy policies by engineers, as well as in the evaluation of the energy management of structures.","container-title":"Dynamics","DOI":"10.3390/dynamics4020020","ISSN":"2673-8716","issue":"2","journalAbbreviation":"Dynamics","language":"en","license":"https://creativecommons.org/licenses/by/4.0/","page":"337-356","source":"DOI.org (Crossref)","title":"Estimating Spatio-Temporal Building Power Consumption Based on Graph Convolution Network Method","volume":"4","author":[{"family":"Vontzos","given":"Georgios"},{"family":"Laitsos","given":"Vasileios"},{"family":"Charakopoulos","given":"Avraam"},{"family":"Bargiotas","given":"Dimitrios"},{"family":"Karakasidis","given":"Theodoros E."}],"issued":{"date-parts":[["2024",5,2]]},"citation-key":"vontzosEstimatingSpatioTemporalBuilding2024"}}],"schema":"https://github.com/citation-style-language/schema/raw/master/csl-citation.json"} </w:instrText>
      </w:r>
      <w:r>
        <w:fldChar w:fldCharType="separate"/>
      </w:r>
      <w:r w:rsidR="00CB0966" w:rsidRPr="00714486">
        <w:t xml:space="preserve">Vontzos et al. </w:t>
      </w:r>
      <w:r w:rsidR="002F732A">
        <w:t>(</w:t>
      </w:r>
      <w:r w:rsidR="00CB0966" w:rsidRPr="00714486">
        <w:t>2024)</w:t>
      </w:r>
      <w:r>
        <w:fldChar w:fldCharType="end"/>
      </w:r>
      <w:r w:rsidR="00DE5AE9">
        <w:t xml:space="preserve"> combine </w:t>
      </w:r>
      <w:r w:rsidR="00D82C83" w:rsidRPr="00D82C83">
        <w:t>GCNs</w:t>
      </w:r>
      <w:r w:rsidR="00DE5AE9">
        <w:t xml:space="preserve"> and </w:t>
      </w:r>
      <w:r w:rsidR="00D82C83" w:rsidRPr="00D82C83">
        <w:t>LSTMs</w:t>
      </w:r>
      <w:r w:rsidR="00DE5AE9">
        <w:t xml:space="preserve"> for energy forecasting</w:t>
      </w:r>
      <w:r w:rsidR="00D82C83" w:rsidRPr="00D82C83">
        <w:t xml:space="preserve"> in buildings, leveraging </w:t>
      </w:r>
      <w:r w:rsidR="00F654F2" w:rsidRPr="00C62C38">
        <w:rPr>
          <w:noProof/>
        </w:rPr>
        <w:lastRenderedPageBreak/>
        <mc:AlternateContent>
          <mc:Choice Requires="wps">
            <w:drawing>
              <wp:anchor distT="0" distB="0" distL="114300" distR="114300" simplePos="0" relativeHeight="251658241" behindDoc="0" locked="0" layoutInCell="1" allowOverlap="1" wp14:anchorId="1A7ABF62" wp14:editId="19CF8431">
                <wp:simplePos x="0" y="0"/>
                <wp:positionH relativeFrom="column">
                  <wp:posOffset>26670</wp:posOffset>
                </wp:positionH>
                <wp:positionV relativeFrom="paragraph">
                  <wp:posOffset>1618508</wp:posOffset>
                </wp:positionV>
                <wp:extent cx="6092190" cy="277495"/>
                <wp:effectExtent l="0" t="0" r="3810" b="3810"/>
                <wp:wrapTopAndBottom/>
                <wp:docPr id="1452371990" name="Text Box 1"/>
                <wp:cNvGraphicFramePr/>
                <a:graphic xmlns:a="http://schemas.openxmlformats.org/drawingml/2006/main">
                  <a:graphicData uri="http://schemas.microsoft.com/office/word/2010/wordprocessingShape">
                    <wps:wsp>
                      <wps:cNvSpPr txBox="1"/>
                      <wps:spPr>
                        <a:xfrm>
                          <a:off x="0" y="0"/>
                          <a:ext cx="6092190" cy="277495"/>
                        </a:xfrm>
                        <a:prstGeom prst="rect">
                          <a:avLst/>
                        </a:prstGeom>
                        <a:solidFill>
                          <a:prstClr val="white"/>
                        </a:solidFill>
                        <a:ln>
                          <a:noFill/>
                        </a:ln>
                      </wps:spPr>
                      <wps:txbx>
                        <w:txbxContent>
                          <w:p w14:paraId="17DCFCCB" w14:textId="257CAB62" w:rsidR="000B015B" w:rsidRDefault="00E254A8" w:rsidP="00AA62D7">
                            <w:pPr>
                              <w:pStyle w:val="Captionfigtable"/>
                            </w:pPr>
                            <w:r w:rsidRPr="004F1F7E">
                              <w:t xml:space="preserve">Figure </w:t>
                            </w:r>
                            <w:fldSimple w:instr=" SEQ Figure \* ARABIC ">
                              <w:r w:rsidR="00DB700F">
                                <w:rPr>
                                  <w:noProof/>
                                </w:rPr>
                                <w:t>1</w:t>
                              </w:r>
                            </w:fldSimple>
                            <w:r w:rsidRPr="004F1F7E">
                              <w:t xml:space="preserve"> Overview of the experiment</w:t>
                            </w:r>
                          </w:p>
                          <w:p w14:paraId="3B036635" w14:textId="77777777" w:rsidR="0030283E" w:rsidRPr="00FB614B" w:rsidRDefault="0030283E" w:rsidP="00AA62D7">
                            <w:pPr>
                              <w:pStyle w:val="Captionfigtab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A7ABF62" id="_x0000_t202" coordsize="21600,21600" o:spt="202" path="m,l,21600r21600,l21600,xe">
                <v:stroke joinstyle="miter"/>
                <v:path gradientshapeok="t" o:connecttype="rect"/>
              </v:shapetype>
              <v:shape id="Text Box 1" o:spid="_x0000_s1026" type="#_x0000_t202" style="position:absolute;left:0;text-align:left;margin-left:2.1pt;margin-top:127.45pt;width:479.7pt;height:21.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" stroked="f">
                <v:textbox style="mso-fit-shape-to-text:t" inset="0,0,0,0">
                  <w:txbxContent>
                    <w:p w14:paraId="17DCFCCB" w14:textId="257CAB62" w:rsidR="000B015B" w:rsidRDefault="00E254A8" w:rsidP="00AA62D7">
                      <w:pPr>
                        <w:pStyle w:val="Captionfigtable"/>
                      </w:pPr>
                      <w:r w:rsidRPr="004F1F7E">
                        <w:t xml:space="preserve">Figure </w:t>
                      </w:r>
                      <w:fldSimple w:instr=" SEQ Figure \* ARABIC ">
                        <w:r w:rsidR="00DB700F">
                          <w:rPr>
                            <w:noProof/>
                          </w:rPr>
                          <w:t>1</w:t>
                        </w:r>
                      </w:fldSimple>
                      <w:r w:rsidRPr="004F1F7E">
                        <w:t xml:space="preserve"> Overview of the experiment</w:t>
                      </w:r>
                    </w:p>
                    <w:p w14:paraId="3B036635" w14:textId="77777777" w:rsidR="0030283E" w:rsidRPr="00FB614B" w:rsidRDefault="0030283E" w:rsidP="00AA62D7">
                      <w:pPr>
                        <w:pStyle w:val="Captionfigtable"/>
                      </w:pPr>
                    </w:p>
                  </w:txbxContent>
                </v:textbox>
                <w10:wrap type="topAndBottom"/>
              </v:shape>
            </w:pict>
          </mc:Fallback>
        </mc:AlternateContent>
      </w:r>
      <w:r w:rsidR="00F654F2" w:rsidRPr="00C62C38">
        <w:rPr>
          <w:noProof/>
        </w:rPr>
        <w:drawing>
          <wp:anchor distT="0" distB="0" distL="114300" distR="114300" simplePos="0" relativeHeight="251658243" behindDoc="0" locked="0" layoutInCell="1" allowOverlap="1" wp14:anchorId="42A4275F" wp14:editId="0EB7F33A">
            <wp:simplePos x="0" y="0"/>
            <wp:positionH relativeFrom="margin">
              <wp:posOffset>-17137</wp:posOffset>
            </wp:positionH>
            <wp:positionV relativeFrom="paragraph">
              <wp:posOffset>0</wp:posOffset>
            </wp:positionV>
            <wp:extent cx="6136005" cy="1591310"/>
            <wp:effectExtent l="0" t="0" r="0" b="8890"/>
            <wp:wrapTopAndBottom/>
            <wp:docPr id="9648249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24930" name="Picture 3"/>
                    <pic:cNvPicPr/>
                  </pic:nvPicPr>
                  <pic:blipFill rotWithShape="1">
                    <a:blip r:embed="rId15" cstate="print">
                      <a:extLst>
                        <a:ext uri="{28A0092B-C50C-407E-A947-70E740481C1C}">
                          <a14:useLocalDpi xmlns:a14="http://schemas.microsoft.com/office/drawing/2010/main" val="0"/>
                        </a:ext>
                      </a:extLst>
                    </a:blip>
                    <a:srcRect t="3208" b="4069"/>
                    <a:stretch/>
                  </pic:blipFill>
                  <pic:spPr bwMode="auto">
                    <a:xfrm>
                      <a:off x="0" y="0"/>
                      <a:ext cx="6136005" cy="1591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2C83" w:rsidRPr="00D82C83">
        <w:t>spatial and temporal dependencies in a detailed single-building dataset</w:t>
      </w:r>
      <w:r w:rsidR="00DE5AE9">
        <w:t xml:space="preserve">. Like </w:t>
      </w:r>
      <w:proofErr w:type="spellStart"/>
      <w:r w:rsidR="00DE5AE9">
        <w:t>Halaçlı</w:t>
      </w:r>
      <w:proofErr w:type="spellEnd"/>
      <w:r w:rsidR="00DE5AE9">
        <w:t xml:space="preserve"> et al. (2023), they </w:t>
      </w:r>
      <w:proofErr w:type="spellStart"/>
      <w:r w:rsidR="00DE5AE9">
        <w:t>focuse</w:t>
      </w:r>
      <w:proofErr w:type="spellEnd"/>
      <w:r w:rsidR="00DE5AE9">
        <w:t xml:space="preserve"> on the interrelations between thermal zones, particularly emphasizing distance-based adjacency. Their proposed model </w:t>
      </w:r>
      <w:r w:rsidR="00B55FC7">
        <w:t>is</w:t>
      </w:r>
      <w:r w:rsidR="00DE5AE9">
        <w:t xml:space="preserve"> validated using a highly detailed dataset from a single building, comprising 33 time</w:t>
      </w:r>
      <w:r w:rsidR="00CB6C86">
        <w:t>-</w:t>
      </w:r>
      <w:r w:rsidR="00DE5AE9">
        <w:t xml:space="preserve">series </w:t>
      </w:r>
      <w:r w:rsidR="00EE3201">
        <w:t>data</w:t>
      </w:r>
      <w:r w:rsidR="00DE5AE9" w:rsidRPr="004F1F7E">
        <w:t xml:space="preserve"> </w:t>
      </w:r>
      <w:r w:rsidR="00DE5AE9">
        <w:t xml:space="preserve">with nearly 800,000 power consumption observations. Beyond achieving high predictive performance, their study </w:t>
      </w:r>
      <w:proofErr w:type="gramStart"/>
      <w:r w:rsidR="00DE5AE9">
        <w:t>demonstrate</w:t>
      </w:r>
      <w:proofErr w:type="gramEnd"/>
      <w:r w:rsidR="00DE5AE9">
        <w:t xml:space="preserve"> the significant advantage of incorporating spatial context into energy prediction.</w:t>
      </w:r>
    </w:p>
    <w:p w14:paraId="0FE93AEA" w14:textId="7A7BD93E" w:rsidR="00DE5AE9" w:rsidRDefault="00A30187" w:rsidP="00DE5AE9">
      <w:pPr>
        <w:pStyle w:val="MainText"/>
      </w:pPr>
      <w:r>
        <w:t>Finally,</w:t>
      </w:r>
      <w:r w:rsidR="00DE5AE9">
        <w:t xml:space="preserve"> </w:t>
      </w:r>
      <w:r w:rsidR="00CB0966">
        <w:fldChar w:fldCharType="begin"/>
      </w:r>
      <w:r w:rsidR="0016199B">
        <w:instrText xml:space="preserve"> ADDIN ZOTERO_ITEM CSL_CITATION {"citationID":"5s4wGl54","properties":{"formattedCitation":"(Moveh {\\i{}et al.}, 2025)","plainCitation":"(Moveh et al., 2025)","dontUpdate":true,"noteIndex":0},"citationItems":[{"id":3150,"uris":["http://zotero.org/groups/5482058/items/Y6ZNK9LF"],"itemData":{"id":3150,"type":"article-journal","abstract":"While existing building energy prediction methods have advanced significantly, they face fundamental challenges in simultaneously modeling complex spatial–temporal relationships between buildings and integrating dynamic weather patterns, particularly in dense urban environments where building interactions significantly impact energy consumption patterns. This study presents an advanced deep learning system combining temporal graph neural networks with weather data parameters to enhance prediction accuracy across diverse building types through innovative spatial–temporal modeling. This approach integrates LSTM layers with graph convolutional networks, trained using energy consumption data from 150 commercial buildings over three years. The system incorporates spatial relationships through a weighted adjacency matrix considering building proximity and operational similarities, while weather parameters are integrated via a specialized neural network component. Performance evaluation examined normal operations, data gaps, and seasonal variations. The results demonstrated a 3.2% mean absolute percentage error (MAPE) for 15 min predictions and a 4.2% MAPE for 24 h forecasts. The system showed robust data recovery, maintaining 95.8% effectiveness even with 30% missing values. Seasonal analysis revealed consistent performance across weather conditions (MAPE: 3.1–3.4%). The approach achieved 33.3% better prediction accuracy compared to conventional methods, with 75% efficiency across four GPUs. These findings demonstrate the effectiveness of combining spatial relationships and weather parameters for building energy prediction, providing valuable insights for energy management systems and urban planning. The system’s performance and scalability make it particularly suitable for practical applications in smart building management and urban sustainability.","container-title":"Buildings","DOI":"10.3390/buildings15050808","ISSN":"2075-5309","issue":"5","journalAbbreviation":"Buildings","language":"en","license":"https://creativecommons.org/licenses/by/4.0/","page":"808","source":"DOI.org (Crossref)","title":"Multi-Building Energy Forecasting Through Weather-Integrated Temporal Graph Neural Networks","volume":"15","author":[{"family":"Moveh","given":"Samuel"},{"family":"Merchán-Cruz","given":"Emmanuel Alejandro"},{"family":"Abuhussain","given":"Maher"},{"family":"Alhumaid","given":"Saleh"},{"family":"Almazam","given":"Khaled"},{"family":"Dodo","given":"Yakubu Aminu"}],"issued":{"date-parts":[["2025",3,3]]},"citation-key":"movehMultiBuildingEnergyForecasting2025"}}],"schema":"https://github.com/citation-style-language/schema/raw/master/csl-citation.json"} </w:instrText>
      </w:r>
      <w:r w:rsidR="00CB0966">
        <w:fldChar w:fldCharType="separate"/>
      </w:r>
      <w:r w:rsidR="00CB0966" w:rsidRPr="00714486">
        <w:t xml:space="preserve">Moveh et al. </w:t>
      </w:r>
      <w:r w:rsidR="000468AD" w:rsidRPr="004F1F7E">
        <w:t>(</w:t>
      </w:r>
      <w:r w:rsidR="00CB0966" w:rsidRPr="00714486">
        <w:t>2025)</w:t>
      </w:r>
      <w:r w:rsidR="00CB0966">
        <w:fldChar w:fldCharType="end"/>
      </w:r>
      <w:r w:rsidR="00DE5AE9">
        <w:t xml:space="preserve"> similarly use </w:t>
      </w:r>
      <w:r w:rsidR="000468AD">
        <w:t xml:space="preserve">a hybrid GCN-LSTM approach to integrate static spatial relationships and the </w:t>
      </w:r>
      <w:r w:rsidR="00DE5AE9">
        <w:t>dynamic influence of environmental factors. Their dataset include</w:t>
      </w:r>
      <w:r w:rsidR="00B55FC7">
        <w:t>s</w:t>
      </w:r>
      <w:r w:rsidR="00DE5AE9">
        <w:t xml:space="preserve"> 150 commercial buildings with energy data spanning three years. In their graph representation, buildings </w:t>
      </w:r>
      <w:r w:rsidR="00B55FC7">
        <w:t>are</w:t>
      </w:r>
      <w:r w:rsidR="00DE5AE9">
        <w:t xml:space="preserve"> </w:t>
      </w:r>
      <w:proofErr w:type="spellStart"/>
      <w:r w:rsidR="00DE5AE9">
        <w:t>modeled</w:t>
      </w:r>
      <w:proofErr w:type="spellEnd"/>
      <w:r w:rsidR="00DE5AE9">
        <w:t xml:space="preserve"> as nodes, while edges capture geographical proximity and operational similarity.</w:t>
      </w:r>
      <w:r w:rsidR="00FE524E">
        <w:t xml:space="preserve"> </w:t>
      </w:r>
      <w:r w:rsidR="00A41070">
        <w:t>The</w:t>
      </w:r>
      <w:r w:rsidR="00C10367">
        <w:t>ir hybrid model utilize</w:t>
      </w:r>
      <w:r w:rsidR="00B55FC7">
        <w:t>s</w:t>
      </w:r>
      <w:r w:rsidR="00C10367">
        <w:t xml:space="preserve"> </w:t>
      </w:r>
      <w:r w:rsidR="00D34DD4">
        <w:t>detailed weather data to search for temporal dynamics</w:t>
      </w:r>
      <w:r w:rsidR="00260178">
        <w:t>, and in the end, it achieve</w:t>
      </w:r>
      <w:r w:rsidR="00B55FC7">
        <w:t>s</w:t>
      </w:r>
      <w:r w:rsidR="00260178">
        <w:t xml:space="preserve"> the </w:t>
      </w:r>
      <w:r w:rsidR="00D34DD4">
        <w:t>b</w:t>
      </w:r>
      <w:r w:rsidR="00D34DD4" w:rsidRPr="00D34DD4">
        <w:t>est performance with 3.2% MAPE</w:t>
      </w:r>
      <w:r w:rsidR="00D34DD4">
        <w:t>.</w:t>
      </w:r>
    </w:p>
    <w:p w14:paraId="4593DA69" w14:textId="5C980DE6" w:rsidR="00927A24" w:rsidRDefault="00927A24" w:rsidP="00DE5AE9">
      <w:pPr>
        <w:pStyle w:val="MainText"/>
      </w:pPr>
    </w:p>
    <w:p w14:paraId="3F2FF182" w14:textId="79E7E566" w:rsidR="00803908" w:rsidRDefault="00A142EF" w:rsidP="007672FD">
      <w:pPr>
        <w:pStyle w:val="Heading1"/>
      </w:pPr>
      <w:r>
        <w:t xml:space="preserve">2.2 </w:t>
      </w:r>
      <w:r w:rsidR="006D311A">
        <w:t>R</w:t>
      </w:r>
      <w:r w:rsidR="00ED27EF" w:rsidRPr="004F1F7E">
        <w:t>esearch gap</w:t>
      </w:r>
    </w:p>
    <w:p w14:paraId="1E4D6B99" w14:textId="7016B0D5" w:rsidR="00ED27EF" w:rsidRDefault="00ED27EF" w:rsidP="00356C5A">
      <w:pPr>
        <w:pStyle w:val="MainText"/>
      </w:pPr>
      <w:r w:rsidRPr="00ED27EF">
        <w:t xml:space="preserve">While existing GNN applications predominantly model buildings or thermal zones as nodes, the application of GNNs at more granular, detailed component levels has yet to be explored. </w:t>
      </w:r>
      <w:r w:rsidR="00A3139C">
        <w:t>S</w:t>
      </w:r>
      <w:r w:rsidR="004845F9">
        <w:t>uch</w:t>
      </w:r>
      <w:r w:rsidR="00FD2C65">
        <w:t xml:space="preserve"> </w:t>
      </w:r>
      <w:r w:rsidR="00CA2EF0">
        <w:t xml:space="preserve">an </w:t>
      </w:r>
      <w:r w:rsidRPr="00ED27EF">
        <w:t xml:space="preserve">approach </w:t>
      </w:r>
      <w:r w:rsidR="00CA2EF0">
        <w:t>was introduced as</w:t>
      </w:r>
      <w:r w:rsidRPr="00ED27EF">
        <w:t xml:space="preserve"> Component-Based Machine Learning (CBML) research, which has demonstrated the benefits of modeling individual building elements</w:t>
      </w:r>
      <w:r>
        <w:t xml:space="preserve">, </w:t>
      </w:r>
      <w:r w:rsidRPr="00ED27EF">
        <w:t>such as walls, windows, and zones</w:t>
      </w:r>
      <w:r>
        <w:t xml:space="preserve">, </w:t>
      </w:r>
      <w:r w:rsidRPr="00ED27EF">
        <w:t>each with distinct properties</w:t>
      </w:r>
      <w:r>
        <w:t xml:space="preserve"> </w:t>
      </w:r>
      <w:r>
        <w:fldChar w:fldCharType="begin"/>
      </w:r>
      <w:r w:rsidR="0016199B">
        <w:instrText xml:space="preserve"> ADDIN ZOTERO_ITEM CSL_CITATION {"citationID":"a7S6XHk7","properties":{"formattedCitation":"(Chen, Singh and Geyer, 2024; Geyer, Singh and Chen, 2024)","plainCitation":"(Chen, Singh and Geyer, 2024; Geyer, Singh and Chen, 2024)","noteIndex":0},"citationItems":[{"id":3387,"uris":["http://zotero.org/groups/5482058/items/TNM7CR6A"],"itemData":{"id":3387,"type":"article-journal","abstract":"Machine learning (ML) applications often require large datasets, a requirement that can pose a major challenge in fields where data is sparse or inconsistent. To address this issue, we propose a novel approach that combines prior knowledge with data-driven methods to significantly reduce data dependency. This study represents a disentangled system compositionality knowledge by the method of Component-Based Machine Learning (CBML) in the context of energy-efficient building engineering. In this way, CBML incorporates semantic domain knowledge within the structure of a data-driven model. To understand the advantage of CBML, we conducted a case experiment to assess the effectiveness of this knowledge-encoded ML approach in scenarios with sparse data input (1 % - 0.0125 % sampling rate) and several typical ML methods. Our findings reveal three key advantages of this approach over traditional ML methods: 1) It significantly improves the robustness of ML models when dealing with extremely small and inconsistent datasets; 2) It allows for efficient utilization of data from diverse record collections; 3) It can handle incomplete data while maintaining high interpretability and reducing training time. These features offer a promising solution to the challenges associated with deploying data-intensive methods and contribute to more efficient real-world data usage. Additionally, we outline four essential prerequisites to ensure the successful integration of prior knowledge and ML generalization in target scenarios and open-sourced the code and dataset for community reproduction.","container-title":"Knowledge-Based Systems","DOI":"10.1016/j.knosys.2024.111774","ISSN":"09507051","journalAbbreviation":"Knowledge-Based Systems","language":"en","page":"111774","source":"DOI.org (Crossref)","title":"Utilizing domain knowledge: Robust machine learning for building energy performance prediction with small, inconsistent datasets","title-short":"Utilizing domain knowledge","volume":"294","author":[{"family":"Chen","given":"Xia"},{"family":"Singh","given":"Manav Mahan"},{"family":"Geyer","given":"Philipp"}],"issued":{"date-parts":[["2024",6]]},"citation-key":"chenUtilizingDomainKnowledge2024a"}},{"id":3388,"uris":["http://zotero.org/groups/5482058/items/HWQB4N7F"],"itemData":{"id":3388,"type":"article-journal","abstract":"Data-driven models created by machine learning (ML) have gained importance in all fields of design and engineering. They have high potential to assist decision-makers in creating novel artifacts with better performance and sustainability. However, limited generalization and the black-box nature of these models lead to limited explainability and reusability. To overcome this situation, we developed a component-based approach to create partial component models by ML. This component-based approach aligns deep learning with systems engineering (SE). The key contribution of the component-based method is that activations at interfaces between the components are interpretable engineering quantities. In this way, the hierarchical component system forms a deep neural network (DNN) that a priori integrates interpretable information for explainability of predictions. The large range of possible configurations in composing components allows the examination of novel unseen design cases outside training data. The matching of parameter ranges of components using similar probability distributions produces reusable, well-generalizing, and trustworthy models. The approach adapts the model structure to SE methods and domain knowledge. We examine the performance of the approach in the field of energyefficient building design: First, we observed better generalization of the component-based method by analyzing prediction accuracy outside the training data. Especially for representative designs that are different in structure, we observed a much higher accuracy (R2 = 0.94) compared to conventional monolithic methods (R2 = 0.71). Second, we illustrate explainability by demonstrating how sensitivity information from SE and an interpretable model based on rules from low-depth decision trees serve engineering design. Third, we evaluate explainability using qualitative and quantitative methods that demonstrate the matching of preliminary knowledge and data-driven derived strategies and show correctness of activations at component interfaces compared to white-box simulation results (envelope components: R2 = 0.92..0.99; zones: R2 = 0.78..0.93).","container-title":"Advanced Engineering Informatics","DOI":"10.1016/j.aei.2024.102843","ISSN":"14740346","journalAbbreviation":"Advanced Engineering Informatics","language":"en","page":"102843","source":"DOI.org (Crossref)","title":"Explainable AI for engineering design: A unified approach of systems engineering and component-based deep learning demonstrated by energy-efficient building design","title-short":"Explainable AI for engineering design","volume":"62","author":[{"family":"Geyer","given":"Philipp"},{"family":"Singh","given":"Manav Mahan"},{"family":"Chen","given":"Xia"}],"issued":{"date-parts":[["2024",10]]},"citation-key":"geyerExplainableAIEngineering2024a"}}],"schema":"https://github.com/citation-style-language/schema/raw/master/csl-citation.json"} </w:instrText>
      </w:r>
      <w:r>
        <w:fldChar w:fldCharType="separate"/>
      </w:r>
      <w:r w:rsidR="00DA0018" w:rsidRPr="00011827">
        <w:t>(Chen, Singh and Geyer, 2024; Geyer, Singh and Chen, 2024)</w:t>
      </w:r>
      <w:r>
        <w:fldChar w:fldCharType="end"/>
      </w:r>
      <w:r w:rsidRPr="00ED27EF">
        <w:t xml:space="preserve">. CBML research underscores how this form of </w:t>
      </w:r>
      <w:r w:rsidR="00DA0018">
        <w:t xml:space="preserve">model </w:t>
      </w:r>
      <w:r w:rsidRPr="00ED27EF">
        <w:t xml:space="preserve">decomposition enhances interpretability, reusability, and generalization. However, these methods often involve significant domain knowledge and complex model assembly processes. A GNN-based method has the potential to integrate the </w:t>
      </w:r>
      <w:r w:rsidR="002838A8">
        <w:t>component-based</w:t>
      </w:r>
      <w:r>
        <w:t xml:space="preserve"> </w:t>
      </w:r>
      <w:r w:rsidRPr="00ED27EF">
        <w:t>fine-grained modeling</w:t>
      </w:r>
      <w:r>
        <w:t xml:space="preserve"> </w:t>
      </w:r>
      <w:r w:rsidR="00B92C76">
        <w:t>with</w:t>
      </w:r>
      <w:r w:rsidRPr="00ED27EF">
        <w:t xml:space="preserve"> offering a more scalable and unified framework for capturing both local interactions and global energy dynamics within a single holistic model.</w:t>
      </w:r>
    </w:p>
    <w:p w14:paraId="4CDF5A12" w14:textId="65D6BB9A" w:rsidR="00ED27EF" w:rsidRDefault="00ED27EF" w:rsidP="00794926">
      <w:pPr>
        <w:pStyle w:val="Heading1"/>
      </w:pPr>
      <w:r>
        <w:t>2.3 Research Aim</w:t>
      </w:r>
    </w:p>
    <w:p w14:paraId="4910C7A9" w14:textId="6DAE2E6E" w:rsidR="00D562A7" w:rsidRDefault="00D562A7" w:rsidP="00B55FC7">
      <w:pPr>
        <w:pStyle w:val="MainText"/>
        <w:ind w:firstLine="0"/>
      </w:pPr>
      <w:r>
        <w:t xml:space="preserve">    T</w:t>
      </w:r>
      <w:r w:rsidRPr="00D562A7">
        <w:t>his study aims to explore the effectiveness of GNNs in predicting building energy performance by leveraging detailed graph-based component-level building representations. The proposed approach offers a new perspective on integrating structured data with advanced neural networks and aims to achieve robust and generalizable predictions of building performance indicators.</w:t>
      </w:r>
      <w:r w:rsidR="007F3F15">
        <w:t xml:space="preserve"> </w:t>
      </w:r>
      <w:r w:rsidR="007F3F15" w:rsidRPr="007F3F15">
        <w:t>To demonstrate the feasibility of this approach, the current study focuses on predicting a single, aggregated performance metric</w:t>
      </w:r>
      <w:r w:rsidR="007F3F15">
        <w:t xml:space="preserve">, </w:t>
      </w:r>
      <w:r w:rsidR="007F3F15" w:rsidRPr="007F3F15">
        <w:t>EUI</w:t>
      </w:r>
      <w:r w:rsidR="007F3F15">
        <w:t xml:space="preserve">, </w:t>
      </w:r>
      <w:r w:rsidR="007F3F15" w:rsidRPr="007F3F15">
        <w:t>based on detailed, component-level graph representations of building</w:t>
      </w:r>
      <w:r w:rsidR="007F3F15">
        <w:t xml:space="preserve"> energy models</w:t>
      </w:r>
      <w:r w:rsidR="007F3F15" w:rsidRPr="007F3F15">
        <w:t>.</w:t>
      </w:r>
    </w:p>
    <w:p w14:paraId="1E29A770" w14:textId="77777777" w:rsidR="00F34FB3" w:rsidRDefault="00F34FB3" w:rsidP="00B55FC7">
      <w:pPr>
        <w:pStyle w:val="MainText"/>
        <w:ind w:firstLine="0"/>
      </w:pPr>
    </w:p>
    <w:p w14:paraId="06AC74B5" w14:textId="5BA36CF9" w:rsidR="00927A24" w:rsidRDefault="00D01FB8" w:rsidP="00825DF8">
      <w:pPr>
        <w:pStyle w:val="Heading1"/>
      </w:pPr>
      <w:r>
        <w:t>3. METHOD</w:t>
      </w:r>
    </w:p>
    <w:p w14:paraId="2FA15DFE" w14:textId="77777777" w:rsidR="007D60D0" w:rsidRDefault="00311F94" w:rsidP="004D4E3F">
      <w:pPr>
        <w:pStyle w:val="MainText"/>
      </w:pPr>
      <w:r w:rsidRPr="004D4E3F">
        <w:t>This research introduces a more granular approach</w:t>
      </w:r>
      <w:r w:rsidR="00990B51" w:rsidRPr="004D4E3F">
        <w:t xml:space="preserve"> to graph-based energy </w:t>
      </w:r>
      <w:r w:rsidR="005662EE" w:rsidRPr="004D4E3F">
        <w:t xml:space="preserve">simulation models for predicting </w:t>
      </w:r>
      <w:r w:rsidR="007D60D0" w:rsidRPr="004F1F7E">
        <w:t>total end-use building energy intensity</w:t>
      </w:r>
      <w:r w:rsidR="007D60D0">
        <w:t xml:space="preserve">, a </w:t>
      </w:r>
      <w:r w:rsidR="005662EE" w:rsidRPr="004D4E3F">
        <w:t>building energy performance</w:t>
      </w:r>
      <w:r w:rsidR="007D60D0">
        <w:t xml:space="preserve"> criterion</w:t>
      </w:r>
      <w:r w:rsidR="005662EE" w:rsidRPr="004F1F7E">
        <w:t xml:space="preserve">. </w:t>
      </w:r>
    </w:p>
    <w:p w14:paraId="579B5FF1" w14:textId="6902E894" w:rsidR="00D42312" w:rsidRDefault="005662EE" w:rsidP="004D4E3F">
      <w:pPr>
        <w:pStyle w:val="MainText"/>
      </w:pPr>
      <w:r w:rsidRPr="004D4E3F">
        <w:t xml:space="preserve">Unlike previous </w:t>
      </w:r>
      <w:r w:rsidR="002E2917">
        <w:t xml:space="preserve">GNN </w:t>
      </w:r>
      <w:r w:rsidRPr="004D4E3F">
        <w:t>methods</w:t>
      </w:r>
      <w:r w:rsidR="00C0237F">
        <w:t xml:space="preserve"> that </w:t>
      </w:r>
      <w:proofErr w:type="spellStart"/>
      <w:r w:rsidR="00C0237F">
        <w:t>analyze</w:t>
      </w:r>
      <w:proofErr w:type="spellEnd"/>
      <w:r w:rsidR="00C0237F">
        <w:t xml:space="preserve"> graphs representing entire buildings or zones, this study investigates</w:t>
      </w:r>
      <w:r w:rsidR="0038726E">
        <w:t xml:space="preserve"> a detailed graph structure</w:t>
      </w:r>
      <w:r w:rsidR="002E06D6">
        <w:t xml:space="preserve"> in which graph nodes correspond to individual building elements (such as walls, windows, and </w:t>
      </w:r>
      <w:r w:rsidR="008E69C4">
        <w:t>shades) and edges represent their spatial and hierarchical relationships.</w:t>
      </w:r>
    </w:p>
    <w:p w14:paraId="3F35C546" w14:textId="5C9FA626" w:rsidR="008231DA" w:rsidRDefault="00E15092" w:rsidP="004D4E3F">
      <w:pPr>
        <w:pStyle w:val="MainText"/>
      </w:pPr>
      <w:r>
        <w:t>M</w:t>
      </w:r>
      <w:r w:rsidR="008231DA">
        <w:t xml:space="preserve">ethods utilized in this experiment involve </w:t>
      </w:r>
      <w:r w:rsidR="002E06D6">
        <w:t xml:space="preserve">a </w:t>
      </w:r>
      <w:r w:rsidR="008231DA">
        <w:t xml:space="preserve">top-down approach to create </w:t>
      </w:r>
      <w:r w:rsidR="003D4FE2">
        <w:t>a diverse</w:t>
      </w:r>
      <w:r w:rsidR="002E06D6">
        <w:t xml:space="preserve"> </w:t>
      </w:r>
      <w:r w:rsidR="003D4FE2">
        <w:t>dataset</w:t>
      </w:r>
      <w:r>
        <w:t xml:space="preserve"> aiming towards </w:t>
      </w:r>
      <w:r w:rsidR="00FD79A6">
        <w:t>high generalization of the proposed models</w:t>
      </w:r>
      <w:r w:rsidR="00D80072">
        <w:t xml:space="preserve">, as well as adaptability across different building types, functions and geographic </w:t>
      </w:r>
      <w:r w:rsidR="008B4D2E">
        <w:t>locations</w:t>
      </w:r>
      <w:r w:rsidR="00D80072">
        <w:t xml:space="preserve">, as well as robustness to </w:t>
      </w:r>
      <w:r w:rsidR="000D1147">
        <w:t>missing or faulty data.</w:t>
      </w:r>
    </w:p>
    <w:p w14:paraId="5169109A" w14:textId="74DF47DC" w:rsidR="000D1147" w:rsidRDefault="000D1147" w:rsidP="004D4E3F">
      <w:pPr>
        <w:pStyle w:val="MainText"/>
      </w:pPr>
      <w:r>
        <w:t>The experiment has t</w:t>
      </w:r>
      <w:r w:rsidR="00722150">
        <w:t>hree</w:t>
      </w:r>
      <w:r>
        <w:t xml:space="preserve"> core objectives:</w:t>
      </w:r>
    </w:p>
    <w:p w14:paraId="3848A0BF" w14:textId="15B24FC0" w:rsidR="000D1147" w:rsidRDefault="00B55FC7" w:rsidP="000D1147">
      <w:pPr>
        <w:pStyle w:val="MainText"/>
        <w:numPr>
          <w:ilvl w:val="0"/>
          <w:numId w:val="14"/>
        </w:numPr>
      </w:pPr>
      <w:r>
        <w:t>C</w:t>
      </w:r>
      <w:r w:rsidR="000D1147">
        <w:t>onstruct a diverse, globally distributed dataset of detailed building energy models</w:t>
      </w:r>
      <w:r w:rsidR="0091714F">
        <w:t xml:space="preserve">, represented at the </w:t>
      </w:r>
      <w:r w:rsidR="00EB1A7D">
        <w:t xml:space="preserve">component </w:t>
      </w:r>
      <w:r w:rsidR="0091714F">
        <w:t>level</w:t>
      </w:r>
      <w:r w:rsidR="00EB1A7D">
        <w:t>.</w:t>
      </w:r>
    </w:p>
    <w:p w14:paraId="215219BA" w14:textId="5E006004" w:rsidR="0091714F" w:rsidRDefault="00B55FC7" w:rsidP="000D1147">
      <w:pPr>
        <w:pStyle w:val="MainText"/>
        <w:numPr>
          <w:ilvl w:val="0"/>
          <w:numId w:val="14"/>
        </w:numPr>
      </w:pPr>
      <w:r>
        <w:t>C</w:t>
      </w:r>
      <w:r w:rsidR="0091714F">
        <w:t xml:space="preserve">reate </w:t>
      </w:r>
      <w:r w:rsidR="0031149D">
        <w:t>a</w:t>
      </w:r>
      <w:r w:rsidR="0091714F" w:rsidRPr="004F1F7E">
        <w:t xml:space="preserve"> </w:t>
      </w:r>
      <w:r w:rsidR="0091714F">
        <w:t>Building Energy Graphs</w:t>
      </w:r>
      <w:r w:rsidR="0031149D">
        <w:t xml:space="preserve"> dataset </w:t>
      </w:r>
      <w:r w:rsidR="006C7977">
        <w:t xml:space="preserve">for </w:t>
      </w:r>
      <w:r w:rsidR="0031149D">
        <w:t>graph neural network computations</w:t>
      </w:r>
      <w:r w:rsidR="00FE1C5D">
        <w:t>.</w:t>
      </w:r>
    </w:p>
    <w:p w14:paraId="6994079A" w14:textId="642BCDBA" w:rsidR="00FE1C5D" w:rsidRDefault="00B55FC7" w:rsidP="000D1147">
      <w:pPr>
        <w:pStyle w:val="MainText"/>
        <w:numPr>
          <w:ilvl w:val="0"/>
          <w:numId w:val="14"/>
        </w:numPr>
      </w:pPr>
      <w:r>
        <w:t>E</w:t>
      </w:r>
      <w:r w:rsidR="00FE1C5D">
        <w:t>valuate and compare GNN models in pre</w:t>
      </w:r>
      <w:r w:rsidR="00D10F45">
        <w:t>-</w:t>
      </w:r>
      <w:proofErr w:type="spellStart"/>
      <w:r w:rsidR="00FE1C5D">
        <w:t>dicting</w:t>
      </w:r>
      <w:proofErr w:type="spellEnd"/>
      <w:r w:rsidR="00FE1C5D">
        <w:t xml:space="preserve"> </w:t>
      </w:r>
      <w:r w:rsidR="00F02E40">
        <w:t>critical building performance metrics.</w:t>
      </w:r>
      <w:r w:rsidR="00A16784">
        <w:t xml:space="preserve"> </w:t>
      </w:r>
      <w:r w:rsidR="00A16784" w:rsidRPr="00A16784">
        <w:t>In this experimental setup we aim for a graph-level prediction of one value</w:t>
      </w:r>
      <w:r w:rsidR="00D10F45">
        <w:t>:</w:t>
      </w:r>
      <w:r w:rsidR="00A16784" w:rsidRPr="00A16784">
        <w:t xml:space="preserve"> the building total EUI.</w:t>
      </w:r>
      <w:r w:rsidR="00A16784">
        <w:t xml:space="preserve"> </w:t>
      </w:r>
    </w:p>
    <w:p w14:paraId="2120E721" w14:textId="3C1DC128" w:rsidR="00D01FB8" w:rsidRDefault="00E254A8" w:rsidP="00D10F45">
      <w:pPr>
        <w:pStyle w:val="MainText"/>
      </w:pPr>
      <w:r>
        <w:fldChar w:fldCharType="begin"/>
      </w:r>
      <w:r>
        <w:instrText xml:space="preserve"> REF _Ref194256971 \h </w:instrText>
      </w:r>
      <w:r>
        <w:fldChar w:fldCharType="separate"/>
      </w:r>
      <w:r w:rsidR="00E31327" w:rsidRPr="004F1F7E">
        <w:t xml:space="preserve">Figure </w:t>
      </w:r>
      <w:r w:rsidR="00E31327">
        <w:rPr>
          <w:noProof/>
        </w:rPr>
        <w:t>1</w:t>
      </w:r>
      <w:r>
        <w:fldChar w:fldCharType="end"/>
      </w:r>
      <w:r>
        <w:t xml:space="preserve"> presents the </w:t>
      </w:r>
      <w:r w:rsidR="00233354">
        <w:t>overview</w:t>
      </w:r>
      <w:r>
        <w:t xml:space="preserve"> of the main steps </w:t>
      </w:r>
      <w:r w:rsidR="00233354">
        <w:t>further elaborated in the Method section.</w:t>
      </w:r>
    </w:p>
    <w:p w14:paraId="37EF99AD" w14:textId="1A714E71" w:rsidR="00D01FB8" w:rsidRDefault="0055307E" w:rsidP="0055307E">
      <w:pPr>
        <w:pStyle w:val="Heading1"/>
      </w:pPr>
      <w:bookmarkStart w:id="0" w:name="_Ref194149543"/>
      <w:r>
        <w:lastRenderedPageBreak/>
        <w:t xml:space="preserve">3.1 </w:t>
      </w:r>
      <w:r w:rsidR="00D42312">
        <w:t>Building Energy Graph</w:t>
      </w:r>
      <w:r w:rsidR="00D42312">
        <w:rPr>
          <w:rFonts w:eastAsia="DengXian"/>
        </w:rPr>
        <w:t>s</w:t>
      </w:r>
      <w:bookmarkEnd w:id="0"/>
    </w:p>
    <w:p w14:paraId="6B231E86" w14:textId="16A9D01E" w:rsidR="00A804BE" w:rsidRDefault="00274557" w:rsidP="00A277CE">
      <w:pPr>
        <w:pStyle w:val="MainText"/>
        <w:rPr>
          <w:rFonts w:eastAsia="DengXian"/>
          <w:lang w:eastAsia="zh-CN"/>
        </w:rPr>
      </w:pPr>
      <w:r>
        <w:rPr>
          <w:rFonts w:eastAsia="DengXian" w:hint="eastAsia"/>
          <w:lang w:eastAsia="zh-CN"/>
        </w:rPr>
        <w:t xml:space="preserve">The data schema of building energy graphs is </w:t>
      </w:r>
      <w:r>
        <w:rPr>
          <w:rFonts w:eastAsia="DengXian"/>
          <w:lang w:eastAsia="zh-CN"/>
        </w:rPr>
        <w:t>presented</w:t>
      </w:r>
      <w:r>
        <w:rPr>
          <w:rFonts w:eastAsia="DengXian" w:hint="eastAsia"/>
          <w:lang w:eastAsia="zh-CN"/>
        </w:rPr>
        <w:t xml:space="preserve"> in </w:t>
      </w:r>
      <w:r w:rsidR="008A0534">
        <w:fldChar w:fldCharType="begin"/>
      </w:r>
      <w:r w:rsidR="008A0534">
        <w:instrText xml:space="preserve"> REF _Ref194257348 \h </w:instrText>
      </w:r>
      <w:r w:rsidR="008A0534">
        <w:fldChar w:fldCharType="separate"/>
      </w:r>
      <w:r w:rsidR="00E31327">
        <w:t xml:space="preserve">Figure </w:t>
      </w:r>
      <w:r w:rsidR="00E31327">
        <w:rPr>
          <w:noProof/>
        </w:rPr>
        <w:t>2</w:t>
      </w:r>
      <w:r w:rsidR="008A0534">
        <w:fldChar w:fldCharType="end"/>
      </w:r>
      <w:r w:rsidR="00837D14">
        <w:t>.</w:t>
      </w:r>
      <w:r>
        <w:rPr>
          <w:rFonts w:eastAsia="DengXian" w:hint="eastAsia"/>
          <w:lang w:eastAsia="zh-CN"/>
        </w:rPr>
        <w:t xml:space="preserve"> </w:t>
      </w:r>
      <w:r w:rsidR="00C53C6B">
        <w:rPr>
          <w:rFonts w:eastAsia="DengXian" w:hint="eastAsia"/>
          <w:lang w:eastAsia="zh-CN"/>
        </w:rPr>
        <w:t xml:space="preserve">In the </w:t>
      </w:r>
      <w:r w:rsidR="00C53C6B">
        <w:rPr>
          <w:rFonts w:eastAsia="DengXian"/>
          <w:lang w:eastAsia="zh-CN"/>
        </w:rPr>
        <w:t>graph</w:t>
      </w:r>
      <w:r w:rsidR="00C53C6B">
        <w:rPr>
          <w:rFonts w:eastAsia="DengXian" w:hint="eastAsia"/>
          <w:lang w:eastAsia="zh-CN"/>
        </w:rPr>
        <w:t>, n</w:t>
      </w:r>
      <w:r w:rsidR="00C53C6B" w:rsidRPr="00B04212">
        <w:t>odes represent different model components</w:t>
      </w:r>
      <w:r w:rsidR="00C53C6B">
        <w:rPr>
          <w:rFonts w:eastAsia="DengXian" w:hint="eastAsia"/>
          <w:lang w:eastAsia="zh-CN"/>
        </w:rPr>
        <w:t>.</w:t>
      </w:r>
      <w:r w:rsidR="00531D7E">
        <w:rPr>
          <w:rFonts w:eastAsia="DengXian" w:hint="eastAsia"/>
          <w:lang w:eastAsia="zh-CN"/>
        </w:rPr>
        <w:t xml:space="preserve"> </w:t>
      </w:r>
      <w:r w:rsidR="00531D7E">
        <w:t>Edges capture the relationships between nodes</w:t>
      </w:r>
      <w:r w:rsidR="00531D7E">
        <w:rPr>
          <w:rFonts w:eastAsia="DengXian" w:hint="eastAsia"/>
          <w:lang w:eastAsia="zh-CN"/>
        </w:rPr>
        <w:t xml:space="preserve">. </w:t>
      </w:r>
    </w:p>
    <w:p w14:paraId="4C7D3025" w14:textId="6C25B82E" w:rsidR="00B04212" w:rsidRPr="00B04212" w:rsidRDefault="00B04212" w:rsidP="00B04212">
      <w:pPr>
        <w:pStyle w:val="MainText"/>
      </w:pPr>
      <w:r w:rsidRPr="00B04212">
        <w:rPr>
          <w:b/>
          <w:bCs/>
        </w:rPr>
        <w:t>Building Nodes</w:t>
      </w:r>
      <w:r w:rsidRPr="00B04212">
        <w:t xml:space="preserve">: Each data sample (i.e., each building) is represented by the first node. We use these nodes to store </w:t>
      </w:r>
      <w:r w:rsidR="001A3511">
        <w:t>building-level properties and</w:t>
      </w:r>
      <w:r w:rsidRPr="00B04212">
        <w:t xml:space="preserve"> external environmental conditions </w:t>
      </w:r>
      <w:r w:rsidR="008C3117">
        <w:t xml:space="preserve">retrieved </w:t>
      </w:r>
      <w:r w:rsidRPr="00B04212">
        <w:t>from EPW (</w:t>
      </w:r>
      <w:proofErr w:type="spellStart"/>
      <w:r w:rsidRPr="00B04212">
        <w:t>EnergyPlus</w:t>
      </w:r>
      <w:proofErr w:type="spellEnd"/>
      <w:r w:rsidRPr="00B04212">
        <w:t xml:space="preserve"> Weather) and DDY (Design Day) files.</w:t>
      </w:r>
    </w:p>
    <w:p w14:paraId="79ACD880" w14:textId="0DBEF1C3" w:rsidR="00B04212" w:rsidRPr="00B04212" w:rsidRDefault="00B04212" w:rsidP="00B04212">
      <w:pPr>
        <w:pStyle w:val="MainText"/>
      </w:pPr>
      <w:r w:rsidRPr="00B04212">
        <w:rPr>
          <w:b/>
          <w:bCs/>
        </w:rPr>
        <w:t>Room Nodes</w:t>
      </w:r>
      <w:r w:rsidRPr="00B04212">
        <w:t>: These nodes capture, among others, time-based occupancy and operational schedules, as well as system setpoints, inferred from the building’s program type. To manage data complexity, full-resolution daily schedules are summarized into key statistical measures (average, peak values, peak occurrence times, and variation ranges).</w:t>
      </w:r>
    </w:p>
    <w:p w14:paraId="6B77ECE2" w14:textId="08BA36BE" w:rsidR="009F0308" w:rsidRPr="00B04212" w:rsidRDefault="00B04212" w:rsidP="00B04212">
      <w:pPr>
        <w:pStyle w:val="MainText"/>
      </w:pPr>
      <w:r w:rsidRPr="00B04212">
        <w:rPr>
          <w:b/>
          <w:bCs/>
        </w:rPr>
        <w:t>Geometry Nodes</w:t>
      </w:r>
      <w:r w:rsidRPr="00B04212">
        <w:t xml:space="preserve">: These nodes represent the components of the building, including their geometric and physical properties. The “geometry” category is subdivided </w:t>
      </w:r>
      <w:proofErr w:type="gramStart"/>
      <w:r w:rsidRPr="00B04212">
        <w:t>into:</w:t>
      </w:r>
      <w:proofErr w:type="gramEnd"/>
      <w:r w:rsidRPr="00B04212">
        <w:t xml:space="preserve"> external and internal</w:t>
      </w:r>
      <w:r w:rsidR="00DF5608">
        <w:t xml:space="preserve"> </w:t>
      </w:r>
      <w:r w:rsidRPr="00B04212">
        <w:t>walls, roofs, floors, foundations</w:t>
      </w:r>
      <w:r w:rsidR="00DF5608">
        <w:t>,</w:t>
      </w:r>
      <w:r w:rsidRPr="00B04212">
        <w:t xml:space="preserve"> and apertures (windows).</w:t>
      </w:r>
    </w:p>
    <w:p w14:paraId="5900AED3" w14:textId="1D78377F" w:rsidR="00A804BE" w:rsidRDefault="00A804BE" w:rsidP="00DF5608">
      <w:pPr>
        <w:pStyle w:val="MainText"/>
      </w:pPr>
      <w:r w:rsidRPr="00A804BE">
        <w:rPr>
          <w:b/>
          <w:bCs/>
        </w:rPr>
        <w:t>Shades Nodes:</w:t>
      </w:r>
      <w:r>
        <w:rPr>
          <w:b/>
          <w:bCs/>
        </w:rPr>
        <w:t xml:space="preserve"> </w:t>
      </w:r>
      <w:r>
        <w:t xml:space="preserve">These nodes represent the surrounding context of the building, specifically the faces of </w:t>
      </w:r>
      <w:proofErr w:type="spellStart"/>
      <w:r>
        <w:t>neighboring</w:t>
      </w:r>
      <w:proofErr w:type="spellEnd"/>
      <w:r>
        <w:t xml:space="preserve"> structures. They are assigned the same geometric parameters as the geometry nodes (area, normal vector, centroid, aspect ratio) but do not include material properties due to their lower relevance in energy simulations.</w:t>
      </w:r>
    </w:p>
    <w:p w14:paraId="4C3FAE84" w14:textId="4955D429" w:rsidR="00A804BE" w:rsidRDefault="00A804BE" w:rsidP="00A804BE">
      <w:pPr>
        <w:pStyle w:val="MainText"/>
      </w:pPr>
      <w:r w:rsidRPr="00A804BE">
        <w:rPr>
          <w:b/>
          <w:bCs/>
        </w:rPr>
        <w:t>Inheritance Edges:</w:t>
      </w:r>
      <w:r>
        <w:t xml:space="preserve"> These directional edges represent the hierarchical links, for example</w:t>
      </w:r>
      <w:r w:rsidR="001029E1">
        <w:t>,</w:t>
      </w:r>
      <w:r>
        <w:t xml:space="preserve"> a wall belonging to a room or a window being part of a wall</w:t>
      </w:r>
    </w:p>
    <w:p w14:paraId="4216CF40" w14:textId="41D0D799" w:rsidR="00A804BE" w:rsidRDefault="00A804BE" w:rsidP="00A804BE">
      <w:pPr>
        <w:pStyle w:val="MainText"/>
        <w:ind w:firstLine="0"/>
      </w:pPr>
      <w:r>
        <w:t xml:space="preserve">Those relationships </w:t>
      </w:r>
      <w:r w:rsidR="00D06345">
        <w:t>are</w:t>
      </w:r>
      <w:r>
        <w:t xml:space="preserve"> directly extracted from the energy model’s hierarchical structure.</w:t>
      </w:r>
    </w:p>
    <w:p w14:paraId="0019A72A" w14:textId="44EA2F3D" w:rsidR="00A804BE" w:rsidRPr="00A804BE" w:rsidRDefault="00707B87" w:rsidP="00A804BE">
      <w:pPr>
        <w:pStyle w:val="MainText"/>
        <w:rPr>
          <w:b/>
          <w:bCs/>
        </w:rPr>
      </w:pPr>
      <w:r w:rsidRPr="00C62C38">
        <w:rPr>
          <w:b/>
          <w:noProof/>
        </w:rPr>
        <w:drawing>
          <wp:anchor distT="0" distB="0" distL="114300" distR="114300" simplePos="0" relativeHeight="251658244" behindDoc="0" locked="0" layoutInCell="1" allowOverlap="1" wp14:anchorId="7EBDA5E7" wp14:editId="595558E5">
            <wp:simplePos x="0" y="0"/>
            <wp:positionH relativeFrom="column">
              <wp:posOffset>45711</wp:posOffset>
            </wp:positionH>
            <wp:positionV relativeFrom="paragraph">
              <wp:posOffset>450850</wp:posOffset>
            </wp:positionV>
            <wp:extent cx="6052820" cy="2415540"/>
            <wp:effectExtent l="0" t="0" r="5080" b="3810"/>
            <wp:wrapTopAndBottom/>
            <wp:docPr id="1937158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58183"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2820" cy="24155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5" behindDoc="0" locked="0" layoutInCell="1" allowOverlap="1" wp14:anchorId="01ED64EE" wp14:editId="44FF2D85">
                <wp:simplePos x="0" y="0"/>
                <wp:positionH relativeFrom="column">
                  <wp:posOffset>96189</wp:posOffset>
                </wp:positionH>
                <wp:positionV relativeFrom="paragraph">
                  <wp:posOffset>2900653</wp:posOffset>
                </wp:positionV>
                <wp:extent cx="5619115" cy="635"/>
                <wp:effectExtent l="0" t="0" r="0" b="0"/>
                <wp:wrapTopAndBottom/>
                <wp:docPr id="1961698668" name="Text Box 1"/>
                <wp:cNvGraphicFramePr/>
                <a:graphic xmlns:a="http://schemas.openxmlformats.org/drawingml/2006/main">
                  <a:graphicData uri="http://schemas.microsoft.com/office/word/2010/wordprocessingShape">
                    <wps:wsp>
                      <wps:cNvSpPr txBox="1"/>
                      <wps:spPr>
                        <a:xfrm>
                          <a:off x="0" y="0"/>
                          <a:ext cx="5619115" cy="635"/>
                        </a:xfrm>
                        <a:prstGeom prst="rect">
                          <a:avLst/>
                        </a:prstGeom>
                        <a:solidFill>
                          <a:prstClr val="white"/>
                        </a:solidFill>
                        <a:ln>
                          <a:noFill/>
                        </a:ln>
                      </wps:spPr>
                      <wps:txbx>
                        <w:txbxContent>
                          <w:p w14:paraId="3AC1A80D" w14:textId="761E3CB7" w:rsidR="00707B87" w:rsidRPr="004266C9" w:rsidRDefault="00707B87" w:rsidP="00707B87">
                            <w:pPr>
                              <w:pStyle w:val="Captionfigtable"/>
                              <w:rPr>
                                <w:b/>
                                <w:noProof/>
                                <w:sz w:val="20"/>
                              </w:rPr>
                            </w:pPr>
                            <w:r>
                              <w:t xml:space="preserve">Figure </w:t>
                            </w:r>
                            <w:fldSimple w:instr=" SEQ Figure \* ARABIC ">
                              <w:r w:rsidR="00DB700F">
                                <w:rPr>
                                  <w:noProof/>
                                </w:rPr>
                                <w:t>2</w:t>
                              </w:r>
                            </w:fldSimple>
                            <w:r>
                              <w:t xml:space="preserve"> Building Energy Graph Structure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ED64EE" id="_x0000_s1027" type="#_x0000_t202" style="position:absolute;left:0;text-align:left;margin-left:7.55pt;margin-top:228.4pt;width:442.45pt;height:.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" stroked="f">
                <v:textbox style="mso-fit-shape-to-text:t" inset="0,0,0,0">
                  <w:txbxContent>
                    <w:p w14:paraId="3AC1A80D" w14:textId="761E3CB7" w:rsidR="00707B87" w:rsidRPr="004266C9" w:rsidRDefault="00707B87" w:rsidP="00707B87">
                      <w:pPr>
                        <w:pStyle w:val="Captionfigtable"/>
                        <w:rPr>
                          <w:b/>
                          <w:noProof/>
                          <w:sz w:val="20"/>
                        </w:rPr>
                      </w:pPr>
                      <w:r>
                        <w:t xml:space="preserve">Figure </w:t>
                      </w:r>
                      <w:fldSimple w:instr=" SEQ Figure \* ARABIC ">
                        <w:r w:rsidR="00DB700F">
                          <w:rPr>
                            <w:noProof/>
                          </w:rPr>
                          <w:t>2</w:t>
                        </w:r>
                      </w:fldSimple>
                      <w:r>
                        <w:t xml:space="preserve"> Building Energy Graph Structure</w:t>
                      </w:r>
                    </w:p>
                  </w:txbxContent>
                </v:textbox>
                <w10:wrap type="topAndBottom"/>
              </v:shape>
            </w:pict>
          </mc:Fallback>
        </mc:AlternateContent>
      </w:r>
      <w:r w:rsidR="00A804BE" w:rsidRPr="00A804BE">
        <w:rPr>
          <w:b/>
          <w:bCs/>
        </w:rPr>
        <w:t>Adjacency Edges:</w:t>
      </w:r>
      <w:r w:rsidR="00A804BE">
        <w:t xml:space="preserve"> These connect nodes that are physically adjacent, wh</w:t>
      </w:r>
      <w:r w:rsidR="00AB17E3">
        <w:t>ich</w:t>
      </w:r>
      <w:r w:rsidR="00A804BE">
        <w:t xml:space="preserve"> is determined by comparing coordinate points. Those edges are </w:t>
      </w:r>
      <w:proofErr w:type="spellStart"/>
      <w:r w:rsidR="00A804BE">
        <w:t>uni</w:t>
      </w:r>
      <w:proofErr w:type="spellEnd"/>
      <w:r w:rsidR="00A804BE">
        <w:t>-</w:t>
      </w:r>
      <w:r w:rsidR="00A804BE">
        <w:t>directional, as a wall adjacent to the floor is the same as a floor adjacent to the wall.</w:t>
      </w:r>
    </w:p>
    <w:p w14:paraId="66191E78" w14:textId="3A7898D7" w:rsidR="00D42312" w:rsidRDefault="00A804BE" w:rsidP="00531D7E">
      <w:pPr>
        <w:pStyle w:val="MainText"/>
      </w:pPr>
      <w:r w:rsidRPr="00A804BE">
        <w:rPr>
          <w:b/>
          <w:bCs/>
        </w:rPr>
        <w:t>Shading Influence Edges:</w:t>
      </w:r>
      <w:r>
        <w:t xml:space="preserve"> These capture interactions due to shading effects from nearby structures. </w:t>
      </w:r>
      <w:r w:rsidR="00820B84">
        <w:t>They contain only geometric information.</w:t>
      </w:r>
    </w:p>
    <w:p w14:paraId="1B8C6ADD" w14:textId="385B0F4B" w:rsidR="00531D7E" w:rsidRPr="00531D7E" w:rsidRDefault="00531D7E" w:rsidP="00531D7E">
      <w:pPr>
        <w:pStyle w:val="MainText"/>
        <w:rPr>
          <w:rFonts w:eastAsia="DengXian"/>
          <w:lang w:eastAsia="zh-CN"/>
        </w:rPr>
      </w:pPr>
      <w:r w:rsidRPr="00A804BE">
        <w:t>After processing, the final graph includes only the relevant nodes and edges</w:t>
      </w:r>
      <w:r>
        <w:t xml:space="preserve"> (see </w:t>
      </w:r>
      <w:r>
        <w:fldChar w:fldCharType="begin"/>
      </w:r>
      <w:r>
        <w:instrText xml:space="preserve"> REF _Ref194257348 \h </w:instrText>
      </w:r>
      <w:r>
        <w:fldChar w:fldCharType="separate"/>
      </w:r>
      <w:r>
        <w:t>Figure 2</w:t>
      </w:r>
      <w:r>
        <w:fldChar w:fldCharType="end"/>
      </w:r>
      <w:r>
        <w:t>)</w:t>
      </w:r>
      <w:r w:rsidRPr="00A804BE">
        <w:t xml:space="preserve">. All </w:t>
      </w:r>
      <w:r>
        <w:t>values</w:t>
      </w:r>
      <w:r w:rsidRPr="00A804BE">
        <w:t xml:space="preserve"> are normalized, and </w:t>
      </w:r>
      <w:r>
        <w:t xml:space="preserve">the nodes are </w:t>
      </w:r>
      <w:r w:rsidRPr="00A804BE">
        <w:t xml:space="preserve">interconnected with edges that realistically reflect their structural and environmental relationships in </w:t>
      </w:r>
      <w:r w:rsidR="0055307E">
        <w:t>a</w:t>
      </w:r>
      <w:r>
        <w:t xml:space="preserve"> human-</w:t>
      </w:r>
      <w:r w:rsidR="00DB1C96">
        <w:t>understandable format.</w:t>
      </w:r>
    </w:p>
    <w:p w14:paraId="19411988" w14:textId="77777777" w:rsidR="00DB1C96" w:rsidRPr="00531D7E" w:rsidRDefault="00DB1C96" w:rsidP="00531D7E">
      <w:pPr>
        <w:pStyle w:val="MainText"/>
        <w:rPr>
          <w:rFonts w:eastAsia="DengXian"/>
          <w:lang w:eastAsia="zh-CN"/>
        </w:rPr>
      </w:pPr>
    </w:p>
    <w:p w14:paraId="21E12B13" w14:textId="2BD40F3F" w:rsidR="00D42312" w:rsidRDefault="00D42312" w:rsidP="00825DF8">
      <w:pPr>
        <w:pStyle w:val="Heading1"/>
      </w:pPr>
      <w:bookmarkStart w:id="1" w:name="_Ref194152331"/>
      <w:r>
        <w:t>3.3 Graph Neural Network Models</w:t>
      </w:r>
      <w:bookmarkEnd w:id="1"/>
    </w:p>
    <w:p w14:paraId="0BD51994" w14:textId="038130A4" w:rsidR="00B70D3D" w:rsidRDefault="0003368E" w:rsidP="009A18A4">
      <w:pPr>
        <w:pStyle w:val="PlainText"/>
        <w:ind w:firstLine="284"/>
        <w:rPr>
          <w:sz w:val="20"/>
        </w:rPr>
      </w:pPr>
      <w:r>
        <w:rPr>
          <w:sz w:val="20"/>
        </w:rPr>
        <w:t xml:space="preserve">All the GNNs </w:t>
      </w:r>
      <w:r w:rsidR="00DD15F1">
        <w:rPr>
          <w:sz w:val="20"/>
        </w:rPr>
        <w:t xml:space="preserve">follow the general message-passing algorithm, including </w:t>
      </w:r>
      <w:proofErr w:type="spellStart"/>
      <w:r w:rsidR="00DD15F1">
        <w:rPr>
          <w:sz w:val="20"/>
        </w:rPr>
        <w:t>neighbor</w:t>
      </w:r>
      <w:proofErr w:type="spellEnd"/>
      <w:r w:rsidR="00DD15F1">
        <w:rPr>
          <w:sz w:val="20"/>
        </w:rPr>
        <w:t xml:space="preserve"> aggregation, transformation of the aggregated features, updating with an activation function and propagation through stacking. The key difference is in how </w:t>
      </w:r>
      <w:r w:rsidR="000C71FF">
        <w:rPr>
          <w:sz w:val="20"/>
        </w:rPr>
        <w:t>they are</w:t>
      </w:r>
      <w:r w:rsidR="00DD15F1">
        <w:rPr>
          <w:sz w:val="20"/>
        </w:rPr>
        <w:t xml:space="preserve"> performing the mentioned tasks.</w:t>
      </w:r>
    </w:p>
    <w:p w14:paraId="4A5AEABD" w14:textId="27A3D206" w:rsidR="005F0768" w:rsidRDefault="00A7502F" w:rsidP="00E37094">
      <w:pPr>
        <w:pStyle w:val="PlainText"/>
        <w:ind w:firstLine="284"/>
        <w:rPr>
          <w:sz w:val="20"/>
        </w:rPr>
      </w:pPr>
      <w:r w:rsidRPr="002A211F">
        <w:rPr>
          <w:sz w:val="20"/>
        </w:rPr>
        <w:t xml:space="preserve">The first tested architecture </w:t>
      </w:r>
      <w:r w:rsidR="004C1E1B" w:rsidRPr="002A211F">
        <w:rPr>
          <w:sz w:val="20"/>
        </w:rPr>
        <w:t xml:space="preserve">is a </w:t>
      </w:r>
      <w:r w:rsidRPr="00092497">
        <w:rPr>
          <w:b/>
          <w:bCs/>
          <w:sz w:val="20"/>
        </w:rPr>
        <w:t>Graph Convolutional Network (GCN).</w:t>
      </w:r>
      <w:r w:rsidR="00F464FE" w:rsidRPr="00092497">
        <w:rPr>
          <w:b/>
          <w:bCs/>
          <w:sz w:val="20"/>
        </w:rPr>
        <w:t xml:space="preserve"> </w:t>
      </w:r>
      <w:r w:rsidR="00F464FE">
        <w:rPr>
          <w:sz w:val="20"/>
        </w:rPr>
        <w:t xml:space="preserve">GCNs </w:t>
      </w:r>
      <w:r w:rsidR="00CC32DA">
        <w:rPr>
          <w:sz w:val="20"/>
        </w:rPr>
        <w:t xml:space="preserve">aggregate features from a node’s </w:t>
      </w:r>
      <w:proofErr w:type="spellStart"/>
      <w:r w:rsidR="00CC32DA">
        <w:rPr>
          <w:sz w:val="20"/>
        </w:rPr>
        <w:t>neighbors</w:t>
      </w:r>
      <w:proofErr w:type="spellEnd"/>
      <w:r w:rsidR="00CC32DA">
        <w:rPr>
          <w:sz w:val="20"/>
        </w:rPr>
        <w:t xml:space="preserve">, including the node itself, and perform a spectral convolution </w:t>
      </w:r>
      <w:r w:rsidR="00CC32DA">
        <w:rPr>
          <w:sz w:val="20"/>
        </w:rPr>
        <w:fldChar w:fldCharType="begin"/>
      </w:r>
      <w:r w:rsidR="0016199B">
        <w:rPr>
          <w:sz w:val="20"/>
        </w:rPr>
        <w:instrText xml:space="preserve"> ADDIN ZOTERO_ITEM CSL_CITATION {"citationID":"XI2yaBoT","properties":{"formattedCitation":"(Kipf and Welling, 2017)","plainCitation":"(Kipf and Welling, 2017)","noteIndex":0},"citationItems":[{"id":3231,"uris":["http://zotero.org/groups/5482058/items/6HI9238I"],"itemData":{"id":3231,"type":"article","abstract":"We present a scalable approach for semi-supervised learning on graph-structured data that is based on an efﬁcient variant of convolutional neural networks which operate directly on graphs. We motivate the choice of our convolutional architecture via a localized ﬁrst-order approximation of spectral graph convolutions. Our model scales linearly in the number of graph edges and learns hidden layer representations that encode both local graph structure and features of nodes. In a number of experiments on citation networks and on a knowledge graph dataset we demonstrate that our approach outperforms related methods by a signiﬁcant margin.","DOI":"10.48550/arXiv.1609.02907","language":"en","note":"arXiv:1609.02907 [cs]","number":"arXiv:1609.02907","publisher":"arXiv","source":"arXiv.org","title":"Semi-Supervised Classification with Graph Convolutional Networks","URL":"http://arxiv.org/abs/1609.02907","author":[{"family":"Kipf","given":"Thomas N."},{"family":"Welling","given":"Max"}],"accessed":{"date-parts":[["2025",3,21]]},"issued":{"date-parts":[["2017",2,22]]},"citation-key":"kipfSemiSupervisedClassificationGraph2017"}}],"schema":"https://github.com/citation-style-language/schema/raw/master/csl-citation.json"} </w:instrText>
      </w:r>
      <w:r w:rsidR="00CC32DA">
        <w:rPr>
          <w:sz w:val="20"/>
        </w:rPr>
        <w:fldChar w:fldCharType="separate"/>
      </w:r>
      <w:r w:rsidR="00CC32DA" w:rsidRPr="008C4C14">
        <w:rPr>
          <w:sz w:val="20"/>
        </w:rPr>
        <w:t>(Kipf and Welling, 2017)</w:t>
      </w:r>
      <w:r w:rsidR="00CC32DA">
        <w:rPr>
          <w:sz w:val="20"/>
        </w:rPr>
        <w:fldChar w:fldCharType="end"/>
      </w:r>
      <w:r w:rsidR="00CC32DA">
        <w:rPr>
          <w:sz w:val="20"/>
        </w:rPr>
        <w:t>.</w:t>
      </w:r>
      <w:r w:rsidR="00C26D65">
        <w:rPr>
          <w:sz w:val="20"/>
        </w:rPr>
        <w:t xml:space="preserve"> As the aggregation is uniform, all the node </w:t>
      </w:r>
      <w:proofErr w:type="spellStart"/>
      <w:r w:rsidR="00E5189C">
        <w:rPr>
          <w:sz w:val="20"/>
        </w:rPr>
        <w:t>neighbors</w:t>
      </w:r>
      <w:proofErr w:type="spellEnd"/>
      <w:r w:rsidR="00C26D65">
        <w:rPr>
          <w:sz w:val="20"/>
        </w:rPr>
        <w:t xml:space="preserve"> have the same importance in the final prediction.</w:t>
      </w:r>
    </w:p>
    <w:p w14:paraId="3246C507" w14:textId="5C0F0677" w:rsidR="00EA4680" w:rsidRPr="00A971C4" w:rsidRDefault="00AE08E0" w:rsidP="00092497">
      <w:pPr>
        <w:pStyle w:val="PlainText"/>
        <w:ind w:firstLine="284"/>
        <w:rPr>
          <w:b/>
          <w:bCs/>
          <w:sz w:val="20"/>
        </w:rPr>
      </w:pPr>
      <w:proofErr w:type="spellStart"/>
      <w:r w:rsidRPr="00092497">
        <w:rPr>
          <w:b/>
          <w:bCs/>
          <w:sz w:val="20"/>
        </w:rPr>
        <w:t>GraphSAGE</w:t>
      </w:r>
      <w:proofErr w:type="spellEnd"/>
      <w:r>
        <w:rPr>
          <w:sz w:val="20"/>
        </w:rPr>
        <w:t xml:space="preserve"> model, instead of aggregating all the neighbours,</w:t>
      </w:r>
      <w:r w:rsidR="000F73C4">
        <w:rPr>
          <w:sz w:val="20"/>
        </w:rPr>
        <w:t xml:space="preserve"> samples </w:t>
      </w:r>
      <w:proofErr w:type="spellStart"/>
      <w:r w:rsidR="00816CCF">
        <w:rPr>
          <w:sz w:val="20"/>
        </w:rPr>
        <w:t>neighbor</w:t>
      </w:r>
      <w:proofErr w:type="spellEnd"/>
      <w:r w:rsidR="00816CCF">
        <w:rPr>
          <w:sz w:val="20"/>
        </w:rPr>
        <w:t xml:space="preserve"> features </w:t>
      </w:r>
      <w:r w:rsidR="00F200B4">
        <w:rPr>
          <w:sz w:val="20"/>
        </w:rPr>
        <w:t>using</w:t>
      </w:r>
      <w:r w:rsidR="00816CCF">
        <w:rPr>
          <w:sz w:val="20"/>
        </w:rPr>
        <w:t xml:space="preserve"> permutation-invariant functions, for example mean-pooling</w:t>
      </w:r>
      <w:r w:rsidR="00F200B4">
        <w:rPr>
          <w:sz w:val="20"/>
        </w:rPr>
        <w:t xml:space="preserve">. </w:t>
      </w:r>
      <w:r w:rsidR="0044219F">
        <w:rPr>
          <w:sz w:val="20"/>
        </w:rPr>
        <w:t>Therefore, it can be applied on large graphs and can better generalize to unseen data</w:t>
      </w:r>
      <w:r w:rsidR="00816CCF">
        <w:rPr>
          <w:sz w:val="20"/>
        </w:rPr>
        <w:t xml:space="preserve"> </w:t>
      </w:r>
      <w:r w:rsidR="00816CCF">
        <w:rPr>
          <w:sz w:val="20"/>
        </w:rPr>
        <w:fldChar w:fldCharType="begin"/>
      </w:r>
      <w:r w:rsidR="0016199B">
        <w:rPr>
          <w:sz w:val="20"/>
        </w:rPr>
        <w:instrText xml:space="preserve"> ADDIN ZOTERO_ITEM CSL_CITATION {"citationID":"lgI9hKiE","properties":{"formattedCitation":"(Hamilton, Ying and Leskovec, 2018)","plainCitation":"(Hamilton, Ying and Leskovec, 2018)","noteIndex":0},"citationItems":[{"id":3233,"uris":["http://zotero.org/groups/5482058/items/EVBPCU9Z"],"itemData":{"id":3233,"type":"article","abstract":"Low-dimensional embeddings of nodes in large graphs have proved extremely useful in a variety of prediction tasks, from content recommendation to identifying protein functions. However, most existing approaches require that all nodes in the graph are present during training of the embeddings; these previous approaches are inherently transductive and do not naturally generalize to unseen nodes. Here we present GraphSAGE, a general inductive framework that leverages node feature information (e.g., text attributes) to efﬁciently generate node embeddings for previously unseen data. Instead of training individual embeddings for each node, we learn a function that generates embeddings by sampling and aggregating features from a node’s local neighborhood. Our algorithm outperforms strong baselines on three inductive node-classiﬁcation benchmarks: we classify the category of unseen nodes in evolving information graphs based on citation and Reddit post data, and we show that our algorithm generalizes to completely unseen graphs using a multi-graph dataset of protein-protein interactions.","DOI":"10.48550/arXiv.1706.02216","language":"en","note":"arXiv:1706.02216 [cs]","number":"arXiv:1706.02216","publisher":"arXiv","source":"arXiv.org","title":"Inductive Representation Learning on Large Graphs","URL":"http://arxiv.org/abs/1706.02216","author":[{"family":"Hamilton","given":"William L."},{"family":"Ying","given":"Rex"},{"family":"Leskovec","given":"Jure"}],"accessed":{"date-parts":[["2025",3,21]]},"issued":{"date-parts":[["2018",9,10]]},"citation-key":"hamiltonInductiveRepresentationLearning2018"}}],"schema":"https://github.com/citation-style-language/schema/raw/master/csl-citation.json"} </w:instrText>
      </w:r>
      <w:r w:rsidR="00816CCF">
        <w:rPr>
          <w:sz w:val="20"/>
        </w:rPr>
        <w:fldChar w:fldCharType="separate"/>
      </w:r>
      <w:r w:rsidR="00816CCF" w:rsidRPr="008C4C14">
        <w:rPr>
          <w:sz w:val="20"/>
        </w:rPr>
        <w:t>(Hamilton, Ying and Leskovec, 2018)</w:t>
      </w:r>
      <w:r w:rsidR="00816CCF">
        <w:rPr>
          <w:sz w:val="20"/>
        </w:rPr>
        <w:fldChar w:fldCharType="end"/>
      </w:r>
      <w:r w:rsidR="00816CCF">
        <w:rPr>
          <w:sz w:val="20"/>
        </w:rPr>
        <w:t>.</w:t>
      </w:r>
      <w:r w:rsidR="00884BDD">
        <w:rPr>
          <w:sz w:val="20"/>
        </w:rPr>
        <w:t xml:space="preserve"> </w:t>
      </w:r>
    </w:p>
    <w:p w14:paraId="60016A58" w14:textId="1332EAB4" w:rsidR="0003368E" w:rsidRPr="009A7E33" w:rsidRDefault="0070163C" w:rsidP="00EA4680">
      <w:pPr>
        <w:pStyle w:val="PlainText"/>
        <w:ind w:firstLine="284"/>
        <w:rPr>
          <w:strike/>
          <w:sz w:val="20"/>
        </w:rPr>
      </w:pPr>
      <w:r w:rsidRPr="00092497">
        <w:rPr>
          <w:b/>
          <w:bCs/>
          <w:sz w:val="20"/>
        </w:rPr>
        <w:t>Graph Attention Network (GAT)</w:t>
      </w:r>
      <w:r w:rsidRPr="00AF5C4F">
        <w:rPr>
          <w:sz w:val="20"/>
        </w:rPr>
        <w:t xml:space="preserve"> models, instead of simple aggregation of </w:t>
      </w:r>
      <w:proofErr w:type="spellStart"/>
      <w:r w:rsidRPr="00AF5C4F">
        <w:rPr>
          <w:sz w:val="20"/>
        </w:rPr>
        <w:t>neighbor</w:t>
      </w:r>
      <w:proofErr w:type="spellEnd"/>
      <w:r w:rsidRPr="00AF5C4F">
        <w:rPr>
          <w:sz w:val="20"/>
        </w:rPr>
        <w:t xml:space="preserve"> node features, </w:t>
      </w:r>
      <w:r w:rsidR="00A23195" w:rsidRPr="00AF5C4F">
        <w:rPr>
          <w:sz w:val="20"/>
        </w:rPr>
        <w:t>they learn the attention weights allowing the model to work on the most important relationships</w:t>
      </w:r>
      <w:r w:rsidR="008B5A27" w:rsidRPr="00AF5C4F">
        <w:rPr>
          <w:sz w:val="20"/>
        </w:rPr>
        <w:t xml:space="preserve"> </w:t>
      </w:r>
      <w:r w:rsidR="008B5A27" w:rsidRPr="00AF5C4F">
        <w:rPr>
          <w:sz w:val="20"/>
        </w:rPr>
        <w:fldChar w:fldCharType="begin"/>
      </w:r>
      <w:r w:rsidR="0016199B">
        <w:rPr>
          <w:sz w:val="20"/>
        </w:rPr>
        <w:instrText xml:space="preserve"> ADDIN ZOTERO_ITEM CSL_CITATION {"citationID":"kFsT935K","properties":{"formattedCitation":"(Veli\\uc0\\u269{}kovi\\uc0\\u263{} {\\i{}et al.}, 2018)","plainCitation":"(Veličković et al., 2018)","noteIndex":0},"citationItems":[{"id":3235,"uris":["http://zotero.org/groups/5482058/items/GXJ6HXMA"],"itemData":{"id":3235,"type":"article","abstract":"We present graph attention networks (GATs), novel neural network architectures that operate on graph-structured data, leveraging masked self-attentional layers to address the shortcomings of prior methods based on graph convolutions or their approximations. By stacking layers in which nodes are able to attend over their neighborhoods’ features, we enable (implicitly) specifying different weights to different nodes in a neighborhood, without requiring any kind of costly matrix operation (such as inversion) or depending on knowing the graph structure upfront. In this way, we address several key challenges of spectral-based graph neural networks simultaneously, and make our model readily applicable to inductive as well as transductive problems. Our GAT models have achieved or matched state-of-theart results across four established transductive and inductive graph benchmarks: the Cora, Citeseer and Pubmed citation network datasets, as well as a proteinprotein interaction dataset (wherein test graphs remain unseen during training).","DOI":"10.48550/arXiv.1710.10903","language":"en","note":"arXiv:1710.10903 [stat]","number":"arXiv:1710.10903","publisher":"arXiv","source":"arXiv.org","title":"Graph Attention Networks","URL":"http://arxiv.org/abs/1710.10903","author":[{"family":"Veličković","given":"Petar"},{"family":"Cucurull","given":"Guillem"},{"family":"Casanova","given":"Arantxa"},{"family":"Romero","given":"Adriana"},{"family":"Liò","given":"Pietro"},{"family":"Bengio","given":"Yoshua"}],"accessed":{"date-parts":[["2025",3,21]]},"issued":{"date-parts":[["2018",2,4]]},"citation-key":"velickovicGraphAttentionNetworks2018"}}],"schema":"https://github.com/citation-style-language/schema/raw/master/csl-citation.json"} </w:instrText>
      </w:r>
      <w:r w:rsidR="008B5A27" w:rsidRPr="00AF5C4F">
        <w:rPr>
          <w:sz w:val="20"/>
        </w:rPr>
        <w:fldChar w:fldCharType="separate"/>
      </w:r>
      <w:r w:rsidR="008B5A27" w:rsidRPr="004F1F7E">
        <w:rPr>
          <w:rFonts w:eastAsia="PMingLiU"/>
          <w:sz w:val="20"/>
          <w:lang w:eastAsia="en-GB"/>
        </w:rPr>
        <w:t xml:space="preserve">(Veličković </w:t>
      </w:r>
      <w:r w:rsidR="008B5A27" w:rsidRPr="004F1F7E">
        <w:rPr>
          <w:rFonts w:eastAsia="PMingLiU"/>
          <w:i/>
          <w:sz w:val="20"/>
          <w:lang w:eastAsia="en-GB"/>
        </w:rPr>
        <w:t>et al.</w:t>
      </w:r>
      <w:r w:rsidR="008B5A27" w:rsidRPr="004F1F7E">
        <w:rPr>
          <w:rFonts w:eastAsia="PMingLiU"/>
          <w:sz w:val="20"/>
          <w:lang w:eastAsia="en-GB"/>
        </w:rPr>
        <w:t>, 2018)</w:t>
      </w:r>
      <w:r w:rsidR="008B5A27" w:rsidRPr="00AF5C4F">
        <w:rPr>
          <w:sz w:val="20"/>
        </w:rPr>
        <w:fldChar w:fldCharType="end"/>
      </w:r>
      <w:r w:rsidR="00A23195" w:rsidRPr="00AF5C4F">
        <w:rPr>
          <w:sz w:val="20"/>
        </w:rPr>
        <w:t>. It uses</w:t>
      </w:r>
      <w:r w:rsidR="00A23195" w:rsidRPr="004F1F7E">
        <w:rPr>
          <w:sz w:val="20"/>
        </w:rPr>
        <w:t xml:space="preserve"> </w:t>
      </w:r>
      <w:r w:rsidR="00E5189C">
        <w:rPr>
          <w:sz w:val="20"/>
        </w:rPr>
        <w:t>an</w:t>
      </w:r>
      <w:r w:rsidR="00A23195" w:rsidRPr="00AF5C4F">
        <w:rPr>
          <w:sz w:val="20"/>
        </w:rPr>
        <w:t xml:space="preserve"> attention mechanism on each edge, calculating</w:t>
      </w:r>
      <w:r w:rsidR="00962B96" w:rsidRPr="00AF5C4F">
        <w:rPr>
          <w:sz w:val="20"/>
        </w:rPr>
        <w:t xml:space="preserve"> attention coefficients between nodes and edges</w:t>
      </w:r>
      <w:r w:rsidR="00092497">
        <w:rPr>
          <w:strike/>
          <w:sz w:val="20"/>
        </w:rPr>
        <w:t>.</w:t>
      </w:r>
    </w:p>
    <w:p w14:paraId="6A28C0A0" w14:textId="3919F0F8" w:rsidR="00F41BF7" w:rsidRDefault="00F41BF7">
      <w:pPr>
        <w:jc w:val="left"/>
        <w:rPr>
          <w:rFonts w:cs="Arial"/>
          <w:kern w:val="32"/>
          <w:sz w:val="20"/>
          <w:szCs w:val="32"/>
        </w:rPr>
      </w:pPr>
    </w:p>
    <w:p w14:paraId="76E04303" w14:textId="48D49F00" w:rsidR="00D42312" w:rsidRDefault="007623C3" w:rsidP="00825DF8">
      <w:pPr>
        <w:pStyle w:val="Heading1"/>
      </w:pPr>
      <w:r w:rsidRPr="00C62C38">
        <w:rPr>
          <w:noProof/>
        </w:rPr>
        <w:lastRenderedPageBreak/>
        <mc:AlternateContent>
          <mc:Choice Requires="wps">
            <w:drawing>
              <wp:anchor distT="0" distB="0" distL="114300" distR="114300" simplePos="0" relativeHeight="251658242" behindDoc="0" locked="0" layoutInCell="1" allowOverlap="1" wp14:anchorId="38CFBCFA" wp14:editId="7A7D40EA">
                <wp:simplePos x="0" y="0"/>
                <wp:positionH relativeFrom="column">
                  <wp:posOffset>3175</wp:posOffset>
                </wp:positionH>
                <wp:positionV relativeFrom="paragraph">
                  <wp:posOffset>2701867</wp:posOffset>
                </wp:positionV>
                <wp:extent cx="6134735" cy="635"/>
                <wp:effectExtent l="0" t="0" r="0" b="1905"/>
                <wp:wrapTopAndBottom/>
                <wp:docPr id="1949265780" name="Text Box 1"/>
                <wp:cNvGraphicFramePr/>
                <a:graphic xmlns:a="http://schemas.openxmlformats.org/drawingml/2006/main">
                  <a:graphicData uri="http://schemas.microsoft.com/office/word/2010/wordprocessingShape">
                    <wps:wsp>
                      <wps:cNvSpPr txBox="1"/>
                      <wps:spPr>
                        <a:xfrm>
                          <a:off x="0" y="0"/>
                          <a:ext cx="6134735" cy="635"/>
                        </a:xfrm>
                        <a:prstGeom prst="rect">
                          <a:avLst/>
                        </a:prstGeom>
                        <a:solidFill>
                          <a:prstClr val="white"/>
                        </a:solidFill>
                        <a:ln>
                          <a:noFill/>
                        </a:ln>
                      </wps:spPr>
                      <wps:txbx>
                        <w:txbxContent>
                          <w:p w14:paraId="4F79E4F5" w14:textId="6DB6CEEA" w:rsidR="00233354" w:rsidRDefault="00233354" w:rsidP="00AA245B">
                            <w:pPr>
                              <w:pStyle w:val="Captionfigtable"/>
                            </w:pPr>
                            <w:bookmarkStart w:id="2" w:name="_Ref194257438"/>
                            <w:r>
                              <w:t xml:space="preserve">Figure </w:t>
                            </w:r>
                            <w:fldSimple w:instr=" SEQ Figure \* ARABIC ">
                              <w:r w:rsidR="00DB700F">
                                <w:rPr>
                                  <w:noProof/>
                                </w:rPr>
                                <w:t>3</w:t>
                              </w:r>
                            </w:fldSimple>
                            <w:bookmarkEnd w:id="2"/>
                            <w:r>
                              <w:t xml:space="preserve"> Dataset creation for the GNN application</w:t>
                            </w:r>
                          </w:p>
                          <w:p w14:paraId="220977AF" w14:textId="77777777" w:rsidR="00835E5C" w:rsidRPr="00964B99" w:rsidRDefault="00835E5C" w:rsidP="00AA245B">
                            <w:pPr>
                              <w:pStyle w:val="Captionfigtable"/>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CFBCFA" id="_x0000_s1028" type="#_x0000_t202" style="position:absolute;margin-left:.25pt;margin-top:212.75pt;width:483.05pt;height:.0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" stroked="f">
                <v:textbox style="mso-fit-shape-to-text:t" inset="0,0,0,0">
                  <w:txbxContent>
                    <w:p w14:paraId="4F79E4F5" w14:textId="6DB6CEEA" w:rsidR="00233354" w:rsidRDefault="00233354" w:rsidP="00AA245B">
                      <w:pPr>
                        <w:pStyle w:val="Captionfigtable"/>
                      </w:pPr>
                      <w:bookmarkStart w:id="3" w:name="_Ref194257438"/>
                      <w:r>
                        <w:t xml:space="preserve">Figure </w:t>
                      </w:r>
                      <w:fldSimple w:instr=" SEQ Figure \* ARABIC ">
                        <w:r w:rsidR="00DB700F">
                          <w:rPr>
                            <w:noProof/>
                          </w:rPr>
                          <w:t>3</w:t>
                        </w:r>
                      </w:fldSimple>
                      <w:bookmarkEnd w:id="3"/>
                      <w:r>
                        <w:t xml:space="preserve"> Dataset creation for the GNN application</w:t>
                      </w:r>
                    </w:p>
                    <w:p w14:paraId="220977AF" w14:textId="77777777" w:rsidR="00835E5C" w:rsidRPr="00964B99" w:rsidRDefault="00835E5C" w:rsidP="00AA245B">
                      <w:pPr>
                        <w:pStyle w:val="Captionfigtable"/>
                        <w:rPr>
                          <w:sz w:val="20"/>
                        </w:rPr>
                      </w:pPr>
                    </w:p>
                  </w:txbxContent>
                </v:textbox>
                <w10:wrap type="topAndBottom"/>
              </v:shape>
            </w:pict>
          </mc:Fallback>
        </mc:AlternateContent>
      </w:r>
      <w:r w:rsidRPr="00B04212">
        <w:rPr>
          <w:b w:val="0"/>
          <w:bCs/>
          <w:noProof/>
        </w:rPr>
        <w:drawing>
          <wp:anchor distT="0" distB="0" distL="114300" distR="114300" simplePos="0" relativeHeight="251658240" behindDoc="0" locked="0" layoutInCell="1" allowOverlap="1" wp14:anchorId="71A6F802" wp14:editId="2C6456FB">
            <wp:simplePos x="0" y="0"/>
            <wp:positionH relativeFrom="margin">
              <wp:posOffset>-138372</wp:posOffset>
            </wp:positionH>
            <wp:positionV relativeFrom="paragraph">
              <wp:posOffset>0</wp:posOffset>
            </wp:positionV>
            <wp:extent cx="6367780" cy="2729230"/>
            <wp:effectExtent l="0" t="0" r="0" b="1270"/>
            <wp:wrapTopAndBottom/>
            <wp:docPr id="5142346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4651"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67780" cy="2729230"/>
                    </a:xfrm>
                    <a:prstGeom prst="rect">
                      <a:avLst/>
                    </a:prstGeom>
                  </pic:spPr>
                </pic:pic>
              </a:graphicData>
            </a:graphic>
            <wp14:sizeRelH relativeFrom="page">
              <wp14:pctWidth>0</wp14:pctWidth>
            </wp14:sizeRelH>
            <wp14:sizeRelV relativeFrom="page">
              <wp14:pctHeight>0</wp14:pctHeight>
            </wp14:sizeRelV>
          </wp:anchor>
        </w:drawing>
      </w:r>
      <w:r w:rsidR="00D42312">
        <w:t>4. EXPERIMENT</w:t>
      </w:r>
    </w:p>
    <w:p w14:paraId="3AC99A66" w14:textId="2DDAE83A" w:rsidR="00D42312" w:rsidRDefault="008C1BE9" w:rsidP="007672FD">
      <w:pPr>
        <w:pStyle w:val="MainText"/>
        <w:ind w:firstLine="0"/>
      </w:pPr>
      <w:r>
        <w:fldChar w:fldCharType="begin"/>
      </w:r>
      <w:r>
        <w:instrText xml:space="preserve"> REF _Ref194257438 \h </w:instrText>
      </w:r>
      <w:r>
        <w:fldChar w:fldCharType="separate"/>
      </w:r>
      <w:r>
        <w:t xml:space="preserve">Figure </w:t>
      </w:r>
      <w:r>
        <w:rPr>
          <w:noProof/>
        </w:rPr>
        <w:t>3</w:t>
      </w:r>
      <w:r>
        <w:fldChar w:fldCharType="end"/>
      </w:r>
      <w:r>
        <w:t xml:space="preserve"> </w:t>
      </w:r>
      <w:r w:rsidRPr="008C1BE9">
        <w:t>provides a concise summary of subsections 4.1 through 4.4.</w:t>
      </w:r>
    </w:p>
    <w:p w14:paraId="6CEC4E9B" w14:textId="77777777" w:rsidR="008C1BE9" w:rsidRDefault="008C1BE9" w:rsidP="007672FD">
      <w:pPr>
        <w:pStyle w:val="MainText"/>
        <w:ind w:firstLine="0"/>
      </w:pPr>
    </w:p>
    <w:p w14:paraId="0838724E" w14:textId="0159B856" w:rsidR="00D42312" w:rsidRDefault="00D42312" w:rsidP="00825DF8">
      <w:pPr>
        <w:pStyle w:val="Heading1"/>
      </w:pPr>
      <w:r>
        <w:t>4.1 Dataset Collection and Preparation</w:t>
      </w:r>
    </w:p>
    <w:p w14:paraId="31A24AD1" w14:textId="3268EC07" w:rsidR="00BC23A8" w:rsidRDefault="00564987" w:rsidP="004B26CB">
      <w:pPr>
        <w:pStyle w:val="MainText"/>
      </w:pPr>
      <w:r w:rsidRPr="00564987">
        <w:rPr>
          <w:rFonts w:eastAsia="DengXian"/>
          <w:lang w:eastAsia="zh-CN"/>
        </w:rPr>
        <w:t xml:space="preserve">We prepare a dataset capturing a broad range of climate zones and urban typologies by sampling cities with at least 300,000 inhabitants using OpenStreetMap (OSM). </w:t>
      </w:r>
      <w:proofErr w:type="gramStart"/>
      <w:r w:rsidRPr="00564987">
        <w:rPr>
          <w:rFonts w:eastAsia="DengXian"/>
          <w:lang w:eastAsia="zh-CN"/>
        </w:rPr>
        <w:t>In particular, we</w:t>
      </w:r>
      <w:proofErr w:type="gramEnd"/>
      <w:r w:rsidRPr="00564987">
        <w:rPr>
          <w:rFonts w:eastAsia="DengXian"/>
          <w:lang w:eastAsia="zh-CN"/>
        </w:rPr>
        <w:t xml:space="preserve"> randomly select 107 city centres from Europe and the Middle East </w:t>
      </w:r>
      <w:r w:rsidR="00B459AA">
        <w:t xml:space="preserve">(see </w:t>
      </w:r>
      <w:r w:rsidR="00B459AA">
        <w:fldChar w:fldCharType="begin"/>
      </w:r>
      <w:r w:rsidR="00B459AA">
        <w:instrText xml:space="preserve"> REF _Ref193285840 \h </w:instrText>
      </w:r>
      <w:r w:rsidR="00B459AA">
        <w:fldChar w:fldCharType="separate"/>
      </w:r>
      <w:r w:rsidR="00E31327">
        <w:t xml:space="preserve">Figure </w:t>
      </w:r>
      <w:r w:rsidR="00E31327">
        <w:rPr>
          <w:noProof/>
        </w:rPr>
        <w:t>4</w:t>
      </w:r>
      <w:r w:rsidR="00B459AA">
        <w:fldChar w:fldCharType="end"/>
      </w:r>
      <w:r w:rsidR="00B459AA">
        <w:t>)</w:t>
      </w:r>
      <w:r w:rsidR="009D13B2">
        <w:t>.</w:t>
      </w:r>
      <w:r w:rsidR="004B26CB" w:rsidRPr="004B26CB">
        <w:t xml:space="preserve"> </w:t>
      </w:r>
      <w:r w:rsidR="00BC23A8" w:rsidRPr="00BC23A8">
        <w:t>From each city, we sample 10 buildings along with their closest neighbours, accepting only samples with key metadata (e.g., building height, number of levels)</w:t>
      </w:r>
      <w:r w:rsidR="00527CCA">
        <w:t>.</w:t>
      </w:r>
      <w:r w:rsidR="00BC23A8" w:rsidRPr="00BC23A8">
        <w:t xml:space="preserve"> </w:t>
      </w:r>
      <w:r w:rsidR="0091022B">
        <w:t xml:space="preserve">This way each </w:t>
      </w:r>
      <w:r w:rsidR="0091022B" w:rsidRPr="0091022B">
        <w:t>sample includes a “main building” and its context, thereby capturing effects of adjacency, shading, and urban density.</w:t>
      </w:r>
    </w:p>
    <w:p w14:paraId="4C20879D" w14:textId="77777777" w:rsidR="00071E08" w:rsidRDefault="00071E08" w:rsidP="004B26CB">
      <w:pPr>
        <w:pStyle w:val="MainText"/>
      </w:pPr>
    </w:p>
    <w:p w14:paraId="1A89D137" w14:textId="2D29A4C1" w:rsidR="00AB2345" w:rsidRDefault="006E3BF4" w:rsidP="00BC23A8">
      <w:pPr>
        <w:pStyle w:val="MainText"/>
        <w:ind w:firstLine="0"/>
      </w:pPr>
      <w:r w:rsidRPr="00C62C38">
        <w:rPr>
          <w:noProof/>
        </w:rPr>
        <w:drawing>
          <wp:inline distT="0" distB="0" distL="0" distR="0" wp14:anchorId="05C7670A" wp14:editId="149DF9CB">
            <wp:extent cx="2889885" cy="1597023"/>
            <wp:effectExtent l="0" t="0" r="0" b="3810"/>
            <wp:docPr id="13649986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889888" cy="1597025"/>
                    </a:xfrm>
                    <a:prstGeom prst="rect">
                      <a:avLst/>
                    </a:prstGeom>
                    <a:noFill/>
                    <a:ln>
                      <a:noFill/>
                    </a:ln>
                    <a:extLst>
                      <a:ext uri="{53640926-AAD7-44D8-BBD7-CCE9431645EC}">
                        <a14:shadowObscured xmlns:a14="http://schemas.microsoft.com/office/drawing/2010/main"/>
                      </a:ext>
                    </a:extLst>
                  </pic:spPr>
                </pic:pic>
              </a:graphicData>
            </a:graphic>
          </wp:inline>
        </w:drawing>
      </w:r>
    </w:p>
    <w:p w14:paraId="342BF1A4" w14:textId="3299D644" w:rsidR="00AB2345" w:rsidRDefault="00AB2345" w:rsidP="009B371F">
      <w:pPr>
        <w:pStyle w:val="Captionfigtable"/>
      </w:pPr>
      <w:bookmarkStart w:id="4" w:name="_Ref193285840"/>
      <w:bookmarkStart w:id="5" w:name="_Ref193285833"/>
      <w:r>
        <w:t xml:space="preserve">Figure </w:t>
      </w:r>
      <w:r w:rsidRPr="00C761E0">
        <w:fldChar w:fldCharType="begin"/>
      </w:r>
      <w:r>
        <w:instrText xml:space="preserve"> SEQ Figure \* ARABIC </w:instrText>
      </w:r>
      <w:r w:rsidRPr="00C761E0">
        <w:fldChar w:fldCharType="separate"/>
      </w:r>
      <w:r w:rsidR="00DB700F">
        <w:rPr>
          <w:noProof/>
        </w:rPr>
        <w:t>4</w:t>
      </w:r>
      <w:r w:rsidRPr="00C761E0">
        <w:fldChar w:fldCharType="end"/>
      </w:r>
      <w:bookmarkEnd w:id="4"/>
      <w:r>
        <w:t xml:space="preserve"> Map of the locations included in the dataset</w:t>
      </w:r>
      <w:bookmarkEnd w:id="5"/>
    </w:p>
    <w:p w14:paraId="56C8AA1F" w14:textId="77777777" w:rsidR="009B371F" w:rsidRDefault="009B371F" w:rsidP="009B371F">
      <w:pPr>
        <w:pStyle w:val="Captionfigtable"/>
        <w:rPr>
          <w:sz w:val="20"/>
        </w:rPr>
      </w:pPr>
    </w:p>
    <w:p w14:paraId="3E9A87BB" w14:textId="4F7AC97F" w:rsidR="00793530" w:rsidRDefault="00793530" w:rsidP="00AB2345">
      <w:pPr>
        <w:pStyle w:val="PlainText"/>
        <w:ind w:firstLine="284"/>
        <w:rPr>
          <w:sz w:val="20"/>
        </w:rPr>
      </w:pPr>
      <w:r w:rsidRPr="00793530">
        <w:rPr>
          <w:sz w:val="20"/>
        </w:rPr>
        <w:t xml:space="preserve">The acquired data is structured in a hierarchical JSON format, listing buildings with their geometric attributes and available metadata. We then assign each building a climate zone. Due to the lack of publicly available ASHRAE climate zone maps for Europe, we classify the climate using </w:t>
      </w:r>
      <w:proofErr w:type="spellStart"/>
      <w:r w:rsidRPr="00793530">
        <w:rPr>
          <w:sz w:val="20"/>
        </w:rPr>
        <w:t>Köppen</w:t>
      </w:r>
      <w:proofErr w:type="spellEnd"/>
      <w:r w:rsidRPr="00793530">
        <w:rPr>
          <w:sz w:val="20"/>
        </w:rPr>
        <w:t xml:space="preserve">-Geiger categories </w:t>
      </w:r>
      <w:r>
        <w:rPr>
          <w:sz w:val="20"/>
        </w:rPr>
        <w:fldChar w:fldCharType="begin"/>
      </w:r>
      <w:r w:rsidR="0016199B">
        <w:rPr>
          <w:sz w:val="20"/>
        </w:rPr>
        <w:instrText xml:space="preserve"> ADDIN ZOTERO_ITEM CSL_CITATION {"citationID":"xcPA1Aa4","properties":{"formattedCitation":"(Kottek {\\i{}et al.}, 2006)","plainCitation":"(Kottek et al., 2006)","noteIndex":0},"citationItems":[{"id":3118,"uris":["http://zotero.org/groups/5482058/items/G7EMGZR9"],"itemData":{"id":3118,"type":"article-journal","abstract":"The most frequently used climate classiﬁcation map is that of Wladimir Köppen, presented in its latest version 1961 by Rudolf Geiger. A huge number of climate studies and subsequent publications adopted this or a former release of the Köppen-Geiger map. While the climate classiﬁcation concept has been widely applied to a broad range of topics in climate and climate change research as well as in physical geography, hydrology, agriculture, biology and educational aspects, a well-documented update of the world climate classiﬁcation map is still missing. Based on recent data sets from the Climatic Research Unit (CRU) of the University of East Anglia and the Global Precipitation Climatology Centre (GPCC) at the German Weather Service, we present here a new digital Köppen-Geiger world map on climate classiﬁcation, valid for the second half of the 20th century.","container-title":"Meteorologische Zeitschrift","DOI":"10.1127/0941-2948/2006/0130","ISSN":"0941-2948","issue":"3","journalAbbreviation":"metz","language":"en","page":"259-263","source":"DOI.org (Crossref)","title":"World Map of the Köppen-Geiger climate classification updated","volume":"15","author":[{"family":"Kottek","given":"Markus"},{"family":"Grieser","given":"Jürgen"},{"family":"Beck","given":"Christoph"},{"family":"Rudolf","given":"Bruno"},{"family":"Rubel","given":"Franz"}],"issued":{"date-parts":[["2006",7,10]]},"citation-key":"kottekWorldMapKoppenGeiger2006"}}],"schema":"https://github.com/citation-style-language/schema/raw/master/csl-citation.json"} </w:instrText>
      </w:r>
      <w:r>
        <w:rPr>
          <w:sz w:val="20"/>
        </w:rPr>
        <w:fldChar w:fldCharType="separate"/>
      </w:r>
      <w:r w:rsidRPr="000507DE">
        <w:rPr>
          <w:sz w:val="20"/>
        </w:rPr>
        <w:t>(</w:t>
      </w:r>
      <w:proofErr w:type="spellStart"/>
      <w:r w:rsidRPr="000507DE">
        <w:rPr>
          <w:sz w:val="20"/>
        </w:rPr>
        <w:t>Kottek</w:t>
      </w:r>
      <w:proofErr w:type="spellEnd"/>
      <w:r w:rsidRPr="000507DE">
        <w:rPr>
          <w:sz w:val="20"/>
        </w:rPr>
        <w:t xml:space="preserve"> et al., 2006)</w:t>
      </w:r>
      <w:r>
        <w:rPr>
          <w:sz w:val="20"/>
        </w:rPr>
        <w:fldChar w:fldCharType="end"/>
      </w:r>
      <w:r w:rsidRPr="00EB6947">
        <w:rPr>
          <w:sz w:val="20"/>
        </w:rPr>
        <w:t xml:space="preserve"> </w:t>
      </w:r>
      <w:r w:rsidRPr="00793530">
        <w:rPr>
          <w:sz w:val="20"/>
        </w:rPr>
        <w:t>and map these categories to the corresponding ASHRAE Climate Zones for simulation purposes.</w:t>
      </w:r>
    </w:p>
    <w:p w14:paraId="65C34B22" w14:textId="3A9778BB" w:rsidR="00B75D8A" w:rsidRPr="00D20813" w:rsidRDefault="00B75D8A" w:rsidP="00AB2345">
      <w:pPr>
        <w:pStyle w:val="PlainText"/>
        <w:ind w:firstLine="284"/>
        <w:rPr>
          <w:rFonts w:eastAsia="DengXian"/>
          <w:sz w:val="20"/>
          <w:lang w:eastAsia="zh-CN"/>
        </w:rPr>
      </w:pPr>
      <w:r w:rsidRPr="00B75D8A">
        <w:rPr>
          <w:sz w:val="20"/>
        </w:rPr>
        <w:t xml:space="preserve">Approximately 65% of the </w:t>
      </w:r>
      <w:r w:rsidR="0095773C">
        <w:rPr>
          <w:sz w:val="20"/>
        </w:rPr>
        <w:t>samples</w:t>
      </w:r>
      <w:r w:rsidRPr="00B75D8A">
        <w:rPr>
          <w:sz w:val="20"/>
        </w:rPr>
        <w:t xml:space="preserve"> include the building function, but only 3% provide material information and 4% indicate a construction date. To address this missing metadata, we employ a large language model (LLM)</w:t>
      </w:r>
      <w:r w:rsidR="00BE5EAB">
        <w:rPr>
          <w:sz w:val="20"/>
        </w:rPr>
        <w:t>, OpenAI</w:t>
      </w:r>
      <w:r w:rsidR="00C7021E">
        <w:rPr>
          <w:sz w:val="20"/>
        </w:rPr>
        <w:t>’s GPT-4o,</w:t>
      </w:r>
      <w:r w:rsidRPr="00B75D8A">
        <w:rPr>
          <w:sz w:val="20"/>
        </w:rPr>
        <w:t xml:space="preserve"> to infer absent values based on available details such as city, country, function, climate, height, and gross area.</w:t>
      </w:r>
      <w:r>
        <w:rPr>
          <w:rFonts w:eastAsia="DengXian"/>
          <w:sz w:val="20"/>
          <w:lang w:eastAsia="zh-CN"/>
        </w:rPr>
        <w:t xml:space="preserve"> </w:t>
      </w:r>
      <w:r w:rsidRPr="00B75D8A">
        <w:rPr>
          <w:sz w:val="20"/>
        </w:rPr>
        <w:t>We</w:t>
      </w:r>
      <w:r w:rsidR="00E42183">
        <w:rPr>
          <w:sz w:val="20"/>
        </w:rPr>
        <w:t xml:space="preserve"> manually</w:t>
      </w:r>
      <w:r w:rsidRPr="00B75D8A">
        <w:rPr>
          <w:sz w:val="20"/>
        </w:rPr>
        <w:t xml:space="preserve"> validate a selection of these </w:t>
      </w:r>
      <w:r w:rsidR="00433152">
        <w:rPr>
          <w:sz w:val="20"/>
        </w:rPr>
        <w:t>predict</w:t>
      </w:r>
      <w:r w:rsidR="0055307E">
        <w:rPr>
          <w:sz w:val="20"/>
        </w:rPr>
        <w:t>ed</w:t>
      </w:r>
      <w:r w:rsidRPr="00B75D8A">
        <w:rPr>
          <w:sz w:val="20"/>
        </w:rPr>
        <w:t xml:space="preserve"> values </w:t>
      </w:r>
      <w:r w:rsidR="00D20813">
        <w:rPr>
          <w:rFonts w:eastAsia="DengXian" w:hint="eastAsia"/>
          <w:sz w:val="20"/>
          <w:lang w:eastAsia="zh-CN"/>
        </w:rPr>
        <w:t>using</w:t>
      </w:r>
      <w:r w:rsidRPr="00B75D8A">
        <w:rPr>
          <w:sz w:val="20"/>
        </w:rPr>
        <w:t xml:space="preserve"> publicly available data </w:t>
      </w:r>
      <w:r w:rsidR="00D20813">
        <w:rPr>
          <w:rFonts w:eastAsia="DengXian" w:hint="eastAsia"/>
          <w:sz w:val="20"/>
          <w:lang w:eastAsia="zh-CN"/>
        </w:rPr>
        <w:t>such as</w:t>
      </w:r>
      <w:r w:rsidRPr="00B75D8A">
        <w:rPr>
          <w:sz w:val="20"/>
        </w:rPr>
        <w:t xml:space="preserve"> Google Street </w:t>
      </w:r>
      <w:r w:rsidR="00D20813">
        <w:rPr>
          <w:sz w:val="20"/>
        </w:rPr>
        <w:t>Maps</w:t>
      </w:r>
      <w:r w:rsidRPr="00B75D8A">
        <w:rPr>
          <w:sz w:val="20"/>
        </w:rPr>
        <w:t xml:space="preserve"> and photos</w:t>
      </w:r>
      <w:r w:rsidR="00D20813">
        <w:rPr>
          <w:rFonts w:eastAsia="DengXian" w:hint="eastAsia"/>
          <w:sz w:val="20"/>
          <w:lang w:eastAsia="zh-CN"/>
        </w:rPr>
        <w:t xml:space="preserve"> to ensure data accuracy. </w:t>
      </w:r>
    </w:p>
    <w:p w14:paraId="5C9F95C3" w14:textId="0E201747" w:rsidR="007D4C54" w:rsidRDefault="00623B51" w:rsidP="00AB2345">
      <w:pPr>
        <w:pStyle w:val="PlainText"/>
        <w:ind w:firstLine="284"/>
        <w:rPr>
          <w:sz w:val="20"/>
        </w:rPr>
      </w:pPr>
      <w:r w:rsidRPr="00623B51">
        <w:rPr>
          <w:sz w:val="20"/>
        </w:rPr>
        <w:t xml:space="preserve">Building geometries, originally defined in geographic coordinates (latitude/longitude), are transformed into a local Euclidean coordinate system. Each building is extruded according to its provided height or floor number value. </w:t>
      </w:r>
      <w:proofErr w:type="spellStart"/>
      <w:r w:rsidRPr="00623B51">
        <w:rPr>
          <w:sz w:val="20"/>
        </w:rPr>
        <w:t>Neighboring</w:t>
      </w:r>
      <w:proofErr w:type="spellEnd"/>
      <w:r w:rsidRPr="00623B51">
        <w:rPr>
          <w:sz w:val="20"/>
        </w:rPr>
        <w:t xml:space="preserve"> structures are simplified to improve computational efficiency and irrelevant faces (far, occluded) are removed using </w:t>
      </w:r>
      <w:proofErr w:type="gramStart"/>
      <w:r w:rsidRPr="00623B51">
        <w:rPr>
          <w:sz w:val="20"/>
        </w:rPr>
        <w:t>ray-tracing</w:t>
      </w:r>
      <w:proofErr w:type="gramEnd"/>
      <w:r w:rsidRPr="00623B51">
        <w:rPr>
          <w:sz w:val="20"/>
        </w:rPr>
        <w:t>. The main building is further subdivided into floors and convex zones. Using simple geometric rules based on distances and adjacency, we automatically select external walls that are likely to host windows</w:t>
      </w:r>
      <w:r w:rsidR="007D4C54" w:rsidRPr="007D4C54">
        <w:rPr>
          <w:sz w:val="20"/>
        </w:rPr>
        <w:t>.</w:t>
      </w:r>
    </w:p>
    <w:p w14:paraId="009D5DAF" w14:textId="2EB5552D" w:rsidR="00AB2345" w:rsidRDefault="00AB2345" w:rsidP="00AB2345">
      <w:pPr>
        <w:pStyle w:val="PlainText"/>
        <w:ind w:firstLine="284"/>
        <w:rPr>
          <w:sz w:val="20"/>
        </w:rPr>
      </w:pPr>
    </w:p>
    <w:p w14:paraId="13CBCE67" w14:textId="6A01638D" w:rsidR="00154D54" w:rsidRPr="00132F5C" w:rsidRDefault="00154D54" w:rsidP="00154D54">
      <w:pPr>
        <w:pStyle w:val="PlainText"/>
        <w:rPr>
          <w:rFonts w:eastAsia="Times New Roman"/>
          <w:b/>
          <w:kern w:val="32"/>
          <w:sz w:val="20"/>
          <w:szCs w:val="32"/>
        </w:rPr>
      </w:pPr>
      <w:r w:rsidRPr="00132F5C">
        <w:rPr>
          <w:rFonts w:eastAsia="Times New Roman"/>
          <w:b/>
          <w:kern w:val="32"/>
          <w:sz w:val="20"/>
          <w:szCs w:val="32"/>
        </w:rPr>
        <w:t>4.2 Building Energy Models and Simulation</w:t>
      </w:r>
    </w:p>
    <w:p w14:paraId="301FBB5F" w14:textId="22B6016B" w:rsidR="00AB2345" w:rsidRPr="0009355A" w:rsidRDefault="00CC07B5" w:rsidP="00163F5A">
      <w:pPr>
        <w:pStyle w:val="PlainText"/>
        <w:ind w:firstLine="284"/>
        <w:rPr>
          <w:sz w:val="20"/>
        </w:rPr>
      </w:pPr>
      <w:r>
        <w:rPr>
          <w:sz w:val="20"/>
        </w:rPr>
        <w:t>E</w:t>
      </w:r>
      <w:r w:rsidR="00AB2345" w:rsidRPr="0009355A">
        <w:rPr>
          <w:sz w:val="20"/>
        </w:rPr>
        <w:t xml:space="preserve">ach </w:t>
      </w:r>
      <w:r w:rsidR="0006221A">
        <w:rPr>
          <w:sz w:val="20"/>
        </w:rPr>
        <w:t xml:space="preserve">geometry </w:t>
      </w:r>
      <w:r>
        <w:rPr>
          <w:sz w:val="20"/>
        </w:rPr>
        <w:t>model</w:t>
      </w:r>
      <w:r w:rsidR="00AB2345" w:rsidRPr="0009355A">
        <w:rPr>
          <w:sz w:val="20"/>
        </w:rPr>
        <w:t xml:space="preserve"> </w:t>
      </w:r>
      <w:r w:rsidR="00FC4A22">
        <w:rPr>
          <w:sz w:val="20"/>
        </w:rPr>
        <w:t>is</w:t>
      </w:r>
      <w:r w:rsidR="00AB2345" w:rsidRPr="0009355A">
        <w:rPr>
          <w:sz w:val="20"/>
        </w:rPr>
        <w:t xml:space="preserve"> converted into a</w:t>
      </w:r>
      <w:r>
        <w:rPr>
          <w:sz w:val="20"/>
        </w:rPr>
        <w:t>n energy model</w:t>
      </w:r>
      <w:r w:rsidR="00AB2345" w:rsidRPr="0009355A">
        <w:rPr>
          <w:sz w:val="20"/>
        </w:rPr>
        <w:t xml:space="preserve"> </w:t>
      </w:r>
      <w:r w:rsidR="00B55B04">
        <w:rPr>
          <w:sz w:val="20"/>
        </w:rPr>
        <w:t>using</w:t>
      </w:r>
      <w:r w:rsidR="00335549">
        <w:rPr>
          <w:sz w:val="20"/>
        </w:rPr>
        <w:t xml:space="preserve"> the</w:t>
      </w:r>
      <w:r w:rsidR="00B55B04">
        <w:rPr>
          <w:sz w:val="20"/>
        </w:rPr>
        <w:t xml:space="preserve"> </w:t>
      </w:r>
      <w:r w:rsidR="00AB2345" w:rsidRPr="0009355A">
        <w:rPr>
          <w:sz w:val="20"/>
        </w:rPr>
        <w:t>Honeybee</w:t>
      </w:r>
      <w:r w:rsidR="00B55B04">
        <w:rPr>
          <w:sz w:val="20"/>
        </w:rPr>
        <w:t xml:space="preserve"> framework</w:t>
      </w:r>
      <w:r w:rsidR="00AB2345" w:rsidRPr="0009355A">
        <w:rPr>
          <w:sz w:val="20"/>
        </w:rPr>
        <w:t xml:space="preserve"> </w:t>
      </w:r>
      <w:r w:rsidR="00AB2345">
        <w:rPr>
          <w:sz w:val="20"/>
        </w:rPr>
        <w:fldChar w:fldCharType="begin"/>
      </w:r>
      <w:r w:rsidR="0016199B">
        <w:rPr>
          <w:sz w:val="20"/>
        </w:rPr>
        <w:instrText xml:space="preserve"> ADDIN ZOTERO_ITEM CSL_CITATION {"citationID":"MKaZv3X4","properties":{"formattedCitation":"(Sadeghipour Roudsari, Pak and Viola, 2013)","plainCitation":"(Sadeghipour Roudsari, Pak and Viola, 2013)","noteIndex":0},"citationItems":[{"id":3083,"uris":["http://zotero.org/groups/5482058/items/5JEI8BJ2"],"itemData":{"id":3083,"type":"paper-conference","abstract":"As high performance design is becoming more desirable in the field of architecture, the need for supporting architects with environmental analysis tools is also growing. Rhino/Grasshopper is one of the most widely used platforms that are used by designers today. There are already a number of environmental plugins developed for Rhino/Grasshopper. However, Ladybug offers several advantages that are currently not offered by existing Rhino/Grasshopper related environmental design plugins.","DOI":"10.26868/25222708.2013.2499","event-title":"2017 Building Simulation Conference","language":"en","source":"DOI.org (Crossref)","title":"Ladybug: A Parametric Environmental Plugin For Grasshopper To Help Designers Create An Environmentally-conscious Design","title-short":"Ladybug","URL":"https://publications.ibpsa.org/conference/paper/?id=bs2013_2499","author":[{"family":"Sadeghipour Roudsari","given":"Mostapha"},{"family":"Pak","given":"Michelle"},{"family":"Viola","given":"Anthony"}],"accessed":{"date-parts":[["2025",1,23]]},"issued":{"date-parts":[["2013",8,28]]},"citation-key":"sadeghipourroudsariLadybugParametricEnvironmental2013"}}],"schema":"https://github.com/citation-style-language/schema/raw/master/csl-citation.json"} </w:instrText>
      </w:r>
      <w:r w:rsidR="00AB2345">
        <w:rPr>
          <w:sz w:val="20"/>
        </w:rPr>
        <w:fldChar w:fldCharType="separate"/>
      </w:r>
      <w:r w:rsidR="00AB2345" w:rsidRPr="00C761E0">
        <w:rPr>
          <w:sz w:val="20"/>
        </w:rPr>
        <w:t>(Sadeghipour Roudsari, Pak and Viola, 2013)</w:t>
      </w:r>
      <w:r w:rsidR="00AB2345">
        <w:rPr>
          <w:sz w:val="20"/>
        </w:rPr>
        <w:fldChar w:fldCharType="end"/>
      </w:r>
      <w:r w:rsidR="00AB2345" w:rsidRPr="0009355A">
        <w:rPr>
          <w:sz w:val="20"/>
        </w:rPr>
        <w:t>,</w:t>
      </w:r>
      <w:r w:rsidR="0020494B">
        <w:rPr>
          <w:sz w:val="20"/>
        </w:rPr>
        <w:t xml:space="preserve"> </w:t>
      </w:r>
      <w:r w:rsidR="003C6751" w:rsidRPr="003C6751">
        <w:rPr>
          <w:sz w:val="20"/>
        </w:rPr>
        <w:t xml:space="preserve">based on both its geometric information and metadata. </w:t>
      </w:r>
      <w:r w:rsidR="00F1717B" w:rsidRPr="00F1717B">
        <w:rPr>
          <w:sz w:val="20"/>
        </w:rPr>
        <w:t xml:space="preserve">We apply physical and energetic properties using templates from the </w:t>
      </w:r>
      <w:r w:rsidR="00E77972">
        <w:rPr>
          <w:sz w:val="20"/>
        </w:rPr>
        <w:t>“</w:t>
      </w:r>
      <w:proofErr w:type="spellStart"/>
      <w:r w:rsidR="00F1717B" w:rsidRPr="00F1717B">
        <w:rPr>
          <w:sz w:val="20"/>
        </w:rPr>
        <w:t>OpenStudio</w:t>
      </w:r>
      <w:proofErr w:type="spellEnd"/>
      <w:r w:rsidR="00F1717B" w:rsidRPr="00F1717B">
        <w:rPr>
          <w:sz w:val="20"/>
        </w:rPr>
        <w:t xml:space="preserve"> Standards Gem</w:t>
      </w:r>
      <w:r w:rsidR="00E77972">
        <w:rPr>
          <w:sz w:val="20"/>
        </w:rPr>
        <w:t>”</w:t>
      </w:r>
      <w:r w:rsidR="00F1717B" w:rsidRPr="00F1717B">
        <w:rPr>
          <w:sz w:val="20"/>
        </w:rPr>
        <w:t xml:space="preserve">, based on the predefined building function, construction type, building age, and ASHRAE climate zone. </w:t>
      </w:r>
      <w:proofErr w:type="spellStart"/>
      <w:r w:rsidR="006125A1" w:rsidRPr="006125A1">
        <w:rPr>
          <w:sz w:val="20"/>
        </w:rPr>
        <w:t>Neighboring</w:t>
      </w:r>
      <w:proofErr w:type="spellEnd"/>
      <w:r w:rsidR="006125A1" w:rsidRPr="006125A1">
        <w:rPr>
          <w:sz w:val="20"/>
        </w:rPr>
        <w:t xml:space="preserve"> structures are </w:t>
      </w:r>
      <w:r w:rsidR="006125A1" w:rsidRPr="006125A1">
        <w:rPr>
          <w:sz w:val="20"/>
        </w:rPr>
        <w:lastRenderedPageBreak/>
        <w:t xml:space="preserve">included as shading elements to capture their impact on solar access and thermal interactions. The models are stored in HBJSON format, allowing us to </w:t>
      </w:r>
      <w:r w:rsidR="00E42183">
        <w:rPr>
          <w:sz w:val="20"/>
        </w:rPr>
        <w:t xml:space="preserve">either </w:t>
      </w:r>
      <w:r w:rsidR="006125A1" w:rsidRPr="006125A1">
        <w:rPr>
          <w:sz w:val="20"/>
        </w:rPr>
        <w:t xml:space="preserve">run </w:t>
      </w:r>
      <w:proofErr w:type="spellStart"/>
      <w:r w:rsidR="006125A1" w:rsidRPr="006125A1">
        <w:rPr>
          <w:sz w:val="20"/>
        </w:rPr>
        <w:t>EnergyPlus</w:t>
      </w:r>
      <w:proofErr w:type="spellEnd"/>
      <w:r w:rsidR="006125A1" w:rsidRPr="006125A1">
        <w:rPr>
          <w:sz w:val="20"/>
        </w:rPr>
        <w:t xml:space="preserve"> simulations </w:t>
      </w:r>
      <w:r w:rsidR="00C01F8B">
        <w:rPr>
          <w:sz w:val="20"/>
        </w:rPr>
        <w:t>(see</w:t>
      </w:r>
      <w:r w:rsidR="00D560D6">
        <w:rPr>
          <w:sz w:val="20"/>
        </w:rPr>
        <w:t xml:space="preserve"> </w:t>
      </w:r>
      <w:r w:rsidR="00D560D6">
        <w:rPr>
          <w:sz w:val="20"/>
        </w:rPr>
        <w:fldChar w:fldCharType="begin"/>
      </w:r>
      <w:r w:rsidR="00D560D6">
        <w:rPr>
          <w:sz w:val="20"/>
        </w:rPr>
        <w:instrText xml:space="preserve"> REF _Ref194257550 \h </w:instrText>
      </w:r>
      <w:r w:rsidR="00D560D6">
        <w:rPr>
          <w:sz w:val="20"/>
        </w:rPr>
      </w:r>
      <w:r w:rsidR="00D560D6">
        <w:rPr>
          <w:sz w:val="20"/>
        </w:rPr>
        <w:fldChar w:fldCharType="separate"/>
      </w:r>
      <w:r w:rsidR="00D560D6">
        <w:t xml:space="preserve">Figure </w:t>
      </w:r>
      <w:r w:rsidR="00D560D6">
        <w:rPr>
          <w:noProof/>
        </w:rPr>
        <w:t>5</w:t>
      </w:r>
      <w:r w:rsidR="00D560D6">
        <w:rPr>
          <w:sz w:val="20"/>
        </w:rPr>
        <w:fldChar w:fldCharType="end"/>
      </w:r>
      <w:r w:rsidR="00AD647B">
        <w:rPr>
          <w:sz w:val="20"/>
        </w:rPr>
        <w:t xml:space="preserve">) </w:t>
      </w:r>
      <w:r w:rsidR="00E42183">
        <w:rPr>
          <w:sz w:val="20"/>
        </w:rPr>
        <w:t>as well as</w:t>
      </w:r>
      <w:r w:rsidR="006125A1" w:rsidRPr="006125A1">
        <w:rPr>
          <w:sz w:val="20"/>
        </w:rPr>
        <w:t xml:space="preserve"> convert the models into graphs</w:t>
      </w:r>
      <w:r w:rsidR="00EA3E21">
        <w:rPr>
          <w:sz w:val="20"/>
        </w:rPr>
        <w:t xml:space="preserve"> (see</w:t>
      </w:r>
      <w:r w:rsidR="00D560D6">
        <w:rPr>
          <w:sz w:val="20"/>
        </w:rPr>
        <w:t xml:space="preserve"> </w:t>
      </w:r>
      <w:r w:rsidR="00D560D6">
        <w:rPr>
          <w:sz w:val="20"/>
        </w:rPr>
        <w:fldChar w:fldCharType="begin"/>
      </w:r>
      <w:r w:rsidR="00D560D6">
        <w:rPr>
          <w:sz w:val="20"/>
        </w:rPr>
        <w:instrText xml:space="preserve"> REF _Ref194667705 \h </w:instrText>
      </w:r>
      <w:r w:rsidR="00D560D6">
        <w:rPr>
          <w:sz w:val="20"/>
        </w:rPr>
      </w:r>
      <w:r w:rsidR="00D560D6">
        <w:rPr>
          <w:sz w:val="20"/>
        </w:rPr>
        <w:fldChar w:fldCharType="separate"/>
      </w:r>
      <w:r w:rsidR="00D560D6">
        <w:t xml:space="preserve">Figure </w:t>
      </w:r>
      <w:r w:rsidR="00D560D6">
        <w:rPr>
          <w:noProof/>
        </w:rPr>
        <w:t>6</w:t>
      </w:r>
      <w:r w:rsidR="00D560D6">
        <w:rPr>
          <w:sz w:val="20"/>
        </w:rPr>
        <w:fldChar w:fldCharType="end"/>
      </w:r>
      <w:r w:rsidR="00EA3E21">
        <w:rPr>
          <w:sz w:val="20"/>
        </w:rPr>
        <w:t>)</w:t>
      </w:r>
      <w:r w:rsidR="006125A1" w:rsidRPr="006125A1">
        <w:rPr>
          <w:sz w:val="20"/>
        </w:rPr>
        <w:t>.</w:t>
      </w:r>
    </w:p>
    <w:p w14:paraId="599B94B2" w14:textId="77777777" w:rsidR="005A48E3" w:rsidRDefault="005A48E3" w:rsidP="005A48E3">
      <w:pPr>
        <w:pStyle w:val="PlainText"/>
        <w:keepNext/>
        <w:ind w:firstLine="284"/>
        <w:rPr>
          <w:sz w:val="20"/>
        </w:rPr>
      </w:pPr>
      <w:r w:rsidRPr="005A48E3">
        <w:rPr>
          <w:sz w:val="20"/>
        </w:rPr>
        <w:t xml:space="preserve">To ensure climate data consistency, we match each model with its closest </w:t>
      </w:r>
      <w:proofErr w:type="spellStart"/>
      <w:r w:rsidRPr="005A48E3">
        <w:rPr>
          <w:sz w:val="20"/>
        </w:rPr>
        <w:t>EnergyPlus</w:t>
      </w:r>
      <w:proofErr w:type="spellEnd"/>
      <w:r w:rsidRPr="005A48E3">
        <w:rPr>
          <w:sz w:val="20"/>
        </w:rPr>
        <w:t xml:space="preserve"> Weather (EPW) to provide hourly meteorological data for typical meteorological years (TMY) and Design Day (DDY) files to define extreme climatic conditions for HVAC system sizing.</w:t>
      </w:r>
    </w:p>
    <w:p w14:paraId="4C8CE3F7" w14:textId="22A61C62" w:rsidR="00EA3E21" w:rsidRDefault="00CD1979" w:rsidP="00EA3E21">
      <w:pPr>
        <w:pStyle w:val="PlainText"/>
        <w:keepNext/>
      </w:pPr>
      <w:r w:rsidRPr="00C62C38">
        <w:rPr>
          <w:noProof/>
          <w:sz w:val="20"/>
        </w:rPr>
        <w:drawing>
          <wp:inline distT="0" distB="0" distL="0" distR="0" wp14:anchorId="0D19DD15" wp14:editId="70D08DF6">
            <wp:extent cx="2894965" cy="2759725"/>
            <wp:effectExtent l="0" t="0" r="635" b="2540"/>
            <wp:docPr id="3594984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 b="4673"/>
                    <a:stretch/>
                  </pic:blipFill>
                  <pic:spPr bwMode="auto">
                    <a:xfrm>
                      <a:off x="0" y="0"/>
                      <a:ext cx="2894965" cy="2759725"/>
                    </a:xfrm>
                    <a:prstGeom prst="rect">
                      <a:avLst/>
                    </a:prstGeom>
                    <a:noFill/>
                    <a:ln>
                      <a:noFill/>
                    </a:ln>
                    <a:extLst>
                      <a:ext uri="{53640926-AAD7-44D8-BBD7-CCE9431645EC}">
                        <a14:shadowObscured xmlns:a14="http://schemas.microsoft.com/office/drawing/2010/main"/>
                      </a:ext>
                    </a:extLst>
                  </pic:spPr>
                </pic:pic>
              </a:graphicData>
            </a:graphic>
          </wp:inline>
        </w:drawing>
      </w:r>
    </w:p>
    <w:p w14:paraId="7F94EDF6" w14:textId="7D66065E" w:rsidR="00BF7886" w:rsidRDefault="00EA3E21" w:rsidP="00EA3E21">
      <w:pPr>
        <w:pStyle w:val="Captionfigtable"/>
      </w:pPr>
      <w:bookmarkStart w:id="6" w:name="_Ref194257550"/>
      <w:r>
        <w:t xml:space="preserve">Figure </w:t>
      </w:r>
      <w:fldSimple w:instr=" SEQ Figure \* ARABIC ">
        <w:r w:rsidR="00DB700F">
          <w:rPr>
            <w:noProof/>
          </w:rPr>
          <w:t>5</w:t>
        </w:r>
      </w:fldSimple>
      <w:bookmarkEnd w:id="6"/>
      <w:r>
        <w:t xml:space="preserve"> Example Building Energy Models</w:t>
      </w:r>
    </w:p>
    <w:p w14:paraId="6F81CF51" w14:textId="77777777" w:rsidR="009A479F" w:rsidRDefault="009A479F" w:rsidP="00EA3E21">
      <w:pPr>
        <w:pStyle w:val="Captionfigtable"/>
        <w:rPr>
          <w:sz w:val="20"/>
        </w:rPr>
      </w:pPr>
    </w:p>
    <w:p w14:paraId="0A4D498B" w14:textId="33ED4371" w:rsidR="00D42312" w:rsidRDefault="009A479F" w:rsidP="009A479F">
      <w:pPr>
        <w:pStyle w:val="MainText"/>
        <w:ind w:firstLine="0"/>
      </w:pPr>
      <w:r>
        <w:t xml:space="preserve">    </w:t>
      </w:r>
      <w:r w:rsidR="00834071" w:rsidRPr="00834071">
        <w:t xml:space="preserve">We iteratively simulate their energy performance prediction using the physics-based </w:t>
      </w:r>
      <w:proofErr w:type="spellStart"/>
      <w:r w:rsidR="00834071" w:rsidRPr="00834071">
        <w:t>EnergyPlus</w:t>
      </w:r>
      <w:proofErr w:type="spellEnd"/>
      <w:r w:rsidR="008B1C8F">
        <w:t xml:space="preserve"> 23.2.0</w:t>
      </w:r>
      <w:r w:rsidR="00834071" w:rsidRPr="00834071">
        <w:t xml:space="preserve"> engine. On average, a simulation takes approximately 1 minute and 50 seconds, although more complex models can require up to 19 minutes and 20 seconds to process. To manage simulation times under ca. 20 minutes, we exclude samples with energy model files larger than 5 MB from the simulation queue. The raw simulation results are stored in databases ranging from 14 MB to 1.8 GB and include detailed tabular data covering simulation setups, sequential partial results, and summaries. We extract key performance indicators (such as annual energy demand and peak heating and cooling loads) to serve as ground truth for further ML applications.</w:t>
      </w:r>
    </w:p>
    <w:p w14:paraId="4586B8AF" w14:textId="77777777" w:rsidR="00C4293E" w:rsidRDefault="00C4293E" w:rsidP="007672FD">
      <w:pPr>
        <w:pStyle w:val="MainText"/>
        <w:ind w:firstLine="0"/>
      </w:pPr>
    </w:p>
    <w:p w14:paraId="0F5922F9" w14:textId="1B066189" w:rsidR="00D42312" w:rsidRDefault="00D42312" w:rsidP="00825DF8">
      <w:pPr>
        <w:pStyle w:val="Heading1"/>
      </w:pPr>
      <w:r>
        <w:t>4.</w:t>
      </w:r>
      <w:r w:rsidR="00EA5318">
        <w:t>3</w:t>
      </w:r>
      <w:r>
        <w:t>. Data Transformation into Graph Format</w:t>
      </w:r>
    </w:p>
    <w:p w14:paraId="028EB3EA" w14:textId="77777777" w:rsidR="00665553" w:rsidRDefault="00C37891" w:rsidP="00C229E4">
      <w:pPr>
        <w:pStyle w:val="MainText"/>
        <w:rPr>
          <w:rFonts w:eastAsia="DengXian"/>
          <w:lang w:eastAsia="zh-CN"/>
        </w:rPr>
      </w:pPr>
      <w:r w:rsidRPr="00C37891">
        <w:t xml:space="preserve">We transform each HBJSON file into a graph representation, where nodes represent building components and edges capture their relationships, as described in </w:t>
      </w:r>
      <w:r>
        <w:t>S</w:t>
      </w:r>
      <w:r w:rsidR="00865119">
        <w:t>ection</w:t>
      </w:r>
      <w:r w:rsidR="00866FB6">
        <w:t xml:space="preserve"> </w:t>
      </w:r>
      <w:r w:rsidR="0098129F">
        <w:fldChar w:fldCharType="begin"/>
      </w:r>
      <w:r w:rsidR="0098129F">
        <w:instrText xml:space="preserve"> REF _Ref194149543 \r \h </w:instrText>
      </w:r>
      <w:r w:rsidR="0098129F">
        <w:fldChar w:fldCharType="separate"/>
      </w:r>
      <w:r w:rsidR="00E31327">
        <w:t>3.1</w:t>
      </w:r>
      <w:r w:rsidR="0098129F">
        <w:fldChar w:fldCharType="end"/>
      </w:r>
      <w:r w:rsidR="00865119">
        <w:t xml:space="preserve">. </w:t>
      </w:r>
    </w:p>
    <w:p w14:paraId="6A6C5367" w14:textId="228782FC" w:rsidR="00C229E4" w:rsidRDefault="00C229E4" w:rsidP="00C229E4">
      <w:pPr>
        <w:pStyle w:val="MainText"/>
      </w:pPr>
      <w:r>
        <w:t xml:space="preserve">The building node contains information about the building environment. Those are obtained from the </w:t>
      </w:r>
      <w:r>
        <w:t xml:space="preserve">EPW and DDY files. EPW files contain hourly data (8760 hours per year) for a given location, while DDY files include structured climate parameters such as extreme dry-bulb temperatures, </w:t>
      </w:r>
      <w:r w:rsidR="00F37734">
        <w:rPr>
          <w:rFonts w:eastAsia="DengXian" w:hint="eastAsia"/>
          <w:lang w:eastAsia="zh-CN"/>
        </w:rPr>
        <w:t xml:space="preserve">and </w:t>
      </w:r>
      <w:r>
        <w:t>humidity levels, which are critical for determining heating and cooling loads in buildings. In both cases, we use multiple strategies to reduce dimensionality and the final building node properties are obtained by concatenating the components from both datasets.</w:t>
      </w:r>
    </w:p>
    <w:p w14:paraId="58C8908D" w14:textId="5E67BB0A" w:rsidR="00C229E4" w:rsidRDefault="00C229E4" w:rsidP="00C229E4">
      <w:pPr>
        <w:pStyle w:val="MainText"/>
      </w:pPr>
      <w:r>
        <w:t xml:space="preserve">For the room nodes, time-based occupancy and operational schedules are condensed into key statistics, including average and peak values, peak occurrence times, and variation ranges. Initially, this process produced 548 different features; however, </w:t>
      </w:r>
      <w:r w:rsidR="00217161">
        <w:t>after</w:t>
      </w:r>
      <w:r>
        <w:t xml:space="preserve"> filtering out parameters that appeared in less than 20% of nodes and those with no variation (min=max or std=0), followed by conversion and normalization, the final room schema comprises 129 parameters.</w:t>
      </w:r>
    </w:p>
    <w:p w14:paraId="215E4DE9" w14:textId="77777777" w:rsidR="00C229E4" w:rsidRDefault="00C229E4" w:rsidP="00C229E4">
      <w:pPr>
        <w:pStyle w:val="MainText"/>
      </w:pPr>
      <w:r>
        <w:t xml:space="preserve"> For geometry nodes, we extract key physical properties of each building element rather than storing the detailed attributes of individual material layers. Using predefined materials from template construction sets, we compute additional physical properties like U-value, total thickness, and heat capacity. The original geometry, stored as lists of vertices, is reduced to parameters such as surface area, normal vectors, centroids, and aspect ratios. </w:t>
      </w:r>
    </w:p>
    <w:p w14:paraId="1ACF283A" w14:textId="24E44D53" w:rsidR="00D42312" w:rsidRDefault="00C229E4" w:rsidP="00C229E4">
      <w:pPr>
        <w:pStyle w:val="MainText"/>
      </w:pPr>
      <w:r>
        <w:t>We create edges in three steps. First, we extract inheritance edges directly from the structure of the input JSON file. Second, we create adjacency edges based on vertex matching. Third, we generate shading edges using a ray-tracing approach.  A selection of Building Energy Graphs is presented in</w:t>
      </w:r>
      <w:r w:rsidR="00075468">
        <w:t xml:space="preserve"> </w:t>
      </w:r>
      <w:r w:rsidR="00075468">
        <w:fldChar w:fldCharType="begin"/>
      </w:r>
      <w:r w:rsidR="00075468">
        <w:instrText xml:space="preserve"> REF _Ref194257619 \h </w:instrText>
      </w:r>
      <w:r w:rsidR="00075468">
        <w:fldChar w:fldCharType="separate"/>
      </w:r>
      <w:r w:rsidR="00E31327">
        <w:t xml:space="preserve">Figure </w:t>
      </w:r>
      <w:r w:rsidR="00E31327">
        <w:rPr>
          <w:noProof/>
        </w:rPr>
        <w:t>6</w:t>
      </w:r>
      <w:r w:rsidR="00075468">
        <w:fldChar w:fldCharType="end"/>
      </w:r>
      <w:r w:rsidR="00075468">
        <w:t>.</w:t>
      </w:r>
    </w:p>
    <w:p w14:paraId="53465BAD" w14:textId="77777777" w:rsidR="00071E08" w:rsidRDefault="00071E08" w:rsidP="00C229E4">
      <w:pPr>
        <w:pStyle w:val="MainText"/>
      </w:pPr>
    </w:p>
    <w:p w14:paraId="7292FBAE" w14:textId="77777777" w:rsidR="00075468" w:rsidRDefault="009D63B9" w:rsidP="00075468">
      <w:pPr>
        <w:pStyle w:val="MainText"/>
        <w:keepNext/>
        <w:ind w:firstLine="0"/>
      </w:pPr>
      <w:r w:rsidRPr="00C62C38">
        <w:rPr>
          <w:noProof/>
        </w:rPr>
        <w:drawing>
          <wp:inline distT="0" distB="0" distL="0" distR="0" wp14:anchorId="56F4381F" wp14:editId="73891F7E">
            <wp:extent cx="2889478" cy="2794037"/>
            <wp:effectExtent l="0" t="0" r="6350" b="0"/>
            <wp:docPr id="4403105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10557"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529"/>
                    <a:stretch/>
                  </pic:blipFill>
                  <pic:spPr bwMode="auto">
                    <a:xfrm>
                      <a:off x="0" y="0"/>
                      <a:ext cx="2889885" cy="2794431"/>
                    </a:xfrm>
                    <a:prstGeom prst="rect">
                      <a:avLst/>
                    </a:prstGeom>
                    <a:noFill/>
                    <a:ln>
                      <a:noFill/>
                    </a:ln>
                    <a:extLst>
                      <a:ext uri="{53640926-AAD7-44D8-BBD7-CCE9431645EC}">
                        <a14:shadowObscured xmlns:a14="http://schemas.microsoft.com/office/drawing/2010/main"/>
                      </a:ext>
                    </a:extLst>
                  </pic:spPr>
                </pic:pic>
              </a:graphicData>
            </a:graphic>
          </wp:inline>
        </w:drawing>
      </w:r>
    </w:p>
    <w:p w14:paraId="44ED9BA0" w14:textId="77777777" w:rsidR="008B1C8F" w:rsidRDefault="008B1C8F" w:rsidP="008B1C8F">
      <w:pPr>
        <w:pStyle w:val="Captionfigtable"/>
      </w:pPr>
      <w:bookmarkStart w:id="7" w:name="_Ref194257619"/>
      <w:bookmarkStart w:id="8" w:name="_Ref194667705"/>
      <w:r>
        <w:t xml:space="preserve">Figure </w:t>
      </w:r>
      <w:r>
        <w:fldChar w:fldCharType="begin"/>
      </w:r>
      <w:r>
        <w:instrText xml:space="preserve"> SEQ Figure \* ARABIC </w:instrText>
      </w:r>
      <w:r>
        <w:fldChar w:fldCharType="separate"/>
      </w:r>
      <w:r>
        <w:rPr>
          <w:noProof/>
        </w:rPr>
        <w:t>6</w:t>
      </w:r>
      <w:r>
        <w:rPr>
          <w:noProof/>
        </w:rPr>
        <w:fldChar w:fldCharType="end"/>
      </w:r>
      <w:bookmarkEnd w:id="8"/>
      <w:r>
        <w:t xml:space="preserve"> Example Building Energy Graphs</w:t>
      </w:r>
    </w:p>
    <w:bookmarkEnd w:id="7"/>
    <w:p w14:paraId="7438452A" w14:textId="52550DC9" w:rsidR="00D42312" w:rsidRDefault="00D42312" w:rsidP="00825DF8">
      <w:pPr>
        <w:pStyle w:val="Heading1"/>
      </w:pPr>
      <w:r>
        <w:lastRenderedPageBreak/>
        <w:t>4.</w:t>
      </w:r>
      <w:r w:rsidR="00EA5318">
        <w:t>4</w:t>
      </w:r>
      <w:r>
        <w:t xml:space="preserve"> </w:t>
      </w:r>
      <w:r w:rsidR="00133A14">
        <w:t>Labels</w:t>
      </w:r>
    </w:p>
    <w:p w14:paraId="339E05B5" w14:textId="77777777" w:rsidR="00EF676A" w:rsidRDefault="008F13A3" w:rsidP="00A11939">
      <w:pPr>
        <w:pStyle w:val="PlainText"/>
        <w:ind w:firstLine="284"/>
        <w:rPr>
          <w:rFonts w:eastAsia="DengXian"/>
          <w:sz w:val="20"/>
          <w:lang w:eastAsia="zh-CN"/>
        </w:rPr>
      </w:pPr>
      <w:r w:rsidRPr="008F13A3">
        <w:rPr>
          <w:rFonts w:eastAsia="DengXian"/>
          <w:sz w:val="20"/>
          <w:lang w:eastAsia="zh-CN"/>
        </w:rPr>
        <w:t xml:space="preserve">Labels are EUI values obtained from simulations, as described in Section 4.2. Our task is a graph-level regression where the model predicts EUI values derived from physics-based simulation results. We select this metric because it is decoupled from the building size (divided by m²), presenting a more challenging task where the model cannot merely rely on building dimensions to predict higher energy consumption. A critical initial step involves inspecting the raw distribution of these labels to identify and address the right-tail skewness. </w:t>
      </w:r>
    </w:p>
    <w:p w14:paraId="17F33526" w14:textId="202E8481" w:rsidR="00C76E47" w:rsidRDefault="00621110" w:rsidP="00A11939">
      <w:pPr>
        <w:pStyle w:val="PlainText"/>
        <w:ind w:firstLine="284"/>
        <w:rPr>
          <w:rFonts w:eastAsia="DengXian"/>
          <w:sz w:val="20"/>
          <w:lang w:eastAsia="zh-CN"/>
        </w:rPr>
      </w:pPr>
      <w:r w:rsidRPr="00621110">
        <w:rPr>
          <w:sz w:val="20"/>
        </w:rPr>
        <w:t>Our initial dataset of 1,176 models shows a mean EUI of roughly 380 kWh/m²·year (median ~329</w:t>
      </w:r>
      <w:r w:rsidR="004D0FB7">
        <w:rPr>
          <w:sz w:val="20"/>
        </w:rPr>
        <w:t xml:space="preserve"> </w:t>
      </w:r>
      <w:r w:rsidR="004D0FB7" w:rsidRPr="00621110">
        <w:rPr>
          <w:sz w:val="20"/>
        </w:rPr>
        <w:t>kWh/m²·year</w:t>
      </w:r>
      <w:r w:rsidRPr="00621110">
        <w:rPr>
          <w:sz w:val="20"/>
        </w:rPr>
        <w:t>), with some outliers reaching over 16,000</w:t>
      </w:r>
      <w:r w:rsidR="000F0CF2">
        <w:rPr>
          <w:sz w:val="20"/>
        </w:rPr>
        <w:t xml:space="preserve"> </w:t>
      </w:r>
      <w:r w:rsidR="000F0CF2" w:rsidRPr="00621110">
        <w:rPr>
          <w:sz w:val="20"/>
        </w:rPr>
        <w:t>kWh/m²·year</w:t>
      </w:r>
      <w:r w:rsidR="00133A14" w:rsidRPr="00133A14">
        <w:rPr>
          <w:sz w:val="20"/>
        </w:rPr>
        <w:t xml:space="preserve">. </w:t>
      </w:r>
      <w:r w:rsidR="000F0CF2" w:rsidRPr="000F0CF2">
        <w:rPr>
          <w:sz w:val="20"/>
        </w:rPr>
        <w:t xml:space="preserve">After removing </w:t>
      </w:r>
      <w:r w:rsidR="00402B1E">
        <w:rPr>
          <w:sz w:val="20"/>
        </w:rPr>
        <w:t xml:space="preserve">29 </w:t>
      </w:r>
      <w:r w:rsidR="000F0CF2" w:rsidRPr="000F0CF2">
        <w:rPr>
          <w:sz w:val="20"/>
        </w:rPr>
        <w:t>outliers, the maximum drops to around 867</w:t>
      </w:r>
      <w:r w:rsidR="000F0CF2">
        <w:rPr>
          <w:sz w:val="20"/>
        </w:rPr>
        <w:t xml:space="preserve"> </w:t>
      </w:r>
      <w:r w:rsidR="000F0CF2" w:rsidRPr="00621110">
        <w:rPr>
          <w:sz w:val="20"/>
        </w:rPr>
        <w:t>kWh/m²·year</w:t>
      </w:r>
      <w:r w:rsidR="000F0CF2" w:rsidRPr="000F0CF2">
        <w:rPr>
          <w:sz w:val="20"/>
        </w:rPr>
        <w:t>, and the overall statistics (</w:t>
      </w:r>
      <w:r w:rsidR="00FB1853">
        <w:rPr>
          <w:sz w:val="20"/>
        </w:rPr>
        <w:t xml:space="preserve">mean </w:t>
      </w:r>
      <w:r w:rsidR="00C17B9A" w:rsidRPr="00E11B6B">
        <w:rPr>
          <w:sz w:val="20"/>
        </w:rPr>
        <w:t xml:space="preserve">~350 kWh/m²*year, </w:t>
      </w:r>
      <w:r w:rsidR="00FB1853" w:rsidRPr="00E11B6B">
        <w:rPr>
          <w:sz w:val="20"/>
        </w:rPr>
        <w:t>median ~326kWh/m²*year</w:t>
      </w:r>
      <w:r w:rsidR="000F0CF2" w:rsidRPr="000F0CF2">
        <w:rPr>
          <w:sz w:val="20"/>
        </w:rPr>
        <w:t>) decrease accordingly</w:t>
      </w:r>
      <w:r w:rsidR="00E11B6B">
        <w:rPr>
          <w:sz w:val="20"/>
        </w:rPr>
        <w:t xml:space="preserve"> (</w:t>
      </w:r>
      <w:r w:rsidR="00E11B6B" w:rsidRPr="00E11B6B">
        <w:rPr>
          <w:sz w:val="20"/>
        </w:rPr>
        <w:t xml:space="preserve">see </w:t>
      </w:r>
      <w:r w:rsidR="00E11B6B" w:rsidRPr="00E11B6B">
        <w:rPr>
          <w:sz w:val="20"/>
        </w:rPr>
        <w:fldChar w:fldCharType="begin"/>
      </w:r>
      <w:r w:rsidR="00E11B6B" w:rsidRPr="00E11B6B">
        <w:rPr>
          <w:sz w:val="20"/>
        </w:rPr>
        <w:instrText xml:space="preserve"> REF _Ref194604354 \h </w:instrText>
      </w:r>
      <w:r w:rsidR="00E11B6B">
        <w:rPr>
          <w:sz w:val="20"/>
        </w:rPr>
        <w:instrText xml:space="preserve"> \* MERGEFORMAT </w:instrText>
      </w:r>
      <w:r w:rsidR="00E11B6B" w:rsidRPr="00E11B6B">
        <w:rPr>
          <w:sz w:val="20"/>
        </w:rPr>
      </w:r>
      <w:r w:rsidR="00E11B6B" w:rsidRPr="00E11B6B">
        <w:rPr>
          <w:sz w:val="20"/>
        </w:rPr>
        <w:fldChar w:fldCharType="separate"/>
      </w:r>
      <w:r w:rsidR="00C51D77" w:rsidRPr="00C51D77">
        <w:rPr>
          <w:sz w:val="20"/>
        </w:rPr>
        <w:t xml:space="preserve">Figure </w:t>
      </w:r>
      <w:r w:rsidR="00C51D77" w:rsidRPr="00C51D77">
        <w:rPr>
          <w:noProof/>
          <w:sz w:val="20"/>
        </w:rPr>
        <w:t>7</w:t>
      </w:r>
      <w:r w:rsidR="00E11B6B" w:rsidRPr="00E11B6B">
        <w:rPr>
          <w:sz w:val="20"/>
        </w:rPr>
        <w:fldChar w:fldCharType="end"/>
      </w:r>
      <w:r w:rsidR="00E11B6B" w:rsidRPr="00E11B6B">
        <w:rPr>
          <w:sz w:val="20"/>
        </w:rPr>
        <w:t>)</w:t>
      </w:r>
      <w:r w:rsidR="000F0CF2" w:rsidRPr="00E11B6B">
        <w:rPr>
          <w:sz w:val="20"/>
        </w:rPr>
        <w:t>.</w:t>
      </w:r>
      <w:r w:rsidR="00B746A8">
        <w:rPr>
          <w:sz w:val="20"/>
        </w:rPr>
        <w:t xml:space="preserve"> </w:t>
      </w:r>
      <w:r w:rsidR="00D50EFF" w:rsidRPr="00D50EFF">
        <w:rPr>
          <w:sz w:val="20"/>
        </w:rPr>
        <w:t xml:space="preserve">This may be slightly above the typical European commercial building median of just under 200 kWh/m²·year, with some values reaching around 800 kWh/m²·year </w:t>
      </w:r>
      <w:r w:rsidR="00D50EFF">
        <w:rPr>
          <w:sz w:val="20"/>
        </w:rPr>
        <w:fldChar w:fldCharType="begin"/>
      </w:r>
      <w:r w:rsidR="0016199B">
        <w:rPr>
          <w:sz w:val="20"/>
        </w:rPr>
        <w:instrText xml:space="preserve"> ADDIN ZOTERO_ITEM CSL_CITATION {"citationID":"05JbPDtc","properties":{"formattedCitation":"(Guy {\\i{}et al.}, 2023)","plainCitation":"(Guy et al., 2023)","noteIndex":0},"citationItems":[{"id":3456,"uris":["http://zotero.org/groups/5482058/items/36XCTTIF"],"itemData":{"id":3456,"type":"article-journal","container-title":"Energy and Buildings","DOI":"10.1016/j.enbuild.2023.113595","ISSN":"0378-7788","language":"en","license":"https://www.elsevier.com/tdm/userlicense/1.0/","note":"publisher: Elsevier BV","page":"113595","source":"Crossref","title":"Benchmarking the energy performance of European commercial buildings with a bayesian modeling framework","volume":"299","author":[{"family":"Guy","given":"Horace"},{"family":"Vittoz","given":"Simon"},{"family":"Caputo","given":"Giulia"},{"family":"Thiery","given":"Thimothée"}],"issued":{"date-parts":[["2023",11]]},"citation-key":"guyBenchmarkingEnergyPerformance2023"}}],"schema":"https://github.com/citation-style-language/schema/raw/master/csl-citation.json"} </w:instrText>
      </w:r>
      <w:r w:rsidR="00D50EFF">
        <w:rPr>
          <w:sz w:val="20"/>
        </w:rPr>
        <w:fldChar w:fldCharType="separate"/>
      </w:r>
      <w:r w:rsidR="00D50EFF" w:rsidRPr="00D50EFF">
        <w:rPr>
          <w:sz w:val="20"/>
        </w:rPr>
        <w:t xml:space="preserve">(Guy </w:t>
      </w:r>
      <w:r w:rsidR="00D50EFF" w:rsidRPr="00D50EFF">
        <w:rPr>
          <w:i/>
          <w:iCs/>
          <w:sz w:val="20"/>
        </w:rPr>
        <w:t>et al.</w:t>
      </w:r>
      <w:r w:rsidR="00D50EFF" w:rsidRPr="00D50EFF">
        <w:rPr>
          <w:sz w:val="20"/>
        </w:rPr>
        <w:t>, 2023)</w:t>
      </w:r>
      <w:r w:rsidR="00D50EFF">
        <w:rPr>
          <w:sz w:val="20"/>
        </w:rPr>
        <w:fldChar w:fldCharType="end"/>
      </w:r>
      <w:r w:rsidR="00D50EFF" w:rsidRPr="00D50EFF">
        <w:rPr>
          <w:sz w:val="20"/>
        </w:rPr>
        <w:t>.</w:t>
      </w:r>
    </w:p>
    <w:p w14:paraId="33015A7E" w14:textId="40E96971" w:rsidR="00C42D41" w:rsidRDefault="003D15BF" w:rsidP="00A11939">
      <w:pPr>
        <w:pStyle w:val="PlainText"/>
        <w:ind w:firstLine="284"/>
        <w:rPr>
          <w:sz w:val="20"/>
        </w:rPr>
      </w:pPr>
      <w:r w:rsidRPr="003D15BF">
        <w:rPr>
          <w:sz w:val="20"/>
        </w:rPr>
        <w:t>Available real-life data sources for Europe often focus on heating demands</w:t>
      </w:r>
      <w:r w:rsidR="00B56F9D">
        <w:rPr>
          <w:sz w:val="20"/>
        </w:rPr>
        <w:t>, t</w:t>
      </w:r>
      <w:r w:rsidRPr="003D15BF">
        <w:rPr>
          <w:sz w:val="20"/>
        </w:rPr>
        <w:t xml:space="preserve">hus, we explore this component additionally. After outlier cleaning, the yearly heating intensity </w:t>
      </w:r>
      <w:r w:rsidR="00AE654A">
        <w:rPr>
          <w:sz w:val="20"/>
        </w:rPr>
        <w:t>(</w:t>
      </w:r>
      <w:r w:rsidRPr="003D15BF">
        <w:rPr>
          <w:sz w:val="20"/>
        </w:rPr>
        <w:t xml:space="preserve">mean </w:t>
      </w:r>
      <w:r w:rsidR="00F058FF">
        <w:rPr>
          <w:sz w:val="20"/>
        </w:rPr>
        <w:t>~</w:t>
      </w:r>
      <w:r w:rsidR="00C73968">
        <w:rPr>
          <w:sz w:val="20"/>
        </w:rPr>
        <w:t>211</w:t>
      </w:r>
      <w:r w:rsidRPr="003D15BF">
        <w:rPr>
          <w:sz w:val="20"/>
        </w:rPr>
        <w:t xml:space="preserve"> kWh/m²·year, median </w:t>
      </w:r>
      <w:r w:rsidR="00F058FF">
        <w:rPr>
          <w:sz w:val="20"/>
        </w:rPr>
        <w:t>~</w:t>
      </w:r>
      <w:r w:rsidRPr="003D15BF">
        <w:rPr>
          <w:sz w:val="20"/>
        </w:rPr>
        <w:t>1</w:t>
      </w:r>
      <w:r w:rsidR="00C73968">
        <w:rPr>
          <w:sz w:val="20"/>
        </w:rPr>
        <w:t>90</w:t>
      </w:r>
      <w:r w:rsidRPr="003D15BF">
        <w:rPr>
          <w:sz w:val="20"/>
        </w:rPr>
        <w:t xml:space="preserve"> kWh/m²·year</w:t>
      </w:r>
      <w:r w:rsidR="00F058FF">
        <w:rPr>
          <w:sz w:val="20"/>
        </w:rPr>
        <w:t>)</w:t>
      </w:r>
      <w:r w:rsidR="005C4C62">
        <w:rPr>
          <w:sz w:val="20"/>
        </w:rPr>
        <w:t xml:space="preserve"> is above </w:t>
      </w:r>
      <w:r w:rsidR="0073379D">
        <w:rPr>
          <w:sz w:val="20"/>
        </w:rPr>
        <w:t xml:space="preserve">the </w:t>
      </w:r>
      <w:r w:rsidRPr="003D15BF">
        <w:rPr>
          <w:sz w:val="20"/>
        </w:rPr>
        <w:t xml:space="preserve"> </w:t>
      </w:r>
      <w:r w:rsidR="00974281" w:rsidRPr="00974281">
        <w:rPr>
          <w:sz w:val="20"/>
        </w:rPr>
        <w:t xml:space="preserve">TABULA/EPISCOPE data for residential heating, which typically ranges from 90 to 170 kWh/m²·year </w:t>
      </w:r>
      <w:r w:rsidR="00974281">
        <w:rPr>
          <w:sz w:val="20"/>
        </w:rPr>
        <w:fldChar w:fldCharType="begin"/>
      </w:r>
      <w:r w:rsidR="0016199B">
        <w:rPr>
          <w:sz w:val="20"/>
        </w:rPr>
        <w:instrText xml:space="preserve"> ADDIN ZOTERO_ITEM CSL_CITATION {"citationID":"zBMGUxkA","properties":{"formattedCitation":"(Loga, Stein and Diefenbach, 2016)","plainCitation":"(Loga, Stein and Diefenbach, 2016)","noteIndex":0},"citationItems":[{"id":3454,"uris":["http://zotero.org/groups/5482058/items/3IZH7XAM"],"itemData":{"id":3454,"type":"article-journal","abstract":"In the framework of the international projects TABULA and EPISCOPE residential building typologies have been created in 20 European countries. Each national typology consists of a classiﬁcation scheme grouping buildings according to their size, age and further parameters and a set of exemplary buildings representing these building types. U-values of different age bands and energy expenditure factors of heat generators of these buildings are being compared. In addition, synthetical average buildings have been deﬁned which are statistically representative for speciﬁc age and size bands and enable projections of the energy performance to the total housing stocks. Based on the common data structure the energy performance of the average buildings is calculated in a standardised way to form simpliﬁed housing stock models. In the context of inhomogeneous building stocks of European countries the results allow an understanding of the average and variation of parameters like U-values, supply system performances or ﬁnal energy.","container-title":"Energy and Buildings","DOI":"10.1016/j.enbuild.2016.06.094","ISSN":"0378-7788","language":"en","license":"https://www.elsevier.com/tdm/userlicense/1.0/","note":"publisher: Elsevier BV","page":"4-12","source":"Crossref","title":"TABULA building typologies in 20 European countries—Making energy-related features of residential building stocks comparable","volume":"132","author":[{"family":"Loga","given":"Tobias"},{"family":"Stein","given":"Britta"},{"family":"Diefenbach","given":"Nikolaus"}],"issued":{"date-parts":[["2016",11]]},"citation-key":"logaTABULABuildingTypologies2016"}}],"schema":"https://github.com/citation-style-language/schema/raw/master/csl-citation.json"} </w:instrText>
      </w:r>
      <w:r w:rsidR="00974281">
        <w:rPr>
          <w:sz w:val="20"/>
        </w:rPr>
        <w:fldChar w:fldCharType="separate"/>
      </w:r>
      <w:r w:rsidR="00974281" w:rsidRPr="00974281">
        <w:rPr>
          <w:sz w:val="20"/>
        </w:rPr>
        <w:t>(Loga, Stein and Diefenbach, 2016)</w:t>
      </w:r>
      <w:r w:rsidR="00974281">
        <w:rPr>
          <w:sz w:val="20"/>
        </w:rPr>
        <w:fldChar w:fldCharType="end"/>
      </w:r>
      <w:r w:rsidR="00974281" w:rsidRPr="00974281">
        <w:rPr>
          <w:sz w:val="20"/>
        </w:rPr>
        <w:t>.</w:t>
      </w:r>
      <w:r w:rsidR="00F43C5F">
        <w:rPr>
          <w:sz w:val="20"/>
        </w:rPr>
        <w:t xml:space="preserve"> </w:t>
      </w:r>
      <w:r w:rsidR="00C42D41" w:rsidRPr="00C42D41">
        <w:rPr>
          <w:sz w:val="20"/>
        </w:rPr>
        <w:t>Overall, our simulation results indicate that the synthetically created dataset matches the range of observed real-life values</w:t>
      </w:r>
      <w:r w:rsidR="00E37C7E">
        <w:rPr>
          <w:sz w:val="20"/>
        </w:rPr>
        <w:t>, with</w:t>
      </w:r>
      <w:r w:rsidR="00A747BF">
        <w:rPr>
          <w:sz w:val="20"/>
        </w:rPr>
        <w:t xml:space="preserve"> a distinct right-skewness, even after outlier removal</w:t>
      </w:r>
      <w:r w:rsidR="00C42D41" w:rsidRPr="00C42D41">
        <w:rPr>
          <w:sz w:val="20"/>
        </w:rPr>
        <w:t>.</w:t>
      </w:r>
    </w:p>
    <w:p w14:paraId="04060ED5" w14:textId="77777777" w:rsidR="0045127D" w:rsidRDefault="0045127D" w:rsidP="00A11939">
      <w:pPr>
        <w:pStyle w:val="PlainText"/>
        <w:ind w:firstLine="284"/>
        <w:rPr>
          <w:sz w:val="20"/>
        </w:rPr>
      </w:pPr>
    </w:p>
    <w:p w14:paraId="5B2C9C9F" w14:textId="77777777" w:rsidR="0045127D" w:rsidRDefault="0045127D" w:rsidP="0045127D">
      <w:pPr>
        <w:pStyle w:val="PlainText"/>
        <w:keepNext/>
      </w:pPr>
      <w:r>
        <w:rPr>
          <w:noProof/>
          <w:sz w:val="20"/>
        </w:rPr>
        <w:drawing>
          <wp:inline distT="0" distB="0" distL="0" distR="0" wp14:anchorId="4534B10A" wp14:editId="4EBAE30A">
            <wp:extent cx="2891790" cy="1889125"/>
            <wp:effectExtent l="0" t="0" r="3810" b="0"/>
            <wp:docPr id="8085914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1790" cy="1889125"/>
                    </a:xfrm>
                    <a:prstGeom prst="rect">
                      <a:avLst/>
                    </a:prstGeom>
                    <a:noFill/>
                    <a:ln>
                      <a:noFill/>
                    </a:ln>
                  </pic:spPr>
                </pic:pic>
              </a:graphicData>
            </a:graphic>
          </wp:inline>
        </w:drawing>
      </w:r>
    </w:p>
    <w:p w14:paraId="52C213D1" w14:textId="0A679CF1" w:rsidR="00007798" w:rsidRDefault="0045127D" w:rsidP="0045127D">
      <w:pPr>
        <w:pStyle w:val="Captionfigtable"/>
        <w:rPr>
          <w:sz w:val="20"/>
        </w:rPr>
      </w:pPr>
      <w:bookmarkStart w:id="9" w:name="_Ref194604354"/>
      <w:r>
        <w:t xml:space="preserve">Figure </w:t>
      </w:r>
      <w:fldSimple w:instr=" SEQ Figure \* ARABIC ">
        <w:r w:rsidR="00DB700F">
          <w:rPr>
            <w:noProof/>
          </w:rPr>
          <w:t>7</w:t>
        </w:r>
      </w:fldSimple>
      <w:bookmarkEnd w:id="9"/>
      <w:r>
        <w:t xml:space="preserve"> </w:t>
      </w:r>
      <w:r w:rsidRPr="00ED0B9E">
        <w:t xml:space="preserve">Label Distribution of EUI (kWh/m²·year) </w:t>
      </w:r>
      <w:r w:rsidR="00490CC4">
        <w:t>a</w:t>
      </w:r>
      <w:r w:rsidRPr="00ED0B9E">
        <w:t xml:space="preserve">fter </w:t>
      </w:r>
      <w:r w:rsidR="00490CC4">
        <w:t>o</w:t>
      </w:r>
      <w:r w:rsidRPr="00ED0B9E">
        <w:t xml:space="preserve">utlier </w:t>
      </w:r>
      <w:r w:rsidR="00490CC4">
        <w:t>r</w:t>
      </w:r>
      <w:r w:rsidRPr="00ED0B9E">
        <w:t>emoval</w:t>
      </w:r>
    </w:p>
    <w:p w14:paraId="5BD620C0" w14:textId="5891774E" w:rsidR="00FF62B9" w:rsidRDefault="00FF62B9" w:rsidP="00A11939">
      <w:pPr>
        <w:pStyle w:val="PlainText"/>
        <w:ind w:firstLine="284"/>
        <w:rPr>
          <w:sz w:val="20"/>
        </w:rPr>
      </w:pPr>
    </w:p>
    <w:p w14:paraId="1E2A4384" w14:textId="4948F581" w:rsidR="00D8434E" w:rsidRDefault="00A87D40" w:rsidP="00A87D40">
      <w:pPr>
        <w:pStyle w:val="PlainText"/>
        <w:rPr>
          <w:sz w:val="20"/>
        </w:rPr>
      </w:pPr>
      <w:r>
        <w:rPr>
          <w:sz w:val="20"/>
        </w:rPr>
        <w:t xml:space="preserve">    </w:t>
      </w:r>
      <w:r w:rsidR="003125CA">
        <w:rPr>
          <w:sz w:val="20"/>
        </w:rPr>
        <w:t>For training efficiency</w:t>
      </w:r>
      <w:r w:rsidR="003B6F54" w:rsidRPr="003B6F54">
        <w:rPr>
          <w:sz w:val="20"/>
        </w:rPr>
        <w:t>, the EUI values</w:t>
      </w:r>
      <w:r w:rsidR="00A84304">
        <w:rPr>
          <w:sz w:val="20"/>
        </w:rPr>
        <w:t xml:space="preserve"> (labels)</w:t>
      </w:r>
      <w:r w:rsidR="003B6F54" w:rsidRPr="003B6F54">
        <w:rPr>
          <w:sz w:val="20"/>
        </w:rPr>
        <w:t xml:space="preserve"> are normalized to the range (0,1) using Min-Max scaling, resulting in normalized values with a mean of 0.</w:t>
      </w:r>
      <w:r w:rsidR="009A03E7">
        <w:rPr>
          <w:sz w:val="20"/>
        </w:rPr>
        <w:t>42</w:t>
      </w:r>
      <w:r w:rsidR="003B6F54" w:rsidRPr="003B6F54">
        <w:rPr>
          <w:sz w:val="20"/>
        </w:rPr>
        <w:t xml:space="preserve"> and a standard deviation of 0.1</w:t>
      </w:r>
      <w:r w:rsidR="00275B49">
        <w:rPr>
          <w:sz w:val="20"/>
        </w:rPr>
        <w:t>9</w:t>
      </w:r>
      <w:r w:rsidR="003B6F54" w:rsidRPr="003B6F54">
        <w:rPr>
          <w:sz w:val="20"/>
        </w:rPr>
        <w:t xml:space="preserve">. The normalized labels are then mapped to their </w:t>
      </w:r>
      <w:r w:rsidR="003B6F54" w:rsidRPr="003B6F54">
        <w:rPr>
          <w:sz w:val="20"/>
        </w:rPr>
        <w:t>corresponding model identifiers, forming the ground truth for this GNN regression task.</w:t>
      </w:r>
    </w:p>
    <w:p w14:paraId="2D94B863" w14:textId="77777777" w:rsidR="00DF6830" w:rsidRDefault="00DF6830" w:rsidP="00706B4F">
      <w:pPr>
        <w:pStyle w:val="PlainText"/>
        <w:ind w:firstLine="284"/>
        <w:rPr>
          <w:sz w:val="20"/>
        </w:rPr>
      </w:pPr>
    </w:p>
    <w:p w14:paraId="6E7D33BF" w14:textId="23FEBD1A" w:rsidR="00DF6830" w:rsidRDefault="00DF6830" w:rsidP="00DF6830">
      <w:pPr>
        <w:pStyle w:val="Heading1"/>
      </w:pPr>
      <w:r>
        <w:t>4.</w:t>
      </w:r>
      <w:r w:rsidR="00EA5318">
        <w:t>5</w:t>
      </w:r>
      <w:r>
        <w:t xml:space="preserve"> GNN Models Architecture and Training Setup</w:t>
      </w:r>
    </w:p>
    <w:p w14:paraId="127843CA" w14:textId="51C3DB1F" w:rsidR="00706B4F" w:rsidRPr="00706B4F" w:rsidRDefault="00706B4F" w:rsidP="004275A0">
      <w:pPr>
        <w:pStyle w:val="PlainText"/>
        <w:ind w:firstLine="284"/>
        <w:rPr>
          <w:sz w:val="20"/>
        </w:rPr>
      </w:pPr>
      <w:r w:rsidRPr="00706B4F">
        <w:rPr>
          <w:sz w:val="20"/>
        </w:rPr>
        <w:t>We evaluate three GNN architectures</w:t>
      </w:r>
      <w:r w:rsidR="004275A0">
        <w:rPr>
          <w:sz w:val="20"/>
        </w:rPr>
        <w:t xml:space="preserve"> - </w:t>
      </w:r>
      <w:r w:rsidRPr="00706B4F">
        <w:rPr>
          <w:sz w:val="20"/>
        </w:rPr>
        <w:t xml:space="preserve">GCN, </w:t>
      </w:r>
      <w:proofErr w:type="spellStart"/>
      <w:r w:rsidRPr="00706B4F">
        <w:rPr>
          <w:sz w:val="20"/>
        </w:rPr>
        <w:t>GraphSAGE</w:t>
      </w:r>
      <w:proofErr w:type="spellEnd"/>
      <w:r w:rsidRPr="00706B4F">
        <w:rPr>
          <w:sz w:val="20"/>
        </w:rPr>
        <w:t>, and GAT</w:t>
      </w:r>
      <w:r w:rsidR="004275A0">
        <w:rPr>
          <w:sz w:val="20"/>
        </w:rPr>
        <w:t xml:space="preserve"> - </w:t>
      </w:r>
      <w:r w:rsidRPr="00706B4F">
        <w:rPr>
          <w:sz w:val="20"/>
        </w:rPr>
        <w:t>to investigate how different message-passing and aggregation strategies influence performance, as well as to explore the impact of various hyperparameters. Each model employs a two-stage aggregation process:</w:t>
      </w:r>
    </w:p>
    <w:p w14:paraId="1F1ECF1B" w14:textId="4FD08799" w:rsidR="003156C1" w:rsidRDefault="00706B4F" w:rsidP="003156C1">
      <w:pPr>
        <w:pStyle w:val="PlainText"/>
        <w:ind w:firstLine="284"/>
        <w:rPr>
          <w:sz w:val="20"/>
        </w:rPr>
      </w:pPr>
      <w:r w:rsidRPr="003D243D">
        <w:rPr>
          <w:b/>
          <w:bCs/>
          <w:sz w:val="20"/>
        </w:rPr>
        <w:t>Message Passing Aggregation</w:t>
      </w:r>
      <w:r w:rsidRPr="00706B4F">
        <w:rPr>
          <w:sz w:val="20"/>
        </w:rPr>
        <w:t>:</w:t>
      </w:r>
      <w:r w:rsidRPr="004275A0">
        <w:rPr>
          <w:sz w:val="20"/>
        </w:rPr>
        <w:t xml:space="preserve"> During message passing, each model updates the node feature matrix by aggregating features from </w:t>
      </w:r>
      <w:proofErr w:type="spellStart"/>
      <w:r w:rsidRPr="004275A0">
        <w:rPr>
          <w:sz w:val="20"/>
        </w:rPr>
        <w:t>neighboring</w:t>
      </w:r>
      <w:proofErr w:type="spellEnd"/>
      <w:r w:rsidRPr="004275A0">
        <w:rPr>
          <w:sz w:val="20"/>
        </w:rPr>
        <w:t xml:space="preserve"> nodes. </w:t>
      </w:r>
      <w:r w:rsidR="008F25F4">
        <w:rPr>
          <w:rFonts w:eastAsia="DengXian" w:hint="eastAsia"/>
          <w:sz w:val="20"/>
          <w:lang w:eastAsia="zh-CN"/>
        </w:rPr>
        <w:t>We</w:t>
      </w:r>
      <w:r w:rsidR="003156C1">
        <w:rPr>
          <w:sz w:val="20"/>
        </w:rPr>
        <w:t xml:space="preserve"> test </w:t>
      </w:r>
      <w:proofErr w:type="spellStart"/>
      <w:r w:rsidRPr="004275A0">
        <w:rPr>
          <w:sz w:val="20"/>
        </w:rPr>
        <w:t>GraphSAGE</w:t>
      </w:r>
      <w:proofErr w:type="spellEnd"/>
      <w:r w:rsidRPr="004275A0">
        <w:rPr>
          <w:sz w:val="20"/>
        </w:rPr>
        <w:t xml:space="preserve"> with various aggregator </w:t>
      </w:r>
      <w:r w:rsidR="003156C1">
        <w:rPr>
          <w:sz w:val="20"/>
        </w:rPr>
        <w:t xml:space="preserve">functions: </w:t>
      </w:r>
      <w:r w:rsidRPr="004275A0">
        <w:rPr>
          <w:sz w:val="20"/>
        </w:rPr>
        <w:t>mean, pooling, or LSTM, while GAT utilizes attention-based weighted aggregation.</w:t>
      </w:r>
    </w:p>
    <w:p w14:paraId="5598618C" w14:textId="5E00F562" w:rsidR="009E7C1C" w:rsidRDefault="00706B4F" w:rsidP="009E7C1C">
      <w:pPr>
        <w:pStyle w:val="PlainText"/>
        <w:ind w:firstLine="284"/>
        <w:rPr>
          <w:sz w:val="20"/>
        </w:rPr>
      </w:pPr>
      <w:r w:rsidRPr="003156C1">
        <w:rPr>
          <w:b/>
          <w:bCs/>
          <w:sz w:val="20"/>
        </w:rPr>
        <w:t>Graph-Level Aggregation:</w:t>
      </w:r>
      <w:r w:rsidR="003156C1">
        <w:rPr>
          <w:sz w:val="20"/>
        </w:rPr>
        <w:t xml:space="preserve"> </w:t>
      </w:r>
      <w:r w:rsidRPr="00706B4F">
        <w:rPr>
          <w:sz w:val="20"/>
        </w:rPr>
        <w:t xml:space="preserve">After message passing, we aggregate the node-level outputs into a single graph-level feature vector. For this final aggregation, we apply mean pooling over all </w:t>
      </w:r>
      <w:r w:rsidR="00FF03F2" w:rsidRPr="00706B4F">
        <w:rPr>
          <w:sz w:val="20"/>
        </w:rPr>
        <w:t>nodes and</w:t>
      </w:r>
      <w:r w:rsidRPr="00706B4F">
        <w:rPr>
          <w:sz w:val="20"/>
        </w:rPr>
        <w:t xml:space="preserve"> then pass the resulting vector through a final linear layer to generate a single prediction.</w:t>
      </w:r>
    </w:p>
    <w:p w14:paraId="6A6E4526" w14:textId="77777777" w:rsidR="008D6DEB" w:rsidRDefault="008D6DEB" w:rsidP="008D6DEB">
      <w:pPr>
        <w:pStyle w:val="PlainText"/>
        <w:ind w:firstLine="284"/>
        <w:rPr>
          <w:sz w:val="20"/>
        </w:rPr>
      </w:pPr>
    </w:p>
    <w:p w14:paraId="4A80122A" w14:textId="7EA94331" w:rsidR="008D6DEB" w:rsidRPr="008D6DEB" w:rsidRDefault="008D6DEB" w:rsidP="008D6DEB">
      <w:pPr>
        <w:pStyle w:val="Heading1"/>
      </w:pPr>
      <w:r>
        <w:t>4.</w:t>
      </w:r>
      <w:r w:rsidR="00EA5318">
        <w:t>6</w:t>
      </w:r>
      <w:r>
        <w:t xml:space="preserve"> </w:t>
      </w:r>
      <w:r>
        <w:rPr>
          <w:rFonts w:eastAsia="DengXian" w:hint="eastAsia"/>
          <w:lang w:eastAsia="zh-CN"/>
        </w:rPr>
        <w:t>Hyperparameters searching</w:t>
      </w:r>
    </w:p>
    <w:p w14:paraId="48665053" w14:textId="71BEA20B" w:rsidR="00706B4F" w:rsidRPr="00706B4F" w:rsidRDefault="00706B4F" w:rsidP="009E7C1C">
      <w:pPr>
        <w:pStyle w:val="PlainText"/>
        <w:ind w:firstLine="284"/>
        <w:rPr>
          <w:sz w:val="20"/>
        </w:rPr>
      </w:pPr>
      <w:r w:rsidRPr="00706B4F">
        <w:rPr>
          <w:sz w:val="20"/>
        </w:rPr>
        <w:t xml:space="preserve">To </w:t>
      </w:r>
      <w:r w:rsidR="007F7DD8">
        <w:rPr>
          <w:sz w:val="20"/>
        </w:rPr>
        <w:t>identify the best</w:t>
      </w:r>
      <w:r w:rsidR="00AF4D58">
        <w:rPr>
          <w:sz w:val="20"/>
        </w:rPr>
        <w:t>-</w:t>
      </w:r>
      <w:r w:rsidR="007F7DD8">
        <w:rPr>
          <w:sz w:val="20"/>
        </w:rPr>
        <w:t>performing models for this task</w:t>
      </w:r>
      <w:r w:rsidRPr="00706B4F">
        <w:rPr>
          <w:sz w:val="20"/>
        </w:rPr>
        <w:t xml:space="preserve">, we conduct a grid search over </w:t>
      </w:r>
      <w:r w:rsidR="00FE12AD">
        <w:rPr>
          <w:sz w:val="20"/>
        </w:rPr>
        <w:t xml:space="preserve">a selection of </w:t>
      </w:r>
      <w:r w:rsidRPr="00706B4F">
        <w:rPr>
          <w:sz w:val="20"/>
        </w:rPr>
        <w:t>the following hyperparameters:</w:t>
      </w:r>
    </w:p>
    <w:p w14:paraId="44F95E51" w14:textId="1C3F5F9A" w:rsidR="00706B4F" w:rsidRPr="00706B4F" w:rsidRDefault="00706B4F" w:rsidP="009E7C1C">
      <w:pPr>
        <w:pStyle w:val="PlainText"/>
        <w:numPr>
          <w:ilvl w:val="0"/>
          <w:numId w:val="16"/>
        </w:numPr>
        <w:rPr>
          <w:sz w:val="20"/>
        </w:rPr>
      </w:pPr>
      <w:r w:rsidRPr="00706B4F">
        <w:rPr>
          <w:sz w:val="20"/>
        </w:rPr>
        <w:t>Hidden layer dimensions: 32,</w:t>
      </w:r>
      <w:r w:rsidR="009E7C1C">
        <w:rPr>
          <w:sz w:val="20"/>
        </w:rPr>
        <w:t xml:space="preserve"> </w:t>
      </w:r>
      <w:r w:rsidRPr="00706B4F">
        <w:rPr>
          <w:sz w:val="20"/>
        </w:rPr>
        <w:t>64</w:t>
      </w:r>
      <w:r w:rsidR="00FE12AD">
        <w:rPr>
          <w:sz w:val="20"/>
        </w:rPr>
        <w:t>, 128</w:t>
      </w:r>
    </w:p>
    <w:p w14:paraId="0D8D9202" w14:textId="1F8D9745" w:rsidR="00706B4F" w:rsidRPr="00706B4F" w:rsidRDefault="00706B4F" w:rsidP="009E7C1C">
      <w:pPr>
        <w:pStyle w:val="PlainText"/>
        <w:numPr>
          <w:ilvl w:val="0"/>
          <w:numId w:val="16"/>
        </w:numPr>
        <w:rPr>
          <w:sz w:val="20"/>
        </w:rPr>
      </w:pPr>
      <w:r w:rsidRPr="00706B4F">
        <w:rPr>
          <w:sz w:val="20"/>
        </w:rPr>
        <w:t>Number of layers: 2,</w:t>
      </w:r>
      <w:r w:rsidR="009E7C1C">
        <w:rPr>
          <w:sz w:val="20"/>
        </w:rPr>
        <w:t xml:space="preserve"> </w:t>
      </w:r>
      <w:r w:rsidRPr="00706B4F">
        <w:rPr>
          <w:sz w:val="20"/>
        </w:rPr>
        <w:t>3</w:t>
      </w:r>
      <w:r w:rsidR="00FE12AD">
        <w:rPr>
          <w:sz w:val="20"/>
        </w:rPr>
        <w:t>, 4</w:t>
      </w:r>
    </w:p>
    <w:p w14:paraId="72F8E77C" w14:textId="577A41F5" w:rsidR="00706B4F" w:rsidRPr="00706B4F" w:rsidRDefault="00706B4F" w:rsidP="009E7C1C">
      <w:pPr>
        <w:pStyle w:val="PlainText"/>
        <w:numPr>
          <w:ilvl w:val="0"/>
          <w:numId w:val="16"/>
        </w:numPr>
        <w:rPr>
          <w:sz w:val="20"/>
        </w:rPr>
      </w:pPr>
      <w:r w:rsidRPr="00706B4F">
        <w:rPr>
          <w:sz w:val="20"/>
        </w:rPr>
        <w:t>Learning</w:t>
      </w:r>
      <w:r w:rsidR="009E7C1C">
        <w:rPr>
          <w:sz w:val="20"/>
        </w:rPr>
        <w:t xml:space="preserve"> </w:t>
      </w:r>
      <w:r w:rsidRPr="00706B4F">
        <w:rPr>
          <w:sz w:val="20"/>
        </w:rPr>
        <w:t xml:space="preserve">rates: </w:t>
      </w:r>
      <w:r w:rsidR="006D4900" w:rsidRPr="00706B4F">
        <w:rPr>
          <w:sz w:val="20"/>
        </w:rPr>
        <w:t>1×10</w:t>
      </w:r>
      <w:r w:rsidR="006D4900" w:rsidRPr="0005200F">
        <w:rPr>
          <w:sz w:val="20"/>
          <w:vertAlign w:val="superscript"/>
        </w:rPr>
        <w:t>−</w:t>
      </w:r>
      <w:r w:rsidR="006D4900">
        <w:rPr>
          <w:sz w:val="20"/>
          <w:vertAlign w:val="superscript"/>
        </w:rPr>
        <w:t>2</w:t>
      </w:r>
      <w:r w:rsidR="006D4900">
        <w:rPr>
          <w:sz w:val="20"/>
        </w:rPr>
        <w:t xml:space="preserve">, </w:t>
      </w:r>
      <w:r w:rsidR="006D4900" w:rsidRPr="00706B4F">
        <w:rPr>
          <w:sz w:val="20"/>
        </w:rPr>
        <w:t>1×10</w:t>
      </w:r>
      <w:r w:rsidR="006D4900" w:rsidRPr="0005200F">
        <w:rPr>
          <w:sz w:val="20"/>
          <w:vertAlign w:val="superscript"/>
        </w:rPr>
        <w:t>−3</w:t>
      </w:r>
      <w:r w:rsidR="006D4900" w:rsidRPr="00706B4F">
        <w:rPr>
          <w:sz w:val="20"/>
        </w:rPr>
        <w:t>,</w:t>
      </w:r>
      <w:r w:rsidR="006D4900">
        <w:rPr>
          <w:sz w:val="20"/>
        </w:rPr>
        <w:t xml:space="preserve"> 1</w:t>
      </w:r>
      <w:r w:rsidR="006D4900" w:rsidRPr="00706B4F">
        <w:rPr>
          <w:sz w:val="20"/>
        </w:rPr>
        <w:t>×10</w:t>
      </w:r>
      <w:r w:rsidR="006D4900" w:rsidRPr="0005200F">
        <w:rPr>
          <w:sz w:val="20"/>
          <w:vertAlign w:val="superscript"/>
        </w:rPr>
        <w:t>−4</w:t>
      </w:r>
    </w:p>
    <w:p w14:paraId="7BC68E9A" w14:textId="49AAB092" w:rsidR="00706B4F" w:rsidRPr="00E50550" w:rsidRDefault="00706B4F" w:rsidP="00E50550">
      <w:pPr>
        <w:pStyle w:val="PlainText"/>
        <w:numPr>
          <w:ilvl w:val="0"/>
          <w:numId w:val="16"/>
        </w:numPr>
        <w:rPr>
          <w:sz w:val="20"/>
        </w:rPr>
      </w:pPr>
      <w:r w:rsidRPr="00706B4F">
        <w:rPr>
          <w:sz w:val="20"/>
        </w:rPr>
        <w:t>Dropout rates: 0.0,</w:t>
      </w:r>
      <w:r w:rsidR="009E7C1C">
        <w:rPr>
          <w:sz w:val="20"/>
        </w:rPr>
        <w:t xml:space="preserve"> </w:t>
      </w:r>
      <w:r w:rsidRPr="00706B4F">
        <w:rPr>
          <w:sz w:val="20"/>
        </w:rPr>
        <w:t>0.2</w:t>
      </w:r>
      <w:r w:rsidR="006D4900">
        <w:rPr>
          <w:sz w:val="20"/>
        </w:rPr>
        <w:t>, 0.5</w:t>
      </w:r>
    </w:p>
    <w:p w14:paraId="0682EC5A" w14:textId="46EF6758" w:rsidR="00706B4F" w:rsidRPr="00706B4F" w:rsidRDefault="00706B4F" w:rsidP="009E7C1C">
      <w:pPr>
        <w:pStyle w:val="PlainText"/>
        <w:numPr>
          <w:ilvl w:val="0"/>
          <w:numId w:val="16"/>
        </w:numPr>
        <w:rPr>
          <w:sz w:val="20"/>
        </w:rPr>
      </w:pPr>
      <w:r w:rsidRPr="00706B4F">
        <w:rPr>
          <w:sz w:val="20"/>
        </w:rPr>
        <w:t>Activation</w:t>
      </w:r>
      <w:r w:rsidR="009E7C1C">
        <w:rPr>
          <w:sz w:val="20"/>
        </w:rPr>
        <w:t xml:space="preserve"> </w:t>
      </w:r>
      <w:r w:rsidRPr="00706B4F">
        <w:rPr>
          <w:sz w:val="20"/>
        </w:rPr>
        <w:t xml:space="preserve">functions: </w:t>
      </w:r>
      <w:proofErr w:type="spellStart"/>
      <w:r w:rsidRPr="00706B4F">
        <w:rPr>
          <w:sz w:val="20"/>
        </w:rPr>
        <w:t>ReLU</w:t>
      </w:r>
      <w:proofErr w:type="spellEnd"/>
      <w:r w:rsidRPr="00706B4F">
        <w:rPr>
          <w:sz w:val="20"/>
        </w:rPr>
        <w:t>,</w:t>
      </w:r>
      <w:r w:rsidR="009E7C1C">
        <w:rPr>
          <w:sz w:val="20"/>
        </w:rPr>
        <w:t xml:space="preserve"> </w:t>
      </w:r>
      <w:proofErr w:type="spellStart"/>
      <w:r w:rsidRPr="00706B4F">
        <w:rPr>
          <w:sz w:val="20"/>
        </w:rPr>
        <w:t>LeakyReLU</w:t>
      </w:r>
      <w:proofErr w:type="spellEnd"/>
    </w:p>
    <w:p w14:paraId="3205AB67" w14:textId="1C13AE33" w:rsidR="00706B4F" w:rsidRPr="00706B4F" w:rsidRDefault="00706B4F" w:rsidP="009E7C1C">
      <w:pPr>
        <w:pStyle w:val="PlainText"/>
        <w:numPr>
          <w:ilvl w:val="0"/>
          <w:numId w:val="16"/>
        </w:numPr>
        <w:rPr>
          <w:sz w:val="20"/>
        </w:rPr>
      </w:pPr>
      <w:r w:rsidRPr="00706B4F">
        <w:rPr>
          <w:sz w:val="20"/>
        </w:rPr>
        <w:t>GAT</w:t>
      </w:r>
      <w:r w:rsidR="009E7C1C">
        <w:rPr>
          <w:sz w:val="20"/>
        </w:rPr>
        <w:t xml:space="preserve"> </w:t>
      </w:r>
      <w:r w:rsidR="0044223E">
        <w:rPr>
          <w:sz w:val="20"/>
        </w:rPr>
        <w:t xml:space="preserve">- </w:t>
      </w:r>
      <w:r w:rsidR="0044223E" w:rsidRPr="00706B4F">
        <w:rPr>
          <w:sz w:val="20"/>
        </w:rPr>
        <w:t>Number</w:t>
      </w:r>
      <w:r w:rsidRPr="00706B4F">
        <w:rPr>
          <w:sz w:val="20"/>
        </w:rPr>
        <w:t xml:space="preserve"> of attention heads: 2,</w:t>
      </w:r>
      <w:r w:rsidR="006D4900">
        <w:rPr>
          <w:sz w:val="20"/>
        </w:rPr>
        <w:t xml:space="preserve"> </w:t>
      </w:r>
      <w:r w:rsidRPr="00706B4F">
        <w:rPr>
          <w:sz w:val="20"/>
        </w:rPr>
        <w:t>4,</w:t>
      </w:r>
      <w:r w:rsidR="006D4900">
        <w:rPr>
          <w:sz w:val="20"/>
        </w:rPr>
        <w:t xml:space="preserve"> </w:t>
      </w:r>
      <w:r w:rsidRPr="00706B4F">
        <w:rPr>
          <w:sz w:val="20"/>
        </w:rPr>
        <w:t>8</w:t>
      </w:r>
      <w:r w:rsidR="006D4900">
        <w:rPr>
          <w:sz w:val="20"/>
        </w:rPr>
        <w:t>, 16</w:t>
      </w:r>
    </w:p>
    <w:p w14:paraId="55CEEA3A" w14:textId="70789148" w:rsidR="00433C58" w:rsidRDefault="00706B4F" w:rsidP="00433C58">
      <w:pPr>
        <w:pStyle w:val="PlainText"/>
        <w:numPr>
          <w:ilvl w:val="0"/>
          <w:numId w:val="16"/>
        </w:numPr>
        <w:rPr>
          <w:sz w:val="20"/>
        </w:rPr>
      </w:pPr>
      <w:proofErr w:type="spellStart"/>
      <w:r w:rsidRPr="00706B4F">
        <w:rPr>
          <w:sz w:val="20"/>
        </w:rPr>
        <w:t>GraphSAGE</w:t>
      </w:r>
      <w:proofErr w:type="spellEnd"/>
      <w:r w:rsidR="009E7C1C">
        <w:rPr>
          <w:sz w:val="20"/>
        </w:rPr>
        <w:t xml:space="preserve"> </w:t>
      </w:r>
      <w:r w:rsidR="0044223E">
        <w:rPr>
          <w:sz w:val="20"/>
        </w:rPr>
        <w:t xml:space="preserve">- </w:t>
      </w:r>
      <w:r w:rsidR="0044223E" w:rsidRPr="00706B4F">
        <w:rPr>
          <w:sz w:val="20"/>
        </w:rPr>
        <w:t>Aggregation</w:t>
      </w:r>
      <w:r w:rsidRPr="00706B4F">
        <w:rPr>
          <w:sz w:val="20"/>
        </w:rPr>
        <w:t xml:space="preserve"> functions: Mean,</w:t>
      </w:r>
      <w:r w:rsidR="009E7C1C">
        <w:rPr>
          <w:sz w:val="20"/>
        </w:rPr>
        <w:t xml:space="preserve"> </w:t>
      </w:r>
      <w:r w:rsidRPr="00706B4F">
        <w:rPr>
          <w:sz w:val="20"/>
        </w:rPr>
        <w:t>Pooling,</w:t>
      </w:r>
      <w:r w:rsidR="009E7C1C">
        <w:rPr>
          <w:sz w:val="20"/>
        </w:rPr>
        <w:t xml:space="preserve"> </w:t>
      </w:r>
      <w:r w:rsidRPr="00706B4F">
        <w:rPr>
          <w:sz w:val="20"/>
        </w:rPr>
        <w:t>LSTM</w:t>
      </w:r>
    </w:p>
    <w:p w14:paraId="31E89EAC" w14:textId="77777777" w:rsidR="001D3954" w:rsidRPr="008D6DEB" w:rsidRDefault="001D3954" w:rsidP="001D3954">
      <w:pPr>
        <w:pStyle w:val="PlainText"/>
        <w:ind w:left="360"/>
        <w:rPr>
          <w:sz w:val="20"/>
        </w:rPr>
      </w:pPr>
    </w:p>
    <w:p w14:paraId="6870B6FD" w14:textId="3E83AA35" w:rsidR="00433C58" w:rsidRPr="00B522A5" w:rsidRDefault="00327FE1" w:rsidP="00B522A5">
      <w:pPr>
        <w:pStyle w:val="Heading1"/>
      </w:pPr>
      <w:bookmarkStart w:id="10" w:name="_Ref194415596"/>
      <w:r w:rsidRPr="00B522A5">
        <w:t>4.</w:t>
      </w:r>
      <w:r w:rsidR="00EA5318">
        <w:t>7</w:t>
      </w:r>
      <w:r w:rsidRPr="00B522A5">
        <w:t xml:space="preserve"> </w:t>
      </w:r>
      <w:r w:rsidR="00433C58" w:rsidRPr="00B522A5">
        <w:t>Evaluation Criteria</w:t>
      </w:r>
      <w:bookmarkEnd w:id="10"/>
    </w:p>
    <w:p w14:paraId="7AC676A5" w14:textId="77777777" w:rsidR="004B76FE" w:rsidRDefault="007D5263" w:rsidP="007D5263">
      <w:pPr>
        <w:pStyle w:val="PlainText"/>
        <w:ind w:firstLine="284"/>
        <w:rPr>
          <w:rFonts w:eastAsia="DengXian"/>
          <w:sz w:val="20"/>
          <w:lang w:eastAsia="zh-CN"/>
        </w:rPr>
      </w:pPr>
      <w:r w:rsidRPr="007D5263">
        <w:rPr>
          <w:sz w:val="20"/>
        </w:rPr>
        <w:t>All models are trained using the same data splits</w:t>
      </w:r>
      <w:r w:rsidR="003D5E61" w:rsidRPr="003D5E61">
        <w:rPr>
          <w:sz w:val="20"/>
        </w:rPr>
        <w:t xml:space="preserve"> (</w:t>
      </w:r>
      <w:r w:rsidR="003D5E61">
        <w:rPr>
          <w:sz w:val="20"/>
        </w:rPr>
        <w:t>70</w:t>
      </w:r>
      <w:r w:rsidR="000C4210" w:rsidRPr="000C4210">
        <w:rPr>
          <w:sz w:val="20"/>
        </w:rPr>
        <w:t>% training, 10% validation</w:t>
      </w:r>
      <w:r w:rsidR="004B76FE">
        <w:rPr>
          <w:sz w:val="20"/>
        </w:rPr>
        <w:t>, and 20% test), with batches of the size of 32</w:t>
      </w:r>
      <w:r w:rsidR="00E50550">
        <w:rPr>
          <w:sz w:val="20"/>
        </w:rPr>
        <w:t xml:space="preserve"> for 50 epochs,</w:t>
      </w:r>
      <w:r w:rsidRPr="007D5263">
        <w:rPr>
          <w:sz w:val="20"/>
        </w:rPr>
        <w:t xml:space="preserve"> and loss function, which we have chosen as the Mean Squared Error (MSE). </w:t>
      </w:r>
    </w:p>
    <w:p w14:paraId="2FB0A3C2" w14:textId="7512BA4C" w:rsidR="007D5263" w:rsidRDefault="000C4210" w:rsidP="000C4210">
      <w:pPr>
        <w:pStyle w:val="PlainText"/>
        <w:ind w:firstLine="284"/>
        <w:rPr>
          <w:sz w:val="20"/>
        </w:rPr>
      </w:pPr>
      <w:r w:rsidRPr="000C4210">
        <w:rPr>
          <w:sz w:val="20"/>
        </w:rPr>
        <w:t>Once training is complete, we evaluate the model on unseen test data by computing various regression metrics. In addition to MSE used for loss minimization during training, we calculate the root mean squared error (RMSE), mean absolute error (MAE)</w:t>
      </w:r>
      <w:r w:rsidR="00433708">
        <w:rPr>
          <w:sz w:val="20"/>
        </w:rPr>
        <w:t xml:space="preserve"> and</w:t>
      </w:r>
      <w:r w:rsidRPr="000C4210">
        <w:rPr>
          <w:sz w:val="20"/>
        </w:rPr>
        <w:t xml:space="preserve"> mean absolute percentage error (MAPE).</w:t>
      </w:r>
      <w:r w:rsidR="003B357A" w:rsidRPr="003B357A">
        <w:t xml:space="preserve"> </w:t>
      </w:r>
      <w:r w:rsidR="003B357A" w:rsidRPr="003B357A">
        <w:rPr>
          <w:sz w:val="20"/>
        </w:rPr>
        <w:t xml:space="preserve">The coefficient of determination (R²) further illustrates the differences in model performance. An R² of 1.0 implies perfect prediction, while 0.0 indicates a model </w:t>
      </w:r>
      <w:r w:rsidR="00D8401D">
        <w:rPr>
          <w:sz w:val="20"/>
        </w:rPr>
        <w:t>predicting</w:t>
      </w:r>
      <w:r w:rsidR="003B357A" w:rsidRPr="003B357A">
        <w:rPr>
          <w:sz w:val="20"/>
        </w:rPr>
        <w:t xml:space="preserve"> the mean of the target variable.</w:t>
      </w:r>
    </w:p>
    <w:p w14:paraId="58C12DED" w14:textId="77777777" w:rsidR="00240286" w:rsidRPr="00240286" w:rsidRDefault="00240286" w:rsidP="00240286">
      <w:pPr>
        <w:pStyle w:val="PlainText"/>
        <w:ind w:firstLine="284"/>
        <w:rPr>
          <w:sz w:val="20"/>
        </w:rPr>
      </w:pPr>
    </w:p>
    <w:p w14:paraId="01B538A5" w14:textId="5C259363" w:rsidR="008D6DEB" w:rsidRDefault="008D6DEB" w:rsidP="008D6DEB">
      <w:pPr>
        <w:pStyle w:val="Heading1"/>
      </w:pPr>
      <w:r w:rsidRPr="00B522A5">
        <w:lastRenderedPageBreak/>
        <w:t>4.</w:t>
      </w:r>
      <w:r w:rsidR="00EA5318">
        <w:rPr>
          <w:rFonts w:eastAsia="DengXian"/>
          <w:lang w:eastAsia="zh-CN"/>
        </w:rPr>
        <w:t>8</w:t>
      </w:r>
      <w:r w:rsidRPr="00B522A5">
        <w:t xml:space="preserve"> </w:t>
      </w:r>
      <w:r w:rsidR="00FF34B6">
        <w:rPr>
          <w:rFonts w:eastAsia="DengXian" w:hint="eastAsia"/>
          <w:lang w:eastAsia="zh-CN"/>
        </w:rPr>
        <w:t>Results</w:t>
      </w:r>
    </w:p>
    <w:p w14:paraId="5D133274" w14:textId="38257C5F" w:rsidR="00147191" w:rsidRDefault="008D6DEB" w:rsidP="00E82E42">
      <w:pPr>
        <w:pStyle w:val="MainText"/>
      </w:pPr>
      <w:r>
        <w:rPr>
          <w:rFonts w:eastAsia="DengXian" w:hint="eastAsia"/>
          <w:lang w:eastAsia="zh-CN"/>
        </w:rPr>
        <w:t>The test result</w:t>
      </w:r>
      <w:r w:rsidR="00F9187B">
        <w:rPr>
          <w:rFonts w:eastAsia="DengXian"/>
          <w:lang w:eastAsia="zh-CN"/>
        </w:rPr>
        <w:t>s</w:t>
      </w:r>
      <w:r>
        <w:rPr>
          <w:rFonts w:eastAsia="DengXian" w:hint="eastAsia"/>
          <w:lang w:eastAsia="zh-CN"/>
        </w:rPr>
        <w:t xml:space="preserve"> on the best combination</w:t>
      </w:r>
      <w:r w:rsidR="00F9187B">
        <w:rPr>
          <w:rFonts w:eastAsia="DengXian"/>
          <w:lang w:eastAsia="zh-CN"/>
        </w:rPr>
        <w:t>s</w:t>
      </w:r>
      <w:r>
        <w:rPr>
          <w:rFonts w:eastAsia="DengXian" w:hint="eastAsia"/>
          <w:lang w:eastAsia="zh-CN"/>
        </w:rPr>
        <w:t xml:space="preserve"> of hyperparameters </w:t>
      </w:r>
      <w:r w:rsidR="00F9187B">
        <w:rPr>
          <w:rFonts w:eastAsia="DengXian"/>
          <w:lang w:eastAsia="zh-CN"/>
        </w:rPr>
        <w:t>are</w:t>
      </w:r>
      <w:r>
        <w:rPr>
          <w:rFonts w:eastAsia="DengXian" w:hint="eastAsia"/>
          <w:lang w:eastAsia="zh-CN"/>
        </w:rPr>
        <w:t xml:space="preserve"> presented in Table 1.</w:t>
      </w:r>
    </w:p>
    <w:p w14:paraId="26AFE621" w14:textId="77777777" w:rsidR="00C036D0" w:rsidRPr="00101371" w:rsidRDefault="00C036D0" w:rsidP="008D6DEB">
      <w:pPr>
        <w:pStyle w:val="MainText"/>
        <w:ind w:firstLine="0"/>
      </w:pPr>
      <w:bookmarkStart w:id="11" w:name="_Ref194325644"/>
    </w:p>
    <w:p w14:paraId="451C54A8" w14:textId="14055DFF" w:rsidR="00C036D0" w:rsidRPr="00101371" w:rsidRDefault="00C036D0" w:rsidP="004824B5">
      <w:pPr>
        <w:pStyle w:val="Captionfigtable"/>
      </w:pPr>
      <w:r w:rsidRPr="00101371">
        <w:t xml:space="preserve">Table </w:t>
      </w:r>
      <w:fldSimple w:instr=" SEQ Table \* ARABIC ">
        <w:r w:rsidR="00E31327">
          <w:rPr>
            <w:noProof/>
          </w:rPr>
          <w:t>1</w:t>
        </w:r>
      </w:fldSimple>
      <w:bookmarkEnd w:id="11"/>
      <w:r w:rsidRPr="00101371">
        <w:t xml:space="preserve"> </w:t>
      </w:r>
      <w:r w:rsidR="008D6DEB">
        <w:rPr>
          <w:rFonts w:eastAsia="DengXian" w:hint="eastAsia"/>
          <w:lang w:eastAsia="zh-CN"/>
        </w:rPr>
        <w:t>T</w:t>
      </w:r>
      <w:r w:rsidRPr="00101371">
        <w:t>est results of</w:t>
      </w:r>
      <w:r w:rsidR="008D6DEB">
        <w:rPr>
          <w:rFonts w:eastAsia="DengXian" w:hint="eastAsia"/>
          <w:lang w:eastAsia="zh-CN"/>
        </w:rPr>
        <w:t xml:space="preserve"> </w:t>
      </w:r>
      <w:r w:rsidRPr="00101371">
        <w:t xml:space="preserve">GNN </w:t>
      </w:r>
      <w:r w:rsidR="008D6DEB">
        <w:rPr>
          <w:rFonts w:eastAsia="DengXian" w:hint="eastAsia"/>
          <w:lang w:eastAsia="zh-CN"/>
        </w:rPr>
        <w:t>models</w:t>
      </w:r>
    </w:p>
    <w:tbl>
      <w:tblPr>
        <w:tblW w:w="4560" w:type="dxa"/>
        <w:tblLook w:val="04A0" w:firstRow="1" w:lastRow="0" w:firstColumn="1" w:lastColumn="0" w:noHBand="0" w:noVBand="1"/>
      </w:tblPr>
      <w:tblGrid>
        <w:gridCol w:w="2127"/>
        <w:gridCol w:w="850"/>
        <w:gridCol w:w="858"/>
        <w:gridCol w:w="725"/>
      </w:tblGrid>
      <w:tr w:rsidR="00C37E80" w:rsidRPr="00213734" w14:paraId="091DA5AD" w14:textId="77777777" w:rsidTr="007F1405">
        <w:trPr>
          <w:trHeight w:val="320"/>
        </w:trPr>
        <w:tc>
          <w:tcPr>
            <w:tcW w:w="2127" w:type="dxa"/>
            <w:tcBorders>
              <w:top w:val="single" w:sz="4" w:space="0" w:color="auto"/>
              <w:left w:val="nil"/>
              <w:bottom w:val="single" w:sz="4" w:space="0" w:color="auto"/>
              <w:right w:val="nil"/>
            </w:tcBorders>
            <w:shd w:val="clear" w:color="auto" w:fill="auto"/>
            <w:noWrap/>
            <w:vAlign w:val="bottom"/>
            <w:hideMark/>
          </w:tcPr>
          <w:p w14:paraId="6AE8949C" w14:textId="77777777" w:rsidR="00C036D0" w:rsidRPr="00213734" w:rsidRDefault="00C036D0" w:rsidP="00303F9D">
            <w:pPr>
              <w:keepNext/>
              <w:jc w:val="left"/>
              <w:rPr>
                <w:rFonts w:cs="Arial"/>
                <w:bCs/>
                <w:sz w:val="20"/>
                <w:szCs w:val="20"/>
                <w:lang w:val="en-US"/>
              </w:rPr>
            </w:pPr>
            <w:r w:rsidRPr="00213734">
              <w:rPr>
                <w:rFonts w:cs="Arial"/>
                <w:bCs/>
                <w:sz w:val="20"/>
                <w:szCs w:val="20"/>
                <w:lang w:val="en-US"/>
              </w:rPr>
              <w:t>Model Type</w:t>
            </w:r>
          </w:p>
        </w:tc>
        <w:tc>
          <w:tcPr>
            <w:tcW w:w="850" w:type="dxa"/>
            <w:tcBorders>
              <w:top w:val="single" w:sz="4" w:space="0" w:color="auto"/>
              <w:left w:val="nil"/>
              <w:bottom w:val="single" w:sz="4" w:space="0" w:color="auto"/>
              <w:right w:val="nil"/>
            </w:tcBorders>
            <w:shd w:val="clear" w:color="auto" w:fill="auto"/>
            <w:noWrap/>
            <w:vAlign w:val="bottom"/>
            <w:hideMark/>
          </w:tcPr>
          <w:p w14:paraId="779A0DDE" w14:textId="77777777" w:rsidR="00C036D0" w:rsidRPr="00213734" w:rsidRDefault="00C036D0" w:rsidP="00303F9D">
            <w:pPr>
              <w:rPr>
                <w:rFonts w:cs="Arial"/>
                <w:bCs/>
                <w:sz w:val="20"/>
                <w:szCs w:val="20"/>
                <w:lang w:val="en-US"/>
              </w:rPr>
            </w:pPr>
            <w:r w:rsidRPr="00213734">
              <w:rPr>
                <w:rFonts w:cs="Arial"/>
                <w:bCs/>
                <w:sz w:val="20"/>
                <w:szCs w:val="20"/>
                <w:lang w:val="en-US"/>
              </w:rPr>
              <w:t>GCN</w:t>
            </w:r>
          </w:p>
        </w:tc>
        <w:tc>
          <w:tcPr>
            <w:tcW w:w="858" w:type="dxa"/>
            <w:tcBorders>
              <w:top w:val="single" w:sz="4" w:space="0" w:color="auto"/>
              <w:left w:val="nil"/>
              <w:bottom w:val="single" w:sz="4" w:space="0" w:color="auto"/>
              <w:right w:val="nil"/>
            </w:tcBorders>
            <w:shd w:val="clear" w:color="auto" w:fill="auto"/>
            <w:noWrap/>
            <w:vAlign w:val="bottom"/>
            <w:hideMark/>
          </w:tcPr>
          <w:p w14:paraId="6C12FEBF" w14:textId="77777777" w:rsidR="00C036D0" w:rsidRPr="00213734" w:rsidRDefault="00C036D0" w:rsidP="00303F9D">
            <w:pPr>
              <w:rPr>
                <w:rFonts w:cs="Arial"/>
                <w:bCs/>
                <w:sz w:val="20"/>
                <w:szCs w:val="20"/>
                <w:lang w:val="en-US"/>
              </w:rPr>
            </w:pPr>
            <w:r w:rsidRPr="00213734">
              <w:rPr>
                <w:rFonts w:cs="Arial"/>
                <w:bCs/>
                <w:sz w:val="20"/>
                <w:szCs w:val="20"/>
                <w:lang w:val="en-US"/>
              </w:rPr>
              <w:t>Graph SAGE</w:t>
            </w:r>
          </w:p>
        </w:tc>
        <w:tc>
          <w:tcPr>
            <w:tcW w:w="725" w:type="dxa"/>
            <w:tcBorders>
              <w:top w:val="single" w:sz="4" w:space="0" w:color="auto"/>
              <w:left w:val="nil"/>
              <w:bottom w:val="single" w:sz="4" w:space="0" w:color="auto"/>
              <w:right w:val="nil"/>
            </w:tcBorders>
            <w:shd w:val="clear" w:color="auto" w:fill="auto"/>
            <w:noWrap/>
            <w:vAlign w:val="bottom"/>
            <w:hideMark/>
          </w:tcPr>
          <w:p w14:paraId="2FC3E464" w14:textId="77777777" w:rsidR="00C036D0" w:rsidRPr="00213734" w:rsidRDefault="00C036D0" w:rsidP="00303F9D">
            <w:pPr>
              <w:rPr>
                <w:rFonts w:cs="Arial"/>
                <w:bCs/>
                <w:sz w:val="20"/>
                <w:szCs w:val="20"/>
                <w:lang w:val="en-US"/>
              </w:rPr>
            </w:pPr>
            <w:r w:rsidRPr="00213734">
              <w:rPr>
                <w:rFonts w:cs="Arial"/>
                <w:bCs/>
                <w:sz w:val="20"/>
                <w:szCs w:val="20"/>
                <w:lang w:val="en-US"/>
              </w:rPr>
              <w:t>GAT</w:t>
            </w:r>
          </w:p>
        </w:tc>
      </w:tr>
      <w:tr w:rsidR="00C37E80" w:rsidRPr="00213734" w14:paraId="330C646E" w14:textId="77777777" w:rsidTr="007F1405">
        <w:trPr>
          <w:trHeight w:val="320"/>
        </w:trPr>
        <w:tc>
          <w:tcPr>
            <w:tcW w:w="2127" w:type="dxa"/>
            <w:tcBorders>
              <w:top w:val="single" w:sz="4" w:space="0" w:color="auto"/>
              <w:left w:val="nil"/>
              <w:bottom w:val="nil"/>
              <w:right w:val="nil"/>
            </w:tcBorders>
            <w:shd w:val="clear" w:color="auto" w:fill="auto"/>
            <w:noWrap/>
            <w:vAlign w:val="bottom"/>
            <w:hideMark/>
          </w:tcPr>
          <w:p w14:paraId="51698D0D" w14:textId="1B937461" w:rsidR="00C036D0" w:rsidRPr="00213734" w:rsidRDefault="00C036D0" w:rsidP="00303F9D">
            <w:pPr>
              <w:jc w:val="left"/>
              <w:rPr>
                <w:rFonts w:cs="Arial"/>
                <w:bCs/>
                <w:sz w:val="20"/>
                <w:szCs w:val="20"/>
                <w:lang w:val="en-US"/>
              </w:rPr>
            </w:pPr>
            <w:r w:rsidRPr="00213734">
              <w:rPr>
                <w:rFonts w:cs="Arial"/>
                <w:bCs/>
                <w:sz w:val="20"/>
                <w:szCs w:val="20"/>
                <w:lang w:val="en-US"/>
              </w:rPr>
              <w:t xml:space="preserve">MSE </w:t>
            </w:r>
            <w:r w:rsidRPr="004824B5">
              <w:rPr>
                <w:b w:val="0"/>
                <w:sz w:val="20"/>
                <w:lang w:val="en-US"/>
              </w:rPr>
              <w:t>(Norm.</w:t>
            </w:r>
            <w:r w:rsidR="00713384">
              <w:rPr>
                <w:b w:val="0"/>
                <w:sz w:val="20"/>
                <w:lang w:val="en-US"/>
              </w:rPr>
              <w:t xml:space="preserve"> 0-1</w:t>
            </w:r>
            <w:r w:rsidRPr="004824B5">
              <w:rPr>
                <w:b w:val="0"/>
                <w:sz w:val="20"/>
                <w:lang w:val="en-US"/>
              </w:rPr>
              <w:t>)</w:t>
            </w:r>
          </w:p>
        </w:tc>
        <w:tc>
          <w:tcPr>
            <w:tcW w:w="850" w:type="dxa"/>
            <w:tcBorders>
              <w:top w:val="single" w:sz="4" w:space="0" w:color="auto"/>
              <w:left w:val="nil"/>
              <w:bottom w:val="nil"/>
              <w:right w:val="nil"/>
            </w:tcBorders>
            <w:shd w:val="clear" w:color="auto" w:fill="auto"/>
            <w:noWrap/>
            <w:vAlign w:val="bottom"/>
            <w:hideMark/>
          </w:tcPr>
          <w:p w14:paraId="59551632" w14:textId="60E04DA4" w:rsidR="00C036D0" w:rsidRPr="00213734" w:rsidRDefault="00C036D0" w:rsidP="00303F9D">
            <w:pPr>
              <w:jc w:val="right"/>
              <w:rPr>
                <w:rFonts w:cs="Arial"/>
                <w:b w:val="0"/>
                <w:sz w:val="20"/>
                <w:szCs w:val="20"/>
                <w:lang w:val="en-US"/>
              </w:rPr>
            </w:pPr>
            <w:r w:rsidRPr="00213734">
              <w:rPr>
                <w:rFonts w:cs="Arial"/>
                <w:b w:val="0"/>
                <w:sz w:val="20"/>
                <w:szCs w:val="20"/>
                <w:lang w:val="en-US"/>
              </w:rPr>
              <w:t>0.00</w:t>
            </w:r>
            <w:r>
              <w:rPr>
                <w:rFonts w:cs="Arial"/>
                <w:b w:val="0"/>
                <w:sz w:val="20"/>
                <w:szCs w:val="20"/>
                <w:lang w:val="en-US"/>
              </w:rPr>
              <w:t>9</w:t>
            </w:r>
          </w:p>
        </w:tc>
        <w:tc>
          <w:tcPr>
            <w:tcW w:w="858" w:type="dxa"/>
            <w:tcBorders>
              <w:top w:val="single" w:sz="4" w:space="0" w:color="auto"/>
              <w:left w:val="nil"/>
              <w:bottom w:val="nil"/>
              <w:right w:val="nil"/>
            </w:tcBorders>
            <w:shd w:val="clear" w:color="auto" w:fill="auto"/>
            <w:noWrap/>
            <w:vAlign w:val="bottom"/>
            <w:hideMark/>
          </w:tcPr>
          <w:p w14:paraId="30415A46" w14:textId="6FABBD6D" w:rsidR="00C036D0" w:rsidRPr="00213734" w:rsidRDefault="00C036D0" w:rsidP="00303F9D">
            <w:pPr>
              <w:jc w:val="right"/>
              <w:rPr>
                <w:rFonts w:cs="Arial"/>
                <w:b w:val="0"/>
                <w:sz w:val="20"/>
                <w:szCs w:val="20"/>
                <w:lang w:val="en-US"/>
              </w:rPr>
            </w:pPr>
            <w:r w:rsidRPr="00213734">
              <w:rPr>
                <w:rFonts w:cs="Arial"/>
                <w:b w:val="0"/>
                <w:sz w:val="20"/>
                <w:szCs w:val="20"/>
                <w:lang w:val="en-US"/>
              </w:rPr>
              <w:t>0.00</w:t>
            </w:r>
            <w:r>
              <w:rPr>
                <w:rFonts w:cs="Arial"/>
                <w:b w:val="0"/>
                <w:sz w:val="20"/>
                <w:szCs w:val="20"/>
                <w:lang w:val="en-US"/>
              </w:rPr>
              <w:t>8</w:t>
            </w:r>
          </w:p>
        </w:tc>
        <w:tc>
          <w:tcPr>
            <w:tcW w:w="725" w:type="dxa"/>
            <w:tcBorders>
              <w:top w:val="single" w:sz="4" w:space="0" w:color="auto"/>
              <w:left w:val="nil"/>
              <w:bottom w:val="nil"/>
              <w:right w:val="nil"/>
            </w:tcBorders>
            <w:shd w:val="clear" w:color="auto" w:fill="auto"/>
            <w:noWrap/>
            <w:vAlign w:val="bottom"/>
            <w:hideMark/>
          </w:tcPr>
          <w:p w14:paraId="56310EAA" w14:textId="31CCAB8B" w:rsidR="00C036D0" w:rsidRPr="00213734" w:rsidRDefault="00C036D0" w:rsidP="00303F9D">
            <w:pPr>
              <w:jc w:val="right"/>
              <w:rPr>
                <w:rFonts w:cs="Arial"/>
                <w:b w:val="0"/>
                <w:sz w:val="20"/>
                <w:szCs w:val="20"/>
                <w:lang w:val="en-US"/>
              </w:rPr>
            </w:pPr>
            <w:r w:rsidRPr="00213734">
              <w:rPr>
                <w:rFonts w:cs="Arial"/>
                <w:b w:val="0"/>
                <w:sz w:val="20"/>
                <w:szCs w:val="20"/>
                <w:lang w:val="en-US"/>
              </w:rPr>
              <w:t>0.00</w:t>
            </w:r>
            <w:r>
              <w:rPr>
                <w:rFonts w:cs="Arial"/>
                <w:b w:val="0"/>
                <w:sz w:val="20"/>
                <w:szCs w:val="20"/>
                <w:lang w:val="en-US"/>
              </w:rPr>
              <w:t>7</w:t>
            </w:r>
          </w:p>
        </w:tc>
      </w:tr>
      <w:tr w:rsidR="00C37E80" w:rsidRPr="00213734" w14:paraId="6D33A890" w14:textId="77777777" w:rsidTr="007F1405">
        <w:trPr>
          <w:trHeight w:val="320"/>
        </w:trPr>
        <w:tc>
          <w:tcPr>
            <w:tcW w:w="2127" w:type="dxa"/>
            <w:tcBorders>
              <w:top w:val="nil"/>
              <w:left w:val="nil"/>
              <w:bottom w:val="nil"/>
              <w:right w:val="nil"/>
            </w:tcBorders>
            <w:shd w:val="clear" w:color="auto" w:fill="auto"/>
            <w:noWrap/>
            <w:vAlign w:val="bottom"/>
            <w:hideMark/>
          </w:tcPr>
          <w:p w14:paraId="602CB692" w14:textId="2441ADF7" w:rsidR="00C036D0" w:rsidRPr="00213734" w:rsidRDefault="00C036D0" w:rsidP="00303F9D">
            <w:pPr>
              <w:jc w:val="left"/>
              <w:rPr>
                <w:rFonts w:cs="Arial"/>
                <w:bCs/>
                <w:sz w:val="20"/>
                <w:szCs w:val="20"/>
                <w:lang w:val="en-US"/>
              </w:rPr>
            </w:pPr>
            <w:r w:rsidRPr="00213734">
              <w:rPr>
                <w:rFonts w:cs="Arial"/>
                <w:bCs/>
                <w:sz w:val="20"/>
                <w:szCs w:val="20"/>
                <w:lang w:val="en-US"/>
              </w:rPr>
              <w:t xml:space="preserve">RMSE </w:t>
            </w:r>
            <w:r w:rsidRPr="00562751">
              <w:rPr>
                <w:rFonts w:cs="Arial"/>
                <w:b w:val="0"/>
                <w:sz w:val="20"/>
                <w:szCs w:val="20"/>
                <w:lang w:val="en-US"/>
              </w:rPr>
              <w:t>[</w:t>
            </w:r>
            <w:r w:rsidR="0006221A" w:rsidRPr="0006221A">
              <w:rPr>
                <w:rFonts w:cs="Arial"/>
                <w:b w:val="0"/>
                <w:sz w:val="20"/>
                <w:szCs w:val="20"/>
                <w:lang w:val="en-US"/>
              </w:rPr>
              <w:t>kWh/m²·year</w:t>
            </w:r>
            <w:r w:rsidRPr="00562751">
              <w:rPr>
                <w:rFonts w:cs="Arial"/>
                <w:b w:val="0"/>
                <w:sz w:val="20"/>
                <w:szCs w:val="20"/>
                <w:lang w:val="en-US"/>
              </w:rPr>
              <w:t>]</w:t>
            </w:r>
          </w:p>
        </w:tc>
        <w:tc>
          <w:tcPr>
            <w:tcW w:w="850" w:type="dxa"/>
            <w:tcBorders>
              <w:top w:val="nil"/>
              <w:left w:val="nil"/>
              <w:bottom w:val="nil"/>
              <w:right w:val="nil"/>
            </w:tcBorders>
            <w:shd w:val="clear" w:color="auto" w:fill="auto"/>
            <w:noWrap/>
            <w:vAlign w:val="bottom"/>
            <w:hideMark/>
          </w:tcPr>
          <w:p w14:paraId="2E64EDC9" w14:textId="33EC2C37" w:rsidR="00C036D0" w:rsidRPr="00213734" w:rsidRDefault="00C036D0" w:rsidP="00303F9D">
            <w:pPr>
              <w:jc w:val="right"/>
              <w:rPr>
                <w:rFonts w:cs="Arial"/>
                <w:b w:val="0"/>
                <w:sz w:val="20"/>
                <w:szCs w:val="20"/>
                <w:lang w:val="en-US"/>
              </w:rPr>
            </w:pPr>
            <w:r>
              <w:rPr>
                <w:rFonts w:cs="Arial"/>
                <w:b w:val="0"/>
                <w:sz w:val="20"/>
                <w:szCs w:val="20"/>
                <w:lang w:val="en-US"/>
              </w:rPr>
              <w:t>82.12</w:t>
            </w:r>
          </w:p>
        </w:tc>
        <w:tc>
          <w:tcPr>
            <w:tcW w:w="858" w:type="dxa"/>
            <w:tcBorders>
              <w:top w:val="nil"/>
              <w:left w:val="nil"/>
              <w:bottom w:val="nil"/>
              <w:right w:val="nil"/>
            </w:tcBorders>
            <w:shd w:val="clear" w:color="auto" w:fill="auto"/>
            <w:noWrap/>
            <w:vAlign w:val="bottom"/>
            <w:hideMark/>
          </w:tcPr>
          <w:p w14:paraId="7102FD53" w14:textId="46D54FB2" w:rsidR="00C036D0" w:rsidRPr="00213734" w:rsidRDefault="00C036D0" w:rsidP="00303F9D">
            <w:pPr>
              <w:jc w:val="right"/>
              <w:rPr>
                <w:rFonts w:cs="Arial"/>
                <w:b w:val="0"/>
                <w:sz w:val="20"/>
                <w:szCs w:val="20"/>
                <w:lang w:val="en-US"/>
              </w:rPr>
            </w:pPr>
            <w:r>
              <w:rPr>
                <w:rFonts w:cs="Arial"/>
                <w:b w:val="0"/>
                <w:sz w:val="20"/>
                <w:szCs w:val="20"/>
                <w:lang w:val="en-US"/>
              </w:rPr>
              <w:t>77.00</w:t>
            </w:r>
          </w:p>
        </w:tc>
        <w:tc>
          <w:tcPr>
            <w:tcW w:w="725" w:type="dxa"/>
            <w:tcBorders>
              <w:top w:val="nil"/>
              <w:left w:val="nil"/>
              <w:bottom w:val="nil"/>
              <w:right w:val="nil"/>
            </w:tcBorders>
            <w:shd w:val="clear" w:color="auto" w:fill="auto"/>
            <w:noWrap/>
            <w:vAlign w:val="bottom"/>
            <w:hideMark/>
          </w:tcPr>
          <w:p w14:paraId="1ABD5A08" w14:textId="61EB677D" w:rsidR="00C036D0" w:rsidRPr="00213734" w:rsidRDefault="00C036D0" w:rsidP="00303F9D">
            <w:pPr>
              <w:jc w:val="right"/>
              <w:rPr>
                <w:rFonts w:cs="Arial"/>
                <w:b w:val="0"/>
                <w:sz w:val="20"/>
                <w:szCs w:val="20"/>
                <w:lang w:val="en-US"/>
              </w:rPr>
            </w:pPr>
            <w:r>
              <w:rPr>
                <w:rFonts w:cs="Arial"/>
                <w:b w:val="0"/>
                <w:sz w:val="20"/>
                <w:szCs w:val="20"/>
                <w:lang w:val="en-US"/>
              </w:rPr>
              <w:t>75.68</w:t>
            </w:r>
          </w:p>
        </w:tc>
      </w:tr>
      <w:tr w:rsidR="00C37E80" w:rsidRPr="00213734" w14:paraId="5332DD6A" w14:textId="77777777" w:rsidTr="007F1405">
        <w:trPr>
          <w:trHeight w:val="320"/>
        </w:trPr>
        <w:tc>
          <w:tcPr>
            <w:tcW w:w="2127" w:type="dxa"/>
            <w:tcBorders>
              <w:top w:val="nil"/>
              <w:left w:val="nil"/>
              <w:bottom w:val="nil"/>
              <w:right w:val="nil"/>
            </w:tcBorders>
            <w:shd w:val="clear" w:color="auto" w:fill="auto"/>
            <w:noWrap/>
            <w:vAlign w:val="bottom"/>
            <w:hideMark/>
          </w:tcPr>
          <w:p w14:paraId="71D69D56" w14:textId="1EEE0D37" w:rsidR="00C036D0" w:rsidRPr="00213734" w:rsidRDefault="00C036D0" w:rsidP="00303F9D">
            <w:pPr>
              <w:jc w:val="left"/>
              <w:rPr>
                <w:rFonts w:cs="Arial"/>
                <w:bCs/>
                <w:sz w:val="20"/>
                <w:szCs w:val="20"/>
                <w:lang w:val="en-US"/>
              </w:rPr>
            </w:pPr>
            <w:r w:rsidRPr="00213734">
              <w:rPr>
                <w:rFonts w:cs="Arial"/>
                <w:bCs/>
                <w:sz w:val="20"/>
                <w:szCs w:val="20"/>
                <w:lang w:val="en-US"/>
              </w:rPr>
              <w:t>R</w:t>
            </w:r>
            <w:r w:rsidRPr="005547F4">
              <w:rPr>
                <w:rFonts w:cs="Arial"/>
                <w:bCs/>
                <w:sz w:val="20"/>
                <w:szCs w:val="20"/>
                <w:vertAlign w:val="superscript"/>
                <w:lang w:val="en-US"/>
              </w:rPr>
              <w:t>2</w:t>
            </w:r>
          </w:p>
        </w:tc>
        <w:tc>
          <w:tcPr>
            <w:tcW w:w="850" w:type="dxa"/>
            <w:tcBorders>
              <w:top w:val="nil"/>
              <w:left w:val="nil"/>
              <w:bottom w:val="nil"/>
              <w:right w:val="nil"/>
            </w:tcBorders>
            <w:shd w:val="clear" w:color="auto" w:fill="auto"/>
            <w:noWrap/>
            <w:vAlign w:val="bottom"/>
            <w:hideMark/>
          </w:tcPr>
          <w:p w14:paraId="515EE434" w14:textId="761C0B36" w:rsidR="00C036D0" w:rsidRPr="00213734" w:rsidRDefault="00C036D0" w:rsidP="00303F9D">
            <w:pPr>
              <w:jc w:val="right"/>
              <w:rPr>
                <w:rFonts w:cs="Arial"/>
                <w:b w:val="0"/>
                <w:sz w:val="20"/>
                <w:szCs w:val="20"/>
                <w:lang w:val="en-US"/>
              </w:rPr>
            </w:pPr>
            <w:r w:rsidRPr="00213734">
              <w:rPr>
                <w:rFonts w:cs="Arial"/>
                <w:b w:val="0"/>
                <w:sz w:val="20"/>
                <w:szCs w:val="20"/>
                <w:lang w:val="en-US"/>
              </w:rPr>
              <w:t>0.</w:t>
            </w:r>
            <w:r>
              <w:rPr>
                <w:rFonts w:cs="Arial"/>
                <w:b w:val="0"/>
                <w:sz w:val="20"/>
                <w:szCs w:val="20"/>
                <w:lang w:val="en-US"/>
              </w:rPr>
              <w:t>71</w:t>
            </w:r>
          </w:p>
        </w:tc>
        <w:tc>
          <w:tcPr>
            <w:tcW w:w="858" w:type="dxa"/>
            <w:tcBorders>
              <w:top w:val="nil"/>
              <w:left w:val="nil"/>
              <w:bottom w:val="nil"/>
              <w:right w:val="nil"/>
            </w:tcBorders>
            <w:shd w:val="clear" w:color="auto" w:fill="auto"/>
            <w:noWrap/>
            <w:vAlign w:val="bottom"/>
            <w:hideMark/>
          </w:tcPr>
          <w:p w14:paraId="40657163" w14:textId="2CE70C7B" w:rsidR="00C036D0" w:rsidRPr="00213734" w:rsidRDefault="00C036D0" w:rsidP="00303F9D">
            <w:pPr>
              <w:jc w:val="right"/>
              <w:rPr>
                <w:rFonts w:cs="Arial"/>
                <w:b w:val="0"/>
                <w:sz w:val="20"/>
                <w:szCs w:val="20"/>
                <w:lang w:val="en-US"/>
              </w:rPr>
            </w:pPr>
            <w:r w:rsidRPr="00213734">
              <w:rPr>
                <w:rFonts w:cs="Arial"/>
                <w:b w:val="0"/>
                <w:sz w:val="20"/>
                <w:szCs w:val="20"/>
                <w:lang w:val="en-US"/>
              </w:rPr>
              <w:t>0.</w:t>
            </w:r>
            <w:r>
              <w:rPr>
                <w:rFonts w:cs="Arial"/>
                <w:b w:val="0"/>
                <w:sz w:val="20"/>
                <w:szCs w:val="20"/>
                <w:lang w:val="en-US"/>
              </w:rPr>
              <w:t>75</w:t>
            </w:r>
          </w:p>
        </w:tc>
        <w:tc>
          <w:tcPr>
            <w:tcW w:w="725" w:type="dxa"/>
            <w:tcBorders>
              <w:top w:val="nil"/>
              <w:left w:val="nil"/>
              <w:bottom w:val="nil"/>
              <w:right w:val="nil"/>
            </w:tcBorders>
            <w:shd w:val="clear" w:color="auto" w:fill="auto"/>
            <w:noWrap/>
            <w:vAlign w:val="bottom"/>
            <w:hideMark/>
          </w:tcPr>
          <w:p w14:paraId="0EBBBC48" w14:textId="36D699E2" w:rsidR="00C036D0" w:rsidRPr="00213734" w:rsidRDefault="00C036D0" w:rsidP="00303F9D">
            <w:pPr>
              <w:jc w:val="right"/>
              <w:rPr>
                <w:rFonts w:cs="Arial"/>
                <w:b w:val="0"/>
                <w:sz w:val="20"/>
                <w:szCs w:val="20"/>
                <w:lang w:val="en-US"/>
              </w:rPr>
            </w:pPr>
            <w:r w:rsidRPr="00213734">
              <w:rPr>
                <w:rFonts w:cs="Arial"/>
                <w:b w:val="0"/>
                <w:sz w:val="20"/>
                <w:szCs w:val="20"/>
                <w:lang w:val="en-US"/>
              </w:rPr>
              <w:t>0.7</w:t>
            </w:r>
            <w:r>
              <w:rPr>
                <w:rFonts w:cs="Arial"/>
                <w:b w:val="0"/>
                <w:sz w:val="20"/>
                <w:szCs w:val="20"/>
                <w:lang w:val="en-US"/>
              </w:rPr>
              <w:t>6</w:t>
            </w:r>
          </w:p>
        </w:tc>
      </w:tr>
      <w:tr w:rsidR="00C036D0" w:rsidRPr="00213734" w14:paraId="07049749" w14:textId="77777777" w:rsidTr="007F1405">
        <w:trPr>
          <w:trHeight w:val="320"/>
        </w:trPr>
        <w:tc>
          <w:tcPr>
            <w:tcW w:w="2127" w:type="dxa"/>
            <w:tcBorders>
              <w:top w:val="nil"/>
              <w:left w:val="nil"/>
              <w:right w:val="nil"/>
            </w:tcBorders>
            <w:shd w:val="clear" w:color="auto" w:fill="auto"/>
            <w:noWrap/>
            <w:vAlign w:val="bottom"/>
          </w:tcPr>
          <w:p w14:paraId="6164FB61" w14:textId="77777777" w:rsidR="00C036D0" w:rsidRPr="00213734" w:rsidRDefault="00C036D0" w:rsidP="00303F9D">
            <w:pPr>
              <w:jc w:val="left"/>
              <w:rPr>
                <w:rFonts w:cs="Arial"/>
                <w:bCs/>
                <w:sz w:val="20"/>
                <w:szCs w:val="20"/>
                <w:lang w:val="en-US"/>
              </w:rPr>
            </w:pPr>
            <w:r>
              <w:rPr>
                <w:rFonts w:cs="Arial"/>
                <w:bCs/>
                <w:sz w:val="20"/>
                <w:szCs w:val="20"/>
                <w:lang w:val="en-US"/>
              </w:rPr>
              <w:t>MAPE</w:t>
            </w:r>
            <w:r>
              <w:t xml:space="preserve"> </w:t>
            </w:r>
            <w:r w:rsidRPr="00562751">
              <w:rPr>
                <w:rFonts w:cs="Arial"/>
                <w:b w:val="0"/>
                <w:sz w:val="20"/>
                <w:szCs w:val="20"/>
                <w:lang w:val="en-US"/>
              </w:rPr>
              <w:t>[%]</w:t>
            </w:r>
          </w:p>
        </w:tc>
        <w:tc>
          <w:tcPr>
            <w:tcW w:w="850" w:type="dxa"/>
            <w:tcBorders>
              <w:top w:val="nil"/>
              <w:left w:val="nil"/>
              <w:right w:val="nil"/>
            </w:tcBorders>
            <w:shd w:val="clear" w:color="auto" w:fill="auto"/>
            <w:noWrap/>
            <w:vAlign w:val="bottom"/>
          </w:tcPr>
          <w:p w14:paraId="7A0CAA33" w14:textId="77777777" w:rsidR="00C036D0" w:rsidRPr="00213734" w:rsidRDefault="00C036D0" w:rsidP="00303F9D">
            <w:pPr>
              <w:jc w:val="right"/>
              <w:rPr>
                <w:rFonts w:cs="Arial"/>
                <w:b w:val="0"/>
                <w:sz w:val="20"/>
                <w:szCs w:val="20"/>
                <w:lang w:val="en-US"/>
              </w:rPr>
            </w:pPr>
            <w:r>
              <w:rPr>
                <w:rFonts w:cs="Arial"/>
                <w:b w:val="0"/>
                <w:sz w:val="20"/>
                <w:szCs w:val="20"/>
                <w:lang w:val="en-US"/>
              </w:rPr>
              <w:t>19.00</w:t>
            </w:r>
          </w:p>
        </w:tc>
        <w:tc>
          <w:tcPr>
            <w:tcW w:w="858" w:type="dxa"/>
            <w:tcBorders>
              <w:top w:val="nil"/>
              <w:left w:val="nil"/>
              <w:right w:val="nil"/>
            </w:tcBorders>
            <w:shd w:val="clear" w:color="auto" w:fill="auto"/>
            <w:noWrap/>
            <w:vAlign w:val="bottom"/>
          </w:tcPr>
          <w:p w14:paraId="52EA714B" w14:textId="77777777" w:rsidR="00C036D0" w:rsidRPr="00213734" w:rsidRDefault="00C036D0" w:rsidP="00303F9D">
            <w:pPr>
              <w:jc w:val="right"/>
              <w:rPr>
                <w:rFonts w:cs="Arial"/>
                <w:b w:val="0"/>
                <w:sz w:val="20"/>
                <w:szCs w:val="20"/>
                <w:lang w:val="en-US"/>
              </w:rPr>
            </w:pPr>
            <w:r>
              <w:rPr>
                <w:rFonts w:cs="Arial"/>
                <w:b w:val="0"/>
                <w:sz w:val="20"/>
                <w:szCs w:val="20"/>
                <w:lang w:val="en-US"/>
              </w:rPr>
              <w:t>16.64</w:t>
            </w:r>
          </w:p>
        </w:tc>
        <w:tc>
          <w:tcPr>
            <w:tcW w:w="725" w:type="dxa"/>
            <w:tcBorders>
              <w:top w:val="nil"/>
              <w:left w:val="nil"/>
              <w:right w:val="nil"/>
            </w:tcBorders>
            <w:shd w:val="clear" w:color="auto" w:fill="auto"/>
            <w:noWrap/>
            <w:vAlign w:val="bottom"/>
          </w:tcPr>
          <w:p w14:paraId="07093360" w14:textId="77777777" w:rsidR="00C036D0" w:rsidRPr="00213734" w:rsidRDefault="00C036D0" w:rsidP="00303F9D">
            <w:pPr>
              <w:jc w:val="right"/>
              <w:rPr>
                <w:rFonts w:cs="Arial"/>
                <w:b w:val="0"/>
                <w:sz w:val="20"/>
                <w:szCs w:val="20"/>
                <w:lang w:val="en-US"/>
              </w:rPr>
            </w:pPr>
            <w:r>
              <w:rPr>
                <w:rFonts w:cs="Arial"/>
                <w:b w:val="0"/>
                <w:sz w:val="20"/>
                <w:szCs w:val="20"/>
                <w:lang w:val="en-US"/>
              </w:rPr>
              <w:t>15.97</w:t>
            </w:r>
          </w:p>
        </w:tc>
      </w:tr>
      <w:tr w:rsidR="00C036D0" w:rsidRPr="00213734" w14:paraId="25008DE8" w14:textId="77777777" w:rsidTr="007F1405">
        <w:trPr>
          <w:trHeight w:val="320"/>
        </w:trPr>
        <w:tc>
          <w:tcPr>
            <w:tcW w:w="2127" w:type="dxa"/>
            <w:tcBorders>
              <w:top w:val="nil"/>
              <w:left w:val="nil"/>
              <w:bottom w:val="single" w:sz="4" w:space="0" w:color="auto"/>
              <w:right w:val="nil"/>
            </w:tcBorders>
            <w:shd w:val="clear" w:color="auto" w:fill="auto"/>
            <w:noWrap/>
            <w:vAlign w:val="bottom"/>
          </w:tcPr>
          <w:p w14:paraId="562C81D7" w14:textId="4FB86CBE" w:rsidR="00C036D0" w:rsidRDefault="00C036D0" w:rsidP="00303F9D">
            <w:pPr>
              <w:jc w:val="left"/>
              <w:rPr>
                <w:rFonts w:cs="Arial"/>
                <w:bCs/>
                <w:sz w:val="20"/>
                <w:szCs w:val="20"/>
                <w:lang w:val="en-US"/>
              </w:rPr>
            </w:pPr>
            <w:r>
              <w:rPr>
                <w:rFonts w:cs="Arial"/>
                <w:bCs/>
                <w:sz w:val="20"/>
                <w:szCs w:val="20"/>
                <w:lang w:val="en-US"/>
              </w:rPr>
              <w:t xml:space="preserve">MAE </w:t>
            </w:r>
            <w:r w:rsidRPr="00562751">
              <w:rPr>
                <w:rFonts w:cs="Arial"/>
                <w:b w:val="0"/>
                <w:sz w:val="20"/>
                <w:szCs w:val="20"/>
                <w:lang w:val="en-US"/>
              </w:rPr>
              <w:t>[</w:t>
            </w:r>
            <w:r w:rsidR="0006221A" w:rsidRPr="0006221A">
              <w:rPr>
                <w:rFonts w:cs="Arial"/>
                <w:b w:val="0"/>
                <w:sz w:val="20"/>
                <w:szCs w:val="20"/>
                <w:lang w:val="en-US"/>
              </w:rPr>
              <w:t>kWh/m²·year</w:t>
            </w:r>
            <w:r w:rsidRPr="00562751">
              <w:rPr>
                <w:rFonts w:cs="Arial"/>
                <w:b w:val="0"/>
                <w:sz w:val="20"/>
                <w:szCs w:val="20"/>
                <w:lang w:val="en-US"/>
              </w:rPr>
              <w:t>]</w:t>
            </w:r>
          </w:p>
        </w:tc>
        <w:tc>
          <w:tcPr>
            <w:tcW w:w="850" w:type="dxa"/>
            <w:tcBorders>
              <w:top w:val="nil"/>
              <w:left w:val="nil"/>
              <w:bottom w:val="single" w:sz="4" w:space="0" w:color="auto"/>
              <w:right w:val="nil"/>
            </w:tcBorders>
            <w:shd w:val="clear" w:color="auto" w:fill="auto"/>
            <w:noWrap/>
            <w:vAlign w:val="bottom"/>
          </w:tcPr>
          <w:p w14:paraId="047E0966" w14:textId="77777777" w:rsidR="00C036D0" w:rsidRDefault="00C036D0" w:rsidP="00303F9D">
            <w:pPr>
              <w:jc w:val="right"/>
              <w:rPr>
                <w:rFonts w:cs="Arial"/>
                <w:b w:val="0"/>
                <w:sz w:val="20"/>
                <w:szCs w:val="20"/>
                <w:lang w:val="en-US"/>
              </w:rPr>
            </w:pPr>
            <w:r>
              <w:rPr>
                <w:rFonts w:cs="Arial"/>
                <w:b w:val="0"/>
                <w:sz w:val="20"/>
                <w:szCs w:val="20"/>
                <w:lang w:val="en-US"/>
              </w:rPr>
              <w:t>53.34</w:t>
            </w:r>
          </w:p>
        </w:tc>
        <w:tc>
          <w:tcPr>
            <w:tcW w:w="858" w:type="dxa"/>
            <w:tcBorders>
              <w:top w:val="nil"/>
              <w:left w:val="nil"/>
              <w:bottom w:val="single" w:sz="4" w:space="0" w:color="auto"/>
              <w:right w:val="nil"/>
            </w:tcBorders>
            <w:shd w:val="clear" w:color="auto" w:fill="auto"/>
            <w:noWrap/>
            <w:vAlign w:val="bottom"/>
          </w:tcPr>
          <w:p w14:paraId="723B3DEE" w14:textId="77777777" w:rsidR="00C036D0" w:rsidRDefault="00C036D0" w:rsidP="00303F9D">
            <w:pPr>
              <w:jc w:val="right"/>
              <w:rPr>
                <w:rFonts w:cs="Arial"/>
                <w:b w:val="0"/>
                <w:sz w:val="20"/>
                <w:szCs w:val="20"/>
                <w:lang w:val="en-US"/>
              </w:rPr>
            </w:pPr>
            <w:r>
              <w:rPr>
                <w:rFonts w:cs="Arial"/>
                <w:b w:val="0"/>
                <w:sz w:val="20"/>
                <w:szCs w:val="20"/>
                <w:lang w:val="en-US"/>
              </w:rPr>
              <w:t>49.61</w:t>
            </w:r>
          </w:p>
        </w:tc>
        <w:tc>
          <w:tcPr>
            <w:tcW w:w="725" w:type="dxa"/>
            <w:tcBorders>
              <w:top w:val="nil"/>
              <w:left w:val="nil"/>
              <w:bottom w:val="single" w:sz="4" w:space="0" w:color="auto"/>
              <w:right w:val="nil"/>
            </w:tcBorders>
            <w:shd w:val="clear" w:color="auto" w:fill="auto"/>
            <w:noWrap/>
            <w:vAlign w:val="bottom"/>
          </w:tcPr>
          <w:p w14:paraId="65C3D649" w14:textId="77777777" w:rsidR="00C036D0" w:rsidRDefault="00C036D0" w:rsidP="00303F9D">
            <w:pPr>
              <w:jc w:val="right"/>
              <w:rPr>
                <w:rFonts w:cs="Arial"/>
                <w:b w:val="0"/>
                <w:sz w:val="20"/>
                <w:szCs w:val="20"/>
                <w:lang w:val="en-US"/>
              </w:rPr>
            </w:pPr>
            <w:r>
              <w:rPr>
                <w:rFonts w:cs="Arial"/>
                <w:b w:val="0"/>
                <w:sz w:val="20"/>
                <w:szCs w:val="20"/>
                <w:lang w:val="en-US"/>
              </w:rPr>
              <w:t>46.86</w:t>
            </w:r>
          </w:p>
        </w:tc>
      </w:tr>
    </w:tbl>
    <w:p w14:paraId="6975F694" w14:textId="77777777" w:rsidR="00AD3AA2" w:rsidRDefault="00AD3AA2" w:rsidP="00AD3AA2">
      <w:pPr>
        <w:pStyle w:val="MainText"/>
      </w:pPr>
    </w:p>
    <w:p w14:paraId="0B446DAE" w14:textId="25E4E881" w:rsidR="008D6DEB" w:rsidRDefault="00AD3AA2" w:rsidP="00AD3AA2">
      <w:pPr>
        <w:pStyle w:val="MainText"/>
        <w:rPr>
          <w:rFonts w:eastAsia="DengXian"/>
          <w:lang w:eastAsia="zh-CN"/>
        </w:rPr>
      </w:pPr>
      <w:r>
        <w:t xml:space="preserve">When evaluated on the original scale, the GAT model performed best, with an RMSE of 75.68 </w:t>
      </w:r>
      <w:r w:rsidR="0006221A" w:rsidRPr="00621110">
        <w:t>kWh/m²·year</w:t>
      </w:r>
      <w:r>
        <w:t xml:space="preserve">, compared to 77 </w:t>
      </w:r>
      <w:r w:rsidR="0006221A" w:rsidRPr="00621110">
        <w:t>kWh/m²·year</w:t>
      </w:r>
      <w:r w:rsidR="0006221A">
        <w:t xml:space="preserve"> </w:t>
      </w:r>
      <w:proofErr w:type="spellStart"/>
      <w:r>
        <w:t>GraphSAGE</w:t>
      </w:r>
      <w:proofErr w:type="spellEnd"/>
      <w:r>
        <w:t xml:space="preserve"> and 82.12 </w:t>
      </w:r>
      <w:r w:rsidR="0006221A" w:rsidRPr="00621110">
        <w:t>kWh/m²·year</w:t>
      </w:r>
      <w:r w:rsidR="0006221A">
        <w:t xml:space="preserve"> </w:t>
      </w:r>
      <w:r>
        <w:t xml:space="preserve">for GCN. Similarly, with an MAE of 46.86 </w:t>
      </w:r>
      <w:r w:rsidR="0006221A" w:rsidRPr="00621110">
        <w:t>kWh/m²·year</w:t>
      </w:r>
      <w:r>
        <w:t xml:space="preserve">, it outperformed </w:t>
      </w:r>
      <w:proofErr w:type="spellStart"/>
      <w:r>
        <w:t>GraphSAGE</w:t>
      </w:r>
      <w:proofErr w:type="spellEnd"/>
      <w:r>
        <w:t xml:space="preserve"> (49.61 </w:t>
      </w:r>
      <w:r w:rsidR="0006221A" w:rsidRPr="00621110">
        <w:t>kWh/m²·year</w:t>
      </w:r>
      <w:r>
        <w:t xml:space="preserve">) and GCN (53.34 </w:t>
      </w:r>
      <w:r w:rsidR="0006221A" w:rsidRPr="00621110">
        <w:t>kWh/m²·year</w:t>
      </w:r>
      <w:r>
        <w:t xml:space="preserve">). </w:t>
      </w:r>
    </w:p>
    <w:p w14:paraId="1E533108" w14:textId="5418B7B3" w:rsidR="003D410E" w:rsidRDefault="00AD3AA2" w:rsidP="003B357A">
      <w:pPr>
        <w:pStyle w:val="MainText"/>
      </w:pPr>
      <w:r>
        <w:t xml:space="preserve">This indicates that the best model overall deviates from the ground truth on average by around 47 </w:t>
      </w:r>
      <w:r w:rsidR="0006221A" w:rsidRPr="00621110">
        <w:t>kWh/m²·year</w:t>
      </w:r>
      <w:r w:rsidR="0006221A">
        <w:t xml:space="preserve"> </w:t>
      </w:r>
      <w:r>
        <w:t>- a substantial error in an engineering context</w:t>
      </w:r>
      <w:r w:rsidR="00054B71">
        <w:t xml:space="preserve"> (see </w:t>
      </w:r>
      <w:r w:rsidR="00054B71">
        <w:fldChar w:fldCharType="begin"/>
      </w:r>
      <w:r w:rsidR="00054B71">
        <w:instrText xml:space="preserve"> REF _Ref194667896 \h </w:instrText>
      </w:r>
      <w:r w:rsidR="00054B71">
        <w:fldChar w:fldCharType="separate"/>
      </w:r>
      <w:r w:rsidR="00054B71">
        <w:t xml:space="preserve">Figure </w:t>
      </w:r>
      <w:r w:rsidR="00054B71">
        <w:rPr>
          <w:noProof/>
        </w:rPr>
        <w:t>8</w:t>
      </w:r>
      <w:r w:rsidR="00054B71">
        <w:fldChar w:fldCharType="end"/>
      </w:r>
      <w:r w:rsidR="00054B71">
        <w:t>)</w:t>
      </w:r>
      <w:r>
        <w:t>.</w:t>
      </w:r>
      <w:r w:rsidR="003B357A">
        <w:t xml:space="preserve"> </w:t>
      </w:r>
      <w:r w:rsidR="00871B4F" w:rsidRPr="00871B4F">
        <w:t>The best GAT model achieved an R² of 0.76, reflecting reasonably strong performance for a regression task, though additional improvements would be necessary for deployment in engineering applications</w:t>
      </w:r>
      <w:r w:rsidR="003D410E" w:rsidRPr="00213734">
        <w:t>.</w:t>
      </w:r>
    </w:p>
    <w:p w14:paraId="09EE04B8" w14:textId="77777777" w:rsidR="00067049" w:rsidRPr="00213734" w:rsidRDefault="00067049" w:rsidP="003B357A">
      <w:pPr>
        <w:pStyle w:val="MainText"/>
      </w:pPr>
    </w:p>
    <w:p w14:paraId="0E04828F" w14:textId="77777777" w:rsidR="00DB700F" w:rsidRDefault="00982134" w:rsidP="00DB700F">
      <w:pPr>
        <w:pStyle w:val="MainText"/>
        <w:keepNext/>
        <w:ind w:firstLine="0"/>
      </w:pPr>
      <w:r>
        <w:rPr>
          <w:noProof/>
        </w:rPr>
        <w:drawing>
          <wp:inline distT="0" distB="0" distL="0" distR="0" wp14:anchorId="3829187F" wp14:editId="2520F750">
            <wp:extent cx="2895600" cy="1977193"/>
            <wp:effectExtent l="0" t="0" r="0" b="4445"/>
            <wp:docPr id="5307830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83047"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0" cy="1977193"/>
                    </a:xfrm>
                    <a:prstGeom prst="rect">
                      <a:avLst/>
                    </a:prstGeom>
                  </pic:spPr>
                </pic:pic>
              </a:graphicData>
            </a:graphic>
          </wp:inline>
        </w:drawing>
      </w:r>
    </w:p>
    <w:p w14:paraId="4B0BA172" w14:textId="09C9BF4C" w:rsidR="005014D3" w:rsidRDefault="00DB700F" w:rsidP="00DB700F">
      <w:pPr>
        <w:pStyle w:val="Captionfigtable"/>
      </w:pPr>
      <w:bookmarkStart w:id="12" w:name="_Ref194667896"/>
      <w:r>
        <w:t xml:space="preserve">Figure </w:t>
      </w:r>
      <w:fldSimple w:instr=" SEQ Figure \* ARABIC ">
        <w:r>
          <w:rPr>
            <w:noProof/>
          </w:rPr>
          <w:t>8</w:t>
        </w:r>
      </w:fldSimple>
      <w:bookmarkEnd w:id="12"/>
      <w:r>
        <w:t xml:space="preserve"> </w:t>
      </w:r>
      <w:r w:rsidR="005C206A" w:rsidRPr="005C206A">
        <w:t xml:space="preserve">Distribution of </w:t>
      </w:r>
      <w:r w:rsidR="00644E0A">
        <w:t>residuals (EUI ground truth – prediction)</w:t>
      </w:r>
      <w:r w:rsidR="005C206A" w:rsidRPr="005C206A">
        <w:t xml:space="preserve"> </w:t>
      </w:r>
      <w:r w:rsidR="00644E0A">
        <w:t>a</w:t>
      </w:r>
      <w:r w:rsidR="005C206A" w:rsidRPr="005C206A">
        <w:t xml:space="preserve">cross </w:t>
      </w:r>
      <w:r w:rsidR="005C206A">
        <w:t xml:space="preserve">the best variants of each </w:t>
      </w:r>
      <w:r w:rsidR="005C206A" w:rsidRPr="005C206A">
        <w:t>GNN Model</w:t>
      </w:r>
    </w:p>
    <w:p w14:paraId="1C136596" w14:textId="77777777" w:rsidR="00DB700F" w:rsidRPr="00213734" w:rsidRDefault="00DB700F" w:rsidP="00DB700F">
      <w:pPr>
        <w:pStyle w:val="Captionfigtable"/>
      </w:pPr>
    </w:p>
    <w:p w14:paraId="2BB87D7F" w14:textId="57F0A138" w:rsidR="002F02AC" w:rsidRPr="00B90F57" w:rsidRDefault="000710B2" w:rsidP="00B90F57">
      <w:pPr>
        <w:pStyle w:val="Heading1"/>
        <w:numPr>
          <w:ilvl w:val="0"/>
          <w:numId w:val="17"/>
        </w:numPr>
      </w:pPr>
      <w:r w:rsidRPr="004044CE">
        <w:t>DISCUSSION</w:t>
      </w:r>
    </w:p>
    <w:p w14:paraId="2F990483" w14:textId="77777777" w:rsidR="002F02AC" w:rsidRDefault="002F02AC" w:rsidP="000710B2">
      <w:pPr>
        <w:pStyle w:val="MainText"/>
        <w:rPr>
          <w:rFonts w:eastAsia="DengXian"/>
          <w:lang w:eastAsia="zh-CN"/>
        </w:rPr>
      </w:pPr>
      <w:r>
        <w:rPr>
          <w:rFonts w:eastAsia="DengXian" w:hint="eastAsia"/>
          <w:lang w:eastAsia="zh-CN"/>
        </w:rPr>
        <w:t xml:space="preserve">This study </w:t>
      </w:r>
      <w:r w:rsidR="00F50DC2">
        <w:t>creat</w:t>
      </w:r>
      <w:r>
        <w:rPr>
          <w:rFonts w:eastAsia="DengXian" w:hint="eastAsia"/>
          <w:lang w:eastAsia="zh-CN"/>
        </w:rPr>
        <w:t>ed</w:t>
      </w:r>
      <w:r w:rsidR="00F50DC2">
        <w:t xml:space="preserve"> </w:t>
      </w:r>
      <w:r w:rsidR="00944778">
        <w:t xml:space="preserve">a </w:t>
      </w:r>
      <w:r w:rsidR="00F42476">
        <w:t>diverse dataset of building energy models</w:t>
      </w:r>
      <w:r w:rsidR="003547EE">
        <w:t xml:space="preserve"> and</w:t>
      </w:r>
      <w:r w:rsidR="00EC409B">
        <w:t xml:space="preserve"> </w:t>
      </w:r>
      <w:r>
        <w:t>investigated</w:t>
      </w:r>
      <w:r w:rsidR="003547EE">
        <w:t xml:space="preserve"> GNNs</w:t>
      </w:r>
      <w:r w:rsidR="00823DB8">
        <w:t>’ ability</w:t>
      </w:r>
      <w:r w:rsidR="003547EE">
        <w:t xml:space="preserve"> to predict building energy performance</w:t>
      </w:r>
      <w:r w:rsidR="00057221">
        <w:t xml:space="preserve">. </w:t>
      </w:r>
    </w:p>
    <w:p w14:paraId="2795E9DB" w14:textId="22B368F1" w:rsidR="005B0BE0" w:rsidRDefault="002F02AC" w:rsidP="000710B2">
      <w:pPr>
        <w:pStyle w:val="MainText"/>
      </w:pPr>
      <w:r>
        <w:rPr>
          <w:rFonts w:eastAsia="DengXian" w:hint="eastAsia"/>
          <w:lang w:eastAsia="zh-CN"/>
        </w:rPr>
        <w:t xml:space="preserve">To achieve that, we constructed a </w:t>
      </w:r>
      <w:r w:rsidR="0006221A">
        <w:rPr>
          <w:rFonts w:eastAsia="DengXian"/>
          <w:lang w:eastAsia="zh-CN"/>
        </w:rPr>
        <w:t>synthetic</w:t>
      </w:r>
      <w:r w:rsidR="005B0BE0">
        <w:rPr>
          <w:rFonts w:eastAsia="DengXian"/>
          <w:lang w:eastAsia="zh-CN"/>
        </w:rPr>
        <w:t xml:space="preserve"> dataset </w:t>
      </w:r>
      <w:r>
        <w:rPr>
          <w:rFonts w:eastAsia="DengXian" w:hint="eastAsia"/>
          <w:lang w:eastAsia="zh-CN"/>
        </w:rPr>
        <w:t>with</w:t>
      </w:r>
      <w:r w:rsidR="005B0BE0">
        <w:rPr>
          <w:rFonts w:eastAsia="DengXian"/>
          <w:lang w:eastAsia="zh-CN"/>
        </w:rPr>
        <w:t xml:space="preserve"> </w:t>
      </w:r>
      <w:r w:rsidR="005B0BE0" w:rsidRPr="005B0BE0">
        <w:t xml:space="preserve">1,176 buildings in </w:t>
      </w:r>
      <w:r w:rsidR="00DB3897">
        <w:rPr>
          <w:rFonts w:eastAsia="DengXian" w:hint="eastAsia"/>
          <w:lang w:eastAsia="zh-CN"/>
        </w:rPr>
        <w:t xml:space="preserve">different countries. </w:t>
      </w:r>
    </w:p>
    <w:p w14:paraId="785C4AEF" w14:textId="6A780FA1" w:rsidR="005D4DB6" w:rsidRPr="008B1C8F" w:rsidRDefault="008C7EDF" w:rsidP="008B1C8F">
      <w:pPr>
        <w:pStyle w:val="MainText"/>
      </w:pPr>
      <w:r w:rsidRPr="008C7EDF">
        <w:t xml:space="preserve">We selected </w:t>
      </w:r>
      <w:r>
        <w:t>EUI</w:t>
      </w:r>
      <w:r w:rsidRPr="008C7EDF">
        <w:t xml:space="preserve"> as our prediction </w:t>
      </w:r>
      <w:r>
        <w:t>task</w:t>
      </w:r>
      <w:r w:rsidRPr="008C7EDF">
        <w:t xml:space="preserve">. Because EUI is defined per unit area, it partially decouples total consumption from building geometry, making prediction </w:t>
      </w:r>
      <w:r>
        <w:t xml:space="preserve">task </w:t>
      </w:r>
      <w:r w:rsidRPr="008C7EDF">
        <w:t xml:space="preserve">more challenging. </w:t>
      </w:r>
    </w:p>
    <w:p w14:paraId="46AA8FA7" w14:textId="15DE09B9" w:rsidR="002F02AC" w:rsidRPr="002F02AC" w:rsidRDefault="00F82868" w:rsidP="002F02AC">
      <w:pPr>
        <w:pStyle w:val="MainText"/>
        <w:rPr>
          <w:rFonts w:eastAsia="DengXian"/>
          <w:b/>
          <w:bCs/>
          <w:lang w:eastAsia="zh-CN"/>
        </w:rPr>
      </w:pPr>
      <w:r>
        <w:rPr>
          <w:rFonts w:eastAsia="DengXian" w:hint="eastAsia"/>
          <w:b/>
          <w:bCs/>
          <w:lang w:eastAsia="zh-CN"/>
        </w:rPr>
        <w:t>5</w:t>
      </w:r>
      <w:r w:rsidR="002F02AC">
        <w:rPr>
          <w:b/>
          <w:bCs/>
        </w:rPr>
        <w:t>.</w:t>
      </w:r>
      <w:r>
        <w:rPr>
          <w:rFonts w:eastAsia="DengXian" w:hint="eastAsia"/>
          <w:b/>
          <w:bCs/>
          <w:lang w:eastAsia="zh-CN"/>
        </w:rPr>
        <w:t>1</w:t>
      </w:r>
      <w:r w:rsidR="002F02AC" w:rsidRPr="004044CE">
        <w:rPr>
          <w:b/>
          <w:bCs/>
        </w:rPr>
        <w:t xml:space="preserve"> </w:t>
      </w:r>
      <w:r w:rsidR="002F02AC">
        <w:rPr>
          <w:rFonts w:eastAsia="DengXian" w:hint="eastAsia"/>
          <w:b/>
          <w:bCs/>
          <w:lang w:eastAsia="zh-CN"/>
        </w:rPr>
        <w:t>Contributions</w:t>
      </w:r>
    </w:p>
    <w:p w14:paraId="530E1A5B" w14:textId="41FE425C" w:rsidR="002F02AC" w:rsidRDefault="009D5AC5" w:rsidP="00497950">
      <w:pPr>
        <w:pStyle w:val="MainText"/>
        <w:rPr>
          <w:rFonts w:eastAsia="DengXian"/>
          <w:lang w:eastAsia="zh-CN"/>
        </w:rPr>
      </w:pPr>
      <w:r w:rsidRPr="009D5AC5">
        <w:t>In contrast to previous GNN-based energy prediction studies that treat each building or zone as a single node (e.g.,</w:t>
      </w:r>
      <w:r w:rsidR="00032AFD">
        <w:t xml:space="preserve"> </w:t>
      </w:r>
      <w:r w:rsidR="00032AFD">
        <w:fldChar w:fldCharType="begin"/>
      </w:r>
      <w:r w:rsidR="0016199B">
        <w:instrText xml:space="preserve"> ADDIN ZOTERO_ITEM CSL_CITATION {"citationID":"dWy9FX9A","properties":{"formattedCitation":"(Hu {\\i{}et al.}, 2022; Hala\\uc0\\u231{}l\\uc0\\u305{} {\\i{}et al.}, 2023)","plainCitation":"(Hu et al., 2022; Halaçlı et al., 2023)","dontUpdate":true,"noteIndex":0},"citationItems":[{"id":3175,"uris":["http://zotero.org/groups/5482058/items/2DIZB4ZQ"],"itemData":{"id":3175,"type":"article-journal","abstract":"The world is increasingly urbanizing and building industry accounts for more than 40% of energy consumption in the United States. To improve urban sustainability, many cities adopt ambitious energysaving strategies through retrofitting existing buildings and constructing new communities. In this situation, an accurate urban building energy model (UBEM) is the foundation to support the design of energy-efficient communities. However, current UBEM are limited in their abilities to capture the interbuilding interdependency due to its dynamic and non-linear characteristics. Those models either ignored or oversimplified these building interdependencies, which can substantially affect the accuracy of urban energy modeling. To fill the research gap, this study proposes a novel data-driven UBEM synthesizing the solar-based building interdependency and spatial-temporal graph convolutional network (ST-GCN) algorithm. Especially, we took a university campus located in downtown of Atlanta as an example to predict the hourly energy consumption. Furthermore, we tested the feasibility of proposed model by comparing the performance of the ST-GCN model with other common time-series machine learning models. The results indicate that the ST-GCN model overall outperforms than all others. In addition, the physical knowledge embedded in the model is well interpreted. After discussion, it is found that datadriven models integrated engineering or physical knowledge can significantly improve the urban building energy simulation.","container-title":"Applied Energy","DOI":"10.1016/j.apenergy.2021.118231","ISSN":"03062619","journalAbbreviation":"Applied Energy","language":"en","page":"118231","source":"DOI.org (Crossref)","title":"Times series forecasting for urban building energy consumption based on graph convolutional network","volume":"307","author":[{"family":"Hu","given":"Yuqing"},{"family":"Cheng","given":"Xiaoyuan"},{"family":"Wang","given":"Suhang"},{"family":"Chen","given":"Jianli"},{"family":"Zhao","given":"Tianxiang"},{"family":"Dai","given":"Enyan"}],"issued":{"date-parts":[["2022",2]]},"citation-key":"huTimesSeriesForecasting2022"}},{"id":3152,"uris":["http://zotero.org/groups/5482058/items/5DM2ME8T"],"itemData":{"id":3152,"type":"paper-conference","abstract":"Buildings are highly responsible for total energy consumption in cities; therefore, accurate estimation of building energy consumption is essential for developing energy-efficient strategies on an urban scale. Data-driven urban building energy models can predict energy use with high precision and low computational cost. In recent years, machine learning, especially neural networks, emerged as the prominent method for predicting energy load for buildings. These models typically use different input features on building form, occupancy and operation. However, they remain inadequate in capturing the complex inter-dependencies (i.e., heat transfer) between units in multi-zone buildings, as they do not have an explicit representation of the neighborhood relations between zones. The precision of data-driven models can be improved using Graph neural networks (GNN) that can capture the underlying relationships and dependencies between different building elements. In this paper we propose a novel GNN model that surpasses the current state-of-art methods for the prediction of zone-level heating energy use. We applied the methodology in a residential neighborhood consisting of 5866 buildings and 64462 zones. We use zone-level features regarding their geometry, material thermal characteristics, internal loads as node features, inter-zone parameters as edge features (total area and U value of the adjacent surfaces) and weather parameters. The results showed that our proposed model provides improvements over alternative approaches for precise prediction of urban building energy consumption.","container-title":"Proceedings of the 10th ACM International Conference on Systems for Energy-Efficient Buildings, Cities, and Transportation","DOI":"10.1145/3600100.3623747","event-place":"Istanbul Turkey","event-title":"BuildSys '23: The 10th ACM International Conference on Systems for Energy-Efficient Buildings, Cities, and Transportation","ISBN":"979-8-4007-0230-3","language":"en","page":"169-176","publisher":"ACM","publisher-place":"Istanbul Turkey","source":"DOI.org (Crossref)","title":"A Novel Graph Neural Network for Zone-Level Urban-Scale Building Energy Use Estimation","URL":"https://dl.acm.org/doi/10.1145/3600100.3623747","author":[{"family":"Halaçlı","given":"Eren Gökberk"},{"family":"Canlı","given":"İlkim"},{"family":"İşeri","given":"Orçun Koral"},{"family":"Yavuz","given":"Feyza"},{"family":"Akgül","given":"Çağla Meral"},{"family":"Kalkan","given":"Sinan"},{"family":"Dino","given":"Ipek Gürsel"}],"accessed":{"date-parts":[["2025",3,15]]},"issued":{"date-parts":[["2023",11,15]]},"citation-key":"halacliNovelGraphNeural2023"}}],"schema":"https://github.com/citation-style-language/schema/raw/master/csl-citation.json"} </w:instrText>
      </w:r>
      <w:r w:rsidR="00032AFD">
        <w:fldChar w:fldCharType="separate"/>
      </w:r>
      <w:r w:rsidR="00032AFD" w:rsidRPr="00032AFD">
        <w:t xml:space="preserve">Hu </w:t>
      </w:r>
      <w:r w:rsidR="00032AFD" w:rsidRPr="00032AFD">
        <w:rPr>
          <w:i/>
          <w:iCs/>
        </w:rPr>
        <w:t>et al.</w:t>
      </w:r>
      <w:r w:rsidR="00032AFD" w:rsidRPr="00032AFD">
        <w:t xml:space="preserve">, 2022; Halaçlı </w:t>
      </w:r>
      <w:r w:rsidR="00032AFD" w:rsidRPr="00032AFD">
        <w:rPr>
          <w:i/>
          <w:iCs/>
        </w:rPr>
        <w:t>et al.</w:t>
      </w:r>
      <w:r w:rsidR="00032AFD" w:rsidRPr="00032AFD">
        <w:t>, 2023)</w:t>
      </w:r>
      <w:r w:rsidR="00032AFD">
        <w:fldChar w:fldCharType="end"/>
      </w:r>
      <w:r w:rsidRPr="009D5AC5">
        <w:t>, this work introduces a more granular approach</w:t>
      </w:r>
      <w:r>
        <w:t xml:space="preserve">, </w:t>
      </w:r>
      <w:r w:rsidRPr="009D5AC5">
        <w:t xml:space="preserve">where each wall, window, or shading object becomes a node in the graph. </w:t>
      </w:r>
    </w:p>
    <w:p w14:paraId="0CA12DBF" w14:textId="77777777" w:rsidR="0066256E" w:rsidRDefault="00AC4DEB" w:rsidP="00497950">
      <w:pPr>
        <w:pStyle w:val="MainText"/>
        <w:rPr>
          <w:rFonts w:eastAsia="DengXian"/>
          <w:lang w:eastAsia="zh-CN"/>
        </w:rPr>
      </w:pPr>
      <w:r w:rsidRPr="00AC4DEB">
        <w:t xml:space="preserve">This element-level </w:t>
      </w:r>
      <w:r w:rsidR="00F13F2A">
        <w:t>approach</w:t>
      </w:r>
      <w:r w:rsidRPr="00AC4DEB">
        <w:t xml:space="preserve"> aligns with component-based energy modeling methods in the literature (Chen, Singh, and Geyer 2024; Geyer, Singh, and Chen 2024), but our </w:t>
      </w:r>
      <w:r w:rsidR="00963DC7">
        <w:t xml:space="preserve">method </w:t>
      </w:r>
      <w:r w:rsidR="00F13F2A">
        <w:t>involves</w:t>
      </w:r>
      <w:r w:rsidRPr="00AC4DEB">
        <w:t xml:space="preserve"> GNN architectures rather than conventional</w:t>
      </w:r>
      <w:r w:rsidR="000B30E8">
        <w:t>, no</w:t>
      </w:r>
      <w:r w:rsidR="00963DC7">
        <w:t>n</w:t>
      </w:r>
      <w:r w:rsidR="000B30E8">
        <w:t>-geometric</w:t>
      </w:r>
      <w:r w:rsidRPr="00AC4DEB">
        <w:t xml:space="preserve"> ML. Our top-down data creation process ensure</w:t>
      </w:r>
      <w:r w:rsidR="0050212A">
        <w:t>s</w:t>
      </w:r>
      <w:r w:rsidRPr="00AC4DEB">
        <w:t xml:space="preserve"> broad coverage of climates, functions, and urban contexts, </w:t>
      </w:r>
      <w:r w:rsidR="000B30E8">
        <w:t>aiming at g</w:t>
      </w:r>
      <w:r w:rsidRPr="00AC4DEB">
        <w:t>eneralization across varied building configurations</w:t>
      </w:r>
      <w:r w:rsidR="000D43AC">
        <w:t xml:space="preserve">. </w:t>
      </w:r>
    </w:p>
    <w:p w14:paraId="2AF9A047" w14:textId="25C18893" w:rsidR="00AC4DEB" w:rsidRDefault="00AC4DEB" w:rsidP="00C37E16">
      <w:pPr>
        <w:pStyle w:val="MainText"/>
      </w:pPr>
      <w:r w:rsidRPr="00AC4DEB">
        <w:t>After feature engineering and dimensionality reduction, the resulting graph representations are well-suited for GNN applications.</w:t>
      </w:r>
      <w:r w:rsidR="00C37E16" w:rsidRPr="00C37E16">
        <w:t xml:space="preserve"> </w:t>
      </w:r>
      <w:r w:rsidR="00C37E16" w:rsidRPr="009D5AC5">
        <w:t xml:space="preserve">Our best model performance, </w:t>
      </w:r>
      <w:r w:rsidR="00C37E16">
        <w:t xml:space="preserve">when comparing the </w:t>
      </w:r>
      <w:r w:rsidR="00C37E16" w:rsidRPr="009D5AC5">
        <w:t>RMSE</w:t>
      </w:r>
      <w:r w:rsidR="00C37E16">
        <w:t xml:space="preserve"> with this metric’s value in other studies</w:t>
      </w:r>
      <w:r w:rsidR="00C37E16" w:rsidRPr="009D5AC5">
        <w:t xml:space="preserve">, is </w:t>
      </w:r>
      <w:r w:rsidR="00C37E16">
        <w:t>slightly worse</w:t>
      </w:r>
      <w:r w:rsidR="00C37E16" w:rsidRPr="009D5AC5">
        <w:t xml:space="preserve">, </w:t>
      </w:r>
      <w:r w:rsidR="00C37E16">
        <w:t>what is expected considering a much more diverse dataset</w:t>
      </w:r>
      <w:r w:rsidR="00C37E16" w:rsidRPr="009D5AC5">
        <w:t>.</w:t>
      </w:r>
    </w:p>
    <w:p w14:paraId="450B8CDD" w14:textId="77777777" w:rsidR="00497950" w:rsidRDefault="00497950" w:rsidP="00497950">
      <w:pPr>
        <w:pStyle w:val="MainText"/>
      </w:pPr>
    </w:p>
    <w:p w14:paraId="6E4CF2BC" w14:textId="28941887" w:rsidR="00C843E6" w:rsidRPr="004044CE" w:rsidRDefault="0066256E" w:rsidP="00497950">
      <w:pPr>
        <w:pStyle w:val="MainText"/>
        <w:rPr>
          <w:b/>
          <w:bCs/>
        </w:rPr>
      </w:pPr>
      <w:r>
        <w:rPr>
          <w:rFonts w:eastAsia="DengXian" w:hint="eastAsia"/>
          <w:b/>
          <w:bCs/>
          <w:lang w:eastAsia="zh-CN"/>
        </w:rPr>
        <w:t>5</w:t>
      </w:r>
      <w:r w:rsidR="00C843E6" w:rsidRPr="004044CE">
        <w:rPr>
          <w:b/>
          <w:bCs/>
        </w:rPr>
        <w:t>.</w:t>
      </w:r>
      <w:r w:rsidR="004C4BD4">
        <w:rPr>
          <w:b/>
          <w:bCs/>
        </w:rPr>
        <w:t>2</w:t>
      </w:r>
      <w:r w:rsidR="00C843E6" w:rsidRPr="004044CE">
        <w:rPr>
          <w:b/>
          <w:bCs/>
        </w:rPr>
        <w:t xml:space="preserve"> </w:t>
      </w:r>
      <w:r w:rsidR="00497950" w:rsidRPr="004044CE">
        <w:rPr>
          <w:b/>
          <w:bCs/>
        </w:rPr>
        <w:t>L</w:t>
      </w:r>
      <w:r w:rsidR="00C843E6" w:rsidRPr="004044CE">
        <w:rPr>
          <w:b/>
          <w:bCs/>
        </w:rPr>
        <w:t>imitation</w:t>
      </w:r>
      <w:r w:rsidR="00497950" w:rsidRPr="004044CE">
        <w:rPr>
          <w:b/>
          <w:bCs/>
        </w:rPr>
        <w:t>s</w:t>
      </w:r>
    </w:p>
    <w:p w14:paraId="38596DCB" w14:textId="58EFBE22" w:rsidR="000E24A3" w:rsidRDefault="0090248E" w:rsidP="00F46B5A">
      <w:pPr>
        <w:pStyle w:val="MainText"/>
      </w:pPr>
      <w:r w:rsidRPr="0090248E">
        <w:t>The study's experimental design meant that the dataset was built on many assumptions and simplifications.</w:t>
      </w:r>
      <w:r w:rsidR="000E24A3" w:rsidRPr="000E24A3">
        <w:t xml:space="preserve"> First, a substantial amount of building metadata (e.g., </w:t>
      </w:r>
      <w:r w:rsidR="00141815">
        <w:t>year built</w:t>
      </w:r>
      <w:r w:rsidR="000E24A3" w:rsidRPr="000E24A3">
        <w:t xml:space="preserve">, material properties) </w:t>
      </w:r>
      <w:r w:rsidR="009334D2">
        <w:t>is</w:t>
      </w:r>
      <w:r w:rsidR="000E24A3" w:rsidRPr="000E24A3">
        <w:t xml:space="preserve"> unavailable in OpenStreetMap (OSM)</w:t>
      </w:r>
      <w:r w:rsidR="008729A8">
        <w:t xml:space="preserve">, while the available data is not spread </w:t>
      </w:r>
      <w:r w:rsidR="00510C05">
        <w:t>evenly</w:t>
      </w:r>
      <w:r w:rsidR="000E24A3" w:rsidRPr="000E24A3">
        <w:t xml:space="preserve">. This gap </w:t>
      </w:r>
      <w:r w:rsidR="00B614A4">
        <w:t>lead</w:t>
      </w:r>
      <w:r w:rsidR="00E76952">
        <w:t>s</w:t>
      </w:r>
      <w:r w:rsidR="00B614A4">
        <w:t xml:space="preserve"> to data</w:t>
      </w:r>
      <w:r w:rsidR="000E24A3" w:rsidRPr="000E24A3">
        <w:t xml:space="preserve"> imputation or broad categorization, </w:t>
      </w:r>
      <w:r w:rsidR="00E76952">
        <w:t>here additionally</w:t>
      </w:r>
      <w:r w:rsidR="000E24A3" w:rsidRPr="000E24A3">
        <w:t xml:space="preserve"> aided by large language models, </w:t>
      </w:r>
      <w:r w:rsidR="00B614A4">
        <w:t>thus</w:t>
      </w:r>
      <w:r w:rsidR="000E24A3" w:rsidRPr="000E24A3">
        <w:t xml:space="preserve"> introducing possible biases and inaccuracies. </w:t>
      </w:r>
      <w:r w:rsidR="00510C05">
        <w:t>Utilizing</w:t>
      </w:r>
      <w:r w:rsidR="00510C05" w:rsidRPr="00510C05">
        <w:t xml:space="preserve"> available templates significantly reduced the range of material definitions and building programs, </w:t>
      </w:r>
      <w:r w:rsidR="0016199B">
        <w:t>while</w:t>
      </w:r>
      <w:r w:rsidR="00510C05" w:rsidRPr="00510C05">
        <w:t xml:space="preserve"> existing building stock shows higher variation in construction technologies and material-specific properties that affect performance</w:t>
      </w:r>
      <w:r w:rsidR="000B296F">
        <w:t xml:space="preserve"> </w:t>
      </w:r>
      <w:r w:rsidR="0016199B">
        <w:fldChar w:fldCharType="begin"/>
      </w:r>
      <w:r w:rsidR="000B296F">
        <w:instrText xml:space="preserve"> ADDIN ZOTERO_ITEM CSL_CITATION {"citationID":"kjHt1vXO","properties":{"formattedCitation":"(Kaltenegger, Frandsen and Petrova, 2025)","plainCitation":"(Kaltenegger, Frandsen and Petrova, 2025)","noteIndex":0},"citationItems":[{"id":3469,"uris":["http://zotero.org/groups/5482058/items/URZQ2L42"],"itemData":{"id":3469,"type":"article-journal","abstract":"Material Information Modelling (MIM) is a cornerstone of Building Performance Simulation (BPS). However, defining and exchanging data between building modelling and simulation tools is cumbersome due to notable deficiencies in the granularity of material information descriptions. The inadequacies in the data models and exchanges lead to faulty interpretations of material properties in building performance assessment. The material science domain strives to advance material research and expedite the market readiness of novel materials through intricate data modelling, performance computations, and interdisciplinary communication channels. In addition to the latter, adopting the Findable, Accessible, Interoperable, and Reusable principles holds significant potential in promoting accurate MIM within Architecture, Engineering and Construction. This study introduces an ontology-driven framework leveraging Semantic Web technologies and Linked Data to support MIM in the context of Building Information Modelling and BPS. The framework implementation is demonstrated in a webbased application that enables the dynamic assessment and benchmarking of building materials based on the Guggenheim, Anderson and de Boer model and thermal resistance computations. The development of the framework relies on ontology engineering principles to represent domain knowledge in a Building Material Performance ontology, as well as Systems Engineering coupled with test-driven development for requirement engineering, system design, implementation, and validation. The results include a novel MIM data model enabling material classification and property definitions in alignment with international standards. The implementation validates and assesses the logic of the proposed data model and software application by conducting hygric and thermal performance assessments applied on case studies.","container-title":"Building and Environment","DOI":"10.1016/j.buildenv.2025.112565","ISSN":"03601323","journalAbbreviation":"Building and Environment","language":"en","page":"112565","source":"DOI.org (Crossref)","title":"An ontology-driven framework for digital transformation and performance assessment of building materials","volume":"271","author":[{"family":"Kaltenegger","given":"Julia"},{"family":"Frandsen","given":"Kirstine Meyer"},{"family":"Petrova","given":"Ekaterina"}],"issued":{"date-parts":[["2025",3]]},"citation-key":"kalteneggerOntologydrivenFrameworkDigital2025"}}],"schema":"https://github.com/citation-style-language/schema/raw/master/csl-citation.json"} </w:instrText>
      </w:r>
      <w:r w:rsidR="0016199B">
        <w:fldChar w:fldCharType="separate"/>
      </w:r>
      <w:r w:rsidR="000B296F">
        <w:rPr>
          <w:noProof/>
        </w:rPr>
        <w:t>(Kaltenegger et al., 2025)</w:t>
      </w:r>
      <w:r w:rsidR="0016199B">
        <w:fldChar w:fldCharType="end"/>
      </w:r>
      <w:r w:rsidR="00510C05" w:rsidRPr="00510C05">
        <w:t>.</w:t>
      </w:r>
    </w:p>
    <w:p w14:paraId="43FBBE91" w14:textId="77777777" w:rsidR="009207D6" w:rsidRDefault="005F5219" w:rsidP="00F46B5A">
      <w:pPr>
        <w:pStyle w:val="MainText"/>
      </w:pPr>
      <w:r w:rsidRPr="005F5219">
        <w:t xml:space="preserve">Another constraint involves the graph representation. Throughout the iterative </w:t>
      </w:r>
      <w:r w:rsidR="00D56E87">
        <w:t>graph</w:t>
      </w:r>
      <w:r w:rsidRPr="005F5219">
        <w:t>-</w:t>
      </w:r>
      <w:r w:rsidR="00D56E87">
        <w:t>defining</w:t>
      </w:r>
      <w:r w:rsidRPr="005F5219">
        <w:t xml:space="preserve"> process, numerous node and edge definitions were tested, but no formal, systematic evaluation method was employed to compare configurations</w:t>
      </w:r>
      <w:r w:rsidR="009207D6">
        <w:t>. Especially the edge properties can potentially further improve the graph representation.</w:t>
      </w:r>
    </w:p>
    <w:p w14:paraId="5E25EAD0" w14:textId="709FE3F3" w:rsidR="005F5219" w:rsidRDefault="005F5219" w:rsidP="00F46B5A">
      <w:pPr>
        <w:pStyle w:val="MainText"/>
      </w:pPr>
      <w:r w:rsidRPr="005F5219">
        <w:t xml:space="preserve">Likewise, the chosen feature-engineering and dimensionality-reduction techniques, while effective at managing high-dimensional data, might lose certain </w:t>
      </w:r>
      <w:r w:rsidR="00E34802">
        <w:t xml:space="preserve">information </w:t>
      </w:r>
      <w:r w:rsidRPr="005F5219">
        <w:t xml:space="preserve">relevant </w:t>
      </w:r>
      <w:r w:rsidR="00212030">
        <w:t>to</w:t>
      </w:r>
      <w:r w:rsidRPr="005F5219">
        <w:t xml:space="preserve"> more precise energy </w:t>
      </w:r>
      <w:r w:rsidR="00212030">
        <w:t>performance</w:t>
      </w:r>
      <w:r w:rsidRPr="005F5219">
        <w:t xml:space="preserve"> predictions. Finally, signs of overfitting emerged in some GNN models, indicating that further regularization methods </w:t>
      </w:r>
      <w:r w:rsidR="00AD05CA">
        <w:t xml:space="preserve">or </w:t>
      </w:r>
      <w:r w:rsidRPr="005F5219">
        <w:t>data augmentation should be explored to enhance robustness and real-world applicability.</w:t>
      </w:r>
    </w:p>
    <w:p w14:paraId="041BC652" w14:textId="77777777" w:rsidR="00AB3C73" w:rsidRDefault="00AB3C73" w:rsidP="0066156D">
      <w:pPr>
        <w:pStyle w:val="MainText"/>
        <w:ind w:firstLine="0"/>
        <w:rPr>
          <w:color w:val="0F9ED5" w:themeColor="accent4"/>
        </w:rPr>
      </w:pPr>
    </w:p>
    <w:p w14:paraId="032F8AFA" w14:textId="547DCB88" w:rsidR="00C843E6" w:rsidRPr="004044CE" w:rsidRDefault="00EA5318" w:rsidP="00F46B5A">
      <w:pPr>
        <w:pStyle w:val="MainText"/>
        <w:rPr>
          <w:b/>
          <w:bCs/>
        </w:rPr>
      </w:pPr>
      <w:r>
        <w:rPr>
          <w:b/>
          <w:bCs/>
        </w:rPr>
        <w:lastRenderedPageBreak/>
        <w:t>5</w:t>
      </w:r>
      <w:r w:rsidR="00C843E6" w:rsidRPr="004044CE">
        <w:rPr>
          <w:b/>
          <w:bCs/>
        </w:rPr>
        <w:t xml:space="preserve">.3 </w:t>
      </w:r>
      <w:r w:rsidR="00AB3C73" w:rsidRPr="004044CE">
        <w:rPr>
          <w:b/>
          <w:bCs/>
        </w:rPr>
        <w:t>F</w:t>
      </w:r>
      <w:r w:rsidR="00C843E6" w:rsidRPr="004044CE">
        <w:rPr>
          <w:b/>
          <w:bCs/>
        </w:rPr>
        <w:t xml:space="preserve">uture </w:t>
      </w:r>
      <w:r w:rsidR="00AB3C73" w:rsidRPr="004044CE">
        <w:rPr>
          <w:b/>
          <w:bCs/>
        </w:rPr>
        <w:t>W</w:t>
      </w:r>
      <w:r w:rsidR="00C843E6" w:rsidRPr="004044CE">
        <w:rPr>
          <w:b/>
          <w:bCs/>
        </w:rPr>
        <w:t>ork</w:t>
      </w:r>
    </w:p>
    <w:p w14:paraId="70964F16" w14:textId="76D38587" w:rsidR="000710B2" w:rsidRDefault="00EA31C8" w:rsidP="00E11BBB">
      <w:pPr>
        <w:pStyle w:val="MainText"/>
      </w:pPr>
      <w:r>
        <w:t>Immediate next steps</w:t>
      </w:r>
      <w:r w:rsidR="004D12A6">
        <w:t xml:space="preserve"> </w:t>
      </w:r>
      <w:r w:rsidR="00AB3C73" w:rsidRPr="00AB3C73">
        <w:t>will focus on further refining the dataset, graph representations, and GNN architectures. First, improvements in data quality will be prioritized by integrating additional data sources</w:t>
      </w:r>
      <w:r w:rsidR="004D12A6">
        <w:t xml:space="preserve">, </w:t>
      </w:r>
      <w:r w:rsidR="00AB3C73" w:rsidRPr="00AB3C73">
        <w:t xml:space="preserve">such as building databases, sensor </w:t>
      </w:r>
      <w:r w:rsidR="004D12A6">
        <w:t>data</w:t>
      </w:r>
      <w:r w:rsidR="00AB3C73" w:rsidRPr="00AB3C73">
        <w:t>, or normative reference buildings</w:t>
      </w:r>
      <w:r w:rsidR="004D12A6">
        <w:t>,</w:t>
      </w:r>
      <w:r w:rsidR="00B67068">
        <w:t xml:space="preserve"> </w:t>
      </w:r>
      <w:r w:rsidR="00AB3C73" w:rsidRPr="00AB3C73">
        <w:t xml:space="preserve">and by systematically. Second, graph-structure choices (i.e., node and edge definitions) will be </w:t>
      </w:r>
      <w:r w:rsidR="00EB6C8B">
        <w:t>further investigated</w:t>
      </w:r>
      <w:r w:rsidR="00E11BBB">
        <w:t xml:space="preserve">, and systematic methods will be applied </w:t>
      </w:r>
      <w:r w:rsidR="00AB3C73" w:rsidRPr="00AB3C73">
        <w:t>to evaluate various feature sets and dimensionality-reduction strategies.</w:t>
      </w:r>
      <w:r w:rsidR="00E11BBB">
        <w:t xml:space="preserve"> </w:t>
      </w:r>
      <w:r w:rsidR="00603E15">
        <w:t xml:space="preserve">Moreover, this </w:t>
      </w:r>
      <w:r w:rsidR="00723F0A">
        <w:t>should</w:t>
      </w:r>
      <w:r w:rsidR="00603E15">
        <w:t xml:space="preserve"> also lead to </w:t>
      </w:r>
      <w:r w:rsidR="004B0AC0">
        <w:t xml:space="preserve">the development of more advanced models, which could possibly </w:t>
      </w:r>
      <w:proofErr w:type="spellStart"/>
      <w:r w:rsidR="004B0AC0">
        <w:t>analyze</w:t>
      </w:r>
      <w:proofErr w:type="spellEnd"/>
      <w:r w:rsidR="004B0AC0">
        <w:t xml:space="preserve"> the various types of model and node properties</w:t>
      </w:r>
      <w:r w:rsidR="00723F0A">
        <w:t xml:space="preserve"> more</w:t>
      </w:r>
      <w:r w:rsidR="004B0AC0">
        <w:t xml:space="preserve"> </w:t>
      </w:r>
      <w:r w:rsidR="00723F0A">
        <w:t xml:space="preserve">intelligently </w:t>
      </w:r>
      <w:r w:rsidR="004B0AC0">
        <w:t>(geometries</w:t>
      </w:r>
      <w:r w:rsidR="003361DB">
        <w:t>, energy, time and weather properties)</w:t>
      </w:r>
      <w:r w:rsidR="00C51CF9">
        <w:t>.</w:t>
      </w:r>
    </w:p>
    <w:p w14:paraId="198C07DA" w14:textId="657317B4" w:rsidR="006B74B4" w:rsidRDefault="00C51CF9" w:rsidP="00A3663B">
      <w:pPr>
        <w:pStyle w:val="MainText"/>
      </w:pPr>
      <w:r>
        <w:t xml:space="preserve">Finally, the future goal of the study is </w:t>
      </w:r>
      <w:r w:rsidR="00E16AA8">
        <w:t xml:space="preserve">to acquire </w:t>
      </w:r>
      <w:r w:rsidR="006B74B4">
        <w:t>component-level</w:t>
      </w:r>
      <w:r w:rsidR="00E16AA8">
        <w:t xml:space="preserve"> </w:t>
      </w:r>
      <w:r w:rsidR="004823F1">
        <w:t xml:space="preserve">predictions, </w:t>
      </w:r>
      <w:r w:rsidR="006B74B4" w:rsidRPr="006B74B4">
        <w:t xml:space="preserve">seeking to quantify each element’s impact on total energy demand, </w:t>
      </w:r>
      <w:r w:rsidR="000C5B78">
        <w:t>in contrast</w:t>
      </w:r>
      <w:r w:rsidR="006B74B4" w:rsidRPr="006B74B4">
        <w:t xml:space="preserve"> </w:t>
      </w:r>
      <w:r w:rsidR="00E34187">
        <w:t>to other GNN-based approaches</w:t>
      </w:r>
      <w:r w:rsidR="006B74B4" w:rsidRPr="006B74B4">
        <w:t xml:space="preserve">. Eventually, advanced techniques such as reinforcement learning or optimization algorithms may be integrated to provide real-time design recommendations, enabling architects to rapidly assess how changes in building </w:t>
      </w:r>
      <w:r w:rsidR="007D561A">
        <w:t>geometry</w:t>
      </w:r>
      <w:r w:rsidR="006B74B4" w:rsidRPr="006B74B4">
        <w:t xml:space="preserve">, </w:t>
      </w:r>
      <w:r w:rsidR="00B00D39">
        <w:t xml:space="preserve">room </w:t>
      </w:r>
      <w:r w:rsidR="006B74B4" w:rsidRPr="006B74B4">
        <w:t>configurations, or material</w:t>
      </w:r>
      <w:r w:rsidR="007D561A">
        <w:t>s</w:t>
      </w:r>
      <w:r w:rsidR="006B74B4" w:rsidRPr="006B74B4">
        <w:t xml:space="preserve"> can affect </w:t>
      </w:r>
      <w:r w:rsidR="00B00D39">
        <w:t xml:space="preserve">predicted </w:t>
      </w:r>
      <w:r w:rsidR="006B74B4" w:rsidRPr="006B74B4">
        <w:t xml:space="preserve">energy </w:t>
      </w:r>
      <w:r w:rsidR="00B00D39">
        <w:t>performance</w:t>
      </w:r>
      <w:r w:rsidR="006B74B4" w:rsidRPr="006B74B4">
        <w:t xml:space="preserve">. By doing so, this research can contribute not just to predictive accuracy but also to </w:t>
      </w:r>
      <w:r w:rsidR="00B00D39">
        <w:t>meaningful</w:t>
      </w:r>
      <w:r w:rsidR="006B74B4" w:rsidRPr="006B74B4">
        <w:t xml:space="preserve"> </w:t>
      </w:r>
      <w:r w:rsidR="00C2336B">
        <w:t>input</w:t>
      </w:r>
      <w:r w:rsidR="006B74B4" w:rsidRPr="006B74B4">
        <w:t xml:space="preserve"> for sustainable building design.</w:t>
      </w:r>
    </w:p>
    <w:p w14:paraId="1DF5CB27" w14:textId="77777777" w:rsidR="00A3663B" w:rsidRPr="00B056B6" w:rsidRDefault="00A3663B" w:rsidP="00A3663B">
      <w:pPr>
        <w:pStyle w:val="MainText"/>
      </w:pPr>
    </w:p>
    <w:p w14:paraId="20CDFAEF" w14:textId="35BC26DA" w:rsidR="000C1318" w:rsidRDefault="000C1318" w:rsidP="007F5998">
      <w:pPr>
        <w:pStyle w:val="Heading1"/>
        <w:numPr>
          <w:ilvl w:val="0"/>
          <w:numId w:val="17"/>
        </w:numPr>
        <w:rPr>
          <w:rFonts w:eastAsia="MS Mincho"/>
          <w:b w:val="0"/>
          <w:kern w:val="0"/>
          <w:szCs w:val="20"/>
        </w:rPr>
      </w:pPr>
      <w:r w:rsidRPr="004044CE">
        <w:t>CONCLUSION</w:t>
      </w:r>
    </w:p>
    <w:p w14:paraId="6C06AA42" w14:textId="3857E70C" w:rsidR="00607C14" w:rsidRPr="0066156D" w:rsidRDefault="007F5998" w:rsidP="0066156D">
      <w:pPr>
        <w:pStyle w:val="PlainText"/>
        <w:ind w:firstLine="284"/>
        <w:rPr>
          <w:sz w:val="20"/>
        </w:rPr>
      </w:pPr>
      <w:r w:rsidRPr="0066156D">
        <w:rPr>
          <w:sz w:val="20"/>
        </w:rPr>
        <w:t xml:space="preserve">In this study, we focused on evaluating the applicability of GNNs in graph-level building energy performance prediction using a component-level graph structure. After creating a diverse synthetic dataset, we trained </w:t>
      </w:r>
      <w:r w:rsidR="007371FE" w:rsidRPr="0066156D">
        <w:rPr>
          <w:sz w:val="20"/>
        </w:rPr>
        <w:t>many</w:t>
      </w:r>
      <w:r w:rsidRPr="0066156D">
        <w:rPr>
          <w:sz w:val="20"/>
        </w:rPr>
        <w:t xml:space="preserve"> hyperparameter configurations for GCN, </w:t>
      </w:r>
      <w:proofErr w:type="spellStart"/>
      <w:r w:rsidRPr="0066156D">
        <w:rPr>
          <w:sz w:val="20"/>
        </w:rPr>
        <w:t>GraphSAGE</w:t>
      </w:r>
      <w:proofErr w:type="spellEnd"/>
      <w:r w:rsidRPr="0066156D">
        <w:rPr>
          <w:sz w:val="20"/>
        </w:rPr>
        <w:t>, and GAT and obtained satisfactory results</w:t>
      </w:r>
      <w:r w:rsidR="005B0F60" w:rsidRPr="0066156D">
        <w:rPr>
          <w:sz w:val="20"/>
        </w:rPr>
        <w:t xml:space="preserve">, where </w:t>
      </w:r>
      <w:r w:rsidRPr="0066156D">
        <w:rPr>
          <w:sz w:val="20"/>
        </w:rPr>
        <w:t>all GNNs performed well in terms of predictive accuracy, thereby confirming both the feasibility of this graph-based data structure and the viability of the approach itself.</w:t>
      </w:r>
    </w:p>
    <w:p w14:paraId="17D8D405" w14:textId="368EA6EA" w:rsidR="00607C14" w:rsidRDefault="00607C14" w:rsidP="000C1318">
      <w:pPr>
        <w:pStyle w:val="MainText"/>
      </w:pPr>
      <w:r>
        <w:t>Quick</w:t>
      </w:r>
      <w:r w:rsidRPr="00607C14">
        <w:t xml:space="preserve"> building energy performance predictions are a topic of active research, and our work contributes by exploring a more granular method for GNN-based modeling. Results show that such models can potentially replace computationally and time-intensive physics-based simulations, particularly during the early design stages, although an end-user interface for real-world deployment has yet to be developed. Future work will </w:t>
      </w:r>
      <w:r w:rsidR="00DD6E27">
        <w:t>explore</w:t>
      </w:r>
      <w:r w:rsidRPr="00607C14">
        <w:t xml:space="preserve"> the </w:t>
      </w:r>
      <w:r w:rsidR="00DD6E27">
        <w:t>topic</w:t>
      </w:r>
      <w:r w:rsidRPr="00607C14">
        <w:t xml:space="preserve"> of energy performance optimization, possibly integrating advanced techniques for adaptive or automated design </w:t>
      </w:r>
      <w:r w:rsidR="00D74B53">
        <w:t>decision support</w:t>
      </w:r>
      <w:r w:rsidRPr="00607C14">
        <w:t>.</w:t>
      </w:r>
    </w:p>
    <w:p w14:paraId="174D9A7F" w14:textId="208B8906" w:rsidR="00E51D81" w:rsidRDefault="00E202DB" w:rsidP="00E51D81">
      <w:pPr>
        <w:pStyle w:val="MainText"/>
      </w:pPr>
      <w:r w:rsidRPr="00E202DB">
        <w:t xml:space="preserve">It is crucial to acknowledge that even physics-based simulations can manifest a performance gap </w:t>
      </w:r>
      <w:r w:rsidRPr="00E202DB">
        <w:t xml:space="preserve">when compared to measured data, and introducing higher levels of abstraction via machine learning methods could amplify discrepancies </w:t>
      </w:r>
      <w:r w:rsidR="005F33A4">
        <w:t>between</w:t>
      </w:r>
      <w:r w:rsidR="00DE55B8">
        <w:t xml:space="preserve"> the predicted and the</w:t>
      </w:r>
      <w:r w:rsidR="005F33A4">
        <w:t xml:space="preserve"> real-life energy consumption</w:t>
      </w:r>
      <w:r w:rsidRPr="00E202DB">
        <w:t>. Consequently, incorporating real-life data is a vital step to reduce divergence and ensure that surrogate models remain both credible and robust.</w:t>
      </w:r>
    </w:p>
    <w:p w14:paraId="697CBB30" w14:textId="1F81626D" w:rsidR="00801A2B" w:rsidRDefault="00054BBA" w:rsidP="005D211B">
      <w:pPr>
        <w:pStyle w:val="MainText"/>
      </w:pPr>
      <w:r>
        <w:t xml:space="preserve">Nevertheless, considering the importance of the energy demands of the building sector, </w:t>
      </w:r>
      <w:r w:rsidR="00E51D81" w:rsidRPr="00E51D81">
        <w:t xml:space="preserve">searching for enhancements in predictive and optimization workflows remains an essential research objective. Although it is difficult to predict the exact final performance of any building design, </w:t>
      </w:r>
      <w:r w:rsidR="00803E1A">
        <w:t>we should aim</w:t>
      </w:r>
      <w:r w:rsidR="00E51D81" w:rsidRPr="00E51D81">
        <w:t xml:space="preserve"> to </w:t>
      </w:r>
      <w:r w:rsidR="00803E1A">
        <w:t xml:space="preserve">compare variants and </w:t>
      </w:r>
      <w:r w:rsidR="0066156D">
        <w:t>choose</w:t>
      </w:r>
      <w:r w:rsidR="00E51D81" w:rsidRPr="00E51D81">
        <w:t xml:space="preserve"> the most energy-efficient </w:t>
      </w:r>
      <w:r w:rsidR="005D211B">
        <w:t>one</w:t>
      </w:r>
      <w:r w:rsidR="00E51D81" w:rsidRPr="00E51D81">
        <w:t xml:space="preserve">. </w:t>
      </w:r>
      <w:r w:rsidR="005D211B">
        <w:t xml:space="preserve">This study contributes to this goal </w:t>
      </w:r>
      <w:r w:rsidR="0066156D">
        <w:t>by introducing a new approach to this topic.</w:t>
      </w:r>
    </w:p>
    <w:p w14:paraId="684065C1" w14:textId="77777777" w:rsidR="00B21208" w:rsidRDefault="00B21208" w:rsidP="005D211B">
      <w:pPr>
        <w:pStyle w:val="MainText"/>
      </w:pPr>
    </w:p>
    <w:p w14:paraId="11637583" w14:textId="77777777" w:rsidR="00B21208" w:rsidRPr="00F05EA2" w:rsidRDefault="00B21208" w:rsidP="00B21208">
      <w:pPr>
        <w:pStyle w:val="Heading1"/>
        <w:rPr>
          <w:lang w:val="pt-BR"/>
        </w:rPr>
      </w:pPr>
      <w:r w:rsidRPr="00F05EA2">
        <w:rPr>
          <w:lang w:val="pt-BR"/>
        </w:rPr>
        <w:t>ACKNOWLEDGEMENTS</w:t>
      </w:r>
    </w:p>
    <w:p w14:paraId="2B164BB7" w14:textId="0F3B5874" w:rsidR="00B21208" w:rsidRDefault="00B21208" w:rsidP="00B21208">
      <w:pPr>
        <w:pStyle w:val="MainText"/>
      </w:pPr>
      <w:r>
        <w:t xml:space="preserve">This work was supported by the funds of </w:t>
      </w:r>
      <w:r w:rsidRPr="00B21208">
        <w:t xml:space="preserve">TUM Georg </w:t>
      </w:r>
      <w:proofErr w:type="spellStart"/>
      <w:r w:rsidRPr="00B21208">
        <w:t>Nemetschek</w:t>
      </w:r>
      <w:proofErr w:type="spellEnd"/>
      <w:r w:rsidRPr="00B21208">
        <w:t xml:space="preserve"> Institute</w:t>
      </w:r>
      <w:r>
        <w:t>.</w:t>
      </w:r>
    </w:p>
    <w:p w14:paraId="71E684D2" w14:textId="77777777" w:rsidR="00B21208" w:rsidRPr="00B056B6" w:rsidRDefault="00B21208" w:rsidP="005D211B">
      <w:pPr>
        <w:pStyle w:val="MainText"/>
      </w:pPr>
    </w:p>
    <w:p w14:paraId="4D813B6D" w14:textId="77777777" w:rsidR="00B91976" w:rsidRDefault="00B91976" w:rsidP="00CD34AF">
      <w:pPr>
        <w:pStyle w:val="MainText"/>
        <w:ind w:firstLine="0"/>
      </w:pPr>
    </w:p>
    <w:p w14:paraId="4E3D6A82" w14:textId="5263D1A1" w:rsidR="00E819E3" w:rsidRPr="001A43E1" w:rsidRDefault="00E819E3" w:rsidP="00E819E3">
      <w:pPr>
        <w:pStyle w:val="Heading1"/>
        <w:rPr>
          <w:b w:val="0"/>
          <w:color w:val="FF0000"/>
        </w:rPr>
      </w:pPr>
      <w:r w:rsidRPr="001A43E1">
        <w:t xml:space="preserve">REFERENCES </w:t>
      </w:r>
    </w:p>
    <w:p w14:paraId="2F755FFC" w14:textId="77777777" w:rsidR="000B296F" w:rsidRPr="000B296F" w:rsidRDefault="00E819E3" w:rsidP="00054B71">
      <w:pPr>
        <w:pStyle w:val="Bibliography2"/>
        <w:rPr>
          <w:lang w:val="en-US" w:eastAsia="en-GB"/>
        </w:rPr>
      </w:pPr>
      <w:r w:rsidRPr="00C50750">
        <w:rPr>
          <w:sz w:val="16"/>
          <w:szCs w:val="18"/>
        </w:rPr>
        <w:fldChar w:fldCharType="begin"/>
      </w:r>
      <w:r w:rsidR="00BB2FAC" w:rsidRPr="004F1F7E">
        <w:rPr>
          <w:sz w:val="16"/>
          <w:szCs w:val="18"/>
        </w:rPr>
        <w:instrText xml:space="preserve"> ADDIN ZOTERO_BIBL {"uncited":[],"omitted":[],"custom":[]} CSL_BIBLIOGRAPHY </w:instrText>
      </w:r>
      <w:r w:rsidRPr="00C50750">
        <w:rPr>
          <w:sz w:val="16"/>
          <w:szCs w:val="18"/>
        </w:rPr>
        <w:fldChar w:fldCharType="separate"/>
      </w:r>
      <w:r w:rsidR="000B296F" w:rsidRPr="000B296F">
        <w:rPr>
          <w:lang w:val="en-US" w:eastAsia="en-GB"/>
        </w:rPr>
        <w:t>American Society of Heating, Refrigerating and Air-Conditioning Engineers, Inc. (ASHRAE) (2021) ‘ASHRAE Handbook, Chapter 19, Energy Estimating and Modeling Methods’. American Society of Heating, Refrigerating and Air-Conditioning Engineers, Inc. (ASHRAE). Available at: https://app.knovel.com/hotlink/khtml/id:kt012MH6J1/ashrae-handbook-fundamentals/typical-applications.</w:t>
      </w:r>
    </w:p>
    <w:p w14:paraId="44F00F14" w14:textId="77777777" w:rsidR="000B296F" w:rsidRPr="000B296F" w:rsidRDefault="000B296F" w:rsidP="00054B71">
      <w:pPr>
        <w:pStyle w:val="Bibliography2"/>
        <w:rPr>
          <w:lang w:val="en-US" w:eastAsia="en-GB"/>
        </w:rPr>
      </w:pPr>
      <w:r w:rsidRPr="000B296F">
        <w:rPr>
          <w:lang w:val="en-US" w:eastAsia="en-GB"/>
        </w:rPr>
        <w:t xml:space="preserve">Campagne, E. </w:t>
      </w:r>
      <w:r w:rsidRPr="000B296F">
        <w:rPr>
          <w:i/>
          <w:iCs/>
          <w:lang w:val="en-US" w:eastAsia="en-GB"/>
        </w:rPr>
        <w:t>et al.</w:t>
      </w:r>
      <w:r w:rsidRPr="000B296F">
        <w:rPr>
          <w:lang w:val="en-US" w:eastAsia="en-GB"/>
        </w:rPr>
        <w:t xml:space="preserve"> (2024) ‘Leveraging Graph Neural Networks to Forecast Electricity Consumption’. arXiv. Available at: https://doi.org/10.48550/arXiv.2408.17366.</w:t>
      </w:r>
    </w:p>
    <w:p w14:paraId="487F4583" w14:textId="77777777" w:rsidR="000B296F" w:rsidRPr="000B296F" w:rsidRDefault="000B296F" w:rsidP="00054B71">
      <w:pPr>
        <w:pStyle w:val="Bibliography2"/>
        <w:rPr>
          <w:lang w:val="en-US" w:eastAsia="en-GB"/>
        </w:rPr>
      </w:pPr>
      <w:r w:rsidRPr="000B296F">
        <w:rPr>
          <w:lang w:val="en-US" w:eastAsia="en-GB"/>
        </w:rPr>
        <w:t xml:space="preserve">Chen, X., Singh, M.M. and Geyer, P. (2024) ‘Utilizing domain knowledge: Robust machine learning for building energy performance prediction with small, inconsistent datasets’, </w:t>
      </w:r>
      <w:r w:rsidRPr="000B296F">
        <w:rPr>
          <w:i/>
          <w:iCs/>
          <w:lang w:val="en-US" w:eastAsia="en-GB"/>
        </w:rPr>
        <w:t>Knowledge-Based Systems</w:t>
      </w:r>
      <w:r w:rsidRPr="000B296F">
        <w:rPr>
          <w:lang w:val="en-US" w:eastAsia="en-GB"/>
        </w:rPr>
        <w:t>, 294, p. 111774. Available at: https://doi.org/10.1016/j.knosys.2024.111774.</w:t>
      </w:r>
    </w:p>
    <w:p w14:paraId="559A84DC" w14:textId="77777777" w:rsidR="000B296F" w:rsidRPr="000B296F" w:rsidRDefault="000B296F" w:rsidP="00054B71">
      <w:pPr>
        <w:pStyle w:val="Bibliography2"/>
        <w:rPr>
          <w:lang w:val="en-US" w:eastAsia="en-GB"/>
        </w:rPr>
      </w:pPr>
      <w:r w:rsidRPr="000B296F">
        <w:rPr>
          <w:lang w:val="en-US" w:eastAsia="en-GB"/>
        </w:rPr>
        <w:t xml:space="preserve">Elwy, I. and Hagishima, A. (2024) ‘The artificial intelligence reformation of sustainable building design approach: A systematic review on building design optimization methods using surrogate models’, </w:t>
      </w:r>
      <w:r w:rsidRPr="000B296F">
        <w:rPr>
          <w:i/>
          <w:iCs/>
          <w:lang w:val="en-US" w:eastAsia="en-GB"/>
        </w:rPr>
        <w:t>Energy and Buildings</w:t>
      </w:r>
      <w:r w:rsidRPr="000B296F">
        <w:rPr>
          <w:lang w:val="en-US" w:eastAsia="en-GB"/>
        </w:rPr>
        <w:t>, 323, p. 114769. Available at: https://doi.org/10.1016/j.enbuild.2024.114769.</w:t>
      </w:r>
    </w:p>
    <w:p w14:paraId="23E7D6B2" w14:textId="77777777" w:rsidR="000B296F" w:rsidRPr="000B296F" w:rsidRDefault="000B296F" w:rsidP="00054B71">
      <w:pPr>
        <w:pStyle w:val="Bibliography2"/>
        <w:rPr>
          <w:lang w:val="en-US" w:eastAsia="en-GB"/>
        </w:rPr>
      </w:pPr>
      <w:r w:rsidRPr="000B296F">
        <w:rPr>
          <w:lang w:val="en-US" w:eastAsia="en-GB"/>
        </w:rPr>
        <w:t xml:space="preserve">Geyer, P., Singh, M.M. and Chen, X. (2024) ‘Explainable AI for engineering design: A unified approach of systems engineering and component-based deep learning demonstrated by energy-efficient building design’, </w:t>
      </w:r>
      <w:r w:rsidRPr="000B296F">
        <w:rPr>
          <w:i/>
          <w:iCs/>
          <w:lang w:val="en-US" w:eastAsia="en-GB"/>
        </w:rPr>
        <w:t>Advanced Engineering Informatics</w:t>
      </w:r>
      <w:r w:rsidRPr="000B296F">
        <w:rPr>
          <w:lang w:val="en-US" w:eastAsia="en-GB"/>
        </w:rPr>
        <w:t>, 62, p. 102843. Available at: https://doi.org/10.1016/j.aei.2024.102843.</w:t>
      </w:r>
    </w:p>
    <w:p w14:paraId="10243E4A" w14:textId="77777777" w:rsidR="000B296F" w:rsidRPr="000B296F" w:rsidRDefault="000B296F" w:rsidP="00054B71">
      <w:pPr>
        <w:pStyle w:val="Bibliography2"/>
        <w:rPr>
          <w:lang w:val="en-US" w:eastAsia="en-GB"/>
        </w:rPr>
      </w:pPr>
      <w:r w:rsidRPr="000B296F">
        <w:rPr>
          <w:lang w:val="en-US" w:eastAsia="en-GB"/>
        </w:rPr>
        <w:t xml:space="preserve">Guy, H. </w:t>
      </w:r>
      <w:r w:rsidRPr="000B296F">
        <w:rPr>
          <w:i/>
          <w:iCs/>
          <w:lang w:val="en-US" w:eastAsia="en-GB"/>
        </w:rPr>
        <w:t>et al.</w:t>
      </w:r>
      <w:r w:rsidRPr="000B296F">
        <w:rPr>
          <w:lang w:val="en-US" w:eastAsia="en-GB"/>
        </w:rPr>
        <w:t xml:space="preserve"> (2023) ‘Benchmarking the energy performance of European commercial buildings with a bayesian modeling framework’, </w:t>
      </w:r>
      <w:r w:rsidRPr="000B296F">
        <w:rPr>
          <w:i/>
          <w:iCs/>
          <w:lang w:val="en-US" w:eastAsia="en-GB"/>
        </w:rPr>
        <w:t>Energy and Buildings</w:t>
      </w:r>
      <w:r w:rsidRPr="000B296F">
        <w:rPr>
          <w:lang w:val="en-US" w:eastAsia="en-GB"/>
        </w:rPr>
        <w:t>, 299, p. 113595. Available at: https://doi.org/10.1016/j.enbuild.2023.113595.</w:t>
      </w:r>
    </w:p>
    <w:p w14:paraId="59764545" w14:textId="77777777" w:rsidR="000B296F" w:rsidRPr="000B296F" w:rsidRDefault="000B296F" w:rsidP="00054B71">
      <w:pPr>
        <w:pStyle w:val="Bibliography2"/>
        <w:rPr>
          <w:lang w:val="en-US" w:eastAsia="en-GB"/>
        </w:rPr>
      </w:pPr>
      <w:r w:rsidRPr="000B296F">
        <w:rPr>
          <w:lang w:val="en-US" w:eastAsia="en-GB"/>
        </w:rPr>
        <w:t xml:space="preserve">Halaçlı, E.G. </w:t>
      </w:r>
      <w:r w:rsidRPr="000B296F">
        <w:rPr>
          <w:i/>
          <w:iCs/>
          <w:lang w:val="en-US" w:eastAsia="en-GB"/>
        </w:rPr>
        <w:t>et al.</w:t>
      </w:r>
      <w:r w:rsidRPr="000B296F">
        <w:rPr>
          <w:lang w:val="en-US" w:eastAsia="en-GB"/>
        </w:rPr>
        <w:t xml:space="preserve"> (2023) ‘A Novel Graph Neural Network for Zone-Level Urban-Scale Building Energy Use Estimation’, in </w:t>
      </w:r>
      <w:r w:rsidRPr="000B296F">
        <w:rPr>
          <w:i/>
          <w:iCs/>
          <w:lang w:val="en-US" w:eastAsia="en-GB"/>
        </w:rPr>
        <w:t>Proceedings of the 10th ACM International Conference on Systems for Energy-Efficient Buildings, Cities, and Transportation</w:t>
      </w:r>
      <w:r w:rsidRPr="000B296F">
        <w:rPr>
          <w:lang w:val="en-US" w:eastAsia="en-GB"/>
        </w:rPr>
        <w:t xml:space="preserve">. </w:t>
      </w:r>
      <w:r w:rsidRPr="000B296F">
        <w:rPr>
          <w:i/>
          <w:iCs/>
          <w:lang w:val="en-US" w:eastAsia="en-GB"/>
        </w:rPr>
        <w:t xml:space="preserve">BuildSys ’23: The 10th ACM </w:t>
      </w:r>
      <w:r w:rsidRPr="000B296F">
        <w:rPr>
          <w:i/>
          <w:iCs/>
          <w:lang w:val="en-US" w:eastAsia="en-GB"/>
        </w:rPr>
        <w:lastRenderedPageBreak/>
        <w:t>International Conference on Systems for Energy-Efficient Buildings, Cities, and Transportation</w:t>
      </w:r>
      <w:r w:rsidRPr="000B296F">
        <w:rPr>
          <w:lang w:val="en-US" w:eastAsia="en-GB"/>
        </w:rPr>
        <w:t>, Istanbul Turkey: ACM, pp. 169–176. Available at: https://doi.org/10.1145/3600100.3623747.</w:t>
      </w:r>
    </w:p>
    <w:p w14:paraId="294C3E3C" w14:textId="77777777" w:rsidR="000B296F" w:rsidRPr="000B296F" w:rsidRDefault="000B296F" w:rsidP="00054B71">
      <w:pPr>
        <w:pStyle w:val="Bibliography2"/>
        <w:rPr>
          <w:lang w:val="en-US" w:eastAsia="en-GB"/>
        </w:rPr>
      </w:pPr>
      <w:r w:rsidRPr="000B296F">
        <w:rPr>
          <w:lang w:val="en-US" w:eastAsia="en-GB"/>
        </w:rPr>
        <w:t>Hamilton, W.L., Ying, R. and Leskovec, J. (2018) ‘Inductive Representation Learning on Large Graphs’. arXiv. Available at: https://doi.org/10.48550/arXiv.1706.02216.</w:t>
      </w:r>
    </w:p>
    <w:p w14:paraId="6CFC594A" w14:textId="77777777" w:rsidR="000B296F" w:rsidRPr="000B296F" w:rsidRDefault="000B296F" w:rsidP="00054B71">
      <w:pPr>
        <w:pStyle w:val="Bibliography2"/>
        <w:rPr>
          <w:lang w:val="en-US" w:eastAsia="en-GB"/>
        </w:rPr>
      </w:pPr>
      <w:r w:rsidRPr="000B296F">
        <w:rPr>
          <w:lang w:val="en-US" w:eastAsia="en-GB"/>
        </w:rPr>
        <w:t xml:space="preserve">Hu, Y. </w:t>
      </w:r>
      <w:r w:rsidRPr="000B296F">
        <w:rPr>
          <w:i/>
          <w:iCs/>
          <w:lang w:val="en-US" w:eastAsia="en-GB"/>
        </w:rPr>
        <w:t>et al.</w:t>
      </w:r>
      <w:r w:rsidRPr="000B296F">
        <w:rPr>
          <w:lang w:val="en-US" w:eastAsia="en-GB"/>
        </w:rPr>
        <w:t xml:space="preserve"> (2022) ‘Times series forecasting for urban building energy consumption based on graph convolutional network’, </w:t>
      </w:r>
      <w:r w:rsidRPr="000B296F">
        <w:rPr>
          <w:i/>
          <w:iCs/>
          <w:lang w:val="en-US" w:eastAsia="en-GB"/>
        </w:rPr>
        <w:t>Applied Energy</w:t>
      </w:r>
      <w:r w:rsidRPr="000B296F">
        <w:rPr>
          <w:lang w:val="en-US" w:eastAsia="en-GB"/>
        </w:rPr>
        <w:t>, 307, p. 118231. Available at: https://doi.org/10.1016/j.apenergy.2021.118231.</w:t>
      </w:r>
    </w:p>
    <w:p w14:paraId="27FA4F64" w14:textId="77777777" w:rsidR="000B296F" w:rsidRPr="000B296F" w:rsidRDefault="000B296F" w:rsidP="00054B71">
      <w:pPr>
        <w:pStyle w:val="Bibliography2"/>
        <w:rPr>
          <w:lang w:val="en-US" w:eastAsia="en-GB"/>
        </w:rPr>
      </w:pPr>
      <w:r w:rsidRPr="000B296F">
        <w:rPr>
          <w:lang w:val="en-US" w:eastAsia="en-GB"/>
        </w:rPr>
        <w:t xml:space="preserve">Jiang, C. and Chen, N.-Z. (2023) ‘Graph Neural Networks (GNNs) based accelerated numerical simulation’, </w:t>
      </w:r>
      <w:r w:rsidRPr="000B296F">
        <w:rPr>
          <w:i/>
          <w:iCs/>
          <w:lang w:val="en-US" w:eastAsia="en-GB"/>
        </w:rPr>
        <w:t>Engineering Applications of Artificial Intelligence</w:t>
      </w:r>
      <w:r w:rsidRPr="000B296F">
        <w:rPr>
          <w:lang w:val="en-US" w:eastAsia="en-GB"/>
        </w:rPr>
        <w:t>, 123, p. 106370. Available at: https://doi.org/10.1016/j.engappai.2023.106370.</w:t>
      </w:r>
    </w:p>
    <w:p w14:paraId="48C46B32" w14:textId="77777777" w:rsidR="000B296F" w:rsidRPr="000B296F" w:rsidRDefault="000B296F" w:rsidP="00054B71">
      <w:pPr>
        <w:pStyle w:val="Bibliography2"/>
        <w:rPr>
          <w:lang w:val="en-US" w:eastAsia="en-GB"/>
        </w:rPr>
      </w:pPr>
      <w:r w:rsidRPr="000B296F">
        <w:rPr>
          <w:lang w:val="en-US" w:eastAsia="en-GB"/>
        </w:rPr>
        <w:t xml:space="preserve">Kaltenegger, J., Frandsen, K.M. and Petrova, E. (2025) ‘An ontology-driven framework for digital transformation and performance assessment of building materials’, </w:t>
      </w:r>
      <w:r w:rsidRPr="000B296F">
        <w:rPr>
          <w:i/>
          <w:iCs/>
          <w:lang w:val="en-US" w:eastAsia="en-GB"/>
        </w:rPr>
        <w:t>Building and Environment</w:t>
      </w:r>
      <w:r w:rsidRPr="000B296F">
        <w:rPr>
          <w:lang w:val="en-US" w:eastAsia="en-GB"/>
        </w:rPr>
        <w:t>, 271, p. 112565. Available at: https://doi.org/10.1016/j.buildenv.2025.112565.</w:t>
      </w:r>
    </w:p>
    <w:p w14:paraId="32513C06" w14:textId="77777777" w:rsidR="000B296F" w:rsidRPr="000B296F" w:rsidRDefault="000B296F" w:rsidP="00054B71">
      <w:pPr>
        <w:pStyle w:val="Bibliography2"/>
        <w:rPr>
          <w:lang w:val="en-US" w:eastAsia="en-GB"/>
        </w:rPr>
      </w:pPr>
      <w:r w:rsidRPr="000B296F">
        <w:rPr>
          <w:lang w:val="en-US" w:eastAsia="en-GB"/>
        </w:rPr>
        <w:t xml:space="preserve">Kiavarz, H., Jadidi, M. and Esmaili, P. (2023) ‘A graph-based explanatory model for room-based energy efficiency analysis based on BIM data’, </w:t>
      </w:r>
      <w:r w:rsidRPr="000B296F">
        <w:rPr>
          <w:i/>
          <w:iCs/>
          <w:lang w:val="en-US" w:eastAsia="en-GB"/>
        </w:rPr>
        <w:t>Frontiers in Built Environment</w:t>
      </w:r>
      <w:r w:rsidRPr="000B296F">
        <w:rPr>
          <w:lang w:val="en-US" w:eastAsia="en-GB"/>
        </w:rPr>
        <w:t>, 9, p. 1256921. Available at: https://doi.org/10.3389/fbuil.2023.1256921.</w:t>
      </w:r>
    </w:p>
    <w:p w14:paraId="71788A5E" w14:textId="77777777" w:rsidR="000B296F" w:rsidRPr="000B296F" w:rsidRDefault="000B296F" w:rsidP="00054B71">
      <w:pPr>
        <w:pStyle w:val="Bibliography2"/>
        <w:rPr>
          <w:lang w:val="en-US" w:eastAsia="en-GB"/>
        </w:rPr>
      </w:pPr>
      <w:r w:rsidRPr="000B296F">
        <w:rPr>
          <w:lang w:val="en-US" w:eastAsia="en-GB"/>
        </w:rPr>
        <w:t>Kipf, T.N. and Welling, M. (2017) ‘Semi-Supervised Classification with Graph Convolutional Networks’. arXiv. Available at: https://doi.org/10.48550/arXiv.1609.02907.</w:t>
      </w:r>
    </w:p>
    <w:p w14:paraId="38613056" w14:textId="77777777" w:rsidR="000B296F" w:rsidRPr="000B296F" w:rsidRDefault="000B296F" w:rsidP="00054B71">
      <w:pPr>
        <w:pStyle w:val="Bibliography2"/>
        <w:rPr>
          <w:lang w:val="en-US" w:eastAsia="en-GB"/>
        </w:rPr>
      </w:pPr>
      <w:r w:rsidRPr="000B296F">
        <w:rPr>
          <w:lang w:val="en-US" w:eastAsia="en-GB"/>
        </w:rPr>
        <w:t xml:space="preserve">Kottek, M. </w:t>
      </w:r>
      <w:r w:rsidRPr="000B296F">
        <w:rPr>
          <w:i/>
          <w:iCs/>
          <w:lang w:val="en-US" w:eastAsia="en-GB"/>
        </w:rPr>
        <w:t>et al.</w:t>
      </w:r>
      <w:r w:rsidRPr="000B296F">
        <w:rPr>
          <w:lang w:val="en-US" w:eastAsia="en-GB"/>
        </w:rPr>
        <w:t xml:space="preserve"> (2006) ‘World Map of the Köppen-Geiger climate classification updated’, </w:t>
      </w:r>
      <w:r w:rsidRPr="000B296F">
        <w:rPr>
          <w:i/>
          <w:iCs/>
          <w:lang w:val="en-US" w:eastAsia="en-GB"/>
        </w:rPr>
        <w:t>Meteorologische Zeitschrift</w:t>
      </w:r>
      <w:r w:rsidRPr="000B296F">
        <w:rPr>
          <w:lang w:val="en-US" w:eastAsia="en-GB"/>
        </w:rPr>
        <w:t>, 15(3), pp. 259–263. Available at: https://doi.org/10.1127/0941-2948/2006/0130.</w:t>
      </w:r>
    </w:p>
    <w:p w14:paraId="03881436" w14:textId="77777777" w:rsidR="000B296F" w:rsidRPr="000B296F" w:rsidRDefault="000B296F" w:rsidP="00054B71">
      <w:pPr>
        <w:pStyle w:val="Bibliography2"/>
        <w:rPr>
          <w:lang w:val="en-US" w:eastAsia="en-GB"/>
        </w:rPr>
      </w:pPr>
      <w:r w:rsidRPr="000B296F">
        <w:rPr>
          <w:lang w:val="en-US" w:eastAsia="en-GB"/>
        </w:rPr>
        <w:t xml:space="preserve">Loga, T., Stein, B. and Diefenbach, N. (2016) ‘TABULA building typologies in 20 European countries—Making energy-related features of residential building stocks comparable’, </w:t>
      </w:r>
      <w:r w:rsidRPr="000B296F">
        <w:rPr>
          <w:i/>
          <w:iCs/>
          <w:lang w:val="en-US" w:eastAsia="en-GB"/>
        </w:rPr>
        <w:t>Energy and Buildings</w:t>
      </w:r>
      <w:r w:rsidRPr="000B296F">
        <w:rPr>
          <w:lang w:val="en-US" w:eastAsia="en-GB"/>
        </w:rPr>
        <w:t>, 132, pp. 4–12. Available at: https://doi.org/10.1016/j.enbuild.2016.06.094.</w:t>
      </w:r>
    </w:p>
    <w:p w14:paraId="167BFB3D" w14:textId="77777777" w:rsidR="000B296F" w:rsidRPr="000B296F" w:rsidRDefault="000B296F" w:rsidP="00054B71">
      <w:pPr>
        <w:pStyle w:val="Bibliography2"/>
        <w:rPr>
          <w:lang w:val="en-US" w:eastAsia="en-GB"/>
        </w:rPr>
      </w:pPr>
      <w:r w:rsidRPr="000B296F">
        <w:rPr>
          <w:lang w:val="en-US" w:eastAsia="en-GB"/>
        </w:rPr>
        <w:t xml:space="preserve">Maderspacher, J. </w:t>
      </w:r>
      <w:r w:rsidRPr="000B296F">
        <w:rPr>
          <w:i/>
          <w:iCs/>
          <w:lang w:val="en-US" w:eastAsia="en-GB"/>
        </w:rPr>
        <w:t>et al.</w:t>
      </w:r>
      <w:r w:rsidRPr="000B296F">
        <w:rPr>
          <w:lang w:val="en-US" w:eastAsia="en-GB"/>
        </w:rPr>
        <w:t xml:space="preserve"> (2016) ‘Energy optimization of an existing building based on a neural network and a genetic algorithm’.</w:t>
      </w:r>
    </w:p>
    <w:p w14:paraId="2D621FAA" w14:textId="77777777" w:rsidR="000B296F" w:rsidRPr="000B296F" w:rsidRDefault="000B296F" w:rsidP="00054B71">
      <w:pPr>
        <w:pStyle w:val="Bibliography2"/>
        <w:rPr>
          <w:lang w:val="en-US" w:eastAsia="en-GB"/>
        </w:rPr>
      </w:pPr>
      <w:r w:rsidRPr="000B296F">
        <w:rPr>
          <w:lang w:val="en-US" w:eastAsia="en-GB"/>
        </w:rPr>
        <w:t xml:space="preserve">Moveh, S. </w:t>
      </w:r>
      <w:r w:rsidRPr="000B296F">
        <w:rPr>
          <w:i/>
          <w:iCs/>
          <w:lang w:val="en-US" w:eastAsia="en-GB"/>
        </w:rPr>
        <w:t>et al.</w:t>
      </w:r>
      <w:r w:rsidRPr="000B296F">
        <w:rPr>
          <w:lang w:val="en-US" w:eastAsia="en-GB"/>
        </w:rPr>
        <w:t xml:space="preserve"> (2025) ‘Multi-Building Energy Forecasting Through Weather-Integrated Temporal Graph Neural Networks’, </w:t>
      </w:r>
      <w:r w:rsidRPr="000B296F">
        <w:rPr>
          <w:i/>
          <w:iCs/>
          <w:lang w:val="en-US" w:eastAsia="en-GB"/>
        </w:rPr>
        <w:t>Buildings</w:t>
      </w:r>
      <w:r w:rsidRPr="000B296F">
        <w:rPr>
          <w:lang w:val="en-US" w:eastAsia="en-GB"/>
        </w:rPr>
        <w:t>, 15(5), p. 808. Available at: https://doi.org/10.3390/buildings15050808.</w:t>
      </w:r>
    </w:p>
    <w:p w14:paraId="286581B2" w14:textId="77777777" w:rsidR="000B296F" w:rsidRPr="000B296F" w:rsidRDefault="000B296F" w:rsidP="00054B71">
      <w:pPr>
        <w:pStyle w:val="Bibliography2"/>
        <w:rPr>
          <w:lang w:val="en-US" w:eastAsia="en-GB"/>
        </w:rPr>
      </w:pPr>
      <w:r w:rsidRPr="000B296F">
        <w:rPr>
          <w:lang w:val="en-US" w:eastAsia="en-GB"/>
        </w:rPr>
        <w:t xml:space="preserve">Sadeghipour Roudsari, M., Pak, M. and Viola, A. (2013) ‘Ladybug: A Parametric Environmental Plugin For </w:t>
      </w:r>
      <w:r w:rsidRPr="000B296F">
        <w:rPr>
          <w:lang w:val="en-US" w:eastAsia="en-GB"/>
        </w:rPr>
        <w:t xml:space="preserve">Grasshopper To Help Designers Create An Environmentally-conscious Design’, in. </w:t>
      </w:r>
      <w:r w:rsidRPr="000B296F">
        <w:rPr>
          <w:i/>
          <w:iCs/>
          <w:lang w:val="en-US" w:eastAsia="en-GB"/>
        </w:rPr>
        <w:t>2017 Building Simulation Conference</w:t>
      </w:r>
      <w:r w:rsidRPr="000B296F">
        <w:rPr>
          <w:lang w:val="en-US" w:eastAsia="en-GB"/>
        </w:rPr>
        <w:t>. Available at: https://doi.org/10.26868/25222708.2013.2499.</w:t>
      </w:r>
    </w:p>
    <w:p w14:paraId="592D4156" w14:textId="77777777" w:rsidR="000B296F" w:rsidRPr="000B296F" w:rsidRDefault="000B296F" w:rsidP="00054B71">
      <w:pPr>
        <w:pStyle w:val="Bibliography2"/>
        <w:rPr>
          <w:lang w:val="en-US" w:eastAsia="en-GB"/>
        </w:rPr>
      </w:pPr>
      <w:r w:rsidRPr="000B296F">
        <w:rPr>
          <w:lang w:val="en-US" w:eastAsia="en-GB"/>
        </w:rPr>
        <w:t xml:space="preserve">Singh, M.M. </w:t>
      </w:r>
      <w:r w:rsidRPr="000B296F">
        <w:rPr>
          <w:i/>
          <w:iCs/>
          <w:lang w:val="en-US" w:eastAsia="en-GB"/>
        </w:rPr>
        <w:t>et al.</w:t>
      </w:r>
      <w:r w:rsidRPr="000B296F">
        <w:rPr>
          <w:lang w:val="en-US" w:eastAsia="en-GB"/>
        </w:rPr>
        <w:t xml:space="preserve"> (2020) ‘Quick energy prediction and comparison of options at the early design stage’, </w:t>
      </w:r>
      <w:r w:rsidRPr="000B296F">
        <w:rPr>
          <w:i/>
          <w:iCs/>
          <w:lang w:val="en-US" w:eastAsia="en-GB"/>
        </w:rPr>
        <w:t>Advanced Engineering Informatics</w:t>
      </w:r>
      <w:r w:rsidRPr="000B296F">
        <w:rPr>
          <w:lang w:val="en-US" w:eastAsia="en-GB"/>
        </w:rPr>
        <w:t>, 46, p. 101185. Available at: https://doi.org/10.1016/j.aei.2020.101185.</w:t>
      </w:r>
    </w:p>
    <w:p w14:paraId="38305882" w14:textId="77777777" w:rsidR="000B296F" w:rsidRPr="000B296F" w:rsidRDefault="000B296F" w:rsidP="00054B71">
      <w:pPr>
        <w:pStyle w:val="Bibliography2"/>
        <w:rPr>
          <w:lang w:val="en-US" w:eastAsia="en-GB"/>
        </w:rPr>
      </w:pPr>
      <w:r w:rsidRPr="000B296F">
        <w:rPr>
          <w:lang w:val="en-US" w:eastAsia="en-GB"/>
        </w:rPr>
        <w:t xml:space="preserve">Sunder, R. </w:t>
      </w:r>
      <w:r w:rsidRPr="000B296F">
        <w:rPr>
          <w:i/>
          <w:iCs/>
          <w:lang w:val="en-US" w:eastAsia="en-GB"/>
        </w:rPr>
        <w:t>et al.</w:t>
      </w:r>
      <w:r w:rsidRPr="000B296F">
        <w:rPr>
          <w:lang w:val="en-US" w:eastAsia="en-GB"/>
        </w:rPr>
        <w:t xml:space="preserve"> (2024) ‘An advanced hybrid deep learning model for accurate energy load prediction in smart building’, </w:t>
      </w:r>
      <w:r w:rsidRPr="000B296F">
        <w:rPr>
          <w:i/>
          <w:iCs/>
          <w:lang w:val="en-US" w:eastAsia="en-GB"/>
        </w:rPr>
        <w:t>Energy Exploration &amp; Exploitation</w:t>
      </w:r>
      <w:r w:rsidRPr="000B296F">
        <w:rPr>
          <w:lang w:val="en-US" w:eastAsia="en-GB"/>
        </w:rPr>
        <w:t>, 42(6), pp. 2241–2269. Available at: https://doi.org/10.1177/01445987241267822.</w:t>
      </w:r>
    </w:p>
    <w:p w14:paraId="31C04C05" w14:textId="77777777" w:rsidR="000B296F" w:rsidRPr="000B296F" w:rsidRDefault="000B296F" w:rsidP="00054B71">
      <w:pPr>
        <w:pStyle w:val="Bibliography2"/>
        <w:rPr>
          <w:lang w:val="en-US" w:eastAsia="en-GB"/>
        </w:rPr>
      </w:pPr>
      <w:r w:rsidRPr="000B296F">
        <w:rPr>
          <w:lang w:val="en-US" w:eastAsia="en-GB"/>
        </w:rPr>
        <w:t xml:space="preserve">Tsanas, A. and Xifara, A. (2012) ‘Accurate quantitative estimation of energy performance of residential buildings using statistical machine learning tools’, </w:t>
      </w:r>
      <w:r w:rsidRPr="000B296F">
        <w:rPr>
          <w:i/>
          <w:iCs/>
          <w:lang w:val="en-US" w:eastAsia="en-GB"/>
        </w:rPr>
        <w:t>Energy and Buildings</w:t>
      </w:r>
      <w:r w:rsidRPr="000B296F">
        <w:rPr>
          <w:lang w:val="en-US" w:eastAsia="en-GB"/>
        </w:rPr>
        <w:t>, 49, pp. 560–567. Available at: https://doi.org/10.1016/j.enbuild.2012.03.003.</w:t>
      </w:r>
    </w:p>
    <w:p w14:paraId="393118A9" w14:textId="77777777" w:rsidR="000B296F" w:rsidRPr="000B296F" w:rsidRDefault="000B296F" w:rsidP="00054B71">
      <w:pPr>
        <w:pStyle w:val="Bibliography2"/>
        <w:rPr>
          <w:lang w:val="en-US" w:eastAsia="en-GB"/>
        </w:rPr>
      </w:pPr>
      <w:r w:rsidRPr="000B296F">
        <w:rPr>
          <w:lang w:val="en-US" w:eastAsia="en-GB"/>
        </w:rPr>
        <w:t xml:space="preserve">Veličković, P. </w:t>
      </w:r>
      <w:r w:rsidRPr="000B296F">
        <w:rPr>
          <w:i/>
          <w:iCs/>
          <w:lang w:val="en-US" w:eastAsia="en-GB"/>
        </w:rPr>
        <w:t>et al.</w:t>
      </w:r>
      <w:r w:rsidRPr="000B296F">
        <w:rPr>
          <w:lang w:val="en-US" w:eastAsia="en-GB"/>
        </w:rPr>
        <w:t xml:space="preserve"> (2018) ‘Graph Attention Networks’. arXiv. Available at: https://doi.org/10.48550/arXiv.1710.10903.</w:t>
      </w:r>
    </w:p>
    <w:p w14:paraId="2B8BD1C1" w14:textId="77777777" w:rsidR="000B296F" w:rsidRPr="000B296F" w:rsidRDefault="000B296F" w:rsidP="00054B71">
      <w:pPr>
        <w:pStyle w:val="Bibliography2"/>
        <w:rPr>
          <w:lang w:val="en-US" w:eastAsia="en-GB"/>
        </w:rPr>
      </w:pPr>
      <w:r w:rsidRPr="000B296F">
        <w:rPr>
          <w:lang w:val="en-US" w:eastAsia="en-GB"/>
        </w:rPr>
        <w:t xml:space="preserve">Vontzos, G. </w:t>
      </w:r>
      <w:r w:rsidRPr="000B296F">
        <w:rPr>
          <w:i/>
          <w:iCs/>
          <w:lang w:val="en-US" w:eastAsia="en-GB"/>
        </w:rPr>
        <w:t>et al.</w:t>
      </w:r>
      <w:r w:rsidRPr="000B296F">
        <w:rPr>
          <w:lang w:val="en-US" w:eastAsia="en-GB"/>
        </w:rPr>
        <w:t xml:space="preserve"> (2024) ‘Estimating Spatio-Temporal Building Power Consumption Based on Graph Convolution Network Method’, </w:t>
      </w:r>
      <w:r w:rsidRPr="000B296F">
        <w:rPr>
          <w:i/>
          <w:iCs/>
          <w:lang w:val="en-US" w:eastAsia="en-GB"/>
        </w:rPr>
        <w:t>Dynamics</w:t>
      </w:r>
      <w:r w:rsidRPr="000B296F">
        <w:rPr>
          <w:lang w:val="en-US" w:eastAsia="en-GB"/>
        </w:rPr>
        <w:t>, 4(2), pp. 337–356. Available at: https://doi.org/10.3390/dynamics4020020.</w:t>
      </w:r>
    </w:p>
    <w:p w14:paraId="2DFAA218" w14:textId="77777777" w:rsidR="000B296F" w:rsidRPr="000B296F" w:rsidRDefault="000B296F" w:rsidP="00054B71">
      <w:pPr>
        <w:pStyle w:val="Bibliography2"/>
        <w:rPr>
          <w:lang w:val="en-US" w:eastAsia="en-GB"/>
        </w:rPr>
      </w:pPr>
      <w:r w:rsidRPr="000B296F">
        <w:rPr>
          <w:lang w:val="en-US" w:eastAsia="en-GB"/>
        </w:rPr>
        <w:t xml:space="preserve">Wang, H. </w:t>
      </w:r>
      <w:r w:rsidRPr="000B296F">
        <w:rPr>
          <w:i/>
          <w:iCs/>
          <w:lang w:val="en-US" w:eastAsia="en-GB"/>
        </w:rPr>
        <w:t>et al.</w:t>
      </w:r>
      <w:r w:rsidRPr="000B296F">
        <w:rPr>
          <w:lang w:val="en-US" w:eastAsia="en-GB"/>
        </w:rPr>
        <w:t xml:space="preserve"> (2023) ‘GNNs based method for evaluating HVAC terminal piping layout solutions in office buildings’, in. </w:t>
      </w:r>
      <w:r w:rsidRPr="000B296F">
        <w:rPr>
          <w:i/>
          <w:iCs/>
          <w:lang w:val="en-US" w:eastAsia="en-GB"/>
        </w:rPr>
        <w:t>2023 Building Simulation Conference</w:t>
      </w:r>
      <w:r w:rsidRPr="000B296F">
        <w:rPr>
          <w:lang w:val="en-US" w:eastAsia="en-GB"/>
        </w:rPr>
        <w:t>. Available at: https://doi.org/10.26868/25222708.2023.1275.</w:t>
      </w:r>
    </w:p>
    <w:p w14:paraId="0329496A" w14:textId="77777777" w:rsidR="000B296F" w:rsidRPr="000B296F" w:rsidRDefault="000B296F" w:rsidP="00054B71">
      <w:pPr>
        <w:pStyle w:val="Bibliography2"/>
        <w:rPr>
          <w:lang w:val="en-US" w:eastAsia="en-GB"/>
        </w:rPr>
      </w:pPr>
      <w:r w:rsidRPr="000B296F">
        <w:rPr>
          <w:lang w:val="en-US" w:eastAsia="en-GB"/>
        </w:rPr>
        <w:t xml:space="preserve">Wang, Z. </w:t>
      </w:r>
      <w:r w:rsidRPr="000B296F">
        <w:rPr>
          <w:i/>
          <w:iCs/>
          <w:lang w:val="en-US" w:eastAsia="en-GB"/>
        </w:rPr>
        <w:t>et al.</w:t>
      </w:r>
      <w:r w:rsidRPr="000B296F">
        <w:rPr>
          <w:lang w:val="en-US" w:eastAsia="en-GB"/>
        </w:rPr>
        <w:t xml:space="preserve"> (2021) ‘Room Type Classification for Semantic Enrichment of Building Information Modeling Using Graph Neural Networks’.</w:t>
      </w:r>
    </w:p>
    <w:p w14:paraId="61F2210D" w14:textId="77777777" w:rsidR="000B296F" w:rsidRPr="000B296F" w:rsidRDefault="000B296F" w:rsidP="00054B71">
      <w:pPr>
        <w:pStyle w:val="Bibliography2"/>
        <w:rPr>
          <w:lang w:val="en-US" w:eastAsia="en-GB"/>
        </w:rPr>
      </w:pPr>
      <w:r w:rsidRPr="000B296F">
        <w:rPr>
          <w:lang w:val="en-US" w:eastAsia="en-GB"/>
        </w:rPr>
        <w:t xml:space="preserve">Wang, Z., Sacks, R. and Yeung, T. (2022) ‘Exploring graph neural networks for semantic enrichment: Room type classification’, </w:t>
      </w:r>
      <w:r w:rsidRPr="000B296F">
        <w:rPr>
          <w:i/>
          <w:iCs/>
          <w:lang w:val="en-US" w:eastAsia="en-GB"/>
        </w:rPr>
        <w:t>Automation in Construction</w:t>
      </w:r>
      <w:r w:rsidRPr="000B296F">
        <w:rPr>
          <w:lang w:val="en-US" w:eastAsia="en-GB"/>
        </w:rPr>
        <w:t>, 134, p. 104039. Available at: https://doi.org/10.1016/j.autcon.2021.104039.</w:t>
      </w:r>
    </w:p>
    <w:p w14:paraId="20EADCBF" w14:textId="77777777" w:rsidR="000B296F" w:rsidRPr="000B296F" w:rsidRDefault="000B296F" w:rsidP="00054B71">
      <w:pPr>
        <w:pStyle w:val="Bibliography2"/>
        <w:rPr>
          <w:lang w:val="en-US" w:eastAsia="en-GB"/>
        </w:rPr>
      </w:pPr>
      <w:r w:rsidRPr="000B296F">
        <w:rPr>
          <w:lang w:val="en-US" w:eastAsia="en-GB"/>
        </w:rPr>
        <w:t xml:space="preserve">Wei, Y. </w:t>
      </w:r>
      <w:r w:rsidRPr="000B296F">
        <w:rPr>
          <w:i/>
          <w:iCs/>
          <w:lang w:val="en-US" w:eastAsia="en-GB"/>
        </w:rPr>
        <w:t>et al.</w:t>
      </w:r>
      <w:r w:rsidRPr="000B296F">
        <w:rPr>
          <w:lang w:val="en-US" w:eastAsia="en-GB"/>
        </w:rPr>
        <w:t xml:space="preserve"> (2018) ‘A review of data-driven approaches for prediction and classification of building energy consumption’, </w:t>
      </w:r>
      <w:r w:rsidRPr="000B296F">
        <w:rPr>
          <w:i/>
          <w:iCs/>
          <w:lang w:val="en-US" w:eastAsia="en-GB"/>
        </w:rPr>
        <w:t>Renewable and Sustainable Energy Reviews</w:t>
      </w:r>
      <w:r w:rsidRPr="000B296F">
        <w:rPr>
          <w:lang w:val="en-US" w:eastAsia="en-GB"/>
        </w:rPr>
        <w:t>, 82, pp. 1027–1047. Available at: https://doi.org/10.1016/j.rser.2017.09.108.</w:t>
      </w:r>
    </w:p>
    <w:p w14:paraId="6D2360E1" w14:textId="77777777" w:rsidR="000B296F" w:rsidRPr="000B296F" w:rsidRDefault="000B296F" w:rsidP="00054B71">
      <w:pPr>
        <w:pStyle w:val="Bibliography2"/>
        <w:rPr>
          <w:lang w:val="en-US" w:eastAsia="en-GB"/>
        </w:rPr>
      </w:pPr>
      <w:r w:rsidRPr="000B296F">
        <w:rPr>
          <w:lang w:val="en-US" w:eastAsia="en-GB"/>
        </w:rPr>
        <w:t xml:space="preserve">Zhang, C. </w:t>
      </w:r>
      <w:r w:rsidRPr="000B296F">
        <w:rPr>
          <w:i/>
          <w:iCs/>
          <w:lang w:val="en-US" w:eastAsia="en-GB"/>
        </w:rPr>
        <w:t>et al.</w:t>
      </w:r>
      <w:r w:rsidRPr="000B296F">
        <w:rPr>
          <w:lang w:val="en-US" w:eastAsia="en-GB"/>
        </w:rPr>
        <w:t xml:space="preserve"> (2020) ‘A hybrid deep learning-based method for short-term building energy load prediction combined with an interpretation process’, </w:t>
      </w:r>
      <w:r w:rsidRPr="000B296F">
        <w:rPr>
          <w:i/>
          <w:iCs/>
          <w:lang w:val="en-US" w:eastAsia="en-GB"/>
        </w:rPr>
        <w:t>Energy and Buildings</w:t>
      </w:r>
      <w:r w:rsidRPr="000B296F">
        <w:rPr>
          <w:lang w:val="en-US" w:eastAsia="en-GB"/>
        </w:rPr>
        <w:t>, 225, p. 110301. Available at: https://doi.org/10.1016/j.enbuild.2020.110301.</w:t>
      </w:r>
    </w:p>
    <w:p w14:paraId="73677D1A" w14:textId="01487B3F" w:rsidR="00635C73" w:rsidRPr="00C50750" w:rsidRDefault="00E819E3" w:rsidP="00054B71">
      <w:pPr>
        <w:pStyle w:val="Bibliography2"/>
        <w:rPr>
          <w:spacing w:val="-4"/>
          <w:sz w:val="15"/>
          <w:szCs w:val="16"/>
        </w:rPr>
        <w:sectPr w:rsidR="00635C73" w:rsidRPr="00C50750" w:rsidSect="00857E6D">
          <w:headerReference w:type="default" r:id="rId23"/>
          <w:type w:val="continuous"/>
          <w:pgSz w:w="12240" w:h="15840" w:code="9"/>
          <w:pgMar w:top="1276" w:right="1276" w:bottom="1276" w:left="1276" w:header="720" w:footer="567" w:gutter="0"/>
          <w:pgNumType w:start="1" w:chapStyle="1"/>
          <w:cols w:num="2" w:space="567"/>
          <w:docGrid w:linePitch="360"/>
        </w:sectPr>
      </w:pPr>
      <w:r w:rsidRPr="00C50750">
        <w:rPr>
          <w:sz w:val="16"/>
          <w:szCs w:val="18"/>
        </w:rPr>
        <w:fldChar w:fldCharType="end"/>
      </w:r>
    </w:p>
    <w:p w14:paraId="64375251" w14:textId="47088A2F" w:rsidR="00635C73" w:rsidRPr="008B294B" w:rsidRDefault="00635C73" w:rsidP="00054B71">
      <w:pPr>
        <w:pStyle w:val="Bibliography2"/>
        <w:rPr>
          <w:spacing w:val="-4"/>
          <w:szCs w:val="18"/>
        </w:rPr>
        <w:sectPr w:rsidR="00635C73" w:rsidRPr="008B294B" w:rsidSect="00635C73">
          <w:type w:val="continuous"/>
          <w:pgSz w:w="12240" w:h="15840" w:code="9"/>
          <w:pgMar w:top="1276" w:right="1276" w:bottom="1276" w:left="1276" w:header="720" w:footer="567" w:gutter="0"/>
          <w:pgNumType w:start="1" w:chapStyle="1"/>
          <w:cols w:space="567"/>
          <w:docGrid w:linePitch="360"/>
        </w:sectPr>
      </w:pPr>
    </w:p>
    <w:p w14:paraId="13F6EEEC" w14:textId="0A6FF5C7" w:rsidR="00452605" w:rsidRPr="00964B99" w:rsidRDefault="00452605" w:rsidP="00054B71">
      <w:pPr>
        <w:pStyle w:val="Bibliography2"/>
        <w:rPr>
          <w:sz w:val="16"/>
          <w:szCs w:val="18"/>
          <w:lang w:val="en-US"/>
        </w:rPr>
      </w:pPr>
    </w:p>
    <w:sectPr w:rsidR="00452605" w:rsidRPr="00964B99" w:rsidSect="00857E6D">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5967" w14:textId="77777777" w:rsidR="00FF70A0" w:rsidRDefault="00FF70A0" w:rsidP="00A974D7">
      <w:r>
        <w:separator/>
      </w:r>
    </w:p>
  </w:endnote>
  <w:endnote w:type="continuationSeparator" w:id="0">
    <w:p w14:paraId="4A9E5AD1" w14:textId="77777777" w:rsidR="00FF70A0" w:rsidRDefault="00FF70A0" w:rsidP="00A974D7">
      <w:r>
        <w:continuationSeparator/>
      </w:r>
    </w:p>
  </w:endnote>
  <w:endnote w:type="continuationNotice" w:id="1">
    <w:p w14:paraId="2CA96206" w14:textId="77777777" w:rsidR="00FF70A0" w:rsidRDefault="00FF7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panose1 w:val="02020400000000000000"/>
    <w:charset w:val="80"/>
    <w:family w:val="roman"/>
    <w:notTrueType/>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0184"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1A43E1">
      <w:rPr>
        <w:b w:val="0"/>
        <w:bCs/>
        <w:sz w:val="16"/>
        <w:szCs w:val="16"/>
      </w:rPr>
      <w:fldChar w:fldCharType="begin"/>
    </w:r>
    <w:r w:rsidRPr="00DF42B5">
      <w:rPr>
        <w:b w:val="0"/>
        <w:bCs/>
        <w:sz w:val="16"/>
        <w:szCs w:val="16"/>
      </w:rPr>
      <w:instrText xml:space="preserve"> PAGE   \* MERGEFORMAT </w:instrText>
    </w:r>
    <w:r w:rsidRPr="001A43E1">
      <w:rPr>
        <w:b w:val="0"/>
        <w:bCs/>
        <w:sz w:val="16"/>
        <w:szCs w:val="16"/>
      </w:rPr>
      <w:fldChar w:fldCharType="separate"/>
    </w:r>
    <w:r>
      <w:rPr>
        <w:b w:val="0"/>
        <w:bCs/>
        <w:sz w:val="16"/>
        <w:szCs w:val="16"/>
      </w:rPr>
      <w:t>1</w:t>
    </w:r>
    <w:r w:rsidRPr="001A43E1">
      <w:rPr>
        <w:b w:val="0"/>
        <w:sz w:val="16"/>
        <w:szCs w:val="16"/>
      </w:rPr>
      <w:fldChar w:fldCharType="end"/>
    </w:r>
  </w:p>
  <w:p w14:paraId="19751439"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EB3D" w14:textId="77777777"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9237A9">
      <w:rPr>
        <w:b w:val="0"/>
        <w:bCs/>
        <w:sz w:val="16"/>
        <w:szCs w:val="16"/>
      </w:rPr>
      <w:fldChar w:fldCharType="begin"/>
    </w:r>
    <w:r w:rsidR="00991A6B" w:rsidRPr="00DF42B5">
      <w:rPr>
        <w:b w:val="0"/>
        <w:bCs/>
        <w:sz w:val="16"/>
        <w:szCs w:val="16"/>
      </w:rPr>
      <w:instrText xml:space="preserve"> PAGE   \* MERGEFORMAT </w:instrText>
    </w:r>
    <w:r w:rsidR="00991A6B" w:rsidRPr="009237A9">
      <w:rPr>
        <w:b w:val="0"/>
        <w:bCs/>
        <w:sz w:val="16"/>
        <w:szCs w:val="16"/>
      </w:rPr>
      <w:fldChar w:fldCharType="separate"/>
    </w:r>
    <w:r w:rsidR="00991A6B" w:rsidRPr="00C036D0">
      <w:rPr>
        <w:b w:val="0"/>
        <w:sz w:val="16"/>
        <w:szCs w:val="16"/>
      </w:rPr>
      <w:t>2</w:t>
    </w:r>
    <w:r w:rsidR="00991A6B" w:rsidRPr="009237A9">
      <w:rPr>
        <w:b w:val="0"/>
        <w:sz w:val="16"/>
        <w:szCs w:val="16"/>
      </w:rPr>
      <w:fldChar w:fldCharType="end"/>
    </w:r>
  </w:p>
  <w:p w14:paraId="7BA5616B" w14:textId="77777777"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5BFB" w14:textId="77777777" w:rsidR="00FF70A0" w:rsidRDefault="00FF70A0" w:rsidP="00A974D7">
      <w:r>
        <w:separator/>
      </w:r>
    </w:p>
  </w:footnote>
  <w:footnote w:type="continuationSeparator" w:id="0">
    <w:p w14:paraId="7B13B2A3" w14:textId="77777777" w:rsidR="00FF70A0" w:rsidRDefault="00FF70A0" w:rsidP="00A974D7">
      <w:r>
        <w:continuationSeparator/>
      </w:r>
    </w:p>
  </w:footnote>
  <w:footnote w:type="continuationNotice" w:id="1">
    <w:p w14:paraId="7D999A16" w14:textId="77777777" w:rsidR="00FF70A0" w:rsidRDefault="00FF70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96A4"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190E0233"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A5DC" w14:textId="77777777" w:rsidR="007F5224" w:rsidRDefault="005F74EF" w:rsidP="009465E7">
    <w:pPr>
      <w:pStyle w:val="Header"/>
      <w:jc w:val="center"/>
    </w:pPr>
    <w:r>
      <w:rPr>
        <w:rFonts w:cs="Arial"/>
        <w:sz w:val="36"/>
      </w:rPr>
      <w:t xml:space="preserve"> </w:t>
    </w:r>
    <w:r w:rsidR="002B61D2" w:rsidRPr="00C62C38">
      <w:rPr>
        <w:noProof/>
      </w:rPr>
      <w:drawing>
        <wp:inline distT="0" distB="0" distL="0" distR="0" wp14:anchorId="2E9CC9B0" wp14:editId="4FF23DBA">
          <wp:extent cx="1797685" cy="1797685"/>
          <wp:effectExtent l="0" t="0" r="0" b="0"/>
          <wp:docPr id="482178186" name="Picture 482178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685" cy="17976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F97F"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35A4"/>
    <w:multiLevelType w:val="hybridMultilevel"/>
    <w:tmpl w:val="962EFB48"/>
    <w:lvl w:ilvl="0" w:tplc="96EEB9B2">
      <w:start w:val="3"/>
      <w:numFmt w:val="bullet"/>
      <w:lvlText w:val="-"/>
      <w:lvlJc w:val="left"/>
      <w:pPr>
        <w:ind w:left="644" w:hanging="360"/>
      </w:pPr>
      <w:rPr>
        <w:rFonts w:ascii="Arial" w:eastAsia="MS Mincho"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11341CBA"/>
    <w:multiLevelType w:val="hybridMultilevel"/>
    <w:tmpl w:val="11903436"/>
    <w:lvl w:ilvl="0" w:tplc="9DF2D5A8">
      <w:start w:val="2"/>
      <w:numFmt w:val="bullet"/>
      <w:lvlText w:val="-"/>
      <w:lvlJc w:val="left"/>
      <w:pPr>
        <w:ind w:left="644" w:hanging="360"/>
      </w:pPr>
      <w:rPr>
        <w:rFonts w:ascii="Arial" w:eastAsia="MS Mincho"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1247671D"/>
    <w:multiLevelType w:val="hybridMultilevel"/>
    <w:tmpl w:val="498E62E4"/>
    <w:lvl w:ilvl="0" w:tplc="5AC8FF14">
      <w:start w:val="4"/>
      <w:numFmt w:val="bullet"/>
      <w:lvlText w:val="-"/>
      <w:lvlJc w:val="left"/>
      <w:pPr>
        <w:ind w:left="720" w:hanging="360"/>
      </w:pPr>
      <w:rPr>
        <w:rFonts w:ascii="Arial" w:eastAsia="MS Mincho"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42916C2"/>
    <w:multiLevelType w:val="hybridMultilevel"/>
    <w:tmpl w:val="9920D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8B77E7"/>
    <w:multiLevelType w:val="multilevel"/>
    <w:tmpl w:val="48C04710"/>
    <w:lvl w:ilvl="0">
      <w:start w:val="3"/>
      <w:numFmt w:val="decimal"/>
      <w:lvlText w:val="%1."/>
      <w:lvlJc w:val="left"/>
      <w:pPr>
        <w:ind w:left="500" w:hanging="500"/>
      </w:pPr>
      <w:rPr>
        <w:rFonts w:hint="default"/>
      </w:rPr>
    </w:lvl>
    <w:lvl w:ilvl="1">
      <w:start w:val="2"/>
      <w:numFmt w:val="decimal"/>
      <w:lvlText w:val="%1.%2."/>
      <w:lvlJc w:val="left"/>
      <w:pPr>
        <w:ind w:left="642" w:hanging="5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7569B5"/>
    <w:multiLevelType w:val="multilevel"/>
    <w:tmpl w:val="02B2AC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0120E"/>
    <w:multiLevelType w:val="multilevel"/>
    <w:tmpl w:val="48C04710"/>
    <w:lvl w:ilvl="0">
      <w:start w:val="3"/>
      <w:numFmt w:val="decimal"/>
      <w:lvlText w:val="%1."/>
      <w:lvlJc w:val="left"/>
      <w:pPr>
        <w:ind w:left="500" w:hanging="500"/>
      </w:pPr>
      <w:rPr>
        <w:rFonts w:hint="default"/>
      </w:rPr>
    </w:lvl>
    <w:lvl w:ilvl="1">
      <w:start w:val="2"/>
      <w:numFmt w:val="decimal"/>
      <w:lvlText w:val="%1.%2."/>
      <w:lvlJc w:val="left"/>
      <w:pPr>
        <w:ind w:left="642" w:hanging="5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450B09A5"/>
    <w:multiLevelType w:val="hybridMultilevel"/>
    <w:tmpl w:val="84483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9852566"/>
    <w:multiLevelType w:val="multilevel"/>
    <w:tmpl w:val="D30CEE4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D5909A7"/>
    <w:multiLevelType w:val="multilevel"/>
    <w:tmpl w:val="BFF47948"/>
    <w:lvl w:ilvl="0">
      <w:start w:val="1"/>
      <w:numFmt w:val="decimal"/>
      <w:lvlText w:val="%1."/>
      <w:lvlJc w:val="left"/>
      <w:pPr>
        <w:ind w:left="644" w:hanging="360"/>
      </w:pPr>
      <w:rPr>
        <w:rFonts w:hint="default"/>
      </w:rPr>
    </w:lvl>
    <w:lvl w:ilvl="1">
      <w:start w:val="2"/>
      <w:numFmt w:val="decimal"/>
      <w:isLgl/>
      <w:lvlText w:val="%1.%2."/>
      <w:lvlJc w:val="left"/>
      <w:pPr>
        <w:ind w:left="784" w:hanging="50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4520E9"/>
    <w:multiLevelType w:val="hybridMultilevel"/>
    <w:tmpl w:val="6528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AE5D80"/>
    <w:multiLevelType w:val="multilevel"/>
    <w:tmpl w:val="BFF47948"/>
    <w:styleLink w:val="CurrentList1"/>
    <w:lvl w:ilvl="0">
      <w:start w:val="1"/>
      <w:numFmt w:val="decimal"/>
      <w:lvlText w:val="%1."/>
      <w:lvlJc w:val="left"/>
      <w:pPr>
        <w:ind w:left="644" w:hanging="360"/>
      </w:pPr>
      <w:rPr>
        <w:rFonts w:hint="default"/>
      </w:rPr>
    </w:lvl>
    <w:lvl w:ilvl="1">
      <w:start w:val="2"/>
      <w:numFmt w:val="decimal"/>
      <w:isLgl/>
      <w:lvlText w:val="%1.%2."/>
      <w:lvlJc w:val="left"/>
      <w:pPr>
        <w:ind w:left="784" w:hanging="50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7794487A"/>
    <w:multiLevelType w:val="hybridMultilevel"/>
    <w:tmpl w:val="8A1AA316"/>
    <w:lvl w:ilvl="0" w:tplc="5AC8FF14">
      <w:start w:val="4"/>
      <w:numFmt w:val="bullet"/>
      <w:lvlText w:val="-"/>
      <w:lvlJc w:val="left"/>
      <w:pPr>
        <w:ind w:left="360" w:hanging="360"/>
      </w:pPr>
      <w:rPr>
        <w:rFonts w:ascii="Arial" w:eastAsia="MS Mincho" w:hAnsi="Arial" w:cs="Aria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78035648"/>
    <w:multiLevelType w:val="hybridMultilevel"/>
    <w:tmpl w:val="95462E82"/>
    <w:lvl w:ilvl="0" w:tplc="9DF2D5A8">
      <w:start w:val="2"/>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6" w15:restartNumberingAfterBreak="0">
    <w:nsid w:val="789F50B9"/>
    <w:multiLevelType w:val="multilevel"/>
    <w:tmpl w:val="D4044368"/>
    <w:lvl w:ilvl="0">
      <w:start w:val="5"/>
      <w:numFmt w:val="decimal"/>
      <w:lvlText w:val="%1."/>
      <w:lvlJc w:val="left"/>
      <w:pPr>
        <w:ind w:left="500" w:hanging="500"/>
      </w:pPr>
      <w:rPr>
        <w:rFonts w:hint="default"/>
      </w:rPr>
    </w:lvl>
    <w:lvl w:ilvl="1">
      <w:start w:val="2"/>
      <w:numFmt w:val="decimal"/>
      <w:lvlText w:val="%1.%2."/>
      <w:lvlJc w:val="left"/>
      <w:pPr>
        <w:ind w:left="642" w:hanging="5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7B7057A0"/>
    <w:multiLevelType w:val="hybridMultilevel"/>
    <w:tmpl w:val="7FE27326"/>
    <w:lvl w:ilvl="0" w:tplc="CA604326">
      <w:start w:val="3"/>
      <w:numFmt w:val="bullet"/>
      <w:lvlText w:val="-"/>
      <w:lvlJc w:val="left"/>
      <w:pPr>
        <w:ind w:left="644" w:hanging="360"/>
      </w:pPr>
      <w:rPr>
        <w:rFonts w:ascii="Arial" w:eastAsia="MS Mincho"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127547978">
    <w:abstractNumId w:val="6"/>
  </w:num>
  <w:num w:numId="2" w16cid:durableId="1159543423">
    <w:abstractNumId w:val="11"/>
  </w:num>
  <w:num w:numId="3" w16cid:durableId="1418088785">
    <w:abstractNumId w:val="1"/>
  </w:num>
  <w:num w:numId="4" w16cid:durableId="92014788">
    <w:abstractNumId w:val="15"/>
  </w:num>
  <w:num w:numId="5" w16cid:durableId="231357397">
    <w:abstractNumId w:val="3"/>
  </w:num>
  <w:num w:numId="6" w16cid:durableId="1234656680">
    <w:abstractNumId w:val="8"/>
  </w:num>
  <w:num w:numId="7" w16cid:durableId="1358431023">
    <w:abstractNumId w:val="10"/>
  </w:num>
  <w:num w:numId="8" w16cid:durableId="1195726071">
    <w:abstractNumId w:val="13"/>
  </w:num>
  <w:num w:numId="9" w16cid:durableId="1289163279">
    <w:abstractNumId w:val="4"/>
  </w:num>
  <w:num w:numId="10" w16cid:durableId="831919461">
    <w:abstractNumId w:val="17"/>
  </w:num>
  <w:num w:numId="11" w16cid:durableId="439373854">
    <w:abstractNumId w:val="0"/>
  </w:num>
  <w:num w:numId="12" w16cid:durableId="1602299842">
    <w:abstractNumId w:val="12"/>
  </w:num>
  <w:num w:numId="13" w16cid:durableId="1399742239">
    <w:abstractNumId w:val="7"/>
  </w:num>
  <w:num w:numId="14" w16cid:durableId="252277659">
    <w:abstractNumId w:val="9"/>
  </w:num>
  <w:num w:numId="15" w16cid:durableId="41877768">
    <w:abstractNumId w:val="2"/>
  </w:num>
  <w:num w:numId="16" w16cid:durableId="1173303388">
    <w:abstractNumId w:val="14"/>
  </w:num>
  <w:num w:numId="17" w16cid:durableId="890068861">
    <w:abstractNumId w:val="16"/>
  </w:num>
  <w:num w:numId="18" w16cid:durableId="18016099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87A"/>
    <w:rsid w:val="00000B44"/>
    <w:rsid w:val="00000D3B"/>
    <w:rsid w:val="000018A4"/>
    <w:rsid w:val="00002544"/>
    <w:rsid w:val="00002DF6"/>
    <w:rsid w:val="00003BAA"/>
    <w:rsid w:val="00003E33"/>
    <w:rsid w:val="00004D80"/>
    <w:rsid w:val="000053B0"/>
    <w:rsid w:val="000065D7"/>
    <w:rsid w:val="00006EE5"/>
    <w:rsid w:val="00007587"/>
    <w:rsid w:val="00007798"/>
    <w:rsid w:val="00007AF8"/>
    <w:rsid w:val="00010010"/>
    <w:rsid w:val="00010760"/>
    <w:rsid w:val="000115A7"/>
    <w:rsid w:val="00011827"/>
    <w:rsid w:val="00013181"/>
    <w:rsid w:val="000147DB"/>
    <w:rsid w:val="00014A34"/>
    <w:rsid w:val="00016F2D"/>
    <w:rsid w:val="00017523"/>
    <w:rsid w:val="00017741"/>
    <w:rsid w:val="00017B66"/>
    <w:rsid w:val="00020278"/>
    <w:rsid w:val="00021BD0"/>
    <w:rsid w:val="00022B21"/>
    <w:rsid w:val="00023794"/>
    <w:rsid w:val="0002401B"/>
    <w:rsid w:val="0002442C"/>
    <w:rsid w:val="000245B2"/>
    <w:rsid w:val="00024AD8"/>
    <w:rsid w:val="00025220"/>
    <w:rsid w:val="000255BD"/>
    <w:rsid w:val="000255E2"/>
    <w:rsid w:val="00025C49"/>
    <w:rsid w:val="00026060"/>
    <w:rsid w:val="00026343"/>
    <w:rsid w:val="0002652B"/>
    <w:rsid w:val="0003104C"/>
    <w:rsid w:val="000329CA"/>
    <w:rsid w:val="00032AFD"/>
    <w:rsid w:val="00032BAF"/>
    <w:rsid w:val="0003330A"/>
    <w:rsid w:val="0003359F"/>
    <w:rsid w:val="0003368E"/>
    <w:rsid w:val="00034D30"/>
    <w:rsid w:val="00034EB0"/>
    <w:rsid w:val="000350D0"/>
    <w:rsid w:val="0003567C"/>
    <w:rsid w:val="00036B24"/>
    <w:rsid w:val="00036D8B"/>
    <w:rsid w:val="00041183"/>
    <w:rsid w:val="00041B90"/>
    <w:rsid w:val="00041D9A"/>
    <w:rsid w:val="00042A0A"/>
    <w:rsid w:val="00042D94"/>
    <w:rsid w:val="00043341"/>
    <w:rsid w:val="00044F61"/>
    <w:rsid w:val="00045E69"/>
    <w:rsid w:val="000461A9"/>
    <w:rsid w:val="000468AD"/>
    <w:rsid w:val="0004697D"/>
    <w:rsid w:val="000470C3"/>
    <w:rsid w:val="00047BA0"/>
    <w:rsid w:val="000500F2"/>
    <w:rsid w:val="000507DE"/>
    <w:rsid w:val="00050C0C"/>
    <w:rsid w:val="0005200F"/>
    <w:rsid w:val="000521EE"/>
    <w:rsid w:val="0005259B"/>
    <w:rsid w:val="00052804"/>
    <w:rsid w:val="00052816"/>
    <w:rsid w:val="000528CB"/>
    <w:rsid w:val="0005390E"/>
    <w:rsid w:val="00053E9D"/>
    <w:rsid w:val="00054669"/>
    <w:rsid w:val="00054B71"/>
    <w:rsid w:val="00054BBA"/>
    <w:rsid w:val="00056C4C"/>
    <w:rsid w:val="00057104"/>
    <w:rsid w:val="00057221"/>
    <w:rsid w:val="00060AD0"/>
    <w:rsid w:val="0006201A"/>
    <w:rsid w:val="0006221A"/>
    <w:rsid w:val="00062310"/>
    <w:rsid w:val="0006489B"/>
    <w:rsid w:val="000648FD"/>
    <w:rsid w:val="00064BBE"/>
    <w:rsid w:val="000656E1"/>
    <w:rsid w:val="00066244"/>
    <w:rsid w:val="00067049"/>
    <w:rsid w:val="0006724E"/>
    <w:rsid w:val="000677EC"/>
    <w:rsid w:val="000679E9"/>
    <w:rsid w:val="000702A5"/>
    <w:rsid w:val="00071093"/>
    <w:rsid w:val="000710B2"/>
    <w:rsid w:val="00071583"/>
    <w:rsid w:val="000717AC"/>
    <w:rsid w:val="00071D0F"/>
    <w:rsid w:val="00071E08"/>
    <w:rsid w:val="00071E24"/>
    <w:rsid w:val="0007262E"/>
    <w:rsid w:val="000729E5"/>
    <w:rsid w:val="00072DA0"/>
    <w:rsid w:val="00075468"/>
    <w:rsid w:val="00076448"/>
    <w:rsid w:val="00076469"/>
    <w:rsid w:val="00080999"/>
    <w:rsid w:val="00081395"/>
    <w:rsid w:val="000818FE"/>
    <w:rsid w:val="00081DBD"/>
    <w:rsid w:val="0008231B"/>
    <w:rsid w:val="000823C2"/>
    <w:rsid w:val="00082B1F"/>
    <w:rsid w:val="000844B6"/>
    <w:rsid w:val="000861F7"/>
    <w:rsid w:val="000873C6"/>
    <w:rsid w:val="00087876"/>
    <w:rsid w:val="000908A2"/>
    <w:rsid w:val="000911C7"/>
    <w:rsid w:val="00091761"/>
    <w:rsid w:val="000919DC"/>
    <w:rsid w:val="00091DBC"/>
    <w:rsid w:val="000920E2"/>
    <w:rsid w:val="00092497"/>
    <w:rsid w:val="00092A70"/>
    <w:rsid w:val="00092C53"/>
    <w:rsid w:val="00093092"/>
    <w:rsid w:val="000930AC"/>
    <w:rsid w:val="0009355A"/>
    <w:rsid w:val="00094A82"/>
    <w:rsid w:val="00094FC9"/>
    <w:rsid w:val="00095014"/>
    <w:rsid w:val="00095DB7"/>
    <w:rsid w:val="000965F8"/>
    <w:rsid w:val="00097801"/>
    <w:rsid w:val="000A25E5"/>
    <w:rsid w:val="000A364B"/>
    <w:rsid w:val="000A3929"/>
    <w:rsid w:val="000A446E"/>
    <w:rsid w:val="000A4A1E"/>
    <w:rsid w:val="000A4B3B"/>
    <w:rsid w:val="000A4CD3"/>
    <w:rsid w:val="000A57B1"/>
    <w:rsid w:val="000A591C"/>
    <w:rsid w:val="000A661B"/>
    <w:rsid w:val="000A7155"/>
    <w:rsid w:val="000A75FE"/>
    <w:rsid w:val="000A7772"/>
    <w:rsid w:val="000B015B"/>
    <w:rsid w:val="000B20FB"/>
    <w:rsid w:val="000B27A1"/>
    <w:rsid w:val="000B296F"/>
    <w:rsid w:val="000B30E8"/>
    <w:rsid w:val="000B3D02"/>
    <w:rsid w:val="000B62D6"/>
    <w:rsid w:val="000B7556"/>
    <w:rsid w:val="000B761D"/>
    <w:rsid w:val="000B7BFB"/>
    <w:rsid w:val="000B7F71"/>
    <w:rsid w:val="000C1318"/>
    <w:rsid w:val="000C3B38"/>
    <w:rsid w:val="000C3E27"/>
    <w:rsid w:val="000C4210"/>
    <w:rsid w:val="000C4BDD"/>
    <w:rsid w:val="000C5B78"/>
    <w:rsid w:val="000C5DF1"/>
    <w:rsid w:val="000C6870"/>
    <w:rsid w:val="000C6B0A"/>
    <w:rsid w:val="000C71FF"/>
    <w:rsid w:val="000C79BC"/>
    <w:rsid w:val="000D0148"/>
    <w:rsid w:val="000D1147"/>
    <w:rsid w:val="000D18EB"/>
    <w:rsid w:val="000D3558"/>
    <w:rsid w:val="000D42BE"/>
    <w:rsid w:val="000D43AC"/>
    <w:rsid w:val="000D5267"/>
    <w:rsid w:val="000D5A57"/>
    <w:rsid w:val="000D5BB5"/>
    <w:rsid w:val="000D66A1"/>
    <w:rsid w:val="000D6849"/>
    <w:rsid w:val="000D6BDE"/>
    <w:rsid w:val="000D7BD1"/>
    <w:rsid w:val="000D7DF9"/>
    <w:rsid w:val="000E064B"/>
    <w:rsid w:val="000E0F1C"/>
    <w:rsid w:val="000E24A3"/>
    <w:rsid w:val="000E2F11"/>
    <w:rsid w:val="000E3A13"/>
    <w:rsid w:val="000E4049"/>
    <w:rsid w:val="000E5027"/>
    <w:rsid w:val="000E5493"/>
    <w:rsid w:val="000E76D4"/>
    <w:rsid w:val="000EF4C1"/>
    <w:rsid w:val="000F016B"/>
    <w:rsid w:val="000F09E7"/>
    <w:rsid w:val="000F0CF2"/>
    <w:rsid w:val="000F186F"/>
    <w:rsid w:val="000F1EFF"/>
    <w:rsid w:val="000F360B"/>
    <w:rsid w:val="000F4103"/>
    <w:rsid w:val="000F4332"/>
    <w:rsid w:val="000F4745"/>
    <w:rsid w:val="000F48D0"/>
    <w:rsid w:val="000F50DE"/>
    <w:rsid w:val="000F544B"/>
    <w:rsid w:val="000F6699"/>
    <w:rsid w:val="000F73C4"/>
    <w:rsid w:val="0010031F"/>
    <w:rsid w:val="00100674"/>
    <w:rsid w:val="00100D25"/>
    <w:rsid w:val="00101277"/>
    <w:rsid w:val="001013F4"/>
    <w:rsid w:val="0010145F"/>
    <w:rsid w:val="0010169B"/>
    <w:rsid w:val="00102468"/>
    <w:rsid w:val="001029BA"/>
    <w:rsid w:val="001029E1"/>
    <w:rsid w:val="00102E3D"/>
    <w:rsid w:val="0010327A"/>
    <w:rsid w:val="00104C80"/>
    <w:rsid w:val="001060F6"/>
    <w:rsid w:val="00107E1A"/>
    <w:rsid w:val="00111277"/>
    <w:rsid w:val="00111AC4"/>
    <w:rsid w:val="001120E7"/>
    <w:rsid w:val="001123AD"/>
    <w:rsid w:val="00115564"/>
    <w:rsid w:val="00116E53"/>
    <w:rsid w:val="001179C8"/>
    <w:rsid w:val="001202EA"/>
    <w:rsid w:val="00121631"/>
    <w:rsid w:val="0012216D"/>
    <w:rsid w:val="001229BF"/>
    <w:rsid w:val="001231E4"/>
    <w:rsid w:val="0012417F"/>
    <w:rsid w:val="00125E92"/>
    <w:rsid w:val="0012727C"/>
    <w:rsid w:val="00127659"/>
    <w:rsid w:val="00131055"/>
    <w:rsid w:val="0013267D"/>
    <w:rsid w:val="00132F5C"/>
    <w:rsid w:val="00132F62"/>
    <w:rsid w:val="00133A14"/>
    <w:rsid w:val="0013508A"/>
    <w:rsid w:val="00135A3F"/>
    <w:rsid w:val="0013638A"/>
    <w:rsid w:val="0013736D"/>
    <w:rsid w:val="00137563"/>
    <w:rsid w:val="00137790"/>
    <w:rsid w:val="00137E00"/>
    <w:rsid w:val="00137EE3"/>
    <w:rsid w:val="00140306"/>
    <w:rsid w:val="00141815"/>
    <w:rsid w:val="00141EC3"/>
    <w:rsid w:val="00142B41"/>
    <w:rsid w:val="0014310A"/>
    <w:rsid w:val="00143AA1"/>
    <w:rsid w:val="00144F1F"/>
    <w:rsid w:val="00145E0D"/>
    <w:rsid w:val="00146419"/>
    <w:rsid w:val="00146754"/>
    <w:rsid w:val="00147191"/>
    <w:rsid w:val="001478C4"/>
    <w:rsid w:val="00154061"/>
    <w:rsid w:val="00154D54"/>
    <w:rsid w:val="00155078"/>
    <w:rsid w:val="00155EA0"/>
    <w:rsid w:val="00160007"/>
    <w:rsid w:val="001605D7"/>
    <w:rsid w:val="00160A73"/>
    <w:rsid w:val="00160B88"/>
    <w:rsid w:val="001611F6"/>
    <w:rsid w:val="0016199B"/>
    <w:rsid w:val="00161A7E"/>
    <w:rsid w:val="00162BF3"/>
    <w:rsid w:val="0016324C"/>
    <w:rsid w:val="0016368A"/>
    <w:rsid w:val="00163F5A"/>
    <w:rsid w:val="00164161"/>
    <w:rsid w:val="001665F1"/>
    <w:rsid w:val="0016794F"/>
    <w:rsid w:val="00170306"/>
    <w:rsid w:val="00170711"/>
    <w:rsid w:val="00171022"/>
    <w:rsid w:val="00171445"/>
    <w:rsid w:val="00172161"/>
    <w:rsid w:val="00172D1B"/>
    <w:rsid w:val="0017328D"/>
    <w:rsid w:val="00173CB0"/>
    <w:rsid w:val="001744DE"/>
    <w:rsid w:val="001754B5"/>
    <w:rsid w:val="00175F08"/>
    <w:rsid w:val="00176CF5"/>
    <w:rsid w:val="00176DBA"/>
    <w:rsid w:val="001770A9"/>
    <w:rsid w:val="001776C9"/>
    <w:rsid w:val="00181570"/>
    <w:rsid w:val="00184FA2"/>
    <w:rsid w:val="00185670"/>
    <w:rsid w:val="00185CAE"/>
    <w:rsid w:val="001861CD"/>
    <w:rsid w:val="00187EEB"/>
    <w:rsid w:val="00190767"/>
    <w:rsid w:val="00191511"/>
    <w:rsid w:val="001921BA"/>
    <w:rsid w:val="00192E29"/>
    <w:rsid w:val="0019345F"/>
    <w:rsid w:val="0019347C"/>
    <w:rsid w:val="0019371D"/>
    <w:rsid w:val="00193C56"/>
    <w:rsid w:val="001947A6"/>
    <w:rsid w:val="001947DE"/>
    <w:rsid w:val="0019636F"/>
    <w:rsid w:val="0019668F"/>
    <w:rsid w:val="00196A0E"/>
    <w:rsid w:val="001A019C"/>
    <w:rsid w:val="001A0B08"/>
    <w:rsid w:val="001A19AD"/>
    <w:rsid w:val="001A21EE"/>
    <w:rsid w:val="001A3511"/>
    <w:rsid w:val="001A4117"/>
    <w:rsid w:val="001A43E1"/>
    <w:rsid w:val="001A46CE"/>
    <w:rsid w:val="001A4741"/>
    <w:rsid w:val="001A4BD6"/>
    <w:rsid w:val="001A4F4E"/>
    <w:rsid w:val="001A5829"/>
    <w:rsid w:val="001A5DA0"/>
    <w:rsid w:val="001A78B1"/>
    <w:rsid w:val="001A7B91"/>
    <w:rsid w:val="001B0C20"/>
    <w:rsid w:val="001B10BA"/>
    <w:rsid w:val="001B2E0F"/>
    <w:rsid w:val="001B4466"/>
    <w:rsid w:val="001B4941"/>
    <w:rsid w:val="001B5477"/>
    <w:rsid w:val="001B56DB"/>
    <w:rsid w:val="001B6591"/>
    <w:rsid w:val="001B73C3"/>
    <w:rsid w:val="001B7628"/>
    <w:rsid w:val="001C094D"/>
    <w:rsid w:val="001C0FF4"/>
    <w:rsid w:val="001C3220"/>
    <w:rsid w:val="001C3B58"/>
    <w:rsid w:val="001C4470"/>
    <w:rsid w:val="001C44B1"/>
    <w:rsid w:val="001C464E"/>
    <w:rsid w:val="001C4E4F"/>
    <w:rsid w:val="001C535D"/>
    <w:rsid w:val="001C53B6"/>
    <w:rsid w:val="001C71A1"/>
    <w:rsid w:val="001D170E"/>
    <w:rsid w:val="001D1C89"/>
    <w:rsid w:val="001D23A1"/>
    <w:rsid w:val="001D2DF7"/>
    <w:rsid w:val="001D2F63"/>
    <w:rsid w:val="001D2FCD"/>
    <w:rsid w:val="001D3240"/>
    <w:rsid w:val="001D34AA"/>
    <w:rsid w:val="001D3954"/>
    <w:rsid w:val="001D3A4D"/>
    <w:rsid w:val="001D50A0"/>
    <w:rsid w:val="001D6649"/>
    <w:rsid w:val="001D6CCF"/>
    <w:rsid w:val="001D72F8"/>
    <w:rsid w:val="001D7C90"/>
    <w:rsid w:val="001E03B8"/>
    <w:rsid w:val="001E092C"/>
    <w:rsid w:val="001E1C89"/>
    <w:rsid w:val="001E1D32"/>
    <w:rsid w:val="001E2384"/>
    <w:rsid w:val="001E2BD2"/>
    <w:rsid w:val="001E4048"/>
    <w:rsid w:val="001E4E21"/>
    <w:rsid w:val="001E51D5"/>
    <w:rsid w:val="001E7116"/>
    <w:rsid w:val="001E7D7C"/>
    <w:rsid w:val="001F0EE9"/>
    <w:rsid w:val="001F38DC"/>
    <w:rsid w:val="001F4290"/>
    <w:rsid w:val="001F46F5"/>
    <w:rsid w:val="001F4B4B"/>
    <w:rsid w:val="001F56EB"/>
    <w:rsid w:val="001F5F33"/>
    <w:rsid w:val="001F697C"/>
    <w:rsid w:val="001F73E5"/>
    <w:rsid w:val="001F77D6"/>
    <w:rsid w:val="001F7F59"/>
    <w:rsid w:val="00200904"/>
    <w:rsid w:val="0020261B"/>
    <w:rsid w:val="00202E09"/>
    <w:rsid w:val="00203623"/>
    <w:rsid w:val="002047F3"/>
    <w:rsid w:val="0020494B"/>
    <w:rsid w:val="0020495F"/>
    <w:rsid w:val="002054B7"/>
    <w:rsid w:val="002054D9"/>
    <w:rsid w:val="00205FE6"/>
    <w:rsid w:val="0020686D"/>
    <w:rsid w:val="002100A8"/>
    <w:rsid w:val="002103EA"/>
    <w:rsid w:val="0021043A"/>
    <w:rsid w:val="002108A4"/>
    <w:rsid w:val="00210B36"/>
    <w:rsid w:val="00210BA7"/>
    <w:rsid w:val="00212030"/>
    <w:rsid w:val="00212C6B"/>
    <w:rsid w:val="00213073"/>
    <w:rsid w:val="002130F4"/>
    <w:rsid w:val="00213734"/>
    <w:rsid w:val="002138F8"/>
    <w:rsid w:val="002141FE"/>
    <w:rsid w:val="002150EC"/>
    <w:rsid w:val="002155DA"/>
    <w:rsid w:val="00216CAD"/>
    <w:rsid w:val="00217161"/>
    <w:rsid w:val="0021736C"/>
    <w:rsid w:val="002174C6"/>
    <w:rsid w:val="00217AC4"/>
    <w:rsid w:val="002206D0"/>
    <w:rsid w:val="00221704"/>
    <w:rsid w:val="002217BF"/>
    <w:rsid w:val="002244EC"/>
    <w:rsid w:val="002249E7"/>
    <w:rsid w:val="0022531F"/>
    <w:rsid w:val="002260F3"/>
    <w:rsid w:val="00226E3F"/>
    <w:rsid w:val="0022731F"/>
    <w:rsid w:val="00227384"/>
    <w:rsid w:val="00227ECA"/>
    <w:rsid w:val="00230169"/>
    <w:rsid w:val="00230396"/>
    <w:rsid w:val="00230486"/>
    <w:rsid w:val="0023096B"/>
    <w:rsid w:val="002316EA"/>
    <w:rsid w:val="002320FC"/>
    <w:rsid w:val="00233354"/>
    <w:rsid w:val="002334E4"/>
    <w:rsid w:val="00233E1C"/>
    <w:rsid w:val="00234353"/>
    <w:rsid w:val="002344B7"/>
    <w:rsid w:val="00240286"/>
    <w:rsid w:val="00240D1C"/>
    <w:rsid w:val="002419AF"/>
    <w:rsid w:val="00241D2C"/>
    <w:rsid w:val="002437F4"/>
    <w:rsid w:val="0024432C"/>
    <w:rsid w:val="002458E6"/>
    <w:rsid w:val="00246914"/>
    <w:rsid w:val="00246E7B"/>
    <w:rsid w:val="0024766A"/>
    <w:rsid w:val="00250354"/>
    <w:rsid w:val="002507AE"/>
    <w:rsid w:val="0025107B"/>
    <w:rsid w:val="00253A32"/>
    <w:rsid w:val="00254390"/>
    <w:rsid w:val="00255A59"/>
    <w:rsid w:val="00260178"/>
    <w:rsid w:val="00260534"/>
    <w:rsid w:val="00260794"/>
    <w:rsid w:val="00264847"/>
    <w:rsid w:val="00264923"/>
    <w:rsid w:val="002649F4"/>
    <w:rsid w:val="002651CC"/>
    <w:rsid w:val="00265F8B"/>
    <w:rsid w:val="0026612F"/>
    <w:rsid w:val="00266B1E"/>
    <w:rsid w:val="00267006"/>
    <w:rsid w:val="00267CA7"/>
    <w:rsid w:val="00270892"/>
    <w:rsid w:val="00270FFB"/>
    <w:rsid w:val="002715DF"/>
    <w:rsid w:val="00271E5E"/>
    <w:rsid w:val="00272BEE"/>
    <w:rsid w:val="002739B1"/>
    <w:rsid w:val="00274557"/>
    <w:rsid w:val="002749D9"/>
    <w:rsid w:val="0027528D"/>
    <w:rsid w:val="0027529E"/>
    <w:rsid w:val="00275B49"/>
    <w:rsid w:val="00276431"/>
    <w:rsid w:val="00277F5C"/>
    <w:rsid w:val="00280037"/>
    <w:rsid w:val="002802D8"/>
    <w:rsid w:val="0028127A"/>
    <w:rsid w:val="00281584"/>
    <w:rsid w:val="00281D62"/>
    <w:rsid w:val="00282329"/>
    <w:rsid w:val="00282F65"/>
    <w:rsid w:val="002838A8"/>
    <w:rsid w:val="00283E92"/>
    <w:rsid w:val="0028470A"/>
    <w:rsid w:val="00284812"/>
    <w:rsid w:val="00284ACA"/>
    <w:rsid w:val="00285B47"/>
    <w:rsid w:val="00286937"/>
    <w:rsid w:val="002937AE"/>
    <w:rsid w:val="0029448A"/>
    <w:rsid w:val="00294B4E"/>
    <w:rsid w:val="002951F5"/>
    <w:rsid w:val="00295B55"/>
    <w:rsid w:val="0029777F"/>
    <w:rsid w:val="00297906"/>
    <w:rsid w:val="00297CD1"/>
    <w:rsid w:val="00297D53"/>
    <w:rsid w:val="002A0295"/>
    <w:rsid w:val="002A16F9"/>
    <w:rsid w:val="002A1774"/>
    <w:rsid w:val="002A1931"/>
    <w:rsid w:val="002A1F99"/>
    <w:rsid w:val="002A211F"/>
    <w:rsid w:val="002A542D"/>
    <w:rsid w:val="002B09AD"/>
    <w:rsid w:val="002B3027"/>
    <w:rsid w:val="002B331A"/>
    <w:rsid w:val="002B3625"/>
    <w:rsid w:val="002B40F2"/>
    <w:rsid w:val="002B51FF"/>
    <w:rsid w:val="002B56F4"/>
    <w:rsid w:val="002B61D2"/>
    <w:rsid w:val="002B71D8"/>
    <w:rsid w:val="002B7235"/>
    <w:rsid w:val="002B769A"/>
    <w:rsid w:val="002C067F"/>
    <w:rsid w:val="002C07D5"/>
    <w:rsid w:val="002C0D77"/>
    <w:rsid w:val="002C1328"/>
    <w:rsid w:val="002C3A05"/>
    <w:rsid w:val="002C3BC3"/>
    <w:rsid w:val="002C43A2"/>
    <w:rsid w:val="002C54A8"/>
    <w:rsid w:val="002C5823"/>
    <w:rsid w:val="002D42EA"/>
    <w:rsid w:val="002D54AE"/>
    <w:rsid w:val="002D5C86"/>
    <w:rsid w:val="002D5DDE"/>
    <w:rsid w:val="002D688B"/>
    <w:rsid w:val="002D6FC7"/>
    <w:rsid w:val="002D7040"/>
    <w:rsid w:val="002E02FA"/>
    <w:rsid w:val="002E040F"/>
    <w:rsid w:val="002E06D6"/>
    <w:rsid w:val="002E1303"/>
    <w:rsid w:val="002E14F3"/>
    <w:rsid w:val="002E1B4C"/>
    <w:rsid w:val="002E1BCE"/>
    <w:rsid w:val="002E25E0"/>
    <w:rsid w:val="002E26EE"/>
    <w:rsid w:val="002E2917"/>
    <w:rsid w:val="002E3CB8"/>
    <w:rsid w:val="002E7A32"/>
    <w:rsid w:val="002E7A4E"/>
    <w:rsid w:val="002F02AC"/>
    <w:rsid w:val="002F29C1"/>
    <w:rsid w:val="002F2E05"/>
    <w:rsid w:val="002F3B6A"/>
    <w:rsid w:val="002F446A"/>
    <w:rsid w:val="002F44D4"/>
    <w:rsid w:val="002F6B9A"/>
    <w:rsid w:val="002F732A"/>
    <w:rsid w:val="002F74BC"/>
    <w:rsid w:val="0030047C"/>
    <w:rsid w:val="00300FBA"/>
    <w:rsid w:val="00301589"/>
    <w:rsid w:val="00301CDA"/>
    <w:rsid w:val="00302040"/>
    <w:rsid w:val="0030283E"/>
    <w:rsid w:val="00303E81"/>
    <w:rsid w:val="0030642F"/>
    <w:rsid w:val="00307ED3"/>
    <w:rsid w:val="003109DA"/>
    <w:rsid w:val="0031149D"/>
    <w:rsid w:val="0031197D"/>
    <w:rsid w:val="00311F94"/>
    <w:rsid w:val="003125CA"/>
    <w:rsid w:val="0031314B"/>
    <w:rsid w:val="00313CD4"/>
    <w:rsid w:val="00313E4B"/>
    <w:rsid w:val="003156C1"/>
    <w:rsid w:val="00316ECA"/>
    <w:rsid w:val="003218B8"/>
    <w:rsid w:val="00322977"/>
    <w:rsid w:val="00324001"/>
    <w:rsid w:val="00324810"/>
    <w:rsid w:val="00324837"/>
    <w:rsid w:val="00324CF9"/>
    <w:rsid w:val="00325977"/>
    <w:rsid w:val="00326F31"/>
    <w:rsid w:val="00327FE1"/>
    <w:rsid w:val="003304B7"/>
    <w:rsid w:val="00331A38"/>
    <w:rsid w:val="0033283E"/>
    <w:rsid w:val="003337DE"/>
    <w:rsid w:val="00333DEC"/>
    <w:rsid w:val="00335549"/>
    <w:rsid w:val="00335E1B"/>
    <w:rsid w:val="003361DB"/>
    <w:rsid w:val="003379B5"/>
    <w:rsid w:val="00337A69"/>
    <w:rsid w:val="00337FF9"/>
    <w:rsid w:val="003407CA"/>
    <w:rsid w:val="00340965"/>
    <w:rsid w:val="003415F6"/>
    <w:rsid w:val="00342C80"/>
    <w:rsid w:val="00344482"/>
    <w:rsid w:val="0035072E"/>
    <w:rsid w:val="003511EA"/>
    <w:rsid w:val="0035129C"/>
    <w:rsid w:val="00351934"/>
    <w:rsid w:val="00351F87"/>
    <w:rsid w:val="00352BA4"/>
    <w:rsid w:val="00353FCF"/>
    <w:rsid w:val="003541B5"/>
    <w:rsid w:val="003547EE"/>
    <w:rsid w:val="00356501"/>
    <w:rsid w:val="00356C5A"/>
    <w:rsid w:val="003575FF"/>
    <w:rsid w:val="00357C08"/>
    <w:rsid w:val="00360C38"/>
    <w:rsid w:val="00362A38"/>
    <w:rsid w:val="00363669"/>
    <w:rsid w:val="00363B37"/>
    <w:rsid w:val="00365064"/>
    <w:rsid w:val="003664DB"/>
    <w:rsid w:val="00366660"/>
    <w:rsid w:val="00366930"/>
    <w:rsid w:val="0037145D"/>
    <w:rsid w:val="00371B35"/>
    <w:rsid w:val="00371CD9"/>
    <w:rsid w:val="00372001"/>
    <w:rsid w:val="00372649"/>
    <w:rsid w:val="00372D61"/>
    <w:rsid w:val="00374838"/>
    <w:rsid w:val="003748F5"/>
    <w:rsid w:val="0037541A"/>
    <w:rsid w:val="0037612A"/>
    <w:rsid w:val="00376F96"/>
    <w:rsid w:val="003774C4"/>
    <w:rsid w:val="003806C0"/>
    <w:rsid w:val="003808FA"/>
    <w:rsid w:val="003810C3"/>
    <w:rsid w:val="00381797"/>
    <w:rsid w:val="00382D6C"/>
    <w:rsid w:val="00383FFD"/>
    <w:rsid w:val="003843DD"/>
    <w:rsid w:val="00384EFC"/>
    <w:rsid w:val="003859E7"/>
    <w:rsid w:val="00386743"/>
    <w:rsid w:val="0038726E"/>
    <w:rsid w:val="00387286"/>
    <w:rsid w:val="003877E6"/>
    <w:rsid w:val="003903FC"/>
    <w:rsid w:val="00390FA9"/>
    <w:rsid w:val="00391116"/>
    <w:rsid w:val="003911C8"/>
    <w:rsid w:val="00391567"/>
    <w:rsid w:val="00391A50"/>
    <w:rsid w:val="00391B59"/>
    <w:rsid w:val="00391BE7"/>
    <w:rsid w:val="0039266A"/>
    <w:rsid w:val="00394134"/>
    <w:rsid w:val="003954A3"/>
    <w:rsid w:val="0039592E"/>
    <w:rsid w:val="003961E4"/>
    <w:rsid w:val="003A07D2"/>
    <w:rsid w:val="003A11D4"/>
    <w:rsid w:val="003A1804"/>
    <w:rsid w:val="003A1FED"/>
    <w:rsid w:val="003A28F3"/>
    <w:rsid w:val="003A3425"/>
    <w:rsid w:val="003A39ED"/>
    <w:rsid w:val="003A5D7E"/>
    <w:rsid w:val="003A6A5A"/>
    <w:rsid w:val="003B0F7C"/>
    <w:rsid w:val="003B159D"/>
    <w:rsid w:val="003B172D"/>
    <w:rsid w:val="003B1F5F"/>
    <w:rsid w:val="003B3086"/>
    <w:rsid w:val="003B357A"/>
    <w:rsid w:val="003B45D4"/>
    <w:rsid w:val="003B4CB5"/>
    <w:rsid w:val="003B5025"/>
    <w:rsid w:val="003B5843"/>
    <w:rsid w:val="003B666E"/>
    <w:rsid w:val="003B687C"/>
    <w:rsid w:val="003B6F54"/>
    <w:rsid w:val="003B74CD"/>
    <w:rsid w:val="003B7ABE"/>
    <w:rsid w:val="003C0534"/>
    <w:rsid w:val="003C0705"/>
    <w:rsid w:val="003C08E1"/>
    <w:rsid w:val="003C1F5C"/>
    <w:rsid w:val="003C3B0C"/>
    <w:rsid w:val="003C4399"/>
    <w:rsid w:val="003C45CD"/>
    <w:rsid w:val="003C488C"/>
    <w:rsid w:val="003C62A1"/>
    <w:rsid w:val="003C6751"/>
    <w:rsid w:val="003C756F"/>
    <w:rsid w:val="003D0B6D"/>
    <w:rsid w:val="003D15BF"/>
    <w:rsid w:val="003D169C"/>
    <w:rsid w:val="003D1A4E"/>
    <w:rsid w:val="003D243D"/>
    <w:rsid w:val="003D2790"/>
    <w:rsid w:val="003D34C0"/>
    <w:rsid w:val="003D410E"/>
    <w:rsid w:val="003D4F2F"/>
    <w:rsid w:val="003D4FE2"/>
    <w:rsid w:val="003D500A"/>
    <w:rsid w:val="003D5755"/>
    <w:rsid w:val="003D5B8B"/>
    <w:rsid w:val="003D5E61"/>
    <w:rsid w:val="003D61A9"/>
    <w:rsid w:val="003D7A35"/>
    <w:rsid w:val="003E028A"/>
    <w:rsid w:val="003E05E2"/>
    <w:rsid w:val="003E1723"/>
    <w:rsid w:val="003E1AEA"/>
    <w:rsid w:val="003E3F21"/>
    <w:rsid w:val="003E3F74"/>
    <w:rsid w:val="003E445B"/>
    <w:rsid w:val="003E4658"/>
    <w:rsid w:val="003E4CF0"/>
    <w:rsid w:val="003E591F"/>
    <w:rsid w:val="003E620F"/>
    <w:rsid w:val="003E77B1"/>
    <w:rsid w:val="003E7F63"/>
    <w:rsid w:val="003F0478"/>
    <w:rsid w:val="003F12D0"/>
    <w:rsid w:val="003F14D5"/>
    <w:rsid w:val="003F1D36"/>
    <w:rsid w:val="003F1F2A"/>
    <w:rsid w:val="003F22FA"/>
    <w:rsid w:val="003F32F5"/>
    <w:rsid w:val="003F4354"/>
    <w:rsid w:val="003F57FD"/>
    <w:rsid w:val="003F5B60"/>
    <w:rsid w:val="003F6552"/>
    <w:rsid w:val="003F65DD"/>
    <w:rsid w:val="003F71D6"/>
    <w:rsid w:val="003F73A7"/>
    <w:rsid w:val="003F7635"/>
    <w:rsid w:val="004002DE"/>
    <w:rsid w:val="004010F7"/>
    <w:rsid w:val="00401E8C"/>
    <w:rsid w:val="00402B1E"/>
    <w:rsid w:val="00403219"/>
    <w:rsid w:val="00403BB4"/>
    <w:rsid w:val="00403E8C"/>
    <w:rsid w:val="004044CE"/>
    <w:rsid w:val="00405480"/>
    <w:rsid w:val="00406954"/>
    <w:rsid w:val="00406FA1"/>
    <w:rsid w:val="00410CE9"/>
    <w:rsid w:val="0041154B"/>
    <w:rsid w:val="00411D22"/>
    <w:rsid w:val="004121DE"/>
    <w:rsid w:val="00412E8A"/>
    <w:rsid w:val="00413D9A"/>
    <w:rsid w:val="00414254"/>
    <w:rsid w:val="0041481A"/>
    <w:rsid w:val="0042004D"/>
    <w:rsid w:val="004205C3"/>
    <w:rsid w:val="004211A5"/>
    <w:rsid w:val="0042205D"/>
    <w:rsid w:val="00422644"/>
    <w:rsid w:val="00422FF1"/>
    <w:rsid w:val="0042338A"/>
    <w:rsid w:val="00425656"/>
    <w:rsid w:val="004275A0"/>
    <w:rsid w:val="0042794D"/>
    <w:rsid w:val="00430155"/>
    <w:rsid w:val="00430160"/>
    <w:rsid w:val="00431400"/>
    <w:rsid w:val="00431541"/>
    <w:rsid w:val="00432609"/>
    <w:rsid w:val="00432EF8"/>
    <w:rsid w:val="00433152"/>
    <w:rsid w:val="00433708"/>
    <w:rsid w:val="004339BA"/>
    <w:rsid w:val="00433C58"/>
    <w:rsid w:val="004359E3"/>
    <w:rsid w:val="0043606F"/>
    <w:rsid w:val="004367C2"/>
    <w:rsid w:val="0043748F"/>
    <w:rsid w:val="00437A73"/>
    <w:rsid w:val="00440971"/>
    <w:rsid w:val="0044098D"/>
    <w:rsid w:val="00441CEF"/>
    <w:rsid w:val="0044219F"/>
    <w:rsid w:val="0044223E"/>
    <w:rsid w:val="004427D8"/>
    <w:rsid w:val="00443124"/>
    <w:rsid w:val="00444212"/>
    <w:rsid w:val="00445142"/>
    <w:rsid w:val="0044623A"/>
    <w:rsid w:val="0044695A"/>
    <w:rsid w:val="00450332"/>
    <w:rsid w:val="0045086D"/>
    <w:rsid w:val="00450FBC"/>
    <w:rsid w:val="0045124A"/>
    <w:rsid w:val="0045127D"/>
    <w:rsid w:val="00452605"/>
    <w:rsid w:val="00454AFD"/>
    <w:rsid w:val="00457647"/>
    <w:rsid w:val="00461D10"/>
    <w:rsid w:val="00462603"/>
    <w:rsid w:val="004630AF"/>
    <w:rsid w:val="004654E8"/>
    <w:rsid w:val="00465C6B"/>
    <w:rsid w:val="0046710F"/>
    <w:rsid w:val="00467FF7"/>
    <w:rsid w:val="004705EA"/>
    <w:rsid w:val="00470A04"/>
    <w:rsid w:val="0047191E"/>
    <w:rsid w:val="00471F4D"/>
    <w:rsid w:val="004726B4"/>
    <w:rsid w:val="00472940"/>
    <w:rsid w:val="00473550"/>
    <w:rsid w:val="004735AD"/>
    <w:rsid w:val="004737AE"/>
    <w:rsid w:val="004743D6"/>
    <w:rsid w:val="0047494E"/>
    <w:rsid w:val="00475344"/>
    <w:rsid w:val="00475EB9"/>
    <w:rsid w:val="004762A2"/>
    <w:rsid w:val="00476925"/>
    <w:rsid w:val="00477723"/>
    <w:rsid w:val="00480680"/>
    <w:rsid w:val="0048095F"/>
    <w:rsid w:val="004823F1"/>
    <w:rsid w:val="004824B5"/>
    <w:rsid w:val="00482E24"/>
    <w:rsid w:val="004845F9"/>
    <w:rsid w:val="00484918"/>
    <w:rsid w:val="0048506C"/>
    <w:rsid w:val="00486863"/>
    <w:rsid w:val="00486CCF"/>
    <w:rsid w:val="00490CC4"/>
    <w:rsid w:val="00492093"/>
    <w:rsid w:val="00492C06"/>
    <w:rsid w:val="00493059"/>
    <w:rsid w:val="004939CF"/>
    <w:rsid w:val="00493DE1"/>
    <w:rsid w:val="00495667"/>
    <w:rsid w:val="00496AB4"/>
    <w:rsid w:val="004977FA"/>
    <w:rsid w:val="00497950"/>
    <w:rsid w:val="004A0824"/>
    <w:rsid w:val="004A2C63"/>
    <w:rsid w:val="004A2DB5"/>
    <w:rsid w:val="004A33F5"/>
    <w:rsid w:val="004A3542"/>
    <w:rsid w:val="004A5190"/>
    <w:rsid w:val="004A5FE9"/>
    <w:rsid w:val="004A7314"/>
    <w:rsid w:val="004A7711"/>
    <w:rsid w:val="004B0657"/>
    <w:rsid w:val="004B0AC0"/>
    <w:rsid w:val="004B0BFA"/>
    <w:rsid w:val="004B0C06"/>
    <w:rsid w:val="004B26CB"/>
    <w:rsid w:val="004B2EC3"/>
    <w:rsid w:val="004B46D0"/>
    <w:rsid w:val="004B68C0"/>
    <w:rsid w:val="004B76FE"/>
    <w:rsid w:val="004B7D1C"/>
    <w:rsid w:val="004C0094"/>
    <w:rsid w:val="004C17D4"/>
    <w:rsid w:val="004C1852"/>
    <w:rsid w:val="004C1D1B"/>
    <w:rsid w:val="004C1E1B"/>
    <w:rsid w:val="004C240A"/>
    <w:rsid w:val="004C27CE"/>
    <w:rsid w:val="004C44E9"/>
    <w:rsid w:val="004C48E8"/>
    <w:rsid w:val="004C4A95"/>
    <w:rsid w:val="004C4BD4"/>
    <w:rsid w:val="004C4FEA"/>
    <w:rsid w:val="004C55FB"/>
    <w:rsid w:val="004C6BB7"/>
    <w:rsid w:val="004D0FB7"/>
    <w:rsid w:val="004D12A6"/>
    <w:rsid w:val="004D13DF"/>
    <w:rsid w:val="004D26E5"/>
    <w:rsid w:val="004D2E10"/>
    <w:rsid w:val="004D3C29"/>
    <w:rsid w:val="004D4E3F"/>
    <w:rsid w:val="004D6E01"/>
    <w:rsid w:val="004E010F"/>
    <w:rsid w:val="004E20F3"/>
    <w:rsid w:val="004E2352"/>
    <w:rsid w:val="004E2857"/>
    <w:rsid w:val="004E2F86"/>
    <w:rsid w:val="004E301F"/>
    <w:rsid w:val="004E3477"/>
    <w:rsid w:val="004E355E"/>
    <w:rsid w:val="004E3819"/>
    <w:rsid w:val="004E462E"/>
    <w:rsid w:val="004E5204"/>
    <w:rsid w:val="004E5888"/>
    <w:rsid w:val="004E76E9"/>
    <w:rsid w:val="004E7C5B"/>
    <w:rsid w:val="004F1F7E"/>
    <w:rsid w:val="004F25D2"/>
    <w:rsid w:val="004F2A4E"/>
    <w:rsid w:val="004F2C82"/>
    <w:rsid w:val="004F35BE"/>
    <w:rsid w:val="004F55C0"/>
    <w:rsid w:val="004F57C8"/>
    <w:rsid w:val="004F5FEB"/>
    <w:rsid w:val="004F6326"/>
    <w:rsid w:val="004F6407"/>
    <w:rsid w:val="004F6508"/>
    <w:rsid w:val="004F6F99"/>
    <w:rsid w:val="004F7069"/>
    <w:rsid w:val="004F738A"/>
    <w:rsid w:val="004F7FAD"/>
    <w:rsid w:val="00500C12"/>
    <w:rsid w:val="005014D3"/>
    <w:rsid w:val="0050169F"/>
    <w:rsid w:val="00501BE0"/>
    <w:rsid w:val="0050212A"/>
    <w:rsid w:val="00502C29"/>
    <w:rsid w:val="00504FCD"/>
    <w:rsid w:val="00505CDC"/>
    <w:rsid w:val="00505D56"/>
    <w:rsid w:val="00505E05"/>
    <w:rsid w:val="00510C05"/>
    <w:rsid w:val="00512BF7"/>
    <w:rsid w:val="00512D44"/>
    <w:rsid w:val="00513C72"/>
    <w:rsid w:val="00513DBC"/>
    <w:rsid w:val="0051530E"/>
    <w:rsid w:val="005155C6"/>
    <w:rsid w:val="00515BF6"/>
    <w:rsid w:val="00517065"/>
    <w:rsid w:val="00520818"/>
    <w:rsid w:val="00521336"/>
    <w:rsid w:val="005216E7"/>
    <w:rsid w:val="00521CA5"/>
    <w:rsid w:val="00521F7B"/>
    <w:rsid w:val="0052230A"/>
    <w:rsid w:val="005228B8"/>
    <w:rsid w:val="00522A3F"/>
    <w:rsid w:val="00523059"/>
    <w:rsid w:val="00523867"/>
    <w:rsid w:val="00523923"/>
    <w:rsid w:val="00523C6F"/>
    <w:rsid w:val="00524292"/>
    <w:rsid w:val="00524901"/>
    <w:rsid w:val="00525952"/>
    <w:rsid w:val="00526C0C"/>
    <w:rsid w:val="00526EBF"/>
    <w:rsid w:val="00527221"/>
    <w:rsid w:val="0052766A"/>
    <w:rsid w:val="00527CCA"/>
    <w:rsid w:val="00527E3E"/>
    <w:rsid w:val="005319EF"/>
    <w:rsid w:val="00531D7E"/>
    <w:rsid w:val="0053251A"/>
    <w:rsid w:val="0053273A"/>
    <w:rsid w:val="00533678"/>
    <w:rsid w:val="00533D00"/>
    <w:rsid w:val="005347F4"/>
    <w:rsid w:val="005356CF"/>
    <w:rsid w:val="005362F9"/>
    <w:rsid w:val="00536BD4"/>
    <w:rsid w:val="005376CD"/>
    <w:rsid w:val="00540C96"/>
    <w:rsid w:val="00540D67"/>
    <w:rsid w:val="00540FDA"/>
    <w:rsid w:val="00543484"/>
    <w:rsid w:val="00543B37"/>
    <w:rsid w:val="0054451D"/>
    <w:rsid w:val="0054466D"/>
    <w:rsid w:val="0054479B"/>
    <w:rsid w:val="005452A8"/>
    <w:rsid w:val="00545301"/>
    <w:rsid w:val="00547019"/>
    <w:rsid w:val="005474C1"/>
    <w:rsid w:val="00547C90"/>
    <w:rsid w:val="00550888"/>
    <w:rsid w:val="005515D9"/>
    <w:rsid w:val="005525D6"/>
    <w:rsid w:val="00552770"/>
    <w:rsid w:val="00552B6C"/>
    <w:rsid w:val="0055307E"/>
    <w:rsid w:val="00553ECA"/>
    <w:rsid w:val="005543AD"/>
    <w:rsid w:val="005553E2"/>
    <w:rsid w:val="00555B17"/>
    <w:rsid w:val="005607D2"/>
    <w:rsid w:val="00561007"/>
    <w:rsid w:val="00561C76"/>
    <w:rsid w:val="00562887"/>
    <w:rsid w:val="00562915"/>
    <w:rsid w:val="00563665"/>
    <w:rsid w:val="0056422B"/>
    <w:rsid w:val="00564987"/>
    <w:rsid w:val="00564B98"/>
    <w:rsid w:val="00564DB5"/>
    <w:rsid w:val="00564F2B"/>
    <w:rsid w:val="0056615A"/>
    <w:rsid w:val="005662EE"/>
    <w:rsid w:val="00567E9C"/>
    <w:rsid w:val="00570302"/>
    <w:rsid w:val="00570850"/>
    <w:rsid w:val="005716E2"/>
    <w:rsid w:val="00571719"/>
    <w:rsid w:val="005720E2"/>
    <w:rsid w:val="00572B4C"/>
    <w:rsid w:val="005732C5"/>
    <w:rsid w:val="00575FA3"/>
    <w:rsid w:val="005765B3"/>
    <w:rsid w:val="005768FB"/>
    <w:rsid w:val="00576D44"/>
    <w:rsid w:val="0057718A"/>
    <w:rsid w:val="0058026F"/>
    <w:rsid w:val="00580375"/>
    <w:rsid w:val="00580E0F"/>
    <w:rsid w:val="00581613"/>
    <w:rsid w:val="00581ABC"/>
    <w:rsid w:val="0058241F"/>
    <w:rsid w:val="005829E7"/>
    <w:rsid w:val="00584FE3"/>
    <w:rsid w:val="00585232"/>
    <w:rsid w:val="005858C3"/>
    <w:rsid w:val="00585D61"/>
    <w:rsid w:val="00585EE2"/>
    <w:rsid w:val="00586A5C"/>
    <w:rsid w:val="00586E12"/>
    <w:rsid w:val="0058781B"/>
    <w:rsid w:val="00590E5F"/>
    <w:rsid w:val="005910F0"/>
    <w:rsid w:val="00591F97"/>
    <w:rsid w:val="00592852"/>
    <w:rsid w:val="00594D0C"/>
    <w:rsid w:val="00594EA7"/>
    <w:rsid w:val="005959A5"/>
    <w:rsid w:val="00595DCF"/>
    <w:rsid w:val="00596FB4"/>
    <w:rsid w:val="005975C0"/>
    <w:rsid w:val="005A062B"/>
    <w:rsid w:val="005A0994"/>
    <w:rsid w:val="005A108C"/>
    <w:rsid w:val="005A1E90"/>
    <w:rsid w:val="005A1FF3"/>
    <w:rsid w:val="005A2926"/>
    <w:rsid w:val="005A4393"/>
    <w:rsid w:val="005A4396"/>
    <w:rsid w:val="005A48E3"/>
    <w:rsid w:val="005A4CA6"/>
    <w:rsid w:val="005A4E9D"/>
    <w:rsid w:val="005A5137"/>
    <w:rsid w:val="005A6248"/>
    <w:rsid w:val="005A67CE"/>
    <w:rsid w:val="005A6B46"/>
    <w:rsid w:val="005A73A6"/>
    <w:rsid w:val="005B0BE0"/>
    <w:rsid w:val="005B0F60"/>
    <w:rsid w:val="005B175D"/>
    <w:rsid w:val="005B1B08"/>
    <w:rsid w:val="005B2BD1"/>
    <w:rsid w:val="005B2CC2"/>
    <w:rsid w:val="005B3016"/>
    <w:rsid w:val="005B3461"/>
    <w:rsid w:val="005B3ACF"/>
    <w:rsid w:val="005B47C7"/>
    <w:rsid w:val="005B4D16"/>
    <w:rsid w:val="005B4D5D"/>
    <w:rsid w:val="005B5978"/>
    <w:rsid w:val="005B600D"/>
    <w:rsid w:val="005B62DE"/>
    <w:rsid w:val="005B6765"/>
    <w:rsid w:val="005B724E"/>
    <w:rsid w:val="005B729D"/>
    <w:rsid w:val="005C03D7"/>
    <w:rsid w:val="005C040D"/>
    <w:rsid w:val="005C14C6"/>
    <w:rsid w:val="005C206A"/>
    <w:rsid w:val="005C246C"/>
    <w:rsid w:val="005C2DDD"/>
    <w:rsid w:val="005C4C62"/>
    <w:rsid w:val="005C7F58"/>
    <w:rsid w:val="005D0C6E"/>
    <w:rsid w:val="005D1C0A"/>
    <w:rsid w:val="005D211B"/>
    <w:rsid w:val="005D2443"/>
    <w:rsid w:val="005D25BF"/>
    <w:rsid w:val="005D32DC"/>
    <w:rsid w:val="005D439A"/>
    <w:rsid w:val="005D4DB6"/>
    <w:rsid w:val="005D6209"/>
    <w:rsid w:val="005D63DC"/>
    <w:rsid w:val="005D6EBF"/>
    <w:rsid w:val="005E037C"/>
    <w:rsid w:val="005E06E0"/>
    <w:rsid w:val="005E1E2F"/>
    <w:rsid w:val="005E2479"/>
    <w:rsid w:val="005E33D7"/>
    <w:rsid w:val="005E3C5C"/>
    <w:rsid w:val="005E3FFD"/>
    <w:rsid w:val="005E4273"/>
    <w:rsid w:val="005E4E07"/>
    <w:rsid w:val="005F0768"/>
    <w:rsid w:val="005F0C38"/>
    <w:rsid w:val="005F1004"/>
    <w:rsid w:val="005F30DD"/>
    <w:rsid w:val="005F33A4"/>
    <w:rsid w:val="005F37AE"/>
    <w:rsid w:val="005F450A"/>
    <w:rsid w:val="005F5219"/>
    <w:rsid w:val="005F6018"/>
    <w:rsid w:val="005F662F"/>
    <w:rsid w:val="005F7435"/>
    <w:rsid w:val="005F74EF"/>
    <w:rsid w:val="0060021D"/>
    <w:rsid w:val="00603498"/>
    <w:rsid w:val="00603E15"/>
    <w:rsid w:val="00604CC6"/>
    <w:rsid w:val="00604E67"/>
    <w:rsid w:val="00605852"/>
    <w:rsid w:val="006069C3"/>
    <w:rsid w:val="006069FE"/>
    <w:rsid w:val="00607C14"/>
    <w:rsid w:val="00610AFD"/>
    <w:rsid w:val="006122CD"/>
    <w:rsid w:val="006125A1"/>
    <w:rsid w:val="00615B74"/>
    <w:rsid w:val="00616EB1"/>
    <w:rsid w:val="00617CCD"/>
    <w:rsid w:val="00617E0A"/>
    <w:rsid w:val="00620BCA"/>
    <w:rsid w:val="00621110"/>
    <w:rsid w:val="00621641"/>
    <w:rsid w:val="006226FF"/>
    <w:rsid w:val="006229B9"/>
    <w:rsid w:val="006233A5"/>
    <w:rsid w:val="00623443"/>
    <w:rsid w:val="00623B51"/>
    <w:rsid w:val="0062557F"/>
    <w:rsid w:val="00625DC3"/>
    <w:rsid w:val="00626FA2"/>
    <w:rsid w:val="00630EF5"/>
    <w:rsid w:val="006313BC"/>
    <w:rsid w:val="00632084"/>
    <w:rsid w:val="00632636"/>
    <w:rsid w:val="00632A81"/>
    <w:rsid w:val="00632AD3"/>
    <w:rsid w:val="00635129"/>
    <w:rsid w:val="00635C73"/>
    <w:rsid w:val="0063615C"/>
    <w:rsid w:val="00636E01"/>
    <w:rsid w:val="00637024"/>
    <w:rsid w:val="006370A7"/>
    <w:rsid w:val="00637A2B"/>
    <w:rsid w:val="00637D4F"/>
    <w:rsid w:val="006412F2"/>
    <w:rsid w:val="006436B0"/>
    <w:rsid w:val="00643F10"/>
    <w:rsid w:val="0064497D"/>
    <w:rsid w:val="00644E0A"/>
    <w:rsid w:val="0064511A"/>
    <w:rsid w:val="006468BE"/>
    <w:rsid w:val="00646C41"/>
    <w:rsid w:val="00650712"/>
    <w:rsid w:val="00650FF5"/>
    <w:rsid w:val="00652470"/>
    <w:rsid w:val="00654DAC"/>
    <w:rsid w:val="0065519B"/>
    <w:rsid w:val="00655295"/>
    <w:rsid w:val="0065539A"/>
    <w:rsid w:val="00655A7B"/>
    <w:rsid w:val="00655CAD"/>
    <w:rsid w:val="00655D86"/>
    <w:rsid w:val="0065649B"/>
    <w:rsid w:val="0065674D"/>
    <w:rsid w:val="00656C2C"/>
    <w:rsid w:val="00657532"/>
    <w:rsid w:val="00657703"/>
    <w:rsid w:val="00657C00"/>
    <w:rsid w:val="0066063A"/>
    <w:rsid w:val="0066069E"/>
    <w:rsid w:val="0066081C"/>
    <w:rsid w:val="0066156D"/>
    <w:rsid w:val="006622B7"/>
    <w:rsid w:val="0066256E"/>
    <w:rsid w:val="00664087"/>
    <w:rsid w:val="006641FF"/>
    <w:rsid w:val="0066483A"/>
    <w:rsid w:val="00664C1B"/>
    <w:rsid w:val="00665138"/>
    <w:rsid w:val="006653E5"/>
    <w:rsid w:val="00665553"/>
    <w:rsid w:val="00665748"/>
    <w:rsid w:val="00666084"/>
    <w:rsid w:val="006673B9"/>
    <w:rsid w:val="00670574"/>
    <w:rsid w:val="006715B0"/>
    <w:rsid w:val="00671C0D"/>
    <w:rsid w:val="00671C1B"/>
    <w:rsid w:val="0067261A"/>
    <w:rsid w:val="0067310A"/>
    <w:rsid w:val="0067331C"/>
    <w:rsid w:val="00673798"/>
    <w:rsid w:val="00673CE0"/>
    <w:rsid w:val="00675D18"/>
    <w:rsid w:val="006815F8"/>
    <w:rsid w:val="00681B92"/>
    <w:rsid w:val="00681F34"/>
    <w:rsid w:val="00685433"/>
    <w:rsid w:val="006857DE"/>
    <w:rsid w:val="00686453"/>
    <w:rsid w:val="00686763"/>
    <w:rsid w:val="00686887"/>
    <w:rsid w:val="00686D97"/>
    <w:rsid w:val="00690AEA"/>
    <w:rsid w:val="00691799"/>
    <w:rsid w:val="00692585"/>
    <w:rsid w:val="00692C61"/>
    <w:rsid w:val="00694718"/>
    <w:rsid w:val="00695BF2"/>
    <w:rsid w:val="00695FEE"/>
    <w:rsid w:val="006968A5"/>
    <w:rsid w:val="00696F26"/>
    <w:rsid w:val="006978C0"/>
    <w:rsid w:val="00697998"/>
    <w:rsid w:val="006A0B3F"/>
    <w:rsid w:val="006A0D47"/>
    <w:rsid w:val="006A1094"/>
    <w:rsid w:val="006A17FE"/>
    <w:rsid w:val="006A2AB1"/>
    <w:rsid w:val="006A2CF8"/>
    <w:rsid w:val="006A4A6F"/>
    <w:rsid w:val="006A6A7E"/>
    <w:rsid w:val="006A7B52"/>
    <w:rsid w:val="006B116F"/>
    <w:rsid w:val="006B228A"/>
    <w:rsid w:val="006B264D"/>
    <w:rsid w:val="006B28DE"/>
    <w:rsid w:val="006B571C"/>
    <w:rsid w:val="006B5EE8"/>
    <w:rsid w:val="006B63A7"/>
    <w:rsid w:val="006B6875"/>
    <w:rsid w:val="006B729C"/>
    <w:rsid w:val="006B7302"/>
    <w:rsid w:val="006B74B4"/>
    <w:rsid w:val="006C1A9D"/>
    <w:rsid w:val="006C1CEF"/>
    <w:rsid w:val="006C3083"/>
    <w:rsid w:val="006C3DDB"/>
    <w:rsid w:val="006C4863"/>
    <w:rsid w:val="006C5097"/>
    <w:rsid w:val="006C50F3"/>
    <w:rsid w:val="006C5367"/>
    <w:rsid w:val="006C6BB5"/>
    <w:rsid w:val="006C7977"/>
    <w:rsid w:val="006D0C0F"/>
    <w:rsid w:val="006D1885"/>
    <w:rsid w:val="006D1BED"/>
    <w:rsid w:val="006D22DE"/>
    <w:rsid w:val="006D2467"/>
    <w:rsid w:val="006D2E6C"/>
    <w:rsid w:val="006D311A"/>
    <w:rsid w:val="006D3E53"/>
    <w:rsid w:val="006D44B8"/>
    <w:rsid w:val="006D4900"/>
    <w:rsid w:val="006D4F3B"/>
    <w:rsid w:val="006D5C01"/>
    <w:rsid w:val="006D766F"/>
    <w:rsid w:val="006E03DB"/>
    <w:rsid w:val="006E137F"/>
    <w:rsid w:val="006E1671"/>
    <w:rsid w:val="006E1763"/>
    <w:rsid w:val="006E1AF6"/>
    <w:rsid w:val="006E3BF4"/>
    <w:rsid w:val="006E5D93"/>
    <w:rsid w:val="006E6634"/>
    <w:rsid w:val="006E7EF9"/>
    <w:rsid w:val="006F0CE2"/>
    <w:rsid w:val="006F1496"/>
    <w:rsid w:val="006F1532"/>
    <w:rsid w:val="006F1929"/>
    <w:rsid w:val="006F2382"/>
    <w:rsid w:val="006F64FB"/>
    <w:rsid w:val="006F667C"/>
    <w:rsid w:val="006F67B2"/>
    <w:rsid w:val="006F6B71"/>
    <w:rsid w:val="006F71D9"/>
    <w:rsid w:val="006F7D78"/>
    <w:rsid w:val="00700073"/>
    <w:rsid w:val="00700137"/>
    <w:rsid w:val="0070163C"/>
    <w:rsid w:val="007018C4"/>
    <w:rsid w:val="00701B43"/>
    <w:rsid w:val="00701B55"/>
    <w:rsid w:val="007020AD"/>
    <w:rsid w:val="007028EF"/>
    <w:rsid w:val="00704E9A"/>
    <w:rsid w:val="00705803"/>
    <w:rsid w:val="00706B4F"/>
    <w:rsid w:val="00707817"/>
    <w:rsid w:val="00707AF7"/>
    <w:rsid w:val="00707B87"/>
    <w:rsid w:val="00713384"/>
    <w:rsid w:val="00713B15"/>
    <w:rsid w:val="00714486"/>
    <w:rsid w:val="0071499A"/>
    <w:rsid w:val="007160C2"/>
    <w:rsid w:val="007169D6"/>
    <w:rsid w:val="0071768B"/>
    <w:rsid w:val="0071793A"/>
    <w:rsid w:val="00717F60"/>
    <w:rsid w:val="0072155A"/>
    <w:rsid w:val="007215F3"/>
    <w:rsid w:val="00721A8C"/>
    <w:rsid w:val="00722150"/>
    <w:rsid w:val="007225A0"/>
    <w:rsid w:val="0072382B"/>
    <w:rsid w:val="00723D0F"/>
    <w:rsid w:val="00723F0A"/>
    <w:rsid w:val="00724FFB"/>
    <w:rsid w:val="007266E0"/>
    <w:rsid w:val="007276B7"/>
    <w:rsid w:val="0072784F"/>
    <w:rsid w:val="00731F26"/>
    <w:rsid w:val="0073215D"/>
    <w:rsid w:val="007321A9"/>
    <w:rsid w:val="00732320"/>
    <w:rsid w:val="00733758"/>
    <w:rsid w:val="0073379D"/>
    <w:rsid w:val="007349D6"/>
    <w:rsid w:val="00735932"/>
    <w:rsid w:val="00735B84"/>
    <w:rsid w:val="00735F1D"/>
    <w:rsid w:val="00736645"/>
    <w:rsid w:val="007371FE"/>
    <w:rsid w:val="00737BF9"/>
    <w:rsid w:val="00737C96"/>
    <w:rsid w:val="00740162"/>
    <w:rsid w:val="00742C7F"/>
    <w:rsid w:val="00743454"/>
    <w:rsid w:val="00743718"/>
    <w:rsid w:val="00743AD2"/>
    <w:rsid w:val="007456B4"/>
    <w:rsid w:val="007459B1"/>
    <w:rsid w:val="00745B4C"/>
    <w:rsid w:val="00745EFB"/>
    <w:rsid w:val="00746405"/>
    <w:rsid w:val="0075100A"/>
    <w:rsid w:val="007519E2"/>
    <w:rsid w:val="00752038"/>
    <w:rsid w:val="0075216C"/>
    <w:rsid w:val="00753002"/>
    <w:rsid w:val="007539CA"/>
    <w:rsid w:val="00755D43"/>
    <w:rsid w:val="007561B3"/>
    <w:rsid w:val="0075708D"/>
    <w:rsid w:val="007573F6"/>
    <w:rsid w:val="00757515"/>
    <w:rsid w:val="00757E46"/>
    <w:rsid w:val="007604AF"/>
    <w:rsid w:val="007623C3"/>
    <w:rsid w:val="007629CC"/>
    <w:rsid w:val="00763343"/>
    <w:rsid w:val="007638D1"/>
    <w:rsid w:val="00763E85"/>
    <w:rsid w:val="00764C22"/>
    <w:rsid w:val="00764F73"/>
    <w:rsid w:val="00766E88"/>
    <w:rsid w:val="007672FD"/>
    <w:rsid w:val="007704C5"/>
    <w:rsid w:val="00771626"/>
    <w:rsid w:val="00771C34"/>
    <w:rsid w:val="00771DCD"/>
    <w:rsid w:val="007720DB"/>
    <w:rsid w:val="0077232E"/>
    <w:rsid w:val="0077281F"/>
    <w:rsid w:val="00772A2C"/>
    <w:rsid w:val="0077333C"/>
    <w:rsid w:val="007744AC"/>
    <w:rsid w:val="00774C4A"/>
    <w:rsid w:val="00775221"/>
    <w:rsid w:val="00775678"/>
    <w:rsid w:val="007761BA"/>
    <w:rsid w:val="00776934"/>
    <w:rsid w:val="00776BE8"/>
    <w:rsid w:val="007802E1"/>
    <w:rsid w:val="00780F3A"/>
    <w:rsid w:val="007813C4"/>
    <w:rsid w:val="00781485"/>
    <w:rsid w:val="007818C8"/>
    <w:rsid w:val="00782692"/>
    <w:rsid w:val="00783469"/>
    <w:rsid w:val="00783800"/>
    <w:rsid w:val="0078390D"/>
    <w:rsid w:val="00784418"/>
    <w:rsid w:val="007844B8"/>
    <w:rsid w:val="00784B1E"/>
    <w:rsid w:val="00784ED9"/>
    <w:rsid w:val="00785CE3"/>
    <w:rsid w:val="007868CF"/>
    <w:rsid w:val="00786FE3"/>
    <w:rsid w:val="00787899"/>
    <w:rsid w:val="007879F7"/>
    <w:rsid w:val="00790208"/>
    <w:rsid w:val="00793530"/>
    <w:rsid w:val="00794926"/>
    <w:rsid w:val="00794D60"/>
    <w:rsid w:val="0079586B"/>
    <w:rsid w:val="007A2736"/>
    <w:rsid w:val="007A2990"/>
    <w:rsid w:val="007A2A8E"/>
    <w:rsid w:val="007A2BC7"/>
    <w:rsid w:val="007A38D9"/>
    <w:rsid w:val="007A4640"/>
    <w:rsid w:val="007A4C8C"/>
    <w:rsid w:val="007A60E6"/>
    <w:rsid w:val="007A64D7"/>
    <w:rsid w:val="007A7B44"/>
    <w:rsid w:val="007B07AE"/>
    <w:rsid w:val="007B134F"/>
    <w:rsid w:val="007B2568"/>
    <w:rsid w:val="007B3FB3"/>
    <w:rsid w:val="007B6656"/>
    <w:rsid w:val="007B6BD8"/>
    <w:rsid w:val="007C0BD9"/>
    <w:rsid w:val="007C22C5"/>
    <w:rsid w:val="007C310B"/>
    <w:rsid w:val="007C3528"/>
    <w:rsid w:val="007C4C08"/>
    <w:rsid w:val="007C517E"/>
    <w:rsid w:val="007C6400"/>
    <w:rsid w:val="007C645F"/>
    <w:rsid w:val="007C7215"/>
    <w:rsid w:val="007D0251"/>
    <w:rsid w:val="007D37BC"/>
    <w:rsid w:val="007D44B9"/>
    <w:rsid w:val="007D45E5"/>
    <w:rsid w:val="007D46F3"/>
    <w:rsid w:val="007D48D8"/>
    <w:rsid w:val="007D4C54"/>
    <w:rsid w:val="007D5263"/>
    <w:rsid w:val="007D561A"/>
    <w:rsid w:val="007D60D0"/>
    <w:rsid w:val="007D63B1"/>
    <w:rsid w:val="007D6548"/>
    <w:rsid w:val="007D6B5D"/>
    <w:rsid w:val="007D70B7"/>
    <w:rsid w:val="007E1495"/>
    <w:rsid w:val="007E1758"/>
    <w:rsid w:val="007E1E59"/>
    <w:rsid w:val="007E3BD9"/>
    <w:rsid w:val="007E51F5"/>
    <w:rsid w:val="007E64FC"/>
    <w:rsid w:val="007E74D1"/>
    <w:rsid w:val="007E75C2"/>
    <w:rsid w:val="007E7BBD"/>
    <w:rsid w:val="007F08B0"/>
    <w:rsid w:val="007F1405"/>
    <w:rsid w:val="007F2CCF"/>
    <w:rsid w:val="007F30EC"/>
    <w:rsid w:val="007F3661"/>
    <w:rsid w:val="007F375B"/>
    <w:rsid w:val="007F3F15"/>
    <w:rsid w:val="007F4035"/>
    <w:rsid w:val="007F5224"/>
    <w:rsid w:val="007F5998"/>
    <w:rsid w:val="007F6AD2"/>
    <w:rsid w:val="007F6BD1"/>
    <w:rsid w:val="007F73A8"/>
    <w:rsid w:val="007F77CC"/>
    <w:rsid w:val="007F79F2"/>
    <w:rsid w:val="007F7DD8"/>
    <w:rsid w:val="00801A2B"/>
    <w:rsid w:val="00801AB1"/>
    <w:rsid w:val="00801C08"/>
    <w:rsid w:val="008025D6"/>
    <w:rsid w:val="00802C6E"/>
    <w:rsid w:val="00803908"/>
    <w:rsid w:val="00803E1A"/>
    <w:rsid w:val="00803FF4"/>
    <w:rsid w:val="00804524"/>
    <w:rsid w:val="00805394"/>
    <w:rsid w:val="00805424"/>
    <w:rsid w:val="00806276"/>
    <w:rsid w:val="0080629A"/>
    <w:rsid w:val="0080644E"/>
    <w:rsid w:val="00806714"/>
    <w:rsid w:val="00807C26"/>
    <w:rsid w:val="008100C3"/>
    <w:rsid w:val="00810187"/>
    <w:rsid w:val="008101BD"/>
    <w:rsid w:val="008103D4"/>
    <w:rsid w:val="00811B65"/>
    <w:rsid w:val="00811FEE"/>
    <w:rsid w:val="00812538"/>
    <w:rsid w:val="00812A76"/>
    <w:rsid w:val="008144B8"/>
    <w:rsid w:val="0081545E"/>
    <w:rsid w:val="00816CCF"/>
    <w:rsid w:val="00816E81"/>
    <w:rsid w:val="0081757F"/>
    <w:rsid w:val="0081763A"/>
    <w:rsid w:val="00820705"/>
    <w:rsid w:val="00820B84"/>
    <w:rsid w:val="00822E5A"/>
    <w:rsid w:val="008231DA"/>
    <w:rsid w:val="00823DB8"/>
    <w:rsid w:val="00824536"/>
    <w:rsid w:val="00825AA9"/>
    <w:rsid w:val="00825DF8"/>
    <w:rsid w:val="008264DA"/>
    <w:rsid w:val="00826B7C"/>
    <w:rsid w:val="00827864"/>
    <w:rsid w:val="008308A9"/>
    <w:rsid w:val="00833274"/>
    <w:rsid w:val="008334A0"/>
    <w:rsid w:val="00834071"/>
    <w:rsid w:val="0083479E"/>
    <w:rsid w:val="00835E5C"/>
    <w:rsid w:val="008365F1"/>
    <w:rsid w:val="00836E31"/>
    <w:rsid w:val="00836F00"/>
    <w:rsid w:val="00837D14"/>
    <w:rsid w:val="0084022B"/>
    <w:rsid w:val="00840348"/>
    <w:rsid w:val="008411F9"/>
    <w:rsid w:val="00842252"/>
    <w:rsid w:val="00842657"/>
    <w:rsid w:val="0084297D"/>
    <w:rsid w:val="00842BA9"/>
    <w:rsid w:val="008451AC"/>
    <w:rsid w:val="0084570C"/>
    <w:rsid w:val="008461C1"/>
    <w:rsid w:val="00846247"/>
    <w:rsid w:val="00846304"/>
    <w:rsid w:val="00846600"/>
    <w:rsid w:val="0084691C"/>
    <w:rsid w:val="00847D70"/>
    <w:rsid w:val="00850825"/>
    <w:rsid w:val="008525D3"/>
    <w:rsid w:val="00852626"/>
    <w:rsid w:val="00852820"/>
    <w:rsid w:val="00853AF1"/>
    <w:rsid w:val="00854663"/>
    <w:rsid w:val="00854DD2"/>
    <w:rsid w:val="00855282"/>
    <w:rsid w:val="008556AB"/>
    <w:rsid w:val="0085754C"/>
    <w:rsid w:val="00857E6D"/>
    <w:rsid w:val="008620FF"/>
    <w:rsid w:val="00863865"/>
    <w:rsid w:val="00864DB0"/>
    <w:rsid w:val="00865119"/>
    <w:rsid w:val="00865152"/>
    <w:rsid w:val="00865326"/>
    <w:rsid w:val="00865E31"/>
    <w:rsid w:val="0086672F"/>
    <w:rsid w:val="00866FB6"/>
    <w:rsid w:val="00867D8F"/>
    <w:rsid w:val="00871617"/>
    <w:rsid w:val="00871B4F"/>
    <w:rsid w:val="008729A8"/>
    <w:rsid w:val="008735DC"/>
    <w:rsid w:val="008737D3"/>
    <w:rsid w:val="008745D4"/>
    <w:rsid w:val="0087499A"/>
    <w:rsid w:val="00874CEE"/>
    <w:rsid w:val="00874DC9"/>
    <w:rsid w:val="00874F66"/>
    <w:rsid w:val="008764CA"/>
    <w:rsid w:val="00877242"/>
    <w:rsid w:val="008806D2"/>
    <w:rsid w:val="00882DFD"/>
    <w:rsid w:val="00882EA1"/>
    <w:rsid w:val="00884BDD"/>
    <w:rsid w:val="00885485"/>
    <w:rsid w:val="00886176"/>
    <w:rsid w:val="008861BF"/>
    <w:rsid w:val="00886970"/>
    <w:rsid w:val="008872C4"/>
    <w:rsid w:val="008877BC"/>
    <w:rsid w:val="008879BE"/>
    <w:rsid w:val="0089030A"/>
    <w:rsid w:val="00892787"/>
    <w:rsid w:val="00892C1E"/>
    <w:rsid w:val="0089389A"/>
    <w:rsid w:val="00893BB9"/>
    <w:rsid w:val="00894A6E"/>
    <w:rsid w:val="00894B80"/>
    <w:rsid w:val="00895697"/>
    <w:rsid w:val="0089614F"/>
    <w:rsid w:val="0089627A"/>
    <w:rsid w:val="0089655D"/>
    <w:rsid w:val="008968E9"/>
    <w:rsid w:val="00896A89"/>
    <w:rsid w:val="00896AB3"/>
    <w:rsid w:val="00897B89"/>
    <w:rsid w:val="008A0534"/>
    <w:rsid w:val="008A1384"/>
    <w:rsid w:val="008A23CE"/>
    <w:rsid w:val="008A46FF"/>
    <w:rsid w:val="008A59DA"/>
    <w:rsid w:val="008A6CB8"/>
    <w:rsid w:val="008A73AC"/>
    <w:rsid w:val="008A7564"/>
    <w:rsid w:val="008A7BC9"/>
    <w:rsid w:val="008A7CBD"/>
    <w:rsid w:val="008B1C8F"/>
    <w:rsid w:val="008B294B"/>
    <w:rsid w:val="008B33DA"/>
    <w:rsid w:val="008B4D2E"/>
    <w:rsid w:val="008B5821"/>
    <w:rsid w:val="008B5A27"/>
    <w:rsid w:val="008B5AF4"/>
    <w:rsid w:val="008B6A2D"/>
    <w:rsid w:val="008B6F1F"/>
    <w:rsid w:val="008B74CE"/>
    <w:rsid w:val="008B7508"/>
    <w:rsid w:val="008B7CBC"/>
    <w:rsid w:val="008B7E13"/>
    <w:rsid w:val="008C18A6"/>
    <w:rsid w:val="008C1BE9"/>
    <w:rsid w:val="008C1D1F"/>
    <w:rsid w:val="008C3117"/>
    <w:rsid w:val="008C3D4F"/>
    <w:rsid w:val="008C47CF"/>
    <w:rsid w:val="008C4B19"/>
    <w:rsid w:val="008C4BF0"/>
    <w:rsid w:val="008C4C14"/>
    <w:rsid w:val="008C6DBD"/>
    <w:rsid w:val="008C70E5"/>
    <w:rsid w:val="008C712D"/>
    <w:rsid w:val="008C7531"/>
    <w:rsid w:val="008C7709"/>
    <w:rsid w:val="008C7D0D"/>
    <w:rsid w:val="008C7EC7"/>
    <w:rsid w:val="008C7EDF"/>
    <w:rsid w:val="008D0965"/>
    <w:rsid w:val="008D14C8"/>
    <w:rsid w:val="008D1758"/>
    <w:rsid w:val="008D303E"/>
    <w:rsid w:val="008D55B1"/>
    <w:rsid w:val="008D55B7"/>
    <w:rsid w:val="008D6139"/>
    <w:rsid w:val="008D6B1C"/>
    <w:rsid w:val="008D6CAC"/>
    <w:rsid w:val="008D6DEB"/>
    <w:rsid w:val="008D6F17"/>
    <w:rsid w:val="008D769B"/>
    <w:rsid w:val="008D774A"/>
    <w:rsid w:val="008E11D8"/>
    <w:rsid w:val="008E16D9"/>
    <w:rsid w:val="008E69C4"/>
    <w:rsid w:val="008E7320"/>
    <w:rsid w:val="008F13A3"/>
    <w:rsid w:val="008F1620"/>
    <w:rsid w:val="008F249B"/>
    <w:rsid w:val="008F25B6"/>
    <w:rsid w:val="008F25F4"/>
    <w:rsid w:val="008F26D3"/>
    <w:rsid w:val="008F3377"/>
    <w:rsid w:val="008F3497"/>
    <w:rsid w:val="008F3AA5"/>
    <w:rsid w:val="008F52D6"/>
    <w:rsid w:val="008F58B8"/>
    <w:rsid w:val="0090037D"/>
    <w:rsid w:val="00900764"/>
    <w:rsid w:val="00902354"/>
    <w:rsid w:val="0090248E"/>
    <w:rsid w:val="00902BE6"/>
    <w:rsid w:val="009051C0"/>
    <w:rsid w:val="00905782"/>
    <w:rsid w:val="00907581"/>
    <w:rsid w:val="0090778C"/>
    <w:rsid w:val="00907E47"/>
    <w:rsid w:val="0091022B"/>
    <w:rsid w:val="00910728"/>
    <w:rsid w:val="009114CD"/>
    <w:rsid w:val="0091410E"/>
    <w:rsid w:val="00914595"/>
    <w:rsid w:val="00916FFB"/>
    <w:rsid w:val="0091714F"/>
    <w:rsid w:val="00917195"/>
    <w:rsid w:val="00917F96"/>
    <w:rsid w:val="009207D6"/>
    <w:rsid w:val="009213A3"/>
    <w:rsid w:val="00921C1B"/>
    <w:rsid w:val="0092234F"/>
    <w:rsid w:val="009223A8"/>
    <w:rsid w:val="009228EB"/>
    <w:rsid w:val="009237A9"/>
    <w:rsid w:val="009238AB"/>
    <w:rsid w:val="009238EE"/>
    <w:rsid w:val="0092495D"/>
    <w:rsid w:val="00925054"/>
    <w:rsid w:val="009251E5"/>
    <w:rsid w:val="0092521B"/>
    <w:rsid w:val="00925FFB"/>
    <w:rsid w:val="009261C9"/>
    <w:rsid w:val="0092644F"/>
    <w:rsid w:val="0092660C"/>
    <w:rsid w:val="0092710C"/>
    <w:rsid w:val="00927A24"/>
    <w:rsid w:val="00927ABB"/>
    <w:rsid w:val="00930022"/>
    <w:rsid w:val="00930064"/>
    <w:rsid w:val="00930914"/>
    <w:rsid w:val="00932322"/>
    <w:rsid w:val="009324D6"/>
    <w:rsid w:val="009334D2"/>
    <w:rsid w:val="00936D2D"/>
    <w:rsid w:val="00937633"/>
    <w:rsid w:val="009379F3"/>
    <w:rsid w:val="009406D5"/>
    <w:rsid w:val="0094105F"/>
    <w:rsid w:val="009413C5"/>
    <w:rsid w:val="00941474"/>
    <w:rsid w:val="0094167E"/>
    <w:rsid w:val="0094237E"/>
    <w:rsid w:val="00944778"/>
    <w:rsid w:val="009450F6"/>
    <w:rsid w:val="00945A78"/>
    <w:rsid w:val="00945EF6"/>
    <w:rsid w:val="009465E7"/>
    <w:rsid w:val="00946900"/>
    <w:rsid w:val="00947200"/>
    <w:rsid w:val="0094792B"/>
    <w:rsid w:val="00950D89"/>
    <w:rsid w:val="00954E74"/>
    <w:rsid w:val="00955030"/>
    <w:rsid w:val="0095593C"/>
    <w:rsid w:val="0095653F"/>
    <w:rsid w:val="009568A9"/>
    <w:rsid w:val="00956ED9"/>
    <w:rsid w:val="009570AC"/>
    <w:rsid w:val="00957396"/>
    <w:rsid w:val="0095773C"/>
    <w:rsid w:val="00957BDA"/>
    <w:rsid w:val="00960B38"/>
    <w:rsid w:val="0096112F"/>
    <w:rsid w:val="00961563"/>
    <w:rsid w:val="0096165A"/>
    <w:rsid w:val="00962A98"/>
    <w:rsid w:val="00962B96"/>
    <w:rsid w:val="00962E5B"/>
    <w:rsid w:val="00963385"/>
    <w:rsid w:val="00963DC7"/>
    <w:rsid w:val="009648B4"/>
    <w:rsid w:val="00964B2F"/>
    <w:rsid w:val="00964B99"/>
    <w:rsid w:val="00965967"/>
    <w:rsid w:val="00966142"/>
    <w:rsid w:val="00966F08"/>
    <w:rsid w:val="0096731F"/>
    <w:rsid w:val="0096799D"/>
    <w:rsid w:val="00967B01"/>
    <w:rsid w:val="0097119D"/>
    <w:rsid w:val="00972104"/>
    <w:rsid w:val="00973346"/>
    <w:rsid w:val="00974281"/>
    <w:rsid w:val="00974862"/>
    <w:rsid w:val="00976DE8"/>
    <w:rsid w:val="0097758F"/>
    <w:rsid w:val="0097761F"/>
    <w:rsid w:val="009804F2"/>
    <w:rsid w:val="0098110A"/>
    <w:rsid w:val="0098129F"/>
    <w:rsid w:val="00981382"/>
    <w:rsid w:val="00982134"/>
    <w:rsid w:val="00985EB5"/>
    <w:rsid w:val="009870FC"/>
    <w:rsid w:val="009877AD"/>
    <w:rsid w:val="00990B51"/>
    <w:rsid w:val="0099177D"/>
    <w:rsid w:val="00991A6B"/>
    <w:rsid w:val="00993B82"/>
    <w:rsid w:val="00994237"/>
    <w:rsid w:val="009946B3"/>
    <w:rsid w:val="00994DC3"/>
    <w:rsid w:val="00995484"/>
    <w:rsid w:val="00995CB7"/>
    <w:rsid w:val="00996337"/>
    <w:rsid w:val="00997CE3"/>
    <w:rsid w:val="009A03E7"/>
    <w:rsid w:val="009A0712"/>
    <w:rsid w:val="009A0ADC"/>
    <w:rsid w:val="009A1021"/>
    <w:rsid w:val="009A1401"/>
    <w:rsid w:val="009A18A4"/>
    <w:rsid w:val="009A1A5E"/>
    <w:rsid w:val="009A30CB"/>
    <w:rsid w:val="009A323D"/>
    <w:rsid w:val="009A3A32"/>
    <w:rsid w:val="009A4048"/>
    <w:rsid w:val="009A44F5"/>
    <w:rsid w:val="009A479F"/>
    <w:rsid w:val="009A5058"/>
    <w:rsid w:val="009A514C"/>
    <w:rsid w:val="009A53B8"/>
    <w:rsid w:val="009A56B1"/>
    <w:rsid w:val="009A6E43"/>
    <w:rsid w:val="009A7E33"/>
    <w:rsid w:val="009B1307"/>
    <w:rsid w:val="009B2D0F"/>
    <w:rsid w:val="009B371F"/>
    <w:rsid w:val="009B3B88"/>
    <w:rsid w:val="009B7134"/>
    <w:rsid w:val="009B76BD"/>
    <w:rsid w:val="009C001C"/>
    <w:rsid w:val="009C0AA7"/>
    <w:rsid w:val="009C0E46"/>
    <w:rsid w:val="009C166A"/>
    <w:rsid w:val="009C1B03"/>
    <w:rsid w:val="009C2ED9"/>
    <w:rsid w:val="009C36AF"/>
    <w:rsid w:val="009C44A1"/>
    <w:rsid w:val="009C46FB"/>
    <w:rsid w:val="009C49E2"/>
    <w:rsid w:val="009C56E2"/>
    <w:rsid w:val="009D0EF7"/>
    <w:rsid w:val="009D101A"/>
    <w:rsid w:val="009D13B2"/>
    <w:rsid w:val="009D24E3"/>
    <w:rsid w:val="009D3296"/>
    <w:rsid w:val="009D559E"/>
    <w:rsid w:val="009D5AC5"/>
    <w:rsid w:val="009D63B9"/>
    <w:rsid w:val="009D758B"/>
    <w:rsid w:val="009D7CC6"/>
    <w:rsid w:val="009E01DF"/>
    <w:rsid w:val="009E035B"/>
    <w:rsid w:val="009E06BD"/>
    <w:rsid w:val="009E20BC"/>
    <w:rsid w:val="009E343C"/>
    <w:rsid w:val="009E3F63"/>
    <w:rsid w:val="009E41B7"/>
    <w:rsid w:val="009E4963"/>
    <w:rsid w:val="009E5551"/>
    <w:rsid w:val="009E5926"/>
    <w:rsid w:val="009E5C4E"/>
    <w:rsid w:val="009E7452"/>
    <w:rsid w:val="009E7C1C"/>
    <w:rsid w:val="009F0308"/>
    <w:rsid w:val="009F0B7A"/>
    <w:rsid w:val="009F0DE7"/>
    <w:rsid w:val="009F29B5"/>
    <w:rsid w:val="009F38D2"/>
    <w:rsid w:val="009F390B"/>
    <w:rsid w:val="009F4767"/>
    <w:rsid w:val="009F49DC"/>
    <w:rsid w:val="009F552C"/>
    <w:rsid w:val="009F557C"/>
    <w:rsid w:val="009F5A17"/>
    <w:rsid w:val="009F6718"/>
    <w:rsid w:val="009F7903"/>
    <w:rsid w:val="009F79E0"/>
    <w:rsid w:val="009F7CF0"/>
    <w:rsid w:val="00A00D1F"/>
    <w:rsid w:val="00A014A6"/>
    <w:rsid w:val="00A0156C"/>
    <w:rsid w:val="00A01B60"/>
    <w:rsid w:val="00A03C56"/>
    <w:rsid w:val="00A04867"/>
    <w:rsid w:val="00A04A13"/>
    <w:rsid w:val="00A05AB7"/>
    <w:rsid w:val="00A05E00"/>
    <w:rsid w:val="00A06D7B"/>
    <w:rsid w:val="00A06F16"/>
    <w:rsid w:val="00A1053D"/>
    <w:rsid w:val="00A108FC"/>
    <w:rsid w:val="00A109CE"/>
    <w:rsid w:val="00A113B8"/>
    <w:rsid w:val="00A113E7"/>
    <w:rsid w:val="00A11939"/>
    <w:rsid w:val="00A1355D"/>
    <w:rsid w:val="00A142EF"/>
    <w:rsid w:val="00A14765"/>
    <w:rsid w:val="00A14ED4"/>
    <w:rsid w:val="00A15B20"/>
    <w:rsid w:val="00A16784"/>
    <w:rsid w:val="00A16AA2"/>
    <w:rsid w:val="00A17016"/>
    <w:rsid w:val="00A1785A"/>
    <w:rsid w:val="00A17FAB"/>
    <w:rsid w:val="00A2190E"/>
    <w:rsid w:val="00A22817"/>
    <w:rsid w:val="00A23195"/>
    <w:rsid w:val="00A23450"/>
    <w:rsid w:val="00A240F5"/>
    <w:rsid w:val="00A25C00"/>
    <w:rsid w:val="00A26B96"/>
    <w:rsid w:val="00A277CE"/>
    <w:rsid w:val="00A27ACF"/>
    <w:rsid w:val="00A30187"/>
    <w:rsid w:val="00A3039C"/>
    <w:rsid w:val="00A3139C"/>
    <w:rsid w:val="00A3197B"/>
    <w:rsid w:val="00A32280"/>
    <w:rsid w:val="00A327AA"/>
    <w:rsid w:val="00A32832"/>
    <w:rsid w:val="00A32A26"/>
    <w:rsid w:val="00A34759"/>
    <w:rsid w:val="00A3498A"/>
    <w:rsid w:val="00A35C9F"/>
    <w:rsid w:val="00A35FBA"/>
    <w:rsid w:val="00A361D2"/>
    <w:rsid w:val="00A3663B"/>
    <w:rsid w:val="00A36D76"/>
    <w:rsid w:val="00A370B3"/>
    <w:rsid w:val="00A3747D"/>
    <w:rsid w:val="00A41070"/>
    <w:rsid w:val="00A424C9"/>
    <w:rsid w:val="00A42906"/>
    <w:rsid w:val="00A438CD"/>
    <w:rsid w:val="00A44FF3"/>
    <w:rsid w:val="00A46706"/>
    <w:rsid w:val="00A47922"/>
    <w:rsid w:val="00A47BD3"/>
    <w:rsid w:val="00A508CA"/>
    <w:rsid w:val="00A50EA0"/>
    <w:rsid w:val="00A50F5F"/>
    <w:rsid w:val="00A5119E"/>
    <w:rsid w:val="00A51A28"/>
    <w:rsid w:val="00A51B0A"/>
    <w:rsid w:val="00A539D2"/>
    <w:rsid w:val="00A54732"/>
    <w:rsid w:val="00A56311"/>
    <w:rsid w:val="00A57F01"/>
    <w:rsid w:val="00A6003B"/>
    <w:rsid w:val="00A60821"/>
    <w:rsid w:val="00A60C00"/>
    <w:rsid w:val="00A60C54"/>
    <w:rsid w:val="00A616B2"/>
    <w:rsid w:val="00A631F0"/>
    <w:rsid w:val="00A665B7"/>
    <w:rsid w:val="00A700F0"/>
    <w:rsid w:val="00A70111"/>
    <w:rsid w:val="00A71728"/>
    <w:rsid w:val="00A74484"/>
    <w:rsid w:val="00A747BF"/>
    <w:rsid w:val="00A74BFF"/>
    <w:rsid w:val="00A7502F"/>
    <w:rsid w:val="00A753D9"/>
    <w:rsid w:val="00A760FA"/>
    <w:rsid w:val="00A7720F"/>
    <w:rsid w:val="00A804BE"/>
    <w:rsid w:val="00A81950"/>
    <w:rsid w:val="00A82DC4"/>
    <w:rsid w:val="00A82E48"/>
    <w:rsid w:val="00A84304"/>
    <w:rsid w:val="00A84892"/>
    <w:rsid w:val="00A8607A"/>
    <w:rsid w:val="00A862D1"/>
    <w:rsid w:val="00A86F94"/>
    <w:rsid w:val="00A87382"/>
    <w:rsid w:val="00A87D40"/>
    <w:rsid w:val="00A901F5"/>
    <w:rsid w:val="00A91170"/>
    <w:rsid w:val="00A92A2C"/>
    <w:rsid w:val="00A93728"/>
    <w:rsid w:val="00A960C7"/>
    <w:rsid w:val="00A971C4"/>
    <w:rsid w:val="00A974D7"/>
    <w:rsid w:val="00A9779F"/>
    <w:rsid w:val="00A97BEC"/>
    <w:rsid w:val="00AA02F8"/>
    <w:rsid w:val="00AA0679"/>
    <w:rsid w:val="00AA092B"/>
    <w:rsid w:val="00AA1895"/>
    <w:rsid w:val="00AA1964"/>
    <w:rsid w:val="00AA1C95"/>
    <w:rsid w:val="00AA1FBC"/>
    <w:rsid w:val="00AA245B"/>
    <w:rsid w:val="00AA2468"/>
    <w:rsid w:val="00AA5330"/>
    <w:rsid w:val="00AA53D1"/>
    <w:rsid w:val="00AA6032"/>
    <w:rsid w:val="00AA6152"/>
    <w:rsid w:val="00AA62D7"/>
    <w:rsid w:val="00AA6CA0"/>
    <w:rsid w:val="00AA7F97"/>
    <w:rsid w:val="00AB0247"/>
    <w:rsid w:val="00AB0948"/>
    <w:rsid w:val="00AB17E3"/>
    <w:rsid w:val="00AB2309"/>
    <w:rsid w:val="00AB2345"/>
    <w:rsid w:val="00AB2CBB"/>
    <w:rsid w:val="00AB2DD5"/>
    <w:rsid w:val="00AB3438"/>
    <w:rsid w:val="00AB3C73"/>
    <w:rsid w:val="00AB468E"/>
    <w:rsid w:val="00AB67AE"/>
    <w:rsid w:val="00AB7940"/>
    <w:rsid w:val="00AC019C"/>
    <w:rsid w:val="00AC055A"/>
    <w:rsid w:val="00AC0833"/>
    <w:rsid w:val="00AC0C2D"/>
    <w:rsid w:val="00AC1CA0"/>
    <w:rsid w:val="00AC1FA2"/>
    <w:rsid w:val="00AC28F4"/>
    <w:rsid w:val="00AC2D3D"/>
    <w:rsid w:val="00AC37F8"/>
    <w:rsid w:val="00AC40DF"/>
    <w:rsid w:val="00AC4317"/>
    <w:rsid w:val="00AC4B46"/>
    <w:rsid w:val="00AC4D20"/>
    <w:rsid w:val="00AC4DEB"/>
    <w:rsid w:val="00AC5670"/>
    <w:rsid w:val="00AC63AB"/>
    <w:rsid w:val="00AC6407"/>
    <w:rsid w:val="00AC64EB"/>
    <w:rsid w:val="00AC79BB"/>
    <w:rsid w:val="00AD05CA"/>
    <w:rsid w:val="00AD0B56"/>
    <w:rsid w:val="00AD0BB5"/>
    <w:rsid w:val="00AD17CD"/>
    <w:rsid w:val="00AD3AA2"/>
    <w:rsid w:val="00AD502B"/>
    <w:rsid w:val="00AD5BDA"/>
    <w:rsid w:val="00AD6142"/>
    <w:rsid w:val="00AD647B"/>
    <w:rsid w:val="00AD66E5"/>
    <w:rsid w:val="00AE08E0"/>
    <w:rsid w:val="00AE096E"/>
    <w:rsid w:val="00AE2681"/>
    <w:rsid w:val="00AE4331"/>
    <w:rsid w:val="00AE4553"/>
    <w:rsid w:val="00AE5790"/>
    <w:rsid w:val="00AE5AB5"/>
    <w:rsid w:val="00AE654A"/>
    <w:rsid w:val="00AE73B7"/>
    <w:rsid w:val="00AF045C"/>
    <w:rsid w:val="00AF0B8E"/>
    <w:rsid w:val="00AF1F2B"/>
    <w:rsid w:val="00AF2955"/>
    <w:rsid w:val="00AF3F3C"/>
    <w:rsid w:val="00AF4D58"/>
    <w:rsid w:val="00AF5C4F"/>
    <w:rsid w:val="00AF7083"/>
    <w:rsid w:val="00AF7FAA"/>
    <w:rsid w:val="00AF7FBF"/>
    <w:rsid w:val="00AFB789"/>
    <w:rsid w:val="00B00D39"/>
    <w:rsid w:val="00B00E66"/>
    <w:rsid w:val="00B013E0"/>
    <w:rsid w:val="00B02678"/>
    <w:rsid w:val="00B03DBD"/>
    <w:rsid w:val="00B04212"/>
    <w:rsid w:val="00B04B14"/>
    <w:rsid w:val="00B056B6"/>
    <w:rsid w:val="00B059FE"/>
    <w:rsid w:val="00B06844"/>
    <w:rsid w:val="00B07B0E"/>
    <w:rsid w:val="00B1199B"/>
    <w:rsid w:val="00B11D27"/>
    <w:rsid w:val="00B13F04"/>
    <w:rsid w:val="00B1411E"/>
    <w:rsid w:val="00B15184"/>
    <w:rsid w:val="00B15A3E"/>
    <w:rsid w:val="00B16DD5"/>
    <w:rsid w:val="00B17423"/>
    <w:rsid w:val="00B17489"/>
    <w:rsid w:val="00B176C0"/>
    <w:rsid w:val="00B2018F"/>
    <w:rsid w:val="00B20688"/>
    <w:rsid w:val="00B20A61"/>
    <w:rsid w:val="00B20ADE"/>
    <w:rsid w:val="00B20C4E"/>
    <w:rsid w:val="00B21208"/>
    <w:rsid w:val="00B216FF"/>
    <w:rsid w:val="00B2218D"/>
    <w:rsid w:val="00B240C9"/>
    <w:rsid w:val="00B249B0"/>
    <w:rsid w:val="00B24CC6"/>
    <w:rsid w:val="00B25DA8"/>
    <w:rsid w:val="00B27AA5"/>
    <w:rsid w:val="00B321E8"/>
    <w:rsid w:val="00B32790"/>
    <w:rsid w:val="00B33A78"/>
    <w:rsid w:val="00B34660"/>
    <w:rsid w:val="00B34AEE"/>
    <w:rsid w:val="00B3508F"/>
    <w:rsid w:val="00B35A1F"/>
    <w:rsid w:val="00B361DA"/>
    <w:rsid w:val="00B366A3"/>
    <w:rsid w:val="00B36FB7"/>
    <w:rsid w:val="00B377FE"/>
    <w:rsid w:val="00B378EC"/>
    <w:rsid w:val="00B404A9"/>
    <w:rsid w:val="00B40BD3"/>
    <w:rsid w:val="00B40E23"/>
    <w:rsid w:val="00B40F94"/>
    <w:rsid w:val="00B41039"/>
    <w:rsid w:val="00B443F1"/>
    <w:rsid w:val="00B44AE0"/>
    <w:rsid w:val="00B44EE7"/>
    <w:rsid w:val="00B459AA"/>
    <w:rsid w:val="00B46A4C"/>
    <w:rsid w:val="00B46A84"/>
    <w:rsid w:val="00B51247"/>
    <w:rsid w:val="00B5191B"/>
    <w:rsid w:val="00B52257"/>
    <w:rsid w:val="00B522A5"/>
    <w:rsid w:val="00B53A20"/>
    <w:rsid w:val="00B54B34"/>
    <w:rsid w:val="00B553BD"/>
    <w:rsid w:val="00B55B04"/>
    <w:rsid w:val="00B55FC7"/>
    <w:rsid w:val="00B56F9D"/>
    <w:rsid w:val="00B575EE"/>
    <w:rsid w:val="00B600AE"/>
    <w:rsid w:val="00B614A4"/>
    <w:rsid w:val="00B62163"/>
    <w:rsid w:val="00B62E39"/>
    <w:rsid w:val="00B62ED3"/>
    <w:rsid w:val="00B631E3"/>
    <w:rsid w:val="00B63775"/>
    <w:rsid w:val="00B63BFB"/>
    <w:rsid w:val="00B63C0B"/>
    <w:rsid w:val="00B63D2E"/>
    <w:rsid w:val="00B65C46"/>
    <w:rsid w:val="00B67068"/>
    <w:rsid w:val="00B70D3D"/>
    <w:rsid w:val="00B72F3D"/>
    <w:rsid w:val="00B7338C"/>
    <w:rsid w:val="00B73675"/>
    <w:rsid w:val="00B74527"/>
    <w:rsid w:val="00B746A8"/>
    <w:rsid w:val="00B74CBB"/>
    <w:rsid w:val="00B750B3"/>
    <w:rsid w:val="00B75D8A"/>
    <w:rsid w:val="00B76868"/>
    <w:rsid w:val="00B76C0C"/>
    <w:rsid w:val="00B77927"/>
    <w:rsid w:val="00B77A41"/>
    <w:rsid w:val="00B77D19"/>
    <w:rsid w:val="00B77EEC"/>
    <w:rsid w:val="00B8004A"/>
    <w:rsid w:val="00B80398"/>
    <w:rsid w:val="00B805BE"/>
    <w:rsid w:val="00B80B0A"/>
    <w:rsid w:val="00B81820"/>
    <w:rsid w:val="00B82120"/>
    <w:rsid w:val="00B83D1B"/>
    <w:rsid w:val="00B84903"/>
    <w:rsid w:val="00B84E07"/>
    <w:rsid w:val="00B85326"/>
    <w:rsid w:val="00B866CC"/>
    <w:rsid w:val="00B86B2E"/>
    <w:rsid w:val="00B90075"/>
    <w:rsid w:val="00B902FA"/>
    <w:rsid w:val="00B908A3"/>
    <w:rsid w:val="00B90F57"/>
    <w:rsid w:val="00B91743"/>
    <w:rsid w:val="00B91869"/>
    <w:rsid w:val="00B91976"/>
    <w:rsid w:val="00B92C76"/>
    <w:rsid w:val="00B942A1"/>
    <w:rsid w:val="00B94AC7"/>
    <w:rsid w:val="00B95044"/>
    <w:rsid w:val="00B95AE8"/>
    <w:rsid w:val="00B97305"/>
    <w:rsid w:val="00B975F7"/>
    <w:rsid w:val="00B97647"/>
    <w:rsid w:val="00BA04F9"/>
    <w:rsid w:val="00BA37E5"/>
    <w:rsid w:val="00BA41A3"/>
    <w:rsid w:val="00BA4A11"/>
    <w:rsid w:val="00BA4CAF"/>
    <w:rsid w:val="00BA69FC"/>
    <w:rsid w:val="00BA7845"/>
    <w:rsid w:val="00BA79A1"/>
    <w:rsid w:val="00BB091E"/>
    <w:rsid w:val="00BB0EFF"/>
    <w:rsid w:val="00BB192C"/>
    <w:rsid w:val="00BB2FAC"/>
    <w:rsid w:val="00BB479F"/>
    <w:rsid w:val="00BB4D6A"/>
    <w:rsid w:val="00BB6089"/>
    <w:rsid w:val="00BB74D1"/>
    <w:rsid w:val="00BB7DBA"/>
    <w:rsid w:val="00BB7EE2"/>
    <w:rsid w:val="00BC0A28"/>
    <w:rsid w:val="00BC0B74"/>
    <w:rsid w:val="00BC0D0B"/>
    <w:rsid w:val="00BC0DB0"/>
    <w:rsid w:val="00BC23A8"/>
    <w:rsid w:val="00BC2572"/>
    <w:rsid w:val="00BC27F7"/>
    <w:rsid w:val="00BC6CE0"/>
    <w:rsid w:val="00BC6EAA"/>
    <w:rsid w:val="00BC7034"/>
    <w:rsid w:val="00BC78F4"/>
    <w:rsid w:val="00BD1158"/>
    <w:rsid w:val="00BD18FA"/>
    <w:rsid w:val="00BD19A4"/>
    <w:rsid w:val="00BD1E1F"/>
    <w:rsid w:val="00BD2156"/>
    <w:rsid w:val="00BD31F9"/>
    <w:rsid w:val="00BD43AC"/>
    <w:rsid w:val="00BD457E"/>
    <w:rsid w:val="00BD49CE"/>
    <w:rsid w:val="00BD4A38"/>
    <w:rsid w:val="00BD4D71"/>
    <w:rsid w:val="00BD4ED9"/>
    <w:rsid w:val="00BD532B"/>
    <w:rsid w:val="00BD5DF9"/>
    <w:rsid w:val="00BD754A"/>
    <w:rsid w:val="00BE0B0D"/>
    <w:rsid w:val="00BE125C"/>
    <w:rsid w:val="00BE258C"/>
    <w:rsid w:val="00BE285A"/>
    <w:rsid w:val="00BE37F1"/>
    <w:rsid w:val="00BE5EAB"/>
    <w:rsid w:val="00BE6221"/>
    <w:rsid w:val="00BF0721"/>
    <w:rsid w:val="00BF086A"/>
    <w:rsid w:val="00BF0E12"/>
    <w:rsid w:val="00BF2B1B"/>
    <w:rsid w:val="00BF2B36"/>
    <w:rsid w:val="00BF3E89"/>
    <w:rsid w:val="00BF544D"/>
    <w:rsid w:val="00BF5B80"/>
    <w:rsid w:val="00BF5F36"/>
    <w:rsid w:val="00BF6148"/>
    <w:rsid w:val="00BF695F"/>
    <w:rsid w:val="00BF7886"/>
    <w:rsid w:val="00C01CDB"/>
    <w:rsid w:val="00C01F8B"/>
    <w:rsid w:val="00C0237F"/>
    <w:rsid w:val="00C0245B"/>
    <w:rsid w:val="00C036D0"/>
    <w:rsid w:val="00C0426D"/>
    <w:rsid w:val="00C04303"/>
    <w:rsid w:val="00C045BA"/>
    <w:rsid w:val="00C04711"/>
    <w:rsid w:val="00C04C40"/>
    <w:rsid w:val="00C06233"/>
    <w:rsid w:val="00C07243"/>
    <w:rsid w:val="00C07750"/>
    <w:rsid w:val="00C07CE0"/>
    <w:rsid w:val="00C07F16"/>
    <w:rsid w:val="00C07F73"/>
    <w:rsid w:val="00C10295"/>
    <w:rsid w:val="00C10367"/>
    <w:rsid w:val="00C10860"/>
    <w:rsid w:val="00C10AAE"/>
    <w:rsid w:val="00C10F7E"/>
    <w:rsid w:val="00C1115C"/>
    <w:rsid w:val="00C14749"/>
    <w:rsid w:val="00C15235"/>
    <w:rsid w:val="00C15B0F"/>
    <w:rsid w:val="00C161E6"/>
    <w:rsid w:val="00C16990"/>
    <w:rsid w:val="00C178CB"/>
    <w:rsid w:val="00C17B9A"/>
    <w:rsid w:val="00C2019F"/>
    <w:rsid w:val="00C21156"/>
    <w:rsid w:val="00C213E6"/>
    <w:rsid w:val="00C21492"/>
    <w:rsid w:val="00C21C28"/>
    <w:rsid w:val="00C2278D"/>
    <w:rsid w:val="00C229E4"/>
    <w:rsid w:val="00C22CE7"/>
    <w:rsid w:val="00C2336B"/>
    <w:rsid w:val="00C23B2C"/>
    <w:rsid w:val="00C23B88"/>
    <w:rsid w:val="00C242E8"/>
    <w:rsid w:val="00C243DA"/>
    <w:rsid w:val="00C24BE2"/>
    <w:rsid w:val="00C251C9"/>
    <w:rsid w:val="00C25A23"/>
    <w:rsid w:val="00C26A45"/>
    <w:rsid w:val="00C26C8B"/>
    <w:rsid w:val="00C26D65"/>
    <w:rsid w:val="00C26D8C"/>
    <w:rsid w:val="00C2710E"/>
    <w:rsid w:val="00C272B6"/>
    <w:rsid w:val="00C31D5E"/>
    <w:rsid w:val="00C32EB1"/>
    <w:rsid w:val="00C33443"/>
    <w:rsid w:val="00C33CDC"/>
    <w:rsid w:val="00C341C7"/>
    <w:rsid w:val="00C3467D"/>
    <w:rsid w:val="00C34875"/>
    <w:rsid w:val="00C34B95"/>
    <w:rsid w:val="00C364E5"/>
    <w:rsid w:val="00C37891"/>
    <w:rsid w:val="00C37CD6"/>
    <w:rsid w:val="00C37E16"/>
    <w:rsid w:val="00C37E80"/>
    <w:rsid w:val="00C37FA5"/>
    <w:rsid w:val="00C41470"/>
    <w:rsid w:val="00C41557"/>
    <w:rsid w:val="00C4293E"/>
    <w:rsid w:val="00C42D41"/>
    <w:rsid w:val="00C42E0C"/>
    <w:rsid w:val="00C434CB"/>
    <w:rsid w:val="00C43E24"/>
    <w:rsid w:val="00C43F2F"/>
    <w:rsid w:val="00C4506F"/>
    <w:rsid w:val="00C47717"/>
    <w:rsid w:val="00C50750"/>
    <w:rsid w:val="00C519B5"/>
    <w:rsid w:val="00C51A5B"/>
    <w:rsid w:val="00C51CF9"/>
    <w:rsid w:val="00C51D77"/>
    <w:rsid w:val="00C5343F"/>
    <w:rsid w:val="00C53C6B"/>
    <w:rsid w:val="00C554E9"/>
    <w:rsid w:val="00C55DE1"/>
    <w:rsid w:val="00C562ED"/>
    <w:rsid w:val="00C5696B"/>
    <w:rsid w:val="00C56E72"/>
    <w:rsid w:val="00C5776C"/>
    <w:rsid w:val="00C57875"/>
    <w:rsid w:val="00C57900"/>
    <w:rsid w:val="00C57D9C"/>
    <w:rsid w:val="00C60107"/>
    <w:rsid w:val="00C611E5"/>
    <w:rsid w:val="00C623C1"/>
    <w:rsid w:val="00C62767"/>
    <w:rsid w:val="00C62C38"/>
    <w:rsid w:val="00C6313B"/>
    <w:rsid w:val="00C6335F"/>
    <w:rsid w:val="00C63F06"/>
    <w:rsid w:val="00C6419A"/>
    <w:rsid w:val="00C64C0A"/>
    <w:rsid w:val="00C65270"/>
    <w:rsid w:val="00C65974"/>
    <w:rsid w:val="00C66541"/>
    <w:rsid w:val="00C669E4"/>
    <w:rsid w:val="00C70171"/>
    <w:rsid w:val="00C7021E"/>
    <w:rsid w:val="00C704A4"/>
    <w:rsid w:val="00C70ABD"/>
    <w:rsid w:val="00C70DB0"/>
    <w:rsid w:val="00C717FA"/>
    <w:rsid w:val="00C71D91"/>
    <w:rsid w:val="00C72319"/>
    <w:rsid w:val="00C73968"/>
    <w:rsid w:val="00C74DA9"/>
    <w:rsid w:val="00C75CBB"/>
    <w:rsid w:val="00C761E0"/>
    <w:rsid w:val="00C76E47"/>
    <w:rsid w:val="00C77818"/>
    <w:rsid w:val="00C81E6C"/>
    <w:rsid w:val="00C82F2F"/>
    <w:rsid w:val="00C843E6"/>
    <w:rsid w:val="00C85653"/>
    <w:rsid w:val="00C85E54"/>
    <w:rsid w:val="00C8615F"/>
    <w:rsid w:val="00C86650"/>
    <w:rsid w:val="00C8701C"/>
    <w:rsid w:val="00C8744A"/>
    <w:rsid w:val="00C87DBA"/>
    <w:rsid w:val="00C90BE8"/>
    <w:rsid w:val="00C92199"/>
    <w:rsid w:val="00C92496"/>
    <w:rsid w:val="00C93570"/>
    <w:rsid w:val="00C939F6"/>
    <w:rsid w:val="00C956D1"/>
    <w:rsid w:val="00C970C8"/>
    <w:rsid w:val="00CA0B7B"/>
    <w:rsid w:val="00CA1455"/>
    <w:rsid w:val="00CA2EF0"/>
    <w:rsid w:val="00CA2FA4"/>
    <w:rsid w:val="00CA3ECE"/>
    <w:rsid w:val="00CA47E7"/>
    <w:rsid w:val="00CA51FD"/>
    <w:rsid w:val="00CA543B"/>
    <w:rsid w:val="00CA547A"/>
    <w:rsid w:val="00CA56A7"/>
    <w:rsid w:val="00CA5736"/>
    <w:rsid w:val="00CA7B20"/>
    <w:rsid w:val="00CB0966"/>
    <w:rsid w:val="00CB1A42"/>
    <w:rsid w:val="00CB1B2B"/>
    <w:rsid w:val="00CB1CBD"/>
    <w:rsid w:val="00CB22D7"/>
    <w:rsid w:val="00CB2332"/>
    <w:rsid w:val="00CB28CF"/>
    <w:rsid w:val="00CB4682"/>
    <w:rsid w:val="00CB535F"/>
    <w:rsid w:val="00CB6423"/>
    <w:rsid w:val="00CB6C86"/>
    <w:rsid w:val="00CC07B5"/>
    <w:rsid w:val="00CC11BA"/>
    <w:rsid w:val="00CC15FC"/>
    <w:rsid w:val="00CC24C1"/>
    <w:rsid w:val="00CC32DA"/>
    <w:rsid w:val="00CC37D2"/>
    <w:rsid w:val="00CC5482"/>
    <w:rsid w:val="00CC599C"/>
    <w:rsid w:val="00CC5B50"/>
    <w:rsid w:val="00CC69D6"/>
    <w:rsid w:val="00CC6CFA"/>
    <w:rsid w:val="00CC75BD"/>
    <w:rsid w:val="00CC7D96"/>
    <w:rsid w:val="00CD017A"/>
    <w:rsid w:val="00CD0A4D"/>
    <w:rsid w:val="00CD1979"/>
    <w:rsid w:val="00CD1CB7"/>
    <w:rsid w:val="00CD2FD9"/>
    <w:rsid w:val="00CD3293"/>
    <w:rsid w:val="00CD34AF"/>
    <w:rsid w:val="00CD3538"/>
    <w:rsid w:val="00CD3E2C"/>
    <w:rsid w:val="00CD4A27"/>
    <w:rsid w:val="00CD517F"/>
    <w:rsid w:val="00CD5CC1"/>
    <w:rsid w:val="00CE140F"/>
    <w:rsid w:val="00CE1641"/>
    <w:rsid w:val="00CE1F81"/>
    <w:rsid w:val="00CE265D"/>
    <w:rsid w:val="00CE2FF9"/>
    <w:rsid w:val="00CE37A0"/>
    <w:rsid w:val="00CE4673"/>
    <w:rsid w:val="00CE5120"/>
    <w:rsid w:val="00CE5128"/>
    <w:rsid w:val="00CE533A"/>
    <w:rsid w:val="00CE547B"/>
    <w:rsid w:val="00CE5799"/>
    <w:rsid w:val="00CE5B24"/>
    <w:rsid w:val="00CE5B95"/>
    <w:rsid w:val="00CE721C"/>
    <w:rsid w:val="00CE78A9"/>
    <w:rsid w:val="00CE791E"/>
    <w:rsid w:val="00CF0B09"/>
    <w:rsid w:val="00CF0C65"/>
    <w:rsid w:val="00CF139F"/>
    <w:rsid w:val="00CF1B1E"/>
    <w:rsid w:val="00CF2095"/>
    <w:rsid w:val="00CF2364"/>
    <w:rsid w:val="00CF26F0"/>
    <w:rsid w:val="00CF3985"/>
    <w:rsid w:val="00CF475C"/>
    <w:rsid w:val="00CF512F"/>
    <w:rsid w:val="00CF54FE"/>
    <w:rsid w:val="00CF61AA"/>
    <w:rsid w:val="00CF6922"/>
    <w:rsid w:val="00D01FB8"/>
    <w:rsid w:val="00D0269C"/>
    <w:rsid w:val="00D03130"/>
    <w:rsid w:val="00D03F6E"/>
    <w:rsid w:val="00D04E12"/>
    <w:rsid w:val="00D053B2"/>
    <w:rsid w:val="00D053CB"/>
    <w:rsid w:val="00D05EF8"/>
    <w:rsid w:val="00D06345"/>
    <w:rsid w:val="00D07F38"/>
    <w:rsid w:val="00D1001E"/>
    <w:rsid w:val="00D10F45"/>
    <w:rsid w:val="00D12FBB"/>
    <w:rsid w:val="00D14182"/>
    <w:rsid w:val="00D16B65"/>
    <w:rsid w:val="00D16C64"/>
    <w:rsid w:val="00D20813"/>
    <w:rsid w:val="00D216D2"/>
    <w:rsid w:val="00D217E8"/>
    <w:rsid w:val="00D21B84"/>
    <w:rsid w:val="00D2244A"/>
    <w:rsid w:val="00D22CCE"/>
    <w:rsid w:val="00D253F5"/>
    <w:rsid w:val="00D25716"/>
    <w:rsid w:val="00D25B1D"/>
    <w:rsid w:val="00D25B9F"/>
    <w:rsid w:val="00D26857"/>
    <w:rsid w:val="00D276F5"/>
    <w:rsid w:val="00D30082"/>
    <w:rsid w:val="00D30DEB"/>
    <w:rsid w:val="00D31278"/>
    <w:rsid w:val="00D314A1"/>
    <w:rsid w:val="00D321B2"/>
    <w:rsid w:val="00D32483"/>
    <w:rsid w:val="00D32603"/>
    <w:rsid w:val="00D33D45"/>
    <w:rsid w:val="00D33DF3"/>
    <w:rsid w:val="00D34DD4"/>
    <w:rsid w:val="00D35247"/>
    <w:rsid w:val="00D368FA"/>
    <w:rsid w:val="00D37B54"/>
    <w:rsid w:val="00D40B4A"/>
    <w:rsid w:val="00D41294"/>
    <w:rsid w:val="00D42312"/>
    <w:rsid w:val="00D42EDE"/>
    <w:rsid w:val="00D43670"/>
    <w:rsid w:val="00D44B54"/>
    <w:rsid w:val="00D4511C"/>
    <w:rsid w:val="00D45314"/>
    <w:rsid w:val="00D4544E"/>
    <w:rsid w:val="00D458E1"/>
    <w:rsid w:val="00D45E09"/>
    <w:rsid w:val="00D461B2"/>
    <w:rsid w:val="00D47377"/>
    <w:rsid w:val="00D50EFF"/>
    <w:rsid w:val="00D5204D"/>
    <w:rsid w:val="00D5285C"/>
    <w:rsid w:val="00D52A24"/>
    <w:rsid w:val="00D52B07"/>
    <w:rsid w:val="00D52C53"/>
    <w:rsid w:val="00D5376D"/>
    <w:rsid w:val="00D537D3"/>
    <w:rsid w:val="00D55158"/>
    <w:rsid w:val="00D560D6"/>
    <w:rsid w:val="00D562A7"/>
    <w:rsid w:val="00D56E87"/>
    <w:rsid w:val="00D61D37"/>
    <w:rsid w:val="00D62BF9"/>
    <w:rsid w:val="00D637C5"/>
    <w:rsid w:val="00D66E35"/>
    <w:rsid w:val="00D6749B"/>
    <w:rsid w:val="00D70A61"/>
    <w:rsid w:val="00D70CFB"/>
    <w:rsid w:val="00D71895"/>
    <w:rsid w:val="00D7241C"/>
    <w:rsid w:val="00D742E2"/>
    <w:rsid w:val="00D746F4"/>
    <w:rsid w:val="00D74B53"/>
    <w:rsid w:val="00D74BAC"/>
    <w:rsid w:val="00D752A8"/>
    <w:rsid w:val="00D753CF"/>
    <w:rsid w:val="00D77DA7"/>
    <w:rsid w:val="00D80072"/>
    <w:rsid w:val="00D81982"/>
    <w:rsid w:val="00D81C8E"/>
    <w:rsid w:val="00D82194"/>
    <w:rsid w:val="00D82C83"/>
    <w:rsid w:val="00D833D2"/>
    <w:rsid w:val="00D8401D"/>
    <w:rsid w:val="00D8402B"/>
    <w:rsid w:val="00D84197"/>
    <w:rsid w:val="00D8434E"/>
    <w:rsid w:val="00D85EDC"/>
    <w:rsid w:val="00D85F4B"/>
    <w:rsid w:val="00D86638"/>
    <w:rsid w:val="00D86DF7"/>
    <w:rsid w:val="00D90DC8"/>
    <w:rsid w:val="00D90F60"/>
    <w:rsid w:val="00D92EA4"/>
    <w:rsid w:val="00D93428"/>
    <w:rsid w:val="00D937C6"/>
    <w:rsid w:val="00D95C39"/>
    <w:rsid w:val="00DA0018"/>
    <w:rsid w:val="00DA04C7"/>
    <w:rsid w:val="00DA1BC0"/>
    <w:rsid w:val="00DA2027"/>
    <w:rsid w:val="00DA2845"/>
    <w:rsid w:val="00DA50CE"/>
    <w:rsid w:val="00DA581B"/>
    <w:rsid w:val="00DA60E5"/>
    <w:rsid w:val="00DA7AD5"/>
    <w:rsid w:val="00DA7AF5"/>
    <w:rsid w:val="00DB002D"/>
    <w:rsid w:val="00DB0427"/>
    <w:rsid w:val="00DB0CD6"/>
    <w:rsid w:val="00DB1018"/>
    <w:rsid w:val="00DB181F"/>
    <w:rsid w:val="00DB1C96"/>
    <w:rsid w:val="00DB1FEF"/>
    <w:rsid w:val="00DB24C1"/>
    <w:rsid w:val="00DB26F1"/>
    <w:rsid w:val="00DB290A"/>
    <w:rsid w:val="00DB3897"/>
    <w:rsid w:val="00DB4520"/>
    <w:rsid w:val="00DB4E5E"/>
    <w:rsid w:val="00DB51A6"/>
    <w:rsid w:val="00DB60B6"/>
    <w:rsid w:val="00DB700F"/>
    <w:rsid w:val="00DC1606"/>
    <w:rsid w:val="00DC2B59"/>
    <w:rsid w:val="00DC3A28"/>
    <w:rsid w:val="00DC3AB9"/>
    <w:rsid w:val="00DC7569"/>
    <w:rsid w:val="00DC7E5B"/>
    <w:rsid w:val="00DD01F2"/>
    <w:rsid w:val="00DD0DD4"/>
    <w:rsid w:val="00DD15F1"/>
    <w:rsid w:val="00DD1770"/>
    <w:rsid w:val="00DD17AF"/>
    <w:rsid w:val="00DD1D03"/>
    <w:rsid w:val="00DD1FD8"/>
    <w:rsid w:val="00DD203F"/>
    <w:rsid w:val="00DD20D9"/>
    <w:rsid w:val="00DD2C73"/>
    <w:rsid w:val="00DD3272"/>
    <w:rsid w:val="00DD635E"/>
    <w:rsid w:val="00DD687C"/>
    <w:rsid w:val="00DD6E27"/>
    <w:rsid w:val="00DD7130"/>
    <w:rsid w:val="00DE1121"/>
    <w:rsid w:val="00DE1562"/>
    <w:rsid w:val="00DE20A3"/>
    <w:rsid w:val="00DE21DC"/>
    <w:rsid w:val="00DE2C5C"/>
    <w:rsid w:val="00DE36AE"/>
    <w:rsid w:val="00DE383F"/>
    <w:rsid w:val="00DE4AB5"/>
    <w:rsid w:val="00DE551E"/>
    <w:rsid w:val="00DE55B8"/>
    <w:rsid w:val="00DE5AE9"/>
    <w:rsid w:val="00DE5B5F"/>
    <w:rsid w:val="00DE5DB8"/>
    <w:rsid w:val="00DE6304"/>
    <w:rsid w:val="00DE6481"/>
    <w:rsid w:val="00DE65CF"/>
    <w:rsid w:val="00DE73FD"/>
    <w:rsid w:val="00DE7AEA"/>
    <w:rsid w:val="00DF08B5"/>
    <w:rsid w:val="00DF1064"/>
    <w:rsid w:val="00DF1B7A"/>
    <w:rsid w:val="00DF3C2D"/>
    <w:rsid w:val="00DF42B5"/>
    <w:rsid w:val="00DF5608"/>
    <w:rsid w:val="00DF6830"/>
    <w:rsid w:val="00DF6FBA"/>
    <w:rsid w:val="00DF7842"/>
    <w:rsid w:val="00E024D5"/>
    <w:rsid w:val="00E02EDB"/>
    <w:rsid w:val="00E034AF"/>
    <w:rsid w:val="00E03B43"/>
    <w:rsid w:val="00E03D04"/>
    <w:rsid w:val="00E03F3C"/>
    <w:rsid w:val="00E050E9"/>
    <w:rsid w:val="00E05290"/>
    <w:rsid w:val="00E061FE"/>
    <w:rsid w:val="00E10625"/>
    <w:rsid w:val="00E107AE"/>
    <w:rsid w:val="00E11B6B"/>
    <w:rsid w:val="00E11BBB"/>
    <w:rsid w:val="00E120C6"/>
    <w:rsid w:val="00E1239C"/>
    <w:rsid w:val="00E12464"/>
    <w:rsid w:val="00E12769"/>
    <w:rsid w:val="00E13267"/>
    <w:rsid w:val="00E13700"/>
    <w:rsid w:val="00E14866"/>
    <w:rsid w:val="00E14D5F"/>
    <w:rsid w:val="00E15092"/>
    <w:rsid w:val="00E15405"/>
    <w:rsid w:val="00E15607"/>
    <w:rsid w:val="00E15651"/>
    <w:rsid w:val="00E16404"/>
    <w:rsid w:val="00E16A8D"/>
    <w:rsid w:val="00E16AA8"/>
    <w:rsid w:val="00E20091"/>
    <w:rsid w:val="00E2025E"/>
    <w:rsid w:val="00E202DB"/>
    <w:rsid w:val="00E20E02"/>
    <w:rsid w:val="00E215D2"/>
    <w:rsid w:val="00E254A8"/>
    <w:rsid w:val="00E2671B"/>
    <w:rsid w:val="00E26933"/>
    <w:rsid w:val="00E27919"/>
    <w:rsid w:val="00E27D00"/>
    <w:rsid w:val="00E30381"/>
    <w:rsid w:val="00E31327"/>
    <w:rsid w:val="00E318A8"/>
    <w:rsid w:val="00E31FF9"/>
    <w:rsid w:val="00E322F6"/>
    <w:rsid w:val="00E328DE"/>
    <w:rsid w:val="00E34187"/>
    <w:rsid w:val="00E34802"/>
    <w:rsid w:val="00E34D7A"/>
    <w:rsid w:val="00E35502"/>
    <w:rsid w:val="00E37094"/>
    <w:rsid w:val="00E37C7E"/>
    <w:rsid w:val="00E40705"/>
    <w:rsid w:val="00E42183"/>
    <w:rsid w:val="00E43318"/>
    <w:rsid w:val="00E442F3"/>
    <w:rsid w:val="00E44DCD"/>
    <w:rsid w:val="00E45932"/>
    <w:rsid w:val="00E46E01"/>
    <w:rsid w:val="00E47171"/>
    <w:rsid w:val="00E50550"/>
    <w:rsid w:val="00E5117D"/>
    <w:rsid w:val="00E517DC"/>
    <w:rsid w:val="00E5189C"/>
    <w:rsid w:val="00E51D81"/>
    <w:rsid w:val="00E5311E"/>
    <w:rsid w:val="00E53518"/>
    <w:rsid w:val="00E538C2"/>
    <w:rsid w:val="00E56491"/>
    <w:rsid w:val="00E57262"/>
    <w:rsid w:val="00E6040A"/>
    <w:rsid w:val="00E60915"/>
    <w:rsid w:val="00E61BB9"/>
    <w:rsid w:val="00E626A7"/>
    <w:rsid w:val="00E6327F"/>
    <w:rsid w:val="00E6416A"/>
    <w:rsid w:val="00E6539A"/>
    <w:rsid w:val="00E65647"/>
    <w:rsid w:val="00E657BB"/>
    <w:rsid w:val="00E665F0"/>
    <w:rsid w:val="00E66AAF"/>
    <w:rsid w:val="00E674EE"/>
    <w:rsid w:val="00E70355"/>
    <w:rsid w:val="00E70381"/>
    <w:rsid w:val="00E70546"/>
    <w:rsid w:val="00E70A12"/>
    <w:rsid w:val="00E70EDF"/>
    <w:rsid w:val="00E72291"/>
    <w:rsid w:val="00E7297A"/>
    <w:rsid w:val="00E72D9C"/>
    <w:rsid w:val="00E731A0"/>
    <w:rsid w:val="00E74765"/>
    <w:rsid w:val="00E755FD"/>
    <w:rsid w:val="00E75A35"/>
    <w:rsid w:val="00E76952"/>
    <w:rsid w:val="00E76CDB"/>
    <w:rsid w:val="00E77972"/>
    <w:rsid w:val="00E77B20"/>
    <w:rsid w:val="00E80C66"/>
    <w:rsid w:val="00E81875"/>
    <w:rsid w:val="00E819E3"/>
    <w:rsid w:val="00E82E42"/>
    <w:rsid w:val="00E8318D"/>
    <w:rsid w:val="00E83C67"/>
    <w:rsid w:val="00E83EA1"/>
    <w:rsid w:val="00E8417D"/>
    <w:rsid w:val="00E84285"/>
    <w:rsid w:val="00E850E6"/>
    <w:rsid w:val="00E853F7"/>
    <w:rsid w:val="00E865F6"/>
    <w:rsid w:val="00E870E7"/>
    <w:rsid w:val="00E9096D"/>
    <w:rsid w:val="00E90A6D"/>
    <w:rsid w:val="00E90F86"/>
    <w:rsid w:val="00E93638"/>
    <w:rsid w:val="00E940E2"/>
    <w:rsid w:val="00E9488B"/>
    <w:rsid w:val="00E96217"/>
    <w:rsid w:val="00E96DEA"/>
    <w:rsid w:val="00E970F9"/>
    <w:rsid w:val="00E97877"/>
    <w:rsid w:val="00E97AEB"/>
    <w:rsid w:val="00E97CB4"/>
    <w:rsid w:val="00EA05F9"/>
    <w:rsid w:val="00EA0E33"/>
    <w:rsid w:val="00EA0EAF"/>
    <w:rsid w:val="00EA25EE"/>
    <w:rsid w:val="00EA31C8"/>
    <w:rsid w:val="00EA3CA9"/>
    <w:rsid w:val="00EA3E21"/>
    <w:rsid w:val="00EA445C"/>
    <w:rsid w:val="00EA4680"/>
    <w:rsid w:val="00EA5310"/>
    <w:rsid w:val="00EA5318"/>
    <w:rsid w:val="00EA677E"/>
    <w:rsid w:val="00EA6861"/>
    <w:rsid w:val="00EA77B0"/>
    <w:rsid w:val="00EB16CA"/>
    <w:rsid w:val="00EB1A7D"/>
    <w:rsid w:val="00EB20EB"/>
    <w:rsid w:val="00EB33E3"/>
    <w:rsid w:val="00EB37B4"/>
    <w:rsid w:val="00EB5A43"/>
    <w:rsid w:val="00EB5D0B"/>
    <w:rsid w:val="00EB5D59"/>
    <w:rsid w:val="00EB6190"/>
    <w:rsid w:val="00EB640C"/>
    <w:rsid w:val="00EB666C"/>
    <w:rsid w:val="00EB67A2"/>
    <w:rsid w:val="00EB6947"/>
    <w:rsid w:val="00EB6C8B"/>
    <w:rsid w:val="00EC06AD"/>
    <w:rsid w:val="00EC239D"/>
    <w:rsid w:val="00EC409B"/>
    <w:rsid w:val="00EC40E8"/>
    <w:rsid w:val="00EC4820"/>
    <w:rsid w:val="00EC4A82"/>
    <w:rsid w:val="00EC5806"/>
    <w:rsid w:val="00EC61B4"/>
    <w:rsid w:val="00EC63A2"/>
    <w:rsid w:val="00ED0B98"/>
    <w:rsid w:val="00ED1704"/>
    <w:rsid w:val="00ED1AD2"/>
    <w:rsid w:val="00ED23F4"/>
    <w:rsid w:val="00ED27EF"/>
    <w:rsid w:val="00ED286D"/>
    <w:rsid w:val="00ED2ACF"/>
    <w:rsid w:val="00ED2D2B"/>
    <w:rsid w:val="00ED3661"/>
    <w:rsid w:val="00ED44EA"/>
    <w:rsid w:val="00ED4869"/>
    <w:rsid w:val="00ED4C52"/>
    <w:rsid w:val="00ED556E"/>
    <w:rsid w:val="00ED5933"/>
    <w:rsid w:val="00ED69E3"/>
    <w:rsid w:val="00ED6B32"/>
    <w:rsid w:val="00ED7F82"/>
    <w:rsid w:val="00EE0390"/>
    <w:rsid w:val="00EE0B4C"/>
    <w:rsid w:val="00EE0C0A"/>
    <w:rsid w:val="00EE0D97"/>
    <w:rsid w:val="00EE0F27"/>
    <w:rsid w:val="00EE1633"/>
    <w:rsid w:val="00EE166B"/>
    <w:rsid w:val="00EE20AA"/>
    <w:rsid w:val="00EE3201"/>
    <w:rsid w:val="00EE40DD"/>
    <w:rsid w:val="00EE40E4"/>
    <w:rsid w:val="00EE4F7F"/>
    <w:rsid w:val="00EE63E3"/>
    <w:rsid w:val="00EE7FA9"/>
    <w:rsid w:val="00EF0109"/>
    <w:rsid w:val="00EF0254"/>
    <w:rsid w:val="00EF0962"/>
    <w:rsid w:val="00EF0A2E"/>
    <w:rsid w:val="00EF12C1"/>
    <w:rsid w:val="00EF1394"/>
    <w:rsid w:val="00EF2509"/>
    <w:rsid w:val="00EF2EC5"/>
    <w:rsid w:val="00EF2FF1"/>
    <w:rsid w:val="00EF370D"/>
    <w:rsid w:val="00EF3BB8"/>
    <w:rsid w:val="00EF3BF9"/>
    <w:rsid w:val="00EF45CD"/>
    <w:rsid w:val="00EF5BFB"/>
    <w:rsid w:val="00EF676A"/>
    <w:rsid w:val="00EF6E7A"/>
    <w:rsid w:val="00EF726E"/>
    <w:rsid w:val="00EF7644"/>
    <w:rsid w:val="00EF7859"/>
    <w:rsid w:val="00F0083F"/>
    <w:rsid w:val="00F008BF"/>
    <w:rsid w:val="00F016E4"/>
    <w:rsid w:val="00F023F9"/>
    <w:rsid w:val="00F0296C"/>
    <w:rsid w:val="00F02E40"/>
    <w:rsid w:val="00F02F22"/>
    <w:rsid w:val="00F0496B"/>
    <w:rsid w:val="00F04B78"/>
    <w:rsid w:val="00F05089"/>
    <w:rsid w:val="00F058FF"/>
    <w:rsid w:val="00F05EA2"/>
    <w:rsid w:val="00F07927"/>
    <w:rsid w:val="00F10928"/>
    <w:rsid w:val="00F11562"/>
    <w:rsid w:val="00F12AF4"/>
    <w:rsid w:val="00F13BF7"/>
    <w:rsid w:val="00F13F2A"/>
    <w:rsid w:val="00F144BB"/>
    <w:rsid w:val="00F14C54"/>
    <w:rsid w:val="00F14D4E"/>
    <w:rsid w:val="00F15029"/>
    <w:rsid w:val="00F15960"/>
    <w:rsid w:val="00F16438"/>
    <w:rsid w:val="00F1717B"/>
    <w:rsid w:val="00F17ABE"/>
    <w:rsid w:val="00F2007B"/>
    <w:rsid w:val="00F200B4"/>
    <w:rsid w:val="00F2074B"/>
    <w:rsid w:val="00F2096C"/>
    <w:rsid w:val="00F21308"/>
    <w:rsid w:val="00F21FF7"/>
    <w:rsid w:val="00F2258D"/>
    <w:rsid w:val="00F22743"/>
    <w:rsid w:val="00F22E5F"/>
    <w:rsid w:val="00F2370E"/>
    <w:rsid w:val="00F23AD5"/>
    <w:rsid w:val="00F241FF"/>
    <w:rsid w:val="00F26717"/>
    <w:rsid w:val="00F26E45"/>
    <w:rsid w:val="00F319A8"/>
    <w:rsid w:val="00F31B08"/>
    <w:rsid w:val="00F31F36"/>
    <w:rsid w:val="00F3316E"/>
    <w:rsid w:val="00F34FB3"/>
    <w:rsid w:val="00F35FC8"/>
    <w:rsid w:val="00F3610A"/>
    <w:rsid w:val="00F36374"/>
    <w:rsid w:val="00F37734"/>
    <w:rsid w:val="00F37BB8"/>
    <w:rsid w:val="00F407C1"/>
    <w:rsid w:val="00F41BF7"/>
    <w:rsid w:val="00F42476"/>
    <w:rsid w:val="00F42F9A"/>
    <w:rsid w:val="00F43C5F"/>
    <w:rsid w:val="00F451DB"/>
    <w:rsid w:val="00F464FE"/>
    <w:rsid w:val="00F46B5A"/>
    <w:rsid w:val="00F4747D"/>
    <w:rsid w:val="00F4783B"/>
    <w:rsid w:val="00F5075B"/>
    <w:rsid w:val="00F50DC2"/>
    <w:rsid w:val="00F516B0"/>
    <w:rsid w:val="00F51B68"/>
    <w:rsid w:val="00F51F2B"/>
    <w:rsid w:val="00F52A98"/>
    <w:rsid w:val="00F5419B"/>
    <w:rsid w:val="00F54E6F"/>
    <w:rsid w:val="00F5543A"/>
    <w:rsid w:val="00F5588C"/>
    <w:rsid w:val="00F600F0"/>
    <w:rsid w:val="00F606C7"/>
    <w:rsid w:val="00F608DB"/>
    <w:rsid w:val="00F62A16"/>
    <w:rsid w:val="00F634DB"/>
    <w:rsid w:val="00F63FBB"/>
    <w:rsid w:val="00F654F2"/>
    <w:rsid w:val="00F65893"/>
    <w:rsid w:val="00F65A46"/>
    <w:rsid w:val="00F65AD5"/>
    <w:rsid w:val="00F65C51"/>
    <w:rsid w:val="00F66FF3"/>
    <w:rsid w:val="00F70395"/>
    <w:rsid w:val="00F7061A"/>
    <w:rsid w:val="00F70625"/>
    <w:rsid w:val="00F708E6"/>
    <w:rsid w:val="00F70D74"/>
    <w:rsid w:val="00F71C35"/>
    <w:rsid w:val="00F71EBC"/>
    <w:rsid w:val="00F733B8"/>
    <w:rsid w:val="00F73DEB"/>
    <w:rsid w:val="00F74BAF"/>
    <w:rsid w:val="00F76745"/>
    <w:rsid w:val="00F779DD"/>
    <w:rsid w:val="00F77F0B"/>
    <w:rsid w:val="00F805A3"/>
    <w:rsid w:val="00F80A98"/>
    <w:rsid w:val="00F81A61"/>
    <w:rsid w:val="00F8217D"/>
    <w:rsid w:val="00F8264F"/>
    <w:rsid w:val="00F82868"/>
    <w:rsid w:val="00F83315"/>
    <w:rsid w:val="00F84A55"/>
    <w:rsid w:val="00F85191"/>
    <w:rsid w:val="00F87ACB"/>
    <w:rsid w:val="00F90365"/>
    <w:rsid w:val="00F9187B"/>
    <w:rsid w:val="00F94630"/>
    <w:rsid w:val="00F94817"/>
    <w:rsid w:val="00FA0A68"/>
    <w:rsid w:val="00FA0C07"/>
    <w:rsid w:val="00FA1873"/>
    <w:rsid w:val="00FA24B0"/>
    <w:rsid w:val="00FA4323"/>
    <w:rsid w:val="00FA62CB"/>
    <w:rsid w:val="00FA6857"/>
    <w:rsid w:val="00FA6EA1"/>
    <w:rsid w:val="00FA6FE6"/>
    <w:rsid w:val="00FA78E0"/>
    <w:rsid w:val="00FB045D"/>
    <w:rsid w:val="00FB0801"/>
    <w:rsid w:val="00FB0BB1"/>
    <w:rsid w:val="00FB0E3D"/>
    <w:rsid w:val="00FB1853"/>
    <w:rsid w:val="00FB19BE"/>
    <w:rsid w:val="00FB1B83"/>
    <w:rsid w:val="00FB3BCB"/>
    <w:rsid w:val="00FB3F1A"/>
    <w:rsid w:val="00FB614B"/>
    <w:rsid w:val="00FB61AE"/>
    <w:rsid w:val="00FB6BC9"/>
    <w:rsid w:val="00FB6CE1"/>
    <w:rsid w:val="00FB75DC"/>
    <w:rsid w:val="00FC0078"/>
    <w:rsid w:val="00FC0F2C"/>
    <w:rsid w:val="00FC114B"/>
    <w:rsid w:val="00FC26D0"/>
    <w:rsid w:val="00FC3E51"/>
    <w:rsid w:val="00FC4869"/>
    <w:rsid w:val="00FC4A22"/>
    <w:rsid w:val="00FC54EE"/>
    <w:rsid w:val="00FC6600"/>
    <w:rsid w:val="00FD05B6"/>
    <w:rsid w:val="00FD0EC3"/>
    <w:rsid w:val="00FD2C65"/>
    <w:rsid w:val="00FD2D5A"/>
    <w:rsid w:val="00FD417F"/>
    <w:rsid w:val="00FD451D"/>
    <w:rsid w:val="00FD5523"/>
    <w:rsid w:val="00FD5A86"/>
    <w:rsid w:val="00FD79A6"/>
    <w:rsid w:val="00FE05E2"/>
    <w:rsid w:val="00FE0BB4"/>
    <w:rsid w:val="00FE12AD"/>
    <w:rsid w:val="00FE1C5D"/>
    <w:rsid w:val="00FE1DDB"/>
    <w:rsid w:val="00FE2670"/>
    <w:rsid w:val="00FE31BB"/>
    <w:rsid w:val="00FE4248"/>
    <w:rsid w:val="00FE524E"/>
    <w:rsid w:val="00FE6F0D"/>
    <w:rsid w:val="00FF03F2"/>
    <w:rsid w:val="00FF051A"/>
    <w:rsid w:val="00FF34B6"/>
    <w:rsid w:val="00FF34B8"/>
    <w:rsid w:val="00FF3D62"/>
    <w:rsid w:val="00FF3EB0"/>
    <w:rsid w:val="00FF4294"/>
    <w:rsid w:val="00FF4EE3"/>
    <w:rsid w:val="00FF62B9"/>
    <w:rsid w:val="00FF70A0"/>
    <w:rsid w:val="00FF74FD"/>
    <w:rsid w:val="00FF7FAC"/>
    <w:rsid w:val="023304B2"/>
    <w:rsid w:val="028EC278"/>
    <w:rsid w:val="055D591A"/>
    <w:rsid w:val="058263BC"/>
    <w:rsid w:val="05F1DEA4"/>
    <w:rsid w:val="061C284A"/>
    <w:rsid w:val="0774550D"/>
    <w:rsid w:val="08561F47"/>
    <w:rsid w:val="0AAD0237"/>
    <w:rsid w:val="0B3477C3"/>
    <w:rsid w:val="0BBCEA13"/>
    <w:rsid w:val="0D348175"/>
    <w:rsid w:val="0D7DE6A9"/>
    <w:rsid w:val="0ED06651"/>
    <w:rsid w:val="0ED27146"/>
    <w:rsid w:val="1000636D"/>
    <w:rsid w:val="12856520"/>
    <w:rsid w:val="12C7C754"/>
    <w:rsid w:val="1448365D"/>
    <w:rsid w:val="1BCC5903"/>
    <w:rsid w:val="1DA06436"/>
    <w:rsid w:val="21E6C43F"/>
    <w:rsid w:val="279AB319"/>
    <w:rsid w:val="28512330"/>
    <w:rsid w:val="293DC8B3"/>
    <w:rsid w:val="297291C5"/>
    <w:rsid w:val="2CB60576"/>
    <w:rsid w:val="2EBC5644"/>
    <w:rsid w:val="2F67EC15"/>
    <w:rsid w:val="2F748556"/>
    <w:rsid w:val="2FF2AA63"/>
    <w:rsid w:val="3103B4D1"/>
    <w:rsid w:val="31ABE355"/>
    <w:rsid w:val="327FC86A"/>
    <w:rsid w:val="3317C3C5"/>
    <w:rsid w:val="3749332D"/>
    <w:rsid w:val="3C6BA017"/>
    <w:rsid w:val="3C93472E"/>
    <w:rsid w:val="3CA59519"/>
    <w:rsid w:val="3DC0817D"/>
    <w:rsid w:val="3DFBF50D"/>
    <w:rsid w:val="3E072E50"/>
    <w:rsid w:val="403EFEFF"/>
    <w:rsid w:val="41A11D2F"/>
    <w:rsid w:val="42B0339F"/>
    <w:rsid w:val="43896094"/>
    <w:rsid w:val="438AB25C"/>
    <w:rsid w:val="43927861"/>
    <w:rsid w:val="45D0579C"/>
    <w:rsid w:val="45E60D33"/>
    <w:rsid w:val="473639B3"/>
    <w:rsid w:val="47A11349"/>
    <w:rsid w:val="4CAB3254"/>
    <w:rsid w:val="4D0A91A0"/>
    <w:rsid w:val="4D7329EE"/>
    <w:rsid w:val="4DA9F388"/>
    <w:rsid w:val="4E4578F7"/>
    <w:rsid w:val="5071D0AD"/>
    <w:rsid w:val="51F668CC"/>
    <w:rsid w:val="520CAEC5"/>
    <w:rsid w:val="595271FD"/>
    <w:rsid w:val="5C3FC082"/>
    <w:rsid w:val="5FC5323A"/>
    <w:rsid w:val="605F3373"/>
    <w:rsid w:val="64C97F3E"/>
    <w:rsid w:val="6511C51A"/>
    <w:rsid w:val="69D8A2DA"/>
    <w:rsid w:val="71938EA0"/>
    <w:rsid w:val="71A76D85"/>
    <w:rsid w:val="73E455B9"/>
    <w:rsid w:val="748E55D1"/>
    <w:rsid w:val="7584DF1E"/>
    <w:rsid w:val="77A702DA"/>
    <w:rsid w:val="7965FD71"/>
    <w:rsid w:val="7B10A9CD"/>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AF5B0"/>
  <w15:chartTrackingRefBased/>
  <w15:docId w15:val="{341ACCA7-848B-49ED-AAFF-C06BF5BC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unhideWhenUsed/>
    <w:qFormat/>
    <w:rsid w:val="00656C2C"/>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unhideWhenUsed/>
    <w:qFormat/>
    <w:rsid w:val="00827864"/>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pPr>
      <w:spacing w:after="240"/>
    </w:pPr>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FootnoteText">
    <w:name w:val="footnote text"/>
    <w:basedOn w:val="Normal"/>
    <w:link w:val="FootnoteTextChar"/>
    <w:uiPriority w:val="99"/>
    <w:semiHidden/>
    <w:unhideWhenUsed/>
    <w:rsid w:val="00171445"/>
    <w:rPr>
      <w:sz w:val="20"/>
      <w:szCs w:val="20"/>
    </w:rPr>
  </w:style>
  <w:style w:type="character" w:customStyle="1" w:styleId="FootnoteTextChar">
    <w:name w:val="Footnote Text Char"/>
    <w:basedOn w:val="DefaultParagraphFont"/>
    <w:link w:val="FootnoteText"/>
    <w:uiPriority w:val="99"/>
    <w:semiHidden/>
    <w:rsid w:val="00171445"/>
    <w:rPr>
      <w:rFonts w:ascii="Arial" w:eastAsia="Times New Roman" w:hAnsi="Arial"/>
      <w:b/>
      <w:lang w:eastAsia="en-US"/>
    </w:rPr>
  </w:style>
  <w:style w:type="character" w:styleId="FootnoteReference">
    <w:name w:val="footnote reference"/>
    <w:basedOn w:val="DefaultParagraphFont"/>
    <w:uiPriority w:val="99"/>
    <w:semiHidden/>
    <w:unhideWhenUsed/>
    <w:rsid w:val="00171445"/>
    <w:rPr>
      <w:vertAlign w:val="superscript"/>
    </w:rPr>
  </w:style>
  <w:style w:type="character" w:styleId="SubtleReference">
    <w:name w:val="Subtle Reference"/>
    <w:basedOn w:val="DefaultParagraphFont"/>
    <w:uiPriority w:val="31"/>
    <w:qFormat/>
    <w:rsid w:val="00171445"/>
    <w:rPr>
      <w:smallCaps/>
      <w:color w:val="5A5A5A" w:themeColor="text1" w:themeTint="A5"/>
    </w:rPr>
  </w:style>
  <w:style w:type="character" w:styleId="IntenseReference">
    <w:name w:val="Intense Reference"/>
    <w:basedOn w:val="DefaultParagraphFont"/>
    <w:uiPriority w:val="32"/>
    <w:qFormat/>
    <w:rsid w:val="00171445"/>
    <w:rPr>
      <w:b/>
      <w:bCs/>
      <w:smallCaps/>
      <w:color w:val="156082" w:themeColor="accent1"/>
      <w:spacing w:val="5"/>
    </w:rPr>
  </w:style>
  <w:style w:type="paragraph" w:customStyle="1" w:styleId="Bibliography2">
    <w:name w:val="Bibliography2"/>
    <w:basedOn w:val="MainText"/>
    <w:qFormat/>
    <w:rsid w:val="00171445"/>
    <w:pPr>
      <w:ind w:firstLine="0"/>
    </w:pPr>
    <w:rPr>
      <w:sz w:val="18"/>
    </w:rPr>
  </w:style>
  <w:style w:type="paragraph" w:customStyle="1" w:styleId="Bibliography3">
    <w:name w:val="Bibliography3"/>
    <w:basedOn w:val="MainText"/>
    <w:qFormat/>
    <w:rsid w:val="00171445"/>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Times New Roman" w:hAnsi="Arial"/>
      <w:b/>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1004"/>
    <w:rPr>
      <w:bCs/>
    </w:rPr>
  </w:style>
  <w:style w:type="character" w:customStyle="1" w:styleId="CommentSubjectChar">
    <w:name w:val="Comment Subject Char"/>
    <w:basedOn w:val="CommentTextChar"/>
    <w:link w:val="CommentSubject"/>
    <w:uiPriority w:val="99"/>
    <w:semiHidden/>
    <w:rsid w:val="005F1004"/>
    <w:rPr>
      <w:rFonts w:ascii="Arial" w:eastAsia="Times New Roman" w:hAnsi="Arial"/>
      <w:b/>
      <w:bCs/>
      <w:lang w:eastAsia="en-US"/>
    </w:rPr>
  </w:style>
  <w:style w:type="paragraph" w:styleId="Caption">
    <w:name w:val="caption"/>
    <w:basedOn w:val="Normal"/>
    <w:next w:val="Normal"/>
    <w:uiPriority w:val="35"/>
    <w:unhideWhenUsed/>
    <w:qFormat/>
    <w:rsid w:val="00B059FE"/>
    <w:pPr>
      <w:spacing w:after="200"/>
    </w:pPr>
    <w:rPr>
      <w:i/>
      <w:iCs/>
      <w:color w:val="0E2841" w:themeColor="text2"/>
      <w:sz w:val="18"/>
      <w:szCs w:val="18"/>
    </w:rPr>
  </w:style>
  <w:style w:type="paragraph" w:styleId="Revision">
    <w:name w:val="Revision"/>
    <w:hidden/>
    <w:uiPriority w:val="99"/>
    <w:semiHidden/>
    <w:rsid w:val="008025D6"/>
    <w:rPr>
      <w:rFonts w:ascii="Arial" w:eastAsia="Times New Roman" w:hAnsi="Arial"/>
      <w:b/>
      <w:sz w:val="24"/>
      <w:szCs w:val="24"/>
      <w:lang w:eastAsia="en-US"/>
    </w:rPr>
  </w:style>
  <w:style w:type="numbering" w:customStyle="1" w:styleId="CurrentList1">
    <w:name w:val="Current List1"/>
    <w:uiPriority w:val="99"/>
    <w:rsid w:val="00A804BE"/>
    <w:pPr>
      <w:numPr>
        <w:numId w:val="8"/>
      </w:numPr>
    </w:pPr>
  </w:style>
  <w:style w:type="character" w:customStyle="1" w:styleId="Heading3Char">
    <w:name w:val="Heading 3 Char"/>
    <w:basedOn w:val="DefaultParagraphFont"/>
    <w:link w:val="Heading3"/>
    <w:uiPriority w:val="9"/>
    <w:rsid w:val="00827864"/>
    <w:rPr>
      <w:rFonts w:asciiTheme="majorHAnsi" w:eastAsiaTheme="majorEastAsia" w:hAnsiTheme="majorHAnsi" w:cstheme="majorBidi"/>
      <w:b/>
      <w:color w:val="0A2F4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3653">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22087669">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58077475">
      <w:bodyDiv w:val="1"/>
      <w:marLeft w:val="0"/>
      <w:marRight w:val="0"/>
      <w:marTop w:val="0"/>
      <w:marBottom w:val="0"/>
      <w:divBdr>
        <w:top w:val="none" w:sz="0" w:space="0" w:color="auto"/>
        <w:left w:val="none" w:sz="0" w:space="0" w:color="auto"/>
        <w:bottom w:val="none" w:sz="0" w:space="0" w:color="auto"/>
        <w:right w:val="none" w:sz="0" w:space="0" w:color="auto"/>
      </w:divBdr>
    </w:div>
    <w:div w:id="731998918">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906455730">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41001176">
      <w:bodyDiv w:val="1"/>
      <w:marLeft w:val="0"/>
      <w:marRight w:val="0"/>
      <w:marTop w:val="0"/>
      <w:marBottom w:val="0"/>
      <w:divBdr>
        <w:top w:val="none" w:sz="0" w:space="0" w:color="auto"/>
        <w:left w:val="none" w:sz="0" w:space="0" w:color="auto"/>
        <w:bottom w:val="none" w:sz="0" w:space="0" w:color="auto"/>
        <w:right w:val="none" w:sz="0" w:space="0" w:color="auto"/>
      </w:divBdr>
      <w:divsChild>
        <w:div w:id="576482016">
          <w:marLeft w:val="0"/>
          <w:marRight w:val="0"/>
          <w:marTop w:val="0"/>
          <w:marBottom w:val="0"/>
          <w:divBdr>
            <w:top w:val="none" w:sz="0" w:space="0" w:color="auto"/>
            <w:left w:val="none" w:sz="0" w:space="0" w:color="auto"/>
            <w:bottom w:val="none" w:sz="0" w:space="0" w:color="auto"/>
            <w:right w:val="none" w:sz="0" w:space="0" w:color="auto"/>
          </w:divBdr>
        </w:div>
        <w:div w:id="1036854390">
          <w:marLeft w:val="0"/>
          <w:marRight w:val="0"/>
          <w:marTop w:val="0"/>
          <w:marBottom w:val="0"/>
          <w:divBdr>
            <w:top w:val="none" w:sz="0" w:space="0" w:color="auto"/>
            <w:left w:val="none" w:sz="0" w:space="0" w:color="auto"/>
            <w:bottom w:val="none" w:sz="0" w:space="0" w:color="auto"/>
            <w:right w:val="none" w:sz="0" w:space="0" w:color="auto"/>
          </w:divBdr>
        </w:div>
        <w:div w:id="1223904221">
          <w:marLeft w:val="0"/>
          <w:marRight w:val="0"/>
          <w:marTop w:val="0"/>
          <w:marBottom w:val="0"/>
          <w:divBdr>
            <w:top w:val="none" w:sz="0" w:space="0" w:color="auto"/>
            <w:left w:val="none" w:sz="0" w:space="0" w:color="auto"/>
            <w:bottom w:val="none" w:sz="0" w:space="0" w:color="auto"/>
            <w:right w:val="none" w:sz="0" w:space="0" w:color="auto"/>
          </w:divBdr>
        </w:div>
        <w:div w:id="1499493414">
          <w:marLeft w:val="0"/>
          <w:marRight w:val="0"/>
          <w:marTop w:val="0"/>
          <w:marBottom w:val="0"/>
          <w:divBdr>
            <w:top w:val="none" w:sz="0" w:space="0" w:color="auto"/>
            <w:left w:val="none" w:sz="0" w:space="0" w:color="auto"/>
            <w:bottom w:val="none" w:sz="0" w:space="0" w:color="auto"/>
            <w:right w:val="none" w:sz="0" w:space="0" w:color="auto"/>
          </w:divBdr>
        </w:div>
        <w:div w:id="1689871386">
          <w:marLeft w:val="0"/>
          <w:marRight w:val="0"/>
          <w:marTop w:val="0"/>
          <w:marBottom w:val="0"/>
          <w:divBdr>
            <w:top w:val="none" w:sz="0" w:space="0" w:color="auto"/>
            <w:left w:val="none" w:sz="0" w:space="0" w:color="auto"/>
            <w:bottom w:val="none" w:sz="0" w:space="0" w:color="auto"/>
            <w:right w:val="none" w:sz="0" w:space="0" w:color="auto"/>
          </w:divBdr>
        </w:div>
        <w:div w:id="1923224669">
          <w:marLeft w:val="0"/>
          <w:marRight w:val="0"/>
          <w:marTop w:val="0"/>
          <w:marBottom w:val="0"/>
          <w:divBdr>
            <w:top w:val="none" w:sz="0" w:space="0" w:color="auto"/>
            <w:left w:val="none" w:sz="0" w:space="0" w:color="auto"/>
            <w:bottom w:val="none" w:sz="0" w:space="0" w:color="auto"/>
            <w:right w:val="none" w:sz="0" w:space="0" w:color="auto"/>
          </w:divBdr>
        </w:div>
        <w:div w:id="2022538395">
          <w:marLeft w:val="0"/>
          <w:marRight w:val="0"/>
          <w:marTop w:val="0"/>
          <w:marBottom w:val="0"/>
          <w:divBdr>
            <w:top w:val="none" w:sz="0" w:space="0" w:color="auto"/>
            <w:left w:val="none" w:sz="0" w:space="0" w:color="auto"/>
            <w:bottom w:val="none" w:sz="0" w:space="0" w:color="auto"/>
            <w:right w:val="none" w:sz="0" w:space="0" w:color="auto"/>
          </w:divBdr>
        </w:div>
        <w:div w:id="2098165789">
          <w:marLeft w:val="0"/>
          <w:marRight w:val="0"/>
          <w:marTop w:val="0"/>
          <w:marBottom w:val="0"/>
          <w:divBdr>
            <w:top w:val="none" w:sz="0" w:space="0" w:color="auto"/>
            <w:left w:val="none" w:sz="0" w:space="0" w:color="auto"/>
            <w:bottom w:val="none" w:sz="0" w:space="0" w:color="auto"/>
            <w:right w:val="none" w:sz="0" w:space="0" w:color="auto"/>
          </w:divBdr>
        </w:div>
      </w:divsChild>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30724591">
      <w:bodyDiv w:val="1"/>
      <w:marLeft w:val="0"/>
      <w:marRight w:val="0"/>
      <w:marTop w:val="0"/>
      <w:marBottom w:val="0"/>
      <w:divBdr>
        <w:top w:val="none" w:sz="0" w:space="0" w:color="auto"/>
        <w:left w:val="none" w:sz="0" w:space="0" w:color="auto"/>
        <w:bottom w:val="none" w:sz="0" w:space="0" w:color="auto"/>
        <w:right w:val="none" w:sz="0" w:space="0" w:color="auto"/>
      </w:divBdr>
    </w:div>
    <w:div w:id="1599603344">
      <w:bodyDiv w:val="1"/>
      <w:marLeft w:val="0"/>
      <w:marRight w:val="0"/>
      <w:marTop w:val="0"/>
      <w:marBottom w:val="0"/>
      <w:divBdr>
        <w:top w:val="none" w:sz="0" w:space="0" w:color="auto"/>
        <w:left w:val="none" w:sz="0" w:space="0" w:color="auto"/>
        <w:bottom w:val="none" w:sz="0" w:space="0" w:color="auto"/>
        <w:right w:val="none" w:sz="0" w:space="0" w:color="auto"/>
      </w:divBdr>
    </w:div>
    <w:div w:id="1729186612">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52916740">
      <w:bodyDiv w:val="1"/>
      <w:marLeft w:val="0"/>
      <w:marRight w:val="0"/>
      <w:marTop w:val="0"/>
      <w:marBottom w:val="0"/>
      <w:divBdr>
        <w:top w:val="none" w:sz="0" w:space="0" w:color="auto"/>
        <w:left w:val="none" w:sz="0" w:space="0" w:color="auto"/>
        <w:bottom w:val="none" w:sz="0" w:space="0" w:color="auto"/>
        <w:right w:val="none" w:sz="0" w:space="0" w:color="auto"/>
      </w:divBdr>
    </w:div>
    <w:div w:id="1856338108">
      <w:bodyDiv w:val="1"/>
      <w:marLeft w:val="0"/>
      <w:marRight w:val="0"/>
      <w:marTop w:val="0"/>
      <w:marBottom w:val="0"/>
      <w:divBdr>
        <w:top w:val="none" w:sz="0" w:space="0" w:color="auto"/>
        <w:left w:val="none" w:sz="0" w:space="0" w:color="auto"/>
        <w:bottom w:val="none" w:sz="0" w:space="0" w:color="auto"/>
        <w:right w:val="none" w:sz="0" w:space="0" w:color="auto"/>
      </w:divBdr>
      <w:divsChild>
        <w:div w:id="1690063110">
          <w:marLeft w:val="0"/>
          <w:marRight w:val="0"/>
          <w:marTop w:val="0"/>
          <w:marBottom w:val="0"/>
          <w:divBdr>
            <w:top w:val="none" w:sz="0" w:space="0" w:color="auto"/>
            <w:left w:val="none" w:sz="0" w:space="0" w:color="auto"/>
            <w:bottom w:val="none" w:sz="0" w:space="0" w:color="auto"/>
            <w:right w:val="none" w:sz="0" w:space="0" w:color="auto"/>
          </w:divBdr>
          <w:divsChild>
            <w:div w:id="6397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36925931">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0260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5446</Words>
  <Characters>34360</Characters>
  <Application>Microsoft Office Word</Application>
  <DocSecurity>0</DocSecurity>
  <Lines>920</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Dalach</dc:creator>
  <cp:keywords/>
  <dc:description/>
  <cp:lastModifiedBy>Agata Dalach</cp:lastModifiedBy>
  <cp:revision>4</cp:revision>
  <cp:lastPrinted>2025-04-03T11:03:00Z</cp:lastPrinted>
  <dcterms:created xsi:type="dcterms:W3CDTF">2025-05-12T13:07:00Z</dcterms:created>
  <dcterms:modified xsi:type="dcterms:W3CDTF">2025-05-13T13:27:00Z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34de600199b242655b445f3dd70ae695a2075db4bbc4962ceee000ae1b271150</vt:lpwstr>
  </property>
  <property fmtid="{D5CDD505-2E9C-101B-9397-08002B2CF9AE}" pid="3" name="ZOTERO_PREF_1">
    <vt:lpwstr>&lt;data data-version="3" zotero-version="7.0.11"&gt;&lt;session id="7rDMiO5Q"/&gt;&lt;style id="http://www.zotero.org/styles/harvard-cite-them-right" hasBibliography="1" bibliographyStyleHasBeenSet="1"/&gt;&lt;prefs&gt;&lt;pref name="fieldType" value="Field"/&gt;&lt;/prefs&gt;&lt;/data&gt;</vt:lpwstr>
  </property>
</Properties>
</file>