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35341ACA" w:rsidR="005076E1" w:rsidRPr="00641693" w:rsidRDefault="76F9B7A7" w:rsidP="006E77D5">
      <w:pPr>
        <w:spacing w:after="40" w:line="240" w:lineRule="auto"/>
        <w:jc w:val="center"/>
      </w:pPr>
      <w:r w:rsidRPr="00641693">
        <w:rPr>
          <w:rFonts w:ascii="Calibri" w:eastAsia="Calibri" w:hAnsi="Calibri" w:cs="Calibri"/>
          <w:b/>
          <w:bCs/>
          <w:sz w:val="28"/>
          <w:szCs w:val="28"/>
        </w:rPr>
        <w:t>A Unified Web-Based Digital Twin Platform for Integrating Fragmented Public</w:t>
      </w:r>
      <w:r w:rsidR="002B0005" w:rsidRPr="00641693">
        <w:rPr>
          <w:rFonts w:ascii="Calibri" w:eastAsia="Calibri" w:hAnsi="Calibri" w:cs="Calibri"/>
          <w:b/>
          <w:bCs/>
          <w:sz w:val="28"/>
          <w:szCs w:val="28"/>
        </w:rPr>
        <w:t xml:space="preserve"> </w:t>
      </w:r>
      <w:r w:rsidRPr="00641693">
        <w:rPr>
          <w:rFonts w:ascii="Calibri" w:eastAsia="Calibri" w:hAnsi="Calibri" w:cs="Calibri"/>
          <w:b/>
          <w:bCs/>
          <w:sz w:val="28"/>
          <w:szCs w:val="28"/>
        </w:rPr>
        <w:t>Sector Data</w:t>
      </w:r>
      <w:r w:rsidR="00B4738F" w:rsidRPr="00641693">
        <w:rPr>
          <w:rFonts w:ascii="Calibri" w:eastAsia="Calibri" w:hAnsi="Calibri" w:cs="Calibri"/>
          <w:b/>
          <w:bCs/>
          <w:sz w:val="28"/>
          <w:szCs w:val="28"/>
        </w:rPr>
        <w:t xml:space="preserve">: </w:t>
      </w:r>
      <w:r w:rsidR="04BE8E6D" w:rsidRPr="00641693">
        <w:rPr>
          <w:rFonts w:ascii="Calibri" w:eastAsia="Calibri" w:hAnsi="Calibri" w:cs="Calibri"/>
          <w:b/>
          <w:bCs/>
          <w:sz w:val="28"/>
          <w:szCs w:val="28"/>
        </w:rPr>
        <w:t>A Brussels Prototype</w:t>
      </w:r>
    </w:p>
    <w:p w14:paraId="35EBE3A0" w14:textId="4B670FB9" w:rsidR="262773A2" w:rsidRPr="0051692A" w:rsidRDefault="262773A2" w:rsidP="29B3D6C5">
      <w:pPr>
        <w:spacing w:after="40"/>
        <w:jc w:val="center"/>
        <w:rPr>
          <w:rFonts w:ascii="Calibri" w:eastAsia="Calibri" w:hAnsi="Calibri" w:cs="Calibri"/>
          <w:sz w:val="24"/>
          <w:szCs w:val="24"/>
          <w:lang w:val="en-US"/>
        </w:rPr>
      </w:pPr>
      <w:r w:rsidRPr="0051692A">
        <w:rPr>
          <w:rFonts w:ascii="Calibri" w:eastAsia="Calibri" w:hAnsi="Calibri" w:cs="Calibri"/>
          <w:sz w:val="24"/>
          <w:szCs w:val="24"/>
          <w:lang w:val="en-US"/>
        </w:rPr>
        <w:t xml:space="preserve">Susheel Nath </w:t>
      </w:r>
      <w:r w:rsidRPr="0051692A">
        <w:rPr>
          <w:rFonts w:ascii="Calibri" w:eastAsia="Calibri" w:hAnsi="Calibri" w:cs="Calibri"/>
          <w:sz w:val="24"/>
          <w:szCs w:val="24"/>
          <w:vertAlign w:val="superscript"/>
          <w:lang w:val="en-US"/>
        </w:rPr>
        <w:t>1*</w:t>
      </w:r>
      <w:r w:rsidRPr="0051692A">
        <w:rPr>
          <w:rFonts w:ascii="Calibri" w:eastAsia="Calibri" w:hAnsi="Calibri" w:cs="Calibri"/>
          <w:sz w:val="24"/>
          <w:szCs w:val="24"/>
          <w:lang w:val="en-US"/>
        </w:rPr>
        <w:t xml:space="preserve">, Grégory Lewkowicz </w:t>
      </w:r>
      <w:r w:rsidR="47DE37F7" w:rsidRPr="0051692A">
        <w:rPr>
          <w:rFonts w:ascii="Calibri" w:eastAsia="Calibri" w:hAnsi="Calibri" w:cs="Calibri"/>
          <w:sz w:val="24"/>
          <w:szCs w:val="24"/>
          <w:vertAlign w:val="superscript"/>
          <w:lang w:val="en-US"/>
        </w:rPr>
        <w:t>2</w:t>
      </w:r>
    </w:p>
    <w:p w14:paraId="6866D0E8" w14:textId="1F487B93" w:rsidR="262773A2" w:rsidRPr="0051692A" w:rsidRDefault="262773A2" w:rsidP="362E6977">
      <w:pPr>
        <w:spacing w:after="40"/>
        <w:jc w:val="center"/>
        <w:rPr>
          <w:rFonts w:ascii="Calibri" w:eastAsia="Calibri" w:hAnsi="Calibri" w:cs="Calibri"/>
          <w:lang w:val="en-US"/>
        </w:rPr>
      </w:pPr>
      <w:r w:rsidRPr="0051692A">
        <w:rPr>
          <w:rFonts w:ascii="Calibri" w:eastAsia="Calibri" w:hAnsi="Calibri" w:cs="Calibri"/>
          <w:vertAlign w:val="superscript"/>
          <w:lang w:val="en-US"/>
        </w:rPr>
        <w:t xml:space="preserve"> </w:t>
      </w:r>
    </w:p>
    <w:p w14:paraId="00917851" w14:textId="12261BDE" w:rsidR="262773A2" w:rsidRPr="0051692A" w:rsidRDefault="47898EAF" w:rsidP="5A047695">
      <w:pPr>
        <w:spacing w:after="40"/>
        <w:jc w:val="both"/>
        <w:rPr>
          <w:lang w:val="en-US"/>
        </w:rPr>
      </w:pPr>
      <w:r w:rsidRPr="0051692A">
        <w:rPr>
          <w:rFonts w:ascii="Calibri" w:eastAsia="Calibri" w:hAnsi="Calibri" w:cs="Calibri"/>
          <w:vertAlign w:val="superscript"/>
          <w:lang w:val="en-US"/>
        </w:rPr>
        <w:t>1</w:t>
      </w:r>
      <w:r w:rsidR="262773A2" w:rsidRPr="0051692A">
        <w:rPr>
          <w:rFonts w:ascii="Calibri" w:eastAsia="Calibri" w:hAnsi="Calibri" w:cs="Calibri"/>
          <w:vertAlign w:val="superscript"/>
          <w:lang w:val="en-US"/>
        </w:rPr>
        <w:t xml:space="preserve"> </w:t>
      </w:r>
      <w:r w:rsidR="006A14C0" w:rsidRPr="0051692A">
        <w:rPr>
          <w:rFonts w:ascii="Calibri" w:eastAsia="Calibri" w:hAnsi="Calibri" w:cs="Calibri"/>
          <w:lang w:val="en-US"/>
        </w:rPr>
        <w:t>FARI – AI for the Co</w:t>
      </w:r>
      <w:r w:rsidR="0051692A">
        <w:rPr>
          <w:rFonts w:ascii="Calibri" w:eastAsia="Calibri" w:hAnsi="Calibri" w:cs="Calibri"/>
          <w:lang w:val="en-US"/>
        </w:rPr>
        <w:t>m</w:t>
      </w:r>
      <w:r w:rsidR="006A14C0" w:rsidRPr="0051692A">
        <w:rPr>
          <w:rFonts w:ascii="Calibri" w:eastAsia="Calibri" w:hAnsi="Calibri" w:cs="Calibri"/>
          <w:lang w:val="en-US"/>
        </w:rPr>
        <w:t>mon Good Institute, V</w:t>
      </w:r>
      <w:r w:rsidR="262773A2" w:rsidRPr="0051692A">
        <w:rPr>
          <w:rFonts w:ascii="Calibri" w:eastAsia="Calibri" w:hAnsi="Calibri" w:cs="Calibri"/>
          <w:lang w:val="en-US"/>
        </w:rPr>
        <w:t>rije Universiteit Brussel, Brussels, Belgium</w:t>
      </w:r>
    </w:p>
    <w:p w14:paraId="1325AA15" w14:textId="07ECCA35" w:rsidR="262773A2" w:rsidRPr="0051692A" w:rsidRDefault="20DBAA12" w:rsidP="5A047695">
      <w:pPr>
        <w:spacing w:after="40"/>
        <w:jc w:val="both"/>
        <w:rPr>
          <w:lang w:val="en-US"/>
        </w:rPr>
      </w:pPr>
      <w:r w:rsidRPr="0051692A">
        <w:rPr>
          <w:rFonts w:ascii="Calibri" w:eastAsia="Calibri" w:hAnsi="Calibri" w:cs="Calibri"/>
          <w:vertAlign w:val="superscript"/>
          <w:lang w:val="en-US"/>
        </w:rPr>
        <w:t>2</w:t>
      </w:r>
      <w:r w:rsidR="262773A2" w:rsidRPr="0051692A">
        <w:rPr>
          <w:rFonts w:ascii="Calibri" w:eastAsia="Calibri" w:hAnsi="Calibri" w:cs="Calibri"/>
          <w:vertAlign w:val="superscript"/>
          <w:lang w:val="en-US"/>
        </w:rPr>
        <w:t xml:space="preserve"> </w:t>
      </w:r>
      <w:r w:rsidR="006A14C0" w:rsidRPr="0051692A">
        <w:rPr>
          <w:rFonts w:ascii="Calibri" w:eastAsia="Calibri" w:hAnsi="Calibri" w:cs="Calibri"/>
          <w:lang w:val="en-US"/>
        </w:rPr>
        <w:t>FARI – AI for the Common Good Institute, U</w:t>
      </w:r>
      <w:r w:rsidR="262773A2" w:rsidRPr="0051692A">
        <w:rPr>
          <w:rFonts w:ascii="Calibri" w:eastAsia="Calibri" w:hAnsi="Calibri" w:cs="Calibri"/>
          <w:lang w:val="en-US"/>
        </w:rPr>
        <w:t>niversité Libre de Bruxelles, Brussels, Belgium</w:t>
      </w:r>
    </w:p>
    <w:p w14:paraId="6999E430" w14:textId="5ECFCDC3" w:rsidR="5A047695" w:rsidRPr="0051692A" w:rsidRDefault="5A047695" w:rsidP="5A047695">
      <w:pPr>
        <w:pStyle w:val="Author"/>
        <w:spacing w:after="40"/>
        <w:rPr>
          <w:rFonts w:ascii="Calibri" w:hAnsi="Calibri" w:cs="Calibri"/>
          <w:sz w:val="22"/>
          <w:szCs w:val="22"/>
          <w:lang w:val="en-US"/>
        </w:rPr>
      </w:pPr>
    </w:p>
    <w:p w14:paraId="7E57E21F" w14:textId="06661579" w:rsidR="6C6BD600" w:rsidRPr="00641693" w:rsidRDefault="262773A2" w:rsidP="506E7064">
      <w:pPr>
        <w:spacing w:after="40"/>
        <w:jc w:val="both"/>
      </w:pPr>
      <w:r w:rsidRPr="00641693">
        <w:rPr>
          <w:rFonts w:ascii="Calibri" w:eastAsia="Calibri" w:hAnsi="Calibri" w:cs="Calibri"/>
          <w:i/>
          <w:iCs/>
          <w:vertAlign w:val="superscript"/>
        </w:rPr>
        <w:t>*</w:t>
      </w:r>
      <w:r w:rsidRPr="00641693">
        <w:rPr>
          <w:rFonts w:ascii="Calibri" w:eastAsia="Calibri" w:hAnsi="Calibri" w:cs="Calibri"/>
          <w:i/>
          <w:iCs/>
        </w:rPr>
        <w:t xml:space="preserve">Corresponding email: </w:t>
      </w:r>
      <w:hyperlink r:id="rId8">
        <w:r w:rsidRPr="00641693">
          <w:rPr>
            <w:rStyle w:val="Hyperlink"/>
            <w:i/>
            <w:iCs/>
          </w:rPr>
          <w:t>susheel.nath@</w:t>
        </w:r>
        <w:r w:rsidR="1031A5FE" w:rsidRPr="00641693">
          <w:rPr>
            <w:rStyle w:val="Hyperlink"/>
            <w:i/>
            <w:iCs/>
          </w:rPr>
          <w:t>vub.be</w:t>
        </w:r>
      </w:hyperlink>
    </w:p>
    <w:p w14:paraId="6330E787" w14:textId="77777777" w:rsidR="005076E1" w:rsidRPr="00641693" w:rsidRDefault="005076E1" w:rsidP="006E77D5">
      <w:pPr>
        <w:spacing w:after="40" w:line="240" w:lineRule="auto"/>
        <w:rPr>
          <w:rFonts w:ascii="Calibri" w:hAnsi="Calibri" w:cs="Calibri"/>
        </w:rPr>
      </w:pPr>
    </w:p>
    <w:p w14:paraId="662F0B45" w14:textId="48880475" w:rsidR="005076E1" w:rsidRPr="00641693" w:rsidRDefault="005076E1" w:rsidP="006E77D5">
      <w:pPr>
        <w:spacing w:after="40" w:line="240" w:lineRule="auto"/>
        <w:ind w:left="1134" w:right="1088"/>
        <w:rPr>
          <w:rFonts w:ascii="Calibri" w:hAnsi="Calibri" w:cs="Calibri"/>
          <w:b/>
          <w:color w:val="EE0000"/>
          <w:sz w:val="28"/>
          <w:szCs w:val="28"/>
        </w:rPr>
      </w:pPr>
      <w:r w:rsidRPr="00641693">
        <w:rPr>
          <w:rFonts w:ascii="Calibri" w:hAnsi="Calibri" w:cs="Calibri"/>
          <w:b/>
          <w:bCs/>
          <w:sz w:val="28"/>
          <w:szCs w:val="28"/>
        </w:rPr>
        <w:t>ABSTRACT</w:t>
      </w:r>
    </w:p>
    <w:p w14:paraId="373C2AF3" w14:textId="7F40F7D6" w:rsidR="00994F69" w:rsidRPr="00641693" w:rsidRDefault="002F19FF" w:rsidP="00994F69">
      <w:pPr>
        <w:spacing w:after="40" w:line="240" w:lineRule="auto"/>
        <w:ind w:left="1440" w:right="1088"/>
        <w:jc w:val="both"/>
        <w:rPr>
          <w:rFonts w:eastAsiaTheme="minorEastAsia" w:cs="Calibri"/>
        </w:rPr>
      </w:pPr>
      <w:r w:rsidRPr="00641693">
        <w:rPr>
          <w:rFonts w:eastAsiaTheme="minorEastAsia" w:cs="Calibri"/>
        </w:rPr>
        <w:t xml:space="preserve">Digital twins are increasingly adopted across public and private sectors as tools for representing, monitoring, and analysing physical and urban systems. Recent European smart-city initiatives have used digital twins to support data-driven urban planning and sustainable city management. However, </w:t>
      </w:r>
      <w:r w:rsidR="0051692A">
        <w:rPr>
          <w:rFonts w:eastAsiaTheme="minorEastAsia" w:cs="Calibri"/>
        </w:rPr>
        <w:t>m</w:t>
      </w:r>
      <w:proofErr w:type="spellStart"/>
      <w:r w:rsidR="006A14C0" w:rsidRPr="006A14C0">
        <w:rPr>
          <w:rFonts w:eastAsiaTheme="minorEastAsia" w:cs="Calibri"/>
          <w:lang w:val="en-US"/>
        </w:rPr>
        <w:t>ost</w:t>
      </w:r>
      <w:proofErr w:type="spellEnd"/>
      <w:r w:rsidR="006A14C0" w:rsidRPr="006A14C0">
        <w:rPr>
          <w:rFonts w:eastAsiaTheme="minorEastAsia" w:cs="Calibri"/>
          <w:lang w:val="en-US"/>
        </w:rPr>
        <w:t xml:space="preserve"> operational urban digital twins remain organi</w:t>
      </w:r>
      <w:r w:rsidR="0010377B">
        <w:rPr>
          <w:rFonts w:eastAsiaTheme="minorEastAsia" w:cs="Calibri"/>
          <w:lang w:val="en-US"/>
        </w:rPr>
        <w:t>z</w:t>
      </w:r>
      <w:r w:rsidR="006A14C0" w:rsidRPr="006A14C0">
        <w:rPr>
          <w:rFonts w:eastAsiaTheme="minorEastAsia" w:cs="Calibri"/>
          <w:lang w:val="en-US"/>
        </w:rPr>
        <w:t xml:space="preserve">ed by sector (mobility, energy, infrastructure), whereas public-sector policy questions cut across sectors and rely on datasets that are dispersed across institutions, formats, update frequencies and spatial scales. This paper asks whether such fragmented public-sector data can be integrated and explored within a single browser-based digital twin environment </w:t>
      </w:r>
      <w:r w:rsidR="00994F69" w:rsidRPr="006A14C0">
        <w:rPr>
          <w:rFonts w:eastAsiaTheme="minorEastAsia" w:cs="Calibri"/>
          <w:lang w:val="en-US"/>
        </w:rPr>
        <w:t>organized</w:t>
      </w:r>
      <w:r w:rsidR="006A14C0" w:rsidRPr="006A14C0">
        <w:rPr>
          <w:rFonts w:eastAsiaTheme="minorEastAsia" w:cs="Calibri"/>
          <w:lang w:val="en-US"/>
        </w:rPr>
        <w:t xml:space="preserve"> around policy questions rather than sectors. </w:t>
      </w:r>
      <w:r w:rsidR="006A14C0">
        <w:rPr>
          <w:rFonts w:eastAsiaTheme="minorEastAsia" w:cs="Calibri"/>
        </w:rPr>
        <w:t>Following a design-science approach, we derive six recurring adoption challenges from the literature</w:t>
      </w:r>
      <w:r w:rsidR="00E76E70">
        <w:rPr>
          <w:rFonts w:eastAsiaTheme="minorEastAsia" w:cs="Calibri"/>
        </w:rPr>
        <w:t xml:space="preserve">, </w:t>
      </w:r>
      <w:r w:rsidR="006A14C0">
        <w:rPr>
          <w:rFonts w:eastAsiaTheme="minorEastAsia" w:cs="Calibri"/>
        </w:rPr>
        <w:t>translate them into design requirements, and propose a unified web-based platform built on a four-level spatial structure (region and municipality, neighbourhood, infrastructure and assets, building). The approach is demonstrated through a Brussels prototype that integrates open administrative, demographic, socio-economic, housing, environmental and real-time mobility data from eleven institutional sources within one interface.</w:t>
      </w:r>
      <w:r w:rsidR="00994F69">
        <w:rPr>
          <w:rFonts w:eastAsiaTheme="minorEastAsia" w:cs="Calibri"/>
        </w:rPr>
        <w:t xml:space="preserve"> </w:t>
      </w:r>
      <w:r w:rsidR="00994F69" w:rsidRPr="00994F69">
        <w:rPr>
          <w:rFonts w:eastAsiaTheme="minorEastAsia" w:cs="Calibri"/>
        </w:rPr>
        <w:t>The demonstration supports the feasibility of the integration approach and illustrates how fragmented public-sector datasets can be brought together into an integrated spatial evidence environment for urban governance.</w:t>
      </w:r>
    </w:p>
    <w:p w14:paraId="548EC102" w14:textId="648CBD3A" w:rsidR="002F19FF" w:rsidRPr="00641693" w:rsidRDefault="002F19FF" w:rsidP="0051692A">
      <w:pPr>
        <w:spacing w:after="40" w:line="240" w:lineRule="auto"/>
        <w:ind w:right="1088"/>
        <w:jc w:val="both"/>
        <w:rPr>
          <w:rFonts w:eastAsiaTheme="minorEastAsia" w:cs="Calibri"/>
        </w:rPr>
      </w:pPr>
    </w:p>
    <w:p w14:paraId="0FA09092" w14:textId="79652579" w:rsidR="70D3872A" w:rsidRPr="00641693" w:rsidRDefault="4D632CB8" w:rsidP="5C87CBD0">
      <w:pPr>
        <w:spacing w:after="20"/>
        <w:ind w:left="1440" w:right="1088"/>
        <w:jc w:val="both"/>
        <w:rPr>
          <w:rFonts w:ascii="Calibri" w:hAnsi="Calibri" w:cs="Calibri"/>
        </w:rPr>
      </w:pPr>
      <w:r w:rsidRPr="00641693">
        <w:rPr>
          <w:rFonts w:eastAsiaTheme="minorEastAsia"/>
        </w:rPr>
        <w:t xml:space="preserve">Keywords: </w:t>
      </w:r>
      <w:r w:rsidR="0090248E" w:rsidRPr="00641693">
        <w:rPr>
          <w:rFonts w:eastAsiaTheme="minorEastAsia"/>
        </w:rPr>
        <w:t>D</w:t>
      </w:r>
      <w:r w:rsidRPr="00641693">
        <w:rPr>
          <w:rFonts w:eastAsiaTheme="minorEastAsia"/>
        </w:rPr>
        <w:t xml:space="preserve">igital </w:t>
      </w:r>
      <w:r w:rsidR="00672842" w:rsidRPr="00641693">
        <w:rPr>
          <w:rFonts w:eastAsiaTheme="minorEastAsia"/>
        </w:rPr>
        <w:t>T</w:t>
      </w:r>
      <w:r w:rsidRPr="00641693">
        <w:rPr>
          <w:rFonts w:eastAsiaTheme="minorEastAsia"/>
        </w:rPr>
        <w:t xml:space="preserve">win; </w:t>
      </w:r>
      <w:r w:rsidR="00672842" w:rsidRPr="00641693">
        <w:rPr>
          <w:rFonts w:eastAsiaTheme="minorEastAsia"/>
        </w:rPr>
        <w:t>P</w:t>
      </w:r>
      <w:r w:rsidRPr="00641693">
        <w:rPr>
          <w:rFonts w:eastAsiaTheme="minorEastAsia"/>
        </w:rPr>
        <w:t>ublic</w:t>
      </w:r>
      <w:r w:rsidR="00672842" w:rsidRPr="00641693">
        <w:rPr>
          <w:rFonts w:eastAsiaTheme="minorEastAsia"/>
        </w:rPr>
        <w:t xml:space="preserve"> S</w:t>
      </w:r>
      <w:r w:rsidRPr="00641693">
        <w:rPr>
          <w:rFonts w:eastAsiaTheme="minorEastAsia"/>
        </w:rPr>
        <w:t xml:space="preserve">ector </w:t>
      </w:r>
      <w:r w:rsidR="00672842" w:rsidRPr="00641693">
        <w:rPr>
          <w:rFonts w:eastAsiaTheme="minorEastAsia"/>
        </w:rPr>
        <w:t>D</w:t>
      </w:r>
      <w:r w:rsidRPr="00641693">
        <w:rPr>
          <w:rFonts w:eastAsiaTheme="minorEastAsia"/>
        </w:rPr>
        <w:t xml:space="preserve">ata; </w:t>
      </w:r>
      <w:r w:rsidR="00672842" w:rsidRPr="00641693">
        <w:rPr>
          <w:rFonts w:eastAsiaTheme="minorEastAsia"/>
        </w:rPr>
        <w:t>O</w:t>
      </w:r>
      <w:r w:rsidRPr="00641693">
        <w:rPr>
          <w:rFonts w:eastAsiaTheme="minorEastAsia"/>
        </w:rPr>
        <w:t xml:space="preserve">pen </w:t>
      </w:r>
      <w:r w:rsidR="00672842" w:rsidRPr="00641693">
        <w:rPr>
          <w:rFonts w:eastAsiaTheme="minorEastAsia"/>
        </w:rPr>
        <w:t>D</w:t>
      </w:r>
      <w:r w:rsidRPr="00641693">
        <w:rPr>
          <w:rFonts w:eastAsiaTheme="minorEastAsia"/>
        </w:rPr>
        <w:t xml:space="preserve">ata; </w:t>
      </w:r>
      <w:r w:rsidR="0002302C" w:rsidRPr="00641693">
        <w:rPr>
          <w:rFonts w:eastAsiaTheme="minorEastAsia"/>
        </w:rPr>
        <w:t>U</w:t>
      </w:r>
      <w:r w:rsidRPr="00641693">
        <w:rPr>
          <w:rFonts w:eastAsiaTheme="minorEastAsia"/>
        </w:rPr>
        <w:t xml:space="preserve">rban </w:t>
      </w:r>
      <w:r w:rsidR="0002302C" w:rsidRPr="00641693">
        <w:rPr>
          <w:rFonts w:eastAsiaTheme="minorEastAsia"/>
        </w:rPr>
        <w:t>G</w:t>
      </w:r>
      <w:r w:rsidRPr="00641693">
        <w:rPr>
          <w:rFonts w:eastAsiaTheme="minorEastAsia"/>
        </w:rPr>
        <w:t>overnance;</w:t>
      </w:r>
      <w:r w:rsidR="0002302C" w:rsidRPr="00641693">
        <w:rPr>
          <w:rFonts w:eastAsiaTheme="minorEastAsia"/>
        </w:rPr>
        <w:t xml:space="preserve"> W</w:t>
      </w:r>
      <w:r w:rsidRPr="00641693">
        <w:rPr>
          <w:rFonts w:eastAsiaTheme="minorEastAsia"/>
        </w:rPr>
        <w:t>eb</w:t>
      </w:r>
      <w:r w:rsidR="0002302C" w:rsidRPr="00641693">
        <w:rPr>
          <w:rFonts w:eastAsiaTheme="minorEastAsia"/>
        </w:rPr>
        <w:t>-B</w:t>
      </w:r>
      <w:r w:rsidRPr="00641693">
        <w:rPr>
          <w:rFonts w:eastAsiaTheme="minorEastAsia"/>
        </w:rPr>
        <w:t xml:space="preserve">ased </w:t>
      </w:r>
      <w:r w:rsidR="00372E61" w:rsidRPr="00641693">
        <w:rPr>
          <w:rFonts w:eastAsiaTheme="minorEastAsia"/>
        </w:rPr>
        <w:t>P</w:t>
      </w:r>
      <w:r w:rsidRPr="00641693">
        <w:rPr>
          <w:rFonts w:eastAsiaTheme="minorEastAsia"/>
        </w:rPr>
        <w:t>latform</w:t>
      </w:r>
    </w:p>
    <w:p w14:paraId="242D180E" w14:textId="0AD6F88D" w:rsidR="005076E1" w:rsidRPr="00641693" w:rsidRDefault="005076E1" w:rsidP="7C5A11F5">
      <w:pPr>
        <w:spacing w:after="40" w:line="240" w:lineRule="auto"/>
        <w:ind w:left="1440" w:right="1088"/>
        <w:jc w:val="both"/>
        <w:rPr>
          <w:rFonts w:ascii="Aptos" w:eastAsia="Aptos" w:hAnsi="Aptos" w:cs="Aptos"/>
          <w:b/>
          <w:lang w:val="en-US"/>
        </w:rPr>
      </w:pPr>
    </w:p>
    <w:p w14:paraId="0DE69D59" w14:textId="77777777" w:rsidR="0014196B" w:rsidRPr="00641693" w:rsidRDefault="005076E1" w:rsidP="005A0646">
      <w:pPr>
        <w:pStyle w:val="ListParagraph"/>
        <w:numPr>
          <w:ilvl w:val="0"/>
          <w:numId w:val="4"/>
        </w:numPr>
        <w:spacing w:after="40" w:line="240" w:lineRule="auto"/>
        <w:rPr>
          <w:rFonts w:ascii="Calibri" w:hAnsi="Calibri" w:cs="Calibri"/>
        </w:rPr>
      </w:pPr>
      <w:r w:rsidRPr="00641693">
        <w:rPr>
          <w:rFonts w:ascii="Calibri" w:hAnsi="Calibri" w:cs="Calibri"/>
          <w:b/>
          <w:bCs/>
          <w:sz w:val="28"/>
          <w:szCs w:val="28"/>
        </w:rPr>
        <w:t xml:space="preserve">INTRODUCTION </w:t>
      </w:r>
    </w:p>
    <w:p w14:paraId="6B6FEAD5" w14:textId="48E6170B" w:rsidR="0014196B" w:rsidRPr="00641693" w:rsidRDefault="0014196B" w:rsidP="78F6E8E1">
      <w:pPr>
        <w:spacing w:after="40" w:line="240" w:lineRule="auto"/>
        <w:jc w:val="both"/>
        <w:rPr>
          <w:rFonts w:ascii="Calibri" w:hAnsi="Calibri" w:cs="Calibri"/>
        </w:rPr>
      </w:pPr>
      <w:r w:rsidRPr="00641693">
        <w:rPr>
          <w:rFonts w:ascii="Calibri" w:hAnsi="Calibri" w:cs="Calibri"/>
        </w:rPr>
        <w:t xml:space="preserve">  </w:t>
      </w:r>
      <w:r w:rsidR="00D712AC" w:rsidRPr="00641693">
        <w:rPr>
          <w:rFonts w:ascii="Calibri" w:hAnsi="Calibri" w:cs="Calibri"/>
        </w:rPr>
        <w:t xml:space="preserve"> </w:t>
      </w:r>
      <w:r w:rsidRPr="00641693">
        <w:rPr>
          <w:rFonts w:ascii="Calibri" w:hAnsi="Calibri" w:cs="Calibri"/>
        </w:rPr>
        <w:t xml:space="preserve">  </w:t>
      </w:r>
      <w:r w:rsidR="004C2DE6" w:rsidRPr="00641693">
        <w:rPr>
          <w:rFonts w:ascii="Calibri" w:hAnsi="Calibri" w:cs="Calibri"/>
        </w:rPr>
        <w:t xml:space="preserve">     </w:t>
      </w:r>
      <w:r w:rsidRPr="00641693">
        <w:rPr>
          <w:rFonts w:ascii="Calibri" w:hAnsi="Calibri" w:cs="Calibri"/>
        </w:rPr>
        <w:t xml:space="preserve"> </w:t>
      </w:r>
      <w:r w:rsidR="00D712AC" w:rsidRPr="00641693">
        <w:rPr>
          <w:rFonts w:ascii="Calibri" w:hAnsi="Calibri" w:cs="Calibri"/>
        </w:rPr>
        <w:t xml:space="preserve"> </w:t>
      </w:r>
      <w:r w:rsidRPr="00641693">
        <w:rPr>
          <w:rFonts w:ascii="Calibri" w:hAnsi="Calibri" w:cs="Calibri"/>
        </w:rPr>
        <w:t xml:space="preserve">     </w:t>
      </w:r>
      <w:r w:rsidR="0063543D" w:rsidRPr="00641693">
        <w:rPr>
          <w:rFonts w:ascii="Calibri" w:hAnsi="Calibri" w:cs="Calibri"/>
        </w:rPr>
        <w:t xml:space="preserve">Public information silos remain a persistent challenge in government, with data fragmented across agencies, systems, and formats, constraining data sharing, integration, and reuse (Curtis and Edward, 2019; Hassan et al., 2020; Valli </w:t>
      </w:r>
      <w:proofErr w:type="spellStart"/>
      <w:r w:rsidR="0063543D" w:rsidRPr="00641693">
        <w:rPr>
          <w:rFonts w:ascii="Calibri" w:hAnsi="Calibri" w:cs="Calibri"/>
        </w:rPr>
        <w:t>Buttow</w:t>
      </w:r>
      <w:proofErr w:type="spellEnd"/>
      <w:r w:rsidR="0063543D" w:rsidRPr="00641693">
        <w:rPr>
          <w:rFonts w:ascii="Calibri" w:hAnsi="Calibri" w:cs="Calibri"/>
        </w:rPr>
        <w:t xml:space="preserve"> and Weerts, 2024). These silos can hinder interoperability and make it more difficult to coordinate public services, collaborate across agencies, and support evidence-informed decision-making (Curtis and Edward, 2019; Hassan et al., 2020). Digital twins, broadly understood as virtual representations of physical entities, environments, or systems, have increasingly been explored as mechanisms for integrating heterogeneous data. In public-sector </w:t>
      </w:r>
      <w:r w:rsidR="0063543D" w:rsidRPr="00641693">
        <w:rPr>
          <w:rFonts w:ascii="Calibri" w:hAnsi="Calibri" w:cs="Calibri"/>
        </w:rPr>
        <w:lastRenderedPageBreak/>
        <w:t>contexts, they have the potential to address some of these limitations by combining real-time and contextual data from multiple sources, supporting cross</w:t>
      </w:r>
      <w:r w:rsidR="006A704D">
        <w:rPr>
          <w:rFonts w:ascii="Calibri" w:hAnsi="Calibri" w:cs="Calibri"/>
        </w:rPr>
        <w:t xml:space="preserve"> </w:t>
      </w:r>
      <w:r w:rsidR="0063543D" w:rsidRPr="00641693">
        <w:rPr>
          <w:rFonts w:ascii="Calibri" w:hAnsi="Calibri" w:cs="Calibri"/>
        </w:rPr>
        <w:t xml:space="preserve">domain analysis and, where suitable models are available, simulation, and providing a shared information environment for coordination across departments and agencies </w:t>
      </w:r>
      <w:r w:rsidR="002F19FF" w:rsidRPr="00641693">
        <w:rPr>
          <w:rFonts w:ascii="Calibri" w:hAnsi="Calibri" w:cs="Calibri"/>
        </w:rPr>
        <w:t xml:space="preserve">(Coenen et al., 2025; </w:t>
      </w:r>
      <w:r w:rsidR="0063543D" w:rsidRPr="00641693">
        <w:rPr>
          <w:rFonts w:ascii="Calibri" w:hAnsi="Calibri" w:cs="Calibri"/>
        </w:rPr>
        <w:t xml:space="preserve">Richter </w:t>
      </w:r>
      <w:r w:rsidR="002F19FF" w:rsidRPr="00641693">
        <w:rPr>
          <w:rFonts w:ascii="Calibri" w:hAnsi="Calibri" w:cs="Calibri"/>
        </w:rPr>
        <w:t>et al., 2025).</w:t>
      </w:r>
    </w:p>
    <w:p w14:paraId="74954E45" w14:textId="1BBAE1AA" w:rsidR="00A52CCD" w:rsidRPr="00641693" w:rsidRDefault="00274FA3" w:rsidP="0014196B">
      <w:pPr>
        <w:spacing w:after="40" w:line="240" w:lineRule="auto"/>
        <w:rPr>
          <w:rFonts w:ascii="Calibri" w:hAnsi="Calibri" w:cs="Calibri"/>
        </w:rPr>
      </w:pPr>
      <w:r w:rsidRPr="00641693">
        <w:rPr>
          <w:rFonts w:ascii="Calibri" w:hAnsi="Calibri" w:cs="Calibri"/>
        </w:rPr>
        <w:t xml:space="preserve"> </w:t>
      </w:r>
    </w:p>
    <w:p w14:paraId="45D43593" w14:textId="5DB72DFE" w:rsidR="00901665" w:rsidRPr="00641693" w:rsidRDefault="0014196B" w:rsidP="00901665">
      <w:pPr>
        <w:rPr>
          <w:rFonts w:ascii="Calibri" w:hAnsi="Calibri" w:cs="Calibri"/>
          <w:b/>
          <w:bCs/>
          <w:sz w:val="24"/>
          <w:szCs w:val="24"/>
        </w:rPr>
      </w:pPr>
      <w:r w:rsidRPr="00641693">
        <w:rPr>
          <w:rFonts w:ascii="Calibri" w:hAnsi="Calibri" w:cs="Calibri"/>
          <w:b/>
          <w:bCs/>
          <w:sz w:val="24"/>
          <w:szCs w:val="24"/>
        </w:rPr>
        <w:t xml:space="preserve">       </w:t>
      </w:r>
      <w:r w:rsidR="00901665" w:rsidRPr="00641693">
        <w:rPr>
          <w:rFonts w:ascii="Calibri" w:hAnsi="Calibri" w:cs="Calibri"/>
          <w:b/>
          <w:bCs/>
          <w:sz w:val="24"/>
          <w:szCs w:val="24"/>
        </w:rPr>
        <w:t>1.1 Public Sector Digital Twin</w:t>
      </w:r>
      <w:r w:rsidR="008844BC">
        <w:rPr>
          <w:rFonts w:ascii="Calibri" w:hAnsi="Calibri" w:cs="Calibri"/>
          <w:b/>
          <w:bCs/>
          <w:sz w:val="24"/>
          <w:szCs w:val="24"/>
        </w:rPr>
        <w:t>s</w:t>
      </w:r>
      <w:r w:rsidR="00901665" w:rsidRPr="00641693">
        <w:rPr>
          <w:rFonts w:ascii="Calibri" w:hAnsi="Calibri" w:cs="Calibri"/>
          <w:b/>
          <w:bCs/>
          <w:sz w:val="24"/>
          <w:szCs w:val="24"/>
        </w:rPr>
        <w:t xml:space="preserve"> Use</w:t>
      </w:r>
    </w:p>
    <w:p w14:paraId="69B3C7CF" w14:textId="7DDC85E5" w:rsidR="002F19FF" w:rsidRPr="00641693" w:rsidRDefault="0014196B" w:rsidP="04D4BE28">
      <w:pPr>
        <w:jc w:val="both"/>
      </w:pPr>
      <w:r w:rsidRPr="00641693">
        <w:rPr>
          <w:rFonts w:ascii="Calibri" w:hAnsi="Calibri" w:cs="Calibri"/>
        </w:rPr>
        <w:t xml:space="preserve">   </w:t>
      </w:r>
      <w:r w:rsidR="004C2DE6" w:rsidRPr="00641693">
        <w:rPr>
          <w:rFonts w:ascii="Calibri" w:hAnsi="Calibri" w:cs="Calibri"/>
        </w:rPr>
        <w:t xml:space="preserve">     </w:t>
      </w:r>
      <w:r w:rsidRPr="00641693">
        <w:rPr>
          <w:rFonts w:ascii="Calibri" w:hAnsi="Calibri" w:cs="Calibri"/>
        </w:rPr>
        <w:t xml:space="preserve">     </w:t>
      </w:r>
      <w:r w:rsidR="00D712AC" w:rsidRPr="00641693">
        <w:rPr>
          <w:rFonts w:ascii="Calibri" w:hAnsi="Calibri" w:cs="Calibri"/>
        </w:rPr>
        <w:t xml:space="preserve">   </w:t>
      </w:r>
      <w:r w:rsidR="00994C63" w:rsidRPr="00994C63">
        <w:rPr>
          <w:rFonts w:ascii="Calibri" w:hAnsi="Calibri" w:cs="Calibri"/>
        </w:rPr>
        <w:t xml:space="preserve">The term “digital twin” covers a spectrum of maturity, from static 3D city models and data dashboards to bidirectionally coupled, simulation-capable systems (Ketzler et al., 2020; </w:t>
      </w:r>
      <w:proofErr w:type="spellStart"/>
      <w:r w:rsidR="00994C63" w:rsidRPr="00994C63">
        <w:rPr>
          <w:rFonts w:ascii="Calibri" w:hAnsi="Calibri" w:cs="Calibri"/>
        </w:rPr>
        <w:t>Shahat</w:t>
      </w:r>
      <w:proofErr w:type="spellEnd"/>
      <w:r w:rsidR="00994C63" w:rsidRPr="00994C63">
        <w:rPr>
          <w:rFonts w:ascii="Calibri" w:hAnsi="Calibri" w:cs="Calibri"/>
        </w:rPr>
        <w:t xml:space="preserve"> et al., 2021)</w:t>
      </w:r>
      <w:r w:rsidR="00BA7139">
        <w:rPr>
          <w:rStyle w:val="FootnoteReference"/>
          <w:rFonts w:ascii="Calibri" w:hAnsi="Calibri" w:cs="Calibri"/>
        </w:rPr>
        <w:footnoteReference w:id="1"/>
      </w:r>
      <w:r w:rsidR="00994C63" w:rsidRPr="00994C63">
        <w:rPr>
          <w:rFonts w:ascii="Calibri" w:hAnsi="Calibri" w:cs="Calibri"/>
        </w:rPr>
        <w:t>. Several public-sector programmes illustrate this spectrum.</w:t>
      </w:r>
      <w:r w:rsidRPr="00641693">
        <w:rPr>
          <w:rFonts w:ascii="Calibri" w:hAnsi="Calibri" w:cs="Calibri"/>
        </w:rPr>
        <w:t xml:space="preserve"> </w:t>
      </w:r>
      <w:r w:rsidR="008B0D77" w:rsidRPr="00641693">
        <w:rPr>
          <w:rFonts w:ascii="Calibri" w:hAnsi="Calibri" w:cs="Calibri"/>
        </w:rPr>
        <w:t>In the United Kingdom, national digital twin initiatives have emphasised secure data sharing, interoperability, and information management to support infrastructure planning and management (GOV.UK, 2021</w:t>
      </w:r>
      <w:r w:rsidR="002C6133">
        <w:rPr>
          <w:rFonts w:ascii="Calibri" w:hAnsi="Calibri" w:cs="Calibri"/>
        </w:rPr>
        <w:t>)</w:t>
      </w:r>
      <w:r w:rsidR="008B0D77" w:rsidRPr="00641693">
        <w:rPr>
          <w:rFonts w:ascii="Calibri" w:hAnsi="Calibri" w:cs="Calibri"/>
        </w:rPr>
        <w:t xml:space="preserve">. </w:t>
      </w:r>
      <w:r w:rsidR="00FF549A" w:rsidRPr="00FF549A">
        <w:rPr>
          <w:rFonts w:ascii="Calibri" w:hAnsi="Calibri" w:cs="Calibri"/>
        </w:rPr>
        <w:t>This responds to the fragment</w:t>
      </w:r>
      <w:r w:rsidR="00FF549A">
        <w:rPr>
          <w:rFonts w:ascii="Calibri" w:hAnsi="Calibri" w:cs="Calibri"/>
        </w:rPr>
        <w:t xml:space="preserve">ation of </w:t>
      </w:r>
      <w:r w:rsidR="00FF549A" w:rsidRPr="00FF549A">
        <w:rPr>
          <w:rFonts w:ascii="Calibri" w:hAnsi="Calibri" w:cs="Calibri"/>
        </w:rPr>
        <w:t>transport, energy, buildings, utilities, and other infrastructure</w:t>
      </w:r>
      <w:r w:rsidR="00FF549A">
        <w:rPr>
          <w:rFonts w:ascii="Calibri" w:hAnsi="Calibri" w:cs="Calibri"/>
        </w:rPr>
        <w:t xml:space="preserve"> data, which</w:t>
      </w:r>
      <w:r w:rsidR="00FF549A" w:rsidRPr="00FF549A">
        <w:rPr>
          <w:rFonts w:ascii="Calibri" w:hAnsi="Calibri" w:cs="Calibri"/>
        </w:rPr>
        <w:t xml:space="preserve"> is often managed by separate organisations</w:t>
      </w:r>
      <w:r w:rsidR="002C6133">
        <w:rPr>
          <w:rFonts w:ascii="Calibri" w:hAnsi="Calibri" w:cs="Calibri"/>
        </w:rPr>
        <w:t xml:space="preserve"> </w:t>
      </w:r>
      <w:r w:rsidR="002C6133" w:rsidRPr="00641693">
        <w:rPr>
          <w:rFonts w:ascii="Calibri" w:hAnsi="Calibri" w:cs="Calibri"/>
        </w:rPr>
        <w:t>(GOV.UK, 2024)</w:t>
      </w:r>
      <w:r w:rsidR="00FF549A" w:rsidRPr="00FF549A">
        <w:rPr>
          <w:rFonts w:ascii="Calibri" w:hAnsi="Calibri" w:cs="Calibri"/>
        </w:rPr>
        <w:t>.</w:t>
      </w:r>
      <w:r w:rsidR="002C6133">
        <w:rPr>
          <w:rFonts w:ascii="Calibri" w:hAnsi="Calibri" w:cs="Calibri"/>
        </w:rPr>
        <w:t xml:space="preserve"> </w:t>
      </w:r>
      <w:r w:rsidR="008B0D77" w:rsidRPr="00641693">
        <w:rPr>
          <w:rFonts w:ascii="Calibri" w:hAnsi="Calibri" w:cs="Calibri"/>
        </w:rPr>
        <w:t>Singapore’s Virtual Singapore initiative, as shown in Figure 1, further illustrates the integration of IoT data, 3D city modelling, and simulation for urban planning and management (</w:t>
      </w:r>
      <w:proofErr w:type="spellStart"/>
      <w:r w:rsidR="008B0D77" w:rsidRPr="00641693">
        <w:rPr>
          <w:rFonts w:ascii="Calibri" w:hAnsi="Calibri" w:cs="Calibri"/>
        </w:rPr>
        <w:t>GovTech</w:t>
      </w:r>
      <w:proofErr w:type="spellEnd"/>
      <w:r w:rsidR="008B0D77" w:rsidRPr="00641693">
        <w:rPr>
          <w:rFonts w:ascii="Calibri" w:hAnsi="Calibri" w:cs="Calibri"/>
        </w:rPr>
        <w:t xml:space="preserve"> Singapore, 2017).</w:t>
      </w:r>
      <w:r w:rsidR="002C6133">
        <w:rPr>
          <w:rFonts w:ascii="Calibri" w:hAnsi="Calibri" w:cs="Calibri"/>
        </w:rPr>
        <w:t xml:space="preserve"> T</w:t>
      </w:r>
      <w:r w:rsidR="002C6133" w:rsidRPr="002C6133">
        <w:rPr>
          <w:rFonts w:ascii="Calibri" w:hAnsi="Calibri" w:cs="Calibri"/>
        </w:rPr>
        <w:t xml:space="preserve">he </w:t>
      </w:r>
      <w:r w:rsidR="002C6133">
        <w:rPr>
          <w:rFonts w:ascii="Calibri" w:hAnsi="Calibri" w:cs="Calibri"/>
        </w:rPr>
        <w:t>digital twin</w:t>
      </w:r>
      <w:r w:rsidR="002C6133" w:rsidRPr="002C6133">
        <w:rPr>
          <w:rFonts w:ascii="Calibri" w:hAnsi="Calibri" w:cs="Calibri"/>
        </w:rPr>
        <w:t xml:space="preserve"> enables planners</w:t>
      </w:r>
      <w:r w:rsidR="002C6133">
        <w:rPr>
          <w:rFonts w:ascii="Calibri" w:hAnsi="Calibri" w:cs="Calibri"/>
        </w:rPr>
        <w:t xml:space="preserve"> </w:t>
      </w:r>
      <w:r w:rsidR="002C6133" w:rsidRPr="002C6133">
        <w:rPr>
          <w:rFonts w:ascii="Calibri" w:hAnsi="Calibri" w:cs="Calibri"/>
        </w:rPr>
        <w:t>to examine existing urban conditions and explore how proposed changes or future scenarios may affect the city before interventions are implemented</w:t>
      </w:r>
      <w:r w:rsidR="002C6133">
        <w:rPr>
          <w:rFonts w:ascii="Calibri" w:hAnsi="Calibri" w:cs="Calibri"/>
        </w:rPr>
        <w:t xml:space="preserve"> </w:t>
      </w:r>
      <w:r w:rsidR="002C6133" w:rsidRPr="00641693">
        <w:rPr>
          <w:rFonts w:ascii="Calibri" w:hAnsi="Calibri" w:cs="Calibri"/>
        </w:rPr>
        <w:t>(</w:t>
      </w:r>
      <w:proofErr w:type="spellStart"/>
      <w:r w:rsidR="002C6133" w:rsidRPr="00641693">
        <w:rPr>
          <w:rFonts w:ascii="Calibri" w:hAnsi="Calibri" w:cs="Calibri"/>
        </w:rPr>
        <w:t>GovTech</w:t>
      </w:r>
      <w:proofErr w:type="spellEnd"/>
      <w:r w:rsidR="002C6133" w:rsidRPr="00641693">
        <w:rPr>
          <w:rFonts w:ascii="Calibri" w:hAnsi="Calibri" w:cs="Calibri"/>
        </w:rPr>
        <w:t xml:space="preserve"> Singapore, 2017</w:t>
      </w:r>
      <w:r w:rsidR="002C6133">
        <w:rPr>
          <w:rFonts w:ascii="Calibri" w:hAnsi="Calibri" w:cs="Calibri"/>
        </w:rPr>
        <w:t>)</w:t>
      </w:r>
      <w:r w:rsidR="002C6133" w:rsidRPr="002C6133">
        <w:rPr>
          <w:rFonts w:ascii="Calibri" w:hAnsi="Calibri" w:cs="Calibri"/>
        </w:rPr>
        <w:t>.</w:t>
      </w:r>
      <w:r w:rsidR="008B0D77" w:rsidRPr="00641693">
        <w:rPr>
          <w:rFonts w:ascii="Calibri" w:hAnsi="Calibri" w:cs="Calibri"/>
        </w:rPr>
        <w:t xml:space="preserve"> At the European level, initiatives including Living-in.EU, the European Data Space for Smart Communities, and the EU Local Digital Twin Toolbox have supported the development of interoperable data spaces, local digital twins, and scalable digital tools for urban planning, governance, and public</w:t>
      </w:r>
      <w:r w:rsidR="006A704D">
        <w:rPr>
          <w:rFonts w:ascii="Calibri" w:hAnsi="Calibri" w:cs="Calibri"/>
        </w:rPr>
        <w:t xml:space="preserve"> </w:t>
      </w:r>
      <w:r w:rsidR="008B0D77" w:rsidRPr="00641693">
        <w:rPr>
          <w:rFonts w:ascii="Calibri" w:hAnsi="Calibri" w:cs="Calibri"/>
        </w:rPr>
        <w:t>service delivery (European Commission, 2025; Living-in.EU, 2026).</w:t>
      </w:r>
      <w:r w:rsidR="006A704D" w:rsidRPr="006A704D">
        <w:rPr>
          <w:rFonts w:ascii="Calibri" w:hAnsi="Calibri" w:cs="Calibri"/>
        </w:rPr>
        <w:t xml:space="preserve"> </w:t>
      </w:r>
      <w:r w:rsidR="00460900" w:rsidRPr="00460900">
        <w:rPr>
          <w:rFonts w:ascii="Calibri" w:hAnsi="Calibri" w:cs="Calibri"/>
        </w:rPr>
        <w:t>The DUET project provides an earlier European example of this direction, proposing a framework for developing interoperable and trusted digital twins for smart cities by integrating heterogeneous urban data and supporting evidence-based exploration of policy interventions (Raes et al., 2022).</w:t>
      </w:r>
      <w:r w:rsidR="00460900">
        <w:rPr>
          <w:rFonts w:ascii="Calibri" w:hAnsi="Calibri" w:cs="Calibri"/>
        </w:rPr>
        <w:t xml:space="preserve"> </w:t>
      </w:r>
      <w:r w:rsidR="006A704D" w:rsidRPr="00641693">
        <w:rPr>
          <w:rFonts w:ascii="Calibri" w:hAnsi="Calibri" w:cs="Calibri"/>
        </w:rPr>
        <w:t>Alongside these government-led initiatives, recent studies indicate that digital twins are increasingly being applied across urban visualisation, risk management, energy systems, urban mobility, and public decision support (Bawany &amp; Zainab, 2025; Do et al., 2026).</w:t>
      </w:r>
      <w:r w:rsidR="00D943EF">
        <w:rPr>
          <w:rFonts w:ascii="Calibri" w:hAnsi="Calibri" w:cs="Calibri"/>
        </w:rPr>
        <w:t xml:space="preserve"> </w:t>
      </w:r>
    </w:p>
    <w:p w14:paraId="25D61E29" w14:textId="3B8A4F2E" w:rsidR="6947A760" w:rsidRPr="00641693" w:rsidRDefault="1A6594F7" w:rsidP="6947A760">
      <w:pPr>
        <w:jc w:val="center"/>
      </w:pPr>
      <w:r w:rsidRPr="00641693">
        <w:rPr>
          <w:noProof/>
        </w:rPr>
        <w:drawing>
          <wp:inline distT="0" distB="0" distL="0" distR="0" wp14:anchorId="6216AFD7" wp14:editId="0BADBAF9">
            <wp:extent cx="3259309" cy="1654059"/>
            <wp:effectExtent l="0" t="0" r="5080" b="0"/>
            <wp:docPr id="17486164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616402" name="Picture 1748616402"/>
                    <pic:cNvPicPr/>
                  </pic:nvPicPr>
                  <pic:blipFill>
                    <a:blip r:embed="rId9">
                      <a:extLst>
                        <a:ext uri="{28A0092B-C50C-407E-A947-70E740481C1C}">
                          <a14:useLocalDpi xmlns:a14="http://schemas.microsoft.com/office/drawing/2010/main"/>
                        </a:ext>
                      </a:extLst>
                    </a:blip>
                    <a:stretch>
                      <a:fillRect/>
                    </a:stretch>
                  </pic:blipFill>
                  <pic:spPr>
                    <a:xfrm>
                      <a:off x="0" y="0"/>
                      <a:ext cx="3259660" cy="1654237"/>
                    </a:xfrm>
                    <a:prstGeom prst="rect">
                      <a:avLst/>
                    </a:prstGeom>
                  </pic:spPr>
                </pic:pic>
              </a:graphicData>
            </a:graphic>
          </wp:inline>
        </w:drawing>
      </w:r>
    </w:p>
    <w:p w14:paraId="3D551CBE" w14:textId="55131C4D" w:rsidR="04D4BE28" w:rsidRPr="00641693" w:rsidRDefault="7CD4B566" w:rsidP="04D4BE28">
      <w:pPr>
        <w:jc w:val="center"/>
      </w:pPr>
      <w:r w:rsidRPr="00641693">
        <w:rPr>
          <w:rFonts w:ascii="Calibri" w:hAnsi="Calibri" w:cs="Calibri"/>
          <w:i/>
          <w:iCs/>
          <w:sz w:val="20"/>
          <w:szCs w:val="20"/>
        </w:rPr>
        <w:t xml:space="preserve">Figure 1: Demo visualization of neighbourhood buildings </w:t>
      </w:r>
      <w:r w:rsidR="00265B41" w:rsidRPr="00641693">
        <w:rPr>
          <w:rFonts w:ascii="Calibri" w:hAnsi="Calibri" w:cs="Calibri"/>
          <w:i/>
          <w:iCs/>
          <w:sz w:val="20"/>
          <w:szCs w:val="20"/>
        </w:rPr>
        <w:t>(</w:t>
      </w:r>
      <w:proofErr w:type="spellStart"/>
      <w:r w:rsidR="00265B41" w:rsidRPr="00641693">
        <w:rPr>
          <w:rFonts w:ascii="Calibri" w:hAnsi="Calibri" w:cs="Calibri"/>
          <w:i/>
          <w:iCs/>
          <w:sz w:val="20"/>
          <w:szCs w:val="20"/>
        </w:rPr>
        <w:t>GovTech</w:t>
      </w:r>
      <w:proofErr w:type="spellEnd"/>
      <w:r w:rsidR="00265B41" w:rsidRPr="00641693">
        <w:rPr>
          <w:rFonts w:ascii="Calibri" w:hAnsi="Calibri" w:cs="Calibri"/>
          <w:i/>
          <w:iCs/>
          <w:sz w:val="20"/>
          <w:szCs w:val="20"/>
        </w:rPr>
        <w:t xml:space="preserve"> Singapore, 2017)</w:t>
      </w:r>
    </w:p>
    <w:p w14:paraId="7C53CB73" w14:textId="10098FBD" w:rsidR="002C6133" w:rsidRPr="00641693" w:rsidRDefault="004C2DE6" w:rsidP="009A05FE">
      <w:pPr>
        <w:jc w:val="both"/>
        <w:rPr>
          <w:rFonts w:ascii="Calibri" w:hAnsi="Calibri" w:cs="Calibri"/>
        </w:rPr>
      </w:pPr>
      <w:r w:rsidRPr="00641693">
        <w:rPr>
          <w:rFonts w:ascii="Calibri" w:hAnsi="Calibri" w:cs="Calibri"/>
        </w:rPr>
        <w:t xml:space="preserve">      </w:t>
      </w:r>
      <w:r w:rsidR="00D712AC" w:rsidRPr="00641693">
        <w:rPr>
          <w:rFonts w:ascii="Calibri" w:hAnsi="Calibri" w:cs="Calibri"/>
        </w:rPr>
        <w:t xml:space="preserve">   </w:t>
      </w:r>
      <w:r w:rsidRPr="00641693">
        <w:rPr>
          <w:rFonts w:ascii="Calibri" w:hAnsi="Calibri" w:cs="Calibri"/>
        </w:rPr>
        <w:t xml:space="preserve">     </w:t>
      </w:r>
      <w:r w:rsidR="002C6133" w:rsidRPr="002C6133">
        <w:rPr>
          <w:rFonts w:ascii="Calibri" w:hAnsi="Calibri" w:cs="Calibri"/>
        </w:rPr>
        <w:t xml:space="preserve">These </w:t>
      </w:r>
      <w:r w:rsidR="002C6133">
        <w:rPr>
          <w:rFonts w:ascii="Calibri" w:hAnsi="Calibri" w:cs="Calibri"/>
        </w:rPr>
        <w:t>examples</w:t>
      </w:r>
      <w:r w:rsidR="002C6133" w:rsidRPr="002C6133">
        <w:rPr>
          <w:rFonts w:ascii="Calibri" w:hAnsi="Calibri" w:cs="Calibri"/>
        </w:rPr>
        <w:t xml:space="preserve"> provide important foundations for policy-</w:t>
      </w:r>
      <w:r w:rsidR="002C6133">
        <w:rPr>
          <w:rFonts w:ascii="Calibri" w:hAnsi="Calibri" w:cs="Calibri"/>
        </w:rPr>
        <w:t>based</w:t>
      </w:r>
      <w:r w:rsidR="002C6133" w:rsidRPr="002C6133">
        <w:rPr>
          <w:rFonts w:ascii="Calibri" w:hAnsi="Calibri" w:cs="Calibri"/>
        </w:rPr>
        <w:t xml:space="preserve"> digital twins. Virtual Singapore demonstrates how urban information can be integrated and explored within a shared digital environment, while the UK approach demonstrates how information from different systems and organisations can be connected through interoperability. </w:t>
      </w:r>
      <w:r w:rsidR="007A4353" w:rsidRPr="007A4353">
        <w:rPr>
          <w:rFonts w:ascii="Calibri" w:hAnsi="Calibri" w:cs="Calibri"/>
        </w:rPr>
        <w:t xml:space="preserve">Nevertheless, most of these initiatives are organised around a sector (transport, energy, infrastructure) or around the built environment as an </w:t>
      </w:r>
      <w:r w:rsidR="007A4353" w:rsidRPr="007A4353">
        <w:rPr>
          <w:rFonts w:ascii="Calibri" w:hAnsi="Calibri" w:cs="Calibri"/>
        </w:rPr>
        <w:lastRenderedPageBreak/>
        <w:t>object</w:t>
      </w:r>
      <w:r w:rsidR="007A4353">
        <w:rPr>
          <w:rFonts w:ascii="Calibri" w:hAnsi="Calibri" w:cs="Calibri"/>
        </w:rPr>
        <w:t>.</w:t>
      </w:r>
      <w:r w:rsidR="007A4353" w:rsidRPr="007A4353">
        <w:rPr>
          <w:rFonts w:ascii="Calibri" w:hAnsi="Calibri" w:cs="Calibri"/>
        </w:rPr>
        <w:t xml:space="preserve"> </w:t>
      </w:r>
      <w:r w:rsidR="007A4353">
        <w:rPr>
          <w:rFonts w:ascii="Calibri" w:hAnsi="Calibri" w:cs="Calibri"/>
        </w:rPr>
        <w:t>E</w:t>
      </w:r>
      <w:r w:rsidR="007A4353" w:rsidRPr="007A4353">
        <w:rPr>
          <w:rFonts w:ascii="Calibri" w:hAnsi="Calibri" w:cs="Calibri"/>
        </w:rPr>
        <w:t>ven cross-domain frameworks such as the LDT Toolbox are structured by sectoral simulation models and data layers, leaving the policy question to be composed by the user. Public administrations, by contrast, must answer questions that typically span several sectors and several levels of government.</w:t>
      </w:r>
      <w:r w:rsidR="007A4353" w:rsidRPr="007A4353" w:rsidDel="007A4353">
        <w:rPr>
          <w:rFonts w:ascii="Calibri" w:hAnsi="Calibri" w:cs="Calibri"/>
        </w:rPr>
        <w:t xml:space="preserve"> </w:t>
      </w:r>
      <w:r w:rsidR="007A4353">
        <w:rPr>
          <w:rFonts w:ascii="Calibri" w:hAnsi="Calibri" w:cs="Calibri"/>
        </w:rPr>
        <w:t xml:space="preserve"> </w:t>
      </w:r>
      <w:r w:rsidR="007A4353" w:rsidRPr="007A4353">
        <w:rPr>
          <w:rFonts w:ascii="Calibri" w:hAnsi="Calibri" w:cs="Calibri"/>
        </w:rPr>
        <w:t>We argue that the mismatch between sector-organised twins and the cross-sector, multi-level questions that public administrations must answer is one concrete obstacle to their adoption in government, and it is this gap that the paper addresses.</w:t>
      </w:r>
    </w:p>
    <w:p w14:paraId="3266A31E" w14:textId="5E4B6BA1" w:rsidR="00CD1DAF" w:rsidRPr="00641693" w:rsidRDefault="00CD1DAF" w:rsidP="00CD1DAF">
      <w:pPr>
        <w:rPr>
          <w:rFonts w:ascii="Calibri" w:hAnsi="Calibri" w:cs="Calibri"/>
          <w:b/>
          <w:bCs/>
          <w:sz w:val="24"/>
          <w:szCs w:val="24"/>
        </w:rPr>
      </w:pPr>
      <w:r w:rsidRPr="00641693">
        <w:rPr>
          <w:rFonts w:ascii="Calibri" w:hAnsi="Calibri" w:cs="Calibri"/>
          <w:b/>
          <w:bCs/>
          <w:sz w:val="24"/>
          <w:szCs w:val="24"/>
        </w:rPr>
        <w:t xml:space="preserve">     1.2 Role of IoT and Sensors in </w:t>
      </w:r>
      <w:r w:rsidR="006A704D">
        <w:rPr>
          <w:rFonts w:ascii="Calibri" w:hAnsi="Calibri" w:cs="Calibri"/>
          <w:b/>
          <w:bCs/>
          <w:sz w:val="24"/>
          <w:szCs w:val="24"/>
        </w:rPr>
        <w:t xml:space="preserve">Public Sector </w:t>
      </w:r>
      <w:r w:rsidRPr="00641693">
        <w:rPr>
          <w:rFonts w:ascii="Calibri" w:hAnsi="Calibri" w:cs="Calibri"/>
          <w:b/>
          <w:bCs/>
          <w:sz w:val="24"/>
          <w:szCs w:val="24"/>
        </w:rPr>
        <w:t>Digital Twins</w:t>
      </w:r>
    </w:p>
    <w:p w14:paraId="11B9EE9E" w14:textId="33DD4CAA" w:rsidR="00D361D2" w:rsidRPr="00641693" w:rsidRDefault="00AA7E1E" w:rsidP="00C21AD9">
      <w:pPr>
        <w:ind w:firstLine="720"/>
        <w:jc w:val="both"/>
        <w:rPr>
          <w:rFonts w:ascii="Calibri" w:hAnsi="Calibri" w:cs="Calibri"/>
        </w:rPr>
      </w:pPr>
      <w:r w:rsidRPr="00AA7E1E">
        <w:rPr>
          <w:rFonts w:ascii="Calibri" w:hAnsi="Calibri" w:cs="Calibri"/>
        </w:rPr>
        <w:t xml:space="preserve">IoT and sensor data can complement spatial, historical, and administrative datasets by providing more current information on changing conditions in the physical environment (Thelen et al., 2022; Fuller et al., 2020). This can support more timely planning, targeted action, and evaluation of interventions. Their value increases when combined with contextual information on locations, assets, populations, or administrative areas, allowing live observations to be interpreted alongside other evidence (Afif </w:t>
      </w:r>
      <w:proofErr w:type="spellStart"/>
      <w:r w:rsidRPr="00AA7E1E">
        <w:rPr>
          <w:rFonts w:ascii="Calibri" w:hAnsi="Calibri" w:cs="Calibri"/>
        </w:rPr>
        <w:t>Supianto</w:t>
      </w:r>
      <w:proofErr w:type="spellEnd"/>
      <w:r w:rsidRPr="00AA7E1E">
        <w:rPr>
          <w:rFonts w:ascii="Calibri" w:hAnsi="Calibri" w:cs="Calibri"/>
        </w:rPr>
        <w:t xml:space="preserve"> et al., 2024). For the proposed platform, live feeds such as air quality and public-transport vehicle positions are therefore linked to the same spatial units as static administrative and socio-economic data rather than treated as separate layers.</w:t>
      </w:r>
    </w:p>
    <w:p w14:paraId="130C3814" w14:textId="387440EB" w:rsidR="000D5840" w:rsidRPr="00641693" w:rsidRDefault="00D714F5">
      <w:pPr>
        <w:rPr>
          <w:rFonts w:ascii="Calibri" w:hAnsi="Calibri" w:cs="Calibri"/>
          <w:b/>
          <w:bCs/>
          <w:sz w:val="24"/>
          <w:szCs w:val="24"/>
        </w:rPr>
      </w:pPr>
      <w:r w:rsidRPr="00641693">
        <w:rPr>
          <w:rFonts w:ascii="Calibri" w:hAnsi="Calibri" w:cs="Calibri"/>
          <w:b/>
          <w:bCs/>
          <w:sz w:val="24"/>
          <w:szCs w:val="24"/>
        </w:rPr>
        <w:t xml:space="preserve">     </w:t>
      </w:r>
      <w:r w:rsidR="000D5840" w:rsidRPr="00641693">
        <w:rPr>
          <w:rFonts w:ascii="Calibri" w:hAnsi="Calibri" w:cs="Calibri"/>
          <w:b/>
          <w:bCs/>
          <w:sz w:val="24"/>
          <w:szCs w:val="24"/>
        </w:rPr>
        <w:t>1.</w:t>
      </w:r>
      <w:r w:rsidR="00CD1DAF" w:rsidRPr="00641693">
        <w:rPr>
          <w:rFonts w:ascii="Calibri" w:hAnsi="Calibri" w:cs="Calibri"/>
          <w:b/>
          <w:bCs/>
          <w:sz w:val="24"/>
          <w:szCs w:val="24"/>
        </w:rPr>
        <w:t>3</w:t>
      </w:r>
      <w:r w:rsidR="000D5840" w:rsidRPr="00641693">
        <w:rPr>
          <w:rFonts w:ascii="Calibri" w:hAnsi="Calibri" w:cs="Calibri"/>
          <w:b/>
          <w:bCs/>
          <w:sz w:val="24"/>
          <w:szCs w:val="24"/>
        </w:rPr>
        <w:t xml:space="preserve"> </w:t>
      </w:r>
      <w:r w:rsidR="00013107" w:rsidRPr="00641693">
        <w:rPr>
          <w:rFonts w:ascii="Calibri" w:hAnsi="Calibri" w:cs="Calibri"/>
          <w:b/>
          <w:bCs/>
          <w:sz w:val="24"/>
          <w:szCs w:val="24"/>
        </w:rPr>
        <w:t xml:space="preserve">Identified Challenges </w:t>
      </w:r>
    </w:p>
    <w:p w14:paraId="45EDCFF1" w14:textId="4E93667E" w:rsidR="00B72F27" w:rsidRPr="00641693" w:rsidRDefault="00E774BE" w:rsidP="00562B2C">
      <w:pPr>
        <w:jc w:val="both"/>
        <w:rPr>
          <w:rFonts w:ascii="Calibri" w:hAnsi="Calibri" w:cs="Calibri"/>
          <w:lang w:val="en-US"/>
        </w:rPr>
      </w:pPr>
      <w:r w:rsidRPr="00641693">
        <w:rPr>
          <w:rFonts w:ascii="Calibri" w:hAnsi="Calibri" w:cs="Calibri"/>
        </w:rPr>
        <w:t xml:space="preserve"> </w:t>
      </w:r>
      <w:r w:rsidR="004C2DE6" w:rsidRPr="00641693">
        <w:rPr>
          <w:rFonts w:ascii="Calibri" w:hAnsi="Calibri" w:cs="Calibri"/>
        </w:rPr>
        <w:t xml:space="preserve">     </w:t>
      </w:r>
      <w:r w:rsidRPr="00641693">
        <w:rPr>
          <w:rFonts w:ascii="Calibri" w:hAnsi="Calibri" w:cs="Calibri"/>
        </w:rPr>
        <w:t xml:space="preserve">   </w:t>
      </w:r>
      <w:r w:rsidR="00D712AC" w:rsidRPr="00641693">
        <w:rPr>
          <w:rFonts w:ascii="Calibri" w:hAnsi="Calibri" w:cs="Calibri"/>
        </w:rPr>
        <w:t xml:space="preserve">   </w:t>
      </w:r>
      <w:r w:rsidRPr="00641693">
        <w:rPr>
          <w:rFonts w:ascii="Calibri" w:hAnsi="Calibri" w:cs="Calibri"/>
        </w:rPr>
        <w:t xml:space="preserve">     </w:t>
      </w:r>
      <w:r w:rsidR="00562B2C" w:rsidRPr="00641693">
        <w:rPr>
          <w:rFonts w:ascii="Calibri" w:hAnsi="Calibri" w:cs="Calibri"/>
        </w:rPr>
        <w:t>The examples</w:t>
      </w:r>
      <w:r w:rsidR="008B0D77" w:rsidRPr="00641693">
        <w:rPr>
          <w:rFonts w:ascii="Calibri" w:hAnsi="Calibri" w:cs="Calibri"/>
          <w:lang w:val="en-US"/>
        </w:rPr>
        <w:t xml:space="preserve"> mentioned above</w:t>
      </w:r>
      <w:r w:rsidR="00562B2C" w:rsidRPr="00641693">
        <w:rPr>
          <w:rFonts w:ascii="Calibri" w:hAnsi="Calibri" w:cs="Calibri"/>
        </w:rPr>
        <w:t xml:space="preserve"> demonstrate the growing recognition of digital twins as practical instruments for managing complex public, urban, and industrial systems. However, public-sector adoption continues to face fragmented implementation, uneven data governance, and persistent interoperability challenges. Many initiatives remain focused on specific sectors, such as energy, infrastructure, manufacturing, or urban development, rather than functioning as integrated environments through which information from multiple public-sector domains can be accessed and analysed together. Based on the reviewed literature, six recurring challenges in public-sector digital twin adoption were identified:</w:t>
      </w:r>
    </w:p>
    <w:p w14:paraId="1F60E16A" w14:textId="7A62C7E2" w:rsidR="00DC1833" w:rsidRPr="00641693" w:rsidRDefault="00DC1833" w:rsidP="00DC1833">
      <w:pPr>
        <w:pStyle w:val="ListParagraph"/>
        <w:numPr>
          <w:ilvl w:val="0"/>
          <w:numId w:val="5"/>
        </w:numPr>
        <w:jc w:val="both"/>
        <w:rPr>
          <w:rFonts w:ascii="Calibri" w:hAnsi="Calibri" w:cs="Calibri"/>
        </w:rPr>
      </w:pPr>
      <w:r w:rsidRPr="00641693">
        <w:rPr>
          <w:rFonts w:ascii="Calibri" w:hAnsi="Calibri" w:cs="Calibri"/>
          <w:b/>
          <w:bCs/>
        </w:rPr>
        <w:t>Fragmented implementation:</w:t>
      </w:r>
      <w:r w:rsidRPr="00641693">
        <w:rPr>
          <w:rFonts w:ascii="Calibri" w:hAnsi="Calibri" w:cs="Calibri"/>
        </w:rPr>
        <w:t xml:space="preserve"> </w:t>
      </w:r>
      <w:r w:rsidR="00562B2C" w:rsidRPr="00641693">
        <w:rPr>
          <w:rFonts w:ascii="Calibri" w:hAnsi="Calibri" w:cs="Calibri"/>
        </w:rPr>
        <w:t>Many digital twin initiatives are developed as isolated pilots, sector-specific systems, or research prototypes rather than as integrated public-sector environments (Kogut &amp; van der Heijden, 2025; Richter et al., 2025</w:t>
      </w:r>
      <w:r w:rsidR="008D079B">
        <w:rPr>
          <w:rFonts w:ascii="Calibri" w:hAnsi="Calibri" w:cs="Calibri"/>
        </w:rPr>
        <w:t>)</w:t>
      </w:r>
    </w:p>
    <w:p w14:paraId="62B45561" w14:textId="5715EFFA" w:rsidR="00DC1833" w:rsidRPr="00641693" w:rsidRDefault="00DC1833" w:rsidP="00DC1833">
      <w:pPr>
        <w:pStyle w:val="ListParagraph"/>
        <w:numPr>
          <w:ilvl w:val="0"/>
          <w:numId w:val="5"/>
        </w:numPr>
        <w:jc w:val="both"/>
        <w:rPr>
          <w:rFonts w:ascii="Calibri" w:hAnsi="Calibri" w:cs="Calibri"/>
        </w:rPr>
      </w:pPr>
      <w:r w:rsidRPr="00641693">
        <w:rPr>
          <w:rFonts w:ascii="Calibri" w:hAnsi="Calibri" w:cs="Calibri"/>
          <w:b/>
          <w:bCs/>
        </w:rPr>
        <w:t>Data fragmentation and interoperability:</w:t>
      </w:r>
      <w:r w:rsidRPr="00641693">
        <w:rPr>
          <w:rFonts w:ascii="Calibri" w:hAnsi="Calibri" w:cs="Calibri"/>
        </w:rPr>
        <w:t xml:space="preserve"> </w:t>
      </w:r>
      <w:r w:rsidR="00562B2C" w:rsidRPr="00641693">
        <w:rPr>
          <w:rFonts w:ascii="Calibri" w:hAnsi="Calibri" w:cs="Calibri"/>
        </w:rPr>
        <w:t>Public-sector digital twins often require the integration of heterogeneous datasets across agencies, formats, domains, and spatial scales. Such integration remains difficult because of inconsistent standards, data structures, semantics, and governance arrangements (Arin et al., 2023).</w:t>
      </w:r>
    </w:p>
    <w:p w14:paraId="3B3C5B15" w14:textId="69F77043" w:rsidR="00DC1833" w:rsidRPr="00641693" w:rsidRDefault="00DC1833" w:rsidP="00DC1833">
      <w:pPr>
        <w:pStyle w:val="ListParagraph"/>
        <w:numPr>
          <w:ilvl w:val="0"/>
          <w:numId w:val="5"/>
        </w:numPr>
        <w:jc w:val="both"/>
        <w:rPr>
          <w:rFonts w:ascii="Calibri" w:hAnsi="Calibri" w:cs="Calibri"/>
        </w:rPr>
      </w:pPr>
      <w:r w:rsidRPr="00641693">
        <w:rPr>
          <w:rFonts w:ascii="Calibri" w:hAnsi="Calibri" w:cs="Calibri"/>
          <w:b/>
          <w:bCs/>
        </w:rPr>
        <w:t>Technical complexity and resource demand:</w:t>
      </w:r>
      <w:r w:rsidRPr="00641693">
        <w:rPr>
          <w:rFonts w:ascii="Calibri" w:hAnsi="Calibri" w:cs="Calibri"/>
        </w:rPr>
        <w:t xml:space="preserve"> </w:t>
      </w:r>
      <w:r w:rsidR="00562B2C" w:rsidRPr="00641693">
        <w:rPr>
          <w:rFonts w:ascii="Calibri" w:hAnsi="Calibri" w:cs="Calibri"/>
        </w:rPr>
        <w:t>The development and operation of digital twins can require specialised technical expertise, computational infrastructure, and institutional capacity, potentially limiting their adoption and routine use within public organisations (Arin et al., 2023; Arvindhan et al., 2024</w:t>
      </w:r>
      <w:r w:rsidR="008D079B">
        <w:rPr>
          <w:rFonts w:ascii="Calibri" w:hAnsi="Calibri" w:cs="Calibri"/>
        </w:rPr>
        <w:t>)</w:t>
      </w:r>
    </w:p>
    <w:p w14:paraId="157EFD3D" w14:textId="4E26F5AA" w:rsidR="00DC1833" w:rsidRPr="00641693" w:rsidRDefault="00DC1833" w:rsidP="00DC1833">
      <w:pPr>
        <w:pStyle w:val="ListParagraph"/>
        <w:numPr>
          <w:ilvl w:val="0"/>
          <w:numId w:val="5"/>
        </w:numPr>
        <w:jc w:val="both"/>
        <w:rPr>
          <w:rFonts w:ascii="Calibri" w:hAnsi="Calibri" w:cs="Calibri"/>
        </w:rPr>
      </w:pPr>
      <w:r w:rsidRPr="00641693">
        <w:rPr>
          <w:rFonts w:ascii="Calibri" w:hAnsi="Calibri" w:cs="Calibri"/>
          <w:b/>
          <w:bCs/>
        </w:rPr>
        <w:t>Privacy, security, and legal concerns:</w:t>
      </w:r>
      <w:r w:rsidRPr="00641693">
        <w:rPr>
          <w:rFonts w:ascii="Calibri" w:hAnsi="Calibri" w:cs="Calibri"/>
        </w:rPr>
        <w:t xml:space="preserve"> </w:t>
      </w:r>
      <w:r w:rsidR="00562B2C" w:rsidRPr="00641693">
        <w:rPr>
          <w:rFonts w:ascii="Calibri" w:hAnsi="Calibri" w:cs="Calibri"/>
        </w:rPr>
        <w:t xml:space="preserve">Public-sector digital twins raise issues related to data protection, cybersecurity, regulatory compliance, accountability, and lawful data reuse, particularly when integrating sensitive information or datasets from multiple administrative domains (Jørgensen &amp; Ma, 2025; </w:t>
      </w:r>
      <w:proofErr w:type="spellStart"/>
      <w:r w:rsidR="00562B2C" w:rsidRPr="00641693">
        <w:rPr>
          <w:rFonts w:ascii="Calibri" w:hAnsi="Calibri" w:cs="Calibri"/>
        </w:rPr>
        <w:t>Kuštelega</w:t>
      </w:r>
      <w:proofErr w:type="spellEnd"/>
      <w:r w:rsidR="00562B2C" w:rsidRPr="00641693">
        <w:rPr>
          <w:rFonts w:ascii="Calibri" w:hAnsi="Calibri" w:cs="Calibri"/>
        </w:rPr>
        <w:t xml:space="preserve"> et al., 2024).</w:t>
      </w:r>
    </w:p>
    <w:p w14:paraId="43C5C103" w14:textId="4AAC0971" w:rsidR="00DC1833" w:rsidRPr="00641693" w:rsidRDefault="00DC1833" w:rsidP="00DC1833">
      <w:pPr>
        <w:pStyle w:val="ListParagraph"/>
        <w:numPr>
          <w:ilvl w:val="0"/>
          <w:numId w:val="5"/>
        </w:numPr>
        <w:jc w:val="both"/>
        <w:rPr>
          <w:rFonts w:ascii="Calibri" w:hAnsi="Calibri" w:cs="Calibri"/>
        </w:rPr>
      </w:pPr>
      <w:r w:rsidRPr="00641693">
        <w:rPr>
          <w:rFonts w:ascii="Calibri" w:hAnsi="Calibri" w:cs="Calibri"/>
          <w:b/>
          <w:bCs/>
        </w:rPr>
        <w:t>Organisational resistance and governance barriers:</w:t>
      </w:r>
      <w:r w:rsidRPr="00641693">
        <w:rPr>
          <w:rFonts w:ascii="Calibri" w:hAnsi="Calibri" w:cs="Calibri"/>
        </w:rPr>
        <w:t xml:space="preserve"> </w:t>
      </w:r>
      <w:r w:rsidR="00562B2C" w:rsidRPr="00641693">
        <w:rPr>
          <w:rFonts w:ascii="Calibri" w:hAnsi="Calibri" w:cs="Calibri"/>
        </w:rPr>
        <w:t xml:space="preserve">Adoption can be constrained by institutional silos, unclear responsibilities and ownership, limited incentives for data sharing, </w:t>
      </w:r>
      <w:r w:rsidR="00562B2C" w:rsidRPr="00641693">
        <w:rPr>
          <w:rFonts w:ascii="Calibri" w:hAnsi="Calibri" w:cs="Calibri"/>
        </w:rPr>
        <w:lastRenderedPageBreak/>
        <w:t>and difficulties in translating technical prototypes into routine public-administration practices (Richter et al., 2025</w:t>
      </w:r>
      <w:r w:rsidR="008D079B">
        <w:rPr>
          <w:rFonts w:ascii="Calibri" w:hAnsi="Calibri" w:cs="Calibri"/>
        </w:rPr>
        <w:t>)</w:t>
      </w:r>
    </w:p>
    <w:p w14:paraId="1A13B2C2" w14:textId="4A2D444C" w:rsidR="00B72F27" w:rsidRPr="00641693" w:rsidRDefault="00DC1833" w:rsidP="00DC1833">
      <w:pPr>
        <w:pStyle w:val="ListParagraph"/>
        <w:numPr>
          <w:ilvl w:val="0"/>
          <w:numId w:val="5"/>
        </w:numPr>
        <w:jc w:val="both"/>
        <w:rPr>
          <w:rFonts w:ascii="Calibri" w:hAnsi="Calibri" w:cs="Calibri"/>
        </w:rPr>
      </w:pPr>
      <w:r w:rsidRPr="00641693">
        <w:rPr>
          <w:rFonts w:ascii="Calibri" w:hAnsi="Calibri" w:cs="Calibri"/>
          <w:b/>
          <w:bCs/>
        </w:rPr>
        <w:t>Limited inclusion and public accessibility:</w:t>
      </w:r>
      <w:r w:rsidRPr="00641693">
        <w:rPr>
          <w:rFonts w:ascii="Calibri" w:hAnsi="Calibri" w:cs="Calibri"/>
        </w:rPr>
        <w:t xml:space="preserve"> </w:t>
      </w:r>
      <w:r w:rsidR="00562B2C" w:rsidRPr="00641693">
        <w:rPr>
          <w:rFonts w:ascii="Calibri" w:hAnsi="Calibri" w:cs="Calibri"/>
        </w:rPr>
        <w:t>Although digital twins have the potential to support more participatory forms of urban governance, their practical value may be constrained when platforms require specialist expertise, are difficult for non-technical users to navigate, or when broader digital divides restrict participation (Dembski et al., 2019).</w:t>
      </w:r>
    </w:p>
    <w:p w14:paraId="67DA7492" w14:textId="61F7FA3C" w:rsidR="00E74746" w:rsidRPr="00641693" w:rsidRDefault="004C2DE6" w:rsidP="78F6E8E1">
      <w:pPr>
        <w:jc w:val="both"/>
        <w:rPr>
          <w:rFonts w:ascii="Calibri" w:hAnsi="Calibri" w:cs="Calibri"/>
        </w:rPr>
      </w:pPr>
      <w:r w:rsidRPr="00641693">
        <w:rPr>
          <w:rFonts w:ascii="Calibri" w:hAnsi="Calibri" w:cs="Calibri"/>
        </w:rPr>
        <w:t xml:space="preserve">     </w:t>
      </w:r>
      <w:r w:rsidR="0014196B" w:rsidRPr="00641693">
        <w:rPr>
          <w:rFonts w:ascii="Calibri" w:hAnsi="Calibri" w:cs="Calibri"/>
        </w:rPr>
        <w:t xml:space="preserve">        </w:t>
      </w:r>
      <w:r w:rsidR="00D712AC" w:rsidRPr="00641693">
        <w:rPr>
          <w:rFonts w:ascii="Calibri" w:hAnsi="Calibri" w:cs="Calibri"/>
        </w:rPr>
        <w:t xml:space="preserve">  </w:t>
      </w:r>
      <w:r w:rsidR="0014196B" w:rsidRPr="00641693">
        <w:rPr>
          <w:rFonts w:ascii="Calibri" w:hAnsi="Calibri" w:cs="Calibri"/>
        </w:rPr>
        <w:t xml:space="preserve"> </w:t>
      </w:r>
      <w:r w:rsidR="00562B2C" w:rsidRPr="00641693">
        <w:rPr>
          <w:rFonts w:ascii="Calibri" w:hAnsi="Calibri" w:cs="Calibri"/>
        </w:rPr>
        <w:t xml:space="preserve">Taken together, these challenges </w:t>
      </w:r>
      <w:r w:rsidR="00320DF0">
        <w:rPr>
          <w:rFonts w:ascii="Calibri" w:hAnsi="Calibri" w:cs="Calibri"/>
        </w:rPr>
        <w:t xml:space="preserve">call </w:t>
      </w:r>
      <w:r w:rsidR="00562B2C" w:rsidRPr="00641693">
        <w:rPr>
          <w:rFonts w:ascii="Calibri" w:hAnsi="Calibri" w:cs="Calibri"/>
        </w:rPr>
        <w:t xml:space="preserve">for public-sector digital twin approaches that improve interoperability, </w:t>
      </w:r>
      <w:r w:rsidR="00320DF0">
        <w:rPr>
          <w:rFonts w:ascii="Calibri" w:hAnsi="Calibri" w:cs="Calibri"/>
        </w:rPr>
        <w:t>lower the</w:t>
      </w:r>
      <w:r w:rsidR="00562B2C" w:rsidRPr="00641693">
        <w:rPr>
          <w:rFonts w:ascii="Calibri" w:hAnsi="Calibri" w:cs="Calibri"/>
        </w:rPr>
        <w:t xml:space="preserve"> barriers to accessing and interpreting heterogeneous data, accommodate governance requirements, and connect information across administrative and policy domains. </w:t>
      </w:r>
    </w:p>
    <w:p w14:paraId="346F156F" w14:textId="78D84D63" w:rsidR="00A67BB2" w:rsidRPr="00641693" w:rsidRDefault="00CD1DAF" w:rsidP="00CD1DAF">
      <w:pPr>
        <w:pStyle w:val="Heading3"/>
        <w:rPr>
          <w:rFonts w:ascii="Calibri" w:eastAsiaTheme="minorHAnsi" w:hAnsi="Calibri" w:cs="Calibri"/>
          <w:b/>
          <w:bCs/>
          <w:color w:val="auto"/>
          <w:sz w:val="24"/>
          <w:szCs w:val="24"/>
        </w:rPr>
      </w:pPr>
      <w:r w:rsidRPr="00641693">
        <w:rPr>
          <w:rFonts w:ascii="Calibri" w:eastAsiaTheme="minorHAnsi" w:hAnsi="Calibri" w:cs="Calibri"/>
          <w:b/>
          <w:bCs/>
          <w:color w:val="auto"/>
          <w:sz w:val="24"/>
          <w:szCs w:val="24"/>
        </w:rPr>
        <w:t xml:space="preserve">     1.4 </w:t>
      </w:r>
      <w:r w:rsidR="00320DF0">
        <w:rPr>
          <w:rFonts w:ascii="Calibri" w:eastAsiaTheme="minorHAnsi" w:hAnsi="Calibri" w:cs="Calibri"/>
          <w:b/>
          <w:bCs/>
          <w:color w:val="auto"/>
          <w:sz w:val="24"/>
          <w:szCs w:val="24"/>
        </w:rPr>
        <w:t xml:space="preserve">Research question and contribution: </w:t>
      </w:r>
      <w:r w:rsidR="00A67BB2" w:rsidRPr="00641693">
        <w:rPr>
          <w:rFonts w:ascii="Calibri" w:eastAsiaTheme="minorHAnsi" w:hAnsi="Calibri" w:cs="Calibri"/>
          <w:b/>
          <w:bCs/>
          <w:color w:val="auto"/>
          <w:sz w:val="24"/>
          <w:szCs w:val="24"/>
        </w:rPr>
        <w:t xml:space="preserve"> </w:t>
      </w:r>
      <w:r w:rsidR="00320DF0">
        <w:rPr>
          <w:rFonts w:ascii="Calibri" w:eastAsiaTheme="minorHAnsi" w:hAnsi="Calibri" w:cs="Calibri"/>
          <w:b/>
          <w:bCs/>
          <w:color w:val="auto"/>
          <w:sz w:val="24"/>
          <w:szCs w:val="24"/>
        </w:rPr>
        <w:t>A</w:t>
      </w:r>
      <w:r w:rsidR="00A67BB2" w:rsidRPr="00641693">
        <w:rPr>
          <w:rFonts w:ascii="Calibri" w:eastAsiaTheme="minorHAnsi" w:hAnsi="Calibri" w:cs="Calibri"/>
          <w:b/>
          <w:bCs/>
          <w:color w:val="auto"/>
          <w:sz w:val="24"/>
          <w:szCs w:val="24"/>
        </w:rPr>
        <w:t xml:space="preserve"> Unified Web-Based Platform</w:t>
      </w:r>
    </w:p>
    <w:p w14:paraId="77905FD7" w14:textId="3F847063" w:rsidR="001C286E" w:rsidRDefault="00394751" w:rsidP="001C286E">
      <w:pPr>
        <w:spacing w:after="255" w:line="240" w:lineRule="auto"/>
        <w:jc w:val="both"/>
        <w:rPr>
          <w:rFonts w:ascii="Calibri" w:hAnsi="Calibri" w:cs="Calibri"/>
        </w:rPr>
      </w:pPr>
      <w:r w:rsidRPr="00641693">
        <w:rPr>
          <w:rFonts w:ascii="Calibri" w:hAnsi="Calibri" w:cs="Calibri"/>
        </w:rPr>
        <w:t xml:space="preserve">      </w:t>
      </w:r>
      <w:r w:rsidR="004C2DE6" w:rsidRPr="00641693">
        <w:rPr>
          <w:rFonts w:ascii="Calibri" w:hAnsi="Calibri" w:cs="Calibri"/>
        </w:rPr>
        <w:t xml:space="preserve">     </w:t>
      </w:r>
      <w:r w:rsidRPr="00641693">
        <w:rPr>
          <w:rFonts w:ascii="Calibri" w:hAnsi="Calibri" w:cs="Calibri"/>
        </w:rPr>
        <w:t xml:space="preserve">  </w:t>
      </w:r>
      <w:r w:rsidR="00D712AC" w:rsidRPr="00641693">
        <w:rPr>
          <w:rFonts w:ascii="Calibri" w:hAnsi="Calibri" w:cs="Calibri"/>
        </w:rPr>
        <w:t xml:space="preserve">   </w:t>
      </w:r>
      <w:r w:rsidRPr="00641693">
        <w:rPr>
          <w:rFonts w:ascii="Calibri" w:hAnsi="Calibri" w:cs="Calibri"/>
        </w:rPr>
        <w:t xml:space="preserve"> </w:t>
      </w:r>
      <w:r w:rsidR="00F120A8" w:rsidRPr="00641693">
        <w:rPr>
          <w:rFonts w:ascii="Calibri" w:hAnsi="Calibri" w:cs="Calibri"/>
        </w:rPr>
        <w:t>Building on these challenges, this paper proposes a platform-oriented approach to public-sector digital twin that responds to several of the identified limitations.</w:t>
      </w:r>
      <w:r w:rsidR="001C286E">
        <w:rPr>
          <w:rFonts w:ascii="Calibri" w:hAnsi="Calibri" w:cs="Calibri"/>
        </w:rPr>
        <w:t xml:space="preserve"> The research follows </w:t>
      </w:r>
      <w:r w:rsidR="001C286E" w:rsidRPr="001C286E">
        <w:rPr>
          <w:rFonts w:ascii="Calibri" w:hAnsi="Calibri" w:cs="Calibri"/>
        </w:rPr>
        <w:t>a design-science research approach, in which an artefact is built to address a documented problem, its design is justified against explicit requirements, and the artefact is then demonstrated and evaluated.</w:t>
      </w:r>
    </w:p>
    <w:p w14:paraId="7ABD595B" w14:textId="17060EED" w:rsidR="001C286E" w:rsidRDefault="00AE6C00" w:rsidP="00C21AD9">
      <w:pPr>
        <w:spacing w:after="255" w:line="240" w:lineRule="auto"/>
        <w:ind w:firstLine="720"/>
        <w:jc w:val="both"/>
        <w:rPr>
          <w:rFonts w:ascii="Calibri" w:hAnsi="Calibri" w:cs="Calibri"/>
        </w:rPr>
      </w:pPr>
      <w:r>
        <w:rPr>
          <w:rFonts w:ascii="Calibri" w:hAnsi="Calibri" w:cs="Calibri"/>
        </w:rPr>
        <w:t xml:space="preserve">It addresses the research question of </w:t>
      </w:r>
      <w:r w:rsidR="002E66B0">
        <w:rPr>
          <w:rFonts w:ascii="Calibri" w:hAnsi="Calibri" w:cs="Calibri"/>
        </w:rPr>
        <w:t>whether</w:t>
      </w:r>
      <w:r>
        <w:rPr>
          <w:rFonts w:ascii="Calibri" w:hAnsi="Calibri" w:cs="Calibri"/>
        </w:rPr>
        <w:t xml:space="preserve"> </w:t>
      </w:r>
      <w:r w:rsidRPr="00AE6C00">
        <w:rPr>
          <w:rFonts w:ascii="Calibri" w:hAnsi="Calibri" w:cs="Calibri"/>
        </w:rPr>
        <w:t>heterogeneous public sector datasets, differing in institutional origin, format, update frequency and spatial scale, can be integrated and explored within a single browser-based digital twin environment that is organised around policy questions rather than sectors.</w:t>
      </w:r>
      <w:r>
        <w:rPr>
          <w:rFonts w:ascii="Calibri" w:hAnsi="Calibri" w:cs="Calibri"/>
        </w:rPr>
        <w:t xml:space="preserve"> The question is opera</w:t>
      </w:r>
      <w:r w:rsidR="007F4123">
        <w:rPr>
          <w:rFonts w:ascii="Calibri" w:hAnsi="Calibri" w:cs="Calibri"/>
        </w:rPr>
        <w:t xml:space="preserve">tionalized </w:t>
      </w:r>
      <w:r>
        <w:rPr>
          <w:rFonts w:ascii="Calibri" w:hAnsi="Calibri" w:cs="Calibri"/>
        </w:rPr>
        <w:t xml:space="preserve">through design propositions that the platforms </w:t>
      </w:r>
      <w:proofErr w:type="gramStart"/>
      <w:r>
        <w:rPr>
          <w:rFonts w:ascii="Calibri" w:hAnsi="Calibri" w:cs="Calibri"/>
        </w:rPr>
        <w:t>is</w:t>
      </w:r>
      <w:proofErr w:type="gramEnd"/>
      <w:r>
        <w:rPr>
          <w:rFonts w:ascii="Calibri" w:hAnsi="Calibri" w:cs="Calibri"/>
        </w:rPr>
        <w:t xml:space="preserve"> intended to satisfy and that can be tested empirically concerning integration, accessibility and policy orientation.  The present paper reports the design and a f</w:t>
      </w:r>
      <w:r w:rsidR="001C286E">
        <w:rPr>
          <w:rFonts w:ascii="Calibri" w:hAnsi="Calibri" w:cs="Calibri"/>
        </w:rPr>
        <w:t xml:space="preserve">unctional prototype that demonstrates that a four-level spatial structure combined with a common coordinate reference system and open geospatial standards is sufficient to integrate the administrative, socio-economic, environmental, mobility and building datasets available for Brussels without dataset-specific interfaces. </w:t>
      </w:r>
    </w:p>
    <w:p w14:paraId="642567EC" w14:textId="4BD2DD3D" w:rsidR="00362047" w:rsidRDefault="001C286E" w:rsidP="00C21AD9">
      <w:pPr>
        <w:spacing w:after="255" w:line="240" w:lineRule="auto"/>
        <w:ind w:firstLine="720"/>
        <w:jc w:val="both"/>
        <w:rPr>
          <w:rFonts w:ascii="Calibri" w:hAnsi="Calibri" w:cs="Calibri"/>
        </w:rPr>
      </w:pPr>
      <w:r>
        <w:rPr>
          <w:rFonts w:ascii="Calibri" w:hAnsi="Calibri" w:cs="Calibri"/>
        </w:rPr>
        <w:t xml:space="preserve">Two hypotheses are in the process of being tested with stakeholders: (a) that delivering </w:t>
      </w:r>
      <w:r w:rsidRPr="001C286E">
        <w:rPr>
          <w:rFonts w:ascii="Calibri" w:hAnsi="Calibri" w:cs="Calibri"/>
        </w:rPr>
        <w:t>the environment through a standard web browser, with interactive 2D/3D maps and thematic panels, allows non-specialist public-sector users to explore and compare the integrated data without local GIS or BIM software and without prior training</w:t>
      </w:r>
      <w:r>
        <w:rPr>
          <w:rFonts w:ascii="Calibri" w:hAnsi="Calibri" w:cs="Calibri"/>
        </w:rPr>
        <w:t>; (b) that o</w:t>
      </w:r>
      <w:r w:rsidRPr="001C286E">
        <w:rPr>
          <w:rFonts w:ascii="Calibri" w:hAnsi="Calibri" w:cs="Calibri"/>
        </w:rPr>
        <w:t>rganising the integrated data by policy theme, spatial level and reference year, rather than by source or sector, supports cross-domain comparison that is relevant to actual policy questions of the Brussels-Capital Region.</w:t>
      </w:r>
    </w:p>
    <w:p w14:paraId="105360DA" w14:textId="11B59A1F" w:rsidR="001C286E" w:rsidRDefault="001C286E" w:rsidP="00C21AD9">
      <w:pPr>
        <w:spacing w:after="255" w:line="240" w:lineRule="auto"/>
        <w:ind w:firstLine="360"/>
        <w:jc w:val="both"/>
        <w:rPr>
          <w:rFonts w:ascii="Calibri" w:hAnsi="Calibri" w:cs="Calibri"/>
        </w:rPr>
      </w:pPr>
      <w:r w:rsidRPr="001C286E">
        <w:rPr>
          <w:rFonts w:ascii="Calibri" w:hAnsi="Calibri" w:cs="Calibri"/>
        </w:rPr>
        <w:t xml:space="preserve">The contribution is </w:t>
      </w:r>
      <w:r w:rsidR="007F4123">
        <w:rPr>
          <w:rFonts w:ascii="Calibri" w:hAnsi="Calibri" w:cs="Calibri"/>
        </w:rPr>
        <w:t xml:space="preserve">thus </w:t>
      </w:r>
      <w:r w:rsidRPr="001C286E">
        <w:rPr>
          <w:rFonts w:ascii="Calibri" w:hAnsi="Calibri" w:cs="Calibri"/>
        </w:rPr>
        <w:t>threefold: (</w:t>
      </w:r>
      <w:proofErr w:type="spellStart"/>
      <w:r w:rsidRPr="001C286E">
        <w:rPr>
          <w:rFonts w:ascii="Calibri" w:hAnsi="Calibri" w:cs="Calibri"/>
        </w:rPr>
        <w:t>i</w:t>
      </w:r>
      <w:proofErr w:type="spellEnd"/>
      <w:r w:rsidRPr="001C286E">
        <w:rPr>
          <w:rFonts w:ascii="Calibri" w:hAnsi="Calibri" w:cs="Calibri"/>
        </w:rPr>
        <w:t>) an explicit mapping from documented adoption challenges to design requirements and design elements</w:t>
      </w:r>
      <w:r w:rsidR="007F4123">
        <w:rPr>
          <w:rFonts w:ascii="Calibri" w:hAnsi="Calibri" w:cs="Calibri"/>
        </w:rPr>
        <w:t xml:space="preserve"> (2.1.)</w:t>
      </w:r>
      <w:r w:rsidRPr="001C286E">
        <w:rPr>
          <w:rFonts w:ascii="Calibri" w:hAnsi="Calibri" w:cs="Calibri"/>
        </w:rPr>
        <w:t>; (ii) a multi-level spatial organisation for policy-oriented public-sector digital twins</w:t>
      </w:r>
      <w:r w:rsidR="007F4123">
        <w:rPr>
          <w:rFonts w:ascii="Calibri" w:hAnsi="Calibri" w:cs="Calibri"/>
        </w:rPr>
        <w:t xml:space="preserve"> (2.2.)</w:t>
      </w:r>
      <w:r w:rsidRPr="001C286E">
        <w:rPr>
          <w:rFonts w:ascii="Calibri" w:hAnsi="Calibri" w:cs="Calibri"/>
        </w:rPr>
        <w:t>; and (iii) a working prototype integrating Brussels open data from eleven institutional sources</w:t>
      </w:r>
      <w:r w:rsidR="002E66B0">
        <w:rPr>
          <w:rFonts w:ascii="Calibri" w:hAnsi="Calibri" w:cs="Calibri"/>
        </w:rPr>
        <w:t xml:space="preserve"> </w:t>
      </w:r>
      <w:r w:rsidR="007F4123">
        <w:rPr>
          <w:rFonts w:ascii="Calibri" w:hAnsi="Calibri" w:cs="Calibri"/>
        </w:rPr>
        <w:t xml:space="preserve"> (3)</w:t>
      </w:r>
      <w:r w:rsidRPr="001C286E">
        <w:rPr>
          <w:rFonts w:ascii="Calibri" w:hAnsi="Calibri" w:cs="Calibri"/>
        </w:rPr>
        <w:t xml:space="preserve">. The platform was developed in the Brussels academic context of FARI, the AI for the Common </w:t>
      </w:r>
      <w:r w:rsidR="0051692A">
        <w:rPr>
          <w:rFonts w:ascii="Calibri" w:hAnsi="Calibri" w:cs="Calibri"/>
        </w:rPr>
        <w:t xml:space="preserve">Good </w:t>
      </w:r>
      <w:r w:rsidRPr="001C286E">
        <w:rPr>
          <w:rFonts w:ascii="Calibri" w:hAnsi="Calibri" w:cs="Calibri"/>
        </w:rPr>
        <w:t xml:space="preserve">Institute of the Vrije Universiteit Brussel (VUB) and the Université Libre de Bruxelles (ULB). </w:t>
      </w:r>
      <w:r w:rsidR="007F4123">
        <w:rPr>
          <w:rFonts w:ascii="Calibri" w:hAnsi="Calibri" w:cs="Calibri"/>
        </w:rPr>
        <w:t xml:space="preserve">The paper concludes with a summary of the findings and </w:t>
      </w:r>
      <w:r w:rsidR="002E66B0">
        <w:rPr>
          <w:rFonts w:ascii="Calibri" w:hAnsi="Calibri" w:cs="Calibri"/>
        </w:rPr>
        <w:t>the evaluation under way.</w:t>
      </w:r>
      <w:r w:rsidR="007F4123">
        <w:rPr>
          <w:rFonts w:ascii="Calibri" w:hAnsi="Calibri" w:cs="Calibri"/>
        </w:rPr>
        <w:t xml:space="preserve"> </w:t>
      </w:r>
    </w:p>
    <w:p w14:paraId="1D890234" w14:textId="77777777" w:rsidR="004C2DE6" w:rsidRPr="00641693" w:rsidRDefault="00EC220A" w:rsidP="004C2DE6">
      <w:pPr>
        <w:pStyle w:val="ListParagraph"/>
        <w:numPr>
          <w:ilvl w:val="0"/>
          <w:numId w:val="4"/>
        </w:numPr>
        <w:spacing w:after="40" w:line="240" w:lineRule="auto"/>
        <w:rPr>
          <w:rFonts w:ascii="Calibri" w:hAnsi="Calibri" w:cs="Calibri"/>
          <w:b/>
          <w:bCs/>
          <w:sz w:val="28"/>
          <w:szCs w:val="28"/>
        </w:rPr>
      </w:pPr>
      <w:r w:rsidRPr="00641693">
        <w:rPr>
          <w:rFonts w:ascii="Calibri" w:hAnsi="Calibri" w:cs="Calibri"/>
          <w:b/>
          <w:bCs/>
          <w:sz w:val="28"/>
          <w:szCs w:val="28"/>
        </w:rPr>
        <w:t>Web Based Digital Twin Platform: Concept and Design</w:t>
      </w:r>
    </w:p>
    <w:p w14:paraId="39A5C420" w14:textId="72140315" w:rsidR="00C437E0" w:rsidRPr="00641693" w:rsidRDefault="00AD1195" w:rsidP="6D329D34">
      <w:pPr>
        <w:jc w:val="both"/>
      </w:pPr>
      <w:r w:rsidRPr="00641693">
        <w:rPr>
          <w:rFonts w:ascii="Calibri" w:hAnsi="Calibri" w:cs="Calibri"/>
        </w:rPr>
        <w:t xml:space="preserve">     </w:t>
      </w:r>
      <w:r w:rsidR="004C2DE6" w:rsidRPr="00641693">
        <w:rPr>
          <w:rFonts w:ascii="Calibri" w:hAnsi="Calibri" w:cs="Calibri"/>
        </w:rPr>
        <w:t xml:space="preserve">     </w:t>
      </w:r>
      <w:r w:rsidRPr="00641693">
        <w:rPr>
          <w:rFonts w:ascii="Calibri" w:hAnsi="Calibri" w:cs="Calibri"/>
        </w:rPr>
        <w:t xml:space="preserve">    </w:t>
      </w:r>
      <w:r w:rsidR="00D712AC" w:rsidRPr="00641693">
        <w:rPr>
          <w:rFonts w:ascii="Calibri" w:hAnsi="Calibri" w:cs="Calibri"/>
        </w:rPr>
        <w:t xml:space="preserve">   </w:t>
      </w:r>
      <w:r w:rsidR="00F120A8" w:rsidRPr="00641693">
        <w:rPr>
          <w:rFonts w:ascii="Calibri" w:hAnsi="Calibri" w:cs="Calibri"/>
        </w:rPr>
        <w:t>This section explains how the platform design responds to the challenges identified in the preceding section, using figures to illustrate the relationship between identified challenges and corresponding design responses</w:t>
      </w:r>
      <w:r w:rsidR="007F4123">
        <w:rPr>
          <w:rFonts w:ascii="Calibri" w:hAnsi="Calibri" w:cs="Calibri"/>
        </w:rPr>
        <w:t xml:space="preserve"> (2.1.)</w:t>
      </w:r>
      <w:r w:rsidR="00F120A8" w:rsidRPr="00641693">
        <w:rPr>
          <w:rFonts w:ascii="Calibri" w:hAnsi="Calibri" w:cs="Calibri"/>
        </w:rPr>
        <w:t>. It then presents the data integration approach</w:t>
      </w:r>
      <w:r w:rsidR="007F4123">
        <w:rPr>
          <w:rFonts w:ascii="Calibri" w:hAnsi="Calibri" w:cs="Calibri"/>
        </w:rPr>
        <w:t xml:space="preserve"> and the multi-level spatial organisation developed (2.2.).</w:t>
      </w:r>
    </w:p>
    <w:p w14:paraId="031F2E87" w14:textId="32338003" w:rsidR="006169C0" w:rsidRPr="00641693" w:rsidRDefault="00DC25F2" w:rsidP="006169C0">
      <w:pPr>
        <w:spacing w:before="100" w:beforeAutospacing="1" w:after="100" w:afterAutospacing="1" w:line="240" w:lineRule="auto"/>
        <w:outlineLvl w:val="2"/>
        <w:rPr>
          <w:rFonts w:ascii="Calibri" w:hAnsi="Calibri" w:cs="Calibri"/>
          <w:b/>
          <w:bCs/>
          <w:sz w:val="24"/>
          <w:szCs w:val="24"/>
        </w:rPr>
      </w:pPr>
      <w:r w:rsidRPr="00641693">
        <w:rPr>
          <w:rFonts w:ascii="Calibri" w:hAnsi="Calibri" w:cs="Calibri"/>
          <w:b/>
          <w:bCs/>
          <w:sz w:val="24"/>
          <w:szCs w:val="24"/>
        </w:rPr>
        <w:lastRenderedPageBreak/>
        <w:t xml:space="preserve">      </w:t>
      </w:r>
      <w:r w:rsidR="006169C0" w:rsidRPr="00641693">
        <w:rPr>
          <w:rFonts w:ascii="Calibri" w:hAnsi="Calibri" w:cs="Calibri"/>
          <w:b/>
          <w:bCs/>
          <w:sz w:val="24"/>
          <w:szCs w:val="24"/>
        </w:rPr>
        <w:t>2.1 Platform Rationale: Responding to Public-Sector Digital Twin Challenges</w:t>
      </w:r>
    </w:p>
    <w:p w14:paraId="01DD52F7" w14:textId="6E2A4BC6" w:rsidR="00402655" w:rsidRPr="00641693" w:rsidRDefault="00D712AC" w:rsidP="00D712AC">
      <w:pPr>
        <w:jc w:val="both"/>
        <w:rPr>
          <w:rFonts w:ascii="Calibri" w:hAnsi="Calibri" w:cs="Calibri"/>
        </w:rPr>
      </w:pPr>
      <w:r w:rsidRPr="00641693">
        <w:rPr>
          <w:rFonts w:ascii="Calibri" w:hAnsi="Calibri" w:cs="Calibri"/>
        </w:rPr>
        <w:t xml:space="preserve">                 </w:t>
      </w:r>
      <w:r w:rsidR="00F120A8" w:rsidRPr="00641693">
        <w:rPr>
          <w:rFonts w:ascii="Calibri" w:hAnsi="Calibri" w:cs="Calibri"/>
        </w:rPr>
        <w:t>The proposed platform operates as an integration layer that brings fragmented public-sector data into a unified environment where it can be visualised, compared, and interpreted. The aim is to support public-sector users in moving beyond isolated datasets towards a shared spatial understanding of urban conditions, relationships across policy domains, and relevant decision contexts.</w:t>
      </w:r>
    </w:p>
    <w:p w14:paraId="21287E91" w14:textId="76B2B6B0" w:rsidR="31C1AE55" w:rsidRPr="00641693" w:rsidRDefault="00D712AC" w:rsidP="31C1AE55">
      <w:pPr>
        <w:jc w:val="both"/>
        <w:rPr>
          <w:rFonts w:ascii="Calibri" w:hAnsi="Calibri" w:cs="Calibri"/>
        </w:rPr>
      </w:pPr>
      <w:r w:rsidRPr="00641693">
        <w:rPr>
          <w:rFonts w:ascii="Calibri" w:hAnsi="Calibri" w:cs="Calibri"/>
        </w:rPr>
        <w:t xml:space="preserve">                 </w:t>
      </w:r>
      <w:r w:rsidR="003E1F7F" w:rsidRPr="00641693">
        <w:rPr>
          <w:rFonts w:ascii="Calibri" w:hAnsi="Calibri" w:cs="Calibri"/>
        </w:rPr>
        <w:t>The rationale for the proposed platform is derived from the challenges identified in Section 1.3. Accordingly, Table 1 summarises how the proposed platform design addresses these challenges.</w:t>
      </w:r>
    </w:p>
    <w:p w14:paraId="08649DE5" w14:textId="77777777" w:rsidR="003E1F7F" w:rsidRPr="00641693" w:rsidRDefault="003E1F7F" w:rsidP="31C1AE55">
      <w:pPr>
        <w:jc w:val="both"/>
        <w:rPr>
          <w:rFonts w:ascii="Calibri" w:hAnsi="Calibri" w:cs="Calibri"/>
          <w:i/>
          <w:iCs/>
          <w:sz w:val="20"/>
          <w:szCs w:val="20"/>
        </w:rPr>
      </w:pPr>
    </w:p>
    <w:tbl>
      <w:tblPr>
        <w:tblStyle w:val="TableGrid"/>
        <w:tblW w:w="9016" w:type="dxa"/>
        <w:tblLook w:val="06A0" w:firstRow="1" w:lastRow="0" w:firstColumn="1" w:lastColumn="0" w:noHBand="1" w:noVBand="1"/>
      </w:tblPr>
      <w:tblGrid>
        <w:gridCol w:w="1702"/>
        <w:gridCol w:w="1983"/>
        <w:gridCol w:w="1469"/>
        <w:gridCol w:w="3862"/>
      </w:tblGrid>
      <w:tr w:rsidR="000D097C" w:rsidRPr="00641693" w14:paraId="6E29889E" w14:textId="014D1D65" w:rsidTr="00C21AD9">
        <w:trPr>
          <w:trHeight w:val="300"/>
        </w:trPr>
        <w:tc>
          <w:tcPr>
            <w:tcW w:w="1702" w:type="dxa"/>
          </w:tcPr>
          <w:p w14:paraId="06FEA83E" w14:textId="2D016C56" w:rsidR="000D097C" w:rsidRPr="00641693" w:rsidRDefault="000D097C" w:rsidP="31C1AE55">
            <w:pPr>
              <w:jc w:val="center"/>
              <w:rPr>
                <w:rFonts w:ascii="Calibri" w:hAnsi="Calibri" w:cs="Calibri"/>
                <w:b/>
              </w:rPr>
            </w:pPr>
            <w:r w:rsidRPr="00641693">
              <w:rPr>
                <w:rFonts w:ascii="Calibri" w:hAnsi="Calibri" w:cs="Calibri"/>
                <w:b/>
              </w:rPr>
              <w:t>Public-</w:t>
            </w:r>
            <w:r>
              <w:rPr>
                <w:rFonts w:ascii="Calibri" w:hAnsi="Calibri" w:cs="Calibri"/>
                <w:b/>
              </w:rPr>
              <w:t>S</w:t>
            </w:r>
            <w:r w:rsidRPr="00641693">
              <w:rPr>
                <w:rFonts w:ascii="Calibri" w:hAnsi="Calibri" w:cs="Calibri"/>
                <w:b/>
              </w:rPr>
              <w:t xml:space="preserve">ector </w:t>
            </w:r>
            <w:r>
              <w:rPr>
                <w:rFonts w:ascii="Calibri" w:hAnsi="Calibri" w:cs="Calibri"/>
                <w:b/>
              </w:rPr>
              <w:t>D</w:t>
            </w:r>
            <w:r w:rsidRPr="00641693">
              <w:rPr>
                <w:rFonts w:ascii="Calibri" w:hAnsi="Calibri" w:cs="Calibri"/>
                <w:b/>
              </w:rPr>
              <w:t xml:space="preserve">igital </w:t>
            </w:r>
            <w:r>
              <w:rPr>
                <w:rFonts w:ascii="Calibri" w:hAnsi="Calibri" w:cs="Calibri"/>
                <w:b/>
              </w:rPr>
              <w:t>T</w:t>
            </w:r>
            <w:r w:rsidRPr="00641693">
              <w:rPr>
                <w:rFonts w:ascii="Calibri" w:hAnsi="Calibri" w:cs="Calibri"/>
                <w:b/>
              </w:rPr>
              <w:t xml:space="preserve">win </w:t>
            </w:r>
            <w:r>
              <w:rPr>
                <w:rFonts w:ascii="Calibri" w:hAnsi="Calibri" w:cs="Calibri"/>
                <w:b/>
              </w:rPr>
              <w:t>C</w:t>
            </w:r>
            <w:r w:rsidRPr="00641693">
              <w:rPr>
                <w:rFonts w:ascii="Calibri" w:hAnsi="Calibri" w:cs="Calibri"/>
                <w:b/>
              </w:rPr>
              <w:t>hallenge</w:t>
            </w:r>
          </w:p>
        </w:tc>
        <w:tc>
          <w:tcPr>
            <w:tcW w:w="1983" w:type="dxa"/>
          </w:tcPr>
          <w:p w14:paraId="0002D3BF" w14:textId="032A5A90" w:rsidR="000D097C" w:rsidRPr="00641693" w:rsidRDefault="000D097C" w:rsidP="31C1AE55">
            <w:pPr>
              <w:jc w:val="center"/>
              <w:rPr>
                <w:rFonts w:ascii="Calibri" w:hAnsi="Calibri" w:cs="Calibri"/>
                <w:b/>
              </w:rPr>
            </w:pPr>
            <w:r w:rsidRPr="000D097C">
              <w:rPr>
                <w:rFonts w:ascii="Calibri" w:hAnsi="Calibri" w:cs="Calibri"/>
                <w:b/>
              </w:rPr>
              <w:t xml:space="preserve">Derived </w:t>
            </w:r>
            <w:r>
              <w:rPr>
                <w:rFonts w:ascii="Calibri" w:hAnsi="Calibri" w:cs="Calibri"/>
                <w:b/>
              </w:rPr>
              <w:t>D</w:t>
            </w:r>
            <w:r w:rsidRPr="000D097C">
              <w:rPr>
                <w:rFonts w:ascii="Calibri" w:hAnsi="Calibri" w:cs="Calibri"/>
                <w:b/>
              </w:rPr>
              <w:t xml:space="preserve">esign </w:t>
            </w:r>
            <w:r>
              <w:rPr>
                <w:rFonts w:ascii="Calibri" w:hAnsi="Calibri" w:cs="Calibri"/>
                <w:b/>
              </w:rPr>
              <w:t>R</w:t>
            </w:r>
            <w:r w:rsidRPr="000D097C">
              <w:rPr>
                <w:rFonts w:ascii="Calibri" w:hAnsi="Calibri" w:cs="Calibri"/>
                <w:b/>
              </w:rPr>
              <w:t>equirement</w:t>
            </w:r>
          </w:p>
        </w:tc>
        <w:tc>
          <w:tcPr>
            <w:tcW w:w="1469" w:type="dxa"/>
          </w:tcPr>
          <w:p w14:paraId="6CC48826" w14:textId="731176AE" w:rsidR="000D097C" w:rsidRPr="00641693" w:rsidRDefault="000D097C" w:rsidP="31C1AE55">
            <w:pPr>
              <w:jc w:val="center"/>
              <w:rPr>
                <w:rFonts w:ascii="Calibri" w:hAnsi="Calibri" w:cs="Calibri"/>
                <w:b/>
              </w:rPr>
            </w:pPr>
            <w:r w:rsidRPr="00641693">
              <w:rPr>
                <w:rFonts w:ascii="Calibri" w:hAnsi="Calibri" w:cs="Calibri"/>
                <w:b/>
              </w:rPr>
              <w:t>Platform Design Element</w:t>
            </w:r>
          </w:p>
        </w:tc>
        <w:tc>
          <w:tcPr>
            <w:tcW w:w="3862" w:type="dxa"/>
          </w:tcPr>
          <w:p w14:paraId="2840ED0F" w14:textId="1DB96124" w:rsidR="000D097C" w:rsidRPr="00641693" w:rsidRDefault="000D097C" w:rsidP="7FE6A471">
            <w:pPr>
              <w:pStyle w:val="p1"/>
              <w:jc w:val="center"/>
              <w:rPr>
                <w:rFonts w:ascii="Calibri" w:hAnsi="Calibri"/>
                <w:b/>
                <w:sz w:val="22"/>
                <w:szCs w:val="22"/>
              </w:rPr>
            </w:pPr>
            <w:r w:rsidRPr="00641693">
              <w:rPr>
                <w:rFonts w:ascii="Calibri" w:hAnsi="Calibri" w:cs="Calibri"/>
                <w:b/>
                <w:sz w:val="22"/>
                <w:szCs w:val="22"/>
              </w:rPr>
              <w:t xml:space="preserve">Platform Design </w:t>
            </w:r>
            <w:r>
              <w:rPr>
                <w:rFonts w:ascii="Calibri" w:hAnsi="Calibri"/>
                <w:b/>
                <w:sz w:val="22"/>
                <w:szCs w:val="22"/>
              </w:rPr>
              <w:t>R</w:t>
            </w:r>
            <w:r w:rsidRPr="00641693">
              <w:rPr>
                <w:rFonts w:ascii="Calibri" w:hAnsi="Calibri"/>
                <w:b/>
                <w:sz w:val="22"/>
                <w:szCs w:val="22"/>
              </w:rPr>
              <w:t>ationale</w:t>
            </w:r>
          </w:p>
          <w:p w14:paraId="066D5355" w14:textId="77777777" w:rsidR="000D097C" w:rsidRPr="00641693" w:rsidRDefault="000D097C" w:rsidP="31C1AE55">
            <w:pPr>
              <w:jc w:val="center"/>
              <w:rPr>
                <w:rFonts w:ascii="Calibri" w:hAnsi="Calibri" w:cs="Calibri"/>
                <w:b/>
              </w:rPr>
            </w:pPr>
          </w:p>
        </w:tc>
      </w:tr>
      <w:tr w:rsidR="000D097C" w:rsidRPr="00641693" w14:paraId="7C0D74E1" w14:textId="55BA6B8D" w:rsidTr="00C21AD9">
        <w:trPr>
          <w:trHeight w:val="300"/>
        </w:trPr>
        <w:tc>
          <w:tcPr>
            <w:tcW w:w="1702" w:type="dxa"/>
          </w:tcPr>
          <w:p w14:paraId="6F1CD870" w14:textId="01255B27" w:rsidR="000D097C" w:rsidRPr="00641693" w:rsidRDefault="000D097C" w:rsidP="31C1AE55">
            <w:pPr>
              <w:pStyle w:val="p1"/>
              <w:jc w:val="center"/>
              <w:rPr>
                <w:rFonts w:ascii="Calibri" w:hAnsi="Calibri"/>
              </w:rPr>
            </w:pPr>
            <w:r w:rsidRPr="00641693">
              <w:rPr>
                <w:rFonts w:ascii="Calibri" w:hAnsi="Calibri"/>
                <w:sz w:val="22"/>
                <w:szCs w:val="22"/>
              </w:rPr>
              <w:t>Fragmented data sources</w:t>
            </w:r>
          </w:p>
        </w:tc>
        <w:tc>
          <w:tcPr>
            <w:tcW w:w="1983" w:type="dxa"/>
          </w:tcPr>
          <w:p w14:paraId="1F8C6E46" w14:textId="2F97A86B" w:rsidR="000D097C" w:rsidRPr="00641693" w:rsidRDefault="000D097C" w:rsidP="31C1AE55">
            <w:pPr>
              <w:pStyle w:val="p1"/>
              <w:jc w:val="center"/>
              <w:rPr>
                <w:rFonts w:ascii="Calibri" w:hAnsi="Calibri" w:cstheme="minorBidi"/>
                <w:sz w:val="22"/>
                <w:szCs w:val="22"/>
              </w:rPr>
            </w:pPr>
            <w:r w:rsidRPr="000D097C">
              <w:rPr>
                <w:rFonts w:ascii="Calibri" w:hAnsi="Calibri" w:cstheme="minorBidi"/>
                <w:sz w:val="22"/>
                <w:szCs w:val="22"/>
                <w:lang w:val="en-GB"/>
              </w:rPr>
              <w:t>Bring heterogeneous information together for joint exploration</w:t>
            </w:r>
          </w:p>
        </w:tc>
        <w:tc>
          <w:tcPr>
            <w:tcW w:w="1469" w:type="dxa"/>
          </w:tcPr>
          <w:p w14:paraId="2C9BD401" w14:textId="0781F479" w:rsidR="000D097C" w:rsidRPr="000D097C" w:rsidRDefault="000D097C" w:rsidP="31C1AE55">
            <w:pPr>
              <w:pStyle w:val="p1"/>
              <w:jc w:val="center"/>
              <w:rPr>
                <w:rFonts w:ascii="Calibri" w:hAnsi="Calibri" w:cstheme="minorBidi"/>
                <w:sz w:val="22"/>
                <w:szCs w:val="22"/>
              </w:rPr>
            </w:pPr>
            <w:r w:rsidRPr="00641693">
              <w:rPr>
                <w:rFonts w:ascii="Calibri" w:hAnsi="Calibri" w:cstheme="minorBidi"/>
                <w:sz w:val="22"/>
                <w:szCs w:val="22"/>
              </w:rPr>
              <w:t>A single integrated spatial environment</w:t>
            </w:r>
          </w:p>
        </w:tc>
        <w:tc>
          <w:tcPr>
            <w:tcW w:w="3862" w:type="dxa"/>
          </w:tcPr>
          <w:p w14:paraId="6BBCDFC1" w14:textId="737E51F0" w:rsidR="000D097C" w:rsidRPr="00641693" w:rsidRDefault="00AA7E1E" w:rsidP="003E1F7F">
            <w:pPr>
              <w:pStyle w:val="p1"/>
              <w:rPr>
                <w:rFonts w:ascii="Calibri" w:hAnsi="Calibri" w:cstheme="minorBidi"/>
                <w:sz w:val="22"/>
                <w:szCs w:val="22"/>
              </w:rPr>
            </w:pPr>
            <w:r w:rsidRPr="00AA7E1E">
              <w:rPr>
                <w:rFonts w:ascii="Calibri" w:hAnsi="Calibri" w:cstheme="minorBidi"/>
                <w:sz w:val="22"/>
                <w:szCs w:val="22"/>
                <w:lang w:val="en-GB"/>
              </w:rPr>
              <w:t>Spatial integration brings heterogeneous datasets and services into a shared environment for consistent use and interpretation</w:t>
            </w:r>
          </w:p>
        </w:tc>
      </w:tr>
      <w:tr w:rsidR="000D097C" w:rsidRPr="00641693" w14:paraId="40CEFF28" w14:textId="7111CD52" w:rsidTr="00C21AD9">
        <w:trPr>
          <w:trHeight w:val="300"/>
        </w:trPr>
        <w:tc>
          <w:tcPr>
            <w:tcW w:w="1702" w:type="dxa"/>
          </w:tcPr>
          <w:p w14:paraId="2FD1B948" w14:textId="4E69BF14" w:rsidR="000D097C" w:rsidRPr="00641693" w:rsidRDefault="000D097C" w:rsidP="31C1AE55">
            <w:pPr>
              <w:pStyle w:val="p1"/>
              <w:jc w:val="center"/>
              <w:rPr>
                <w:rFonts w:ascii="Calibri" w:hAnsi="Calibri"/>
                <w:sz w:val="22"/>
                <w:szCs w:val="22"/>
              </w:rPr>
            </w:pPr>
            <w:r w:rsidRPr="00641693">
              <w:rPr>
                <w:rFonts w:ascii="Calibri" w:hAnsi="Calibri"/>
                <w:sz w:val="22"/>
                <w:szCs w:val="22"/>
              </w:rPr>
              <w:t>Data Interoperability issues</w:t>
            </w:r>
          </w:p>
        </w:tc>
        <w:tc>
          <w:tcPr>
            <w:tcW w:w="1983" w:type="dxa"/>
          </w:tcPr>
          <w:p w14:paraId="68AEEA6E" w14:textId="7054592C" w:rsidR="000D097C" w:rsidRPr="00641693" w:rsidRDefault="000D097C" w:rsidP="31C1AE55">
            <w:pPr>
              <w:pStyle w:val="p1"/>
              <w:jc w:val="center"/>
              <w:rPr>
                <w:rFonts w:ascii="Calibri" w:hAnsi="Calibri" w:cstheme="minorBidi"/>
                <w:sz w:val="22"/>
                <w:szCs w:val="22"/>
              </w:rPr>
            </w:pPr>
            <w:r w:rsidRPr="000D097C">
              <w:rPr>
                <w:rFonts w:ascii="Calibri" w:hAnsi="Calibri" w:cstheme="minorBidi"/>
                <w:sz w:val="22"/>
                <w:szCs w:val="22"/>
                <w:lang w:val="en-GB"/>
              </w:rPr>
              <w:t>Enable consistent integration and exchange of data across different systems.</w:t>
            </w:r>
          </w:p>
        </w:tc>
        <w:tc>
          <w:tcPr>
            <w:tcW w:w="1469" w:type="dxa"/>
          </w:tcPr>
          <w:p w14:paraId="0987E6BE" w14:textId="696F2A19" w:rsidR="000D097C" w:rsidRPr="00641693" w:rsidRDefault="000D097C" w:rsidP="31C1AE55">
            <w:pPr>
              <w:pStyle w:val="p1"/>
              <w:jc w:val="center"/>
              <w:rPr>
                <w:rFonts w:ascii="Calibri" w:hAnsi="Calibri"/>
                <w:sz w:val="22"/>
                <w:szCs w:val="22"/>
              </w:rPr>
            </w:pPr>
            <w:r w:rsidRPr="00641693">
              <w:rPr>
                <w:rFonts w:ascii="Calibri" w:hAnsi="Calibri" w:cstheme="minorBidi"/>
                <w:sz w:val="22"/>
                <w:szCs w:val="22"/>
              </w:rPr>
              <w:t>Common spatial references and standards</w:t>
            </w:r>
          </w:p>
        </w:tc>
        <w:tc>
          <w:tcPr>
            <w:tcW w:w="3862" w:type="dxa"/>
          </w:tcPr>
          <w:p w14:paraId="52FEB5CE" w14:textId="501A49CA" w:rsidR="000D097C" w:rsidRPr="00641693" w:rsidRDefault="00AA7E1E" w:rsidP="003E1F7F">
            <w:pPr>
              <w:pStyle w:val="p1"/>
              <w:rPr>
                <w:rFonts w:ascii="Calibri" w:hAnsi="Calibri" w:cstheme="minorBidi"/>
                <w:sz w:val="22"/>
                <w:szCs w:val="22"/>
              </w:rPr>
            </w:pPr>
            <w:r w:rsidRPr="00AA7E1E">
              <w:rPr>
                <w:rFonts w:ascii="Calibri" w:hAnsi="Calibri" w:cstheme="minorBidi"/>
                <w:sz w:val="22"/>
                <w:szCs w:val="22"/>
                <w:lang w:val="en-GB"/>
              </w:rPr>
              <w:t>Common reference systems, metadata, and geospatial standards support interoperability and data exchange across systems and agencies</w:t>
            </w:r>
          </w:p>
        </w:tc>
      </w:tr>
      <w:tr w:rsidR="000D097C" w:rsidRPr="00641693" w14:paraId="53FC4D17" w14:textId="46A6C0C4" w:rsidTr="00C21AD9">
        <w:trPr>
          <w:trHeight w:val="300"/>
        </w:trPr>
        <w:tc>
          <w:tcPr>
            <w:tcW w:w="1702" w:type="dxa"/>
          </w:tcPr>
          <w:p w14:paraId="2518FBBE" w14:textId="5F4942D3" w:rsidR="000D097C" w:rsidRPr="00641693" w:rsidRDefault="000D097C" w:rsidP="31C1AE55">
            <w:pPr>
              <w:pStyle w:val="p1"/>
              <w:jc w:val="center"/>
              <w:rPr>
                <w:rFonts w:ascii="Calibri" w:hAnsi="Calibri"/>
                <w:sz w:val="22"/>
                <w:szCs w:val="22"/>
              </w:rPr>
            </w:pPr>
            <w:r w:rsidRPr="00641693">
              <w:rPr>
                <w:rFonts w:ascii="Calibri" w:hAnsi="Calibri"/>
                <w:sz w:val="22"/>
                <w:szCs w:val="22"/>
              </w:rPr>
              <w:t>Technical complexity</w:t>
            </w:r>
          </w:p>
        </w:tc>
        <w:tc>
          <w:tcPr>
            <w:tcW w:w="1983" w:type="dxa"/>
          </w:tcPr>
          <w:p w14:paraId="3BC24B8A" w14:textId="070829EB" w:rsidR="000D097C" w:rsidRPr="00641693" w:rsidRDefault="000D097C" w:rsidP="31C1AE55">
            <w:pPr>
              <w:pStyle w:val="p1"/>
              <w:jc w:val="center"/>
              <w:rPr>
                <w:rFonts w:ascii="Calibri" w:hAnsi="Calibri" w:cstheme="minorBidi"/>
                <w:sz w:val="22"/>
                <w:szCs w:val="22"/>
              </w:rPr>
            </w:pPr>
            <w:r w:rsidRPr="000D097C">
              <w:rPr>
                <w:rFonts w:ascii="Calibri" w:hAnsi="Calibri" w:cstheme="minorBidi"/>
                <w:sz w:val="22"/>
                <w:szCs w:val="22"/>
                <w:lang w:val="en-GB"/>
              </w:rPr>
              <w:t>Make the platform easier to access and use for non-specialist users.</w:t>
            </w:r>
          </w:p>
        </w:tc>
        <w:tc>
          <w:tcPr>
            <w:tcW w:w="1469" w:type="dxa"/>
          </w:tcPr>
          <w:p w14:paraId="69CD1A2B" w14:textId="196466A3" w:rsidR="000D097C" w:rsidRPr="00641693" w:rsidRDefault="000D097C" w:rsidP="31C1AE55">
            <w:pPr>
              <w:pStyle w:val="p1"/>
              <w:jc w:val="center"/>
              <w:rPr>
                <w:rFonts w:ascii="Calibri" w:hAnsi="Calibri"/>
              </w:rPr>
            </w:pPr>
            <w:r w:rsidRPr="00641693">
              <w:rPr>
                <w:rFonts w:ascii="Calibri" w:hAnsi="Calibri" w:cstheme="minorBidi"/>
                <w:sz w:val="22"/>
                <w:szCs w:val="22"/>
              </w:rPr>
              <w:t xml:space="preserve">Browser-based platform </w:t>
            </w:r>
          </w:p>
        </w:tc>
        <w:tc>
          <w:tcPr>
            <w:tcW w:w="3862" w:type="dxa"/>
          </w:tcPr>
          <w:p w14:paraId="063DF154" w14:textId="1B8DAFEA" w:rsidR="000D097C" w:rsidRPr="00641693" w:rsidRDefault="00AA7E1E" w:rsidP="003E1F7F">
            <w:pPr>
              <w:pStyle w:val="p1"/>
              <w:rPr>
                <w:rFonts w:ascii="Calibri" w:hAnsi="Calibri" w:cstheme="minorBidi"/>
                <w:sz w:val="22"/>
                <w:szCs w:val="22"/>
              </w:rPr>
            </w:pPr>
            <w:r w:rsidRPr="00AA7E1E">
              <w:rPr>
                <w:rFonts w:ascii="Calibri" w:hAnsi="Calibri" w:cstheme="minorBidi"/>
                <w:sz w:val="22"/>
                <w:szCs w:val="22"/>
                <w:lang w:val="en-GB"/>
              </w:rPr>
              <w:t>Browser-based access reduces reliance on locally installed software and makes spatial data easier to explore for non-specialist users</w:t>
            </w:r>
          </w:p>
        </w:tc>
      </w:tr>
      <w:tr w:rsidR="000D097C" w:rsidRPr="00641693" w14:paraId="272B60E3" w14:textId="54506BEE" w:rsidTr="00C21AD9">
        <w:trPr>
          <w:trHeight w:val="300"/>
        </w:trPr>
        <w:tc>
          <w:tcPr>
            <w:tcW w:w="1702" w:type="dxa"/>
          </w:tcPr>
          <w:p w14:paraId="5D9FF317" w14:textId="608B20CD" w:rsidR="000D097C" w:rsidRPr="00641693" w:rsidRDefault="000D097C" w:rsidP="000D097C">
            <w:pPr>
              <w:pStyle w:val="p1"/>
              <w:jc w:val="center"/>
              <w:rPr>
                <w:rFonts w:ascii="Calibri" w:hAnsi="Calibri"/>
                <w:sz w:val="22"/>
                <w:szCs w:val="22"/>
              </w:rPr>
            </w:pPr>
            <w:r w:rsidRPr="00641693">
              <w:rPr>
                <w:rFonts w:ascii="Calibri" w:hAnsi="Calibri"/>
                <w:sz w:val="22"/>
                <w:szCs w:val="22"/>
              </w:rPr>
              <w:t>Privacy, security, and legal concerns</w:t>
            </w:r>
          </w:p>
        </w:tc>
        <w:tc>
          <w:tcPr>
            <w:tcW w:w="1983" w:type="dxa"/>
          </w:tcPr>
          <w:p w14:paraId="40B822C1" w14:textId="2751235B" w:rsidR="000D097C" w:rsidRPr="00641693" w:rsidRDefault="000D097C" w:rsidP="000D097C">
            <w:pPr>
              <w:pStyle w:val="p1"/>
              <w:jc w:val="center"/>
              <w:rPr>
                <w:rFonts w:ascii="Calibri" w:hAnsi="Calibri" w:cstheme="minorBidi"/>
                <w:sz w:val="22"/>
                <w:szCs w:val="22"/>
              </w:rPr>
            </w:pPr>
            <w:r w:rsidRPr="000D097C">
              <w:rPr>
                <w:rFonts w:ascii="Calibri" w:hAnsi="Calibri" w:cstheme="minorBidi"/>
                <w:sz w:val="22"/>
                <w:szCs w:val="22"/>
                <w:lang w:val="en-GB"/>
              </w:rPr>
              <w:t>Support appropriate use of public and non-sensitive data</w:t>
            </w:r>
          </w:p>
        </w:tc>
        <w:tc>
          <w:tcPr>
            <w:tcW w:w="1469" w:type="dxa"/>
          </w:tcPr>
          <w:p w14:paraId="5462AD74" w14:textId="27D8BC2F" w:rsidR="000D097C" w:rsidRPr="00641693" w:rsidRDefault="000D097C" w:rsidP="000D097C">
            <w:pPr>
              <w:pStyle w:val="p1"/>
              <w:jc w:val="center"/>
              <w:rPr>
                <w:rFonts w:ascii="Calibri" w:hAnsi="Calibri" w:cstheme="minorBidi"/>
                <w:sz w:val="22"/>
                <w:szCs w:val="22"/>
              </w:rPr>
            </w:pPr>
            <w:r w:rsidRPr="00641693">
              <w:rPr>
                <w:rFonts w:ascii="Calibri" w:hAnsi="Calibri" w:cstheme="minorBidi"/>
                <w:sz w:val="22"/>
                <w:szCs w:val="22"/>
              </w:rPr>
              <w:t>Open and public data</w:t>
            </w:r>
          </w:p>
        </w:tc>
        <w:tc>
          <w:tcPr>
            <w:tcW w:w="3862" w:type="dxa"/>
          </w:tcPr>
          <w:p w14:paraId="2C4966AC" w14:textId="1A259F2E" w:rsidR="000D097C" w:rsidRPr="00641693" w:rsidRDefault="00AA7E1E" w:rsidP="000D097C">
            <w:pPr>
              <w:pStyle w:val="p1"/>
              <w:rPr>
                <w:rFonts w:ascii="Calibri" w:hAnsi="Calibri" w:cstheme="minorBidi"/>
                <w:sz w:val="22"/>
                <w:szCs w:val="22"/>
              </w:rPr>
            </w:pPr>
            <w:r w:rsidRPr="00AA7E1E">
              <w:rPr>
                <w:rFonts w:ascii="Calibri" w:hAnsi="Calibri" w:cstheme="minorBidi"/>
                <w:sz w:val="22"/>
                <w:szCs w:val="22"/>
                <w:lang w:val="en-GB"/>
              </w:rPr>
              <w:t>Using published open data supports transparency and reuse, while restricted or personal data require additional governance safeguards</w:t>
            </w:r>
          </w:p>
        </w:tc>
      </w:tr>
      <w:tr w:rsidR="000D097C" w:rsidRPr="00641693" w14:paraId="5701DF83" w14:textId="12116D3B" w:rsidTr="00C21AD9">
        <w:trPr>
          <w:trHeight w:val="300"/>
        </w:trPr>
        <w:tc>
          <w:tcPr>
            <w:tcW w:w="1702" w:type="dxa"/>
          </w:tcPr>
          <w:p w14:paraId="1F034B64" w14:textId="062116C8" w:rsidR="000D097C" w:rsidRPr="00641693" w:rsidRDefault="000D097C" w:rsidP="000D097C">
            <w:pPr>
              <w:pStyle w:val="p1"/>
              <w:jc w:val="center"/>
              <w:rPr>
                <w:rFonts w:ascii="Calibri" w:hAnsi="Calibri"/>
                <w:sz w:val="22"/>
                <w:szCs w:val="22"/>
              </w:rPr>
            </w:pPr>
            <w:r w:rsidRPr="00641693">
              <w:rPr>
                <w:rFonts w:ascii="Calibri" w:hAnsi="Calibri"/>
                <w:sz w:val="22"/>
                <w:szCs w:val="22"/>
              </w:rPr>
              <w:t>Organisational resistance</w:t>
            </w:r>
          </w:p>
        </w:tc>
        <w:tc>
          <w:tcPr>
            <w:tcW w:w="1983" w:type="dxa"/>
          </w:tcPr>
          <w:p w14:paraId="49298944" w14:textId="4FCFF5E4" w:rsidR="000D097C" w:rsidRPr="00641693" w:rsidRDefault="000D097C" w:rsidP="000D097C">
            <w:pPr>
              <w:pStyle w:val="p1"/>
              <w:jc w:val="center"/>
              <w:rPr>
                <w:rFonts w:ascii="Calibri" w:hAnsi="Calibri" w:cstheme="minorBidi"/>
                <w:sz w:val="22"/>
                <w:szCs w:val="22"/>
              </w:rPr>
            </w:pPr>
            <w:r>
              <w:rPr>
                <w:rFonts w:ascii="Calibri" w:hAnsi="Calibri" w:cstheme="minorBidi"/>
                <w:sz w:val="22"/>
                <w:szCs w:val="22"/>
              </w:rPr>
              <w:t>Minimise disruption to established institutional processes</w:t>
            </w:r>
          </w:p>
        </w:tc>
        <w:tc>
          <w:tcPr>
            <w:tcW w:w="1469" w:type="dxa"/>
          </w:tcPr>
          <w:p w14:paraId="393C2318" w14:textId="731A0B1F" w:rsidR="000D097C" w:rsidRPr="00641693" w:rsidRDefault="000D097C" w:rsidP="000D097C">
            <w:pPr>
              <w:pStyle w:val="p1"/>
              <w:jc w:val="center"/>
              <w:rPr>
                <w:rFonts w:ascii="Calibri" w:hAnsi="Calibri" w:cstheme="minorBidi"/>
                <w:sz w:val="22"/>
                <w:szCs w:val="22"/>
              </w:rPr>
            </w:pPr>
            <w:r w:rsidRPr="00641693">
              <w:rPr>
                <w:rFonts w:ascii="Calibri" w:hAnsi="Calibri" w:cstheme="minorBidi"/>
                <w:sz w:val="22"/>
                <w:szCs w:val="22"/>
              </w:rPr>
              <w:t>Gradual adoption using existing workflows</w:t>
            </w:r>
          </w:p>
        </w:tc>
        <w:tc>
          <w:tcPr>
            <w:tcW w:w="3862" w:type="dxa"/>
          </w:tcPr>
          <w:p w14:paraId="4198372B" w14:textId="305879E9" w:rsidR="000D097C" w:rsidRPr="00641693" w:rsidRDefault="00AA7E1E" w:rsidP="000D097C">
            <w:pPr>
              <w:pStyle w:val="p1"/>
              <w:rPr>
                <w:rFonts w:ascii="Calibri" w:hAnsi="Calibri" w:cstheme="minorBidi"/>
                <w:sz w:val="22"/>
                <w:szCs w:val="22"/>
              </w:rPr>
            </w:pPr>
            <w:r w:rsidRPr="00AA7E1E">
              <w:rPr>
                <w:rFonts w:ascii="Calibri" w:hAnsi="Calibri" w:cstheme="minorBidi"/>
                <w:sz w:val="22"/>
                <w:szCs w:val="22"/>
                <w:lang w:val="en-GB"/>
              </w:rPr>
              <w:t>Incremental implementation complements existing public-sector systems and workflows, reducing barriers to adoption</w:t>
            </w:r>
          </w:p>
        </w:tc>
      </w:tr>
      <w:tr w:rsidR="000D097C" w:rsidRPr="00641693" w14:paraId="1C57D62D" w14:textId="4EDB7B43" w:rsidTr="00C21AD9">
        <w:trPr>
          <w:trHeight w:val="1620"/>
        </w:trPr>
        <w:tc>
          <w:tcPr>
            <w:tcW w:w="1702" w:type="dxa"/>
          </w:tcPr>
          <w:p w14:paraId="371CFACE" w14:textId="58E5037D" w:rsidR="000D097C" w:rsidRPr="00641693" w:rsidRDefault="000D097C" w:rsidP="000D097C">
            <w:pPr>
              <w:pStyle w:val="p1"/>
              <w:jc w:val="center"/>
              <w:rPr>
                <w:rFonts w:ascii="Calibri" w:hAnsi="Calibri"/>
                <w:sz w:val="22"/>
                <w:szCs w:val="22"/>
              </w:rPr>
            </w:pPr>
            <w:r w:rsidRPr="00641693">
              <w:rPr>
                <w:rFonts w:ascii="Calibri" w:hAnsi="Calibri"/>
                <w:sz w:val="22"/>
                <w:szCs w:val="22"/>
              </w:rPr>
              <w:t>Limited accessibility</w:t>
            </w:r>
          </w:p>
        </w:tc>
        <w:tc>
          <w:tcPr>
            <w:tcW w:w="1983" w:type="dxa"/>
          </w:tcPr>
          <w:p w14:paraId="2FE362FF" w14:textId="7A85EAF8" w:rsidR="000D097C" w:rsidRPr="00641693" w:rsidRDefault="000D097C" w:rsidP="000D097C">
            <w:pPr>
              <w:pStyle w:val="p1"/>
              <w:jc w:val="center"/>
              <w:rPr>
                <w:rFonts w:ascii="Calibri" w:hAnsi="Calibri" w:cstheme="minorBidi"/>
                <w:sz w:val="22"/>
                <w:szCs w:val="22"/>
              </w:rPr>
            </w:pPr>
            <w:r w:rsidRPr="000D097C">
              <w:rPr>
                <w:rFonts w:ascii="Calibri" w:hAnsi="Calibri" w:cstheme="minorBidi"/>
                <w:sz w:val="22"/>
                <w:szCs w:val="22"/>
                <w:lang w:val="en-GB"/>
              </w:rPr>
              <w:t>Make complex information understandable and explorable by non-specialists</w:t>
            </w:r>
          </w:p>
        </w:tc>
        <w:tc>
          <w:tcPr>
            <w:tcW w:w="1469" w:type="dxa"/>
          </w:tcPr>
          <w:p w14:paraId="27F31D8F" w14:textId="1BDA70DA" w:rsidR="000D097C" w:rsidRPr="00641693" w:rsidRDefault="000D097C" w:rsidP="000D097C">
            <w:pPr>
              <w:pStyle w:val="p1"/>
              <w:jc w:val="center"/>
              <w:rPr>
                <w:rFonts w:ascii="Calibri" w:hAnsi="Calibri" w:cstheme="minorBidi"/>
                <w:sz w:val="22"/>
                <w:szCs w:val="22"/>
              </w:rPr>
            </w:pPr>
            <w:r w:rsidRPr="00641693">
              <w:rPr>
                <w:rFonts w:ascii="Calibri" w:hAnsi="Calibri" w:cstheme="minorBidi"/>
                <w:sz w:val="22"/>
                <w:szCs w:val="22"/>
              </w:rPr>
              <w:t xml:space="preserve">Visual interactive </w:t>
            </w:r>
            <w:r>
              <w:rPr>
                <w:rFonts w:ascii="Calibri" w:hAnsi="Calibri" w:cstheme="minorBidi"/>
                <w:sz w:val="22"/>
                <w:szCs w:val="22"/>
              </w:rPr>
              <w:t xml:space="preserve">and intuitive </w:t>
            </w:r>
            <w:r w:rsidRPr="00641693">
              <w:rPr>
                <w:rFonts w:ascii="Calibri" w:hAnsi="Calibri" w:cstheme="minorBidi"/>
                <w:sz w:val="22"/>
                <w:szCs w:val="22"/>
              </w:rPr>
              <w:t>interface</w:t>
            </w:r>
          </w:p>
        </w:tc>
        <w:tc>
          <w:tcPr>
            <w:tcW w:w="3862" w:type="dxa"/>
          </w:tcPr>
          <w:p w14:paraId="551494C0" w14:textId="4D499D16" w:rsidR="000D097C" w:rsidRPr="00641693" w:rsidRDefault="00AA7E1E" w:rsidP="000D097C">
            <w:pPr>
              <w:pStyle w:val="p1"/>
              <w:rPr>
                <w:rFonts w:ascii="Calibri" w:hAnsi="Calibri" w:cstheme="minorBidi"/>
                <w:sz w:val="22"/>
                <w:szCs w:val="22"/>
              </w:rPr>
            </w:pPr>
            <w:r w:rsidRPr="00AA7E1E">
              <w:rPr>
                <w:rFonts w:ascii="Calibri" w:hAnsi="Calibri" w:cstheme="minorBidi"/>
                <w:sz w:val="22"/>
                <w:szCs w:val="22"/>
                <w:lang w:val="en-GB"/>
              </w:rPr>
              <w:t>Interactive maps and visual analytics make complex spatial information easier to interpret and use for non-specialist users.</w:t>
            </w:r>
          </w:p>
        </w:tc>
      </w:tr>
    </w:tbl>
    <w:p w14:paraId="18B94ECB" w14:textId="228FF568" w:rsidR="007D4A57" w:rsidRPr="00641693" w:rsidRDefault="00330F8C" w:rsidP="762722A6">
      <w:pPr>
        <w:spacing w:after="40" w:line="240" w:lineRule="auto"/>
        <w:jc w:val="center"/>
      </w:pPr>
      <w:r w:rsidRPr="00641693">
        <w:rPr>
          <w:rFonts w:ascii="Calibri" w:hAnsi="Calibri" w:cs="Calibri"/>
          <w:i/>
          <w:iCs/>
          <w:sz w:val="20"/>
          <w:szCs w:val="20"/>
        </w:rPr>
        <w:t>Table 1:</w:t>
      </w:r>
      <w:r w:rsidR="00AA2CA5" w:rsidRPr="00641693">
        <w:rPr>
          <w:rFonts w:ascii="Calibri" w:hAnsi="Calibri" w:cs="Calibri"/>
          <w:i/>
          <w:iCs/>
          <w:sz w:val="20"/>
          <w:szCs w:val="20"/>
        </w:rPr>
        <w:t xml:space="preserve"> Public </w:t>
      </w:r>
      <w:r w:rsidR="00EE64BD" w:rsidRPr="00641693">
        <w:rPr>
          <w:rFonts w:ascii="Calibri" w:hAnsi="Calibri" w:cs="Calibri"/>
          <w:i/>
          <w:iCs/>
          <w:sz w:val="20"/>
          <w:szCs w:val="20"/>
        </w:rPr>
        <w:t>Sector</w:t>
      </w:r>
      <w:r w:rsidR="00AA2CA5" w:rsidRPr="00641693">
        <w:rPr>
          <w:rFonts w:ascii="Calibri" w:hAnsi="Calibri" w:cs="Calibri"/>
          <w:i/>
          <w:iCs/>
          <w:sz w:val="20"/>
          <w:szCs w:val="20"/>
        </w:rPr>
        <w:t xml:space="preserve"> Digital Twin Challenges </w:t>
      </w:r>
      <w:r w:rsidR="003E1F7F" w:rsidRPr="00641693">
        <w:rPr>
          <w:rFonts w:ascii="Calibri" w:hAnsi="Calibri" w:cs="Calibri"/>
          <w:i/>
          <w:iCs/>
          <w:sz w:val="20"/>
          <w:szCs w:val="20"/>
        </w:rPr>
        <w:t xml:space="preserve">and </w:t>
      </w:r>
      <w:r w:rsidR="00AA2CA5" w:rsidRPr="00641693">
        <w:rPr>
          <w:rFonts w:ascii="Calibri" w:hAnsi="Calibri" w:cs="Calibri"/>
          <w:i/>
          <w:iCs/>
          <w:sz w:val="20"/>
          <w:szCs w:val="20"/>
        </w:rPr>
        <w:t>Platform Design Responses</w:t>
      </w:r>
    </w:p>
    <w:p w14:paraId="4AD4DF4C" w14:textId="0165FAE7" w:rsidR="007063F5" w:rsidRPr="00641693" w:rsidRDefault="00DC25F2" w:rsidP="007063F5">
      <w:pPr>
        <w:spacing w:before="100" w:beforeAutospacing="1" w:after="100" w:afterAutospacing="1" w:line="240" w:lineRule="auto"/>
        <w:outlineLvl w:val="1"/>
        <w:rPr>
          <w:rFonts w:ascii="Calibri" w:hAnsi="Calibri" w:cs="Calibri"/>
          <w:b/>
          <w:bCs/>
          <w:sz w:val="24"/>
          <w:szCs w:val="24"/>
        </w:rPr>
      </w:pPr>
      <w:r w:rsidRPr="00641693">
        <w:rPr>
          <w:rFonts w:ascii="Calibri" w:hAnsi="Calibri" w:cs="Calibri"/>
          <w:b/>
          <w:bCs/>
          <w:sz w:val="24"/>
          <w:szCs w:val="24"/>
        </w:rPr>
        <w:t xml:space="preserve">      </w:t>
      </w:r>
      <w:r w:rsidR="00B52B37" w:rsidRPr="00641693">
        <w:rPr>
          <w:rFonts w:ascii="Calibri" w:hAnsi="Calibri" w:cs="Calibri"/>
          <w:b/>
          <w:bCs/>
          <w:sz w:val="24"/>
          <w:szCs w:val="24"/>
        </w:rPr>
        <w:t>2.2 Data Integration Logic</w:t>
      </w:r>
      <w:r w:rsidR="007F4123">
        <w:rPr>
          <w:rFonts w:ascii="Calibri" w:hAnsi="Calibri" w:cs="Calibri"/>
          <w:b/>
          <w:bCs/>
          <w:sz w:val="24"/>
          <w:szCs w:val="24"/>
        </w:rPr>
        <w:t xml:space="preserve"> and multi-level spatial structure </w:t>
      </w:r>
    </w:p>
    <w:p w14:paraId="7D46FA49" w14:textId="14F1303F" w:rsidR="00F807A4" w:rsidRPr="00641693" w:rsidRDefault="007063F5" w:rsidP="00E24007">
      <w:pPr>
        <w:spacing w:after="40" w:line="240" w:lineRule="auto"/>
        <w:jc w:val="both"/>
      </w:pPr>
      <w:r w:rsidRPr="00641693">
        <w:rPr>
          <w:rFonts w:ascii="Calibri" w:hAnsi="Calibri" w:cs="Calibri"/>
        </w:rPr>
        <w:lastRenderedPageBreak/>
        <w:t xml:space="preserve">                </w:t>
      </w:r>
      <w:r w:rsidR="000B1FB2" w:rsidRPr="000B1FB2">
        <w:rPr>
          <w:rFonts w:ascii="Calibri" w:hAnsi="Calibri" w:cs="Calibri"/>
        </w:rPr>
        <w:t>The platform integrates heterogeneous public-sector datasets within a common spatial framework. As the datasets differ in format, spatial scale, and level of detail (Manso-Callejo et al., 2009), they are first processed into compatible formats and aligned to a common spatial reference. Data are then linked to relevant geographic units, infrastructure assets, or building features using their spatial location. This allows information from different domains to be viewed and compared within the same geographic context, supporting analysis across otherwise separated datasets.</w:t>
      </w:r>
    </w:p>
    <w:p w14:paraId="29A3E6EA" w14:textId="5BFAA873" w:rsidR="000C5EA9" w:rsidRDefault="00624E06" w:rsidP="00E24007">
      <w:pPr>
        <w:spacing w:after="40" w:line="240" w:lineRule="auto"/>
        <w:jc w:val="both"/>
        <w:rPr>
          <w:rFonts w:ascii="Calibri" w:hAnsi="Calibri" w:cs="Calibri"/>
        </w:rPr>
      </w:pPr>
      <w:r w:rsidRPr="00641693">
        <w:rPr>
          <w:rFonts w:ascii="Calibri" w:hAnsi="Calibri" w:cs="Calibri"/>
        </w:rPr>
        <w:t xml:space="preserve">                </w:t>
      </w:r>
      <w:r w:rsidR="00F90728" w:rsidRPr="00F90728">
        <w:rPr>
          <w:rFonts w:ascii="Calibri" w:hAnsi="Calibri" w:cs="Calibri"/>
        </w:rPr>
        <w:t xml:space="preserve">In addition to administrative and spatial datasets, real-time information is integrated through APIs and other continuously updated sources. In the current prototype, this is demonstrated using AQI data from </w:t>
      </w:r>
      <w:proofErr w:type="spellStart"/>
      <w:r w:rsidR="00F90728" w:rsidRPr="00F90728">
        <w:rPr>
          <w:rFonts w:ascii="Calibri" w:hAnsi="Calibri" w:cs="Calibri"/>
        </w:rPr>
        <w:t>OpenWeather</w:t>
      </w:r>
      <w:proofErr w:type="spellEnd"/>
      <w:r w:rsidR="00F90728" w:rsidRPr="00F90728">
        <w:rPr>
          <w:rFonts w:ascii="Calibri" w:hAnsi="Calibri" w:cs="Calibri"/>
        </w:rPr>
        <w:t xml:space="preserve"> and real-time public-transport information from STIB/MIVB, SNCB, De Lijn, and TEC. AQI data are linked to geographic locations, while public-transport data are associated with vehicle positions, routes, and service information across the Brussels transport network. This information can be examined alongside demographic, infrastructure, environmental, and other policy-relevant datasets.</w:t>
      </w:r>
    </w:p>
    <w:p w14:paraId="3AA73BB3" w14:textId="5205CC48" w:rsidR="00E97ADC" w:rsidRPr="00641693" w:rsidRDefault="00FE353E" w:rsidP="0051692A">
      <w:pPr>
        <w:spacing w:after="40" w:line="240" w:lineRule="auto"/>
        <w:jc w:val="both"/>
        <w:rPr>
          <w:rFonts w:ascii="Calibri" w:hAnsi="Calibri" w:cs="Calibri"/>
          <w:b/>
          <w:bCs/>
          <w:sz w:val="24"/>
          <w:szCs w:val="24"/>
        </w:rPr>
      </w:pPr>
      <w:r w:rsidRPr="00641693">
        <w:rPr>
          <w:rFonts w:ascii="Calibri" w:hAnsi="Calibri" w:cs="Calibri"/>
        </w:rPr>
        <w:t xml:space="preserve">               </w:t>
      </w:r>
      <w:r w:rsidR="00641693" w:rsidRPr="00641693">
        <w:rPr>
          <w:rFonts w:ascii="Calibri" w:hAnsi="Calibri" w:cs="Calibri"/>
        </w:rPr>
        <w:t>The present study implements this integration approach through the Brussels prototype, establishing an initial basis for combining heterogeneous data sources within a common spatial environment. Further research will extend the current implementation through a more detailed examination of the platform’s technical architecture, data integration workflow, and interoperability mechanisms.</w:t>
      </w:r>
    </w:p>
    <w:p w14:paraId="7DFD78A8" w14:textId="3F81AB8F" w:rsidR="008D079B" w:rsidRDefault="007346AC" w:rsidP="003F4525">
      <w:pPr>
        <w:spacing w:after="40" w:line="240" w:lineRule="auto"/>
        <w:jc w:val="both"/>
        <w:rPr>
          <w:rFonts w:ascii="Calibri" w:hAnsi="Calibri" w:cs="Calibri"/>
        </w:rPr>
      </w:pPr>
      <w:r w:rsidRPr="00641693">
        <w:rPr>
          <w:rFonts w:ascii="Calibri" w:hAnsi="Calibri" w:cs="Calibri"/>
        </w:rPr>
        <w:t xml:space="preserve">               </w:t>
      </w:r>
      <w:r w:rsidR="008D079B" w:rsidRPr="008D079B">
        <w:rPr>
          <w:rFonts w:ascii="Calibri" w:hAnsi="Calibri" w:cs="Calibri"/>
        </w:rPr>
        <w:t>The platform is intended to integrate fragmented public-sector information and support its exploration across different policy domains. As this information is produced and represented at different spatial scales, a multi-level structure was required to organise datasets from broad administrative areas to individual physical assets and buildings. Similar multi-scale approaches have been explored in previous digital twin studies (Ali et al., 2024)</w:t>
      </w:r>
      <w:r w:rsidR="008D079B">
        <w:rPr>
          <w:rFonts w:ascii="Calibri" w:hAnsi="Calibri" w:cs="Calibri"/>
        </w:rPr>
        <w:t>. I</w:t>
      </w:r>
      <w:r w:rsidR="008D079B" w:rsidRPr="008D079B">
        <w:rPr>
          <w:rFonts w:ascii="Calibri" w:hAnsi="Calibri" w:cs="Calibri"/>
        </w:rPr>
        <w:t>n the context of this study, the four spatial levels were defined to reflect how public-sector information is organised and used across different geographic scales.</w:t>
      </w:r>
    </w:p>
    <w:p w14:paraId="732646D1" w14:textId="73C0222B" w:rsidR="00373D37" w:rsidRPr="00641693" w:rsidRDefault="007346AC" w:rsidP="003F4525">
      <w:pPr>
        <w:spacing w:after="40" w:line="240" w:lineRule="auto"/>
        <w:jc w:val="both"/>
      </w:pPr>
      <w:r w:rsidRPr="00641693">
        <w:rPr>
          <w:rFonts w:ascii="Calibri" w:hAnsi="Calibri" w:cs="Calibri"/>
        </w:rPr>
        <w:t xml:space="preserve">               </w:t>
      </w:r>
      <w:r w:rsidR="008D079B" w:rsidRPr="008D079B">
        <w:rPr>
          <w:rFonts w:ascii="Calibri" w:hAnsi="Calibri" w:cs="Calibri"/>
        </w:rPr>
        <w:t>Accordingly, four platform-defined spatial levels were established: regional and municipal (L0), representing broad administrative and socioeconomic information</w:t>
      </w:r>
      <w:r w:rsidR="008D079B">
        <w:rPr>
          <w:rFonts w:ascii="Calibri" w:hAnsi="Calibri" w:cs="Calibri"/>
        </w:rPr>
        <w:t>,</w:t>
      </w:r>
      <w:r w:rsidR="008D079B" w:rsidRPr="008D079B">
        <w:rPr>
          <w:rFonts w:ascii="Calibri" w:hAnsi="Calibri" w:cs="Calibri"/>
        </w:rPr>
        <w:t xml:space="preserve"> neighbourhood (L1), capturing more localised conditions and variations</w:t>
      </w:r>
      <w:r w:rsidR="008D079B">
        <w:rPr>
          <w:rFonts w:ascii="Calibri" w:hAnsi="Calibri" w:cs="Calibri"/>
        </w:rPr>
        <w:t>,</w:t>
      </w:r>
      <w:r w:rsidR="008D079B" w:rsidRPr="008D079B">
        <w:rPr>
          <w:rFonts w:ascii="Calibri" w:hAnsi="Calibri" w:cs="Calibri"/>
        </w:rPr>
        <w:t xml:space="preserve"> infrastructure and asset (L2), representing transport networks, public facilities, environmental features, and other physical assets</w:t>
      </w:r>
      <w:r w:rsidR="008D079B">
        <w:rPr>
          <w:rFonts w:ascii="Calibri" w:hAnsi="Calibri" w:cs="Calibri"/>
        </w:rPr>
        <w:t>,</w:t>
      </w:r>
      <w:r w:rsidR="008D079B" w:rsidRPr="008D079B">
        <w:rPr>
          <w:rFonts w:ascii="Calibri" w:hAnsi="Calibri" w:cs="Calibri"/>
        </w:rPr>
        <w:t xml:space="preserve"> and building (L3), providing more detailed building- and BIM-level information. These levels define the spatial scope of the current study, from regional context to individual buildings, and allow information at different scales to be organised and explored within the same digital twin environment, as shown in Table 2.</w:t>
      </w:r>
    </w:p>
    <w:p w14:paraId="5C9A4DCF" w14:textId="545D912B" w:rsidR="762722A6" w:rsidRPr="00641693" w:rsidRDefault="762722A6" w:rsidP="762722A6">
      <w:pPr>
        <w:spacing w:after="40" w:line="240" w:lineRule="auto"/>
        <w:jc w:val="both"/>
        <w:rPr>
          <w:rFonts w:ascii="Calibri" w:hAnsi="Calibri" w:cs="Calibri"/>
        </w:rPr>
      </w:pPr>
    </w:p>
    <w:tbl>
      <w:tblPr>
        <w:tblW w:w="5000" w:type="pct"/>
        <w:tblBorders>
          <w:top w:val="single" w:sz="6" w:space="0" w:color="auto"/>
          <w:left w:val="single" w:sz="6" w:space="0" w:color="auto"/>
          <w:bottom w:val="single" w:sz="6" w:space="0" w:color="auto"/>
          <w:right w:val="single" w:sz="6" w:space="0" w:color="auto"/>
        </w:tblBorders>
        <w:tblLayout w:type="fixed"/>
        <w:tblCellMar>
          <w:top w:w="160" w:type="dxa"/>
          <w:left w:w="160" w:type="dxa"/>
          <w:bottom w:w="160" w:type="dxa"/>
          <w:right w:w="160" w:type="dxa"/>
        </w:tblCellMar>
        <w:tblLook w:val="04A0" w:firstRow="1" w:lastRow="0" w:firstColumn="1" w:lastColumn="0" w:noHBand="0" w:noVBand="1"/>
      </w:tblPr>
      <w:tblGrid>
        <w:gridCol w:w="1612"/>
        <w:gridCol w:w="2970"/>
        <w:gridCol w:w="4428"/>
      </w:tblGrid>
      <w:tr w:rsidR="00373D37" w:rsidRPr="00641693" w14:paraId="0C04BE97" w14:textId="77777777" w:rsidTr="00C21AD9">
        <w:trPr>
          <w:tblHeader/>
        </w:trPr>
        <w:tc>
          <w:tcPr>
            <w:tcW w:w="895"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E77C3F4" w14:textId="77777777" w:rsidR="00373D37" w:rsidRPr="00641693" w:rsidRDefault="00373D37" w:rsidP="00373D37">
            <w:pPr>
              <w:spacing w:before="100" w:beforeAutospacing="1" w:after="100" w:afterAutospacing="1" w:line="240" w:lineRule="auto"/>
              <w:jc w:val="center"/>
              <w:rPr>
                <w:rFonts w:ascii="Calibri" w:eastAsiaTheme="minorEastAsia" w:hAnsi="Calibri" w:cs="Times New Roman"/>
                <w:b/>
                <w:bCs/>
                <w:kern w:val="0"/>
                <w:lang w:val="en-IE" w:eastAsia="en-GB"/>
                <w14:ligatures w14:val="none"/>
              </w:rPr>
            </w:pPr>
            <w:r w:rsidRPr="00641693">
              <w:rPr>
                <w:rFonts w:ascii="Calibri" w:eastAsiaTheme="minorEastAsia" w:hAnsi="Calibri" w:cs="Times New Roman"/>
                <w:b/>
                <w:bCs/>
                <w:kern w:val="0"/>
                <w:lang w:val="en-IE" w:eastAsia="en-GB"/>
                <w14:ligatures w14:val="none"/>
              </w:rPr>
              <w:t>Level</w:t>
            </w:r>
          </w:p>
        </w:tc>
        <w:tc>
          <w:tcPr>
            <w:tcW w:w="164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3A51D10" w14:textId="77777777" w:rsidR="00373D37" w:rsidRPr="00641693" w:rsidRDefault="00373D37" w:rsidP="00373D37">
            <w:pPr>
              <w:spacing w:before="100" w:beforeAutospacing="1" w:after="100" w:afterAutospacing="1" w:line="240" w:lineRule="auto"/>
              <w:jc w:val="center"/>
              <w:rPr>
                <w:rFonts w:ascii="Calibri" w:eastAsiaTheme="minorEastAsia" w:hAnsi="Calibri" w:cs="Times New Roman"/>
                <w:b/>
                <w:bCs/>
                <w:kern w:val="0"/>
                <w:lang w:val="en-IE" w:eastAsia="en-GB"/>
                <w14:ligatures w14:val="none"/>
              </w:rPr>
            </w:pPr>
            <w:r w:rsidRPr="00641693">
              <w:rPr>
                <w:rFonts w:ascii="Calibri" w:eastAsiaTheme="minorEastAsia" w:hAnsi="Calibri" w:cs="Times New Roman"/>
                <w:b/>
                <w:bCs/>
                <w:kern w:val="0"/>
                <w:lang w:val="en-IE" w:eastAsia="en-GB"/>
                <w14:ligatures w14:val="none"/>
              </w:rPr>
              <w:t>Characteristics</w:t>
            </w:r>
          </w:p>
        </w:tc>
        <w:tc>
          <w:tcPr>
            <w:tcW w:w="245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058DC36" w14:textId="77777777" w:rsidR="00373D37" w:rsidRPr="00641693" w:rsidRDefault="00373D37" w:rsidP="00373D37">
            <w:pPr>
              <w:spacing w:before="100" w:beforeAutospacing="1" w:after="100" w:afterAutospacing="1" w:line="240" w:lineRule="auto"/>
              <w:jc w:val="center"/>
              <w:rPr>
                <w:rFonts w:ascii="Calibri" w:eastAsiaTheme="minorEastAsia" w:hAnsi="Calibri" w:cs="Times New Roman"/>
                <w:b/>
                <w:bCs/>
                <w:kern w:val="0"/>
                <w:lang w:val="en-IE" w:eastAsia="en-GB"/>
                <w14:ligatures w14:val="none"/>
              </w:rPr>
            </w:pPr>
            <w:r w:rsidRPr="00641693">
              <w:rPr>
                <w:rFonts w:ascii="Calibri" w:eastAsiaTheme="minorEastAsia" w:hAnsi="Calibri" w:cs="Times New Roman"/>
                <w:b/>
                <w:bCs/>
                <w:kern w:val="0"/>
                <w:lang w:val="en-IE" w:eastAsia="en-GB"/>
                <w14:ligatures w14:val="none"/>
              </w:rPr>
              <w:t>Data types</w:t>
            </w:r>
          </w:p>
        </w:tc>
      </w:tr>
      <w:tr w:rsidR="00373D37" w:rsidRPr="00641693" w14:paraId="1BAC9232" w14:textId="77777777" w:rsidTr="00C21AD9">
        <w:tc>
          <w:tcPr>
            <w:tcW w:w="895"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D105876" w14:textId="1C1C2CBC" w:rsidR="00373D37" w:rsidRPr="00641693" w:rsidRDefault="00373D37" w:rsidP="00373D37">
            <w:pPr>
              <w:spacing w:before="100" w:beforeAutospacing="1" w:after="100" w:afterAutospacing="1" w:line="240" w:lineRule="auto"/>
              <w:rPr>
                <w:rFonts w:ascii="Calibri" w:eastAsiaTheme="minorEastAsia" w:hAnsi="Calibri" w:cs="Times New Roman"/>
                <w:kern w:val="0"/>
                <w:lang w:val="en-IE" w:eastAsia="en-GB"/>
                <w14:ligatures w14:val="none"/>
              </w:rPr>
            </w:pPr>
            <w:r w:rsidRPr="00641693">
              <w:rPr>
                <w:rFonts w:ascii="Calibri" w:eastAsiaTheme="minorEastAsia" w:hAnsi="Calibri" w:cs="Times New Roman"/>
                <w:kern w:val="0"/>
                <w:lang w:val="en-IE" w:eastAsia="en-GB"/>
                <w14:ligatures w14:val="none"/>
              </w:rPr>
              <w:t xml:space="preserve">L0 </w:t>
            </w:r>
            <w:r w:rsidR="001322C8">
              <w:rPr>
                <w:rFonts w:ascii="Calibri" w:eastAsiaTheme="minorEastAsia" w:hAnsi="Calibri" w:cs="Times New Roman"/>
                <w:kern w:val="0"/>
                <w:lang w:val="en-IE" w:eastAsia="en-GB"/>
                <w14:ligatures w14:val="none"/>
              </w:rPr>
              <w:t>–</w:t>
            </w:r>
            <w:r w:rsidRPr="00641693">
              <w:rPr>
                <w:rFonts w:ascii="Calibri" w:eastAsiaTheme="minorEastAsia" w:hAnsi="Calibri" w:cs="Times New Roman"/>
                <w:kern w:val="0"/>
                <w:lang w:val="en-IE" w:eastAsia="en-GB"/>
                <w14:ligatures w14:val="none"/>
              </w:rPr>
              <w:t xml:space="preserve"> Regional and municipal</w:t>
            </w:r>
          </w:p>
        </w:tc>
        <w:tc>
          <w:tcPr>
            <w:tcW w:w="164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71E63C8" w14:textId="10077BE8" w:rsidR="00373D37" w:rsidRPr="00641693" w:rsidRDefault="00816117" w:rsidP="00373D37">
            <w:pPr>
              <w:spacing w:before="100" w:beforeAutospacing="1" w:after="100" w:afterAutospacing="1" w:line="240" w:lineRule="auto"/>
              <w:rPr>
                <w:rFonts w:ascii="Calibri" w:eastAsiaTheme="minorEastAsia" w:hAnsi="Calibri" w:cs="Times New Roman"/>
                <w:kern w:val="0"/>
                <w:lang w:val="en-IE" w:eastAsia="en-GB"/>
                <w14:ligatures w14:val="none"/>
              </w:rPr>
            </w:pPr>
            <w:r w:rsidRPr="00641693">
              <w:rPr>
                <w:rFonts w:ascii="Calibri" w:eastAsiaTheme="minorEastAsia" w:hAnsi="Calibri" w:cs="Times New Roman"/>
                <w:kern w:val="0"/>
                <w:lang w:eastAsia="en-GB"/>
                <w14:ligatures w14:val="none"/>
              </w:rPr>
              <w:t>Provides the broadest spatial overview of the study area and supports comparisons across municipalities.</w:t>
            </w:r>
          </w:p>
        </w:tc>
        <w:tc>
          <w:tcPr>
            <w:tcW w:w="245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3E6E359" w14:textId="335AC56F" w:rsidR="00373D37" w:rsidRPr="00641693" w:rsidRDefault="00816117" w:rsidP="00373D37">
            <w:pPr>
              <w:spacing w:before="100" w:beforeAutospacing="1" w:after="100" w:afterAutospacing="1" w:line="240" w:lineRule="auto"/>
              <w:rPr>
                <w:rFonts w:ascii="Calibri" w:eastAsiaTheme="minorEastAsia" w:hAnsi="Calibri" w:cs="Times New Roman"/>
                <w:kern w:val="0"/>
                <w:lang w:val="en-IE" w:eastAsia="en-GB"/>
                <w14:ligatures w14:val="none"/>
              </w:rPr>
            </w:pPr>
            <w:r w:rsidRPr="00641693">
              <w:rPr>
                <w:rFonts w:ascii="Calibri" w:eastAsiaTheme="minorEastAsia" w:hAnsi="Calibri" w:cs="Times New Roman"/>
                <w:kern w:val="0"/>
                <w:lang w:eastAsia="en-GB"/>
                <w14:ligatures w14:val="none"/>
              </w:rPr>
              <w:t>Administrative boundaries, regional indicators, demographic and socioeconomic data, housing data, and major infrastructure networks.</w:t>
            </w:r>
          </w:p>
        </w:tc>
      </w:tr>
      <w:tr w:rsidR="00373D37" w:rsidRPr="00641693" w14:paraId="0B1FEE4E" w14:textId="77777777" w:rsidTr="00C21AD9">
        <w:tc>
          <w:tcPr>
            <w:tcW w:w="895"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67138DE" w14:textId="6F4F45B1" w:rsidR="00373D37" w:rsidRPr="00641693" w:rsidRDefault="00373D37" w:rsidP="00373D37">
            <w:pPr>
              <w:spacing w:before="100" w:beforeAutospacing="1" w:after="100" w:afterAutospacing="1" w:line="240" w:lineRule="auto"/>
              <w:rPr>
                <w:rFonts w:ascii="Calibri" w:eastAsiaTheme="minorEastAsia" w:hAnsi="Calibri" w:cs="Times New Roman"/>
                <w:kern w:val="0"/>
                <w:lang w:val="en-IE" w:eastAsia="en-GB"/>
                <w14:ligatures w14:val="none"/>
              </w:rPr>
            </w:pPr>
            <w:r w:rsidRPr="00641693">
              <w:rPr>
                <w:rFonts w:ascii="Calibri" w:eastAsiaTheme="minorEastAsia" w:hAnsi="Calibri" w:cs="Times New Roman"/>
                <w:kern w:val="0"/>
                <w:lang w:val="en-IE" w:eastAsia="en-GB"/>
                <w14:ligatures w14:val="none"/>
              </w:rPr>
              <w:t xml:space="preserve">L1 </w:t>
            </w:r>
            <w:r w:rsidR="00816117" w:rsidRPr="00641693">
              <w:rPr>
                <w:rFonts w:ascii="Calibri" w:eastAsiaTheme="minorEastAsia" w:hAnsi="Calibri" w:cs="Times New Roman"/>
                <w:kern w:val="0"/>
                <w:lang w:val="en-IE" w:eastAsia="en-GB"/>
                <w14:ligatures w14:val="none"/>
              </w:rPr>
              <w:t>-</w:t>
            </w:r>
            <w:r w:rsidRPr="00641693">
              <w:rPr>
                <w:rFonts w:ascii="Calibri" w:eastAsiaTheme="minorEastAsia" w:hAnsi="Calibri" w:cs="Times New Roman"/>
                <w:kern w:val="0"/>
                <w:lang w:val="en-IE" w:eastAsia="en-GB"/>
                <w14:ligatures w14:val="none"/>
              </w:rPr>
              <w:t xml:space="preserve"> Neighbourhood</w:t>
            </w:r>
          </w:p>
        </w:tc>
        <w:tc>
          <w:tcPr>
            <w:tcW w:w="164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09F790A" w14:textId="3324794A" w:rsidR="00373D37" w:rsidRPr="00641693" w:rsidRDefault="00816117" w:rsidP="00373D37">
            <w:pPr>
              <w:spacing w:before="100" w:beforeAutospacing="1" w:after="100" w:afterAutospacing="1" w:line="240" w:lineRule="auto"/>
              <w:rPr>
                <w:rFonts w:ascii="Calibri" w:eastAsiaTheme="minorEastAsia" w:hAnsi="Calibri" w:cs="Times New Roman"/>
                <w:kern w:val="0"/>
                <w:lang w:val="en-IE" w:eastAsia="en-GB"/>
                <w14:ligatures w14:val="none"/>
              </w:rPr>
            </w:pPr>
            <w:r w:rsidRPr="00641693">
              <w:rPr>
                <w:rFonts w:ascii="Calibri" w:eastAsiaTheme="minorEastAsia" w:hAnsi="Calibri" w:cs="Times New Roman"/>
                <w:kern w:val="0"/>
                <w:lang w:eastAsia="en-GB"/>
                <w14:ligatures w14:val="none"/>
              </w:rPr>
              <w:t>Provides more detailed information at the municipal level and reveals local spatial variations.</w:t>
            </w:r>
          </w:p>
        </w:tc>
        <w:tc>
          <w:tcPr>
            <w:tcW w:w="245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0F326B0" w14:textId="2DF8757E" w:rsidR="00373D37" w:rsidRPr="00641693" w:rsidRDefault="00816117" w:rsidP="00373D37">
            <w:pPr>
              <w:spacing w:before="100" w:beforeAutospacing="1" w:after="100" w:afterAutospacing="1" w:line="240" w:lineRule="auto"/>
              <w:rPr>
                <w:rFonts w:ascii="Calibri" w:eastAsiaTheme="minorEastAsia" w:hAnsi="Calibri" w:cs="Times New Roman"/>
                <w:kern w:val="0"/>
                <w:lang w:val="en-IE" w:eastAsia="en-GB"/>
                <w14:ligatures w14:val="none"/>
              </w:rPr>
            </w:pPr>
            <w:r w:rsidRPr="00641693">
              <w:rPr>
                <w:rFonts w:ascii="Calibri" w:eastAsiaTheme="minorEastAsia" w:hAnsi="Calibri" w:cs="Times New Roman"/>
                <w:kern w:val="0"/>
                <w:lang w:eastAsia="en-GB"/>
                <w14:ligatures w14:val="none"/>
              </w:rPr>
              <w:t>Neighbourhood boundaries, population and income data, housing conditions, environmental indicators, and accessibility data.</w:t>
            </w:r>
          </w:p>
        </w:tc>
      </w:tr>
      <w:tr w:rsidR="00373D37" w:rsidRPr="00641693" w14:paraId="58F73BA6" w14:textId="77777777" w:rsidTr="00C21AD9">
        <w:tc>
          <w:tcPr>
            <w:tcW w:w="895"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305E66F" w14:textId="40542A0B" w:rsidR="00373D37" w:rsidRPr="00641693" w:rsidRDefault="00373D37" w:rsidP="00373D37">
            <w:pPr>
              <w:spacing w:before="100" w:beforeAutospacing="1" w:after="100" w:afterAutospacing="1" w:line="240" w:lineRule="auto"/>
              <w:rPr>
                <w:rFonts w:ascii="Calibri" w:eastAsiaTheme="minorEastAsia" w:hAnsi="Calibri" w:cs="Times New Roman"/>
                <w:kern w:val="0"/>
                <w:lang w:val="en-IE" w:eastAsia="en-GB"/>
                <w14:ligatures w14:val="none"/>
              </w:rPr>
            </w:pPr>
            <w:r w:rsidRPr="00641693">
              <w:rPr>
                <w:rFonts w:ascii="Calibri" w:eastAsiaTheme="minorEastAsia" w:hAnsi="Calibri" w:cs="Times New Roman"/>
                <w:kern w:val="0"/>
                <w:lang w:val="en-IE" w:eastAsia="en-GB"/>
                <w14:ligatures w14:val="none"/>
              </w:rPr>
              <w:lastRenderedPageBreak/>
              <w:t xml:space="preserve">L2 </w:t>
            </w:r>
            <w:r w:rsidR="00816117" w:rsidRPr="00641693">
              <w:rPr>
                <w:rFonts w:ascii="Calibri" w:eastAsiaTheme="minorEastAsia" w:hAnsi="Calibri" w:cs="Times New Roman"/>
                <w:kern w:val="0"/>
                <w:lang w:val="en-IE" w:eastAsia="en-GB"/>
                <w14:ligatures w14:val="none"/>
              </w:rPr>
              <w:t>-</w:t>
            </w:r>
            <w:r w:rsidRPr="00641693">
              <w:rPr>
                <w:rFonts w:ascii="Calibri" w:eastAsiaTheme="minorEastAsia" w:hAnsi="Calibri" w:cs="Times New Roman"/>
                <w:kern w:val="0"/>
                <w:lang w:val="en-IE" w:eastAsia="en-GB"/>
                <w14:ligatures w14:val="none"/>
              </w:rPr>
              <w:t>Infrastructure and assets</w:t>
            </w:r>
          </w:p>
        </w:tc>
        <w:tc>
          <w:tcPr>
            <w:tcW w:w="164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4661572" w14:textId="0CF8AA25" w:rsidR="00373D37" w:rsidRPr="00641693" w:rsidRDefault="00816117" w:rsidP="00373D37">
            <w:pPr>
              <w:spacing w:before="100" w:beforeAutospacing="1" w:after="100" w:afterAutospacing="1" w:line="240" w:lineRule="auto"/>
              <w:rPr>
                <w:rFonts w:ascii="Calibri" w:eastAsiaTheme="minorEastAsia" w:hAnsi="Calibri" w:cs="Times New Roman"/>
                <w:kern w:val="0"/>
                <w:lang w:val="en-IE" w:eastAsia="en-GB"/>
                <w14:ligatures w14:val="none"/>
              </w:rPr>
            </w:pPr>
            <w:r w:rsidRPr="00641693">
              <w:rPr>
                <w:rFonts w:ascii="Calibri" w:eastAsiaTheme="minorEastAsia" w:hAnsi="Calibri" w:cs="Times New Roman"/>
                <w:kern w:val="0"/>
                <w:lang w:eastAsia="en-GB"/>
                <w14:ligatures w14:val="none"/>
              </w:rPr>
              <w:t>Represents public services, infrastructure networks, public facilities, and environmental features.</w:t>
            </w:r>
          </w:p>
        </w:tc>
        <w:tc>
          <w:tcPr>
            <w:tcW w:w="245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2D69E8F" w14:textId="32C01FF6" w:rsidR="00122094" w:rsidRPr="00641693" w:rsidRDefault="00816117" w:rsidP="00122094">
            <w:pPr>
              <w:spacing w:before="100" w:beforeAutospacing="1" w:after="100" w:afterAutospacing="1" w:line="240" w:lineRule="auto"/>
              <w:rPr>
                <w:sz w:val="24"/>
                <w:szCs w:val="24"/>
              </w:rPr>
            </w:pPr>
            <w:r w:rsidRPr="00641693">
              <w:rPr>
                <w:rFonts w:ascii="Calibri" w:eastAsiaTheme="minorEastAsia" w:hAnsi="Calibri" w:cs="Times New Roman"/>
                <w:kern w:val="0"/>
                <w:lang w:eastAsia="en-GB"/>
                <w14:ligatures w14:val="none"/>
              </w:rPr>
              <w:t>Transport stops and routes, road networks, schools, public facilities, parks, utility infrastructure, and flood-risk zones</w:t>
            </w:r>
            <w:r w:rsidR="00122094" w:rsidRPr="00641693">
              <w:rPr>
                <w:rFonts w:ascii="Calibri" w:eastAsiaTheme="minorEastAsia" w:hAnsi="Calibri" w:cs="Times New Roman"/>
                <w:kern w:val="0"/>
                <w:lang w:eastAsia="en-GB"/>
                <w14:ligatures w14:val="none"/>
              </w:rPr>
              <w:t>, air-quality sensor data, and mobility sensor data.</w:t>
            </w:r>
          </w:p>
          <w:p w14:paraId="0B51B772" w14:textId="7E33DB14" w:rsidR="00373D37" w:rsidRPr="00641693" w:rsidRDefault="00373D37" w:rsidP="00373D37">
            <w:pPr>
              <w:spacing w:before="100" w:beforeAutospacing="1" w:after="100" w:afterAutospacing="1" w:line="240" w:lineRule="auto"/>
              <w:rPr>
                <w:rFonts w:ascii="Calibri" w:eastAsiaTheme="minorEastAsia" w:hAnsi="Calibri" w:cs="Times New Roman"/>
                <w:kern w:val="0"/>
                <w:lang w:eastAsia="en-GB"/>
                <w14:ligatures w14:val="none"/>
              </w:rPr>
            </w:pPr>
          </w:p>
        </w:tc>
      </w:tr>
      <w:tr w:rsidR="00373D37" w:rsidRPr="00641693" w14:paraId="33E6ED40" w14:textId="77777777" w:rsidTr="00C21AD9">
        <w:tc>
          <w:tcPr>
            <w:tcW w:w="895"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FB821BA" w14:textId="416CB4D1" w:rsidR="00373D37" w:rsidRPr="00641693" w:rsidRDefault="00373D37" w:rsidP="00373D37">
            <w:pPr>
              <w:spacing w:before="100" w:beforeAutospacing="1" w:after="100" w:afterAutospacing="1" w:line="240" w:lineRule="auto"/>
              <w:rPr>
                <w:rFonts w:ascii="Calibri" w:eastAsiaTheme="minorEastAsia" w:hAnsi="Calibri" w:cs="Times New Roman"/>
                <w:kern w:val="0"/>
                <w:lang w:val="en-IE" w:eastAsia="en-GB"/>
                <w14:ligatures w14:val="none"/>
              </w:rPr>
            </w:pPr>
            <w:r w:rsidRPr="00641693">
              <w:rPr>
                <w:rFonts w:ascii="Calibri" w:eastAsiaTheme="minorEastAsia" w:hAnsi="Calibri" w:cs="Times New Roman"/>
                <w:kern w:val="0"/>
                <w:lang w:val="en-IE" w:eastAsia="en-GB"/>
                <w14:ligatures w14:val="none"/>
              </w:rPr>
              <w:t xml:space="preserve">L3 </w:t>
            </w:r>
            <w:r w:rsidR="00816117" w:rsidRPr="00641693">
              <w:rPr>
                <w:rFonts w:ascii="Calibri" w:eastAsiaTheme="minorEastAsia" w:hAnsi="Calibri" w:cs="Times New Roman"/>
                <w:kern w:val="0"/>
                <w:lang w:val="en-IE" w:eastAsia="en-GB"/>
                <w14:ligatures w14:val="none"/>
              </w:rPr>
              <w:t>-</w:t>
            </w:r>
            <w:r w:rsidRPr="00641693">
              <w:rPr>
                <w:rFonts w:ascii="Calibri" w:eastAsiaTheme="minorEastAsia" w:hAnsi="Calibri" w:cs="Times New Roman"/>
                <w:kern w:val="0"/>
                <w:lang w:val="en-IE" w:eastAsia="en-GB"/>
                <w14:ligatures w14:val="none"/>
              </w:rPr>
              <w:t xml:space="preserve"> Building and BIM</w:t>
            </w:r>
          </w:p>
        </w:tc>
        <w:tc>
          <w:tcPr>
            <w:tcW w:w="1648"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5F2AEEA" w14:textId="0C6CFF3E" w:rsidR="00373D37" w:rsidRPr="00641693" w:rsidRDefault="00816117" w:rsidP="00373D37">
            <w:pPr>
              <w:spacing w:before="100" w:beforeAutospacing="1" w:after="100" w:afterAutospacing="1" w:line="240" w:lineRule="auto"/>
              <w:rPr>
                <w:rFonts w:ascii="Calibri" w:eastAsiaTheme="minorEastAsia" w:hAnsi="Calibri" w:cs="Times New Roman"/>
                <w:kern w:val="0"/>
                <w:lang w:val="en-IE" w:eastAsia="en-GB"/>
                <w14:ligatures w14:val="none"/>
              </w:rPr>
            </w:pPr>
            <w:r w:rsidRPr="00641693">
              <w:rPr>
                <w:rFonts w:ascii="Calibri" w:eastAsiaTheme="minorEastAsia" w:hAnsi="Calibri" w:cs="Times New Roman"/>
                <w:kern w:val="0"/>
                <w:lang w:eastAsia="en-GB"/>
                <w14:ligatures w14:val="none"/>
              </w:rPr>
              <w:t>Provides the highest level of spatial detail, focusing on individual buildings and associated public assets.</w:t>
            </w:r>
          </w:p>
        </w:tc>
        <w:tc>
          <w:tcPr>
            <w:tcW w:w="245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A2D38BF" w14:textId="6209C2ED" w:rsidR="00373D37" w:rsidRPr="00641693" w:rsidRDefault="00816117" w:rsidP="00373D37">
            <w:pPr>
              <w:spacing w:before="100" w:beforeAutospacing="1" w:after="100" w:afterAutospacing="1" w:line="240" w:lineRule="auto"/>
              <w:rPr>
                <w:rFonts w:ascii="Calibri" w:eastAsiaTheme="minorEastAsia" w:hAnsi="Calibri" w:cs="Times New Roman"/>
                <w:kern w:val="0"/>
                <w:lang w:val="en-IE" w:eastAsia="en-GB"/>
                <w14:ligatures w14:val="none"/>
              </w:rPr>
            </w:pPr>
            <w:r w:rsidRPr="00641693">
              <w:rPr>
                <w:rFonts w:ascii="Calibri" w:eastAsiaTheme="minorEastAsia" w:hAnsi="Calibri" w:cs="Times New Roman"/>
                <w:kern w:val="0"/>
                <w:lang w:eastAsia="en-GB"/>
                <w14:ligatures w14:val="none"/>
              </w:rPr>
              <w:t>Building footprints, building attributes, BIM models, floor-level information, asset data, and building performance data.</w:t>
            </w:r>
          </w:p>
        </w:tc>
      </w:tr>
    </w:tbl>
    <w:p w14:paraId="21D58262" w14:textId="59360901" w:rsidR="00625F4E" w:rsidRPr="00641693" w:rsidRDefault="00986020" w:rsidP="762722A6">
      <w:pPr>
        <w:spacing w:after="40" w:line="240" w:lineRule="auto"/>
        <w:jc w:val="center"/>
      </w:pPr>
      <w:r w:rsidRPr="00641693">
        <w:rPr>
          <w:rFonts w:ascii="Calibri" w:hAnsi="Calibri" w:cs="Calibri"/>
          <w:i/>
          <w:iCs/>
          <w:sz w:val="20"/>
          <w:szCs w:val="20"/>
        </w:rPr>
        <w:t xml:space="preserve">Table </w:t>
      </w:r>
      <w:r w:rsidR="004C0EA8" w:rsidRPr="00641693">
        <w:rPr>
          <w:rFonts w:ascii="Calibri" w:hAnsi="Calibri" w:cs="Calibri"/>
          <w:i/>
          <w:iCs/>
          <w:sz w:val="20"/>
          <w:szCs w:val="20"/>
        </w:rPr>
        <w:t>2</w:t>
      </w:r>
      <w:r w:rsidRPr="00641693">
        <w:rPr>
          <w:rFonts w:ascii="Calibri" w:hAnsi="Calibri" w:cs="Calibri"/>
          <w:i/>
          <w:iCs/>
          <w:sz w:val="20"/>
          <w:szCs w:val="20"/>
        </w:rPr>
        <w:t xml:space="preserve">. Characteristics and Data Types of the </w:t>
      </w:r>
      <w:proofErr w:type="spellStart"/>
      <w:r w:rsidRPr="00641693">
        <w:rPr>
          <w:rFonts w:ascii="Calibri" w:hAnsi="Calibri" w:cs="Calibri"/>
          <w:i/>
          <w:iCs/>
          <w:sz w:val="20"/>
          <w:szCs w:val="20"/>
        </w:rPr>
        <w:t>Multi</w:t>
      </w:r>
      <w:r w:rsidR="004C0EA8" w:rsidRPr="00641693">
        <w:rPr>
          <w:rFonts w:ascii="Calibri" w:hAnsi="Calibri" w:cs="Calibri"/>
          <w:i/>
          <w:iCs/>
          <w:sz w:val="20"/>
          <w:szCs w:val="20"/>
        </w:rPr>
        <w:t xml:space="preserve"> </w:t>
      </w:r>
      <w:r w:rsidRPr="00641693">
        <w:rPr>
          <w:rFonts w:ascii="Calibri" w:hAnsi="Calibri" w:cs="Calibri"/>
          <w:i/>
          <w:iCs/>
          <w:sz w:val="20"/>
          <w:szCs w:val="20"/>
        </w:rPr>
        <w:t>Level</w:t>
      </w:r>
      <w:proofErr w:type="spellEnd"/>
      <w:r w:rsidRPr="00641693">
        <w:rPr>
          <w:rFonts w:ascii="Calibri" w:hAnsi="Calibri" w:cs="Calibri"/>
          <w:i/>
          <w:iCs/>
          <w:sz w:val="20"/>
          <w:szCs w:val="20"/>
        </w:rPr>
        <w:t xml:space="preserve"> Spatial Structure</w:t>
      </w:r>
    </w:p>
    <w:p w14:paraId="70594710" w14:textId="68EE9149" w:rsidR="5170F887" w:rsidRPr="00641693" w:rsidRDefault="5170F887" w:rsidP="5170F887">
      <w:pPr>
        <w:spacing w:after="40" w:line="240" w:lineRule="auto"/>
        <w:jc w:val="center"/>
        <w:rPr>
          <w:rFonts w:ascii="Calibri" w:hAnsi="Calibri" w:cs="Calibri"/>
          <w:i/>
          <w:iCs/>
          <w:sz w:val="20"/>
          <w:szCs w:val="20"/>
        </w:rPr>
      </w:pPr>
    </w:p>
    <w:p w14:paraId="69031BA4" w14:textId="65580968" w:rsidR="009D10D8" w:rsidRPr="00641693" w:rsidRDefault="00DC25F2" w:rsidP="0014196B">
      <w:pPr>
        <w:spacing w:after="40" w:line="240" w:lineRule="auto"/>
        <w:jc w:val="both"/>
        <w:rPr>
          <w:rFonts w:ascii="Calibri" w:hAnsi="Calibri" w:cs="Calibri"/>
          <w:b/>
          <w:bCs/>
          <w:sz w:val="24"/>
          <w:szCs w:val="24"/>
        </w:rPr>
      </w:pPr>
      <w:r w:rsidRPr="00641693">
        <w:rPr>
          <w:rFonts w:ascii="Calibri" w:hAnsi="Calibri" w:cs="Calibri"/>
          <w:b/>
          <w:bCs/>
          <w:sz w:val="24"/>
          <w:szCs w:val="24"/>
        </w:rPr>
        <w:t xml:space="preserve">      </w:t>
      </w:r>
      <w:r w:rsidR="007F4123">
        <w:rPr>
          <w:rFonts w:ascii="Calibri" w:hAnsi="Calibri" w:cs="Calibri"/>
          <w:b/>
          <w:bCs/>
          <w:sz w:val="24"/>
          <w:szCs w:val="24"/>
        </w:rPr>
        <w:t xml:space="preserve">3. </w:t>
      </w:r>
      <w:r w:rsidR="0010377B">
        <w:rPr>
          <w:rFonts w:ascii="Calibri" w:hAnsi="Calibri" w:cs="Calibri"/>
          <w:b/>
          <w:bCs/>
          <w:sz w:val="24"/>
          <w:szCs w:val="24"/>
        </w:rPr>
        <w:t xml:space="preserve">The FARI </w:t>
      </w:r>
      <w:r w:rsidR="0083198C" w:rsidRPr="00641693">
        <w:rPr>
          <w:rFonts w:ascii="Calibri" w:hAnsi="Calibri" w:cs="Calibri"/>
          <w:b/>
          <w:bCs/>
          <w:sz w:val="24"/>
          <w:szCs w:val="24"/>
        </w:rPr>
        <w:t xml:space="preserve">Prototype </w:t>
      </w:r>
    </w:p>
    <w:p w14:paraId="24112D32" w14:textId="4E3146FA" w:rsidR="00A32E80" w:rsidRPr="00641693" w:rsidRDefault="00701770" w:rsidP="00A32E80">
      <w:pPr>
        <w:spacing w:after="40" w:line="240" w:lineRule="auto"/>
        <w:jc w:val="both"/>
        <w:rPr>
          <w:rFonts w:ascii="Calibri" w:hAnsi="Calibri" w:cs="Calibri"/>
        </w:rPr>
      </w:pPr>
      <w:r w:rsidRPr="00641693">
        <w:rPr>
          <w:rFonts w:ascii="Calibri" w:hAnsi="Calibri" w:cs="Calibri"/>
        </w:rPr>
        <w:t xml:space="preserve">                </w:t>
      </w:r>
      <w:r w:rsidR="001D7E76" w:rsidRPr="001D7E76">
        <w:rPr>
          <w:rFonts w:ascii="Calibri" w:hAnsi="Calibri" w:cs="Calibri"/>
        </w:rPr>
        <w:t>A functional web-based prototype was developed to test the proposed platform design and examine its feasibility within an operational browser-based environment. The prototype demonstrates the platform’s structure, user interface, data visualisation approach, and multi-level spatial organisation. It examines whether heterogeneous datasets spanning four spatial levels can be integrated and presented within a common environment, allowing users to navigate between broader administrative contexts and more detailed neighbourhood, infrastructure, and building-level information.</w:t>
      </w:r>
    </w:p>
    <w:p w14:paraId="7C1AA25E" w14:textId="448275BC" w:rsidR="00BF183A" w:rsidRDefault="00701770" w:rsidP="0014196B">
      <w:pPr>
        <w:spacing w:after="40" w:line="240" w:lineRule="auto"/>
        <w:jc w:val="both"/>
        <w:rPr>
          <w:rFonts w:ascii="Calibri" w:hAnsi="Calibri" w:cs="Calibri"/>
        </w:rPr>
      </w:pPr>
      <w:r w:rsidRPr="00641693">
        <w:rPr>
          <w:rFonts w:ascii="Calibri" w:hAnsi="Calibri" w:cs="Calibri"/>
        </w:rPr>
        <w:t xml:space="preserve">               </w:t>
      </w:r>
      <w:r w:rsidR="008D079B" w:rsidRPr="008D079B">
        <w:rPr>
          <w:rFonts w:ascii="Calibri" w:hAnsi="Calibri" w:cs="Calibri"/>
        </w:rPr>
        <w:t>Brussels was selected as the case study because of the availability of diverse public and open datasets across multiple policy domains and spatial scales. Its governance structure also means that responsibilities and information are distributed across regional, municipal, and local levels, providing a relevant context for examining how fragmented public-sector information can be brought together within a shared spatial environment.</w:t>
      </w:r>
    </w:p>
    <w:p w14:paraId="3C9799E4" w14:textId="6DB98F21" w:rsidR="00816117" w:rsidRDefault="001D7E76" w:rsidP="00C21AD9">
      <w:pPr>
        <w:spacing w:after="40" w:line="240" w:lineRule="auto"/>
        <w:jc w:val="both"/>
        <w:rPr>
          <w:rFonts w:ascii="Calibri" w:hAnsi="Calibri" w:cs="Calibri"/>
        </w:rPr>
      </w:pPr>
      <w:r>
        <w:rPr>
          <w:rFonts w:ascii="Calibri" w:hAnsi="Calibri" w:cs="Calibri"/>
        </w:rPr>
        <w:tab/>
      </w:r>
      <w:r w:rsidRPr="001D7E76">
        <w:rPr>
          <w:rFonts w:ascii="Calibri" w:hAnsi="Calibri" w:cs="Calibri"/>
        </w:rPr>
        <w:t>The prototype is not intended to represent a fully operational digital</w:t>
      </w:r>
      <w:r>
        <w:rPr>
          <w:rFonts w:ascii="Calibri" w:hAnsi="Calibri" w:cs="Calibri"/>
        </w:rPr>
        <w:t xml:space="preserve"> twin</w:t>
      </w:r>
      <w:r w:rsidRPr="001D7E76">
        <w:rPr>
          <w:rFonts w:ascii="Calibri" w:hAnsi="Calibri" w:cs="Calibri"/>
        </w:rPr>
        <w:t>. Rather, it serves as a proof of concept for the proposed platform approach, with particular emphasis on heterogeneous data integration, multi-scale spatial organisation, browser-based accessibility, and cross-domain exploration. Advanced operational functions, including more extensive real-time data integration, predictive modelling, scenario simulation, and detailed interoperability mechanisms, remain areas for subsequent development and evaluation. Table 3 summarises the datasets included at each spatial level, together with their respective sources.</w:t>
      </w:r>
    </w:p>
    <w:p w14:paraId="5E834A3C" w14:textId="77777777" w:rsidR="001D7E76" w:rsidRPr="00641693" w:rsidRDefault="001D7E76" w:rsidP="70D3872A">
      <w:pPr>
        <w:spacing w:after="40" w:line="240" w:lineRule="auto"/>
        <w:jc w:val="both"/>
        <w:rPr>
          <w:rFonts w:ascii="Calibri" w:hAnsi="Calibri" w:cs="Calibri"/>
        </w:rPr>
      </w:pPr>
    </w:p>
    <w:tbl>
      <w:tblPr>
        <w:tblStyle w:val="TableGrid"/>
        <w:tblW w:w="0" w:type="auto"/>
        <w:tblLook w:val="06A0" w:firstRow="1" w:lastRow="0" w:firstColumn="1" w:lastColumn="0" w:noHBand="1" w:noVBand="1"/>
      </w:tblPr>
      <w:tblGrid>
        <w:gridCol w:w="1020"/>
        <w:gridCol w:w="4970"/>
        <w:gridCol w:w="3025"/>
      </w:tblGrid>
      <w:tr w:rsidR="00E1199D" w:rsidRPr="00641693" w14:paraId="67EF49A1" w14:textId="77777777">
        <w:trPr>
          <w:trHeight w:val="300"/>
        </w:trPr>
        <w:tc>
          <w:tcPr>
            <w:tcW w:w="1020" w:type="dxa"/>
          </w:tcPr>
          <w:p w14:paraId="38716AF4" w14:textId="77777777" w:rsidR="00E1199D" w:rsidRPr="00641693" w:rsidRDefault="00E1199D">
            <w:pPr>
              <w:jc w:val="center"/>
              <w:rPr>
                <w:rFonts w:ascii="Calibri" w:eastAsia="Calibri" w:hAnsi="Calibri" w:cs="Calibri"/>
                <w:b/>
                <w:bCs/>
              </w:rPr>
            </w:pPr>
            <w:r w:rsidRPr="00641693">
              <w:rPr>
                <w:rFonts w:ascii="Calibri" w:eastAsia="Calibri" w:hAnsi="Calibri" w:cs="Calibri"/>
                <w:b/>
                <w:bCs/>
              </w:rPr>
              <w:t>Level</w:t>
            </w:r>
          </w:p>
        </w:tc>
        <w:tc>
          <w:tcPr>
            <w:tcW w:w="4970" w:type="dxa"/>
          </w:tcPr>
          <w:p w14:paraId="7220E62F" w14:textId="77777777" w:rsidR="00E1199D" w:rsidRPr="00641693" w:rsidRDefault="00E1199D">
            <w:pPr>
              <w:jc w:val="center"/>
              <w:rPr>
                <w:rFonts w:ascii="Calibri" w:eastAsia="Calibri" w:hAnsi="Calibri" w:cs="Calibri"/>
                <w:b/>
                <w:bCs/>
              </w:rPr>
            </w:pPr>
            <w:r w:rsidRPr="00641693">
              <w:rPr>
                <w:rFonts w:ascii="Calibri" w:eastAsia="Calibri" w:hAnsi="Calibri" w:cs="Calibri"/>
                <w:b/>
                <w:bCs/>
              </w:rPr>
              <w:t>Representation in Platform</w:t>
            </w:r>
          </w:p>
        </w:tc>
        <w:tc>
          <w:tcPr>
            <w:tcW w:w="3025" w:type="dxa"/>
          </w:tcPr>
          <w:p w14:paraId="732B8737" w14:textId="77777777" w:rsidR="00E1199D" w:rsidRPr="00641693" w:rsidRDefault="00E1199D">
            <w:pPr>
              <w:jc w:val="center"/>
              <w:rPr>
                <w:rFonts w:ascii="Calibri" w:eastAsia="Calibri" w:hAnsi="Calibri" w:cs="Calibri"/>
                <w:b/>
                <w:bCs/>
              </w:rPr>
            </w:pPr>
            <w:r w:rsidRPr="00641693">
              <w:rPr>
                <w:rFonts w:ascii="Calibri" w:eastAsia="Calibri" w:hAnsi="Calibri" w:cs="Calibri"/>
                <w:b/>
                <w:bCs/>
              </w:rPr>
              <w:t>Data Resolution and Sources</w:t>
            </w:r>
          </w:p>
        </w:tc>
      </w:tr>
      <w:tr w:rsidR="00E1199D" w:rsidRPr="00641693" w14:paraId="43FEB50E" w14:textId="77777777">
        <w:trPr>
          <w:trHeight w:val="2280"/>
        </w:trPr>
        <w:tc>
          <w:tcPr>
            <w:tcW w:w="1020" w:type="dxa"/>
          </w:tcPr>
          <w:p w14:paraId="61E8A10B" w14:textId="77777777" w:rsidR="00E1199D" w:rsidRPr="00641693" w:rsidRDefault="00E1199D">
            <w:pPr>
              <w:jc w:val="center"/>
              <w:rPr>
                <w:rFonts w:ascii="Calibri" w:eastAsia="Calibri" w:hAnsi="Calibri" w:cs="Calibri"/>
              </w:rPr>
            </w:pPr>
          </w:p>
          <w:p w14:paraId="347710FE" w14:textId="77777777" w:rsidR="00E1199D" w:rsidRPr="00641693" w:rsidRDefault="00E1199D">
            <w:pPr>
              <w:jc w:val="center"/>
              <w:rPr>
                <w:rFonts w:ascii="Calibri" w:eastAsia="Calibri" w:hAnsi="Calibri" w:cs="Calibri"/>
              </w:rPr>
            </w:pPr>
          </w:p>
          <w:p w14:paraId="56D3ACA0" w14:textId="77777777" w:rsidR="00E1199D" w:rsidRPr="00641693" w:rsidRDefault="00E1199D">
            <w:pPr>
              <w:jc w:val="center"/>
              <w:rPr>
                <w:rFonts w:ascii="Calibri" w:eastAsia="Calibri" w:hAnsi="Calibri" w:cs="Calibri"/>
              </w:rPr>
            </w:pPr>
          </w:p>
          <w:p w14:paraId="1192537D" w14:textId="77777777" w:rsidR="00E1199D" w:rsidRPr="00641693" w:rsidRDefault="00E1199D">
            <w:pPr>
              <w:jc w:val="center"/>
              <w:rPr>
                <w:rFonts w:ascii="Calibri" w:eastAsia="Calibri" w:hAnsi="Calibri" w:cs="Calibri"/>
              </w:rPr>
            </w:pPr>
            <w:r w:rsidRPr="00641693">
              <w:rPr>
                <w:rFonts w:ascii="Calibri" w:eastAsia="Calibri" w:hAnsi="Calibri" w:cs="Calibri"/>
              </w:rPr>
              <w:t>L0</w:t>
            </w:r>
          </w:p>
        </w:tc>
        <w:tc>
          <w:tcPr>
            <w:tcW w:w="4970" w:type="dxa"/>
          </w:tcPr>
          <w:p w14:paraId="3599A253" w14:textId="77777777" w:rsidR="00E1199D" w:rsidRPr="00641693" w:rsidRDefault="00E1199D">
            <w:pPr>
              <w:jc w:val="center"/>
              <w:rPr>
                <w:rFonts w:ascii="Calibri" w:hAnsi="Calibri" w:cs="Calibri"/>
              </w:rPr>
            </w:pPr>
            <w:r w:rsidRPr="00641693">
              <w:rPr>
                <w:noProof/>
              </w:rPr>
              <w:drawing>
                <wp:inline distT="0" distB="0" distL="0" distR="0" wp14:anchorId="0788AA17" wp14:editId="20F1E942">
                  <wp:extent cx="2903474" cy="1420336"/>
                  <wp:effectExtent l="0" t="0" r="0" b="0"/>
                  <wp:docPr id="319543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828427" name="Picture 529828427"/>
                          <pic:cNvPicPr/>
                        </pic:nvPicPr>
                        <pic:blipFill>
                          <a:blip r:embed="rId10">
                            <a:extLst>
                              <a:ext uri="{28A0092B-C50C-407E-A947-70E740481C1C}">
                                <a14:useLocalDpi xmlns:a14="http://schemas.microsoft.com/office/drawing/2010/main"/>
                              </a:ext>
                            </a:extLst>
                          </a:blip>
                          <a:stretch>
                            <a:fillRect/>
                          </a:stretch>
                        </pic:blipFill>
                        <pic:spPr>
                          <a:xfrm>
                            <a:off x="0" y="0"/>
                            <a:ext cx="2903474" cy="1420336"/>
                          </a:xfrm>
                          <a:prstGeom prst="rect">
                            <a:avLst/>
                          </a:prstGeom>
                        </pic:spPr>
                      </pic:pic>
                    </a:graphicData>
                  </a:graphic>
                </wp:inline>
              </w:drawing>
            </w:r>
          </w:p>
        </w:tc>
        <w:tc>
          <w:tcPr>
            <w:tcW w:w="3025" w:type="dxa"/>
          </w:tcPr>
          <w:p w14:paraId="61F521AB" w14:textId="77777777" w:rsidR="00E1199D" w:rsidRPr="00641693" w:rsidRDefault="00E1199D">
            <w:pPr>
              <w:rPr>
                <w:rFonts w:ascii="Calibri" w:eastAsia="Calibri" w:hAnsi="Calibri" w:cs="Calibri"/>
                <w:sz w:val="20"/>
                <w:szCs w:val="20"/>
              </w:rPr>
            </w:pPr>
          </w:p>
          <w:p w14:paraId="14197CF5" w14:textId="77777777" w:rsidR="00E1199D" w:rsidRPr="00641693" w:rsidRDefault="00E1199D">
            <w:pPr>
              <w:rPr>
                <w:rFonts w:ascii="Calibri" w:eastAsia="Calibri" w:hAnsi="Calibri" w:cs="Calibri"/>
                <w:sz w:val="20"/>
                <w:szCs w:val="20"/>
              </w:rPr>
            </w:pPr>
          </w:p>
          <w:p w14:paraId="69E967D1" w14:textId="77777777" w:rsidR="001322C8" w:rsidRDefault="001322C8">
            <w:pPr>
              <w:rPr>
                <w:rFonts w:ascii="Calibri" w:eastAsia="Calibri" w:hAnsi="Calibri" w:cs="Calibri"/>
                <w:sz w:val="20"/>
                <w:szCs w:val="20"/>
              </w:rPr>
            </w:pPr>
          </w:p>
          <w:p w14:paraId="30DB82B2" w14:textId="7F0B2723" w:rsidR="00E1199D" w:rsidRPr="00641693" w:rsidRDefault="00E1199D">
            <w:pPr>
              <w:rPr>
                <w:rFonts w:ascii="Calibri" w:eastAsia="Calibri" w:hAnsi="Calibri" w:cs="Calibri"/>
                <w:sz w:val="20"/>
                <w:szCs w:val="20"/>
              </w:rPr>
            </w:pPr>
            <w:r w:rsidRPr="00641693">
              <w:rPr>
                <w:rFonts w:ascii="Calibri" w:eastAsia="Calibri" w:hAnsi="Calibri" w:cs="Calibri"/>
                <w:sz w:val="20"/>
                <w:szCs w:val="20"/>
              </w:rPr>
              <w:t>19 Communes, regional statistical datasets</w:t>
            </w:r>
          </w:p>
          <w:p w14:paraId="3C37CEA0" w14:textId="6E50F6FF" w:rsidR="00E1199D" w:rsidRPr="00641693" w:rsidRDefault="00E1199D">
            <w:pPr>
              <w:rPr>
                <w:rFonts w:ascii="Calibri" w:eastAsia="Calibri" w:hAnsi="Calibri" w:cs="Calibri"/>
                <w:sz w:val="20"/>
                <w:szCs w:val="20"/>
              </w:rPr>
            </w:pPr>
          </w:p>
        </w:tc>
      </w:tr>
      <w:tr w:rsidR="00E1199D" w:rsidRPr="00641693" w14:paraId="6DE8B5EA" w14:textId="77777777">
        <w:trPr>
          <w:trHeight w:val="2265"/>
        </w:trPr>
        <w:tc>
          <w:tcPr>
            <w:tcW w:w="1020" w:type="dxa"/>
          </w:tcPr>
          <w:p w14:paraId="1D74A744" w14:textId="77777777" w:rsidR="00E1199D" w:rsidRPr="00641693" w:rsidRDefault="00E1199D">
            <w:pPr>
              <w:jc w:val="center"/>
              <w:rPr>
                <w:rFonts w:ascii="Calibri" w:eastAsia="Calibri" w:hAnsi="Calibri" w:cs="Calibri"/>
              </w:rPr>
            </w:pPr>
          </w:p>
          <w:p w14:paraId="1F4192A1" w14:textId="77777777" w:rsidR="00E1199D" w:rsidRPr="00641693" w:rsidRDefault="00E1199D">
            <w:pPr>
              <w:jc w:val="center"/>
              <w:rPr>
                <w:rFonts w:ascii="Calibri" w:eastAsia="Calibri" w:hAnsi="Calibri" w:cs="Calibri"/>
              </w:rPr>
            </w:pPr>
          </w:p>
          <w:p w14:paraId="31A2E36F" w14:textId="77777777" w:rsidR="00E1199D" w:rsidRPr="00641693" w:rsidRDefault="00E1199D">
            <w:pPr>
              <w:jc w:val="center"/>
              <w:rPr>
                <w:rFonts w:ascii="Calibri" w:eastAsia="Calibri" w:hAnsi="Calibri" w:cs="Calibri"/>
              </w:rPr>
            </w:pPr>
          </w:p>
          <w:p w14:paraId="50FBF4F6" w14:textId="77777777" w:rsidR="00E1199D" w:rsidRPr="00641693" w:rsidRDefault="00E1199D">
            <w:pPr>
              <w:jc w:val="center"/>
              <w:rPr>
                <w:rFonts w:ascii="Calibri" w:eastAsia="Calibri" w:hAnsi="Calibri" w:cs="Calibri"/>
              </w:rPr>
            </w:pPr>
            <w:r w:rsidRPr="00641693">
              <w:rPr>
                <w:rFonts w:ascii="Calibri" w:eastAsia="Calibri" w:hAnsi="Calibri" w:cs="Calibri"/>
              </w:rPr>
              <w:t>L1</w:t>
            </w:r>
          </w:p>
        </w:tc>
        <w:tc>
          <w:tcPr>
            <w:tcW w:w="4970" w:type="dxa"/>
          </w:tcPr>
          <w:p w14:paraId="6CF160D3" w14:textId="77777777" w:rsidR="00E1199D" w:rsidRPr="00641693" w:rsidRDefault="00E1199D">
            <w:pPr>
              <w:jc w:val="center"/>
            </w:pPr>
            <w:r w:rsidRPr="00641693">
              <w:rPr>
                <w:noProof/>
              </w:rPr>
              <w:drawing>
                <wp:inline distT="0" distB="0" distL="0" distR="0" wp14:anchorId="7B8E4597" wp14:editId="1C10B00A">
                  <wp:extent cx="2903474" cy="1396180"/>
                  <wp:effectExtent l="0" t="0" r="0" b="0"/>
                  <wp:docPr id="21172795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675559" name="Picture 1758675559"/>
                          <pic:cNvPicPr/>
                        </pic:nvPicPr>
                        <pic:blipFill>
                          <a:blip r:embed="rId11">
                            <a:extLst>
                              <a:ext uri="{28A0092B-C50C-407E-A947-70E740481C1C}">
                                <a14:useLocalDpi xmlns:a14="http://schemas.microsoft.com/office/drawing/2010/main"/>
                              </a:ext>
                            </a:extLst>
                          </a:blip>
                          <a:stretch>
                            <a:fillRect/>
                          </a:stretch>
                        </pic:blipFill>
                        <pic:spPr>
                          <a:xfrm>
                            <a:off x="0" y="0"/>
                            <a:ext cx="2903474" cy="1396180"/>
                          </a:xfrm>
                          <a:prstGeom prst="rect">
                            <a:avLst/>
                          </a:prstGeom>
                        </pic:spPr>
                      </pic:pic>
                    </a:graphicData>
                  </a:graphic>
                </wp:inline>
              </w:drawing>
            </w:r>
          </w:p>
        </w:tc>
        <w:tc>
          <w:tcPr>
            <w:tcW w:w="3025" w:type="dxa"/>
          </w:tcPr>
          <w:p w14:paraId="031C683B" w14:textId="77777777" w:rsidR="00E1199D" w:rsidRPr="00641693" w:rsidRDefault="00E1199D">
            <w:pPr>
              <w:rPr>
                <w:rFonts w:ascii="Calibri" w:eastAsia="Calibri" w:hAnsi="Calibri" w:cs="Calibri"/>
                <w:sz w:val="20"/>
                <w:szCs w:val="20"/>
              </w:rPr>
            </w:pPr>
          </w:p>
          <w:p w14:paraId="73D7505C" w14:textId="77777777" w:rsidR="00E1199D" w:rsidRPr="00641693" w:rsidRDefault="00E1199D">
            <w:pPr>
              <w:rPr>
                <w:rFonts w:ascii="Calibri" w:eastAsia="Calibri" w:hAnsi="Calibri" w:cs="Calibri"/>
                <w:sz w:val="20"/>
                <w:szCs w:val="20"/>
              </w:rPr>
            </w:pPr>
          </w:p>
          <w:p w14:paraId="69A122D6" w14:textId="77777777" w:rsidR="001322C8" w:rsidRDefault="001322C8">
            <w:pPr>
              <w:rPr>
                <w:rFonts w:ascii="Calibri" w:eastAsia="Calibri" w:hAnsi="Calibri" w:cs="Calibri"/>
                <w:sz w:val="20"/>
                <w:szCs w:val="20"/>
              </w:rPr>
            </w:pPr>
          </w:p>
          <w:p w14:paraId="2632CAB8" w14:textId="2090AF48" w:rsidR="00E1199D" w:rsidRPr="00641693" w:rsidRDefault="00E1199D">
            <w:pPr>
              <w:rPr>
                <w:rFonts w:ascii="Calibri" w:eastAsia="Calibri" w:hAnsi="Calibri" w:cs="Calibri"/>
                <w:sz w:val="20"/>
                <w:szCs w:val="20"/>
              </w:rPr>
            </w:pPr>
            <w:r w:rsidRPr="00641693">
              <w:rPr>
                <w:rFonts w:ascii="Calibri" w:eastAsia="Calibri" w:hAnsi="Calibri" w:cs="Calibri"/>
                <w:sz w:val="20"/>
                <w:szCs w:val="20"/>
              </w:rPr>
              <w:t>56 Monitoring districts, 39 per-commune indicators</w:t>
            </w:r>
          </w:p>
          <w:p w14:paraId="277FD3AF" w14:textId="02D891EC" w:rsidR="00E1199D" w:rsidRPr="00641693" w:rsidRDefault="00E1199D">
            <w:pPr>
              <w:rPr>
                <w:rFonts w:ascii="Calibri" w:eastAsia="Calibri" w:hAnsi="Calibri" w:cs="Calibri"/>
                <w:sz w:val="20"/>
                <w:szCs w:val="20"/>
              </w:rPr>
            </w:pPr>
          </w:p>
        </w:tc>
      </w:tr>
      <w:tr w:rsidR="00E1199D" w:rsidRPr="002E66B0" w14:paraId="3212F3A3" w14:textId="77777777">
        <w:trPr>
          <w:trHeight w:val="300"/>
        </w:trPr>
        <w:tc>
          <w:tcPr>
            <w:tcW w:w="1020" w:type="dxa"/>
          </w:tcPr>
          <w:p w14:paraId="1397CDF1" w14:textId="77777777" w:rsidR="00E1199D" w:rsidRPr="00641693" w:rsidRDefault="00E1199D">
            <w:pPr>
              <w:jc w:val="center"/>
              <w:rPr>
                <w:rFonts w:ascii="Calibri" w:eastAsia="Calibri" w:hAnsi="Calibri" w:cs="Calibri"/>
              </w:rPr>
            </w:pPr>
          </w:p>
          <w:p w14:paraId="41C45AA9" w14:textId="77777777" w:rsidR="00E1199D" w:rsidRPr="00641693" w:rsidRDefault="00E1199D">
            <w:pPr>
              <w:jc w:val="center"/>
              <w:rPr>
                <w:rFonts w:ascii="Calibri" w:eastAsia="Calibri" w:hAnsi="Calibri" w:cs="Calibri"/>
              </w:rPr>
            </w:pPr>
          </w:p>
          <w:p w14:paraId="24D6E382" w14:textId="77777777" w:rsidR="00E1199D" w:rsidRPr="00641693" w:rsidRDefault="00E1199D">
            <w:pPr>
              <w:jc w:val="center"/>
              <w:rPr>
                <w:rFonts w:ascii="Calibri" w:eastAsia="Calibri" w:hAnsi="Calibri" w:cs="Calibri"/>
              </w:rPr>
            </w:pPr>
          </w:p>
          <w:p w14:paraId="62E2AB18" w14:textId="77777777" w:rsidR="00E1199D" w:rsidRPr="00641693" w:rsidRDefault="00E1199D">
            <w:pPr>
              <w:jc w:val="center"/>
              <w:rPr>
                <w:rFonts w:ascii="Calibri" w:eastAsia="Calibri" w:hAnsi="Calibri" w:cs="Calibri"/>
              </w:rPr>
            </w:pPr>
            <w:r w:rsidRPr="00641693">
              <w:rPr>
                <w:rFonts w:ascii="Calibri" w:eastAsia="Calibri" w:hAnsi="Calibri" w:cs="Calibri"/>
              </w:rPr>
              <w:t>L2</w:t>
            </w:r>
          </w:p>
        </w:tc>
        <w:tc>
          <w:tcPr>
            <w:tcW w:w="4970" w:type="dxa"/>
          </w:tcPr>
          <w:p w14:paraId="2CCAB2C1" w14:textId="77777777" w:rsidR="00E1199D" w:rsidRPr="00641693" w:rsidRDefault="00E1199D">
            <w:pPr>
              <w:jc w:val="center"/>
            </w:pPr>
            <w:r w:rsidRPr="00641693">
              <w:rPr>
                <w:noProof/>
              </w:rPr>
              <w:drawing>
                <wp:inline distT="0" distB="0" distL="0" distR="0" wp14:anchorId="473E1E9D" wp14:editId="3529429B">
                  <wp:extent cx="2903474" cy="1401011"/>
                  <wp:effectExtent l="0" t="0" r="0" b="0"/>
                  <wp:docPr id="9434604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333394" name="Picture 1548333394"/>
                          <pic:cNvPicPr/>
                        </pic:nvPicPr>
                        <pic:blipFill>
                          <a:blip r:embed="rId12">
                            <a:extLst>
                              <a:ext uri="{28A0092B-C50C-407E-A947-70E740481C1C}">
                                <a14:useLocalDpi xmlns:a14="http://schemas.microsoft.com/office/drawing/2010/main"/>
                              </a:ext>
                            </a:extLst>
                          </a:blip>
                          <a:stretch>
                            <a:fillRect/>
                          </a:stretch>
                        </pic:blipFill>
                        <pic:spPr>
                          <a:xfrm>
                            <a:off x="0" y="0"/>
                            <a:ext cx="2903474" cy="1401011"/>
                          </a:xfrm>
                          <a:prstGeom prst="rect">
                            <a:avLst/>
                          </a:prstGeom>
                        </pic:spPr>
                      </pic:pic>
                    </a:graphicData>
                  </a:graphic>
                </wp:inline>
              </w:drawing>
            </w:r>
          </w:p>
        </w:tc>
        <w:tc>
          <w:tcPr>
            <w:tcW w:w="3025" w:type="dxa"/>
          </w:tcPr>
          <w:p w14:paraId="044FF424" w14:textId="77777777" w:rsidR="001322C8" w:rsidRDefault="001322C8">
            <w:pPr>
              <w:rPr>
                <w:rFonts w:ascii="Calibri" w:eastAsia="Calibri" w:hAnsi="Calibri" w:cs="Calibri"/>
                <w:sz w:val="20"/>
                <w:szCs w:val="20"/>
              </w:rPr>
            </w:pPr>
          </w:p>
          <w:p w14:paraId="0DBB79A0" w14:textId="77777777" w:rsidR="001322C8" w:rsidRDefault="001322C8">
            <w:pPr>
              <w:rPr>
                <w:rFonts w:ascii="Calibri" w:eastAsia="Calibri" w:hAnsi="Calibri" w:cs="Calibri"/>
                <w:sz w:val="20"/>
                <w:szCs w:val="20"/>
              </w:rPr>
            </w:pPr>
          </w:p>
          <w:p w14:paraId="59C59538" w14:textId="0DE46320" w:rsidR="00E1199D" w:rsidRPr="00641693" w:rsidRDefault="00E1199D">
            <w:pPr>
              <w:rPr>
                <w:rFonts w:ascii="Calibri" w:eastAsia="Calibri" w:hAnsi="Calibri" w:cs="Calibri"/>
                <w:sz w:val="20"/>
                <w:szCs w:val="20"/>
              </w:rPr>
            </w:pPr>
            <w:r w:rsidRPr="00641693">
              <w:rPr>
                <w:rFonts w:ascii="Calibri" w:eastAsia="Calibri" w:hAnsi="Calibri" w:cs="Calibri"/>
                <w:sz w:val="20"/>
                <w:szCs w:val="20"/>
              </w:rPr>
              <w:t>Building Footprints, Flood zones, Noise pollution data, road network, rail network</w:t>
            </w:r>
            <w:r w:rsidR="00122094" w:rsidRPr="00641693">
              <w:rPr>
                <w:rFonts w:ascii="Calibri" w:eastAsia="Calibri" w:hAnsi="Calibri" w:cs="Calibri"/>
                <w:sz w:val="20"/>
                <w:szCs w:val="20"/>
              </w:rPr>
              <w:t>, AQI monitoring data, and vehicle sensor data</w:t>
            </w:r>
          </w:p>
          <w:p w14:paraId="1EF181F2" w14:textId="4E9D6186" w:rsidR="00E1199D" w:rsidRPr="00C21AD9" w:rsidRDefault="00E1199D">
            <w:pPr>
              <w:rPr>
                <w:rFonts w:ascii="Calibri" w:eastAsia="Calibri" w:hAnsi="Calibri" w:cs="Calibri"/>
                <w:sz w:val="20"/>
                <w:szCs w:val="20"/>
                <w:lang w:val="en-US"/>
              </w:rPr>
            </w:pPr>
          </w:p>
        </w:tc>
      </w:tr>
      <w:tr w:rsidR="00E1199D" w:rsidRPr="00641693" w14:paraId="3E9C26C8" w14:textId="77777777">
        <w:trPr>
          <w:trHeight w:val="300"/>
        </w:trPr>
        <w:tc>
          <w:tcPr>
            <w:tcW w:w="1020" w:type="dxa"/>
          </w:tcPr>
          <w:p w14:paraId="1C197C13" w14:textId="77777777" w:rsidR="00E1199D" w:rsidRPr="00C21AD9" w:rsidRDefault="00E1199D">
            <w:pPr>
              <w:jc w:val="center"/>
              <w:rPr>
                <w:rFonts w:ascii="Calibri" w:eastAsia="Calibri" w:hAnsi="Calibri" w:cs="Calibri"/>
                <w:lang w:val="en-US"/>
              </w:rPr>
            </w:pPr>
          </w:p>
          <w:p w14:paraId="18B99FCC" w14:textId="77777777" w:rsidR="00E1199D" w:rsidRPr="00C21AD9" w:rsidRDefault="00E1199D">
            <w:pPr>
              <w:jc w:val="center"/>
              <w:rPr>
                <w:rFonts w:ascii="Calibri" w:eastAsia="Calibri" w:hAnsi="Calibri" w:cs="Calibri"/>
                <w:lang w:val="en-US"/>
              </w:rPr>
            </w:pPr>
          </w:p>
          <w:p w14:paraId="2434261C" w14:textId="77777777" w:rsidR="00E1199D" w:rsidRPr="00C21AD9" w:rsidRDefault="00E1199D">
            <w:pPr>
              <w:jc w:val="center"/>
              <w:rPr>
                <w:rFonts w:ascii="Calibri" w:eastAsia="Calibri" w:hAnsi="Calibri" w:cs="Calibri"/>
                <w:lang w:val="en-US"/>
              </w:rPr>
            </w:pPr>
          </w:p>
          <w:p w14:paraId="7FA6C135" w14:textId="77777777" w:rsidR="00E1199D" w:rsidRPr="00641693" w:rsidRDefault="00E1199D">
            <w:pPr>
              <w:jc w:val="center"/>
              <w:rPr>
                <w:rFonts w:ascii="Calibri" w:eastAsia="Calibri" w:hAnsi="Calibri" w:cs="Calibri"/>
              </w:rPr>
            </w:pPr>
            <w:r w:rsidRPr="00641693">
              <w:rPr>
                <w:rFonts w:ascii="Calibri" w:eastAsia="Calibri" w:hAnsi="Calibri" w:cs="Calibri"/>
              </w:rPr>
              <w:t>L3</w:t>
            </w:r>
          </w:p>
        </w:tc>
        <w:tc>
          <w:tcPr>
            <w:tcW w:w="4970" w:type="dxa"/>
          </w:tcPr>
          <w:p w14:paraId="3B4F0192" w14:textId="77777777" w:rsidR="00E1199D" w:rsidRPr="00641693" w:rsidRDefault="00E1199D">
            <w:pPr>
              <w:jc w:val="center"/>
            </w:pPr>
            <w:r w:rsidRPr="00641693">
              <w:rPr>
                <w:noProof/>
              </w:rPr>
              <w:drawing>
                <wp:inline distT="0" distB="0" distL="0" distR="0" wp14:anchorId="0AECF86C" wp14:editId="4002FEFB">
                  <wp:extent cx="2903474" cy="1434829"/>
                  <wp:effectExtent l="0" t="0" r="0" b="0"/>
                  <wp:docPr id="18646290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22815" name="Picture 812422815"/>
                          <pic:cNvPicPr/>
                        </pic:nvPicPr>
                        <pic:blipFill>
                          <a:blip r:embed="rId13">
                            <a:extLst>
                              <a:ext uri="{28A0092B-C50C-407E-A947-70E740481C1C}">
                                <a14:useLocalDpi xmlns:a14="http://schemas.microsoft.com/office/drawing/2010/main"/>
                              </a:ext>
                            </a:extLst>
                          </a:blip>
                          <a:stretch>
                            <a:fillRect/>
                          </a:stretch>
                        </pic:blipFill>
                        <pic:spPr>
                          <a:xfrm>
                            <a:off x="0" y="0"/>
                            <a:ext cx="2903474" cy="1434829"/>
                          </a:xfrm>
                          <a:prstGeom prst="rect">
                            <a:avLst/>
                          </a:prstGeom>
                        </pic:spPr>
                      </pic:pic>
                    </a:graphicData>
                  </a:graphic>
                </wp:inline>
              </w:drawing>
            </w:r>
          </w:p>
        </w:tc>
        <w:tc>
          <w:tcPr>
            <w:tcW w:w="3025" w:type="dxa"/>
          </w:tcPr>
          <w:p w14:paraId="60FC067E" w14:textId="77777777" w:rsidR="00E1199D" w:rsidRPr="00641693" w:rsidRDefault="00E1199D">
            <w:pPr>
              <w:rPr>
                <w:rFonts w:ascii="Calibri" w:eastAsia="Calibri" w:hAnsi="Calibri" w:cs="Calibri"/>
                <w:sz w:val="20"/>
                <w:szCs w:val="20"/>
              </w:rPr>
            </w:pPr>
          </w:p>
          <w:p w14:paraId="48A8627F" w14:textId="77777777" w:rsidR="001322C8" w:rsidRDefault="001322C8">
            <w:pPr>
              <w:rPr>
                <w:rFonts w:ascii="Calibri" w:eastAsia="Calibri" w:hAnsi="Calibri" w:cs="Calibri"/>
                <w:sz w:val="20"/>
                <w:szCs w:val="20"/>
              </w:rPr>
            </w:pPr>
          </w:p>
          <w:p w14:paraId="1576ADE7" w14:textId="77777777" w:rsidR="001322C8" w:rsidRDefault="001322C8">
            <w:pPr>
              <w:rPr>
                <w:rFonts w:ascii="Calibri" w:eastAsia="Calibri" w:hAnsi="Calibri" w:cs="Calibri"/>
                <w:sz w:val="20"/>
                <w:szCs w:val="20"/>
              </w:rPr>
            </w:pPr>
          </w:p>
          <w:p w14:paraId="67C4CA50" w14:textId="77777777" w:rsidR="001322C8" w:rsidRDefault="001322C8">
            <w:pPr>
              <w:rPr>
                <w:rFonts w:ascii="Calibri" w:eastAsia="Calibri" w:hAnsi="Calibri" w:cs="Calibri"/>
                <w:sz w:val="20"/>
                <w:szCs w:val="20"/>
              </w:rPr>
            </w:pPr>
          </w:p>
          <w:p w14:paraId="3F92026A" w14:textId="52642AA4" w:rsidR="00E1199D" w:rsidRPr="00641693" w:rsidRDefault="00E1199D">
            <w:pPr>
              <w:rPr>
                <w:rFonts w:ascii="Calibri" w:eastAsia="Calibri" w:hAnsi="Calibri" w:cs="Calibri"/>
                <w:sz w:val="20"/>
                <w:szCs w:val="20"/>
              </w:rPr>
            </w:pPr>
            <w:r w:rsidRPr="00641693">
              <w:rPr>
                <w:rFonts w:ascii="Calibri" w:eastAsia="Calibri" w:hAnsi="Calibri" w:cs="Calibri"/>
                <w:sz w:val="20"/>
                <w:szCs w:val="20"/>
              </w:rPr>
              <w:t>BIM-level visualizations of selective locations</w:t>
            </w:r>
          </w:p>
          <w:p w14:paraId="6B0BCBF3" w14:textId="06B33929" w:rsidR="00E1199D" w:rsidRPr="00641693" w:rsidRDefault="00E1199D">
            <w:pPr>
              <w:rPr>
                <w:rFonts w:ascii="Calibri" w:eastAsia="Calibri" w:hAnsi="Calibri" w:cs="Calibri"/>
                <w:sz w:val="20"/>
                <w:szCs w:val="20"/>
              </w:rPr>
            </w:pPr>
          </w:p>
        </w:tc>
      </w:tr>
    </w:tbl>
    <w:p w14:paraId="740D9DDB" w14:textId="10A5A132" w:rsidR="00E1199D" w:rsidRPr="00641693" w:rsidRDefault="00E1199D">
      <w:pPr>
        <w:spacing w:after="200" w:line="257" w:lineRule="auto"/>
        <w:jc w:val="center"/>
      </w:pPr>
      <w:r w:rsidRPr="00641693">
        <w:rPr>
          <w:rFonts w:eastAsiaTheme="minorEastAsia"/>
          <w:i/>
          <w:iCs/>
          <w:sz w:val="20"/>
          <w:szCs w:val="20"/>
        </w:rPr>
        <w:t xml:space="preserve">Table </w:t>
      </w:r>
      <w:r w:rsidR="00C97162" w:rsidRPr="00641693">
        <w:rPr>
          <w:rFonts w:eastAsiaTheme="minorEastAsia"/>
          <w:i/>
          <w:iCs/>
          <w:sz w:val="20"/>
          <w:szCs w:val="20"/>
        </w:rPr>
        <w:t>3</w:t>
      </w:r>
      <w:r w:rsidRPr="00641693">
        <w:rPr>
          <w:rFonts w:eastAsiaTheme="minorEastAsia"/>
          <w:i/>
          <w:iCs/>
          <w:sz w:val="20"/>
          <w:szCs w:val="20"/>
        </w:rPr>
        <w:t xml:space="preserve">: </w:t>
      </w:r>
      <w:r w:rsidR="0003381D" w:rsidRPr="00641693">
        <w:rPr>
          <w:rFonts w:ascii="Calibri" w:eastAsia="Calibri" w:hAnsi="Calibri" w:cs="Calibri"/>
          <w:i/>
          <w:iCs/>
          <w:sz w:val="20"/>
          <w:szCs w:val="20"/>
        </w:rPr>
        <w:t>Brussels Open Data Prototype</w:t>
      </w:r>
    </w:p>
    <w:p w14:paraId="42E5D92B" w14:textId="617534E7" w:rsidR="000C2AC2" w:rsidRPr="00641693" w:rsidRDefault="00F94D22" w:rsidP="00460900">
      <w:pPr>
        <w:spacing w:after="200" w:line="257" w:lineRule="auto"/>
        <w:ind w:firstLine="720"/>
        <w:jc w:val="both"/>
        <w:rPr>
          <w:rFonts w:ascii="Calibri" w:eastAsia="Calibri" w:hAnsi="Calibri" w:cs="Calibri"/>
        </w:rPr>
      </w:pPr>
      <w:r w:rsidRPr="00F94D22">
        <w:rPr>
          <w:rFonts w:ascii="Calibri" w:eastAsia="Calibri" w:hAnsi="Calibri" w:cs="Calibri"/>
        </w:rPr>
        <w:t xml:space="preserve">Brussels provides a diverse </w:t>
      </w:r>
      <w:r>
        <w:rPr>
          <w:rFonts w:ascii="Calibri" w:eastAsia="Calibri" w:hAnsi="Calibri" w:cs="Calibri"/>
        </w:rPr>
        <w:t>and</w:t>
      </w:r>
      <w:r w:rsidRPr="00F94D22">
        <w:rPr>
          <w:rFonts w:ascii="Calibri" w:eastAsia="Calibri" w:hAnsi="Calibri" w:cs="Calibri"/>
        </w:rPr>
        <w:t xml:space="preserve"> institutionally distributed public-data environment, making it a relevant context for examining the integration of heterogeneous datasets within a shared spatial environment. Datasets </w:t>
      </w:r>
      <w:r w:rsidR="001322C8">
        <w:rPr>
          <w:rFonts w:ascii="Calibri" w:eastAsia="Calibri" w:hAnsi="Calibri" w:cs="Calibri"/>
        </w:rPr>
        <w:t>of</w:t>
      </w:r>
      <w:r w:rsidRPr="00F94D22">
        <w:rPr>
          <w:rFonts w:ascii="Calibri" w:eastAsia="Calibri" w:hAnsi="Calibri" w:cs="Calibri"/>
        </w:rPr>
        <w:t xml:space="preserve"> housing observatories, and municipal building-information initiatives are combined with dynamic mobility and environmental information obtained through external data services</w:t>
      </w:r>
      <w:r w:rsidR="001322C8">
        <w:rPr>
          <w:rFonts w:ascii="Calibri" w:eastAsia="Calibri" w:hAnsi="Calibri" w:cs="Calibri"/>
        </w:rPr>
        <w:t xml:space="preserve">. </w:t>
      </w:r>
      <w:r w:rsidRPr="00F94D22">
        <w:rPr>
          <w:rFonts w:ascii="Calibri" w:eastAsia="Calibri" w:hAnsi="Calibri" w:cs="Calibri"/>
        </w:rPr>
        <w:t>The mobility layer integrates public-transport information</w:t>
      </w:r>
      <w:r w:rsidR="001322C8">
        <w:rPr>
          <w:rFonts w:ascii="Calibri" w:eastAsia="Calibri" w:hAnsi="Calibri" w:cs="Calibri"/>
        </w:rPr>
        <w:t>,</w:t>
      </w:r>
      <w:r w:rsidRPr="00F94D22">
        <w:rPr>
          <w:rFonts w:ascii="Calibri" w:eastAsia="Calibri" w:hAnsi="Calibri" w:cs="Calibri"/>
        </w:rPr>
        <w:t xml:space="preserve"> providing vehicle-position and service-update information, while air-quality data are retrieved through</w:t>
      </w:r>
      <w:r w:rsidR="001322C8">
        <w:rPr>
          <w:rFonts w:ascii="Calibri" w:eastAsia="Calibri" w:hAnsi="Calibri" w:cs="Calibri"/>
        </w:rPr>
        <w:t xml:space="preserve"> open API sources</w:t>
      </w:r>
      <w:r w:rsidRPr="00F94D22">
        <w:rPr>
          <w:rFonts w:ascii="Calibri" w:eastAsia="Calibri" w:hAnsi="Calibri" w:cs="Calibri"/>
        </w:rPr>
        <w:t>. These dynamic sources enable changing mobility and environmental conditions to be examined alongside relatively static demographic, infrastructure, housing, and administrative datasets. The prototype therefore demonstrates how datasets differing in update frequency, spatial scale, and institutional origin can be brought together within a common spatial interface, enabling information to be examined across policy domains and spatial scales.</w:t>
      </w:r>
    </w:p>
    <w:p w14:paraId="73030F7E" w14:textId="3063B20E" w:rsidR="00CC1DBB" w:rsidRPr="0051692A" w:rsidRDefault="000C2AC2" w:rsidP="0051692A">
      <w:pPr>
        <w:spacing w:after="200" w:line="257" w:lineRule="auto"/>
        <w:jc w:val="both"/>
        <w:rPr>
          <w:rFonts w:ascii="Calibri" w:hAnsi="Calibri" w:cs="Calibri"/>
        </w:rPr>
      </w:pPr>
      <w:r>
        <w:rPr>
          <w:rFonts w:ascii="Calibri" w:hAnsi="Calibri" w:cs="Calibri"/>
          <w:b/>
          <w:bCs/>
          <w:sz w:val="28"/>
          <w:szCs w:val="28"/>
        </w:rPr>
        <w:t xml:space="preserve">3. </w:t>
      </w:r>
      <w:r w:rsidR="00635825" w:rsidRPr="0051692A">
        <w:rPr>
          <w:rFonts w:ascii="Calibri" w:hAnsi="Calibri" w:cs="Calibri"/>
          <w:b/>
          <w:bCs/>
          <w:sz w:val="28"/>
          <w:szCs w:val="28"/>
        </w:rPr>
        <w:t>Conclusion</w:t>
      </w:r>
      <w:r w:rsidR="00635825" w:rsidRPr="0051692A">
        <w:rPr>
          <w:rFonts w:ascii="Calibri" w:hAnsi="Calibri" w:cs="Calibri"/>
        </w:rPr>
        <w:t xml:space="preserve"> </w:t>
      </w:r>
    </w:p>
    <w:p w14:paraId="72718989" w14:textId="6347B03F" w:rsidR="009B4F1B" w:rsidRPr="00641693" w:rsidRDefault="009B4F1B" w:rsidP="0014196B">
      <w:pPr>
        <w:spacing w:after="40" w:line="240" w:lineRule="auto"/>
        <w:jc w:val="both"/>
        <w:rPr>
          <w:rFonts w:ascii="Calibri" w:hAnsi="Calibri" w:cs="Calibri"/>
        </w:rPr>
      </w:pPr>
      <w:r w:rsidRPr="00641693">
        <w:rPr>
          <w:rFonts w:ascii="Calibri" w:hAnsi="Calibri" w:cs="Calibri"/>
        </w:rPr>
        <w:t xml:space="preserve">        </w:t>
      </w:r>
      <w:r w:rsidR="00E95C77" w:rsidRPr="00641693">
        <w:rPr>
          <w:rFonts w:ascii="Calibri" w:hAnsi="Calibri" w:cs="Calibri"/>
        </w:rPr>
        <w:t xml:space="preserve">       </w:t>
      </w:r>
      <w:r w:rsidRPr="00641693">
        <w:rPr>
          <w:rFonts w:ascii="Calibri" w:hAnsi="Calibri" w:cs="Calibri"/>
        </w:rPr>
        <w:t xml:space="preserve">  </w:t>
      </w:r>
      <w:r w:rsidR="00F94D22" w:rsidRPr="00F94D22">
        <w:rPr>
          <w:rFonts w:ascii="Calibri" w:hAnsi="Calibri" w:cs="Calibri"/>
        </w:rPr>
        <w:t>This paper proposes a unified web-based digital twin platform in response to key challenges in public-sector digital twin adoption, with a Brussels-based prototype demonstrating the integration of heterogeneous public datasets within a common spatial environment.</w:t>
      </w:r>
    </w:p>
    <w:p w14:paraId="23FF9913" w14:textId="25577E84" w:rsidR="00B11BB3" w:rsidRPr="00641693" w:rsidRDefault="00E95C77" w:rsidP="00B11BB3">
      <w:pPr>
        <w:spacing w:after="40" w:line="240" w:lineRule="auto"/>
        <w:jc w:val="both"/>
        <w:rPr>
          <w:rFonts w:ascii="Calibri" w:hAnsi="Calibri" w:cs="Calibri"/>
        </w:rPr>
      </w:pPr>
      <w:r w:rsidRPr="00641693">
        <w:rPr>
          <w:rFonts w:ascii="Calibri" w:hAnsi="Calibri" w:cs="Calibri"/>
        </w:rPr>
        <w:t xml:space="preserve">                 </w:t>
      </w:r>
      <w:r w:rsidR="00816117" w:rsidRPr="00641693">
        <w:rPr>
          <w:rFonts w:ascii="Calibri" w:hAnsi="Calibri" w:cs="Calibri"/>
        </w:rPr>
        <w:t xml:space="preserve">The research introduces a set of design responses to common challenges in public-sector digital twins. The platform </w:t>
      </w:r>
      <w:r w:rsidR="00F94D22">
        <w:rPr>
          <w:rFonts w:ascii="Calibri" w:hAnsi="Calibri" w:cs="Calibri"/>
        </w:rPr>
        <w:t>responds to</w:t>
      </w:r>
      <w:r w:rsidR="00816117" w:rsidRPr="00641693">
        <w:rPr>
          <w:rFonts w:ascii="Calibri" w:hAnsi="Calibri" w:cs="Calibri"/>
        </w:rPr>
        <w:t xml:space="preserve"> data fragmentation by integrating multiple datasets within a common spatial environment, supports interoperability through shared spatial references and established standards, reduces technical barriers through browser-based access, and </w:t>
      </w:r>
      <w:r w:rsidR="00F94D22" w:rsidRPr="00F94D22">
        <w:rPr>
          <w:rFonts w:ascii="Calibri" w:hAnsi="Calibri" w:cs="Calibri"/>
        </w:rPr>
        <w:t xml:space="preserve">aims to lower </w:t>
      </w:r>
      <w:r w:rsidR="00F94D22" w:rsidRPr="00F94D22">
        <w:rPr>
          <w:rFonts w:ascii="Calibri" w:hAnsi="Calibri" w:cs="Calibri"/>
        </w:rPr>
        <w:lastRenderedPageBreak/>
        <w:t>barriers</w:t>
      </w:r>
      <w:r w:rsidR="00F94D22">
        <w:rPr>
          <w:rFonts w:ascii="Calibri" w:hAnsi="Calibri" w:cs="Calibri"/>
        </w:rPr>
        <w:t xml:space="preserve"> </w:t>
      </w:r>
      <w:r w:rsidR="00F94D22" w:rsidRPr="00F94D22">
        <w:rPr>
          <w:rFonts w:ascii="Calibri" w:hAnsi="Calibri" w:cs="Calibri"/>
        </w:rPr>
        <w:t>to data exploration</w:t>
      </w:r>
      <w:r w:rsidR="00816117" w:rsidRPr="00641693">
        <w:rPr>
          <w:rFonts w:ascii="Calibri" w:hAnsi="Calibri" w:cs="Calibri"/>
        </w:rPr>
        <w:t xml:space="preserve"> through interactive visualisation. The prototype </w:t>
      </w:r>
      <w:r w:rsidR="00F94D22">
        <w:rPr>
          <w:rFonts w:ascii="Calibri" w:hAnsi="Calibri" w:cs="Calibri"/>
        </w:rPr>
        <w:t>further</w:t>
      </w:r>
      <w:r w:rsidR="00816117" w:rsidRPr="00641693">
        <w:rPr>
          <w:rFonts w:ascii="Calibri" w:hAnsi="Calibri" w:cs="Calibri"/>
        </w:rPr>
        <w:t xml:space="preserve"> demonstrates the potential of open public data to support multi-level and cross-domain spatial analysis. </w:t>
      </w:r>
    </w:p>
    <w:p w14:paraId="4D4FD3F8" w14:textId="6638172F" w:rsidR="00B11BB3" w:rsidRPr="00641693" w:rsidRDefault="00B11BB3" w:rsidP="00B11BB3">
      <w:pPr>
        <w:spacing w:after="40" w:line="240" w:lineRule="auto"/>
        <w:jc w:val="both"/>
        <w:rPr>
          <w:rFonts w:ascii="Calibri" w:hAnsi="Calibri" w:cs="Calibri"/>
        </w:rPr>
      </w:pPr>
      <w:r w:rsidRPr="00641693">
        <w:rPr>
          <w:rFonts w:ascii="Calibri" w:hAnsi="Calibri" w:cs="Calibri"/>
        </w:rPr>
        <w:t xml:space="preserve">                 </w:t>
      </w:r>
      <w:r w:rsidR="008D079B" w:rsidRPr="008D079B">
        <w:rPr>
          <w:rFonts w:ascii="Calibri" w:hAnsi="Calibri" w:cs="Calibri"/>
        </w:rPr>
        <w:t>The project commenced in March 2026 and is currently in its initial development and evaluation stages. The present study therefore focuses primarily on platform design and prototype implementation, while a broader empirical evaluation is underway and will continue through Q4 2026 into early 2027. This evaluation combines qualitative and quantitative measures, including policy-oriented workshops, usability testing with public-sector stakeholders, and technical performance metrics. Relevant public-sector and urban digital twin initiatives will also provide comparative reference points for accessibility, interoperability, and cross-domain data integration. The findings will support further refinement and validation of the framework and its practical relevance to public-sector decision-making.</w:t>
      </w:r>
    </w:p>
    <w:p w14:paraId="6C81358C" w14:textId="77777777" w:rsidR="00816117" w:rsidRPr="00641693" w:rsidRDefault="00816117" w:rsidP="00B11BB3">
      <w:pPr>
        <w:spacing w:after="40" w:line="240" w:lineRule="auto"/>
        <w:jc w:val="both"/>
        <w:rPr>
          <w:rFonts w:ascii="Calibri" w:hAnsi="Calibri" w:cs="Calibri"/>
        </w:rPr>
      </w:pPr>
    </w:p>
    <w:p w14:paraId="0C04582E" w14:textId="77777777" w:rsidR="00D6057A" w:rsidRPr="00641693" w:rsidRDefault="00D6057A" w:rsidP="006E77D5">
      <w:pPr>
        <w:spacing w:after="40" w:line="240" w:lineRule="auto"/>
        <w:rPr>
          <w:rFonts w:ascii="Calibri" w:hAnsi="Calibri" w:cs="Calibri"/>
          <w:b/>
          <w:bCs/>
          <w:sz w:val="28"/>
          <w:szCs w:val="28"/>
        </w:rPr>
      </w:pPr>
      <w:r w:rsidRPr="00641693">
        <w:rPr>
          <w:rFonts w:ascii="Calibri" w:hAnsi="Calibri" w:cs="Calibri"/>
          <w:b/>
          <w:bCs/>
          <w:sz w:val="28"/>
          <w:szCs w:val="28"/>
        </w:rPr>
        <w:t>ACKNOWLEDGEMENTS</w:t>
      </w:r>
    </w:p>
    <w:p w14:paraId="1DB79BA7" w14:textId="65851D1D" w:rsidR="00D6057A" w:rsidRPr="00641693" w:rsidRDefault="00816117" w:rsidP="00F94D22">
      <w:pPr>
        <w:spacing w:after="40" w:line="240" w:lineRule="auto"/>
        <w:ind w:firstLine="851"/>
        <w:jc w:val="both"/>
        <w:rPr>
          <w:rFonts w:ascii="Calibri" w:hAnsi="Calibri" w:cs="Calibri"/>
        </w:rPr>
      </w:pPr>
      <w:r w:rsidRPr="00641693">
        <w:rPr>
          <w:rFonts w:ascii="Calibri" w:hAnsi="Calibri" w:cs="Calibri"/>
        </w:rPr>
        <w:t>This research was supported by Vrije Universiteit Brussel (VUB) and Université libre de Bruxelles (ULB). The authors also acknowledge the Brussels-Capital Region and its public-sector organisations for providing the open datasets used to develop the prototype presented in this study</w:t>
      </w:r>
      <w:r w:rsidR="00C7456D" w:rsidRPr="00641693">
        <w:rPr>
          <w:rFonts w:ascii="Calibri" w:hAnsi="Calibri" w:cs="Calibri"/>
        </w:rPr>
        <w:t>.</w:t>
      </w:r>
      <w:r w:rsidR="00D6057A" w:rsidRPr="00641693">
        <w:rPr>
          <w:rFonts w:ascii="Calibri" w:hAnsi="Calibri" w:cs="Calibri"/>
        </w:rPr>
        <w:t xml:space="preserve"> </w:t>
      </w:r>
    </w:p>
    <w:p w14:paraId="27DB1F53" w14:textId="77777777" w:rsidR="00D6057A" w:rsidRPr="00641693" w:rsidRDefault="00D6057A" w:rsidP="006E77D5">
      <w:pPr>
        <w:spacing w:after="40" w:line="240" w:lineRule="auto"/>
        <w:rPr>
          <w:rFonts w:ascii="Calibri" w:hAnsi="Calibri" w:cs="Calibri"/>
        </w:rPr>
      </w:pPr>
    </w:p>
    <w:p w14:paraId="1C4D7BD6" w14:textId="48E709D9" w:rsidR="00D6057A" w:rsidRPr="00641693" w:rsidRDefault="00D6057A" w:rsidP="006E77D5">
      <w:pPr>
        <w:spacing w:after="40" w:line="240" w:lineRule="auto"/>
        <w:rPr>
          <w:rFonts w:ascii="Calibri" w:hAnsi="Calibri" w:cs="Calibri"/>
          <w:b/>
          <w:bCs/>
          <w:sz w:val="28"/>
          <w:szCs w:val="28"/>
        </w:rPr>
      </w:pPr>
      <w:r w:rsidRPr="00641693">
        <w:rPr>
          <w:rFonts w:ascii="Calibri" w:hAnsi="Calibri" w:cs="Calibri"/>
          <w:b/>
          <w:bCs/>
          <w:sz w:val="28"/>
          <w:szCs w:val="28"/>
        </w:rPr>
        <w:t xml:space="preserve">REFERENCES </w:t>
      </w:r>
    </w:p>
    <w:p w14:paraId="4A29B2A4" w14:textId="77777777" w:rsidR="003E1F7F" w:rsidRPr="00641693" w:rsidRDefault="003E1F7F" w:rsidP="003E1F7F">
      <w:pPr>
        <w:spacing w:after="40" w:line="240" w:lineRule="auto"/>
        <w:ind w:left="851" w:hanging="851"/>
        <w:rPr>
          <w:rFonts w:ascii="Calibri" w:hAnsi="Calibri" w:cs="Calibri"/>
        </w:rPr>
      </w:pPr>
      <w:r w:rsidRPr="00641693">
        <w:rPr>
          <w:rFonts w:ascii="Calibri" w:hAnsi="Calibri" w:cs="Calibri"/>
        </w:rPr>
        <w:t xml:space="preserve">Afif </w:t>
      </w:r>
      <w:proofErr w:type="spellStart"/>
      <w:r w:rsidRPr="00641693">
        <w:rPr>
          <w:rFonts w:ascii="Calibri" w:hAnsi="Calibri" w:cs="Calibri"/>
        </w:rPr>
        <w:t>Supianto</w:t>
      </w:r>
      <w:proofErr w:type="spellEnd"/>
      <w:r w:rsidRPr="00641693">
        <w:rPr>
          <w:rFonts w:ascii="Calibri" w:hAnsi="Calibri" w:cs="Calibri"/>
        </w:rPr>
        <w:t xml:space="preserve">, A., Nasar, W., Margrethe Aspen, D., Hasan, A., Karlsen, A. S. T., &amp; Torres, R. D. S. (2024). An Urban Digital Twin Framework for Reference and Planning. IEEE Access, 12, 152444–152465. </w:t>
      </w:r>
      <w:hyperlink r:id="rId14" w:tgtFrame="_new" w:history="1">
        <w:r w:rsidRPr="00641693">
          <w:rPr>
            <w:rFonts w:ascii="Calibri" w:hAnsi="Calibri" w:cs="Calibri"/>
          </w:rPr>
          <w:t>DOI:</w:t>
        </w:r>
      </w:hyperlink>
      <w:r w:rsidRPr="00641693">
        <w:rPr>
          <w:rFonts w:ascii="Calibri" w:hAnsi="Calibri" w:cs="Calibri"/>
        </w:rPr>
        <w:t xml:space="preserve"> 10.1109/ACCESS.2024.3478379</w:t>
      </w:r>
    </w:p>
    <w:p w14:paraId="7FE14E6A" w14:textId="6FCEC91F" w:rsidR="159FF9D6" w:rsidRPr="00641693" w:rsidRDefault="159FF9D6" w:rsidP="0B5C5523">
      <w:pPr>
        <w:spacing w:after="40" w:line="240" w:lineRule="auto"/>
        <w:ind w:left="851" w:hanging="851"/>
      </w:pPr>
      <w:r w:rsidRPr="00641693">
        <w:rPr>
          <w:rFonts w:ascii="Calibri" w:hAnsi="Calibri" w:cs="Calibri"/>
        </w:rPr>
        <w:t>Ali, M.E., Cheema, M.A., Hashem, T., Ulhaq, A. &amp; Babar, M.A., (2024). Enabling spatial digital twins: Technologies, challenges, and future research directions. PFG – Journal of Photogrammetry, Remote Sensing and Geoinformation Science, 92(6): p. 761-778. DOI: 10.1007/s41064-024-00301-2.</w:t>
      </w:r>
    </w:p>
    <w:p w14:paraId="0B3ACDD6" w14:textId="389B4396" w:rsidR="159FF9D6" w:rsidRPr="00641693" w:rsidRDefault="159FF9D6" w:rsidP="0B5C5523">
      <w:pPr>
        <w:spacing w:after="40" w:line="240" w:lineRule="auto"/>
        <w:ind w:left="851" w:hanging="851"/>
      </w:pPr>
      <w:r w:rsidRPr="00641693">
        <w:rPr>
          <w:rFonts w:ascii="Calibri" w:hAnsi="Calibri" w:cs="Calibri"/>
        </w:rPr>
        <w:t xml:space="preserve">Arin, I.A., </w:t>
      </w:r>
      <w:proofErr w:type="spellStart"/>
      <w:r w:rsidRPr="00641693">
        <w:rPr>
          <w:rFonts w:ascii="Calibri" w:hAnsi="Calibri" w:cs="Calibri"/>
        </w:rPr>
        <w:t>Meyliana</w:t>
      </w:r>
      <w:proofErr w:type="spellEnd"/>
      <w:r w:rsidRPr="00641693">
        <w:rPr>
          <w:rFonts w:ascii="Calibri" w:hAnsi="Calibri" w:cs="Calibri"/>
        </w:rPr>
        <w:t xml:space="preserve">, </w:t>
      </w:r>
      <w:proofErr w:type="spellStart"/>
      <w:r w:rsidRPr="00641693">
        <w:rPr>
          <w:rFonts w:ascii="Calibri" w:hAnsi="Calibri" w:cs="Calibri"/>
        </w:rPr>
        <w:t>Warnars</w:t>
      </w:r>
      <w:proofErr w:type="spellEnd"/>
      <w:r w:rsidRPr="00641693">
        <w:rPr>
          <w:rFonts w:ascii="Calibri" w:hAnsi="Calibri" w:cs="Calibri"/>
        </w:rPr>
        <w:t>, H.L.H.S. &amp; Murad, D.F., (2023). A systematic literature review of recent trends and challenges in digital twin implementation. In 2023 10th International Conference on ICT for Smart Society (ICISS). Bandung, Indonesia, September 6-7, p. 1-10. DOI: 10.1109/ICISS59129.2023.10291219.</w:t>
      </w:r>
    </w:p>
    <w:p w14:paraId="4593DD1F" w14:textId="78ACDB30" w:rsidR="0048645A" w:rsidRPr="00641693" w:rsidRDefault="04CB8A8F" w:rsidP="0B5C5523">
      <w:pPr>
        <w:spacing w:after="40" w:line="240" w:lineRule="auto"/>
        <w:ind w:left="851" w:hanging="851"/>
      </w:pPr>
      <w:r w:rsidRPr="00641693">
        <w:rPr>
          <w:rFonts w:ascii="Calibri" w:hAnsi="Calibri" w:cs="Calibri"/>
        </w:rPr>
        <w:t xml:space="preserve">Arvindhan, M., Nivetha, S., Mishra, R.A. &amp; Daniel, A., (2024). Navigating the complexities of digital twin implementation: Challenges and strategies for success. In Daniel, A., Sriramulu, S., Partheeban, N. &amp; </w:t>
      </w:r>
      <w:proofErr w:type="spellStart"/>
      <w:r w:rsidRPr="00641693">
        <w:rPr>
          <w:rFonts w:ascii="Calibri" w:hAnsi="Calibri" w:cs="Calibri"/>
        </w:rPr>
        <w:t>Jayagopalan</w:t>
      </w:r>
      <w:proofErr w:type="spellEnd"/>
      <w:r w:rsidRPr="00641693">
        <w:rPr>
          <w:rFonts w:ascii="Calibri" w:hAnsi="Calibri" w:cs="Calibri"/>
        </w:rPr>
        <w:t xml:space="preserve">, S. (eds.), Digital Twin Technology and Applications. Boca Raton, FL: Auerbach Publications, p. </w:t>
      </w:r>
      <w:r w:rsidR="159FF9D6" w:rsidRPr="00641693">
        <w:rPr>
          <w:rFonts w:ascii="Calibri" w:hAnsi="Calibri" w:cs="Calibri"/>
        </w:rPr>
        <w:t>171-</w:t>
      </w:r>
      <w:r w:rsidRPr="00641693">
        <w:rPr>
          <w:rFonts w:ascii="Calibri" w:hAnsi="Calibri" w:cs="Calibri"/>
        </w:rPr>
        <w:t>186. DOI: 10.1201/9781003469612-7.</w:t>
      </w:r>
    </w:p>
    <w:p w14:paraId="6EF5186B" w14:textId="023EE55A" w:rsidR="0048645A" w:rsidRPr="00641693" w:rsidRDefault="2A633B7C" w:rsidP="0B5C5523">
      <w:pPr>
        <w:spacing w:after="40" w:line="240" w:lineRule="auto"/>
        <w:ind w:left="851" w:hanging="851"/>
      </w:pPr>
      <w:r w:rsidRPr="00641693">
        <w:rPr>
          <w:rFonts w:ascii="Calibri" w:hAnsi="Calibri" w:cs="Calibri"/>
        </w:rPr>
        <w:t xml:space="preserve">Bawany, N.Z. &amp; Zainab, H., (2025). Application of digital twin technology for disaster management in smart cities. In Nguyen, T.A. (ed.), Digital Twin and Blockchain for Sensor Networks in Smart Cities. Elsevier, p. </w:t>
      </w:r>
      <w:r w:rsidR="159FF9D6" w:rsidRPr="00641693">
        <w:rPr>
          <w:rFonts w:ascii="Calibri" w:hAnsi="Calibri" w:cs="Calibri"/>
        </w:rPr>
        <w:t>443-</w:t>
      </w:r>
      <w:r w:rsidRPr="00641693">
        <w:rPr>
          <w:rFonts w:ascii="Calibri" w:hAnsi="Calibri" w:cs="Calibri"/>
        </w:rPr>
        <w:t>453. DOI: 10.1016/B978-0-443-30076-9.00024-8.</w:t>
      </w:r>
    </w:p>
    <w:p w14:paraId="15C8E6ED" w14:textId="4AEC222F" w:rsidR="159FF9D6" w:rsidRPr="00641693" w:rsidRDefault="159FF9D6" w:rsidP="0B5C5523">
      <w:pPr>
        <w:spacing w:after="40" w:line="240" w:lineRule="auto"/>
        <w:ind w:left="851" w:hanging="851"/>
      </w:pPr>
      <w:r w:rsidRPr="00641693">
        <w:rPr>
          <w:rFonts w:ascii="Calibri" w:hAnsi="Calibri" w:cs="Calibri"/>
        </w:rPr>
        <w:t xml:space="preserve">Coenen, T., </w:t>
      </w:r>
      <w:proofErr w:type="spellStart"/>
      <w:r w:rsidRPr="00641693">
        <w:rPr>
          <w:rFonts w:ascii="Calibri" w:hAnsi="Calibri" w:cs="Calibri"/>
        </w:rPr>
        <w:t>Chantillon</w:t>
      </w:r>
      <w:proofErr w:type="spellEnd"/>
      <w:r w:rsidRPr="00641693">
        <w:rPr>
          <w:rFonts w:ascii="Calibri" w:hAnsi="Calibri" w:cs="Calibri"/>
        </w:rPr>
        <w:t xml:space="preserve">, M., </w:t>
      </w:r>
      <w:proofErr w:type="spellStart"/>
      <w:r w:rsidRPr="00641693">
        <w:rPr>
          <w:rFonts w:ascii="Calibri" w:hAnsi="Calibri" w:cs="Calibri"/>
        </w:rPr>
        <w:t>Croket</w:t>
      </w:r>
      <w:proofErr w:type="spellEnd"/>
      <w:r w:rsidRPr="00641693">
        <w:rPr>
          <w:rFonts w:ascii="Calibri" w:hAnsi="Calibri" w:cs="Calibri"/>
        </w:rPr>
        <w:t xml:space="preserve">, I. &amp; Raes, L., (2025). Local digital twins: A central urban integrator to break down the silos. In Raes, L., Ruston McAleer, S., </w:t>
      </w:r>
      <w:proofErr w:type="spellStart"/>
      <w:r w:rsidRPr="00641693">
        <w:rPr>
          <w:rFonts w:ascii="Calibri" w:hAnsi="Calibri" w:cs="Calibri"/>
        </w:rPr>
        <w:t>Croket</w:t>
      </w:r>
      <w:proofErr w:type="spellEnd"/>
      <w:r w:rsidRPr="00641693">
        <w:rPr>
          <w:rFonts w:ascii="Calibri" w:hAnsi="Calibri" w:cs="Calibri"/>
        </w:rPr>
        <w:t>, I., Kogut, P., Brynskov, M. &amp; Lefever, S. (eds.), Decide Better: Open and Interoperable Local Digital Twins. Cham: Springer, p. 59-86. DOI: 10.1007/978-3-031-81451-8_4.</w:t>
      </w:r>
    </w:p>
    <w:p w14:paraId="6ECA936C" w14:textId="2CBF0856" w:rsidR="159FF9D6" w:rsidRPr="00641693" w:rsidRDefault="159FF9D6" w:rsidP="0B5C5523">
      <w:pPr>
        <w:spacing w:after="40" w:line="240" w:lineRule="auto"/>
        <w:ind w:left="851" w:hanging="851"/>
      </w:pPr>
      <w:r w:rsidRPr="00641693">
        <w:rPr>
          <w:rFonts w:ascii="Calibri" w:hAnsi="Calibri" w:cs="Calibri"/>
        </w:rPr>
        <w:t>Curtis, S. &amp; Edwards, J., (2019). Improving public services by sharing the right information. Public Money &amp; Management, 39(5): p. 355-358. DOI: 10.1080/09540962.2019.1611238.</w:t>
      </w:r>
    </w:p>
    <w:p w14:paraId="1EE787DC" w14:textId="24C672BE" w:rsidR="0048645A" w:rsidRPr="00641693" w:rsidRDefault="2A633B7C" w:rsidP="762722A6">
      <w:pPr>
        <w:spacing w:after="40" w:line="240" w:lineRule="auto"/>
        <w:ind w:left="851" w:hanging="851"/>
        <w:rPr>
          <w:rFonts w:ascii="Calibri" w:hAnsi="Calibri" w:cs="Calibri"/>
        </w:rPr>
      </w:pPr>
      <w:r w:rsidRPr="00641693">
        <w:rPr>
          <w:rFonts w:ascii="Calibri" w:hAnsi="Calibri" w:cs="Calibri"/>
        </w:rPr>
        <w:t xml:space="preserve">Dembski, F., </w:t>
      </w:r>
      <w:proofErr w:type="spellStart"/>
      <w:r w:rsidRPr="00641693">
        <w:rPr>
          <w:rFonts w:ascii="Calibri" w:hAnsi="Calibri" w:cs="Calibri"/>
        </w:rPr>
        <w:t>Wössner</w:t>
      </w:r>
      <w:proofErr w:type="spellEnd"/>
      <w:r w:rsidRPr="00641693">
        <w:rPr>
          <w:rFonts w:ascii="Calibri" w:hAnsi="Calibri" w:cs="Calibri"/>
        </w:rPr>
        <w:t xml:space="preserve">, U. &amp; </w:t>
      </w:r>
      <w:proofErr w:type="spellStart"/>
      <w:r w:rsidRPr="00641693">
        <w:rPr>
          <w:rFonts w:ascii="Calibri" w:hAnsi="Calibri" w:cs="Calibri"/>
        </w:rPr>
        <w:t>Yamu</w:t>
      </w:r>
      <w:proofErr w:type="spellEnd"/>
      <w:r w:rsidRPr="00641693">
        <w:rPr>
          <w:rFonts w:ascii="Calibri" w:hAnsi="Calibri" w:cs="Calibri"/>
        </w:rPr>
        <w:t>, C., (2019). Digital twin, virtual reality and space syntax: Civic engagement and decision support for smart, sustainable cities. In Proceedings of the 12th International Space Syntax Symposium. Beijing, China, July 8</w:t>
      </w:r>
      <w:r w:rsidR="159FF9D6" w:rsidRPr="00641693">
        <w:rPr>
          <w:rFonts w:ascii="Calibri" w:hAnsi="Calibri" w:cs="Calibri"/>
        </w:rPr>
        <w:t xml:space="preserve">-13, p. </w:t>
      </w:r>
      <w:r w:rsidRPr="00641693">
        <w:rPr>
          <w:rFonts w:ascii="Calibri" w:hAnsi="Calibri" w:cs="Calibri"/>
        </w:rPr>
        <w:t>1230</w:t>
      </w:r>
      <w:r w:rsidR="159FF9D6" w:rsidRPr="00641693">
        <w:rPr>
          <w:rFonts w:ascii="Calibri" w:hAnsi="Calibri" w:cs="Calibri"/>
        </w:rPr>
        <w:t>-</w:t>
      </w:r>
      <w:r w:rsidRPr="00641693">
        <w:rPr>
          <w:rFonts w:ascii="Calibri" w:hAnsi="Calibri" w:cs="Calibri"/>
        </w:rPr>
        <w:t>1242.</w:t>
      </w:r>
    </w:p>
    <w:p w14:paraId="7CA021DB" w14:textId="32CCA172" w:rsidR="0048645A" w:rsidRPr="00641693" w:rsidRDefault="2A633B7C" w:rsidP="0B5C5523">
      <w:pPr>
        <w:spacing w:after="40" w:line="240" w:lineRule="auto"/>
        <w:ind w:left="851" w:hanging="851"/>
        <w:rPr>
          <w:rFonts w:ascii="Calibri" w:hAnsi="Calibri" w:cs="Calibri"/>
        </w:rPr>
      </w:pPr>
      <w:r w:rsidRPr="00641693">
        <w:rPr>
          <w:rFonts w:ascii="Calibri" w:hAnsi="Calibri" w:cs="Calibri"/>
        </w:rPr>
        <w:lastRenderedPageBreak/>
        <w:t xml:space="preserve">Do, B.K.L., Nguyen, T.H., Quang, N.H., Nguyen-Ngoc, D. &amp; El </w:t>
      </w:r>
      <w:proofErr w:type="spellStart"/>
      <w:r w:rsidRPr="00641693">
        <w:rPr>
          <w:rFonts w:ascii="Calibri" w:hAnsi="Calibri" w:cs="Calibri"/>
        </w:rPr>
        <w:t>Ghaoui</w:t>
      </w:r>
      <w:proofErr w:type="spellEnd"/>
      <w:r w:rsidRPr="00641693">
        <w:rPr>
          <w:rFonts w:ascii="Calibri" w:hAnsi="Calibri" w:cs="Calibri"/>
        </w:rPr>
        <w:t>, L., (2026). A digital twin framework for decision-support and optimization of EV charging infrastructure in localized urban systems. Computers, Environment and Urban Systems, 127: Article 102422. DOI: 10.1016/j.compenvurbsys.2026.102422.</w:t>
      </w:r>
    </w:p>
    <w:p w14:paraId="6E7D6A51" w14:textId="005CA5B9" w:rsidR="00D60134" w:rsidRPr="00641693" w:rsidRDefault="00D60134" w:rsidP="0B5C5523">
      <w:pPr>
        <w:spacing w:after="40" w:line="240" w:lineRule="auto"/>
        <w:ind w:left="851" w:hanging="851"/>
        <w:rPr>
          <w:rFonts w:ascii="Calibri" w:hAnsi="Calibri" w:cs="Calibri"/>
        </w:rPr>
      </w:pPr>
      <w:r w:rsidRPr="00641693">
        <w:rPr>
          <w:rFonts w:ascii="Calibri" w:hAnsi="Calibri" w:cs="Calibri"/>
        </w:rPr>
        <w:t xml:space="preserve">Fuller, A., Fan, Z., Day, C., &amp; Barlow, C. (2020). Digital Twin: Enabling Technologies, Challenges and Open Research. IEEE Access, 8, 108952–108971. DOI: </w:t>
      </w:r>
      <w:hyperlink r:id="rId15" w:tgtFrame="_new" w:history="1">
        <w:r w:rsidRPr="00641693">
          <w:rPr>
            <w:rFonts w:ascii="Calibri" w:hAnsi="Calibri" w:cs="Calibri"/>
          </w:rPr>
          <w:t>10.1109/ACCESS.2020.2998358</w:t>
        </w:r>
      </w:hyperlink>
    </w:p>
    <w:p w14:paraId="76911852" w14:textId="325C59BC" w:rsidR="7E63953E" w:rsidRPr="00641693" w:rsidRDefault="7E63953E" w:rsidP="0B5C5523">
      <w:pPr>
        <w:spacing w:after="40" w:line="240" w:lineRule="auto"/>
        <w:ind w:left="851" w:hanging="851"/>
      </w:pPr>
      <w:proofErr w:type="spellStart"/>
      <w:r w:rsidRPr="00641693">
        <w:rPr>
          <w:rFonts w:ascii="Calibri" w:hAnsi="Calibri" w:cs="Calibri"/>
        </w:rPr>
        <w:t>GovTech</w:t>
      </w:r>
      <w:proofErr w:type="spellEnd"/>
      <w:r w:rsidRPr="00641693">
        <w:rPr>
          <w:rFonts w:ascii="Calibri" w:hAnsi="Calibri" w:cs="Calibri"/>
        </w:rPr>
        <w:t xml:space="preserve"> Singapore, (2017) 5 things to know about Virtual Singapore, [Online], Available: https://www.tech.gov.sg/technews/5-things-to-know-about-virtual-singapore/ [10 July 2026].</w:t>
      </w:r>
    </w:p>
    <w:p w14:paraId="0DA4D93B" w14:textId="16D7D715" w:rsidR="159FF9D6" w:rsidRPr="00641693" w:rsidRDefault="159FF9D6" w:rsidP="0B5C5523">
      <w:pPr>
        <w:spacing w:after="40" w:line="240" w:lineRule="auto"/>
        <w:ind w:left="851" w:hanging="851"/>
      </w:pPr>
      <w:r w:rsidRPr="00641693">
        <w:rPr>
          <w:rFonts w:ascii="Calibri" w:hAnsi="Calibri" w:cs="Calibri"/>
        </w:rPr>
        <w:t>Hassan, N.H.M., Ahmad, K. &amp; Salehuddin, H., (2020). Diagnosing the issues and challenges in data integration implementation in public sector. International Journal on Advanced Science, Engineering and Information Technology, 10(2): p. 529-535. DOI: 10.18517/ijaseit.10.2.10271.</w:t>
      </w:r>
    </w:p>
    <w:p w14:paraId="459110F6" w14:textId="093FD31F" w:rsidR="0048645A" w:rsidRDefault="02BEEBF0" w:rsidP="0B5C5523">
      <w:pPr>
        <w:spacing w:after="40" w:line="240" w:lineRule="auto"/>
        <w:ind w:left="851" w:hanging="851"/>
        <w:rPr>
          <w:rFonts w:ascii="Calibri" w:hAnsi="Calibri" w:cs="Calibri"/>
          <w:lang w:val="nl-BE"/>
        </w:rPr>
      </w:pPr>
      <w:r w:rsidRPr="00641693">
        <w:rPr>
          <w:rFonts w:ascii="Calibri" w:hAnsi="Calibri" w:cs="Calibri"/>
        </w:rPr>
        <w:t xml:space="preserve">Jørgensen, B.N. &amp; Ma, Z.G., (2025). Digital twins under EU law: A unified compliance framework across smart cities, industry, transportation, and energy systems. </w:t>
      </w:r>
      <w:r w:rsidRPr="006A14C0">
        <w:rPr>
          <w:rFonts w:ascii="Calibri" w:hAnsi="Calibri" w:cs="Calibri"/>
          <w:lang w:val="nl-BE"/>
        </w:rPr>
        <w:t>Electronics, 14(24): Article 4881. DOI: 10.3390/electronics14244881.</w:t>
      </w:r>
    </w:p>
    <w:p w14:paraId="202179C4" w14:textId="77777777" w:rsidR="0051692A" w:rsidRDefault="0051692A" w:rsidP="0B5C5523">
      <w:pPr>
        <w:spacing w:after="40" w:line="240" w:lineRule="auto"/>
        <w:ind w:left="851" w:hanging="851"/>
        <w:rPr>
          <w:lang w:val="en-US"/>
        </w:rPr>
      </w:pPr>
      <w:r w:rsidRPr="00C75C1F">
        <w:rPr>
          <w:lang w:val="en-US"/>
        </w:rPr>
        <w:t xml:space="preserve">Ketzler, B., </w:t>
      </w:r>
      <w:proofErr w:type="spellStart"/>
      <w:r w:rsidRPr="00C75C1F">
        <w:rPr>
          <w:lang w:val="en-US"/>
        </w:rPr>
        <w:t>Naserentin</w:t>
      </w:r>
      <w:proofErr w:type="spellEnd"/>
      <w:r w:rsidRPr="00C75C1F">
        <w:rPr>
          <w:lang w:val="en-US"/>
        </w:rPr>
        <w:t xml:space="preserve">, V., Latino, F., Zangelidis, C., </w:t>
      </w:r>
      <w:proofErr w:type="spellStart"/>
      <w:r w:rsidRPr="00C75C1F">
        <w:rPr>
          <w:lang w:val="en-US"/>
        </w:rPr>
        <w:t>Thuvander</w:t>
      </w:r>
      <w:proofErr w:type="spellEnd"/>
      <w:r w:rsidRPr="00C75C1F">
        <w:rPr>
          <w:lang w:val="en-US"/>
        </w:rPr>
        <w:t xml:space="preserve">, L. and Logg, A. (2020). Digital twins for cities: A </w:t>
      </w:r>
      <w:proofErr w:type="gramStart"/>
      <w:r w:rsidRPr="00C75C1F">
        <w:rPr>
          <w:lang w:val="en-US"/>
        </w:rPr>
        <w:t>state of the art</w:t>
      </w:r>
      <w:proofErr w:type="gramEnd"/>
      <w:r w:rsidRPr="00C75C1F">
        <w:rPr>
          <w:lang w:val="en-US"/>
        </w:rPr>
        <w:t xml:space="preserve"> review. Built Environment, 46(4), 547–573. DOI: </w:t>
      </w:r>
      <w:r w:rsidRPr="0051692A">
        <w:rPr>
          <w:lang w:val="en-US"/>
        </w:rPr>
        <w:t>10.2148/benv.46.4.547</w:t>
      </w:r>
      <w:r>
        <w:rPr>
          <w:lang w:val="en-US"/>
        </w:rPr>
        <w:t xml:space="preserve">; </w:t>
      </w:r>
    </w:p>
    <w:p w14:paraId="3BF9559E" w14:textId="0CD8FCFB" w:rsidR="0048645A" w:rsidRPr="00641693" w:rsidRDefault="02BEEBF0" w:rsidP="0B5C5523">
      <w:pPr>
        <w:spacing w:after="40" w:line="240" w:lineRule="auto"/>
        <w:ind w:left="851" w:hanging="851"/>
      </w:pPr>
      <w:r w:rsidRPr="006A14C0">
        <w:rPr>
          <w:rFonts w:ascii="Calibri" w:hAnsi="Calibri" w:cs="Calibri"/>
          <w:lang w:val="nl-BE"/>
        </w:rPr>
        <w:t xml:space="preserve">Kogut, P. &amp; van der Heijden, R., (2025). </w:t>
      </w:r>
      <w:r w:rsidRPr="00641693">
        <w:rPr>
          <w:rFonts w:ascii="Calibri" w:hAnsi="Calibri" w:cs="Calibri"/>
        </w:rPr>
        <w:t xml:space="preserve">Digital twins for urban governance: General desires, expectations, challenges. In Raes, L., Ruston McAleer, S., </w:t>
      </w:r>
      <w:proofErr w:type="spellStart"/>
      <w:r w:rsidRPr="00641693">
        <w:rPr>
          <w:rFonts w:ascii="Calibri" w:hAnsi="Calibri" w:cs="Calibri"/>
        </w:rPr>
        <w:t>Croket</w:t>
      </w:r>
      <w:proofErr w:type="spellEnd"/>
      <w:r w:rsidRPr="00641693">
        <w:rPr>
          <w:rFonts w:ascii="Calibri" w:hAnsi="Calibri" w:cs="Calibri"/>
        </w:rPr>
        <w:t xml:space="preserve">, I., Kogut, P., Brynskov, M. &amp; Lefever, S. (eds.), Decide Better: Open and Interoperable Local Digital Twins. Cham: Springer, p. </w:t>
      </w:r>
      <w:r w:rsidR="159FF9D6" w:rsidRPr="00641693">
        <w:rPr>
          <w:rFonts w:ascii="Calibri" w:hAnsi="Calibri" w:cs="Calibri"/>
        </w:rPr>
        <w:t>9-</w:t>
      </w:r>
      <w:r w:rsidRPr="00641693">
        <w:rPr>
          <w:rFonts w:ascii="Calibri" w:hAnsi="Calibri" w:cs="Calibri"/>
        </w:rPr>
        <w:t>31. DOI: 10.1007/978-3-031-81451-8_2.</w:t>
      </w:r>
    </w:p>
    <w:p w14:paraId="50B8E171" w14:textId="0B7D3C72" w:rsidR="0048645A" w:rsidRPr="00641693" w:rsidRDefault="02BEEBF0" w:rsidP="0B5C5523">
      <w:pPr>
        <w:spacing w:after="40" w:line="240" w:lineRule="auto"/>
        <w:ind w:left="851" w:hanging="851"/>
      </w:pPr>
      <w:proofErr w:type="spellStart"/>
      <w:r w:rsidRPr="00641693">
        <w:rPr>
          <w:rFonts w:ascii="Calibri" w:hAnsi="Calibri" w:cs="Calibri"/>
        </w:rPr>
        <w:t>Kuštelega</w:t>
      </w:r>
      <w:proofErr w:type="spellEnd"/>
      <w:r w:rsidRPr="00641693">
        <w:rPr>
          <w:rFonts w:ascii="Calibri" w:hAnsi="Calibri" w:cs="Calibri"/>
        </w:rPr>
        <w:t xml:space="preserve">, M., </w:t>
      </w:r>
      <w:proofErr w:type="spellStart"/>
      <w:r w:rsidRPr="00641693">
        <w:rPr>
          <w:rFonts w:ascii="Calibri" w:hAnsi="Calibri" w:cs="Calibri"/>
        </w:rPr>
        <w:t>Mekovec</w:t>
      </w:r>
      <w:proofErr w:type="spellEnd"/>
      <w:r w:rsidRPr="00641693">
        <w:rPr>
          <w:rFonts w:ascii="Calibri" w:hAnsi="Calibri" w:cs="Calibri"/>
        </w:rPr>
        <w:t xml:space="preserve">, R. &amp; Shareef, A., (2024). Privacy and security challenges of the digital twin: Systematic literature review. Journal of Universal Computer Science, 30(13): p. </w:t>
      </w:r>
      <w:r w:rsidR="159FF9D6" w:rsidRPr="00641693">
        <w:rPr>
          <w:rFonts w:ascii="Calibri" w:hAnsi="Calibri" w:cs="Calibri"/>
        </w:rPr>
        <w:t>1782-</w:t>
      </w:r>
      <w:r w:rsidRPr="00641693">
        <w:rPr>
          <w:rFonts w:ascii="Calibri" w:hAnsi="Calibri" w:cs="Calibri"/>
        </w:rPr>
        <w:t>1806. DOI: 10.3897/jucs.114607.</w:t>
      </w:r>
    </w:p>
    <w:p w14:paraId="32193ED6" w14:textId="7BAFD2EA" w:rsidR="159FF9D6" w:rsidRPr="00641693" w:rsidRDefault="159FF9D6" w:rsidP="0B5C5523">
      <w:pPr>
        <w:spacing w:after="40" w:line="240" w:lineRule="auto"/>
        <w:ind w:left="851" w:hanging="851"/>
      </w:pPr>
      <w:r w:rsidRPr="00641693">
        <w:rPr>
          <w:rFonts w:ascii="Calibri" w:hAnsi="Calibri" w:cs="Calibri"/>
        </w:rPr>
        <w:t>Manso-Callejo, M.-Á., Wachowicz, M. &amp; Bernabé-Poveda, M.-Á., (2009). Towards an integrated model of interoperability for spatial data infrastructures. Transactions in GIS, 13(1): p. 43-67. DOI: 10.1111/j.1467-9671.2009.</w:t>
      </w:r>
      <w:proofErr w:type="gramStart"/>
      <w:r w:rsidRPr="00641693">
        <w:rPr>
          <w:rFonts w:ascii="Calibri" w:hAnsi="Calibri" w:cs="Calibri"/>
        </w:rPr>
        <w:t>01143.x.</w:t>
      </w:r>
      <w:proofErr w:type="gramEnd"/>
    </w:p>
    <w:p w14:paraId="54C7C699" w14:textId="29DDA39A" w:rsidR="00460900" w:rsidRPr="00641693" w:rsidRDefault="00460900" w:rsidP="00460900">
      <w:pPr>
        <w:spacing w:after="40" w:line="240" w:lineRule="auto"/>
        <w:ind w:left="851" w:hanging="851"/>
      </w:pPr>
      <w:r w:rsidRPr="00460900">
        <w:t>Raes, L., Michiels, P., Adolphi, T., Tampere, C., Dalianis, A., McAleer, S. and Kogut, P. (2022). DUET: A framework for building interoperable and trusted digital twins of smart cities. IEEE Internet Computing, 26(3), 43–50. DOI: 10.1109/MIC.2021.3060962</w:t>
      </w:r>
    </w:p>
    <w:p w14:paraId="6DF59E1C" w14:textId="392C902D" w:rsidR="0048645A" w:rsidRDefault="02BEEBF0" w:rsidP="0B5C5523">
      <w:pPr>
        <w:spacing w:after="40" w:line="240" w:lineRule="auto"/>
        <w:ind w:left="851" w:hanging="851"/>
        <w:rPr>
          <w:rFonts w:ascii="Calibri" w:hAnsi="Calibri" w:cs="Calibri"/>
        </w:rPr>
      </w:pPr>
      <w:r w:rsidRPr="00641693">
        <w:rPr>
          <w:rFonts w:ascii="Calibri" w:hAnsi="Calibri" w:cs="Calibri"/>
        </w:rPr>
        <w:t>Richter, F., Campbell, K. &amp; Riedl, J., (2025). Lost in translation: Why digital twins thrive in research but falter in politics and public administration. Data &amp; Policy, 7: e71. DOI: 10.1017/dap.2025.10027.</w:t>
      </w:r>
    </w:p>
    <w:p w14:paraId="6F6ABA97" w14:textId="4B967057" w:rsidR="0051692A" w:rsidRPr="00641693" w:rsidRDefault="0051692A" w:rsidP="0051692A">
      <w:pPr>
        <w:spacing w:after="40" w:line="240" w:lineRule="auto"/>
        <w:ind w:left="851" w:hanging="851"/>
        <w:rPr>
          <w:rFonts w:ascii="Calibri" w:hAnsi="Calibri" w:cs="Calibri"/>
        </w:rPr>
      </w:pPr>
      <w:proofErr w:type="spellStart"/>
      <w:r w:rsidRPr="00C75C1F">
        <w:rPr>
          <w:lang w:val="en-US"/>
        </w:rPr>
        <w:t>Shahat</w:t>
      </w:r>
      <w:proofErr w:type="spellEnd"/>
      <w:r w:rsidRPr="00C75C1F">
        <w:rPr>
          <w:lang w:val="en-US"/>
        </w:rPr>
        <w:t xml:space="preserve">, E., Hyun, C.T. and Yeom, C. (2021). City digital twin potentials: A review and research agenda. Sustainability, 13(6), 3386. </w:t>
      </w:r>
      <w:r w:rsidRPr="0051692A">
        <w:rPr>
          <w:lang w:val="en-US"/>
        </w:rPr>
        <w:t>DOI: https://doi.org/10.3390/su13063386</w:t>
      </w:r>
    </w:p>
    <w:p w14:paraId="07F50B77" w14:textId="72993602" w:rsidR="00D60134" w:rsidRPr="00641693" w:rsidRDefault="00D60134" w:rsidP="0B5C5523">
      <w:pPr>
        <w:spacing w:after="40" w:line="240" w:lineRule="auto"/>
        <w:ind w:left="851" w:hanging="851"/>
        <w:rPr>
          <w:rFonts w:ascii="Calibri" w:hAnsi="Calibri" w:cs="Calibri"/>
        </w:rPr>
      </w:pPr>
      <w:r w:rsidRPr="00641693">
        <w:rPr>
          <w:rFonts w:ascii="Calibri" w:hAnsi="Calibri" w:cs="Calibri"/>
        </w:rPr>
        <w:t xml:space="preserve">Thelen, A., Zhang, X., Fink, O., Lu, Y., Ghosh, S., Youn, B. D., Todd, M. D., Mahadevan, S., Hu, C., &amp; Hu, Z. (2022). A comprehensive review of digital twin - Part 1: </w:t>
      </w:r>
      <w:proofErr w:type="spellStart"/>
      <w:r w:rsidRPr="00641693">
        <w:rPr>
          <w:rFonts w:ascii="Calibri" w:hAnsi="Calibri" w:cs="Calibri"/>
        </w:rPr>
        <w:t>Modeling</w:t>
      </w:r>
      <w:proofErr w:type="spellEnd"/>
      <w:r w:rsidRPr="00641693">
        <w:rPr>
          <w:rFonts w:ascii="Calibri" w:hAnsi="Calibri" w:cs="Calibri"/>
        </w:rPr>
        <w:t xml:space="preserve"> and twinning enabling technologies. Structural and Multidisciplinary Optimization, 65(12), 354. DOI: 10.1007/s00158-022-03425-4</w:t>
      </w:r>
    </w:p>
    <w:p w14:paraId="6F551C38" w14:textId="66470F1D" w:rsidR="000E16F7" w:rsidRPr="00D6057A" w:rsidRDefault="159FF9D6" w:rsidP="008D079B">
      <w:pPr>
        <w:spacing w:after="40" w:line="240" w:lineRule="auto"/>
        <w:ind w:left="851" w:hanging="851"/>
        <w:rPr>
          <w:rFonts w:ascii="Calibri" w:hAnsi="Calibri" w:cs="Calibri"/>
        </w:rPr>
      </w:pPr>
      <w:r w:rsidRPr="00641693">
        <w:rPr>
          <w:rFonts w:ascii="Calibri" w:hAnsi="Calibri" w:cs="Calibri"/>
        </w:rPr>
        <w:t xml:space="preserve">Valli </w:t>
      </w:r>
      <w:proofErr w:type="spellStart"/>
      <w:r w:rsidRPr="00641693">
        <w:rPr>
          <w:rFonts w:ascii="Calibri" w:hAnsi="Calibri" w:cs="Calibri"/>
        </w:rPr>
        <w:t>Buttow</w:t>
      </w:r>
      <w:proofErr w:type="spellEnd"/>
      <w:r w:rsidRPr="00641693">
        <w:rPr>
          <w:rFonts w:ascii="Calibri" w:hAnsi="Calibri" w:cs="Calibri"/>
        </w:rPr>
        <w:t>, C.V. &amp; Weerts, S., (2024). Managing public sector data: National challenges in the context of the European Union's new data governance models. Information Polity, 29(3): p. 261-276. DOI: 10.3233/IP-230003.</w:t>
      </w:r>
    </w:p>
    <w:sectPr w:rsidR="000E16F7" w:rsidRPr="00D6057A">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A75C5" w14:textId="77777777" w:rsidR="0093425B" w:rsidRDefault="0093425B" w:rsidP="005076E1">
      <w:pPr>
        <w:spacing w:after="0" w:line="240" w:lineRule="auto"/>
      </w:pPr>
      <w:r>
        <w:separator/>
      </w:r>
    </w:p>
  </w:endnote>
  <w:endnote w:type="continuationSeparator" w:id="0">
    <w:p w14:paraId="1DDD577E" w14:textId="77777777" w:rsidR="0093425B" w:rsidRDefault="0093425B"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CE19C" w14:textId="77777777" w:rsidR="0093425B" w:rsidRDefault="0093425B" w:rsidP="005076E1">
      <w:pPr>
        <w:spacing w:after="0" w:line="240" w:lineRule="auto"/>
      </w:pPr>
      <w:r>
        <w:separator/>
      </w:r>
    </w:p>
  </w:footnote>
  <w:footnote w:type="continuationSeparator" w:id="0">
    <w:p w14:paraId="6C00D328" w14:textId="77777777" w:rsidR="0093425B" w:rsidRDefault="0093425B" w:rsidP="005076E1">
      <w:pPr>
        <w:spacing w:after="0" w:line="240" w:lineRule="auto"/>
      </w:pPr>
      <w:r>
        <w:continuationSeparator/>
      </w:r>
    </w:p>
  </w:footnote>
  <w:footnote w:id="1">
    <w:p w14:paraId="1B77F421" w14:textId="65602E76" w:rsidR="00BA7139" w:rsidRPr="0051692A" w:rsidRDefault="00BA7139" w:rsidP="0051692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3AC9"/>
    <w:multiLevelType w:val="multilevel"/>
    <w:tmpl w:val="EDD4A1F4"/>
    <w:lvl w:ilvl="0">
      <w:start w:val="1"/>
      <w:numFmt w:val="decimal"/>
      <w:lvlText w:val="%1."/>
      <w:lvlJc w:val="left"/>
      <w:pPr>
        <w:ind w:left="720" w:hanging="360"/>
      </w:pPr>
      <w:rPr>
        <w:rFonts w:hint="default"/>
        <w:b/>
        <w:bCs/>
        <w:sz w:val="28"/>
        <w:szCs w:val="28"/>
      </w:rPr>
    </w:lvl>
    <w:lvl w:ilvl="1">
      <w:start w:val="3"/>
      <w:numFmt w:val="decimal"/>
      <w:isLgl/>
      <w:lvlText w:val="%1.4"/>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E437AAF"/>
    <w:multiLevelType w:val="hybridMultilevel"/>
    <w:tmpl w:val="E050218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3A0B7A76"/>
    <w:multiLevelType w:val="hybridMultilevel"/>
    <w:tmpl w:val="45622BC0"/>
    <w:lvl w:ilvl="0" w:tplc="46303608">
      <w:numFmt w:val="bullet"/>
      <w:lvlText w:val=""/>
      <w:lvlJc w:val="left"/>
      <w:pPr>
        <w:ind w:left="720" w:hanging="360"/>
      </w:pPr>
      <w:rPr>
        <w:rFonts w:ascii="Calibri" w:eastAsiaTheme="minorHAns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60BB42BF"/>
    <w:multiLevelType w:val="hybridMultilevel"/>
    <w:tmpl w:val="B4F81C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072667"/>
    <w:multiLevelType w:val="multilevel"/>
    <w:tmpl w:val="B636ABFE"/>
    <w:lvl w:ilvl="0">
      <w:start w:val="1"/>
      <w:numFmt w:val="decimal"/>
      <w:lvlText w:val="%1."/>
      <w:lvlJc w:val="left"/>
      <w:pPr>
        <w:ind w:left="720" w:hanging="360"/>
      </w:pPr>
      <w:rPr>
        <w:rFonts w:hint="default"/>
        <w:b/>
        <w:bCs/>
        <w:sz w:val="28"/>
        <w:szCs w:val="28"/>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2423027"/>
    <w:multiLevelType w:val="multilevel"/>
    <w:tmpl w:val="E84E9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3710480">
    <w:abstractNumId w:val="4"/>
  </w:num>
  <w:num w:numId="2" w16cid:durableId="971980657">
    <w:abstractNumId w:val="5"/>
  </w:num>
  <w:num w:numId="3" w16cid:durableId="466506322">
    <w:abstractNumId w:val="3"/>
  </w:num>
  <w:num w:numId="4" w16cid:durableId="1772315391">
    <w:abstractNumId w:val="0"/>
  </w:num>
  <w:num w:numId="5" w16cid:durableId="369107350">
    <w:abstractNumId w:val="1"/>
  </w:num>
  <w:num w:numId="6" w16cid:durableId="840967127">
    <w:abstractNumId w:val="2"/>
  </w:num>
  <w:num w:numId="7" w16cid:durableId="7241087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0939"/>
    <w:rsid w:val="00004A49"/>
    <w:rsid w:val="00011A49"/>
    <w:rsid w:val="00012628"/>
    <w:rsid w:val="00013107"/>
    <w:rsid w:val="00013874"/>
    <w:rsid w:val="00013B5E"/>
    <w:rsid w:val="00013C44"/>
    <w:rsid w:val="00015BAC"/>
    <w:rsid w:val="00015D28"/>
    <w:rsid w:val="00022A74"/>
    <w:rsid w:val="0002302C"/>
    <w:rsid w:val="00025FB1"/>
    <w:rsid w:val="00027F3D"/>
    <w:rsid w:val="000319F0"/>
    <w:rsid w:val="0003381D"/>
    <w:rsid w:val="00035F2C"/>
    <w:rsid w:val="000379A8"/>
    <w:rsid w:val="000574B3"/>
    <w:rsid w:val="0006214E"/>
    <w:rsid w:val="00062823"/>
    <w:rsid w:val="00064230"/>
    <w:rsid w:val="0007246F"/>
    <w:rsid w:val="000726D0"/>
    <w:rsid w:val="00077F7D"/>
    <w:rsid w:val="00080EAD"/>
    <w:rsid w:val="0008199D"/>
    <w:rsid w:val="000825A2"/>
    <w:rsid w:val="00083645"/>
    <w:rsid w:val="00087F7E"/>
    <w:rsid w:val="00097713"/>
    <w:rsid w:val="000A12A7"/>
    <w:rsid w:val="000A2370"/>
    <w:rsid w:val="000A2622"/>
    <w:rsid w:val="000A5934"/>
    <w:rsid w:val="000B1FB2"/>
    <w:rsid w:val="000B3D00"/>
    <w:rsid w:val="000B7B27"/>
    <w:rsid w:val="000B7D6C"/>
    <w:rsid w:val="000C0AB1"/>
    <w:rsid w:val="000C2AC2"/>
    <w:rsid w:val="000C5EA9"/>
    <w:rsid w:val="000C6971"/>
    <w:rsid w:val="000C7361"/>
    <w:rsid w:val="000C7492"/>
    <w:rsid w:val="000D0282"/>
    <w:rsid w:val="000D063E"/>
    <w:rsid w:val="000D097C"/>
    <w:rsid w:val="000D575C"/>
    <w:rsid w:val="000D5840"/>
    <w:rsid w:val="000D7EEC"/>
    <w:rsid w:val="000E16F7"/>
    <w:rsid w:val="000E3E77"/>
    <w:rsid w:val="000E5F7F"/>
    <w:rsid w:val="000E630F"/>
    <w:rsid w:val="000F3DDE"/>
    <w:rsid w:val="000F424B"/>
    <w:rsid w:val="000F4D36"/>
    <w:rsid w:val="001011B8"/>
    <w:rsid w:val="0010377B"/>
    <w:rsid w:val="00106A7E"/>
    <w:rsid w:val="0010779B"/>
    <w:rsid w:val="0011006A"/>
    <w:rsid w:val="00110EF2"/>
    <w:rsid w:val="00113143"/>
    <w:rsid w:val="00114FCB"/>
    <w:rsid w:val="001161BE"/>
    <w:rsid w:val="00116562"/>
    <w:rsid w:val="00122094"/>
    <w:rsid w:val="0012502B"/>
    <w:rsid w:val="00130E42"/>
    <w:rsid w:val="001319A1"/>
    <w:rsid w:val="001322C8"/>
    <w:rsid w:val="001342CA"/>
    <w:rsid w:val="0013441E"/>
    <w:rsid w:val="00135A48"/>
    <w:rsid w:val="00135B0E"/>
    <w:rsid w:val="00136A67"/>
    <w:rsid w:val="00136BA5"/>
    <w:rsid w:val="0014196B"/>
    <w:rsid w:val="0014201A"/>
    <w:rsid w:val="001437A7"/>
    <w:rsid w:val="00146289"/>
    <w:rsid w:val="00147BF2"/>
    <w:rsid w:val="00150894"/>
    <w:rsid w:val="00152AD2"/>
    <w:rsid w:val="00155ABC"/>
    <w:rsid w:val="00156BC4"/>
    <w:rsid w:val="00157C7E"/>
    <w:rsid w:val="00161D03"/>
    <w:rsid w:val="00164064"/>
    <w:rsid w:val="00165A13"/>
    <w:rsid w:val="00171960"/>
    <w:rsid w:val="00174D63"/>
    <w:rsid w:val="001750B5"/>
    <w:rsid w:val="00177783"/>
    <w:rsid w:val="00186E45"/>
    <w:rsid w:val="00187226"/>
    <w:rsid w:val="001A0535"/>
    <w:rsid w:val="001A0ED5"/>
    <w:rsid w:val="001A1E99"/>
    <w:rsid w:val="001A5676"/>
    <w:rsid w:val="001B151A"/>
    <w:rsid w:val="001B192B"/>
    <w:rsid w:val="001B2ACF"/>
    <w:rsid w:val="001B755B"/>
    <w:rsid w:val="001B76DB"/>
    <w:rsid w:val="001C23EF"/>
    <w:rsid w:val="001C286E"/>
    <w:rsid w:val="001C2FA3"/>
    <w:rsid w:val="001C3E6D"/>
    <w:rsid w:val="001D20DD"/>
    <w:rsid w:val="001D3CD5"/>
    <w:rsid w:val="001D4243"/>
    <w:rsid w:val="001D741D"/>
    <w:rsid w:val="001D7E76"/>
    <w:rsid w:val="001E282D"/>
    <w:rsid w:val="001E2B29"/>
    <w:rsid w:val="001E3C69"/>
    <w:rsid w:val="001E6F43"/>
    <w:rsid w:val="001F18F5"/>
    <w:rsid w:val="001F2C4B"/>
    <w:rsid w:val="001F4D7C"/>
    <w:rsid w:val="00202EE8"/>
    <w:rsid w:val="00203800"/>
    <w:rsid w:val="00205E06"/>
    <w:rsid w:val="0020735C"/>
    <w:rsid w:val="0021118A"/>
    <w:rsid w:val="0021210D"/>
    <w:rsid w:val="00213210"/>
    <w:rsid w:val="002144FD"/>
    <w:rsid w:val="00216696"/>
    <w:rsid w:val="002243FF"/>
    <w:rsid w:val="00227384"/>
    <w:rsid w:val="0022749D"/>
    <w:rsid w:val="002323C8"/>
    <w:rsid w:val="002327FD"/>
    <w:rsid w:val="00235F36"/>
    <w:rsid w:val="00243C22"/>
    <w:rsid w:val="00244D7A"/>
    <w:rsid w:val="00255B8C"/>
    <w:rsid w:val="002562E3"/>
    <w:rsid w:val="00257F95"/>
    <w:rsid w:val="00260E4A"/>
    <w:rsid w:val="00264C0F"/>
    <w:rsid w:val="002658F9"/>
    <w:rsid w:val="00265B41"/>
    <w:rsid w:val="00266BC2"/>
    <w:rsid w:val="002673CA"/>
    <w:rsid w:val="002703A3"/>
    <w:rsid w:val="00273B78"/>
    <w:rsid w:val="00274A98"/>
    <w:rsid w:val="00274B66"/>
    <w:rsid w:val="00274FA3"/>
    <w:rsid w:val="0027754A"/>
    <w:rsid w:val="00284330"/>
    <w:rsid w:val="002872C4"/>
    <w:rsid w:val="00287A65"/>
    <w:rsid w:val="002A11F4"/>
    <w:rsid w:val="002A1412"/>
    <w:rsid w:val="002A1EE6"/>
    <w:rsid w:val="002A3623"/>
    <w:rsid w:val="002A4391"/>
    <w:rsid w:val="002A598A"/>
    <w:rsid w:val="002A7411"/>
    <w:rsid w:val="002A7991"/>
    <w:rsid w:val="002B0005"/>
    <w:rsid w:val="002B0038"/>
    <w:rsid w:val="002B3EDC"/>
    <w:rsid w:val="002B56CF"/>
    <w:rsid w:val="002C6133"/>
    <w:rsid w:val="002D2CE9"/>
    <w:rsid w:val="002D7C3F"/>
    <w:rsid w:val="002E66B0"/>
    <w:rsid w:val="002E686F"/>
    <w:rsid w:val="002F19FF"/>
    <w:rsid w:val="002F29C8"/>
    <w:rsid w:val="002F33E3"/>
    <w:rsid w:val="002F4899"/>
    <w:rsid w:val="002F711C"/>
    <w:rsid w:val="002F7FF6"/>
    <w:rsid w:val="00300B7E"/>
    <w:rsid w:val="003010B4"/>
    <w:rsid w:val="003016DE"/>
    <w:rsid w:val="0030195C"/>
    <w:rsid w:val="00303DAD"/>
    <w:rsid w:val="00304203"/>
    <w:rsid w:val="003072B9"/>
    <w:rsid w:val="003109C0"/>
    <w:rsid w:val="0031273D"/>
    <w:rsid w:val="003179DC"/>
    <w:rsid w:val="00320DF0"/>
    <w:rsid w:val="00325C2A"/>
    <w:rsid w:val="003269F8"/>
    <w:rsid w:val="00330F8C"/>
    <w:rsid w:val="003331B5"/>
    <w:rsid w:val="003406EE"/>
    <w:rsid w:val="0034113E"/>
    <w:rsid w:val="00345EF0"/>
    <w:rsid w:val="00350355"/>
    <w:rsid w:val="003504E4"/>
    <w:rsid w:val="003512F3"/>
    <w:rsid w:val="00354DA0"/>
    <w:rsid w:val="003574F7"/>
    <w:rsid w:val="00357AD6"/>
    <w:rsid w:val="00357ECF"/>
    <w:rsid w:val="00360581"/>
    <w:rsid w:val="00362047"/>
    <w:rsid w:val="00365861"/>
    <w:rsid w:val="00367FC0"/>
    <w:rsid w:val="003702EF"/>
    <w:rsid w:val="00372E61"/>
    <w:rsid w:val="00373CE6"/>
    <w:rsid w:val="00373D37"/>
    <w:rsid w:val="00375481"/>
    <w:rsid w:val="003827D9"/>
    <w:rsid w:val="00384E53"/>
    <w:rsid w:val="0038584C"/>
    <w:rsid w:val="00386B65"/>
    <w:rsid w:val="00386E9E"/>
    <w:rsid w:val="00387230"/>
    <w:rsid w:val="00391CF9"/>
    <w:rsid w:val="00392E55"/>
    <w:rsid w:val="003935A0"/>
    <w:rsid w:val="00394751"/>
    <w:rsid w:val="00394B6B"/>
    <w:rsid w:val="003A0A3E"/>
    <w:rsid w:val="003A1503"/>
    <w:rsid w:val="003A1CCA"/>
    <w:rsid w:val="003A1F2E"/>
    <w:rsid w:val="003A2265"/>
    <w:rsid w:val="003A5C68"/>
    <w:rsid w:val="003A730F"/>
    <w:rsid w:val="003A7931"/>
    <w:rsid w:val="003B07A9"/>
    <w:rsid w:val="003B0FD6"/>
    <w:rsid w:val="003B13DE"/>
    <w:rsid w:val="003C1F69"/>
    <w:rsid w:val="003C3426"/>
    <w:rsid w:val="003D4D64"/>
    <w:rsid w:val="003D6381"/>
    <w:rsid w:val="003D65D8"/>
    <w:rsid w:val="003D6BD7"/>
    <w:rsid w:val="003E1F7F"/>
    <w:rsid w:val="003E5308"/>
    <w:rsid w:val="003F12FC"/>
    <w:rsid w:val="003F4525"/>
    <w:rsid w:val="003F55D3"/>
    <w:rsid w:val="003F650D"/>
    <w:rsid w:val="003F6C4E"/>
    <w:rsid w:val="003F721F"/>
    <w:rsid w:val="00402655"/>
    <w:rsid w:val="00405D5A"/>
    <w:rsid w:val="00414505"/>
    <w:rsid w:val="00415F4C"/>
    <w:rsid w:val="00425377"/>
    <w:rsid w:val="004254A2"/>
    <w:rsid w:val="00425A02"/>
    <w:rsid w:val="00427BF5"/>
    <w:rsid w:val="00431210"/>
    <w:rsid w:val="004320A8"/>
    <w:rsid w:val="004334F0"/>
    <w:rsid w:val="004335B8"/>
    <w:rsid w:val="004358FE"/>
    <w:rsid w:val="00441678"/>
    <w:rsid w:val="00441A76"/>
    <w:rsid w:val="00445B44"/>
    <w:rsid w:val="00453D10"/>
    <w:rsid w:val="00454368"/>
    <w:rsid w:val="00456623"/>
    <w:rsid w:val="00460900"/>
    <w:rsid w:val="004649F8"/>
    <w:rsid w:val="0046620A"/>
    <w:rsid w:val="0046674F"/>
    <w:rsid w:val="00470C62"/>
    <w:rsid w:val="00470D08"/>
    <w:rsid w:val="004727B1"/>
    <w:rsid w:val="00474234"/>
    <w:rsid w:val="00481BF7"/>
    <w:rsid w:val="00483C73"/>
    <w:rsid w:val="0048645A"/>
    <w:rsid w:val="00486E15"/>
    <w:rsid w:val="0049035F"/>
    <w:rsid w:val="0049275F"/>
    <w:rsid w:val="004A2C06"/>
    <w:rsid w:val="004A302E"/>
    <w:rsid w:val="004A3319"/>
    <w:rsid w:val="004A34E7"/>
    <w:rsid w:val="004A7C07"/>
    <w:rsid w:val="004B5A27"/>
    <w:rsid w:val="004C0753"/>
    <w:rsid w:val="004C0EA8"/>
    <w:rsid w:val="004C2DE6"/>
    <w:rsid w:val="004C54DC"/>
    <w:rsid w:val="004C6591"/>
    <w:rsid w:val="004C6DEC"/>
    <w:rsid w:val="004D3E97"/>
    <w:rsid w:val="004D77EC"/>
    <w:rsid w:val="004E6E76"/>
    <w:rsid w:val="004E7184"/>
    <w:rsid w:val="004F1EC7"/>
    <w:rsid w:val="004F5F5F"/>
    <w:rsid w:val="004F6418"/>
    <w:rsid w:val="004F7237"/>
    <w:rsid w:val="00502BE9"/>
    <w:rsid w:val="005076E1"/>
    <w:rsid w:val="00510981"/>
    <w:rsid w:val="0051340C"/>
    <w:rsid w:val="00513C20"/>
    <w:rsid w:val="005144EE"/>
    <w:rsid w:val="0051692A"/>
    <w:rsid w:val="005178A7"/>
    <w:rsid w:val="00520FD1"/>
    <w:rsid w:val="0052293A"/>
    <w:rsid w:val="00522CB0"/>
    <w:rsid w:val="00523283"/>
    <w:rsid w:val="0053245D"/>
    <w:rsid w:val="005442A2"/>
    <w:rsid w:val="005449B4"/>
    <w:rsid w:val="00547252"/>
    <w:rsid w:val="005505C4"/>
    <w:rsid w:val="00556491"/>
    <w:rsid w:val="005566E2"/>
    <w:rsid w:val="00560855"/>
    <w:rsid w:val="00560FE5"/>
    <w:rsid w:val="00562B2C"/>
    <w:rsid w:val="00574504"/>
    <w:rsid w:val="0057453E"/>
    <w:rsid w:val="00575075"/>
    <w:rsid w:val="005757CE"/>
    <w:rsid w:val="00577911"/>
    <w:rsid w:val="00580F5B"/>
    <w:rsid w:val="00581883"/>
    <w:rsid w:val="00581BC7"/>
    <w:rsid w:val="00582B90"/>
    <w:rsid w:val="00584175"/>
    <w:rsid w:val="00587356"/>
    <w:rsid w:val="00587478"/>
    <w:rsid w:val="00590543"/>
    <w:rsid w:val="005905FE"/>
    <w:rsid w:val="0059067A"/>
    <w:rsid w:val="005925CD"/>
    <w:rsid w:val="00593012"/>
    <w:rsid w:val="0059418F"/>
    <w:rsid w:val="00594499"/>
    <w:rsid w:val="0059762E"/>
    <w:rsid w:val="005A0646"/>
    <w:rsid w:val="005A1FD4"/>
    <w:rsid w:val="005A40C9"/>
    <w:rsid w:val="005A6548"/>
    <w:rsid w:val="005B0004"/>
    <w:rsid w:val="005B13CE"/>
    <w:rsid w:val="005B2728"/>
    <w:rsid w:val="005B32B7"/>
    <w:rsid w:val="005B695A"/>
    <w:rsid w:val="005C3A00"/>
    <w:rsid w:val="005C47E3"/>
    <w:rsid w:val="005C4C2E"/>
    <w:rsid w:val="005C6ED0"/>
    <w:rsid w:val="005C7535"/>
    <w:rsid w:val="005C7AD8"/>
    <w:rsid w:val="005D0A56"/>
    <w:rsid w:val="005D17D9"/>
    <w:rsid w:val="005D26A8"/>
    <w:rsid w:val="005D46A9"/>
    <w:rsid w:val="005D5E54"/>
    <w:rsid w:val="005D6420"/>
    <w:rsid w:val="005D7B5E"/>
    <w:rsid w:val="005E20DE"/>
    <w:rsid w:val="005E3F02"/>
    <w:rsid w:val="005E3FEB"/>
    <w:rsid w:val="005E5204"/>
    <w:rsid w:val="005E56A0"/>
    <w:rsid w:val="005E57AA"/>
    <w:rsid w:val="005E741A"/>
    <w:rsid w:val="005F2CEE"/>
    <w:rsid w:val="005F3B15"/>
    <w:rsid w:val="005F725B"/>
    <w:rsid w:val="0060378A"/>
    <w:rsid w:val="00604597"/>
    <w:rsid w:val="00610BC3"/>
    <w:rsid w:val="00610E91"/>
    <w:rsid w:val="00610EAB"/>
    <w:rsid w:val="00614531"/>
    <w:rsid w:val="0061672B"/>
    <w:rsid w:val="006169C0"/>
    <w:rsid w:val="006230AE"/>
    <w:rsid w:val="00623743"/>
    <w:rsid w:val="00624E06"/>
    <w:rsid w:val="00625EB4"/>
    <w:rsid w:val="00625F4E"/>
    <w:rsid w:val="00626CF3"/>
    <w:rsid w:val="00630DF6"/>
    <w:rsid w:val="006310DF"/>
    <w:rsid w:val="00632A03"/>
    <w:rsid w:val="006340E1"/>
    <w:rsid w:val="0063543D"/>
    <w:rsid w:val="006357A7"/>
    <w:rsid w:val="00635825"/>
    <w:rsid w:val="00635A88"/>
    <w:rsid w:val="006360FA"/>
    <w:rsid w:val="0063627E"/>
    <w:rsid w:val="00641693"/>
    <w:rsid w:val="00641849"/>
    <w:rsid w:val="00642065"/>
    <w:rsid w:val="0064234A"/>
    <w:rsid w:val="00644456"/>
    <w:rsid w:val="00645243"/>
    <w:rsid w:val="00645A59"/>
    <w:rsid w:val="006515A2"/>
    <w:rsid w:val="0065234A"/>
    <w:rsid w:val="00655589"/>
    <w:rsid w:val="00655815"/>
    <w:rsid w:val="0065624D"/>
    <w:rsid w:val="006603F6"/>
    <w:rsid w:val="00660699"/>
    <w:rsid w:val="00661EB4"/>
    <w:rsid w:val="006659FA"/>
    <w:rsid w:val="00667C9D"/>
    <w:rsid w:val="00672842"/>
    <w:rsid w:val="00675D08"/>
    <w:rsid w:val="0067754C"/>
    <w:rsid w:val="0067760E"/>
    <w:rsid w:val="006778CE"/>
    <w:rsid w:val="00680175"/>
    <w:rsid w:val="006910C3"/>
    <w:rsid w:val="00691CFC"/>
    <w:rsid w:val="006A05F6"/>
    <w:rsid w:val="006A14C0"/>
    <w:rsid w:val="006A3535"/>
    <w:rsid w:val="006A5111"/>
    <w:rsid w:val="006A704D"/>
    <w:rsid w:val="006A73E5"/>
    <w:rsid w:val="006B0E5A"/>
    <w:rsid w:val="006B1BB4"/>
    <w:rsid w:val="006B338A"/>
    <w:rsid w:val="006B5FBD"/>
    <w:rsid w:val="006B6654"/>
    <w:rsid w:val="006B67E3"/>
    <w:rsid w:val="006C13B2"/>
    <w:rsid w:val="006C24AE"/>
    <w:rsid w:val="006C5802"/>
    <w:rsid w:val="006C726F"/>
    <w:rsid w:val="006D45C7"/>
    <w:rsid w:val="006D5389"/>
    <w:rsid w:val="006D5BA2"/>
    <w:rsid w:val="006E0F52"/>
    <w:rsid w:val="006E1024"/>
    <w:rsid w:val="006E1549"/>
    <w:rsid w:val="006E676B"/>
    <w:rsid w:val="006E714E"/>
    <w:rsid w:val="006E77D5"/>
    <w:rsid w:val="006E902A"/>
    <w:rsid w:val="006F4200"/>
    <w:rsid w:val="006F701E"/>
    <w:rsid w:val="0070051D"/>
    <w:rsid w:val="00701770"/>
    <w:rsid w:val="007057D4"/>
    <w:rsid w:val="007063F5"/>
    <w:rsid w:val="007077C4"/>
    <w:rsid w:val="0071353A"/>
    <w:rsid w:val="00720DCB"/>
    <w:rsid w:val="00722336"/>
    <w:rsid w:val="007233F3"/>
    <w:rsid w:val="007252AA"/>
    <w:rsid w:val="00726884"/>
    <w:rsid w:val="00726E19"/>
    <w:rsid w:val="007346AC"/>
    <w:rsid w:val="007359CC"/>
    <w:rsid w:val="00741178"/>
    <w:rsid w:val="00741444"/>
    <w:rsid w:val="007467E9"/>
    <w:rsid w:val="00747669"/>
    <w:rsid w:val="00751761"/>
    <w:rsid w:val="007538BB"/>
    <w:rsid w:val="00756E4D"/>
    <w:rsid w:val="007609F0"/>
    <w:rsid w:val="00760F93"/>
    <w:rsid w:val="00761E6C"/>
    <w:rsid w:val="00763316"/>
    <w:rsid w:val="00766744"/>
    <w:rsid w:val="00774FF2"/>
    <w:rsid w:val="00776FF7"/>
    <w:rsid w:val="00787C3C"/>
    <w:rsid w:val="00790885"/>
    <w:rsid w:val="00795350"/>
    <w:rsid w:val="007A01E0"/>
    <w:rsid w:val="007A3ADF"/>
    <w:rsid w:val="007A40C8"/>
    <w:rsid w:val="007A4353"/>
    <w:rsid w:val="007A506B"/>
    <w:rsid w:val="007B1D9B"/>
    <w:rsid w:val="007B2653"/>
    <w:rsid w:val="007B2DA2"/>
    <w:rsid w:val="007B44A4"/>
    <w:rsid w:val="007B738D"/>
    <w:rsid w:val="007C0589"/>
    <w:rsid w:val="007C1008"/>
    <w:rsid w:val="007C18D9"/>
    <w:rsid w:val="007C44BA"/>
    <w:rsid w:val="007C5FCA"/>
    <w:rsid w:val="007C640F"/>
    <w:rsid w:val="007D3214"/>
    <w:rsid w:val="007D4A57"/>
    <w:rsid w:val="007D6ACE"/>
    <w:rsid w:val="007D7DFE"/>
    <w:rsid w:val="007E0631"/>
    <w:rsid w:val="007E08D5"/>
    <w:rsid w:val="007E0DB4"/>
    <w:rsid w:val="007E2C88"/>
    <w:rsid w:val="007E3668"/>
    <w:rsid w:val="007E459B"/>
    <w:rsid w:val="007E5BC6"/>
    <w:rsid w:val="007F19F2"/>
    <w:rsid w:val="007F4123"/>
    <w:rsid w:val="007F4C65"/>
    <w:rsid w:val="0080169D"/>
    <w:rsid w:val="008068BB"/>
    <w:rsid w:val="008072F8"/>
    <w:rsid w:val="00811E16"/>
    <w:rsid w:val="008146E4"/>
    <w:rsid w:val="00816117"/>
    <w:rsid w:val="0082402D"/>
    <w:rsid w:val="00824A07"/>
    <w:rsid w:val="0082637D"/>
    <w:rsid w:val="00827B1E"/>
    <w:rsid w:val="0083198C"/>
    <w:rsid w:val="00831A49"/>
    <w:rsid w:val="00845FCF"/>
    <w:rsid w:val="008462C0"/>
    <w:rsid w:val="00846326"/>
    <w:rsid w:val="00852C45"/>
    <w:rsid w:val="0085435A"/>
    <w:rsid w:val="00860343"/>
    <w:rsid w:val="0086232E"/>
    <w:rsid w:val="00865924"/>
    <w:rsid w:val="00871003"/>
    <w:rsid w:val="00873CAF"/>
    <w:rsid w:val="00874EB2"/>
    <w:rsid w:val="008814C8"/>
    <w:rsid w:val="008844BC"/>
    <w:rsid w:val="008901C6"/>
    <w:rsid w:val="008946A0"/>
    <w:rsid w:val="008A3F1E"/>
    <w:rsid w:val="008A4A49"/>
    <w:rsid w:val="008A4A99"/>
    <w:rsid w:val="008A5C42"/>
    <w:rsid w:val="008A6A3E"/>
    <w:rsid w:val="008A7995"/>
    <w:rsid w:val="008B0D77"/>
    <w:rsid w:val="008B459C"/>
    <w:rsid w:val="008B49E1"/>
    <w:rsid w:val="008B5578"/>
    <w:rsid w:val="008B55BD"/>
    <w:rsid w:val="008B7DFB"/>
    <w:rsid w:val="008C3673"/>
    <w:rsid w:val="008C78BC"/>
    <w:rsid w:val="008D079B"/>
    <w:rsid w:val="008D0AB0"/>
    <w:rsid w:val="008D0F26"/>
    <w:rsid w:val="008D0F31"/>
    <w:rsid w:val="008D2F11"/>
    <w:rsid w:val="008D730C"/>
    <w:rsid w:val="008E3796"/>
    <w:rsid w:val="008E47D8"/>
    <w:rsid w:val="008E630D"/>
    <w:rsid w:val="008E7D0E"/>
    <w:rsid w:val="008F2F08"/>
    <w:rsid w:val="008F5006"/>
    <w:rsid w:val="008F54DD"/>
    <w:rsid w:val="00901665"/>
    <w:rsid w:val="0090248E"/>
    <w:rsid w:val="0090255A"/>
    <w:rsid w:val="00904AB6"/>
    <w:rsid w:val="009052D9"/>
    <w:rsid w:val="00905BA9"/>
    <w:rsid w:val="00906098"/>
    <w:rsid w:val="00906EB2"/>
    <w:rsid w:val="00917CEB"/>
    <w:rsid w:val="00920725"/>
    <w:rsid w:val="009214A6"/>
    <w:rsid w:val="009234BA"/>
    <w:rsid w:val="00924E80"/>
    <w:rsid w:val="0093425B"/>
    <w:rsid w:val="00936F89"/>
    <w:rsid w:val="009416FF"/>
    <w:rsid w:val="00941C4F"/>
    <w:rsid w:val="00947DFD"/>
    <w:rsid w:val="00953E01"/>
    <w:rsid w:val="009567AF"/>
    <w:rsid w:val="009575B7"/>
    <w:rsid w:val="00963116"/>
    <w:rsid w:val="009635FE"/>
    <w:rsid w:val="00965DB1"/>
    <w:rsid w:val="00967C69"/>
    <w:rsid w:val="00972224"/>
    <w:rsid w:val="009811F4"/>
    <w:rsid w:val="0098257D"/>
    <w:rsid w:val="00985082"/>
    <w:rsid w:val="00986020"/>
    <w:rsid w:val="00987907"/>
    <w:rsid w:val="00992765"/>
    <w:rsid w:val="00992F8C"/>
    <w:rsid w:val="00994C63"/>
    <w:rsid w:val="00994F69"/>
    <w:rsid w:val="009A02C1"/>
    <w:rsid w:val="009A05FE"/>
    <w:rsid w:val="009A3C7F"/>
    <w:rsid w:val="009A42A6"/>
    <w:rsid w:val="009A648C"/>
    <w:rsid w:val="009B4F1B"/>
    <w:rsid w:val="009C4A59"/>
    <w:rsid w:val="009C5242"/>
    <w:rsid w:val="009C73AB"/>
    <w:rsid w:val="009D10D8"/>
    <w:rsid w:val="009D144A"/>
    <w:rsid w:val="009D1A93"/>
    <w:rsid w:val="009D1B0E"/>
    <w:rsid w:val="009D1BB6"/>
    <w:rsid w:val="009D2BDE"/>
    <w:rsid w:val="009D4349"/>
    <w:rsid w:val="009D45AA"/>
    <w:rsid w:val="009E17C4"/>
    <w:rsid w:val="009E5E75"/>
    <w:rsid w:val="009E6B6D"/>
    <w:rsid w:val="009E7B98"/>
    <w:rsid w:val="009F0FCC"/>
    <w:rsid w:val="009F3367"/>
    <w:rsid w:val="009F4E00"/>
    <w:rsid w:val="009F7883"/>
    <w:rsid w:val="00A005F2"/>
    <w:rsid w:val="00A010A6"/>
    <w:rsid w:val="00A0174A"/>
    <w:rsid w:val="00A0192F"/>
    <w:rsid w:val="00A019EF"/>
    <w:rsid w:val="00A027AC"/>
    <w:rsid w:val="00A03971"/>
    <w:rsid w:val="00A05B6C"/>
    <w:rsid w:val="00A0708D"/>
    <w:rsid w:val="00A10291"/>
    <w:rsid w:val="00A111E2"/>
    <w:rsid w:val="00A1441D"/>
    <w:rsid w:val="00A15647"/>
    <w:rsid w:val="00A216AA"/>
    <w:rsid w:val="00A22DCB"/>
    <w:rsid w:val="00A25413"/>
    <w:rsid w:val="00A30379"/>
    <w:rsid w:val="00A31580"/>
    <w:rsid w:val="00A32E80"/>
    <w:rsid w:val="00A36D73"/>
    <w:rsid w:val="00A37C74"/>
    <w:rsid w:val="00A4085F"/>
    <w:rsid w:val="00A41030"/>
    <w:rsid w:val="00A41F5C"/>
    <w:rsid w:val="00A43954"/>
    <w:rsid w:val="00A449C4"/>
    <w:rsid w:val="00A4672E"/>
    <w:rsid w:val="00A475BF"/>
    <w:rsid w:val="00A503E9"/>
    <w:rsid w:val="00A52CCD"/>
    <w:rsid w:val="00A537B2"/>
    <w:rsid w:val="00A54BF4"/>
    <w:rsid w:val="00A605A1"/>
    <w:rsid w:val="00A6106E"/>
    <w:rsid w:val="00A6614F"/>
    <w:rsid w:val="00A66F11"/>
    <w:rsid w:val="00A67BB2"/>
    <w:rsid w:val="00A67DED"/>
    <w:rsid w:val="00A70F6C"/>
    <w:rsid w:val="00A7201D"/>
    <w:rsid w:val="00A74313"/>
    <w:rsid w:val="00A75A1D"/>
    <w:rsid w:val="00A80318"/>
    <w:rsid w:val="00A81D18"/>
    <w:rsid w:val="00A83281"/>
    <w:rsid w:val="00A8382D"/>
    <w:rsid w:val="00A839C3"/>
    <w:rsid w:val="00A865F2"/>
    <w:rsid w:val="00A868D0"/>
    <w:rsid w:val="00A914B0"/>
    <w:rsid w:val="00A92AFF"/>
    <w:rsid w:val="00A966D7"/>
    <w:rsid w:val="00A96967"/>
    <w:rsid w:val="00AA0021"/>
    <w:rsid w:val="00AA018E"/>
    <w:rsid w:val="00AA2CA5"/>
    <w:rsid w:val="00AA36FD"/>
    <w:rsid w:val="00AA6F63"/>
    <w:rsid w:val="00AA718B"/>
    <w:rsid w:val="00AA7E1E"/>
    <w:rsid w:val="00AB17C9"/>
    <w:rsid w:val="00AB3ADE"/>
    <w:rsid w:val="00AB5606"/>
    <w:rsid w:val="00AB670D"/>
    <w:rsid w:val="00AC33E2"/>
    <w:rsid w:val="00AC493E"/>
    <w:rsid w:val="00AD1195"/>
    <w:rsid w:val="00AD38F9"/>
    <w:rsid w:val="00AD5A9F"/>
    <w:rsid w:val="00AE379B"/>
    <w:rsid w:val="00AE4516"/>
    <w:rsid w:val="00AE6C00"/>
    <w:rsid w:val="00AF0D16"/>
    <w:rsid w:val="00AF1CE7"/>
    <w:rsid w:val="00AF28BB"/>
    <w:rsid w:val="00AF5234"/>
    <w:rsid w:val="00AF6D0B"/>
    <w:rsid w:val="00B00CE9"/>
    <w:rsid w:val="00B025F9"/>
    <w:rsid w:val="00B02742"/>
    <w:rsid w:val="00B05FC5"/>
    <w:rsid w:val="00B11BB3"/>
    <w:rsid w:val="00B2017E"/>
    <w:rsid w:val="00B25D37"/>
    <w:rsid w:val="00B42868"/>
    <w:rsid w:val="00B4399E"/>
    <w:rsid w:val="00B439ED"/>
    <w:rsid w:val="00B4738F"/>
    <w:rsid w:val="00B52B37"/>
    <w:rsid w:val="00B5457D"/>
    <w:rsid w:val="00B548FF"/>
    <w:rsid w:val="00B60EC4"/>
    <w:rsid w:val="00B63726"/>
    <w:rsid w:val="00B63F29"/>
    <w:rsid w:val="00B66806"/>
    <w:rsid w:val="00B678CB"/>
    <w:rsid w:val="00B67A46"/>
    <w:rsid w:val="00B67F41"/>
    <w:rsid w:val="00B72F27"/>
    <w:rsid w:val="00B7445F"/>
    <w:rsid w:val="00B80F49"/>
    <w:rsid w:val="00B81FD6"/>
    <w:rsid w:val="00B84B9B"/>
    <w:rsid w:val="00B84D04"/>
    <w:rsid w:val="00B851DC"/>
    <w:rsid w:val="00B86EAC"/>
    <w:rsid w:val="00B87BB8"/>
    <w:rsid w:val="00B910EC"/>
    <w:rsid w:val="00BA159B"/>
    <w:rsid w:val="00BA1AE7"/>
    <w:rsid w:val="00BA3348"/>
    <w:rsid w:val="00BA3C29"/>
    <w:rsid w:val="00BA7139"/>
    <w:rsid w:val="00BB44F0"/>
    <w:rsid w:val="00BB66E4"/>
    <w:rsid w:val="00BB7997"/>
    <w:rsid w:val="00BB7EE6"/>
    <w:rsid w:val="00BC00E7"/>
    <w:rsid w:val="00BC0D0E"/>
    <w:rsid w:val="00BC5761"/>
    <w:rsid w:val="00BC6D49"/>
    <w:rsid w:val="00BD3A25"/>
    <w:rsid w:val="00BD533A"/>
    <w:rsid w:val="00BD565B"/>
    <w:rsid w:val="00BD662A"/>
    <w:rsid w:val="00BD6C3D"/>
    <w:rsid w:val="00BD6F41"/>
    <w:rsid w:val="00BD7417"/>
    <w:rsid w:val="00BD77A0"/>
    <w:rsid w:val="00BE0AE1"/>
    <w:rsid w:val="00BE3103"/>
    <w:rsid w:val="00BE6A3C"/>
    <w:rsid w:val="00BE7944"/>
    <w:rsid w:val="00BE797A"/>
    <w:rsid w:val="00BF0944"/>
    <w:rsid w:val="00BF183A"/>
    <w:rsid w:val="00BF31FD"/>
    <w:rsid w:val="00C01574"/>
    <w:rsid w:val="00C025FE"/>
    <w:rsid w:val="00C0567B"/>
    <w:rsid w:val="00C070E6"/>
    <w:rsid w:val="00C10ADC"/>
    <w:rsid w:val="00C15269"/>
    <w:rsid w:val="00C15BF8"/>
    <w:rsid w:val="00C16A84"/>
    <w:rsid w:val="00C21AD9"/>
    <w:rsid w:val="00C22D2A"/>
    <w:rsid w:val="00C24D44"/>
    <w:rsid w:val="00C26459"/>
    <w:rsid w:val="00C26F51"/>
    <w:rsid w:val="00C27FE7"/>
    <w:rsid w:val="00C31003"/>
    <w:rsid w:val="00C31564"/>
    <w:rsid w:val="00C34000"/>
    <w:rsid w:val="00C341F0"/>
    <w:rsid w:val="00C37DB6"/>
    <w:rsid w:val="00C4295E"/>
    <w:rsid w:val="00C437E0"/>
    <w:rsid w:val="00C47E34"/>
    <w:rsid w:val="00C54A38"/>
    <w:rsid w:val="00C55292"/>
    <w:rsid w:val="00C55A02"/>
    <w:rsid w:val="00C62170"/>
    <w:rsid w:val="00C627EB"/>
    <w:rsid w:val="00C71410"/>
    <w:rsid w:val="00C743E9"/>
    <w:rsid w:val="00C7456D"/>
    <w:rsid w:val="00C772F1"/>
    <w:rsid w:val="00C776AD"/>
    <w:rsid w:val="00C779FA"/>
    <w:rsid w:val="00C77D4A"/>
    <w:rsid w:val="00C77FBB"/>
    <w:rsid w:val="00C806B3"/>
    <w:rsid w:val="00C84560"/>
    <w:rsid w:val="00C85A92"/>
    <w:rsid w:val="00C8661D"/>
    <w:rsid w:val="00C90A61"/>
    <w:rsid w:val="00C95349"/>
    <w:rsid w:val="00C95E66"/>
    <w:rsid w:val="00C965D3"/>
    <w:rsid w:val="00C97155"/>
    <w:rsid w:val="00C97162"/>
    <w:rsid w:val="00CA20B3"/>
    <w:rsid w:val="00CA3A31"/>
    <w:rsid w:val="00CA74D8"/>
    <w:rsid w:val="00CB077F"/>
    <w:rsid w:val="00CB6676"/>
    <w:rsid w:val="00CC0B1B"/>
    <w:rsid w:val="00CC1DBB"/>
    <w:rsid w:val="00CC5B74"/>
    <w:rsid w:val="00CD0AAC"/>
    <w:rsid w:val="00CD176E"/>
    <w:rsid w:val="00CD1DAF"/>
    <w:rsid w:val="00CD41D7"/>
    <w:rsid w:val="00CD4A0B"/>
    <w:rsid w:val="00CD5FE0"/>
    <w:rsid w:val="00CE0DD4"/>
    <w:rsid w:val="00CE312F"/>
    <w:rsid w:val="00CE73E1"/>
    <w:rsid w:val="00CE75B7"/>
    <w:rsid w:val="00CE7DCB"/>
    <w:rsid w:val="00CF0CB4"/>
    <w:rsid w:val="00CF2F0B"/>
    <w:rsid w:val="00CF58A2"/>
    <w:rsid w:val="00D01080"/>
    <w:rsid w:val="00D013CC"/>
    <w:rsid w:val="00D02904"/>
    <w:rsid w:val="00D0356F"/>
    <w:rsid w:val="00D07450"/>
    <w:rsid w:val="00D11CFD"/>
    <w:rsid w:val="00D13B82"/>
    <w:rsid w:val="00D1566A"/>
    <w:rsid w:val="00D15872"/>
    <w:rsid w:val="00D1598B"/>
    <w:rsid w:val="00D15C77"/>
    <w:rsid w:val="00D23B21"/>
    <w:rsid w:val="00D2464E"/>
    <w:rsid w:val="00D278CA"/>
    <w:rsid w:val="00D3137B"/>
    <w:rsid w:val="00D31BBE"/>
    <w:rsid w:val="00D320EA"/>
    <w:rsid w:val="00D32A56"/>
    <w:rsid w:val="00D34B50"/>
    <w:rsid w:val="00D361D2"/>
    <w:rsid w:val="00D404EF"/>
    <w:rsid w:val="00D40CE0"/>
    <w:rsid w:val="00D4132D"/>
    <w:rsid w:val="00D4467D"/>
    <w:rsid w:val="00D476E2"/>
    <w:rsid w:val="00D50472"/>
    <w:rsid w:val="00D50743"/>
    <w:rsid w:val="00D520E8"/>
    <w:rsid w:val="00D52851"/>
    <w:rsid w:val="00D537A5"/>
    <w:rsid w:val="00D54440"/>
    <w:rsid w:val="00D54A86"/>
    <w:rsid w:val="00D552DF"/>
    <w:rsid w:val="00D55BF7"/>
    <w:rsid w:val="00D600BF"/>
    <w:rsid w:val="00D60134"/>
    <w:rsid w:val="00D6057A"/>
    <w:rsid w:val="00D6309D"/>
    <w:rsid w:val="00D63FFA"/>
    <w:rsid w:val="00D64503"/>
    <w:rsid w:val="00D65C72"/>
    <w:rsid w:val="00D6656E"/>
    <w:rsid w:val="00D712AC"/>
    <w:rsid w:val="00D714F5"/>
    <w:rsid w:val="00D760F3"/>
    <w:rsid w:val="00D83BF3"/>
    <w:rsid w:val="00D84466"/>
    <w:rsid w:val="00D904D9"/>
    <w:rsid w:val="00D943EF"/>
    <w:rsid w:val="00D9692D"/>
    <w:rsid w:val="00DA02A8"/>
    <w:rsid w:val="00DA1DC5"/>
    <w:rsid w:val="00DA5973"/>
    <w:rsid w:val="00DA6367"/>
    <w:rsid w:val="00DA6FD6"/>
    <w:rsid w:val="00DB26BE"/>
    <w:rsid w:val="00DB3756"/>
    <w:rsid w:val="00DC0A91"/>
    <w:rsid w:val="00DC0F35"/>
    <w:rsid w:val="00DC1833"/>
    <w:rsid w:val="00DC25F2"/>
    <w:rsid w:val="00DC3017"/>
    <w:rsid w:val="00DC4458"/>
    <w:rsid w:val="00DC7B23"/>
    <w:rsid w:val="00DC7E63"/>
    <w:rsid w:val="00DD03D3"/>
    <w:rsid w:val="00DD1826"/>
    <w:rsid w:val="00DD2A62"/>
    <w:rsid w:val="00DD4886"/>
    <w:rsid w:val="00DD6142"/>
    <w:rsid w:val="00DE3A1E"/>
    <w:rsid w:val="00DE71CD"/>
    <w:rsid w:val="00DF17BA"/>
    <w:rsid w:val="00DF6BAD"/>
    <w:rsid w:val="00DF748B"/>
    <w:rsid w:val="00DF7F28"/>
    <w:rsid w:val="00E00F69"/>
    <w:rsid w:val="00E025A0"/>
    <w:rsid w:val="00E072CD"/>
    <w:rsid w:val="00E07455"/>
    <w:rsid w:val="00E117A6"/>
    <w:rsid w:val="00E1199D"/>
    <w:rsid w:val="00E12681"/>
    <w:rsid w:val="00E12E47"/>
    <w:rsid w:val="00E138F3"/>
    <w:rsid w:val="00E14821"/>
    <w:rsid w:val="00E1541A"/>
    <w:rsid w:val="00E171E4"/>
    <w:rsid w:val="00E2036C"/>
    <w:rsid w:val="00E21C43"/>
    <w:rsid w:val="00E2357E"/>
    <w:rsid w:val="00E24007"/>
    <w:rsid w:val="00E2567F"/>
    <w:rsid w:val="00E27893"/>
    <w:rsid w:val="00E319B2"/>
    <w:rsid w:val="00E342F8"/>
    <w:rsid w:val="00E35164"/>
    <w:rsid w:val="00E414EF"/>
    <w:rsid w:val="00E41DF7"/>
    <w:rsid w:val="00E43D1E"/>
    <w:rsid w:val="00E442C7"/>
    <w:rsid w:val="00E45F15"/>
    <w:rsid w:val="00E5120A"/>
    <w:rsid w:val="00E54FB8"/>
    <w:rsid w:val="00E551B5"/>
    <w:rsid w:val="00E62DBC"/>
    <w:rsid w:val="00E6385F"/>
    <w:rsid w:val="00E6525F"/>
    <w:rsid w:val="00E66B4C"/>
    <w:rsid w:val="00E71E89"/>
    <w:rsid w:val="00E72370"/>
    <w:rsid w:val="00E7458E"/>
    <w:rsid w:val="00E74746"/>
    <w:rsid w:val="00E75FB2"/>
    <w:rsid w:val="00E767DC"/>
    <w:rsid w:val="00E76E70"/>
    <w:rsid w:val="00E770C2"/>
    <w:rsid w:val="00E774BE"/>
    <w:rsid w:val="00E8032C"/>
    <w:rsid w:val="00E8307F"/>
    <w:rsid w:val="00E87045"/>
    <w:rsid w:val="00E87BC3"/>
    <w:rsid w:val="00E90995"/>
    <w:rsid w:val="00E9356E"/>
    <w:rsid w:val="00E9377E"/>
    <w:rsid w:val="00E95BBB"/>
    <w:rsid w:val="00E95C77"/>
    <w:rsid w:val="00E967B8"/>
    <w:rsid w:val="00E97ADC"/>
    <w:rsid w:val="00EA2765"/>
    <w:rsid w:val="00EA3C0A"/>
    <w:rsid w:val="00EA4193"/>
    <w:rsid w:val="00EA5134"/>
    <w:rsid w:val="00EB348F"/>
    <w:rsid w:val="00EB3D2F"/>
    <w:rsid w:val="00EB4D54"/>
    <w:rsid w:val="00EC0097"/>
    <w:rsid w:val="00EC0395"/>
    <w:rsid w:val="00EC09AB"/>
    <w:rsid w:val="00EC220A"/>
    <w:rsid w:val="00EC4362"/>
    <w:rsid w:val="00EC4B01"/>
    <w:rsid w:val="00EC713D"/>
    <w:rsid w:val="00ED01AC"/>
    <w:rsid w:val="00ED2090"/>
    <w:rsid w:val="00ED28A1"/>
    <w:rsid w:val="00ED5D14"/>
    <w:rsid w:val="00EE1DE2"/>
    <w:rsid w:val="00EE2564"/>
    <w:rsid w:val="00EE4042"/>
    <w:rsid w:val="00EE4195"/>
    <w:rsid w:val="00EE485E"/>
    <w:rsid w:val="00EE4ABD"/>
    <w:rsid w:val="00EE5341"/>
    <w:rsid w:val="00EE549B"/>
    <w:rsid w:val="00EE64BD"/>
    <w:rsid w:val="00EE67F5"/>
    <w:rsid w:val="00EF2F6F"/>
    <w:rsid w:val="00EF570A"/>
    <w:rsid w:val="00EF7B0B"/>
    <w:rsid w:val="00F052CD"/>
    <w:rsid w:val="00F1093A"/>
    <w:rsid w:val="00F120A8"/>
    <w:rsid w:val="00F124E7"/>
    <w:rsid w:val="00F1273C"/>
    <w:rsid w:val="00F16B61"/>
    <w:rsid w:val="00F22CD1"/>
    <w:rsid w:val="00F23991"/>
    <w:rsid w:val="00F24A97"/>
    <w:rsid w:val="00F25246"/>
    <w:rsid w:val="00F263C8"/>
    <w:rsid w:val="00F316AF"/>
    <w:rsid w:val="00F32EF6"/>
    <w:rsid w:val="00F35050"/>
    <w:rsid w:val="00F42C1A"/>
    <w:rsid w:val="00F43AFD"/>
    <w:rsid w:val="00F4479D"/>
    <w:rsid w:val="00F45202"/>
    <w:rsid w:val="00F475D3"/>
    <w:rsid w:val="00F57C96"/>
    <w:rsid w:val="00F61C00"/>
    <w:rsid w:val="00F62877"/>
    <w:rsid w:val="00F67ABA"/>
    <w:rsid w:val="00F708A1"/>
    <w:rsid w:val="00F73FF0"/>
    <w:rsid w:val="00F741E6"/>
    <w:rsid w:val="00F763C1"/>
    <w:rsid w:val="00F77F8A"/>
    <w:rsid w:val="00F807A4"/>
    <w:rsid w:val="00F80C12"/>
    <w:rsid w:val="00F8401A"/>
    <w:rsid w:val="00F84292"/>
    <w:rsid w:val="00F84BB1"/>
    <w:rsid w:val="00F8582E"/>
    <w:rsid w:val="00F87614"/>
    <w:rsid w:val="00F87758"/>
    <w:rsid w:val="00F90728"/>
    <w:rsid w:val="00F916AC"/>
    <w:rsid w:val="00F94D22"/>
    <w:rsid w:val="00F94F69"/>
    <w:rsid w:val="00F96AEE"/>
    <w:rsid w:val="00F97111"/>
    <w:rsid w:val="00FA24BA"/>
    <w:rsid w:val="00FA7BAC"/>
    <w:rsid w:val="00FB230D"/>
    <w:rsid w:val="00FB3616"/>
    <w:rsid w:val="00FB38E9"/>
    <w:rsid w:val="00FB4732"/>
    <w:rsid w:val="00FC1312"/>
    <w:rsid w:val="00FC44D7"/>
    <w:rsid w:val="00FC5054"/>
    <w:rsid w:val="00FC7CDC"/>
    <w:rsid w:val="00FD0F1A"/>
    <w:rsid w:val="00FD4382"/>
    <w:rsid w:val="00FD5060"/>
    <w:rsid w:val="00FD5175"/>
    <w:rsid w:val="00FD591A"/>
    <w:rsid w:val="00FD5B04"/>
    <w:rsid w:val="00FE1682"/>
    <w:rsid w:val="00FE353E"/>
    <w:rsid w:val="00FE4318"/>
    <w:rsid w:val="00FF0ED8"/>
    <w:rsid w:val="00FF2C30"/>
    <w:rsid w:val="00FF542B"/>
    <w:rsid w:val="00FF549A"/>
    <w:rsid w:val="00FF54CE"/>
    <w:rsid w:val="00FF6D44"/>
    <w:rsid w:val="00FF79D7"/>
    <w:rsid w:val="0125EC30"/>
    <w:rsid w:val="01BFD917"/>
    <w:rsid w:val="02A495F5"/>
    <w:rsid w:val="02BEEBF0"/>
    <w:rsid w:val="02E0CF65"/>
    <w:rsid w:val="039B4F4E"/>
    <w:rsid w:val="0429918B"/>
    <w:rsid w:val="04BE8E6D"/>
    <w:rsid w:val="04CB8A8F"/>
    <w:rsid w:val="04D4BE28"/>
    <w:rsid w:val="068CB0B5"/>
    <w:rsid w:val="07448F6D"/>
    <w:rsid w:val="08C1AC34"/>
    <w:rsid w:val="09252D9A"/>
    <w:rsid w:val="0A2DA199"/>
    <w:rsid w:val="0AE62C2C"/>
    <w:rsid w:val="0B5C5523"/>
    <w:rsid w:val="0CF56623"/>
    <w:rsid w:val="0D109BDF"/>
    <w:rsid w:val="0DA85DB3"/>
    <w:rsid w:val="0DEA57CA"/>
    <w:rsid w:val="0E79A3C2"/>
    <w:rsid w:val="0E9C05D6"/>
    <w:rsid w:val="0EA4CECF"/>
    <w:rsid w:val="0F26C93A"/>
    <w:rsid w:val="0F489E12"/>
    <w:rsid w:val="1031A5FE"/>
    <w:rsid w:val="1068FA11"/>
    <w:rsid w:val="10E40CB4"/>
    <w:rsid w:val="1113298F"/>
    <w:rsid w:val="114F249E"/>
    <w:rsid w:val="11B020EE"/>
    <w:rsid w:val="159FF9D6"/>
    <w:rsid w:val="15D432CE"/>
    <w:rsid w:val="161B2F9E"/>
    <w:rsid w:val="16359524"/>
    <w:rsid w:val="17534D73"/>
    <w:rsid w:val="182085B7"/>
    <w:rsid w:val="187DBA74"/>
    <w:rsid w:val="1968E97D"/>
    <w:rsid w:val="1985E126"/>
    <w:rsid w:val="19BA0931"/>
    <w:rsid w:val="1A6594F7"/>
    <w:rsid w:val="1A67D857"/>
    <w:rsid w:val="1A6C9DA7"/>
    <w:rsid w:val="1AE04DDF"/>
    <w:rsid w:val="1AE31738"/>
    <w:rsid w:val="1B901DA5"/>
    <w:rsid w:val="1C5D86AF"/>
    <w:rsid w:val="1CCFD99E"/>
    <w:rsid w:val="1D2FA987"/>
    <w:rsid w:val="1D5816A2"/>
    <w:rsid w:val="1D7FD8F2"/>
    <w:rsid w:val="1E0167A6"/>
    <w:rsid w:val="1E04452C"/>
    <w:rsid w:val="1F4A239C"/>
    <w:rsid w:val="1F8F995E"/>
    <w:rsid w:val="1F99EBBE"/>
    <w:rsid w:val="1FA5F2E8"/>
    <w:rsid w:val="1FCF3CBD"/>
    <w:rsid w:val="20DBAA12"/>
    <w:rsid w:val="21D6DB78"/>
    <w:rsid w:val="22A2540D"/>
    <w:rsid w:val="22FE63C6"/>
    <w:rsid w:val="239074CC"/>
    <w:rsid w:val="239C0431"/>
    <w:rsid w:val="23CE6BE5"/>
    <w:rsid w:val="23ED0FB8"/>
    <w:rsid w:val="25088086"/>
    <w:rsid w:val="250B12B0"/>
    <w:rsid w:val="262773A2"/>
    <w:rsid w:val="26B94AE1"/>
    <w:rsid w:val="2807EB29"/>
    <w:rsid w:val="28A6EDFB"/>
    <w:rsid w:val="28F162C0"/>
    <w:rsid w:val="296EF0E8"/>
    <w:rsid w:val="29B3D6C5"/>
    <w:rsid w:val="29FE6BE9"/>
    <w:rsid w:val="2A633B7C"/>
    <w:rsid w:val="2A653F00"/>
    <w:rsid w:val="2B6F156B"/>
    <w:rsid w:val="2BB6C713"/>
    <w:rsid w:val="2C812183"/>
    <w:rsid w:val="2E5EF6C3"/>
    <w:rsid w:val="2F6784A9"/>
    <w:rsid w:val="2FF35367"/>
    <w:rsid w:val="3065C795"/>
    <w:rsid w:val="3153B686"/>
    <w:rsid w:val="31C1AE55"/>
    <w:rsid w:val="32A26887"/>
    <w:rsid w:val="32C9B3A5"/>
    <w:rsid w:val="32E911E1"/>
    <w:rsid w:val="333DC70E"/>
    <w:rsid w:val="34D50C18"/>
    <w:rsid w:val="362E6977"/>
    <w:rsid w:val="368848BA"/>
    <w:rsid w:val="36996C3F"/>
    <w:rsid w:val="36C7AB05"/>
    <w:rsid w:val="379E80C3"/>
    <w:rsid w:val="38EB76E9"/>
    <w:rsid w:val="3910910F"/>
    <w:rsid w:val="3ACFA78B"/>
    <w:rsid w:val="3B6436DF"/>
    <w:rsid w:val="3B9D0815"/>
    <w:rsid w:val="3F284962"/>
    <w:rsid w:val="3FF48385"/>
    <w:rsid w:val="40BEDC93"/>
    <w:rsid w:val="42229374"/>
    <w:rsid w:val="428D3148"/>
    <w:rsid w:val="42CEDC85"/>
    <w:rsid w:val="42F42020"/>
    <w:rsid w:val="42F7418A"/>
    <w:rsid w:val="4302E24F"/>
    <w:rsid w:val="431E0309"/>
    <w:rsid w:val="45B83C37"/>
    <w:rsid w:val="45BC52DE"/>
    <w:rsid w:val="4648B335"/>
    <w:rsid w:val="47898EAF"/>
    <w:rsid w:val="479396E1"/>
    <w:rsid w:val="47DE37F7"/>
    <w:rsid w:val="48D4B862"/>
    <w:rsid w:val="496758BE"/>
    <w:rsid w:val="4A307590"/>
    <w:rsid w:val="4B3494CD"/>
    <w:rsid w:val="4B5F48F3"/>
    <w:rsid w:val="4B7670BF"/>
    <w:rsid w:val="4CFF9C46"/>
    <w:rsid w:val="4D32DE17"/>
    <w:rsid w:val="4D632CB8"/>
    <w:rsid w:val="4D63AFA4"/>
    <w:rsid w:val="4D74592F"/>
    <w:rsid w:val="4E470B05"/>
    <w:rsid w:val="4F526AED"/>
    <w:rsid w:val="4F5554C3"/>
    <w:rsid w:val="506E7064"/>
    <w:rsid w:val="50FB050E"/>
    <w:rsid w:val="5170F887"/>
    <w:rsid w:val="51A20499"/>
    <w:rsid w:val="51F0928C"/>
    <w:rsid w:val="52DF7E20"/>
    <w:rsid w:val="52F1DA5F"/>
    <w:rsid w:val="548EAAE7"/>
    <w:rsid w:val="5681F803"/>
    <w:rsid w:val="568CB143"/>
    <w:rsid w:val="577BE264"/>
    <w:rsid w:val="57C219FC"/>
    <w:rsid w:val="57F34FB6"/>
    <w:rsid w:val="5834B21E"/>
    <w:rsid w:val="58B9C346"/>
    <w:rsid w:val="58CDCC1E"/>
    <w:rsid w:val="596D6C8E"/>
    <w:rsid w:val="59A75077"/>
    <w:rsid w:val="59B89ABA"/>
    <w:rsid w:val="5A047695"/>
    <w:rsid w:val="5A52C6B8"/>
    <w:rsid w:val="5A93E9D3"/>
    <w:rsid w:val="5B1D20DB"/>
    <w:rsid w:val="5C37C8EB"/>
    <w:rsid w:val="5C87CBD0"/>
    <w:rsid w:val="5E2962EB"/>
    <w:rsid w:val="5F7F2583"/>
    <w:rsid w:val="5FEB4898"/>
    <w:rsid w:val="60AEF344"/>
    <w:rsid w:val="612A9D53"/>
    <w:rsid w:val="615EC33A"/>
    <w:rsid w:val="61C472B9"/>
    <w:rsid w:val="6624DDFD"/>
    <w:rsid w:val="669B4808"/>
    <w:rsid w:val="66A7B3A2"/>
    <w:rsid w:val="6947A760"/>
    <w:rsid w:val="699C5A1A"/>
    <w:rsid w:val="6AF31F62"/>
    <w:rsid w:val="6C6BD600"/>
    <w:rsid w:val="6CF51210"/>
    <w:rsid w:val="6D329D34"/>
    <w:rsid w:val="6DFA121E"/>
    <w:rsid w:val="6E091FEC"/>
    <w:rsid w:val="6F405E34"/>
    <w:rsid w:val="6F5C93BC"/>
    <w:rsid w:val="6FE66A68"/>
    <w:rsid w:val="70D3872A"/>
    <w:rsid w:val="71280E97"/>
    <w:rsid w:val="7147D6C6"/>
    <w:rsid w:val="71B0F6C4"/>
    <w:rsid w:val="721F515A"/>
    <w:rsid w:val="735C3BAC"/>
    <w:rsid w:val="736D5FFB"/>
    <w:rsid w:val="73DDB351"/>
    <w:rsid w:val="73E7FEAC"/>
    <w:rsid w:val="7421B132"/>
    <w:rsid w:val="74975B9E"/>
    <w:rsid w:val="74A554A7"/>
    <w:rsid w:val="75BBF202"/>
    <w:rsid w:val="75BCC78F"/>
    <w:rsid w:val="762722A6"/>
    <w:rsid w:val="768C950B"/>
    <w:rsid w:val="76F9B7A7"/>
    <w:rsid w:val="7724AD9B"/>
    <w:rsid w:val="78C81EAD"/>
    <w:rsid w:val="78F6E8E1"/>
    <w:rsid w:val="79CC8D10"/>
    <w:rsid w:val="79F38B7E"/>
    <w:rsid w:val="7B591CD6"/>
    <w:rsid w:val="7BD41842"/>
    <w:rsid w:val="7C5A11F5"/>
    <w:rsid w:val="7CD4B566"/>
    <w:rsid w:val="7E21C6F6"/>
    <w:rsid w:val="7E300518"/>
    <w:rsid w:val="7E63953E"/>
    <w:rsid w:val="7E9F5D6C"/>
    <w:rsid w:val="7F889CAC"/>
    <w:rsid w:val="7FE6A4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13D64506-7BE9-44E6-AE12-D9555B38B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customStyle="1" w:styleId="p1">
    <w:name w:val="p1"/>
    <w:basedOn w:val="Normal"/>
    <w:rsid w:val="000E16F7"/>
    <w:pPr>
      <w:spacing w:before="100" w:beforeAutospacing="1" w:after="100" w:afterAutospacing="1" w:line="240" w:lineRule="auto"/>
    </w:pPr>
    <w:rPr>
      <w:rFonts w:ascii="Times New Roman" w:eastAsiaTheme="minorEastAsia" w:hAnsi="Times New Roman" w:cs="Times New Roman"/>
      <w:kern w:val="0"/>
      <w:sz w:val="24"/>
      <w:szCs w:val="24"/>
      <w:lang w:val="en-IE" w:eastAsia="en-GB"/>
      <w14:ligatures w14:val="none"/>
    </w:rPr>
  </w:style>
  <w:style w:type="character" w:customStyle="1" w:styleId="s2">
    <w:name w:val="s2"/>
    <w:basedOn w:val="DefaultParagraphFont"/>
    <w:rsid w:val="000E16F7"/>
  </w:style>
  <w:style w:type="character" w:customStyle="1" w:styleId="s1">
    <w:name w:val="s1"/>
    <w:basedOn w:val="DefaultParagraphFont"/>
    <w:rsid w:val="000E16F7"/>
  </w:style>
  <w:style w:type="character" w:customStyle="1" w:styleId="apple-converted-space">
    <w:name w:val="apple-converted-space"/>
    <w:basedOn w:val="DefaultParagraphFont"/>
    <w:rsid w:val="000E16F7"/>
  </w:style>
  <w:style w:type="paragraph" w:customStyle="1" w:styleId="p3">
    <w:name w:val="p3"/>
    <w:basedOn w:val="Normal"/>
    <w:rsid w:val="000E16F7"/>
    <w:pPr>
      <w:spacing w:before="100" w:beforeAutospacing="1" w:after="100" w:afterAutospacing="1" w:line="240" w:lineRule="auto"/>
    </w:pPr>
    <w:rPr>
      <w:rFonts w:ascii="Times New Roman" w:eastAsiaTheme="minorEastAsia" w:hAnsi="Times New Roman" w:cs="Times New Roman"/>
      <w:kern w:val="0"/>
      <w:sz w:val="24"/>
      <w:szCs w:val="24"/>
      <w:lang w:val="en-IE" w:eastAsia="en-GB"/>
      <w14:ligatures w14:val="none"/>
    </w:rPr>
  </w:style>
  <w:style w:type="table" w:styleId="TableGrid">
    <w:name w:val="Table Grid"/>
    <w:basedOn w:val="TableNormal"/>
    <w:uiPriority w:val="39"/>
    <w:rsid w:val="00136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BE797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ontentxvzlr307">
    <w:name w:val="_content_xvzlr_307"/>
    <w:basedOn w:val="DefaultParagraphFont"/>
    <w:rsid w:val="00171960"/>
  </w:style>
  <w:style w:type="character" w:customStyle="1" w:styleId="text">
    <w:name w:val="text"/>
    <w:basedOn w:val="DefaultParagraphFont"/>
    <w:rsid w:val="00171960"/>
  </w:style>
  <w:style w:type="character" w:customStyle="1" w:styleId="screen-readerxvzlr291">
    <w:name w:val="_screen-reader_xvzlr_291"/>
    <w:basedOn w:val="DefaultParagraphFont"/>
    <w:rsid w:val="00171960"/>
  </w:style>
  <w:style w:type="character" w:customStyle="1" w:styleId="authoritemv3iir7">
    <w:name w:val="_authoritem_v3iir_7"/>
    <w:basedOn w:val="DefaultParagraphFont"/>
    <w:rsid w:val="00171960"/>
  </w:style>
  <w:style w:type="character" w:customStyle="1" w:styleId="ellipsisz98vt95">
    <w:name w:val="_ellipsis_z98vt_95"/>
    <w:basedOn w:val="DefaultParagraphFont"/>
    <w:rsid w:val="00171960"/>
  </w:style>
  <w:style w:type="character" w:customStyle="1" w:styleId="layoutq2sxr86">
    <w:name w:val="_layout_q2sxr_86"/>
    <w:basedOn w:val="DefaultParagraphFont"/>
    <w:rsid w:val="00171960"/>
  </w:style>
  <w:style w:type="paragraph" w:customStyle="1" w:styleId="p2">
    <w:name w:val="p2"/>
    <w:basedOn w:val="Normal"/>
    <w:rsid w:val="00E97ADC"/>
    <w:pPr>
      <w:spacing w:before="100" w:beforeAutospacing="1" w:after="100" w:afterAutospacing="1" w:line="240" w:lineRule="auto"/>
    </w:pPr>
    <w:rPr>
      <w:rFonts w:ascii="Times New Roman" w:eastAsiaTheme="minorEastAsia" w:hAnsi="Times New Roman" w:cs="Times New Roman"/>
      <w:kern w:val="0"/>
      <w:sz w:val="24"/>
      <w:szCs w:val="24"/>
      <w:lang w:val="en-IE" w:eastAsia="en-GB"/>
      <w14:ligatures w14:val="none"/>
    </w:rPr>
  </w:style>
  <w:style w:type="character" w:styleId="Strong">
    <w:name w:val="Strong"/>
    <w:basedOn w:val="DefaultParagraphFont"/>
    <w:uiPriority w:val="22"/>
    <w:qFormat/>
    <w:rsid w:val="00122094"/>
    <w:rPr>
      <w:b/>
      <w:bCs/>
    </w:rPr>
  </w:style>
  <w:style w:type="paragraph" w:styleId="NormalWeb">
    <w:name w:val="Normal (Web)"/>
    <w:basedOn w:val="Normal"/>
    <w:uiPriority w:val="99"/>
    <w:semiHidden/>
    <w:unhideWhenUsed/>
    <w:rsid w:val="00560FE5"/>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462C0"/>
    <w:rPr>
      <w:sz w:val="16"/>
      <w:szCs w:val="16"/>
    </w:rPr>
  </w:style>
  <w:style w:type="paragraph" w:styleId="CommentText">
    <w:name w:val="annotation text"/>
    <w:basedOn w:val="Normal"/>
    <w:link w:val="CommentTextChar"/>
    <w:uiPriority w:val="99"/>
    <w:unhideWhenUsed/>
    <w:rsid w:val="008462C0"/>
    <w:pPr>
      <w:spacing w:line="240" w:lineRule="auto"/>
    </w:pPr>
    <w:rPr>
      <w:sz w:val="20"/>
      <w:szCs w:val="20"/>
    </w:rPr>
  </w:style>
  <w:style w:type="character" w:customStyle="1" w:styleId="CommentTextChar">
    <w:name w:val="Comment Text Char"/>
    <w:basedOn w:val="DefaultParagraphFont"/>
    <w:link w:val="CommentText"/>
    <w:uiPriority w:val="99"/>
    <w:rsid w:val="008462C0"/>
    <w:rPr>
      <w:sz w:val="20"/>
      <w:szCs w:val="20"/>
    </w:rPr>
  </w:style>
  <w:style w:type="paragraph" w:styleId="CommentSubject">
    <w:name w:val="annotation subject"/>
    <w:basedOn w:val="CommentText"/>
    <w:next w:val="CommentText"/>
    <w:link w:val="CommentSubjectChar"/>
    <w:uiPriority w:val="99"/>
    <w:semiHidden/>
    <w:unhideWhenUsed/>
    <w:rsid w:val="008462C0"/>
    <w:rPr>
      <w:b/>
      <w:bCs/>
    </w:rPr>
  </w:style>
  <w:style w:type="character" w:customStyle="1" w:styleId="CommentSubjectChar">
    <w:name w:val="Comment Subject Char"/>
    <w:basedOn w:val="CommentTextChar"/>
    <w:link w:val="CommentSubject"/>
    <w:uiPriority w:val="99"/>
    <w:semiHidden/>
    <w:rsid w:val="008462C0"/>
    <w:rPr>
      <w:b/>
      <w:bCs/>
      <w:sz w:val="20"/>
      <w:szCs w:val="20"/>
    </w:rPr>
  </w:style>
  <w:style w:type="paragraph" w:styleId="Revision">
    <w:name w:val="Revision"/>
    <w:hidden/>
    <w:uiPriority w:val="99"/>
    <w:semiHidden/>
    <w:rsid w:val="006A14C0"/>
    <w:pPr>
      <w:spacing w:after="0" w:line="240" w:lineRule="auto"/>
    </w:pPr>
    <w:rPr>
      <w:sz w:val="22"/>
      <w:szCs w:val="22"/>
    </w:rPr>
  </w:style>
  <w:style w:type="paragraph" w:styleId="FootnoteText">
    <w:name w:val="footnote text"/>
    <w:basedOn w:val="Normal"/>
    <w:link w:val="FootnoteTextChar"/>
    <w:uiPriority w:val="99"/>
    <w:semiHidden/>
    <w:unhideWhenUsed/>
    <w:rsid w:val="00BA71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7139"/>
    <w:rPr>
      <w:sz w:val="20"/>
      <w:szCs w:val="20"/>
    </w:rPr>
  </w:style>
  <w:style w:type="character" w:styleId="FootnoteReference">
    <w:name w:val="footnote reference"/>
    <w:basedOn w:val="DefaultParagraphFont"/>
    <w:uiPriority w:val="99"/>
    <w:semiHidden/>
    <w:unhideWhenUsed/>
    <w:rsid w:val="00BA71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heel.nath@fari.brussels"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doi.org/10.1109/ACCESS.2020.2998358"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109/ACCESS.2024.347837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D20BB-E548-4ABF-A18D-829F953F940A}">
  <ds:schemaRefs>
    <ds:schemaRef ds:uri="http://schemas.openxmlformats.org/officeDocument/2006/bibliography"/>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Normal.dotm</Template>
  <TotalTime>117</TotalTime>
  <Pages>1</Pages>
  <Words>4555</Words>
  <Characters>25970</Characters>
  <Application>Microsoft Office Word</Application>
  <DocSecurity>0</DocSecurity>
  <Lines>216</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Susheel Nath</cp:lastModifiedBy>
  <cp:revision>13</cp:revision>
  <dcterms:created xsi:type="dcterms:W3CDTF">2026-09-13T11:42:00Z</dcterms:created>
  <dcterms:modified xsi:type="dcterms:W3CDTF">2026-09-13T20:10:00Z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