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6D2B24D8" w:rsidR="005076E1" w:rsidRPr="00D6057A" w:rsidRDefault="00B05B16" w:rsidP="006E77D5">
      <w:pPr>
        <w:spacing w:after="40" w:line="240" w:lineRule="auto"/>
        <w:jc w:val="center"/>
        <w:rPr>
          <w:rFonts w:ascii="Calibri" w:hAnsi="Calibri" w:cs="Calibri"/>
          <w:b/>
          <w:bCs/>
          <w:sz w:val="28"/>
          <w:szCs w:val="28"/>
        </w:rPr>
      </w:pPr>
      <w:r w:rsidRPr="00B05B16">
        <w:rPr>
          <w:rFonts w:ascii="Calibri" w:hAnsi="Calibri" w:cs="Calibri"/>
          <w:b/>
          <w:bCs/>
          <w:sz w:val="28"/>
          <w:szCs w:val="28"/>
        </w:rPr>
        <w:t>Computer Vision–Based Construction Monitoring for Productivity Assessment: A Systematic Review of Research</w:t>
      </w:r>
      <w:r>
        <w:rPr>
          <w:rFonts w:ascii="Calibri" w:hAnsi="Calibri" w:cs="Calibri"/>
          <w:b/>
          <w:bCs/>
          <w:sz w:val="28"/>
          <w:szCs w:val="28"/>
        </w:rPr>
        <w:t xml:space="preserve"> </w:t>
      </w:r>
    </w:p>
    <w:p w14:paraId="0C3B0385" w14:textId="45E7B1E2" w:rsidR="005076E1" w:rsidRPr="00746C78" w:rsidRDefault="00B05B16" w:rsidP="00E20F6D">
      <w:pPr>
        <w:pStyle w:val="Author"/>
        <w:spacing w:after="40"/>
        <w:jc w:val="center"/>
        <w:rPr>
          <w:rFonts w:ascii="Calibri" w:hAnsi="Calibri" w:cs="Calibri"/>
          <w:sz w:val="22"/>
          <w:szCs w:val="22"/>
          <w:vertAlign w:val="superscript"/>
        </w:rPr>
      </w:pPr>
      <w:r>
        <w:rPr>
          <w:rFonts w:ascii="Calibri" w:hAnsi="Calibri" w:cs="Calibri"/>
          <w:sz w:val="22"/>
          <w:szCs w:val="22"/>
        </w:rPr>
        <w:t>Ridhin Jacob Karukayil</w:t>
      </w:r>
      <w:r w:rsidR="005076E1" w:rsidRPr="00D6057A">
        <w:rPr>
          <w:rFonts w:ascii="Calibri" w:hAnsi="Calibri" w:cs="Calibri"/>
          <w:sz w:val="22"/>
          <w:szCs w:val="22"/>
          <w:vertAlign w:val="superscript"/>
        </w:rPr>
        <w:t>1</w:t>
      </w:r>
      <w:r w:rsidR="00721BBB" w:rsidRPr="00D6057A">
        <w:rPr>
          <w:rFonts w:ascii="Calibri" w:hAnsi="Calibri" w:cs="Calibri"/>
          <w:i/>
          <w:iCs/>
          <w:sz w:val="22"/>
          <w:szCs w:val="22"/>
          <w:vertAlign w:val="superscript"/>
        </w:rPr>
        <w:t>*</w:t>
      </w:r>
      <w:r w:rsidR="005076E1" w:rsidRPr="00D6057A">
        <w:rPr>
          <w:rFonts w:ascii="Calibri" w:hAnsi="Calibri" w:cs="Calibri"/>
          <w:sz w:val="22"/>
          <w:szCs w:val="22"/>
        </w:rPr>
        <w:t xml:space="preserve">, </w:t>
      </w:r>
      <w:r>
        <w:rPr>
          <w:rFonts w:ascii="Calibri" w:hAnsi="Calibri" w:cs="Calibri"/>
          <w:sz w:val="22"/>
          <w:szCs w:val="22"/>
        </w:rPr>
        <w:t>Aritra Pal</w:t>
      </w:r>
      <w:r w:rsidR="005076E1" w:rsidRPr="00D6057A">
        <w:rPr>
          <w:rFonts w:ascii="Calibri" w:hAnsi="Calibri" w:cs="Calibri"/>
          <w:sz w:val="22"/>
          <w:szCs w:val="22"/>
        </w:rPr>
        <w:t xml:space="preserve"> </w:t>
      </w:r>
      <w:r w:rsidR="00E20F6D">
        <w:rPr>
          <w:rFonts w:ascii="Calibri" w:hAnsi="Calibri" w:cs="Calibri"/>
          <w:sz w:val="22"/>
          <w:szCs w:val="22"/>
          <w:vertAlign w:val="superscript"/>
        </w:rPr>
        <w:t>2</w:t>
      </w:r>
      <w:r w:rsidR="00746C78">
        <w:rPr>
          <w:rFonts w:ascii="Calibri" w:hAnsi="Calibri" w:cs="Calibri"/>
          <w:sz w:val="22"/>
          <w:szCs w:val="22"/>
        </w:rPr>
        <w:t>, Mani Golparvar-Fard</w:t>
      </w:r>
      <w:r w:rsidR="00746C78">
        <w:rPr>
          <w:rFonts w:ascii="Calibri" w:hAnsi="Calibri" w:cs="Calibri"/>
          <w:sz w:val="22"/>
          <w:szCs w:val="22"/>
          <w:vertAlign w:val="superscript"/>
        </w:rPr>
        <w:t>3,4</w:t>
      </w:r>
    </w:p>
    <w:p w14:paraId="2171CFC8" w14:textId="77777777" w:rsidR="00E20F6D" w:rsidRPr="00D6057A" w:rsidRDefault="00E20F6D" w:rsidP="00E20F6D">
      <w:pPr>
        <w:pStyle w:val="Author"/>
        <w:spacing w:after="40"/>
        <w:jc w:val="center"/>
        <w:rPr>
          <w:rFonts w:ascii="Calibri" w:hAnsi="Calibri" w:cs="Calibri"/>
          <w:sz w:val="22"/>
          <w:szCs w:val="22"/>
        </w:rPr>
      </w:pPr>
    </w:p>
    <w:p w14:paraId="0BD01FF2" w14:textId="40AE9196" w:rsidR="00E20F6D" w:rsidRPr="00746C78" w:rsidRDefault="005076E1" w:rsidP="006E77D5">
      <w:pPr>
        <w:pStyle w:val="Author"/>
        <w:spacing w:after="40"/>
        <w:rPr>
          <w:sz w:val="22"/>
          <w:szCs w:val="22"/>
        </w:rPr>
      </w:pPr>
      <w:r w:rsidRPr="00746C78">
        <w:rPr>
          <w:rFonts w:ascii="Calibri" w:hAnsi="Calibri" w:cs="Calibri"/>
          <w:sz w:val="22"/>
          <w:szCs w:val="22"/>
          <w:vertAlign w:val="superscript"/>
        </w:rPr>
        <w:t xml:space="preserve">1 </w:t>
      </w:r>
      <w:r w:rsidR="00E20F6D" w:rsidRPr="00746C78">
        <w:rPr>
          <w:rFonts w:ascii="Calibri" w:eastAsia="Times New Roman" w:hAnsi="Calibri" w:cs="Calibri"/>
          <w:sz w:val="22"/>
          <w:szCs w:val="22"/>
        </w:rPr>
        <w:t xml:space="preserve">Doctoral Research Scholar, Department of Civil Engineering, Indian Institute of Technology Madras, Chennai-600036, Tamil Nadu, India; e-mail: </w:t>
      </w:r>
      <w:hyperlink r:id="rId8" w:history="1">
        <w:r w:rsidR="00E20F6D" w:rsidRPr="00746C78">
          <w:rPr>
            <w:rStyle w:val="Hyperlink"/>
            <w:rFonts w:ascii="Calibri" w:eastAsia="Times New Roman" w:hAnsi="Calibri" w:cs="Calibri"/>
            <w:sz w:val="22"/>
            <w:szCs w:val="22"/>
          </w:rPr>
          <w:t>jacobkarukayil13@gmail.com</w:t>
        </w:r>
      </w:hyperlink>
    </w:p>
    <w:p w14:paraId="4742FC4E" w14:textId="00F2C6FC" w:rsidR="00746C78" w:rsidRPr="00746C78" w:rsidRDefault="00746C78" w:rsidP="00746C78">
      <w:pPr>
        <w:pStyle w:val="Author"/>
        <w:spacing w:after="40"/>
        <w:rPr>
          <w:rFonts w:eastAsia="Times New Roman"/>
          <w:color w:val="943734"/>
          <w:sz w:val="22"/>
          <w:szCs w:val="22"/>
        </w:rPr>
      </w:pPr>
      <w:r w:rsidRPr="00746C78">
        <w:rPr>
          <w:rFonts w:ascii="Calibri" w:hAnsi="Calibri" w:cs="Calibri"/>
          <w:sz w:val="22"/>
          <w:szCs w:val="22"/>
          <w:vertAlign w:val="superscript"/>
        </w:rPr>
        <w:t xml:space="preserve">2 </w:t>
      </w:r>
      <w:r w:rsidRPr="00746C78">
        <w:rPr>
          <w:rFonts w:ascii="Calibri" w:eastAsia="Times New Roman" w:hAnsi="Calibri" w:cs="Calibri"/>
          <w:sz w:val="22"/>
          <w:szCs w:val="22"/>
        </w:rPr>
        <w:t xml:space="preserve">Assistant Professor, Department of Civil Engineering, Indian Institute of Technology Madras, Chennai-600036, Tamil Nadu, India; e-mail: </w:t>
      </w:r>
      <w:hyperlink r:id="rId9" w:history="1">
        <w:r w:rsidRPr="00746C78">
          <w:rPr>
            <w:rStyle w:val="Hyperlink"/>
            <w:rFonts w:ascii="Calibri" w:eastAsia="Times New Roman" w:hAnsi="Calibri" w:cs="Calibri"/>
            <w:sz w:val="22"/>
            <w:szCs w:val="22"/>
          </w:rPr>
          <w:t>aritrapal@civil.iitm.ac.in</w:t>
        </w:r>
      </w:hyperlink>
      <w:r w:rsidRPr="00746C78">
        <w:rPr>
          <w:rFonts w:eastAsia="Times New Roman"/>
          <w:color w:val="943734"/>
          <w:sz w:val="22"/>
          <w:szCs w:val="22"/>
        </w:rPr>
        <w:t xml:space="preserve"> </w:t>
      </w:r>
    </w:p>
    <w:p w14:paraId="0AB98689" w14:textId="123233CD" w:rsidR="00746C78" w:rsidRDefault="00746C78" w:rsidP="00746C78">
      <w:pPr>
        <w:pStyle w:val="Author"/>
        <w:spacing w:after="40"/>
        <w:rPr>
          <w:rFonts w:ascii="Calibri" w:eastAsia="Times New Roman" w:hAnsi="Calibri" w:cs="Calibri"/>
          <w:sz w:val="22"/>
          <w:szCs w:val="22"/>
        </w:rPr>
      </w:pPr>
      <w:r w:rsidRPr="00746C78">
        <w:rPr>
          <w:rFonts w:ascii="Calibri" w:hAnsi="Calibri" w:cs="Calibri"/>
          <w:sz w:val="22"/>
          <w:szCs w:val="22"/>
          <w:vertAlign w:val="superscript"/>
        </w:rPr>
        <w:t>3</w:t>
      </w:r>
      <w:r>
        <w:rPr>
          <w:rFonts w:ascii="Calibri" w:hAnsi="Calibri" w:cs="Calibri"/>
          <w:sz w:val="22"/>
          <w:szCs w:val="22"/>
          <w:vertAlign w:val="superscript"/>
        </w:rPr>
        <w:t xml:space="preserve"> </w:t>
      </w:r>
      <w:r w:rsidRPr="00746C78">
        <w:rPr>
          <w:rFonts w:ascii="Calibri" w:eastAsia="Times New Roman" w:hAnsi="Calibri" w:cs="Calibri"/>
          <w:sz w:val="22"/>
          <w:szCs w:val="22"/>
        </w:rPr>
        <w:t>Department of Civil and Environmental Engineering, University of Illinois at Urbana-Champaign, Urbana, IL, United States</w:t>
      </w:r>
    </w:p>
    <w:p w14:paraId="51184F64" w14:textId="2CAA82A6" w:rsidR="00746C78" w:rsidRDefault="00746C78" w:rsidP="00746C78">
      <w:pPr>
        <w:pStyle w:val="Author"/>
        <w:spacing w:after="40"/>
        <w:rPr>
          <w:rFonts w:ascii="Calibri" w:eastAsia="Times New Roman" w:hAnsi="Calibri" w:cs="Calibri"/>
          <w:sz w:val="22"/>
          <w:szCs w:val="22"/>
        </w:rPr>
      </w:pPr>
      <w:r>
        <w:rPr>
          <w:rFonts w:ascii="Calibri" w:eastAsia="Times New Roman" w:hAnsi="Calibri" w:cs="Calibri"/>
          <w:sz w:val="22"/>
          <w:szCs w:val="22"/>
          <w:vertAlign w:val="superscript"/>
        </w:rPr>
        <w:t xml:space="preserve">4 </w:t>
      </w:r>
      <w:r w:rsidRPr="00746C78">
        <w:rPr>
          <w:rFonts w:ascii="Calibri" w:eastAsia="Times New Roman" w:hAnsi="Calibri" w:cs="Calibri"/>
          <w:sz w:val="22"/>
          <w:szCs w:val="22"/>
        </w:rPr>
        <w:t>Department of Computer Science, University of Illinois at Urbana-Champaign, Urbana, IL, United States</w:t>
      </w:r>
    </w:p>
    <w:p w14:paraId="7C1F2DDD" w14:textId="263CEDAC" w:rsidR="00E20F6D" w:rsidRDefault="00E20F6D" w:rsidP="00E20F6D">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r>
        <w:rPr>
          <w:rFonts w:ascii="Calibri" w:hAnsi="Calibri" w:cs="Calibri"/>
          <w:i/>
          <w:iCs/>
          <w:sz w:val="22"/>
          <w:szCs w:val="22"/>
        </w:rPr>
        <w:t>j</w:t>
      </w:r>
      <w:r w:rsidRPr="00E76408">
        <w:rPr>
          <w:rFonts w:ascii="Calibri" w:hAnsi="Calibri" w:cs="Calibri"/>
          <w:i/>
          <w:iCs/>
          <w:sz w:val="22"/>
          <w:szCs w:val="22"/>
        </w:rPr>
        <w:t>acobkarukayil13@g</w:t>
      </w:r>
      <w:r>
        <w:rPr>
          <w:rFonts w:ascii="Calibri" w:hAnsi="Calibri" w:cs="Calibri"/>
          <w:i/>
          <w:iCs/>
          <w:sz w:val="22"/>
          <w:szCs w:val="22"/>
        </w:rPr>
        <w:t>mail.com</w:t>
      </w:r>
      <w:r w:rsidRPr="00D6057A">
        <w:rPr>
          <w:rFonts w:ascii="Calibri" w:hAnsi="Calibri" w:cs="Calibri"/>
          <w:sz w:val="22"/>
          <w:szCs w:val="22"/>
        </w:rPr>
        <w:t xml:space="preserve"> </w:t>
      </w:r>
    </w:p>
    <w:p w14:paraId="0216175D" w14:textId="77777777" w:rsidR="00E20F6D" w:rsidRPr="00E20F6D" w:rsidRDefault="00E20F6D" w:rsidP="00E20F6D">
      <w:pPr>
        <w:pStyle w:val="Author"/>
        <w:spacing w:after="40"/>
        <w:rPr>
          <w:rFonts w:ascii="Calibri" w:hAnsi="Calibri" w:cs="Calibri"/>
          <w:sz w:val="22"/>
          <w:szCs w:val="22"/>
        </w:rPr>
      </w:pPr>
    </w:p>
    <w:p w14:paraId="662F0B45" w14:textId="27E211A5"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17DCC667" w14:textId="4437B008" w:rsidR="00B671E3" w:rsidRDefault="00B05B16" w:rsidP="00AB3D2D">
      <w:pPr>
        <w:spacing w:after="40" w:line="240" w:lineRule="auto"/>
        <w:ind w:left="1134" w:right="1088"/>
        <w:jc w:val="both"/>
        <w:rPr>
          <w:rFonts w:ascii="Calibri" w:hAnsi="Calibri" w:cs="Calibri"/>
        </w:rPr>
      </w:pPr>
      <w:r w:rsidRPr="00B05B16">
        <w:rPr>
          <w:rFonts w:ascii="Calibri" w:hAnsi="Calibri" w:cs="Calibri"/>
        </w:rPr>
        <w:t>Construction productivity monitoring remains a persistent challenge</w:t>
      </w:r>
      <w:r w:rsidR="00E51652">
        <w:rPr>
          <w:rFonts w:ascii="Calibri" w:hAnsi="Calibri" w:cs="Calibri"/>
        </w:rPr>
        <w:t xml:space="preserve"> in the industry</w:t>
      </w:r>
      <w:r w:rsidRPr="00B05B16">
        <w:rPr>
          <w:rFonts w:ascii="Calibri" w:hAnsi="Calibri" w:cs="Calibri"/>
        </w:rPr>
        <w:t xml:space="preserve"> </w:t>
      </w:r>
      <w:r w:rsidR="00E51652" w:rsidRPr="00E51652">
        <w:rPr>
          <w:rFonts w:ascii="Calibri" w:hAnsi="Calibri" w:cs="Calibri"/>
        </w:rPr>
        <w:t xml:space="preserve">owing to its reliance </w:t>
      </w:r>
      <w:r w:rsidRPr="00B05B16">
        <w:rPr>
          <w:rFonts w:ascii="Calibri" w:hAnsi="Calibri" w:cs="Calibri"/>
        </w:rPr>
        <w:t>on manual observations</w:t>
      </w:r>
      <w:r w:rsidR="00041FB9">
        <w:rPr>
          <w:rFonts w:ascii="Calibri" w:hAnsi="Calibri" w:cs="Calibri"/>
        </w:rPr>
        <w:t xml:space="preserve"> like </w:t>
      </w:r>
      <w:r w:rsidRPr="00B05B16">
        <w:rPr>
          <w:rFonts w:ascii="Calibri" w:hAnsi="Calibri" w:cs="Calibri"/>
        </w:rPr>
        <w:t>work sampling and periodic reporting methods</w:t>
      </w:r>
      <w:r w:rsidR="00E51652" w:rsidRPr="00E51652">
        <w:rPr>
          <w:rFonts w:ascii="Calibri" w:hAnsi="Calibri" w:cs="Calibri"/>
        </w:rPr>
        <w:t>, which offer limited real-time insight into site performance</w:t>
      </w:r>
      <w:r w:rsidRPr="00B05B16">
        <w:rPr>
          <w:rFonts w:ascii="Calibri" w:hAnsi="Calibri" w:cs="Calibri"/>
        </w:rPr>
        <w:t>.</w:t>
      </w:r>
      <w:r w:rsidR="00E51652">
        <w:rPr>
          <w:rFonts w:ascii="Calibri" w:hAnsi="Calibri" w:cs="Calibri"/>
        </w:rPr>
        <w:t xml:space="preserve"> A</w:t>
      </w:r>
      <w:r w:rsidRPr="00B05B16">
        <w:rPr>
          <w:rFonts w:ascii="Calibri" w:hAnsi="Calibri" w:cs="Calibri"/>
        </w:rPr>
        <w:t xml:space="preserve">dvances in computer vision (CV) have created opportunities to automate productivity monitoring through continuous analysis of </w:t>
      </w:r>
      <w:r w:rsidR="00E51652">
        <w:rPr>
          <w:rFonts w:ascii="Calibri" w:hAnsi="Calibri" w:cs="Calibri"/>
        </w:rPr>
        <w:t>site imagery</w:t>
      </w:r>
      <w:r w:rsidRPr="00B05B16">
        <w:rPr>
          <w:rFonts w:ascii="Calibri" w:hAnsi="Calibri" w:cs="Calibri"/>
        </w:rPr>
        <w:t>. However, despite growing research activity, the extent to which CV-based systems progress beyond measurement toward explanation and decision-making remains unclear.</w:t>
      </w:r>
      <w:r w:rsidR="00AB3D2D">
        <w:rPr>
          <w:rFonts w:ascii="Calibri" w:hAnsi="Calibri" w:cs="Calibri"/>
        </w:rPr>
        <w:t xml:space="preserve"> </w:t>
      </w:r>
    </w:p>
    <w:p w14:paraId="5B1D3683" w14:textId="01427543" w:rsidR="00F12D5B" w:rsidRPr="00F12D5B" w:rsidRDefault="00B05B16" w:rsidP="00AB3D2D">
      <w:pPr>
        <w:spacing w:after="40" w:line="240" w:lineRule="auto"/>
        <w:ind w:left="1134" w:right="1088"/>
        <w:jc w:val="both"/>
        <w:rPr>
          <w:rFonts w:ascii="Calibri" w:hAnsi="Calibri" w:cs="Calibri"/>
          <w:b/>
          <w:bCs/>
        </w:rPr>
      </w:pPr>
      <w:r w:rsidRPr="00B05B16">
        <w:rPr>
          <w:rFonts w:ascii="Calibri" w:hAnsi="Calibri" w:cs="Calibri"/>
        </w:rPr>
        <w:t>This study presents a systematic review of CV-based construction productivity monitoring literature published between 201</w:t>
      </w:r>
      <w:r w:rsidR="000245DB">
        <w:rPr>
          <w:rFonts w:ascii="Calibri" w:hAnsi="Calibri" w:cs="Calibri"/>
        </w:rPr>
        <w:t>2</w:t>
      </w:r>
      <w:r w:rsidRPr="00B05B16">
        <w:rPr>
          <w:rFonts w:ascii="Calibri" w:hAnsi="Calibri" w:cs="Calibri"/>
        </w:rPr>
        <w:t xml:space="preserve"> and 2026. A Scopus search identified 1,103 records, </w:t>
      </w:r>
      <w:r w:rsidR="00F12D5B" w:rsidRPr="00F12D5B">
        <w:rPr>
          <w:rFonts w:ascii="Calibri" w:hAnsi="Calibri" w:cs="Calibri"/>
        </w:rPr>
        <w:t>screened via PRISMA to a final corpus of 30 studies.</w:t>
      </w:r>
      <w:r w:rsidR="00F12D5B">
        <w:rPr>
          <w:rFonts w:ascii="Calibri" w:hAnsi="Calibri" w:cs="Calibri"/>
        </w:rPr>
        <w:t xml:space="preserve"> </w:t>
      </w:r>
      <w:r w:rsidR="00F12D5B" w:rsidRPr="00F12D5B">
        <w:rPr>
          <w:rFonts w:ascii="Calibri" w:hAnsi="Calibri" w:cs="Calibri"/>
        </w:rPr>
        <w:t>Each study was examined for what its system produced rather than the technique employed, yielding 128 evidence items coded inductively into 27 capability codes and eight higher-order themes. Six themes were found to presuppose one another, forming a cumulative sequence from which the Operational Understanding Maturity Framework (OUMF) is derived: Detection, Activity Recognition, Productivity Assessment, Attribution and Decision Support.</w:t>
      </w:r>
    </w:p>
    <w:p w14:paraId="1351E534" w14:textId="77777777" w:rsidR="006E677D" w:rsidRPr="006E677D" w:rsidRDefault="006E677D" w:rsidP="006E677D">
      <w:pPr>
        <w:spacing w:after="40" w:line="240" w:lineRule="auto"/>
        <w:ind w:left="1134" w:right="1088"/>
        <w:jc w:val="both"/>
        <w:rPr>
          <w:rFonts w:ascii="Calibri" w:hAnsi="Calibri" w:cs="Calibri"/>
          <w:lang w:val="en-IN"/>
        </w:rPr>
      </w:pPr>
      <w:r w:rsidRPr="006E677D">
        <w:rPr>
          <w:rFonts w:ascii="Calibri" w:hAnsi="Calibri" w:cs="Calibri"/>
          <w:lang w:val="en-IN"/>
        </w:rPr>
        <w:t>Classifying 25 studies against these stages reveals a sharp attenuation. All satisfy Detection and 72% reach Productivity Assessment, but only 36% produce an attribution and 12% support an operational decision. The review further shows that many studies labelled as productivity assessment quantify labour effort without measuring corresponding work output, thereby assessing resource utilisation rather than productivity.</w:t>
      </w:r>
    </w:p>
    <w:p w14:paraId="47D2B6C9" w14:textId="77777777" w:rsidR="006E677D" w:rsidRDefault="006E677D" w:rsidP="006E677D">
      <w:pPr>
        <w:spacing w:after="40" w:line="240" w:lineRule="auto"/>
        <w:ind w:left="1134" w:right="1088"/>
        <w:jc w:val="both"/>
        <w:rPr>
          <w:rFonts w:ascii="Calibri" w:hAnsi="Calibri" w:cs="Calibri"/>
          <w:lang w:val="en-IN"/>
        </w:rPr>
      </w:pPr>
      <w:r w:rsidRPr="006E677D">
        <w:rPr>
          <w:rFonts w:ascii="Calibri" w:hAnsi="Calibri" w:cs="Calibri"/>
          <w:lang w:val="en-IN"/>
        </w:rPr>
        <w:t>The field has matured at measuring productivity but not at explaining it. Closing this gap will require interaction-centric productivity modelling, attribution mechanisms, and decision-oriented systems. The OUMF provides both a benchmark for existing research and a roadmap for that transition.</w:t>
      </w:r>
    </w:p>
    <w:p w14:paraId="789C6B9B" w14:textId="77777777" w:rsidR="006E677D" w:rsidRDefault="006E677D" w:rsidP="006E677D">
      <w:pPr>
        <w:spacing w:after="40" w:line="240" w:lineRule="auto"/>
        <w:ind w:left="1134" w:right="1088"/>
        <w:jc w:val="both"/>
        <w:rPr>
          <w:rFonts w:ascii="Calibri" w:hAnsi="Calibri" w:cs="Calibri"/>
          <w:lang w:val="en-IN"/>
        </w:rPr>
      </w:pPr>
    </w:p>
    <w:p w14:paraId="03260227" w14:textId="77777777" w:rsidR="00746C78" w:rsidRPr="006E677D" w:rsidRDefault="00746C78" w:rsidP="006E677D">
      <w:pPr>
        <w:spacing w:after="40" w:line="240" w:lineRule="auto"/>
        <w:ind w:left="1134" w:right="1088"/>
        <w:jc w:val="both"/>
        <w:rPr>
          <w:rFonts w:ascii="Calibri" w:hAnsi="Calibri" w:cs="Calibri"/>
          <w:lang w:val="en-IN"/>
        </w:rPr>
      </w:pPr>
    </w:p>
    <w:p w14:paraId="6AD9DB10" w14:textId="48BC6962" w:rsidR="009A4EB6" w:rsidRPr="009A4EB6" w:rsidRDefault="005076E1" w:rsidP="009A4EB6">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lastRenderedPageBreak/>
        <w:t>INTRODUCTION</w:t>
      </w:r>
    </w:p>
    <w:p w14:paraId="18A6B4F3" w14:textId="58AA749C" w:rsidR="00DE62FA" w:rsidRPr="00B950A6" w:rsidRDefault="00ED39BA" w:rsidP="00B950A6">
      <w:pPr>
        <w:pStyle w:val="ListParagraph"/>
        <w:spacing w:after="40" w:line="240" w:lineRule="auto"/>
        <w:ind w:left="0"/>
        <w:rPr>
          <w:rFonts w:ascii="Calibri" w:hAnsi="Calibri" w:cs="Calibri"/>
          <w:b/>
          <w:bCs/>
          <w:sz w:val="28"/>
          <w:szCs w:val="28"/>
        </w:rPr>
      </w:pPr>
      <w:r>
        <w:rPr>
          <w:rFonts w:ascii="Calibri" w:hAnsi="Calibri" w:cs="Calibri"/>
          <w:b/>
          <w:bCs/>
          <w:sz w:val="24"/>
          <w:szCs w:val="24"/>
        </w:rPr>
        <w:t>1</w:t>
      </w:r>
      <w:r w:rsidRPr="00D6057A">
        <w:rPr>
          <w:rFonts w:ascii="Calibri" w:hAnsi="Calibri" w:cs="Calibri"/>
          <w:b/>
          <w:bCs/>
          <w:sz w:val="24"/>
          <w:szCs w:val="24"/>
        </w:rPr>
        <w:t xml:space="preserve">.1 </w:t>
      </w:r>
      <w:r>
        <w:rPr>
          <w:rFonts w:ascii="Calibri" w:hAnsi="Calibri" w:cs="Calibri"/>
          <w:b/>
          <w:bCs/>
          <w:sz w:val="24"/>
          <w:szCs w:val="24"/>
        </w:rPr>
        <w:t>Background</w:t>
      </w:r>
    </w:p>
    <w:p w14:paraId="13D78CF4" w14:textId="12805577" w:rsidR="00B950A6" w:rsidRPr="00E51652" w:rsidRDefault="00B950A6" w:rsidP="00EE22CC">
      <w:pPr>
        <w:spacing w:after="40" w:line="240" w:lineRule="auto"/>
        <w:ind w:firstLine="851"/>
        <w:jc w:val="both"/>
        <w:rPr>
          <w:rFonts w:ascii="Calibri" w:hAnsi="Calibri" w:cs="Calibri"/>
          <w:color w:val="000000" w:themeColor="text1"/>
        </w:rPr>
      </w:pPr>
      <w:r>
        <w:rPr>
          <w:rFonts w:ascii="Calibri" w:hAnsi="Calibri" w:cs="Calibri"/>
          <w:color w:val="000000" w:themeColor="text1"/>
        </w:rPr>
        <w:t xml:space="preserve">Construction productivity has been a central challenge that the industry is struggling with for decades. </w:t>
      </w:r>
      <w:r w:rsidR="00637309" w:rsidRPr="00637309">
        <w:rPr>
          <w:rFonts w:ascii="Calibri" w:hAnsi="Calibri" w:cs="Calibri"/>
          <w:color w:val="000000" w:themeColor="text1"/>
        </w:rPr>
        <w:t xml:space="preserve">By </w:t>
      </w:r>
      <w:r w:rsidR="00637309" w:rsidRPr="00E51652">
        <w:rPr>
          <w:rFonts w:ascii="Calibri" w:hAnsi="Calibri" w:cs="Calibri"/>
          <w:color w:val="000000" w:themeColor="text1"/>
        </w:rPr>
        <w:t>2020, both labour productivity and total factor productivity in the US construction sector had fallen below their 1950 levels, while economy-wide labour productivity rose by 290% over the same period</w:t>
      </w:r>
      <w:r w:rsidR="005E6677" w:rsidRPr="00E51652">
        <w:rPr>
          <w:rFonts w:ascii="Calibri" w:hAnsi="Calibri" w:cs="Calibri"/>
          <w:color w:val="000000" w:themeColor="text1"/>
        </w:rPr>
        <w:t xml:space="preserve"> </w:t>
      </w:r>
      <w:r w:rsidR="005E6677" w:rsidRPr="00E51652">
        <w:rPr>
          <w:rFonts w:ascii="Calibri" w:hAnsi="Calibri" w:cs="Calibri"/>
          <w:color w:val="000000" w:themeColor="text1"/>
        </w:rPr>
        <w:fldChar w:fldCharType="begin"/>
      </w:r>
      <w:r w:rsidR="00EE22CC">
        <w:rPr>
          <w:rFonts w:ascii="Calibri" w:hAnsi="Calibri" w:cs="Calibri"/>
          <w:color w:val="000000" w:themeColor="text1"/>
        </w:rPr>
        <w:instrText xml:space="preserve"> ADDIN ZOTERO_ITEM CSL_CITATION {"citationID":"8rWC0wIL","properties":{"unsorted":false,"formattedCitation":"(Goolsbee and Syverson, 2023)","plainCitation":"(Goolsbee and Syverson, 2023)","noteIndex":0},"citationItems":[{"id":122,"uris":["http://zotero.org/users/20312420/items/Z7CA9TGS"],"itemData":{"id":122,"type":"report","abstract":"Aggregate data show a large and decades-long decline in construction sector productivity. This decline in such a large sector has had a material effect on secular productivity growth for the economy as a whole. Prior work has focused on the role of potential measurement problems in construction, particularly output deflators in the measurement of productivity. This paper brings some new evidence to bear on the industry’s measured productivity problems and suggests that measurement error is probably not the sole source of the stagnation. First, using measures of physical productivity in housing construction, productivity is falling or, at best, stagnant over multiple decades. Second, there has been a noticeable decline over time in the efficiency with which construction firms translate materials inputs into output, and a corresponding shift toward more value-added-intensive production. Third, using state-level data, we do not find evidence of patterns of within-industry reallocation that might be expected of efficiently operating input and output markets. States with more productive construction sectors do not see growth in their shares of total U.S. construction activity; if anything, their shares fall. This may point to frictions in these markets that slow or stop what is in many other markets an important channel for productivity growth.","DOI":"10.3386/w30845","language":"en","publisher-place":"Cambridge, MA","source":"Zotero","title":"The Strange and Awful Path of Productivity in the U.S. Construction Sector","author":[{"family":"Goolsbee","given":"Austan"},{"family":"Syverson","given":"Chad"}],"issued":{"date-parts":[["2023"]]}}}],"schema":"https://github.com/citation-style-language/schema/raw/master/csl-citation.json"} </w:instrText>
      </w:r>
      <w:r w:rsidR="005E6677" w:rsidRPr="00E51652">
        <w:rPr>
          <w:rFonts w:ascii="Calibri" w:hAnsi="Calibri" w:cs="Calibri"/>
          <w:color w:val="000000" w:themeColor="text1"/>
        </w:rPr>
        <w:fldChar w:fldCharType="separate"/>
      </w:r>
      <w:r w:rsidR="00665386" w:rsidRPr="00E51652">
        <w:rPr>
          <w:rFonts w:ascii="Calibri" w:hAnsi="Calibri" w:cs="Calibri"/>
        </w:rPr>
        <w:t>(Goolsbee and Syverson, 2023)</w:t>
      </w:r>
      <w:r w:rsidR="005E6677" w:rsidRPr="00E51652">
        <w:rPr>
          <w:rFonts w:ascii="Calibri" w:hAnsi="Calibri" w:cs="Calibri"/>
          <w:color w:val="000000" w:themeColor="text1"/>
        </w:rPr>
        <w:fldChar w:fldCharType="end"/>
      </w:r>
      <w:r w:rsidR="005E6677" w:rsidRPr="00E51652">
        <w:rPr>
          <w:rFonts w:ascii="Calibri" w:hAnsi="Calibri" w:cs="Calibri"/>
          <w:color w:val="000000" w:themeColor="text1"/>
        </w:rPr>
        <w:t xml:space="preserve">. </w:t>
      </w:r>
      <w:r w:rsidR="00A52483" w:rsidRPr="00E51652">
        <w:rPr>
          <w:rFonts w:ascii="Calibri" w:hAnsi="Calibri" w:cs="Calibri"/>
          <w:color w:val="000000" w:themeColor="text1"/>
        </w:rPr>
        <w:t xml:space="preserve">Research </w:t>
      </w:r>
      <w:r w:rsidR="00637309" w:rsidRPr="00E51652">
        <w:rPr>
          <w:rFonts w:ascii="Calibri" w:hAnsi="Calibri" w:cs="Calibri"/>
          <w:color w:val="000000" w:themeColor="text1"/>
        </w:rPr>
        <w:t xml:space="preserve">also </w:t>
      </w:r>
      <w:r w:rsidR="00A52483" w:rsidRPr="00E51652">
        <w:rPr>
          <w:rFonts w:ascii="Calibri" w:hAnsi="Calibri" w:cs="Calibri"/>
          <w:color w:val="000000" w:themeColor="text1"/>
        </w:rPr>
        <w:t>indicates that</w:t>
      </w:r>
      <w:r w:rsidRPr="00E51652">
        <w:rPr>
          <w:rFonts w:ascii="Calibri" w:hAnsi="Calibri" w:cs="Calibri"/>
          <w:color w:val="000000" w:themeColor="text1"/>
        </w:rPr>
        <w:t xml:space="preserve"> approximately 50-75% of the labour time spent on construction job sites is consumed by non-value added activities</w:t>
      </w:r>
      <w:r w:rsidR="0051597E">
        <w:rPr>
          <w:rFonts w:ascii="Calibri" w:hAnsi="Calibri" w:cs="Calibri"/>
          <w:color w:val="000000" w:themeColor="text1"/>
        </w:rPr>
        <w:t xml:space="preserve">, </w:t>
      </w:r>
      <w:r w:rsidR="00533EF0">
        <w:rPr>
          <w:rFonts w:ascii="Calibri" w:hAnsi="Calibri" w:cs="Calibri"/>
          <w:color w:val="000000" w:themeColor="text1"/>
        </w:rPr>
        <w:t xml:space="preserve">against </w:t>
      </w:r>
      <w:r w:rsidR="00A52483" w:rsidRPr="00E51652">
        <w:rPr>
          <w:rFonts w:ascii="Calibri" w:hAnsi="Calibri" w:cs="Calibri"/>
          <w:color w:val="000000" w:themeColor="text1"/>
        </w:rPr>
        <w:t>just</w:t>
      </w:r>
      <w:r w:rsidR="000B387E">
        <w:rPr>
          <w:rFonts w:ascii="Calibri" w:hAnsi="Calibri" w:cs="Calibri"/>
          <w:color w:val="000000" w:themeColor="text1"/>
        </w:rPr>
        <w:t xml:space="preserve"> over</w:t>
      </w:r>
      <w:r w:rsidR="00A52483" w:rsidRPr="00E51652">
        <w:rPr>
          <w:rFonts w:ascii="Calibri" w:hAnsi="Calibri" w:cs="Calibri"/>
          <w:color w:val="000000" w:themeColor="text1"/>
        </w:rPr>
        <w:t xml:space="preserve"> 10%</w:t>
      </w:r>
      <w:r w:rsidR="00533EF0">
        <w:rPr>
          <w:rFonts w:ascii="Calibri" w:hAnsi="Calibri" w:cs="Calibri"/>
          <w:color w:val="000000" w:themeColor="text1"/>
        </w:rPr>
        <w:t xml:space="preserve"> in the manufacturing industry</w:t>
      </w:r>
      <w:r w:rsidR="00EE22CC">
        <w:rPr>
          <w:rFonts w:ascii="Calibri" w:hAnsi="Calibri" w:cs="Calibri"/>
          <w:color w:val="000000" w:themeColor="text1"/>
        </w:rPr>
        <w:t xml:space="preserve"> </w:t>
      </w:r>
      <w:r w:rsidR="00EE22CC">
        <w:rPr>
          <w:rFonts w:ascii="Calibri" w:hAnsi="Calibri" w:cs="Calibri"/>
          <w:color w:val="000000" w:themeColor="text1"/>
        </w:rPr>
        <w:fldChar w:fldCharType="begin"/>
      </w:r>
      <w:r w:rsidR="00EE22CC">
        <w:rPr>
          <w:rFonts w:ascii="Calibri" w:hAnsi="Calibri" w:cs="Calibri"/>
          <w:color w:val="000000" w:themeColor="text1"/>
        </w:rPr>
        <w:instrText xml:space="preserve"> ADDIN ZOTERO_ITEM CSL_CITATION {"citationID":"qcCwIbzU","properties":{"unsorted":false,"formattedCitation":"(Construction Industry Institute, 2014)","plainCitation":"(Construction Industry Institute, 2014)","noteIndex":0},"citationItems":[{"id":145,"uris":["http://zotero.org/users/20312420/items/9A5KXEN8"],"itemData":{"id":145,"type":"report","genre":"Research Summary","publisher":"University of Texas at Austin","publisher-place":"Austin, TX","title":"Industrial engineering/manufacturing techniques for enhancing construction project performance","author":[{"literal":"Construction Industry Institute"}],"issued":{"date-parts":[["2014"]]}}}],"schema":"https://github.com/citation-style-language/schema/raw/master/csl-citation.json"} </w:instrText>
      </w:r>
      <w:r w:rsidR="00EE22CC">
        <w:rPr>
          <w:rFonts w:ascii="Calibri" w:hAnsi="Calibri" w:cs="Calibri"/>
          <w:color w:val="000000" w:themeColor="text1"/>
        </w:rPr>
        <w:fldChar w:fldCharType="separate"/>
      </w:r>
      <w:r w:rsidR="00EE22CC" w:rsidRPr="00EE22CC">
        <w:rPr>
          <w:rFonts w:ascii="Calibri" w:hAnsi="Calibri" w:cs="Calibri"/>
        </w:rPr>
        <w:t>(Construction Industry Institute, 2014)</w:t>
      </w:r>
      <w:r w:rsidR="00EE22CC">
        <w:rPr>
          <w:rFonts w:ascii="Calibri" w:hAnsi="Calibri" w:cs="Calibri"/>
          <w:color w:val="000000" w:themeColor="text1"/>
        </w:rPr>
        <w:fldChar w:fldCharType="end"/>
      </w:r>
      <w:r w:rsidR="00A52483" w:rsidRPr="00E51652">
        <w:rPr>
          <w:rFonts w:ascii="Calibri" w:hAnsi="Calibri" w:cs="Calibri"/>
          <w:color w:val="000000" w:themeColor="text1"/>
        </w:rPr>
        <w:t xml:space="preserve">. </w:t>
      </w:r>
      <w:r w:rsidR="00DC3675" w:rsidRPr="00DC3675">
        <w:rPr>
          <w:rFonts w:ascii="Calibri" w:hAnsi="Calibri" w:cs="Calibri"/>
          <w:color w:val="000000" w:themeColor="text1"/>
        </w:rPr>
        <w:t>This gap reflects a monitoring problem rather than workforce behaviour alone</w:t>
      </w:r>
      <w:r w:rsidR="00A52483" w:rsidRPr="00E51652">
        <w:rPr>
          <w:rFonts w:ascii="Calibri" w:hAnsi="Calibri" w:cs="Calibri"/>
          <w:color w:val="000000" w:themeColor="text1"/>
        </w:rPr>
        <w:t>.</w:t>
      </w:r>
      <w:r w:rsidR="00C53E68" w:rsidRPr="00E51652">
        <w:rPr>
          <w:rFonts w:ascii="Calibri" w:hAnsi="Calibri" w:cs="Calibri"/>
          <w:color w:val="000000" w:themeColor="text1"/>
        </w:rPr>
        <w:t xml:space="preserve"> Unlike manufacturing, where automated systems continuously track the production process, construction productivity monitoring still largely depends on manual observation and periodic reporting </w:t>
      </w:r>
      <w:r w:rsidR="00C53E68" w:rsidRPr="00E51652">
        <w:rPr>
          <w:rFonts w:ascii="Calibri" w:hAnsi="Calibri" w:cs="Calibri"/>
          <w:color w:val="000000" w:themeColor="text1"/>
        </w:rPr>
        <w:fldChar w:fldCharType="begin"/>
      </w:r>
      <w:r w:rsidR="00C53E68" w:rsidRPr="00E51652">
        <w:rPr>
          <w:rFonts w:ascii="Calibri" w:hAnsi="Calibri" w:cs="Calibri"/>
          <w:color w:val="000000" w:themeColor="text1"/>
        </w:rPr>
        <w:instrText xml:space="preserve"> ADDIN ZOTERO_ITEM CSL_CITATION {"citationID":"EK3U5rMl","properties":{"unsorted":false,"formattedCitation":"(Tsai {\\i{}et al.}, 2025)","plainCitation":"(Tsai et al., 2025)","noteIndex":0},"citationItems":[{"id":6,"uris":["http://zotero.org/users/20312420/items/4SWB5CUF"],"itemData":{"id":6,"type":"article-journal","abstract":"The labor force is vital to construction projects, but traditional manual methods for productivity analysis are time-consuming and error-prone. Recent advancements in computer vision and deep learning offer automated solutions, yet most studies focus on low-level pose recognition, neglecting the collaborative dynamics of construction sites. This paper introduces a multi-granular crew activity recognition framework that identifies individual actions, groups collaborating workers, and links them to specific tasks. Using graph-based representations and self-attention mechanisms, the model integrates spatial and contextual information for accurate recognition. Experiments on a dataset covering rebar, formwork, and concrete operations show an overall F1 Score of 70.31%. Results highlight the importance of balancing visual features and spatial proximity for optimal performance. This framework offers an efficient solution for construction site monitoring and lays groundwork for future research on temporal modeling and human-object interaction analysis.","container-title":"Automation in Construction","DOI":"10.1016/j.autcon.2025.106428","ISSN":"0926-5805","journalAbbreviation":"Automation in Construction","page":"106428","source":"ScienceDirect","title":"Multi-granular crew activity recognition for construction monitoring","volume":"179","author":[{"family":"Tsai","given":"Cheng Yun"},{"family":"Khosiin","given":"Mik Wanul"},{"family":"Lin","given":"Jacob J."},{"family":"Chen","given":"Chuin-Shan"}],"issued":{"date-parts":[["2025",11,1]]}}}],"schema":"https://github.com/citation-style-language/schema/raw/master/csl-citation.json"} </w:instrText>
      </w:r>
      <w:r w:rsidR="00C53E68" w:rsidRPr="00E51652">
        <w:rPr>
          <w:rFonts w:ascii="Calibri" w:hAnsi="Calibri" w:cs="Calibri"/>
          <w:color w:val="000000" w:themeColor="text1"/>
        </w:rPr>
        <w:fldChar w:fldCharType="separate"/>
      </w:r>
      <w:r w:rsidR="00665386" w:rsidRPr="00E51652">
        <w:rPr>
          <w:rFonts w:ascii="Calibri" w:hAnsi="Calibri" w:cs="Calibri"/>
          <w:kern w:val="0"/>
        </w:rPr>
        <w:t xml:space="preserve">(Tsai </w:t>
      </w:r>
      <w:r w:rsidR="00665386" w:rsidRPr="00E51652">
        <w:rPr>
          <w:rFonts w:ascii="Calibri" w:hAnsi="Calibri" w:cs="Calibri"/>
          <w:i/>
          <w:iCs/>
          <w:kern w:val="0"/>
        </w:rPr>
        <w:t>et al.</w:t>
      </w:r>
      <w:r w:rsidR="00665386" w:rsidRPr="00E51652">
        <w:rPr>
          <w:rFonts w:ascii="Calibri" w:hAnsi="Calibri" w:cs="Calibri"/>
          <w:kern w:val="0"/>
        </w:rPr>
        <w:t>, 2025)</w:t>
      </w:r>
      <w:r w:rsidR="00C53E68" w:rsidRPr="00E51652">
        <w:rPr>
          <w:rFonts w:ascii="Calibri" w:hAnsi="Calibri" w:cs="Calibri"/>
          <w:color w:val="000000" w:themeColor="text1"/>
        </w:rPr>
        <w:fldChar w:fldCharType="end"/>
      </w:r>
      <w:r w:rsidR="00C53E68" w:rsidRPr="00E51652">
        <w:rPr>
          <w:rFonts w:ascii="Calibri" w:hAnsi="Calibri" w:cs="Calibri"/>
          <w:color w:val="000000" w:themeColor="text1"/>
        </w:rPr>
        <w:t xml:space="preserve">. These methods are slow, tedious and incapable of generating continuous data </w:t>
      </w:r>
      <w:r w:rsidR="00C53E68" w:rsidRPr="00E51652">
        <w:rPr>
          <w:rFonts w:ascii="Calibri" w:hAnsi="Calibri" w:cs="Calibri"/>
          <w:color w:val="000000" w:themeColor="text1"/>
        </w:rPr>
        <w:fldChar w:fldCharType="begin"/>
      </w:r>
      <w:r w:rsidR="00C53E68" w:rsidRPr="00E51652">
        <w:rPr>
          <w:rFonts w:ascii="Calibri" w:hAnsi="Calibri" w:cs="Calibri"/>
          <w:color w:val="000000" w:themeColor="text1"/>
        </w:rPr>
        <w:instrText xml:space="preserve"> ADDIN ZOTERO_ITEM CSL_CITATION {"citationID":"j1DTqvqT","properties":{"unsorted":false,"formattedCitation":"(Gong and Caldas, 2011)","plainCitation":"(Gong and Caldas, 2011)","noteIndex":0},"citationItems":[{"id":90,"uris":["http://zotero.org/users/20312420/items/NVKJKSNF"],"itemData":{"id":90,"type":"article-journal","abstract":"Measuring the process of construction operations for productivity improvement remains a difficult task for most construction companies due to the manual effort required in most activity measurement methods. This paper proposed and described the elements, processes, and algorithms that comprise a computational and intelligent construction video interpretation method. A number of vision-based construction object recognition and tracking methods were evaluated to provide guidance for algorithm selection. A prototype system was developed to integrate the proposed video analysis processes and selected computer vision algorithms. Videos of construction operations were analyzed to validate the proposed method. Comparing to the traditional manual construction video analysis method, the proposed method provided a semi-automated video interpretation method. The new method enabled the interpretation of these videos into productivity information, such as working processes, cycle times, and delays, with an accuracy that was comparable to manual analysis, without the limitations of on-site human observation.","container-title":"Automation in Construction","DOI":"10.1016/j.autcon.2011.05.005","ISSN":"0926-5805","issue":"8","journalAbbreviation":"Automation in Construction","page":"1211-1226","source":"ScienceDirect","title":"An object recognition, tracking, and contextual reasoning-based video interpretation method for rapid productivity analysis of construction operations","volume":"20","author":[{"family":"Gong","given":"Jie"},{"family":"Caldas","given":"Carlos H."}],"issued":{"date-parts":[["2011",12,1]]}}}],"schema":"https://github.com/citation-style-language/schema/raw/master/csl-citation.json"} </w:instrText>
      </w:r>
      <w:r w:rsidR="00C53E68" w:rsidRPr="00E51652">
        <w:rPr>
          <w:rFonts w:ascii="Calibri" w:hAnsi="Calibri" w:cs="Calibri"/>
          <w:color w:val="000000" w:themeColor="text1"/>
        </w:rPr>
        <w:fldChar w:fldCharType="separate"/>
      </w:r>
      <w:r w:rsidR="00C53E68" w:rsidRPr="00E51652">
        <w:rPr>
          <w:rFonts w:ascii="Calibri" w:hAnsi="Calibri" w:cs="Calibri"/>
        </w:rPr>
        <w:t>(Gong and Caldas, 20</w:t>
      </w:r>
      <w:r w:rsidR="004F0B9D" w:rsidRPr="00E51652">
        <w:rPr>
          <w:rFonts w:ascii="Calibri" w:hAnsi="Calibri" w:cs="Calibri"/>
        </w:rPr>
        <w:t>11</w:t>
      </w:r>
      <w:r w:rsidR="00C53E68" w:rsidRPr="00E51652">
        <w:rPr>
          <w:rFonts w:ascii="Calibri" w:hAnsi="Calibri" w:cs="Calibri"/>
        </w:rPr>
        <w:t>)</w:t>
      </w:r>
      <w:r w:rsidR="00C53E68" w:rsidRPr="00E51652">
        <w:rPr>
          <w:rFonts w:ascii="Calibri" w:hAnsi="Calibri" w:cs="Calibri"/>
          <w:color w:val="000000" w:themeColor="text1"/>
        </w:rPr>
        <w:fldChar w:fldCharType="end"/>
      </w:r>
      <w:r w:rsidR="00C53E68" w:rsidRPr="00E51652">
        <w:rPr>
          <w:rFonts w:ascii="Calibri" w:hAnsi="Calibri" w:cs="Calibri"/>
          <w:color w:val="000000" w:themeColor="text1"/>
        </w:rPr>
        <w:t>. Thus, there is a pressing need for systems capable of continuously monitoring construction sites and tracking productivity in real-time</w:t>
      </w:r>
      <w:r w:rsidR="00670A6D" w:rsidRPr="00E51652">
        <w:rPr>
          <w:rFonts w:ascii="Calibri" w:hAnsi="Calibri" w:cs="Calibri"/>
          <w:color w:val="000000" w:themeColor="text1"/>
        </w:rPr>
        <w:t xml:space="preserve"> so that necessary interventions can be made </w:t>
      </w:r>
      <w:r w:rsidR="005E6677" w:rsidRPr="00E51652">
        <w:rPr>
          <w:rFonts w:ascii="Calibri" w:hAnsi="Calibri" w:cs="Calibri"/>
          <w:color w:val="000000" w:themeColor="text1"/>
        </w:rPr>
        <w:t>on time</w:t>
      </w:r>
      <w:r w:rsidR="00DC3675">
        <w:rPr>
          <w:rFonts w:ascii="Calibri" w:hAnsi="Calibri" w:cs="Calibri"/>
          <w:color w:val="000000" w:themeColor="text1"/>
        </w:rPr>
        <w:t>.</w:t>
      </w:r>
    </w:p>
    <w:p w14:paraId="0F1A2BD8" w14:textId="15030FAE" w:rsidR="00746C78" w:rsidRPr="00E51652" w:rsidRDefault="00D86492" w:rsidP="00746C78">
      <w:pPr>
        <w:spacing w:after="40" w:line="240" w:lineRule="auto"/>
        <w:ind w:firstLine="851"/>
        <w:jc w:val="both"/>
        <w:rPr>
          <w:rFonts w:ascii="Calibri" w:hAnsi="Calibri" w:cs="Calibri"/>
          <w:color w:val="000000" w:themeColor="text1"/>
        </w:rPr>
      </w:pPr>
      <w:r w:rsidRPr="00E51652">
        <w:rPr>
          <w:rFonts w:ascii="Calibri" w:hAnsi="Calibri" w:cs="Calibri"/>
          <w:color w:val="000000" w:themeColor="text1"/>
        </w:rPr>
        <w:t xml:space="preserve">Recent years have seen an explosion of visual data from construction sites, as the widespread adoption of CCTVs, UAVs, and site cameras enables imaging at a scale that was impractical a decade ago </w:t>
      </w:r>
      <w:r w:rsidRPr="00E51652">
        <w:rPr>
          <w:rFonts w:ascii="Calibri" w:hAnsi="Calibri" w:cs="Calibri"/>
          <w:color w:val="000000" w:themeColor="text1"/>
        </w:rPr>
        <w:fldChar w:fldCharType="begin"/>
      </w:r>
      <w:r w:rsidRPr="00E51652">
        <w:rPr>
          <w:rFonts w:ascii="Calibri" w:hAnsi="Calibri" w:cs="Calibri"/>
          <w:color w:val="000000" w:themeColor="text1"/>
        </w:rPr>
        <w:instrText xml:space="preserve"> ADDIN ZOTERO_ITEM CSL_CITATION {"citationID":"pgXEcP4o","properties":{"unsorted":false,"formattedCitation":"(Li {\\i{}et al.}, 2026)","plainCitation":"(Li et al., 2026)","noteIndex":0},"citationItems":[{"id":115,"uris":["http://zotero.org/users/20312420/items/JB678692"],"itemData":{"id":115,"type":"article-journal","abstract":"This review synthesizes recent advancements in automated construction monitoring, focusing on key dimensions including equipment, methodologies, datasets, evaluation metrics, and practical applications. It examines diverse data collection setups including single camera, unmanned aerial vehicles (UAVs), mobile phones, and multi-cameras, along with a range of models such as deep learning models and simulation-based models. The analysis highlights the critical role of dataset scale, diversity, and realism in model robustness, and reviews commonly used metrics like accuracy, precision, mean Average Precision (mAP), and Frames per Second (FPS) to evaluate performance trade-offs. Applications span safety monitoring, equipment tracking, productivity analysis, and structural health assessment. The review identifies gaps in dataset generalizability, metric standardization, and real-world validation, offering recommendations such as developing hybrid models, large-scale construction-specific datasets, and integrated multi-functional platforms. This work aims to guide future research and support the practical adoption of intelligent monitoring systems for safer and more efficient construction management.","container-title":"Developments in the Built Environment","DOI":"10.1016/j.dibe.2025.100832","ISSN":"26661659","journalAbbreviation":"Developments in the Built Environment","language":"en","page":"100832","source":"DOI.org (Crossref)","title":"Automated construction monitoring based on computer vision: A comprehensive review","title-short":"Automated construction monitoring based on computer vision","volume":"25","author":[{"family":"Li","given":"Linchao"},{"family":"Huang","given":"Zijian"},{"family":"Wang","given":"Junzhen"},{"family":"Du","given":"Bowen"},{"family":"Dai","given":"Linfabao"}],"issued":{"date-parts":[["2026",3]]}}}],"schema":"https://github.com/citation-style-language/schema/raw/master/csl-citation.json"} </w:instrText>
      </w:r>
      <w:r w:rsidRPr="00E51652">
        <w:rPr>
          <w:rFonts w:ascii="Calibri" w:hAnsi="Calibri" w:cs="Calibri"/>
          <w:color w:val="000000" w:themeColor="text1"/>
        </w:rPr>
        <w:fldChar w:fldCharType="separate"/>
      </w:r>
      <w:r w:rsidRPr="00E51652">
        <w:rPr>
          <w:rFonts w:ascii="Calibri" w:hAnsi="Calibri" w:cs="Calibri"/>
          <w:kern w:val="0"/>
        </w:rPr>
        <w:t xml:space="preserve">(Li </w:t>
      </w:r>
      <w:r w:rsidRPr="00E51652">
        <w:rPr>
          <w:rFonts w:ascii="Calibri" w:hAnsi="Calibri" w:cs="Calibri"/>
          <w:i/>
          <w:iCs/>
          <w:kern w:val="0"/>
        </w:rPr>
        <w:t>et al.</w:t>
      </w:r>
      <w:r w:rsidRPr="00E51652">
        <w:rPr>
          <w:rFonts w:ascii="Calibri" w:hAnsi="Calibri" w:cs="Calibri"/>
          <w:kern w:val="0"/>
        </w:rPr>
        <w:t>, 2026)</w:t>
      </w:r>
      <w:r w:rsidRPr="00E51652">
        <w:rPr>
          <w:rFonts w:ascii="Calibri" w:hAnsi="Calibri" w:cs="Calibri"/>
          <w:color w:val="000000" w:themeColor="text1"/>
        </w:rPr>
        <w:fldChar w:fldCharType="end"/>
      </w:r>
      <w:r w:rsidRPr="00E51652">
        <w:rPr>
          <w:rFonts w:ascii="Calibri" w:hAnsi="Calibri" w:cs="Calibri"/>
          <w:color w:val="000000" w:themeColor="text1"/>
        </w:rPr>
        <w:t xml:space="preserve">. Yet ongoing monitoring practices remain largely manual and document-centric, leaving much of this potential underutilised. Computer Vision (CV), a domain of algorithms focused on enabling machines to interpret and derive information from visual data, presents a promising potential to address this challenge </w:t>
      </w:r>
      <w:r w:rsidRPr="00E51652">
        <w:rPr>
          <w:rFonts w:ascii="Calibri" w:hAnsi="Calibri" w:cs="Calibri"/>
          <w:color w:val="000000" w:themeColor="text1"/>
        </w:rPr>
        <w:fldChar w:fldCharType="begin"/>
      </w:r>
      <w:r w:rsidRPr="00E51652">
        <w:rPr>
          <w:rFonts w:ascii="Calibri" w:hAnsi="Calibri" w:cs="Calibri"/>
          <w:color w:val="000000" w:themeColor="text1"/>
        </w:rPr>
        <w:instrText xml:space="preserve"> ADDIN ZOTERO_ITEM CSL_CITATION {"citationID":"1VHqvo2X","properties":{"unsorted":false,"formattedCitation":"(Gong and Caldas, 2011)","plainCitation":"(Gong and Caldas, 2011)","noteIndex":0},"citationItems":[{"id":90,"uris":["http://zotero.org/users/20312420/items/NVKJKSNF"],"itemData":{"id":90,"type":"article-journal","abstract":"Measuring the process of construction operations for productivity improvement remains a difficult task for most construction companies due to the manual effort required in most activity measurement methods. This paper proposed and described the elements, processes, and algorithms that comprise a computational and intelligent construction video interpretation method. A number of vision-based construction object recognition and tracking methods were evaluated to provide guidance for algorithm selection. A prototype system was developed to integrate the proposed video analysis processes and selected computer vision algorithms. Videos of construction operations were analyzed to validate the proposed method. Comparing to the traditional manual construction video analysis method, the proposed method provided a semi-automated video interpretation method. The new method enabled the interpretation of these videos into productivity information, such as working processes, cycle times, and delays, with an accuracy that was comparable to manual analysis, without the limitations of on-site human observation.","container-title":"Automation in Construction","DOI":"10.1016/j.autcon.2011.05.005","ISSN":"0926-5805","issue":"8","journalAbbreviation":"Automation in Construction","page":"1211-1226","source":"ScienceDirect","title":"An object recognition, tracking, and contextual reasoning-based video interpretation method for rapid productivity analysis of construction operations","volume":"20","author":[{"family":"Gong","given":"Jie"},{"family":"Caldas","given":"Carlos H."}],"issued":{"date-parts":[["2011",12,1]]}}}],"schema":"https://github.com/citation-style-language/schema/raw/master/csl-citation.json"} </w:instrText>
      </w:r>
      <w:r w:rsidRPr="00E51652">
        <w:rPr>
          <w:rFonts w:ascii="Calibri" w:hAnsi="Calibri" w:cs="Calibri"/>
          <w:color w:val="000000" w:themeColor="text1"/>
        </w:rPr>
        <w:fldChar w:fldCharType="separate"/>
      </w:r>
      <w:r w:rsidRPr="00E51652">
        <w:rPr>
          <w:rFonts w:ascii="Calibri" w:hAnsi="Calibri" w:cs="Calibri"/>
        </w:rPr>
        <w:t>(Gong and Caldas, 2011)</w:t>
      </w:r>
      <w:r w:rsidRPr="00E51652">
        <w:rPr>
          <w:rFonts w:ascii="Calibri" w:hAnsi="Calibri" w:cs="Calibri"/>
          <w:color w:val="000000" w:themeColor="text1"/>
        </w:rPr>
        <w:fldChar w:fldCharType="end"/>
      </w:r>
      <w:r w:rsidRPr="00E51652">
        <w:rPr>
          <w:rFonts w:ascii="Calibri" w:hAnsi="Calibri" w:cs="Calibri"/>
          <w:color w:val="000000" w:themeColor="text1"/>
        </w:rPr>
        <w:t>. Unlike wearable sensors or IoT devices, CV operates non-intrusively from existing site infrastructure, making it well-suited to continuous monitoring of construction environments</w:t>
      </w:r>
      <w:r w:rsidR="0040212B">
        <w:rPr>
          <w:rFonts w:ascii="Calibri" w:hAnsi="Calibri" w:cs="Calibri"/>
          <w:color w:val="000000" w:themeColor="text1"/>
        </w:rPr>
        <w:t xml:space="preserve"> </w:t>
      </w:r>
      <w:r w:rsidR="0040212B">
        <w:rPr>
          <w:rFonts w:ascii="Calibri" w:hAnsi="Calibri" w:cs="Calibri"/>
          <w:color w:val="000000" w:themeColor="text1"/>
        </w:rPr>
        <w:fldChar w:fldCharType="begin"/>
      </w:r>
      <w:r w:rsidR="00EE22CC">
        <w:rPr>
          <w:rFonts w:ascii="Calibri" w:hAnsi="Calibri" w:cs="Calibri"/>
          <w:color w:val="000000" w:themeColor="text1"/>
        </w:rPr>
        <w:instrText xml:space="preserve"> ADDIN ZOTERO_ITEM CSL_CITATION {"citationID":"JcDUCHiP","properties":{"unsorted":false,"formattedCitation":"(Hwang {\\i{}et al.}, 2025)","plainCitation":"(Hwang et al., 2025)","noteIndex":0},"citationItems":[{"id":136,"uris":["http://zotero.org/users/20312420/items/9FXW6XUZ"],"itemData":{"id":136,"type":"article-journal","abstract":"Earthwork productivity analysis is essential for successful construction projects. If productivity analysis results can be accessed anytime and anywhere, then project management can be performed more efficiently. To this end, this paper proposes an earthwork productivity monitoring framework via a real-time scene updating multi-vision platform. The framework consists of four main processes: 1) site-optimized database development; 2) real-time monitoring model updating; 3) multi-vision productivity monitoring; and 4) web-based monitoring platform for Internet-connected devices. The experimental results demonstrated satisfactory performance, with an average macro F1-score of 87.3% for continuous site-specific monitoring, an average accuracy of 86.2% for activity recognition, and the successful operation of multi-vision productivity monitoring through a web-based platform in real time. The findings can contribute to supporting site managers to understand real-time earthmoving operations while achieving better construction project and information management.","container-title":"Frontiers of Structural and Civil Engineering","DOI":"10.1007/s11709-025-1197-0","ISSN":"2095-2449","issue":"6","journalAbbreviation":"Front. Struct. Civ. Eng.","language":"en","page":"1021-1040","source":"Springer Link","title":"Web-based multi-vision platform for earthwork productivity on construction sites using real-time model updating","volume":"19","author":[{"family":"Hwang","given":"Jeongbin"},{"family":"Jeong","given":"Insoo"},{"family":"Kim","given":"Junghoon"},{"family":"Chi","given":"Seokho"}],"issued":{"date-parts":[["2025",6,1]]}}}],"schema":"https://github.com/citation-style-language/schema/raw/master/csl-citation.json"} </w:instrText>
      </w:r>
      <w:r w:rsidR="0040212B">
        <w:rPr>
          <w:rFonts w:ascii="Calibri" w:hAnsi="Calibri" w:cs="Calibri"/>
          <w:color w:val="000000" w:themeColor="text1"/>
        </w:rPr>
        <w:fldChar w:fldCharType="separate"/>
      </w:r>
      <w:r w:rsidR="00EE22CC" w:rsidRPr="00EE22CC">
        <w:rPr>
          <w:rFonts w:ascii="Calibri" w:hAnsi="Calibri" w:cs="Calibri"/>
          <w:kern w:val="0"/>
        </w:rPr>
        <w:t xml:space="preserve">(Hwang </w:t>
      </w:r>
      <w:r w:rsidR="00EE22CC" w:rsidRPr="00EE22CC">
        <w:rPr>
          <w:rFonts w:ascii="Calibri" w:hAnsi="Calibri" w:cs="Calibri"/>
          <w:i/>
          <w:iCs/>
          <w:kern w:val="0"/>
        </w:rPr>
        <w:t>et al.</w:t>
      </w:r>
      <w:r w:rsidR="00EE22CC" w:rsidRPr="00EE22CC">
        <w:rPr>
          <w:rFonts w:ascii="Calibri" w:hAnsi="Calibri" w:cs="Calibri"/>
          <w:kern w:val="0"/>
        </w:rPr>
        <w:t>, 2025)</w:t>
      </w:r>
      <w:r w:rsidR="0040212B">
        <w:rPr>
          <w:rFonts w:ascii="Calibri" w:hAnsi="Calibri" w:cs="Calibri"/>
          <w:color w:val="000000" w:themeColor="text1"/>
        </w:rPr>
        <w:fldChar w:fldCharType="end"/>
      </w:r>
      <w:r w:rsidRPr="00E51652">
        <w:rPr>
          <w:rFonts w:ascii="Calibri" w:hAnsi="Calibri" w:cs="Calibri"/>
          <w:color w:val="000000" w:themeColor="text1"/>
        </w:rPr>
        <w:t xml:space="preserve">. </w:t>
      </w:r>
      <w:r w:rsidR="00670A6D" w:rsidRPr="00E51652">
        <w:rPr>
          <w:rFonts w:ascii="Calibri" w:hAnsi="Calibri" w:cs="Calibri"/>
          <w:color w:val="000000" w:themeColor="text1"/>
        </w:rPr>
        <w:t xml:space="preserve">However, the extent to which </w:t>
      </w:r>
      <w:r w:rsidR="007B354D" w:rsidRPr="00E51652">
        <w:rPr>
          <w:rFonts w:ascii="Calibri" w:hAnsi="Calibri" w:cs="Calibri"/>
          <w:color w:val="000000" w:themeColor="text1"/>
        </w:rPr>
        <w:t xml:space="preserve">CV-based research has </w:t>
      </w:r>
      <w:r w:rsidR="00B950A6" w:rsidRPr="00E51652">
        <w:rPr>
          <w:rFonts w:ascii="Calibri" w:hAnsi="Calibri" w:cs="Calibri"/>
          <w:color w:val="000000" w:themeColor="text1"/>
        </w:rPr>
        <w:t xml:space="preserve">matured in the field of </w:t>
      </w:r>
      <w:r w:rsidR="007B354D" w:rsidRPr="00E51652">
        <w:rPr>
          <w:rFonts w:ascii="Calibri" w:hAnsi="Calibri" w:cs="Calibri"/>
          <w:color w:val="000000" w:themeColor="text1"/>
        </w:rPr>
        <w:t>applications remains unclear and needs investigation.</w:t>
      </w:r>
    </w:p>
    <w:p w14:paraId="792D03CE" w14:textId="0D43C558" w:rsidR="00700BB8" w:rsidRPr="00E51652" w:rsidRDefault="00700BB8" w:rsidP="003024FC">
      <w:pPr>
        <w:pStyle w:val="ListParagraph"/>
        <w:spacing w:after="40" w:line="240" w:lineRule="auto"/>
        <w:ind w:left="0"/>
        <w:rPr>
          <w:rFonts w:ascii="Calibri" w:hAnsi="Calibri" w:cs="Calibri"/>
          <w:b/>
          <w:bCs/>
          <w:sz w:val="28"/>
          <w:szCs w:val="28"/>
        </w:rPr>
      </w:pPr>
      <w:r w:rsidRPr="00E51652">
        <w:rPr>
          <w:rFonts w:ascii="Calibri" w:hAnsi="Calibri" w:cs="Calibri"/>
          <w:b/>
          <w:bCs/>
          <w:sz w:val="24"/>
          <w:szCs w:val="24"/>
        </w:rPr>
        <w:t>1.</w:t>
      </w:r>
      <w:r w:rsidR="00E76408" w:rsidRPr="00E51652">
        <w:rPr>
          <w:rFonts w:ascii="Calibri" w:hAnsi="Calibri" w:cs="Calibri"/>
          <w:b/>
          <w:bCs/>
          <w:sz w:val="24"/>
          <w:szCs w:val="24"/>
        </w:rPr>
        <w:t>2</w:t>
      </w:r>
      <w:r w:rsidRPr="00E51652">
        <w:rPr>
          <w:rFonts w:ascii="Calibri" w:hAnsi="Calibri" w:cs="Calibri"/>
          <w:b/>
          <w:bCs/>
          <w:sz w:val="24"/>
          <w:szCs w:val="24"/>
        </w:rPr>
        <w:t xml:space="preserve"> Research Gap</w:t>
      </w:r>
      <w:r w:rsidR="00E76408" w:rsidRPr="00E51652">
        <w:rPr>
          <w:rFonts w:ascii="Calibri" w:hAnsi="Calibri" w:cs="Calibri"/>
          <w:b/>
          <w:bCs/>
          <w:sz w:val="24"/>
          <w:szCs w:val="24"/>
        </w:rPr>
        <w:t>s &amp; Obje</w:t>
      </w:r>
      <w:r w:rsidR="00D4472A" w:rsidRPr="00E51652">
        <w:rPr>
          <w:rFonts w:ascii="Calibri" w:hAnsi="Calibri" w:cs="Calibri"/>
          <w:b/>
          <w:bCs/>
          <w:sz w:val="24"/>
          <w:szCs w:val="24"/>
        </w:rPr>
        <w:t>ctives</w:t>
      </w:r>
    </w:p>
    <w:p w14:paraId="77A832E2" w14:textId="67257950" w:rsidR="007B354D" w:rsidRDefault="007B354D" w:rsidP="00BC3DBE">
      <w:pPr>
        <w:spacing w:after="40" w:line="240" w:lineRule="auto"/>
        <w:ind w:firstLine="851"/>
        <w:jc w:val="both"/>
        <w:rPr>
          <w:rFonts w:ascii="Calibri" w:hAnsi="Calibri" w:cs="Calibri"/>
          <w:color w:val="000000" w:themeColor="text1"/>
        </w:rPr>
      </w:pPr>
      <w:r w:rsidRPr="00E51652">
        <w:rPr>
          <w:rFonts w:ascii="Calibri" w:hAnsi="Calibri" w:cs="Calibri"/>
          <w:color w:val="000000" w:themeColor="text1"/>
        </w:rPr>
        <w:t xml:space="preserve">Despite growing interest, productivity-specific applications remain a comparatively small and underexplored segment of the broader literature. Existing reviews, such as </w:t>
      </w:r>
      <w:r w:rsidRPr="00E51652">
        <w:rPr>
          <w:rFonts w:ascii="Calibri" w:hAnsi="Calibri" w:cs="Calibri"/>
          <w:color w:val="000000" w:themeColor="text1"/>
        </w:rPr>
        <w:fldChar w:fldCharType="begin"/>
      </w:r>
      <w:r w:rsidR="00A379AF">
        <w:rPr>
          <w:rFonts w:ascii="Calibri" w:hAnsi="Calibri" w:cs="Calibri"/>
          <w:color w:val="000000" w:themeColor="text1"/>
        </w:rPr>
        <w:instrText xml:space="preserve"> ADDIN ZOTERO_ITEM CSL_CITATION {"citationID":"RBQBlrPa","properties":{"unsorted":false,"formattedCitation":"(Barbosa and Bastos Costa, 2021)","plainCitation":"(Barbosa and Bastos Costa, 2021)","dontUpdate":true,"noteIndex":0},"citationItems":[{"id":12,"uris":["http://zotero.org/users/20312420/items/2MF235LE"],"itemData":{"id":12,"type":"paper-conference","DOI":"10.24928/2021/0141","event-title":"IGLC","note":"page: 716","source":"ResearchGate","title":"Productivity Monitoring of Construction Activities Using Digital Technologies: A Literature Review","title-short":"Productivity Monitoring of Construction Activities Using Digital Technologies","author":[{"family":"Barbosa","given":"Amanda"},{"family":"Bastos Costa","given":"Dayana"}],"issued":{"date-parts":[["2021",7,14]]}}}],"schema":"https://github.com/citation-style-language/schema/raw/master/csl-citation.json"} </w:instrText>
      </w:r>
      <w:r w:rsidRPr="00E51652">
        <w:rPr>
          <w:rFonts w:ascii="Calibri" w:hAnsi="Calibri" w:cs="Calibri"/>
          <w:color w:val="000000" w:themeColor="text1"/>
        </w:rPr>
        <w:fldChar w:fldCharType="separate"/>
      </w:r>
      <w:r w:rsidRPr="00E51652">
        <w:rPr>
          <w:rFonts w:ascii="Calibri" w:hAnsi="Calibri" w:cs="Calibri"/>
        </w:rPr>
        <w:t>Barbosa and Bastos Costa (2021</w:t>
      </w:r>
      <w:r w:rsidRPr="00E51652">
        <w:rPr>
          <w:rFonts w:ascii="Calibri" w:hAnsi="Calibri" w:cs="Calibri"/>
          <w:color w:val="000000" w:themeColor="text1"/>
        </w:rPr>
        <w:fldChar w:fldCharType="end"/>
      </w:r>
      <w:r w:rsidRPr="00E51652">
        <w:rPr>
          <w:rFonts w:ascii="Calibri" w:hAnsi="Calibri" w:cs="Calibri"/>
          <w:color w:val="000000" w:themeColor="text1"/>
        </w:rPr>
        <w:t xml:space="preserve">), catalogue the methods and reported accuracies, but stop short of assessing how far the analytical pipeline actually advances. </w:t>
      </w:r>
      <w:r w:rsidR="00046F45" w:rsidRPr="00046F45">
        <w:rPr>
          <w:rFonts w:ascii="Calibri" w:hAnsi="Calibri" w:cs="Calibri"/>
          <w:color w:val="000000" w:themeColor="text1"/>
        </w:rPr>
        <w:t>Thus, there exists no structured framework that assesses the maturity of the field and guides future research along a systematic progression.</w:t>
      </w:r>
    </w:p>
    <w:p w14:paraId="18A6F792" w14:textId="3DE3790A" w:rsidR="00746C78" w:rsidRDefault="0040212B" w:rsidP="00533EF0">
      <w:pPr>
        <w:spacing w:after="40" w:line="240" w:lineRule="auto"/>
        <w:ind w:firstLine="851"/>
        <w:jc w:val="both"/>
        <w:rPr>
          <w:rFonts w:ascii="Calibri" w:hAnsi="Calibri" w:cs="Calibri"/>
          <w:color w:val="000000" w:themeColor="text1"/>
        </w:rPr>
      </w:pPr>
      <w:r w:rsidRPr="0040212B">
        <w:rPr>
          <w:rFonts w:ascii="Calibri" w:hAnsi="Calibri" w:cs="Calibri"/>
          <w:color w:val="000000" w:themeColor="text1"/>
        </w:rPr>
        <w:t>To address this gap, this paper systematically reviews the CV-based construction productivity monitoring literature and, from the capabilities the reviewed systems deliver, derives an Operational Understanding Maturity Framework (OUMF) for assessing the analytical progression of CV-based productivity research.</w:t>
      </w:r>
    </w:p>
    <w:p w14:paraId="580ABACB" w14:textId="77777777" w:rsidR="006E3EBE" w:rsidRPr="00E060C1" w:rsidRDefault="006E3EBE" w:rsidP="00533EF0">
      <w:pPr>
        <w:spacing w:after="40" w:line="240" w:lineRule="auto"/>
        <w:ind w:firstLine="851"/>
        <w:jc w:val="both"/>
        <w:rPr>
          <w:rFonts w:ascii="Calibri" w:hAnsi="Calibri" w:cs="Calibri"/>
          <w:color w:val="000000" w:themeColor="text1"/>
        </w:rPr>
      </w:pPr>
    </w:p>
    <w:p w14:paraId="154F4743" w14:textId="670831E6" w:rsidR="002262E1" w:rsidRPr="00382A36" w:rsidRDefault="00E060C1" w:rsidP="00382A36">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RESEARCH METHODOLOGY</w:t>
      </w:r>
    </w:p>
    <w:p w14:paraId="076BC3A3" w14:textId="14806BB8" w:rsidR="00382A36" w:rsidRPr="00ED39BA" w:rsidRDefault="00382A36" w:rsidP="003024FC">
      <w:pPr>
        <w:pStyle w:val="ListParagraph"/>
        <w:spacing w:after="40" w:line="240" w:lineRule="auto"/>
        <w:ind w:left="0"/>
        <w:rPr>
          <w:rFonts w:ascii="Calibri" w:hAnsi="Calibri" w:cs="Calibri"/>
          <w:b/>
          <w:bCs/>
          <w:sz w:val="28"/>
          <w:szCs w:val="28"/>
        </w:rPr>
      </w:pPr>
      <w:r>
        <w:rPr>
          <w:rFonts w:ascii="Calibri" w:hAnsi="Calibri" w:cs="Calibri"/>
          <w:b/>
          <w:bCs/>
          <w:sz w:val="24"/>
          <w:szCs w:val="24"/>
        </w:rPr>
        <w:t>2</w:t>
      </w:r>
      <w:r w:rsidRPr="00D6057A">
        <w:rPr>
          <w:rFonts w:ascii="Calibri" w:hAnsi="Calibri" w:cs="Calibri"/>
          <w:b/>
          <w:bCs/>
          <w:sz w:val="24"/>
          <w:szCs w:val="24"/>
        </w:rPr>
        <w:t>.</w:t>
      </w:r>
      <w:r>
        <w:rPr>
          <w:rFonts w:ascii="Calibri" w:hAnsi="Calibri" w:cs="Calibri"/>
          <w:b/>
          <w:bCs/>
          <w:sz w:val="24"/>
          <w:szCs w:val="24"/>
        </w:rPr>
        <w:t>1</w:t>
      </w:r>
      <w:r w:rsidRPr="00D6057A">
        <w:rPr>
          <w:rFonts w:ascii="Calibri" w:hAnsi="Calibri" w:cs="Calibri"/>
          <w:b/>
          <w:bCs/>
          <w:sz w:val="24"/>
          <w:szCs w:val="24"/>
        </w:rPr>
        <w:t xml:space="preserve"> </w:t>
      </w:r>
      <w:r w:rsidRPr="00382A36">
        <w:rPr>
          <w:rFonts w:ascii="Calibri" w:hAnsi="Calibri" w:cs="Calibri"/>
          <w:b/>
          <w:bCs/>
          <w:sz w:val="24"/>
          <w:szCs w:val="24"/>
        </w:rPr>
        <w:t>Search Strategy</w:t>
      </w:r>
    </w:p>
    <w:p w14:paraId="67BFF1D4" w14:textId="2778DD6D" w:rsidR="006E5DF6" w:rsidRPr="00E51652" w:rsidRDefault="00382A36" w:rsidP="006E77D5">
      <w:pPr>
        <w:spacing w:after="40" w:line="240" w:lineRule="auto"/>
        <w:ind w:firstLine="851"/>
        <w:jc w:val="both"/>
        <w:rPr>
          <w:rFonts w:ascii="Calibri" w:hAnsi="Calibri" w:cs="Calibri"/>
          <w:color w:val="000000" w:themeColor="text1"/>
        </w:rPr>
      </w:pPr>
      <w:r w:rsidRPr="00E51652">
        <w:rPr>
          <w:rFonts w:ascii="Calibri" w:hAnsi="Calibri" w:cs="Calibri"/>
          <w:color w:val="000000" w:themeColor="text1"/>
        </w:rPr>
        <w:t>A systematic search was conducted on the Scopus database, selected for its comprehensive coverage of peer-reviewed engineering and construction literature</w:t>
      </w:r>
      <w:r w:rsidR="002E0FC1">
        <w:rPr>
          <w:rFonts w:ascii="Calibri" w:hAnsi="Calibri" w:cs="Calibri"/>
          <w:color w:val="000000" w:themeColor="text1"/>
        </w:rPr>
        <w:t xml:space="preserve">. </w:t>
      </w:r>
      <w:r w:rsidR="006E5DF6" w:rsidRPr="00E51652">
        <w:rPr>
          <w:rFonts w:ascii="Calibri" w:hAnsi="Calibri" w:cs="Calibri"/>
          <w:color w:val="000000" w:themeColor="text1"/>
        </w:rPr>
        <w:t>The search string combined visual sensing and learning-technology terms with construction monitoring and productivity keywords, applied to the title, abstract, and keyword fields:</w:t>
      </w:r>
    </w:p>
    <w:p w14:paraId="4FCD2DF0" w14:textId="341A1FC8" w:rsidR="00763C78" w:rsidRPr="00E51652" w:rsidRDefault="00763C78" w:rsidP="00763C78">
      <w:pPr>
        <w:spacing w:after="40" w:line="240" w:lineRule="auto"/>
        <w:jc w:val="both"/>
        <w:rPr>
          <w:rFonts w:ascii="Calibri" w:hAnsi="Calibri" w:cs="Calibri"/>
          <w:color w:val="000000" w:themeColor="text1"/>
        </w:rPr>
      </w:pPr>
      <w:r w:rsidRPr="00E51652">
        <w:rPr>
          <w:rFonts w:ascii="Calibri" w:hAnsi="Calibri" w:cs="Calibri"/>
          <w:color w:val="000000" w:themeColor="text1"/>
        </w:rPr>
        <w:t>(("computer vision" OR "CV" OR "vision-language model" OR "VLM" OR "supervised learning" OR "unsupervised learning" OR "deep learning" OR recurrent OR LSTM OR CNN OR "neural network" OR convolutional) AND construction AND (monitor OR track OR productivity))</w:t>
      </w:r>
    </w:p>
    <w:p w14:paraId="0EE05950" w14:textId="224E0915" w:rsidR="0040212B" w:rsidRDefault="00890097" w:rsidP="00746C78">
      <w:pPr>
        <w:spacing w:after="40" w:line="240" w:lineRule="auto"/>
        <w:ind w:firstLine="851"/>
        <w:jc w:val="both"/>
        <w:rPr>
          <w:rFonts w:ascii="Calibri" w:hAnsi="Calibri" w:cs="Calibri"/>
          <w:color w:val="000000" w:themeColor="text1"/>
        </w:rPr>
      </w:pPr>
      <w:r w:rsidRPr="00E51652">
        <w:rPr>
          <w:rFonts w:ascii="Calibri" w:hAnsi="Calibri" w:cs="Calibri"/>
          <w:color w:val="000000" w:themeColor="text1"/>
        </w:rPr>
        <w:t xml:space="preserve">The search was limited to publications from January 2012 to </w:t>
      </w:r>
      <w:r w:rsidR="00E10597" w:rsidRPr="00E51652">
        <w:rPr>
          <w:rFonts w:ascii="Calibri" w:hAnsi="Calibri" w:cs="Calibri"/>
          <w:color w:val="000000" w:themeColor="text1"/>
        </w:rPr>
        <w:t>March</w:t>
      </w:r>
      <w:r w:rsidRPr="00E51652">
        <w:rPr>
          <w:rFonts w:ascii="Calibri" w:hAnsi="Calibri" w:cs="Calibri"/>
          <w:color w:val="000000" w:themeColor="text1"/>
        </w:rPr>
        <w:t xml:space="preserve"> 2026. The lower bound corresponds to the introduction of </w:t>
      </w:r>
      <w:proofErr w:type="spellStart"/>
      <w:r w:rsidRPr="00E51652">
        <w:rPr>
          <w:rFonts w:ascii="Calibri" w:hAnsi="Calibri" w:cs="Calibri"/>
          <w:color w:val="000000" w:themeColor="text1"/>
        </w:rPr>
        <w:t>AlexNet</w:t>
      </w:r>
      <w:proofErr w:type="spellEnd"/>
      <w:r w:rsidR="00FA0432" w:rsidRPr="00E51652">
        <w:rPr>
          <w:rFonts w:ascii="Calibri" w:hAnsi="Calibri" w:cs="Calibri"/>
          <w:color w:val="000000" w:themeColor="text1"/>
        </w:rPr>
        <w:t xml:space="preserve">, </w:t>
      </w:r>
      <w:r w:rsidRPr="00E51652">
        <w:rPr>
          <w:rFonts w:ascii="Calibri" w:hAnsi="Calibri" w:cs="Calibri"/>
          <w:color w:val="000000" w:themeColor="text1"/>
        </w:rPr>
        <w:t>which marked the widespread adoption of deep convolutional neural networks for visual recognition and the foundation of most subsequent CV-based construction monitoring methods</w:t>
      </w:r>
      <w:r w:rsidR="00FA0432" w:rsidRPr="00E51652">
        <w:rPr>
          <w:rFonts w:ascii="Calibri" w:hAnsi="Calibri" w:cs="Calibri"/>
          <w:color w:val="000000" w:themeColor="text1"/>
        </w:rPr>
        <w:t xml:space="preserve"> </w:t>
      </w:r>
      <w:r w:rsidR="00FA0432" w:rsidRPr="00E51652">
        <w:rPr>
          <w:rFonts w:ascii="Calibri" w:hAnsi="Calibri" w:cs="Calibri"/>
          <w:color w:val="000000" w:themeColor="text1"/>
        </w:rPr>
        <w:fldChar w:fldCharType="begin"/>
      </w:r>
      <w:r w:rsidR="008C2CA2" w:rsidRPr="00E51652">
        <w:rPr>
          <w:rFonts w:ascii="Calibri" w:hAnsi="Calibri" w:cs="Calibri"/>
          <w:color w:val="000000" w:themeColor="text1"/>
        </w:rPr>
        <w:instrText xml:space="preserve"> ADDIN ZOTERO_ITEM CSL_CITATION {"citationID":"7LC4Oeef","properties":{"unsorted":false,"formattedCitation":"(Pal and Hsieh, 2021)","plainCitation":"(Pal and Hsieh, 2021)","noteIndex":0},"citationItems":[{"id":102,"uris":["http://zotero.org/users/20312420/items/BHUGZEK4"],"itemData":{"id":102,"type":"article-journal","abstract":"Visual data captured at construction sites is a rich source of information for the day-to-day operation of construction projects. The development of deep-learning-based methods has demonstrated their capabilities in analyzing complex visual data and inferring valuable insights. Recent applications of these methods in construction have also shown promising performance in making the construction management process smarter. To understand the current research trends and to highlight future research directions, this study reviews state-ofthe-art deep-learning applications on visual data analytics in the context of construction project management. This in-depth review identifies six major fields and fifty-two subfields of construction management where deeplearning-based visual data analytics have been applied. It also proposes a generalized workflow for applying deep-learning-based visual data analytics methods for solving construction management problems. In addition, the study highlights three future research directions where deep-learning-based visual data analytics can be applied on relatively less explored 3D visual data.","container-title":"Automation in Construction","DOI":"10.1016/j.autcon.2021.103892","ISSN":"09265805","journalAbbreviation":"Automation in Construction","language":"en","page":"103892","source":"DOI.org (Crossref)","title":"Deep-learning-based visual data analytics for smart construction management","volume":"131","author":[{"family":"Pal","given":"Aritra"},{"family":"Hsieh","given":"Shang-Hsien"}],"issued":{"date-parts":[["2021",11]]}}}],"schema":"https://github.com/citation-style-language/schema/raw/master/csl-citation.json"} </w:instrText>
      </w:r>
      <w:r w:rsidR="00FA0432" w:rsidRPr="00E51652">
        <w:rPr>
          <w:rFonts w:ascii="Calibri" w:hAnsi="Calibri" w:cs="Calibri"/>
          <w:color w:val="000000" w:themeColor="text1"/>
        </w:rPr>
        <w:fldChar w:fldCharType="separate"/>
      </w:r>
      <w:r w:rsidR="004B2233" w:rsidRPr="00E51652">
        <w:rPr>
          <w:rFonts w:ascii="Calibri" w:hAnsi="Calibri" w:cs="Calibri"/>
        </w:rPr>
        <w:t>(Pal and Hsieh, 2021)</w:t>
      </w:r>
      <w:r w:rsidR="00FA0432" w:rsidRPr="00E51652">
        <w:rPr>
          <w:rFonts w:ascii="Calibri" w:hAnsi="Calibri" w:cs="Calibri"/>
          <w:color w:val="000000" w:themeColor="text1"/>
        </w:rPr>
        <w:fldChar w:fldCharType="end"/>
      </w:r>
      <w:r w:rsidR="00FA0432" w:rsidRPr="00E51652">
        <w:rPr>
          <w:rFonts w:ascii="Calibri" w:hAnsi="Calibri" w:cs="Calibri"/>
          <w:color w:val="000000" w:themeColor="text1"/>
        </w:rPr>
        <w:t>.</w:t>
      </w:r>
    </w:p>
    <w:p w14:paraId="15D46281" w14:textId="3228A51E" w:rsidR="00382A36" w:rsidRPr="00ED39BA" w:rsidRDefault="00382A36" w:rsidP="003024FC">
      <w:pPr>
        <w:pStyle w:val="ListParagraph"/>
        <w:spacing w:after="40" w:line="240" w:lineRule="auto"/>
        <w:ind w:left="0"/>
        <w:rPr>
          <w:rFonts w:ascii="Calibri" w:hAnsi="Calibri" w:cs="Calibri"/>
          <w:b/>
          <w:bCs/>
          <w:sz w:val="28"/>
          <w:szCs w:val="28"/>
        </w:rPr>
      </w:pPr>
      <w:r>
        <w:rPr>
          <w:rFonts w:ascii="Calibri" w:hAnsi="Calibri" w:cs="Calibri"/>
          <w:b/>
          <w:bCs/>
          <w:sz w:val="24"/>
          <w:szCs w:val="24"/>
        </w:rPr>
        <w:lastRenderedPageBreak/>
        <w:t>2</w:t>
      </w:r>
      <w:r w:rsidRPr="00D6057A">
        <w:rPr>
          <w:rFonts w:ascii="Calibri" w:hAnsi="Calibri" w:cs="Calibri"/>
          <w:b/>
          <w:bCs/>
          <w:sz w:val="24"/>
          <w:szCs w:val="24"/>
        </w:rPr>
        <w:t>.</w:t>
      </w:r>
      <w:r>
        <w:rPr>
          <w:rFonts w:ascii="Calibri" w:hAnsi="Calibri" w:cs="Calibri"/>
          <w:b/>
          <w:bCs/>
          <w:sz w:val="24"/>
          <w:szCs w:val="24"/>
        </w:rPr>
        <w:t>2</w:t>
      </w:r>
      <w:r w:rsidRPr="00D6057A">
        <w:rPr>
          <w:rFonts w:ascii="Calibri" w:hAnsi="Calibri" w:cs="Calibri"/>
          <w:b/>
          <w:bCs/>
          <w:sz w:val="24"/>
          <w:szCs w:val="24"/>
        </w:rPr>
        <w:t xml:space="preserve"> </w:t>
      </w:r>
      <w:r>
        <w:rPr>
          <w:rFonts w:ascii="Calibri" w:hAnsi="Calibri" w:cs="Calibri"/>
          <w:b/>
          <w:bCs/>
          <w:sz w:val="24"/>
          <w:szCs w:val="24"/>
        </w:rPr>
        <w:t>PRISMA Screening</w:t>
      </w:r>
    </w:p>
    <w:p w14:paraId="1348115B" w14:textId="578A6FE9" w:rsidR="00521F3A" w:rsidRDefault="00521F3A" w:rsidP="00521F3A">
      <w:pPr>
        <w:spacing w:after="40" w:line="240" w:lineRule="auto"/>
        <w:ind w:firstLine="851"/>
        <w:rPr>
          <w:rFonts w:ascii="Calibri" w:hAnsi="Calibri" w:cs="Calibri"/>
          <w:color w:val="000000" w:themeColor="text1"/>
        </w:rPr>
      </w:pPr>
      <w:r w:rsidRPr="00521F3A">
        <w:rPr>
          <w:rFonts w:ascii="Calibri" w:hAnsi="Calibri" w:cs="Calibri"/>
          <w:color w:val="000000" w:themeColor="text1"/>
        </w:rPr>
        <w:t>The keyword-based search resulted in a corpus of 1,103 papers which further went through PRISMA screening (Figure 1) to filter the most relevant studies.</w:t>
      </w:r>
    </w:p>
    <w:p w14:paraId="18C462F2" w14:textId="77777777" w:rsidR="00521F3A" w:rsidRPr="00D6057A" w:rsidRDefault="00521F3A" w:rsidP="00521F3A">
      <w:pPr>
        <w:spacing w:after="40" w:line="240" w:lineRule="auto"/>
        <w:ind w:firstLine="851"/>
        <w:rPr>
          <w:rFonts w:ascii="Calibri" w:hAnsi="Calibri" w:cs="Calibri"/>
        </w:rPr>
      </w:pPr>
    </w:p>
    <w:p w14:paraId="77183B1A" w14:textId="77777777" w:rsidR="002A1CDD" w:rsidRDefault="005F79B3" w:rsidP="002A1CDD">
      <w:pPr>
        <w:keepNext/>
        <w:spacing w:after="40" w:line="240" w:lineRule="auto"/>
        <w:jc w:val="center"/>
      </w:pPr>
      <w:r>
        <w:rPr>
          <w:rFonts w:ascii="Calibri" w:hAnsi="Calibri" w:cs="Calibri"/>
          <w:noProof/>
        </w:rPr>
        <w:drawing>
          <wp:inline distT="0" distB="0" distL="0" distR="0" wp14:anchorId="18F8768B" wp14:editId="322387ED">
            <wp:extent cx="3229138" cy="3433502"/>
            <wp:effectExtent l="0" t="0" r="9525" b="0"/>
            <wp:docPr id="39607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77941" name="Picture 1"/>
                    <pic:cNvPicPr>
                      <a:picLocks noChangeAspect="1" noChangeArrowheads="1"/>
                    </pic:cNvPicPr>
                  </pic:nvPicPr>
                  <pic:blipFill>
                    <a:blip r:embed="rId10">
                      <a:extLst>
                        <a:ext uri="{96DAC541-7B7A-43D3-8B79-37D633B846F1}">
                          <asvg:svgBlip xmlns:asvg="http://schemas.microsoft.com/office/drawing/2016/SVG/main" r:embed="rId11"/>
                        </a:ext>
                      </a:extLst>
                    </a:blip>
                    <a:stretch>
                      <a:fillRect/>
                    </a:stretch>
                  </pic:blipFill>
                  <pic:spPr bwMode="auto">
                    <a:xfrm>
                      <a:off x="0" y="0"/>
                      <a:ext cx="3229138" cy="3433502"/>
                    </a:xfrm>
                    <a:prstGeom prst="rect">
                      <a:avLst/>
                    </a:prstGeom>
                  </pic:spPr>
                </pic:pic>
              </a:graphicData>
            </a:graphic>
          </wp:inline>
        </w:drawing>
      </w:r>
    </w:p>
    <w:p w14:paraId="217E26A9" w14:textId="2BF7DFF9" w:rsidR="00C75C21" w:rsidRPr="00D6057A" w:rsidRDefault="002A1CDD" w:rsidP="002A1CDD">
      <w:pPr>
        <w:pStyle w:val="Caption"/>
        <w:jc w:val="center"/>
        <w:rPr>
          <w:rFonts w:ascii="Calibri" w:hAnsi="Calibri" w:cs="Calibri"/>
        </w:rPr>
      </w:pPr>
      <w:r>
        <w:t xml:space="preserve">Figure </w:t>
      </w:r>
      <w:r w:rsidR="002F7634">
        <w:fldChar w:fldCharType="begin"/>
      </w:r>
      <w:r w:rsidR="002F7634">
        <w:instrText xml:space="preserve"> SEQ Figure \* ARABIC </w:instrText>
      </w:r>
      <w:r w:rsidR="002F7634">
        <w:fldChar w:fldCharType="separate"/>
      </w:r>
      <w:r w:rsidR="002F7634">
        <w:rPr>
          <w:noProof/>
        </w:rPr>
        <w:t>1</w:t>
      </w:r>
      <w:r w:rsidR="002F7634">
        <w:rPr>
          <w:noProof/>
        </w:rPr>
        <w:fldChar w:fldCharType="end"/>
      </w:r>
      <w:r>
        <w:t xml:space="preserve">: </w:t>
      </w:r>
      <w:r w:rsidRPr="00E04E80">
        <w:t>PRISMA Methodology</w:t>
      </w:r>
    </w:p>
    <w:p w14:paraId="34135489" w14:textId="36F566B4" w:rsidR="006E677D" w:rsidRDefault="00F0449D" w:rsidP="00746C78">
      <w:pPr>
        <w:spacing w:after="40" w:line="240" w:lineRule="auto"/>
        <w:ind w:firstLine="851"/>
        <w:jc w:val="both"/>
        <w:rPr>
          <w:rFonts w:ascii="Calibri" w:hAnsi="Calibri" w:cs="Calibri"/>
          <w:color w:val="000000" w:themeColor="text1"/>
        </w:rPr>
      </w:pPr>
      <w:r w:rsidRPr="00890097">
        <w:rPr>
          <w:rFonts w:ascii="Calibri" w:hAnsi="Calibri" w:cs="Calibri"/>
          <w:color w:val="000000" w:themeColor="text1"/>
        </w:rPr>
        <w:t xml:space="preserve">The 1,103 identified records were progressively screened to retain </w:t>
      </w:r>
      <w:r>
        <w:rPr>
          <w:rFonts w:ascii="Calibri" w:hAnsi="Calibri" w:cs="Calibri"/>
          <w:color w:val="000000" w:themeColor="text1"/>
        </w:rPr>
        <w:t>studies focused on</w:t>
      </w:r>
      <w:r w:rsidRPr="00890097">
        <w:rPr>
          <w:rFonts w:ascii="Calibri" w:hAnsi="Calibri" w:cs="Calibri"/>
          <w:color w:val="000000" w:themeColor="text1"/>
        </w:rPr>
        <w:t xml:space="preserve"> construction productivity monitoring.</w:t>
      </w:r>
      <w:r>
        <w:rPr>
          <w:rFonts w:ascii="Calibri" w:hAnsi="Calibri" w:cs="Calibri"/>
          <w:color w:val="000000" w:themeColor="text1"/>
        </w:rPr>
        <w:t xml:space="preserve"> </w:t>
      </w:r>
      <w:r w:rsidRPr="00890097">
        <w:rPr>
          <w:rFonts w:ascii="Calibri" w:hAnsi="Calibri" w:cs="Calibri"/>
          <w:color w:val="000000" w:themeColor="text1"/>
        </w:rPr>
        <w:t>Title and abstract screening first reduced the pool to 448 papers. Subsequent full-text review excluded studies addressing other CV applications in construction</w:t>
      </w:r>
      <w:r>
        <w:rPr>
          <w:rFonts w:ascii="Calibri" w:hAnsi="Calibri" w:cs="Calibri"/>
          <w:color w:val="000000" w:themeColor="text1"/>
        </w:rPr>
        <w:t xml:space="preserve"> and thereby </w:t>
      </w:r>
      <w:r w:rsidRPr="00890097">
        <w:rPr>
          <w:rFonts w:ascii="Calibri" w:hAnsi="Calibri" w:cs="Calibri"/>
          <w:color w:val="000000" w:themeColor="text1"/>
        </w:rPr>
        <w:t>yielded a final corpus of 30 studies, which formed the basis for the subsequent analyses.</w:t>
      </w:r>
      <w:r w:rsidR="002D1E5A">
        <w:rPr>
          <w:rFonts w:ascii="Calibri" w:hAnsi="Calibri" w:cs="Calibri"/>
          <w:color w:val="000000" w:themeColor="text1"/>
        </w:rPr>
        <w:t xml:space="preserve"> </w:t>
      </w:r>
      <w:r w:rsidR="009F7F64" w:rsidRPr="009F7F64">
        <w:rPr>
          <w:rFonts w:ascii="Calibri" w:hAnsi="Calibri" w:cs="Calibri"/>
          <w:color w:val="000000" w:themeColor="text1"/>
        </w:rPr>
        <w:t xml:space="preserve">The final corpus of 30 studies is available at </w:t>
      </w:r>
      <w:hyperlink r:id="rId12" w:history="1">
        <w:r w:rsidR="006849FD" w:rsidRPr="00C01DD0">
          <w:rPr>
            <w:rStyle w:val="Hyperlink"/>
            <w:rFonts w:ascii="Calibri" w:hAnsi="Calibri" w:cs="Calibri"/>
          </w:rPr>
          <w:t>https://doi.org/10.5281/zenodo.22695022</w:t>
        </w:r>
      </w:hyperlink>
      <w:r w:rsidR="006849FD">
        <w:rPr>
          <w:rFonts w:ascii="Calibri" w:hAnsi="Calibri" w:cs="Calibri"/>
          <w:color w:val="000000" w:themeColor="text1"/>
        </w:rPr>
        <w:t>.</w:t>
      </w:r>
      <w:r w:rsidR="00932505">
        <w:rPr>
          <w:rFonts w:ascii="Calibri" w:hAnsi="Calibri" w:cs="Calibri"/>
          <w:color w:val="000000" w:themeColor="text1"/>
        </w:rPr>
        <w:t xml:space="preserve"> </w:t>
      </w:r>
    </w:p>
    <w:p w14:paraId="1EDE9EA7" w14:textId="77777777" w:rsidR="00746C78" w:rsidRDefault="00746C78" w:rsidP="00746C78">
      <w:pPr>
        <w:spacing w:after="40" w:line="240" w:lineRule="auto"/>
        <w:ind w:firstLine="851"/>
        <w:jc w:val="both"/>
        <w:rPr>
          <w:rFonts w:ascii="Calibri" w:hAnsi="Calibri" w:cs="Calibri"/>
          <w:color w:val="000000" w:themeColor="text1"/>
        </w:rPr>
      </w:pPr>
    </w:p>
    <w:p w14:paraId="744411DB" w14:textId="5F7F0B4A" w:rsidR="001F5512" w:rsidRPr="00382A36" w:rsidRDefault="001F5512" w:rsidP="001F5512">
      <w:pPr>
        <w:pStyle w:val="ListParagraph"/>
        <w:numPr>
          <w:ilvl w:val="0"/>
          <w:numId w:val="1"/>
        </w:numPr>
        <w:spacing w:after="40" w:line="240" w:lineRule="auto"/>
        <w:rPr>
          <w:rFonts w:ascii="Calibri" w:hAnsi="Calibri" w:cs="Calibri"/>
          <w:b/>
          <w:bCs/>
          <w:sz w:val="28"/>
          <w:szCs w:val="28"/>
        </w:rPr>
      </w:pPr>
      <w:r w:rsidRPr="001F5512">
        <w:rPr>
          <w:rFonts w:ascii="Calibri" w:hAnsi="Calibri" w:cs="Calibri"/>
          <w:b/>
          <w:bCs/>
          <w:sz w:val="28"/>
          <w:szCs w:val="28"/>
        </w:rPr>
        <w:t>DESCRIPTIVE ANALYSIS OF LITERATURE</w:t>
      </w:r>
    </w:p>
    <w:p w14:paraId="66B9143B" w14:textId="7991F09F" w:rsidR="002F7634" w:rsidRDefault="00907B6D" w:rsidP="002F7634">
      <w:pPr>
        <w:pStyle w:val="ListParagraph"/>
        <w:spacing w:after="40" w:line="240" w:lineRule="auto"/>
        <w:ind w:left="0"/>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sidR="00CE431B">
        <w:rPr>
          <w:rFonts w:ascii="Calibri" w:hAnsi="Calibri" w:cs="Calibri"/>
          <w:b/>
          <w:bCs/>
          <w:sz w:val="24"/>
          <w:szCs w:val="24"/>
        </w:rPr>
        <w:t>1</w:t>
      </w:r>
      <w:r>
        <w:rPr>
          <w:rFonts w:ascii="Calibri" w:hAnsi="Calibri" w:cs="Calibri"/>
          <w:b/>
          <w:bCs/>
          <w:sz w:val="24"/>
          <w:szCs w:val="24"/>
        </w:rPr>
        <w:t xml:space="preserve"> Publication Trends</w:t>
      </w:r>
    </w:p>
    <w:p w14:paraId="40CCAB7F" w14:textId="77777777" w:rsidR="00746C78" w:rsidRDefault="00746C78" w:rsidP="002F7634">
      <w:pPr>
        <w:pStyle w:val="ListParagraph"/>
        <w:spacing w:after="40" w:line="240" w:lineRule="auto"/>
        <w:ind w:left="0"/>
        <w:rPr>
          <w:rFonts w:ascii="Calibri" w:hAnsi="Calibri" w:cs="Calibri"/>
          <w:b/>
          <w:bCs/>
          <w:sz w:val="24"/>
          <w:szCs w:val="24"/>
        </w:rPr>
      </w:pPr>
    </w:p>
    <w:p w14:paraId="1EBFCB67" w14:textId="77777777" w:rsidR="002F7634" w:rsidRDefault="002F7634" w:rsidP="002F7634">
      <w:pPr>
        <w:pStyle w:val="ListParagraph"/>
        <w:keepNext/>
        <w:spacing w:after="40" w:line="240" w:lineRule="auto"/>
        <w:ind w:left="0"/>
        <w:jc w:val="center"/>
      </w:pPr>
      <w:r>
        <w:rPr>
          <w:noProof/>
        </w:rPr>
        <w:drawing>
          <wp:inline distT="0" distB="0" distL="0" distR="0" wp14:anchorId="5E3155E3" wp14:editId="2333B9B0">
            <wp:extent cx="3302000" cy="1816100"/>
            <wp:effectExtent l="0" t="0" r="12700" b="12700"/>
            <wp:docPr id="2127605442" name="Chart 1">
              <a:extLst xmlns:a="http://schemas.openxmlformats.org/drawingml/2006/main">
                <a:ext uri="{FF2B5EF4-FFF2-40B4-BE49-F238E27FC236}">
                  <a16:creationId xmlns:a16="http://schemas.microsoft.com/office/drawing/2014/main" id="{A86937BA-064D-947B-C32C-06F30BAEA6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0BC3C04" w14:textId="40571FF9" w:rsidR="0051597E" w:rsidRDefault="002F7634" w:rsidP="0051597E">
      <w:pPr>
        <w:pStyle w:val="Caption"/>
        <w:jc w:val="center"/>
      </w:pPr>
      <w:r>
        <w:t xml:space="preserve">Figure </w:t>
      </w:r>
      <w:r>
        <w:fldChar w:fldCharType="begin"/>
      </w:r>
      <w:r>
        <w:instrText xml:space="preserve"> SEQ Figure \* ARABIC </w:instrText>
      </w:r>
      <w:r>
        <w:fldChar w:fldCharType="separate"/>
      </w:r>
      <w:r>
        <w:rPr>
          <w:noProof/>
        </w:rPr>
        <w:t>2</w:t>
      </w:r>
      <w:r>
        <w:rPr>
          <w:noProof/>
        </w:rPr>
        <w:fldChar w:fldCharType="end"/>
      </w:r>
      <w:r>
        <w:t xml:space="preserve">: </w:t>
      </w:r>
      <w:r w:rsidRPr="00FE3FD4">
        <w:t>Year-wise Publication Growth (2013-Mar 2026)</w:t>
      </w:r>
    </w:p>
    <w:p w14:paraId="590DB144" w14:textId="78547408" w:rsidR="00DE19BF" w:rsidRPr="00DE19BF" w:rsidRDefault="00DE19BF" w:rsidP="00DE19BF">
      <w:pPr>
        <w:spacing w:after="40" w:line="240" w:lineRule="auto"/>
        <w:ind w:firstLine="851"/>
        <w:jc w:val="both"/>
        <w:rPr>
          <w:rFonts w:ascii="Calibri" w:hAnsi="Calibri" w:cs="Calibri"/>
          <w:color w:val="000000" w:themeColor="text1"/>
        </w:rPr>
      </w:pPr>
      <w:r>
        <w:rPr>
          <w:rFonts w:ascii="Calibri" w:hAnsi="Calibri" w:cs="Calibri"/>
          <w:color w:val="000000" w:themeColor="text1"/>
        </w:rPr>
        <w:lastRenderedPageBreak/>
        <w:t>Fi</w:t>
      </w:r>
      <w:r w:rsidRPr="00C9758E">
        <w:rPr>
          <w:rFonts w:ascii="Calibri" w:hAnsi="Calibri" w:cs="Calibri"/>
          <w:color w:val="000000" w:themeColor="text1"/>
        </w:rPr>
        <w:t xml:space="preserve">gure 2 illustrates the annual publication trend in CV-based construction productivity monitoring from 2013 to </w:t>
      </w:r>
      <w:r>
        <w:rPr>
          <w:rFonts w:ascii="Calibri" w:hAnsi="Calibri" w:cs="Calibri"/>
          <w:color w:val="000000" w:themeColor="text1"/>
        </w:rPr>
        <w:t xml:space="preserve">March </w:t>
      </w:r>
      <w:r w:rsidRPr="00C9758E">
        <w:rPr>
          <w:rFonts w:ascii="Calibri" w:hAnsi="Calibri" w:cs="Calibri"/>
          <w:color w:val="000000" w:themeColor="text1"/>
        </w:rPr>
        <w:t>2026. Publication activity remained limited during the early years but increased steadily after 20</w:t>
      </w:r>
      <w:r>
        <w:rPr>
          <w:rFonts w:ascii="Calibri" w:hAnsi="Calibri" w:cs="Calibri"/>
          <w:color w:val="000000" w:themeColor="text1"/>
        </w:rPr>
        <w:t>19</w:t>
      </w:r>
      <w:r w:rsidRPr="00C9758E">
        <w:rPr>
          <w:rFonts w:ascii="Calibri" w:hAnsi="Calibri" w:cs="Calibri"/>
          <w:color w:val="000000" w:themeColor="text1"/>
        </w:rPr>
        <w:t xml:space="preserve">, coinciding with </w:t>
      </w:r>
      <w:r>
        <w:rPr>
          <w:rFonts w:ascii="Calibri" w:hAnsi="Calibri" w:cs="Calibri"/>
          <w:color w:val="000000" w:themeColor="text1"/>
        </w:rPr>
        <w:t xml:space="preserve">the </w:t>
      </w:r>
      <w:r w:rsidRPr="00C9758E">
        <w:rPr>
          <w:rFonts w:ascii="Calibri" w:hAnsi="Calibri" w:cs="Calibri"/>
          <w:color w:val="000000" w:themeColor="text1"/>
        </w:rPr>
        <w:t>wider adoption of deep learning techniques in computer vision.</w:t>
      </w:r>
      <w:r>
        <w:rPr>
          <w:rFonts w:ascii="Calibri" w:hAnsi="Calibri" w:cs="Calibri"/>
          <w:color w:val="000000" w:themeColor="text1"/>
        </w:rPr>
        <w:t xml:space="preserve"> </w:t>
      </w:r>
      <w:r w:rsidRPr="00C9758E">
        <w:rPr>
          <w:rFonts w:ascii="Calibri" w:hAnsi="Calibri" w:cs="Calibri"/>
          <w:color w:val="000000" w:themeColor="text1"/>
        </w:rPr>
        <w:t>The growth peaked in 2025, which contributed 10 of the 30 reviewed studies (33%)</w:t>
      </w:r>
      <w:r>
        <w:rPr>
          <w:rFonts w:ascii="Calibri" w:hAnsi="Calibri" w:cs="Calibri"/>
          <w:color w:val="000000" w:themeColor="text1"/>
        </w:rPr>
        <w:t xml:space="preserve">. </w:t>
      </w:r>
      <w:r w:rsidRPr="007B0168">
        <w:rPr>
          <w:rFonts w:ascii="Calibri" w:hAnsi="Calibri" w:cs="Calibri"/>
          <w:color w:val="000000" w:themeColor="text1"/>
        </w:rPr>
        <w:t>The overall trend line</w:t>
      </w:r>
      <w:r>
        <w:rPr>
          <w:rFonts w:ascii="Calibri" w:hAnsi="Calibri" w:cs="Calibri"/>
          <w:color w:val="000000" w:themeColor="text1"/>
        </w:rPr>
        <w:t xml:space="preserve"> indicates</w:t>
      </w:r>
      <w:r w:rsidRPr="007B0168">
        <w:rPr>
          <w:rFonts w:ascii="Calibri" w:hAnsi="Calibri" w:cs="Calibri"/>
          <w:color w:val="000000" w:themeColor="text1"/>
        </w:rPr>
        <w:t xml:space="preserve"> a sustained upward trajectory, suggesting that CV-based productivity monitoring is transitioning from an exploratory to an actively pursued research area</w:t>
      </w:r>
      <w:r>
        <w:rPr>
          <w:rFonts w:ascii="Calibri" w:hAnsi="Calibri" w:cs="Calibri"/>
          <w:color w:val="000000" w:themeColor="text1"/>
        </w:rPr>
        <w:t>.</w:t>
      </w:r>
    </w:p>
    <w:p w14:paraId="65B83A6B" w14:textId="67A6057E" w:rsidR="002A1CDD" w:rsidRPr="002A1CDD" w:rsidRDefault="00822913" w:rsidP="002A1CDD">
      <w:pPr>
        <w:pStyle w:val="ListParagraph"/>
        <w:spacing w:after="40" w:line="240" w:lineRule="auto"/>
        <w:ind w:left="0"/>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Pr>
          <w:rFonts w:ascii="Calibri" w:hAnsi="Calibri" w:cs="Calibri"/>
          <w:b/>
          <w:bCs/>
          <w:sz w:val="24"/>
          <w:szCs w:val="24"/>
        </w:rPr>
        <w:t xml:space="preserve">2 </w:t>
      </w:r>
      <w:r w:rsidRPr="00822913">
        <w:rPr>
          <w:rFonts w:ascii="Calibri" w:hAnsi="Calibri" w:cs="Calibri"/>
          <w:b/>
          <w:bCs/>
          <w:sz w:val="24"/>
          <w:szCs w:val="24"/>
        </w:rPr>
        <w:t>Keyword Co-occurrence</w:t>
      </w:r>
      <w:r>
        <w:rPr>
          <w:rFonts w:ascii="Calibri" w:hAnsi="Calibri" w:cs="Calibri"/>
          <w:b/>
          <w:bCs/>
          <w:sz w:val="24"/>
          <w:szCs w:val="24"/>
        </w:rPr>
        <w:t xml:space="preserve"> Mapping</w:t>
      </w:r>
    </w:p>
    <w:p w14:paraId="08A8563C" w14:textId="77777777" w:rsidR="00B93526" w:rsidRPr="00D6057A" w:rsidRDefault="00B93526" w:rsidP="00B93526">
      <w:pPr>
        <w:spacing w:after="40" w:line="240" w:lineRule="auto"/>
        <w:jc w:val="center"/>
        <w:rPr>
          <w:rFonts w:ascii="Calibri" w:hAnsi="Calibri" w:cs="Calibri"/>
        </w:rPr>
      </w:pPr>
      <w:r>
        <w:rPr>
          <w:rFonts w:ascii="Calibri" w:hAnsi="Calibri" w:cs="Calibri"/>
          <w:noProof/>
        </w:rPr>
        <w:drawing>
          <wp:inline distT="0" distB="0" distL="0" distR="0" wp14:anchorId="687ABB81" wp14:editId="5792E089">
            <wp:extent cx="4025900" cy="2466621"/>
            <wp:effectExtent l="19050" t="19050" r="12700" b="10160"/>
            <wp:docPr id="108588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80053"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042614" cy="2476861"/>
                    </a:xfrm>
                    <a:prstGeom prst="rect">
                      <a:avLst/>
                    </a:prstGeom>
                    <a:noFill/>
                    <a:ln>
                      <a:solidFill>
                        <a:schemeClr val="tx1"/>
                      </a:solidFill>
                    </a:ln>
                  </pic:spPr>
                </pic:pic>
              </a:graphicData>
            </a:graphic>
          </wp:inline>
        </w:drawing>
      </w:r>
    </w:p>
    <w:p w14:paraId="2ED8EB3C" w14:textId="2F1998BF" w:rsidR="00C531BD" w:rsidRPr="002A1CDD" w:rsidRDefault="00B93526" w:rsidP="002A1CDD">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Pr>
          <w:rFonts w:ascii="Calibri" w:hAnsi="Calibri" w:cs="Calibri"/>
          <w:i/>
          <w:iCs/>
          <w:sz w:val="20"/>
          <w:szCs w:val="20"/>
        </w:rPr>
        <w:t>3</w:t>
      </w:r>
      <w:r w:rsidRPr="00D6057A">
        <w:rPr>
          <w:rFonts w:ascii="Calibri" w:hAnsi="Calibri" w:cs="Calibri"/>
          <w:i/>
          <w:iCs/>
          <w:sz w:val="20"/>
          <w:szCs w:val="20"/>
        </w:rPr>
        <w:t xml:space="preserve">: </w:t>
      </w:r>
      <w:r>
        <w:rPr>
          <w:rFonts w:ascii="Calibri" w:hAnsi="Calibri" w:cs="Calibri"/>
          <w:i/>
          <w:iCs/>
          <w:sz w:val="20"/>
          <w:szCs w:val="20"/>
        </w:rPr>
        <w:t>Keyword Co-Occurrence Map</w:t>
      </w:r>
    </w:p>
    <w:p w14:paraId="58188594" w14:textId="7FF18CE4" w:rsidR="00E15690" w:rsidRDefault="00E3679A" w:rsidP="006E77D5">
      <w:pPr>
        <w:spacing w:after="40" w:line="240" w:lineRule="auto"/>
        <w:ind w:firstLine="851"/>
        <w:jc w:val="both"/>
        <w:rPr>
          <w:rFonts w:ascii="Calibri" w:hAnsi="Calibri" w:cs="Calibri"/>
          <w:color w:val="000000" w:themeColor="text1"/>
        </w:rPr>
      </w:pPr>
      <w:r w:rsidRPr="00E3679A">
        <w:rPr>
          <w:rFonts w:ascii="Calibri" w:hAnsi="Calibri" w:cs="Calibri"/>
          <w:color w:val="000000" w:themeColor="text1"/>
        </w:rPr>
        <w:t xml:space="preserve">Keyword co-occurrence analysis was performed in </w:t>
      </w:r>
      <w:proofErr w:type="spellStart"/>
      <w:r w:rsidRPr="00E3679A">
        <w:rPr>
          <w:rFonts w:ascii="Calibri" w:hAnsi="Calibri" w:cs="Calibri"/>
          <w:color w:val="000000" w:themeColor="text1"/>
        </w:rPr>
        <w:t>VOSviewer</w:t>
      </w:r>
      <w:proofErr w:type="spellEnd"/>
      <w:r w:rsidRPr="00E3679A">
        <w:rPr>
          <w:rFonts w:ascii="Calibri" w:hAnsi="Calibri" w:cs="Calibri"/>
          <w:color w:val="000000" w:themeColor="text1"/>
        </w:rPr>
        <w:t xml:space="preserve"> on the 448 papers retained after title and abstract screening</w:t>
      </w:r>
      <w:r>
        <w:rPr>
          <w:rFonts w:ascii="Calibri" w:hAnsi="Calibri" w:cs="Calibri"/>
          <w:color w:val="000000" w:themeColor="text1"/>
        </w:rPr>
        <w:t xml:space="preserve"> to understand the dominance of different fields</w:t>
      </w:r>
      <w:r w:rsidRPr="00E3679A">
        <w:rPr>
          <w:rFonts w:ascii="Calibri" w:hAnsi="Calibri" w:cs="Calibri"/>
          <w:color w:val="000000" w:themeColor="text1"/>
        </w:rPr>
        <w:t xml:space="preserve">, with generic </w:t>
      </w:r>
      <w:r>
        <w:rPr>
          <w:rFonts w:ascii="Calibri" w:hAnsi="Calibri" w:cs="Calibri"/>
          <w:color w:val="000000" w:themeColor="text1"/>
        </w:rPr>
        <w:t>techniques</w:t>
      </w:r>
      <w:r w:rsidRPr="00E3679A">
        <w:rPr>
          <w:rFonts w:ascii="Calibri" w:hAnsi="Calibri" w:cs="Calibri"/>
          <w:color w:val="000000" w:themeColor="text1"/>
        </w:rPr>
        <w:t xml:space="preserve"> and domain terms filtered out</w:t>
      </w:r>
      <w:r>
        <w:rPr>
          <w:rFonts w:ascii="Calibri" w:hAnsi="Calibri" w:cs="Calibri"/>
          <w:color w:val="000000" w:themeColor="text1"/>
        </w:rPr>
        <w:t xml:space="preserve">. </w:t>
      </w:r>
      <w:r w:rsidR="00E15690" w:rsidRPr="00E15690">
        <w:rPr>
          <w:rFonts w:ascii="Calibri" w:hAnsi="Calibri" w:cs="Calibri"/>
          <w:color w:val="000000" w:themeColor="text1"/>
        </w:rPr>
        <w:t xml:space="preserve">Reading the map along two axes </w:t>
      </w:r>
      <w:proofErr w:type="gramStart"/>
      <w:r w:rsidR="00CD400F">
        <w:rPr>
          <w:rFonts w:ascii="Calibri" w:hAnsi="Calibri" w:cs="Calibri"/>
          <w:color w:val="000000" w:themeColor="text1"/>
        </w:rPr>
        <w:t>reveals</w:t>
      </w:r>
      <w:proofErr w:type="gramEnd"/>
      <w:r w:rsidR="00E15690" w:rsidRPr="00E15690">
        <w:rPr>
          <w:rFonts w:ascii="Calibri" w:hAnsi="Calibri" w:cs="Calibri"/>
          <w:color w:val="000000" w:themeColor="text1"/>
        </w:rPr>
        <w:t xml:space="preserve"> a consistent pattern.</w:t>
      </w:r>
    </w:p>
    <w:p w14:paraId="7F00B7C3" w14:textId="77777777" w:rsidR="00E15690" w:rsidRDefault="00E15690" w:rsidP="00E15690">
      <w:pPr>
        <w:pStyle w:val="ListParagraph"/>
        <w:numPr>
          <w:ilvl w:val="0"/>
          <w:numId w:val="19"/>
        </w:numPr>
        <w:spacing w:after="40" w:line="240" w:lineRule="auto"/>
        <w:jc w:val="both"/>
        <w:rPr>
          <w:rFonts w:ascii="Calibri" w:hAnsi="Calibri" w:cs="Calibri"/>
          <w:color w:val="000000" w:themeColor="text1"/>
        </w:rPr>
      </w:pPr>
      <w:r w:rsidRPr="00E3679A">
        <w:rPr>
          <w:rFonts w:ascii="Calibri" w:hAnsi="Calibri" w:cs="Calibri"/>
          <w:color w:val="000000" w:themeColor="text1"/>
        </w:rPr>
        <w:t>At the technique level, the field is strongly perception-oriented.</w:t>
      </w:r>
      <w:r>
        <w:rPr>
          <w:rFonts w:ascii="Calibri" w:hAnsi="Calibri" w:cs="Calibri"/>
          <w:color w:val="000000" w:themeColor="text1"/>
        </w:rPr>
        <w:t xml:space="preserve"> </w:t>
      </w:r>
      <w:r w:rsidRPr="00E3679A">
        <w:rPr>
          <w:rFonts w:ascii="Calibri" w:hAnsi="Calibri" w:cs="Calibri"/>
          <w:color w:val="000000" w:themeColor="text1"/>
        </w:rPr>
        <w:t>Object detection, realised through YOLO and convolutional neural network variants, together with feature tracking and action recognition, forms the largest and most densely connected cluster, reflecting a concentration on visual perception tasks.</w:t>
      </w:r>
    </w:p>
    <w:p w14:paraId="57537FC2" w14:textId="79BC2EDF" w:rsidR="00E15690" w:rsidRPr="00E15690" w:rsidRDefault="00F63E37" w:rsidP="00E15690">
      <w:pPr>
        <w:pStyle w:val="ListParagraph"/>
        <w:numPr>
          <w:ilvl w:val="0"/>
          <w:numId w:val="19"/>
        </w:numPr>
        <w:spacing w:after="40" w:line="240" w:lineRule="auto"/>
        <w:jc w:val="both"/>
        <w:rPr>
          <w:rFonts w:ascii="Calibri" w:hAnsi="Calibri" w:cs="Calibri"/>
          <w:color w:val="000000" w:themeColor="text1"/>
        </w:rPr>
      </w:pPr>
      <w:r w:rsidRPr="00F63E37">
        <w:rPr>
          <w:rFonts w:ascii="Calibri" w:hAnsi="Calibri" w:cs="Calibri"/>
          <w:color w:val="000000" w:themeColor="text1"/>
        </w:rPr>
        <w:t>At the application level, safety monitoring dominates. Construction safety, personal protective equipment and helmet detection form a substantial cluster, while productivity occupies a smaller and more peripheral position.</w:t>
      </w:r>
    </w:p>
    <w:p w14:paraId="72C06799" w14:textId="625D7DE2" w:rsidR="005A457C" w:rsidRDefault="005766E8" w:rsidP="002B1A5D">
      <w:pPr>
        <w:spacing w:after="40" w:line="240" w:lineRule="auto"/>
        <w:jc w:val="both"/>
        <w:rPr>
          <w:rFonts w:ascii="Calibri" w:hAnsi="Calibri" w:cs="Calibri"/>
          <w:color w:val="000000" w:themeColor="text1"/>
        </w:rPr>
      </w:pPr>
      <w:r w:rsidRPr="005766E8">
        <w:rPr>
          <w:rFonts w:ascii="Calibri" w:hAnsi="Calibri" w:cs="Calibri"/>
          <w:color w:val="000000" w:themeColor="text1"/>
        </w:rPr>
        <w:t>The topology</w:t>
      </w:r>
      <w:r w:rsidR="00707AD3">
        <w:rPr>
          <w:rFonts w:ascii="Calibri" w:hAnsi="Calibri" w:cs="Calibri"/>
          <w:color w:val="000000" w:themeColor="text1"/>
        </w:rPr>
        <w:t>, therefore,</w:t>
      </w:r>
      <w:r w:rsidRPr="005766E8">
        <w:rPr>
          <w:rFonts w:ascii="Calibri" w:hAnsi="Calibri" w:cs="Calibri"/>
          <w:color w:val="000000" w:themeColor="text1"/>
        </w:rPr>
        <w:t xml:space="preserve"> shows a field concentrated on perceiving and interpreting construction activities, with little vocabulary for explaining or acting on what is observed. This motivates a structured examination of how visual observation translates into deeper operational understanding.</w:t>
      </w:r>
    </w:p>
    <w:p w14:paraId="324B8F35" w14:textId="42EED0C8" w:rsidR="002F7634" w:rsidRPr="002F7634" w:rsidRDefault="00E32EA4" w:rsidP="002F7634">
      <w:pPr>
        <w:pStyle w:val="ListParagraph"/>
        <w:numPr>
          <w:ilvl w:val="1"/>
          <w:numId w:val="22"/>
        </w:numPr>
        <w:spacing w:after="40" w:line="240" w:lineRule="auto"/>
        <w:rPr>
          <w:rFonts w:ascii="Calibri" w:hAnsi="Calibri" w:cs="Calibri"/>
          <w:b/>
          <w:bCs/>
          <w:sz w:val="24"/>
          <w:szCs w:val="24"/>
        </w:rPr>
      </w:pPr>
      <w:r w:rsidRPr="00CE431B">
        <w:rPr>
          <w:rFonts w:ascii="Calibri" w:hAnsi="Calibri" w:cs="Calibri"/>
          <w:b/>
          <w:bCs/>
          <w:sz w:val="24"/>
          <w:szCs w:val="24"/>
        </w:rPr>
        <w:t>Technological Evolution</w:t>
      </w:r>
    </w:p>
    <w:p w14:paraId="55D44ACF" w14:textId="1B2D183F" w:rsidR="002F7634" w:rsidRPr="002F7634" w:rsidRDefault="002F7634" w:rsidP="002B1A5D">
      <w:pPr>
        <w:spacing w:after="40" w:line="240" w:lineRule="auto"/>
        <w:ind w:firstLine="851"/>
        <w:jc w:val="both"/>
        <w:rPr>
          <w:rFonts w:ascii="Calibri" w:hAnsi="Calibri" w:cs="Calibri"/>
          <w:lang w:val="en-IN"/>
        </w:rPr>
      </w:pPr>
      <w:r w:rsidRPr="00E51652">
        <w:rPr>
          <w:rFonts w:ascii="Calibri" w:hAnsi="Calibri" w:cs="Calibri"/>
          <w:lang w:val="en-IN"/>
        </w:rPr>
        <w:t xml:space="preserve">Early productivity monitoring systems relied on handcrafted features and rule-based classification, detecting entities in controlled conditions but too brittle to generalise across sites </w:t>
      </w:r>
      <w:r w:rsidRPr="00E51652">
        <w:rPr>
          <w:rFonts w:ascii="Calibri" w:hAnsi="Calibri" w:cs="Calibri"/>
        </w:rPr>
        <w:fldChar w:fldCharType="begin"/>
      </w:r>
      <w:r w:rsidRPr="00E51652">
        <w:rPr>
          <w:rFonts w:ascii="Calibri" w:hAnsi="Calibri" w:cs="Calibri"/>
        </w:rPr>
        <w:instrText xml:space="preserve"> ADDIN ZOTERO_ITEM CSL_CITATION {"citationID":"EKDIfEc0","properties":{"unsorted":false,"formattedCitation":"(Gong and Caldas, 2011)","plainCitation":"(Gong and Caldas, 2011)","noteIndex":0},"citationItems":[{"id":90,"uris":["http://zotero.org/users/20312420/items/NVKJKSNF"],"itemData":{"id":90,"type":"article-journal","abstract":"Measuring the process of construction operations for productivity improvement remains a difficult task for most construction companies due to the manual effort required in most activity measurement methods. This paper proposed and described the elements, processes, and algorithms that comprise a computational and intelligent construction video interpretation method. A number of vision-based construction object recognition and tracking methods were evaluated to provide guidance for algorithm selection. A prototype system was developed to integrate the proposed video analysis processes and selected computer vision algorithms. Videos of construction operations were analyzed to validate the proposed method. Comparing to the traditional manual construction video analysis method, the proposed method provided a semi-automated video interpretation method. The new method enabled the interpretation of these videos into productivity information, such as working processes, cycle times, and delays, with an accuracy that was comparable to manual analysis, without the limitations of on-site human observation.","container-title":"Automation in Construction","DOI":"10.1016/j.autcon.2011.05.005","ISSN":"0926-5805","issue":"8","journalAbbreviation":"Automation in Construction","page":"1211-1226","source":"ScienceDirect","title":"An object recognition, tracking, and contextual reasoning-based video interpretation method for rapid productivity analysis of construction operations","volume":"20","author":[{"family":"Gong","given":"Jie"},{"family":"Caldas","given":"Carlos H."}],"issued":{"date-parts":[["2011",12,1]]}}}],"schema":"https://github.com/citation-style-language/schema/raw/master/csl-citation.json"} </w:instrText>
      </w:r>
      <w:r w:rsidRPr="00E51652">
        <w:rPr>
          <w:rFonts w:ascii="Calibri" w:hAnsi="Calibri" w:cs="Calibri"/>
        </w:rPr>
        <w:fldChar w:fldCharType="separate"/>
      </w:r>
      <w:r w:rsidRPr="00E51652">
        <w:rPr>
          <w:rFonts w:ascii="Calibri" w:hAnsi="Calibri" w:cs="Calibri"/>
        </w:rPr>
        <w:t>(Gong and Caldas, 2011)</w:t>
      </w:r>
      <w:r w:rsidRPr="00E51652">
        <w:rPr>
          <w:rFonts w:ascii="Calibri" w:hAnsi="Calibri" w:cs="Calibri"/>
        </w:rPr>
        <w:fldChar w:fldCharType="end"/>
      </w:r>
      <w:r w:rsidRPr="00E51652">
        <w:rPr>
          <w:rFonts w:ascii="Calibri" w:hAnsi="Calibri" w:cs="Calibri"/>
        </w:rPr>
        <w:t xml:space="preserve">. </w:t>
      </w:r>
      <w:r w:rsidRPr="00E51652">
        <w:rPr>
          <w:rFonts w:ascii="Calibri" w:hAnsi="Calibri" w:cs="Calibri"/>
          <w:lang w:val="en-IN"/>
        </w:rPr>
        <w:t xml:space="preserve">The advent of deep learning resolved this generalisation problem: single-stage YOLO detectors became dominant for real-time monitoring </w:t>
      </w:r>
      <w:r w:rsidRPr="00E51652">
        <w:rPr>
          <w:rFonts w:ascii="Calibri" w:hAnsi="Calibri" w:cs="Calibri"/>
          <w:lang w:val="en-IN"/>
        </w:rPr>
        <w:fldChar w:fldCharType="begin"/>
      </w:r>
      <w:r w:rsidR="00D6634E">
        <w:rPr>
          <w:rFonts w:ascii="Calibri" w:hAnsi="Calibri" w:cs="Calibri"/>
          <w:lang w:val="en-IN"/>
        </w:rPr>
        <w:instrText xml:space="preserve"> ADDIN ZOTERO_ITEM CSL_CITATION {"citationID":"kUNpCZoS","properties":{"unsorted":false,"formattedCitation":"(Toledo, Lorca and Mora, 2025)","plainCitation":"(Toledo, Lorca and Mora, 2025)","noteIndex":0},"citationItems":[{"id":11,"uris":["http://zotero.org/users/20312420/items/ZVJMLF5H"],"itemData":{"id":11,"type":"paper-conference","container-title":"IGLC 33","ISSN":"2789-0015","page":"810-821","source":"www.iglc.net","title":"Use of Computer Vision and Object Detection to Measure Construction Productivity Using Crew Balance Charts","URL":"https://www.iglc.net/Papers/Details/2360","author":[{"family":"Toledo","given":"Mauricio J."},{"family":"Lorca","given":"Macarena"},{"family":"Mora","given":"Miguel"}],"issued":{"date-parts":[["2025"]]}}}],"schema":"https://github.com/citation-style-language/schema/raw/master/csl-citation.json"} </w:instrText>
      </w:r>
      <w:r w:rsidRPr="00E51652">
        <w:rPr>
          <w:rFonts w:ascii="Calibri" w:hAnsi="Calibri" w:cs="Calibri"/>
          <w:lang w:val="en-IN"/>
        </w:rPr>
        <w:fldChar w:fldCharType="separate"/>
      </w:r>
      <w:r w:rsidRPr="00E51652">
        <w:rPr>
          <w:rFonts w:ascii="Calibri" w:hAnsi="Calibri" w:cs="Calibri"/>
          <w:lang w:val="en-IN"/>
        </w:rPr>
        <w:t>(Toledo, Lorca and Mora, 2025)</w:t>
      </w:r>
      <w:r w:rsidRPr="00E51652">
        <w:rPr>
          <w:rFonts w:ascii="Calibri" w:hAnsi="Calibri" w:cs="Calibri"/>
          <w:lang w:val="en-IN"/>
        </w:rPr>
        <w:fldChar w:fldCharType="end"/>
      </w:r>
      <w:r w:rsidRPr="00E51652">
        <w:rPr>
          <w:rFonts w:ascii="Calibri" w:hAnsi="Calibri" w:cs="Calibri"/>
          <w:lang w:val="en-IN"/>
        </w:rPr>
        <w:t xml:space="preserve"> while two-stage architectures offered higher accuracy, where pixel-level segmentation was required </w:t>
      </w:r>
      <w:r w:rsidRPr="00E51652">
        <w:rPr>
          <w:rFonts w:ascii="Calibri" w:hAnsi="Calibri" w:cs="Calibri"/>
          <w:lang w:val="en-IN"/>
        </w:rPr>
        <w:fldChar w:fldCharType="begin"/>
      </w:r>
      <w:r w:rsidRPr="00E51652">
        <w:rPr>
          <w:rFonts w:ascii="Calibri" w:hAnsi="Calibri" w:cs="Calibri"/>
          <w:lang w:val="en-IN"/>
        </w:rPr>
        <w:instrText xml:space="preserve"> ADDIN ZOTERO_ITEM CSL_CITATION {"citationID":"MWLo1fZ2","properties":{"unsorted":false,"formattedCitation":"(Panahi {\\i{}et al.}, 2023)","plainCitation":"(Panahi et al., 2023)","noteIndex":0},"citationItems":[{"id":29,"uris":["http://zotero.org/users/20312420/items/ZT4AKKDS"],"itemData":{"id":29,"type":"article-journal","abstract":"The construction industry is increasingly adopting off-site and modular construction methods due to the advantages offered in terms of safety, quality, and productivity for construction projects. Despite the advantages promised by this method of construction, modular construction factories still rely on manually-intensive work, which can lead to highly variable cycle times. As a result, these factories experience bottlenecks in production that can reduce productivity and cause delays to modular integrated construction projects. To remedy this effect, computer vision-based methods have been proposed to monitor the progress of work in modular construction factories. However, these methods fail to account for changes in the appearance of the modular units during production, they are difficult to adapt to other stations and factories, and they require a significant amount of annotation effort. Due to these drawbacks, this paper proposes a computer vision-based progress monitoring method that is easy to adapt to different stations and factories and relies only on two image annotations per station. In doing so, the Scale-invariant feature transform (SIFT) method is used to identify the presence of modular units at workstations, and the Mask R-CNN deep learning-based method is used to identify active workstations. This information was synthesized using a near real-time data-driven bottleneck identification method suited for assembly lines in modular construction factories. This framework was successfully validated using 420 h of surveillance videos of a production line in a modular construction factory in the U.S., providing 96% accuracy in identifying the occupancy of the workstations and an F-1 Score of 89% in identifying the state of each station on the production line. The extracted active and inactive durations were successfully used via a data-driven bottleneck detection method to detect bottleneck stations inside a modular construction factory. The implementation of this method in factories can lead to continuous and comprehensive monitoring of the production line and prevent delays by timely identification of bottlenecks.","container-title":"Sensors","DOI":"10.3390/s23083982","journalAbbreviation":"Sensors","source":"ResearchGate","title":"Bottleneck Detection in Modular Construction Factories Using Computer Vision","volume":"23","author":[{"family":"Panahi","given":"Roshan"},{"family":"Louis","given":"Joseph"},{"family":"Podder","given":"Ankur"},{"family":"Swanson","given":"Colby"},{"family":"Pless","given":"Shanti"}],"issued":{"date-parts":[["2023",4,14]]}}}],"schema":"https://github.com/citation-style-language/schema/raw/master/csl-citation.json"} </w:instrText>
      </w:r>
      <w:r w:rsidRPr="00E51652">
        <w:rPr>
          <w:rFonts w:ascii="Calibri" w:hAnsi="Calibri" w:cs="Calibri"/>
          <w:lang w:val="en-IN"/>
        </w:rPr>
        <w:fldChar w:fldCharType="separate"/>
      </w:r>
      <w:r w:rsidRPr="00E51652">
        <w:rPr>
          <w:rFonts w:ascii="Calibri" w:hAnsi="Calibri" w:cs="Calibri"/>
          <w:kern w:val="0"/>
        </w:rPr>
        <w:t xml:space="preserve">(Panahi </w:t>
      </w:r>
      <w:r w:rsidRPr="00E51652">
        <w:rPr>
          <w:rFonts w:ascii="Calibri" w:hAnsi="Calibri" w:cs="Calibri"/>
          <w:i/>
          <w:iCs/>
          <w:kern w:val="0"/>
        </w:rPr>
        <w:t>et al.</w:t>
      </w:r>
      <w:r w:rsidRPr="00E51652">
        <w:rPr>
          <w:rFonts w:ascii="Calibri" w:hAnsi="Calibri" w:cs="Calibri"/>
          <w:kern w:val="0"/>
        </w:rPr>
        <w:t>, 2023)</w:t>
      </w:r>
      <w:r w:rsidRPr="00E51652">
        <w:rPr>
          <w:rFonts w:ascii="Calibri" w:hAnsi="Calibri" w:cs="Calibri"/>
          <w:lang w:val="en-IN"/>
        </w:rPr>
        <w:fldChar w:fldCharType="end"/>
      </w:r>
      <w:r w:rsidRPr="00E51652">
        <w:rPr>
          <w:rFonts w:ascii="Calibri" w:hAnsi="Calibri" w:cs="Calibri"/>
          <w:lang w:val="en-IN"/>
        </w:rPr>
        <w:t xml:space="preserve">. Temporal architectures </w:t>
      </w:r>
      <w:r w:rsidR="00106A03">
        <w:rPr>
          <w:rFonts w:ascii="Calibri" w:hAnsi="Calibri" w:cs="Calibri"/>
          <w:lang w:val="en-IN"/>
        </w:rPr>
        <w:t>then extended</w:t>
      </w:r>
      <w:r w:rsidRPr="00E51652">
        <w:rPr>
          <w:rFonts w:ascii="Calibri" w:hAnsi="Calibri" w:cs="Calibri"/>
          <w:lang w:val="en-IN"/>
        </w:rPr>
        <w:t xml:space="preserve"> analysis from single frames to activity sequences and cycles </w:t>
      </w:r>
      <w:r w:rsidRPr="00E51652">
        <w:rPr>
          <w:rFonts w:ascii="Calibri" w:hAnsi="Calibri" w:cs="Calibri"/>
          <w:lang w:val="en-IN"/>
        </w:rPr>
        <w:fldChar w:fldCharType="begin"/>
      </w:r>
      <w:r w:rsidRPr="00E51652">
        <w:rPr>
          <w:rFonts w:ascii="Calibri" w:hAnsi="Calibri" w:cs="Calibri"/>
          <w:lang w:val="en-IN"/>
        </w:rPr>
        <w:instrText xml:space="preserve"> ADDIN ZOTERO_ITEM CSL_CITATION {"citationID":"ShZK1DdY","properties":{"unsorted":false,"formattedCitation":"(Cheng, Cao and Nuralim, 2023)","plainCitation":"(Cheng, Cao and Nuralim, 2023)","noteIndex":0},"citationItems":[{"id":28,"uris":["http://zotero.org/users/20312420/items/DEUB9A3Q"],"itemData":{"id":28,"type":"article-journal","abstract":"Its significant influence on overall progress makes excavator productivity a major concern of construction project managers, particularly during initial-stage earthwork activities. The ability to track excavator performance autonomously in real time is essential to monitoring and managing earthwork effectively. A novel, vision-based autonomous excavator action recognition and productivity measurement is introduced in this study that integrates the you only watch once deep learning method to recognize excavator actions, which are used to calculate action time and average cycle time. The average cycle time is then used to calculate the productivity of excavation work. The images of the excavator action used to construct the model were extracted from a video recorded at the construction site. The algorithm recognized excavator actions with an F1 score of 87.6% and mAP value of 81.6%. The outputs were then used in the proposed framework to measure excavator productivity. Omitting the outliers/misclassifications (&lt; 95% confidence) before calculating average action times was found to yield a cycle time accuracy (99.7%) that was significantly higher than that achieved using the unadjusted mean value (81.59%). The successful implementation of the proposed framework in this study demonstrates the feasibility of using the proposed autonomous productivity measurement in construction as a more economical, faster, and real-time measure of excavator productivity.","container-title":"The Journal of Supercomputing","DOI":"10.1007/s11227-022-04803-x","ISSN":"1573-0484","issue":"4","journalAbbreviation":"J Supercomput","language":"en","page":"4468-4492","source":"Springer Link","title":"Computer vision-based deep learning for supervising excavator operations and measuring real-time earthwork productivity","volume":"79","author":[{"family":"Cheng","given":"Min-Yuan"},{"family":"Cao","given":"Minh-Tu"},{"family":"Nuralim","given":"Christian Kentaro"}],"issued":{"date-parts":[["2023",3,1]]}}}],"schema":"https://github.com/citation-style-language/schema/raw/master/csl-citation.json"} </w:instrText>
      </w:r>
      <w:r w:rsidRPr="00E51652">
        <w:rPr>
          <w:rFonts w:ascii="Calibri" w:hAnsi="Calibri" w:cs="Calibri"/>
          <w:lang w:val="en-IN"/>
        </w:rPr>
        <w:fldChar w:fldCharType="separate"/>
      </w:r>
      <w:r w:rsidRPr="00E51652">
        <w:rPr>
          <w:rFonts w:ascii="Calibri" w:hAnsi="Calibri" w:cs="Calibri"/>
          <w:lang w:val="en-IN"/>
        </w:rPr>
        <w:t>(Cheng, Cao and Nuralim, 2023)</w:t>
      </w:r>
      <w:r w:rsidRPr="00E51652">
        <w:rPr>
          <w:rFonts w:ascii="Calibri" w:hAnsi="Calibri" w:cs="Calibri"/>
          <w:lang w:val="en-IN"/>
        </w:rPr>
        <w:fldChar w:fldCharType="end"/>
      </w:r>
      <w:r w:rsidRPr="00E51652">
        <w:rPr>
          <w:rFonts w:ascii="Calibri" w:hAnsi="Calibri" w:cs="Calibri"/>
          <w:lang w:val="en-IN"/>
        </w:rPr>
        <w:t>. Most recently, dual-stream transformer and graph-based models encode interactions as interdependent spatio</w:t>
      </w:r>
      <w:r w:rsidR="00451EA4">
        <w:rPr>
          <w:rFonts w:ascii="Calibri" w:hAnsi="Calibri" w:cs="Calibri"/>
          <w:lang w:val="en-IN"/>
        </w:rPr>
        <w:t>-</w:t>
      </w:r>
      <w:r w:rsidRPr="00E51652">
        <w:rPr>
          <w:rFonts w:ascii="Calibri" w:hAnsi="Calibri" w:cs="Calibri"/>
          <w:lang w:val="en-IN"/>
        </w:rPr>
        <w:t xml:space="preserve">temporal processes </w:t>
      </w:r>
      <w:r w:rsidRPr="00E51652">
        <w:rPr>
          <w:rFonts w:ascii="Calibri" w:hAnsi="Calibri" w:cs="Calibri"/>
          <w:lang w:val="en-IN"/>
        </w:rPr>
        <w:fldChar w:fldCharType="begin"/>
      </w:r>
      <w:r w:rsidRPr="00E51652">
        <w:rPr>
          <w:rFonts w:ascii="Calibri" w:hAnsi="Calibri" w:cs="Calibri"/>
          <w:lang w:val="en-IN"/>
        </w:rPr>
        <w:instrText xml:space="preserve"> ADDIN ZOTERO_ITEM CSL_CITATION {"citationID":"0XA4F4jW","properties":{"unsorted":false,"formattedCitation":"(Baek {\\i{}et al.}, 2025b; Tsai {\\i{}et al.}, 2025)","plainCitation":"(Baek et al., 2025b; Tsai et al., 2025)","dontUpdate":true,"noteIndex":0},"citationItems":[{"id":25,"uris":["http://zotero.org/users/20312420/items/62LUC974"],"itemData":{"id":25,"type":"article-journal","abstract":"This paper proposes a computer vision-based framework for automated productivity analysis in modular construction. A dual-stream transformer model classifies module installation activities based on on-site video data. The framework involves three main steps: object detection, activity classification, and productivity analysis. A convolutional neural network (CNN)-based object detector identifies key resources — cranes, modules, and workers — while the Transformer model analyzes the spatiotemporal changes in their movements. Six detailed installation activities are classified with high accuracy, achieving F1-scores above 0.98 across all classes. In contrast to previous rule-based or static image-based approaches, the proposed model captures the continuous and dynamic nature of operations, including transitions between activities. Productivity is evaluated by aggregating activity durations, which subsequently helps identify process bottlenecks. Post hoc video analysis further reveals the causes of delays. The proposed method supports real-time and data-driven monitoring, offering practical insights for improving operational efficiency. This framework provides a basis for future applications such as productivity forecasting and cross-site benchmarking.","container-title":"Automation in Construction","DOI":"10.1016/j.autcon.2025.106505","ISSN":"0926-5805","journalAbbreviation":"Automation in Construction","page":"106505","source":"ScienceDirect","title":"Dual-stream transformer-based activity classification for off-site construction productivity analysis","volume":"180","author":[{"family":"Baek","given":"Jongyeon"},{"family":"Ban","given":"Jiyun"},{"family":"Kim","given":"Hyunsoo"},{"family":"Kim","given":"Daeho"},{"family":"Choi","given":"Byungjoo"}],"issued":{"date-parts":[["2025",12,1]]}}},{"id":6,"uris":["http://zotero.org/users/20312420/items/4SWB5CUF"],"itemData":{"id":6,"type":"article-journal","abstract":"The labor force is vital to construction projects, but traditional manual methods for productivity analysis are time-consuming and error-prone. Recent advancements in computer vision and deep learning offer automated solutions, yet most studies focus on low-level pose recognition, neglecting the collaborative dynamics of construction sites. This paper introduces a multi-granular crew activity recognition framework that identifies individual actions, groups collaborating workers, and links them to specific tasks. Using graph-based representations and self-attention mechanisms, the model integrates spatial and contextual information for accurate recognition. Experiments on a dataset covering rebar, formwork, and concrete operations show an overall F1 Score of 70.31%. Results highlight the importance of balancing visual features and spatial proximity for optimal performance. This framework offers an efficient solution for construction site monitoring and lays groundwork for future research on temporal modeling and human-object interaction analysis.","container-title":"Automation in Construction","DOI":"10.1016/j.autcon.2025.106428","ISSN":"0926-5805","journalAbbreviation":"Automation in Construction","page":"106428","source":"ScienceDirect","title":"Multi-granular crew activity recognition for construction monitoring","volume":"179","author":[{"family":"Tsai","given":"Cheng Yun"},{"family":"Khosiin","given":"Mik Wanul"},{"family":"Lin","given":"Jacob J."},{"family":"Chen","given":"Chuin-Shan"}],"issued":{"date-parts":[["2025",11,1]]}}}],"schema":"https://github.com/citation-style-language/schema/raw/master/csl-citation.json"} </w:instrText>
      </w:r>
      <w:r w:rsidRPr="00E51652">
        <w:rPr>
          <w:rFonts w:ascii="Calibri" w:hAnsi="Calibri" w:cs="Calibri"/>
          <w:lang w:val="en-IN"/>
        </w:rPr>
        <w:fldChar w:fldCharType="separate"/>
      </w:r>
      <w:r w:rsidRPr="00E51652">
        <w:rPr>
          <w:rFonts w:ascii="Calibri" w:hAnsi="Calibri" w:cs="Calibri"/>
          <w:kern w:val="0"/>
        </w:rPr>
        <w:t xml:space="preserve">(Baek </w:t>
      </w:r>
      <w:r w:rsidRPr="00E51652">
        <w:rPr>
          <w:rFonts w:ascii="Calibri" w:hAnsi="Calibri" w:cs="Calibri"/>
          <w:i/>
          <w:iCs/>
          <w:kern w:val="0"/>
        </w:rPr>
        <w:t>et al.</w:t>
      </w:r>
      <w:r w:rsidRPr="00E51652">
        <w:rPr>
          <w:rFonts w:ascii="Calibri" w:hAnsi="Calibri" w:cs="Calibri"/>
          <w:kern w:val="0"/>
        </w:rPr>
        <w:t xml:space="preserve">, 2025; Tsai </w:t>
      </w:r>
      <w:r w:rsidRPr="00E51652">
        <w:rPr>
          <w:rFonts w:ascii="Calibri" w:hAnsi="Calibri" w:cs="Calibri"/>
          <w:i/>
          <w:iCs/>
          <w:kern w:val="0"/>
        </w:rPr>
        <w:t>et al.</w:t>
      </w:r>
      <w:r w:rsidRPr="00E51652">
        <w:rPr>
          <w:rFonts w:ascii="Calibri" w:hAnsi="Calibri" w:cs="Calibri"/>
          <w:kern w:val="0"/>
        </w:rPr>
        <w:t>, 2025)</w:t>
      </w:r>
      <w:r w:rsidRPr="00E51652">
        <w:rPr>
          <w:rFonts w:ascii="Calibri" w:hAnsi="Calibri" w:cs="Calibri"/>
          <w:lang w:val="en-IN"/>
        </w:rPr>
        <w:fldChar w:fldCharType="end"/>
      </w:r>
      <w:r w:rsidRPr="00E51652">
        <w:rPr>
          <w:rFonts w:ascii="Calibri" w:hAnsi="Calibri" w:cs="Calibri"/>
          <w:lang w:val="en-IN"/>
        </w:rPr>
        <w:t>. Vision-language</w:t>
      </w:r>
      <w:r w:rsidRPr="00C476B2">
        <w:rPr>
          <w:rFonts w:ascii="Calibri" w:hAnsi="Calibri" w:cs="Calibri"/>
          <w:lang w:val="en-IN"/>
        </w:rPr>
        <w:t xml:space="preserve"> models, capable of semantic reasoning about site conditions, remain largely unexplored in productivity research</w:t>
      </w:r>
      <w:r>
        <w:rPr>
          <w:rFonts w:ascii="Calibri" w:hAnsi="Calibri" w:cs="Calibri"/>
          <w:lang w:val="en-IN"/>
        </w:rPr>
        <w:t xml:space="preserve">, </w:t>
      </w:r>
      <w:r w:rsidR="006E677D">
        <w:rPr>
          <w:rFonts w:ascii="Calibri" w:hAnsi="Calibri" w:cs="Calibri"/>
          <w:lang w:val="en-IN"/>
        </w:rPr>
        <w:t>despite extensive study in</w:t>
      </w:r>
      <w:r>
        <w:rPr>
          <w:rFonts w:ascii="Calibri" w:hAnsi="Calibri" w:cs="Calibri"/>
          <w:lang w:val="en-IN"/>
        </w:rPr>
        <w:t xml:space="preserve"> other construction applications.</w:t>
      </w:r>
    </w:p>
    <w:p w14:paraId="6A3E7FA7" w14:textId="2E78CDDF" w:rsidR="00A87926" w:rsidRPr="00D6057A" w:rsidRDefault="00A87926" w:rsidP="00A87926">
      <w:pPr>
        <w:spacing w:after="40" w:line="240" w:lineRule="auto"/>
        <w:jc w:val="center"/>
        <w:rPr>
          <w:rFonts w:ascii="Calibri" w:hAnsi="Calibri" w:cs="Calibri"/>
        </w:rPr>
      </w:pPr>
      <w:r>
        <w:rPr>
          <w:rFonts w:ascii="Calibri" w:hAnsi="Calibri" w:cs="Calibri"/>
          <w:noProof/>
        </w:rPr>
        <w:lastRenderedPageBreak/>
        <w:drawing>
          <wp:inline distT="0" distB="0" distL="0" distR="0" wp14:anchorId="6C809B24" wp14:editId="396C9F29">
            <wp:extent cx="5119697" cy="1823129"/>
            <wp:effectExtent l="0" t="0" r="5080" b="5715"/>
            <wp:docPr id="2116163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63156"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59" r="59"/>
                    <a:stretch>
                      <a:fillRect/>
                    </a:stretch>
                  </pic:blipFill>
                  <pic:spPr bwMode="auto">
                    <a:xfrm>
                      <a:off x="0" y="0"/>
                      <a:ext cx="5119697" cy="1823129"/>
                    </a:xfrm>
                    <a:prstGeom prst="rect">
                      <a:avLst/>
                    </a:prstGeom>
                    <a:noFill/>
                    <a:ln>
                      <a:noFill/>
                    </a:ln>
                    <a:extLst>
                      <a:ext uri="{53640926-AAD7-44D8-BBD7-CCE9431645EC}">
                        <a14:shadowObscured xmlns:a14="http://schemas.microsoft.com/office/drawing/2010/main"/>
                      </a:ext>
                    </a:extLst>
                  </pic:spPr>
                </pic:pic>
              </a:graphicData>
            </a:graphic>
          </wp:inline>
        </w:drawing>
      </w:r>
    </w:p>
    <w:p w14:paraId="2EB8B73A" w14:textId="0561AA4C" w:rsidR="00A87926" w:rsidRPr="00A87926" w:rsidRDefault="00A87926" w:rsidP="00A87926">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Pr>
          <w:rFonts w:ascii="Calibri" w:hAnsi="Calibri" w:cs="Calibri"/>
          <w:i/>
          <w:iCs/>
          <w:sz w:val="20"/>
          <w:szCs w:val="20"/>
        </w:rPr>
        <w:t>4</w:t>
      </w:r>
      <w:r w:rsidRPr="00D6057A">
        <w:rPr>
          <w:rFonts w:ascii="Calibri" w:hAnsi="Calibri" w:cs="Calibri"/>
          <w:i/>
          <w:iCs/>
          <w:sz w:val="20"/>
          <w:szCs w:val="20"/>
        </w:rPr>
        <w:t xml:space="preserve">: </w:t>
      </w:r>
      <w:r w:rsidRPr="00EA3412">
        <w:rPr>
          <w:rFonts w:ascii="Calibri" w:hAnsi="Calibri" w:cs="Calibri"/>
          <w:i/>
          <w:iCs/>
          <w:sz w:val="20"/>
          <w:szCs w:val="20"/>
        </w:rPr>
        <w:t>Technological Evolution of Computer Vision in Construction Productivity Monitoring</w:t>
      </w:r>
    </w:p>
    <w:p w14:paraId="05DA6603" w14:textId="352340F7" w:rsidR="0051597E" w:rsidRDefault="00C476B2" w:rsidP="00106A03">
      <w:pPr>
        <w:spacing w:after="40" w:line="240" w:lineRule="auto"/>
        <w:ind w:firstLine="851"/>
        <w:jc w:val="both"/>
        <w:rPr>
          <w:rFonts w:ascii="Calibri" w:hAnsi="Calibri" w:cs="Calibri"/>
        </w:rPr>
      </w:pPr>
      <w:r w:rsidRPr="00C476B2">
        <w:rPr>
          <w:rFonts w:ascii="Calibri" w:hAnsi="Calibri" w:cs="Calibri"/>
          <w:lang w:val="en-IN"/>
        </w:rPr>
        <w:t xml:space="preserve">Architectural capability has therefore advanced substantially. </w:t>
      </w:r>
      <w:r w:rsidR="001B79D5" w:rsidRPr="001B79D5">
        <w:rPr>
          <w:rFonts w:ascii="Calibri" w:hAnsi="Calibri" w:cs="Calibri"/>
        </w:rPr>
        <w:t>Whether analytical output has advanced correspondingly cannot be determined from a technique narrative alone</w:t>
      </w:r>
      <w:r w:rsidR="001B79D5">
        <w:rPr>
          <w:rFonts w:ascii="Calibri" w:hAnsi="Calibri" w:cs="Calibri"/>
        </w:rPr>
        <w:t>.</w:t>
      </w:r>
    </w:p>
    <w:p w14:paraId="466A45EC" w14:textId="77777777" w:rsidR="00616D2E" w:rsidRPr="0051597E" w:rsidRDefault="00616D2E" w:rsidP="00106A03">
      <w:pPr>
        <w:spacing w:after="40" w:line="240" w:lineRule="auto"/>
        <w:ind w:firstLine="851"/>
        <w:jc w:val="both"/>
        <w:rPr>
          <w:rFonts w:ascii="Calibri" w:hAnsi="Calibri" w:cs="Calibri"/>
        </w:rPr>
      </w:pPr>
    </w:p>
    <w:p w14:paraId="69D9D277" w14:textId="2037B558" w:rsidR="00CE431B" w:rsidRPr="00CE431B" w:rsidRDefault="00DF0BD3" w:rsidP="00CE431B">
      <w:pPr>
        <w:pStyle w:val="ListParagraph"/>
        <w:numPr>
          <w:ilvl w:val="0"/>
          <w:numId w:val="22"/>
        </w:numPr>
        <w:spacing w:after="40" w:line="240" w:lineRule="auto"/>
        <w:rPr>
          <w:rFonts w:ascii="Calibri" w:hAnsi="Calibri" w:cs="Calibri"/>
          <w:b/>
          <w:bCs/>
          <w:sz w:val="28"/>
          <w:szCs w:val="28"/>
        </w:rPr>
      </w:pPr>
      <w:r w:rsidRPr="00DF0BD3">
        <w:t xml:space="preserve"> </w:t>
      </w:r>
      <w:r w:rsidRPr="00DF0BD3">
        <w:rPr>
          <w:rFonts w:ascii="Calibri" w:hAnsi="Calibri" w:cs="Calibri"/>
          <w:b/>
          <w:bCs/>
          <w:sz w:val="28"/>
          <w:szCs w:val="28"/>
        </w:rPr>
        <w:t>OPERATIONAL UNDERSTANDING MATURITY FRAMEWORK</w:t>
      </w:r>
    </w:p>
    <w:p w14:paraId="1F64E2F1" w14:textId="081C0107" w:rsidR="00C175E9" w:rsidRDefault="00C175E9" w:rsidP="004C3C1A">
      <w:pPr>
        <w:pStyle w:val="ListParagraph"/>
        <w:widowControl w:val="0"/>
        <w:spacing w:after="40" w:line="240" w:lineRule="auto"/>
        <w:ind w:left="0"/>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Pr>
          <w:rFonts w:ascii="Calibri" w:hAnsi="Calibri" w:cs="Calibri"/>
          <w:b/>
          <w:bCs/>
          <w:sz w:val="24"/>
          <w:szCs w:val="24"/>
        </w:rPr>
        <w:t>1 Derivation</w:t>
      </w:r>
    </w:p>
    <w:p w14:paraId="0CFEB17B" w14:textId="50353AF2" w:rsidR="005F491B" w:rsidRDefault="00B3119E" w:rsidP="005D4652">
      <w:pPr>
        <w:pStyle w:val="ListParagraph"/>
        <w:spacing w:after="40" w:line="240" w:lineRule="auto"/>
        <w:ind w:left="0" w:firstLine="851"/>
        <w:jc w:val="both"/>
        <w:rPr>
          <w:rFonts w:ascii="Calibri" w:hAnsi="Calibri" w:cs="Calibri"/>
        </w:rPr>
      </w:pPr>
      <w:r w:rsidRPr="00B3119E">
        <w:rPr>
          <w:rFonts w:ascii="Calibri" w:hAnsi="Calibri" w:cs="Calibri"/>
        </w:rPr>
        <w:t xml:space="preserve">Each of the 30 studies </w:t>
      </w:r>
      <w:r w:rsidR="001B79D5">
        <w:rPr>
          <w:rFonts w:ascii="Calibri" w:hAnsi="Calibri" w:cs="Calibri"/>
        </w:rPr>
        <w:t>was</w:t>
      </w:r>
      <w:r w:rsidRPr="00B3119E">
        <w:rPr>
          <w:rFonts w:ascii="Calibri" w:hAnsi="Calibri" w:cs="Calibri"/>
        </w:rPr>
        <w:t xml:space="preserve"> examined for what its system produced rather than the technique it used. </w:t>
      </w:r>
      <w:r w:rsidR="00A17208">
        <w:rPr>
          <w:rFonts w:ascii="Calibri" w:hAnsi="Calibri" w:cs="Calibri"/>
        </w:rPr>
        <w:t>Each distinct capability was recorded as a separate evidence item and</w:t>
      </w:r>
      <w:r w:rsidR="002F53DB" w:rsidRPr="002F53DB">
        <w:rPr>
          <w:rFonts w:ascii="Calibri" w:hAnsi="Calibri" w:cs="Calibri"/>
        </w:rPr>
        <w:t xml:space="preserve"> stated as an output</w:t>
      </w:r>
      <w:r w:rsidR="002F53DB">
        <w:rPr>
          <w:rFonts w:ascii="Calibri" w:hAnsi="Calibri" w:cs="Calibri"/>
        </w:rPr>
        <w:t>.</w:t>
      </w:r>
      <w:r w:rsidR="005D4652">
        <w:rPr>
          <w:rFonts w:ascii="Calibri" w:hAnsi="Calibri" w:cs="Calibri"/>
        </w:rPr>
        <w:t xml:space="preserve"> </w:t>
      </w:r>
      <w:r w:rsidR="005D4652" w:rsidRPr="005D4652">
        <w:rPr>
          <w:rFonts w:ascii="Calibri" w:hAnsi="Calibri" w:cs="Calibri"/>
        </w:rPr>
        <w:t>A study contributed as many items as it demonstrated capabilities, yielding 128 evidence items in total. These were coded inductively into 27 capability codes without reference to any predetermined scheme, and grouping the codes by function produced eight groups (Table 1).</w:t>
      </w:r>
    </w:p>
    <w:p w14:paraId="53DA3A8A" w14:textId="77777777" w:rsidR="005D4652" w:rsidRPr="005D4652" w:rsidRDefault="005D4652" w:rsidP="005D4652">
      <w:pPr>
        <w:pStyle w:val="ListParagraph"/>
        <w:spacing w:after="40" w:line="240" w:lineRule="auto"/>
        <w:ind w:left="0" w:firstLine="851"/>
        <w:jc w:val="both"/>
        <w:rPr>
          <w:rFonts w:ascii="Calibri" w:hAnsi="Calibri" w:cs="Calibri"/>
        </w:rPr>
      </w:pPr>
    </w:p>
    <w:p w14:paraId="50ED4A34" w14:textId="65188638" w:rsidR="00B3119E" w:rsidRPr="00D6057A" w:rsidRDefault="00B3119E" w:rsidP="00B3119E">
      <w:pPr>
        <w:spacing w:after="40" w:line="240" w:lineRule="auto"/>
        <w:jc w:val="center"/>
        <w:rPr>
          <w:rFonts w:ascii="Calibri" w:hAnsi="Calibri" w:cs="Calibri"/>
          <w:b/>
          <w:bCs/>
          <w:i/>
          <w:iCs/>
          <w:color w:val="EE0000"/>
          <w:sz w:val="20"/>
          <w:szCs w:val="20"/>
        </w:rPr>
      </w:pPr>
      <w:r w:rsidRPr="00D6057A">
        <w:rPr>
          <w:rFonts w:ascii="Calibri" w:hAnsi="Calibri" w:cs="Calibri"/>
          <w:i/>
          <w:iCs/>
          <w:sz w:val="20"/>
          <w:szCs w:val="20"/>
        </w:rPr>
        <w:t xml:space="preserve">Table 1: </w:t>
      </w:r>
      <w:r w:rsidR="00F40894" w:rsidRPr="00F40894">
        <w:rPr>
          <w:rFonts w:ascii="Calibri" w:hAnsi="Calibri" w:cs="Calibri"/>
          <w:i/>
          <w:iCs/>
          <w:sz w:val="20"/>
          <w:szCs w:val="20"/>
        </w:rPr>
        <w:t>Capability codes grouped by function</w:t>
      </w:r>
    </w:p>
    <w:tbl>
      <w:tblPr>
        <w:tblW w:w="9745" w:type="dxa"/>
        <w:jc w:val="center"/>
        <w:tblLook w:val="04A0" w:firstRow="1" w:lastRow="0" w:firstColumn="1" w:lastColumn="0" w:noHBand="0" w:noVBand="1"/>
      </w:tblPr>
      <w:tblGrid>
        <w:gridCol w:w="3209"/>
        <w:gridCol w:w="4203"/>
        <w:gridCol w:w="2333"/>
      </w:tblGrid>
      <w:tr w:rsidR="00B3119E" w:rsidRPr="00D6057A" w14:paraId="65F975F4" w14:textId="77777777" w:rsidTr="0051597E">
        <w:trPr>
          <w:trHeight w:val="103"/>
          <w:jc w:val="center"/>
        </w:trPr>
        <w:tc>
          <w:tcPr>
            <w:tcW w:w="3209" w:type="dxa"/>
            <w:tcBorders>
              <w:top w:val="single" w:sz="4" w:space="0" w:color="auto"/>
              <w:bottom w:val="single" w:sz="4" w:space="0" w:color="auto"/>
            </w:tcBorders>
            <w:vAlign w:val="center"/>
          </w:tcPr>
          <w:p w14:paraId="3A447DBD" w14:textId="5C70D1DF" w:rsidR="00B3119E" w:rsidRPr="00D6057A" w:rsidRDefault="00B3119E" w:rsidP="003E314F">
            <w:pPr>
              <w:pStyle w:val="PlainText"/>
              <w:spacing w:after="40"/>
              <w:jc w:val="center"/>
              <w:rPr>
                <w:rFonts w:ascii="Calibri" w:hAnsi="Calibri" w:cs="Calibri"/>
                <w:sz w:val="22"/>
                <w:szCs w:val="22"/>
              </w:rPr>
            </w:pPr>
            <w:r>
              <w:rPr>
                <w:rFonts w:ascii="Calibri" w:hAnsi="Calibri" w:cs="Calibri"/>
                <w:sz w:val="22"/>
                <w:szCs w:val="22"/>
              </w:rPr>
              <w:t>Higher-Order Themes</w:t>
            </w:r>
          </w:p>
        </w:tc>
        <w:tc>
          <w:tcPr>
            <w:tcW w:w="4203" w:type="dxa"/>
            <w:tcBorders>
              <w:top w:val="single" w:sz="4" w:space="0" w:color="auto"/>
              <w:bottom w:val="single" w:sz="4" w:space="0" w:color="auto"/>
            </w:tcBorders>
            <w:vAlign w:val="center"/>
          </w:tcPr>
          <w:p w14:paraId="7098951F" w14:textId="722891A4" w:rsidR="00B3119E" w:rsidRPr="00D6057A" w:rsidRDefault="00B3119E" w:rsidP="003E314F">
            <w:pPr>
              <w:pStyle w:val="PlainText"/>
              <w:spacing w:after="40"/>
              <w:jc w:val="center"/>
              <w:rPr>
                <w:rFonts w:ascii="Calibri" w:hAnsi="Calibri" w:cs="Calibri"/>
                <w:sz w:val="22"/>
                <w:szCs w:val="22"/>
              </w:rPr>
            </w:pPr>
            <w:r>
              <w:rPr>
                <w:rFonts w:ascii="Calibri" w:hAnsi="Calibri" w:cs="Calibri"/>
                <w:sz w:val="22"/>
                <w:szCs w:val="22"/>
              </w:rPr>
              <w:t>Codes Clustered in</w:t>
            </w:r>
            <w:r w:rsidR="003775E1">
              <w:rPr>
                <w:rFonts w:ascii="Calibri" w:hAnsi="Calibri" w:cs="Calibri"/>
                <w:sz w:val="22"/>
                <w:szCs w:val="22"/>
              </w:rPr>
              <w:t>to</w:t>
            </w:r>
          </w:p>
        </w:tc>
        <w:tc>
          <w:tcPr>
            <w:tcW w:w="2333" w:type="dxa"/>
            <w:tcBorders>
              <w:top w:val="single" w:sz="4" w:space="0" w:color="auto"/>
              <w:bottom w:val="single" w:sz="4" w:space="0" w:color="auto"/>
            </w:tcBorders>
            <w:vAlign w:val="center"/>
          </w:tcPr>
          <w:p w14:paraId="47215CFF" w14:textId="76FA2F9C"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Count of evidence items within the cluster</w:t>
            </w:r>
          </w:p>
        </w:tc>
      </w:tr>
      <w:tr w:rsidR="00B3119E" w:rsidRPr="00D6057A" w14:paraId="76E90D16" w14:textId="77777777" w:rsidTr="0051597E">
        <w:trPr>
          <w:trHeight w:val="101"/>
          <w:jc w:val="center"/>
        </w:trPr>
        <w:tc>
          <w:tcPr>
            <w:tcW w:w="3209" w:type="dxa"/>
            <w:tcBorders>
              <w:top w:val="single" w:sz="4" w:space="0" w:color="auto"/>
            </w:tcBorders>
            <w:vAlign w:val="center"/>
          </w:tcPr>
          <w:p w14:paraId="2E2F113F" w14:textId="0707F278"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Entity localisation &amp; identification</w:t>
            </w:r>
          </w:p>
        </w:tc>
        <w:tc>
          <w:tcPr>
            <w:tcW w:w="4203" w:type="dxa"/>
            <w:tcBorders>
              <w:top w:val="single" w:sz="4" w:space="0" w:color="auto"/>
            </w:tcBorders>
            <w:vAlign w:val="center"/>
          </w:tcPr>
          <w:p w14:paraId="5EB55E2C" w14:textId="25D9B10F"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Entity detection</w:t>
            </w:r>
            <w:r>
              <w:rPr>
                <w:rFonts w:ascii="Calibri" w:hAnsi="Calibri" w:cs="Calibri"/>
                <w:sz w:val="22"/>
                <w:szCs w:val="22"/>
              </w:rPr>
              <w:t xml:space="preserve">, </w:t>
            </w:r>
            <w:r w:rsidRPr="00B3119E">
              <w:rPr>
                <w:rFonts w:ascii="Calibri" w:hAnsi="Calibri" w:cs="Calibri"/>
                <w:sz w:val="22"/>
                <w:szCs w:val="22"/>
              </w:rPr>
              <w:t>Object-ID recognition</w:t>
            </w:r>
            <w:r>
              <w:rPr>
                <w:rFonts w:ascii="Calibri" w:hAnsi="Calibri" w:cs="Calibri"/>
                <w:sz w:val="22"/>
                <w:szCs w:val="22"/>
              </w:rPr>
              <w:t xml:space="preserve">, </w:t>
            </w:r>
            <w:r w:rsidRPr="00B3119E">
              <w:rPr>
                <w:rFonts w:ascii="Calibri" w:hAnsi="Calibri" w:cs="Calibri"/>
                <w:sz w:val="22"/>
                <w:szCs w:val="22"/>
              </w:rPr>
              <w:t>Object tracking</w:t>
            </w:r>
            <w:r>
              <w:rPr>
                <w:rFonts w:ascii="Calibri" w:hAnsi="Calibri" w:cs="Calibri"/>
                <w:sz w:val="22"/>
                <w:szCs w:val="22"/>
              </w:rPr>
              <w:t>,</w:t>
            </w:r>
            <w:r w:rsidRPr="00B3119E">
              <w:rPr>
                <w:rFonts w:ascii="Calibri" w:hAnsi="Calibri" w:cs="Calibri"/>
                <w:sz w:val="22"/>
                <w:szCs w:val="22"/>
              </w:rPr>
              <w:t xml:space="preserve"> Cross-camera matching</w:t>
            </w:r>
          </w:p>
        </w:tc>
        <w:tc>
          <w:tcPr>
            <w:tcW w:w="2333" w:type="dxa"/>
            <w:tcBorders>
              <w:top w:val="single" w:sz="4" w:space="0" w:color="auto"/>
            </w:tcBorders>
            <w:vAlign w:val="center"/>
          </w:tcPr>
          <w:p w14:paraId="3DAED332" w14:textId="568A7DFC"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2</w:t>
            </w:r>
            <w:r w:rsidR="00231DA7">
              <w:rPr>
                <w:rFonts w:ascii="Calibri" w:hAnsi="Calibri" w:cs="Calibri"/>
                <w:sz w:val="22"/>
                <w:szCs w:val="22"/>
              </w:rPr>
              <w:t>9</w:t>
            </w:r>
          </w:p>
        </w:tc>
      </w:tr>
      <w:tr w:rsidR="00B3119E" w:rsidRPr="00D6057A" w14:paraId="53BA477D" w14:textId="77777777" w:rsidTr="0051597E">
        <w:trPr>
          <w:trHeight w:val="103"/>
          <w:jc w:val="center"/>
        </w:trPr>
        <w:tc>
          <w:tcPr>
            <w:tcW w:w="3209" w:type="dxa"/>
            <w:vAlign w:val="center"/>
          </w:tcPr>
          <w:p w14:paraId="65A802B8" w14:textId="7ED2369B"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Activity &amp; interaction recognition</w:t>
            </w:r>
          </w:p>
        </w:tc>
        <w:tc>
          <w:tcPr>
            <w:tcW w:w="4203" w:type="dxa"/>
            <w:vAlign w:val="center"/>
          </w:tcPr>
          <w:p w14:paraId="797D4540" w14:textId="711A0BE1"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Activity recognition</w:t>
            </w:r>
            <w:r>
              <w:rPr>
                <w:rFonts w:ascii="Calibri" w:hAnsi="Calibri" w:cs="Calibri"/>
                <w:sz w:val="22"/>
                <w:szCs w:val="22"/>
              </w:rPr>
              <w:t>,</w:t>
            </w:r>
            <w:r w:rsidRPr="00B3119E">
              <w:rPr>
                <w:rFonts w:ascii="Calibri" w:hAnsi="Calibri" w:cs="Calibri"/>
                <w:sz w:val="22"/>
                <w:szCs w:val="22"/>
              </w:rPr>
              <w:t xml:space="preserve"> Interaction/crew recognition</w:t>
            </w:r>
          </w:p>
        </w:tc>
        <w:tc>
          <w:tcPr>
            <w:tcW w:w="2333" w:type="dxa"/>
            <w:vAlign w:val="center"/>
          </w:tcPr>
          <w:p w14:paraId="2670E2D2" w14:textId="773BAE52"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1</w:t>
            </w:r>
            <w:r w:rsidR="00231DA7">
              <w:rPr>
                <w:rFonts w:ascii="Calibri" w:hAnsi="Calibri" w:cs="Calibri"/>
                <w:sz w:val="22"/>
                <w:szCs w:val="22"/>
              </w:rPr>
              <w:t>4</w:t>
            </w:r>
          </w:p>
        </w:tc>
      </w:tr>
      <w:tr w:rsidR="00B3119E" w:rsidRPr="00D6057A" w14:paraId="5C727E74" w14:textId="77777777" w:rsidTr="0051597E">
        <w:trPr>
          <w:trHeight w:val="151"/>
          <w:jc w:val="center"/>
        </w:trPr>
        <w:tc>
          <w:tcPr>
            <w:tcW w:w="3209" w:type="dxa"/>
            <w:vAlign w:val="center"/>
          </w:tcPr>
          <w:p w14:paraId="2C555EE7" w14:textId="5E45C8A5"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Temporal &amp; effort accounting</w:t>
            </w:r>
          </w:p>
        </w:tc>
        <w:tc>
          <w:tcPr>
            <w:tcW w:w="4203" w:type="dxa"/>
            <w:vAlign w:val="center"/>
          </w:tcPr>
          <w:p w14:paraId="62268B3F" w14:textId="1A929173"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Cycle-time measurement</w:t>
            </w:r>
            <w:r>
              <w:rPr>
                <w:rFonts w:ascii="Calibri" w:hAnsi="Calibri" w:cs="Calibri"/>
                <w:sz w:val="22"/>
                <w:szCs w:val="22"/>
              </w:rPr>
              <w:t xml:space="preserve">, </w:t>
            </w:r>
            <w:r w:rsidRPr="00B3119E">
              <w:rPr>
                <w:rFonts w:ascii="Calibri" w:hAnsi="Calibri" w:cs="Calibri"/>
                <w:sz w:val="22"/>
                <w:szCs w:val="22"/>
              </w:rPr>
              <w:t>Duration &amp; idle-time measurement</w:t>
            </w:r>
            <w:r>
              <w:rPr>
                <w:rFonts w:ascii="Calibri" w:hAnsi="Calibri" w:cs="Calibri"/>
                <w:sz w:val="22"/>
                <w:szCs w:val="22"/>
              </w:rPr>
              <w:t>,</w:t>
            </w:r>
            <w:r w:rsidRPr="00B3119E">
              <w:rPr>
                <w:rFonts w:ascii="Calibri" w:hAnsi="Calibri" w:cs="Calibri"/>
                <w:sz w:val="22"/>
                <w:szCs w:val="22"/>
              </w:rPr>
              <w:t xml:space="preserve"> Labour-utilisation measurement</w:t>
            </w:r>
          </w:p>
        </w:tc>
        <w:tc>
          <w:tcPr>
            <w:tcW w:w="2333" w:type="dxa"/>
            <w:vAlign w:val="center"/>
          </w:tcPr>
          <w:p w14:paraId="006C7934" w14:textId="2FB2F140"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1</w:t>
            </w:r>
            <w:r w:rsidR="00231DA7">
              <w:rPr>
                <w:rFonts w:ascii="Calibri" w:hAnsi="Calibri" w:cs="Calibri"/>
                <w:sz w:val="22"/>
                <w:szCs w:val="22"/>
              </w:rPr>
              <w:t>3</w:t>
            </w:r>
          </w:p>
        </w:tc>
      </w:tr>
      <w:tr w:rsidR="00B3119E" w:rsidRPr="00D6057A" w14:paraId="1BA86835" w14:textId="77777777" w:rsidTr="0051597E">
        <w:trPr>
          <w:trHeight w:val="149"/>
          <w:jc w:val="center"/>
        </w:trPr>
        <w:tc>
          <w:tcPr>
            <w:tcW w:w="3209" w:type="dxa"/>
            <w:vAlign w:val="center"/>
          </w:tcPr>
          <w:p w14:paraId="2F6A1BAF" w14:textId="1C88A3DC"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Output &amp; productivity quantification</w:t>
            </w:r>
          </w:p>
        </w:tc>
        <w:tc>
          <w:tcPr>
            <w:tcW w:w="4203" w:type="dxa"/>
            <w:vAlign w:val="center"/>
          </w:tcPr>
          <w:p w14:paraId="14B4CAF7" w14:textId="5B39F9C3"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Progress/output quantification</w:t>
            </w:r>
            <w:r>
              <w:rPr>
                <w:rFonts w:ascii="Calibri" w:hAnsi="Calibri" w:cs="Calibri"/>
                <w:sz w:val="22"/>
                <w:szCs w:val="22"/>
              </w:rPr>
              <w:t>,</w:t>
            </w:r>
            <w:r w:rsidRPr="00B3119E">
              <w:rPr>
                <w:rFonts w:ascii="Calibri" w:hAnsi="Calibri" w:cs="Calibri"/>
                <w:sz w:val="22"/>
                <w:szCs w:val="22"/>
              </w:rPr>
              <w:t xml:space="preserve"> Productivity computation</w:t>
            </w:r>
            <w:r>
              <w:rPr>
                <w:rFonts w:ascii="Calibri" w:hAnsi="Calibri" w:cs="Calibri"/>
                <w:sz w:val="22"/>
                <w:szCs w:val="22"/>
              </w:rPr>
              <w:t>,</w:t>
            </w:r>
            <w:r w:rsidRPr="00B3119E">
              <w:rPr>
                <w:rFonts w:ascii="Calibri" w:hAnsi="Calibri" w:cs="Calibri"/>
                <w:sz w:val="22"/>
                <w:szCs w:val="22"/>
              </w:rPr>
              <w:t xml:space="preserve"> Planned</w:t>
            </w:r>
            <w:r w:rsidR="003775E1">
              <w:rPr>
                <w:rFonts w:ascii="Calibri" w:hAnsi="Calibri" w:cs="Calibri"/>
                <w:sz w:val="22"/>
                <w:szCs w:val="22"/>
              </w:rPr>
              <w:t>-</w:t>
            </w:r>
            <w:r w:rsidRPr="00B3119E">
              <w:rPr>
                <w:rFonts w:ascii="Calibri" w:hAnsi="Calibri" w:cs="Calibri"/>
                <w:sz w:val="22"/>
                <w:szCs w:val="22"/>
              </w:rPr>
              <w:t>actual comparison</w:t>
            </w:r>
            <w:r>
              <w:rPr>
                <w:rFonts w:ascii="Calibri" w:hAnsi="Calibri" w:cs="Calibri"/>
                <w:sz w:val="22"/>
                <w:szCs w:val="22"/>
              </w:rPr>
              <w:t>,</w:t>
            </w:r>
            <w:r w:rsidRPr="00B3119E">
              <w:rPr>
                <w:rFonts w:ascii="Calibri" w:hAnsi="Calibri" w:cs="Calibri"/>
                <w:sz w:val="22"/>
                <w:szCs w:val="22"/>
              </w:rPr>
              <w:t xml:space="preserve"> Impact quantification</w:t>
            </w:r>
          </w:p>
        </w:tc>
        <w:tc>
          <w:tcPr>
            <w:tcW w:w="2333" w:type="dxa"/>
            <w:vAlign w:val="center"/>
          </w:tcPr>
          <w:p w14:paraId="4E011C53" w14:textId="24E2701C"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2</w:t>
            </w:r>
            <w:r w:rsidR="00231DA7">
              <w:rPr>
                <w:rFonts w:ascii="Calibri" w:hAnsi="Calibri" w:cs="Calibri"/>
                <w:sz w:val="22"/>
                <w:szCs w:val="22"/>
              </w:rPr>
              <w:t>4</w:t>
            </w:r>
          </w:p>
        </w:tc>
      </w:tr>
      <w:tr w:rsidR="00B3119E" w:rsidRPr="00D6057A" w14:paraId="561BA25E" w14:textId="77777777" w:rsidTr="0051597E">
        <w:trPr>
          <w:trHeight w:val="151"/>
          <w:jc w:val="center"/>
        </w:trPr>
        <w:tc>
          <w:tcPr>
            <w:tcW w:w="3209" w:type="dxa"/>
            <w:vAlign w:val="center"/>
          </w:tcPr>
          <w:p w14:paraId="26B27ABE" w14:textId="565A0A3D"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Diagnostic reasoning</w:t>
            </w:r>
          </w:p>
        </w:tc>
        <w:tc>
          <w:tcPr>
            <w:tcW w:w="4203" w:type="dxa"/>
            <w:vAlign w:val="center"/>
          </w:tcPr>
          <w:p w14:paraId="281B9B6C" w14:textId="788430FC" w:rsidR="00B3119E" w:rsidRPr="00D6057A" w:rsidRDefault="003775E1" w:rsidP="003E314F">
            <w:pPr>
              <w:pStyle w:val="PlainText"/>
              <w:spacing w:after="40"/>
              <w:jc w:val="center"/>
              <w:rPr>
                <w:rFonts w:ascii="Calibri" w:hAnsi="Calibri" w:cs="Calibri"/>
                <w:sz w:val="22"/>
                <w:szCs w:val="22"/>
              </w:rPr>
            </w:pPr>
            <w:r w:rsidRPr="003775E1">
              <w:rPr>
                <w:rFonts w:ascii="Calibri" w:hAnsi="Calibri" w:cs="Calibri"/>
                <w:sz w:val="22"/>
                <w:szCs w:val="22"/>
              </w:rPr>
              <w:t>Bottleneck identification</w:t>
            </w:r>
            <w:r>
              <w:rPr>
                <w:rFonts w:ascii="Calibri" w:hAnsi="Calibri" w:cs="Calibri"/>
                <w:sz w:val="22"/>
                <w:szCs w:val="22"/>
              </w:rPr>
              <w:t xml:space="preserve">, </w:t>
            </w:r>
            <w:r w:rsidRPr="003775E1">
              <w:rPr>
                <w:rFonts w:ascii="Calibri" w:hAnsi="Calibri" w:cs="Calibri"/>
                <w:sz w:val="22"/>
                <w:szCs w:val="22"/>
              </w:rPr>
              <w:t>Cause attribution</w:t>
            </w:r>
            <w:r>
              <w:rPr>
                <w:rFonts w:ascii="Calibri" w:hAnsi="Calibri" w:cs="Calibri"/>
                <w:sz w:val="22"/>
                <w:szCs w:val="22"/>
              </w:rPr>
              <w:t xml:space="preserve">, </w:t>
            </w:r>
            <w:r w:rsidRPr="003775E1">
              <w:rPr>
                <w:rFonts w:ascii="Calibri" w:hAnsi="Calibri" w:cs="Calibri"/>
                <w:sz w:val="22"/>
                <w:szCs w:val="22"/>
              </w:rPr>
              <w:t>Spatio</w:t>
            </w:r>
            <w:r w:rsidR="00451EA4">
              <w:rPr>
                <w:rFonts w:ascii="Calibri" w:hAnsi="Calibri" w:cs="Calibri"/>
                <w:sz w:val="22"/>
                <w:szCs w:val="22"/>
              </w:rPr>
              <w:t>-</w:t>
            </w:r>
            <w:r w:rsidRPr="003775E1">
              <w:rPr>
                <w:rFonts w:ascii="Calibri" w:hAnsi="Calibri" w:cs="Calibri"/>
                <w:sz w:val="22"/>
                <w:szCs w:val="22"/>
              </w:rPr>
              <w:t>temporal reasoning</w:t>
            </w:r>
            <w:r>
              <w:rPr>
                <w:rFonts w:ascii="Calibri" w:hAnsi="Calibri" w:cs="Calibri"/>
                <w:sz w:val="22"/>
                <w:szCs w:val="22"/>
              </w:rPr>
              <w:t>,</w:t>
            </w:r>
            <w:r w:rsidRPr="003775E1">
              <w:rPr>
                <w:rFonts w:ascii="Calibri" w:hAnsi="Calibri" w:cs="Calibri"/>
                <w:sz w:val="22"/>
                <w:szCs w:val="22"/>
              </w:rPr>
              <w:t xml:space="preserve"> Knowledge representation</w:t>
            </w:r>
          </w:p>
        </w:tc>
        <w:tc>
          <w:tcPr>
            <w:tcW w:w="2333" w:type="dxa"/>
            <w:vAlign w:val="center"/>
          </w:tcPr>
          <w:p w14:paraId="477B092B" w14:textId="31EAE006" w:rsidR="00B3119E" w:rsidRPr="00D6057A" w:rsidRDefault="00231DA7" w:rsidP="003E314F">
            <w:pPr>
              <w:pStyle w:val="PlainText"/>
              <w:spacing w:after="40"/>
              <w:jc w:val="center"/>
              <w:rPr>
                <w:rFonts w:ascii="Calibri" w:hAnsi="Calibri" w:cs="Calibri"/>
                <w:sz w:val="22"/>
                <w:szCs w:val="22"/>
              </w:rPr>
            </w:pPr>
            <w:r>
              <w:rPr>
                <w:rFonts w:ascii="Calibri" w:hAnsi="Calibri" w:cs="Calibri"/>
                <w:sz w:val="22"/>
                <w:szCs w:val="22"/>
              </w:rPr>
              <w:t>9</w:t>
            </w:r>
          </w:p>
        </w:tc>
      </w:tr>
      <w:tr w:rsidR="00B3119E" w:rsidRPr="00D6057A" w14:paraId="10A3D0E4" w14:textId="77777777" w:rsidTr="0051597E">
        <w:trPr>
          <w:jc w:val="center"/>
        </w:trPr>
        <w:tc>
          <w:tcPr>
            <w:tcW w:w="3209" w:type="dxa"/>
            <w:vAlign w:val="center"/>
          </w:tcPr>
          <w:p w14:paraId="7D30D1A0" w14:textId="038243C5"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Decision affordances</w:t>
            </w:r>
          </w:p>
        </w:tc>
        <w:tc>
          <w:tcPr>
            <w:tcW w:w="4203" w:type="dxa"/>
            <w:vAlign w:val="center"/>
          </w:tcPr>
          <w:p w14:paraId="54E6F364" w14:textId="56201EA4" w:rsidR="00B3119E" w:rsidRPr="00D6057A" w:rsidRDefault="003775E1" w:rsidP="003E314F">
            <w:pPr>
              <w:pStyle w:val="PlainText"/>
              <w:spacing w:after="40"/>
              <w:jc w:val="center"/>
              <w:rPr>
                <w:rFonts w:ascii="Calibri" w:hAnsi="Calibri" w:cs="Calibri"/>
                <w:sz w:val="22"/>
                <w:szCs w:val="22"/>
              </w:rPr>
            </w:pPr>
            <w:r w:rsidRPr="003775E1">
              <w:rPr>
                <w:rFonts w:ascii="Calibri" w:hAnsi="Calibri" w:cs="Calibri"/>
                <w:sz w:val="22"/>
                <w:szCs w:val="22"/>
              </w:rPr>
              <w:t>Monitoring &amp; reporting</w:t>
            </w:r>
            <w:r w:rsidR="00F40894">
              <w:rPr>
                <w:rFonts w:ascii="Calibri" w:hAnsi="Calibri" w:cs="Calibri"/>
                <w:sz w:val="22"/>
                <w:szCs w:val="22"/>
              </w:rPr>
              <w:t xml:space="preserve">, </w:t>
            </w:r>
            <w:r w:rsidRPr="003775E1">
              <w:rPr>
                <w:rFonts w:ascii="Calibri" w:hAnsi="Calibri" w:cs="Calibri"/>
                <w:sz w:val="22"/>
                <w:szCs w:val="22"/>
              </w:rPr>
              <w:t>Problem feedback &amp; alerting</w:t>
            </w:r>
            <w:r>
              <w:rPr>
                <w:rFonts w:ascii="Calibri" w:hAnsi="Calibri" w:cs="Calibri"/>
                <w:sz w:val="22"/>
                <w:szCs w:val="22"/>
              </w:rPr>
              <w:t>,</w:t>
            </w:r>
            <w:r w:rsidRPr="003775E1">
              <w:rPr>
                <w:rFonts w:ascii="Calibri" w:hAnsi="Calibri" w:cs="Calibri"/>
                <w:sz w:val="22"/>
                <w:szCs w:val="22"/>
              </w:rPr>
              <w:t xml:space="preserve"> Intervention recommendation</w:t>
            </w:r>
            <w:r>
              <w:rPr>
                <w:rFonts w:ascii="Calibri" w:hAnsi="Calibri" w:cs="Calibri"/>
                <w:sz w:val="22"/>
                <w:szCs w:val="22"/>
              </w:rPr>
              <w:t>,</w:t>
            </w:r>
            <w:r w:rsidRPr="003775E1">
              <w:rPr>
                <w:rFonts w:ascii="Calibri" w:hAnsi="Calibri" w:cs="Calibri"/>
                <w:sz w:val="22"/>
                <w:szCs w:val="22"/>
              </w:rPr>
              <w:t xml:space="preserve"> Worker guidance</w:t>
            </w:r>
            <w:r>
              <w:rPr>
                <w:rFonts w:ascii="Calibri" w:hAnsi="Calibri" w:cs="Calibri"/>
                <w:sz w:val="22"/>
                <w:szCs w:val="22"/>
              </w:rPr>
              <w:t>,</w:t>
            </w:r>
            <w:r w:rsidRPr="003775E1">
              <w:rPr>
                <w:rFonts w:ascii="Calibri" w:hAnsi="Calibri" w:cs="Calibri"/>
                <w:sz w:val="22"/>
                <w:szCs w:val="22"/>
              </w:rPr>
              <w:t xml:space="preserve"> Resource-allocation support</w:t>
            </w:r>
          </w:p>
        </w:tc>
        <w:tc>
          <w:tcPr>
            <w:tcW w:w="2333" w:type="dxa"/>
            <w:vAlign w:val="center"/>
          </w:tcPr>
          <w:p w14:paraId="0DDDCA3A" w14:textId="31B8189A" w:rsidR="00B3119E" w:rsidRPr="00D6057A" w:rsidRDefault="00F40894" w:rsidP="003E314F">
            <w:pPr>
              <w:pStyle w:val="PlainText"/>
              <w:spacing w:after="40"/>
              <w:jc w:val="center"/>
              <w:rPr>
                <w:rFonts w:ascii="Calibri" w:hAnsi="Calibri" w:cs="Calibri"/>
                <w:sz w:val="22"/>
                <w:szCs w:val="22"/>
              </w:rPr>
            </w:pPr>
            <w:r>
              <w:rPr>
                <w:rFonts w:ascii="Calibri" w:hAnsi="Calibri" w:cs="Calibri"/>
                <w:sz w:val="22"/>
                <w:szCs w:val="22"/>
              </w:rPr>
              <w:t>1</w:t>
            </w:r>
            <w:r w:rsidR="00231DA7">
              <w:rPr>
                <w:rFonts w:ascii="Calibri" w:hAnsi="Calibri" w:cs="Calibri"/>
                <w:sz w:val="22"/>
                <w:szCs w:val="22"/>
              </w:rPr>
              <w:t>1</w:t>
            </w:r>
          </w:p>
        </w:tc>
      </w:tr>
      <w:tr w:rsidR="00B3119E" w:rsidRPr="00D6057A" w14:paraId="6C36CCE6" w14:textId="77777777" w:rsidTr="0051597E">
        <w:trPr>
          <w:trHeight w:val="151"/>
          <w:jc w:val="center"/>
        </w:trPr>
        <w:tc>
          <w:tcPr>
            <w:tcW w:w="3209" w:type="dxa"/>
            <w:vAlign w:val="center"/>
          </w:tcPr>
          <w:p w14:paraId="73D23C0F" w14:textId="00771AA3" w:rsidR="00B3119E" w:rsidRPr="00D6057A" w:rsidRDefault="00B3119E" w:rsidP="003E314F">
            <w:pPr>
              <w:pStyle w:val="PlainText"/>
              <w:spacing w:after="40"/>
              <w:jc w:val="center"/>
              <w:rPr>
                <w:rFonts w:ascii="Calibri" w:hAnsi="Calibri" w:cs="Calibri"/>
                <w:sz w:val="22"/>
                <w:szCs w:val="22"/>
              </w:rPr>
            </w:pPr>
            <w:r w:rsidRPr="00B3119E">
              <w:rPr>
                <w:rFonts w:ascii="Calibri" w:hAnsi="Calibri" w:cs="Calibri"/>
                <w:sz w:val="22"/>
                <w:szCs w:val="22"/>
              </w:rPr>
              <w:t>Data &amp; model enablers</w:t>
            </w:r>
          </w:p>
        </w:tc>
        <w:tc>
          <w:tcPr>
            <w:tcW w:w="4203" w:type="dxa"/>
            <w:vAlign w:val="center"/>
          </w:tcPr>
          <w:p w14:paraId="6356FFE3" w14:textId="58F3A8AE" w:rsidR="00B3119E" w:rsidRPr="00D6057A" w:rsidRDefault="003775E1" w:rsidP="003E314F">
            <w:pPr>
              <w:pStyle w:val="PlainText"/>
              <w:spacing w:after="40"/>
              <w:jc w:val="center"/>
              <w:rPr>
                <w:rFonts w:ascii="Calibri" w:hAnsi="Calibri" w:cs="Calibri"/>
                <w:sz w:val="22"/>
                <w:szCs w:val="22"/>
              </w:rPr>
            </w:pPr>
            <w:r w:rsidRPr="003775E1">
              <w:rPr>
                <w:rFonts w:ascii="Calibri" w:hAnsi="Calibri" w:cs="Calibri"/>
                <w:sz w:val="22"/>
                <w:szCs w:val="22"/>
              </w:rPr>
              <w:t>Data acquisition</w:t>
            </w:r>
            <w:r>
              <w:rPr>
                <w:rFonts w:ascii="Calibri" w:hAnsi="Calibri" w:cs="Calibri"/>
                <w:sz w:val="22"/>
                <w:szCs w:val="22"/>
              </w:rPr>
              <w:t xml:space="preserve">, </w:t>
            </w:r>
            <w:r w:rsidRPr="003775E1">
              <w:rPr>
                <w:rFonts w:ascii="Calibri" w:hAnsi="Calibri" w:cs="Calibri"/>
                <w:sz w:val="22"/>
                <w:szCs w:val="22"/>
              </w:rPr>
              <w:t>3D reconstruction &amp; registration</w:t>
            </w:r>
            <w:r>
              <w:rPr>
                <w:rFonts w:ascii="Calibri" w:hAnsi="Calibri" w:cs="Calibri"/>
                <w:sz w:val="22"/>
                <w:szCs w:val="22"/>
              </w:rPr>
              <w:t xml:space="preserve">, </w:t>
            </w:r>
            <w:r w:rsidRPr="003775E1">
              <w:rPr>
                <w:rFonts w:ascii="Calibri" w:hAnsi="Calibri" w:cs="Calibri"/>
                <w:sz w:val="22"/>
                <w:szCs w:val="22"/>
              </w:rPr>
              <w:t>Detector/data development</w:t>
            </w:r>
            <w:r>
              <w:rPr>
                <w:rFonts w:ascii="Calibri" w:hAnsi="Calibri" w:cs="Calibri"/>
                <w:sz w:val="22"/>
                <w:szCs w:val="22"/>
              </w:rPr>
              <w:t xml:space="preserve">, </w:t>
            </w:r>
            <w:r w:rsidRPr="003775E1">
              <w:rPr>
                <w:rFonts w:ascii="Calibri" w:hAnsi="Calibri" w:cs="Calibri"/>
                <w:sz w:val="22"/>
                <w:szCs w:val="22"/>
              </w:rPr>
              <w:t>Measurement refinement</w:t>
            </w:r>
          </w:p>
        </w:tc>
        <w:tc>
          <w:tcPr>
            <w:tcW w:w="2333" w:type="dxa"/>
            <w:vAlign w:val="center"/>
          </w:tcPr>
          <w:p w14:paraId="1BA38BCC" w14:textId="527AC5A6" w:rsidR="00B3119E" w:rsidRPr="00D6057A" w:rsidRDefault="00231DA7" w:rsidP="003E314F">
            <w:pPr>
              <w:pStyle w:val="PlainText"/>
              <w:spacing w:after="40"/>
              <w:jc w:val="center"/>
              <w:rPr>
                <w:rFonts w:ascii="Calibri" w:hAnsi="Calibri" w:cs="Calibri"/>
                <w:sz w:val="22"/>
                <w:szCs w:val="22"/>
              </w:rPr>
            </w:pPr>
            <w:r>
              <w:rPr>
                <w:rFonts w:ascii="Calibri" w:hAnsi="Calibri" w:cs="Calibri"/>
                <w:sz w:val="22"/>
                <w:szCs w:val="22"/>
              </w:rPr>
              <w:t>23</w:t>
            </w:r>
          </w:p>
        </w:tc>
      </w:tr>
      <w:tr w:rsidR="00F40894" w:rsidRPr="00D6057A" w14:paraId="70085248" w14:textId="77777777" w:rsidTr="0051597E">
        <w:trPr>
          <w:trHeight w:val="53"/>
          <w:jc w:val="center"/>
        </w:trPr>
        <w:tc>
          <w:tcPr>
            <w:tcW w:w="3209" w:type="dxa"/>
            <w:tcBorders>
              <w:bottom w:val="single" w:sz="4" w:space="0" w:color="auto"/>
            </w:tcBorders>
            <w:vAlign w:val="center"/>
          </w:tcPr>
          <w:p w14:paraId="125C91F6" w14:textId="1732DA2C" w:rsidR="00F40894" w:rsidRPr="00B3119E" w:rsidRDefault="00F40894" w:rsidP="00F40894">
            <w:pPr>
              <w:pStyle w:val="PlainText"/>
              <w:spacing w:after="40"/>
              <w:jc w:val="center"/>
              <w:rPr>
                <w:rFonts w:ascii="Calibri" w:hAnsi="Calibri" w:cs="Calibri"/>
                <w:sz w:val="22"/>
                <w:szCs w:val="22"/>
              </w:rPr>
            </w:pPr>
            <w:r w:rsidRPr="00B3119E">
              <w:rPr>
                <w:rFonts w:ascii="Calibri" w:hAnsi="Calibri" w:cs="Calibri"/>
                <w:sz w:val="22"/>
                <w:szCs w:val="22"/>
              </w:rPr>
              <w:t>Non-pipeline (context/scope)</w:t>
            </w:r>
          </w:p>
        </w:tc>
        <w:tc>
          <w:tcPr>
            <w:tcW w:w="4203" w:type="dxa"/>
            <w:tcBorders>
              <w:bottom w:val="single" w:sz="4" w:space="0" w:color="auto"/>
            </w:tcBorders>
            <w:vAlign w:val="center"/>
          </w:tcPr>
          <w:p w14:paraId="04584424" w14:textId="0CF69D63" w:rsidR="00F40894" w:rsidRPr="003775E1" w:rsidRDefault="00F40894" w:rsidP="00F40894">
            <w:pPr>
              <w:pStyle w:val="PlainText"/>
              <w:spacing w:after="40"/>
              <w:jc w:val="center"/>
              <w:rPr>
                <w:rFonts w:ascii="Calibri" w:hAnsi="Calibri" w:cs="Calibri"/>
                <w:sz w:val="22"/>
                <w:szCs w:val="22"/>
              </w:rPr>
            </w:pPr>
            <w:r w:rsidRPr="003775E1">
              <w:rPr>
                <w:rFonts w:ascii="Calibri" w:hAnsi="Calibri" w:cs="Calibri"/>
                <w:sz w:val="22"/>
                <w:szCs w:val="22"/>
              </w:rPr>
              <w:t>Knowledge synthesis</w:t>
            </w:r>
          </w:p>
        </w:tc>
        <w:tc>
          <w:tcPr>
            <w:tcW w:w="2333" w:type="dxa"/>
            <w:tcBorders>
              <w:bottom w:val="single" w:sz="4" w:space="0" w:color="auto"/>
            </w:tcBorders>
            <w:vAlign w:val="center"/>
          </w:tcPr>
          <w:p w14:paraId="493ACE47" w14:textId="6B9A2FD8" w:rsidR="00F40894" w:rsidRDefault="00F40894" w:rsidP="00F40894">
            <w:pPr>
              <w:pStyle w:val="PlainText"/>
              <w:spacing w:after="40"/>
              <w:jc w:val="center"/>
              <w:rPr>
                <w:rFonts w:ascii="Calibri" w:hAnsi="Calibri" w:cs="Calibri"/>
                <w:sz w:val="22"/>
                <w:szCs w:val="22"/>
              </w:rPr>
            </w:pPr>
            <w:r>
              <w:rPr>
                <w:rFonts w:ascii="Calibri" w:hAnsi="Calibri" w:cs="Calibri"/>
                <w:sz w:val="22"/>
                <w:szCs w:val="22"/>
              </w:rPr>
              <w:t>5</w:t>
            </w:r>
          </w:p>
        </w:tc>
      </w:tr>
    </w:tbl>
    <w:p w14:paraId="75737151" w14:textId="314DF0DC" w:rsidR="002F53DB" w:rsidRDefault="002F53DB" w:rsidP="002F53DB">
      <w:pPr>
        <w:pStyle w:val="ListParagraph"/>
        <w:spacing w:after="40" w:line="240" w:lineRule="auto"/>
        <w:ind w:left="0"/>
        <w:rPr>
          <w:rFonts w:ascii="Calibri" w:hAnsi="Calibri" w:cs="Calibri"/>
          <w:b/>
          <w:bCs/>
          <w:sz w:val="24"/>
          <w:szCs w:val="24"/>
        </w:rPr>
      </w:pPr>
      <w:r>
        <w:rPr>
          <w:rFonts w:ascii="Calibri" w:hAnsi="Calibri" w:cs="Calibri"/>
          <w:b/>
          <w:bCs/>
          <w:sz w:val="24"/>
          <w:szCs w:val="24"/>
        </w:rPr>
        <w:lastRenderedPageBreak/>
        <w:t>4</w:t>
      </w:r>
      <w:r w:rsidRPr="00D6057A">
        <w:rPr>
          <w:rFonts w:ascii="Calibri" w:hAnsi="Calibri" w:cs="Calibri"/>
          <w:b/>
          <w:bCs/>
          <w:sz w:val="24"/>
          <w:szCs w:val="24"/>
        </w:rPr>
        <w:t>.</w:t>
      </w:r>
      <w:r w:rsidR="004C3C1A">
        <w:rPr>
          <w:rFonts w:ascii="Calibri" w:hAnsi="Calibri" w:cs="Calibri"/>
          <w:b/>
          <w:bCs/>
          <w:sz w:val="24"/>
          <w:szCs w:val="24"/>
        </w:rPr>
        <w:t>2</w:t>
      </w:r>
      <w:r>
        <w:rPr>
          <w:rFonts w:ascii="Calibri" w:hAnsi="Calibri" w:cs="Calibri"/>
          <w:b/>
          <w:bCs/>
          <w:sz w:val="24"/>
          <w:szCs w:val="24"/>
        </w:rPr>
        <w:t xml:space="preserve"> </w:t>
      </w:r>
      <w:r w:rsidR="004C3C1A">
        <w:rPr>
          <w:rFonts w:ascii="Calibri" w:hAnsi="Calibri" w:cs="Calibri"/>
          <w:b/>
          <w:bCs/>
          <w:sz w:val="24"/>
          <w:szCs w:val="24"/>
        </w:rPr>
        <w:t>From Groups to Stages</w:t>
      </w:r>
    </w:p>
    <w:p w14:paraId="0865A4E4" w14:textId="21DC4FDC" w:rsidR="00A425E2" w:rsidRDefault="004C3C1A" w:rsidP="00A425E2">
      <w:pPr>
        <w:pStyle w:val="ListParagraph"/>
        <w:spacing w:after="40" w:line="240" w:lineRule="auto"/>
        <w:ind w:left="0" w:firstLine="851"/>
        <w:jc w:val="both"/>
        <w:rPr>
          <w:rFonts w:ascii="Calibri" w:hAnsi="Calibri" w:cs="Calibri"/>
        </w:rPr>
      </w:pPr>
      <w:r w:rsidRPr="004C3C1A">
        <w:rPr>
          <w:rFonts w:ascii="Calibri" w:hAnsi="Calibri" w:cs="Calibri"/>
        </w:rPr>
        <w:t>Two of the eight groups fall outside the analytical sequence. Data and model enablers support capability at any point rather than marking progress along it</w:t>
      </w:r>
      <w:r w:rsidR="00A17208">
        <w:rPr>
          <w:rFonts w:ascii="Calibri" w:hAnsi="Calibri" w:cs="Calibri"/>
        </w:rPr>
        <w:t>.</w:t>
      </w:r>
      <w:r w:rsidR="00A425E2">
        <w:rPr>
          <w:rFonts w:ascii="Calibri" w:hAnsi="Calibri" w:cs="Calibri"/>
        </w:rPr>
        <w:t xml:space="preserve"> </w:t>
      </w:r>
      <w:r w:rsidR="00B05FEF" w:rsidRPr="00B05FEF">
        <w:rPr>
          <w:rFonts w:ascii="Calibri" w:hAnsi="Calibri" w:cs="Calibri"/>
        </w:rPr>
        <w:t xml:space="preserve">The remaining six </w:t>
      </w:r>
      <w:r w:rsidR="00A17208">
        <w:rPr>
          <w:rFonts w:ascii="Calibri" w:hAnsi="Calibri" w:cs="Calibri"/>
        </w:rPr>
        <w:t xml:space="preserve">groups </w:t>
      </w:r>
      <w:r w:rsidR="00B05FEF" w:rsidRPr="00B05FEF">
        <w:rPr>
          <w:rFonts w:ascii="Calibri" w:hAnsi="Calibri" w:cs="Calibri"/>
        </w:rPr>
        <w:t>are not independent</w:t>
      </w:r>
      <w:r w:rsidR="00A17208" w:rsidRPr="00A17208">
        <w:rPr>
          <w:rFonts w:ascii="Calibri" w:hAnsi="Calibri" w:cs="Calibri"/>
        </w:rPr>
        <w:t>, each presupposing the one before it</w:t>
      </w:r>
      <w:r w:rsidR="00A17208">
        <w:rPr>
          <w:rFonts w:ascii="Calibri" w:hAnsi="Calibri" w:cs="Calibri"/>
        </w:rPr>
        <w:t xml:space="preserve">. </w:t>
      </w:r>
      <w:r w:rsidR="00B05FEF" w:rsidRPr="00B05FEF">
        <w:rPr>
          <w:rFonts w:ascii="Calibri" w:hAnsi="Calibri" w:cs="Calibri"/>
        </w:rPr>
        <w:t xml:space="preserve">Activity recognition operates on entities that have already been localised. A production rate requires both </w:t>
      </w:r>
      <w:r w:rsidR="00A425E2">
        <w:rPr>
          <w:rFonts w:ascii="Calibri" w:hAnsi="Calibri" w:cs="Calibri"/>
        </w:rPr>
        <w:t>the quantity of work completed and the quantity of resources</w:t>
      </w:r>
      <w:r w:rsidR="00B05FEF" w:rsidRPr="00B05FEF">
        <w:rPr>
          <w:rFonts w:ascii="Calibri" w:hAnsi="Calibri" w:cs="Calibri"/>
        </w:rPr>
        <w:t xml:space="preserve"> consumed. A cause can only be assigned to a rate that has been computed. A recommendation requires a cause to act on. The groups</w:t>
      </w:r>
      <w:r w:rsidR="00A425E2">
        <w:rPr>
          <w:rFonts w:ascii="Calibri" w:hAnsi="Calibri" w:cs="Calibri"/>
        </w:rPr>
        <w:t>, therefore,</w:t>
      </w:r>
      <w:r w:rsidR="00B05FEF" w:rsidRPr="00B05FEF">
        <w:rPr>
          <w:rFonts w:ascii="Calibri" w:hAnsi="Calibri" w:cs="Calibri"/>
        </w:rPr>
        <w:t xml:space="preserve"> form a sequence rather than a set of alternatives, and a system cannot occupy a later position without satisfying the earlier ones.</w:t>
      </w:r>
      <w:r w:rsidR="00B05FEF">
        <w:rPr>
          <w:rFonts w:ascii="Calibri" w:hAnsi="Calibri" w:cs="Calibri"/>
        </w:rPr>
        <w:t xml:space="preserve"> </w:t>
      </w:r>
    </w:p>
    <w:p w14:paraId="249AF500" w14:textId="14ED2A8C" w:rsidR="00B3119E" w:rsidRDefault="00EA597B" w:rsidP="00831E7B">
      <w:pPr>
        <w:pStyle w:val="ListParagraph"/>
        <w:spacing w:after="40" w:line="240" w:lineRule="auto"/>
        <w:ind w:left="0" w:firstLine="851"/>
        <w:jc w:val="both"/>
        <w:rPr>
          <w:rFonts w:ascii="Calibri" w:hAnsi="Calibri" w:cs="Calibri"/>
        </w:rPr>
      </w:pPr>
      <w:r w:rsidRPr="00EA597B">
        <w:rPr>
          <w:rFonts w:ascii="Calibri" w:hAnsi="Calibri" w:cs="Calibri"/>
        </w:rPr>
        <w:t>Two of the six groups occupy the same position within the sequence. Temporal and effort accounting quantifies the input side, comprising the effort expended, while output quantification quantifies the output side, comprising the progress achieved. As productivity is defined as progress per unit of effort, neither measurement alone yields a productivity value. The two groups therefore constitute a single stage rather than two successive ones.</w:t>
      </w:r>
    </w:p>
    <w:p w14:paraId="47221C2A" w14:textId="77777777" w:rsidR="00FC7A61" w:rsidRPr="00831E7B" w:rsidRDefault="00FC7A61" w:rsidP="00831E7B">
      <w:pPr>
        <w:pStyle w:val="ListParagraph"/>
        <w:spacing w:after="40" w:line="240" w:lineRule="auto"/>
        <w:ind w:left="0" w:firstLine="851"/>
        <w:jc w:val="both"/>
        <w:rPr>
          <w:rFonts w:ascii="Calibri" w:hAnsi="Calibri" w:cs="Calibri"/>
        </w:rPr>
      </w:pPr>
    </w:p>
    <w:p w14:paraId="04AA39A3" w14:textId="34982206" w:rsidR="00B05FEF" w:rsidRPr="00D6057A" w:rsidRDefault="00B05FEF" w:rsidP="00B05FEF">
      <w:pPr>
        <w:spacing w:after="40" w:line="240" w:lineRule="auto"/>
        <w:jc w:val="center"/>
        <w:rPr>
          <w:rFonts w:ascii="Calibri" w:hAnsi="Calibri" w:cs="Calibri"/>
          <w:b/>
          <w:bCs/>
          <w:i/>
          <w:iCs/>
          <w:color w:val="EE0000"/>
          <w:sz w:val="20"/>
          <w:szCs w:val="20"/>
        </w:rPr>
      </w:pPr>
      <w:r w:rsidRPr="00D6057A">
        <w:rPr>
          <w:rFonts w:ascii="Calibri" w:hAnsi="Calibri" w:cs="Calibri"/>
          <w:i/>
          <w:iCs/>
          <w:sz w:val="20"/>
          <w:szCs w:val="20"/>
        </w:rPr>
        <w:t xml:space="preserve">Table </w:t>
      </w:r>
      <w:r w:rsidR="00D61599">
        <w:rPr>
          <w:rFonts w:ascii="Calibri" w:hAnsi="Calibri" w:cs="Calibri"/>
          <w:i/>
          <w:iCs/>
          <w:sz w:val="20"/>
          <w:szCs w:val="20"/>
        </w:rPr>
        <w:t>2</w:t>
      </w:r>
      <w:r w:rsidRPr="00D6057A">
        <w:rPr>
          <w:rFonts w:ascii="Calibri" w:hAnsi="Calibri" w:cs="Calibri"/>
          <w:i/>
          <w:iCs/>
          <w:sz w:val="20"/>
          <w:szCs w:val="20"/>
        </w:rPr>
        <w:t xml:space="preserve">: </w:t>
      </w:r>
      <w:r w:rsidR="00D61599">
        <w:rPr>
          <w:rFonts w:ascii="Calibri" w:hAnsi="Calibri" w:cs="Calibri"/>
          <w:i/>
          <w:iCs/>
          <w:sz w:val="20"/>
          <w:szCs w:val="20"/>
        </w:rPr>
        <w:t>C</w:t>
      </w:r>
      <w:r w:rsidR="00A425E2">
        <w:rPr>
          <w:rFonts w:ascii="Calibri" w:hAnsi="Calibri" w:cs="Calibri"/>
          <w:i/>
          <w:iCs/>
          <w:sz w:val="20"/>
          <w:szCs w:val="20"/>
        </w:rPr>
        <w:t>l</w:t>
      </w:r>
      <w:r w:rsidR="00D61599">
        <w:rPr>
          <w:rFonts w:ascii="Calibri" w:hAnsi="Calibri" w:cs="Calibri"/>
          <w:i/>
          <w:iCs/>
          <w:sz w:val="20"/>
          <w:szCs w:val="20"/>
        </w:rPr>
        <w:t>uster</w:t>
      </w:r>
      <w:r w:rsidR="00A425E2">
        <w:rPr>
          <w:rFonts w:ascii="Calibri" w:hAnsi="Calibri" w:cs="Calibri"/>
          <w:i/>
          <w:iCs/>
          <w:sz w:val="20"/>
          <w:szCs w:val="20"/>
        </w:rPr>
        <w:t>ed stages</w:t>
      </w:r>
    </w:p>
    <w:tbl>
      <w:tblPr>
        <w:tblW w:w="0" w:type="auto"/>
        <w:jc w:val="center"/>
        <w:tblLook w:val="04A0" w:firstRow="1" w:lastRow="0" w:firstColumn="1" w:lastColumn="0" w:noHBand="0" w:noVBand="1"/>
      </w:tblPr>
      <w:tblGrid>
        <w:gridCol w:w="2893"/>
        <w:gridCol w:w="2893"/>
        <w:gridCol w:w="2921"/>
      </w:tblGrid>
      <w:tr w:rsidR="00B05FEF" w:rsidRPr="00D6057A" w14:paraId="734F0693" w14:textId="77777777" w:rsidTr="003E2A7F">
        <w:trPr>
          <w:jc w:val="center"/>
        </w:trPr>
        <w:tc>
          <w:tcPr>
            <w:tcW w:w="2893" w:type="dxa"/>
            <w:tcBorders>
              <w:top w:val="single" w:sz="4" w:space="0" w:color="auto"/>
              <w:bottom w:val="single" w:sz="4" w:space="0" w:color="auto"/>
            </w:tcBorders>
            <w:vAlign w:val="center"/>
          </w:tcPr>
          <w:p w14:paraId="1171C343" w14:textId="0ED0AB80" w:rsidR="00B05FEF" w:rsidRPr="00D6057A" w:rsidRDefault="00B05FEF" w:rsidP="003E314F">
            <w:pPr>
              <w:pStyle w:val="PlainText"/>
              <w:spacing w:after="40"/>
              <w:jc w:val="center"/>
              <w:rPr>
                <w:rFonts w:ascii="Calibri" w:hAnsi="Calibri" w:cs="Calibri"/>
                <w:sz w:val="22"/>
                <w:szCs w:val="22"/>
              </w:rPr>
            </w:pPr>
            <w:r>
              <w:rPr>
                <w:rFonts w:ascii="Calibri" w:hAnsi="Calibri" w:cs="Calibri"/>
                <w:sz w:val="22"/>
                <w:szCs w:val="22"/>
              </w:rPr>
              <w:t>Stage</w:t>
            </w:r>
          </w:p>
        </w:tc>
        <w:tc>
          <w:tcPr>
            <w:tcW w:w="2893" w:type="dxa"/>
            <w:tcBorders>
              <w:top w:val="single" w:sz="4" w:space="0" w:color="auto"/>
              <w:bottom w:val="single" w:sz="4" w:space="0" w:color="auto"/>
            </w:tcBorders>
            <w:vAlign w:val="center"/>
          </w:tcPr>
          <w:p w14:paraId="545C98C9" w14:textId="5D1CFA7D" w:rsidR="00B05FEF" w:rsidRPr="00D6057A" w:rsidRDefault="00B05FEF" w:rsidP="003E314F">
            <w:pPr>
              <w:pStyle w:val="PlainText"/>
              <w:spacing w:after="40"/>
              <w:jc w:val="center"/>
              <w:rPr>
                <w:rFonts w:ascii="Calibri" w:hAnsi="Calibri" w:cs="Calibri"/>
                <w:sz w:val="22"/>
                <w:szCs w:val="22"/>
              </w:rPr>
            </w:pPr>
            <w:r>
              <w:rPr>
                <w:rFonts w:ascii="Calibri" w:hAnsi="Calibri" w:cs="Calibri"/>
                <w:sz w:val="22"/>
                <w:szCs w:val="22"/>
              </w:rPr>
              <w:t>Groups</w:t>
            </w:r>
          </w:p>
        </w:tc>
        <w:tc>
          <w:tcPr>
            <w:tcW w:w="2921" w:type="dxa"/>
            <w:tcBorders>
              <w:top w:val="single" w:sz="4" w:space="0" w:color="auto"/>
              <w:bottom w:val="single" w:sz="4" w:space="0" w:color="auto"/>
            </w:tcBorders>
            <w:vAlign w:val="center"/>
          </w:tcPr>
          <w:p w14:paraId="5DE69E2D" w14:textId="447B9B9C" w:rsidR="00B05FEF" w:rsidRPr="00D6057A" w:rsidRDefault="00B05FEF" w:rsidP="003E314F">
            <w:pPr>
              <w:pStyle w:val="PlainText"/>
              <w:spacing w:after="40"/>
              <w:jc w:val="center"/>
              <w:rPr>
                <w:rFonts w:ascii="Calibri" w:hAnsi="Calibri" w:cs="Calibri"/>
                <w:sz w:val="22"/>
                <w:szCs w:val="22"/>
              </w:rPr>
            </w:pPr>
            <w:r w:rsidRPr="00B05FEF">
              <w:rPr>
                <w:rFonts w:ascii="Calibri" w:hAnsi="Calibri" w:cs="Calibri"/>
                <w:sz w:val="22"/>
                <w:szCs w:val="22"/>
              </w:rPr>
              <w:t>What it delivers</w:t>
            </w:r>
          </w:p>
        </w:tc>
      </w:tr>
      <w:tr w:rsidR="00B05FEF" w:rsidRPr="00D6057A" w14:paraId="481E6D5F" w14:textId="77777777" w:rsidTr="003E2A7F">
        <w:trPr>
          <w:trHeight w:val="116"/>
          <w:jc w:val="center"/>
        </w:trPr>
        <w:tc>
          <w:tcPr>
            <w:tcW w:w="2893" w:type="dxa"/>
            <w:tcBorders>
              <w:top w:val="single" w:sz="4" w:space="0" w:color="auto"/>
            </w:tcBorders>
            <w:vAlign w:val="center"/>
          </w:tcPr>
          <w:p w14:paraId="39BC3AA0" w14:textId="68AF7C57" w:rsidR="00B05FEF" w:rsidRPr="00D6057A" w:rsidRDefault="00B05FEF" w:rsidP="003E314F">
            <w:pPr>
              <w:pStyle w:val="PlainText"/>
              <w:spacing w:after="40"/>
              <w:jc w:val="center"/>
              <w:rPr>
                <w:rFonts w:ascii="Calibri" w:hAnsi="Calibri" w:cs="Calibri"/>
                <w:sz w:val="22"/>
                <w:szCs w:val="22"/>
              </w:rPr>
            </w:pPr>
            <w:r>
              <w:rPr>
                <w:rFonts w:ascii="Calibri" w:hAnsi="Calibri" w:cs="Calibri"/>
                <w:sz w:val="22"/>
                <w:szCs w:val="22"/>
              </w:rPr>
              <w:t>Detection</w:t>
            </w:r>
          </w:p>
        </w:tc>
        <w:tc>
          <w:tcPr>
            <w:tcW w:w="2893" w:type="dxa"/>
            <w:tcBorders>
              <w:top w:val="single" w:sz="4" w:space="0" w:color="auto"/>
            </w:tcBorders>
            <w:vAlign w:val="center"/>
          </w:tcPr>
          <w:p w14:paraId="0521E478" w14:textId="2A36CD8E" w:rsidR="00B05FEF" w:rsidRPr="00D6057A" w:rsidRDefault="00B05FEF" w:rsidP="003E314F">
            <w:pPr>
              <w:pStyle w:val="PlainText"/>
              <w:spacing w:after="40"/>
              <w:jc w:val="center"/>
              <w:rPr>
                <w:rFonts w:ascii="Calibri" w:hAnsi="Calibri" w:cs="Calibri"/>
                <w:sz w:val="22"/>
                <w:szCs w:val="22"/>
              </w:rPr>
            </w:pPr>
            <w:r w:rsidRPr="00B05FEF">
              <w:rPr>
                <w:rFonts w:ascii="Calibri" w:hAnsi="Calibri" w:cs="Calibri"/>
                <w:sz w:val="22"/>
                <w:szCs w:val="22"/>
              </w:rPr>
              <w:t>Entity localisation &amp; identification</w:t>
            </w:r>
          </w:p>
        </w:tc>
        <w:tc>
          <w:tcPr>
            <w:tcW w:w="2921" w:type="dxa"/>
            <w:tcBorders>
              <w:top w:val="single" w:sz="4" w:space="0" w:color="auto"/>
            </w:tcBorders>
            <w:vAlign w:val="center"/>
          </w:tcPr>
          <w:p w14:paraId="2D0230FF" w14:textId="4A9666F9" w:rsidR="00B05FEF" w:rsidRPr="00D6057A" w:rsidRDefault="003E2A7F" w:rsidP="003E314F">
            <w:pPr>
              <w:pStyle w:val="PlainText"/>
              <w:spacing w:after="40"/>
              <w:jc w:val="center"/>
              <w:rPr>
                <w:rFonts w:ascii="Calibri" w:hAnsi="Calibri" w:cs="Calibri"/>
                <w:sz w:val="22"/>
                <w:szCs w:val="22"/>
              </w:rPr>
            </w:pPr>
            <w:r w:rsidRPr="003E2A7F">
              <w:rPr>
                <w:rFonts w:ascii="Calibri" w:hAnsi="Calibri" w:cs="Calibri"/>
                <w:sz w:val="22"/>
                <w:szCs w:val="22"/>
              </w:rPr>
              <w:t>Identifies and localises construction entities in the visual field</w:t>
            </w:r>
          </w:p>
        </w:tc>
      </w:tr>
      <w:tr w:rsidR="00B05FEF" w:rsidRPr="00D6057A" w14:paraId="2FA35FA8" w14:textId="77777777" w:rsidTr="003E2A7F">
        <w:trPr>
          <w:trHeight w:val="5"/>
          <w:jc w:val="center"/>
        </w:trPr>
        <w:tc>
          <w:tcPr>
            <w:tcW w:w="2893" w:type="dxa"/>
            <w:vAlign w:val="center"/>
          </w:tcPr>
          <w:p w14:paraId="5256A95B" w14:textId="051A058D"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Activity Recognition</w:t>
            </w:r>
          </w:p>
        </w:tc>
        <w:tc>
          <w:tcPr>
            <w:tcW w:w="2893" w:type="dxa"/>
            <w:vAlign w:val="center"/>
          </w:tcPr>
          <w:p w14:paraId="61ABEBB6" w14:textId="74A4134C"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Activity &amp; interaction recognition</w:t>
            </w:r>
          </w:p>
        </w:tc>
        <w:tc>
          <w:tcPr>
            <w:tcW w:w="2921" w:type="dxa"/>
            <w:vAlign w:val="center"/>
          </w:tcPr>
          <w:p w14:paraId="6231E823" w14:textId="5374A1BE"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Classifies what detected entities are doing over time</w:t>
            </w:r>
          </w:p>
        </w:tc>
      </w:tr>
      <w:tr w:rsidR="00B05FEF" w:rsidRPr="00D6057A" w14:paraId="3C3D8B4D" w14:textId="77777777" w:rsidTr="003E2A7F">
        <w:trPr>
          <w:trHeight w:val="5"/>
          <w:jc w:val="center"/>
        </w:trPr>
        <w:tc>
          <w:tcPr>
            <w:tcW w:w="2893" w:type="dxa"/>
            <w:vAlign w:val="center"/>
          </w:tcPr>
          <w:p w14:paraId="29997AD0" w14:textId="2A94B90C"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Productivity Assessment</w:t>
            </w:r>
          </w:p>
        </w:tc>
        <w:tc>
          <w:tcPr>
            <w:tcW w:w="2893" w:type="dxa"/>
            <w:vAlign w:val="center"/>
          </w:tcPr>
          <w:p w14:paraId="00093BAF" w14:textId="465F0A94"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Temporal &amp; effort accounting; Output &amp; productivity quantification</w:t>
            </w:r>
          </w:p>
        </w:tc>
        <w:tc>
          <w:tcPr>
            <w:tcW w:w="2921" w:type="dxa"/>
            <w:vAlign w:val="center"/>
          </w:tcPr>
          <w:p w14:paraId="19C52C34" w14:textId="51C63A43"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Converts visual observations into an explicit productivity measure</w:t>
            </w:r>
          </w:p>
        </w:tc>
      </w:tr>
      <w:tr w:rsidR="00B05FEF" w:rsidRPr="00D6057A" w14:paraId="3C4E6DE3" w14:textId="77777777" w:rsidTr="003E2A7F">
        <w:trPr>
          <w:trHeight w:val="5"/>
          <w:jc w:val="center"/>
        </w:trPr>
        <w:tc>
          <w:tcPr>
            <w:tcW w:w="2893" w:type="dxa"/>
            <w:vAlign w:val="center"/>
          </w:tcPr>
          <w:p w14:paraId="2015DC98" w14:textId="5D6FF9C9"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Attribution</w:t>
            </w:r>
          </w:p>
        </w:tc>
        <w:tc>
          <w:tcPr>
            <w:tcW w:w="2893" w:type="dxa"/>
            <w:vAlign w:val="center"/>
          </w:tcPr>
          <w:p w14:paraId="01BC81F9" w14:textId="0665C48C"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Diagnostic reasoning</w:t>
            </w:r>
          </w:p>
        </w:tc>
        <w:tc>
          <w:tcPr>
            <w:tcW w:w="2921" w:type="dxa"/>
            <w:vAlign w:val="center"/>
          </w:tcPr>
          <w:p w14:paraId="2F7F28D6" w14:textId="6E76EA04"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Links a measured productivity outcome to a named causal factor</w:t>
            </w:r>
          </w:p>
        </w:tc>
      </w:tr>
      <w:tr w:rsidR="00B05FEF" w:rsidRPr="00D6057A" w14:paraId="6362F1D5" w14:textId="77777777" w:rsidTr="003E2A7F">
        <w:trPr>
          <w:trHeight w:val="5"/>
          <w:jc w:val="center"/>
        </w:trPr>
        <w:tc>
          <w:tcPr>
            <w:tcW w:w="2893" w:type="dxa"/>
            <w:tcBorders>
              <w:bottom w:val="single" w:sz="4" w:space="0" w:color="auto"/>
            </w:tcBorders>
            <w:vAlign w:val="center"/>
          </w:tcPr>
          <w:p w14:paraId="0F17CE5C" w14:textId="7258F1C1"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Decision Support</w:t>
            </w:r>
          </w:p>
        </w:tc>
        <w:tc>
          <w:tcPr>
            <w:tcW w:w="2893" w:type="dxa"/>
            <w:tcBorders>
              <w:bottom w:val="single" w:sz="4" w:space="0" w:color="auto"/>
            </w:tcBorders>
            <w:vAlign w:val="center"/>
          </w:tcPr>
          <w:p w14:paraId="1F5449E9" w14:textId="595F2349"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Decision affordances</w:t>
            </w:r>
          </w:p>
        </w:tc>
        <w:tc>
          <w:tcPr>
            <w:tcW w:w="2921" w:type="dxa"/>
            <w:tcBorders>
              <w:bottom w:val="single" w:sz="4" w:space="0" w:color="auto"/>
            </w:tcBorders>
            <w:vAlign w:val="center"/>
          </w:tcPr>
          <w:p w14:paraId="56D5CE94" w14:textId="6B636775" w:rsidR="00B05FEF" w:rsidRPr="00D6057A" w:rsidRDefault="009C0E97" w:rsidP="003E314F">
            <w:pPr>
              <w:pStyle w:val="PlainText"/>
              <w:spacing w:after="40"/>
              <w:jc w:val="center"/>
              <w:rPr>
                <w:rFonts w:ascii="Calibri" w:hAnsi="Calibri" w:cs="Calibri"/>
                <w:sz w:val="22"/>
                <w:szCs w:val="22"/>
              </w:rPr>
            </w:pPr>
            <w:r w:rsidRPr="009C0E97">
              <w:rPr>
                <w:rFonts w:ascii="Calibri" w:hAnsi="Calibri" w:cs="Calibri"/>
                <w:sz w:val="22"/>
                <w:szCs w:val="22"/>
              </w:rPr>
              <w:t>Generates a concrete operational recommendation</w:t>
            </w:r>
          </w:p>
        </w:tc>
      </w:tr>
    </w:tbl>
    <w:p w14:paraId="4D717878" w14:textId="77777777" w:rsidR="002F7634" w:rsidRDefault="002F7634" w:rsidP="00B80880">
      <w:pPr>
        <w:pStyle w:val="ListParagraph"/>
        <w:spacing w:after="40" w:line="240" w:lineRule="auto"/>
        <w:ind w:left="0"/>
        <w:rPr>
          <w:rFonts w:ascii="Calibri" w:hAnsi="Calibri" w:cs="Calibri"/>
          <w:b/>
          <w:bCs/>
          <w:sz w:val="24"/>
          <w:szCs w:val="24"/>
        </w:rPr>
      </w:pPr>
    </w:p>
    <w:p w14:paraId="6BFC3CCD" w14:textId="058EAC37" w:rsidR="00B80880" w:rsidRDefault="00B80880" w:rsidP="00B80880">
      <w:pPr>
        <w:pStyle w:val="ListParagraph"/>
        <w:spacing w:after="40" w:line="240" w:lineRule="auto"/>
        <w:ind w:left="0"/>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Pr>
          <w:rFonts w:ascii="Calibri" w:hAnsi="Calibri" w:cs="Calibri"/>
          <w:b/>
          <w:bCs/>
          <w:sz w:val="24"/>
          <w:szCs w:val="24"/>
        </w:rPr>
        <w:t xml:space="preserve">3 </w:t>
      </w:r>
      <w:r w:rsidR="009755CD">
        <w:rPr>
          <w:rFonts w:ascii="Calibri" w:hAnsi="Calibri" w:cs="Calibri"/>
          <w:b/>
          <w:bCs/>
          <w:sz w:val="24"/>
          <w:szCs w:val="24"/>
        </w:rPr>
        <w:t>Classification of Literature &amp; Key Findings</w:t>
      </w:r>
    </w:p>
    <w:p w14:paraId="62505B55" w14:textId="0DDF8747" w:rsidR="005F491B" w:rsidRPr="00746C78" w:rsidRDefault="005F491B" w:rsidP="005F491B">
      <w:pPr>
        <w:pStyle w:val="ListParagraph"/>
        <w:spacing w:after="40" w:line="240" w:lineRule="auto"/>
        <w:ind w:left="0" w:firstLine="851"/>
        <w:jc w:val="both"/>
        <w:rPr>
          <w:rFonts w:ascii="Calibri" w:hAnsi="Calibri" w:cs="Calibri"/>
        </w:rPr>
      </w:pPr>
      <w:r w:rsidRPr="00C65C38">
        <w:rPr>
          <w:rFonts w:ascii="Calibri" w:hAnsi="Calibri" w:cs="Calibri"/>
        </w:rPr>
        <w:t>The stages defined in Table 2 are cumulative and were derived from the capabilities evidenced across the corpus. The 30 shortlisted studies were subsequently assessed against them, each being positioned at the highest stage its system output satisfies, thereby</w:t>
      </w:r>
      <w:r w:rsidRPr="00451EA4">
        <w:rPr>
          <w:rFonts w:ascii="Calibri" w:hAnsi="Calibri" w:cs="Calibri"/>
        </w:rPr>
        <w:t xml:space="preserve"> </w:t>
      </w:r>
      <w:r w:rsidR="0062646A">
        <w:rPr>
          <w:rFonts w:ascii="Calibri" w:hAnsi="Calibri" w:cs="Calibri"/>
        </w:rPr>
        <w:t xml:space="preserve">satisfying </w:t>
      </w:r>
      <w:r w:rsidRPr="00451EA4">
        <w:rPr>
          <w:rFonts w:ascii="Calibri" w:hAnsi="Calibri" w:cs="Calibri"/>
        </w:rPr>
        <w:t>all preceding stages</w:t>
      </w:r>
      <w:r w:rsidRPr="00C65C38">
        <w:rPr>
          <w:rFonts w:ascii="Calibri" w:hAnsi="Calibri" w:cs="Calibri"/>
        </w:rPr>
        <w:t xml:space="preserve">. Five studies could not be positioned, their capabilities falling within the two groups excluded in Table 1. The remaining 25 were mapped across the five stages (Figure </w:t>
      </w:r>
      <w:r>
        <w:rPr>
          <w:rFonts w:ascii="Calibri" w:hAnsi="Calibri" w:cs="Calibri"/>
        </w:rPr>
        <w:t>5</w:t>
      </w:r>
      <w:r w:rsidRPr="00C65C38">
        <w:rPr>
          <w:rFonts w:ascii="Calibri" w:hAnsi="Calibri" w:cs="Calibri"/>
        </w:rPr>
        <w:t>).</w:t>
      </w:r>
    </w:p>
    <w:p w14:paraId="1987B426" w14:textId="77777777" w:rsidR="00893E1E" w:rsidRPr="00B80880" w:rsidRDefault="00893E1E" w:rsidP="00893E1E">
      <w:pPr>
        <w:pStyle w:val="ListParagraph"/>
        <w:spacing w:after="40" w:line="240" w:lineRule="auto"/>
        <w:ind w:left="0" w:firstLine="851"/>
        <w:jc w:val="both"/>
        <w:rPr>
          <w:rFonts w:ascii="Calibri" w:hAnsi="Calibri" w:cs="Calibri"/>
        </w:rPr>
      </w:pPr>
    </w:p>
    <w:p w14:paraId="69E6B41E" w14:textId="77777777" w:rsidR="00893E1E" w:rsidRDefault="00893E1E" w:rsidP="00893E1E">
      <w:pPr>
        <w:pStyle w:val="ListParagraph"/>
        <w:keepNext/>
        <w:spacing w:after="40" w:line="240" w:lineRule="auto"/>
        <w:ind w:left="0"/>
        <w:jc w:val="center"/>
      </w:pPr>
      <w:r>
        <w:rPr>
          <w:noProof/>
        </w:rPr>
        <mc:AlternateContent>
          <mc:Choice Requires="cx2">
            <w:drawing>
              <wp:inline distT="0" distB="0" distL="0" distR="0" wp14:anchorId="163A262C" wp14:editId="63EF53C9">
                <wp:extent cx="3914140" cy="1673013"/>
                <wp:effectExtent l="0" t="0" r="10160" b="3810"/>
                <wp:docPr id="2081906014" name="Chart 1">
                  <a:extLst xmlns:a="http://schemas.openxmlformats.org/drawingml/2006/main">
                    <a:ext uri="{FF2B5EF4-FFF2-40B4-BE49-F238E27FC236}">
                      <a16:creationId xmlns:a16="http://schemas.microsoft.com/office/drawing/2014/main" id="{928D4680-9B17-B340-354C-D2AC3736B7C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6"/>
                  </a:graphicData>
                </a:graphic>
              </wp:inline>
            </w:drawing>
          </mc:Choice>
          <mc:Fallback>
            <w:drawing>
              <wp:inline distT="0" distB="0" distL="0" distR="0" wp14:anchorId="163A262C" wp14:editId="63EF53C9">
                <wp:extent cx="3914140" cy="1673013"/>
                <wp:effectExtent l="0" t="0" r="10160" b="3810"/>
                <wp:docPr id="2081906014" name="Chart 1">
                  <a:extLst xmlns:a="http://schemas.openxmlformats.org/drawingml/2006/main">
                    <a:ext uri="{FF2B5EF4-FFF2-40B4-BE49-F238E27FC236}">
                      <a16:creationId xmlns:a16="http://schemas.microsoft.com/office/drawing/2014/main" id="{928D4680-9B17-B340-354C-D2AC3736B7C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81906014" name="Chart 1">
                          <a:extLst>
                            <a:ext uri="{FF2B5EF4-FFF2-40B4-BE49-F238E27FC236}">
                              <a16:creationId xmlns:a16="http://schemas.microsoft.com/office/drawing/2014/main" id="{928D4680-9B17-B340-354C-D2AC3736B7CB}"/>
                            </a:ext>
                          </a:extLst>
                        </pic:cNvPr>
                        <pic:cNvPicPr>
                          <a:picLocks noGrp="1" noRot="1" noChangeAspect="1" noMove="1" noResize="1" noEditPoints="1" noAdjustHandles="1" noChangeArrowheads="1" noChangeShapeType="1"/>
                        </pic:cNvPicPr>
                      </pic:nvPicPr>
                      <pic:blipFill>
                        <a:blip r:embed="rId17"/>
                        <a:stretch>
                          <a:fillRect/>
                        </a:stretch>
                      </pic:blipFill>
                      <pic:spPr>
                        <a:xfrm>
                          <a:off x="0" y="0"/>
                          <a:ext cx="3914140" cy="1672590"/>
                        </a:xfrm>
                        <a:prstGeom prst="rect">
                          <a:avLst/>
                        </a:prstGeom>
                      </pic:spPr>
                    </pic:pic>
                  </a:graphicData>
                </a:graphic>
              </wp:inline>
            </w:drawing>
          </mc:Fallback>
        </mc:AlternateContent>
      </w:r>
    </w:p>
    <w:p w14:paraId="1093A0EF" w14:textId="27F5B316" w:rsidR="00B80880" w:rsidRPr="00831E7B" w:rsidRDefault="00893E1E" w:rsidP="00831E7B">
      <w:pPr>
        <w:pStyle w:val="Caption"/>
        <w:jc w:val="center"/>
        <w:rPr>
          <w:rFonts w:ascii="Calibri" w:hAnsi="Calibri" w:cs="Calibri"/>
          <w:sz w:val="24"/>
          <w:szCs w:val="24"/>
        </w:rPr>
      </w:pPr>
      <w:r>
        <w:t xml:space="preserve">Figure </w:t>
      </w:r>
      <w:r w:rsidR="00707AD3">
        <w:t>5</w:t>
      </w:r>
      <w:r>
        <w:t xml:space="preserve">: </w:t>
      </w:r>
      <w:r w:rsidRPr="00852470">
        <w:t>Cumulative Maturity Funnel</w:t>
      </w:r>
    </w:p>
    <w:p w14:paraId="6238A719" w14:textId="2C44049A" w:rsidR="007D75E8" w:rsidRPr="007D75E8" w:rsidRDefault="007D75E8" w:rsidP="007D75E8">
      <w:pPr>
        <w:pStyle w:val="ListParagraph"/>
        <w:spacing w:after="40" w:line="240" w:lineRule="auto"/>
        <w:ind w:left="0" w:firstLine="851"/>
        <w:jc w:val="both"/>
        <w:rPr>
          <w:rFonts w:ascii="Calibri" w:hAnsi="Calibri" w:cs="Calibri"/>
        </w:rPr>
      </w:pPr>
      <w:r w:rsidRPr="00893E1E">
        <w:rPr>
          <w:rFonts w:ascii="Calibri" w:hAnsi="Calibri" w:cs="Calibri"/>
        </w:rPr>
        <w:lastRenderedPageBreak/>
        <w:t>The distribution attenuates sharply. All 25 studies satisfy Detection, 19 (76%) reach Activity Recognition, and 18 (72%) reach Productivity Assessment. Beyond this point the corpus thins abruptly: nine studies (36%) produce an attribution and only three (12%) deliver anything that supports a decision.</w:t>
      </w:r>
      <w:r>
        <w:rPr>
          <w:rFonts w:ascii="Calibri" w:hAnsi="Calibri" w:cs="Calibri"/>
        </w:rPr>
        <w:t xml:space="preserve"> Three findings emerged from this distribution.</w:t>
      </w:r>
    </w:p>
    <w:p w14:paraId="29BD6585" w14:textId="77777777" w:rsidR="007D75E8" w:rsidRDefault="00893E1E" w:rsidP="00893E1E">
      <w:pPr>
        <w:pStyle w:val="ListParagraph"/>
        <w:numPr>
          <w:ilvl w:val="0"/>
          <w:numId w:val="21"/>
        </w:numPr>
        <w:spacing w:after="40" w:line="240" w:lineRule="auto"/>
        <w:jc w:val="both"/>
        <w:rPr>
          <w:rFonts w:ascii="Calibri" w:hAnsi="Calibri" w:cs="Calibri"/>
        </w:rPr>
      </w:pPr>
      <w:r w:rsidRPr="007D75E8">
        <w:rPr>
          <w:rFonts w:ascii="Calibri" w:hAnsi="Calibri" w:cs="Calibri"/>
        </w:rPr>
        <w:t xml:space="preserve">Research is heavily concentrated at the Productivity Assessment stage, which is where most studies stop. </w:t>
      </w:r>
    </w:p>
    <w:p w14:paraId="7927160B" w14:textId="6209B6F9" w:rsidR="00893E1E" w:rsidRPr="007D75E8" w:rsidRDefault="00893E1E" w:rsidP="00893E1E">
      <w:pPr>
        <w:pStyle w:val="ListParagraph"/>
        <w:numPr>
          <w:ilvl w:val="0"/>
          <w:numId w:val="21"/>
        </w:numPr>
        <w:spacing w:after="40" w:line="240" w:lineRule="auto"/>
        <w:jc w:val="both"/>
        <w:rPr>
          <w:rFonts w:ascii="Calibri" w:hAnsi="Calibri" w:cs="Calibri"/>
        </w:rPr>
      </w:pPr>
      <w:r w:rsidRPr="007D75E8">
        <w:rPr>
          <w:rFonts w:ascii="Calibri" w:hAnsi="Calibri" w:cs="Calibri"/>
        </w:rPr>
        <w:t>A pronounced gap exists beyond measurement. The share of studies halves at a single transition, from 72% at Productivity Assessment to 36% at Attribution, indicating that explaining productivity is substantially harder than measuring it.</w:t>
      </w:r>
    </w:p>
    <w:p w14:paraId="5D79D84F" w14:textId="77777777" w:rsidR="00893E1E" w:rsidRPr="00893E1E" w:rsidRDefault="00893E1E" w:rsidP="00893E1E">
      <w:pPr>
        <w:pStyle w:val="ListParagraph"/>
        <w:numPr>
          <w:ilvl w:val="0"/>
          <w:numId w:val="21"/>
        </w:numPr>
        <w:spacing w:after="40" w:line="240" w:lineRule="auto"/>
        <w:jc w:val="both"/>
        <w:rPr>
          <w:rFonts w:ascii="Calibri" w:hAnsi="Calibri" w:cs="Calibri"/>
          <w:lang w:val="en-IN"/>
        </w:rPr>
      </w:pPr>
      <w:r w:rsidRPr="00893E1E">
        <w:rPr>
          <w:rFonts w:ascii="Calibri" w:hAnsi="Calibri" w:cs="Calibri"/>
          <w:lang w:val="en-IN"/>
        </w:rPr>
        <w:t>The prescriptive potential of the field remains largely unrealised. Only three studies generate output that supports a managerial decision, so existing work is directed at measuring rather than at acting on what is measured.</w:t>
      </w:r>
    </w:p>
    <w:p w14:paraId="70C9BAAA" w14:textId="7FF7BB7A" w:rsidR="002F7634" w:rsidRPr="002F7634" w:rsidRDefault="00F85BCB" w:rsidP="00CF18FA">
      <w:pPr>
        <w:spacing w:after="40" w:line="240" w:lineRule="auto"/>
        <w:ind w:firstLine="851"/>
        <w:jc w:val="both"/>
        <w:rPr>
          <w:rFonts w:ascii="Calibri" w:hAnsi="Calibri" w:cs="Calibri"/>
        </w:rPr>
      </w:pPr>
      <w:r w:rsidRPr="00F85BCB">
        <w:rPr>
          <w:rFonts w:ascii="Calibri" w:hAnsi="Calibri" w:cs="Calibri"/>
        </w:rPr>
        <w:t xml:space="preserve">Taken together, the funnel indicates that the field's difficulty lies not in seeing construction work but in reasoning about it. The transition that matters </w:t>
      </w:r>
      <w:proofErr w:type="gramStart"/>
      <w:r w:rsidRPr="00F85BCB">
        <w:rPr>
          <w:rFonts w:ascii="Calibri" w:hAnsi="Calibri" w:cs="Calibri"/>
        </w:rPr>
        <w:t>is</w:t>
      </w:r>
      <w:proofErr w:type="gramEnd"/>
      <w:r w:rsidRPr="00F85BCB">
        <w:rPr>
          <w:rFonts w:ascii="Calibri" w:hAnsi="Calibri" w:cs="Calibri"/>
        </w:rPr>
        <w:t xml:space="preserve"> the one from measurement to explanation, and it is the point at which most pipelines stop.</w:t>
      </w:r>
    </w:p>
    <w:p w14:paraId="3F85E3E9" w14:textId="0E853737" w:rsidR="00270DF3" w:rsidRDefault="00E724FE" w:rsidP="00E724FE">
      <w:pPr>
        <w:pStyle w:val="ListParagraph"/>
        <w:spacing w:after="40" w:line="240" w:lineRule="auto"/>
        <w:ind w:left="0"/>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sidR="00F85BCB">
        <w:rPr>
          <w:rFonts w:ascii="Calibri" w:hAnsi="Calibri" w:cs="Calibri"/>
          <w:b/>
          <w:bCs/>
          <w:sz w:val="24"/>
          <w:szCs w:val="24"/>
        </w:rPr>
        <w:t>4</w:t>
      </w:r>
      <w:r>
        <w:rPr>
          <w:rFonts w:ascii="Calibri" w:hAnsi="Calibri" w:cs="Calibri"/>
          <w:b/>
          <w:bCs/>
          <w:sz w:val="24"/>
          <w:szCs w:val="24"/>
        </w:rPr>
        <w:t xml:space="preserve"> Framework Development</w:t>
      </w:r>
    </w:p>
    <w:p w14:paraId="59313977" w14:textId="77777777" w:rsidR="00270DF3" w:rsidRDefault="00270DF3" w:rsidP="00E724FE">
      <w:pPr>
        <w:pStyle w:val="ListParagraph"/>
        <w:spacing w:after="40" w:line="240" w:lineRule="auto"/>
        <w:ind w:left="0"/>
        <w:rPr>
          <w:rFonts w:ascii="Calibri" w:hAnsi="Calibri" w:cs="Calibri"/>
          <w:b/>
          <w:bCs/>
          <w:sz w:val="24"/>
          <w:szCs w:val="24"/>
        </w:rPr>
      </w:pPr>
    </w:p>
    <w:p w14:paraId="5E6A2384" w14:textId="31AECBF1" w:rsidR="00273E7B" w:rsidRDefault="00273E7B" w:rsidP="00E724FE">
      <w:pPr>
        <w:pStyle w:val="ListParagraph"/>
        <w:spacing w:after="40" w:line="240" w:lineRule="auto"/>
        <w:ind w:left="0"/>
        <w:rPr>
          <w:rFonts w:ascii="Calibri" w:hAnsi="Calibri" w:cs="Calibri"/>
          <w:b/>
          <w:bCs/>
          <w:sz w:val="24"/>
          <w:szCs w:val="24"/>
        </w:rPr>
      </w:pPr>
      <w:r w:rsidRPr="00273E7B">
        <w:rPr>
          <w:rFonts w:ascii="Calibri" w:hAnsi="Calibri" w:cs="Calibri"/>
          <w:b/>
          <w:bCs/>
          <w:noProof/>
          <w:sz w:val="24"/>
          <w:szCs w:val="24"/>
        </w:rPr>
        <w:drawing>
          <wp:inline distT="0" distB="0" distL="0" distR="0" wp14:anchorId="19D2AAB4" wp14:editId="70281ED2">
            <wp:extent cx="5936776" cy="4716574"/>
            <wp:effectExtent l="0" t="0" r="6985" b="8255"/>
            <wp:docPr id="199557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716" name="Graphic 1"/>
                    <pic:cNvPicPr/>
                  </pic:nvPicPr>
                  <pic:blipFill>
                    <a:blip r:embed="rId18">
                      <a:extLst>
                        <a:ext uri="{96DAC541-7B7A-43D3-8B79-37D633B846F1}">
                          <asvg:svgBlip xmlns:asvg="http://schemas.microsoft.com/office/drawing/2016/SVG/main" r:embed="rId19"/>
                        </a:ext>
                      </a:extLst>
                    </a:blip>
                    <a:stretch>
                      <a:fillRect/>
                    </a:stretch>
                  </pic:blipFill>
                  <pic:spPr>
                    <a:xfrm>
                      <a:off x="0" y="0"/>
                      <a:ext cx="5937968" cy="4717521"/>
                    </a:xfrm>
                    <a:prstGeom prst="rect">
                      <a:avLst/>
                    </a:prstGeom>
                  </pic:spPr>
                </pic:pic>
              </a:graphicData>
            </a:graphic>
          </wp:inline>
        </w:drawing>
      </w:r>
    </w:p>
    <w:p w14:paraId="61DA5E46" w14:textId="486D385E" w:rsidR="00911A0A" w:rsidRDefault="00156594" w:rsidP="00270DF3">
      <w:pPr>
        <w:spacing w:after="40" w:line="240" w:lineRule="auto"/>
        <w:ind w:firstLine="851"/>
        <w:jc w:val="center"/>
        <w:rPr>
          <w:rFonts w:ascii="Calibri" w:hAnsi="Calibri" w:cs="Calibri"/>
          <w:i/>
          <w:iCs/>
          <w:sz w:val="20"/>
          <w:szCs w:val="20"/>
        </w:rPr>
      </w:pPr>
      <w:r w:rsidRPr="00D6057A">
        <w:rPr>
          <w:rFonts w:ascii="Calibri" w:hAnsi="Calibri" w:cs="Calibri"/>
          <w:i/>
          <w:iCs/>
          <w:sz w:val="20"/>
          <w:szCs w:val="20"/>
        </w:rPr>
        <w:t xml:space="preserve">Figure </w:t>
      </w:r>
      <w:r w:rsidR="00707AD3">
        <w:rPr>
          <w:rFonts w:ascii="Calibri" w:hAnsi="Calibri" w:cs="Calibri"/>
          <w:i/>
          <w:iCs/>
          <w:sz w:val="20"/>
          <w:szCs w:val="20"/>
        </w:rPr>
        <w:t>6</w:t>
      </w:r>
      <w:r w:rsidRPr="00D6057A">
        <w:rPr>
          <w:rFonts w:ascii="Calibri" w:hAnsi="Calibri" w:cs="Calibri"/>
          <w:i/>
          <w:iCs/>
          <w:sz w:val="20"/>
          <w:szCs w:val="20"/>
        </w:rPr>
        <w:t xml:space="preserve">: </w:t>
      </w:r>
      <w:r w:rsidRPr="00C04D2C">
        <w:rPr>
          <w:rFonts w:ascii="Calibri" w:hAnsi="Calibri" w:cs="Calibri"/>
          <w:i/>
          <w:iCs/>
          <w:sz w:val="20"/>
          <w:szCs w:val="20"/>
        </w:rPr>
        <w:t>Operational Understanding Maturity Framework for Vision-Based Construction Productivity Monitoring.</w:t>
      </w:r>
    </w:p>
    <w:p w14:paraId="3581AC92" w14:textId="77777777" w:rsidR="00270DF3" w:rsidRDefault="00270DF3" w:rsidP="00270DF3">
      <w:pPr>
        <w:spacing w:after="40" w:line="240" w:lineRule="auto"/>
        <w:ind w:firstLine="851"/>
        <w:jc w:val="both"/>
        <w:rPr>
          <w:rFonts w:ascii="Calibri" w:hAnsi="Calibri" w:cs="Calibri"/>
          <w:color w:val="000000" w:themeColor="text1"/>
        </w:rPr>
      </w:pPr>
      <w:r w:rsidRPr="003D00E1">
        <w:rPr>
          <w:rFonts w:ascii="Calibri" w:hAnsi="Calibri" w:cs="Calibri"/>
          <w:color w:val="000000" w:themeColor="text1"/>
        </w:rPr>
        <w:t xml:space="preserve">Analysis of the corpus revealed that a single "productivity" label concealed markedly different levels of understanding. The Operational Understanding Maturity Framework (OUMF) </w:t>
      </w:r>
      <w:r w:rsidRPr="003D00E1">
        <w:rPr>
          <w:rFonts w:ascii="Calibri" w:hAnsi="Calibri" w:cs="Calibri"/>
          <w:color w:val="000000" w:themeColor="text1"/>
        </w:rPr>
        <w:lastRenderedPageBreak/>
        <w:t>formalise</w:t>
      </w:r>
      <w:r>
        <w:rPr>
          <w:rFonts w:ascii="Calibri" w:hAnsi="Calibri" w:cs="Calibri"/>
          <w:color w:val="000000" w:themeColor="text1"/>
        </w:rPr>
        <w:t>s</w:t>
      </w:r>
      <w:r w:rsidRPr="003D00E1">
        <w:rPr>
          <w:rFonts w:ascii="Calibri" w:hAnsi="Calibri" w:cs="Calibri"/>
          <w:color w:val="000000" w:themeColor="text1"/>
        </w:rPr>
        <w:t xml:space="preserve"> this distinction, organising the five cumulative stages — Detection, Activity Recognition, Productivity Assessment, Attribution and Decision Support (Figure 6). It is grounded on the principle that vision-based systems progress from describing what exists, to interpreting what is happening, to quantifying how efficiently work is delivered, to explaining why productivity deviates, and ultimately to recommending what action should be taken</w:t>
      </w:r>
      <w:r>
        <w:rPr>
          <w:rFonts w:ascii="Calibri" w:hAnsi="Calibri" w:cs="Calibri"/>
          <w:color w:val="000000" w:themeColor="text1"/>
        </w:rPr>
        <w:t xml:space="preserve">. </w:t>
      </w:r>
    </w:p>
    <w:p w14:paraId="6C934AC0" w14:textId="77777777" w:rsidR="00616D2E" w:rsidRDefault="00270DF3" w:rsidP="0050312F">
      <w:pPr>
        <w:spacing w:after="40" w:line="240" w:lineRule="auto"/>
        <w:ind w:firstLine="851"/>
        <w:jc w:val="both"/>
        <w:rPr>
          <w:rFonts w:ascii="Calibri" w:hAnsi="Calibri" w:cs="Calibri"/>
          <w:color w:val="000000" w:themeColor="text1"/>
        </w:rPr>
      </w:pPr>
      <w:r w:rsidRPr="00D31192">
        <w:rPr>
          <w:rFonts w:ascii="Calibri" w:hAnsi="Calibri" w:cs="Calibri"/>
          <w:color w:val="000000" w:themeColor="text1"/>
        </w:rPr>
        <w:t>Layer 01, Perception, combines Detection and Activity Recognition</w:t>
      </w:r>
      <w:r>
        <w:rPr>
          <w:rFonts w:ascii="Calibri" w:hAnsi="Calibri" w:cs="Calibri"/>
          <w:color w:val="000000" w:themeColor="text1"/>
        </w:rPr>
        <w:t xml:space="preserve"> to establish which entities are present and what they are doing, and outputs entities, activities,</w:t>
      </w:r>
      <w:r w:rsidRPr="00D31192">
        <w:rPr>
          <w:rFonts w:ascii="Calibri" w:hAnsi="Calibri" w:cs="Calibri"/>
          <w:color w:val="000000" w:themeColor="text1"/>
        </w:rPr>
        <w:t xml:space="preserve"> and trajectories.</w:t>
      </w:r>
      <w:r>
        <w:rPr>
          <w:rFonts w:ascii="Calibri" w:hAnsi="Calibri" w:cs="Calibri"/>
          <w:color w:val="000000" w:themeColor="text1"/>
        </w:rPr>
        <w:t xml:space="preserve"> </w:t>
      </w:r>
      <w:r w:rsidRPr="00DC32B1">
        <w:rPr>
          <w:rFonts w:ascii="Calibri" w:hAnsi="Calibri" w:cs="Calibri"/>
          <w:color w:val="000000" w:themeColor="text1"/>
        </w:rPr>
        <w:t>Layer 02, Productivity Assessment, converts these observations into a rate. Within the framework, productivity is defined as the ratio of measurable work output to the corresponding resource input</w:t>
      </w:r>
      <w:r>
        <w:rPr>
          <w:rFonts w:ascii="Calibri" w:hAnsi="Calibri" w:cs="Calibri"/>
          <w:color w:val="000000" w:themeColor="text1"/>
        </w:rPr>
        <w:t>. T</w:t>
      </w:r>
      <w:r w:rsidRPr="00DC32B1">
        <w:rPr>
          <w:rFonts w:ascii="Calibri" w:hAnsi="Calibri" w:cs="Calibri"/>
          <w:color w:val="000000" w:themeColor="text1"/>
        </w:rPr>
        <w:t xml:space="preserve">he layer </w:t>
      </w:r>
      <w:r>
        <w:rPr>
          <w:rFonts w:ascii="Calibri" w:hAnsi="Calibri" w:cs="Calibri"/>
          <w:color w:val="000000" w:themeColor="text1"/>
        </w:rPr>
        <w:t xml:space="preserve">therefore </w:t>
      </w:r>
      <w:r w:rsidRPr="00DC32B1">
        <w:rPr>
          <w:rFonts w:ascii="Calibri" w:hAnsi="Calibri" w:cs="Calibri"/>
          <w:color w:val="000000" w:themeColor="text1"/>
        </w:rPr>
        <w:t>integrates two complementary measurements: progress quantification</w:t>
      </w:r>
      <w:r>
        <w:rPr>
          <w:rFonts w:ascii="Calibri" w:hAnsi="Calibri" w:cs="Calibri"/>
          <w:color w:val="000000" w:themeColor="text1"/>
        </w:rPr>
        <w:t>, which</w:t>
      </w:r>
      <w:r w:rsidRPr="00DC32B1">
        <w:rPr>
          <w:rFonts w:ascii="Calibri" w:hAnsi="Calibri" w:cs="Calibri"/>
          <w:color w:val="000000" w:themeColor="text1"/>
        </w:rPr>
        <w:t xml:space="preserve"> establishes output by comparing as-planned and as-built states through geometric modelling, appearance-based modelling, or semantic detection-matching, </w:t>
      </w:r>
      <w:r>
        <w:rPr>
          <w:rFonts w:ascii="Calibri" w:hAnsi="Calibri" w:cs="Calibri"/>
          <w:color w:val="000000" w:themeColor="text1"/>
        </w:rPr>
        <w:t>and</w:t>
      </w:r>
      <w:r w:rsidRPr="00DC32B1">
        <w:rPr>
          <w:rFonts w:ascii="Calibri" w:hAnsi="Calibri" w:cs="Calibri"/>
          <w:color w:val="000000" w:themeColor="text1"/>
        </w:rPr>
        <w:t xml:space="preserve"> effort quantification</w:t>
      </w:r>
      <w:r>
        <w:rPr>
          <w:rFonts w:ascii="Calibri" w:hAnsi="Calibri" w:cs="Calibri"/>
          <w:color w:val="000000" w:themeColor="text1"/>
        </w:rPr>
        <w:t>, which</w:t>
      </w:r>
      <w:r w:rsidRPr="00DC32B1">
        <w:rPr>
          <w:rFonts w:ascii="Calibri" w:hAnsi="Calibri" w:cs="Calibri"/>
          <w:color w:val="000000" w:themeColor="text1"/>
        </w:rPr>
        <w:t xml:space="preserve"> establishes input through man-hour estimation using presence-based monitoring,</w:t>
      </w:r>
      <w:r>
        <w:rPr>
          <w:rFonts w:ascii="Calibri" w:hAnsi="Calibri" w:cs="Calibri"/>
          <w:color w:val="000000" w:themeColor="text1"/>
        </w:rPr>
        <w:t xml:space="preserve"> motion-based monitoring or</w:t>
      </w:r>
      <w:r w:rsidRPr="00DC32B1">
        <w:rPr>
          <w:rFonts w:ascii="Calibri" w:hAnsi="Calibri" w:cs="Calibri"/>
          <w:color w:val="000000" w:themeColor="text1"/>
        </w:rPr>
        <w:t xml:space="preserve"> work sampling. This definition exposes a recurring flaw in the literature</w:t>
      </w:r>
      <w:r>
        <w:rPr>
          <w:rFonts w:ascii="Calibri" w:hAnsi="Calibri" w:cs="Calibri"/>
          <w:color w:val="000000" w:themeColor="text1"/>
        </w:rPr>
        <w:t xml:space="preserve">. </w:t>
      </w:r>
      <w:r w:rsidRPr="00273E7B">
        <w:rPr>
          <w:rFonts w:ascii="Calibri" w:hAnsi="Calibri" w:cs="Calibri"/>
          <w:color w:val="000000" w:themeColor="text1"/>
        </w:rPr>
        <w:t>A substantial proportion of studies classified as productivity assessment quantify only labour effort</w:t>
      </w:r>
      <w:r>
        <w:rPr>
          <w:rFonts w:ascii="Calibri" w:hAnsi="Calibri" w:cs="Calibri"/>
          <w:color w:val="000000" w:themeColor="text1"/>
        </w:rPr>
        <w:t xml:space="preserve"> </w:t>
      </w:r>
      <w:r w:rsidRPr="007529F9">
        <w:rPr>
          <w:rFonts w:ascii="Calibri" w:hAnsi="Calibri" w:cs="Calibri"/>
          <w:color w:val="000000" w:themeColor="text1"/>
        </w:rPr>
        <w:t>without measuring the corresponding work output</w:t>
      </w:r>
      <w:r w:rsidRPr="00273E7B">
        <w:rPr>
          <w:rFonts w:ascii="Calibri" w:hAnsi="Calibri" w:cs="Calibri"/>
          <w:color w:val="000000" w:themeColor="text1"/>
        </w:rPr>
        <w:t>.</w:t>
      </w:r>
      <w:r>
        <w:rPr>
          <w:rFonts w:ascii="Calibri" w:hAnsi="Calibri" w:cs="Calibri"/>
          <w:color w:val="000000" w:themeColor="text1"/>
        </w:rPr>
        <w:t xml:space="preserve"> Thus,</w:t>
      </w:r>
      <w:r w:rsidRPr="00273E7B">
        <w:rPr>
          <w:rFonts w:ascii="Calibri" w:hAnsi="Calibri" w:cs="Calibri"/>
          <w:color w:val="000000" w:themeColor="text1"/>
        </w:rPr>
        <w:t xml:space="preserve"> </w:t>
      </w:r>
      <w:r>
        <w:rPr>
          <w:rFonts w:ascii="Calibri" w:hAnsi="Calibri" w:cs="Calibri"/>
          <w:color w:val="000000" w:themeColor="text1"/>
        </w:rPr>
        <w:t>s</w:t>
      </w:r>
      <w:r w:rsidRPr="00273E7B">
        <w:rPr>
          <w:rFonts w:ascii="Calibri" w:hAnsi="Calibri" w:cs="Calibri"/>
          <w:color w:val="000000" w:themeColor="text1"/>
        </w:rPr>
        <w:t>uch studies measure crew utilisation</w:t>
      </w:r>
      <w:r>
        <w:rPr>
          <w:rFonts w:ascii="Calibri" w:hAnsi="Calibri" w:cs="Calibri"/>
          <w:color w:val="000000" w:themeColor="text1"/>
        </w:rPr>
        <w:t xml:space="preserve"> rather than</w:t>
      </w:r>
      <w:r w:rsidRPr="00273E7B">
        <w:rPr>
          <w:rFonts w:ascii="Calibri" w:hAnsi="Calibri" w:cs="Calibri"/>
          <w:color w:val="000000" w:themeColor="text1"/>
        </w:rPr>
        <w:t xml:space="preserve"> productivity</w:t>
      </w:r>
      <w:r>
        <w:rPr>
          <w:rFonts w:ascii="Calibri" w:hAnsi="Calibri" w:cs="Calibri"/>
          <w:color w:val="000000" w:themeColor="text1"/>
        </w:rPr>
        <w:t>.</w:t>
      </w:r>
    </w:p>
    <w:p w14:paraId="422C3889" w14:textId="097BC723" w:rsidR="00270DF3" w:rsidRPr="00270DF3" w:rsidRDefault="00270DF3" w:rsidP="0050312F">
      <w:pPr>
        <w:spacing w:after="40" w:line="240" w:lineRule="auto"/>
        <w:ind w:firstLine="851"/>
        <w:jc w:val="both"/>
        <w:rPr>
          <w:rFonts w:ascii="Calibri" w:hAnsi="Calibri" w:cs="Calibri"/>
          <w:color w:val="000000" w:themeColor="text1"/>
        </w:rPr>
      </w:pPr>
      <w:r w:rsidRPr="007529F9">
        <w:rPr>
          <w:rFonts w:ascii="Calibri" w:hAnsi="Calibri" w:cs="Calibri"/>
          <w:color w:val="000000" w:themeColor="text1"/>
        </w:rPr>
        <w:t xml:space="preserve">Layer 03, Attribution, goes beyond measuring productivity to identify the factors responsible for its variation. This can be achieved through spatio-temporal analysis, resource-balance analysis, or throughput analysis. Layer 04, Decision Support, builds on these causal insights to provide actionable information. This includes monitoring alerts that </w:t>
      </w:r>
      <w:r>
        <w:rPr>
          <w:rFonts w:ascii="Calibri" w:hAnsi="Calibri" w:cs="Calibri"/>
          <w:color w:val="000000" w:themeColor="text1"/>
        </w:rPr>
        <w:t>highlight</w:t>
      </w:r>
      <w:r w:rsidRPr="007529F9">
        <w:rPr>
          <w:rFonts w:ascii="Calibri" w:hAnsi="Calibri" w:cs="Calibri"/>
          <w:color w:val="000000" w:themeColor="text1"/>
        </w:rPr>
        <w:t xml:space="preserve"> potential issues, recommendations that suggest appropriate actions, and re-engineering strategies that propose changes to the work process. These actions can then feed back into the perception layer, creating a continuous cycle from observation to measurement, explanation, and action.</w:t>
      </w:r>
    </w:p>
    <w:p w14:paraId="5A13A47D" w14:textId="0345ECDA" w:rsidR="006B79F5" w:rsidRPr="00B535EB" w:rsidRDefault="006B79F5" w:rsidP="00716DBB">
      <w:pPr>
        <w:pStyle w:val="ListParagraph"/>
        <w:spacing w:after="40" w:line="240" w:lineRule="auto"/>
        <w:ind w:left="0"/>
        <w:rPr>
          <w:rFonts w:ascii="Calibri" w:hAnsi="Calibri" w:cs="Calibri"/>
          <w:b/>
          <w:bCs/>
          <w:sz w:val="28"/>
          <w:szCs w:val="28"/>
        </w:rPr>
      </w:pPr>
      <w:r>
        <w:rPr>
          <w:rFonts w:ascii="Calibri" w:hAnsi="Calibri" w:cs="Calibri"/>
          <w:b/>
          <w:bCs/>
          <w:sz w:val="24"/>
          <w:szCs w:val="24"/>
        </w:rPr>
        <w:t>4</w:t>
      </w:r>
      <w:r w:rsidRPr="00D6057A">
        <w:rPr>
          <w:rFonts w:ascii="Calibri" w:hAnsi="Calibri" w:cs="Calibri"/>
          <w:b/>
          <w:bCs/>
          <w:sz w:val="24"/>
          <w:szCs w:val="24"/>
        </w:rPr>
        <w:t>.</w:t>
      </w:r>
      <w:r>
        <w:rPr>
          <w:rFonts w:ascii="Calibri" w:hAnsi="Calibri" w:cs="Calibri"/>
          <w:b/>
          <w:bCs/>
          <w:sz w:val="24"/>
          <w:szCs w:val="24"/>
        </w:rPr>
        <w:t>5 Implication</w:t>
      </w:r>
      <w:r w:rsidR="003C7AFD">
        <w:rPr>
          <w:rFonts w:ascii="Calibri" w:hAnsi="Calibri" w:cs="Calibri"/>
          <w:b/>
          <w:bCs/>
          <w:sz w:val="24"/>
          <w:szCs w:val="24"/>
        </w:rPr>
        <w:t>s</w:t>
      </w:r>
      <w:r>
        <w:rPr>
          <w:rFonts w:ascii="Calibri" w:hAnsi="Calibri" w:cs="Calibri"/>
          <w:b/>
          <w:bCs/>
          <w:sz w:val="24"/>
          <w:szCs w:val="24"/>
        </w:rPr>
        <w:t xml:space="preserve"> from the Framework</w:t>
      </w:r>
    </w:p>
    <w:p w14:paraId="2FC9B104" w14:textId="1BDB20DB" w:rsidR="006B79F5" w:rsidRDefault="006B79F5" w:rsidP="007F4313">
      <w:pPr>
        <w:spacing w:after="40" w:line="240" w:lineRule="auto"/>
        <w:rPr>
          <w:rFonts w:ascii="Calibri" w:hAnsi="Calibri" w:cs="Calibri"/>
        </w:rPr>
      </w:pPr>
      <w:r>
        <w:rPr>
          <w:rFonts w:ascii="Calibri" w:hAnsi="Calibri" w:cs="Calibri"/>
        </w:rPr>
        <w:t>The framework exposed two preconditions that a technique-level reading leaves implicit:</w:t>
      </w:r>
    </w:p>
    <w:p w14:paraId="436BE2A6" w14:textId="70322542" w:rsidR="006B79F5" w:rsidRDefault="006B79F5" w:rsidP="006B79F5">
      <w:pPr>
        <w:pStyle w:val="ListParagraph"/>
        <w:numPr>
          <w:ilvl w:val="0"/>
          <w:numId w:val="23"/>
        </w:numPr>
        <w:spacing w:after="40" w:line="240" w:lineRule="auto"/>
        <w:rPr>
          <w:rFonts w:ascii="Calibri" w:hAnsi="Calibri" w:cs="Calibri"/>
        </w:rPr>
      </w:pPr>
      <w:r>
        <w:rPr>
          <w:rFonts w:ascii="Calibri" w:hAnsi="Calibri" w:cs="Calibri"/>
        </w:rPr>
        <w:t>Data Availability</w:t>
      </w:r>
    </w:p>
    <w:p w14:paraId="6375167E" w14:textId="72F08997" w:rsidR="0079378F" w:rsidRDefault="006B79F5" w:rsidP="007A7D9D">
      <w:pPr>
        <w:spacing w:after="40" w:line="240" w:lineRule="auto"/>
        <w:jc w:val="both"/>
        <w:rPr>
          <w:rFonts w:ascii="Calibri" w:hAnsi="Calibri" w:cs="Calibri"/>
        </w:rPr>
      </w:pPr>
      <w:r>
        <w:rPr>
          <w:rFonts w:ascii="Calibri" w:hAnsi="Calibri" w:cs="Calibri"/>
        </w:rPr>
        <w:t xml:space="preserve">Every stage in the framework rests on </w:t>
      </w:r>
      <w:r w:rsidR="00551160">
        <w:rPr>
          <w:rFonts w:ascii="Calibri" w:hAnsi="Calibri" w:cs="Calibri"/>
        </w:rPr>
        <w:t xml:space="preserve">visual data collected from the site, and current algorithms require large-scale annotated workface assessment data to learn activity models that generalise across different construction </w:t>
      </w:r>
      <w:r>
        <w:rPr>
          <w:rFonts w:ascii="Calibri" w:hAnsi="Calibri" w:cs="Calibri"/>
        </w:rPr>
        <w:t>activities.</w:t>
      </w:r>
      <w:r w:rsidR="0079378F">
        <w:rPr>
          <w:rFonts w:ascii="Calibri" w:hAnsi="Calibri" w:cs="Calibri"/>
        </w:rPr>
        <w:t xml:space="preserve"> </w:t>
      </w:r>
      <w:r w:rsidR="004A6437">
        <w:rPr>
          <w:rFonts w:ascii="Calibri" w:hAnsi="Calibri" w:cs="Calibri"/>
        </w:rPr>
        <w:t>Shared corpora of</w:t>
      </w:r>
      <w:r w:rsidR="00331EA9">
        <w:rPr>
          <w:rFonts w:ascii="Calibri" w:hAnsi="Calibri" w:cs="Calibri"/>
        </w:rPr>
        <w:t xml:space="preserve"> </w:t>
      </w:r>
      <w:r w:rsidR="009E1E0B">
        <w:rPr>
          <w:rFonts w:ascii="Calibri" w:hAnsi="Calibri" w:cs="Calibri"/>
        </w:rPr>
        <w:t>this kind</w:t>
      </w:r>
      <w:r w:rsidR="00331EA9">
        <w:rPr>
          <w:rFonts w:ascii="Calibri" w:hAnsi="Calibri" w:cs="Calibri"/>
        </w:rPr>
        <w:t xml:space="preserve"> </w:t>
      </w:r>
      <w:r w:rsidR="004A6437">
        <w:rPr>
          <w:rFonts w:ascii="Calibri" w:hAnsi="Calibri" w:cs="Calibri"/>
        </w:rPr>
        <w:t>are</w:t>
      </w:r>
      <w:r w:rsidR="00331EA9">
        <w:rPr>
          <w:rFonts w:ascii="Calibri" w:hAnsi="Calibri" w:cs="Calibri"/>
        </w:rPr>
        <w:t xml:space="preserve"> s</w:t>
      </w:r>
      <w:r w:rsidR="004A6437">
        <w:rPr>
          <w:rFonts w:ascii="Calibri" w:hAnsi="Calibri" w:cs="Calibri"/>
        </w:rPr>
        <w:t>carce</w:t>
      </w:r>
      <w:r w:rsidR="00331EA9">
        <w:rPr>
          <w:rFonts w:ascii="Calibri" w:hAnsi="Calibri" w:cs="Calibri"/>
        </w:rPr>
        <w:t>,</w:t>
      </w:r>
      <w:r w:rsidR="0079378F">
        <w:rPr>
          <w:rFonts w:ascii="Calibri" w:hAnsi="Calibri" w:cs="Calibri"/>
        </w:rPr>
        <w:t xml:space="preserve"> and each reviewed study assembles and labels its own footage, which accounts for the 23 evidence items recorded under the data and model enablers </w:t>
      </w:r>
      <w:r w:rsidR="00C25D42">
        <w:rPr>
          <w:rFonts w:ascii="Calibri" w:hAnsi="Calibri" w:cs="Calibri"/>
        </w:rPr>
        <w:t xml:space="preserve">group </w:t>
      </w:r>
      <w:r w:rsidR="0079378F">
        <w:rPr>
          <w:rFonts w:ascii="Calibri" w:hAnsi="Calibri" w:cs="Calibri"/>
        </w:rPr>
        <w:t xml:space="preserve">in Table 1. </w:t>
      </w:r>
      <w:r w:rsidR="007A7D9D">
        <w:rPr>
          <w:rFonts w:ascii="Calibri" w:hAnsi="Calibri" w:cs="Calibri"/>
        </w:rPr>
        <w:fldChar w:fldCharType="begin"/>
      </w:r>
      <w:r w:rsidR="005D4652">
        <w:rPr>
          <w:rFonts w:ascii="Calibri" w:hAnsi="Calibri" w:cs="Calibri"/>
        </w:rPr>
        <w:instrText xml:space="preserve"> ADDIN ZOTERO_ITEM CSL_CITATION {"citationID":"2rtbAllv","properties":{"unsorted":false,"formattedCitation":"(Liu and Golparvar-Fard, 2015)","plainCitation":"(Liu and Golparvar-Fard, 2015)","dontUpdate":true,"noteIndex":0},"citationItems":[{"id":222,"uris":["http://zotero.org/users/20312420/items/ZTQBEB3H"],"itemData":{"id":222,"type":"article-journal","abstract":"AbstractThe advent of affordable jobsite cameras is reshaping the way on-site construction\nactivities are monitored. To facilitate the analysis of large collections of videos,\nresearch has focused on addressing the problem of manual workface assessment by ...","container-title":"Journal of Construction Engineering and Management","DOI":"10.1061/(ASCE)CO.1943-7862.0001010","issue":"11","language":"en","page":"04015035","publisher":"American Society of Civil Engineers","source":"ASCE","title":"Crowdsourcing Construction Activity Analysis from Jobsite Video Streams","volume":"141","author":[{"family":"Liu","given":"Kaijian"},{"family":"Golparvar-Fard","given":"Mani"}],"issued":{"date-parts":[["2015",11,1]]}}},{"id":"cXJ703y2/2WfJ6pgc","uris":["http://zotero.org/users/20312420/items/X5CR3HTW"],"itemData":{"id":219,"type":"article-journal","abstract":"Timely and accurate monitoring of onsite construction operations can bring an immediate awareness on project speciﬁc issues. It provides practitioners with the information they need to easily and quickly make project control decisions. Despite their importance, the current practices are still time-consuming, costly, and prone to errors. To facilitate the process of collecting and analyzing performance data, researchers have focused on devising methods that can semi-automatically or automatically assess ongoing operations both at project level and operation level. A major line of work has particularly focused on developing computer vision techniques that can leverage still images, time-lapse photos and video streams for documenting the work in progress. To this end, this paper extensively reviews these stateof-the-art vision-based construction performance monitoring methods. Based on the level of information perceived and the types of output, these methods are mainly divided into two categories (namely project level: visual monitoring of civil infrastructure or building elements vs. operation level: visual monitoring of construction equipment and workers). The underlying formulations and assumptions used in these methods are discussed in detail. Finally the gaps in knowledge that need to be addressed in future research are identiﬁed.","container-title":"Advanced Engineering Informatics","DOI":"10.1016/j.aei.2015.01.011","ISSN":"14740346","issue":"2","journalAbbreviation":"Advanced Engineering Informatics","language":"en","page":"211-224","source":"DOI.org (Crossref)","title":"Construction performance monitoring via still images, time-lapse photos, and video streams: Now, tomorrow, and the future","title-short":"Construction performance monitoring via still images, time-lapse photos, and video streams","volume":"29","author":[{"family":"Yang","given":"Jun"},{"family":"Park","given":"Man-Woo"},{"family":"Vela","given":"Patricio A."},{"family":"Golparvar-Fard","given":"Mani"}],"issued":{"date-parts":[["2015",4]]}}}],"schema":"https://github.com/citation-style-language/schema/raw/master/csl-citation.json"} </w:instrText>
      </w:r>
      <w:r w:rsidR="007A7D9D">
        <w:rPr>
          <w:rFonts w:ascii="Calibri" w:hAnsi="Calibri" w:cs="Calibri"/>
        </w:rPr>
        <w:fldChar w:fldCharType="separate"/>
      </w:r>
      <w:r w:rsidR="007A7D9D" w:rsidRPr="007A7D9D">
        <w:rPr>
          <w:rFonts w:ascii="Calibri" w:hAnsi="Calibri" w:cs="Calibri"/>
        </w:rPr>
        <w:t xml:space="preserve">Liu and Golparvar-Fard </w:t>
      </w:r>
      <w:r w:rsidR="007A7D9D">
        <w:rPr>
          <w:rFonts w:ascii="Calibri" w:hAnsi="Calibri" w:cs="Calibri"/>
        </w:rPr>
        <w:t>(</w:t>
      </w:r>
      <w:r w:rsidR="007A7D9D" w:rsidRPr="007A7D9D">
        <w:rPr>
          <w:rFonts w:ascii="Calibri" w:hAnsi="Calibri" w:cs="Calibri"/>
        </w:rPr>
        <w:t>2015)</w:t>
      </w:r>
      <w:r w:rsidR="007A7D9D">
        <w:rPr>
          <w:rFonts w:ascii="Calibri" w:hAnsi="Calibri" w:cs="Calibri"/>
        </w:rPr>
        <w:fldChar w:fldCharType="end"/>
      </w:r>
      <w:r w:rsidR="007A7D9D">
        <w:rPr>
          <w:rFonts w:ascii="Calibri" w:hAnsi="Calibri" w:cs="Calibri"/>
        </w:rPr>
        <w:t xml:space="preserve"> </w:t>
      </w:r>
      <w:r w:rsidR="0079378F">
        <w:rPr>
          <w:rFonts w:ascii="Calibri" w:hAnsi="Calibri" w:cs="Calibri"/>
        </w:rPr>
        <w:t>show that this annotation burden can be distributed by engaging non-expert crowds at a scale individual research groups are unable to reach. Advancement along the upper stages, therefore, depends on</w:t>
      </w:r>
      <w:r w:rsidR="004A63B1">
        <w:rPr>
          <w:rFonts w:ascii="Calibri" w:hAnsi="Calibri" w:cs="Calibri"/>
        </w:rPr>
        <w:t xml:space="preserve"> the</w:t>
      </w:r>
      <w:r w:rsidR="0079378F">
        <w:rPr>
          <w:rFonts w:ascii="Calibri" w:hAnsi="Calibri" w:cs="Calibri"/>
        </w:rPr>
        <w:t xml:space="preserve"> </w:t>
      </w:r>
      <w:r w:rsidR="004A63B1" w:rsidRPr="004A63B1">
        <w:rPr>
          <w:rFonts w:ascii="Calibri" w:hAnsi="Calibri" w:cs="Calibri"/>
        </w:rPr>
        <w:t>collaborative development of shared annotated datasets rather than on architectural improvement alone.</w:t>
      </w:r>
    </w:p>
    <w:p w14:paraId="3B5AD722" w14:textId="1CEB9748" w:rsidR="003C7AFD" w:rsidRPr="003C7AFD" w:rsidRDefault="003C7AFD" w:rsidP="003C7AFD">
      <w:pPr>
        <w:pStyle w:val="ListParagraph"/>
        <w:numPr>
          <w:ilvl w:val="0"/>
          <w:numId w:val="23"/>
        </w:numPr>
        <w:spacing w:after="40" w:line="240" w:lineRule="auto"/>
        <w:rPr>
          <w:rFonts w:ascii="Calibri" w:hAnsi="Calibri" w:cs="Calibri"/>
        </w:rPr>
      </w:pPr>
      <w:r w:rsidRPr="003C7AFD">
        <w:rPr>
          <w:rFonts w:ascii="Calibri" w:hAnsi="Calibri" w:cs="Calibri"/>
        </w:rPr>
        <w:t>Granularity of Analysis</w:t>
      </w:r>
    </w:p>
    <w:p w14:paraId="3339143A" w14:textId="3527FC41" w:rsidR="006B79F5" w:rsidRPr="00270DF3" w:rsidRDefault="0079378F" w:rsidP="00270DF3">
      <w:pPr>
        <w:spacing w:after="40" w:line="240" w:lineRule="auto"/>
        <w:jc w:val="both"/>
        <w:rPr>
          <w:rFonts w:ascii="Calibri" w:hAnsi="Calibri" w:cs="Calibri"/>
        </w:rPr>
      </w:pPr>
      <w:r>
        <w:rPr>
          <w:rFonts w:ascii="Calibri" w:hAnsi="Calibri" w:cs="Calibri"/>
        </w:rPr>
        <w:t xml:space="preserve">Though the framework structures the analytical sequence of progress, it </w:t>
      </w:r>
      <w:r w:rsidR="00F450FB">
        <w:rPr>
          <w:rFonts w:ascii="Calibri" w:hAnsi="Calibri" w:cs="Calibri"/>
        </w:rPr>
        <w:t>does not</w:t>
      </w:r>
      <w:r>
        <w:rPr>
          <w:rFonts w:ascii="Calibri" w:hAnsi="Calibri" w:cs="Calibri"/>
        </w:rPr>
        <w:t xml:space="preserve"> </w:t>
      </w:r>
      <w:r w:rsidR="000D55AB">
        <w:rPr>
          <w:rFonts w:ascii="Calibri" w:hAnsi="Calibri" w:cs="Calibri"/>
        </w:rPr>
        <w:t>specify</w:t>
      </w:r>
      <w:r>
        <w:rPr>
          <w:rFonts w:ascii="Calibri" w:hAnsi="Calibri" w:cs="Calibri"/>
        </w:rPr>
        <w:t xml:space="preserve"> the level of detail each stage operates with. Vision-based </w:t>
      </w:r>
      <w:r w:rsidR="007A7D9D">
        <w:rPr>
          <w:rFonts w:ascii="Calibri" w:hAnsi="Calibri" w:cs="Calibri"/>
        </w:rPr>
        <w:t>performance monitoring broadly divides into project-level analysis (civil infrastructure and building elements) and operational-level analysis (equipment and workers)</w:t>
      </w:r>
      <w:r w:rsidR="009D5170">
        <w:rPr>
          <w:rFonts w:ascii="Calibri" w:hAnsi="Calibri" w:cs="Calibri"/>
        </w:rPr>
        <w:t xml:space="preserve"> </w:t>
      </w:r>
      <w:r w:rsidR="009D5170">
        <w:rPr>
          <w:rFonts w:ascii="Calibri" w:hAnsi="Calibri" w:cs="Calibri"/>
        </w:rPr>
        <w:fldChar w:fldCharType="begin"/>
      </w:r>
      <w:r w:rsidR="00DE19BF">
        <w:rPr>
          <w:rFonts w:ascii="Calibri" w:hAnsi="Calibri" w:cs="Calibri"/>
        </w:rPr>
        <w:instrText xml:space="preserve"> ADDIN ZOTERO_ITEM CSL_CITATION {"citationID":"sUiwBnZT","properties":{"unsorted":false,"formattedCitation":"(Yang {\\i{}et al.}, 2015b)","plainCitation":"(Yang et al., 2015b)","dontUpdate":true,"noteIndex":0},"citationItems":[{"id":226,"uris":["http://zotero.org/users/20312420/items/MR8EYFMT"],"itemData":{"id":226,"type":"article-journal","abstract":"Timely and accurate monitoring of onsite construction operations can bring an immediate awareness on project speciﬁc issues. It provides practitioners with the information they need to easily and quickly make project control decisions. Despite their importance, the current practices are still time-consuming, costly, and prone to errors. To facilitate the process of collecting and analyzing performance data, researchers have focused on devising methods that can semi-automatically or automatically assess ongoing operations both at project level and operation level. A major line of work has particularly focused on developing computer vision techniques that can leverage still images, time-lapse photos and video streams for documenting the work in progress. To this end, this paper extensively reviews these stateof-the-art vision-based construction performance monitoring methods. Based on the level of information perceived and the types of output, these methods are mainly divided into two categories (namely project level: visual monitoring of civil infrastructure or building elements vs. operation level: visual monitoring of construction equipment and workers). The underlying formulations and assumptions used in these methods are discussed in detail. Finally the gaps in knowledge that need to be addressed in future research are identiﬁed.","container-title":"Advanced Engineering Informatics","DOI":"10.1016/j.aei.2015.01.011","ISSN":"14740346","issue":"2","journalAbbreviation":"Advanced Engineering Informatics","language":"en","page":"211-224","source":"DOI.org (Crossref)","title":"Construction performance monitoring via still images, time-lapse photos, and video streams: Now, tomorrow, and the future","title-short":"Construction performance monitoring via still images, time-lapse photos, and video streams","volume":"29","author":[{"family":"Yang","given":"Jun"},{"family":"Park","given":"Man-Woo"},{"family":"Vela","given":"Patricio A."},{"family":"Golparvar-Fard","given":"Mani"}],"issued":{"date-parts":[["2015",4]]}}}],"schema":"https://github.com/citation-style-language/schema/raw/master/csl-citation.json"} </w:instrText>
      </w:r>
      <w:r w:rsidR="009D5170">
        <w:rPr>
          <w:rFonts w:ascii="Calibri" w:hAnsi="Calibri" w:cs="Calibri"/>
        </w:rPr>
        <w:fldChar w:fldCharType="separate"/>
      </w:r>
      <w:r w:rsidR="009D5170" w:rsidRPr="009D5170">
        <w:rPr>
          <w:rFonts w:ascii="Calibri" w:hAnsi="Calibri" w:cs="Calibri"/>
          <w:kern w:val="0"/>
        </w:rPr>
        <w:t xml:space="preserve">(Yang </w:t>
      </w:r>
      <w:r w:rsidR="009D5170" w:rsidRPr="009D5170">
        <w:rPr>
          <w:rFonts w:ascii="Calibri" w:hAnsi="Calibri" w:cs="Calibri"/>
          <w:i/>
          <w:iCs/>
          <w:kern w:val="0"/>
        </w:rPr>
        <w:t>et al.</w:t>
      </w:r>
      <w:r w:rsidR="009D5170" w:rsidRPr="009D5170">
        <w:rPr>
          <w:rFonts w:ascii="Calibri" w:hAnsi="Calibri" w:cs="Calibri"/>
          <w:kern w:val="0"/>
        </w:rPr>
        <w:t>, 2015)</w:t>
      </w:r>
      <w:r w:rsidR="009D5170">
        <w:rPr>
          <w:rFonts w:ascii="Calibri" w:hAnsi="Calibri" w:cs="Calibri"/>
        </w:rPr>
        <w:fldChar w:fldCharType="end"/>
      </w:r>
      <w:r w:rsidR="00887393">
        <w:rPr>
          <w:rFonts w:ascii="Calibri" w:hAnsi="Calibri" w:cs="Calibri"/>
        </w:rPr>
        <w:t xml:space="preserve">. Within each, the granularity </w:t>
      </w:r>
      <w:r w:rsidR="00CC73AF" w:rsidRPr="00CC73AF">
        <w:rPr>
          <w:rFonts w:ascii="Calibri" w:hAnsi="Calibri" w:cs="Calibri"/>
        </w:rPr>
        <w:t xml:space="preserve">that management requires </w:t>
      </w:r>
      <w:r w:rsidR="00331EA9">
        <w:rPr>
          <w:rFonts w:ascii="Calibri" w:hAnsi="Calibri" w:cs="Calibri"/>
        </w:rPr>
        <w:t>remains</w:t>
      </w:r>
      <w:r w:rsidR="00887393">
        <w:rPr>
          <w:rFonts w:ascii="Calibri" w:hAnsi="Calibri" w:cs="Calibri"/>
        </w:rPr>
        <w:t xml:space="preserve"> unsettled.  This challenge should be </w:t>
      </w:r>
      <w:r w:rsidR="00F34378">
        <w:rPr>
          <w:rFonts w:ascii="Calibri" w:hAnsi="Calibri" w:cs="Calibri"/>
        </w:rPr>
        <w:t xml:space="preserve">resolved </w:t>
      </w:r>
      <w:r w:rsidR="00887393">
        <w:rPr>
          <w:rFonts w:ascii="Calibri" w:hAnsi="Calibri" w:cs="Calibri"/>
        </w:rPr>
        <w:t xml:space="preserve">with </w:t>
      </w:r>
      <w:r w:rsidR="00F34378">
        <w:rPr>
          <w:rFonts w:ascii="Calibri" w:hAnsi="Calibri" w:cs="Calibri"/>
        </w:rPr>
        <w:t xml:space="preserve">a bottom-up approach, deriving the granularity of the observation required from the decision artefact the analysis is intended to produce rather than from what a detector can conveniently resolve. In </w:t>
      </w:r>
      <w:r w:rsidR="00331EA9">
        <w:rPr>
          <w:rFonts w:ascii="Calibri" w:hAnsi="Calibri" w:cs="Calibri"/>
        </w:rPr>
        <w:t xml:space="preserve">the case of construction productivity monitoring, the artefact is typically a Crew-Balance Chart (CBC), and thus the frequency and detail of measurement should follow from how often and in what </w:t>
      </w:r>
      <w:r w:rsidR="00F34378">
        <w:rPr>
          <w:rFonts w:ascii="Calibri" w:hAnsi="Calibri" w:cs="Calibri"/>
        </w:rPr>
        <w:t xml:space="preserve">detail the management requires it. An example of this </w:t>
      </w:r>
      <w:r w:rsidR="00331EA9">
        <w:rPr>
          <w:rFonts w:ascii="Calibri" w:hAnsi="Calibri" w:cs="Calibri"/>
        </w:rPr>
        <w:t>is the distinction</w:t>
      </w:r>
      <w:r w:rsidR="00F34378">
        <w:rPr>
          <w:rFonts w:ascii="Calibri" w:hAnsi="Calibri" w:cs="Calibri"/>
        </w:rPr>
        <w:t xml:space="preserve"> between a work sampling system and an activity analysis. </w:t>
      </w:r>
      <w:r w:rsidR="00BB4D83">
        <w:rPr>
          <w:rFonts w:ascii="Calibri" w:hAnsi="Calibri" w:cs="Calibri"/>
        </w:rPr>
        <w:t>While a</w:t>
      </w:r>
      <w:r w:rsidR="00F34378">
        <w:rPr>
          <w:rFonts w:ascii="Calibri" w:hAnsi="Calibri" w:cs="Calibri"/>
        </w:rPr>
        <w:t xml:space="preserve">ctivity analysis </w:t>
      </w:r>
      <w:r w:rsidR="00AC4E7C">
        <w:rPr>
          <w:rFonts w:ascii="Calibri" w:hAnsi="Calibri" w:cs="Calibri"/>
        </w:rPr>
        <w:fldChar w:fldCharType="begin"/>
      </w:r>
      <w:r w:rsidR="005D4652">
        <w:rPr>
          <w:rFonts w:ascii="Calibri" w:hAnsi="Calibri" w:cs="Calibri"/>
        </w:rPr>
        <w:instrText xml:space="preserve"> ADDIN ZOTERO_ITEM CSL_CITATION {"citationID":"COHqDdNk","properties":{"unsorted":false,"formattedCitation":"(Construction Industry Institute, 2010)","plainCitation":"(Construction Industry Institute, 2010)","noteIndex":0},"citationItems":[{"id":216,"uris":["http://zotero.org/users/20312420/items/NQE6S28L"],"itemData":{"id":216,"type":"report","abstract":"Explains the concept and value of instituting activity analysis productivity improvement programs on construction jobsites. Involves using work sampling to determine project areas in need of improvement. Covers a range of activity categories, e.g., direct work, prep work, tools/equipment, material handling, waiting, travel, and personal. Provides a five-step process for conducting an activity analysis study. Includes blank and sample worksheets and offers advice for customizing improvement programs for particular types of jobsites.","language":"en","number":"Implementation Resource 252-2a","publisher":"University of Texas at Austin","publisher-place":"Austin, TX","title":"Guide to Activity Analysis","author":[{"literal":"Construction Industry Institute"}],"issued":{"date-parts":[["2010"]]}}}],"schema":"https://github.com/citation-style-language/schema/raw/master/csl-citation.json"} </w:instrText>
      </w:r>
      <w:r w:rsidR="00AC4E7C">
        <w:rPr>
          <w:rFonts w:ascii="Calibri" w:hAnsi="Calibri" w:cs="Calibri"/>
        </w:rPr>
        <w:fldChar w:fldCharType="separate"/>
      </w:r>
      <w:r w:rsidR="00BB4D83" w:rsidRPr="00BB4D83">
        <w:rPr>
          <w:rFonts w:ascii="Calibri" w:hAnsi="Calibri" w:cs="Calibri"/>
        </w:rPr>
        <w:t>(Construction Industry Institute, 2010)</w:t>
      </w:r>
      <w:r w:rsidR="00AC4E7C">
        <w:rPr>
          <w:rFonts w:ascii="Calibri" w:hAnsi="Calibri" w:cs="Calibri"/>
        </w:rPr>
        <w:fldChar w:fldCharType="end"/>
      </w:r>
      <w:r w:rsidR="00BB4D83">
        <w:rPr>
          <w:rFonts w:ascii="Calibri" w:hAnsi="Calibri" w:cs="Calibri"/>
        </w:rPr>
        <w:t xml:space="preserve"> deal</w:t>
      </w:r>
      <w:r w:rsidR="00746C78">
        <w:rPr>
          <w:rFonts w:ascii="Calibri" w:hAnsi="Calibri" w:cs="Calibri"/>
        </w:rPr>
        <w:t>s</w:t>
      </w:r>
      <w:r w:rsidR="00BB4D83">
        <w:rPr>
          <w:rFonts w:ascii="Calibri" w:hAnsi="Calibri" w:cs="Calibri"/>
        </w:rPr>
        <w:t xml:space="preserve"> with breaking the work into activity levels</w:t>
      </w:r>
      <w:r w:rsidR="00331EA9">
        <w:rPr>
          <w:rFonts w:ascii="Calibri" w:hAnsi="Calibri" w:cs="Calibri"/>
        </w:rPr>
        <w:t>,</w:t>
      </w:r>
      <w:r w:rsidR="00BB4D83">
        <w:rPr>
          <w:rFonts w:ascii="Calibri" w:hAnsi="Calibri" w:cs="Calibri"/>
        </w:rPr>
        <w:t xml:space="preserve"> </w:t>
      </w:r>
      <w:r w:rsidR="00331EA9">
        <w:rPr>
          <w:rFonts w:ascii="Calibri" w:hAnsi="Calibri" w:cs="Calibri"/>
        </w:rPr>
        <w:t>work</w:t>
      </w:r>
      <w:r w:rsidR="00BB4D83">
        <w:rPr>
          <w:rFonts w:ascii="Calibri" w:hAnsi="Calibri" w:cs="Calibri"/>
        </w:rPr>
        <w:t xml:space="preserve"> sampling tries to find the proportion of direct, support and delay work in construction</w:t>
      </w:r>
      <w:r w:rsidR="00331EA9">
        <w:rPr>
          <w:rFonts w:ascii="Calibri" w:hAnsi="Calibri" w:cs="Calibri"/>
        </w:rPr>
        <w:t>. The choice between such levels of granularity depends on managerial decision-making and thus requires a bottom-up approach.</w:t>
      </w:r>
    </w:p>
    <w:p w14:paraId="25BB50D7" w14:textId="1CB0B07B" w:rsidR="001518DE" w:rsidRPr="001518DE" w:rsidRDefault="001518DE" w:rsidP="00CE431B">
      <w:pPr>
        <w:pStyle w:val="ListParagraph"/>
        <w:numPr>
          <w:ilvl w:val="0"/>
          <w:numId w:val="22"/>
        </w:numPr>
        <w:spacing w:after="40" w:line="240" w:lineRule="auto"/>
        <w:rPr>
          <w:rFonts w:ascii="Calibri" w:hAnsi="Calibri" w:cs="Calibri"/>
          <w:b/>
          <w:bCs/>
          <w:sz w:val="28"/>
          <w:szCs w:val="28"/>
        </w:rPr>
      </w:pPr>
      <w:r w:rsidRPr="00DF0BD3">
        <w:lastRenderedPageBreak/>
        <w:t xml:space="preserve"> </w:t>
      </w:r>
      <w:r>
        <w:rPr>
          <w:rFonts w:ascii="Calibri" w:hAnsi="Calibri" w:cs="Calibri"/>
          <w:b/>
          <w:bCs/>
          <w:sz w:val="28"/>
          <w:szCs w:val="28"/>
        </w:rPr>
        <w:t>FUTURE RESEARCH DIRECTIONS</w:t>
      </w:r>
    </w:p>
    <w:p w14:paraId="2C010558" w14:textId="560D54F0" w:rsidR="0081219B" w:rsidRPr="00B535EB" w:rsidRDefault="0081219B" w:rsidP="003024FC">
      <w:pPr>
        <w:pStyle w:val="ListParagraph"/>
        <w:spacing w:after="40" w:line="240" w:lineRule="auto"/>
        <w:ind w:left="0"/>
        <w:rPr>
          <w:rFonts w:ascii="Calibri" w:hAnsi="Calibri" w:cs="Calibri"/>
          <w:b/>
          <w:bCs/>
          <w:sz w:val="28"/>
          <w:szCs w:val="28"/>
        </w:rPr>
      </w:pPr>
      <w:r>
        <w:rPr>
          <w:rFonts w:ascii="Calibri" w:hAnsi="Calibri" w:cs="Calibri"/>
          <w:b/>
          <w:bCs/>
          <w:sz w:val="24"/>
          <w:szCs w:val="24"/>
        </w:rPr>
        <w:t>5</w:t>
      </w:r>
      <w:r w:rsidRPr="00D6057A">
        <w:rPr>
          <w:rFonts w:ascii="Calibri" w:hAnsi="Calibri" w:cs="Calibri"/>
          <w:b/>
          <w:bCs/>
          <w:sz w:val="24"/>
          <w:szCs w:val="24"/>
        </w:rPr>
        <w:t>.</w:t>
      </w:r>
      <w:r>
        <w:rPr>
          <w:rFonts w:ascii="Calibri" w:hAnsi="Calibri" w:cs="Calibri"/>
          <w:b/>
          <w:bCs/>
          <w:sz w:val="24"/>
          <w:szCs w:val="24"/>
        </w:rPr>
        <w:t xml:space="preserve">1 </w:t>
      </w:r>
      <w:r w:rsidRPr="0081219B">
        <w:rPr>
          <w:rFonts w:ascii="Calibri" w:hAnsi="Calibri" w:cs="Calibri"/>
          <w:b/>
          <w:bCs/>
          <w:sz w:val="24"/>
          <w:szCs w:val="24"/>
        </w:rPr>
        <w:t>Towards Productivity Attribution</w:t>
      </w:r>
    </w:p>
    <w:p w14:paraId="4DC3E53A" w14:textId="497EBBA5" w:rsidR="00607929" w:rsidRDefault="00607929" w:rsidP="00111F89">
      <w:pPr>
        <w:spacing w:after="40" w:line="240" w:lineRule="auto"/>
        <w:ind w:firstLine="851"/>
        <w:jc w:val="both"/>
        <w:rPr>
          <w:rFonts w:ascii="Calibri" w:hAnsi="Calibri" w:cs="Calibri"/>
          <w:color w:val="000000" w:themeColor="text1"/>
        </w:rPr>
      </w:pPr>
      <w:r w:rsidRPr="00607929">
        <w:rPr>
          <w:rFonts w:ascii="Calibri" w:hAnsi="Calibri" w:cs="Calibri"/>
          <w:color w:val="000000" w:themeColor="text1"/>
        </w:rPr>
        <w:t xml:space="preserve">Future studies should develop attribution frameworks that integrate visual observations with spatial, temporal and operational context, distinguishing the influence of factors such as workflow interruptions, resource availability, workspace constraints, crew interactions and site layout on productivity outcomes. Knowledge graphs and spatio-temporal interaction models offer promising representational foundations, allowing causal relationships to emerge from observed interactions among entities. This </w:t>
      </w:r>
      <w:r>
        <w:rPr>
          <w:rFonts w:ascii="Calibri" w:hAnsi="Calibri" w:cs="Calibri"/>
          <w:color w:val="000000" w:themeColor="text1"/>
        </w:rPr>
        <w:t>marks</w:t>
      </w:r>
      <w:r w:rsidRPr="00607929">
        <w:rPr>
          <w:rFonts w:ascii="Calibri" w:hAnsi="Calibri" w:cs="Calibri"/>
          <w:color w:val="000000" w:themeColor="text1"/>
        </w:rPr>
        <w:t xml:space="preserve"> the transition from descriptive measurement to diagnostic understanding.</w:t>
      </w:r>
    </w:p>
    <w:p w14:paraId="2796515D" w14:textId="3882361B" w:rsidR="00604881" w:rsidRPr="00B535EB" w:rsidRDefault="00604881" w:rsidP="00604881">
      <w:pPr>
        <w:pStyle w:val="ListParagraph"/>
        <w:spacing w:after="40" w:line="240" w:lineRule="auto"/>
        <w:ind w:left="0"/>
        <w:rPr>
          <w:rFonts w:ascii="Calibri" w:hAnsi="Calibri" w:cs="Calibri"/>
          <w:b/>
          <w:bCs/>
          <w:sz w:val="28"/>
          <w:szCs w:val="28"/>
        </w:rPr>
      </w:pPr>
      <w:r>
        <w:rPr>
          <w:rFonts w:ascii="Calibri" w:hAnsi="Calibri" w:cs="Calibri"/>
          <w:b/>
          <w:bCs/>
          <w:sz w:val="24"/>
          <w:szCs w:val="24"/>
        </w:rPr>
        <w:t>5</w:t>
      </w:r>
      <w:r w:rsidRPr="00D6057A">
        <w:rPr>
          <w:rFonts w:ascii="Calibri" w:hAnsi="Calibri" w:cs="Calibri"/>
          <w:b/>
          <w:bCs/>
          <w:sz w:val="24"/>
          <w:szCs w:val="24"/>
        </w:rPr>
        <w:t>.</w:t>
      </w:r>
      <w:r>
        <w:rPr>
          <w:rFonts w:ascii="Calibri" w:hAnsi="Calibri" w:cs="Calibri"/>
          <w:b/>
          <w:bCs/>
          <w:sz w:val="24"/>
          <w:szCs w:val="24"/>
        </w:rPr>
        <w:t xml:space="preserve">2 </w:t>
      </w:r>
      <w:r w:rsidRPr="00604881">
        <w:rPr>
          <w:rFonts w:ascii="Calibri" w:hAnsi="Calibri" w:cs="Calibri"/>
          <w:b/>
          <w:bCs/>
          <w:sz w:val="24"/>
          <w:szCs w:val="24"/>
        </w:rPr>
        <w:t>Semantic and Multi-Modal Reasoning</w:t>
      </w:r>
    </w:p>
    <w:p w14:paraId="36CD321A" w14:textId="77029AB8" w:rsidR="00607929" w:rsidRDefault="00607929" w:rsidP="00FE118A">
      <w:pPr>
        <w:spacing w:after="40" w:line="240" w:lineRule="auto"/>
        <w:ind w:firstLine="851"/>
        <w:jc w:val="center"/>
        <w:rPr>
          <w:rFonts w:ascii="Calibri" w:hAnsi="Calibri" w:cs="Calibri"/>
          <w:color w:val="000000" w:themeColor="text1"/>
        </w:rPr>
      </w:pPr>
      <w:r w:rsidRPr="00607929">
        <w:rPr>
          <w:rFonts w:ascii="Calibri" w:hAnsi="Calibri" w:cs="Calibri"/>
          <w:color w:val="000000" w:themeColor="text1"/>
        </w:rPr>
        <w:t>Vision-Language Models (VLMs) offer a promising direction by generating context-aware natural-language explanations directly from visual observations, potentially bridging the attribution and decision-support stages in a single step. Vision alone, however, cannot capture every factor influencing productivity. Future systems should therefore fuse CV outputs with IoT sensor data, BIM models and project schedules, linking productivity variation not only to what the system sees but to contextual factors it can cross-reference, and should model resources jointly rather than in isolation.</w:t>
      </w:r>
    </w:p>
    <w:p w14:paraId="089B9494" w14:textId="6D4A7E40" w:rsidR="00835235" w:rsidRDefault="00835235" w:rsidP="00835235">
      <w:pPr>
        <w:spacing w:after="40" w:line="240" w:lineRule="auto"/>
        <w:jc w:val="both"/>
        <w:rPr>
          <w:rFonts w:ascii="Calibri" w:hAnsi="Calibri" w:cs="Calibri"/>
          <w:color w:val="000000" w:themeColor="text1"/>
        </w:rPr>
      </w:pPr>
      <w:r>
        <w:rPr>
          <w:rFonts w:ascii="Calibri" w:hAnsi="Calibri" w:cs="Calibri"/>
          <w:b/>
          <w:bCs/>
          <w:sz w:val="24"/>
          <w:szCs w:val="24"/>
        </w:rPr>
        <w:t>5</w:t>
      </w:r>
      <w:r w:rsidRPr="00D6057A">
        <w:rPr>
          <w:rFonts w:ascii="Calibri" w:hAnsi="Calibri" w:cs="Calibri"/>
          <w:b/>
          <w:bCs/>
          <w:sz w:val="24"/>
          <w:szCs w:val="24"/>
        </w:rPr>
        <w:t>.</w:t>
      </w:r>
      <w:r w:rsidR="00604881">
        <w:rPr>
          <w:rFonts w:ascii="Calibri" w:hAnsi="Calibri" w:cs="Calibri"/>
          <w:b/>
          <w:bCs/>
          <w:sz w:val="24"/>
          <w:szCs w:val="24"/>
        </w:rPr>
        <w:t>3</w:t>
      </w:r>
      <w:r>
        <w:rPr>
          <w:rFonts w:ascii="Calibri" w:hAnsi="Calibri" w:cs="Calibri"/>
          <w:b/>
          <w:bCs/>
          <w:sz w:val="24"/>
          <w:szCs w:val="24"/>
        </w:rPr>
        <w:t xml:space="preserve"> </w:t>
      </w:r>
      <w:r w:rsidR="00445082" w:rsidRPr="00445082">
        <w:rPr>
          <w:rFonts w:ascii="Calibri" w:hAnsi="Calibri" w:cs="Calibri"/>
          <w:b/>
          <w:bCs/>
          <w:sz w:val="24"/>
          <w:szCs w:val="24"/>
        </w:rPr>
        <w:t>Closed-Loop Autonomous Monitoring</w:t>
      </w:r>
    </w:p>
    <w:p w14:paraId="34DF6DA9" w14:textId="1105B9FE" w:rsidR="00E06A05" w:rsidRDefault="00111F89" w:rsidP="00E06A05">
      <w:pPr>
        <w:spacing w:after="40" w:line="240" w:lineRule="auto"/>
        <w:ind w:firstLine="851"/>
        <w:jc w:val="both"/>
        <w:rPr>
          <w:rFonts w:ascii="Calibri" w:hAnsi="Calibri" w:cs="Calibri"/>
          <w:color w:val="000000" w:themeColor="text1"/>
        </w:rPr>
      </w:pPr>
      <w:r w:rsidRPr="00111F89">
        <w:rPr>
          <w:rFonts w:ascii="Calibri" w:hAnsi="Calibri" w:cs="Calibri"/>
          <w:color w:val="000000" w:themeColor="text1"/>
        </w:rPr>
        <w:t>Existing CV-based productivity systems function as passive observers that measure and report without influencing the monitoring process itself.</w:t>
      </w:r>
      <w:r>
        <w:rPr>
          <w:rFonts w:ascii="Calibri" w:hAnsi="Calibri" w:cs="Calibri"/>
          <w:color w:val="000000" w:themeColor="text1"/>
        </w:rPr>
        <w:t xml:space="preserve"> </w:t>
      </w:r>
      <w:r w:rsidR="00445082" w:rsidRPr="00445082">
        <w:rPr>
          <w:rFonts w:ascii="Calibri" w:hAnsi="Calibri" w:cs="Calibri"/>
          <w:color w:val="000000" w:themeColor="text1"/>
        </w:rPr>
        <w:t>Future research should explore closed-loop systems that a</w:t>
      </w:r>
      <w:r w:rsidR="000220B8">
        <w:rPr>
          <w:rFonts w:ascii="Calibri" w:hAnsi="Calibri" w:cs="Calibri"/>
          <w:color w:val="000000" w:themeColor="text1"/>
        </w:rPr>
        <w:t>d</w:t>
      </w:r>
      <w:r w:rsidR="00DF27B5">
        <w:rPr>
          <w:rFonts w:ascii="Calibri" w:hAnsi="Calibri" w:cs="Calibri"/>
          <w:color w:val="000000" w:themeColor="text1"/>
        </w:rPr>
        <w:t>apt</w:t>
      </w:r>
      <w:r w:rsidR="00445082" w:rsidRPr="00445082">
        <w:rPr>
          <w:rFonts w:ascii="Calibri" w:hAnsi="Calibri" w:cs="Calibri"/>
          <w:color w:val="000000" w:themeColor="text1"/>
        </w:rPr>
        <w:t xml:space="preserve"> their monitoring behaviour in response to detected productivity patterns</w:t>
      </w:r>
      <w:r w:rsidR="000220B8">
        <w:rPr>
          <w:rFonts w:ascii="Calibri" w:hAnsi="Calibri" w:cs="Calibri"/>
          <w:color w:val="000000" w:themeColor="text1"/>
        </w:rPr>
        <w:t>:</w:t>
      </w:r>
      <w:r w:rsidR="00445082" w:rsidRPr="00445082">
        <w:rPr>
          <w:rFonts w:ascii="Calibri" w:hAnsi="Calibri" w:cs="Calibri"/>
          <w:color w:val="000000" w:themeColor="text1"/>
        </w:rPr>
        <w:t xml:space="preserve"> adjusting camera attention to underperforming zones, triggering real-time alerts, or generating operational recommendations autonomously. This moves the field from passive measurement toward autonomous productivity management, closing the loop from sensing to action.</w:t>
      </w:r>
    </w:p>
    <w:p w14:paraId="3BF8A495" w14:textId="77777777" w:rsidR="006E677D" w:rsidRDefault="006E677D" w:rsidP="007C3102">
      <w:pPr>
        <w:spacing w:after="40" w:line="240" w:lineRule="auto"/>
        <w:jc w:val="both"/>
        <w:rPr>
          <w:rFonts w:ascii="Calibri" w:hAnsi="Calibri" w:cs="Calibri"/>
          <w:color w:val="000000" w:themeColor="text1"/>
        </w:rPr>
      </w:pPr>
    </w:p>
    <w:p w14:paraId="3E64B8F6" w14:textId="07DCD8FD" w:rsidR="00707AD3" w:rsidRPr="00707AD3" w:rsidRDefault="00FD74E0" w:rsidP="00707AD3">
      <w:pPr>
        <w:pStyle w:val="ListParagraph"/>
        <w:numPr>
          <w:ilvl w:val="0"/>
          <w:numId w:val="22"/>
        </w:numPr>
        <w:spacing w:after="40" w:line="240" w:lineRule="auto"/>
        <w:rPr>
          <w:rFonts w:ascii="Calibri" w:hAnsi="Calibri" w:cs="Calibri"/>
          <w:b/>
          <w:bCs/>
          <w:sz w:val="28"/>
          <w:szCs w:val="28"/>
        </w:rPr>
      </w:pPr>
      <w:r w:rsidRPr="00DF0BD3">
        <w:t xml:space="preserve"> </w:t>
      </w:r>
      <w:r>
        <w:rPr>
          <w:rFonts w:ascii="Calibri" w:hAnsi="Calibri" w:cs="Calibri"/>
          <w:b/>
          <w:bCs/>
          <w:sz w:val="28"/>
          <w:szCs w:val="28"/>
        </w:rPr>
        <w:t>CONCLUSIONS</w:t>
      </w:r>
    </w:p>
    <w:p w14:paraId="6047F3CC" w14:textId="14E911B2" w:rsidR="00707AD3" w:rsidRPr="00707AD3" w:rsidRDefault="00707AD3" w:rsidP="00707AD3">
      <w:pPr>
        <w:spacing w:after="40" w:line="240" w:lineRule="auto"/>
        <w:ind w:firstLine="851"/>
        <w:jc w:val="both"/>
        <w:rPr>
          <w:rFonts w:ascii="Calibri" w:hAnsi="Calibri" w:cs="Calibri"/>
          <w:color w:val="000000" w:themeColor="text1"/>
          <w:lang w:val="en-IN"/>
        </w:rPr>
      </w:pPr>
      <w:r w:rsidRPr="00707AD3">
        <w:rPr>
          <w:rFonts w:ascii="Calibri" w:hAnsi="Calibri" w:cs="Calibri"/>
          <w:color w:val="000000" w:themeColor="text1"/>
          <w:lang w:val="en-IN"/>
        </w:rPr>
        <w:t>This paper reviewed 30 studies on CV-based construction productivity monitoring and derived the Operational Understanding Maturity Framework (OUMF) from the capabilities th</w:t>
      </w:r>
      <w:r w:rsidR="000D0B49">
        <w:rPr>
          <w:rFonts w:ascii="Calibri" w:hAnsi="Calibri" w:cs="Calibri"/>
          <w:color w:val="000000" w:themeColor="text1"/>
          <w:lang w:val="en-IN"/>
        </w:rPr>
        <w:t>ose</w:t>
      </w:r>
      <w:r w:rsidRPr="00707AD3">
        <w:rPr>
          <w:rFonts w:ascii="Calibri" w:hAnsi="Calibri" w:cs="Calibri"/>
          <w:color w:val="000000" w:themeColor="text1"/>
          <w:lang w:val="en-IN"/>
        </w:rPr>
        <w:t xml:space="preserve"> systems deliver</w:t>
      </w:r>
      <w:r w:rsidR="000D0B49">
        <w:rPr>
          <w:rFonts w:ascii="Calibri" w:hAnsi="Calibri" w:cs="Calibri"/>
          <w:color w:val="000000" w:themeColor="text1"/>
          <w:lang w:val="en-IN"/>
        </w:rPr>
        <w:t>ed</w:t>
      </w:r>
      <w:r w:rsidRPr="00707AD3">
        <w:rPr>
          <w:rFonts w:ascii="Calibri" w:hAnsi="Calibri" w:cs="Calibri"/>
          <w:color w:val="000000" w:themeColor="text1"/>
          <w:lang w:val="en-IN"/>
        </w:rPr>
        <w:t xml:space="preserve">. While 72% of studies reach Productivity Assessment, only 36% produce an attribution and 12% support a decision. Computer vision has therefore matured as a means of measuring productivity, yet its potential for explaining variation and supporting operational decisions remains largely underexploited. The review further shows that many studies labelled as productivity assessment quantify only labour effort without measuring the corresponding work output, and thus estimate resource utilisation rather than productivity. </w:t>
      </w:r>
      <w:r w:rsidR="000D0B49" w:rsidRPr="000D0B49">
        <w:rPr>
          <w:rFonts w:ascii="Calibri" w:hAnsi="Calibri" w:cs="Calibri"/>
          <w:color w:val="000000" w:themeColor="text1"/>
        </w:rPr>
        <w:t>Positioning the corpus against the framework also brought two preconditions into view:</w:t>
      </w:r>
      <w:r w:rsidR="000D0B49">
        <w:rPr>
          <w:rFonts w:ascii="Calibri" w:hAnsi="Calibri" w:cs="Calibri"/>
          <w:color w:val="000000" w:themeColor="text1"/>
        </w:rPr>
        <w:t xml:space="preserve"> scarcity of data and granularity of analysis.</w:t>
      </w:r>
    </w:p>
    <w:p w14:paraId="23FE08B7" w14:textId="28E5C0F8" w:rsidR="001E2069" w:rsidRDefault="00707AD3" w:rsidP="001E2069">
      <w:pPr>
        <w:spacing w:after="40" w:line="240" w:lineRule="auto"/>
        <w:ind w:firstLine="851"/>
        <w:jc w:val="both"/>
        <w:rPr>
          <w:rFonts w:ascii="Calibri" w:hAnsi="Calibri" w:cs="Calibri"/>
          <w:color w:val="000000" w:themeColor="text1"/>
          <w:lang w:val="en-IN"/>
        </w:rPr>
      </w:pPr>
      <w:r w:rsidRPr="00707AD3">
        <w:rPr>
          <w:rFonts w:ascii="Calibri" w:hAnsi="Calibri" w:cs="Calibri"/>
          <w:color w:val="000000" w:themeColor="text1"/>
          <w:lang w:val="en-IN"/>
        </w:rPr>
        <w:t xml:space="preserve">Bridging the gap between assessment and the later stages will require systems that model interactions among workers, equipment, materials and workspace </w:t>
      </w:r>
      <w:r w:rsidR="004D3DC8">
        <w:rPr>
          <w:rFonts w:ascii="Calibri" w:hAnsi="Calibri" w:cs="Calibri"/>
          <w:color w:val="000000" w:themeColor="text1"/>
          <w:lang w:val="en-IN"/>
        </w:rPr>
        <w:t xml:space="preserve">conditions </w:t>
      </w:r>
      <w:r w:rsidRPr="00707AD3">
        <w:rPr>
          <w:rFonts w:ascii="Calibri" w:hAnsi="Calibri" w:cs="Calibri"/>
          <w:color w:val="000000" w:themeColor="text1"/>
          <w:lang w:val="en-IN"/>
        </w:rPr>
        <w:t>rather than in isolation. Graph-based</w:t>
      </w:r>
      <w:r w:rsidR="004D3DC8">
        <w:rPr>
          <w:rFonts w:ascii="Calibri" w:hAnsi="Calibri" w:cs="Calibri"/>
          <w:color w:val="000000" w:themeColor="text1"/>
          <w:lang w:val="en-IN"/>
        </w:rPr>
        <w:t xml:space="preserve"> interaction</w:t>
      </w:r>
      <w:r w:rsidRPr="00707AD3">
        <w:rPr>
          <w:rFonts w:ascii="Calibri" w:hAnsi="Calibri" w:cs="Calibri"/>
          <w:color w:val="000000" w:themeColor="text1"/>
          <w:lang w:val="en-IN"/>
        </w:rPr>
        <w:t xml:space="preserve"> modelling, </w:t>
      </w:r>
      <w:r w:rsidR="004D3DC8">
        <w:rPr>
          <w:rFonts w:ascii="Calibri" w:hAnsi="Calibri" w:cs="Calibri"/>
          <w:color w:val="000000" w:themeColor="text1"/>
          <w:lang w:val="en-IN"/>
        </w:rPr>
        <w:t>VLMs</w:t>
      </w:r>
      <w:r w:rsidRPr="00707AD3">
        <w:rPr>
          <w:rFonts w:ascii="Calibri" w:hAnsi="Calibri" w:cs="Calibri"/>
          <w:color w:val="000000" w:themeColor="text1"/>
          <w:lang w:val="en-IN"/>
        </w:rPr>
        <w:t xml:space="preserve"> and multi-modal fusion offer plausible pathways from measurement towards attribution and decision support. The OUMF thus provides both a benchmark for existing research and a roadmap for the next generation of vision-based productivity monitoring</w:t>
      </w:r>
      <w:r w:rsidR="001E2069">
        <w:rPr>
          <w:rFonts w:ascii="Calibri" w:hAnsi="Calibri" w:cs="Calibri"/>
          <w:color w:val="000000" w:themeColor="text1"/>
          <w:lang w:val="en-IN"/>
        </w:rPr>
        <w:t>.</w:t>
      </w:r>
    </w:p>
    <w:p w14:paraId="39AAFE1B" w14:textId="0AF324DF" w:rsidR="007D75E8" w:rsidRDefault="007D75E8" w:rsidP="007D75E8">
      <w:pPr>
        <w:spacing w:after="40" w:line="240" w:lineRule="auto"/>
        <w:jc w:val="both"/>
        <w:rPr>
          <w:rFonts w:ascii="Calibri" w:hAnsi="Calibri" w:cs="Calibri"/>
          <w:b/>
          <w:bCs/>
          <w:sz w:val="28"/>
          <w:szCs w:val="28"/>
        </w:rPr>
      </w:pPr>
      <w:r>
        <w:rPr>
          <w:rFonts w:ascii="Calibri" w:hAnsi="Calibri" w:cs="Calibri"/>
          <w:b/>
          <w:bCs/>
          <w:sz w:val="28"/>
          <w:szCs w:val="28"/>
        </w:rPr>
        <w:t>ACKNOWLEDGEMENT</w:t>
      </w:r>
    </w:p>
    <w:p w14:paraId="161FD3B0" w14:textId="15D68259" w:rsidR="000A1F52" w:rsidRPr="000A1F52" w:rsidRDefault="000A1F52" w:rsidP="000A1F52">
      <w:pPr>
        <w:spacing w:after="40" w:line="240" w:lineRule="auto"/>
        <w:jc w:val="both"/>
        <w:rPr>
          <w:rFonts w:ascii="Calibri" w:hAnsi="Calibri" w:cs="Calibri"/>
          <w:color w:val="000000" w:themeColor="text1"/>
          <w:lang w:val="en-IN"/>
        </w:rPr>
      </w:pPr>
      <w:r w:rsidRPr="000A1F52">
        <w:rPr>
          <w:rFonts w:ascii="Calibri" w:hAnsi="Calibri" w:cs="Calibri"/>
          <w:color w:val="000000" w:themeColor="text1"/>
          <w:lang w:val="en-IN"/>
        </w:rPr>
        <w:t xml:space="preserve">The first author acknowledges </w:t>
      </w:r>
      <w:proofErr w:type="spellStart"/>
      <w:r w:rsidRPr="000A1F52">
        <w:rPr>
          <w:rFonts w:ascii="Calibri" w:hAnsi="Calibri" w:cs="Calibri"/>
          <w:color w:val="000000" w:themeColor="text1"/>
          <w:lang w:val="en-IN"/>
        </w:rPr>
        <w:t>MeitY</w:t>
      </w:r>
      <w:proofErr w:type="spellEnd"/>
      <w:r w:rsidRPr="000A1F52">
        <w:rPr>
          <w:rFonts w:ascii="Calibri" w:hAnsi="Calibri" w:cs="Calibri"/>
          <w:color w:val="000000" w:themeColor="text1"/>
          <w:lang w:val="en-IN"/>
        </w:rPr>
        <w:t xml:space="preserve">, Government of India, for funding through the </w:t>
      </w:r>
      <w:proofErr w:type="spellStart"/>
      <w:r w:rsidRPr="000A1F52">
        <w:rPr>
          <w:rFonts w:ascii="Calibri" w:hAnsi="Calibri" w:cs="Calibri"/>
          <w:color w:val="000000" w:themeColor="text1"/>
          <w:lang w:val="en-IN"/>
        </w:rPr>
        <w:t>IndiaAI</w:t>
      </w:r>
      <w:proofErr w:type="spellEnd"/>
      <w:r w:rsidRPr="000A1F52">
        <w:rPr>
          <w:rFonts w:ascii="Calibri" w:hAnsi="Calibri" w:cs="Calibri"/>
          <w:color w:val="000000" w:themeColor="text1"/>
          <w:lang w:val="en-IN"/>
        </w:rPr>
        <w:t xml:space="preserve"> Scholarship Program. The authors also acknowledge financial support from Project #</w:t>
      </w:r>
      <w:r w:rsidR="00DB19B0">
        <w:rPr>
          <w:rFonts w:ascii="Calibri" w:hAnsi="Calibri" w:cs="Calibri"/>
          <w:color w:val="000000" w:themeColor="text1"/>
          <w:lang w:val="en-IN"/>
        </w:rPr>
        <w:t>RB26270319CEGEWI009227 and the IITM Young Faculty Mobility Grant, which facilitated</w:t>
      </w:r>
      <w:r w:rsidRPr="000A1F52">
        <w:rPr>
          <w:rFonts w:ascii="Calibri" w:hAnsi="Calibri" w:cs="Calibri"/>
          <w:color w:val="000000" w:themeColor="text1"/>
        </w:rPr>
        <w:t xml:space="preserve"> academic collaborations.</w:t>
      </w:r>
    </w:p>
    <w:p w14:paraId="592CD99D" w14:textId="5F9C40AA" w:rsidR="003024FC" w:rsidRDefault="00E87EC3" w:rsidP="00E87EC3">
      <w:pPr>
        <w:spacing w:after="40" w:line="240" w:lineRule="auto"/>
        <w:jc w:val="both"/>
        <w:rPr>
          <w:rFonts w:ascii="Calibri" w:hAnsi="Calibri" w:cs="Calibri"/>
          <w:b/>
          <w:bCs/>
          <w:sz w:val="28"/>
          <w:szCs w:val="28"/>
        </w:rPr>
      </w:pPr>
      <w:r w:rsidRPr="00D6057A">
        <w:rPr>
          <w:rFonts w:ascii="Calibri" w:hAnsi="Calibri" w:cs="Calibri"/>
          <w:b/>
          <w:bCs/>
          <w:sz w:val="28"/>
          <w:szCs w:val="28"/>
        </w:rPr>
        <w:t>REFERENCES</w:t>
      </w:r>
    </w:p>
    <w:p w14:paraId="36FCA1D5" w14:textId="77777777" w:rsidR="005D4652" w:rsidRPr="005D4652" w:rsidRDefault="008C2CA2" w:rsidP="005D4652">
      <w:pPr>
        <w:pStyle w:val="Bibliography"/>
        <w:rPr>
          <w:rFonts w:ascii="Aptos" w:hAnsi="Aptos" w:cs="Times New Roman"/>
          <w:kern w:val="0"/>
        </w:rPr>
      </w:pPr>
      <w:r w:rsidRPr="008D1235">
        <w:fldChar w:fldCharType="begin"/>
      </w:r>
      <w:r w:rsidR="005D4652">
        <w:instrText xml:space="preserve"> ADDIN ZOTERO_BIBL {"uncited":[],"omitted":[["http://zotero.org/users/20312420/items/X5CR3HTW"]],"custom":[[["http://zotero.org/users/20312420/items/MR8EYFMT"],"Yang, J. {\\i{}et al.} (2015) \\uc0\\u8220{}Construction performance monitoring via still images, time-lapse photos, and video streams: Now, tomorrow, and the future,\\uc0\\u8221{} {\\i{}Advanced Engineering Informatics}, 29(2), pp. 211\\uc0\\u8211{}224. Available at: https://doi.org/10.1016/j.aei.2015.01.011."]]} CSL_BIBLIOGRAPHY </w:instrText>
      </w:r>
      <w:r w:rsidRPr="008D1235">
        <w:fldChar w:fldCharType="separate"/>
      </w:r>
      <w:r w:rsidR="005D4652" w:rsidRPr="005D4652">
        <w:rPr>
          <w:rFonts w:ascii="Aptos" w:hAnsi="Aptos" w:cs="Times New Roman"/>
          <w:kern w:val="0"/>
        </w:rPr>
        <w:t xml:space="preserve">Baek, J. </w:t>
      </w:r>
      <w:r w:rsidR="005D4652" w:rsidRPr="005D4652">
        <w:rPr>
          <w:rFonts w:ascii="Aptos" w:hAnsi="Aptos" w:cs="Times New Roman"/>
          <w:i/>
          <w:iCs/>
          <w:kern w:val="0"/>
        </w:rPr>
        <w:t>et al.</w:t>
      </w:r>
      <w:r w:rsidR="005D4652" w:rsidRPr="005D4652">
        <w:rPr>
          <w:rFonts w:ascii="Aptos" w:hAnsi="Aptos" w:cs="Times New Roman"/>
          <w:kern w:val="0"/>
        </w:rPr>
        <w:t xml:space="preserve"> (2025) “Dual-stream transformer-based activity classification for off-site construction productivity analysis,” </w:t>
      </w:r>
      <w:r w:rsidR="005D4652" w:rsidRPr="005D4652">
        <w:rPr>
          <w:rFonts w:ascii="Aptos" w:hAnsi="Aptos" w:cs="Times New Roman"/>
          <w:i/>
          <w:iCs/>
          <w:kern w:val="0"/>
        </w:rPr>
        <w:t>Automation in Construction</w:t>
      </w:r>
      <w:r w:rsidR="005D4652" w:rsidRPr="005D4652">
        <w:rPr>
          <w:rFonts w:ascii="Aptos" w:hAnsi="Aptos" w:cs="Times New Roman"/>
          <w:kern w:val="0"/>
        </w:rPr>
        <w:t>, 180, p. 106505. Available at: https://doi.org/10.1016/j.autcon.2025.106505.</w:t>
      </w:r>
    </w:p>
    <w:p w14:paraId="14D94298"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lastRenderedPageBreak/>
        <w:t xml:space="preserve">Barbosa, A. and Bastos Costa, D. (2021) “Productivity Monitoring of Construction Activities Using Digital Technologies: A Literature Review.” </w:t>
      </w:r>
      <w:r w:rsidRPr="005D4652">
        <w:rPr>
          <w:rFonts w:ascii="Aptos" w:hAnsi="Aptos" w:cs="Times New Roman"/>
          <w:i/>
          <w:iCs/>
          <w:kern w:val="0"/>
        </w:rPr>
        <w:t>IGLC</w:t>
      </w:r>
      <w:r w:rsidRPr="005D4652">
        <w:rPr>
          <w:rFonts w:ascii="Aptos" w:hAnsi="Aptos" w:cs="Times New Roman"/>
          <w:kern w:val="0"/>
        </w:rPr>
        <w:t>, p. 716. Available at: https://doi.org/10.24928/2021/0141.</w:t>
      </w:r>
    </w:p>
    <w:p w14:paraId="6DDC8F5E"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Cheng, M.-Y., Cao, M.-T. and Nuralim, C.K. (2023) “Computer vision-based deep learning for supervising excavator operations and measuring real-time earthwork productivity,” </w:t>
      </w:r>
      <w:r w:rsidRPr="005D4652">
        <w:rPr>
          <w:rFonts w:ascii="Aptos" w:hAnsi="Aptos" w:cs="Times New Roman"/>
          <w:i/>
          <w:iCs/>
          <w:kern w:val="0"/>
        </w:rPr>
        <w:t>The Journal of Supercomputing</w:t>
      </w:r>
      <w:r w:rsidRPr="005D4652">
        <w:rPr>
          <w:rFonts w:ascii="Aptos" w:hAnsi="Aptos" w:cs="Times New Roman"/>
          <w:kern w:val="0"/>
        </w:rPr>
        <w:t>, 79(4), pp. 4468–4492. Available at: https://doi.org/10.1007/s11227-022-04803-x.</w:t>
      </w:r>
    </w:p>
    <w:p w14:paraId="4174F44C"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Construction Industry Institute (2010) </w:t>
      </w:r>
      <w:r w:rsidRPr="005D4652">
        <w:rPr>
          <w:rFonts w:ascii="Aptos" w:hAnsi="Aptos" w:cs="Times New Roman"/>
          <w:i/>
          <w:iCs/>
          <w:kern w:val="0"/>
        </w:rPr>
        <w:t>Guide to Activity Analysis</w:t>
      </w:r>
      <w:r w:rsidRPr="005D4652">
        <w:rPr>
          <w:rFonts w:ascii="Aptos" w:hAnsi="Aptos" w:cs="Times New Roman"/>
          <w:kern w:val="0"/>
        </w:rPr>
        <w:t>. Implementation Resource 252-2a. Austin, TX: University of Texas at Austin.</w:t>
      </w:r>
    </w:p>
    <w:p w14:paraId="3ECCD7DC"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Construction Industry Institute (2014) </w:t>
      </w:r>
      <w:r w:rsidRPr="005D4652">
        <w:rPr>
          <w:rFonts w:ascii="Aptos" w:hAnsi="Aptos" w:cs="Times New Roman"/>
          <w:i/>
          <w:iCs/>
          <w:kern w:val="0"/>
        </w:rPr>
        <w:t>Industrial engineering/manufacturing techniques for enhancing construction project performance</w:t>
      </w:r>
      <w:r w:rsidRPr="005D4652">
        <w:rPr>
          <w:rFonts w:ascii="Aptos" w:hAnsi="Aptos" w:cs="Times New Roman"/>
          <w:kern w:val="0"/>
        </w:rPr>
        <w:t>. Research Summary. Austin, TX: University of Texas at Austin.</w:t>
      </w:r>
    </w:p>
    <w:p w14:paraId="5381DB01"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Gong, J. and Caldas, C.H. (2011) “An object recognition, tracking, and contextual reasoning-based video interpretation method for rapid productivity analysis of construction operations,” </w:t>
      </w:r>
      <w:r w:rsidRPr="005D4652">
        <w:rPr>
          <w:rFonts w:ascii="Aptos" w:hAnsi="Aptos" w:cs="Times New Roman"/>
          <w:i/>
          <w:iCs/>
          <w:kern w:val="0"/>
        </w:rPr>
        <w:t>Automation in Construction</w:t>
      </w:r>
      <w:r w:rsidRPr="005D4652">
        <w:rPr>
          <w:rFonts w:ascii="Aptos" w:hAnsi="Aptos" w:cs="Times New Roman"/>
          <w:kern w:val="0"/>
        </w:rPr>
        <w:t>, 20(8), pp. 1211–1226. Available at: https://doi.org/10.1016/j.autcon.2011.05.005.</w:t>
      </w:r>
    </w:p>
    <w:p w14:paraId="37BB852A"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Goolsbee, A. and Syverson, C. (2023) </w:t>
      </w:r>
      <w:r w:rsidRPr="005D4652">
        <w:rPr>
          <w:rFonts w:ascii="Aptos" w:hAnsi="Aptos" w:cs="Times New Roman"/>
          <w:i/>
          <w:iCs/>
          <w:kern w:val="0"/>
        </w:rPr>
        <w:t>The Strange and Awful Path of Productivity in the U.S. Construction Sector</w:t>
      </w:r>
      <w:r w:rsidRPr="005D4652">
        <w:rPr>
          <w:rFonts w:ascii="Aptos" w:hAnsi="Aptos" w:cs="Times New Roman"/>
          <w:kern w:val="0"/>
        </w:rPr>
        <w:t>. Cambridge, MA. Available at: https://doi.org/10.3386/w30845.</w:t>
      </w:r>
    </w:p>
    <w:p w14:paraId="2FF060E5"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Hwang, J. </w:t>
      </w:r>
      <w:r w:rsidRPr="005D4652">
        <w:rPr>
          <w:rFonts w:ascii="Aptos" w:hAnsi="Aptos" w:cs="Times New Roman"/>
          <w:i/>
          <w:iCs/>
          <w:kern w:val="0"/>
        </w:rPr>
        <w:t>et al.</w:t>
      </w:r>
      <w:r w:rsidRPr="005D4652">
        <w:rPr>
          <w:rFonts w:ascii="Aptos" w:hAnsi="Aptos" w:cs="Times New Roman"/>
          <w:kern w:val="0"/>
        </w:rPr>
        <w:t xml:space="preserve"> (2025) “Web-based multi-vision platform for earthwork productivity on construction sites using real-time model updating,” </w:t>
      </w:r>
      <w:r w:rsidRPr="005D4652">
        <w:rPr>
          <w:rFonts w:ascii="Aptos" w:hAnsi="Aptos" w:cs="Times New Roman"/>
          <w:i/>
          <w:iCs/>
          <w:kern w:val="0"/>
        </w:rPr>
        <w:t>Frontiers of Structural and Civil Engineering</w:t>
      </w:r>
      <w:r w:rsidRPr="005D4652">
        <w:rPr>
          <w:rFonts w:ascii="Aptos" w:hAnsi="Aptos" w:cs="Times New Roman"/>
          <w:kern w:val="0"/>
        </w:rPr>
        <w:t>, 19(6), pp. 1021–1040. Available at: https://doi.org/10.1007/s11709-025-1197-0.</w:t>
      </w:r>
    </w:p>
    <w:p w14:paraId="33C1F35B"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Li, L. </w:t>
      </w:r>
      <w:r w:rsidRPr="005D4652">
        <w:rPr>
          <w:rFonts w:ascii="Aptos" w:hAnsi="Aptos" w:cs="Times New Roman"/>
          <w:i/>
          <w:iCs/>
          <w:kern w:val="0"/>
        </w:rPr>
        <w:t>et al.</w:t>
      </w:r>
      <w:r w:rsidRPr="005D4652">
        <w:rPr>
          <w:rFonts w:ascii="Aptos" w:hAnsi="Aptos" w:cs="Times New Roman"/>
          <w:kern w:val="0"/>
        </w:rPr>
        <w:t xml:space="preserve"> (2026) “Automated construction monitoring based on computer vision: A comprehensive review,” </w:t>
      </w:r>
      <w:r w:rsidRPr="005D4652">
        <w:rPr>
          <w:rFonts w:ascii="Aptos" w:hAnsi="Aptos" w:cs="Times New Roman"/>
          <w:i/>
          <w:iCs/>
          <w:kern w:val="0"/>
        </w:rPr>
        <w:t>Developments in the Built Environment</w:t>
      </w:r>
      <w:r w:rsidRPr="005D4652">
        <w:rPr>
          <w:rFonts w:ascii="Aptos" w:hAnsi="Aptos" w:cs="Times New Roman"/>
          <w:kern w:val="0"/>
        </w:rPr>
        <w:t>, 25, p. 100832. Available at: https://doi.org/10.1016/j.dibe.2025.100832.</w:t>
      </w:r>
    </w:p>
    <w:p w14:paraId="32A1AC72"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Liu, K. and Golparvar-Fard, M. (2015) “Crowdsourcing Construction Activity Analysis from Jobsite Video Streams,” </w:t>
      </w:r>
      <w:r w:rsidRPr="005D4652">
        <w:rPr>
          <w:rFonts w:ascii="Aptos" w:hAnsi="Aptos" w:cs="Times New Roman"/>
          <w:i/>
          <w:iCs/>
          <w:kern w:val="0"/>
        </w:rPr>
        <w:t>Journal of Construction Engineering and Management</w:t>
      </w:r>
      <w:r w:rsidRPr="005D4652">
        <w:rPr>
          <w:rFonts w:ascii="Aptos" w:hAnsi="Aptos" w:cs="Times New Roman"/>
          <w:kern w:val="0"/>
        </w:rPr>
        <w:t>, 141(11), p. 04015035. Available at: https://doi.org/10.1061/(ASCE)CO.1943-7862.0001010.</w:t>
      </w:r>
    </w:p>
    <w:p w14:paraId="7F6168B4"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Pal, A. and Hsieh, S.-H. (2021) “Deep-learning-based visual data analytics for smart construction management,” </w:t>
      </w:r>
      <w:r w:rsidRPr="005D4652">
        <w:rPr>
          <w:rFonts w:ascii="Aptos" w:hAnsi="Aptos" w:cs="Times New Roman"/>
          <w:i/>
          <w:iCs/>
          <w:kern w:val="0"/>
        </w:rPr>
        <w:t>Automation in Construction</w:t>
      </w:r>
      <w:r w:rsidRPr="005D4652">
        <w:rPr>
          <w:rFonts w:ascii="Aptos" w:hAnsi="Aptos" w:cs="Times New Roman"/>
          <w:kern w:val="0"/>
        </w:rPr>
        <w:t>, 131, p. 103892. Available at: https://doi.org/10.1016/j.autcon.2021.103892.</w:t>
      </w:r>
    </w:p>
    <w:p w14:paraId="56FAB2AE"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Panahi, R. </w:t>
      </w:r>
      <w:r w:rsidRPr="005D4652">
        <w:rPr>
          <w:rFonts w:ascii="Aptos" w:hAnsi="Aptos" w:cs="Times New Roman"/>
          <w:i/>
          <w:iCs/>
          <w:kern w:val="0"/>
        </w:rPr>
        <w:t>et al.</w:t>
      </w:r>
      <w:r w:rsidRPr="005D4652">
        <w:rPr>
          <w:rFonts w:ascii="Aptos" w:hAnsi="Aptos" w:cs="Times New Roman"/>
          <w:kern w:val="0"/>
        </w:rPr>
        <w:t xml:space="preserve"> (2023) “Bottleneck Detection in Modular Construction Factories Using Computer Vision,” </w:t>
      </w:r>
      <w:r w:rsidRPr="005D4652">
        <w:rPr>
          <w:rFonts w:ascii="Aptos" w:hAnsi="Aptos" w:cs="Times New Roman"/>
          <w:i/>
          <w:iCs/>
          <w:kern w:val="0"/>
        </w:rPr>
        <w:t>Sensors</w:t>
      </w:r>
      <w:r w:rsidRPr="005D4652">
        <w:rPr>
          <w:rFonts w:ascii="Aptos" w:hAnsi="Aptos" w:cs="Times New Roman"/>
          <w:kern w:val="0"/>
        </w:rPr>
        <w:t>, 23. Available at: https://doi.org/10.3390/s23083982.</w:t>
      </w:r>
    </w:p>
    <w:p w14:paraId="6AA5AFA0"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Toledo, M.J., Lorca, M. and Mora, M. (2025) “Use of Computer Vision and Object Detection to Measure Construction Productivity Using Crew Balance Charts,” </w:t>
      </w:r>
      <w:r w:rsidRPr="005D4652">
        <w:rPr>
          <w:rFonts w:ascii="Aptos" w:hAnsi="Aptos" w:cs="Times New Roman"/>
          <w:i/>
          <w:iCs/>
          <w:kern w:val="0"/>
        </w:rPr>
        <w:t>IGLC 33</w:t>
      </w:r>
      <w:r w:rsidRPr="005D4652">
        <w:rPr>
          <w:rFonts w:ascii="Aptos" w:hAnsi="Aptos" w:cs="Times New Roman"/>
          <w:kern w:val="0"/>
        </w:rPr>
        <w:t>, pp. 810–821. Available at: https://www.iglc.net/Papers/Details/2360.</w:t>
      </w:r>
    </w:p>
    <w:p w14:paraId="714F74F9"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Tsai, C.Y. </w:t>
      </w:r>
      <w:r w:rsidRPr="005D4652">
        <w:rPr>
          <w:rFonts w:ascii="Aptos" w:hAnsi="Aptos" w:cs="Times New Roman"/>
          <w:i/>
          <w:iCs/>
          <w:kern w:val="0"/>
        </w:rPr>
        <w:t>et al.</w:t>
      </w:r>
      <w:r w:rsidRPr="005D4652">
        <w:rPr>
          <w:rFonts w:ascii="Aptos" w:hAnsi="Aptos" w:cs="Times New Roman"/>
          <w:kern w:val="0"/>
        </w:rPr>
        <w:t xml:space="preserve"> (2025) “Multi-granular crew activity recognition for construction monitoring,” </w:t>
      </w:r>
      <w:r w:rsidRPr="005D4652">
        <w:rPr>
          <w:rFonts w:ascii="Aptos" w:hAnsi="Aptos" w:cs="Times New Roman"/>
          <w:i/>
          <w:iCs/>
          <w:kern w:val="0"/>
        </w:rPr>
        <w:t>Automation in Construction</w:t>
      </w:r>
      <w:r w:rsidRPr="005D4652">
        <w:rPr>
          <w:rFonts w:ascii="Aptos" w:hAnsi="Aptos" w:cs="Times New Roman"/>
          <w:kern w:val="0"/>
        </w:rPr>
        <w:t>, 179, p. 106428. Available at: https://doi.org/10.1016/j.autcon.2025.106428.</w:t>
      </w:r>
    </w:p>
    <w:p w14:paraId="10476B39" w14:textId="77777777" w:rsidR="005D4652" w:rsidRPr="005D4652" w:rsidRDefault="005D4652" w:rsidP="005D4652">
      <w:pPr>
        <w:pStyle w:val="Bibliography"/>
        <w:rPr>
          <w:rFonts w:ascii="Aptos" w:hAnsi="Aptos" w:cs="Times New Roman"/>
          <w:kern w:val="0"/>
        </w:rPr>
      </w:pPr>
      <w:r w:rsidRPr="005D4652">
        <w:rPr>
          <w:rFonts w:ascii="Aptos" w:hAnsi="Aptos" w:cs="Times New Roman"/>
          <w:kern w:val="0"/>
        </w:rPr>
        <w:t xml:space="preserve">Yang, J. </w:t>
      </w:r>
      <w:r w:rsidRPr="005D4652">
        <w:rPr>
          <w:rFonts w:ascii="Aptos" w:hAnsi="Aptos" w:cs="Times New Roman"/>
          <w:i/>
          <w:iCs/>
          <w:kern w:val="0"/>
        </w:rPr>
        <w:t>et al.</w:t>
      </w:r>
      <w:r w:rsidRPr="005D4652">
        <w:rPr>
          <w:rFonts w:ascii="Aptos" w:hAnsi="Aptos" w:cs="Times New Roman"/>
          <w:kern w:val="0"/>
        </w:rPr>
        <w:t xml:space="preserve"> (2015) “Construction performance monitoring via still images, time-lapse photos, and video streams: Now, tomorrow, and the future,” </w:t>
      </w:r>
      <w:r w:rsidRPr="005D4652">
        <w:rPr>
          <w:rFonts w:ascii="Aptos" w:hAnsi="Aptos" w:cs="Times New Roman"/>
          <w:i/>
          <w:iCs/>
          <w:kern w:val="0"/>
        </w:rPr>
        <w:t>Advanced Engineering Informatics</w:t>
      </w:r>
      <w:r w:rsidRPr="005D4652">
        <w:rPr>
          <w:rFonts w:ascii="Aptos" w:hAnsi="Aptos" w:cs="Times New Roman"/>
          <w:kern w:val="0"/>
        </w:rPr>
        <w:t>, 29(2), pp. 211–224. Available at: https://doi.org/10.1016/j.aei.2015.01.011.</w:t>
      </w:r>
    </w:p>
    <w:p w14:paraId="6CDABC86" w14:textId="6F81AC36" w:rsidR="00D71200" w:rsidRDefault="008C2CA2" w:rsidP="00544BBD">
      <w:pPr>
        <w:pStyle w:val="Bibliography"/>
        <w:jc w:val="both"/>
        <w:rPr>
          <w:rFonts w:ascii="Calibri" w:hAnsi="Calibri" w:cs="Calibri"/>
          <w:color w:val="000000" w:themeColor="text1"/>
        </w:rPr>
      </w:pPr>
      <w:r w:rsidRPr="008D1235">
        <w:rPr>
          <w:rFonts w:ascii="Calibri" w:hAnsi="Calibri" w:cs="Calibri"/>
          <w:color w:val="000000" w:themeColor="text1"/>
        </w:rPr>
        <w:fldChar w:fldCharType="end"/>
      </w:r>
    </w:p>
    <w:sectPr w:rsidR="00D71200">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9DFE7" w14:textId="77777777" w:rsidR="007423A5" w:rsidRDefault="007423A5" w:rsidP="005076E1">
      <w:pPr>
        <w:spacing w:after="0" w:line="240" w:lineRule="auto"/>
      </w:pPr>
      <w:r>
        <w:separator/>
      </w:r>
    </w:p>
  </w:endnote>
  <w:endnote w:type="continuationSeparator" w:id="0">
    <w:p w14:paraId="1014D4BB" w14:textId="77777777" w:rsidR="007423A5" w:rsidRDefault="007423A5"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18409" w14:textId="77777777" w:rsidR="007423A5" w:rsidRDefault="007423A5" w:rsidP="005076E1">
      <w:pPr>
        <w:spacing w:after="0" w:line="240" w:lineRule="auto"/>
      </w:pPr>
      <w:r>
        <w:separator/>
      </w:r>
    </w:p>
  </w:footnote>
  <w:footnote w:type="continuationSeparator" w:id="0">
    <w:p w14:paraId="5A826CFA" w14:textId="77777777" w:rsidR="007423A5" w:rsidRDefault="007423A5"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A45"/>
    <w:multiLevelType w:val="multilevel"/>
    <w:tmpl w:val="8A08B9C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A86715"/>
    <w:multiLevelType w:val="hybridMultilevel"/>
    <w:tmpl w:val="E71CA182"/>
    <w:lvl w:ilvl="0" w:tplc="9CB421B8">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13182ACE"/>
    <w:multiLevelType w:val="hybridMultilevel"/>
    <w:tmpl w:val="0F98AED0"/>
    <w:lvl w:ilvl="0" w:tplc="40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934A1"/>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D60A25"/>
    <w:multiLevelType w:val="hybridMultilevel"/>
    <w:tmpl w:val="FAA077CE"/>
    <w:lvl w:ilvl="0" w:tplc="82F0C620">
      <w:start w:val="1"/>
      <w:numFmt w:val="lowerLetter"/>
      <w:lvlText w:val="%1)"/>
      <w:lvlJc w:val="left"/>
      <w:pPr>
        <w:ind w:left="1210" w:hanging="360"/>
      </w:pPr>
      <w:rPr>
        <w:b w:val="0"/>
        <w:bCs w:val="0"/>
      </w:rPr>
    </w:lvl>
    <w:lvl w:ilvl="1" w:tplc="40090019" w:tentative="1">
      <w:start w:val="1"/>
      <w:numFmt w:val="lowerLetter"/>
      <w:lvlText w:val="%2."/>
      <w:lvlJc w:val="left"/>
      <w:pPr>
        <w:ind w:left="1930" w:hanging="360"/>
      </w:pPr>
    </w:lvl>
    <w:lvl w:ilvl="2" w:tplc="4009001B" w:tentative="1">
      <w:start w:val="1"/>
      <w:numFmt w:val="lowerRoman"/>
      <w:lvlText w:val="%3."/>
      <w:lvlJc w:val="right"/>
      <w:pPr>
        <w:ind w:left="2650" w:hanging="180"/>
      </w:pPr>
    </w:lvl>
    <w:lvl w:ilvl="3" w:tplc="4009000F" w:tentative="1">
      <w:start w:val="1"/>
      <w:numFmt w:val="decimal"/>
      <w:lvlText w:val="%4."/>
      <w:lvlJc w:val="left"/>
      <w:pPr>
        <w:ind w:left="3370" w:hanging="360"/>
      </w:pPr>
    </w:lvl>
    <w:lvl w:ilvl="4" w:tplc="40090019" w:tentative="1">
      <w:start w:val="1"/>
      <w:numFmt w:val="lowerLetter"/>
      <w:lvlText w:val="%5."/>
      <w:lvlJc w:val="left"/>
      <w:pPr>
        <w:ind w:left="4090" w:hanging="360"/>
      </w:pPr>
    </w:lvl>
    <w:lvl w:ilvl="5" w:tplc="4009001B" w:tentative="1">
      <w:start w:val="1"/>
      <w:numFmt w:val="lowerRoman"/>
      <w:lvlText w:val="%6."/>
      <w:lvlJc w:val="right"/>
      <w:pPr>
        <w:ind w:left="4810" w:hanging="180"/>
      </w:pPr>
    </w:lvl>
    <w:lvl w:ilvl="6" w:tplc="4009000F" w:tentative="1">
      <w:start w:val="1"/>
      <w:numFmt w:val="decimal"/>
      <w:lvlText w:val="%7."/>
      <w:lvlJc w:val="left"/>
      <w:pPr>
        <w:ind w:left="5530" w:hanging="360"/>
      </w:pPr>
    </w:lvl>
    <w:lvl w:ilvl="7" w:tplc="40090019" w:tentative="1">
      <w:start w:val="1"/>
      <w:numFmt w:val="lowerLetter"/>
      <w:lvlText w:val="%8."/>
      <w:lvlJc w:val="left"/>
      <w:pPr>
        <w:ind w:left="6250" w:hanging="360"/>
      </w:pPr>
    </w:lvl>
    <w:lvl w:ilvl="8" w:tplc="4009001B" w:tentative="1">
      <w:start w:val="1"/>
      <w:numFmt w:val="lowerRoman"/>
      <w:lvlText w:val="%9."/>
      <w:lvlJc w:val="right"/>
      <w:pPr>
        <w:ind w:left="6970" w:hanging="180"/>
      </w:pPr>
    </w:lvl>
  </w:abstractNum>
  <w:abstractNum w:abstractNumId="5" w15:restartNumberingAfterBreak="0">
    <w:nsid w:val="2CD35D01"/>
    <w:multiLevelType w:val="hybridMultilevel"/>
    <w:tmpl w:val="2DE4D20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74920CF"/>
    <w:multiLevelType w:val="hybridMultilevel"/>
    <w:tmpl w:val="068A54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B73F95"/>
    <w:multiLevelType w:val="hybridMultilevel"/>
    <w:tmpl w:val="146E41BC"/>
    <w:lvl w:ilvl="0" w:tplc="CA244882">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F6B2D77"/>
    <w:multiLevelType w:val="hybridMultilevel"/>
    <w:tmpl w:val="DC147C8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40E20ED"/>
    <w:multiLevelType w:val="hybridMultilevel"/>
    <w:tmpl w:val="BA664C66"/>
    <w:lvl w:ilvl="0" w:tplc="40090017">
      <w:start w:val="1"/>
      <w:numFmt w:val="lowerLetter"/>
      <w:lvlText w:val="%1)"/>
      <w:lvlJc w:val="left"/>
      <w:pPr>
        <w:ind w:left="1211" w:hanging="360"/>
      </w:p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10" w15:restartNumberingAfterBreak="0">
    <w:nsid w:val="4E35123F"/>
    <w:multiLevelType w:val="hybridMultilevel"/>
    <w:tmpl w:val="04E62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346972"/>
    <w:multiLevelType w:val="hybridMultilevel"/>
    <w:tmpl w:val="1B9817C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37B63FD"/>
    <w:multiLevelType w:val="hybridMultilevel"/>
    <w:tmpl w:val="5D58629A"/>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5B2F5D96"/>
    <w:multiLevelType w:val="hybridMultilevel"/>
    <w:tmpl w:val="197CFB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072667"/>
    <w:multiLevelType w:val="multilevel"/>
    <w:tmpl w:val="36224222"/>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65C45984"/>
    <w:multiLevelType w:val="hybridMultilevel"/>
    <w:tmpl w:val="79367362"/>
    <w:lvl w:ilvl="0" w:tplc="CA6AF876">
      <w:start w:val="1"/>
      <w:numFmt w:val="lowerLetter"/>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16" w15:restartNumberingAfterBreak="0">
    <w:nsid w:val="6A2307AC"/>
    <w:multiLevelType w:val="hybridMultilevel"/>
    <w:tmpl w:val="2AA68B64"/>
    <w:lvl w:ilvl="0" w:tplc="357662B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A410E59"/>
    <w:multiLevelType w:val="hybridMultilevel"/>
    <w:tmpl w:val="00843D32"/>
    <w:lvl w:ilvl="0" w:tplc="40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E566C5"/>
    <w:multiLevelType w:val="hybridMultilevel"/>
    <w:tmpl w:val="D9D08816"/>
    <w:lvl w:ilvl="0" w:tplc="40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591374"/>
    <w:multiLevelType w:val="hybridMultilevel"/>
    <w:tmpl w:val="197CF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E72233"/>
    <w:multiLevelType w:val="hybridMultilevel"/>
    <w:tmpl w:val="52E0C77C"/>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A93708"/>
    <w:multiLevelType w:val="hybridMultilevel"/>
    <w:tmpl w:val="068A54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276CC0"/>
    <w:multiLevelType w:val="hybridMultilevel"/>
    <w:tmpl w:val="4948B8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4"/>
  </w:num>
  <w:num w:numId="2" w16cid:durableId="971980657">
    <w:abstractNumId w:val="20"/>
  </w:num>
  <w:num w:numId="3" w16cid:durableId="1971208354">
    <w:abstractNumId w:val="1"/>
  </w:num>
  <w:num w:numId="4" w16cid:durableId="965085296">
    <w:abstractNumId w:val="3"/>
  </w:num>
  <w:num w:numId="5" w16cid:durableId="1040664381">
    <w:abstractNumId w:val="10"/>
  </w:num>
  <w:num w:numId="6" w16cid:durableId="2036343131">
    <w:abstractNumId w:val="12"/>
  </w:num>
  <w:num w:numId="7" w16cid:durableId="6297519">
    <w:abstractNumId w:val="9"/>
  </w:num>
  <w:num w:numId="8" w16cid:durableId="746852556">
    <w:abstractNumId w:val="17"/>
  </w:num>
  <w:num w:numId="9" w16cid:durableId="1110710704">
    <w:abstractNumId w:val="21"/>
  </w:num>
  <w:num w:numId="10" w16cid:durableId="1421026149">
    <w:abstractNumId w:val="2"/>
  </w:num>
  <w:num w:numId="11" w16cid:durableId="245657040">
    <w:abstractNumId w:val="4"/>
  </w:num>
  <w:num w:numId="12" w16cid:durableId="600257901">
    <w:abstractNumId w:val="15"/>
  </w:num>
  <w:num w:numId="13" w16cid:durableId="744449051">
    <w:abstractNumId w:val="5"/>
  </w:num>
  <w:num w:numId="14" w16cid:durableId="1368992760">
    <w:abstractNumId w:val="11"/>
  </w:num>
  <w:num w:numId="15" w16cid:durableId="1790705822">
    <w:abstractNumId w:val="6"/>
  </w:num>
  <w:num w:numId="16" w16cid:durableId="1876388163">
    <w:abstractNumId w:val="18"/>
  </w:num>
  <w:num w:numId="17" w16cid:durableId="1654873312">
    <w:abstractNumId w:val="22"/>
  </w:num>
  <w:num w:numId="18" w16cid:durableId="1358581666">
    <w:abstractNumId w:val="23"/>
  </w:num>
  <w:num w:numId="19" w16cid:durableId="2011834470">
    <w:abstractNumId w:val="16"/>
  </w:num>
  <w:num w:numId="20" w16cid:durableId="261114380">
    <w:abstractNumId w:val="7"/>
  </w:num>
  <w:num w:numId="21" w16cid:durableId="551500354">
    <w:abstractNumId w:val="8"/>
  </w:num>
  <w:num w:numId="22" w16cid:durableId="373431434">
    <w:abstractNumId w:val="0"/>
  </w:num>
  <w:num w:numId="23" w16cid:durableId="432357716">
    <w:abstractNumId w:val="19"/>
  </w:num>
  <w:num w:numId="24" w16cid:durableId="1090091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5339"/>
    <w:rsid w:val="00016773"/>
    <w:rsid w:val="000220B8"/>
    <w:rsid w:val="000245DB"/>
    <w:rsid w:val="00024C56"/>
    <w:rsid w:val="000269F6"/>
    <w:rsid w:val="00033CD7"/>
    <w:rsid w:val="00040E08"/>
    <w:rsid w:val="00041FB9"/>
    <w:rsid w:val="00046F45"/>
    <w:rsid w:val="00051AA5"/>
    <w:rsid w:val="00057508"/>
    <w:rsid w:val="000615EA"/>
    <w:rsid w:val="000645BC"/>
    <w:rsid w:val="00067050"/>
    <w:rsid w:val="000A0B95"/>
    <w:rsid w:val="000A1F52"/>
    <w:rsid w:val="000B0E8C"/>
    <w:rsid w:val="000B29DC"/>
    <w:rsid w:val="000B387E"/>
    <w:rsid w:val="000C5E4D"/>
    <w:rsid w:val="000C7A4F"/>
    <w:rsid w:val="000D0B49"/>
    <w:rsid w:val="000D540E"/>
    <w:rsid w:val="000D55AB"/>
    <w:rsid w:val="000E09B4"/>
    <w:rsid w:val="000E7D60"/>
    <w:rsid w:val="000F6986"/>
    <w:rsid w:val="00106A03"/>
    <w:rsid w:val="00110443"/>
    <w:rsid w:val="00111F89"/>
    <w:rsid w:val="00117DB2"/>
    <w:rsid w:val="00121844"/>
    <w:rsid w:val="00124DC7"/>
    <w:rsid w:val="00145833"/>
    <w:rsid w:val="001518DE"/>
    <w:rsid w:val="00155362"/>
    <w:rsid w:val="00156594"/>
    <w:rsid w:val="00164D93"/>
    <w:rsid w:val="001675D5"/>
    <w:rsid w:val="00170A38"/>
    <w:rsid w:val="00170E9C"/>
    <w:rsid w:val="0017164A"/>
    <w:rsid w:val="0017220E"/>
    <w:rsid w:val="001748BA"/>
    <w:rsid w:val="001761EF"/>
    <w:rsid w:val="001839C7"/>
    <w:rsid w:val="001841DD"/>
    <w:rsid w:val="00190551"/>
    <w:rsid w:val="00192914"/>
    <w:rsid w:val="00192F0B"/>
    <w:rsid w:val="001A5179"/>
    <w:rsid w:val="001A6059"/>
    <w:rsid w:val="001A7543"/>
    <w:rsid w:val="001B4032"/>
    <w:rsid w:val="001B79D5"/>
    <w:rsid w:val="001D3214"/>
    <w:rsid w:val="001E2069"/>
    <w:rsid w:val="001E510D"/>
    <w:rsid w:val="001E5530"/>
    <w:rsid w:val="001E7A5B"/>
    <w:rsid w:val="001F5512"/>
    <w:rsid w:val="00205726"/>
    <w:rsid w:val="002133A3"/>
    <w:rsid w:val="00217775"/>
    <w:rsid w:val="002262E1"/>
    <w:rsid w:val="0022651D"/>
    <w:rsid w:val="00227820"/>
    <w:rsid w:val="002305C4"/>
    <w:rsid w:val="00231DA7"/>
    <w:rsid w:val="00242F48"/>
    <w:rsid w:val="00253245"/>
    <w:rsid w:val="00263675"/>
    <w:rsid w:val="00264479"/>
    <w:rsid w:val="00270DF3"/>
    <w:rsid w:val="00272489"/>
    <w:rsid w:val="00273E7B"/>
    <w:rsid w:val="002757FF"/>
    <w:rsid w:val="0028070E"/>
    <w:rsid w:val="002A08E6"/>
    <w:rsid w:val="002A1CDD"/>
    <w:rsid w:val="002A3C2C"/>
    <w:rsid w:val="002A7DA4"/>
    <w:rsid w:val="002B0C72"/>
    <w:rsid w:val="002B1475"/>
    <w:rsid w:val="002B1A5D"/>
    <w:rsid w:val="002B496A"/>
    <w:rsid w:val="002C0E0E"/>
    <w:rsid w:val="002C106D"/>
    <w:rsid w:val="002D1E5A"/>
    <w:rsid w:val="002D598D"/>
    <w:rsid w:val="002E0FC1"/>
    <w:rsid w:val="002E4B56"/>
    <w:rsid w:val="002F1DF2"/>
    <w:rsid w:val="002F53DB"/>
    <w:rsid w:val="002F56BE"/>
    <w:rsid w:val="002F6B5B"/>
    <w:rsid w:val="002F7634"/>
    <w:rsid w:val="003024FC"/>
    <w:rsid w:val="0030540B"/>
    <w:rsid w:val="00306B16"/>
    <w:rsid w:val="0031012E"/>
    <w:rsid w:val="00311A80"/>
    <w:rsid w:val="003205F8"/>
    <w:rsid w:val="003251BF"/>
    <w:rsid w:val="00331EA9"/>
    <w:rsid w:val="00332A84"/>
    <w:rsid w:val="00334FD1"/>
    <w:rsid w:val="003352BD"/>
    <w:rsid w:val="00335DFC"/>
    <w:rsid w:val="003364E4"/>
    <w:rsid w:val="003405BA"/>
    <w:rsid w:val="0035733E"/>
    <w:rsid w:val="003622D0"/>
    <w:rsid w:val="00364636"/>
    <w:rsid w:val="003646F8"/>
    <w:rsid w:val="003766A5"/>
    <w:rsid w:val="003775E1"/>
    <w:rsid w:val="00381460"/>
    <w:rsid w:val="00382A36"/>
    <w:rsid w:val="00383320"/>
    <w:rsid w:val="00392A2B"/>
    <w:rsid w:val="00396593"/>
    <w:rsid w:val="00396C37"/>
    <w:rsid w:val="003A45CE"/>
    <w:rsid w:val="003B0DAF"/>
    <w:rsid w:val="003B547A"/>
    <w:rsid w:val="003C0CAA"/>
    <w:rsid w:val="003C7AFD"/>
    <w:rsid w:val="003D00E1"/>
    <w:rsid w:val="003D06F9"/>
    <w:rsid w:val="003D08AA"/>
    <w:rsid w:val="003D26FA"/>
    <w:rsid w:val="003E2A7F"/>
    <w:rsid w:val="003E31B8"/>
    <w:rsid w:val="003E374D"/>
    <w:rsid w:val="003E59A9"/>
    <w:rsid w:val="003E6D07"/>
    <w:rsid w:val="003E7FE4"/>
    <w:rsid w:val="003F2F60"/>
    <w:rsid w:val="003F6F68"/>
    <w:rsid w:val="0040212B"/>
    <w:rsid w:val="004029DD"/>
    <w:rsid w:val="00414E42"/>
    <w:rsid w:val="0042112E"/>
    <w:rsid w:val="00431624"/>
    <w:rsid w:val="00433734"/>
    <w:rsid w:val="004407B6"/>
    <w:rsid w:val="00440DCE"/>
    <w:rsid w:val="00445082"/>
    <w:rsid w:val="00447B4F"/>
    <w:rsid w:val="004507D2"/>
    <w:rsid w:val="00451EA4"/>
    <w:rsid w:val="0045272E"/>
    <w:rsid w:val="004560D9"/>
    <w:rsid w:val="00456E05"/>
    <w:rsid w:val="0046480F"/>
    <w:rsid w:val="004655F0"/>
    <w:rsid w:val="00465EA3"/>
    <w:rsid w:val="00467F50"/>
    <w:rsid w:val="0047679E"/>
    <w:rsid w:val="004866B7"/>
    <w:rsid w:val="00496BEE"/>
    <w:rsid w:val="00496D87"/>
    <w:rsid w:val="00496E91"/>
    <w:rsid w:val="004A0356"/>
    <w:rsid w:val="004A63B1"/>
    <w:rsid w:val="004A6437"/>
    <w:rsid w:val="004B2233"/>
    <w:rsid w:val="004B4E6D"/>
    <w:rsid w:val="004B73B8"/>
    <w:rsid w:val="004C3C1A"/>
    <w:rsid w:val="004D2ABA"/>
    <w:rsid w:val="004D3DC8"/>
    <w:rsid w:val="004E1372"/>
    <w:rsid w:val="004E66B3"/>
    <w:rsid w:val="004F0B9D"/>
    <w:rsid w:val="004F25BE"/>
    <w:rsid w:val="00502109"/>
    <w:rsid w:val="0050312F"/>
    <w:rsid w:val="00504824"/>
    <w:rsid w:val="00504F07"/>
    <w:rsid w:val="005076E1"/>
    <w:rsid w:val="00512900"/>
    <w:rsid w:val="00515596"/>
    <w:rsid w:val="0051597E"/>
    <w:rsid w:val="00516D12"/>
    <w:rsid w:val="00521F3A"/>
    <w:rsid w:val="00533EF0"/>
    <w:rsid w:val="00536A20"/>
    <w:rsid w:val="005425DA"/>
    <w:rsid w:val="00544027"/>
    <w:rsid w:val="00544BBD"/>
    <w:rsid w:val="00545253"/>
    <w:rsid w:val="00550F4D"/>
    <w:rsid w:val="00551160"/>
    <w:rsid w:val="00553822"/>
    <w:rsid w:val="005564A6"/>
    <w:rsid w:val="00557195"/>
    <w:rsid w:val="0055770A"/>
    <w:rsid w:val="00566BE5"/>
    <w:rsid w:val="00570FB7"/>
    <w:rsid w:val="00572193"/>
    <w:rsid w:val="005766E8"/>
    <w:rsid w:val="005844A8"/>
    <w:rsid w:val="00587C79"/>
    <w:rsid w:val="00597B74"/>
    <w:rsid w:val="005A1AD1"/>
    <w:rsid w:val="005A330B"/>
    <w:rsid w:val="005A457C"/>
    <w:rsid w:val="005A4C81"/>
    <w:rsid w:val="005B0468"/>
    <w:rsid w:val="005C0B84"/>
    <w:rsid w:val="005C5481"/>
    <w:rsid w:val="005D0339"/>
    <w:rsid w:val="005D034D"/>
    <w:rsid w:val="005D0682"/>
    <w:rsid w:val="005D21E8"/>
    <w:rsid w:val="005D4652"/>
    <w:rsid w:val="005D6CC7"/>
    <w:rsid w:val="005D7773"/>
    <w:rsid w:val="005E0495"/>
    <w:rsid w:val="005E6677"/>
    <w:rsid w:val="005F491B"/>
    <w:rsid w:val="005F4EB5"/>
    <w:rsid w:val="005F79B3"/>
    <w:rsid w:val="0060369F"/>
    <w:rsid w:val="00604881"/>
    <w:rsid w:val="00607929"/>
    <w:rsid w:val="006108E6"/>
    <w:rsid w:val="00614441"/>
    <w:rsid w:val="00616D2E"/>
    <w:rsid w:val="00620AB1"/>
    <w:rsid w:val="0062130F"/>
    <w:rsid w:val="00621D28"/>
    <w:rsid w:val="00624B59"/>
    <w:rsid w:val="0062646A"/>
    <w:rsid w:val="0063083F"/>
    <w:rsid w:val="00637309"/>
    <w:rsid w:val="00640D34"/>
    <w:rsid w:val="00640FCB"/>
    <w:rsid w:val="00650043"/>
    <w:rsid w:val="00654883"/>
    <w:rsid w:val="00665386"/>
    <w:rsid w:val="006702EB"/>
    <w:rsid w:val="00670A6D"/>
    <w:rsid w:val="006710CC"/>
    <w:rsid w:val="0068393E"/>
    <w:rsid w:val="006849FD"/>
    <w:rsid w:val="00685EAF"/>
    <w:rsid w:val="006A0184"/>
    <w:rsid w:val="006B642C"/>
    <w:rsid w:val="006B79F5"/>
    <w:rsid w:val="006D2DA3"/>
    <w:rsid w:val="006D351F"/>
    <w:rsid w:val="006D38BB"/>
    <w:rsid w:val="006D5EC6"/>
    <w:rsid w:val="006D6C55"/>
    <w:rsid w:val="006E3EBE"/>
    <w:rsid w:val="006E5DF6"/>
    <w:rsid w:val="006E677D"/>
    <w:rsid w:val="006E77D5"/>
    <w:rsid w:val="006F281E"/>
    <w:rsid w:val="006F610D"/>
    <w:rsid w:val="006F753D"/>
    <w:rsid w:val="00700BB8"/>
    <w:rsid w:val="00705424"/>
    <w:rsid w:val="00707AD3"/>
    <w:rsid w:val="00713B2A"/>
    <w:rsid w:val="0071560C"/>
    <w:rsid w:val="007166F2"/>
    <w:rsid w:val="00716DBB"/>
    <w:rsid w:val="007171CC"/>
    <w:rsid w:val="00721608"/>
    <w:rsid w:val="00721BBB"/>
    <w:rsid w:val="00725135"/>
    <w:rsid w:val="007264D8"/>
    <w:rsid w:val="00734130"/>
    <w:rsid w:val="00734A86"/>
    <w:rsid w:val="00735774"/>
    <w:rsid w:val="00735F58"/>
    <w:rsid w:val="0074043D"/>
    <w:rsid w:val="007423A5"/>
    <w:rsid w:val="007427F3"/>
    <w:rsid w:val="00746C78"/>
    <w:rsid w:val="007529F9"/>
    <w:rsid w:val="00753F02"/>
    <w:rsid w:val="00756820"/>
    <w:rsid w:val="00756C28"/>
    <w:rsid w:val="00763C78"/>
    <w:rsid w:val="0077187D"/>
    <w:rsid w:val="00776A06"/>
    <w:rsid w:val="00776C51"/>
    <w:rsid w:val="00791F6D"/>
    <w:rsid w:val="0079378F"/>
    <w:rsid w:val="00794825"/>
    <w:rsid w:val="007A7D9D"/>
    <w:rsid w:val="007B0168"/>
    <w:rsid w:val="007B354D"/>
    <w:rsid w:val="007C0342"/>
    <w:rsid w:val="007C3102"/>
    <w:rsid w:val="007C6BF0"/>
    <w:rsid w:val="007C7D12"/>
    <w:rsid w:val="007D12DC"/>
    <w:rsid w:val="007D5210"/>
    <w:rsid w:val="007D75E8"/>
    <w:rsid w:val="007E012B"/>
    <w:rsid w:val="007F31FF"/>
    <w:rsid w:val="007F4313"/>
    <w:rsid w:val="007F4B7A"/>
    <w:rsid w:val="007F6A71"/>
    <w:rsid w:val="007F754A"/>
    <w:rsid w:val="00803151"/>
    <w:rsid w:val="0081219B"/>
    <w:rsid w:val="00820134"/>
    <w:rsid w:val="00822913"/>
    <w:rsid w:val="0082478D"/>
    <w:rsid w:val="00831E7B"/>
    <w:rsid w:val="00832C16"/>
    <w:rsid w:val="008330A3"/>
    <w:rsid w:val="00835235"/>
    <w:rsid w:val="00842317"/>
    <w:rsid w:val="008577B0"/>
    <w:rsid w:val="00861BAC"/>
    <w:rsid w:val="0086344F"/>
    <w:rsid w:val="008642A1"/>
    <w:rsid w:val="008662EF"/>
    <w:rsid w:val="00867AA9"/>
    <w:rsid w:val="00885622"/>
    <w:rsid w:val="008856CA"/>
    <w:rsid w:val="00886143"/>
    <w:rsid w:val="00887393"/>
    <w:rsid w:val="00890097"/>
    <w:rsid w:val="00893E1E"/>
    <w:rsid w:val="008946C8"/>
    <w:rsid w:val="00894CA4"/>
    <w:rsid w:val="00896399"/>
    <w:rsid w:val="008A21A7"/>
    <w:rsid w:val="008B24B0"/>
    <w:rsid w:val="008B5DA5"/>
    <w:rsid w:val="008C12D8"/>
    <w:rsid w:val="008C2CA2"/>
    <w:rsid w:val="008D1235"/>
    <w:rsid w:val="008D7521"/>
    <w:rsid w:val="008E6CAC"/>
    <w:rsid w:val="008F2905"/>
    <w:rsid w:val="008F6435"/>
    <w:rsid w:val="00907B6D"/>
    <w:rsid w:val="00911A0A"/>
    <w:rsid w:val="009137F8"/>
    <w:rsid w:val="00913C15"/>
    <w:rsid w:val="00920025"/>
    <w:rsid w:val="00932505"/>
    <w:rsid w:val="00936B8F"/>
    <w:rsid w:val="00937E27"/>
    <w:rsid w:val="0094297D"/>
    <w:rsid w:val="0095565D"/>
    <w:rsid w:val="00971DFF"/>
    <w:rsid w:val="00975471"/>
    <w:rsid w:val="009755CD"/>
    <w:rsid w:val="00983504"/>
    <w:rsid w:val="009837ED"/>
    <w:rsid w:val="00987939"/>
    <w:rsid w:val="00990334"/>
    <w:rsid w:val="009904EF"/>
    <w:rsid w:val="00990B53"/>
    <w:rsid w:val="009923FA"/>
    <w:rsid w:val="009A4EB6"/>
    <w:rsid w:val="009C0E97"/>
    <w:rsid w:val="009C42B1"/>
    <w:rsid w:val="009D5170"/>
    <w:rsid w:val="009E1E0B"/>
    <w:rsid w:val="009E76D1"/>
    <w:rsid w:val="009F4C95"/>
    <w:rsid w:val="009F6308"/>
    <w:rsid w:val="009F7F64"/>
    <w:rsid w:val="00A02544"/>
    <w:rsid w:val="00A04538"/>
    <w:rsid w:val="00A111C5"/>
    <w:rsid w:val="00A1441D"/>
    <w:rsid w:val="00A17208"/>
    <w:rsid w:val="00A26033"/>
    <w:rsid w:val="00A32340"/>
    <w:rsid w:val="00A36748"/>
    <w:rsid w:val="00A379AF"/>
    <w:rsid w:val="00A425E2"/>
    <w:rsid w:val="00A43B5E"/>
    <w:rsid w:val="00A51F51"/>
    <w:rsid w:val="00A52483"/>
    <w:rsid w:val="00A52F33"/>
    <w:rsid w:val="00A536AB"/>
    <w:rsid w:val="00A57FEA"/>
    <w:rsid w:val="00A6287E"/>
    <w:rsid w:val="00A767A2"/>
    <w:rsid w:val="00A81BA0"/>
    <w:rsid w:val="00A8471A"/>
    <w:rsid w:val="00A852D4"/>
    <w:rsid w:val="00A87926"/>
    <w:rsid w:val="00A95017"/>
    <w:rsid w:val="00AA1543"/>
    <w:rsid w:val="00AA5423"/>
    <w:rsid w:val="00AB0B51"/>
    <w:rsid w:val="00AB19A7"/>
    <w:rsid w:val="00AB3D2D"/>
    <w:rsid w:val="00AB6737"/>
    <w:rsid w:val="00AC074D"/>
    <w:rsid w:val="00AC0D05"/>
    <w:rsid w:val="00AC4DD5"/>
    <w:rsid w:val="00AC4E7C"/>
    <w:rsid w:val="00AC7C24"/>
    <w:rsid w:val="00AD2A33"/>
    <w:rsid w:val="00AD5134"/>
    <w:rsid w:val="00AF115F"/>
    <w:rsid w:val="00AF3D21"/>
    <w:rsid w:val="00AF6C38"/>
    <w:rsid w:val="00AF70AC"/>
    <w:rsid w:val="00B05B16"/>
    <w:rsid w:val="00B05FEF"/>
    <w:rsid w:val="00B07D56"/>
    <w:rsid w:val="00B24D3E"/>
    <w:rsid w:val="00B2589B"/>
    <w:rsid w:val="00B27C59"/>
    <w:rsid w:val="00B3119E"/>
    <w:rsid w:val="00B31C88"/>
    <w:rsid w:val="00B31CC2"/>
    <w:rsid w:val="00B33241"/>
    <w:rsid w:val="00B34D62"/>
    <w:rsid w:val="00B42868"/>
    <w:rsid w:val="00B52247"/>
    <w:rsid w:val="00B535EB"/>
    <w:rsid w:val="00B60596"/>
    <w:rsid w:val="00B64AEE"/>
    <w:rsid w:val="00B66ACD"/>
    <w:rsid w:val="00B671E3"/>
    <w:rsid w:val="00B80880"/>
    <w:rsid w:val="00B87A96"/>
    <w:rsid w:val="00B87FFC"/>
    <w:rsid w:val="00B90251"/>
    <w:rsid w:val="00B93526"/>
    <w:rsid w:val="00B9357C"/>
    <w:rsid w:val="00B950A6"/>
    <w:rsid w:val="00B96DF0"/>
    <w:rsid w:val="00BA0D57"/>
    <w:rsid w:val="00BA3BD6"/>
    <w:rsid w:val="00BB040C"/>
    <w:rsid w:val="00BB0428"/>
    <w:rsid w:val="00BB04AA"/>
    <w:rsid w:val="00BB3B53"/>
    <w:rsid w:val="00BB4D83"/>
    <w:rsid w:val="00BC0C0C"/>
    <w:rsid w:val="00BC0ED2"/>
    <w:rsid w:val="00BC224B"/>
    <w:rsid w:val="00BC3552"/>
    <w:rsid w:val="00BC3DBE"/>
    <w:rsid w:val="00BC3E6E"/>
    <w:rsid w:val="00BC7569"/>
    <w:rsid w:val="00BD14B1"/>
    <w:rsid w:val="00BD2B84"/>
    <w:rsid w:val="00BD3532"/>
    <w:rsid w:val="00BD57D7"/>
    <w:rsid w:val="00BE232D"/>
    <w:rsid w:val="00BE3580"/>
    <w:rsid w:val="00BE7979"/>
    <w:rsid w:val="00BF5032"/>
    <w:rsid w:val="00C04084"/>
    <w:rsid w:val="00C04D2C"/>
    <w:rsid w:val="00C175E9"/>
    <w:rsid w:val="00C229E0"/>
    <w:rsid w:val="00C24077"/>
    <w:rsid w:val="00C24B0B"/>
    <w:rsid w:val="00C25D42"/>
    <w:rsid w:val="00C36EB5"/>
    <w:rsid w:val="00C476B2"/>
    <w:rsid w:val="00C531BD"/>
    <w:rsid w:val="00C53E68"/>
    <w:rsid w:val="00C540BF"/>
    <w:rsid w:val="00C55C5F"/>
    <w:rsid w:val="00C5689F"/>
    <w:rsid w:val="00C621F9"/>
    <w:rsid w:val="00C65C38"/>
    <w:rsid w:val="00C75588"/>
    <w:rsid w:val="00C75817"/>
    <w:rsid w:val="00C75AB6"/>
    <w:rsid w:val="00C75C21"/>
    <w:rsid w:val="00C76846"/>
    <w:rsid w:val="00C961A0"/>
    <w:rsid w:val="00C96888"/>
    <w:rsid w:val="00C96C2B"/>
    <w:rsid w:val="00C9758E"/>
    <w:rsid w:val="00CB18CD"/>
    <w:rsid w:val="00CC3E3A"/>
    <w:rsid w:val="00CC54BB"/>
    <w:rsid w:val="00CC6587"/>
    <w:rsid w:val="00CC73AF"/>
    <w:rsid w:val="00CD400F"/>
    <w:rsid w:val="00CE431B"/>
    <w:rsid w:val="00CF18FA"/>
    <w:rsid w:val="00D01E9B"/>
    <w:rsid w:val="00D23DFE"/>
    <w:rsid w:val="00D24873"/>
    <w:rsid w:val="00D25B27"/>
    <w:rsid w:val="00D31192"/>
    <w:rsid w:val="00D31206"/>
    <w:rsid w:val="00D37483"/>
    <w:rsid w:val="00D4472A"/>
    <w:rsid w:val="00D5396F"/>
    <w:rsid w:val="00D5742F"/>
    <w:rsid w:val="00D6057A"/>
    <w:rsid w:val="00D61599"/>
    <w:rsid w:val="00D6634E"/>
    <w:rsid w:val="00D67157"/>
    <w:rsid w:val="00D70C21"/>
    <w:rsid w:val="00D71200"/>
    <w:rsid w:val="00D84895"/>
    <w:rsid w:val="00D86492"/>
    <w:rsid w:val="00DA2B93"/>
    <w:rsid w:val="00DB19B0"/>
    <w:rsid w:val="00DB1D9B"/>
    <w:rsid w:val="00DC0678"/>
    <w:rsid w:val="00DC27A7"/>
    <w:rsid w:val="00DC32B1"/>
    <w:rsid w:val="00DC3675"/>
    <w:rsid w:val="00DC3DC1"/>
    <w:rsid w:val="00DD528F"/>
    <w:rsid w:val="00DE19BF"/>
    <w:rsid w:val="00DE62FA"/>
    <w:rsid w:val="00DF0BD3"/>
    <w:rsid w:val="00DF1FA2"/>
    <w:rsid w:val="00DF27B5"/>
    <w:rsid w:val="00DF454C"/>
    <w:rsid w:val="00E01FEB"/>
    <w:rsid w:val="00E03EF0"/>
    <w:rsid w:val="00E04B32"/>
    <w:rsid w:val="00E060C1"/>
    <w:rsid w:val="00E068FE"/>
    <w:rsid w:val="00E06A05"/>
    <w:rsid w:val="00E10597"/>
    <w:rsid w:val="00E15690"/>
    <w:rsid w:val="00E16EDE"/>
    <w:rsid w:val="00E20F6D"/>
    <w:rsid w:val="00E23105"/>
    <w:rsid w:val="00E25770"/>
    <w:rsid w:val="00E32EA4"/>
    <w:rsid w:val="00E34EAA"/>
    <w:rsid w:val="00E3679A"/>
    <w:rsid w:val="00E43E32"/>
    <w:rsid w:val="00E46A08"/>
    <w:rsid w:val="00E51652"/>
    <w:rsid w:val="00E554BE"/>
    <w:rsid w:val="00E55ABE"/>
    <w:rsid w:val="00E575AF"/>
    <w:rsid w:val="00E57E31"/>
    <w:rsid w:val="00E6049D"/>
    <w:rsid w:val="00E63E19"/>
    <w:rsid w:val="00E672CB"/>
    <w:rsid w:val="00E71BD2"/>
    <w:rsid w:val="00E724FE"/>
    <w:rsid w:val="00E76408"/>
    <w:rsid w:val="00E87EC3"/>
    <w:rsid w:val="00E91A4E"/>
    <w:rsid w:val="00E96FB3"/>
    <w:rsid w:val="00EA3412"/>
    <w:rsid w:val="00EA597B"/>
    <w:rsid w:val="00EA5FE4"/>
    <w:rsid w:val="00EB1C63"/>
    <w:rsid w:val="00EB2C7C"/>
    <w:rsid w:val="00EB5889"/>
    <w:rsid w:val="00EB7AAF"/>
    <w:rsid w:val="00EC3E54"/>
    <w:rsid w:val="00ED2F14"/>
    <w:rsid w:val="00ED39BA"/>
    <w:rsid w:val="00EE0888"/>
    <w:rsid w:val="00EE22CC"/>
    <w:rsid w:val="00EE3A6F"/>
    <w:rsid w:val="00EF1274"/>
    <w:rsid w:val="00EF3FDC"/>
    <w:rsid w:val="00F0449D"/>
    <w:rsid w:val="00F05C62"/>
    <w:rsid w:val="00F102BB"/>
    <w:rsid w:val="00F12D5B"/>
    <w:rsid w:val="00F246DD"/>
    <w:rsid w:val="00F26D16"/>
    <w:rsid w:val="00F34378"/>
    <w:rsid w:val="00F40894"/>
    <w:rsid w:val="00F42530"/>
    <w:rsid w:val="00F450FB"/>
    <w:rsid w:val="00F546DB"/>
    <w:rsid w:val="00F55DC9"/>
    <w:rsid w:val="00F63E37"/>
    <w:rsid w:val="00F66CEB"/>
    <w:rsid w:val="00F813EC"/>
    <w:rsid w:val="00F85BCB"/>
    <w:rsid w:val="00F86231"/>
    <w:rsid w:val="00F94597"/>
    <w:rsid w:val="00F94CCD"/>
    <w:rsid w:val="00FA0432"/>
    <w:rsid w:val="00FA387A"/>
    <w:rsid w:val="00FB1A0A"/>
    <w:rsid w:val="00FB277C"/>
    <w:rsid w:val="00FC0B5B"/>
    <w:rsid w:val="00FC4ACC"/>
    <w:rsid w:val="00FC6F6F"/>
    <w:rsid w:val="00FC7A61"/>
    <w:rsid w:val="00FD554E"/>
    <w:rsid w:val="00FD5D8D"/>
    <w:rsid w:val="00FD74E0"/>
    <w:rsid w:val="00FE118A"/>
    <w:rsid w:val="00FF5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4FC"/>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Bibliography">
    <w:name w:val="Bibliography"/>
    <w:basedOn w:val="Normal"/>
    <w:next w:val="Normal"/>
    <w:uiPriority w:val="37"/>
    <w:unhideWhenUsed/>
    <w:rsid w:val="00E06A05"/>
    <w:pPr>
      <w:spacing w:after="120" w:line="240" w:lineRule="auto"/>
    </w:pPr>
  </w:style>
  <w:style w:type="paragraph" w:styleId="Caption">
    <w:name w:val="caption"/>
    <w:basedOn w:val="Normal"/>
    <w:next w:val="Normal"/>
    <w:uiPriority w:val="35"/>
    <w:unhideWhenUsed/>
    <w:qFormat/>
    <w:rsid w:val="00E724FE"/>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F94C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karukayil13@gmail.com" TargetMode="External"/><Relationship Id="rId13" Type="http://schemas.openxmlformats.org/officeDocument/2006/relationships/chart" Target="charts/chart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5281/zenodo.22695022" TargetMode="External"/><Relationship Id="rId17" Type="http://schemas.openxmlformats.org/officeDocument/2006/relationships/image" Target="media/image5.png"/><Relationship Id="rId2" Type="http://schemas.openxmlformats.org/officeDocument/2006/relationships/numbering" Target="numbering.xml"/><Relationship Id="rId16" Type="http://schemas.microsoft.com/office/2014/relationships/chartEx" Target="charts/chartEx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svg"/><Relationship Id="rId4" Type="http://schemas.openxmlformats.org/officeDocument/2006/relationships/settings" Target="settings.xml"/><Relationship Id="rId9" Type="http://schemas.openxmlformats.org/officeDocument/2006/relationships/hyperlink" Target="mailto:aritrapal@civil.iitm.ac.in" TargetMode="External"/><Relationship Id="rId14" Type="http://schemas.openxmlformats.org/officeDocument/2006/relationships/image" Target="media/image3.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Workstation%207\Desktop\PhD\Papers\Lit%20Review%20Results_Scopu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baseline="0">
                <a:solidFill>
                  <a:srgbClr val="44546A"/>
                </a:solidFill>
              </a:rPr>
              <a:t>Yearwise Growth of Publication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chemeClr val="accent1"/>
                </a:solidFill>
                <a:prstDash val="sysDash"/>
              </a:ln>
              <a:effectLst/>
            </c:spPr>
            <c:trendlineType val="exp"/>
            <c:dispRSqr val="0"/>
            <c:dispEq val="0"/>
          </c:trendline>
          <c:cat>
            <c:strRef>
              <c:f>Sheet2!$A$34:$A$44</c:f>
              <c:strCache>
                <c:ptCount val="11"/>
                <c:pt idx="0">
                  <c:v>2013</c:v>
                </c:pt>
                <c:pt idx="1">
                  <c:v>2014</c:v>
                </c:pt>
                <c:pt idx="2">
                  <c:v>2017</c:v>
                </c:pt>
                <c:pt idx="3">
                  <c:v>2019</c:v>
                </c:pt>
                <c:pt idx="4">
                  <c:v>2020</c:v>
                </c:pt>
                <c:pt idx="5">
                  <c:v>2021</c:v>
                </c:pt>
                <c:pt idx="6">
                  <c:v>2022</c:v>
                </c:pt>
                <c:pt idx="7">
                  <c:v>2023</c:v>
                </c:pt>
                <c:pt idx="8">
                  <c:v>2024</c:v>
                </c:pt>
                <c:pt idx="9">
                  <c:v>2025</c:v>
                </c:pt>
                <c:pt idx="10">
                  <c:v>2026*</c:v>
                </c:pt>
              </c:strCache>
            </c:strRef>
          </c:cat>
          <c:val>
            <c:numRef>
              <c:f>Sheet2!$B$34:$B$44</c:f>
              <c:numCache>
                <c:formatCode>General</c:formatCode>
                <c:ptCount val="11"/>
                <c:pt idx="0">
                  <c:v>1</c:v>
                </c:pt>
                <c:pt idx="1">
                  <c:v>1</c:v>
                </c:pt>
                <c:pt idx="2">
                  <c:v>1</c:v>
                </c:pt>
                <c:pt idx="3">
                  <c:v>3</c:v>
                </c:pt>
                <c:pt idx="4">
                  <c:v>2</c:v>
                </c:pt>
                <c:pt idx="5">
                  <c:v>4</c:v>
                </c:pt>
                <c:pt idx="6">
                  <c:v>1</c:v>
                </c:pt>
                <c:pt idx="7">
                  <c:v>3</c:v>
                </c:pt>
                <c:pt idx="8">
                  <c:v>3</c:v>
                </c:pt>
                <c:pt idx="9">
                  <c:v>10</c:v>
                </c:pt>
                <c:pt idx="10">
                  <c:v>1</c:v>
                </c:pt>
              </c:numCache>
            </c:numRef>
          </c:val>
          <c:extLst>
            <c:ext xmlns:c16="http://schemas.microsoft.com/office/drawing/2014/chart" uri="{C3380CC4-5D6E-409C-BE32-E72D297353CC}">
              <c16:uniqueId val="{00000001-068F-48E9-919C-60404032242B}"/>
            </c:ext>
          </c:extLst>
        </c:ser>
        <c:dLbls>
          <c:showLegendKey val="0"/>
          <c:showVal val="0"/>
          <c:showCatName val="0"/>
          <c:showSerName val="0"/>
          <c:showPercent val="0"/>
          <c:showBubbleSize val="0"/>
        </c:dLbls>
        <c:gapWidth val="60"/>
        <c:overlap val="-27"/>
        <c:axId val="449205023"/>
        <c:axId val="444910735"/>
      </c:barChart>
      <c:catAx>
        <c:axId val="449205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910735"/>
        <c:crosses val="autoZero"/>
        <c:auto val="1"/>
        <c:lblAlgn val="ctr"/>
        <c:lblOffset val="100"/>
        <c:noMultiLvlLbl val="0"/>
      </c:catAx>
      <c:valAx>
        <c:axId val="4449107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205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lumMod val="20000"/>
          <a:lumOff val="80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'For OUMF'!$B$43:$B$47</cx:f>
        <cx:lvl ptCount="5">
          <cx:pt idx="0">Detection</cx:pt>
          <cx:pt idx="1">Activity Recognition</cx:pt>
          <cx:pt idx="2">Productivity Assessment</cx:pt>
          <cx:pt idx="3">Attribution</cx:pt>
          <cx:pt idx="4">Decision Support</cx:pt>
        </cx:lvl>
      </cx:strDim>
      <cx:numDim type="val">
        <cx:f>'For OUMF'!$D$43:$D$47</cx:f>
        <cx:lvl ptCount="5" formatCode="General">
          <cx:pt idx="0">25</cx:pt>
          <cx:pt idx="1">19</cx:pt>
          <cx:pt idx="2">18</cx:pt>
          <cx:pt idx="3">9</cx:pt>
          <cx:pt idx="4">3</cx:pt>
        </cx:lvl>
      </cx:numDim>
    </cx:data>
  </cx:chartData>
  <cx:chart>
    <cx:plotArea>
      <cx:plotAreaRegion>
        <cx:series layoutId="funnel" uniqueId="{00000000-0F72-4236-BB08-5F817ECCFDFF}">
          <cx:dataLabels>
            <cx:visibility seriesName="0" categoryName="0" value="1"/>
          </cx:dataLabels>
          <cx:dataId val="0"/>
        </cx:series>
      </cx:plotAreaRegion>
      <cx:axis id="0">
        <cx:catScaling gapWidth="0.0599999987"/>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Aptos" panose="02110004020202020204"/>
            </a:endParaRPr>
          </a:p>
        </cx:txPr>
      </cx:axis>
    </cx:plotArea>
  </cx:chart>
  <cx:spPr>
    <a:ln>
      <a:solidFill>
        <a:schemeClr val="tx1"/>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35F228-36C0-4493-8FFF-EB093B7A15A1}">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88544896773"/>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2B293-C723-44F7-A3CF-2B2B85FB9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3389</TotalTime>
  <Pages>10</Pages>
  <Words>9473</Words>
  <Characters>53998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Ridhin Karukayil</cp:lastModifiedBy>
  <cp:revision>258</cp:revision>
  <dcterms:created xsi:type="dcterms:W3CDTF">2026-07-06T08:07:00Z</dcterms:created>
  <dcterms:modified xsi:type="dcterms:W3CDTF">2026-09-16T09:40:00Z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zotero-version="9.0.6"&gt;&lt;session id="cXJ703y2"/&gt;&lt;style id="http://www.zotero.org/styles/harvard-cite-them-right" locale="en-US" hasBibliography="1" bibliographyStyleHasBeenSet="1"/&gt;&lt;prefs&gt;&lt;pref name="fieldType" value="Field"/&gt;&lt;pref n</vt:lpwstr>
  </property>
  <property fmtid="{D5CDD505-2E9C-101B-9397-08002B2CF9AE}" pid="4" name="ZOTERO_PREF_2">
    <vt:lpwstr>ame="automaticJournalAbbreviations" value="true"/&gt;&lt;pref name="dontAskDelayCitationUpdates" value="true"/&gt;&lt;/prefs&gt;&lt;/data&gt;</vt:lpwstr>
  </property>
</Properties>
</file>