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1B729A9C" w:rsidR="005076E1" w:rsidRPr="00D6057A" w:rsidRDefault="009E6C5E" w:rsidP="006E77D5">
      <w:pPr>
        <w:spacing w:after="40" w:line="240" w:lineRule="auto"/>
        <w:jc w:val="center"/>
        <w:rPr>
          <w:rFonts w:ascii="Calibri" w:hAnsi="Calibri" w:cs="Calibri"/>
          <w:b/>
          <w:bCs/>
          <w:sz w:val="28"/>
          <w:szCs w:val="28"/>
        </w:rPr>
      </w:pPr>
      <w:r w:rsidRPr="009E6C5E">
        <w:rPr>
          <w:rFonts w:ascii="Calibri" w:hAnsi="Calibri" w:cs="Calibri"/>
          <w:b/>
          <w:bCs/>
          <w:sz w:val="28"/>
          <w:szCs w:val="28"/>
        </w:rPr>
        <w:t>A BIM-LCA Integrated Sustainability Assessment Rating Framework for Public Housing in India</w:t>
      </w:r>
      <w:r w:rsidR="005076E1" w:rsidRPr="00D6057A">
        <w:rPr>
          <w:rFonts w:ascii="Calibri" w:hAnsi="Calibri" w:cs="Calibri"/>
          <w:b/>
          <w:bCs/>
          <w:sz w:val="28"/>
          <w:szCs w:val="28"/>
        </w:rPr>
        <w:t xml:space="preserve"> </w:t>
      </w:r>
    </w:p>
    <w:p w14:paraId="134952A8" w14:textId="3097ECD7" w:rsidR="005076E1" w:rsidRPr="00D6057A" w:rsidRDefault="005076E1" w:rsidP="006E77D5">
      <w:pPr>
        <w:spacing w:after="40" w:line="240" w:lineRule="auto"/>
        <w:jc w:val="center"/>
        <w:rPr>
          <w:rFonts w:ascii="Calibri" w:hAnsi="Calibri" w:cs="Calibri"/>
          <w:color w:val="EE0000"/>
          <w:sz w:val="24"/>
          <w:szCs w:val="24"/>
        </w:rPr>
      </w:pPr>
    </w:p>
    <w:p w14:paraId="7EF4B119" w14:textId="4FDDDCC8" w:rsidR="005076E1" w:rsidRPr="00D6057A" w:rsidRDefault="00C318A6" w:rsidP="006E77D5">
      <w:pPr>
        <w:pStyle w:val="Author"/>
        <w:spacing w:after="40"/>
        <w:jc w:val="center"/>
        <w:rPr>
          <w:rFonts w:ascii="Calibri" w:hAnsi="Calibri" w:cs="Calibri"/>
          <w:sz w:val="22"/>
          <w:szCs w:val="22"/>
        </w:rPr>
      </w:pPr>
      <w:r>
        <w:rPr>
          <w:rFonts w:ascii="Calibri" w:hAnsi="Calibri" w:cs="Calibri"/>
          <w:sz w:val="22"/>
          <w:szCs w:val="22"/>
        </w:rPr>
        <w:t>Yatharth Kumar Singh</w:t>
      </w:r>
      <w:r w:rsidR="0060266F" w:rsidRPr="00D6057A">
        <w:rPr>
          <w:rFonts w:ascii="Calibri" w:hAnsi="Calibri" w:cs="Calibri"/>
          <w:sz w:val="22"/>
          <w:szCs w:val="22"/>
          <w:vertAlign w:val="superscript"/>
        </w:rPr>
        <w:t>1, *</w:t>
      </w:r>
      <w:r w:rsidR="005076E1" w:rsidRPr="00D6057A">
        <w:rPr>
          <w:rFonts w:ascii="Calibri" w:hAnsi="Calibri" w:cs="Calibri"/>
          <w:sz w:val="22"/>
          <w:szCs w:val="22"/>
        </w:rPr>
        <w:t xml:space="preserve">, </w:t>
      </w:r>
      <w:r>
        <w:rPr>
          <w:rFonts w:ascii="Calibri" w:hAnsi="Calibri" w:cs="Calibri"/>
          <w:sz w:val="22"/>
          <w:szCs w:val="22"/>
        </w:rPr>
        <w:t>Anagha Divakaran</w:t>
      </w:r>
      <w:r w:rsidR="005076E1" w:rsidRPr="00D6057A">
        <w:rPr>
          <w:rFonts w:ascii="Calibri" w:hAnsi="Calibri" w:cs="Calibri"/>
          <w:sz w:val="22"/>
          <w:szCs w:val="22"/>
        </w:rPr>
        <w:t xml:space="preserve"> </w:t>
      </w:r>
      <w:r w:rsidR="005076E1" w:rsidRPr="00D6057A">
        <w:rPr>
          <w:rFonts w:ascii="Calibri" w:hAnsi="Calibri" w:cs="Calibri"/>
          <w:sz w:val="22"/>
          <w:szCs w:val="22"/>
          <w:vertAlign w:val="superscript"/>
        </w:rPr>
        <w:t>1</w:t>
      </w:r>
      <w:r w:rsidR="009A0E65">
        <w:rPr>
          <w:rFonts w:ascii="Calibri" w:hAnsi="Calibri" w:cs="Calibri"/>
          <w:sz w:val="22"/>
          <w:szCs w:val="22"/>
        </w:rPr>
        <w:t>, Ann Francis</w:t>
      </w:r>
    </w:p>
    <w:p w14:paraId="0C3B0385" w14:textId="77777777" w:rsidR="005076E1" w:rsidRPr="00D6057A" w:rsidRDefault="005076E1" w:rsidP="006E77D5">
      <w:pPr>
        <w:pStyle w:val="Author"/>
        <w:spacing w:after="40"/>
        <w:rPr>
          <w:rFonts w:ascii="Calibri" w:hAnsi="Calibri" w:cs="Calibri"/>
          <w:sz w:val="22"/>
          <w:szCs w:val="22"/>
        </w:rPr>
      </w:pPr>
    </w:p>
    <w:p w14:paraId="399171BA" w14:textId="67E7DFCE"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Pr="00D6057A">
        <w:rPr>
          <w:rFonts w:ascii="Calibri" w:hAnsi="Calibri" w:cs="Calibri"/>
          <w:sz w:val="22"/>
          <w:szCs w:val="22"/>
        </w:rPr>
        <w:t>I</w:t>
      </w:r>
      <w:r w:rsidR="009A0E65">
        <w:rPr>
          <w:rFonts w:ascii="Calibri" w:hAnsi="Calibri" w:cs="Calibri"/>
          <w:sz w:val="22"/>
          <w:szCs w:val="22"/>
        </w:rPr>
        <w:t>ndian Institute of Technology Delhi, New Delhi, India</w:t>
      </w:r>
    </w:p>
    <w:p w14:paraId="1BC4AD16" w14:textId="778173D3"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r w:rsidR="005C6EB4" w:rsidRPr="005C6EB4">
        <w:rPr>
          <w:rFonts w:ascii="Calibri" w:hAnsi="Calibri" w:cs="Calibri"/>
          <w:i/>
          <w:iCs/>
          <w:sz w:val="22"/>
          <w:szCs w:val="22"/>
        </w:rPr>
        <w:t>Anagha.Divakaran@civil.iitd.ac.in</w:t>
      </w:r>
    </w:p>
    <w:p w14:paraId="6330E787" w14:textId="77777777" w:rsidR="005076E1" w:rsidRPr="00D6057A" w:rsidRDefault="005076E1" w:rsidP="006E77D5">
      <w:pPr>
        <w:spacing w:after="40" w:line="240" w:lineRule="auto"/>
        <w:rPr>
          <w:rFonts w:ascii="Calibri" w:hAnsi="Calibri" w:cs="Calibri"/>
        </w:rPr>
      </w:pPr>
    </w:p>
    <w:p w14:paraId="662F0B45" w14:textId="3A59E727" w:rsidR="005076E1" w:rsidRPr="00D6057A" w:rsidRDefault="005076E1" w:rsidP="0003744E">
      <w:pPr>
        <w:spacing w:after="40" w:line="240" w:lineRule="auto"/>
        <w:ind w:left="567" w:right="804" w:firstLine="153"/>
        <w:jc w:val="both"/>
        <w:rPr>
          <w:rFonts w:ascii="Calibri" w:hAnsi="Calibri" w:cs="Calibri"/>
          <w:b/>
          <w:bCs/>
          <w:sz w:val="28"/>
          <w:szCs w:val="28"/>
        </w:rPr>
      </w:pPr>
      <w:r w:rsidRPr="00D6057A">
        <w:rPr>
          <w:rFonts w:ascii="Calibri" w:hAnsi="Calibri" w:cs="Calibri"/>
          <w:b/>
          <w:bCs/>
          <w:sz w:val="28"/>
          <w:szCs w:val="28"/>
        </w:rPr>
        <w:t xml:space="preserve">ABSTRACT </w:t>
      </w:r>
    </w:p>
    <w:p w14:paraId="5435863F" w14:textId="44D6C407" w:rsidR="007110DC" w:rsidRPr="007110DC" w:rsidRDefault="007110DC" w:rsidP="0003744E">
      <w:pPr>
        <w:spacing w:after="40" w:line="240" w:lineRule="auto"/>
        <w:ind w:left="567" w:right="804" w:firstLine="153"/>
        <w:jc w:val="both"/>
        <w:rPr>
          <w:rFonts w:ascii="Calibri" w:hAnsi="Calibri" w:cs="Calibri"/>
          <w:lang w:val="en-IN"/>
        </w:rPr>
      </w:pPr>
      <w:r w:rsidRPr="007110DC">
        <w:rPr>
          <w:rFonts w:ascii="Calibri" w:hAnsi="Calibri" w:cs="Calibri"/>
          <w:lang w:val="en-IN"/>
        </w:rPr>
        <w:t xml:space="preserve">The building sector accounts for 32–37% of global greenhouse gas emissions. India's rapid urbanization and 2070 net-zero target necessitate life-cycle-based sustainability assessments of public infrastructure. However, current practices prioritize cost and operational metrics, while rating systems remain document-driven with limited BIM-LCA integration. This study develops a rating-oriented, BIM-LCA-integrated performance </w:t>
      </w:r>
      <w:proofErr w:type="spellStart"/>
      <w:r w:rsidRPr="007110DC">
        <w:rPr>
          <w:rFonts w:ascii="Calibri" w:hAnsi="Calibri" w:cs="Calibri"/>
          <w:lang w:val="en-IN"/>
        </w:rPr>
        <w:t>modeling</w:t>
      </w:r>
      <w:proofErr w:type="spellEnd"/>
      <w:r w:rsidRPr="007110DC">
        <w:rPr>
          <w:rFonts w:ascii="Calibri" w:hAnsi="Calibri" w:cs="Calibri"/>
          <w:lang w:val="en-IN"/>
        </w:rPr>
        <w:t xml:space="preserve"> framework for public housing. A representative PMAY-U G+3 residential block in Lucknow was selected as a case study due to its typological relevance. Autodesk Revit was used for BIM-based extraction of material quantities, thermal properties, and HVAC loads, integrated with One Click LCA under EN 15804+A2 over a 50-year lifecycle.</w:t>
      </w:r>
      <w:r>
        <w:rPr>
          <w:rFonts w:ascii="Calibri" w:hAnsi="Calibri" w:cs="Calibri"/>
          <w:lang w:val="en-IN"/>
        </w:rPr>
        <w:t xml:space="preserve"> </w:t>
      </w:r>
      <w:r w:rsidRPr="007110DC">
        <w:rPr>
          <w:rFonts w:ascii="Calibri" w:hAnsi="Calibri" w:cs="Calibri"/>
          <w:lang w:val="en-IN"/>
        </w:rPr>
        <w:t xml:space="preserve">BIM-LCA outputs and project data were mapped to selected GRIHA v6 criteria, covering peak heat gain, Energy Performance Index (EPI), renewable energy, stormwater and wastewater management, alternative walling, and primary material Global Warming Potential (GWP) reduction. </w:t>
      </w:r>
      <w:r w:rsidR="00F2628C" w:rsidRPr="007110DC">
        <w:rPr>
          <w:rFonts w:ascii="Calibri" w:hAnsi="Calibri" w:cs="Calibri"/>
          <w:lang w:val="en-IN"/>
        </w:rPr>
        <w:t xml:space="preserve">Total life cycle GWP was estimated at ~9,244 tCO₂e per block, dominated by operational energy. While exempt from Criterion 7.1.2 due to natural ventilation, thermal simulation yielded an envelope peak heat gain of 40.78 W/m²; EPI and stormwater requirements were unmet. Across 7 core criteria worth </w:t>
      </w:r>
      <w:r w:rsidR="00F2628C">
        <w:rPr>
          <w:rFonts w:ascii="Calibri" w:hAnsi="Calibri" w:cs="Calibri"/>
          <w:lang w:val="en-IN"/>
        </w:rPr>
        <w:t xml:space="preserve">up to 22 points, the PMAYU-D1 design achieved 6 </w:t>
      </w:r>
      <w:r w:rsidR="00F2628C" w:rsidRPr="007110DC">
        <w:rPr>
          <w:rFonts w:ascii="Calibri" w:hAnsi="Calibri" w:cs="Calibri"/>
          <w:lang w:val="en-IN"/>
        </w:rPr>
        <w:t>points</w:t>
      </w:r>
      <w:r w:rsidRPr="007110DC">
        <w:rPr>
          <w:rFonts w:ascii="Calibri" w:hAnsi="Calibri" w:cs="Calibri"/>
          <w:lang w:val="en-IN"/>
        </w:rPr>
        <w:t>.</w:t>
      </w:r>
      <w:r>
        <w:rPr>
          <w:rFonts w:ascii="Calibri" w:hAnsi="Calibri" w:cs="Calibri"/>
          <w:lang w:val="en-IN"/>
        </w:rPr>
        <w:t xml:space="preserve"> </w:t>
      </w:r>
      <w:r w:rsidRPr="007110DC">
        <w:rPr>
          <w:rFonts w:ascii="Calibri" w:hAnsi="Calibri" w:cs="Calibri"/>
          <w:lang w:val="en-IN"/>
        </w:rPr>
        <w:t>Key findings indicate operational energy reduction is the primary decarbonization lever, while concrete and masonry optimization offer the greatest potential to reduce embodied carbon. The study demonstrates that BIM-LCA integration enables automated quantity traceability, scalable assessment, and translation of digital model outputs into structured GRIHA appraisal support, providing a replicable framework for public housing programs.</w:t>
      </w:r>
    </w:p>
    <w:p w14:paraId="1C677931" w14:textId="77777777" w:rsidR="00AD466A" w:rsidRPr="00C128B1" w:rsidRDefault="00AD466A" w:rsidP="002A3C2B">
      <w:pPr>
        <w:spacing w:after="40" w:line="240" w:lineRule="auto"/>
        <w:jc w:val="both"/>
        <w:rPr>
          <w:rFonts w:ascii="Calibri" w:hAnsi="Calibri" w:cs="Calibri"/>
          <w:color w:val="EE0000"/>
          <w:sz w:val="20"/>
          <w:szCs w:val="20"/>
        </w:rPr>
      </w:pPr>
    </w:p>
    <w:p w14:paraId="19E47564" w14:textId="33658349" w:rsidR="005076E1" w:rsidRPr="00D6057A" w:rsidRDefault="005076E1" w:rsidP="006E77D5">
      <w:pPr>
        <w:pStyle w:val="ListParagraph"/>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 xml:space="preserve">INTRODUCTION </w:t>
      </w:r>
    </w:p>
    <w:p w14:paraId="4A28CE11" w14:textId="58F5FAD3" w:rsidR="00842A40" w:rsidRDefault="00842A40" w:rsidP="00793595">
      <w:pPr>
        <w:spacing w:after="40" w:line="240" w:lineRule="auto"/>
        <w:ind w:firstLine="360"/>
        <w:jc w:val="both"/>
        <w:rPr>
          <w:rFonts w:ascii="Calibri" w:hAnsi="Calibri" w:cs="Calibri"/>
        </w:rPr>
      </w:pPr>
      <w:r w:rsidRPr="00842A40">
        <w:rPr>
          <w:rFonts w:ascii="Calibri" w:hAnsi="Calibri" w:cs="Calibri"/>
        </w:rPr>
        <w:t xml:space="preserve">The global construction sector is essential for economic growth and urban </w:t>
      </w:r>
      <w:r w:rsidR="00C63EA1" w:rsidRPr="00842A40">
        <w:rPr>
          <w:rFonts w:ascii="Calibri" w:hAnsi="Calibri" w:cs="Calibri"/>
        </w:rPr>
        <w:t>development</w:t>
      </w:r>
      <w:r w:rsidR="00C63EA1">
        <w:rPr>
          <w:rFonts w:ascii="Calibri" w:hAnsi="Calibri" w:cs="Calibri"/>
        </w:rPr>
        <w:t xml:space="preserve"> but</w:t>
      </w:r>
      <w:r w:rsidRPr="00842A40">
        <w:rPr>
          <w:rFonts w:ascii="Calibri" w:hAnsi="Calibri" w:cs="Calibri"/>
        </w:rPr>
        <w:t xml:space="preserve"> is also responsible for nearly 37% of global CO₂ emissions when both operational and embodied impacts are considered</w:t>
      </w:r>
      <w:r w:rsidR="00F70A0B">
        <w:rPr>
          <w:rFonts w:ascii="Calibri" w:hAnsi="Calibri" w:cs="Calibri"/>
        </w:rPr>
        <w:t xml:space="preserve"> </w:t>
      </w:r>
      <w:sdt>
        <w:sdtPr>
          <w:rPr>
            <w:rFonts w:ascii="Calibri" w:hAnsi="Calibri" w:cs="Calibri"/>
            <w:color w:val="000000"/>
          </w:rPr>
          <w:tag w:val="MENDELEY_CITATION_v3_eyJjaXRhdGlvbklEIjoiTUVOREVMRVlfQ0lUQVRJT05fMmZjOWZkYWYtMzU0MS00MmFlLThiYTktMTc4ZTljNzM5YzIzIiwicHJvcGVydGllcyI6eyJub3RlSW5kZXgiOjB9LCJpc0VkaXRlZCI6ZmFsc2UsIm1hbnVhbE92ZXJyaWRlIjp7ImlzTWFudWFsbHlPdmVycmlkZGVuIjpmYWxzZSwiY2l0ZXByb2NUZXh0IjoiKEZvcnRoLCBIb2xsYmVyZyBhbmQgQm9ycm1hbm4sIDIwMjM7IEt1bWFyIDxpPmV0IGFsLjwvaT4sIDIwMjUpIiwibWFudWFsT3ZlcnJpZGVUZXh0IjoiIn0sImNpdGF0aW9uSXRlbXMiOlt7ImlkIjoiOWVhMWQwYzAtNzY4Yy0zMzBmLWIxZDQtMGYyOTNkZGRjOWYzIiwiaXRlbURhdGEiOnsidHlwZSI6ImFydGljbGUtam91cm5hbCIsImlkIjoiOWVhMWQwYzAtNzY4Yy0zMzBmLWIxZDQtMGYyOTNkZGRjOWYzIiwidGl0bGUiOiJCSU00RWFybHlMQ0E6IEFuIGludGVyYWN0aXZlIHZpc3VhbGl6YXRpb24gYXBwcm9hY2ggZm9yIGVhcmx5IGRlc2lnbiBzdXBwb3J0IGJhc2VkIG9uIHVuY2VydGFpbiBMQ0EgcmVzdWx0cyB1c2luZyBvcGVuIEJJTSIsImF1dGhvciI6W3siZmFtaWx5IjoiRm9ydGgiLCJnaXZlbiI6Ikthc2ltaXIiLCJwYXJzZS1uYW1lcyI6ZmFsc2UsImRyb3BwaW5nLXBhcnRpY2xlIjoiIiwibm9uLWRyb3BwaW5nLXBhcnRpY2xlIjoiIn0seyJmYW1pbHkiOiJIb2xsYmVyZyIsImdpdmVuIjoiQWxleGFuZGVyIiwicGFyc2UtbmFtZXMiOmZhbHNlLCJkcm9wcGluZy1wYXJ0aWNsZSI6IiIsIm5vbi1kcm9wcGluZy1wYXJ0aWNsZSI6IiJ9LHsiZmFtaWx5IjoiQm9ycm1hbm4iLCJnaXZlbiI6IkFuZHLDqSIsInBhcnNlLW5hbWVzIjpmYWxzZSwiZHJvcHBpbmctcGFydGljbGUiOiIiLCJub24tZHJvcHBpbmctcGFydGljbGUiOiIifV0sImNvbnRhaW5lci10aXRsZSI6IkRldmVsb3BtZW50cyBpbiB0aGUgQnVpbHQgRW52aXJvbm1lbnQiLCJET0kiOiIxMC4xMDE2L2ouZGliZS4yMDIzLjEwMDI2MyIsIklTU04iOiIyNjY2MTY1OSIsImlzc3VlZCI6eyJkYXRlLXBhcnRzIjpbWzIwMjMsMTIsMV1dfSwiYWJzdHJhY3QiOiJUbyBtZWV0IHRoZSBFdXJvcGVhbiBjbGltYXRlIGdvYWxzIGluIHRoZSBidWlsZGluZyBzZWN0b3IsIGEgaG9saXN0aWMgb3B0aW1pemF0aW9uIG9mIGVtYm9kaWVkIGdyZWVuaG91c2UgZ2FzIChHSEcpIGVtaXNzaW9ucyB1c2luZyB0aGUgbWV0aG9kIG9mIGxpZmUgY3ljbGUgYXNzZXNzbWVudHMgKExDQSkgYXJlIG5lY2Vzc2FyeS4gVGhlIGVhcmx5IGRlc2lnbiBzdGFnZXMgaGF2ZSBoaWdoIGltcGFjdCBvbiB0aGUgZmluYWwgcGVyZm9ybWFuY2Ugb2YgdGhlIGJ1aWxkaW5ncyBhbmQgYXJlIGNoYXJhY3Rlcml6ZWQgYnkgaGlnaCB1bmNlcnRhaW50eSBkdWUgdG8gdGhlIGxhY2sgb2YgaW5mb3JtYXRpb24gYW5kIG5vdCB5ZXQgdGFrZW4gZGVjaXNpb25zLiBGdXJ0aGVybW9yZSwgbW9zdCBjdXJyZW50IExDQSBhcHByb2FjaGVzIGJhc2VkIG9uIEJ1aWxkaW5nIEluZm9ybWF0aW9uIE1vZGVscyAoQklNKSByZXF1aXJlIGhpZ2ggZXhwZXJ0aXNlIGFuZCBleHBlcmllbmNlIGluIGJvdGggQklNIGFuZCBMQ0EgYW5kIGRvIG5vdCBmb2xsb3cgYW4gaW50dWl0aXZlIHZpc3VhbGl6YXRpb24gYXBwcm9hY2ggZm9yIG90aGVyIHN0YWtlaG9sZGVycyBhbmQgbm9uLWV4cGVydHMuIFRoaXMgcGFwZXIgcHJlc2VudHMgYSBub3ZlbCBkZXNpZ24tZGVjaXNpb24tbWFraW5nIGFwcHJvYWNoIGZvciByZWR1Y2luZyBlbWJvZGllZCBHSEcgZW1pc3Npb25zIGJ5IGludGVyYWN0aXZlLCBtb2RlbC1iYXNlZCB2aXN1YWxpemF0aW9ucyBvZiB1bmNlcnRhaW4gTENBIHJlc3VsdHMuIFRoZSBwcm9wb3NlZCB3b3JrZmxvdyBpcyBiYXNlZCBvbiBvcGVuIEJJTSBkYXRhIGZvcm1hdHMsIHN1Y2ggYXMgSW5kdXN0cnkgRm91bmRhdGlvbiBDbGFzc2VzIChJRkMpIGFuZCBCSU0gQ29sbGFib3JhdGlvbiBGb3JtYXQgKEJDRiksIGFuZCBpcyBkZXZlbG9wZWQgZm9yIGRlY2lzaW9uIHN1cHBvcnQgZm9yIG5vbi1MQ0EgZXhwZXJ0cyBpbiB0aGUgZWFybHkgZGVzaWduIHN0YWdlcy4gV2l0aCB0aGUgaGVscCBvZiBhIHVzZXIgc3R1ZHksIHRoZSBwcm90b3R5cGljYWwgaW1wbGVtZW50YXRpb24gaXMgdGVzdGVkIGJ5IDEwMyBwYXJ0aWNpcGFudHMgd2l0aCBkaWZmZXJlbnQgbGV2ZWxzIG9mIGV4cGVyaWVuY2UgaW4gQklNIGFuZCBMQ0EgYmFzZWQgb24gYSBjYXNlIHN0dWR5LiBXZSBldmFsdWF0ZSB0aGUgcHJvcG9zZWQgYXBwcm9hY2ggcmVnYXJkaW5nIHRoZSBzdXBwb3J0IG9mIG9wZW4gQklNIGRhdGEgZm9ybWF0cywgZGlmZmVyZW50IExDQSB2aXN1YWxpemF0aW9uIHN0cmF0ZWdpZXMsIGFuZCB0aGUgaW50dWl0aXZlbmVzcyBvZiBkaWZmZXJlbnQgYXBwcm9hY2hlcyB0byB2aXN1YWxpemluZyB1bmNlcnRhaW4gTENBIHJlc3VsdHMuIFRoZSB1c2VyIHN0dWR5IHJlc3VsdHMgc2hvdyBhIGJyb2FkIGFjY2VwdGFuY2UgYW5kIG5lZWQgZm9yIG9wZW4gQklNIGRhdGEgZm9ybWF0cyBhbmQgbW9kZWwtYmFzZWQgTENBIHZpc3VhbGl6YXRpb24gYnV0IGxlc3MgZm9yIHZpc3VhbGl6aW5nIHVuY2VydGFpbnRpZXMsIHdoaWNoIG5lZWRzIGZ1cnRoZXIgcmVzZWFyY2guIEluIGNvbmNsdXNpb24sIHRoaXMgaW50ZXJhY3RpdmUsIG1vZGVsLWJhc2VkIHZpc3VhbGl6YXRpb24gYXBwcm9hY2ggdXNpbmcgY29sb3IgY29kaW5nIHN1cHBvcnRzIG5vbi1MQ0EgZXhwZXJ0cyBpbiB0aGUgZGVzaWduIGRlY2lzaW9uLW1ha2luZyBwcm9jZXNzIGluIGVhcmx5IGRlc2lnbiBzdGFnZXMuIiwicHVibGlzaGVyIjoiRWxzZXZpZXIgTHRkIiwidm9sdW1lIjoiMTYiLCJjb250YWluZXItdGl0bGUtc2hvcnQiOiIifSwiaXNUZW1wb3JhcnkiOmZhbHNlfSx7ImlkIjoiOWFhNjRiMTktMzJkMi0zYWIyLTk4ODYtMjg5OTQ2MTI1ODIzIiwiaXRlbURhdGEiOnsidHlwZSI6ImFydGljbGUtam91cm5hbCIsImlkIjoiOWFhNjRiMTktMzJkMi0zYWIyLTk4ODYtMjg5OTQ2MTI1ODIzIiwidGl0bGUiOiJBIFdob2xlLUxpZmUgQ2FyYm9uIEFzc2Vzc21lbnQgb2YgYSBTaW5nbGUtRmFtaWx5IEhvdXNlIGluIE5vcnRoIEluZGlhIFVzaW5nIEJJTS1MQ0EgSW50ZWdyYXRpb24iLCJhdXRob3IiOlt7ImZhbWlseSI6Ikt1bWFyIiwiZ2l2ZW4iOiJEZWVwYWsiLCJwYXJzZS1uYW1lcyI6ZmFsc2UsImRyb3BwaW5nLXBhcnRpY2xlIjoiIiwibm9uLWRyb3BwaW5nLXBhcnRpY2xlIjoiIn0seyJmYW1pbHkiOiJNYXVyeWEiLCJnaXZlbiI6IktyYW50aSBLdW1hciIsInBhcnNlLW5hbWVzIjpmYWxzZSwiZHJvcHBpbmctcGFydGljbGUiOiIiLCJub24tZHJvcHBpbmctcGFydGljbGUiOiIifSx7ImZhbWlseSI6Ik1hbmRhbCIsImdpdmVuIjoiU2hhaWxlbmRyYSBLLiIsInBhcnNlLW5hbWVzIjpmYWxzZSwiZHJvcHBpbmctcGFydGljbGUiOiIiLCJub24tZHJvcHBpbmctcGFydGljbGUiOiIifSx7ImZhbWlseSI6IkhhbGRlciIsImdpdmVuIjoiTmFuZGluaSIsInBhcnNlLW5hbWVzIjpmYWxzZSwiZHJvcHBpbmctcGFydGljbGUiOiIiLCJub24tZHJvcHBpbmctcGFydGljbGUiOiIifSx7ImZhbWlseSI6Ik1pciIsImdpdmVuIjoiQmFzaXQgQWZhcSIsInBhcnNlLW5hbWVzIjpmYWxzZSwiZHJvcHBpbmctcGFydGljbGUiOiIiLCJub24tZHJvcHBpbmctcGFydGljbGUiOiIifSx7ImZhbWlseSI6Ik51cmRpYXdhdGkiLCJnaXZlbiI6IkFuaXNzYSIsInBhcnNlLW5hbWVzIjpmYWxzZSwiZHJvcHBpbmctcGFydGljbGUiOiIiLCJub24tZHJvcHBpbmctcGFydGljbGUiOiIifSx7ImZhbWlseSI6IkFsLUdoYW1kaSIsImdpdmVuIjoiU2FtaSBHLiIsInBhcnNlLW5hbWVzIjpmYWxzZSwiZHJvcHBpbmctcGFydGljbGUiOiIiLCJub24tZHJvcHBpbmctcGFydGljbGUiOiIifV0sImNvbnRhaW5lci10aXRsZSI6IkJ1aWxkaW5ncyIsIkRPSSI6IjEwLjMzOTAvYnVpbGRpbmdzMTUxMzIxOTUiLCJJU1NOIjoiMjA3NTUzMDkiLCJpc3N1ZWQiOnsiZGF0ZS1wYXJ0cyI6W1syMDI1LDcsMV1dfSwiYWJzdHJhY3QiOiJBcyB0aGUgcG9wdWxhdGlvbiBpbmNyZWFzZXMsIHRoZSBncm93aW5nIGRlbWFuZCBmb3IgcmVzaWRlbnRpYWwgaG91c2luZyBlc2NhbGF0ZXMgY29uc3RydWN0aW9uIGFjdGl2aXRpZXMsIHNpZ25pZmljYW50bHkgaW1wYWN0aW5nIGdsb2JhbCB3YXJtaW5nIGJ5IGNvbnRyaWJ1dGluZyA0MiUgb2YgcHJpbWFyeSBlbmVyZ3kgdXNlIGFuZCAzOSUgb2YgZ2xvYmFsIGdyZWVuaG91c2UgZ2FzIChHSEcpIGVtaXNzaW9ucy4gVGhpcyBzdHVkeSBhZGRyZXNzZXMgYSBnYXAgaW4gcmVzZWFyY2ggb24gbGlmZWN5Y2xlIGFzc2Vzc21lbnQgKExDQSkgZm9yIEluZGlhbiByZXNpZGVudGlhbCBidWlsZGluZ3MgYnkgZXZhbHVhdGluZyB0aGUgZnVsbCBjcmFkbGUtdG8tZ3JhdmUgY2FyYm9uIGZvb3RwcmludCBvZiBhIHR5cGljYWwgc2luZ2xlLWZhbWlseSBob3VzZSBpbiBOb3J0aGVybiBJbmRpYS4gQSBCSU0tYmFzZWQgTENBIGZyYW1ld29yayB3YXMgYXBwbGllZCB0byBhIDExMCBtMiBzaW5nbGUtZmFtaWx5IGR3ZWxsaW5nIG92ZXIgYSA2MC15ZWFyIGxpZmUgc3Bhbi4gT3BlcmF0aW9uYWwgdXNlIHBlcmZvcm1hbmNlIGFuZCBjbGltYXRlIGFuYWx5c2lzIHdhcyBldmFsdWF0ZWQgdmlhIGNvdmUgdG9vbC4gVGhlIHRvdGFsIGNhcmJvbiBmb290cHJpbnQgb3ZlciBhIDYwLXllYXIgbGlmZXNwYW4gd2FzIGFwcHJveGltYXRlbHkgNTg4NCBrZyBDTzJlLCB3aXRoIG9wZXJhdGlvbmFsIGVuZXJneSB1c2UgYWNjb3VudGluZyBmb3IgYWJvdXQgODclIGFuZCBlbWJvZGllZCBjYXJib24gYXBwcm94aW1hdGVseSAxMSUuIEFkZGl0aW9uYWwgaW1wYWN0cyBjYW1lIGZyb20gbWFpbnRlbmFuY2UgYW5kIHJlcGxhY2VtZW50cy4gRW5lcmd5IHVzYWdlIHdhcyBjYWxjdWxhdGVkIGFzIDcxLjc2IGtXaC9tMi95ZWFyIGFuZCB3YXRlciB1c2FnZSBhcyAyMzIuMiBtMy95ZWFyLiBFbmVyZ3kgY29uc3VtcHRpb24gd2FzIHRoZSBiaWdnZXN0IGRyaXZlciBvZiBlbWlzc2lvbnMsIGJ1dCBzdWJzdGFudGlhbCBpbXBhY3RzIGFsc28gc3RlbW1lZCBmcm9tIG1hdGVyaWFsIHByb2R1Y3Rpb24uIENlbWVudC1iYXNlZCBjb21wb25lbnRzIGFuZCBzdGVlbCB3ZXJlIHRoZSBsYXJnZXN0IGVtYm9kaWVkIGNhcmJvbiBjb250cmlidXRvcnMuIFVuZGVyIHRoZSBidXNpbmVzcy1hcy11c3VhbCAoQkFVKSBzY2VuYXJpbywgdGhlIG9wZXJhdGlvbmFsIGVtaXNzaW9ucyByZWFjaCBhcHByb3hpbWF0ZWx5IDY2OCwwMDAga2cgQ08yZSB3aXRoIEhWQUMgYW5kIDQ4MiwwMDAga2cgQ08yZSB3aXRob3V0IEhWQUMuIFRoZSBmaW5kaW5ncyBoaWdobGlnaHQgdGhlIG5lY2Vzc2l0eSBvZiBpbnRlZ3JhdGluZyBlbWJvZGllZCBjYXJib24gY29uc2lkZXJhdGlvbnMgYWxvbmdzaWRlIG9wZXJhdGlvbmFsIGVuZXJneSBlZmZpY2llbmN5IGluIEluZGlh4oCZcyBidWlsZGluZyBjb2RlcywgZW1waGFzaXppbmcgcmVkdWN0aW9ucyBpbiBlbmVyZ3kgY29uc3VtcHRpb24gYW5kIHRoZSBhZG9wdGlvbiBvZiBsb3ctY2FyYm9uIG1hdGVyaWFscyB0byBtaXRpZ2F0ZSB0aGUgZW52aXJvbm1lbnRhbCBpbXBhY3Qgb2YgcmVzaWRlbnRpYWwgYnVpbGRpbmdzLiBGdXR1cmUgd29yayBzaG91bGQgZm9jdXMgb24gdGhlIGR5bmFtaWMgbW9kZWxpbmcgb2YgZWxlY3RyaWNpdHkgZGVjYXJib25pemF0aW9uLCBpbXByb3ZlZCByZWdpb25hbCBkYXRhc2V0cywgYW5kIHNjZW5hcmlvLWJhc2VkIExDQSB0byBiZXR0ZXIgc3VwcG9ydCBJbmRpYeKAmXMgdHJhbnNpdGlvbiB0byBuZXQtemVybyBlbWlzc2lvbnMgYnkgMjA3MC4iLCJwdWJsaXNoZXIiOiJNdWx0aWRpc2NpcGxpbmFyeSBEaWdpdGFsIFB1Ymxpc2hpbmcgSW5zdGl0dXRlIChNRFBJKSIsImlzc3VlIjoiMTMiLCJ2b2x1bWUiOiIxNSIsImNvbnRhaW5lci10aXRsZS1zaG9ydCI6IiJ9LCJpc1RlbXBvcmFyeSI6ZmFsc2V9XX0="/>
          <w:id w:val="1910265378"/>
          <w:placeholder>
            <w:docPart w:val="DefaultPlaceholder_-1854013440"/>
          </w:placeholder>
        </w:sdtPr>
        <w:sdtEndPr>
          <w:rPr>
            <w:rFonts w:eastAsia="Times New Roman"/>
          </w:rPr>
        </w:sdtEndPr>
        <w:sdtContent>
          <w:r w:rsidR="005906C7" w:rsidRPr="005906C7">
            <w:rPr>
              <w:rFonts w:ascii="Calibri" w:eastAsia="Times New Roman" w:hAnsi="Calibri" w:cs="Calibri"/>
              <w:color w:val="000000"/>
            </w:rPr>
            <w:t xml:space="preserve">(Forth, Hollberg and Borrmann, 2023; Kumar </w:t>
          </w:r>
          <w:r w:rsidR="005906C7" w:rsidRPr="005906C7">
            <w:rPr>
              <w:rFonts w:ascii="Calibri" w:eastAsia="Times New Roman" w:hAnsi="Calibri" w:cs="Calibri"/>
              <w:i/>
              <w:iCs/>
              <w:color w:val="000000"/>
            </w:rPr>
            <w:t>et al.</w:t>
          </w:r>
          <w:r w:rsidR="005906C7" w:rsidRPr="005906C7">
            <w:rPr>
              <w:rFonts w:ascii="Calibri" w:eastAsia="Times New Roman" w:hAnsi="Calibri" w:cs="Calibri"/>
              <w:color w:val="000000"/>
            </w:rPr>
            <w:t>, 2025)</w:t>
          </w:r>
        </w:sdtContent>
      </w:sdt>
      <w:r w:rsidRPr="00842A40">
        <w:rPr>
          <w:rFonts w:ascii="Calibri" w:hAnsi="Calibri" w:cs="Calibri"/>
        </w:rPr>
        <w:t>. Consequently, the built environment has become a critical focus of international climate initiatives</w:t>
      </w:r>
      <w:r w:rsidR="000C521E">
        <w:rPr>
          <w:rFonts w:ascii="Calibri" w:hAnsi="Calibri" w:cs="Calibri"/>
        </w:rPr>
        <w:t xml:space="preserve">, such as the Paris Agreement and the United Nations Sustainable Development Goals, particularly Sustainable Development Goals 11 and </w:t>
      </w:r>
      <w:r w:rsidRPr="00842A40">
        <w:rPr>
          <w:rFonts w:ascii="Calibri" w:hAnsi="Calibri" w:cs="Calibri"/>
        </w:rPr>
        <w:t xml:space="preserve">13. In this context, India faces significant challenges due to rapid </w:t>
      </w:r>
      <w:r w:rsidR="00F2628C">
        <w:rPr>
          <w:rFonts w:ascii="Calibri" w:hAnsi="Calibri" w:cs="Calibri"/>
        </w:rPr>
        <w:t>urbanization and rising infrastructure demands while pursuing its 2070 net-zero target,</w:t>
      </w:r>
      <w:r w:rsidRPr="00842A40">
        <w:rPr>
          <w:rFonts w:ascii="Calibri" w:hAnsi="Calibri" w:cs="Calibri"/>
        </w:rPr>
        <w:t xml:space="preserve"> announced at COP26. Large-scale public housing initiatives such as Pradhan Mantri Awas Yojana (PMAY-U)</w:t>
      </w:r>
      <w:r w:rsidR="000C521E">
        <w:rPr>
          <w:rFonts w:ascii="Calibri" w:hAnsi="Calibri" w:cs="Calibri"/>
        </w:rPr>
        <w:t xml:space="preserve">, therefore, require lifecycle-oriented sustainability assessment approaches </w:t>
      </w:r>
      <w:sdt>
        <w:sdtPr>
          <w:rPr>
            <w:rFonts w:ascii="Calibri" w:hAnsi="Calibri" w:cs="Calibri"/>
            <w:color w:val="000000"/>
          </w:rPr>
          <w:tag w:val="MENDELEY_CITATION_v3_eyJjaXRhdGlvbklEIjoiTUVOREVMRVlfQ0lUQVRJT05fMGI1NjdjYjUtODViNy00ZDIwLTg1MzQtODYyNGFiN2UwNzczIiwicHJvcGVydGllcyI6eyJub3RlSW5kZXgiOjB9LCJpc0VkaXRlZCI6ZmFsc2UsIm1hbnVhbE92ZXJyaWRlIjp7ImlzTWFudWFsbHlPdmVycmlkZGVuIjpmYWxzZSwiY2l0ZXByb2NUZXh0IjoiKEpheWFyYW0gPGk+ZXQgYWwuPC9pPiwgMjAyNSkiLCJtYW51YWxPdmVycmlkZVRleHQiOiIifSwiY2l0YXRpb25JdGVtcyI6W3siaWQiOiJhMWNiNTYyNC0xMWI3LTM0MDEtYmIzNC02YTU1NTQ2MDg2OWQiLCJpdGVtRGF0YSI6eyJ0eXBlIjoiYXJ0aWNsZS1qb3VybmFsIiwiaWQiOiJhMWNiNTYyNC0xMWI3LTM0MDEtYmIzNC02YTU1NTQ2MDg2OWQiLCJ0aXRsZSI6IlN0ZWVyaW5nIEJ1aWxkaW5nIERlc2lnbiBpbiBJbmRpYSB0b3dhcmRzIGEgbG93LWNhcmJvbiBmdXR1cmUiLCJhdXRob3IiOlt7ImZhbWlseSI6IkpheWFyYW0iLCJnaXZlbiI6IlNyZWVqaXRoIiwicGFyc2UtbmFtZXMiOmZhbHNlLCJkcm9wcGluZy1wYXJ0aWNsZSI6IiIsIm5vbi1kcm9wcGluZy1wYXJ0aWNsZSI6IiJ9LHsiZmFtaWx5IjoiR29zd2FtaSIsImdpdmVuIjoiU2hhaWxlZSIsInBhcnNlLW5hbWVzIjpmYWxzZSwiZHJvcHBpbmctcGFydGljbGUiOiIiLCJub24tZHJvcHBpbmctcGFydGljbGUiOiIifSx7ImZhbWlseSI6IlZhZGFwYWxsaSIsImdpdmVuIjoiU3JlZWthdnlhIiwicGFyc2UtbmFtZXMiOmZhbHNlLCJkcm9wcGluZy1wYXJ0aWNsZSI6IiIsIm5vbi1kcm9wcGluZy1wYXJ0aWNsZSI6IiJ9LHsiZmFtaWx5IjoiUGFuZGV5IiwiZ2l2ZW4iOiJCcmlqZXNoIiwicGFyc2UtbmFtZXMiOmZhbHNlLCJkcm9wcGluZy1wYXJ0aWNsZSI6IiIsIm5vbi1kcm9wcGluZy1wYXJ0aWNsZSI6IiJ9LHsiZmFtaWx5IjoiU2FpbmkiLCJnaXZlbiI6IkhpbWFuc2h1IiwicGFyc2UtbmFtZXMiOmZhbHNlLCJkcm9wcGluZy1wYXJ0aWNsZSI6IiIsIm5vbi1kcm9wcGluZy1wYXJ0aWNsZSI6IiJ9XSwiRE9JIjoiMTAuMjY4NjgvMjUyMjI3MDguMjAyNS4xMzc0IiwiVVJMIjoiaHR0cHM6Ly9kb2kub3JnLzEwLjI2ODY4LzI1MjIyNzA4LjIwMjUuMTM3NCIsImlzc3VlZCI6eyJkYXRlLXBhcnRzIjpbWzIwMjVdXX0sImFic3RyYWN0IjoiUmFwaWQgdXJiYW5pc2F0aW9uIGluIEluZGlhIGlzIGRyaXZpbmcgdW5wcmVjZWRlbnRlZCBncm93dGggaW4gdGhlIGJ1aWxkaW5nIHNlY3RvciwgbGVhZGluZyB0byBhbiBleHBvbmVudGlhbCByaXNlIGluIGJ1aWxkaW5nIGNvbnN0cnVjdGlvbiBtYXRlcmlhbCBkZW1hbmQgYW5kIHRoZXJlYnksIGFzc29jaWF0ZWQgY2FyYm9uIGVtaXNzaW9ucy4gV2l0aCBidWlsZGluZ3MgY29udHJpYnV0aW5nIG5lYXJseSA0MiUgb2YgdGhlIGNvdW50cnkncyB0b3RhbCBncmVlbmhvdXNlIGdhcyAoR0hHKSBlbWlzc2lvbnMsIHRoZSBzZWN0b3IgdXJnZW50bHkgbmVlZHMgZGVjYXJib25pemF0aW9uLiBUaGlzIHN0dWR5IGFwcGxpZXMgYSBMaWZlIEN5Y2xlIEFzc2Vzc21lbnQgKExDQSkgc2ltdWxhdGlvbiBwcm90b2NvbCB0byBxdWFudGlmeSB3aG9sZS1idWlsZGluZyBjYXJib24gZW1pc3Npb25zLCBpbnRlZ3JhdGluZyBib3RoIGVtYm9kaWVkIGFuZCBvcGVyYXRpb25hbCBjYXJib24gaW1wYWN0cy4gVGhlIHNpbXVsYXRpb24gcHJvdG9jb2wgd2FzIGRldmVsb3BlZCBhbmQgYXBwbGllZCB0byBhIHNtYWxsIG9mZmljZSBidWlsZGluZyBpbiBhIGNvbXBvc2l0ZSBjbGltYXRlIHRvIGVzdGFibGlzaCBhIGJhc2VsaW5lIGFuZCBhc3Nlc3MgdGhlIGltcGFjdHMgb2Ygc3Vic3RpdHV0aW5nIGNvbnZlbnRpb25hbCBtYXRlcmlhbHMgd2l0aCBsb3ctY2FyYm9uIGFuZCBoaWdoLXBlcmZvcm1hbmNlIGFsdGVybmF0aXZlcy4gUmVzdWx0cyBpbmRpY2F0ZSB0aGF0IGhpZ2gtcGVyZm9ybWFuY2Ugc29sdXRpb25zIChIUFMpIGNhbiBhY2hpZXZlIHVwIHRvIDEyJSBjYXJib24gcmVkdWN0aW9uIHBvdGVudGlhbCwgd2l0aCB3YWxsaW5nIHN5c3RlbXMgc3VjaCBhcyBBQUMgYmxvY2tzIGRlbW9uc3RyYXRpbmcgdXAgdG8gODYlIHJlZHVjdGlvbiBpbiBlbWJvZGllZCBjYXJib24uIFRoZXNlIGludGVydmVudGlvbnMgYWRkcmVzcyBvbmx5IDI2JSBvZiB0aGUgdG90YWwgZW1pc3Npb25zLCBoaWdobGlnaHRpbmcgdGhlIG5lZWQgZm9yIGFkZGl0aW9uYWwgc3RyYXRlZ2llcywgcGFydGljdWxhcmx5IGZvciBzeXN0ZW1zIHRoYXQgdXNlIGNlbWVudCBhbmQgcmVhZHktbWl4IGNvbmNyZXRlLiBUaGUgc3R1ZHkgZW1waGFzaXNlcyB0aGUgbmVlZCB0byBkZXZlbG9wIEluZGlhLXNwZWNpZmljIExDQSBwcm90b2NvbHMgZm9yIGNhcmJvbiBjYWxjdWxhdGlvbnMgYW5kIHRoZSBuZWNlc3NpdHkgb2YgbWFpbnN0cmVhbWluZyBMQ0EgaW4gSW5kaWEncyBidWlsZGluZyBzZWN0b3IsIGFkdm9jYXRpbmcgZm9yIHJlZ3VsYXRvcnkgbWFuZGF0ZXMgYW5kIGV4cGFuZGVkIG1hdGVyaWFsIGRhdGFiYXNlcyB0byBkcml2ZSBpbmZvcm1lZCBkZWNpc2lvbi1tYWtpbmcgdG93YXJkIGEgbG93LWNhcmJvbiBmdXR1cmUuIEtleSBJbm5vdmF0aW9ucyDigKIgQW4gSW5kaWEtc3BlY2lmaWMgTENBIGZyYW1ld29yayBmb3IgV2hvbGUtQnVpbGRpbmcgRGVzaWduIHdhcyBkZXZlbG9wZWQga2VlcGluZyBJU08gMTQwNDAvNDQgYXMgdGhlIGZvdW5kYXRpb24uIOKAoiBBIENhcmJvbiBhc3Nlc3NtZW50IHNvZnR3YXJlIHdvcmtmbG93IHdhcyBkZXZlbG9wZWQgd2hpY2ggY2FuIGFpZCBpbiBwZXJmb3JtaW5nIGVtYm9kaWVkIGNhcmJvbiBjYWxjdWxhdGlvbnMgZm9yIGJ1aWxkaW5ncyBhbG9uZyB3aXRoIEVuZXJneSBzaW11bGF0aW9ucy4gUHJhY3RpY2FsIEltcGxpY2F0aW9ucyBUaGlzIHN0dWR5IGVuYWJsZXMgZGF0YS1kcml2ZW4gZGVjaXNpb24tbWFraW5nIGZvciBsb3ctY2FyYm9uIGNvbnN0cnVjdGlvbiBieSBwcm92aWRpbmcgcXVhbnRpZmlhYmxlIGRhdGEgb24gY2FyYm9uIHdoaWNoIGNhbiBoZWxwIGFyY2hpdGVjdHMsIGRldmVsb3BlcnMgYW5kIHBvbGljeW1ha2VycyBtYWtlIGluZm9ybWVkIGNob2ljZXMgb24gbWF0ZXJpYWxzLiBUaGUgTENBIHNpbXVsYXRpb24gcHJvdG9jb2wgZnJhbWV3b3JrIHRoYXQgaXMgZGV2ZWxvcGVkIG9mZmVycyBhIHJlcGxpY2FibGUgbWV0aG9kb2xvZ3kgZm9yIHZhcmlvdXMgYnVpbGRpbmcgdHlwZXMuIFRoZSBzdHVkeSBhbHNvIGhpZ2hsaWdodHMgdGhhdCBzeXN0ZW1hdGljIHN1YnN0aXR1dGlvbnMgY2FuIGhlbHAgaW4gaWRlbnRpZnlpbmcgaG90c3BvdHMgZm9yIGNhcmJvbiBlbWlzc2lvbnMgYW5kIGhlbHAgbWl0aWdhdGUgdGhlbS4gSXQgYWxzbyByZWluZm9yY2VzIHRoZSBuZWVkIGZvciBtYW5kYXRvcnkgTENBcyBpbiBJbmRpYSdzIE5hdGlvbmFsIEJ1aWxkaW5nIENvZGUgKE5CQykgd2hpY2ggY2FuIHByb3ZpZGUgYSBzdHJvbmcgY2FzZSBmb3IgaW5jZW50aXZlcyBhbmQgZ3JlZW4gY2VydGlmaWNhdGlvbnMgdG8gZGV2ZWxvcGVycyBhZG9wdGluZyBsb3ctY2FyYm9uIG1hdGVyaWFscyBhbmQgaGlnaC1wZXJmb3JtYW5jZSBzb2x1dGlvbnMuIiwiY29udGFpbmVyLXRpdGxlLXNob3J0IjoiIn0sImlzVGVtcG9yYXJ5IjpmYWxzZX1dfQ=="/>
          <w:id w:val="1451362567"/>
          <w:placeholder>
            <w:docPart w:val="DefaultPlaceholder_-1854013440"/>
          </w:placeholder>
        </w:sdtPr>
        <w:sdtEndPr/>
        <w:sdtContent>
          <w:r w:rsidR="005906C7" w:rsidRPr="005906C7">
            <w:rPr>
              <w:rFonts w:ascii="Calibri" w:eastAsia="Times New Roman" w:hAnsi="Calibri" w:cs="Calibri"/>
              <w:color w:val="000000"/>
            </w:rPr>
            <w:t xml:space="preserve">(Jayaram </w:t>
          </w:r>
          <w:r w:rsidR="005906C7" w:rsidRPr="005906C7">
            <w:rPr>
              <w:rFonts w:ascii="Calibri" w:eastAsia="Times New Roman" w:hAnsi="Calibri" w:cs="Calibri"/>
              <w:i/>
              <w:iCs/>
              <w:color w:val="000000"/>
            </w:rPr>
            <w:t>et al.</w:t>
          </w:r>
          <w:r w:rsidR="005906C7" w:rsidRPr="005906C7">
            <w:rPr>
              <w:rFonts w:ascii="Calibri" w:eastAsia="Times New Roman" w:hAnsi="Calibri" w:cs="Calibri"/>
              <w:color w:val="000000"/>
            </w:rPr>
            <w:t>, 2025)</w:t>
          </w:r>
        </w:sdtContent>
      </w:sdt>
      <w:r w:rsidRPr="00842A40">
        <w:rPr>
          <w:rFonts w:ascii="Calibri" w:hAnsi="Calibri" w:cs="Calibri"/>
        </w:rPr>
        <w:t>.</w:t>
      </w:r>
    </w:p>
    <w:p w14:paraId="67C44C06" w14:textId="65F8B87D" w:rsidR="00BA69D7" w:rsidRDefault="005457D0" w:rsidP="00793595">
      <w:pPr>
        <w:spacing w:after="40" w:line="240" w:lineRule="auto"/>
        <w:ind w:firstLine="360"/>
        <w:jc w:val="both"/>
        <w:rPr>
          <w:rFonts w:ascii="Calibri" w:hAnsi="Calibri" w:cs="Calibri"/>
        </w:rPr>
      </w:pPr>
      <w:r w:rsidRPr="005457D0">
        <w:rPr>
          <w:rFonts w:ascii="Calibri" w:hAnsi="Calibri" w:cs="Calibri"/>
        </w:rPr>
        <w:t>A comprehensive lifecycle-based evaluation of buildings is essential for accurately assessing their environmental performance and long-term sustainability</w:t>
      </w:r>
      <w:r w:rsidR="00351682">
        <w:rPr>
          <w:rFonts w:ascii="Calibri" w:hAnsi="Calibri" w:cs="Calibri"/>
        </w:rPr>
        <w:t xml:space="preserve"> </w:t>
      </w:r>
      <w:sdt>
        <w:sdtPr>
          <w:rPr>
            <w:rFonts w:ascii="Calibri" w:hAnsi="Calibri" w:cs="Calibri"/>
            <w:color w:val="000000"/>
          </w:rPr>
          <w:tag w:val="MENDELEY_CITATION_v3_eyJjaXRhdGlvbklEIjoiTUVOREVMRVlfQ0lUQVRJT05fMDE0ZjljNjgtYmE2ZC00OTNmLTlkNjYtZDYxYTA1Y2MwNGFkIiwicHJvcGVydGllcyI6eyJub3RlSW5kZXgiOjB9LCJpc0VkaXRlZCI6ZmFsc2UsIm1hbnVhbE92ZXJyaWRlIjp7ImlzTWFudWFsbHlPdmVycmlkZGVuIjpmYWxzZSwiY2l0ZXByb2NUZXh0IjoiKEt1bWFyIDxpPmV0IGFsLjwvaT4sIDIwMjUpIiwibWFudWFsT3ZlcnJpZGVUZXh0IjoiIn0sImNpdGF0aW9uSXRlbXMiOlt7ImlkIjoiOWFhNjRiMTktMzJkMi0zYWIyLTk4ODYtMjg5OTQ2MTI1ODIzIiwiaXRlbURhdGEiOnsidHlwZSI6ImFydGljbGUtam91cm5hbCIsImlkIjoiOWFhNjRiMTktMzJkMi0zYWIyLTk4ODYtMjg5OTQ2MTI1ODIzIiwidGl0bGUiOiJBIFdob2xlLUxpZmUgQ2FyYm9uIEFzc2Vzc21lbnQgb2YgYSBTaW5nbGUtRmFtaWx5IEhvdXNlIGluIE5vcnRoIEluZGlhIFVzaW5nIEJJTS1MQ0EgSW50ZWdyYXRpb24iLCJhdXRob3IiOlt7ImZhbWlseSI6Ikt1bWFyIiwiZ2l2ZW4iOiJEZWVwYWsiLCJwYXJzZS1uYW1lcyI6ZmFsc2UsImRyb3BwaW5nLXBhcnRpY2xlIjoiIiwibm9uLWRyb3BwaW5nLXBhcnRpY2xlIjoiIn0seyJmYW1pbHkiOiJNYXVyeWEiLCJnaXZlbiI6IktyYW50aSBLdW1hciIsInBhcnNlLW5hbWVzIjpmYWxzZSwiZHJvcHBpbmctcGFydGljbGUiOiIiLCJub24tZHJvcHBpbmctcGFydGljbGUiOiIifSx7ImZhbWlseSI6Ik1hbmRhbCIsImdpdmVuIjoiU2hhaWxlbmRyYSBLLiIsInBhcnNlLW5hbWVzIjpmYWxzZSwiZHJvcHBpbmctcGFydGljbGUiOiIiLCJub24tZHJvcHBpbmctcGFydGljbGUiOiIifSx7ImZhbWlseSI6IkhhbGRlciIsImdpdmVuIjoiTmFuZGluaSIsInBhcnNlLW5hbWVzIjpmYWxzZSwiZHJvcHBpbmctcGFydGljbGUiOiIiLCJub24tZHJvcHBpbmctcGFydGljbGUiOiIifSx7ImZhbWlseSI6Ik1pciIsImdpdmVuIjoiQmFzaXQgQWZhcSIsInBhcnNlLW5hbWVzIjpmYWxzZSwiZHJvcHBpbmctcGFydGljbGUiOiIiLCJub24tZHJvcHBpbmctcGFydGljbGUiOiIifSx7ImZhbWlseSI6Ik51cmRpYXdhdGkiLCJnaXZlbiI6IkFuaXNzYSIsInBhcnNlLW5hbWVzIjpmYWxzZSwiZHJvcHBpbmctcGFydGljbGUiOiIiLCJub24tZHJvcHBpbmctcGFydGljbGUiOiIifSx7ImZhbWlseSI6IkFsLUdoYW1kaSIsImdpdmVuIjoiU2FtaSBHLiIsInBhcnNlLW5hbWVzIjpmYWxzZSwiZHJvcHBpbmctcGFydGljbGUiOiIiLCJub24tZHJvcHBpbmctcGFydGljbGUiOiIifV0sImNvbnRhaW5lci10aXRsZSI6IkJ1aWxkaW5ncyIsIkRPSSI6IjEwLjMzOTAvYnVpbGRpbmdzMTUxMzIxOTUiLCJJU1NOIjoiMjA3NTUzMDkiLCJpc3N1ZWQiOnsiZGF0ZS1wYXJ0cyI6W1syMDI1LDcsMV1dfSwiYWJzdHJhY3QiOiJBcyB0aGUgcG9wdWxhdGlvbiBpbmNyZWFzZXMsIHRoZSBncm93aW5nIGRlbWFuZCBmb3IgcmVzaWRlbnRpYWwgaG91c2luZyBlc2NhbGF0ZXMgY29uc3RydWN0aW9uIGFjdGl2aXRpZXMsIHNpZ25pZmljYW50bHkgaW1wYWN0aW5nIGdsb2JhbCB3YXJtaW5nIGJ5IGNvbnRyaWJ1dGluZyA0MiUgb2YgcHJpbWFyeSBlbmVyZ3kgdXNlIGFuZCAzOSUgb2YgZ2xvYmFsIGdyZWVuaG91c2UgZ2FzIChHSEcpIGVtaXNzaW9ucy4gVGhpcyBzdHVkeSBhZGRyZXNzZXMgYSBnYXAgaW4gcmVzZWFyY2ggb24gbGlmZWN5Y2xlIGFzc2Vzc21lbnQgKExDQSkgZm9yIEluZGlhbiByZXNpZGVudGlhbCBidWlsZGluZ3MgYnkgZXZhbHVhdGluZyB0aGUgZnVsbCBjcmFkbGUtdG8tZ3JhdmUgY2FyYm9uIGZvb3RwcmludCBvZiBhIHR5cGljYWwgc2luZ2xlLWZhbWlseSBob3VzZSBpbiBOb3J0aGVybiBJbmRpYS4gQSBCSU0tYmFzZWQgTENBIGZyYW1ld29yayB3YXMgYXBwbGllZCB0byBhIDExMCBtMiBzaW5nbGUtZmFtaWx5IGR3ZWxsaW5nIG92ZXIgYSA2MC15ZWFyIGxpZmUgc3Bhbi4gT3BlcmF0aW9uYWwgdXNlIHBlcmZvcm1hbmNlIGFuZCBjbGltYXRlIGFuYWx5c2lzIHdhcyBldmFsdWF0ZWQgdmlhIGNvdmUgdG9vbC4gVGhlIHRvdGFsIGNhcmJvbiBmb290cHJpbnQgb3ZlciBhIDYwLXllYXIgbGlmZXNwYW4gd2FzIGFwcHJveGltYXRlbHkgNTg4NCBrZyBDTzJlLCB3aXRoIG9wZXJhdGlvbmFsIGVuZXJneSB1c2UgYWNjb3VudGluZyBmb3IgYWJvdXQgODclIGFuZCBlbWJvZGllZCBjYXJib24gYXBwcm94aW1hdGVseSAxMSUuIEFkZGl0aW9uYWwgaW1wYWN0cyBjYW1lIGZyb20gbWFpbnRlbmFuY2UgYW5kIHJlcGxhY2VtZW50cy4gRW5lcmd5IHVzYWdlIHdhcyBjYWxjdWxhdGVkIGFzIDcxLjc2IGtXaC9tMi95ZWFyIGFuZCB3YXRlciB1c2FnZSBhcyAyMzIuMiBtMy95ZWFyLiBFbmVyZ3kgY29uc3VtcHRpb24gd2FzIHRoZSBiaWdnZXN0IGRyaXZlciBvZiBlbWlzc2lvbnMsIGJ1dCBzdWJzdGFudGlhbCBpbXBhY3RzIGFsc28gc3RlbW1lZCBmcm9tIG1hdGVyaWFsIHByb2R1Y3Rpb24uIENlbWVudC1iYXNlZCBjb21wb25lbnRzIGFuZCBzdGVlbCB3ZXJlIHRoZSBsYXJnZXN0IGVtYm9kaWVkIGNhcmJvbiBjb250cmlidXRvcnMuIFVuZGVyIHRoZSBidXNpbmVzcy1hcy11c3VhbCAoQkFVKSBzY2VuYXJpbywgdGhlIG9wZXJhdGlvbmFsIGVtaXNzaW9ucyByZWFjaCBhcHByb3hpbWF0ZWx5IDY2OCwwMDAga2cgQ08yZSB3aXRoIEhWQUMgYW5kIDQ4MiwwMDAga2cgQ08yZSB3aXRob3V0IEhWQUMuIFRoZSBmaW5kaW5ncyBoaWdobGlnaHQgdGhlIG5lY2Vzc2l0eSBvZiBpbnRlZ3JhdGluZyBlbWJvZGllZCBjYXJib24gY29uc2lkZXJhdGlvbnMgYWxvbmdzaWRlIG9wZXJhdGlvbmFsIGVuZXJneSBlZmZpY2llbmN5IGluIEluZGlh4oCZcyBidWlsZGluZyBjb2RlcywgZW1waGFzaXppbmcgcmVkdWN0aW9ucyBpbiBlbmVyZ3kgY29uc3VtcHRpb24gYW5kIHRoZSBhZG9wdGlvbiBvZiBsb3ctY2FyYm9uIG1hdGVyaWFscyB0byBtaXRpZ2F0ZSB0aGUgZW52aXJvbm1lbnRhbCBpbXBhY3Qgb2YgcmVzaWRlbnRpYWwgYnVpbGRpbmdzLiBGdXR1cmUgd29yayBzaG91bGQgZm9jdXMgb24gdGhlIGR5bmFtaWMgbW9kZWxpbmcgb2YgZWxlY3RyaWNpdHkgZGVjYXJib25pemF0aW9uLCBpbXByb3ZlZCByZWdpb25hbCBkYXRhc2V0cywgYW5kIHNjZW5hcmlvLWJhc2VkIExDQSB0byBiZXR0ZXIgc3VwcG9ydCBJbmRpYeKAmXMgdHJhbnNpdGlvbiB0byBuZXQtemVybyBlbWlzc2lvbnMgYnkgMjA3MC4iLCJwdWJsaXNoZXIiOiJNdWx0aWRpc2NpcGxpbmFyeSBEaWdpdGFsIFB1Ymxpc2hpbmcgSW5zdGl0dXRlIChNRFBJKSIsImlzc3VlIjoiMTMiLCJ2b2x1bWUiOiIxNSIsImNvbnRhaW5lci10aXRsZS1zaG9ydCI6IiJ9LCJpc1RlbXBvcmFyeSI6ZmFsc2V9XX0="/>
          <w:id w:val="1324779869"/>
          <w:placeholder>
            <w:docPart w:val="DefaultPlaceholder_-1854013440"/>
          </w:placeholder>
        </w:sdtPr>
        <w:sdtEndPr/>
        <w:sdtContent>
          <w:r w:rsidR="005906C7" w:rsidRPr="005906C7">
            <w:rPr>
              <w:rFonts w:ascii="Calibri" w:eastAsia="Times New Roman" w:hAnsi="Calibri" w:cs="Calibri"/>
              <w:color w:val="000000"/>
            </w:rPr>
            <w:t xml:space="preserve">(Kumar </w:t>
          </w:r>
          <w:r w:rsidR="005906C7" w:rsidRPr="005906C7">
            <w:rPr>
              <w:rFonts w:ascii="Calibri" w:eastAsia="Times New Roman" w:hAnsi="Calibri" w:cs="Calibri"/>
              <w:i/>
              <w:iCs/>
              <w:color w:val="000000"/>
            </w:rPr>
            <w:t>et al.</w:t>
          </w:r>
          <w:r w:rsidR="005906C7" w:rsidRPr="005906C7">
            <w:rPr>
              <w:rFonts w:ascii="Calibri" w:eastAsia="Times New Roman" w:hAnsi="Calibri" w:cs="Calibri"/>
              <w:color w:val="000000"/>
            </w:rPr>
            <w:t>, 2025)</w:t>
          </w:r>
        </w:sdtContent>
      </w:sdt>
      <w:r w:rsidR="00844205">
        <w:rPr>
          <w:rFonts w:ascii="Calibri" w:hAnsi="Calibri" w:cs="Calibri"/>
        </w:rPr>
        <w:t xml:space="preserve">. </w:t>
      </w:r>
      <w:r w:rsidRPr="005457D0">
        <w:rPr>
          <w:rFonts w:ascii="Calibri" w:hAnsi="Calibri" w:cs="Calibri"/>
        </w:rPr>
        <w:t xml:space="preserve">Unlike conventional assessment approaches that primarily focus on operational energy consumption, lifecycle-oriented </w:t>
      </w:r>
      <w:r w:rsidRPr="005457D0">
        <w:rPr>
          <w:rFonts w:ascii="Calibri" w:hAnsi="Calibri" w:cs="Calibri"/>
        </w:rPr>
        <w:lastRenderedPageBreak/>
        <w:t xml:space="preserve">methods consider </w:t>
      </w:r>
      <w:r w:rsidR="00715A2D">
        <w:rPr>
          <w:rFonts w:ascii="Calibri" w:hAnsi="Calibri" w:cs="Calibri"/>
        </w:rPr>
        <w:t>the impacts associated with material extraction, manufacturing, transportation, construction, operation, maintenance, and end-of-life</w:t>
      </w:r>
      <w:r w:rsidR="00E278AD">
        <w:rPr>
          <w:rFonts w:ascii="Calibri" w:hAnsi="Calibri" w:cs="Calibri"/>
        </w:rPr>
        <w:t xml:space="preserve"> </w:t>
      </w:r>
      <w:sdt>
        <w:sdtPr>
          <w:rPr>
            <w:rFonts w:ascii="Calibri" w:hAnsi="Calibri" w:cs="Calibri"/>
            <w:color w:val="000000"/>
          </w:rPr>
          <w:tag w:val="MENDELEY_CITATION_v3_eyJjaXRhdGlvbklEIjoiTUVOREVMRVlfQ0lUQVRJT05fNTEwYmM0ZmMtN2RhOC00MjlkLTk0MzEtOWU5ZTYwYWIxNWU5IiwicHJvcGVydGllcyI6eyJub3RlSW5kZXgiOjB9LCJpc0VkaXRlZCI6ZmFsc2UsIm1hbnVhbE92ZXJyaWRlIjp7ImlzTWFudWFsbHlPdmVycmlkZGVuIjpmYWxzZSwiY2l0ZXByb2NUZXh0IjoiKFpoYW5nIDxpPmV0IGFsLjwvaT4sIDIwMjIpIiwibWFudWFsT3ZlcnJpZGVUZXh0IjoiIn0sImNpdGF0aW9uSXRlbXMiOlt7ImlkIjoiMzVkZWJmMzQtYzliMy0zMjYzLTk1YWEtNDlmOTY2ZmJlMmQwIiwiaXRlbURhdGEiOnsidHlwZSI6ImFydGljbGUtam91cm5hbCIsImlkIjoiMzVkZWJmMzQtYzliMy0zMjYzLTk1YWEtNDlmOTY2ZmJlMmQwIiwidGl0bGUiOiJCSU0tYmFzZWQgYXBwcm9hY2ggZm9yIHRoZSBpbnRlZ3JhdGVkIGFzc2Vzc21lbnQgb2YgbGlmZSBjeWNsZSBjYXJib24gZW1pc3Npb24gaW50ZW5zaXR5IGFuZCBsaWZlIGN5Y2xlIGNvc3RzIiwiYXV0aG9yIjpbeyJmYW1pbHkiOiJaaGFuZyIsImdpdmVuIjoiWXViaW5nIiwicGFyc2UtbmFtZXMiOmZhbHNlLCJkcm9wcGluZy1wYXJ0aWNsZSI6IiIsIm5vbi1kcm9wcGluZy1wYXJ0aWNsZSI6IiJ9LHsiZmFtaWx5IjoiSmlhbmciLCJnaXZlbiI6IlhpYW95YW4iLCJwYXJzZS1uYW1lcyI6ZmFsc2UsImRyb3BwaW5nLXBhcnRpY2xlIjoiIiwibm9uLWRyb3BwaW5nLXBhcnRpY2xlIjoiIn0seyJmYW1pbHkiOiJDdWkiLCJnaXZlbiI6IkNhaXl1biIsInBhcnNlLW5hbWVzIjpmYWxzZSwiZHJvcHBpbmctcGFydGljbGUiOiIiLCJub24tZHJvcHBpbmctcGFydGljbGUiOiIifSx7ImZhbWlseSI6IlNraXRtb3JlIiwiZ2l2ZW4iOiJNYXJ0aW4iLCJwYXJzZS1uYW1lcyI6ZmFsc2UsImRyb3BwaW5nLXBhcnRpY2xlIjoiIiwibm9uLWRyb3BwaW5nLXBhcnRpY2xlIjoiIn1dLCJjb250YWluZXItdGl0bGUiOiJCdWlsZGluZyBhbmQgRW52aXJvbm1lbnQiLCJjb250YWluZXItdGl0bGUtc2hvcnQiOiJCdWlsZC4gRW52aXJvbi4iLCJET0kiOiIxMC4xMDE2L2ouYnVpbGRlbnYuMjAyMi4xMDk2OTEiLCJJU1NOIjoiMDM2MDEzMjMiLCJpc3N1ZWQiOnsiZGF0ZS1wYXJ0cyI6W1syMDIyLDEyLDFdXX0sImFic3RyYWN0IjoiVGhlIGNvbnN0cnVjdGlvbiBpbmR1c3RyeSBpcyB3ZWxsIGtub3duIGZvciBnZW5lcmF0aW5nIGEgbGFyZ2UgYW1vdW50IG9mIGNhcmJvbiBlbWlzc2lvbnMgYW5kIHRoaXMsIHRvZ2V0aGVyIHdpdGggaHVnZSBjb3N0cyBvZiBidWlsZGluZ3MgZHVyaW5nIHRoZWlyIGxpZmUgY3ljbGUsIHNlcmlvdXNseSBhZmZlY3RzIGl0cyBlbnZpcm9ubWVudGFsIGFuZCBlY29ub21pYyBzdXN0YWluYWJpbGl0eS4gVGhhdCByZWR1Y2luZyB0aGUgZm9ybWVyIHRlbmRzIHRvIGluY3JlYXNlIHRoZSBsYXR0ZXIgaXMgYSBoaWdobHkgc2lnbmlmaWNhbnQgcHJvYmxlbSBleGFjZXJiYXRpbmcgdGhlIHNpdHVhdGlvbi4gRmluZGluZyBhIHNvbHV0aW9uIHdpdGggdGhlIGxvd2VzdCBjYXJib24gZW1pc3Npb24gYXQgYSBjZXJ0YWluIGNvc3QgaXMgYW4gdXJnZW50IHByb2JsZW0gdG8gYmUgc29sdmVkLiBSZXNlYXJjaCB0byBkYXRlIGFpbWVkIGF0IHJlbWVkeWluZyB0aGUgc2l0dWF0aW9uLCBob3dldmVyLCBoYXMgYmVlbiBsYXJnZWx5IGZvY3VzZWQgb24gZWl0aGVyIHRyZWF0aW5nIHRoZSB0d28gaXNzdWVzIGluZGVwZW5kZW50bHkgb3IgcGFydGlhbGx5IGNvbmpvaW5lZCwgd2l0aCBsaXR0bGUgcHJvZ3Jlc3MgaW4gdGhlaXIgaW50ZWdyYXRlZCBhc3Nlc3NtZW50LiBJbiByZXNwb25zZSwgdGhpcyBzdHVkeSBwcmVzZW50cyBhIG1ldGhvZCBmb3IgaW50ZWdyYXRpbmcgdGhlIGxpZmUgY3ljbGUgY2FyYm9uIGVtaXNzaW9ucyAoTENDRSkgYW5kIGxpZmUgY3ljbGUgY29zdHMgKExDQykgb2YgYnVpbGRpbmdzIHRvIGFzc2VzcyB0aGVpciBsaWZlIGN5Y2xlIGNhcmJvbiBlbWlzc2lvbiBpbnRlbnNpdHkgKENFSSkgYmFzZWQgb24gQklNIHRlY2hub2xvZ3kuIFRocm91Z2ggYSBwdWJsaWMgYnVpbGRpbmcgaW4gQ2hpbmEgYXMgYSBjYXNlIHN0dWR5LCB0aGUgZmVhc2liaWxpdHkgb2YgdGhlIG1ldGhvZCBpcyB2ZXJpZmllZCwgdGhlIGtleSBzdGFnZXMgb2YgYnVpbGRpbmcgY2FyYm9uIGVtaXNzaW9ucyBhcmUgYW5hbHl6ZWQgdXNpbmcgQ0VJLCBhbmQgdGhlIGNvbnZlcnNpb24gb2YgaGlnaCBjYXJib24gZW1pc3Npb24gbWF0ZXJpYWxzIHRvIGxvdyBjYXJib24gZW1pc3Npb24gbWF0ZXJpYWxzIGlzIGV4cGxvcmVkLiBUaGUgcHJvcG9zZWQgbWV0aG9kb2xvZ3kgYW5kIGZyYW1ld29yayBwcm92aWRlIHNvbHV0aW9ucyBhbmQgaWRlYXMgZm9yIGFjaGlldmluZyBvcHRpbWFsIGNvc3RzIGNvbW1lbnN1cmF0ZSB3aXRoIGxvdyBjYXJib24gZW1pc3Npb25zIHRocm91Z2hvdXQgdGhlIGJ1aWxkaW5nIGxpZmUgY3ljbGUsIGZhY2lsaXRhdGluZyB0aGUgYXNzZXNzbWVudCBvZiBjYXJib24gZW1pc3Npb25zIGF0IHRoZSBkZWNpc2lvbi1tYWtpbmcgYW5kIGRlc2lnbiBzdGFnZXMsIGFjaGlldmluZyB0aGUgb3B0aW1pemF0aW9uIG9mIGJ1aWxkaW5nIGNhcmJvbiBlbWlzc2lvbnMgYW5kIGNvc3RzLCBhbmQgZW5oYW5jaW5nIGJ1aWxkaW5nIGxpZmUgY3ljbGUgc3VzdGFpbmFiaWxpdHkuIiwicHVibGlzaGVyIjoiRWxzZXZpZXIgTHRkIiwidm9sdW1lIjoiMjI2In0sImlzVGVtcG9yYXJ5IjpmYWxzZX1dfQ=="/>
          <w:id w:val="1123805291"/>
          <w:placeholder>
            <w:docPart w:val="DefaultPlaceholder_-1854013440"/>
          </w:placeholder>
        </w:sdtPr>
        <w:sdtEndPr/>
        <w:sdtContent>
          <w:r w:rsidR="005906C7" w:rsidRPr="005906C7">
            <w:rPr>
              <w:rFonts w:ascii="Calibri" w:eastAsia="Times New Roman" w:hAnsi="Calibri" w:cs="Calibri"/>
              <w:color w:val="000000"/>
            </w:rPr>
            <w:t xml:space="preserve">(Zhang </w:t>
          </w:r>
          <w:r w:rsidR="005906C7" w:rsidRPr="005906C7">
            <w:rPr>
              <w:rFonts w:ascii="Calibri" w:eastAsia="Times New Roman" w:hAnsi="Calibri" w:cs="Calibri"/>
              <w:i/>
              <w:iCs/>
              <w:color w:val="000000"/>
            </w:rPr>
            <w:t>et al.</w:t>
          </w:r>
          <w:r w:rsidR="005906C7" w:rsidRPr="005906C7">
            <w:rPr>
              <w:rFonts w:ascii="Calibri" w:eastAsia="Times New Roman" w:hAnsi="Calibri" w:cs="Calibri"/>
              <w:color w:val="000000"/>
            </w:rPr>
            <w:t>, 2022)</w:t>
          </w:r>
        </w:sdtContent>
      </w:sdt>
      <w:r w:rsidR="00144C34">
        <w:rPr>
          <w:rFonts w:ascii="Calibri" w:hAnsi="Calibri" w:cs="Calibri"/>
        </w:rPr>
        <w:t xml:space="preserve">. </w:t>
      </w:r>
      <w:r w:rsidR="00F656FA">
        <w:rPr>
          <w:rFonts w:ascii="Calibri" w:hAnsi="Calibri" w:cs="Calibri"/>
        </w:rPr>
        <w:t>Life cycle</w:t>
      </w:r>
      <w:r w:rsidRPr="005457D0">
        <w:rPr>
          <w:rFonts w:ascii="Calibri" w:hAnsi="Calibri" w:cs="Calibri"/>
        </w:rPr>
        <w:t xml:space="preserve"> assessment</w:t>
      </w:r>
      <w:r w:rsidR="00F656FA">
        <w:rPr>
          <w:rFonts w:ascii="Calibri" w:hAnsi="Calibri" w:cs="Calibri"/>
        </w:rPr>
        <w:t xml:space="preserve"> </w:t>
      </w:r>
      <w:r w:rsidR="002F41AB">
        <w:rPr>
          <w:rFonts w:ascii="Calibri" w:hAnsi="Calibri" w:cs="Calibri"/>
        </w:rPr>
        <w:t>enables</w:t>
      </w:r>
      <w:r w:rsidRPr="005457D0">
        <w:rPr>
          <w:rFonts w:ascii="Calibri" w:hAnsi="Calibri" w:cs="Calibri"/>
        </w:rPr>
        <w:t xml:space="preserve"> identification of environmental hotspots, including embodied and operational emissions, resource consumption, and material-related impacts, thereby supporting informed decarbonization and sustainability strategies across the building lifecycle</w:t>
      </w:r>
      <w:r w:rsidR="006411BA">
        <w:rPr>
          <w:rFonts w:ascii="Calibri" w:hAnsi="Calibri" w:cs="Calibri"/>
        </w:rPr>
        <w:t xml:space="preserve"> </w:t>
      </w:r>
      <w:sdt>
        <w:sdtPr>
          <w:rPr>
            <w:rFonts w:ascii="Calibri" w:hAnsi="Calibri" w:cs="Calibri"/>
            <w:color w:val="000000"/>
            <w:vertAlign w:val="superscript"/>
          </w:rPr>
          <w:tag w:val="MENDELEY_CITATION_v3_eyJjaXRhdGlvbklEIjoiTUVOREVMRVlfQ0lUQVRJT05fMmJlMDU4ZDQtNTQ0ZS00MDlmLTk3ODItNzI5YTc4N2Y2OTA5IiwicHJvcGVydGllcyI6eyJub3RlSW5kZXgiOjB9LCJpc0VkaXRlZCI6ZmFsc2UsIm1hbnVhbE92ZXJyaWRlIjp7ImlzTWFudWFsbHlPdmVycmlkZGVuIjpmYWxzZSwiY2l0ZXByb2NUZXh0IjoiKFJldmVsbyBDw6FjZXJlcywgR2FyY2lhLU1hcnRpbmV6IGFuZCBHw7NtZXogZGUgQ8OzemFyLCAyMDIzOyBTYXdhbGthcjxzdXA+MTwvc3VwPiBhbmQgV2F5YWw8c3VwPjI8L3N1cD4sIDIwMjUpIiwibWFudWFsT3ZlcnJpZGVUZXh0IjoiIn0sImNpdGF0aW9uSXRlbXMiOlt7ImlkIjoiYmVmY2MzMTEtNmNjYy0zZTYwLTk3OWUtMmM5MTBlZDhkNjAzIiwiaXRlbURhdGEiOnsidHlwZSI6ImFydGljbGUiLCJpZCI6ImJlZmNjMzExLTZjY2MtM2U2MC05NzllLTJjOTEwZWQ4ZDYwMyIsInRpdGxlIjoiQXNzZXNzaW5nIHRoZSBDYXJib24gRm9vdHByaW50IGFuZCBwcm9wb3NpbmcgbmV0IHplcm8gZW1pc3Npb25zIGluIFVyYmFuIENvbnN0cnVjdGlvbiB1c2luZyBCSU0gVG9vbHMiLCJhdXRob3IiOlt7ImZhbWlseSI6IlNhd2Fsa2FywrkiLCJnaXZlbiI6IllvZ2VzaCBTLiIsInBhcnNlLW5hbWVzIjpmYWxzZSwiZHJvcHBpbmctcGFydGljbGUiOiIiLCJub24tZHJvcHBpbmctcGFydGljbGUiOiIifSx7ImZhbWlseSI6IldheWFswrIiLCJnaXZlbiI6IkFiaGF5a3VtYXIgUy4iLCJwYXJzZS1uYW1lcyI6ZmFsc2UsImRyb3BwaW5nLXBhcnRpY2xlIjoiIiwibm9uLWRyb3BwaW5nLXBhcnRpY2xlIjoiIn1dLCJET0kiOiIxMC4yMTIwMy9ycy4zLnJzLTY5MzU1MjAvdjEiLCJVUkwiOiJodHRwczovL3d3dy5yZXNlYXJjaHNxdWFyZS5jb20vYXJ0aWNsZS9ycy02OTM1NTIwL3YxIiwiaXNzdWVkIjp7ImRhdGUtcGFydHMiOltbMjAyNSw2LDIzXV19LCJhYnN0cmFjdCI6IjxwPlRoZSBjb25zdHJ1Y3Rpb24gaW5kdXN0cnkgc2lnbmlmaWNhbnRseSBjb250cmlidXRlcyB0byBnbG9iYWwgY2FyYm9uIGVtaXNzaW9ucywgYWNjb3VudGluZyBmb3IgbmVhcmx5IDQwJSBvZiBlbmVyZ3ktcmVsYXRlZCBDT+KCgiBlbWlzc2lvbnMuIFRoaXMgc3R1ZHkgZm9jdXNlcyBvbiBhc3Nlc3NpbmcgdGhlIGVtYm9kaWVkIGNhcmJvbiBmb290cHJpbnQgb2YgYSAyNC1zdG9yZXkgY29tbWVyY2lhbCBoaWdoLXJpc2UgaW4gV2FyZCBSLU5vcnRoLCBEYWhpc2FyLCBNdW1iYWksIHVzaW5nIEJ1aWxkaW5nIEluZm9ybWF0aW9uIE1vZGVsaW5nIChCSU0pIHRocm91Z2ggQXV0b2Rlc2sgUmV2aXQgYW5kIExpZmUgQ3ljbGUgQXNzZXNzbWVudCAoTENBKSB2aWEgT3BlbkxDQS4gS2V5IGNvbnN0cnVjdGlvbiBtYXRlcmlhbHMgYW5hbHl6ZWQgaW5jbHVkZSByZWluZm9yY2VtZW50IHN0ZWVsLCBNNTAgYW5kIE03MC1ncmFkZSByZWFkeS1taXggY29uY3JldGUgKFJNQyksIEFBQyBibG9ja3MsIHNodXR0ZXJpbmcgcGx5d29vZCwgd29vZGVuIHBsYXRlcywgYW5kIGJpbmRpbmcgd2lyZXMuIFRoZSB0b3RhbCBlbWJvZGllZCBjYXJib24gZW1pc3Npb25zIGR1cmluZyB0aGUgY29uc3RydWN0aW9uIHBoYXNlIHdlcmUgZXN0aW1hdGVkIGF0IDEyLDM1NS40NCB0b25uZXMgb2YgQ0/igoIgZXF1aXZhbGVudCAodENP4oKCZSksIHdpdGggc3RlZWwgYW5kIE01MC1ncmFkZSBjb25jcmV0ZSBhbG9uZSBjb250cmlidXRpbmcgb3ZlciA4NSUuIFRvIG1pdGlnYXRlIGVtaXNzaW9ucywgdGhlIHN0dWR5IHByb3Bvc2VkIHByYWN0aWNhbCwgZWNvLWZyaWVuZGx5IGFsdGVybmF0aXZlcyBzdWNoIGFzIHJlY3ljbGVkIHN0ZWVsLCBncmVlbiBjb25jcmV0ZSB1c2luZyBmbHkgYXNoIG9yIEdHQlMsIGNlbGx1bGFyIGxpZ2h0d2VpZ2h0IGNvbmNyZXRlIChDTEMpIGJsb2NrcywgRlJQIGJhcnMsIHJldXNhYmxlIG1ldGFsIGZvcm13b3JrLCBhbmQgYmFtYm9vIG9yIHJlY3ljbGVkIHBsYXN0aWMgY29tcG9uZW50cy4gSW1wbGVtZW50aW5nIHRoZXNlIHN1YnN0aXR1dGlvbnMgbGVkIHRvIGEgMjYlIHJlZHVjdGlvbiwgbG93ZXJpbmcgdG90YWwgZW1pc3Npb25zIHRvIDksMTQ2LjUyIHRDT+KCgmUuIFRoZSBzdHVkeSBlbXBoYXNpemVzIHRoZSB0cmFuc2Zvcm1hdGl2ZSBwb3RlbnRpYWwgb2YgQklNLUxDQSBpbnRlZ3JhdGlvbiBpbiBzdXBwb3J0aW5nIGRhdGEtZHJpdmVuIGRlY2lzaW9ucyBmb3Igc3VzdGFpbmFibGUgY29uc3RydWN0aW9uLiBCeSBvcHRpbWl6aW5nIG1hdGVyaWFsIHNlbGVjdGlvbiBhbmQgaW5jb3Jwb3JhdGluZyBsb3ctY2FyYm9uIHN0cmF0ZWdpZXMsIHRoZSBjb25zdHJ1Y3Rpb24gaW5kdXN0cnkgY2FuIGFsaWduIHdpdGggZ2xvYmFsIG5ldC16ZXJvIHRhcmdldHMuIFRoaXMgYXBwcm9hY2ggcHJlc2VudHMgYSByZXBsaWNhYmxlIG1vZGVsIGZvciByZWR1Y2luZyBlbWlzc2lvbnMgaW4gZnV0dXJlIHVyYmFuIGluZnJhc3RydWN0dXJlIHByb2plY3RzIGluIEluZGlhLjwvcD4iLCJjb250YWluZXItdGl0bGUtc2hvcnQiOiIifSwiaXNUZW1wb3JhcnkiOmZhbHNlfSx7ImlkIjoiYjZmNjIzZWItYzI1Zi0zZDQ3LWE5NGItNjNmNzRmNTUxYzcyIiwiaXRlbURhdGEiOnsidHlwZSI6ImFydGljbGUtam91cm5hbCIsImlkIjoiYjZmNjIzZWItYzI1Zi0zZDQ3LWE5NGItNjNmNzRmNTUxYzcyIiwidGl0bGUiOiJVc2Ugb2YgR0lTIGFuZCBCSU0gdG9vbHMgaW4gZGV0ZXJtaW5pbmcgdGhlIGxpZmUgY3ljbGUgaW1wYWN0IG9mIHVyYmFuIHN5c3RlbXMuIENhc2Ugc3R1ZHk6IFJlc2lkZW50aWFsIGJ1aWxkaW5ncyB3aGljaCBhcHBseSB0aGUgRWNvLUVmZmljaWVuY3kgTWF0cml4IGluIHRoZSBjaXR5IG9mIFF1aXRvLCBFY3VhZG9yIiwiYXV0aG9yIjpbeyJmYW1pbHkiOiJSZXZlbG8gQ8OhY2VyZXMiLCJnaXZlbiI6Ik5lbGx5IiwicGFyc2UtbmFtZXMiOmZhbHNlLCJkcm9wcGluZy1wYXJ0aWNsZSI6IiIsIm5vbi1kcm9wcGluZy1wYXJ0aWNsZSI6IiJ9LHsiZmFtaWx5IjoiR2FyY2lhLU1hcnRpbmV6IiwiZ2l2ZW4iOiJBbnRvbmlvIiwicGFyc2UtbmFtZXMiOmZhbHNlLCJkcm9wcGluZy1wYXJ0aWNsZSI6IiIsIm5vbi1kcm9wcGluZy1wYXJ0aWNsZSI6IiJ9LHsiZmFtaWx5IjoiR8OzbWV6IGRlIEPDs3phciIsImdpdmVuIjoiSnVhbiBDYXJsb3MiLCJwYXJzZS1uYW1lcyI6ZmFsc2UsImRyb3BwaW5nLXBhcnRpY2xlIjoiIiwibm9uLWRyb3BwaW5nLXBhcnRpY2xlIjoiIn1dLCJjb250YWluZXItdGl0bGUiOiJKb3VybmFsIG9mIENsZWFuZXIgUHJvZHVjdGlvbiIsImNvbnRhaW5lci10aXRsZS1zaG9ydCI6IkouIENsZWFuLiBQcm9kLiIsIkRPSSI6IjEwLjEwMTYvai5qY2xlcHJvLjIwMjIuMTM1NDg1IiwiSVNTTiI6IjA5NTk2NTI2IiwiaXNzdWVkIjp7ImRhdGUtcGFydHMiOltbMjAyMywxLDEwXV19LCJhYnN0cmFjdCI6Ik9mIHRoZSBudW1lcm91cyBlZmZlY3RzIG9mIGh1bWFuIGFjdGl2aXR5IHdpdGggYSBkaXJlY3QgaW1wYWN0IG9uIGNoYW5nZXMgaW4gdGhlIGVudmlyb25tZW50LCBvbmUgb2YgdGhlIG1haW4gYWN0aXZpdGllcyBpcyBjb25zdHJ1Y3Rpb24sIHdoaWNoIGdlbmVyYXRlcyBhcHByb3hpbWF0ZWx5IDMzJSBvZiBDTzIgZW1pc3Npb25zIGludG8gdGhlIGF0bW9zcGhlcmUgYW5kIGNvbnRyaWJ1dGVzIHRvIGFuIGluY3JlYXNlIGluIGVudmlyb25tZW50YWwgaW1wYWN0LiBBdCBwcmVzZW50LCBpbnRlcmVzdCBpbiByZWR1Y2luZyB0aGVzZSBlbWlzc2lvbnMgaGFzIGxlZCB0byB0aGUgZGV2ZWxvcG1lbnQgb2YgdmFyaW91cyB0b29scyB0byBxdWFudGlmeSwgZXZhbHVhdGUgYW5kIGNvbnRyb2wgZW52aXJvbm1lbnRhbCBpbXBhY3QuIEFtb25nIHRoZSBiZXR0ZXIta25vd24gb25lcywgTGlmZSBDeWNsZSBBbmFseXNpcyAoTENBKSBpcyBmcmVxdWVudGx5IGxpbmtlZCB0byBCSU0gbW9kZWxsaW5nLiBUaGUgY2l0aWVzIGFyZSByZXNwb25zaWJsZSBmb3IgNzUlIG9mIGNhcmJvbiBlbWlzc2lvbnMsIGZvciB0aGF0IHJlYXNvbiwgdGhpcyBwYXBlciBhaW1zIHRvIGFuYWx5c2Ugd2hldGhlciB1cmJhbiBjb25jZW50cmF0aW9uIG9mIGhpZ2gtcmlzZSBibG9ja3MuIFVzaW5nIHRoZSBHSVMgdG9vbCB0byBnZW9ncmFwaGljYWxseSB2aXN1YWxpemUgdGhlIHVyYmFuIHN5c3RlbSBvZiB0aGUgc3R1ZHkgYXJlYSwgdGhlIG1haW4gZGlzcGxhY2VtZW50IHJvdXRlcyB3ZXJlIGxvY2F0ZWQgYWNjb3JkaW5nIHRvIHRoZSB0eXBlcyBvZiB0cmFuc3BvcnQgdXNlZCBhbmQgdGhlIGxvY2F0aW9uIG9mIHR3byBzdHVkeSBzaXRlcyBpbiB0aGUgSHlwZXJjZW50cmUgb2YgUXVpdG8gY29uc2lkZXJlZCBhcyBwb2ludHMgb2Ygb3JpZ2luIGZvciB0aGVzZSB0cmlwcy4gVGhlc2UgZGF0YSB3ZXJlIGVudGVyZWQgaW4gc2V2ZXJhbCB0YWJsZXMgdG8gYXNjZXJ0YWluIHRoZSBvdmVyYWxsIGltcGFjdCBpbiB0aGUgdXNlIHBoYXNlIGF0IGNpdHkgbGV2ZWwuIFRoZSBpbXBhY3Qgb2YgdGhlIGJ1aWxkaW5nIGluIHRoZSBwcm9kdWN0aW9uLCBjb25zdHJ1Y3Rpb24sIGRlLWNvbnN0cnVjdGlvbiBhbmQgcmVjeWNsaW5nIHBoYXNlcyB3YXMgYWRkZWQgYXQgYSBsYXRlciBzdGFnZS4gVGhlIHVzZSBvZiB0aGUgdGhyZWUgdG9vbHMgLSBMQ0EsIEJJTSBhbmQgR0lTIC0gYWxsb3dlZCB1cyB0byBlc3RhYmxpc2ggdGhhdCB0aGUgaGlnaGVzdCBudW1iZXIgb2YgaW1wYWN0cyBvY2N1cnMgaW4gdGhlIHVzZSBwaGFzZSwgZ2l2ZW4gdGhlIGhpZ2ggY29uc3VtcHRpb24gb2Ygb3BlcmF0aW9uYWwgZW5lcmd5LiBGaW5hbGx5LCBpdCB3YXMgY29uY2x1ZGVkIHRoYXQgaW4gUXVpdG8sIGEgY2l0eSBtb2RlbCBjb25jZW50cmF0ZWQgaW4gaGVpZ2h0LCBkaXNwbGF5cyBsZXNzIGVudmlyb25tZW50YWwgaW1wYWN0IGNvbXBhcmVkIHRvIHVuY29udHJvbGxlZCB1cmJhbiBleHRlbnNpb24uIEl0IGlzIHRoZXJlZm9yZSBlc3NlbnRpYWwgdG8gbG9jYWxseSBpbXBsZW1lbnQgdG9vbHMsIHN1Y2ggYXMgdGhlIEVjby1FZmZpY2llbmN5IE1hdHJpeCwgd2hpY2ggY29udHJpYnV0ZSB0byB0aGUgc3VzdGFpbmFibGUgZGV2ZWxvcG1lbnQgb2YgdGhlIGNpdHkuIiwicHVibGlzaGVyIjoiRWxzZXZpZXIgTHRkIiwidm9sdW1lIjoiMzgzIn0sImlzVGVtcG9yYXJ5IjpmYWxzZX1dfQ=="/>
          <w:id w:val="-1349018013"/>
          <w:placeholder>
            <w:docPart w:val="DefaultPlaceholder_-1854013440"/>
          </w:placeholder>
        </w:sdtPr>
        <w:sdtEndPr>
          <w:rPr>
            <w:vertAlign w:val="baseline"/>
          </w:rPr>
        </w:sdtEndPr>
        <w:sdtContent>
          <w:r w:rsidR="005906C7" w:rsidRPr="00015A42">
            <w:rPr>
              <w:rFonts w:ascii="Calibri" w:hAnsi="Calibri" w:cs="Calibri"/>
              <w:color w:val="000000"/>
            </w:rPr>
            <w:t>(Revelo Cáceres, Garcia-Martinez and Gómez de Cózar, 2023; Sawalkar1 and Wayal2, 2025)</w:t>
          </w:r>
        </w:sdtContent>
      </w:sdt>
      <w:r w:rsidR="001B4BBA" w:rsidRPr="0074250F">
        <w:rPr>
          <w:rFonts w:ascii="Calibri" w:hAnsi="Calibri" w:cs="Calibri"/>
        </w:rPr>
        <w:t xml:space="preserve">. </w:t>
      </w:r>
      <w:r w:rsidRPr="005457D0">
        <w:rPr>
          <w:rFonts w:ascii="Calibri" w:hAnsi="Calibri" w:cs="Calibri"/>
        </w:rPr>
        <w:t xml:space="preserve">However, despite the growing relevance of Life Cycle Assessment (LCA), its widespread implementation in India’s construction sector remains limited due to challenges related to data collection, fragmented workflows, limited availability of localized environmental databases, and the absence of </w:t>
      </w:r>
      <w:r w:rsidR="001740F3">
        <w:rPr>
          <w:rFonts w:ascii="Calibri" w:hAnsi="Calibri" w:cs="Calibri"/>
        </w:rPr>
        <w:t>standardized</w:t>
      </w:r>
      <w:r w:rsidRPr="005457D0">
        <w:rPr>
          <w:rFonts w:ascii="Calibri" w:hAnsi="Calibri" w:cs="Calibri"/>
        </w:rPr>
        <w:t xml:space="preserve"> assessment procedures tailored to the Indian context</w:t>
      </w:r>
      <w:r w:rsidR="001740F3">
        <w:rPr>
          <w:rFonts w:ascii="Calibri" w:hAnsi="Calibri" w:cs="Calibri"/>
        </w:rPr>
        <w:t xml:space="preserve"> </w:t>
      </w:r>
      <w:sdt>
        <w:sdtPr>
          <w:rPr>
            <w:rFonts w:ascii="Calibri" w:hAnsi="Calibri" w:cs="Calibri"/>
            <w:color w:val="000000"/>
          </w:rPr>
          <w:tag w:val="MENDELEY_CITATION_v3_eyJjaXRhdGlvbklEIjoiTUVOREVMRVlfQ0lUQVRJT05fNzgzZTY0ZWYtNmZjNi00MTYzLTgyMDAtNzdkMjkxM2ExMmJmIiwicHJvcGVydGllcyI6eyJub3RlSW5kZXgiOjB9LCJpc0VkaXRlZCI6ZmFsc2UsIm1hbnVhbE92ZXJyaWRlIjp7ImlzTWFudWFsbHlPdmVycmlkZGVuIjpmYWxzZSwiY2l0ZXByb2NUZXh0IjoiKEt1cmlhbiA8aT5ldCBhbC48L2k+LCAyMDIxOyBHYW5lc2gsIDIwMjQpIiwibWFudWFsT3ZlcnJpZGVUZXh0IjoiIn0sImNpdGF0aW9uSXRlbXMiOlt7ImlkIjoiNTRjYjgzMmYtZjdhOS0zNDU2LThjZTMtYjM5Yzg1ZDg1OGVkIiwiaXRlbURhdGEiOnsidHlwZSI6ImFydGljbGUtam91cm5hbCIsImlkIjoiNTRjYjgzMmYtZjdhOS0zNDU2LThjZTMtYjM5Yzg1ZDg1OGVkIiwidGl0bGUiOiJFc3RpbWF0aW9uIG9mIGNhcmJvbiBmb290cHJpbnQgb2YgcmVzaWRlbnRpYWwgYnVpbGRpbmcgaW4gd2FybSBodW1pZCBjbGltYXRlIG9mIGluZGlhIHRocm91Z2ggQklNIiwiYXV0aG9yIjpbeyJmYW1pbHkiOiJLdXJpYW4iLCJnaXZlbiI6IlJvc2FsaXlhIiwicGFyc2UtbmFtZXMiOmZhbHNlLCJkcm9wcGluZy1wYXJ0aWNsZSI6IiIsIm5vbi1kcm9wcGluZy1wYXJ0aWNsZSI6IiJ9LHsiZmFtaWx5IjoiS3Vsa2FybmkiLCJnaXZlbiI6Iktpc2hvciBTaXRhcmFtIiwicGFyc2UtbmFtZXMiOmZhbHNlLCJkcm9wcGluZy1wYXJ0aWNsZSI6IiIsIm5vbi1kcm9wcGluZy1wYXJ0aWNsZSI6IiJ9LHsiZmFtaWx5IjoiUmFtYW5pIiwiZ2l2ZW4iOiJQcmFzYW5uYSBWZW5rYXRlc2FuIiwicGFyc2UtbmFtZXMiOmZhbHNlLCJkcm9wcGluZy1wYXJ0aWNsZSI6IiIsIm5vbi1kcm9wcGluZy1wYXJ0aWNsZSI6IiJ9LHsiZmFtaWx5IjoiTWVlbmEiLCJnaXZlbiI6IkNoYW5kYW4gU3dhcm9vcCIsInBhcnNlLW5hbWVzIjpmYWxzZSwiZHJvcHBpbmctcGFydGljbGUiOiIiLCJub24tZHJvcHBpbmctcGFydGljbGUiOiIifSx7ImZhbWlseSI6Ikt1bWFyIiwiZ2l2ZW4iOiJBc2hvayIsInBhcnNlLW5hbWVzIjpmYWxzZSwiZHJvcHBpbmctcGFydGljbGUiOiIiLCJub24tZHJvcHBpbmctcGFydGljbGUiOiIifSx7ImZhbWlseSI6IkNvenpvbGlubyIsImdpdmVuIjoiUmFmZmFlbGxvIiwicGFyc2UtbmFtZXMiOmZhbHNlLCJkcm9wcGluZy1wYXJ0aWNsZSI6IiIsIm5vbi1kcm9wcGluZy1wYXJ0aWNsZSI6IiJ9XSwiY29udGFpbmVyLXRpdGxlIjoiRW5lcmdpZXMiLCJjb250YWluZXItdGl0bGUtc2hvcnQiOiJFbmVyZ2llcyAoQmFzZWwpLiIsIkRPSSI6IjEwLjMzOTAvZW4xNDE0NDIzNyIsIklTU04iOiIxOTk2MTA3MyIsImlzc3VlZCI6eyJkYXRlLXBhcnRzIjpbWzIwMjEsNywyXV19LCJhYnN0cmFjdCI6IkluIHJlY2VudCB5ZWFycyBBc2lhbiBOYXRpb25zIHNob3dlZCBjb25jZXJuIG92ZXIgdGhlIExpZmUgQ3ljbGUgQXNzZXNzbWVudCAoTENBKSBvZiB0aGVpciBjaXZpbCBpbmZyYXN0cnVjdHVyZS4gVGhpcyBzdHVkeSBwcmVzZW50cyBhIGNvbnRleHR1YWwgaW52ZXN0aWdhdGlvbiBvZiBhIHJlc2lkZW50aWFsIGFwYXJ0bWVudCBjb21wbGV4IGluIHRoZSB0ZXJyaXRvcnkgb2YgdGhlIHNvdXRoZXJuIHBhcnQgb2YgSW5kaWEuIFRoZSBMQ0EgaXMgcGVyZm9ybWVkIHRocm91Z2ggQnVpbGRpbmcgSW5mb3JtYXRpb24gTW9kZWxsaW5nIChCSU0pIHNvZnR3YXJlIGVtYmVkZGVkIHdpdGggRW52aXJvbm1lbnRhbCBQcm9kdWN0IERlY2xhcmF0aW9ucyAoRVBEcykgb2YgbWF0ZXJpYWxzIHV0aWxpemVkIGluIGNvbnN0cnVjdGlvbiwgdHJhbnNwb3J0YXRpb24gb2YgbWF0ZXJpYWxzIGFuZCBvcGVyYXRpb25hbCBlbmVyZ3kgdXNlIHRocm91Z2hvdXQgdGhlIGJ1aWxkaW5nIGxpZmVjeWNsZS4gVGhlIHJlc3VsdHMgb2YgdGhlIHN0dWR5IGlsbHVzdHJhdGUgdGhhdCBjZW1lbnQgaXMgdGhlIG1hdGVyaWFsIHRoYXQgbW9zdCBjb250cmlidXRlcyB0byBjYXJib24gZW1pc3Npb25zIGFtb25nIHRoZSBvdGhlciBtYXRlcmlhbHMgbG9va2VkIGF0IGluIHRoaXMgc3R1ZHkuIFRoZSBvcGVyYXRpb25hbCBzdGFnZSBjb250cmlidXRlZCB0aGUgaGlnaGVzdCBhbW91bnQgb2YgY2FyYm9uIGVtaXNzaW9ucy4gVGhpcyBzdHVkeSBlbXBoYXNpemVzIHZhcmlhdGlvbiBpbiB0aGUgTENBIHJlc3VsdHMgYmFzZWQgb24gdGhlIHNlbGVjdGlvbiBvZiBhIGNvbWJpbmF0aW9uIG9mIGRlZmluaXRlIHNvZnR3YXJlLWRhdGFiYXNlIGNvbWJpbmF0aW9ucyBhbmQgbWFudWFsLWRhdGFiYXNlIGNvbXB1dGF0aW9ucyB1c2VkLiBGb3IgdGhpcywgdGhyZWUgTENBIGRhdGFiYXNlcyB3ZXJlIGFkb3B0ZWQgKEdhQmkgZGF0YWJhc2UgYW5kIGVjb2ludmVudCBkYXRhYmFzZXMgdGhyb3VnaCBPbmUgQ2xpY2sgTENBIHNvZnR3YXJlKSwgYW5kIHRoZSBJQ0UgZGF0YWJhc2Ugd2FzIHVzZWQgZm9yIG1hbnVhbCBjYWxjdWxhdGlvbnMuIFRoZSBJQ0UgZGF0YWJhc2Ugc2hvd2VkIHJlYWxpc3RpYyB2YWx1ZSBjb21wYXJpbmcgdGhlIEdhQmkgYW5kIGVjb2ludmVudCBkYXRhYmFzZXMuIFRoZSBmaW5kaW5ncyBvZiB0aGlzIHN0dWR5IGFyZSB2YWx1YWJsZSBmb3IgdGhlIHBvbGljeW1ha2VycyBhbmQgcHJhY3RpdGlvbmVycyB0byBhY2NvbXBsaXNoIG9wdGltaXphdGlvbiBvZiBHcmVlbmhvdXNlIEdhcyAoR0hHKSBlbWlzc2lvbnMgb3ZlciB0aGUgYnVpbGRpbmcgbGlmZSBjeWNsZS4iLCJwdWJsaXNoZXIiOiJNdWx0aWRpc2NpcGxpbmFyeSBEaWdpdGFsIFB1Ymxpc2hpbmcgSW5zdGl0dXRlIChNRFBJKSIsImlzc3VlIjoiMTQiLCJ2b2x1bWUiOiIxNCJ9LCJpc1RlbXBvcmFyeSI6ZmFsc2V9LHsiaWQiOiJiYjVlMWQwOS02OGU1LTNkNjMtOTU0Yy0xZGM5YjE3OGVjZDIiLCJpdGVtRGF0YSI6eyJ0eXBlIjoiYXJ0aWNsZS1qb3VybmFsIiwiaWQiOiJiYjVlMWQwOS02OGU1LTNkNjMtOTU0Yy0xZGM5YjE3OGVjZDIiLCJ0aXRsZSI6IkFuIEFzc2Vzc21lbnQgb2YgUmVzaWRlbnRpYWwgQnVpbGRpbmcgTWF0ZXJpYWxzIEltcGFjdCBvbiBFbnZpcm9ubWVudCBVc2luZyBCSU0gdGhyb3VnaCBhIENhc2UgU3R1ZHkgQXBwcm9hY2giLCJhdXRob3IiOlt7ImZhbWlseSI6IkdhbmVzaCIsImdpdmVuIjoiUC4gU2FpIiwicGFyc2UtbmFtZXMiOmZhbHNlLCJkcm9wcGluZy1wYXJ0aWNsZSI6IiIsIm5vbi1kcm9wcGluZy1wYXJ0aWNsZSI6IiJ9XSwiY29udGFpbmVyLXRpdGxlIjoiSW50ZXJuYXRpb25hbCBKb3VybmFsIGZvciBSZXNlYXJjaCBpbiBBcHBsaWVkIFNjaWVuY2UgYW5kIEVuZ2luZWVyaW5nIFRlY2hub2xvZ3kiLCJjb250YWluZXItdGl0bGUtc2hvcnQiOiJJbnQuIEouIFJlcy4gQXBwbC4gU2NpLiBFbmcuIFRlY2hub2wuIiwiRE9JIjoiMTAuMjIyMTQvaWpyYXNldC4yMDI0LjU4ODA0IiwiaXNzdWVkIjp7ImRhdGUtcGFydHMiOltbMjAyNCwzLDMxXV19LCJwYWdlIjoiMzYyLTM2OSIsImFic3RyYWN0IjoiQWJzdHJhY3Q6IEJ1aWxkaW5nIGNvbnN0cnVjdGlvbiBjYW4gcmVzdWx0IGluIGNhcmJvbiBlbWlzc2lvbnMgdGhhdCBoYXZlIGEgc3Vic3RhbnRpYWwgbmVnYXRpdmUgaW5mbHVlbmNlIG9uIHRoZSBlbnZpcm9ubWVudC4gU3R1ZGllcyBzaG93IHRoYXQgNDAlIG9mIGdsb2JhbCBDbzIgZW1pc3Npb25zIGVhY2ggeWVhciBhcmUgY2F1c2VkIGJ5IHRoZSBidWlsdCBlbnZpcm9ubWVudCBhbmQgQ2VtZW50IGlzIGEgd2lkZWx5IHV0aWxpemVkIGJ1aWxkaW5nIGluZ3JlZGllbnQgaW4gdGhlIGNvbnN0cnVjdGlvbiBpbmR1c3RyeSwgYW4gZXNzZW50aWFsIHBhcnQgb2YgdGhlIGNvbmNyZXRlIG1peC4gQXBwcm94aW1hdGVseSA3ICUgb2YgdGhlIGNhcmJvbiBlbWlzc2lvbnMgaW4gdGhlIHdvcmxkIGFyZSBjYXVzZWQgYnkgY2VtZW50LiBCeSBzdWJzdGl0dXRpbmcgbG93LWVtaXNzaW9uIGFuZCBzdXN0YWluYWJsZSBidWlsZGluZyBtYXRlcmlhbHMgZm9yIHRob3NlIHdpdGggaGlnaGVyIGNhcmJvbiBlbWlzc2lvbnMsIHRoZSBidWlsZGluZydzIGNhcmJvbiBlbWlzc2lvbnMgY2FuIGJlIGRlY3JlYXNlZC4gVXNpbmcgbWF0ZXJpYWxzIHRoYXQgYXJlIGxvbmctbGFzdGluZyBhbmQgaGF2ZSBsb3cgZW1ib2RpZWQgY2FyYm9uIHdoZW4gYXJlIHNvdXJjZWQgZXRoaWNhbGx5LiBSZWR1Y2VkIGNhcmJvbiBlbWlzc2lvbnMgZnJvbSBjb25zdHJ1Y3Rpb24gbWF0ZXJpYWxzIGNhbiBiZSBhY2hpZXZlZCBpbiBsYXJnZSBwYXJ0IGJ5IGVhcmx5IGRlY2lzaW9uIG1ha2luZyBpbiBBRUMgcGhhc2VzLiBJbiB0aGlzIHBhcGVyIGFuIGFzc2Vzc21lbnQgb2YgcmVzaWRlbnRpYWwgYnVpbGRpbmcgbWF0ZXJpYWxzIGltcGFjdCBvbiBlbnZpcm9ubWVudCBpcyBjYXJyaWVkIGJ5IHVzaW5nIEJJTSBhbmQgTENBIHRvb2xzIGFuZCBkaWZmZXJlbmNlIGluIGVtYm9kaWVkIGVuZXJneSBpcyBvYnNlcnZlZCBieSBvcHRpbWl6aW5nIHRoZSBidWlsZGluZyBwbGFuIiwicHVibGlzaGVyIjoiSW50ZXJuYXRpb25hbCBKb3VybmFsIGZvciBSZXNlYXJjaCBpbiBBcHBsaWVkIFNjaWVuY2UgYW5kIEVuZ2luZWVyaW5nIFRlY2hub2xvZ3kgKElKUkFTRVQpIiwiaXNzdWUiOiIzIiwidm9sdW1lIjoiMTIifSwiaXNUZW1wb3JhcnkiOmZhbHNlfV19"/>
          <w:id w:val="23758702"/>
          <w:placeholder>
            <w:docPart w:val="DefaultPlaceholder_-1854013440"/>
          </w:placeholder>
        </w:sdtPr>
        <w:sdtEndPr/>
        <w:sdtContent>
          <w:r w:rsidR="005906C7" w:rsidRPr="005906C7">
            <w:rPr>
              <w:rFonts w:ascii="Calibri" w:eastAsia="Times New Roman" w:hAnsi="Calibri" w:cs="Calibri"/>
              <w:color w:val="000000"/>
            </w:rPr>
            <w:t xml:space="preserve">(Kurian </w:t>
          </w:r>
          <w:r w:rsidR="005906C7" w:rsidRPr="005906C7">
            <w:rPr>
              <w:rFonts w:ascii="Calibri" w:eastAsia="Times New Roman" w:hAnsi="Calibri" w:cs="Calibri"/>
              <w:i/>
              <w:iCs/>
              <w:color w:val="000000"/>
            </w:rPr>
            <w:t>et al.</w:t>
          </w:r>
          <w:r w:rsidR="005906C7" w:rsidRPr="005906C7">
            <w:rPr>
              <w:rFonts w:ascii="Calibri" w:eastAsia="Times New Roman" w:hAnsi="Calibri" w:cs="Calibri"/>
              <w:color w:val="000000"/>
            </w:rPr>
            <w:t>, 2021; Ganesh, 2024)</w:t>
          </w:r>
        </w:sdtContent>
      </w:sdt>
      <w:r w:rsidR="0074250F" w:rsidRPr="0074250F">
        <w:rPr>
          <w:rFonts w:ascii="Calibri" w:hAnsi="Calibri" w:cs="Calibri"/>
        </w:rPr>
        <w:t xml:space="preserve">. </w:t>
      </w:r>
    </w:p>
    <w:p w14:paraId="5AE1C87D" w14:textId="0079AABB" w:rsidR="004E6C0F" w:rsidRDefault="0070271E" w:rsidP="00793595">
      <w:pPr>
        <w:spacing w:after="40" w:line="240" w:lineRule="auto"/>
        <w:ind w:firstLine="360"/>
        <w:jc w:val="both"/>
        <w:rPr>
          <w:rFonts w:ascii="Calibri" w:hAnsi="Calibri" w:cs="Calibri"/>
        </w:rPr>
      </w:pPr>
      <w:r>
        <w:rPr>
          <w:rFonts w:ascii="Calibri" w:hAnsi="Calibri" w:cs="Calibri"/>
        </w:rPr>
        <w:t xml:space="preserve">This calls for the creation of integrated frameworks, such </w:t>
      </w:r>
      <w:r w:rsidR="001E7D59">
        <w:rPr>
          <w:rFonts w:ascii="Calibri" w:hAnsi="Calibri" w:cs="Calibri"/>
        </w:rPr>
        <w:t xml:space="preserve">as </w:t>
      </w:r>
      <w:r>
        <w:rPr>
          <w:rFonts w:ascii="Calibri" w:hAnsi="Calibri" w:cs="Calibri"/>
        </w:rPr>
        <w:t xml:space="preserve">those </w:t>
      </w:r>
      <w:r w:rsidR="00840F2B">
        <w:rPr>
          <w:rFonts w:ascii="Calibri" w:hAnsi="Calibri" w:cs="Calibri"/>
        </w:rPr>
        <w:t xml:space="preserve">combining Life Cycle Assessment and Building Information </w:t>
      </w:r>
      <w:proofErr w:type="spellStart"/>
      <w:r w:rsidR="00F2628C">
        <w:rPr>
          <w:rFonts w:ascii="Calibri" w:hAnsi="Calibri" w:cs="Calibri"/>
        </w:rPr>
        <w:t>Modeling</w:t>
      </w:r>
      <w:proofErr w:type="spellEnd"/>
      <w:r w:rsidR="008E5053">
        <w:rPr>
          <w:rFonts w:ascii="Calibri" w:hAnsi="Calibri" w:cs="Calibri"/>
        </w:rPr>
        <w:t xml:space="preserve"> (BIM)</w:t>
      </w:r>
      <w:r w:rsidR="00840F2B">
        <w:rPr>
          <w:rFonts w:ascii="Calibri" w:hAnsi="Calibri" w:cs="Calibri"/>
        </w:rPr>
        <w:t>, to expedite data collection and analysis and enable</w:t>
      </w:r>
      <w:r>
        <w:rPr>
          <w:rFonts w:ascii="Calibri" w:hAnsi="Calibri" w:cs="Calibri"/>
        </w:rPr>
        <w:t xml:space="preserve"> a more thorough assessment of environmental performance in low-income housing developments in India</w:t>
      </w:r>
      <w:sdt>
        <w:sdtPr>
          <w:rPr>
            <w:rFonts w:ascii="Calibri" w:hAnsi="Calibri" w:cs="Calibri"/>
            <w:color w:val="000000"/>
          </w:rPr>
          <w:tag w:val="MENDELEY_CITATION_v3_eyJjaXRhdGlvbklEIjoiTUVOREVMRVlfQ0lUQVRJT05fOGYzNzY0MGItZmEwMi00OGU0LWE1MTUtZTYyODEyYTcyNzQyIiwicHJvcGVydGllcyI6eyJub3RlSW5kZXgiOjB9LCJpc0VkaXRlZCI6ZmFsc2UsIm1hbnVhbE92ZXJyaWRlIjp7ImlzTWFudWFsbHlPdmVycmlkZGVuIjpmYWxzZSwiY2l0ZXByb2NUZXh0IjoiKE1hcnpvdWssIEF6YWIgYW5kIE1ldGF3aWUsIDIwMTY7IEZvcnRoLCBBYnVhbGRlbmllbiBhbmQgQm9ycm1hbm4sIDIwMjMpIiwibWFudWFsT3ZlcnJpZGVUZXh0IjoiIn0sImNpdGF0aW9uSXRlbXMiOlt7ImlkIjoiNmU2Y2FiNTUtMjQ4YS0zMzk1LWIzYmYtZTljZjRkOThkYmZiIiwiaXRlbURhdGEiOnsidHlwZSI6ImFydGljbGUtam91cm5hbCIsImlkIjoiNmU2Y2FiNTUtMjQ4YS0zMzk1LWIzYmYtZTljZjRkOThkYmZiIiwidGl0bGUiOiJGcmFtZXdvcmsgZm9yIHN1c3RhaW5hYmxlIGxvdy1pbmNvbWUgaG91c2luZyBwcm9qZWN0cyB1c2luZyBidWlsZGluZyBpbmZvcm1hdGlvbiBtb2RlbGluZyIsImF1dGhvciI6W3siZmFtaWx5IjoiTWFyem91ayIsImdpdmVuIjoiTS4iLCJwYXJzZS1uYW1lcyI6ZmFsc2UsImRyb3BwaW5nLXBhcnRpY2xlIjoiIiwibm9uLWRyb3BwaW5nLXBhcnRpY2xlIjoiIn0seyJmYW1pbHkiOiJBemFiIiwiZ2l2ZW4iOiJTLiIsInBhcnNlLW5hbWVzIjpmYWxzZSwiZHJvcHBpbmctcGFydGljbGUiOiIiLCJub24tZHJvcHBpbmctcGFydGljbGUiOiIifSx7ImZhbWlseSI6Ik1ldGF3aWUiLCJnaXZlbiI6Ik0uIiwicGFyc2UtbmFtZXMiOmZhbHNlLCJkcm9wcGluZy1wYXJ0aWNsZSI6IiIsIm5vbi1kcm9wcGluZy1wYXJ0aWNsZSI6IiJ9XSwiY29udGFpbmVyLXRpdGxlIjoiSm91cm5hbCBvZiBFbnZpcm9ubWVudGFsIEluZm9ybWF0aWNzIiwiRE9JIjoiMTAuMzgwOC9qZWkuMjAxNjAwMzMyIiwiSVNTTiI6IjE2ODQ4Nzk5IiwiaXNzdWVkIjp7ImRhdGUtcGFydHMiOltbMjAxNiw5LDFdXX0sInBhZ2UiOiIyNS0zOCIsImFic3RyYWN0IjoiR292ZXJubWVudHMgaW4gZGV2ZWxvcGluZyBjb3VudHJpZXMgc2VydmUgbG93IGluY29tZSBwZW9wbGUgYnkgY29uc3RydWN0aW5nIGxvdyBpbmNvbWUgaG91c2luZyBwcm9qZWN0cy4gTW9zdCBvZiB0b3RhbCBsaWZlIGN5Y2xlIGNvc3QgKExDQykgb2YgdGhlc2UgcHJvamVjdHMgaXMgaW5jdXJyZWQgZHVyaW5nIHRoZSBvcGVyYXRpb25hbCBwaGFzZSwgbWFraW5nIHRoZXNlIHByb2plY3RzIGxvc2UgdGhlaXIgZWNvbm9taWMgYXNwZWN0IG9mIHN1c3RhaW5hYmlsaXR5LiBEZWNyZWFzaW5nIHRoZSBjb3N0IG9mIGxvdyBpbmNvbWUgaG91c2luZyBwcm9qZWN0cyBhbmQgdGFraW5nIGludG8gY29uc2lkZXJhdGlvbiB0aGUgYXZhaWxhYmxlIHJlc291cmNlcyBhcmUgdHdvIGNydS1jaWFsIGZhY2V0cyB0aGF0IHNob3VsZCBiZSB0YWtlbiBpbnRvIGNvbnNpZGVyYXRpb24uIFRoZXJlZm9yZSwgdGhpcyBwYXBlciBmb2N1c2VzIG9uIHR3byBhc3BlY3RzIG9mIHRoZSBzdXN0YWluYWJpbGl0eSBvZiBidWlsZGluZyB0aHJvdWdoIGl0cyBsaWZlIGN5Y2xlLCB3aGljaCBhcmUgZW52aXJvbm1lbnRhbCBhbmQgZWNvbm9taWMgYXNwZWN0cyB1c2luZyBlbnZpcm9ubWVudGFsbHkgZnJpZW5kbHkgbWF0ZXJpYWxzIGluIGNvbnN0cnVjdGlvbi4gVG8gYWNjb21wbGlzaCB0aGlzIGFpbSwgYSBmcmFtZXdvcmsgaXMgZGV2ZWxvcGVkIHRoYXQgaW50ZWdyYXRlcyBCdWlsZGluZyBJbmZvcm1hdGlvbiBNb2RlbGluZyAoQklNKSB3aXRoIGNvbXB1dGVyIHNpbXVsYXRpb24sIG9wdGltaXphdGlvbiBhbmQgc3lzdGVtIGR5bmFtaWNzIGluIExvdyBJbmNvbWUgSG91c2luZyAoTElIKSBwcm9qZWN0cy4gVGhlIGRldmVsb3BlZCBmcmFtZXdvcmsgaGVscHMgaW4gZGV0ZXJtaW5pbmcgTElIIHByb2plY3QgZHVyYXRpb24gYW5kIHNlbGVjdGluZyB0aGUgb3B0aW11bSBhbHRlcm5hdGl2ZSB3aXRoIHRvIG1hdGVyaWFsIHN5c3RlbXMuIFRoZSBzdXN0YWluYWJpbGl0eSBhc3BlY3RzIG9mIGJ1aWxkaW5nIGFyZSBhY2hpZXZlZCBieSBjb25zaWRlcmluZyBhIExDQyBvZiB0aGVzZSBidWlsZGluZ3MgYW5kIHRoZSBudW1iZXIgb2YgcG9pbnRzIHRoYXQgY2FuIGJlIGF3YXJkZWQgdW5kZXIgdGhlIExlYWRlcnNoaXAgaW4gRW5lcmd5IGFuZCBFbnZpcm9ubWVudGFsIERlc2lnbiAoTEVFRCkgcmEtdGluZyBzeXN0ZW0uIEl0IGFpZHMgZ292ZXJubWVudCBhbmQvb3IgY29udHJhY3RvcnMgaW4gYWRvcHRpbmcgQklNIHRlY2hub2xvZ3kgdG8gbWluaW1pemUgbGlmZSBjeWNsZSBjb3N0IHdoaWxlIGFjaGlldmluZyBtYXhpbXVtIExFRUQgbWF0ZXJpYWxzIGNyZWRpdHMgcG9pbnRzIGZvciBMSUggcHJvamVjdHMuIFNvY2lhbCBIb3VzaW5nIHByb2plY3QgaW4gQmFkciBDaXR5LUVneXB0IGlzIGNvbnNpZGVyZWQgYXMgYSBjYXNlIHN0dWR5IHRvIGRlbW9uLXN0cmF0ZSB0aGUgdXNlIG9mIHRoZSBkZXZlbG9wZWQgcHJvdG90eXBlIGFuZCB0byBpbGx1c3RyYXRlIGl0cyBlc3NlbnRpYWwgZmVhdHVyZXMuIFRoZSByZXN1bHRzIGhhdmUgc2hvd24gdGhhdCBzZWxlY3Rpb24gb2Ygc3VzdGFpbmFibGUtYnVpbGRpbmcgbWF0ZXJpYWxzIGZvciB0aGUgY29uc3RydWN0aW9uIGhhcyBhIGNydWNpYWwgcm9sZSBpbiB0aGUgZm9ybWF0aW9uIG9mIGEgc3VzdGFpbmFibGUgYnVpbGRpbmcgYXMgdGhleSBhZmZlY3QgdGhlIHBlcmZvcm1hbmNlIG9mIGJ1aWxkaW5nLiBUaGVyZWZvcmUsIHRoZSBFZ3lwdGlhbiBnb3Zlcm5tZW50IHNob3VsZCBjb25zaWRlciBidWlsZGluZyBtYXRlcmlhbHMgd2l0aCBzdXN0YWluYWJsZSBwcm9wZXJ0aWVzIGFuZCBhIGxvdyBMQ0MgaW4gdGhlIGRlLXNpZ24gcGhhc2UgdG8gbWl0aWdhdGUgdGhlIG5lZ2F0aXZlIGltcGFjdHMgb2YgTElIIHByb2plY3RzLiIsInB1Ymxpc2hlciI6IkludGVybmF0aW9uYWwgU29jaWV0eSBmb3IgRW52aXJvbm1lbnRhbCBJbmZvcm1hdGlvbiBTY2llbmNlcyIsImlzc3VlIjoiMSIsInZvbHVtZSI6IjI4IiwiY29udGFpbmVyLXRpdGxlLXNob3J0IjoiIn0sImlzVGVtcG9yYXJ5IjpmYWxzZX0seyJpZCI6ImE1MDc2ZTcxLTNhMTktMzYzMy1iZDRmLTg1OWIzYjNiZjA5YSIsIml0ZW1EYXRhIjp7InR5cGUiOiJhcnRpY2xlLWpvdXJuYWwiLCJpZCI6ImE1MDc2ZTcxLTNhMTktMzYzMy1iZDRmLTg1OWIzYjNiZjA5YSIsInRpdGxlIjoiQ2FsY3VsYXRpb24gb2YgZW1ib2RpZWQgR0hHIGVtaXNzaW9ucyBpbiBlYXJseSBidWlsZGluZyBkZXNpZ24gc3RhZ2VzIHVzaW5nIEJJTSBhbmQgTkxQLWJhc2VkIHNlbWFudGljIG1vZGVsIGhlYWxpbmciLCJhdXRob3IiOlt7ImZhbWlseSI6IkZvcnRoIiwiZ2l2ZW4iOiJLYXNpbWlyIiwicGFyc2UtbmFtZXMiOmZhbHNlLCJkcm9wcGluZy1wYXJ0aWNsZSI6IiIsIm5vbi1kcm9wcGluZy1wYXJ0aWNsZSI6IiJ9LHsiZmFtaWx5IjoiQWJ1YWxkZW5pZW4iLCJnaXZlbiI6IkppbW15IiwicGFyc2UtbmFtZXMiOmZhbHNlLCJkcm9wcGluZy1wYXJ0aWNsZSI6IiIsIm5vbi1kcm9wcGluZy1wYXJ0aWNsZSI6IiJ9LHsiZmFtaWx5IjoiQm9ycm1hbm4iLCJnaXZlbiI6IkFuZHLDqSIsInBhcnNlLW5hbWVzIjpmYWxzZSwiZHJvcHBpbmctcGFydGljbGUiOiIiLCJub24tZHJvcHBpbmctcGFydGljbGUiOiIifV0sImNvbnRhaW5lci10aXRsZSI6IkVuZXJneSBhbmQgQnVpbGRpbmdzIiwiY29udGFpbmVyLXRpdGxlLXNob3J0IjoiRW5lcmd5IEJ1aWxkLiIsIkRPSSI6IjEwLjEwMTYvai5lbmJ1aWxkLjIwMjMuMTEyODM3IiwiSVNTTiI6IjAzNzg3Nzg4IiwiaXNzdWVkIjp7ImRhdGUtcGFydHMiOltbMjAyMyw0LDFdXX0sImFic3RyYWN0IjoiVG8gcmVhY2ggdGhlIGdvYWxzIG9mIGxpbWl0aW5nIGdsb2JhbCB3YXJtaW5nLCB0aGUgZW1ib2RpZWQgZ3JlZW5ob3VzZSBnYXMgKEdIRykgZW1pc3Npb25zIG9mIG5ldyBidWlsZGluZ3MgbmVlZCB0byBiZSBxdWFudGlmaWVkIGFuZCBvcHRpbWl6ZWQgaW4gdGhlIHZlcnkgZWFybHkgZGVzaWduIHN0YWdlcywgZHVyaW5nIHdoaWNoIGRlc2lnbiBkZWNpc2lvbnMgc2lnbmlmaWNhbnRseSBpbmZsdWVuY2UgdGhlIHN1Y2Nlc3Mgb2YgcHJvamVjdHMgaW4gYWNoaWV2aW5nIHRoZWlyIHBlcmZvcm1hbmNlIGdvYWxzLiBTZW1hbnRpY2FsbHkgcmljaCBidWlsZGluZyBpbmZvcm1hdGlvbiBtb2RlbHMgKEJJTSkgZW5hYmxlIHRvIHBlcmZvcm0gYW4gYXV0b21hdGVkIHF1YW50aXR5IHRha2Utb2ZmIG9mIHRoZSByZWxldmFudCBlbGVtZW50cyBmb3IgY2FsY3VsYXRpbmcgYSB3aG9sZSBidWlsZGluZyBsaWZlIGN5Y2xlIGFzc2Vzc21lbnQgKExDQSkuIEhvd2V2ZXIsIGltcHJlY2lzZSB0eXBlIGFuZCBwcm9wZXJ0eSBpbmZvcm1hdGlvbiBvZnRlbiBmb3VuZCBpbiB0b2RheSdzIEJJTSBwcmFjdGljZSBoaW5kZXJzIGEgc2VhbWxlc3MgcHJvY2Vzc2luZyBmb3IgZG93bnN0cmVhbSBhcHBsaWNhdGlvbnMuIEF0IHRoZSBzYW1lIHRpbWUsIHRoZSBlYXJseSBkZXNpZ24gc3RhZ2VzIGFyZSBjaGFyYWN0ZXJpemVkIGJ5IGhpZ2ggdW5jZXJ0YWludHkgZHVlIHRvIHRoZSBsYWNrIG9mIGluZm9ybWF0aW9uIGFuZCBrbm93bGVkZ2UsIG1ha2luZyBhIGhvbGlzdGljIGFuZCBjb25zaXN0ZW50IExDQSBmb3Igc3VwcG9ydGluZyBkZXNpZ24gZGVjaXNpb25zIGFuZCBvcHRpbWl6aW5nIHBlcmZvcm1hbmNlIGNoYWxsZW5naW5nLiBJbiBhc3Nlc3NpbmcgdGhpcyBvZnRlbiB2YWd1ZSBpbmZvcm1hdGlvbiwgaXQgaXMgZXNzZW50aWFsIHRvIGNvbnNpZGVyIGRpZmZlcmVudCBsZXZlbHMgb2YgZWxlbWVudCBhbmQgbWF0ZXJpYWwgaW5mb3JtYXRpb24gZm9yIG1hdGNoaW5nIEJJTSB0byBMQ0EgZGF0YS4gRm9yIGV4YW1wbGUsIHRoZSBzdHJ1Y3R1cmFsIHByb3BlcnRpZXMgb2YgY29uY3JldGUgYXJlIG5vdCB5ZXQgZGVmaW5lZCBpbiBlYXJseSBkZXNpZ24gc3RhZ2VzIGFuZCBzaG91bGQgaW5zdGVhZCBiZSBjb25zaWRlcmVkIGFzIGEgcmFuZ2Ugb2YgbWF0ZXJpYWwgb3B0aW9ucyBkdWUgdG8gZGlmZmVyZW50IGNvbXByZXNzaXZlIHN0cmVuZ3RoIGNsYXNzZXMuIFRoaXMgcGFwZXIgcHJlc2VudHMgYSBub3ZlbCBtZXRob2RvbG9neSBmb3IgYXV0b21hdGljYWxseSBtYXRjaGluZyB0aGUgY29hcnNlIGluZm9ybWF0aW9uIGF2YWlsYWJsZSBpbiBCSU0gbW9kZWxzIG9mIHRoZSBlYXJseSBkZXNpZ24gc3RhZ2VzIHRvIHRoZSByZXNwZWN0aXZlIGVudHJpZXMgaW4gTENBIGRhdGFiYXNlcyBhcyBhIGJhc2lzIGZvciBhIGZ1bGx5IGF1dG9tYXRlZCBjYWxjdWxhdGlvbiBwcm9jZXNzIG9mIHRoZSBlbWJvZGllZCBHSEcgZW1pc3Npb25zIG9mIG5ldyBidWlsZGluZ3MuIFRoaXMgYXBwcm9hY2ggc29sdmVzIHRoZSBleGlzdGluZyBnYXAgaW4gdGhlIGF1dG9tYXRpb24gcHJvY2VzcyBvZiBtYW51YWxseSBlbnJpY2hpbmcgQklNIG1vZGVscyBhbmQgYWRkaW5nIGluZm9ybWF0aW9uIG9mIExDQSBkYXRhIGFuZCBtaXNzaW5nIGxheWVycyBvZiB2YWd1ZSBtb2RlbHMuIEluIG1vcmUgZGV0YWlsLCB0aGUgcHJvcG9zZWQgbWV0aG9kIGlzIGJhc2VkIG9uIE5hdHVyYWwgTGFuZ3VhZ2UgUHJvY2Vzc2luZyAoTkxQKSwgdXNpbmcgZGlmZmVyZW50IHN0cmF0ZWdpZXMgdG8gaW5jcmVhc2UgcGVyZm9ybWFuY2UgaW4gbWF0Y2hpbmcgZWxlbWVudHMgYW5kIG1hdGVyaWFscyBmcm9tIGEgQklNIG1vZGVsIHRvIGEga25vd2xlZGdlIGRhdGFiYXNlIHRvIGVucmljaCBlbnZpcm9ubWVudGFsIGluZGljYXRvcnMgb2YgY29tbW9ubHkgdXNlZCBlbGVtZW50c+KAmSBtYXRlcmlhbHMuIFRoZSBrbm93bGVkZ2UgZGF0YWJhc2UgY29udGFpbnMgYWxsIG1pc3NpbmcgaW5mb3JtYXRpb24gZm9yIExDQXMgYW5kIGhhcyBkaWZmZXJlbnQgbGV2ZWxzIG9mIGluZm9ybWF0aW9uIGZvciBhIHJhbmdlIG9mIHNldmVyYWwgcG90ZW50aWFsIGRlc2lnbiBvcHRpb25zIG9mIGVsZW1lbnRzIGFuZCBtYXRlcmlhbHMsIGluY2x1ZGluZyB0aGVpciBkZXBlbmRlbmNpZXMuIEFjY29yZGluZ2x5LCB0aGlzIHBhcGVyIGludmVzdGlnYXRlcyBtdWx0aXBsZSBOTFAgdGVjaG5pcXVlcyBhbmQgZXZhbHVhdGVzIHRoZSBwZXJmb3JtYW5jZSBvZiBzdGF0ZS1vZi10aGUtYXJ0IGRlZXAgbGVhcm5pbmcgbW9kZWxzIHN1Y2ggYXMgR2VybWFOZXQsIFNwYUN5LCBvciBCRVJULiBGb2xsb3dpbmcgdGhpcywgdGhlIG1vc3QgcGVyZm9ybWFudCBOTFAgYXBwcm9hY2ggaXMgdXNlZCB0byBwcm92aWRlIGFuIGF1dG9tYXRpYyB3b3JrZmxvdyBmb3IgbWF0Y2hpbmcgSW5kdXN0cnkgRm91bmRhdGlvbiBDbGFzc2VzIChJRkMpIGVsZW1lbnRzIHRvIHRoZSBrbm93bGVkZ2UgZGF0YWJhc2UsIGZhY2lsaXRhdGluZyBhIHNlYW1sZXNzIExDQSBpbiB0aGUgZWFybHkgc3RhZ2VzIG9mIGRlc2lnbi4gRm9yIGZpdmUgZGlmZmVyZW50IGNhc2Ugc3R1ZGllcywgdGhlIHBlcmZvcm1hbmNlcyBvZiB0aGUgcHJvcG9zZWQgbWF0Y2hpbmcgbWV0aG9kIGFyZSBhbmFseXplZC4gRmluYWxseSwgb25lIGNhc2Ugc3R1ZHkgaXMgc2VsZWN0ZWQgdG8gY29tcGFyZSB0aGUgZW1ib2RpZWQgZW1pc3Npb25zIHJlc3VsdHMgdG8gdGhvc2Ugb2YgdGhlIGNvbnZlbnRpb25hbCBwcm9jZXNzLiIsInB1Ymxpc2hlciI6IkVsc2V2aWVyIEx0ZCIsInZvbHVtZSI6IjI4NCJ9LCJpc1RlbXBvcmFyeSI6ZmFsc2V9XX0="/>
          <w:id w:val="2050957555"/>
          <w:placeholder>
            <w:docPart w:val="DefaultPlaceholder_-1854013440"/>
          </w:placeholder>
        </w:sdtPr>
        <w:sdtEndPr/>
        <w:sdtContent>
          <w:r w:rsidR="005906C7" w:rsidRPr="005906C7">
            <w:rPr>
              <w:rFonts w:ascii="Calibri" w:hAnsi="Calibri" w:cs="Calibri"/>
              <w:color w:val="000000"/>
            </w:rPr>
            <w:t>(Marzouk, Azab and Metawie, 2016; Forth, Abualdenien and Borrmann, 2023)</w:t>
          </w:r>
        </w:sdtContent>
      </w:sdt>
      <w:r w:rsidR="0074250F" w:rsidRPr="0074250F">
        <w:rPr>
          <w:rFonts w:ascii="Calibri" w:hAnsi="Calibri" w:cs="Calibri"/>
        </w:rPr>
        <w:t xml:space="preserve">. </w:t>
      </w:r>
      <w:r w:rsidR="001327E6">
        <w:rPr>
          <w:rFonts w:ascii="Calibri" w:hAnsi="Calibri" w:cs="Calibri"/>
        </w:rPr>
        <w:t xml:space="preserve">By immediately incorporating environmental data into the digital building model, this integration enables </w:t>
      </w:r>
      <w:r w:rsidR="000C68B9">
        <w:rPr>
          <w:rFonts w:ascii="Calibri" w:hAnsi="Calibri" w:cs="Calibri"/>
        </w:rPr>
        <w:t>comprehensive analysis and empowers designers to make well-informed decisions about</w:t>
      </w:r>
      <w:r w:rsidR="001327E6">
        <w:rPr>
          <w:rFonts w:ascii="Calibri" w:hAnsi="Calibri" w:cs="Calibri"/>
        </w:rPr>
        <w:t xml:space="preserve"> material alternatives</w:t>
      </w:r>
      <w:r w:rsidR="0046568F">
        <w:rPr>
          <w:rFonts w:ascii="Calibri" w:hAnsi="Calibri" w:cs="Calibri"/>
        </w:rPr>
        <w:t xml:space="preserve"> </w:t>
      </w:r>
      <w:sdt>
        <w:sdtPr>
          <w:rPr>
            <w:rFonts w:ascii="Calibri" w:hAnsi="Calibri" w:cs="Calibri"/>
            <w:color w:val="000000"/>
          </w:rPr>
          <w:tag w:val="MENDELEY_CITATION_v3_eyJjaXRhdGlvbklEIjoiTUVOREVMRVlfQ0lUQVRJT05fMjg5MGIxNGUtYmUzZC00YjJmLTk3N2MtODM4MWEwZDIxNjU2IiwicHJvcGVydGllcyI6eyJub3RlSW5kZXgiOjB9LCJpc0VkaXRlZCI6ZmFsc2UsIm1hbnVhbE92ZXJyaWRlIjp7ImlzTWFudWFsbHlPdmVycmlkZGVuIjpmYWxzZSwiY2l0ZXByb2NUZXh0IjoiKE5hbWFraSA8aT5ldCBhbC48L2k+LCAyMDI0KSIsIm1hbnVhbE92ZXJyaWRlVGV4dCI6IiJ9LCJjaXRhdGlvbkl0ZW1zIjpbeyJpZCI6IjM2NjIwN2IxLTU4ZmYtM2Y1My1hMWZmLTc1MmNjY2ZiNmM4NyIsIml0ZW1EYXRhIjp7InR5cGUiOiJhcnRpY2xlLWpvdXJuYWwiLCJpZCI6IjM2NjIwN2IxLTU4ZmYtM2Y1My1hMWZmLTc1MmNjY2ZiNmM4NyIsInRpdGxlIjoiQW4gSW50ZWdyYXRlZCBCdWlsZGluZyBJbmZvcm1hdGlvbiBNb2RlbGluZyBhbmQgTGlmZS1DeWNsZSBBc3Nlc3NtZW50IEFwcHJvYWNoIHRvIEZhY2lsaXRhdGUgRGVzaWduIERlY2lzaW9ucyBvbiBTdXN0YWluYWJsZSBCdWlsZGluZyBQcm9qZWN0cyBpbiBDYW5hZGEiLCJhdXRob3IiOlt7ImZhbWlseSI6Ik5hbWFraSIsImdpdmVuIjoiUGFyc2EiLCJwYXJzZS1uYW1lcyI6ZmFsc2UsImRyb3BwaW5nLXBhcnRpY2xlIjoiIiwibm9uLWRyb3BwaW5nLXBhcnRpY2xlIjoiIn0seyJmYW1pbHkiOiJWZWdlc25hIiwiZ2l2ZW4iOiJCaGF2eWEgU3JlZSIsInBhcnNlLW5hbWVzIjpmYWxzZSwiZHJvcHBpbmctcGFydGljbGUiOiIiLCJub24tZHJvcHBpbmctcGFydGljbGUiOiIifSx7ImZhbWlseSI6IkJpZ2RlbGxvdSIsImdpdmVuIjoiU2FlaWRlIiwicGFyc2UtbmFtZXMiOmZhbHNlLCJkcm9wcGluZy1wYXJ0aWNsZSI6IiIsIm5vbi1kcm9wcGluZy1wYXJ0aWNsZSI6IiJ9LHsiZmFtaWx5IjoiQ2hlbiIsImdpdmVuIjoiUnVpemhpIiwicGFyc2UtbmFtZXMiOmZhbHNlLCJkcm9wcGluZy1wYXJ0aWNsZSI6IiIsIm5vbi1kcm9wcGluZy1wYXJ0aWNsZSI6IiJ9LHsiZmFtaWx5IjoiQ2hlbiIsImdpdmVuIjoiUWlhbiIsInBhcnNlLW5hbWVzIjpmYWxzZSwiZHJvcHBpbmctcGFydGljbGUiOiIiLCJub24tZHJvcHBpbmctcGFydGljbGUiOiIifV0sImNvbnRhaW5lci10aXRsZSI6IlN1c3RhaW5hYmlsaXR5IChTd2l0emVybGFuZCkgIiwiRE9JIjoiMTAuMzM5MC9zdTE2MTE0NzE4IiwiSVNTTiI6IjIwNzExMDUwIiwiaXNzdWVkIjp7ImRhdGUtcGFydHMiOltbMjAyNCw2LDFdXX0sImFic3RyYWN0IjoiSW4gdGhlIGNvbnRleHQgb2YgdGhlIGRpZ2l0YWwgYW5kIHN1c3RhaW5hYmxlIHRyYW5zZm9ybWF0aW9uIG9mIGJ1aWxkaW5nIHByb2plY3RzLCB0aGUgaW50ZWdyYXRlZCBhcHByb2FjaCBvZiBCdWlsZGluZyBJbmZvcm1hdGlvbiBNb2RlbGluZyAoQklNKSBhbmQgbGlmZS1jeWNsZSBhc3Nlc3NtZW50IChMQ0EpIGhhcyBiZWVuIHdpZGVseSBzdHVkaWVkLiBSZWNlbnQgYWR2YW5jZW1lbnRzIGluIHN1Y2ggaW50ZWdyYXRlZCBtb2RlbGluZyBwcm9jZXNzZXMgYW5kIHRlY2huaXF1ZXMgaGF2ZSBub3QgeWV0IHByb3ZpZGVkIHJlbGlhYmxlIGFuZCByb2J1c3QgZGVjaXNpb24tbWFraW5nIGNhcGFiaWxpdGllcyBmb3IgZGVzaWduZXJzIHRvIGludHVpdGl2ZWx5IGNob29zZSBiZXR3ZWVuIG1hdGVyaWFsIGFsdGVybmF0aXZlcy4gVGhpcyBzdHVkeSBkZXZlbG9wcyBhIG5ldyBkZXNpZ24gZnJhbWV3b3JrIHRoYXQgaW50ZWdyYXRlcyBCSU0sIExDQSwgYW5kIG11bHRpLWNyaXRlcmlhIGRlY2lzaW9uLW1ha2luZyAoTUNETSkgYWxnb3JpdGhtcyB0byBmYWNpbGl0YXRlIHN1c3RhaW5hYmxlIGRlc2lnbiBwcm9jZXNzZXMgaW4gYnVpbGRpbmcgcHJvamVjdHMuIEEgY2FzZSBzdHVkeSB1c2luZyBhIHNpbmdsZS1mYW1pbHkgaG91c2luZyBwcm9qZWN0IGluIHRoZSBCcml0aXNoIENvbHVtYmlhIHByb3ZpbmNlIG9mIENhbmFkYSB3YXMgaW1wbGVtZW50ZWQgdG8gdGVzdCB0aGUgZGVzaWducyB0byBkZW1vbnN0cmF0ZSB0aGUgZWZmZWN0aXZlbmVzcyBvZiB0aGUgcHJvcG9zZWQgaW50ZWdyYXRlZCBmcmFtZXdvcmssIGluY2x1ZGluZyBhIHRocmVlLXdheSBjb21wYXJpc29uIG9mIGRlc2lnbiBzY2VuYXJpb3PigJRjb252ZW50aW9uYWwgaG90LXJvbGwgc3RlZWwsIHJlY3ljbGVkIHN0ZWVsLCBhbmQgdGltYmVyLiBUaGUgcmVzdWx0cyBpbmRpY2F0ZSBhIHNpZ25pZmljYW50IHBlcmZvcm1hbmNlIGltcHJvdmVtZW50IHdpdGggdGhlIGFkb3B0aW9uIG9mIHJlY3ljbGVkIHN0cnVjdHVyYWwgc3RlZWwgbWF0ZXJpYWxzLCBzdXJwYXNzaW5nIGNvbnZlbnRpb25hbCBzdGVlbCBkZXNpZ25zIGFuZCBkZW1vbnN0cmF0aW5nIGEgc2ltaWxhciBwZXJmb3JtYW5jZSB0byB0aGF0IG9mIHRpbWJlciBkZXNpZ25zLiBUaGUgc3R1ZHkgdW5kZXJzY29yZXMgdGhlIGltcG9ydGFuY2Ugb2YgaW5mb3JtZWQgZGVjaXNpb24tbWFraW5nIGluIG1hdGVyaWFsIHNlbGVjdGlvbiwgZHJpdmVuIGJ5IHRoZSBxdWFudGl0YXRpdmUgYW5hbHlzaXMgb2YgZGlnaXRhbCBkZXNpZ25zIGFuZCBtdWx0aS1jcml0ZXJpYSBldmFsdWF0aW9uIChlLmcuLCBzb2NpYWwgY2FyYm9uIGNvc3QpLiBUaGlzIGludGVncmF0ZWQgZnJhbWV3b3JrIG9mZmVycyBhIHZhbHVhYmxlIHRvb2wgZm9yIGRlc2lnbmVycywgZW5naW5lZXJzLCBhbmQgYnVpbGRlcnMgdG8gYWNoaWV2ZSBzdXN0YWluYWJpbGl0eSB3aGVuIGRlc2lnbmluZyBidWlsZGluZyBwcm9qZWN0cyB0aHJvdWdoIHRoZSBzeXN0ZW1hdGljIGFuZCByYXBpZCBjb21wYXJpc29uIG9mIGVudmlyb25tZW50YWwgcGVyZm9ybWFuY2UuIiwicHVibGlzaGVyIjoiTXVsdGlkaXNjaXBsaW5hcnkgRGlnaXRhbCBQdWJsaXNoaW5nIEluc3RpdHV0ZSAoTURQSSkiLCJpc3N1ZSI6IjExIiwidm9sdW1lIjoiMTYiLCJjb250YWluZXItdGl0bGUtc2hvcnQiOiIifSwiaXNUZW1wb3JhcnkiOmZhbHNlfV19"/>
          <w:id w:val="948123716"/>
          <w:placeholder>
            <w:docPart w:val="DefaultPlaceholder_-1854013440"/>
          </w:placeholder>
        </w:sdtPr>
        <w:sdtEndPr/>
        <w:sdtContent>
          <w:r w:rsidR="005906C7" w:rsidRPr="005906C7">
            <w:rPr>
              <w:rFonts w:ascii="Calibri" w:eastAsia="Times New Roman" w:hAnsi="Calibri" w:cs="Calibri"/>
              <w:color w:val="000000"/>
            </w:rPr>
            <w:t xml:space="preserve">(Namaki </w:t>
          </w:r>
          <w:r w:rsidR="005906C7" w:rsidRPr="005906C7">
            <w:rPr>
              <w:rFonts w:ascii="Calibri" w:eastAsia="Times New Roman" w:hAnsi="Calibri" w:cs="Calibri"/>
              <w:i/>
              <w:iCs/>
              <w:color w:val="000000"/>
            </w:rPr>
            <w:t>et al.</w:t>
          </w:r>
          <w:r w:rsidR="005906C7" w:rsidRPr="005906C7">
            <w:rPr>
              <w:rFonts w:ascii="Calibri" w:eastAsia="Times New Roman" w:hAnsi="Calibri" w:cs="Calibri"/>
              <w:color w:val="000000"/>
            </w:rPr>
            <w:t>, 2024)</w:t>
          </w:r>
        </w:sdtContent>
      </w:sdt>
      <w:r w:rsidR="0074250F" w:rsidRPr="0074250F">
        <w:rPr>
          <w:rFonts w:ascii="Calibri" w:hAnsi="Calibri" w:cs="Calibri"/>
        </w:rPr>
        <w:t xml:space="preserve">. </w:t>
      </w:r>
      <w:r w:rsidR="00597A62">
        <w:rPr>
          <w:rFonts w:ascii="Calibri" w:hAnsi="Calibri" w:cs="Calibri"/>
        </w:rPr>
        <w:t xml:space="preserve">By incorporating environmental impact assessments </w:t>
      </w:r>
      <w:r w:rsidR="0044215E">
        <w:rPr>
          <w:rFonts w:ascii="Calibri" w:hAnsi="Calibri" w:cs="Calibri"/>
        </w:rPr>
        <w:t>directly into the user-friendly, approachable BIM platforms, such a framework would eliminate the current reliance</w:t>
      </w:r>
      <w:r w:rsidR="00597A62">
        <w:rPr>
          <w:rFonts w:ascii="Calibri" w:hAnsi="Calibri" w:cs="Calibri"/>
        </w:rPr>
        <w:t xml:space="preserve"> on specialized LCA software and external databases</w:t>
      </w:r>
      <w:r w:rsidR="0046568F">
        <w:rPr>
          <w:rFonts w:ascii="Calibri" w:hAnsi="Calibri" w:cs="Calibri"/>
        </w:rPr>
        <w:t xml:space="preserve"> </w:t>
      </w:r>
      <w:sdt>
        <w:sdtPr>
          <w:rPr>
            <w:rFonts w:ascii="Calibri" w:hAnsi="Calibri" w:cs="Calibri"/>
            <w:color w:val="000000"/>
          </w:rPr>
          <w:tag w:val="MENDELEY_CITATION_v3_eyJjaXRhdGlvbklEIjoiTUVOREVMRVlfQ0lUQVRJT05fN2FjZjkwNTUtYjZiYi00YzVlLTgwMjUtODU3ZDMyMTIxNDk2IiwicHJvcGVydGllcyI6eyJub3RlSW5kZXgiOjB9LCJpc0VkaXRlZCI6ZmFsc2UsIm1hbnVhbE92ZXJyaWRlIjp7ImlzTWFudWFsbHlPdmVycmlkZGVuIjpmYWxzZSwiY2l0ZXByb2NUZXh0IjoiKEd1w616YXIgRGVuYSwgR2FyY8OtYSBIw61wb2xhIGFuZCBGZXJuw6FuZGV6IEJhbmRlcmEsIDIwMjUpIiwibWFudWFsT3ZlcnJpZGVUZXh0IjoiIn0sImNpdGF0aW9uSXRlbXMiOlt7ImlkIjoiMTVmNDM1YzItOWJjNC0zZTAxLThiY2YtMWMzZDQxOTgwYTA5IiwiaXRlbURhdGEiOnsidHlwZSI6InBhcGVyLWNvbmZlcmVuY2UiLCJpZCI6IjE1ZjQzNWMyLTliYzQtM2UwMS04YmNmLTFjM2Q0MTk4MGEwOSIsInRpdGxlIjoiQnVpbGRpbmcgSW5mb3JtYXRpb24gTW9kZWwgKEJJTSkgYW5kIExpZmUgQ3ljbGUgQW5hbHlzaXMgdG9vbHM6IEEgY29tcGFyYXRpdmUgc3R1ZHkgd2l0aCBzcGVjaWFsaXplZCBzb2Z0d2FyZSBmb3IgZW52aXJvbm1lbnRhbCBwZXJmb3JtYW5jZSBvZiBidWlsZGluZ3MiLCJhdXRob3IiOlt7ImZhbWlseSI6Ikd1w616YXIgRGVuYSIsImdpdmVuIjoiQW5kcsOpcyBKb25hdGhhbiIsInBhcnNlLW5hbWVzIjpmYWxzZSwiZHJvcHBpbmctcGFydGljbGUiOiIiLCJub24tZHJvcHBpbmctcGFydGljbGUiOiIifSx7ImZhbWlseSI6IkdhcmPDrWEgSMOtcG9sYSIsImdpdmVuIjoiTWFyw61hIGRlbCBDYXJtZW4iLCJwYXJzZS1uYW1lcyI6ZmFsc2UsImRyb3BwaW5nLXBhcnRpY2xlIjoiIiwibm9uLWRyb3BwaW5nLXBhcnRpY2xlIjoiIn0seyJmYW1pbHkiOiJGZXJuw6FuZGV6IEJhbmRlcmEiLCJnaXZlbiI6IkNhcmxvcyIsInBhcnNlLW5hbWVzIjpmYWxzZSwiZHJvcHBpbmctcGFydGljbGUiOiIiLCJub24tZHJvcHBpbmctcGFydGljbGUiOiIifV0sImNvbnRhaW5lci10aXRsZSI6IlByb2NlZWRpbmdzIG9mIEJ1aWxkaW5nIFNpbXVsYXRpb24gMjAyNTogMTl0aCBDb25mZXJlbmNlIG9mIElCUFNBIiwiRE9JIjoiMTAuMjY4NjgvMjUyMjI3MDguMjAyNS4xMzE2IiwiSVNCTiI6Ijk3ODE3NzUwNTIwNDMiLCJJU1NOIjoiMjUyMjI3MDgiLCJpc3N1ZWQiOnsiZGF0ZS1wYXJ0cyI6W1syMDI1LDExLDI2XV19LCJwdWJsaXNoZXIiOiJJQlBTQSIsInZvbHVtZSI6IjE5IiwiY29udGFpbmVyLXRpdGxlLXNob3J0IjoiIn0sImlzVGVtcG9yYXJ5IjpmYWxzZX1dfQ=="/>
          <w:id w:val="-68508169"/>
          <w:placeholder>
            <w:docPart w:val="DefaultPlaceholder_-1854013440"/>
          </w:placeholder>
        </w:sdtPr>
        <w:sdtEndPr/>
        <w:sdtContent>
          <w:r w:rsidR="005906C7" w:rsidRPr="005906C7">
            <w:rPr>
              <w:rFonts w:ascii="Calibri" w:hAnsi="Calibri" w:cs="Calibri"/>
              <w:color w:val="000000"/>
            </w:rPr>
            <w:t>(Guízar Dena, García Hípola and Fernández Bandera, 2025)</w:t>
          </w:r>
        </w:sdtContent>
      </w:sdt>
      <w:r w:rsidR="0074250F" w:rsidRPr="0074250F">
        <w:rPr>
          <w:rFonts w:ascii="Calibri" w:hAnsi="Calibri" w:cs="Calibri"/>
        </w:rPr>
        <w:t xml:space="preserve">. </w:t>
      </w:r>
      <w:r w:rsidR="0073061A">
        <w:rPr>
          <w:rFonts w:ascii="Calibri" w:hAnsi="Calibri" w:cs="Calibri"/>
        </w:rPr>
        <w:t>This strategy aligns with international efforts to slow climate change, particularly in the Asia-Pacific region, where rapid infrastructure development and urbanization worsen environmental impacts and call for decarbonization of the built environment</w:t>
      </w:r>
      <w:r w:rsidR="0074250F" w:rsidRPr="0074250F">
        <w:rPr>
          <w:rFonts w:ascii="Calibri" w:hAnsi="Calibri" w:cs="Calibri"/>
        </w:rPr>
        <w:t xml:space="preserve">. </w:t>
      </w:r>
      <w:r w:rsidR="004E6C0F">
        <w:rPr>
          <w:rFonts w:ascii="Calibri" w:hAnsi="Calibri" w:cs="Calibri"/>
        </w:rPr>
        <w:t>However</w:t>
      </w:r>
      <w:r w:rsidR="00540296">
        <w:rPr>
          <w:rFonts w:ascii="Calibri" w:hAnsi="Calibri" w:cs="Calibri"/>
        </w:rPr>
        <w:t>, the lack of completely integrated</w:t>
      </w:r>
      <w:r w:rsidR="001E7D59">
        <w:rPr>
          <w:rFonts w:ascii="Calibri" w:hAnsi="Calibri" w:cs="Calibri"/>
        </w:rPr>
        <w:t>,</w:t>
      </w:r>
      <w:r w:rsidR="00540296">
        <w:rPr>
          <w:rFonts w:ascii="Calibri" w:hAnsi="Calibri" w:cs="Calibri"/>
        </w:rPr>
        <w:t xml:space="preserve"> holistic LCA capabilities typically limits the usefulness of such integrated BIM-LCA solutions, often requiring the use of different tools or laborious computational calculations</w:t>
      </w:r>
      <w:r w:rsidR="0046568F">
        <w:rPr>
          <w:rFonts w:ascii="Calibri" w:hAnsi="Calibri" w:cs="Calibri"/>
        </w:rPr>
        <w:t xml:space="preserve"> </w:t>
      </w:r>
      <w:sdt>
        <w:sdtPr>
          <w:rPr>
            <w:rFonts w:ascii="Calibri" w:hAnsi="Calibri" w:cs="Calibri"/>
            <w:color w:val="000000"/>
          </w:rPr>
          <w:tag w:val="MENDELEY_CITATION_v3_eyJjaXRhdGlvbklEIjoiTUVOREVMRVlfQ0lUQVRJT05fMTkxOWZhYjktN2FjZi00N2ZjLWI1NTgtOTYzMjhhZmQzOGY3IiwicHJvcGVydGllcyI6eyJub3RlSW5kZXgiOjB9LCJpc0VkaXRlZCI6ZmFsc2UsIm1hbnVhbE92ZXJyaWRlIjp7ImlzTWFudWFsbHlPdmVycmlkZGVuIjpmYWxzZSwiY2l0ZXByb2NUZXh0IjoiKEFqYXlpLCBPeWVkZWxlIGFuZCBJbG9yaSwgMjAxOSkiLCJtYW51YWxPdmVycmlkZVRleHQiOiIifSwiY2l0YXRpb25JdGVtcyI6W3siaWQiOiIwN2MxMTE4Zi0wOWVmLTNiYjktYWQ2YS1hZDUzZTU4MDI0ZTciLCJpdGVtRGF0YSI6eyJ0eXBlIjoiYXJ0aWNsZS1qb3VybmFsIiwiaWQiOiIwN2MxMTE4Zi0wOWVmLTNiYjktYWQ2YS1hZDUzZTU4MDI0ZTciLCJ0aXRsZSI6IkNoYW5naW5nIHNpZ25pZmljYW5jZSBvZiBlbWJvZGllZCBlbmVyZ3k6IEEgY29tcGFyYXRpdmUgc3R1ZHkgb2YgbWF0ZXJpYWwgc3BlY2lmaWNhdGlvbnMgYW5kIGJ1aWxkaW5nIGVuZXJneSBzb3VyY2VzIiwiYXV0aG9yIjpbeyJmYW1pbHkiOiJBamF5aSIsImdpdmVuIjoiU2FoZWVkIE8uIiwicGFyc2UtbmFtZXMiOmZhbHNlLCJkcm9wcGluZy1wYXJ0aWNsZSI6IiIsIm5vbi1kcm9wcGluZy1wYXJ0aWNsZSI6IiJ9LHsiZmFtaWx5IjoiT3llZGVsZSIsImdpdmVuIjoiTHVrdW1vbiBPLiIsInBhcnNlLW5hbWVzIjpmYWxzZSwiZHJvcHBpbmctcGFydGljbGUiOiIiLCJub24tZHJvcHBpbmctcGFydGljbGUiOiIifSx7ImZhbWlseSI6Iklsb3JpIiwiZ2l2ZW4iOiJPbHVzZWd1biBNLiIsInBhcnNlLW5hbWVzIjpmYWxzZSwiZHJvcHBpbmctcGFydGljbGUiOiIiLCJub24tZHJvcHBpbmctcGFydGljbGUiOiIifV0sImNvbnRhaW5lci10aXRsZSI6IkpvdXJuYWwgb2YgQnVpbGRpbmcgRW5naW5lZXJpbmciLCJET0kiOiIxMC4xMDE2L2ouam9iZS4yMDE5LjAyLjAwOCIsIklTU04iOiIyMzUyNzEwMiIsImlzc3VlZCI6eyJkYXRlLXBhcnRzIjpbWzIwMTksNSwxXV19LCJwYWdlIjoiMzI0LTMzMyIsImFic3RyYWN0IjoiRGVzcGl0ZSB0aGUgaW5jcmVhc2luZyBzaWduaWZpY2FuY2Ugb2YgZW1ib2RpZWQgaW1wYWN0cyBvZiBidWlsZGluZ3MsIGVmZm9ydHMgdG8gcmVkdWNlIHRoZWlyIGVudmlyb25tZW50YWwgZm9vdHByaW50cyBoYXZlIGJlZW4gY29uY2VudHJhdGVkIG9uIHRoZSBvcGVyYXRpb25hbCBpbXBhY3RzIG9mIGJ1aWxkaW5ncy4gVGhpcyBzdHVkeSBpbnZlc3RpZ2F0ZXMgdGhlIGNoYW5naW5nIHNpZ25pZmljYW5jZSBvZiBlbWJvZGllZCBjYXJib24gb3ZlciB0aGUgZW50aXJlIGxpZmUgY3ljbGUgb2Ygd2hvbGUgYnVpbGRpbmdzLiBBIGNhc2Ugc3R1ZHkgb2YgYW4gb2ZmaWNlIGJ1aWxkaW5nIHdhcyBtb2RlbGxlZCB3aXRoIFJldml0LCBhbmQgc2Vuc2l0aXZpdHkgYW5hbHlzZXMgb2YgdGhlIG1vZGVsbGVkIGJ1aWxkaW5nIHdlcmUgcGVyZm9ybWVkIGJ5IHZhcnlpbmcgdGhlIG1hdGVyaWFsIHNwZWNpZmljYXRpb24gYW5kIGVuZXJneSB1c2UgcGF0dGVybiBmb3Igc2V2ZW4gb3RoZXIgdHlwb2xvZ2llcy4gVXNpbmcgUmV2aXQsIEJJTVdBU1RFIHRvb2wsIEFUSEVOQSBJbXBhY3QgRXN0aW1hdG9yIGFuZCBHcmVlbiBCdWlsZGluZyBTdHVkaW8sIGNvbXBhcmF0aXZlIGxpZmUtY3ljbGUgYW5hbHlzZXMgd2VyZSBjYXJyaWVkIG91dCBmb3IgdGhlIGVpZ2h0IGJ1aWxkaW5nIHR5cG9sb2dpZXMuIFRoZSBzdHVkeSBzdWdnZXN0cyB0aGF0IG5vdHdpdGhzdGFuZGluZyB0aGUgZW5vcm1vdXMgaW1wYWN0cyBvZiB0aGUgb3BlcmF0aW9uYWwgc3RhZ2Ugb24gbGlmZS1jeWNsZSBjYXJib24gb2YgZm9zc2lsIGZ1ZWwtYmFzZWQgYnVpbGRpbmdzLCBlbWJvZGllZCBpbXBhY3RzIGNvdWxkIHZhcnkgYmV0d2VlbiA4LjQlIGFuZCAyMi4zJS4gQSBrZXkgZGV0ZXJtaW5hbnQgb2YgdGhlIHByb3BvcnRpb25hbCBpbXBhY3RzIG9mIGVtYm9kaWVkIGVuZXJneSBpcyB0aGUgbmF0dXJlIG9mIG1hdGVyaWFscyB1c2VkIGZvciBidWlsZGluZyBjb25zdHJ1Y3Rpb24uIFNpbWlsYXJseSwgZW1ib2RpZWQgaW1wYWN0cyBvZiBidWlsZGluZ3MgYmVjb21lIG1vcmUgc2lnbmlmaWNhbnQgYW5kIGNvdWxkIGNvbnRyaWJ1dGUgdXAgdG8gNjAlIG9mIHRoZWlyIGxpZmUgY3ljbGUgaW1wYWN0cyBhcyB0aGV5IGJlY29tZSBtb3JlIGVuZXJneS1lZmZpY2llbnQgZHVyaW5nIHRoZWlyIG9wZXJhdGlvbmFsIHN0YWdlLiBBcyB0aGUgc3R1ZHkgY29uZmlybXMgdGhlIHZhcnlpbmcgc2lnbmlmaWNhbmNlIG9mIGVtYm9kaWVkIGVuZXJneSBhcyBjb25zdHJ1Y3Rpb24gbWF0ZXJpYWxzIGFuZCBlbmVyZ3kgdXNlIHBhdHRlcm5zIGNoYW5nZSwgaXQgaW1wbGllcyB0aGUgbmVlZCBmb3IgcG9saWN5IG1lYXN1cmVzIGJhc2VkIG9uIGEgd2hvbGUgbGlmZSBhc3Nlc3NtZW50IG1ldGhvZG9sb2d5LCBpbnN0ZWFkIG9mIHRoZSB1c3VhbCB3YXlzIG9mIGdpdmluZyBzb2xlIGltcG9ydGFuY2UgdG8gdGhlIG9wZXJhdGlvbmFsIGltcGFjdHMgb2YgYnVpbGRpbmdzLiBXaXRoIGJ1aWxkaW5ncyBiZWNvbWluZyBtb3JlIGVuZXJneS1lZmZpY2llbnQgZHVyaW5nIHRoZWlyIG9wZXJhdGlvbmFsIHN0YWdlLCB0aGVyZSBpcyBhbiB1cmdlbnQgbmVlZCBmb3IgYW4gaW5jcmVhc2VkIGZvY3VzIG9uIHRoZSBlbWJvZGllZCBpbXBhY3RzIG9mIGJ1aWxkaW5ncywgZXNwZWNpYWxseSBhcyByZW5ld2FibGUgZW5lcmd5IHJlc291cmNlcyBhcmUgYmVjb21pbmcgd2lkZWx5IGFkb3B0ZWQuIiwicHVibGlzaGVyIjoiRWxzZXZpZXIgTHRkIiwidm9sdW1lIjoiMjMiLCJjb250YWluZXItdGl0bGUtc2hvcnQiOiIifSwiaXNUZW1wb3JhcnkiOmZhbHNlfV19"/>
          <w:id w:val="-1338301597"/>
          <w:placeholder>
            <w:docPart w:val="DefaultPlaceholder_-1854013440"/>
          </w:placeholder>
        </w:sdtPr>
        <w:sdtEndPr/>
        <w:sdtContent>
          <w:r w:rsidR="005906C7" w:rsidRPr="005906C7">
            <w:rPr>
              <w:rFonts w:ascii="Calibri" w:hAnsi="Calibri" w:cs="Calibri"/>
              <w:color w:val="000000"/>
            </w:rPr>
            <w:t>(Ajayi, Oyedele and Ilori, 2019)</w:t>
          </w:r>
        </w:sdtContent>
      </w:sdt>
      <w:r w:rsidR="00227255">
        <w:rPr>
          <w:rFonts w:ascii="Calibri" w:hAnsi="Calibri" w:cs="Calibri"/>
        </w:rPr>
        <w:t xml:space="preserve">. </w:t>
      </w:r>
      <w:r w:rsidR="001E7D59">
        <w:rPr>
          <w:rFonts w:ascii="Calibri" w:hAnsi="Calibri" w:cs="Calibri"/>
        </w:rPr>
        <w:t xml:space="preserve">Despite these obstacles, developments in computer science and data management are enabling the incorporation of environmental indicators directly into construction elements through powerful software tools such as Building Information </w:t>
      </w:r>
      <w:proofErr w:type="spellStart"/>
      <w:r w:rsidR="003A7B61">
        <w:rPr>
          <w:rFonts w:ascii="Calibri" w:hAnsi="Calibri" w:cs="Calibri"/>
        </w:rPr>
        <w:t>Modeling</w:t>
      </w:r>
      <w:proofErr w:type="spellEnd"/>
      <w:r w:rsidR="001E7D59">
        <w:rPr>
          <w:rFonts w:ascii="Calibri" w:hAnsi="Calibri" w:cs="Calibri"/>
        </w:rPr>
        <w:t>, thereby improving the sustainability evaluation of architectural designs</w:t>
      </w:r>
      <w:r w:rsidR="003D7CDA">
        <w:rPr>
          <w:rFonts w:ascii="Calibri" w:hAnsi="Calibri" w:cs="Calibri"/>
        </w:rPr>
        <w:t xml:space="preserve"> </w:t>
      </w:r>
      <w:sdt>
        <w:sdtPr>
          <w:rPr>
            <w:rFonts w:ascii="Calibri" w:hAnsi="Calibri" w:cs="Calibri"/>
            <w:color w:val="000000"/>
          </w:rPr>
          <w:tag w:val="MENDELEY_CITATION_v3_eyJjaXRhdGlvbklEIjoiTUVOREVMRVlfQ0lUQVRJT05fNDJjMDZmZDMtNDZmMi00ZTI4LTg0ZWItOTBkNjc3ZTE0OTVmIiwicHJvcGVydGllcyI6eyJub3RlSW5kZXgiOjB9LCJpc0VkaXRlZCI6ZmFsc2UsIm1hbnVhbE92ZXJyaWRlIjp7ImlzTWFudWFsbHlPdmVycmlkZGVuIjpmYWxzZSwiY2l0ZXByb2NUZXh0IjoiKE1hcnJlcm8gPGk+ZXQgYWwuPC9pPiwgMjAyMCkiLCJtYW51YWxPdmVycmlkZVRleHQiOiIifSwiY2l0YXRpb25JdGVtcyI6W3siaWQiOiI4MThjMTA1NC0xYmYxLTM2NTQtODczNi04NDhiY2YyZmEyODkiLCJpdGVtRGF0YSI6eyJ0eXBlIjoiYXJ0aWNsZSIsImlkIjoiODE4YzEwNTQtMWJmMS0zNjU0LTg3MzYtODQ4YmNmMmZhMjg5IiwidGl0bGUiOiJCSU0tTENBIGludGVncmF0aW9uIGZvciB0aGUgZW52aXJvbm1lbnRhbCBpbXBhY3QgYXNzZXNzbWVudCBvZiB0aGUgdXJiYW5pemF0aW9uIHByb2Nlc3MiLCJhdXRob3IiOlt7ImZhbWlseSI6Ik1hcnJlcm8iLCJnaXZlbiI6Ik1hZGVseW4iLCJwYXJzZS1uYW1lcyI6ZmFsc2UsImRyb3BwaW5nLXBhcnRpY2xlIjoiIiwibm9uLWRyb3BwaW5nLXBhcnRpY2xlIjoiIn0seyJmYW1pbHkiOiJXb2p0YXNpZXdpY3oiLCJnaXZlbiI6Ik1hY2llaiIsInBhcnNlLW5hbWVzIjpmYWxzZSwiZHJvcHBpbmctcGFydGljbGUiOiIiLCJub24tZHJvcHBpbmctcGFydGljbGUiOiIifSx7ImZhbWlseSI6Ik1hcnTDrW5lei1Sb2NhbW9yYSIsImdpdmVuIjoiQWxlamFuZHJvIiwicGFyc2UtbmFtZXMiOmZhbHNlLCJkcm9wcGluZy1wYXJ0aWNsZSI6IiIsIm5vbi1kcm9wcGluZy1wYXJ0aWNsZSI6IiJ9LHsiZmFtaWx5IjoiU29sw61zLUd1em3DoW4iLCJnaXZlbiI6IkphaW1lIiwicGFyc2UtbmFtZXMiOmZhbHNlLCJkcm9wcGluZy1wYXJ0aWNsZSI6IiIsIm5vbi1kcm9wcGluZy1wYXJ0aWNsZSI6IiJ9LHsiZmFtaWx5IjoiQWxiYS1Sb2Ryw61ndWV6IiwiZ2l2ZW4iOiJNLiBEZXNpcsOpZSIsInBhcnNlLW5hbWVzIjpmYWxzZSwiZHJvcHBpbmctcGFydGljbGUiOiIiLCJub24tZHJvcHBpbmctcGFydGljbGUiOiIifV0sImNvbnRhaW5lci10aXRsZSI6IlN1c3RhaW5hYmlsaXR5IChTd2l0emVybGFuZCkiLCJET0kiOiIxMC4zMzkwL3N1MTIxMDQxOTYiLCJJU1NOIjoiMjA3MTEwNTAiLCJpc3N1ZWQiOnsiZGF0ZS1wYXJ0cyI6W1syMDIwLDUsMV1dfSwiYWJzdHJhY3QiOiJUaGUgY29uc3RydWN0aW9uIHNlY3RvciBpcyBvbmUgb2YgdGhlIG1vc3QgcG9sbHV0aW5nIGluZHVzdHJpZXMsIGdlbmVyYXRpbmcgYmV0d2VlbiAzMCUgYW5kIDQwJSBvZiB0aGUgd29ybGR3aWRlIGVudmlyb25tZW50YWwgYnVyZGVuIGluIHRlcm1zIG9mIHJhdyBtYXRlcmlhbHMsIGRpcmVjdCBhbmQgaW5kaXJlY3QgZW5lcmd5IGNvbnN1bXB0aW9uLCB3YXN0ZSwgYW5kIENPMiBlbWlzc2lvbnMuIFJlY2VudCBhZHZhbmNlcyBpbiBjb21wdXRlciBzY2llbmNlIGFuZCBkYXRhIG1hbmFnZW1lbnQgaGF2ZSBmYWNpbGl0YXRlZCB0aGUgZXZhbHVhdGlvbiBvZiBwcmVzZW50IGFuZCBmdXR1cmUgaW1wYWN0cywgdGh1cyBpbXByb3ZpbmcgdGhlIHN1c3RhaW5hYmlsaXR5IG9mIGFyY2hpdGVjdHVyYWwgZGVzaWducy4gUG93ZXJmdWwgc29mdHdhcmUgdG9vbHMsIHN1Y2ggYXMgQnVpbGRpbmcgSW5mb3JtYXRpb24gTW9kZWxsaW5nIChCSU0pLCBhbGxvdyBlbnZpcm9ubWVudGFsIGluZGljYXRvcnMgdG8gYmUgaW5jb3Jwb3JhdGVkIGludG8gdGhlIGNvbnN0cnVjdGlvbiBlbGVtZW50cyB0aGF0IG1ha2UgdXAgdGhlIHByb2plY3QgdG8gZXZhbHVhdGUgaXQgZHVyaW5nIHRoZSBkZXNpZ24gc3RhZ2UuIEluIHRoaXMgd29yaywgdGhlIHN0YXRlIG9mIHRoZSBhcnQgb2YgZWNvbG9naWNhbCBpbmRpY2F0b3IgYXBwbGljYXRpb24gdGhyb3VnaCBCSU0gcGxhdGZvcm1zIGlzIHN0dWRpZWQuIEJhcnJpZXJzIGFuZCB1bmNlcnRhaW50aWVzIGFyZSBhbHNvIGlkZW50aWZpZWQuIFN1YnNlcXVlbnRseSwgYSBtb2RlbCBpcyBwcm9wb3NlZCB0byBldmFsdWF0ZSB0aGUgZW52aXJvbm1lbnRhbCBpbXBhY3Qgb2YgYW4gdXJiYW5pemF0aW9uIHByb2Nlc3Mgb3IgYSBwcm9qZWN0IHRocm91Z2ggc2V2ZXJhbCBlY29sb2dpY2FsIGluZGljYXRvcnMgKGNhcmJvbiBmb290cHJpbnQsIHdhdGVyIGZvb3RwcmludCwgYW5kIGVtYm9kaWVkIGVuZXJneSkuIFRvIHBlcmZvcm0gdGhpcyBhbmFseXNpcywgdGhlIG1vc3QgaW1wb3J0YW50IGFzcGVjdCBpcyB0byBkZXRlcm1pbmUgdGhlIHF1YW50aXRpZXMgb2YgZWFjaCBjb25zdHJ1Y3Rpb24gZWxlbWVudCBhbmQgdGhlaXIgY2xlYXIgZGVjb21wb3NpdGlvbiBpbnRvIHN1YmVsZW1lbnRzLCBzaW5jZSBib3RoIGFzcGVjdHMgYWRkIGNlcnRhaW50eSB0byB0aGUgYW5hbHlzaXMuIEZvciB0aGlzIHB1cnBvc2UsIGNvbnN0cnVjdGlvbiBjb3N0IGRhdGFiYXNlcyBhcmUgYSBnb29kIGluc3RydW1lbnQgZm9yIGludHJvZHVjaW5nIGVudmlyb25tZW50YWwgYXdhcmVuZXNzLiBUaGUgcmVsaWFiaWxpdHkgb2YgTENBIGRhdGEsIHdoaWNoIGNhbiBiZSBvYnRhaW5lZCBmcm9tIGdlbmVyaWMgZGF0YWJhc2VzIG9yIGVjb2xhYmVscyBzdWNoIGFzIGVudmlyb25tZW50YWwgcHJvZHVjdCBkZWNsYXJhdGlvbnMsIGJlY29tZXMgY3J1Y2lhbC4iLCJwdWJsaXNoZXIiOiJNRFBJIiwiaXNzdWUiOiIxMCIsInZvbHVtZSI6IjEyIiwiY29udGFpbmVyLXRpdGxlLXNob3J0IjoiIn0sImlzVGVtcG9yYXJ5IjpmYWxzZX1dfQ=="/>
          <w:id w:val="-1912686504"/>
          <w:placeholder>
            <w:docPart w:val="DefaultPlaceholder_-1854013440"/>
          </w:placeholder>
        </w:sdtPr>
        <w:sdtEndPr/>
        <w:sdtContent>
          <w:r w:rsidR="005906C7" w:rsidRPr="005906C7">
            <w:rPr>
              <w:rFonts w:ascii="Calibri" w:eastAsia="Times New Roman" w:hAnsi="Calibri" w:cs="Calibri"/>
              <w:color w:val="000000"/>
            </w:rPr>
            <w:t xml:space="preserve">(Marrero </w:t>
          </w:r>
          <w:r w:rsidR="005906C7" w:rsidRPr="005906C7">
            <w:rPr>
              <w:rFonts w:ascii="Calibri" w:eastAsia="Times New Roman" w:hAnsi="Calibri" w:cs="Calibri"/>
              <w:i/>
              <w:iCs/>
              <w:color w:val="000000"/>
            </w:rPr>
            <w:t>et al.</w:t>
          </w:r>
          <w:r w:rsidR="005906C7" w:rsidRPr="005906C7">
            <w:rPr>
              <w:rFonts w:ascii="Calibri" w:eastAsia="Times New Roman" w:hAnsi="Calibri" w:cs="Calibri"/>
              <w:color w:val="000000"/>
            </w:rPr>
            <w:t>, 2020)</w:t>
          </w:r>
        </w:sdtContent>
      </w:sdt>
      <w:r w:rsidR="0074250F" w:rsidRPr="0074250F">
        <w:rPr>
          <w:rFonts w:ascii="Calibri" w:hAnsi="Calibri" w:cs="Calibri"/>
        </w:rPr>
        <w:t xml:space="preserve">. </w:t>
      </w:r>
    </w:p>
    <w:p w14:paraId="30A619C7" w14:textId="1D00119D" w:rsidR="0095709E" w:rsidRDefault="003A7B61" w:rsidP="00793595">
      <w:pPr>
        <w:spacing w:after="40" w:line="240" w:lineRule="auto"/>
        <w:ind w:firstLine="360"/>
        <w:jc w:val="both"/>
        <w:rPr>
          <w:rFonts w:ascii="Calibri" w:hAnsi="Calibri" w:cs="Calibri"/>
          <w:lang w:val="en-IN"/>
        </w:rPr>
      </w:pPr>
      <w:r w:rsidRPr="003A7B61">
        <w:rPr>
          <w:rFonts w:ascii="Calibri" w:hAnsi="Calibri" w:cs="Calibri"/>
        </w:rPr>
        <w:t>In this context, the present study aims to bridge the gap between digital construction technologies and sustainability assessment in India’s public housing sector by developing a replicable BIM-LCA-based workflow for sustainability-oriented performance evaluation. The study focuses on demonstrating BIM-LCA integration using a representative PMAY-U G+3 residential block in Lucknow. The proposed framework facilitates automated extraction of material quantities, thermal properties, and environmental indicators to support evidence-based sustainable design and planning. In addition, the study evaluates carbon, energy, water, and material performance indicators</w:t>
      </w:r>
      <w:r>
        <w:rPr>
          <w:rFonts w:ascii="Calibri" w:hAnsi="Calibri" w:cs="Calibri"/>
        </w:rPr>
        <w:t xml:space="preserve"> and benchmarks</w:t>
      </w:r>
      <w:r w:rsidRPr="003A7B61">
        <w:rPr>
          <w:rFonts w:ascii="Calibri" w:hAnsi="Calibri" w:cs="Calibri"/>
        </w:rPr>
        <w:t xml:space="preserve"> the results against selected, applicable criteria from the GRIHA v6 rating system. Through this integrated workflow, the study demonstrates the feasibility of converting BIM-LCA outputs into structured evidence to support decision-making, while highlighting </w:t>
      </w:r>
      <w:r w:rsidR="00F2628C">
        <w:rPr>
          <w:rFonts w:ascii="Calibri" w:hAnsi="Calibri" w:cs="Calibri"/>
        </w:rPr>
        <w:t>limitations in current regional baseline data</w:t>
      </w:r>
      <w:r w:rsidRPr="003A7B61">
        <w:rPr>
          <w:rFonts w:ascii="Calibri" w:hAnsi="Calibri" w:cs="Calibri"/>
        </w:rPr>
        <w:t xml:space="preserve">. By integrating BIM and LCA </w:t>
      </w:r>
      <w:r>
        <w:rPr>
          <w:rFonts w:ascii="Calibri" w:hAnsi="Calibri" w:cs="Calibri"/>
        </w:rPr>
        <w:t>into a unified workflow, the study contributes to data-driven decision support</w:t>
      </w:r>
      <w:r w:rsidRPr="003A7B61">
        <w:rPr>
          <w:rFonts w:ascii="Calibri" w:hAnsi="Calibri" w:cs="Calibri"/>
        </w:rPr>
        <w:t xml:space="preserve"> for lifecycle-based sustainability assessment in rapidly urbanizing regions. The proposed framework demonstrates the potential of digital performance </w:t>
      </w:r>
      <w:proofErr w:type="spellStart"/>
      <w:r w:rsidRPr="003A7B61">
        <w:rPr>
          <w:rFonts w:ascii="Calibri" w:hAnsi="Calibri" w:cs="Calibri"/>
        </w:rPr>
        <w:t>modeling</w:t>
      </w:r>
      <w:proofErr w:type="spellEnd"/>
      <w:r w:rsidRPr="003A7B61">
        <w:rPr>
          <w:rFonts w:ascii="Calibri" w:hAnsi="Calibri" w:cs="Calibri"/>
        </w:rPr>
        <w:t xml:space="preserve"> to support decarbonization strategies, improve environmental accountability, and strengthen sustainability-oriented planning for future public infrastructure development</w:t>
      </w:r>
      <w:r w:rsidR="0095709E" w:rsidRPr="0095709E">
        <w:rPr>
          <w:rFonts w:ascii="Calibri" w:hAnsi="Calibri" w:cs="Calibri"/>
          <w:lang w:val="en-IN"/>
        </w:rPr>
        <w:t>.</w:t>
      </w:r>
    </w:p>
    <w:p w14:paraId="1623A928" w14:textId="77777777" w:rsidR="00552D80" w:rsidRPr="00D6057A" w:rsidRDefault="00552D80" w:rsidP="00BA35DF">
      <w:pPr>
        <w:spacing w:after="40" w:line="240" w:lineRule="auto"/>
        <w:jc w:val="both"/>
        <w:rPr>
          <w:rFonts w:ascii="Calibri" w:hAnsi="Calibri" w:cs="Calibri"/>
        </w:rPr>
      </w:pPr>
    </w:p>
    <w:p w14:paraId="64EA7039" w14:textId="4E532FF4" w:rsidR="00D6057A" w:rsidRDefault="00E250BD" w:rsidP="006E77D5">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METHODOLOGY</w:t>
      </w:r>
    </w:p>
    <w:p w14:paraId="7386C122" w14:textId="1CC92ECA" w:rsidR="007142FC" w:rsidRPr="007142FC" w:rsidRDefault="007142FC" w:rsidP="00793595">
      <w:pPr>
        <w:spacing w:after="40" w:line="240" w:lineRule="auto"/>
        <w:ind w:firstLine="360"/>
        <w:jc w:val="both"/>
        <w:rPr>
          <w:rFonts w:ascii="Calibri" w:hAnsi="Calibri" w:cs="Calibri"/>
        </w:rPr>
      </w:pPr>
      <w:r w:rsidRPr="007142FC">
        <w:rPr>
          <w:rFonts w:ascii="Calibri" w:hAnsi="Calibri" w:cs="Calibri"/>
        </w:rPr>
        <w:t>This study employs an integrated BIM</w:t>
      </w:r>
      <w:r w:rsidR="00E65CD7">
        <w:rPr>
          <w:rFonts w:ascii="Calibri" w:hAnsi="Calibri" w:cs="Calibri"/>
        </w:rPr>
        <w:t>-</w:t>
      </w:r>
      <w:r w:rsidRPr="007142FC">
        <w:rPr>
          <w:rFonts w:ascii="Calibri" w:hAnsi="Calibri" w:cs="Calibri"/>
        </w:rPr>
        <w:t>LCA workflow</w:t>
      </w:r>
      <w:r w:rsidR="00240174">
        <w:rPr>
          <w:rFonts w:ascii="Calibri" w:hAnsi="Calibri" w:cs="Calibri"/>
        </w:rPr>
        <w:t>, coupled with the Green Rating for Integrated Habitat Assessment (GRIHA),</w:t>
      </w:r>
      <w:r w:rsidRPr="007142FC">
        <w:rPr>
          <w:rFonts w:ascii="Calibri" w:hAnsi="Calibri" w:cs="Calibri"/>
        </w:rPr>
        <w:t xml:space="preserve"> </w:t>
      </w:r>
      <w:r w:rsidR="00961925">
        <w:rPr>
          <w:rFonts w:ascii="Calibri" w:hAnsi="Calibri" w:cs="Calibri"/>
        </w:rPr>
        <w:t xml:space="preserve">to assess the sustainability </w:t>
      </w:r>
      <w:r w:rsidRPr="007142FC">
        <w:rPr>
          <w:rFonts w:ascii="Calibri" w:hAnsi="Calibri" w:cs="Calibri"/>
        </w:rPr>
        <w:t>of a representative Pradhan Mantri Awas Yojana</w:t>
      </w:r>
      <w:r>
        <w:rPr>
          <w:rFonts w:ascii="Calibri" w:hAnsi="Calibri" w:cs="Calibri"/>
        </w:rPr>
        <w:t xml:space="preserve"> </w:t>
      </w:r>
      <w:r w:rsidRPr="007142FC">
        <w:rPr>
          <w:rFonts w:ascii="Calibri" w:hAnsi="Calibri" w:cs="Calibri"/>
        </w:rPr>
        <w:t>Urban (PMAY-U) residential block. The proposed workflow is illustrated in</w:t>
      </w:r>
      <w:r>
        <w:rPr>
          <w:rFonts w:ascii="Calibri" w:hAnsi="Calibri" w:cs="Calibri"/>
        </w:rPr>
        <w:t xml:space="preserve"> </w:t>
      </w:r>
      <w:r>
        <w:rPr>
          <w:rFonts w:ascii="Calibri" w:hAnsi="Calibri" w:cs="Calibri"/>
        </w:rPr>
        <w:fldChar w:fldCharType="begin"/>
      </w:r>
      <w:r>
        <w:rPr>
          <w:rFonts w:ascii="Calibri" w:hAnsi="Calibri" w:cs="Calibri"/>
        </w:rPr>
        <w:instrText xml:space="preserve"> REF _Ref229575449 \h </w:instrText>
      </w:r>
      <w:r w:rsidR="00E65CD7">
        <w:rPr>
          <w:rFonts w:ascii="Calibri" w:hAnsi="Calibri" w:cs="Calibri"/>
        </w:rPr>
        <w:instrText xml:space="preserve"> \* MERGEFORMAT </w:instrText>
      </w:r>
      <w:r>
        <w:rPr>
          <w:rFonts w:ascii="Calibri" w:hAnsi="Calibri" w:cs="Calibri"/>
        </w:rPr>
      </w:r>
      <w:r>
        <w:rPr>
          <w:rFonts w:ascii="Calibri" w:hAnsi="Calibri" w:cs="Calibri"/>
        </w:rPr>
        <w:fldChar w:fldCharType="separate"/>
      </w:r>
      <w:r w:rsidRPr="000F4D29">
        <w:rPr>
          <w:rFonts w:ascii="Calibri" w:hAnsi="Calibri" w:cs="Calibri"/>
        </w:rPr>
        <w:t>Figure 1</w:t>
      </w:r>
      <w:r>
        <w:rPr>
          <w:rFonts w:ascii="Calibri" w:hAnsi="Calibri" w:cs="Calibri"/>
        </w:rPr>
        <w:fldChar w:fldCharType="end"/>
      </w:r>
      <w:r>
        <w:rPr>
          <w:rFonts w:ascii="Calibri" w:hAnsi="Calibri" w:cs="Calibri"/>
        </w:rPr>
        <w:t>.</w:t>
      </w:r>
    </w:p>
    <w:p w14:paraId="2DD17E40" w14:textId="77777777" w:rsidR="00FD505D" w:rsidRDefault="00AC7D05" w:rsidP="00793595">
      <w:pPr>
        <w:pStyle w:val="NormalWeb"/>
        <w:keepNext/>
        <w:jc w:val="center"/>
      </w:pPr>
      <w:r w:rsidRPr="00AC7D05">
        <w:rPr>
          <w:noProof/>
        </w:rPr>
        <w:lastRenderedPageBreak/>
        <w:drawing>
          <wp:inline distT="0" distB="0" distL="0" distR="0" wp14:anchorId="66FBE7DC" wp14:editId="7413FDF4">
            <wp:extent cx="5616067" cy="1847099"/>
            <wp:effectExtent l="19050" t="19050" r="22860" b="20320"/>
            <wp:docPr id="8321983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2991" cy="1885555"/>
                    </a:xfrm>
                    <a:prstGeom prst="rect">
                      <a:avLst/>
                    </a:prstGeom>
                    <a:noFill/>
                    <a:ln>
                      <a:solidFill>
                        <a:schemeClr val="tx1"/>
                      </a:solidFill>
                    </a:ln>
                  </pic:spPr>
                </pic:pic>
              </a:graphicData>
            </a:graphic>
          </wp:inline>
        </w:drawing>
      </w:r>
    </w:p>
    <w:p w14:paraId="4F06F2B4" w14:textId="55C45ACE" w:rsidR="00F750EA" w:rsidRPr="00D3118F" w:rsidRDefault="00FD505D" w:rsidP="00D3118F">
      <w:pPr>
        <w:pStyle w:val="Caption"/>
        <w:jc w:val="center"/>
        <w:rPr>
          <w:rFonts w:ascii="Calibri" w:hAnsi="Calibri" w:cs="Calibri"/>
          <w:color w:val="auto"/>
          <w:sz w:val="20"/>
          <w:szCs w:val="20"/>
        </w:rPr>
      </w:pPr>
      <w:bookmarkStart w:id="0" w:name="_Ref229575449"/>
      <w:r w:rsidRPr="0043715A">
        <w:rPr>
          <w:rFonts w:ascii="Calibri" w:hAnsi="Calibri" w:cs="Calibri"/>
          <w:color w:val="auto"/>
          <w:sz w:val="20"/>
          <w:szCs w:val="20"/>
        </w:rPr>
        <w:t xml:space="preserve">Figure </w:t>
      </w:r>
      <w:r w:rsidRPr="0043715A">
        <w:rPr>
          <w:rFonts w:ascii="Calibri" w:hAnsi="Calibri" w:cs="Calibri"/>
          <w:color w:val="auto"/>
          <w:sz w:val="20"/>
          <w:szCs w:val="20"/>
        </w:rPr>
        <w:fldChar w:fldCharType="begin"/>
      </w:r>
      <w:r w:rsidRPr="0043715A">
        <w:rPr>
          <w:rFonts w:ascii="Calibri" w:hAnsi="Calibri" w:cs="Calibri"/>
          <w:color w:val="auto"/>
          <w:sz w:val="20"/>
          <w:szCs w:val="20"/>
        </w:rPr>
        <w:instrText xml:space="preserve"> SEQ Figure \* ARABIC </w:instrText>
      </w:r>
      <w:r w:rsidRPr="0043715A">
        <w:rPr>
          <w:rFonts w:ascii="Calibri" w:hAnsi="Calibri" w:cs="Calibri"/>
          <w:color w:val="auto"/>
          <w:sz w:val="20"/>
          <w:szCs w:val="20"/>
        </w:rPr>
        <w:fldChar w:fldCharType="separate"/>
      </w:r>
      <w:r w:rsidR="00047459">
        <w:rPr>
          <w:rFonts w:ascii="Calibri" w:hAnsi="Calibri" w:cs="Calibri"/>
          <w:noProof/>
          <w:color w:val="auto"/>
          <w:sz w:val="20"/>
          <w:szCs w:val="20"/>
        </w:rPr>
        <w:t>1</w:t>
      </w:r>
      <w:r w:rsidRPr="0043715A">
        <w:rPr>
          <w:rFonts w:ascii="Calibri" w:hAnsi="Calibri" w:cs="Calibri"/>
          <w:color w:val="auto"/>
          <w:sz w:val="20"/>
          <w:szCs w:val="20"/>
        </w:rPr>
        <w:fldChar w:fldCharType="end"/>
      </w:r>
      <w:bookmarkEnd w:id="0"/>
      <w:r w:rsidRPr="0043715A">
        <w:rPr>
          <w:rFonts w:ascii="Calibri" w:hAnsi="Calibri" w:cs="Calibri"/>
          <w:color w:val="auto"/>
          <w:sz w:val="20"/>
          <w:szCs w:val="20"/>
        </w:rPr>
        <w:t>: Proposed BIM–LCA–GRIHA workflow for sustainability assessment of PMAY-U residential buildings.</w:t>
      </w:r>
    </w:p>
    <w:p w14:paraId="7A899DE9" w14:textId="67F0D87B" w:rsidR="00D6057A" w:rsidRPr="00D6057A" w:rsidRDefault="0061661F" w:rsidP="006E77D5">
      <w:pPr>
        <w:spacing w:after="40" w:line="240" w:lineRule="auto"/>
        <w:rPr>
          <w:rFonts w:ascii="Calibri" w:hAnsi="Calibri" w:cs="Calibri"/>
          <w:b/>
          <w:bCs/>
          <w:sz w:val="24"/>
          <w:szCs w:val="24"/>
        </w:rPr>
      </w:pPr>
      <w:r>
        <w:rPr>
          <w:rFonts w:ascii="Calibri" w:hAnsi="Calibri" w:cs="Calibri"/>
          <w:b/>
          <w:bCs/>
          <w:sz w:val="24"/>
          <w:szCs w:val="24"/>
        </w:rPr>
        <w:t xml:space="preserve">Phase 1: BIM </w:t>
      </w:r>
      <w:r w:rsidR="00BE72EE">
        <w:rPr>
          <w:rFonts w:ascii="Calibri" w:hAnsi="Calibri" w:cs="Calibri"/>
          <w:b/>
          <w:bCs/>
          <w:sz w:val="24"/>
          <w:szCs w:val="24"/>
        </w:rPr>
        <w:t>Model</w:t>
      </w:r>
      <w:r>
        <w:rPr>
          <w:rFonts w:ascii="Calibri" w:hAnsi="Calibri" w:cs="Calibri"/>
          <w:b/>
          <w:bCs/>
          <w:sz w:val="24"/>
          <w:szCs w:val="24"/>
        </w:rPr>
        <w:t xml:space="preserve"> Development</w:t>
      </w:r>
    </w:p>
    <w:p w14:paraId="5978881A" w14:textId="36E68347" w:rsidR="00E25709" w:rsidRDefault="00E25709" w:rsidP="00793595">
      <w:pPr>
        <w:pStyle w:val="Caption"/>
        <w:keepNext/>
        <w:ind w:firstLine="720"/>
        <w:jc w:val="both"/>
        <w:rPr>
          <w:rFonts w:ascii="Calibri" w:hAnsi="Calibri" w:cs="Calibri"/>
          <w:i w:val="0"/>
          <w:iCs w:val="0"/>
          <w:color w:val="auto"/>
          <w:sz w:val="22"/>
          <w:szCs w:val="22"/>
        </w:rPr>
      </w:pPr>
      <w:bookmarkStart w:id="1" w:name="_Ref229575687"/>
      <w:r w:rsidRPr="00E25709">
        <w:rPr>
          <w:rFonts w:ascii="Calibri" w:hAnsi="Calibri" w:cs="Calibri"/>
          <w:i w:val="0"/>
          <w:iCs w:val="0"/>
          <w:color w:val="auto"/>
          <w:sz w:val="22"/>
          <w:szCs w:val="22"/>
        </w:rPr>
        <w:t>A G+3 residential block from the PMAY-U housing scheme at Sharda Nagar Extension, Lucknow, Uttar Pradesh, was selected as the representative case study. The scheme comprises 47 structurally identical blocks</w:t>
      </w:r>
      <w:r>
        <w:rPr>
          <w:rFonts w:ascii="Calibri" w:hAnsi="Calibri" w:cs="Calibri"/>
          <w:i w:val="0"/>
          <w:iCs w:val="0"/>
          <w:color w:val="auto"/>
          <w:sz w:val="22"/>
          <w:szCs w:val="22"/>
        </w:rPr>
        <w:t xml:space="preserve">; a single representative block was </w:t>
      </w:r>
      <w:proofErr w:type="spellStart"/>
      <w:r w:rsidR="00734906">
        <w:rPr>
          <w:rFonts w:ascii="Calibri" w:hAnsi="Calibri" w:cs="Calibri"/>
          <w:i w:val="0"/>
          <w:iCs w:val="0"/>
          <w:color w:val="auto"/>
          <w:sz w:val="22"/>
          <w:szCs w:val="22"/>
        </w:rPr>
        <w:t>modeled</w:t>
      </w:r>
      <w:proofErr w:type="spellEnd"/>
      <w:r>
        <w:rPr>
          <w:rFonts w:ascii="Calibri" w:hAnsi="Calibri" w:cs="Calibri"/>
          <w:i w:val="0"/>
          <w:iCs w:val="0"/>
          <w:color w:val="auto"/>
          <w:sz w:val="22"/>
          <w:szCs w:val="22"/>
        </w:rPr>
        <w:t xml:space="preserve"> and </w:t>
      </w:r>
      <w:proofErr w:type="spellStart"/>
      <w:r w:rsidR="00C7591C">
        <w:rPr>
          <w:rFonts w:ascii="Calibri" w:hAnsi="Calibri" w:cs="Calibri"/>
          <w:i w:val="0"/>
          <w:iCs w:val="0"/>
          <w:color w:val="auto"/>
          <w:sz w:val="22"/>
          <w:szCs w:val="22"/>
        </w:rPr>
        <w:t>analyzed</w:t>
      </w:r>
      <w:proofErr w:type="spellEnd"/>
      <w:r w:rsidR="00C7591C">
        <w:rPr>
          <w:rFonts w:ascii="Calibri" w:hAnsi="Calibri" w:cs="Calibri"/>
          <w:i w:val="0"/>
          <w:iCs w:val="0"/>
          <w:color w:val="auto"/>
          <w:sz w:val="22"/>
          <w:szCs w:val="22"/>
        </w:rPr>
        <w:t xml:space="preserve"> to enable the normalization</w:t>
      </w:r>
      <w:r w:rsidR="00883FD7">
        <w:rPr>
          <w:rFonts w:ascii="Calibri" w:hAnsi="Calibri" w:cs="Calibri"/>
          <w:i w:val="0"/>
          <w:iCs w:val="0"/>
          <w:color w:val="auto"/>
          <w:sz w:val="22"/>
          <w:szCs w:val="22"/>
        </w:rPr>
        <w:t xml:space="preserve"> of results</w:t>
      </w:r>
      <w:r w:rsidRPr="00E25709">
        <w:rPr>
          <w:rFonts w:ascii="Calibri" w:hAnsi="Calibri" w:cs="Calibri"/>
          <w:i w:val="0"/>
          <w:iCs w:val="0"/>
          <w:color w:val="auto"/>
          <w:sz w:val="22"/>
          <w:szCs w:val="22"/>
        </w:rPr>
        <w:t>, inter-block replicability, and policy-level interpretation applicable to large-scale affordable housing deployments.</w:t>
      </w:r>
      <w:r>
        <w:rPr>
          <w:rFonts w:ascii="Calibri" w:hAnsi="Calibri" w:cs="Calibri"/>
          <w:i w:val="0"/>
          <w:iCs w:val="0"/>
          <w:color w:val="auto"/>
          <w:sz w:val="22"/>
          <w:szCs w:val="22"/>
        </w:rPr>
        <w:t xml:space="preserve"> </w:t>
      </w:r>
      <w:r w:rsidRPr="00E25709">
        <w:rPr>
          <w:rFonts w:ascii="Calibri" w:hAnsi="Calibri" w:cs="Calibri"/>
          <w:i w:val="0"/>
          <w:iCs w:val="0"/>
          <w:color w:val="auto"/>
          <w:sz w:val="22"/>
          <w:szCs w:val="22"/>
        </w:rPr>
        <w:t xml:space="preserve">The principal project characteristics are summarised in </w:t>
      </w:r>
      <w:r>
        <w:rPr>
          <w:rFonts w:ascii="Calibri" w:hAnsi="Calibri" w:cs="Calibri"/>
          <w:i w:val="0"/>
          <w:iCs w:val="0"/>
          <w:color w:val="auto"/>
          <w:sz w:val="22"/>
          <w:szCs w:val="22"/>
        </w:rPr>
        <w:fldChar w:fldCharType="begin"/>
      </w:r>
      <w:r>
        <w:rPr>
          <w:rFonts w:ascii="Calibri" w:hAnsi="Calibri" w:cs="Calibri"/>
          <w:i w:val="0"/>
          <w:iCs w:val="0"/>
          <w:color w:val="auto"/>
          <w:sz w:val="22"/>
          <w:szCs w:val="22"/>
        </w:rPr>
        <w:instrText xml:space="preserve"> REF _Ref230249815 \h </w:instrText>
      </w:r>
      <w:r>
        <w:rPr>
          <w:rFonts w:ascii="Calibri" w:hAnsi="Calibri" w:cs="Calibri"/>
          <w:i w:val="0"/>
          <w:iCs w:val="0"/>
          <w:color w:val="auto"/>
          <w:sz w:val="22"/>
          <w:szCs w:val="22"/>
        </w:rPr>
      </w:r>
      <w:r>
        <w:rPr>
          <w:rFonts w:ascii="Calibri" w:hAnsi="Calibri" w:cs="Calibri"/>
          <w:i w:val="0"/>
          <w:iCs w:val="0"/>
          <w:color w:val="auto"/>
          <w:sz w:val="22"/>
          <w:szCs w:val="22"/>
        </w:rPr>
        <w:fldChar w:fldCharType="separate"/>
      </w:r>
      <w:r w:rsidRPr="00FE633A">
        <w:rPr>
          <w:rFonts w:ascii="Calibri" w:hAnsi="Calibri" w:cs="Calibri"/>
          <w:color w:val="auto"/>
          <w:sz w:val="20"/>
          <w:szCs w:val="20"/>
        </w:rPr>
        <w:t xml:space="preserve">Table </w:t>
      </w:r>
      <w:r>
        <w:rPr>
          <w:rFonts w:ascii="Calibri" w:hAnsi="Calibri" w:cs="Calibri"/>
          <w:noProof/>
          <w:color w:val="auto"/>
          <w:sz w:val="20"/>
          <w:szCs w:val="20"/>
        </w:rPr>
        <w:t>1</w:t>
      </w:r>
      <w:r>
        <w:rPr>
          <w:rFonts w:ascii="Calibri" w:hAnsi="Calibri" w:cs="Calibri"/>
          <w:i w:val="0"/>
          <w:iCs w:val="0"/>
          <w:color w:val="auto"/>
          <w:sz w:val="22"/>
          <w:szCs w:val="22"/>
        </w:rPr>
        <w:fldChar w:fldCharType="end"/>
      </w:r>
      <w:r w:rsidR="0037555C">
        <w:rPr>
          <w:rFonts w:ascii="Calibri" w:hAnsi="Calibri" w:cs="Calibri"/>
          <w:i w:val="0"/>
          <w:iCs w:val="0"/>
          <w:color w:val="auto"/>
          <w:sz w:val="22"/>
          <w:szCs w:val="22"/>
        </w:rPr>
        <w:t>.</w:t>
      </w:r>
    </w:p>
    <w:p w14:paraId="2DCB70DC" w14:textId="7291ABCB" w:rsidR="00FE633A" w:rsidRPr="00FE633A" w:rsidRDefault="00FE633A" w:rsidP="00E25709">
      <w:pPr>
        <w:pStyle w:val="Caption"/>
        <w:keepNext/>
        <w:jc w:val="center"/>
        <w:rPr>
          <w:rFonts w:ascii="Calibri" w:hAnsi="Calibri" w:cs="Calibri"/>
          <w:color w:val="auto"/>
          <w:sz w:val="20"/>
          <w:szCs w:val="20"/>
        </w:rPr>
      </w:pPr>
      <w:bookmarkStart w:id="2" w:name="_Ref230249815"/>
      <w:r w:rsidRPr="00FE633A">
        <w:rPr>
          <w:rFonts w:ascii="Calibri" w:hAnsi="Calibri" w:cs="Calibri"/>
          <w:color w:val="auto"/>
          <w:sz w:val="20"/>
          <w:szCs w:val="20"/>
        </w:rPr>
        <w:t xml:space="preserve">Table </w:t>
      </w:r>
      <w:r w:rsidRPr="00FE633A">
        <w:rPr>
          <w:rFonts w:ascii="Calibri" w:hAnsi="Calibri" w:cs="Calibri"/>
          <w:color w:val="auto"/>
          <w:sz w:val="20"/>
          <w:szCs w:val="20"/>
        </w:rPr>
        <w:fldChar w:fldCharType="begin"/>
      </w:r>
      <w:r w:rsidRPr="00FE633A">
        <w:rPr>
          <w:rFonts w:ascii="Calibri" w:hAnsi="Calibri" w:cs="Calibri"/>
          <w:color w:val="auto"/>
          <w:sz w:val="20"/>
          <w:szCs w:val="20"/>
        </w:rPr>
        <w:instrText xml:space="preserve"> SEQ Table \* ARABIC </w:instrText>
      </w:r>
      <w:r w:rsidRPr="00FE633A">
        <w:rPr>
          <w:rFonts w:ascii="Calibri" w:hAnsi="Calibri" w:cs="Calibri"/>
          <w:color w:val="auto"/>
          <w:sz w:val="20"/>
          <w:szCs w:val="20"/>
        </w:rPr>
        <w:fldChar w:fldCharType="separate"/>
      </w:r>
      <w:r w:rsidR="00CE3431">
        <w:rPr>
          <w:rFonts w:ascii="Calibri" w:hAnsi="Calibri" w:cs="Calibri"/>
          <w:noProof/>
          <w:color w:val="auto"/>
          <w:sz w:val="20"/>
          <w:szCs w:val="20"/>
        </w:rPr>
        <w:t>1</w:t>
      </w:r>
      <w:r w:rsidRPr="00FE633A">
        <w:rPr>
          <w:rFonts w:ascii="Calibri" w:hAnsi="Calibri" w:cs="Calibri"/>
          <w:color w:val="auto"/>
          <w:sz w:val="20"/>
          <w:szCs w:val="20"/>
        </w:rPr>
        <w:fldChar w:fldCharType="end"/>
      </w:r>
      <w:bookmarkEnd w:id="1"/>
      <w:bookmarkEnd w:id="2"/>
      <w:r w:rsidRPr="00FE633A">
        <w:rPr>
          <w:rFonts w:ascii="Calibri" w:hAnsi="Calibri" w:cs="Calibri"/>
          <w:color w:val="auto"/>
          <w:sz w:val="20"/>
          <w:szCs w:val="20"/>
        </w:rPr>
        <w:t>: Project Characteristics of PMAY-U Case Study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6441"/>
      </w:tblGrid>
      <w:tr w:rsidR="002D08D9" w:rsidRPr="005306E1" w14:paraId="18B54805" w14:textId="77777777" w:rsidTr="005306E1">
        <w:trPr>
          <w:jc w:val="center"/>
        </w:trPr>
        <w:tc>
          <w:tcPr>
            <w:tcW w:w="0" w:type="auto"/>
            <w:tcBorders>
              <w:top w:val="single" w:sz="4" w:space="0" w:color="auto"/>
              <w:bottom w:val="single" w:sz="4" w:space="0" w:color="auto"/>
            </w:tcBorders>
            <w:hideMark/>
          </w:tcPr>
          <w:p w14:paraId="6AFD054C"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Parameter</w:t>
            </w:r>
          </w:p>
        </w:tc>
        <w:tc>
          <w:tcPr>
            <w:tcW w:w="0" w:type="auto"/>
            <w:tcBorders>
              <w:top w:val="single" w:sz="4" w:space="0" w:color="auto"/>
              <w:bottom w:val="single" w:sz="4" w:space="0" w:color="auto"/>
            </w:tcBorders>
            <w:hideMark/>
          </w:tcPr>
          <w:p w14:paraId="07C12BAD"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Details</w:t>
            </w:r>
          </w:p>
        </w:tc>
      </w:tr>
      <w:tr w:rsidR="002D08D9" w:rsidRPr="005306E1" w14:paraId="7F2DA7D0" w14:textId="77777777" w:rsidTr="005306E1">
        <w:trPr>
          <w:jc w:val="center"/>
        </w:trPr>
        <w:tc>
          <w:tcPr>
            <w:tcW w:w="0" w:type="auto"/>
            <w:tcBorders>
              <w:top w:val="single" w:sz="4" w:space="0" w:color="auto"/>
            </w:tcBorders>
            <w:hideMark/>
          </w:tcPr>
          <w:p w14:paraId="7D9895D2"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Project Name</w:t>
            </w:r>
          </w:p>
        </w:tc>
        <w:tc>
          <w:tcPr>
            <w:tcW w:w="0" w:type="auto"/>
            <w:tcBorders>
              <w:top w:val="single" w:sz="4" w:space="0" w:color="auto"/>
            </w:tcBorders>
            <w:hideMark/>
          </w:tcPr>
          <w:p w14:paraId="61B8875B"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Pradhan Mantri Awas Yojana – 2256 EWS Houses in Sharda Nagar Extension</w:t>
            </w:r>
          </w:p>
        </w:tc>
      </w:tr>
      <w:tr w:rsidR="002D08D9" w:rsidRPr="005306E1" w14:paraId="2BCC0979" w14:textId="77777777" w:rsidTr="005306E1">
        <w:trPr>
          <w:trHeight w:val="363"/>
          <w:jc w:val="center"/>
        </w:trPr>
        <w:tc>
          <w:tcPr>
            <w:tcW w:w="0" w:type="auto"/>
            <w:hideMark/>
          </w:tcPr>
          <w:p w14:paraId="158BDD23"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Location</w:t>
            </w:r>
          </w:p>
        </w:tc>
        <w:tc>
          <w:tcPr>
            <w:tcW w:w="0" w:type="auto"/>
            <w:hideMark/>
          </w:tcPr>
          <w:p w14:paraId="31AF43E2"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Sharda Nagar Extension, Tehsil Sarojini Nagar, Lucknow, Uttar Pradesh</w:t>
            </w:r>
          </w:p>
        </w:tc>
      </w:tr>
      <w:tr w:rsidR="002D08D9" w:rsidRPr="005306E1" w14:paraId="48B5EF81" w14:textId="77777777" w:rsidTr="005306E1">
        <w:trPr>
          <w:trHeight w:val="425"/>
          <w:jc w:val="center"/>
        </w:trPr>
        <w:tc>
          <w:tcPr>
            <w:tcW w:w="0" w:type="auto"/>
            <w:hideMark/>
          </w:tcPr>
          <w:p w14:paraId="4D942EAA"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Net Site Area</w:t>
            </w:r>
          </w:p>
        </w:tc>
        <w:tc>
          <w:tcPr>
            <w:tcW w:w="0" w:type="auto"/>
            <w:hideMark/>
          </w:tcPr>
          <w:p w14:paraId="48CF0314"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1,14,400 m²</w:t>
            </w:r>
          </w:p>
        </w:tc>
      </w:tr>
      <w:tr w:rsidR="002D08D9" w:rsidRPr="005306E1" w14:paraId="752E8281" w14:textId="77777777" w:rsidTr="005306E1">
        <w:trPr>
          <w:trHeight w:val="714"/>
          <w:jc w:val="center"/>
        </w:trPr>
        <w:tc>
          <w:tcPr>
            <w:tcW w:w="0" w:type="auto"/>
            <w:hideMark/>
          </w:tcPr>
          <w:p w14:paraId="06B20E85"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Total Built-up Area (Scheme)</w:t>
            </w:r>
          </w:p>
        </w:tc>
        <w:tc>
          <w:tcPr>
            <w:tcW w:w="0" w:type="auto"/>
            <w:hideMark/>
          </w:tcPr>
          <w:p w14:paraId="77E3B1F2"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55,768.32 m² (600,285 ft²)</w:t>
            </w:r>
          </w:p>
        </w:tc>
      </w:tr>
      <w:tr w:rsidR="002D08D9" w:rsidRPr="005306E1" w14:paraId="02114985" w14:textId="77777777" w:rsidTr="005306E1">
        <w:trPr>
          <w:trHeight w:val="427"/>
          <w:jc w:val="center"/>
        </w:trPr>
        <w:tc>
          <w:tcPr>
            <w:tcW w:w="0" w:type="auto"/>
            <w:hideMark/>
          </w:tcPr>
          <w:p w14:paraId="145176CB"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Number of Dwelling Units</w:t>
            </w:r>
          </w:p>
        </w:tc>
        <w:tc>
          <w:tcPr>
            <w:tcW w:w="0" w:type="auto"/>
            <w:hideMark/>
          </w:tcPr>
          <w:p w14:paraId="1446FAD4"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2,256 (EWS)</w:t>
            </w:r>
          </w:p>
        </w:tc>
      </w:tr>
      <w:tr w:rsidR="002D08D9" w:rsidRPr="005306E1" w14:paraId="05B02482" w14:textId="77777777" w:rsidTr="005306E1">
        <w:trPr>
          <w:trHeight w:val="418"/>
          <w:jc w:val="center"/>
        </w:trPr>
        <w:tc>
          <w:tcPr>
            <w:tcW w:w="0" w:type="auto"/>
            <w:hideMark/>
          </w:tcPr>
          <w:p w14:paraId="6C3E3720"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Unit Super Area</w:t>
            </w:r>
          </w:p>
        </w:tc>
        <w:tc>
          <w:tcPr>
            <w:tcW w:w="0" w:type="auto"/>
            <w:hideMark/>
          </w:tcPr>
          <w:p w14:paraId="29D5AF3B"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36.65 m² (average per unit)</w:t>
            </w:r>
          </w:p>
        </w:tc>
      </w:tr>
      <w:tr w:rsidR="002D08D9" w:rsidRPr="005306E1" w14:paraId="3F426AFF" w14:textId="77777777" w:rsidTr="005306E1">
        <w:trPr>
          <w:trHeight w:val="425"/>
          <w:jc w:val="center"/>
        </w:trPr>
        <w:tc>
          <w:tcPr>
            <w:tcW w:w="0" w:type="auto"/>
            <w:hideMark/>
          </w:tcPr>
          <w:p w14:paraId="517539EF"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Number of Blocks</w:t>
            </w:r>
          </w:p>
        </w:tc>
        <w:tc>
          <w:tcPr>
            <w:tcW w:w="0" w:type="auto"/>
            <w:hideMark/>
          </w:tcPr>
          <w:p w14:paraId="193C7432"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47</w:t>
            </w:r>
          </w:p>
        </w:tc>
      </w:tr>
      <w:tr w:rsidR="002D08D9" w:rsidRPr="005306E1" w14:paraId="578251BE" w14:textId="77777777" w:rsidTr="005306E1">
        <w:trPr>
          <w:trHeight w:val="431"/>
          <w:jc w:val="center"/>
        </w:trPr>
        <w:tc>
          <w:tcPr>
            <w:tcW w:w="0" w:type="auto"/>
            <w:hideMark/>
          </w:tcPr>
          <w:p w14:paraId="720F8164"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Floors per Block</w:t>
            </w:r>
          </w:p>
        </w:tc>
        <w:tc>
          <w:tcPr>
            <w:tcW w:w="0" w:type="auto"/>
            <w:hideMark/>
          </w:tcPr>
          <w:p w14:paraId="57E3C17A" w14:textId="4184BF69"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G + 3 (4 storey), each floor having 12 units</w:t>
            </w:r>
          </w:p>
        </w:tc>
      </w:tr>
      <w:tr w:rsidR="002D08D9" w:rsidRPr="005306E1" w14:paraId="79C931AF" w14:textId="77777777" w:rsidTr="005306E1">
        <w:trPr>
          <w:trHeight w:val="423"/>
          <w:jc w:val="center"/>
        </w:trPr>
        <w:tc>
          <w:tcPr>
            <w:tcW w:w="0" w:type="auto"/>
            <w:hideMark/>
          </w:tcPr>
          <w:p w14:paraId="3D86B97E"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Built-up Area of a Block</w:t>
            </w:r>
          </w:p>
        </w:tc>
        <w:tc>
          <w:tcPr>
            <w:tcW w:w="0" w:type="auto"/>
            <w:hideMark/>
          </w:tcPr>
          <w:p w14:paraId="7486FDF2"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1650.5 m²</w:t>
            </w:r>
          </w:p>
        </w:tc>
      </w:tr>
      <w:tr w:rsidR="002D08D9" w:rsidRPr="005306E1" w14:paraId="4346896D" w14:textId="77777777" w:rsidTr="005306E1">
        <w:trPr>
          <w:trHeight w:val="712"/>
          <w:jc w:val="center"/>
        </w:trPr>
        <w:tc>
          <w:tcPr>
            <w:tcW w:w="0" w:type="auto"/>
            <w:hideMark/>
          </w:tcPr>
          <w:p w14:paraId="368401AF"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Launch / Completion</w:t>
            </w:r>
          </w:p>
        </w:tc>
        <w:tc>
          <w:tcPr>
            <w:tcW w:w="0" w:type="auto"/>
            <w:hideMark/>
          </w:tcPr>
          <w:p w14:paraId="01415AD7"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Launch: 15-09-2018; Proposed completion: 14-09-2023 (completed as of now)</w:t>
            </w:r>
          </w:p>
        </w:tc>
      </w:tr>
      <w:tr w:rsidR="002D08D9" w:rsidRPr="005306E1" w14:paraId="3A013D2E" w14:textId="77777777" w:rsidTr="005306E1">
        <w:trPr>
          <w:trHeight w:val="709"/>
          <w:jc w:val="center"/>
        </w:trPr>
        <w:tc>
          <w:tcPr>
            <w:tcW w:w="0" w:type="auto"/>
            <w:hideMark/>
          </w:tcPr>
          <w:p w14:paraId="0412F198"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Water Demand (Whole Project)</w:t>
            </w:r>
          </w:p>
        </w:tc>
        <w:tc>
          <w:tcPr>
            <w:tcW w:w="0" w:type="auto"/>
            <w:hideMark/>
          </w:tcPr>
          <w:p w14:paraId="65CB0EBC"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1,193 KLD (822 KLD fresh, 371 KLD recycled); wastewater: 993 KLD; STP: 1,200 KLD</w:t>
            </w:r>
          </w:p>
        </w:tc>
      </w:tr>
      <w:tr w:rsidR="002D08D9" w:rsidRPr="005306E1" w14:paraId="597D49B4" w14:textId="77777777" w:rsidTr="005306E1">
        <w:trPr>
          <w:trHeight w:val="421"/>
          <w:jc w:val="center"/>
        </w:trPr>
        <w:tc>
          <w:tcPr>
            <w:tcW w:w="0" w:type="auto"/>
            <w:hideMark/>
          </w:tcPr>
          <w:p w14:paraId="5C94E35A"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Green Area</w:t>
            </w:r>
          </w:p>
        </w:tc>
        <w:tc>
          <w:tcPr>
            <w:tcW w:w="0" w:type="auto"/>
            <w:hideMark/>
          </w:tcPr>
          <w:p w14:paraId="56E2E523"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17,934 m² (~15.7% of site); 5 parks of 630 m² each</w:t>
            </w:r>
          </w:p>
        </w:tc>
      </w:tr>
      <w:tr w:rsidR="002D08D9" w:rsidRPr="005306E1" w14:paraId="45B93BC7" w14:textId="77777777" w:rsidTr="005306E1">
        <w:trPr>
          <w:trHeight w:val="413"/>
          <w:jc w:val="center"/>
        </w:trPr>
        <w:tc>
          <w:tcPr>
            <w:tcW w:w="0" w:type="auto"/>
            <w:hideMark/>
          </w:tcPr>
          <w:p w14:paraId="36815E00"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Power Demand</w:t>
            </w:r>
          </w:p>
        </w:tc>
        <w:tc>
          <w:tcPr>
            <w:tcW w:w="0" w:type="auto"/>
            <w:hideMark/>
          </w:tcPr>
          <w:p w14:paraId="1BFFF726"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8,100 kVA (scheme-wide)</w:t>
            </w:r>
          </w:p>
        </w:tc>
      </w:tr>
      <w:tr w:rsidR="002D08D9" w:rsidRPr="005306E1" w14:paraId="09C2176D" w14:textId="77777777" w:rsidTr="005306E1">
        <w:trPr>
          <w:trHeight w:val="446"/>
          <w:jc w:val="center"/>
        </w:trPr>
        <w:tc>
          <w:tcPr>
            <w:tcW w:w="0" w:type="auto"/>
            <w:hideMark/>
          </w:tcPr>
          <w:p w14:paraId="6E372C5D"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Solar PV</w:t>
            </w:r>
          </w:p>
        </w:tc>
        <w:tc>
          <w:tcPr>
            <w:tcW w:w="0" w:type="auto"/>
            <w:hideMark/>
          </w:tcPr>
          <w:p w14:paraId="55ADDB47"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40 kW rooftop solar per block; 50% of street-lighting on solar</w:t>
            </w:r>
          </w:p>
        </w:tc>
      </w:tr>
      <w:tr w:rsidR="002D08D9" w:rsidRPr="005306E1" w14:paraId="7D492809" w14:textId="77777777" w:rsidTr="005306E1">
        <w:trPr>
          <w:trHeight w:val="424"/>
          <w:jc w:val="center"/>
        </w:trPr>
        <w:tc>
          <w:tcPr>
            <w:tcW w:w="0" w:type="auto"/>
            <w:hideMark/>
          </w:tcPr>
          <w:p w14:paraId="760961E6"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lastRenderedPageBreak/>
              <w:t>Rainfall and Runoff</w:t>
            </w:r>
          </w:p>
        </w:tc>
        <w:tc>
          <w:tcPr>
            <w:tcW w:w="0" w:type="auto"/>
            <w:hideMark/>
          </w:tcPr>
          <w:p w14:paraId="60FDA253"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Design rainfall: 40 mm/hr; 10 pits of 58.87 m³ for roof water</w:t>
            </w:r>
          </w:p>
        </w:tc>
      </w:tr>
      <w:tr w:rsidR="002D08D9" w:rsidRPr="005306E1" w14:paraId="312C4A96" w14:textId="77777777" w:rsidTr="005306E1">
        <w:trPr>
          <w:jc w:val="center"/>
        </w:trPr>
        <w:tc>
          <w:tcPr>
            <w:tcW w:w="0" w:type="auto"/>
            <w:tcBorders>
              <w:bottom w:val="single" w:sz="4" w:space="0" w:color="auto"/>
            </w:tcBorders>
            <w:hideMark/>
          </w:tcPr>
          <w:p w14:paraId="7A91D1F5"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Sewer &amp; Drainage</w:t>
            </w:r>
          </w:p>
        </w:tc>
        <w:tc>
          <w:tcPr>
            <w:tcW w:w="0" w:type="auto"/>
            <w:tcBorders>
              <w:bottom w:val="single" w:sz="4" w:space="0" w:color="auto"/>
            </w:tcBorders>
            <w:hideMark/>
          </w:tcPr>
          <w:p w14:paraId="4730AB66" w14:textId="77777777" w:rsidR="002D08D9" w:rsidRPr="005306E1" w:rsidRDefault="002D08D9" w:rsidP="002D08D9">
            <w:pPr>
              <w:spacing w:after="40" w:line="240" w:lineRule="auto"/>
              <w:jc w:val="both"/>
              <w:rPr>
                <w:rFonts w:ascii="Calibri" w:hAnsi="Calibri" w:cs="Calibri"/>
                <w:lang w:val="en-IN"/>
              </w:rPr>
            </w:pPr>
            <w:r w:rsidRPr="005306E1">
              <w:rPr>
                <w:rFonts w:ascii="Calibri" w:hAnsi="Calibri" w:cs="Calibri"/>
                <w:lang w:val="en-IN"/>
              </w:rPr>
              <w:t>Underground sewer network; RCC/KC open drains connected to main drain; STP disposal</w:t>
            </w:r>
          </w:p>
        </w:tc>
      </w:tr>
    </w:tbl>
    <w:p w14:paraId="1B5A1E4C" w14:textId="77777777" w:rsidR="005B49A1" w:rsidRPr="00D51E51" w:rsidRDefault="005B49A1" w:rsidP="005B49A1">
      <w:pPr>
        <w:spacing w:after="40" w:line="240" w:lineRule="auto"/>
        <w:jc w:val="center"/>
        <w:rPr>
          <w:rFonts w:ascii="Calibri" w:hAnsi="Calibri" w:cs="Calibri"/>
          <w:sz w:val="14"/>
          <w:szCs w:val="14"/>
        </w:rPr>
      </w:pPr>
    </w:p>
    <w:p w14:paraId="69F0C435" w14:textId="542CC2E7" w:rsidR="0087145C" w:rsidRPr="0087145C" w:rsidRDefault="00344B95" w:rsidP="0087145C">
      <w:pPr>
        <w:spacing w:after="40" w:line="240" w:lineRule="auto"/>
        <w:ind w:firstLine="720"/>
        <w:jc w:val="both"/>
        <w:rPr>
          <w:rFonts w:ascii="Calibri" w:hAnsi="Calibri" w:cs="Calibri"/>
        </w:rPr>
      </w:pPr>
      <w:r w:rsidRPr="00344B95">
        <w:rPr>
          <w:rFonts w:ascii="Calibri" w:hAnsi="Calibri" w:cs="Calibri"/>
        </w:rPr>
        <w:t>An integrated architectural and structural Building Information Model (BIM) was developed in Autodesk Revit using sanctioned drawings obtained from the competent authority, along with project specifications, the Bill of Quantities (BOQ), and the Environmental Assessment Report, supplemented by site-specific and climatic data for Sharda Nagar, Lucknow.</w:t>
      </w:r>
      <w:r>
        <w:rPr>
          <w:rFonts w:ascii="Calibri" w:hAnsi="Calibri" w:cs="Calibri"/>
        </w:rPr>
        <w:t xml:space="preserve"> </w:t>
      </w:r>
      <w:r w:rsidR="0087145C" w:rsidRPr="0087145C">
        <w:rPr>
          <w:rFonts w:ascii="Calibri" w:hAnsi="Calibri" w:cs="Calibri"/>
        </w:rPr>
        <w:t>The model encompasses all principal structural and architectural components</w:t>
      </w:r>
      <w:r w:rsidR="0087145C">
        <w:rPr>
          <w:rFonts w:ascii="Calibri" w:hAnsi="Calibri" w:cs="Calibri"/>
        </w:rPr>
        <w:t xml:space="preserve">, including footings, columns, beams, slabs, walls, floor finishes, and tile cladding, and was configured specifically to support material quantification, </w:t>
      </w:r>
      <w:r w:rsidR="00415CE5">
        <w:rPr>
          <w:rFonts w:ascii="Calibri" w:hAnsi="Calibri" w:cs="Calibri"/>
        </w:rPr>
        <w:t>characterization of envelope performance</w:t>
      </w:r>
      <w:r w:rsidR="0087145C" w:rsidRPr="0087145C">
        <w:rPr>
          <w:rFonts w:ascii="Calibri" w:hAnsi="Calibri" w:cs="Calibri"/>
        </w:rPr>
        <w:t>, and operational placeholder inputs for subsequent LCA and GRIHA analyses.</w:t>
      </w:r>
    </w:p>
    <w:p w14:paraId="64A1B275" w14:textId="0FCD284D" w:rsidR="004B5BA0" w:rsidRDefault="0087145C" w:rsidP="004B5BA0">
      <w:pPr>
        <w:spacing w:after="0" w:line="240" w:lineRule="auto"/>
        <w:ind w:firstLine="720"/>
        <w:jc w:val="both"/>
        <w:rPr>
          <w:rFonts w:ascii="Calibri" w:hAnsi="Calibri" w:cs="Calibri"/>
        </w:rPr>
      </w:pPr>
      <w:r w:rsidRPr="0087145C">
        <w:rPr>
          <w:rFonts w:ascii="Calibri" w:hAnsi="Calibri" w:cs="Calibri"/>
        </w:rPr>
        <w:t>Revit schedules were generated for all major building systems, including walls, slabs, beams, columns, flooring, doors, and windows. Building envelope parameters required by the GRIHA v6 rating framework</w:t>
      </w:r>
      <w:r w:rsidR="006F0B51">
        <w:rPr>
          <w:rFonts w:ascii="Calibri" w:hAnsi="Calibri" w:cs="Calibri"/>
          <w:color w:val="000000"/>
        </w:rPr>
        <w:t xml:space="preserve"> </w:t>
      </w:r>
      <w:sdt>
        <w:sdtPr>
          <w:rPr>
            <w:rFonts w:ascii="Calibri" w:hAnsi="Calibri" w:cs="Calibri"/>
            <w:color w:val="000000"/>
          </w:rPr>
          <w:tag w:val="MENDELEY_CITATION_v3_eyJjaXRhdGlvbklEIjoiTUVOREVMRVlfQ0lUQVRJT05fYmY2MjI1ODYtYjhhZS00NzIzLWEwYjItN2E5ZWUyMDMwOWMxIiwicHJvcGVydGllcyI6eyJub3RlSW5kZXgiOjB9LCJpc0VkaXRlZCI6ZmFsc2UsIm1hbnVhbE92ZXJyaWRlIjp7ImlzTWFudWFsbHlPdmVycmlkZGVuIjpmYWxzZSwiY2l0ZXByb2NUZXh0IjoiKEdSSUhBIENvdW5jaWwsIDIwMjUpIiwibWFudWFsT3ZlcnJpZGVUZXh0IjoiIn0sImNpdGF0aW9uSXRlbXMiOlt7ImlkIjoiZjkzNDRkZDktNzg0ZC0zYWU0LWI1ZTQtZmNjYTc0OWIxNmNkIiwiaXRlbURhdGEiOnsidHlwZSI6ImFydGljbGUtam91cm5hbCIsImlkIjoiZjkzNDRkZDktNzg0ZC0zYWU0LWI1ZTQtZmNjYTc0OWIxNmNkIiwidGl0bGUiOiJHUklIQSBWZXJzaW9uIDYuMCIsImF1dGhvciI6W3siZmFtaWx5IjoiR1JJSEEgQ291bmNpbCIsImdpdmVuIjoiIiwicGFyc2UtbmFtZXMiOmZhbHNlLCJkcm9wcGluZy1wYXJ0aWNsZSI6IiIsIm5vbi1kcm9wcGluZy1wYXJ0aWNsZSI6IiJ9XSwiYWNjZXNzZWQiOnsiZGF0ZS1wYXJ0cyI6W1syMDI2LDUsMTNdXX0sIlVSTCI6Imh0dHBzOi8vd3d3LmdyaWhhaW5kaWEub3JnL3NpdGVzL2RlZmF1bHQvZmlsZXMvcGRmL01hbnVhbHMvR1JJSEEtVmVyc2lvbi02LVYxLnBkZiIsImlzc3VlZCI6eyJkYXRlLXBhcnRzIjpbWzIwMjUsOV1dfSwiY29udGFpbmVyLXRpdGxlLXNob3J0IjoiIn0sImlzVGVtcG9yYXJ5IjpmYWxzZX1dfQ=="/>
          <w:id w:val="-575751930"/>
          <w:placeholder>
            <w:docPart w:val="DefaultPlaceholder_-1854013440"/>
          </w:placeholder>
        </w:sdtPr>
        <w:sdtEndPr/>
        <w:sdtContent>
          <w:r w:rsidR="005906C7" w:rsidRPr="005906C7">
            <w:rPr>
              <w:rFonts w:ascii="Calibri" w:hAnsi="Calibri" w:cs="Calibri"/>
              <w:color w:val="000000"/>
            </w:rPr>
            <w:t>(GRIHA Council, 2025)</w:t>
          </w:r>
        </w:sdtContent>
      </w:sdt>
      <w:r>
        <w:rPr>
          <w:rFonts w:ascii="Calibri" w:hAnsi="Calibri" w:cs="Calibri"/>
        </w:rPr>
        <w:t>, notably the overall U-value, Solar Heat Gain Coefficient (SHGC), and visible light transmittance,</w:t>
      </w:r>
      <w:r w:rsidRPr="0087145C">
        <w:rPr>
          <w:rFonts w:ascii="Calibri" w:hAnsi="Calibri" w:cs="Calibri"/>
        </w:rPr>
        <w:t xml:space="preserve"> were extracted from Revit assembly definitions </w:t>
      </w:r>
      <w:r w:rsidRPr="00B21CF5">
        <w:rPr>
          <w:rFonts w:ascii="Calibri" w:hAnsi="Calibri" w:cs="Calibri"/>
        </w:rPr>
        <w:t>and supplemented with available manufacturer data</w:t>
      </w:r>
      <w:r w:rsidRPr="0087145C">
        <w:rPr>
          <w:rFonts w:ascii="Calibri" w:hAnsi="Calibri" w:cs="Calibri"/>
        </w:rPr>
        <w:t>. The coordinated model was developed with disciplinary linkages, shared parameters, and project templates configured for quantity take-off and envelope reporting, establishing a unified geometric, thermal, and quantitative data source for all downstream analyses.</w:t>
      </w:r>
      <w:r>
        <w:rPr>
          <w:rFonts w:ascii="Calibri" w:hAnsi="Calibri" w:cs="Calibri"/>
        </w:rPr>
        <w:t xml:space="preserve"> </w:t>
      </w:r>
      <w:r w:rsidR="00A61CEC" w:rsidRPr="00A61CEC">
        <w:rPr>
          <w:rFonts w:ascii="Calibri" w:hAnsi="Calibri" w:cs="Calibri"/>
        </w:rPr>
        <w:t xml:space="preserve">The BIM model of the representative PMAY-U residential block developed in Autodesk Revit, along with the actual site view, is </w:t>
      </w:r>
      <w:r w:rsidR="00A61CEC">
        <w:rPr>
          <w:rFonts w:ascii="Calibri" w:hAnsi="Calibri" w:cs="Calibri"/>
        </w:rPr>
        <w:t>presented in</w:t>
      </w:r>
      <w:r w:rsidR="00812C75">
        <w:rPr>
          <w:rFonts w:ascii="Calibri" w:hAnsi="Calibri" w:cs="Calibri"/>
        </w:rPr>
        <w:t xml:space="preserve"> </w:t>
      </w:r>
      <w:r w:rsidR="009A6722">
        <w:rPr>
          <w:rFonts w:ascii="Calibri" w:hAnsi="Calibri" w:cs="Calibri"/>
        </w:rPr>
        <w:fldChar w:fldCharType="begin"/>
      </w:r>
      <w:r w:rsidR="009A6722">
        <w:rPr>
          <w:rFonts w:ascii="Calibri" w:hAnsi="Calibri" w:cs="Calibri"/>
        </w:rPr>
        <w:instrText xml:space="preserve"> REF _Ref240027119 \h </w:instrText>
      </w:r>
      <w:r w:rsidR="009A6722">
        <w:rPr>
          <w:rFonts w:ascii="Calibri" w:hAnsi="Calibri" w:cs="Calibri"/>
        </w:rPr>
      </w:r>
      <w:r w:rsidR="009A6722">
        <w:rPr>
          <w:rFonts w:ascii="Calibri" w:hAnsi="Calibri" w:cs="Calibri"/>
        </w:rPr>
        <w:fldChar w:fldCharType="separate"/>
      </w:r>
      <w:r w:rsidR="009A6722" w:rsidRPr="00047459">
        <w:rPr>
          <w:rFonts w:ascii="Calibri" w:hAnsi="Calibri" w:cs="Calibri"/>
          <w:sz w:val="20"/>
          <w:szCs w:val="20"/>
        </w:rPr>
        <w:t xml:space="preserve">Figure </w:t>
      </w:r>
      <w:r w:rsidR="009A6722">
        <w:rPr>
          <w:rFonts w:ascii="Calibri" w:hAnsi="Calibri" w:cs="Calibri"/>
          <w:noProof/>
          <w:sz w:val="20"/>
          <w:szCs w:val="20"/>
        </w:rPr>
        <w:t>2</w:t>
      </w:r>
      <w:r w:rsidR="009A6722">
        <w:rPr>
          <w:rFonts w:ascii="Calibri" w:hAnsi="Calibri" w:cs="Calibri"/>
        </w:rPr>
        <w:fldChar w:fldCharType="end"/>
      </w:r>
      <w:r w:rsidR="00812C75">
        <w:rPr>
          <w:rFonts w:ascii="Calibri" w:hAnsi="Calibri" w:cs="Calibri"/>
        </w:rPr>
        <w:t xml:space="preserve">. </w:t>
      </w:r>
      <w:r w:rsidR="008E49D4">
        <w:rPr>
          <w:rFonts w:ascii="Calibri" w:hAnsi="Calibri" w:cs="Calibri"/>
        </w:rPr>
        <w:t xml:space="preserve">  </w:t>
      </w:r>
    </w:p>
    <w:p w14:paraId="065224E3" w14:textId="36EA64A5" w:rsidR="009529DE" w:rsidRDefault="00836A50" w:rsidP="00793595">
      <w:pPr>
        <w:spacing w:after="0" w:line="240" w:lineRule="auto"/>
        <w:jc w:val="center"/>
        <w:rPr>
          <w:rFonts w:ascii="Calibri" w:hAnsi="Calibri" w:cs="Calibri"/>
        </w:rPr>
      </w:pPr>
      <w:r>
        <w:rPr>
          <w:rFonts w:ascii="Calibri" w:hAnsi="Calibri" w:cs="Calibri"/>
          <w:noProof/>
        </w:rPr>
        <w:drawing>
          <wp:inline distT="0" distB="0" distL="0" distR="0" wp14:anchorId="2F46BBC9" wp14:editId="141384BF">
            <wp:extent cx="5769595" cy="1237488"/>
            <wp:effectExtent l="0" t="0" r="3175" b="1270"/>
            <wp:docPr id="3394768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6977" cy="1275534"/>
                    </a:xfrm>
                    <a:prstGeom prst="rect">
                      <a:avLst/>
                    </a:prstGeom>
                    <a:noFill/>
                  </pic:spPr>
                </pic:pic>
              </a:graphicData>
            </a:graphic>
          </wp:inline>
        </w:drawing>
      </w:r>
    </w:p>
    <w:p w14:paraId="601BDF5A" w14:textId="514DD480" w:rsidR="00836A50" w:rsidRPr="00047459" w:rsidRDefault="00047459" w:rsidP="00047459">
      <w:pPr>
        <w:pStyle w:val="Caption"/>
        <w:jc w:val="center"/>
        <w:rPr>
          <w:rFonts w:ascii="Calibri" w:hAnsi="Calibri" w:cs="Calibri"/>
          <w:color w:val="auto"/>
          <w:sz w:val="22"/>
          <w:szCs w:val="22"/>
        </w:rPr>
      </w:pPr>
      <w:bookmarkStart w:id="3" w:name="_Ref240027119"/>
      <w:r w:rsidRPr="00047459">
        <w:rPr>
          <w:rFonts w:ascii="Calibri" w:hAnsi="Calibri" w:cs="Calibri"/>
          <w:color w:val="auto"/>
          <w:sz w:val="20"/>
          <w:szCs w:val="20"/>
        </w:rPr>
        <w:t xml:space="preserve">Figure </w:t>
      </w:r>
      <w:r w:rsidRPr="00047459">
        <w:rPr>
          <w:rFonts w:ascii="Calibri" w:hAnsi="Calibri" w:cs="Calibri"/>
          <w:color w:val="auto"/>
          <w:sz w:val="20"/>
          <w:szCs w:val="20"/>
        </w:rPr>
        <w:fldChar w:fldCharType="begin"/>
      </w:r>
      <w:r w:rsidRPr="00047459">
        <w:rPr>
          <w:rFonts w:ascii="Calibri" w:hAnsi="Calibri" w:cs="Calibri"/>
          <w:color w:val="auto"/>
          <w:sz w:val="20"/>
          <w:szCs w:val="20"/>
        </w:rPr>
        <w:instrText xml:space="preserve"> SEQ Figure \* ARABIC </w:instrText>
      </w:r>
      <w:r w:rsidRPr="00047459">
        <w:rPr>
          <w:rFonts w:ascii="Calibri" w:hAnsi="Calibri" w:cs="Calibri"/>
          <w:color w:val="auto"/>
          <w:sz w:val="20"/>
          <w:szCs w:val="20"/>
        </w:rPr>
        <w:fldChar w:fldCharType="separate"/>
      </w:r>
      <w:r>
        <w:rPr>
          <w:rFonts w:ascii="Calibri" w:hAnsi="Calibri" w:cs="Calibri"/>
          <w:noProof/>
          <w:color w:val="auto"/>
          <w:sz w:val="20"/>
          <w:szCs w:val="20"/>
        </w:rPr>
        <w:t>2</w:t>
      </w:r>
      <w:r w:rsidRPr="00047459">
        <w:rPr>
          <w:rFonts w:ascii="Calibri" w:hAnsi="Calibri" w:cs="Calibri"/>
          <w:color w:val="auto"/>
          <w:sz w:val="20"/>
          <w:szCs w:val="20"/>
        </w:rPr>
        <w:fldChar w:fldCharType="end"/>
      </w:r>
      <w:bookmarkEnd w:id="3"/>
      <w:r w:rsidRPr="00047459">
        <w:rPr>
          <w:rFonts w:ascii="Calibri" w:hAnsi="Calibri" w:cs="Calibri"/>
          <w:color w:val="auto"/>
          <w:sz w:val="20"/>
          <w:szCs w:val="20"/>
        </w:rPr>
        <w:t>: Actual site view, wireframe model, and rendered BIM model of the representative PMAY-U residential block developed in Autodesk Revit.</w:t>
      </w:r>
    </w:p>
    <w:p w14:paraId="4F890997" w14:textId="77777777" w:rsidR="00A61CEC" w:rsidRPr="00B30FB0" w:rsidRDefault="00A61CEC" w:rsidP="00A61CEC">
      <w:pPr>
        <w:rPr>
          <w:sz w:val="8"/>
          <w:szCs w:val="8"/>
        </w:rPr>
      </w:pPr>
    </w:p>
    <w:p w14:paraId="334D33EF" w14:textId="01EA519E" w:rsidR="00F03A80" w:rsidRDefault="006B0EC3" w:rsidP="00F03A80">
      <w:pPr>
        <w:spacing w:after="40" w:line="240" w:lineRule="auto"/>
        <w:rPr>
          <w:rFonts w:ascii="Calibri" w:hAnsi="Calibri" w:cs="Calibri"/>
          <w:b/>
          <w:bCs/>
          <w:sz w:val="24"/>
          <w:szCs w:val="24"/>
        </w:rPr>
      </w:pPr>
      <w:r>
        <w:rPr>
          <w:rFonts w:ascii="Calibri" w:hAnsi="Calibri" w:cs="Calibri"/>
          <w:b/>
          <w:bCs/>
          <w:sz w:val="24"/>
          <w:szCs w:val="24"/>
        </w:rPr>
        <w:t>Phase</w:t>
      </w:r>
      <w:r w:rsidR="0061661F">
        <w:rPr>
          <w:rFonts w:ascii="Calibri" w:hAnsi="Calibri" w:cs="Calibri"/>
          <w:b/>
          <w:bCs/>
          <w:sz w:val="24"/>
          <w:szCs w:val="24"/>
        </w:rPr>
        <w:t xml:space="preserve"> 2: BIM-LCA integration</w:t>
      </w:r>
    </w:p>
    <w:p w14:paraId="757B0FCC" w14:textId="77777777" w:rsidR="001755F7" w:rsidRPr="001755F7" w:rsidRDefault="001755F7" w:rsidP="00793595">
      <w:pPr>
        <w:pStyle w:val="Caption"/>
        <w:keepNext/>
        <w:spacing w:after="0"/>
        <w:ind w:firstLine="720"/>
        <w:jc w:val="both"/>
        <w:rPr>
          <w:rFonts w:ascii="Calibri" w:hAnsi="Calibri" w:cs="Calibri"/>
          <w:i w:val="0"/>
          <w:iCs w:val="0"/>
          <w:color w:val="auto"/>
          <w:sz w:val="22"/>
          <w:szCs w:val="22"/>
        </w:rPr>
      </w:pPr>
      <w:bookmarkStart w:id="4" w:name="_Ref229577284"/>
      <w:r w:rsidRPr="001755F7">
        <w:rPr>
          <w:rFonts w:ascii="Calibri" w:hAnsi="Calibri" w:cs="Calibri"/>
          <w:i w:val="0"/>
          <w:iCs w:val="0"/>
          <w:color w:val="auto"/>
          <w:sz w:val="22"/>
          <w:szCs w:val="22"/>
        </w:rPr>
        <w:t>The LCA was conducted in One Click LCA using the EN 15804+A2 methodology under the Level(s) framework, covering a 50-year reference study period. The Autodesk Revit model was imported into One Click LCA via the native one-click integration, which automatically transferred element identifiers, types, and quantities, thereby eliminating manual re-entry of material take-offs and ensuring full traceability between the BIM model and the LCA bill of materials.</w:t>
      </w:r>
    </w:p>
    <w:p w14:paraId="0D19F8F4" w14:textId="66879B9F" w:rsidR="001755F7" w:rsidRDefault="001755F7" w:rsidP="001755F7">
      <w:pPr>
        <w:pStyle w:val="Caption"/>
        <w:keepNext/>
        <w:spacing w:after="0"/>
        <w:jc w:val="both"/>
        <w:rPr>
          <w:rFonts w:ascii="Calibri" w:hAnsi="Calibri" w:cs="Calibri"/>
          <w:i w:val="0"/>
          <w:iCs w:val="0"/>
          <w:color w:val="auto"/>
          <w:sz w:val="22"/>
          <w:szCs w:val="22"/>
        </w:rPr>
      </w:pPr>
      <w:r w:rsidRPr="001755F7">
        <w:rPr>
          <w:rFonts w:ascii="Calibri" w:hAnsi="Calibri" w:cs="Calibri"/>
          <w:i w:val="0"/>
          <w:iCs w:val="0"/>
          <w:color w:val="auto"/>
          <w:sz w:val="22"/>
          <w:szCs w:val="22"/>
        </w:rPr>
        <w:t xml:space="preserve">One Click LCA's AI-assisted </w:t>
      </w:r>
      <w:r>
        <w:rPr>
          <w:rFonts w:ascii="Calibri" w:hAnsi="Calibri" w:cs="Calibri"/>
          <w:i w:val="0"/>
          <w:iCs w:val="0"/>
          <w:color w:val="auto"/>
          <w:sz w:val="22"/>
          <w:szCs w:val="22"/>
        </w:rPr>
        <w:t>material-mapping engine automatically matched Revit elements to candidate Environmental Product Declarations (EPDs) in</w:t>
      </w:r>
      <w:r w:rsidRPr="001755F7">
        <w:rPr>
          <w:rFonts w:ascii="Calibri" w:hAnsi="Calibri" w:cs="Calibri"/>
          <w:i w:val="0"/>
          <w:iCs w:val="0"/>
          <w:color w:val="auto"/>
          <w:sz w:val="22"/>
          <w:szCs w:val="22"/>
        </w:rPr>
        <w:t xml:space="preserve"> its database. Each mapping was subsequently validated manually, with substitutions made where necessary to ensure the most representative dataset was </w:t>
      </w:r>
      <w:r w:rsidR="00065247" w:rsidRPr="001755F7">
        <w:rPr>
          <w:rFonts w:ascii="Calibri" w:hAnsi="Calibri" w:cs="Calibri"/>
          <w:i w:val="0"/>
          <w:iCs w:val="0"/>
          <w:color w:val="auto"/>
          <w:sz w:val="22"/>
          <w:szCs w:val="22"/>
        </w:rPr>
        <w:t>selected</w:t>
      </w:r>
      <w:r w:rsidR="00415CE5">
        <w:rPr>
          <w:rFonts w:ascii="Calibri" w:hAnsi="Calibri" w:cs="Calibri"/>
          <w:i w:val="0"/>
          <w:iCs w:val="0"/>
          <w:color w:val="auto"/>
          <w:sz w:val="22"/>
          <w:szCs w:val="22"/>
        </w:rPr>
        <w:t>, prioritizing</w:t>
      </w:r>
      <w:r w:rsidRPr="001755F7">
        <w:rPr>
          <w:rFonts w:ascii="Calibri" w:hAnsi="Calibri" w:cs="Calibri"/>
          <w:i w:val="0"/>
          <w:iCs w:val="0"/>
          <w:color w:val="auto"/>
          <w:sz w:val="22"/>
          <w:szCs w:val="22"/>
        </w:rPr>
        <w:t xml:space="preserve"> Indian-specific EPDs where available, and justifiable regional proxies otherwise.</w:t>
      </w:r>
    </w:p>
    <w:p w14:paraId="604FA51B" w14:textId="03C2F20F" w:rsidR="00EC220C" w:rsidRPr="003E4677" w:rsidRDefault="001D0623" w:rsidP="00793595">
      <w:pPr>
        <w:ind w:firstLine="720"/>
        <w:jc w:val="both"/>
        <w:rPr>
          <w:rFonts w:ascii="Calibri" w:hAnsi="Calibri" w:cs="Calibri"/>
        </w:rPr>
      </w:pPr>
      <w:r w:rsidRPr="00470733">
        <w:rPr>
          <w:rFonts w:ascii="Calibri" w:hAnsi="Calibri" w:cs="Calibri"/>
        </w:rPr>
        <w:t xml:space="preserve">Input data were </w:t>
      </w:r>
      <w:r w:rsidR="00415CE5">
        <w:rPr>
          <w:rFonts w:ascii="Calibri" w:hAnsi="Calibri" w:cs="Calibri"/>
        </w:rPr>
        <w:t>finalized</w:t>
      </w:r>
      <w:r w:rsidRPr="00470733">
        <w:rPr>
          <w:rFonts w:ascii="Calibri" w:hAnsi="Calibri" w:cs="Calibri"/>
        </w:rPr>
        <w:t xml:space="preserve"> using multiple project sources, including the Environmental Assessment Report and the Housing and Urban Development Corporation Limited (HUDCO) Design Awards 2020</w:t>
      </w:r>
      <w:r w:rsidR="009D2E9B">
        <w:rPr>
          <w:rFonts w:ascii="Calibri" w:hAnsi="Calibri" w:cs="Calibri"/>
        </w:rPr>
        <w:t>-</w:t>
      </w:r>
      <w:r w:rsidRPr="00470733">
        <w:rPr>
          <w:rFonts w:ascii="Calibri" w:hAnsi="Calibri" w:cs="Calibri"/>
        </w:rPr>
        <w:t xml:space="preserve">21 compendium. Since project documentation primarily reported quantities at the scheme level (47-block complex), values were proportionally normalised to a single representative block by dividing by 47. Where block-level data were </w:t>
      </w:r>
      <w:r w:rsidR="00415CE5">
        <w:rPr>
          <w:rFonts w:ascii="Calibri" w:hAnsi="Calibri" w:cs="Calibri"/>
        </w:rPr>
        <w:t xml:space="preserve">available directly, those values were adopted </w:t>
      </w:r>
      <w:r w:rsidR="00415CE5">
        <w:rPr>
          <w:rFonts w:ascii="Calibri" w:hAnsi="Calibri" w:cs="Calibri"/>
        </w:rPr>
        <w:lastRenderedPageBreak/>
        <w:t>without further normalization</w:t>
      </w:r>
      <w:r w:rsidRPr="00470733">
        <w:rPr>
          <w:rFonts w:ascii="Calibri" w:hAnsi="Calibri" w:cs="Calibri"/>
        </w:rPr>
        <w:t xml:space="preserve">. Subsequently, building materials imported from Revit were mapped to candidate EPD datasets, and each mapping was </w:t>
      </w:r>
      <w:r w:rsidR="00B57F9C">
        <w:rPr>
          <w:rFonts w:ascii="Calibri" w:hAnsi="Calibri" w:cs="Calibri"/>
        </w:rPr>
        <w:t>validated individually or replaced as</w:t>
      </w:r>
      <w:r w:rsidRPr="00470733">
        <w:rPr>
          <w:rFonts w:ascii="Calibri" w:hAnsi="Calibri" w:cs="Calibri"/>
        </w:rPr>
        <w:t xml:space="preserve"> necessary to ensure consistency in the BIM-LCA workflow.</w:t>
      </w:r>
      <w:r w:rsidR="003E4677">
        <w:rPr>
          <w:rFonts w:ascii="Calibri" w:hAnsi="Calibri" w:cs="Calibri"/>
        </w:rPr>
        <w:t xml:space="preserve"> </w:t>
      </w:r>
      <w:r w:rsidR="00065247" w:rsidRPr="00065247">
        <w:rPr>
          <w:rFonts w:ascii="Calibri" w:hAnsi="Calibri" w:cs="Calibri"/>
        </w:rPr>
        <w:t>The key input parameters adopted for the LCA are presented</w:t>
      </w:r>
      <w:r w:rsidR="00065247">
        <w:rPr>
          <w:rFonts w:ascii="Calibri" w:hAnsi="Calibri" w:cs="Calibri"/>
        </w:rPr>
        <w:t xml:space="preserve"> </w:t>
      </w:r>
      <w:r w:rsidR="009645EA">
        <w:rPr>
          <w:rFonts w:ascii="Calibri" w:hAnsi="Calibri" w:cs="Calibri"/>
        </w:rPr>
        <w:t xml:space="preserve">in </w:t>
      </w:r>
      <w:r w:rsidR="009645EA">
        <w:rPr>
          <w:rFonts w:ascii="Calibri" w:hAnsi="Calibri" w:cs="Calibri"/>
          <w:i/>
          <w:iCs/>
        </w:rPr>
        <w:fldChar w:fldCharType="begin"/>
      </w:r>
      <w:r w:rsidR="009645EA">
        <w:rPr>
          <w:rFonts w:ascii="Calibri" w:hAnsi="Calibri" w:cs="Calibri"/>
        </w:rPr>
        <w:instrText xml:space="preserve"> REF _Ref230250407 \h </w:instrText>
      </w:r>
      <w:r w:rsidR="009645EA">
        <w:rPr>
          <w:rFonts w:ascii="Calibri" w:hAnsi="Calibri" w:cs="Calibri"/>
          <w:i/>
          <w:iCs/>
        </w:rPr>
      </w:r>
      <w:r w:rsidR="009645EA">
        <w:rPr>
          <w:rFonts w:ascii="Calibri" w:hAnsi="Calibri" w:cs="Calibri"/>
          <w:i/>
          <w:iCs/>
        </w:rPr>
        <w:fldChar w:fldCharType="separate"/>
      </w:r>
      <w:r w:rsidR="009645EA" w:rsidRPr="002B73AF">
        <w:rPr>
          <w:rFonts w:ascii="Calibri" w:hAnsi="Calibri" w:cs="Calibri"/>
          <w:sz w:val="20"/>
          <w:szCs w:val="20"/>
        </w:rPr>
        <w:t xml:space="preserve">Table </w:t>
      </w:r>
      <w:r w:rsidR="009645EA">
        <w:rPr>
          <w:rFonts w:ascii="Calibri" w:hAnsi="Calibri" w:cs="Calibri"/>
          <w:noProof/>
          <w:sz w:val="20"/>
          <w:szCs w:val="20"/>
        </w:rPr>
        <w:t>2</w:t>
      </w:r>
      <w:r w:rsidR="009645EA">
        <w:rPr>
          <w:rFonts w:ascii="Calibri" w:hAnsi="Calibri" w:cs="Calibri"/>
          <w:i/>
          <w:iCs/>
        </w:rPr>
        <w:fldChar w:fldCharType="end"/>
      </w:r>
      <w:r w:rsidR="009645EA">
        <w:rPr>
          <w:rFonts w:ascii="Calibri" w:hAnsi="Calibri" w:cs="Calibri"/>
        </w:rPr>
        <w:t>.</w:t>
      </w:r>
    </w:p>
    <w:p w14:paraId="521D7042" w14:textId="4A51B58B" w:rsidR="002B73AF" w:rsidRPr="002B73AF" w:rsidRDefault="002B73AF" w:rsidP="002B73AF">
      <w:pPr>
        <w:pStyle w:val="Caption"/>
        <w:keepNext/>
        <w:jc w:val="center"/>
        <w:rPr>
          <w:rFonts w:ascii="Calibri" w:hAnsi="Calibri" w:cs="Calibri"/>
          <w:color w:val="auto"/>
          <w:sz w:val="20"/>
          <w:szCs w:val="20"/>
        </w:rPr>
      </w:pPr>
      <w:bookmarkStart w:id="5" w:name="_Ref230250407"/>
      <w:r w:rsidRPr="002B73AF">
        <w:rPr>
          <w:rFonts w:ascii="Calibri" w:hAnsi="Calibri" w:cs="Calibri"/>
          <w:color w:val="auto"/>
          <w:sz w:val="20"/>
          <w:szCs w:val="20"/>
        </w:rPr>
        <w:t xml:space="preserve">Table </w:t>
      </w:r>
      <w:r w:rsidRPr="002B73AF">
        <w:rPr>
          <w:rFonts w:ascii="Calibri" w:hAnsi="Calibri" w:cs="Calibri"/>
          <w:color w:val="auto"/>
          <w:sz w:val="20"/>
          <w:szCs w:val="20"/>
        </w:rPr>
        <w:fldChar w:fldCharType="begin"/>
      </w:r>
      <w:r w:rsidRPr="002B73AF">
        <w:rPr>
          <w:rFonts w:ascii="Calibri" w:hAnsi="Calibri" w:cs="Calibri"/>
          <w:color w:val="auto"/>
          <w:sz w:val="20"/>
          <w:szCs w:val="20"/>
        </w:rPr>
        <w:instrText xml:space="preserve"> SEQ Table \* ARABIC </w:instrText>
      </w:r>
      <w:r w:rsidRPr="002B73AF">
        <w:rPr>
          <w:rFonts w:ascii="Calibri" w:hAnsi="Calibri" w:cs="Calibri"/>
          <w:color w:val="auto"/>
          <w:sz w:val="20"/>
          <w:szCs w:val="20"/>
        </w:rPr>
        <w:fldChar w:fldCharType="separate"/>
      </w:r>
      <w:r w:rsidR="00CE3431">
        <w:rPr>
          <w:rFonts w:ascii="Calibri" w:hAnsi="Calibri" w:cs="Calibri"/>
          <w:noProof/>
          <w:color w:val="auto"/>
          <w:sz w:val="20"/>
          <w:szCs w:val="20"/>
        </w:rPr>
        <w:t>2</w:t>
      </w:r>
      <w:r w:rsidRPr="002B73AF">
        <w:rPr>
          <w:rFonts w:ascii="Calibri" w:hAnsi="Calibri" w:cs="Calibri"/>
          <w:color w:val="auto"/>
          <w:sz w:val="20"/>
          <w:szCs w:val="20"/>
        </w:rPr>
        <w:fldChar w:fldCharType="end"/>
      </w:r>
      <w:bookmarkEnd w:id="4"/>
      <w:bookmarkEnd w:id="5"/>
      <w:r w:rsidRPr="002B73AF">
        <w:rPr>
          <w:rFonts w:ascii="Calibri" w:hAnsi="Calibri" w:cs="Calibri"/>
          <w:color w:val="auto"/>
          <w:sz w:val="20"/>
          <w:szCs w:val="20"/>
        </w:rPr>
        <w:t xml:space="preserve">: Key input parameters used for </w:t>
      </w:r>
      <w:r w:rsidR="00C44796">
        <w:rPr>
          <w:rFonts w:ascii="Calibri" w:hAnsi="Calibri" w:cs="Calibri"/>
          <w:color w:val="auto"/>
          <w:sz w:val="20"/>
          <w:szCs w:val="20"/>
        </w:rPr>
        <w:t xml:space="preserve">BIM-LCA </w:t>
      </w:r>
      <w:r w:rsidRPr="002B73AF">
        <w:rPr>
          <w:rFonts w:ascii="Calibri" w:hAnsi="Calibri" w:cs="Calibri"/>
          <w:color w:val="auto"/>
          <w:sz w:val="20"/>
          <w:szCs w:val="20"/>
        </w:rPr>
        <w:t>analysis of the representative PMAY-U residential block.</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
        <w:gridCol w:w="2690"/>
        <w:gridCol w:w="1347"/>
      </w:tblGrid>
      <w:tr w:rsidR="00060954" w:rsidRPr="00060954" w14:paraId="4F8FE860" w14:textId="77777777" w:rsidTr="00060954">
        <w:trPr>
          <w:jc w:val="center"/>
        </w:trPr>
        <w:tc>
          <w:tcPr>
            <w:tcW w:w="0" w:type="auto"/>
            <w:tcBorders>
              <w:top w:val="single" w:sz="4" w:space="0" w:color="auto"/>
              <w:bottom w:val="single" w:sz="4" w:space="0" w:color="auto"/>
            </w:tcBorders>
            <w:hideMark/>
          </w:tcPr>
          <w:p w14:paraId="5E184344" w14:textId="77777777" w:rsidR="00060954" w:rsidRPr="00060954" w:rsidRDefault="00060954" w:rsidP="00060954">
            <w:pPr>
              <w:spacing w:after="40" w:line="240" w:lineRule="auto"/>
              <w:jc w:val="both"/>
              <w:rPr>
                <w:rFonts w:ascii="Calibri" w:hAnsi="Calibri" w:cs="Calibri"/>
                <w:lang w:val="en-IN"/>
              </w:rPr>
            </w:pPr>
            <w:r w:rsidRPr="00060954">
              <w:rPr>
                <w:rFonts w:ascii="Calibri" w:hAnsi="Calibri" w:cs="Calibri"/>
                <w:lang w:val="en-IN"/>
              </w:rPr>
              <w:t>S. No.</w:t>
            </w:r>
          </w:p>
        </w:tc>
        <w:tc>
          <w:tcPr>
            <w:tcW w:w="0" w:type="auto"/>
            <w:tcBorders>
              <w:top w:val="single" w:sz="4" w:space="0" w:color="auto"/>
              <w:bottom w:val="single" w:sz="4" w:space="0" w:color="auto"/>
            </w:tcBorders>
            <w:hideMark/>
          </w:tcPr>
          <w:p w14:paraId="63D96C41" w14:textId="77777777" w:rsidR="00060954" w:rsidRPr="00060954" w:rsidRDefault="00060954" w:rsidP="00060954">
            <w:pPr>
              <w:spacing w:after="40" w:line="240" w:lineRule="auto"/>
              <w:jc w:val="both"/>
              <w:rPr>
                <w:rFonts w:ascii="Calibri" w:hAnsi="Calibri" w:cs="Calibri"/>
                <w:lang w:val="en-IN"/>
              </w:rPr>
            </w:pPr>
            <w:r w:rsidRPr="00060954">
              <w:rPr>
                <w:rFonts w:ascii="Calibri" w:hAnsi="Calibri" w:cs="Calibri"/>
                <w:lang w:val="en-IN"/>
              </w:rPr>
              <w:t>Input</w:t>
            </w:r>
          </w:p>
        </w:tc>
        <w:tc>
          <w:tcPr>
            <w:tcW w:w="0" w:type="auto"/>
            <w:tcBorders>
              <w:top w:val="single" w:sz="4" w:space="0" w:color="auto"/>
              <w:bottom w:val="single" w:sz="4" w:space="0" w:color="auto"/>
            </w:tcBorders>
            <w:hideMark/>
          </w:tcPr>
          <w:p w14:paraId="271AF0AD" w14:textId="77777777" w:rsidR="00060954" w:rsidRPr="00060954" w:rsidRDefault="00060954" w:rsidP="00060954">
            <w:pPr>
              <w:spacing w:after="40" w:line="240" w:lineRule="auto"/>
              <w:jc w:val="both"/>
              <w:rPr>
                <w:rFonts w:ascii="Calibri" w:hAnsi="Calibri" w:cs="Calibri"/>
                <w:lang w:val="en-IN"/>
              </w:rPr>
            </w:pPr>
            <w:r w:rsidRPr="00060954">
              <w:rPr>
                <w:rFonts w:ascii="Calibri" w:hAnsi="Calibri" w:cs="Calibri"/>
                <w:lang w:val="en-IN"/>
              </w:rPr>
              <w:t>Value</w:t>
            </w:r>
          </w:p>
        </w:tc>
      </w:tr>
      <w:tr w:rsidR="00060954" w:rsidRPr="00060954" w14:paraId="3D1CD4E8" w14:textId="77777777" w:rsidTr="00060954">
        <w:trPr>
          <w:jc w:val="center"/>
        </w:trPr>
        <w:tc>
          <w:tcPr>
            <w:tcW w:w="0" w:type="auto"/>
            <w:tcBorders>
              <w:top w:val="single" w:sz="4" w:space="0" w:color="auto"/>
            </w:tcBorders>
            <w:hideMark/>
          </w:tcPr>
          <w:p w14:paraId="5ED2884F" w14:textId="77777777" w:rsidR="00060954" w:rsidRPr="00060954" w:rsidRDefault="00060954" w:rsidP="00060954">
            <w:pPr>
              <w:spacing w:after="40" w:line="240" w:lineRule="auto"/>
              <w:jc w:val="both"/>
              <w:rPr>
                <w:rFonts w:ascii="Calibri" w:hAnsi="Calibri" w:cs="Calibri"/>
                <w:lang w:val="en-IN"/>
              </w:rPr>
            </w:pPr>
            <w:r w:rsidRPr="00060954">
              <w:rPr>
                <w:rFonts w:ascii="Calibri" w:hAnsi="Calibri" w:cs="Calibri"/>
                <w:lang w:val="en-IN"/>
              </w:rPr>
              <w:t>1</w:t>
            </w:r>
          </w:p>
        </w:tc>
        <w:tc>
          <w:tcPr>
            <w:tcW w:w="0" w:type="auto"/>
            <w:tcBorders>
              <w:top w:val="single" w:sz="4" w:space="0" w:color="auto"/>
            </w:tcBorders>
            <w:hideMark/>
          </w:tcPr>
          <w:p w14:paraId="4DC42BF2" w14:textId="77777777" w:rsidR="00060954" w:rsidRPr="00060954" w:rsidRDefault="00060954" w:rsidP="00060954">
            <w:pPr>
              <w:spacing w:after="40" w:line="240" w:lineRule="auto"/>
              <w:jc w:val="both"/>
              <w:rPr>
                <w:rFonts w:ascii="Calibri" w:hAnsi="Calibri" w:cs="Calibri"/>
                <w:lang w:val="en-IN"/>
              </w:rPr>
            </w:pPr>
            <w:r w:rsidRPr="00060954">
              <w:rPr>
                <w:rFonts w:ascii="Calibri" w:hAnsi="Calibri" w:cs="Calibri"/>
                <w:lang w:val="en-IN"/>
              </w:rPr>
              <w:t>Annual Water Consumption</w:t>
            </w:r>
          </w:p>
        </w:tc>
        <w:tc>
          <w:tcPr>
            <w:tcW w:w="0" w:type="auto"/>
            <w:tcBorders>
              <w:top w:val="single" w:sz="4" w:space="0" w:color="auto"/>
            </w:tcBorders>
            <w:hideMark/>
          </w:tcPr>
          <w:p w14:paraId="79D6B64E" w14:textId="77777777" w:rsidR="00060954" w:rsidRPr="00060954" w:rsidRDefault="00060954" w:rsidP="00060954">
            <w:pPr>
              <w:spacing w:after="40" w:line="240" w:lineRule="auto"/>
              <w:jc w:val="both"/>
              <w:rPr>
                <w:rFonts w:ascii="Calibri" w:hAnsi="Calibri" w:cs="Calibri"/>
                <w:lang w:val="en-IN"/>
              </w:rPr>
            </w:pPr>
            <w:r w:rsidRPr="00060954">
              <w:rPr>
                <w:rFonts w:ascii="Calibri" w:hAnsi="Calibri" w:cs="Calibri"/>
                <w:lang w:val="en-IN"/>
              </w:rPr>
              <w:t>130369 kg</w:t>
            </w:r>
          </w:p>
        </w:tc>
      </w:tr>
      <w:tr w:rsidR="00060954" w:rsidRPr="00060954" w14:paraId="5599F5CD" w14:textId="77777777" w:rsidTr="00060954">
        <w:trPr>
          <w:jc w:val="center"/>
        </w:trPr>
        <w:tc>
          <w:tcPr>
            <w:tcW w:w="0" w:type="auto"/>
            <w:hideMark/>
          </w:tcPr>
          <w:p w14:paraId="1620AAD1" w14:textId="77777777" w:rsidR="00060954" w:rsidRPr="00060954" w:rsidRDefault="00060954" w:rsidP="00060954">
            <w:pPr>
              <w:spacing w:after="40" w:line="240" w:lineRule="auto"/>
              <w:jc w:val="both"/>
              <w:rPr>
                <w:rFonts w:ascii="Calibri" w:hAnsi="Calibri" w:cs="Calibri"/>
                <w:lang w:val="en-IN"/>
              </w:rPr>
            </w:pPr>
            <w:r w:rsidRPr="00060954">
              <w:rPr>
                <w:rFonts w:ascii="Calibri" w:hAnsi="Calibri" w:cs="Calibri"/>
                <w:lang w:val="en-IN"/>
              </w:rPr>
              <w:t>2</w:t>
            </w:r>
          </w:p>
        </w:tc>
        <w:tc>
          <w:tcPr>
            <w:tcW w:w="0" w:type="auto"/>
            <w:hideMark/>
          </w:tcPr>
          <w:p w14:paraId="7E45C1EE" w14:textId="77777777" w:rsidR="00060954" w:rsidRPr="00060954" w:rsidRDefault="00060954" w:rsidP="00060954">
            <w:pPr>
              <w:spacing w:after="40" w:line="240" w:lineRule="auto"/>
              <w:jc w:val="both"/>
              <w:rPr>
                <w:rFonts w:ascii="Calibri" w:hAnsi="Calibri" w:cs="Calibri"/>
                <w:lang w:val="en-IN"/>
              </w:rPr>
            </w:pPr>
            <w:r w:rsidRPr="00060954">
              <w:rPr>
                <w:rFonts w:ascii="Calibri" w:hAnsi="Calibri" w:cs="Calibri"/>
                <w:lang w:val="en-IN"/>
              </w:rPr>
              <w:t>Annual Electricity Use</w:t>
            </w:r>
          </w:p>
        </w:tc>
        <w:tc>
          <w:tcPr>
            <w:tcW w:w="0" w:type="auto"/>
            <w:hideMark/>
          </w:tcPr>
          <w:p w14:paraId="552DB588" w14:textId="77777777" w:rsidR="00060954" w:rsidRPr="00060954" w:rsidRDefault="00060954" w:rsidP="00060954">
            <w:pPr>
              <w:spacing w:after="40" w:line="240" w:lineRule="auto"/>
              <w:jc w:val="both"/>
              <w:rPr>
                <w:rFonts w:ascii="Calibri" w:hAnsi="Calibri" w:cs="Calibri"/>
                <w:lang w:val="en-IN"/>
              </w:rPr>
            </w:pPr>
            <w:r w:rsidRPr="00060954">
              <w:rPr>
                <w:rFonts w:ascii="Calibri" w:hAnsi="Calibri" w:cs="Calibri"/>
                <w:lang w:val="en-IN"/>
              </w:rPr>
              <w:t>200888 kWh</w:t>
            </w:r>
          </w:p>
        </w:tc>
      </w:tr>
      <w:tr w:rsidR="00060954" w:rsidRPr="00060954" w14:paraId="4CE03D66" w14:textId="77777777" w:rsidTr="00060954">
        <w:trPr>
          <w:jc w:val="center"/>
        </w:trPr>
        <w:tc>
          <w:tcPr>
            <w:tcW w:w="0" w:type="auto"/>
            <w:hideMark/>
          </w:tcPr>
          <w:p w14:paraId="0E7799AF" w14:textId="77777777" w:rsidR="00060954" w:rsidRPr="00060954" w:rsidRDefault="00060954" w:rsidP="00060954">
            <w:pPr>
              <w:spacing w:after="40" w:line="240" w:lineRule="auto"/>
              <w:jc w:val="both"/>
              <w:rPr>
                <w:rFonts w:ascii="Calibri" w:hAnsi="Calibri" w:cs="Calibri"/>
                <w:lang w:val="en-IN"/>
              </w:rPr>
            </w:pPr>
            <w:r w:rsidRPr="00060954">
              <w:rPr>
                <w:rFonts w:ascii="Calibri" w:hAnsi="Calibri" w:cs="Calibri"/>
                <w:lang w:val="en-IN"/>
              </w:rPr>
              <w:t>3</w:t>
            </w:r>
          </w:p>
        </w:tc>
        <w:tc>
          <w:tcPr>
            <w:tcW w:w="0" w:type="auto"/>
            <w:hideMark/>
          </w:tcPr>
          <w:p w14:paraId="1D4F8ABE" w14:textId="77777777" w:rsidR="00060954" w:rsidRPr="00060954" w:rsidRDefault="00060954" w:rsidP="00060954">
            <w:pPr>
              <w:spacing w:after="40" w:line="240" w:lineRule="auto"/>
              <w:jc w:val="both"/>
              <w:rPr>
                <w:rFonts w:ascii="Calibri" w:hAnsi="Calibri" w:cs="Calibri"/>
                <w:lang w:val="en-IN"/>
              </w:rPr>
            </w:pPr>
            <w:r w:rsidRPr="00060954">
              <w:rPr>
                <w:rFonts w:ascii="Calibri" w:hAnsi="Calibri" w:cs="Calibri"/>
                <w:lang w:val="en-IN"/>
              </w:rPr>
              <w:t>Gross Internal Floor Area</w:t>
            </w:r>
          </w:p>
        </w:tc>
        <w:tc>
          <w:tcPr>
            <w:tcW w:w="0" w:type="auto"/>
            <w:hideMark/>
          </w:tcPr>
          <w:p w14:paraId="0F8A6F65" w14:textId="77777777" w:rsidR="00060954" w:rsidRPr="00060954" w:rsidRDefault="00060954" w:rsidP="00060954">
            <w:pPr>
              <w:spacing w:after="40" w:line="240" w:lineRule="auto"/>
              <w:jc w:val="both"/>
              <w:rPr>
                <w:rFonts w:ascii="Calibri" w:hAnsi="Calibri" w:cs="Calibri"/>
                <w:lang w:val="en-IN"/>
              </w:rPr>
            </w:pPr>
            <w:r w:rsidRPr="00060954">
              <w:rPr>
                <w:rFonts w:ascii="Calibri" w:hAnsi="Calibri" w:cs="Calibri"/>
                <w:lang w:val="en-IN"/>
              </w:rPr>
              <w:t>1520 m²</w:t>
            </w:r>
          </w:p>
        </w:tc>
      </w:tr>
      <w:tr w:rsidR="00060954" w:rsidRPr="00060954" w14:paraId="54695D6E" w14:textId="77777777" w:rsidTr="00060954">
        <w:trPr>
          <w:jc w:val="center"/>
        </w:trPr>
        <w:tc>
          <w:tcPr>
            <w:tcW w:w="0" w:type="auto"/>
            <w:hideMark/>
          </w:tcPr>
          <w:p w14:paraId="51A04560" w14:textId="77777777" w:rsidR="00060954" w:rsidRPr="00060954" w:rsidRDefault="00060954" w:rsidP="00060954">
            <w:pPr>
              <w:spacing w:after="40" w:line="240" w:lineRule="auto"/>
              <w:jc w:val="both"/>
              <w:rPr>
                <w:rFonts w:ascii="Calibri" w:hAnsi="Calibri" w:cs="Calibri"/>
                <w:lang w:val="en-IN"/>
              </w:rPr>
            </w:pPr>
            <w:r w:rsidRPr="00060954">
              <w:rPr>
                <w:rFonts w:ascii="Calibri" w:hAnsi="Calibri" w:cs="Calibri"/>
                <w:lang w:val="en-IN"/>
              </w:rPr>
              <w:t>4</w:t>
            </w:r>
          </w:p>
        </w:tc>
        <w:tc>
          <w:tcPr>
            <w:tcW w:w="0" w:type="auto"/>
            <w:hideMark/>
          </w:tcPr>
          <w:p w14:paraId="0C924D1E" w14:textId="77777777" w:rsidR="00060954" w:rsidRPr="00060954" w:rsidRDefault="00060954" w:rsidP="00060954">
            <w:pPr>
              <w:spacing w:after="40" w:line="240" w:lineRule="auto"/>
              <w:jc w:val="both"/>
              <w:rPr>
                <w:rFonts w:ascii="Calibri" w:hAnsi="Calibri" w:cs="Calibri"/>
                <w:lang w:val="en-IN"/>
              </w:rPr>
            </w:pPr>
            <w:r w:rsidRPr="00060954">
              <w:rPr>
                <w:rFonts w:ascii="Calibri" w:hAnsi="Calibri" w:cs="Calibri"/>
                <w:lang w:val="en-IN"/>
              </w:rPr>
              <w:t>Calculation Period</w:t>
            </w:r>
          </w:p>
        </w:tc>
        <w:tc>
          <w:tcPr>
            <w:tcW w:w="0" w:type="auto"/>
            <w:hideMark/>
          </w:tcPr>
          <w:p w14:paraId="63A5382F" w14:textId="77777777" w:rsidR="00060954" w:rsidRPr="00060954" w:rsidRDefault="00060954" w:rsidP="00060954">
            <w:pPr>
              <w:spacing w:after="40" w:line="240" w:lineRule="auto"/>
              <w:jc w:val="both"/>
              <w:rPr>
                <w:rFonts w:ascii="Calibri" w:hAnsi="Calibri" w:cs="Calibri"/>
                <w:lang w:val="en-IN"/>
              </w:rPr>
            </w:pPr>
            <w:r w:rsidRPr="00060954">
              <w:rPr>
                <w:rFonts w:ascii="Calibri" w:hAnsi="Calibri" w:cs="Calibri"/>
                <w:lang w:val="en-IN"/>
              </w:rPr>
              <w:t>50 years</w:t>
            </w:r>
          </w:p>
        </w:tc>
      </w:tr>
    </w:tbl>
    <w:p w14:paraId="77255A57" w14:textId="77777777" w:rsidR="00AA7F4E" w:rsidRPr="00D51E51" w:rsidRDefault="00AA7F4E" w:rsidP="00B54F00">
      <w:pPr>
        <w:spacing w:after="40" w:line="240" w:lineRule="auto"/>
        <w:jc w:val="both"/>
        <w:rPr>
          <w:rFonts w:ascii="Calibri" w:hAnsi="Calibri" w:cs="Calibri"/>
          <w:sz w:val="20"/>
          <w:szCs w:val="20"/>
        </w:rPr>
      </w:pPr>
    </w:p>
    <w:p w14:paraId="0060A9A7" w14:textId="5C80B3F6" w:rsidR="00337AF7" w:rsidRDefault="006B0EC3" w:rsidP="00337AF7">
      <w:pPr>
        <w:spacing w:after="40" w:line="240" w:lineRule="auto"/>
        <w:rPr>
          <w:rFonts w:ascii="Calibri" w:hAnsi="Calibri" w:cs="Calibri"/>
          <w:b/>
          <w:bCs/>
          <w:sz w:val="24"/>
          <w:szCs w:val="24"/>
        </w:rPr>
      </w:pPr>
      <w:r>
        <w:rPr>
          <w:rFonts w:ascii="Calibri" w:hAnsi="Calibri" w:cs="Calibri"/>
          <w:b/>
          <w:bCs/>
          <w:sz w:val="24"/>
          <w:szCs w:val="24"/>
        </w:rPr>
        <w:t>Phase 3: GRIHA</w:t>
      </w:r>
      <w:r w:rsidR="000A340C">
        <w:rPr>
          <w:rFonts w:ascii="Calibri" w:hAnsi="Calibri" w:cs="Calibri"/>
          <w:b/>
          <w:bCs/>
          <w:sz w:val="24"/>
          <w:szCs w:val="24"/>
        </w:rPr>
        <w:t xml:space="preserve"> performance mapping</w:t>
      </w:r>
    </w:p>
    <w:p w14:paraId="3C1070F9" w14:textId="5C7A3ED8" w:rsidR="00054B09" w:rsidRDefault="00C95EA4" w:rsidP="00793595">
      <w:pPr>
        <w:spacing w:after="40" w:line="240" w:lineRule="auto"/>
        <w:ind w:firstLine="720"/>
        <w:jc w:val="both"/>
        <w:rPr>
          <w:rFonts w:ascii="Calibri" w:hAnsi="Calibri" w:cs="Calibri"/>
        </w:rPr>
      </w:pPr>
      <w:r w:rsidRPr="00C95EA4">
        <w:rPr>
          <w:rFonts w:ascii="Calibri" w:hAnsi="Calibri" w:cs="Calibri"/>
        </w:rPr>
        <w:t>Following completion of the BIM model and One Click LCA analysis, the project was appraised against a curated set of GRIHA v6 criteria. The GRIHA v6 Manual</w:t>
      </w:r>
      <w:r>
        <w:rPr>
          <w:rFonts w:ascii="Calibri" w:hAnsi="Calibri" w:cs="Calibri"/>
        </w:rPr>
        <w:t xml:space="preserve"> </w:t>
      </w:r>
      <w:r w:rsidRPr="00C95EA4">
        <w:rPr>
          <w:rFonts w:ascii="Calibri" w:hAnsi="Calibri" w:cs="Calibri"/>
        </w:rPr>
        <w:t>was systematically reviewed to identify criteria that are (i) applicable to a PMAY-U G+3 residential typology and (ii) assessable using the available data sources</w:t>
      </w:r>
      <w:r w:rsidR="00513C71">
        <w:rPr>
          <w:rFonts w:ascii="Calibri" w:hAnsi="Calibri" w:cs="Calibri"/>
        </w:rPr>
        <w:t>,</w:t>
      </w:r>
      <w:r w:rsidRPr="00C95EA4">
        <w:rPr>
          <w:rFonts w:ascii="Calibri" w:hAnsi="Calibri" w:cs="Calibri"/>
        </w:rPr>
        <w:t xml:space="preserve"> namely the BOQ, EAR, Revit model outputs, One Click LCA results, and the HUDCO compendium. The seven criteria selected for appraisal are listed in</w:t>
      </w:r>
      <w:r w:rsidR="00513C71">
        <w:rPr>
          <w:rFonts w:ascii="Calibri" w:hAnsi="Calibri" w:cs="Calibri"/>
        </w:rPr>
        <w:t xml:space="preserve"> </w:t>
      </w:r>
      <w:r w:rsidR="00513C71">
        <w:rPr>
          <w:rFonts w:ascii="Calibri" w:hAnsi="Calibri" w:cs="Calibri"/>
        </w:rPr>
        <w:fldChar w:fldCharType="begin"/>
      </w:r>
      <w:r w:rsidR="00513C71">
        <w:rPr>
          <w:rFonts w:ascii="Calibri" w:hAnsi="Calibri" w:cs="Calibri"/>
        </w:rPr>
        <w:instrText xml:space="preserve"> REF _Ref230250550 \h </w:instrText>
      </w:r>
      <w:r w:rsidR="00513C71">
        <w:rPr>
          <w:rFonts w:ascii="Calibri" w:hAnsi="Calibri" w:cs="Calibri"/>
        </w:rPr>
      </w:r>
      <w:r w:rsidR="00513C71">
        <w:rPr>
          <w:rFonts w:ascii="Calibri" w:hAnsi="Calibri" w:cs="Calibri"/>
        </w:rPr>
        <w:fldChar w:fldCharType="separate"/>
      </w:r>
      <w:r w:rsidR="00513C71" w:rsidRPr="0000392B">
        <w:rPr>
          <w:rFonts w:ascii="Calibri" w:hAnsi="Calibri" w:cs="Calibri"/>
          <w:sz w:val="20"/>
          <w:szCs w:val="20"/>
        </w:rPr>
        <w:t xml:space="preserve">Table </w:t>
      </w:r>
      <w:r w:rsidR="00513C71">
        <w:rPr>
          <w:rFonts w:ascii="Calibri" w:hAnsi="Calibri" w:cs="Calibri"/>
          <w:noProof/>
          <w:sz w:val="20"/>
          <w:szCs w:val="20"/>
        </w:rPr>
        <w:t>3</w:t>
      </w:r>
      <w:r w:rsidR="00513C71">
        <w:rPr>
          <w:rFonts w:ascii="Calibri" w:hAnsi="Calibri" w:cs="Calibri"/>
        </w:rPr>
        <w:fldChar w:fldCharType="end"/>
      </w:r>
      <w:r w:rsidR="00513C71">
        <w:rPr>
          <w:rFonts w:ascii="Calibri" w:hAnsi="Calibri" w:cs="Calibri"/>
        </w:rPr>
        <w:t xml:space="preserve">. </w:t>
      </w:r>
    </w:p>
    <w:p w14:paraId="49C2AC33" w14:textId="7B0F2C8B" w:rsidR="0000392B" w:rsidRPr="0000392B" w:rsidRDefault="0000392B" w:rsidP="0000392B">
      <w:pPr>
        <w:pStyle w:val="Caption"/>
        <w:keepNext/>
        <w:jc w:val="center"/>
        <w:rPr>
          <w:rFonts w:ascii="Calibri" w:hAnsi="Calibri" w:cs="Calibri"/>
          <w:color w:val="auto"/>
          <w:sz w:val="20"/>
          <w:szCs w:val="20"/>
        </w:rPr>
      </w:pPr>
      <w:bookmarkStart w:id="6" w:name="_Ref230250550"/>
      <w:r w:rsidRPr="0000392B">
        <w:rPr>
          <w:rFonts w:ascii="Calibri" w:hAnsi="Calibri" w:cs="Calibri"/>
          <w:color w:val="auto"/>
          <w:sz w:val="20"/>
          <w:szCs w:val="20"/>
        </w:rPr>
        <w:t xml:space="preserve">Table </w:t>
      </w:r>
      <w:r w:rsidRPr="0000392B">
        <w:rPr>
          <w:rFonts w:ascii="Calibri" w:hAnsi="Calibri" w:cs="Calibri"/>
          <w:color w:val="auto"/>
          <w:sz w:val="20"/>
          <w:szCs w:val="20"/>
        </w:rPr>
        <w:fldChar w:fldCharType="begin"/>
      </w:r>
      <w:r w:rsidRPr="0000392B">
        <w:rPr>
          <w:rFonts w:ascii="Calibri" w:hAnsi="Calibri" w:cs="Calibri"/>
          <w:color w:val="auto"/>
          <w:sz w:val="20"/>
          <w:szCs w:val="20"/>
        </w:rPr>
        <w:instrText xml:space="preserve"> SEQ Table \* ARABIC </w:instrText>
      </w:r>
      <w:r w:rsidRPr="0000392B">
        <w:rPr>
          <w:rFonts w:ascii="Calibri" w:hAnsi="Calibri" w:cs="Calibri"/>
          <w:color w:val="auto"/>
          <w:sz w:val="20"/>
          <w:szCs w:val="20"/>
        </w:rPr>
        <w:fldChar w:fldCharType="separate"/>
      </w:r>
      <w:r w:rsidR="00CE3431">
        <w:rPr>
          <w:rFonts w:ascii="Calibri" w:hAnsi="Calibri" w:cs="Calibri"/>
          <w:noProof/>
          <w:color w:val="auto"/>
          <w:sz w:val="20"/>
          <w:szCs w:val="20"/>
        </w:rPr>
        <w:t>3</w:t>
      </w:r>
      <w:r w:rsidRPr="0000392B">
        <w:rPr>
          <w:rFonts w:ascii="Calibri" w:hAnsi="Calibri" w:cs="Calibri"/>
          <w:color w:val="auto"/>
          <w:sz w:val="20"/>
          <w:szCs w:val="20"/>
        </w:rPr>
        <w:fldChar w:fldCharType="end"/>
      </w:r>
      <w:bookmarkEnd w:id="6"/>
      <w:r w:rsidRPr="0000392B">
        <w:rPr>
          <w:rFonts w:ascii="Calibri" w:hAnsi="Calibri" w:cs="Calibri"/>
          <w:color w:val="auto"/>
          <w:sz w:val="20"/>
          <w:szCs w:val="20"/>
        </w:rPr>
        <w:t>:  Summary of GRIHA criteria appraised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6861"/>
        <w:gridCol w:w="1319"/>
      </w:tblGrid>
      <w:tr w:rsidR="00755088" w:rsidRPr="0020483B" w14:paraId="2C2112FE" w14:textId="77777777" w:rsidTr="00573039">
        <w:tc>
          <w:tcPr>
            <w:tcW w:w="846" w:type="dxa"/>
            <w:tcBorders>
              <w:top w:val="single" w:sz="4" w:space="0" w:color="auto"/>
              <w:bottom w:val="single" w:sz="4" w:space="0" w:color="auto"/>
            </w:tcBorders>
            <w:hideMark/>
          </w:tcPr>
          <w:p w14:paraId="7496F2B3"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S. No.</w:t>
            </w:r>
          </w:p>
        </w:tc>
        <w:tc>
          <w:tcPr>
            <w:tcW w:w="6861" w:type="dxa"/>
            <w:tcBorders>
              <w:top w:val="single" w:sz="4" w:space="0" w:color="auto"/>
              <w:bottom w:val="single" w:sz="4" w:space="0" w:color="auto"/>
            </w:tcBorders>
            <w:hideMark/>
          </w:tcPr>
          <w:p w14:paraId="5DE9C40C"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Appraisal</w:t>
            </w:r>
          </w:p>
        </w:tc>
        <w:tc>
          <w:tcPr>
            <w:tcW w:w="0" w:type="auto"/>
            <w:tcBorders>
              <w:top w:val="single" w:sz="4" w:space="0" w:color="auto"/>
              <w:bottom w:val="single" w:sz="4" w:space="0" w:color="auto"/>
            </w:tcBorders>
            <w:hideMark/>
          </w:tcPr>
          <w:p w14:paraId="6C12E67C"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Maximum Points</w:t>
            </w:r>
          </w:p>
        </w:tc>
      </w:tr>
      <w:tr w:rsidR="00755088" w:rsidRPr="0020483B" w14:paraId="6CD2E747" w14:textId="77777777" w:rsidTr="00573039">
        <w:tc>
          <w:tcPr>
            <w:tcW w:w="846" w:type="dxa"/>
            <w:tcBorders>
              <w:top w:val="single" w:sz="4" w:space="0" w:color="auto"/>
            </w:tcBorders>
            <w:hideMark/>
          </w:tcPr>
          <w:p w14:paraId="0BE25C24"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1.</w:t>
            </w:r>
          </w:p>
        </w:tc>
        <w:tc>
          <w:tcPr>
            <w:tcW w:w="6861" w:type="dxa"/>
            <w:tcBorders>
              <w:top w:val="single" w:sz="4" w:space="0" w:color="auto"/>
            </w:tcBorders>
            <w:hideMark/>
          </w:tcPr>
          <w:p w14:paraId="05F57798" w14:textId="432DDFC0"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 xml:space="preserve">7.1.2: Ensure that the heat gain through the building envelope (air-conditioned and hybrid buildings) is below the GRIHA threshold for peak heat gain as per </w:t>
            </w:r>
            <w:r w:rsidR="00232C57">
              <w:rPr>
                <w:rFonts w:ascii="Calibri" w:hAnsi="Calibri" w:cs="Calibri"/>
                <w:lang w:val="en-IN"/>
              </w:rPr>
              <w:t>Table</w:t>
            </w:r>
            <w:r w:rsidRPr="0020483B">
              <w:rPr>
                <w:rFonts w:ascii="Calibri" w:hAnsi="Calibri" w:cs="Calibri"/>
                <w:lang w:val="en-IN"/>
              </w:rPr>
              <w:t xml:space="preserve"> 7.1c of GRIHA Version 6 Manual</w:t>
            </w:r>
          </w:p>
        </w:tc>
        <w:tc>
          <w:tcPr>
            <w:tcW w:w="0" w:type="auto"/>
            <w:tcBorders>
              <w:top w:val="single" w:sz="4" w:space="0" w:color="auto"/>
            </w:tcBorders>
            <w:hideMark/>
          </w:tcPr>
          <w:p w14:paraId="34F9C3A2"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2</w:t>
            </w:r>
          </w:p>
        </w:tc>
      </w:tr>
      <w:tr w:rsidR="00755088" w:rsidRPr="0020483B" w14:paraId="0389C93B" w14:textId="77777777" w:rsidTr="00573039">
        <w:tc>
          <w:tcPr>
            <w:tcW w:w="846" w:type="dxa"/>
            <w:hideMark/>
          </w:tcPr>
          <w:p w14:paraId="71FF8F4B"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2.</w:t>
            </w:r>
          </w:p>
        </w:tc>
        <w:tc>
          <w:tcPr>
            <w:tcW w:w="6861" w:type="dxa"/>
            <w:hideMark/>
          </w:tcPr>
          <w:p w14:paraId="74291DDD" w14:textId="1E90E941"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 xml:space="preserve">7.1.4: Ensure that the project demonstrates </w:t>
            </w:r>
            <w:r w:rsidR="00232C57">
              <w:rPr>
                <w:rFonts w:ascii="Calibri" w:hAnsi="Calibri" w:cs="Calibri"/>
                <w:lang w:val="en-IN"/>
              </w:rPr>
              <w:t xml:space="preserve">a reduction from the GRIHA benchmark for EPI as per Table 7.2c of the </w:t>
            </w:r>
            <w:r w:rsidRPr="0020483B">
              <w:rPr>
                <w:rFonts w:ascii="Calibri" w:hAnsi="Calibri" w:cs="Calibri"/>
                <w:lang w:val="en-IN"/>
              </w:rPr>
              <w:t xml:space="preserve">GRIHA Manual. Additional reduction in EPI will be awarded points as </w:t>
            </w:r>
            <w:r w:rsidR="0043728B">
              <w:rPr>
                <w:rFonts w:ascii="Calibri" w:hAnsi="Calibri" w:cs="Calibri"/>
                <w:lang w:val="en-IN"/>
              </w:rPr>
              <w:t xml:space="preserve">per Table 7.3c of the </w:t>
            </w:r>
            <w:r w:rsidRPr="0020483B">
              <w:rPr>
                <w:rFonts w:ascii="Calibri" w:hAnsi="Calibri" w:cs="Calibri"/>
                <w:lang w:val="en-IN"/>
              </w:rPr>
              <w:t>GRIHA Manual.</w:t>
            </w:r>
          </w:p>
        </w:tc>
        <w:tc>
          <w:tcPr>
            <w:tcW w:w="0" w:type="auto"/>
            <w:hideMark/>
          </w:tcPr>
          <w:p w14:paraId="686B9D98"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8</w:t>
            </w:r>
          </w:p>
        </w:tc>
      </w:tr>
      <w:tr w:rsidR="00755088" w:rsidRPr="0020483B" w14:paraId="5DE22772" w14:textId="77777777" w:rsidTr="00573039">
        <w:tc>
          <w:tcPr>
            <w:tcW w:w="846" w:type="dxa"/>
            <w:hideMark/>
          </w:tcPr>
          <w:p w14:paraId="57F99D52"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3.</w:t>
            </w:r>
          </w:p>
        </w:tc>
        <w:tc>
          <w:tcPr>
            <w:tcW w:w="6861" w:type="dxa"/>
            <w:hideMark/>
          </w:tcPr>
          <w:p w14:paraId="1E15382B" w14:textId="7306C4FB"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 xml:space="preserve">8.1.1: Ensure installation of on-site and off-site RE </w:t>
            </w:r>
            <w:r w:rsidR="00232C57">
              <w:rPr>
                <w:rFonts w:ascii="Calibri" w:hAnsi="Calibri" w:cs="Calibri"/>
                <w:lang w:val="en-IN"/>
              </w:rPr>
              <w:t>systems to offset a part of the annual energy consumption of internal artificial lighting and HVAC systems,</w:t>
            </w:r>
            <w:r w:rsidRPr="0020483B">
              <w:rPr>
                <w:rFonts w:ascii="Calibri" w:hAnsi="Calibri" w:cs="Calibri"/>
                <w:lang w:val="en-IN"/>
              </w:rPr>
              <w:t xml:space="preserve"> as mentioned in Table 8.1c GRIHA Version 6 Manual.</w:t>
            </w:r>
          </w:p>
        </w:tc>
        <w:tc>
          <w:tcPr>
            <w:tcW w:w="0" w:type="auto"/>
            <w:hideMark/>
          </w:tcPr>
          <w:p w14:paraId="2F189A3F"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5</w:t>
            </w:r>
          </w:p>
        </w:tc>
      </w:tr>
      <w:tr w:rsidR="00755088" w:rsidRPr="0020483B" w14:paraId="5647CBC1" w14:textId="77777777" w:rsidTr="00573039">
        <w:tc>
          <w:tcPr>
            <w:tcW w:w="846" w:type="dxa"/>
            <w:hideMark/>
          </w:tcPr>
          <w:p w14:paraId="481021F8"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4.</w:t>
            </w:r>
          </w:p>
        </w:tc>
        <w:tc>
          <w:tcPr>
            <w:tcW w:w="6861" w:type="dxa"/>
            <w:hideMark/>
          </w:tcPr>
          <w:p w14:paraId="2DF413F7"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14.1.1 Ensure that 100% of wastewater generated on-site is treated through either a chemical-based or a natural wastewater treatment system.</w:t>
            </w:r>
          </w:p>
        </w:tc>
        <w:tc>
          <w:tcPr>
            <w:tcW w:w="0" w:type="auto"/>
            <w:hideMark/>
          </w:tcPr>
          <w:p w14:paraId="07AEC1A7"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1</w:t>
            </w:r>
          </w:p>
        </w:tc>
      </w:tr>
      <w:tr w:rsidR="00755088" w:rsidRPr="0020483B" w14:paraId="782AF6D0" w14:textId="77777777" w:rsidTr="00573039">
        <w:tc>
          <w:tcPr>
            <w:tcW w:w="846" w:type="dxa"/>
            <w:hideMark/>
          </w:tcPr>
          <w:p w14:paraId="1B608BC6"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5.</w:t>
            </w:r>
          </w:p>
        </w:tc>
        <w:tc>
          <w:tcPr>
            <w:tcW w:w="6861" w:type="dxa"/>
            <w:hideMark/>
          </w:tcPr>
          <w:p w14:paraId="61DEEA8B" w14:textId="633F8012"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 xml:space="preserve">15.1.1: Demonstrate that the post-construction </w:t>
            </w:r>
            <w:r w:rsidR="00232C57">
              <w:rPr>
                <w:rFonts w:ascii="Calibri" w:hAnsi="Calibri" w:cs="Calibri"/>
                <w:lang w:val="en-IN"/>
              </w:rPr>
              <w:t>stormwater</w:t>
            </w:r>
            <w:r w:rsidRPr="0020483B">
              <w:rPr>
                <w:rFonts w:ascii="Calibri" w:hAnsi="Calibri" w:cs="Calibri"/>
                <w:lang w:val="en-IN"/>
              </w:rPr>
              <w:t xml:space="preserve"> run-off from the site is being managed within the GRIHA project boundary as per Table 15.1c based on the peak hourly rainfall (mm/h)</w:t>
            </w:r>
          </w:p>
        </w:tc>
        <w:tc>
          <w:tcPr>
            <w:tcW w:w="0" w:type="auto"/>
            <w:hideMark/>
          </w:tcPr>
          <w:p w14:paraId="3FD8B881"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5</w:t>
            </w:r>
          </w:p>
        </w:tc>
      </w:tr>
      <w:tr w:rsidR="00755088" w:rsidRPr="0020483B" w14:paraId="7B01AD34" w14:textId="77777777" w:rsidTr="00573039">
        <w:tc>
          <w:tcPr>
            <w:tcW w:w="846" w:type="dxa"/>
            <w:hideMark/>
          </w:tcPr>
          <w:p w14:paraId="234B947B"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6.</w:t>
            </w:r>
          </w:p>
        </w:tc>
        <w:tc>
          <w:tcPr>
            <w:tcW w:w="6861" w:type="dxa"/>
            <w:hideMark/>
          </w:tcPr>
          <w:p w14:paraId="258C0388" w14:textId="193F7350"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 xml:space="preserve">19.1.3 Ensure that all internal and external, </w:t>
            </w:r>
            <w:proofErr w:type="gramStart"/>
            <w:r w:rsidR="00AC3817">
              <w:rPr>
                <w:rFonts w:ascii="Calibri" w:hAnsi="Calibri" w:cs="Calibri"/>
                <w:lang w:val="en-IN"/>
              </w:rPr>
              <w:t>load-bearing</w:t>
            </w:r>
            <w:proofErr w:type="gramEnd"/>
            <w:r w:rsidR="00AC3817">
              <w:rPr>
                <w:rFonts w:ascii="Calibri" w:hAnsi="Calibri" w:cs="Calibri"/>
                <w:lang w:val="en-IN"/>
              </w:rPr>
              <w:t>, non-</w:t>
            </w:r>
            <w:proofErr w:type="gramStart"/>
            <w:r w:rsidR="00AC3817">
              <w:rPr>
                <w:rFonts w:ascii="Calibri" w:hAnsi="Calibri" w:cs="Calibri"/>
                <w:lang w:val="en-IN"/>
              </w:rPr>
              <w:t>load-bearing</w:t>
            </w:r>
            <w:proofErr w:type="gramEnd"/>
            <w:r w:rsidR="00232C57">
              <w:rPr>
                <w:rFonts w:ascii="Calibri" w:hAnsi="Calibri" w:cs="Calibri"/>
                <w:lang w:val="en-IN"/>
              </w:rPr>
              <w:t>, and partition walls are constructed with any or a combination of the following</w:t>
            </w:r>
            <w:r w:rsidRPr="0020483B">
              <w:rPr>
                <w:rFonts w:ascii="Calibri" w:hAnsi="Calibri" w:cs="Calibri"/>
                <w:lang w:val="en-IN"/>
              </w:rPr>
              <w:t xml:space="preserve"> alternative materials.</w:t>
            </w:r>
          </w:p>
        </w:tc>
        <w:tc>
          <w:tcPr>
            <w:tcW w:w="0" w:type="auto"/>
            <w:hideMark/>
          </w:tcPr>
          <w:p w14:paraId="077051E0"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1</w:t>
            </w:r>
          </w:p>
        </w:tc>
      </w:tr>
      <w:tr w:rsidR="00755088" w:rsidRPr="0020483B" w14:paraId="38910ECC" w14:textId="77777777" w:rsidTr="00573039">
        <w:tc>
          <w:tcPr>
            <w:tcW w:w="846" w:type="dxa"/>
            <w:hideMark/>
          </w:tcPr>
          <w:p w14:paraId="0A5E91E4"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7.</w:t>
            </w:r>
          </w:p>
        </w:tc>
        <w:tc>
          <w:tcPr>
            <w:tcW w:w="6861" w:type="dxa"/>
            <w:hideMark/>
          </w:tcPr>
          <w:p w14:paraId="690F7DD1" w14:textId="03D52BB1"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 xml:space="preserve">21.1.1 Demonstrate a reduction in GWP values of the components in </w:t>
            </w:r>
            <w:r w:rsidR="00232C57">
              <w:rPr>
                <w:rFonts w:ascii="Calibri" w:hAnsi="Calibri" w:cs="Calibri"/>
                <w:lang w:val="en-IN"/>
              </w:rPr>
              <w:t>the primary materials category of the project from baseline values according to Table</w:t>
            </w:r>
            <w:r w:rsidRPr="0020483B">
              <w:rPr>
                <w:rFonts w:ascii="Calibri" w:hAnsi="Calibri" w:cs="Calibri"/>
                <w:lang w:val="en-IN"/>
              </w:rPr>
              <w:t xml:space="preserve"> 21.1c.</w:t>
            </w:r>
          </w:p>
        </w:tc>
        <w:tc>
          <w:tcPr>
            <w:tcW w:w="0" w:type="auto"/>
            <w:hideMark/>
          </w:tcPr>
          <w:p w14:paraId="125A984A" w14:textId="77777777" w:rsidR="00755088" w:rsidRPr="0020483B" w:rsidRDefault="00755088" w:rsidP="00755088">
            <w:pPr>
              <w:spacing w:after="40" w:line="240" w:lineRule="auto"/>
              <w:jc w:val="both"/>
              <w:rPr>
                <w:rFonts w:ascii="Calibri" w:hAnsi="Calibri" w:cs="Calibri"/>
                <w:lang w:val="en-IN"/>
              </w:rPr>
            </w:pPr>
            <w:r w:rsidRPr="0020483B">
              <w:rPr>
                <w:rFonts w:ascii="Calibri" w:hAnsi="Calibri" w:cs="Calibri"/>
                <w:lang w:val="en-IN"/>
              </w:rPr>
              <w:t>5</w:t>
            </w:r>
          </w:p>
        </w:tc>
      </w:tr>
    </w:tbl>
    <w:p w14:paraId="515AA416" w14:textId="77777777" w:rsidR="00755088" w:rsidRDefault="00755088" w:rsidP="00D0236A">
      <w:pPr>
        <w:spacing w:after="40" w:line="240" w:lineRule="auto"/>
        <w:jc w:val="both"/>
        <w:rPr>
          <w:rFonts w:ascii="Calibri" w:hAnsi="Calibri" w:cs="Calibri"/>
        </w:rPr>
      </w:pPr>
    </w:p>
    <w:p w14:paraId="2FB2FF77" w14:textId="1996F3F8" w:rsidR="00D44D3A" w:rsidRPr="00D44D3A" w:rsidRDefault="00D44D3A" w:rsidP="00D44D3A">
      <w:pPr>
        <w:spacing w:after="40" w:line="240" w:lineRule="auto"/>
        <w:jc w:val="both"/>
        <w:rPr>
          <w:rFonts w:ascii="Calibri" w:hAnsi="Calibri" w:cs="Calibri"/>
        </w:rPr>
      </w:pPr>
      <w:r w:rsidRPr="00D44D3A">
        <w:rPr>
          <w:rFonts w:ascii="Calibri" w:hAnsi="Calibri" w:cs="Calibri"/>
        </w:rPr>
        <w:t>The following data sources were employed to populate each criterion:</w:t>
      </w:r>
    </w:p>
    <w:p w14:paraId="00FF402A" w14:textId="52DA2F72" w:rsidR="00D44D3A" w:rsidRPr="00D44D3A" w:rsidRDefault="00D44D3A" w:rsidP="00D44D3A">
      <w:pPr>
        <w:pStyle w:val="ListParagraph"/>
        <w:numPr>
          <w:ilvl w:val="0"/>
          <w:numId w:val="10"/>
        </w:numPr>
        <w:spacing w:after="40" w:line="240" w:lineRule="auto"/>
        <w:jc w:val="both"/>
        <w:rPr>
          <w:rFonts w:ascii="Calibri" w:hAnsi="Calibri" w:cs="Calibri"/>
        </w:rPr>
      </w:pPr>
      <w:r w:rsidRPr="00D44D3A">
        <w:rPr>
          <w:rFonts w:ascii="Calibri" w:hAnsi="Calibri" w:cs="Calibri"/>
        </w:rPr>
        <w:lastRenderedPageBreak/>
        <w:t>Bill of Quantities (BOQ)</w:t>
      </w:r>
      <w:r w:rsidR="0036105C">
        <w:rPr>
          <w:rFonts w:ascii="Calibri" w:hAnsi="Calibri" w:cs="Calibri"/>
        </w:rPr>
        <w:t xml:space="preserve"> and Architectural </w:t>
      </w:r>
      <w:r w:rsidR="00B57F9C">
        <w:rPr>
          <w:rFonts w:ascii="Calibri" w:hAnsi="Calibri" w:cs="Calibri"/>
        </w:rPr>
        <w:t>Drawings:</w:t>
      </w:r>
      <w:r w:rsidRPr="00D44D3A">
        <w:rPr>
          <w:rFonts w:ascii="Calibri" w:hAnsi="Calibri" w:cs="Calibri"/>
        </w:rPr>
        <w:t xml:space="preserve"> Provided material quantities and component specifications for structural, envelope, and finish systems.</w:t>
      </w:r>
    </w:p>
    <w:p w14:paraId="5B4D4D1E" w14:textId="77777777" w:rsidR="00D44D3A" w:rsidRPr="00D44D3A" w:rsidRDefault="00D44D3A" w:rsidP="00D44D3A">
      <w:pPr>
        <w:pStyle w:val="ListParagraph"/>
        <w:numPr>
          <w:ilvl w:val="0"/>
          <w:numId w:val="10"/>
        </w:numPr>
        <w:spacing w:after="40" w:line="240" w:lineRule="auto"/>
        <w:jc w:val="both"/>
        <w:rPr>
          <w:rFonts w:ascii="Calibri" w:hAnsi="Calibri" w:cs="Calibri"/>
        </w:rPr>
      </w:pPr>
      <w:r w:rsidRPr="00D44D3A">
        <w:rPr>
          <w:rFonts w:ascii="Calibri" w:hAnsi="Calibri" w:cs="Calibri"/>
        </w:rPr>
        <w:t>Environmental Assessment Report (EAR): Supplied site conditions, regulatory context, energy and water consumption data, and stormwater management provisions.</w:t>
      </w:r>
    </w:p>
    <w:p w14:paraId="3F946B24" w14:textId="77777777" w:rsidR="00D44D3A" w:rsidRPr="00D44D3A" w:rsidRDefault="00D44D3A" w:rsidP="00D44D3A">
      <w:pPr>
        <w:pStyle w:val="ListParagraph"/>
        <w:numPr>
          <w:ilvl w:val="0"/>
          <w:numId w:val="10"/>
        </w:numPr>
        <w:spacing w:after="40" w:line="240" w:lineRule="auto"/>
        <w:jc w:val="both"/>
        <w:rPr>
          <w:rFonts w:ascii="Calibri" w:hAnsi="Calibri" w:cs="Calibri"/>
        </w:rPr>
      </w:pPr>
      <w:r w:rsidRPr="00D44D3A">
        <w:rPr>
          <w:rFonts w:ascii="Calibri" w:hAnsi="Calibri" w:cs="Calibri"/>
        </w:rPr>
        <w:t>Revit model outputs: Delivered verified areas and quantities (floor area, roof area, wall area, impervious surface coverage) and, for energy-related criteria, thermal load analysis results critical to the envelope heat gain assessment.</w:t>
      </w:r>
    </w:p>
    <w:p w14:paraId="3BDF10F5" w14:textId="2C99176F" w:rsidR="00D44D3A" w:rsidRPr="00D44D3A" w:rsidRDefault="00D44D3A" w:rsidP="00D44D3A">
      <w:pPr>
        <w:pStyle w:val="ListParagraph"/>
        <w:numPr>
          <w:ilvl w:val="0"/>
          <w:numId w:val="10"/>
        </w:numPr>
        <w:spacing w:after="40" w:line="240" w:lineRule="auto"/>
        <w:jc w:val="both"/>
        <w:rPr>
          <w:rFonts w:ascii="Calibri" w:hAnsi="Calibri" w:cs="Calibri"/>
        </w:rPr>
      </w:pPr>
      <w:r w:rsidRPr="00D44D3A">
        <w:rPr>
          <w:rFonts w:ascii="Calibri" w:hAnsi="Calibri" w:cs="Calibri"/>
        </w:rPr>
        <w:t xml:space="preserve">One Click LCA results: Characterised the embodied environmental profile of the building. Although GRIHA v6 does not yet fully integrate all LCA indicators, selected outputs were referenced in the life cycle performance discussion to demonstrate the added value of the </w:t>
      </w:r>
      <w:r w:rsidR="00C44796">
        <w:rPr>
          <w:rFonts w:ascii="Calibri" w:hAnsi="Calibri" w:cs="Calibri"/>
        </w:rPr>
        <w:t xml:space="preserve">BIM-LCA </w:t>
      </w:r>
      <w:r w:rsidRPr="00D44D3A">
        <w:rPr>
          <w:rFonts w:ascii="Calibri" w:hAnsi="Calibri" w:cs="Calibri"/>
        </w:rPr>
        <w:t>approach.</w:t>
      </w:r>
    </w:p>
    <w:p w14:paraId="68EF5048" w14:textId="18F3A129" w:rsidR="007430D9" w:rsidRPr="00D44D3A" w:rsidRDefault="00D44D3A" w:rsidP="00D44D3A">
      <w:pPr>
        <w:pStyle w:val="ListParagraph"/>
        <w:numPr>
          <w:ilvl w:val="0"/>
          <w:numId w:val="10"/>
        </w:numPr>
        <w:spacing w:after="40" w:line="240" w:lineRule="auto"/>
        <w:jc w:val="both"/>
        <w:rPr>
          <w:rFonts w:ascii="Calibri" w:hAnsi="Calibri" w:cs="Calibri"/>
        </w:rPr>
      </w:pPr>
      <w:r w:rsidRPr="00D44D3A">
        <w:rPr>
          <w:rFonts w:ascii="Calibri" w:hAnsi="Calibri" w:cs="Calibri"/>
        </w:rPr>
        <w:t>HUDCO compendium and secondary data: Provided reference PMAY-U parameters, including material specifications, solar energy generation data, and scheme-level performance benchmarks.</w:t>
      </w:r>
    </w:p>
    <w:p w14:paraId="5185EB0B" w14:textId="77777777" w:rsidR="00D44D3A" w:rsidRPr="00D51E51" w:rsidRDefault="00D44D3A" w:rsidP="00D44D3A">
      <w:pPr>
        <w:spacing w:after="40" w:line="240" w:lineRule="auto"/>
        <w:jc w:val="both"/>
        <w:rPr>
          <w:rFonts w:ascii="Calibri" w:hAnsi="Calibri" w:cs="Calibri"/>
          <w:sz w:val="20"/>
          <w:szCs w:val="20"/>
        </w:rPr>
      </w:pPr>
    </w:p>
    <w:p w14:paraId="6275C77D" w14:textId="3A85B215" w:rsidR="00337AF7" w:rsidRDefault="00B330D2" w:rsidP="00337AF7">
      <w:pPr>
        <w:spacing w:after="40" w:line="240" w:lineRule="auto"/>
        <w:rPr>
          <w:rFonts w:ascii="Calibri" w:hAnsi="Calibri" w:cs="Calibri"/>
          <w:b/>
          <w:bCs/>
          <w:sz w:val="24"/>
          <w:szCs w:val="24"/>
        </w:rPr>
      </w:pPr>
      <w:r>
        <w:rPr>
          <w:rFonts w:ascii="Calibri" w:hAnsi="Calibri" w:cs="Calibri"/>
          <w:b/>
          <w:bCs/>
          <w:sz w:val="24"/>
          <w:szCs w:val="24"/>
        </w:rPr>
        <w:t xml:space="preserve">Phase </w:t>
      </w:r>
      <w:r w:rsidR="006B0EC3">
        <w:rPr>
          <w:rFonts w:ascii="Calibri" w:hAnsi="Calibri" w:cs="Calibri"/>
          <w:b/>
          <w:bCs/>
          <w:sz w:val="24"/>
          <w:szCs w:val="24"/>
        </w:rPr>
        <w:t>4</w:t>
      </w:r>
      <w:r>
        <w:rPr>
          <w:rFonts w:ascii="Calibri" w:hAnsi="Calibri" w:cs="Calibri"/>
          <w:b/>
          <w:bCs/>
          <w:sz w:val="24"/>
          <w:szCs w:val="24"/>
        </w:rPr>
        <w:t xml:space="preserve">: </w:t>
      </w:r>
      <w:r w:rsidR="00966792" w:rsidRPr="00966792">
        <w:rPr>
          <w:rFonts w:ascii="Calibri" w:hAnsi="Calibri" w:cs="Calibri"/>
          <w:b/>
          <w:bCs/>
          <w:sz w:val="24"/>
          <w:szCs w:val="24"/>
        </w:rPr>
        <w:t>BIM–LCA-Based GRIHA Performance Evaluation</w:t>
      </w:r>
    </w:p>
    <w:p w14:paraId="0AA0AEC6" w14:textId="7318DD8F" w:rsidR="00CD5E23" w:rsidRPr="00CD5E23" w:rsidRDefault="00CD5E23" w:rsidP="00CD5E23">
      <w:pPr>
        <w:pStyle w:val="ListParagraph"/>
        <w:numPr>
          <w:ilvl w:val="0"/>
          <w:numId w:val="7"/>
        </w:numPr>
        <w:spacing w:after="40" w:line="240" w:lineRule="auto"/>
        <w:rPr>
          <w:rFonts w:ascii="Calibri" w:hAnsi="Calibri" w:cs="Calibri"/>
        </w:rPr>
      </w:pPr>
      <w:r w:rsidRPr="00CD5E23">
        <w:rPr>
          <w:rFonts w:ascii="Calibri" w:hAnsi="Calibri" w:cs="Calibri"/>
        </w:rPr>
        <w:t>GRIHA 7.1.2: Peak Heat Gain Through Building Envelope</w:t>
      </w:r>
    </w:p>
    <w:p w14:paraId="5406D381" w14:textId="3FDDA326" w:rsidR="00B66FF1" w:rsidRDefault="00262AF0" w:rsidP="00262AF0">
      <w:pPr>
        <w:spacing w:after="40" w:line="240" w:lineRule="auto"/>
        <w:jc w:val="both"/>
        <w:rPr>
          <w:rFonts w:ascii="Calibri" w:hAnsi="Calibri" w:cs="Calibri"/>
        </w:rPr>
      </w:pPr>
      <w:r w:rsidRPr="00262AF0">
        <w:rPr>
          <w:rFonts w:ascii="Calibri" w:hAnsi="Calibri" w:cs="Calibri"/>
        </w:rPr>
        <w:t xml:space="preserve">Thermal load analysis was performed </w:t>
      </w:r>
      <w:r w:rsidR="00B66FF1">
        <w:rPr>
          <w:rFonts w:ascii="Calibri" w:hAnsi="Calibri" w:cs="Calibri"/>
        </w:rPr>
        <w:t xml:space="preserve">in Autodesk Revit using the HVAC sizing module, with weather data for Sharda Nagar, Lucknow, automatically referenced </w:t>
      </w:r>
      <w:r w:rsidRPr="00262AF0">
        <w:rPr>
          <w:rFonts w:ascii="Calibri" w:hAnsi="Calibri" w:cs="Calibri"/>
        </w:rPr>
        <w:t xml:space="preserve">from Revit's integrated climate database. Envelope-related sensible heat gains were extracted from zonal load summaries, aggregated across all conditioned zones, and normalised by the conditioned floor area to derive the building-level peak envelope heat gain intensity (W/m²). The computed value was subsequently benchmarked against the climate-specific threshold prescribed in </w:t>
      </w:r>
      <w:r w:rsidRPr="00B66FF1">
        <w:rPr>
          <w:rFonts w:ascii="Calibri" w:hAnsi="Calibri" w:cs="Calibri"/>
        </w:rPr>
        <w:t>Table 7.1c</w:t>
      </w:r>
      <w:r w:rsidRPr="00262AF0">
        <w:rPr>
          <w:rFonts w:ascii="Calibri" w:hAnsi="Calibri" w:cs="Calibri"/>
        </w:rPr>
        <w:t xml:space="preserve"> of the GRIHA v6 Manual. It is noted that the case study building </w:t>
      </w:r>
      <w:r w:rsidR="009577F0">
        <w:rPr>
          <w:rFonts w:ascii="Calibri" w:hAnsi="Calibri" w:cs="Calibri"/>
        </w:rPr>
        <w:t>is naturally ventilated</w:t>
      </w:r>
      <w:r w:rsidRPr="00262AF0">
        <w:rPr>
          <w:rFonts w:ascii="Calibri" w:hAnsi="Calibri" w:cs="Calibri"/>
        </w:rPr>
        <w:t xml:space="preserve"> and is not formally subject to this criterion; however, the analysis demonstrates the </w:t>
      </w:r>
      <w:r w:rsidR="00B66FF1">
        <w:rPr>
          <w:rFonts w:ascii="Calibri" w:hAnsi="Calibri" w:cs="Calibri"/>
        </w:rPr>
        <w:t>BIM-based workflow's capability</w:t>
      </w:r>
      <w:r w:rsidRPr="00262AF0">
        <w:rPr>
          <w:rFonts w:ascii="Calibri" w:hAnsi="Calibri" w:cs="Calibri"/>
        </w:rPr>
        <w:t xml:space="preserve"> to support envelope performance evaluation for future hybrid or mechanically conditioned public housing projects.</w:t>
      </w:r>
    </w:p>
    <w:p w14:paraId="608BC3B8" w14:textId="2FE735C7" w:rsidR="00D10BD0" w:rsidRPr="00B66FF1" w:rsidRDefault="00D10BD0" w:rsidP="00B66FF1">
      <w:pPr>
        <w:pStyle w:val="ListParagraph"/>
        <w:numPr>
          <w:ilvl w:val="0"/>
          <w:numId w:val="7"/>
        </w:numPr>
        <w:spacing w:after="40" w:line="240" w:lineRule="auto"/>
        <w:jc w:val="both"/>
        <w:rPr>
          <w:rFonts w:ascii="Calibri" w:hAnsi="Calibri" w:cs="Calibri"/>
        </w:rPr>
      </w:pPr>
      <w:r w:rsidRPr="00B66FF1">
        <w:rPr>
          <w:rFonts w:ascii="Calibri" w:hAnsi="Calibri" w:cs="Calibri"/>
        </w:rPr>
        <w:t>GRIHA 21.1.1: Reduction in GWP of Primary Materials</w:t>
      </w:r>
    </w:p>
    <w:p w14:paraId="412AC435" w14:textId="732B8D2E" w:rsidR="00D6057A" w:rsidRDefault="0068311F" w:rsidP="0068311F">
      <w:pPr>
        <w:spacing w:after="40" w:line="240" w:lineRule="auto"/>
        <w:jc w:val="both"/>
        <w:rPr>
          <w:rFonts w:ascii="Calibri" w:hAnsi="Calibri" w:cs="Calibri"/>
        </w:rPr>
      </w:pPr>
      <w:r w:rsidRPr="0068311F">
        <w:rPr>
          <w:rFonts w:ascii="Calibri" w:hAnsi="Calibri" w:cs="Calibri"/>
        </w:rPr>
        <w:t>The Revit model was integrated with One Click LCA to quantify the embodied Global Warming Potential (GWP)</w:t>
      </w:r>
      <w:r>
        <w:rPr>
          <w:rFonts w:ascii="Calibri" w:hAnsi="Calibri" w:cs="Calibri"/>
        </w:rPr>
        <w:t xml:space="preserve"> </w:t>
      </w:r>
      <w:r w:rsidRPr="0068311F">
        <w:rPr>
          <w:rFonts w:ascii="Calibri" w:hAnsi="Calibri" w:cs="Calibri"/>
        </w:rPr>
        <w:t xml:space="preserve">of primary construction materials, encompassing concrete, masonry, and architectural finishes. BIM-derived material quantities were automatically mapped to EPD datasets </w:t>
      </w:r>
      <w:r w:rsidR="00D013C3">
        <w:rPr>
          <w:rFonts w:ascii="Calibri" w:hAnsi="Calibri" w:cs="Calibri"/>
        </w:rPr>
        <w:t>in the LCA platform to generate design-case embodied-carbon</w:t>
      </w:r>
      <w:r w:rsidRPr="0068311F">
        <w:rPr>
          <w:rFonts w:ascii="Calibri" w:hAnsi="Calibri" w:cs="Calibri"/>
        </w:rPr>
        <w:t xml:space="preserve"> results at the component level.</w:t>
      </w:r>
      <w:r w:rsidR="002F2A03">
        <w:rPr>
          <w:rFonts w:ascii="Calibri" w:hAnsi="Calibri" w:cs="Calibri"/>
        </w:rPr>
        <w:t xml:space="preserve"> The</w:t>
      </w:r>
      <w:r w:rsidRPr="0068311F">
        <w:rPr>
          <w:rFonts w:ascii="Calibri" w:hAnsi="Calibri" w:cs="Calibri"/>
        </w:rPr>
        <w:t xml:space="preserve"> proposed </w:t>
      </w:r>
      <w:r w:rsidR="00C44796">
        <w:rPr>
          <w:rFonts w:ascii="Calibri" w:hAnsi="Calibri" w:cs="Calibri"/>
        </w:rPr>
        <w:t xml:space="preserve">BIM-LCA </w:t>
      </w:r>
      <w:r w:rsidRPr="0068311F">
        <w:rPr>
          <w:rFonts w:ascii="Calibri" w:hAnsi="Calibri" w:cs="Calibri"/>
        </w:rPr>
        <w:t>workflow successfully generated component-level embodied carbon data, confirming its suitability for GRIHA-compliant life cycle performance assessment in future applications.</w:t>
      </w:r>
    </w:p>
    <w:p w14:paraId="47A6F1BC" w14:textId="77777777" w:rsidR="0068311F" w:rsidRDefault="0068311F" w:rsidP="0068311F">
      <w:pPr>
        <w:spacing w:after="40" w:line="240" w:lineRule="auto"/>
        <w:jc w:val="both"/>
        <w:rPr>
          <w:rFonts w:ascii="Calibri" w:hAnsi="Calibri" w:cs="Calibri"/>
        </w:rPr>
      </w:pPr>
    </w:p>
    <w:p w14:paraId="45BD6429" w14:textId="46BEE1F2" w:rsidR="004E09BF" w:rsidRPr="00D6057A" w:rsidRDefault="004E09BF" w:rsidP="004E09BF">
      <w:pPr>
        <w:pStyle w:val="ListParagraph"/>
        <w:numPr>
          <w:ilvl w:val="0"/>
          <w:numId w:val="4"/>
        </w:numPr>
        <w:spacing w:after="40" w:line="240" w:lineRule="auto"/>
        <w:rPr>
          <w:rFonts w:ascii="Calibri" w:hAnsi="Calibri" w:cs="Calibri"/>
          <w:b/>
          <w:bCs/>
          <w:sz w:val="28"/>
          <w:szCs w:val="28"/>
        </w:rPr>
      </w:pPr>
      <w:r>
        <w:rPr>
          <w:rFonts w:ascii="Calibri" w:hAnsi="Calibri" w:cs="Calibri"/>
          <w:b/>
          <w:bCs/>
          <w:sz w:val="28"/>
          <w:szCs w:val="28"/>
        </w:rPr>
        <w:t>RESULT</w:t>
      </w:r>
      <w:r w:rsidR="00F103B8">
        <w:rPr>
          <w:rFonts w:ascii="Calibri" w:hAnsi="Calibri" w:cs="Calibri"/>
          <w:b/>
          <w:bCs/>
          <w:sz w:val="28"/>
          <w:szCs w:val="28"/>
        </w:rPr>
        <w:t>S AND DISCUSSION</w:t>
      </w:r>
    </w:p>
    <w:p w14:paraId="6646D099" w14:textId="0F1A8696" w:rsidR="004E09BF" w:rsidRPr="00D6057A" w:rsidRDefault="00370674" w:rsidP="00793595">
      <w:pPr>
        <w:spacing w:after="40" w:line="240" w:lineRule="auto"/>
        <w:ind w:firstLine="360"/>
        <w:jc w:val="both"/>
        <w:rPr>
          <w:rFonts w:ascii="Calibri" w:hAnsi="Calibri" w:cs="Calibri"/>
        </w:rPr>
      </w:pPr>
      <w:r w:rsidRPr="00370674">
        <w:rPr>
          <w:rFonts w:ascii="Calibri" w:hAnsi="Calibri" w:cs="Calibri"/>
        </w:rPr>
        <w:t xml:space="preserve">The PMAY-U block was </w:t>
      </w:r>
      <w:r w:rsidRPr="003B3B43">
        <w:rPr>
          <w:rFonts w:ascii="Calibri" w:hAnsi="Calibri" w:cs="Calibri"/>
        </w:rPr>
        <w:t xml:space="preserve">assessed against seven selected GRIHA v6 appraisal criteria using outputs from the integrated </w:t>
      </w:r>
      <w:r w:rsidR="00C44796" w:rsidRPr="003B3B43">
        <w:rPr>
          <w:rFonts w:ascii="Calibri" w:hAnsi="Calibri" w:cs="Calibri"/>
        </w:rPr>
        <w:t xml:space="preserve">BIM-LCA </w:t>
      </w:r>
      <w:r w:rsidRPr="003B3B43">
        <w:rPr>
          <w:rFonts w:ascii="Calibri" w:hAnsi="Calibri" w:cs="Calibri"/>
        </w:rPr>
        <w:t>workflow</w:t>
      </w:r>
      <w:r w:rsidR="00241327">
        <w:rPr>
          <w:rFonts w:ascii="Calibri" w:hAnsi="Calibri" w:cs="Calibri"/>
        </w:rPr>
        <w:t>, combined with data from</w:t>
      </w:r>
      <w:r w:rsidR="003B3B43" w:rsidRPr="00E04D79">
        <w:rPr>
          <w:rFonts w:ascii="Calibri" w:hAnsi="Calibri" w:cs="Calibri"/>
        </w:rPr>
        <w:t xml:space="preserve"> </w:t>
      </w:r>
      <w:r w:rsidR="009577F0">
        <w:rPr>
          <w:rFonts w:ascii="Calibri" w:hAnsi="Calibri" w:cs="Calibri"/>
        </w:rPr>
        <w:t xml:space="preserve">the </w:t>
      </w:r>
      <w:r w:rsidR="003B3B43" w:rsidRPr="00E04D79">
        <w:rPr>
          <w:rFonts w:ascii="Calibri" w:hAnsi="Calibri" w:cs="Calibri"/>
        </w:rPr>
        <w:t>aforementioned project reports</w:t>
      </w:r>
      <w:r w:rsidRPr="003B3B43">
        <w:rPr>
          <w:rFonts w:ascii="Calibri" w:hAnsi="Calibri" w:cs="Calibri"/>
        </w:rPr>
        <w:t xml:space="preserve">. The consolidated outcomes are presented in </w:t>
      </w:r>
      <w:r w:rsidRPr="003B3B43">
        <w:rPr>
          <w:rFonts w:ascii="Calibri" w:hAnsi="Calibri" w:cs="Calibri"/>
        </w:rPr>
        <w:fldChar w:fldCharType="begin"/>
      </w:r>
      <w:r w:rsidRPr="003B3B43">
        <w:rPr>
          <w:rFonts w:ascii="Calibri" w:hAnsi="Calibri" w:cs="Calibri"/>
        </w:rPr>
        <w:instrText xml:space="preserve"> REF _Ref230252197 \h  \* MERGEFORMAT </w:instrText>
      </w:r>
      <w:r w:rsidRPr="003B3B43">
        <w:rPr>
          <w:rFonts w:ascii="Calibri" w:hAnsi="Calibri" w:cs="Calibri"/>
        </w:rPr>
      </w:r>
      <w:r w:rsidRPr="003B3B43">
        <w:rPr>
          <w:rFonts w:ascii="Calibri" w:hAnsi="Calibri" w:cs="Calibri"/>
        </w:rPr>
        <w:fldChar w:fldCharType="separate"/>
      </w:r>
      <w:r w:rsidRPr="003B3B43">
        <w:rPr>
          <w:rFonts w:ascii="Calibri" w:hAnsi="Calibri" w:cs="Calibri"/>
          <w:sz w:val="20"/>
          <w:szCs w:val="20"/>
        </w:rPr>
        <w:t xml:space="preserve">Table </w:t>
      </w:r>
      <w:r w:rsidRPr="003B3B43">
        <w:rPr>
          <w:rFonts w:ascii="Calibri" w:hAnsi="Calibri" w:cs="Calibri"/>
          <w:noProof/>
          <w:sz w:val="20"/>
          <w:szCs w:val="20"/>
        </w:rPr>
        <w:t>4</w:t>
      </w:r>
      <w:r w:rsidRPr="003B3B43">
        <w:rPr>
          <w:rFonts w:ascii="Calibri" w:hAnsi="Calibri" w:cs="Calibri"/>
        </w:rPr>
        <w:fldChar w:fldCharType="end"/>
      </w:r>
      <w:r w:rsidRPr="003B3B43">
        <w:rPr>
          <w:rFonts w:ascii="Calibri" w:hAnsi="Calibri" w:cs="Calibri"/>
        </w:rPr>
        <w:t>, followed by a criterion-wise discussion of results and</w:t>
      </w:r>
      <w:r w:rsidRPr="00370674">
        <w:rPr>
          <w:rFonts w:ascii="Calibri" w:hAnsi="Calibri" w:cs="Calibri"/>
        </w:rPr>
        <w:t xml:space="preserve"> their broader implications.</w:t>
      </w:r>
    </w:p>
    <w:p w14:paraId="44943589" w14:textId="190AA2CC" w:rsidR="00CE3431" w:rsidRPr="00CE3431" w:rsidRDefault="00CE3431" w:rsidP="00CE3431">
      <w:pPr>
        <w:pStyle w:val="Caption"/>
        <w:keepNext/>
        <w:jc w:val="center"/>
        <w:rPr>
          <w:rFonts w:ascii="Calibri" w:hAnsi="Calibri" w:cs="Calibri"/>
          <w:color w:val="auto"/>
          <w:sz w:val="20"/>
          <w:szCs w:val="20"/>
        </w:rPr>
      </w:pPr>
      <w:bookmarkStart w:id="7" w:name="_Ref230252197"/>
      <w:r w:rsidRPr="00CE3431">
        <w:rPr>
          <w:rFonts w:ascii="Calibri" w:hAnsi="Calibri" w:cs="Calibri"/>
          <w:color w:val="auto"/>
          <w:sz w:val="20"/>
          <w:szCs w:val="20"/>
        </w:rPr>
        <w:t xml:space="preserve">Table </w:t>
      </w:r>
      <w:r w:rsidRPr="00CE3431">
        <w:rPr>
          <w:rFonts w:ascii="Calibri" w:hAnsi="Calibri" w:cs="Calibri"/>
          <w:color w:val="auto"/>
          <w:sz w:val="20"/>
          <w:szCs w:val="20"/>
        </w:rPr>
        <w:fldChar w:fldCharType="begin"/>
      </w:r>
      <w:r w:rsidRPr="00CE3431">
        <w:rPr>
          <w:rFonts w:ascii="Calibri" w:hAnsi="Calibri" w:cs="Calibri"/>
          <w:color w:val="auto"/>
          <w:sz w:val="20"/>
          <w:szCs w:val="20"/>
        </w:rPr>
        <w:instrText xml:space="preserve"> SEQ Table \* ARABIC </w:instrText>
      </w:r>
      <w:r w:rsidRPr="00CE3431">
        <w:rPr>
          <w:rFonts w:ascii="Calibri" w:hAnsi="Calibri" w:cs="Calibri"/>
          <w:color w:val="auto"/>
          <w:sz w:val="20"/>
          <w:szCs w:val="20"/>
        </w:rPr>
        <w:fldChar w:fldCharType="separate"/>
      </w:r>
      <w:r w:rsidRPr="00CE3431">
        <w:rPr>
          <w:rFonts w:ascii="Calibri" w:hAnsi="Calibri" w:cs="Calibri"/>
          <w:noProof/>
          <w:color w:val="auto"/>
          <w:sz w:val="20"/>
          <w:szCs w:val="20"/>
        </w:rPr>
        <w:t>4</w:t>
      </w:r>
      <w:r w:rsidRPr="00CE3431">
        <w:rPr>
          <w:rFonts w:ascii="Calibri" w:hAnsi="Calibri" w:cs="Calibri"/>
          <w:color w:val="auto"/>
          <w:sz w:val="20"/>
          <w:szCs w:val="20"/>
        </w:rPr>
        <w:fldChar w:fldCharType="end"/>
      </w:r>
      <w:bookmarkEnd w:id="7"/>
      <w:r w:rsidRPr="00CE3431">
        <w:rPr>
          <w:rFonts w:ascii="Calibri" w:hAnsi="Calibri" w:cs="Calibri"/>
          <w:color w:val="auto"/>
          <w:sz w:val="20"/>
          <w:szCs w:val="20"/>
        </w:rPr>
        <w:t>: Results for selected GRIHA v6 appraisal criteria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37"/>
        <w:gridCol w:w="6242"/>
        <w:gridCol w:w="137"/>
        <w:gridCol w:w="1791"/>
      </w:tblGrid>
      <w:tr w:rsidR="002F4BA6" w:rsidRPr="002F4BA6" w14:paraId="0B7326AF" w14:textId="77777777" w:rsidTr="000F0459">
        <w:tc>
          <w:tcPr>
            <w:tcW w:w="709" w:type="dxa"/>
            <w:tcBorders>
              <w:top w:val="single" w:sz="4" w:space="0" w:color="auto"/>
              <w:bottom w:val="single" w:sz="4" w:space="0" w:color="auto"/>
            </w:tcBorders>
            <w:hideMark/>
          </w:tcPr>
          <w:p w14:paraId="18ABF925" w14:textId="77777777" w:rsidR="002F4BA6" w:rsidRPr="000F0459" w:rsidRDefault="002F4BA6" w:rsidP="002F4BA6">
            <w:pPr>
              <w:spacing w:after="40" w:line="240" w:lineRule="auto"/>
              <w:jc w:val="both"/>
              <w:rPr>
                <w:rFonts w:ascii="Calibri" w:hAnsi="Calibri" w:cs="Calibri"/>
                <w:lang w:val="en-IN"/>
              </w:rPr>
            </w:pPr>
            <w:r w:rsidRPr="000F0459">
              <w:rPr>
                <w:rFonts w:ascii="Calibri" w:hAnsi="Calibri" w:cs="Calibri"/>
                <w:lang w:val="en-IN"/>
              </w:rPr>
              <w:t>S. No.</w:t>
            </w:r>
          </w:p>
        </w:tc>
        <w:tc>
          <w:tcPr>
            <w:tcW w:w="6379" w:type="dxa"/>
            <w:gridSpan w:val="2"/>
            <w:tcBorders>
              <w:top w:val="single" w:sz="4" w:space="0" w:color="auto"/>
              <w:bottom w:val="single" w:sz="4" w:space="0" w:color="auto"/>
            </w:tcBorders>
            <w:hideMark/>
          </w:tcPr>
          <w:p w14:paraId="1881AD8D" w14:textId="77777777" w:rsidR="002F4BA6" w:rsidRPr="000F0459" w:rsidRDefault="002F4BA6" w:rsidP="002F4BA6">
            <w:pPr>
              <w:spacing w:after="40" w:line="240" w:lineRule="auto"/>
              <w:jc w:val="both"/>
              <w:rPr>
                <w:rFonts w:ascii="Calibri" w:hAnsi="Calibri" w:cs="Calibri"/>
                <w:lang w:val="en-IN"/>
              </w:rPr>
            </w:pPr>
            <w:r w:rsidRPr="000F0459">
              <w:rPr>
                <w:rFonts w:ascii="Calibri" w:hAnsi="Calibri" w:cs="Calibri"/>
                <w:lang w:val="en-IN"/>
              </w:rPr>
              <w:t>Appraisal</w:t>
            </w:r>
          </w:p>
        </w:tc>
        <w:tc>
          <w:tcPr>
            <w:tcW w:w="1928" w:type="dxa"/>
            <w:gridSpan w:val="2"/>
            <w:tcBorders>
              <w:top w:val="single" w:sz="4" w:space="0" w:color="auto"/>
              <w:bottom w:val="single" w:sz="4" w:space="0" w:color="auto"/>
            </w:tcBorders>
            <w:hideMark/>
          </w:tcPr>
          <w:p w14:paraId="41EBBB09" w14:textId="77777777" w:rsidR="002F4BA6" w:rsidRPr="000F0459" w:rsidRDefault="002F4BA6" w:rsidP="002F4BA6">
            <w:pPr>
              <w:spacing w:after="40" w:line="240" w:lineRule="auto"/>
              <w:jc w:val="both"/>
              <w:rPr>
                <w:rFonts w:ascii="Calibri" w:hAnsi="Calibri" w:cs="Calibri"/>
                <w:lang w:val="en-IN"/>
              </w:rPr>
            </w:pPr>
            <w:r w:rsidRPr="000F0459">
              <w:rPr>
                <w:rFonts w:ascii="Calibri" w:hAnsi="Calibri" w:cs="Calibri"/>
                <w:lang w:val="en-IN"/>
              </w:rPr>
              <w:t>Points Scored / Maximum Points Possible</w:t>
            </w:r>
          </w:p>
        </w:tc>
      </w:tr>
      <w:tr w:rsidR="002F4BA6" w:rsidRPr="002F4BA6" w14:paraId="51DFBD11" w14:textId="77777777" w:rsidTr="002F4BA6">
        <w:tc>
          <w:tcPr>
            <w:tcW w:w="846" w:type="dxa"/>
            <w:gridSpan w:val="2"/>
            <w:tcBorders>
              <w:top w:val="single" w:sz="4" w:space="0" w:color="auto"/>
            </w:tcBorders>
            <w:hideMark/>
          </w:tcPr>
          <w:p w14:paraId="5B9FB5F4" w14:textId="77777777" w:rsidR="002F4BA6" w:rsidRPr="002F4BA6" w:rsidRDefault="002F4BA6" w:rsidP="002F4BA6">
            <w:pPr>
              <w:spacing w:after="40" w:line="240" w:lineRule="auto"/>
              <w:jc w:val="both"/>
              <w:rPr>
                <w:rFonts w:ascii="Calibri" w:hAnsi="Calibri" w:cs="Calibri"/>
                <w:lang w:val="en-IN"/>
              </w:rPr>
            </w:pPr>
            <w:r w:rsidRPr="002F4BA6">
              <w:rPr>
                <w:rFonts w:ascii="Calibri" w:hAnsi="Calibri" w:cs="Calibri"/>
                <w:lang w:val="en-IN"/>
              </w:rPr>
              <w:t>1</w:t>
            </w:r>
          </w:p>
        </w:tc>
        <w:tc>
          <w:tcPr>
            <w:tcW w:w="6379" w:type="dxa"/>
            <w:gridSpan w:val="2"/>
            <w:tcBorders>
              <w:top w:val="single" w:sz="4" w:space="0" w:color="auto"/>
            </w:tcBorders>
            <w:hideMark/>
          </w:tcPr>
          <w:p w14:paraId="19143C31" w14:textId="77777777" w:rsidR="002F4BA6" w:rsidRPr="002F4BA6" w:rsidRDefault="002F4BA6" w:rsidP="002F4BA6">
            <w:pPr>
              <w:spacing w:after="40" w:line="240" w:lineRule="auto"/>
              <w:jc w:val="both"/>
              <w:rPr>
                <w:rFonts w:ascii="Calibri" w:hAnsi="Calibri" w:cs="Calibri"/>
                <w:lang w:val="en-IN"/>
              </w:rPr>
            </w:pPr>
            <w:r w:rsidRPr="002F4BA6">
              <w:rPr>
                <w:rFonts w:ascii="Calibri" w:hAnsi="Calibri" w:cs="Calibri"/>
                <w:b/>
                <w:bCs/>
                <w:lang w:val="en-IN"/>
              </w:rPr>
              <w:t>7.1.2:</w:t>
            </w:r>
            <w:r w:rsidRPr="002F4BA6">
              <w:rPr>
                <w:rFonts w:ascii="Calibri" w:hAnsi="Calibri" w:cs="Calibri"/>
                <w:lang w:val="en-IN"/>
              </w:rPr>
              <w:t xml:space="preserve"> Ensure that the heat gain through the building envelope (air-conditioned and hybrid buildings) is below the GRIHA threshold for peak heat gain as per Table 7.1c of GRIHA Version 6 Manual.</w:t>
            </w:r>
          </w:p>
        </w:tc>
        <w:tc>
          <w:tcPr>
            <w:tcW w:w="1791" w:type="dxa"/>
            <w:tcBorders>
              <w:top w:val="single" w:sz="4" w:space="0" w:color="auto"/>
            </w:tcBorders>
            <w:hideMark/>
          </w:tcPr>
          <w:p w14:paraId="3855E284" w14:textId="1374E310" w:rsidR="002F4BA6" w:rsidRPr="002F4BA6" w:rsidRDefault="00841F1C" w:rsidP="002F4BA6">
            <w:pPr>
              <w:spacing w:after="40" w:line="240" w:lineRule="auto"/>
              <w:jc w:val="both"/>
              <w:rPr>
                <w:rFonts w:ascii="Calibri" w:hAnsi="Calibri" w:cs="Calibri"/>
                <w:lang w:val="en-IN"/>
              </w:rPr>
            </w:pPr>
            <w:r>
              <w:rPr>
                <w:rFonts w:ascii="Calibri" w:hAnsi="Calibri" w:cs="Calibri"/>
                <w:lang w:val="en-IN"/>
              </w:rPr>
              <w:t xml:space="preserve"> </w:t>
            </w:r>
            <w:r w:rsidR="00684C1B">
              <w:rPr>
                <w:rFonts w:ascii="Calibri" w:hAnsi="Calibri" w:cs="Calibri"/>
                <w:lang w:val="en-IN"/>
              </w:rPr>
              <w:t>N / A</w:t>
            </w:r>
          </w:p>
        </w:tc>
      </w:tr>
      <w:tr w:rsidR="002F4BA6" w:rsidRPr="002F4BA6" w14:paraId="541999B3" w14:textId="77777777" w:rsidTr="002F4BA6">
        <w:tc>
          <w:tcPr>
            <w:tcW w:w="846" w:type="dxa"/>
            <w:gridSpan w:val="2"/>
            <w:hideMark/>
          </w:tcPr>
          <w:p w14:paraId="0F650A39" w14:textId="77777777" w:rsidR="002F4BA6" w:rsidRPr="002F4BA6" w:rsidRDefault="002F4BA6" w:rsidP="002F4BA6">
            <w:pPr>
              <w:spacing w:after="40" w:line="240" w:lineRule="auto"/>
              <w:jc w:val="both"/>
              <w:rPr>
                <w:rFonts w:ascii="Calibri" w:hAnsi="Calibri" w:cs="Calibri"/>
                <w:lang w:val="en-IN"/>
              </w:rPr>
            </w:pPr>
            <w:r w:rsidRPr="002F4BA6">
              <w:rPr>
                <w:rFonts w:ascii="Calibri" w:hAnsi="Calibri" w:cs="Calibri"/>
                <w:lang w:val="en-IN"/>
              </w:rPr>
              <w:lastRenderedPageBreak/>
              <w:t>2</w:t>
            </w:r>
          </w:p>
        </w:tc>
        <w:tc>
          <w:tcPr>
            <w:tcW w:w="6379" w:type="dxa"/>
            <w:gridSpan w:val="2"/>
            <w:hideMark/>
          </w:tcPr>
          <w:p w14:paraId="3245E667" w14:textId="12A2023D" w:rsidR="002F4BA6" w:rsidRPr="002F4BA6" w:rsidRDefault="002F4BA6" w:rsidP="002F4BA6">
            <w:pPr>
              <w:spacing w:after="40" w:line="240" w:lineRule="auto"/>
              <w:jc w:val="both"/>
              <w:rPr>
                <w:rFonts w:ascii="Calibri" w:hAnsi="Calibri" w:cs="Calibri"/>
                <w:lang w:val="en-IN"/>
              </w:rPr>
            </w:pPr>
            <w:r w:rsidRPr="002F4BA6">
              <w:rPr>
                <w:rFonts w:ascii="Calibri" w:hAnsi="Calibri" w:cs="Calibri"/>
                <w:b/>
                <w:bCs/>
                <w:lang w:val="en-IN"/>
              </w:rPr>
              <w:t>7.1.4:</w:t>
            </w:r>
            <w:r w:rsidRPr="002F4BA6">
              <w:rPr>
                <w:rFonts w:ascii="Calibri" w:hAnsi="Calibri" w:cs="Calibri"/>
                <w:lang w:val="en-IN"/>
              </w:rPr>
              <w:t xml:space="preserve"> Ensure that the project demonstrates </w:t>
            </w:r>
            <w:r w:rsidR="00D408FE">
              <w:rPr>
                <w:rFonts w:ascii="Calibri" w:hAnsi="Calibri" w:cs="Calibri"/>
                <w:lang w:val="en-IN"/>
              </w:rPr>
              <w:t xml:space="preserve">a reduction from the GRIHA benchmark for EPI as per Table 7.2c of the </w:t>
            </w:r>
            <w:r w:rsidRPr="002F4BA6">
              <w:rPr>
                <w:rFonts w:ascii="Calibri" w:hAnsi="Calibri" w:cs="Calibri"/>
                <w:lang w:val="en-IN"/>
              </w:rPr>
              <w:t xml:space="preserve">GRIHA Manual. Additional reduction in EPI will be awarded points as </w:t>
            </w:r>
            <w:r w:rsidR="00D408FE">
              <w:rPr>
                <w:rFonts w:ascii="Calibri" w:hAnsi="Calibri" w:cs="Calibri"/>
                <w:lang w:val="en-IN"/>
              </w:rPr>
              <w:t xml:space="preserve">per Table 7.3c of the </w:t>
            </w:r>
            <w:r w:rsidRPr="002F4BA6">
              <w:rPr>
                <w:rFonts w:ascii="Calibri" w:hAnsi="Calibri" w:cs="Calibri"/>
                <w:lang w:val="en-IN"/>
              </w:rPr>
              <w:t>GRIHA Manual.</w:t>
            </w:r>
          </w:p>
        </w:tc>
        <w:tc>
          <w:tcPr>
            <w:tcW w:w="1791" w:type="dxa"/>
            <w:hideMark/>
          </w:tcPr>
          <w:p w14:paraId="3EA4D203" w14:textId="342E0C2D" w:rsidR="002F4BA6" w:rsidRPr="002F4BA6" w:rsidRDefault="002F4BA6" w:rsidP="002F4BA6">
            <w:pPr>
              <w:spacing w:after="40" w:line="240" w:lineRule="auto"/>
              <w:jc w:val="both"/>
              <w:rPr>
                <w:rFonts w:ascii="Calibri" w:hAnsi="Calibri" w:cs="Calibri"/>
                <w:lang w:val="en-IN"/>
              </w:rPr>
            </w:pPr>
            <w:r w:rsidRPr="002F4BA6">
              <w:rPr>
                <w:rFonts w:ascii="Calibri" w:hAnsi="Calibri" w:cs="Calibri"/>
                <w:lang w:val="en-IN"/>
              </w:rPr>
              <w:t>0 /</w:t>
            </w:r>
            <w:r w:rsidR="00A07172">
              <w:rPr>
                <w:rFonts w:ascii="Calibri" w:hAnsi="Calibri" w:cs="Calibri"/>
                <w:lang w:val="en-IN"/>
              </w:rPr>
              <w:t xml:space="preserve"> </w:t>
            </w:r>
            <w:r w:rsidRPr="002F4BA6">
              <w:rPr>
                <w:rFonts w:ascii="Calibri" w:hAnsi="Calibri" w:cs="Calibri"/>
                <w:lang w:val="en-IN"/>
              </w:rPr>
              <w:t>8</w:t>
            </w:r>
          </w:p>
        </w:tc>
      </w:tr>
      <w:tr w:rsidR="002F4BA6" w:rsidRPr="002F4BA6" w14:paraId="2EF72979" w14:textId="77777777" w:rsidTr="002F4BA6">
        <w:tc>
          <w:tcPr>
            <w:tcW w:w="846" w:type="dxa"/>
            <w:gridSpan w:val="2"/>
            <w:hideMark/>
          </w:tcPr>
          <w:p w14:paraId="752A5558" w14:textId="77777777" w:rsidR="002F4BA6" w:rsidRPr="002F4BA6" w:rsidRDefault="002F4BA6" w:rsidP="002F4BA6">
            <w:pPr>
              <w:spacing w:after="40" w:line="240" w:lineRule="auto"/>
              <w:jc w:val="both"/>
              <w:rPr>
                <w:rFonts w:ascii="Calibri" w:hAnsi="Calibri" w:cs="Calibri"/>
                <w:lang w:val="en-IN"/>
              </w:rPr>
            </w:pPr>
            <w:r w:rsidRPr="002F4BA6">
              <w:rPr>
                <w:rFonts w:ascii="Calibri" w:hAnsi="Calibri" w:cs="Calibri"/>
                <w:lang w:val="en-IN"/>
              </w:rPr>
              <w:t>3</w:t>
            </w:r>
          </w:p>
        </w:tc>
        <w:tc>
          <w:tcPr>
            <w:tcW w:w="6379" w:type="dxa"/>
            <w:gridSpan w:val="2"/>
            <w:hideMark/>
          </w:tcPr>
          <w:p w14:paraId="741911B1" w14:textId="1EB2D167" w:rsidR="002F4BA6" w:rsidRPr="002F4BA6" w:rsidRDefault="002F4BA6" w:rsidP="002F4BA6">
            <w:pPr>
              <w:spacing w:after="40" w:line="240" w:lineRule="auto"/>
              <w:jc w:val="both"/>
              <w:rPr>
                <w:rFonts w:ascii="Calibri" w:hAnsi="Calibri" w:cs="Calibri"/>
                <w:lang w:val="en-IN"/>
              </w:rPr>
            </w:pPr>
            <w:r w:rsidRPr="002F4BA6">
              <w:rPr>
                <w:rFonts w:ascii="Calibri" w:hAnsi="Calibri" w:cs="Calibri"/>
                <w:b/>
                <w:bCs/>
                <w:lang w:val="en-IN"/>
              </w:rPr>
              <w:t>8.1.1:</w:t>
            </w:r>
            <w:r w:rsidRPr="002F4BA6">
              <w:rPr>
                <w:rFonts w:ascii="Calibri" w:hAnsi="Calibri" w:cs="Calibri"/>
                <w:lang w:val="en-IN"/>
              </w:rPr>
              <w:t xml:space="preserve"> Ensure installation of on-site and off-site RE </w:t>
            </w:r>
            <w:r w:rsidR="00D408FE">
              <w:rPr>
                <w:rFonts w:ascii="Calibri" w:hAnsi="Calibri" w:cs="Calibri"/>
                <w:lang w:val="en-IN"/>
              </w:rPr>
              <w:t>systems to offset a part of the annual energy consumption of internal artificial lighting and HVAC systems,</w:t>
            </w:r>
            <w:r w:rsidRPr="002F4BA6">
              <w:rPr>
                <w:rFonts w:ascii="Calibri" w:hAnsi="Calibri" w:cs="Calibri"/>
                <w:lang w:val="en-IN"/>
              </w:rPr>
              <w:t xml:space="preserve"> as mentioned in Table 8.1c GRIHA Version 6 Manual.</w:t>
            </w:r>
          </w:p>
        </w:tc>
        <w:tc>
          <w:tcPr>
            <w:tcW w:w="1791" w:type="dxa"/>
            <w:hideMark/>
          </w:tcPr>
          <w:p w14:paraId="00C8B5E8" w14:textId="77777777" w:rsidR="002F4BA6" w:rsidRPr="002F4BA6" w:rsidRDefault="002F4BA6" w:rsidP="002F4BA6">
            <w:pPr>
              <w:spacing w:after="40" w:line="240" w:lineRule="auto"/>
              <w:jc w:val="both"/>
              <w:rPr>
                <w:rFonts w:ascii="Calibri" w:hAnsi="Calibri" w:cs="Calibri"/>
                <w:lang w:val="en-IN"/>
              </w:rPr>
            </w:pPr>
            <w:r w:rsidRPr="002F4BA6">
              <w:rPr>
                <w:rFonts w:ascii="Calibri" w:hAnsi="Calibri" w:cs="Calibri"/>
                <w:lang w:val="en-IN"/>
              </w:rPr>
              <w:t>5 / 5</w:t>
            </w:r>
          </w:p>
        </w:tc>
      </w:tr>
      <w:tr w:rsidR="002F4BA6" w:rsidRPr="002F4BA6" w14:paraId="704E01F4" w14:textId="77777777" w:rsidTr="002F4BA6">
        <w:tc>
          <w:tcPr>
            <w:tcW w:w="846" w:type="dxa"/>
            <w:gridSpan w:val="2"/>
            <w:hideMark/>
          </w:tcPr>
          <w:p w14:paraId="5AFED688" w14:textId="77777777" w:rsidR="002F4BA6" w:rsidRPr="002F4BA6" w:rsidRDefault="002F4BA6" w:rsidP="002F4BA6">
            <w:pPr>
              <w:spacing w:after="40" w:line="240" w:lineRule="auto"/>
              <w:jc w:val="both"/>
              <w:rPr>
                <w:rFonts w:ascii="Calibri" w:hAnsi="Calibri" w:cs="Calibri"/>
                <w:lang w:val="en-IN"/>
              </w:rPr>
            </w:pPr>
            <w:r w:rsidRPr="002F4BA6">
              <w:rPr>
                <w:rFonts w:ascii="Calibri" w:hAnsi="Calibri" w:cs="Calibri"/>
                <w:lang w:val="en-IN"/>
              </w:rPr>
              <w:t>4</w:t>
            </w:r>
          </w:p>
        </w:tc>
        <w:tc>
          <w:tcPr>
            <w:tcW w:w="6379" w:type="dxa"/>
            <w:gridSpan w:val="2"/>
            <w:hideMark/>
          </w:tcPr>
          <w:p w14:paraId="7D7900FF" w14:textId="77777777" w:rsidR="002F4BA6" w:rsidRPr="002F4BA6" w:rsidRDefault="002F4BA6" w:rsidP="002F4BA6">
            <w:pPr>
              <w:spacing w:after="40" w:line="240" w:lineRule="auto"/>
              <w:jc w:val="both"/>
              <w:rPr>
                <w:rFonts w:ascii="Calibri" w:hAnsi="Calibri" w:cs="Calibri"/>
                <w:lang w:val="en-IN"/>
              </w:rPr>
            </w:pPr>
            <w:r w:rsidRPr="002F4BA6">
              <w:rPr>
                <w:rFonts w:ascii="Calibri" w:hAnsi="Calibri" w:cs="Calibri"/>
                <w:b/>
                <w:bCs/>
                <w:lang w:val="en-IN"/>
              </w:rPr>
              <w:t>14.1.1:</w:t>
            </w:r>
            <w:r w:rsidRPr="002F4BA6">
              <w:rPr>
                <w:rFonts w:ascii="Calibri" w:hAnsi="Calibri" w:cs="Calibri"/>
                <w:lang w:val="en-IN"/>
              </w:rPr>
              <w:t xml:space="preserve"> Ensure that 100% of wastewater generated on-site is treated through either a chemical-based or a natural wastewater treatment system.</w:t>
            </w:r>
          </w:p>
        </w:tc>
        <w:tc>
          <w:tcPr>
            <w:tcW w:w="1791" w:type="dxa"/>
            <w:hideMark/>
          </w:tcPr>
          <w:p w14:paraId="26283A36" w14:textId="77777777" w:rsidR="002F4BA6" w:rsidRPr="002F4BA6" w:rsidRDefault="002F4BA6" w:rsidP="002F4BA6">
            <w:pPr>
              <w:spacing w:after="40" w:line="240" w:lineRule="auto"/>
              <w:jc w:val="both"/>
              <w:rPr>
                <w:rFonts w:ascii="Calibri" w:hAnsi="Calibri" w:cs="Calibri"/>
                <w:lang w:val="en-IN"/>
              </w:rPr>
            </w:pPr>
            <w:r w:rsidRPr="002F4BA6">
              <w:rPr>
                <w:rFonts w:ascii="Calibri" w:hAnsi="Calibri" w:cs="Calibri"/>
                <w:lang w:val="en-IN"/>
              </w:rPr>
              <w:t>0 / 1</w:t>
            </w:r>
          </w:p>
        </w:tc>
      </w:tr>
      <w:tr w:rsidR="002F4BA6" w:rsidRPr="002F4BA6" w14:paraId="2C88147E" w14:textId="77777777" w:rsidTr="002F4BA6">
        <w:tc>
          <w:tcPr>
            <w:tcW w:w="846" w:type="dxa"/>
            <w:gridSpan w:val="2"/>
            <w:hideMark/>
          </w:tcPr>
          <w:p w14:paraId="7BADF3C2" w14:textId="77777777" w:rsidR="002F4BA6" w:rsidRPr="002F4BA6" w:rsidRDefault="002F4BA6" w:rsidP="002F4BA6">
            <w:pPr>
              <w:spacing w:after="40" w:line="240" w:lineRule="auto"/>
              <w:jc w:val="both"/>
              <w:rPr>
                <w:rFonts w:ascii="Calibri" w:hAnsi="Calibri" w:cs="Calibri"/>
                <w:lang w:val="en-IN"/>
              </w:rPr>
            </w:pPr>
            <w:r w:rsidRPr="002F4BA6">
              <w:rPr>
                <w:rFonts w:ascii="Calibri" w:hAnsi="Calibri" w:cs="Calibri"/>
                <w:lang w:val="en-IN"/>
              </w:rPr>
              <w:t>5</w:t>
            </w:r>
          </w:p>
        </w:tc>
        <w:tc>
          <w:tcPr>
            <w:tcW w:w="6379" w:type="dxa"/>
            <w:gridSpan w:val="2"/>
            <w:hideMark/>
          </w:tcPr>
          <w:p w14:paraId="5B6D5F13" w14:textId="6689F71D" w:rsidR="002F4BA6" w:rsidRPr="002F4BA6" w:rsidRDefault="002F4BA6" w:rsidP="002F4BA6">
            <w:pPr>
              <w:spacing w:after="40" w:line="240" w:lineRule="auto"/>
              <w:jc w:val="both"/>
              <w:rPr>
                <w:rFonts w:ascii="Calibri" w:hAnsi="Calibri" w:cs="Calibri"/>
                <w:lang w:val="en-IN"/>
              </w:rPr>
            </w:pPr>
            <w:r w:rsidRPr="002F4BA6">
              <w:rPr>
                <w:rFonts w:ascii="Calibri" w:hAnsi="Calibri" w:cs="Calibri"/>
                <w:b/>
                <w:bCs/>
                <w:lang w:val="en-IN"/>
              </w:rPr>
              <w:t>15.1.1:</w:t>
            </w:r>
            <w:r w:rsidRPr="002F4BA6">
              <w:rPr>
                <w:rFonts w:ascii="Calibri" w:hAnsi="Calibri" w:cs="Calibri"/>
                <w:lang w:val="en-IN"/>
              </w:rPr>
              <w:t xml:space="preserve"> Demonstrate that the post-construction </w:t>
            </w:r>
            <w:r w:rsidR="00D408FE">
              <w:rPr>
                <w:rFonts w:ascii="Calibri" w:hAnsi="Calibri" w:cs="Calibri"/>
                <w:lang w:val="en-IN"/>
              </w:rPr>
              <w:t xml:space="preserve">stormwater run-off from the site is being managed within the GRIHA project boundary as per Table 15.1c of the </w:t>
            </w:r>
            <w:r w:rsidRPr="002F4BA6">
              <w:rPr>
                <w:rFonts w:ascii="Calibri" w:hAnsi="Calibri" w:cs="Calibri"/>
                <w:lang w:val="en-IN"/>
              </w:rPr>
              <w:t>GRIHA Manual based on the peak hourly rainfall (mm/h).</w:t>
            </w:r>
          </w:p>
        </w:tc>
        <w:tc>
          <w:tcPr>
            <w:tcW w:w="1791" w:type="dxa"/>
            <w:hideMark/>
          </w:tcPr>
          <w:p w14:paraId="0DE530A6" w14:textId="77777777" w:rsidR="002F4BA6" w:rsidRPr="002F4BA6" w:rsidRDefault="002F4BA6" w:rsidP="002F4BA6">
            <w:pPr>
              <w:spacing w:after="40" w:line="240" w:lineRule="auto"/>
              <w:jc w:val="both"/>
              <w:rPr>
                <w:rFonts w:ascii="Calibri" w:hAnsi="Calibri" w:cs="Calibri"/>
                <w:lang w:val="en-IN"/>
              </w:rPr>
            </w:pPr>
            <w:r w:rsidRPr="002F4BA6">
              <w:rPr>
                <w:rFonts w:ascii="Calibri" w:hAnsi="Calibri" w:cs="Calibri"/>
                <w:lang w:val="en-IN"/>
              </w:rPr>
              <w:t>0 / 5</w:t>
            </w:r>
          </w:p>
        </w:tc>
      </w:tr>
      <w:tr w:rsidR="002F4BA6" w:rsidRPr="002F4BA6" w14:paraId="18007845" w14:textId="77777777" w:rsidTr="002F4BA6">
        <w:tc>
          <w:tcPr>
            <w:tcW w:w="846" w:type="dxa"/>
            <w:gridSpan w:val="2"/>
            <w:hideMark/>
          </w:tcPr>
          <w:p w14:paraId="7B86E47C" w14:textId="77777777" w:rsidR="002F4BA6" w:rsidRPr="002F4BA6" w:rsidRDefault="002F4BA6" w:rsidP="002F4BA6">
            <w:pPr>
              <w:spacing w:after="40" w:line="240" w:lineRule="auto"/>
              <w:jc w:val="both"/>
              <w:rPr>
                <w:rFonts w:ascii="Calibri" w:hAnsi="Calibri" w:cs="Calibri"/>
                <w:lang w:val="en-IN"/>
              </w:rPr>
            </w:pPr>
            <w:r w:rsidRPr="002F4BA6">
              <w:rPr>
                <w:rFonts w:ascii="Calibri" w:hAnsi="Calibri" w:cs="Calibri"/>
                <w:lang w:val="en-IN"/>
              </w:rPr>
              <w:t>6</w:t>
            </w:r>
          </w:p>
        </w:tc>
        <w:tc>
          <w:tcPr>
            <w:tcW w:w="6379" w:type="dxa"/>
            <w:gridSpan w:val="2"/>
            <w:hideMark/>
          </w:tcPr>
          <w:p w14:paraId="00F86A87" w14:textId="71B5D68D" w:rsidR="002F4BA6" w:rsidRPr="002F4BA6" w:rsidRDefault="002F4BA6" w:rsidP="002F4BA6">
            <w:pPr>
              <w:spacing w:after="40" w:line="240" w:lineRule="auto"/>
              <w:jc w:val="both"/>
              <w:rPr>
                <w:rFonts w:ascii="Calibri" w:hAnsi="Calibri" w:cs="Calibri"/>
                <w:lang w:val="en-IN"/>
              </w:rPr>
            </w:pPr>
            <w:r w:rsidRPr="002F4BA6">
              <w:rPr>
                <w:rFonts w:ascii="Calibri" w:hAnsi="Calibri" w:cs="Calibri"/>
                <w:b/>
                <w:bCs/>
                <w:lang w:val="en-IN"/>
              </w:rPr>
              <w:t>19.1.3:</w:t>
            </w:r>
            <w:r w:rsidRPr="002F4BA6">
              <w:rPr>
                <w:rFonts w:ascii="Calibri" w:hAnsi="Calibri" w:cs="Calibri"/>
                <w:lang w:val="en-IN"/>
              </w:rPr>
              <w:t xml:space="preserve"> Ensure that all internal and external, </w:t>
            </w:r>
            <w:proofErr w:type="gramStart"/>
            <w:r w:rsidR="00D408FE">
              <w:rPr>
                <w:rFonts w:ascii="Calibri" w:hAnsi="Calibri" w:cs="Calibri"/>
                <w:lang w:val="en-IN"/>
              </w:rPr>
              <w:t>load-bearing</w:t>
            </w:r>
            <w:proofErr w:type="gramEnd"/>
            <w:r w:rsidR="00D408FE">
              <w:rPr>
                <w:rFonts w:ascii="Calibri" w:hAnsi="Calibri" w:cs="Calibri"/>
                <w:lang w:val="en-IN"/>
              </w:rPr>
              <w:t>, non-</w:t>
            </w:r>
            <w:proofErr w:type="gramStart"/>
            <w:r w:rsidR="00D408FE">
              <w:rPr>
                <w:rFonts w:ascii="Calibri" w:hAnsi="Calibri" w:cs="Calibri"/>
                <w:lang w:val="en-IN"/>
              </w:rPr>
              <w:t>load-bearing</w:t>
            </w:r>
            <w:proofErr w:type="gramEnd"/>
            <w:r w:rsidR="00D408FE">
              <w:rPr>
                <w:rFonts w:ascii="Calibri" w:hAnsi="Calibri" w:cs="Calibri"/>
                <w:lang w:val="en-IN"/>
              </w:rPr>
              <w:t xml:space="preserve">, and partition walls are constructed with any or a </w:t>
            </w:r>
            <w:r w:rsidRPr="002F4BA6">
              <w:rPr>
                <w:rFonts w:ascii="Calibri" w:hAnsi="Calibri" w:cs="Calibri"/>
                <w:lang w:val="en-IN"/>
              </w:rPr>
              <w:t>combination of the listed alternative materials.</w:t>
            </w:r>
          </w:p>
        </w:tc>
        <w:tc>
          <w:tcPr>
            <w:tcW w:w="1791" w:type="dxa"/>
            <w:hideMark/>
          </w:tcPr>
          <w:p w14:paraId="551B6BB9" w14:textId="77777777" w:rsidR="002F4BA6" w:rsidRPr="002F4BA6" w:rsidRDefault="002F4BA6" w:rsidP="002F4BA6">
            <w:pPr>
              <w:spacing w:after="40" w:line="240" w:lineRule="auto"/>
              <w:jc w:val="both"/>
              <w:rPr>
                <w:rFonts w:ascii="Calibri" w:hAnsi="Calibri" w:cs="Calibri"/>
                <w:lang w:val="en-IN"/>
              </w:rPr>
            </w:pPr>
            <w:r w:rsidRPr="002F4BA6">
              <w:rPr>
                <w:rFonts w:ascii="Calibri" w:hAnsi="Calibri" w:cs="Calibri"/>
                <w:lang w:val="en-IN"/>
              </w:rPr>
              <w:t>1 / 1</w:t>
            </w:r>
          </w:p>
        </w:tc>
      </w:tr>
      <w:tr w:rsidR="002F4BA6" w:rsidRPr="002F4BA6" w14:paraId="6CD60124" w14:textId="77777777" w:rsidTr="002F4BA6">
        <w:tc>
          <w:tcPr>
            <w:tcW w:w="846" w:type="dxa"/>
            <w:gridSpan w:val="2"/>
            <w:hideMark/>
          </w:tcPr>
          <w:p w14:paraId="6512A8C2" w14:textId="77777777" w:rsidR="002F4BA6" w:rsidRPr="002F4BA6" w:rsidRDefault="002F4BA6" w:rsidP="002F4BA6">
            <w:pPr>
              <w:spacing w:after="40" w:line="240" w:lineRule="auto"/>
              <w:jc w:val="both"/>
              <w:rPr>
                <w:rFonts w:ascii="Calibri" w:hAnsi="Calibri" w:cs="Calibri"/>
                <w:lang w:val="en-IN"/>
              </w:rPr>
            </w:pPr>
            <w:r w:rsidRPr="002F4BA6">
              <w:rPr>
                <w:rFonts w:ascii="Calibri" w:hAnsi="Calibri" w:cs="Calibri"/>
                <w:lang w:val="en-IN"/>
              </w:rPr>
              <w:t>7</w:t>
            </w:r>
          </w:p>
        </w:tc>
        <w:tc>
          <w:tcPr>
            <w:tcW w:w="6379" w:type="dxa"/>
            <w:gridSpan w:val="2"/>
            <w:hideMark/>
          </w:tcPr>
          <w:p w14:paraId="17E11570" w14:textId="7F83233D" w:rsidR="002F4BA6" w:rsidRPr="002F4BA6" w:rsidRDefault="002F4BA6" w:rsidP="002F4BA6">
            <w:pPr>
              <w:spacing w:after="40" w:line="240" w:lineRule="auto"/>
              <w:jc w:val="both"/>
              <w:rPr>
                <w:rFonts w:ascii="Calibri" w:hAnsi="Calibri" w:cs="Calibri"/>
                <w:lang w:val="en-IN"/>
              </w:rPr>
            </w:pPr>
            <w:r w:rsidRPr="002F4BA6">
              <w:rPr>
                <w:rFonts w:ascii="Calibri" w:hAnsi="Calibri" w:cs="Calibri"/>
                <w:b/>
                <w:bCs/>
                <w:lang w:val="en-IN"/>
              </w:rPr>
              <w:t>21.1.1:</w:t>
            </w:r>
            <w:r w:rsidRPr="002F4BA6">
              <w:rPr>
                <w:rFonts w:ascii="Calibri" w:hAnsi="Calibri" w:cs="Calibri"/>
                <w:lang w:val="en-IN"/>
              </w:rPr>
              <w:t xml:space="preserve"> Demonstrate a reduction in GWP values of the components in </w:t>
            </w:r>
            <w:r w:rsidR="00D408FE">
              <w:rPr>
                <w:rFonts w:ascii="Calibri" w:hAnsi="Calibri" w:cs="Calibri"/>
                <w:lang w:val="en-IN"/>
              </w:rPr>
              <w:t xml:space="preserve">the primary materials category of the project from baseline values according to Table 21.1c of the </w:t>
            </w:r>
            <w:r w:rsidRPr="002F4BA6">
              <w:rPr>
                <w:rFonts w:ascii="Calibri" w:hAnsi="Calibri" w:cs="Calibri"/>
                <w:lang w:val="en-IN"/>
              </w:rPr>
              <w:t>GRIHA Manual.</w:t>
            </w:r>
          </w:p>
        </w:tc>
        <w:tc>
          <w:tcPr>
            <w:tcW w:w="1791" w:type="dxa"/>
            <w:hideMark/>
          </w:tcPr>
          <w:p w14:paraId="31001FF0" w14:textId="70141EF8" w:rsidR="002F4BA6" w:rsidRPr="002F4BA6" w:rsidRDefault="00684C1B" w:rsidP="002F4BA6">
            <w:pPr>
              <w:spacing w:after="40" w:line="240" w:lineRule="auto"/>
              <w:jc w:val="both"/>
              <w:rPr>
                <w:rFonts w:ascii="Calibri" w:hAnsi="Calibri" w:cs="Calibri"/>
                <w:lang w:val="en-IN"/>
              </w:rPr>
            </w:pPr>
            <w:r>
              <w:rPr>
                <w:rFonts w:ascii="Calibri" w:hAnsi="Calibri" w:cs="Calibri"/>
                <w:lang w:val="en-IN"/>
              </w:rPr>
              <w:t>N / A</w:t>
            </w:r>
          </w:p>
        </w:tc>
      </w:tr>
    </w:tbl>
    <w:p w14:paraId="42AF47BE" w14:textId="77777777" w:rsidR="00E01747" w:rsidRPr="00F41680" w:rsidRDefault="00E01747" w:rsidP="00E01747">
      <w:pPr>
        <w:spacing w:after="40" w:line="240" w:lineRule="auto"/>
        <w:jc w:val="both"/>
        <w:rPr>
          <w:rFonts w:ascii="Calibri" w:hAnsi="Calibri" w:cs="Calibri"/>
          <w:b/>
          <w:bCs/>
          <w:sz w:val="20"/>
          <w:szCs w:val="20"/>
          <w:lang w:val="en-IN"/>
        </w:rPr>
      </w:pPr>
    </w:p>
    <w:p w14:paraId="08ED8366" w14:textId="77777777" w:rsidR="00684C1B" w:rsidRPr="005134C0" w:rsidRDefault="00684C1B" w:rsidP="00684C1B">
      <w:pPr>
        <w:pStyle w:val="ListParagraph"/>
        <w:keepNext/>
        <w:numPr>
          <w:ilvl w:val="0"/>
          <w:numId w:val="11"/>
        </w:numPr>
        <w:spacing w:after="40"/>
        <w:jc w:val="both"/>
        <w:rPr>
          <w:rFonts w:ascii="Calibri" w:hAnsi="Calibri" w:cs="Calibri"/>
          <w:lang w:val="en-IN"/>
        </w:rPr>
      </w:pPr>
      <w:r w:rsidRPr="00D51902">
        <w:rPr>
          <w:rFonts w:ascii="Calibri" w:hAnsi="Calibri" w:cs="Calibri"/>
          <w:i/>
          <w:iCs/>
          <w:lang w:val="en-IN"/>
        </w:rPr>
        <w:t>Criterion 7.1.2: Peak Envelope Heat Gain (</w:t>
      </w:r>
      <w:r>
        <w:rPr>
          <w:rFonts w:ascii="Calibri" w:hAnsi="Calibri" w:cs="Calibri"/>
          <w:i/>
          <w:iCs/>
          <w:lang w:val="en-IN"/>
        </w:rPr>
        <w:t>N/A</w:t>
      </w:r>
      <w:r w:rsidRPr="00D51902">
        <w:rPr>
          <w:rFonts w:ascii="Calibri" w:hAnsi="Calibri" w:cs="Calibri"/>
          <w:i/>
          <w:iCs/>
          <w:lang w:val="en-IN"/>
        </w:rPr>
        <w:t>):</w:t>
      </w:r>
      <w:r w:rsidRPr="00D51902">
        <w:rPr>
          <w:rFonts w:ascii="Calibri" w:hAnsi="Calibri" w:cs="Calibri"/>
          <w:lang w:val="en-IN"/>
        </w:rPr>
        <w:t xml:space="preserve"> </w:t>
      </w:r>
      <w:r w:rsidRPr="005134C0">
        <w:rPr>
          <w:rFonts w:ascii="Calibri" w:hAnsi="Calibri" w:cs="Calibri"/>
          <w:lang w:val="en-IN"/>
        </w:rPr>
        <w:t>Because the subject block is naturally ventilated, Criterion 7.1.2 is formally exempt (</w:t>
      </w:r>
      <m:oMath>
        <m:r>
          <w:rPr>
            <w:rFonts w:ascii="Cambria Math" w:hAnsi="Cambria Math" w:cs="Calibri"/>
            <w:lang w:val="en-IN"/>
          </w:rPr>
          <m:t>0/0</m:t>
        </m:r>
      </m:oMath>
      <w:r>
        <w:rPr>
          <w:rFonts w:ascii="Calibri" w:hAnsi="Calibri" w:cs="Calibri"/>
          <w:lang w:val="en-IN"/>
        </w:rPr>
        <w:t xml:space="preserve">) </w:t>
      </w:r>
      <w:r w:rsidRPr="005134C0">
        <w:rPr>
          <w:rFonts w:ascii="Calibri" w:hAnsi="Calibri" w:cs="Calibri"/>
          <w:lang w:val="en-IN"/>
        </w:rPr>
        <w:t xml:space="preserve">assignable points. However, to demonstrate BIM workflow capacity for future conditioned variants, a Revit HVAC load simulation was performed using Lucknow design-day data. The analysis yielded a peak heat-gain intensity of </w:t>
      </w:r>
      <m:oMath>
        <m:r>
          <w:rPr>
            <w:rFonts w:ascii="Cambria Math" w:hAnsi="Cambria Math" w:cs="Calibri"/>
            <w:lang w:val="en-IN"/>
          </w:rPr>
          <m:t>40.78</m:t>
        </m:r>
        <m:sSup>
          <m:sSupPr>
            <m:ctrlPr>
              <w:rPr>
                <w:rFonts w:ascii="Cambria Math" w:hAnsi="Cambria Math" w:cs="Calibri"/>
                <w:lang w:val="en-IN"/>
              </w:rPr>
            </m:ctrlPr>
          </m:sSupPr>
          <m:e>
            <m:r>
              <m:rPr>
                <m:nor/>
              </m:rPr>
              <w:rPr>
                <w:rFonts w:ascii="Calibri" w:hAnsi="Calibri" w:cs="Calibri"/>
                <w:lang w:val="en-IN"/>
              </w:rPr>
              <m:t> W/m</m:t>
            </m:r>
          </m:e>
          <m:sup>
            <m:r>
              <w:rPr>
                <w:rFonts w:ascii="Cambria Math" w:hAnsi="Cambria Math" w:cs="Calibri"/>
                <w:lang w:val="en-IN"/>
              </w:rPr>
              <m:t>2</m:t>
            </m:r>
          </m:sup>
        </m:sSup>
      </m:oMath>
      <w:r w:rsidRPr="005134C0">
        <w:rPr>
          <w:rFonts w:ascii="Calibri" w:hAnsi="Calibri" w:cs="Calibri"/>
          <w:lang w:val="en-IN"/>
        </w:rPr>
        <w:t xml:space="preserve"> (</w:t>
      </w:r>
      <m:oMath>
        <m:r>
          <w:rPr>
            <w:rFonts w:ascii="Cambria Math" w:hAnsi="Cambria Math" w:cs="Calibri"/>
            <w:lang w:val="en-IN"/>
          </w:rPr>
          <m:t>61,998</m:t>
        </m:r>
        <m:r>
          <m:rPr>
            <m:nor/>
          </m:rPr>
          <w:rPr>
            <w:rFonts w:ascii="Calibri" w:hAnsi="Calibri" w:cs="Calibri"/>
            <w:lang w:val="en-IN"/>
          </w:rPr>
          <m:t> W</m:t>
        </m:r>
      </m:oMath>
      <w:r w:rsidRPr="005134C0">
        <w:rPr>
          <w:rFonts w:ascii="Calibri" w:hAnsi="Calibri" w:cs="Calibri"/>
          <w:lang w:val="en-IN"/>
        </w:rPr>
        <w:t xml:space="preserve"> across </w:t>
      </w:r>
      <m:oMath>
        <m:r>
          <w:rPr>
            <w:rFonts w:ascii="Cambria Math" w:hAnsi="Cambria Math" w:cs="Calibri"/>
            <w:lang w:val="en-IN"/>
          </w:rPr>
          <m:t>1520</m:t>
        </m:r>
        <m:sSup>
          <m:sSupPr>
            <m:ctrlPr>
              <w:rPr>
                <w:rFonts w:ascii="Cambria Math" w:hAnsi="Cambria Math" w:cs="Calibri"/>
                <w:lang w:val="en-IN"/>
              </w:rPr>
            </m:ctrlPr>
          </m:sSupPr>
          <m:e>
            <m:r>
              <m:rPr>
                <m:nor/>
              </m:rPr>
              <w:rPr>
                <w:rFonts w:ascii="Calibri" w:hAnsi="Calibri" w:cs="Calibri"/>
                <w:lang w:val="en-IN"/>
              </w:rPr>
              <m:t> m</m:t>
            </m:r>
          </m:e>
          <m:sup>
            <m:r>
              <w:rPr>
                <w:rFonts w:ascii="Cambria Math" w:hAnsi="Cambria Math" w:cs="Calibri"/>
                <w:lang w:val="en-IN"/>
              </w:rPr>
              <m:t>2</m:t>
            </m:r>
          </m:sup>
        </m:sSup>
      </m:oMath>
      <w:r w:rsidRPr="005134C0">
        <w:rPr>
          <w:rFonts w:ascii="Calibri" w:hAnsi="Calibri" w:cs="Calibri"/>
          <w:lang w:val="en-IN"/>
        </w:rPr>
        <w:t xml:space="preserve">), satisfying the standard threshold of </w:t>
      </w:r>
      <m:oMath>
        <m:r>
          <w:rPr>
            <w:rFonts w:ascii="Cambria Math" w:hAnsi="Cambria Math" w:cs="Calibri"/>
            <w:lang w:val="en-IN"/>
          </w:rPr>
          <m:t>45</m:t>
        </m:r>
        <m:sSup>
          <m:sSupPr>
            <m:ctrlPr>
              <w:rPr>
                <w:rFonts w:ascii="Cambria Math" w:hAnsi="Cambria Math" w:cs="Calibri"/>
                <w:lang w:val="en-IN"/>
              </w:rPr>
            </m:ctrlPr>
          </m:sSupPr>
          <m:e>
            <m:r>
              <m:rPr>
                <m:nor/>
              </m:rPr>
              <w:rPr>
                <w:rFonts w:ascii="Calibri" w:hAnsi="Calibri" w:cs="Calibri"/>
                <w:lang w:val="en-IN"/>
              </w:rPr>
              <m:t> W/m</m:t>
            </m:r>
          </m:e>
          <m:sup>
            <m:r>
              <w:rPr>
                <w:rFonts w:ascii="Cambria Math" w:hAnsi="Cambria Math" w:cs="Calibri"/>
                <w:lang w:val="en-IN"/>
              </w:rPr>
              <m:t>2</m:t>
            </m:r>
          </m:sup>
        </m:sSup>
      </m:oMath>
      <w:r w:rsidRPr="005134C0">
        <w:rPr>
          <w:rFonts w:ascii="Calibri" w:hAnsi="Calibri" w:cs="Calibri"/>
          <w:lang w:val="en-IN"/>
        </w:rPr>
        <w:t xml:space="preserve">. This calculation serves purely as a </w:t>
      </w:r>
      <w:r>
        <w:rPr>
          <w:rFonts w:ascii="Calibri" w:hAnsi="Calibri" w:cs="Calibri"/>
          <w:lang w:val="en-IN"/>
        </w:rPr>
        <w:t xml:space="preserve">demonstration of a transferable workflow </w:t>
      </w:r>
      <w:r w:rsidRPr="005134C0">
        <w:rPr>
          <w:rFonts w:ascii="Calibri" w:hAnsi="Calibri" w:cs="Calibri"/>
          <w:lang w:val="en-IN"/>
        </w:rPr>
        <w:t>and is excluded from the building's net score total.</w:t>
      </w:r>
    </w:p>
    <w:p w14:paraId="0F244D79" w14:textId="22DD2F1D" w:rsidR="00B17372" w:rsidRPr="00D51902" w:rsidRDefault="00B17372" w:rsidP="00D51902">
      <w:pPr>
        <w:pStyle w:val="ListParagraph"/>
        <w:keepNext/>
        <w:numPr>
          <w:ilvl w:val="0"/>
          <w:numId w:val="11"/>
        </w:numPr>
        <w:spacing w:after="40" w:line="240" w:lineRule="auto"/>
        <w:jc w:val="both"/>
        <w:rPr>
          <w:rFonts w:ascii="Calibri" w:hAnsi="Calibri" w:cs="Calibri"/>
          <w:lang w:val="en-IN"/>
        </w:rPr>
      </w:pPr>
      <w:r w:rsidRPr="0008282C">
        <w:rPr>
          <w:rFonts w:ascii="Calibri" w:hAnsi="Calibri" w:cs="Calibri"/>
          <w:i/>
          <w:iCs/>
          <w:lang w:val="en-IN"/>
        </w:rPr>
        <w:t>Criterion 7.1.4</w:t>
      </w:r>
      <w:r w:rsidR="00F071EB" w:rsidRPr="0008282C">
        <w:rPr>
          <w:rFonts w:ascii="Calibri" w:hAnsi="Calibri" w:cs="Calibri"/>
          <w:i/>
          <w:iCs/>
          <w:lang w:val="en-IN"/>
        </w:rPr>
        <w:t xml:space="preserve">: </w:t>
      </w:r>
      <w:r w:rsidRPr="0008282C">
        <w:rPr>
          <w:rFonts w:ascii="Calibri" w:hAnsi="Calibri" w:cs="Calibri"/>
          <w:i/>
          <w:iCs/>
          <w:lang w:val="en-IN"/>
        </w:rPr>
        <w:t>Energy Performance Index (0/8):</w:t>
      </w:r>
      <w:r w:rsidRPr="00D51902">
        <w:rPr>
          <w:rFonts w:ascii="Calibri" w:hAnsi="Calibri" w:cs="Calibri"/>
          <w:lang w:val="en-IN"/>
        </w:rPr>
        <w:t xml:space="preserve"> </w:t>
      </w:r>
      <w:r w:rsidR="00263DB4">
        <w:rPr>
          <w:rFonts w:ascii="Calibri" w:hAnsi="Calibri" w:cs="Calibri"/>
          <w:lang w:val="en-IN"/>
        </w:rPr>
        <w:t xml:space="preserve"> The scheme’s sanctioned </w:t>
      </w:r>
      <w:r w:rsidR="00E4624F">
        <w:rPr>
          <w:rFonts w:ascii="Calibri" w:hAnsi="Calibri" w:cs="Calibri"/>
          <w:lang w:val="en-IN"/>
        </w:rPr>
        <w:t>transformer capacity was obtained from the project report</w:t>
      </w:r>
      <w:r w:rsidR="00161BFF" w:rsidRPr="00161BFF">
        <w:rPr>
          <w:rFonts w:ascii="Calibri" w:hAnsi="Calibri" w:cs="Calibri"/>
        </w:rPr>
        <w:t>.</w:t>
      </w:r>
      <w:r w:rsidR="004141C7">
        <w:rPr>
          <w:rFonts w:ascii="Calibri" w:hAnsi="Calibri" w:cs="Calibri"/>
        </w:rPr>
        <w:t xml:space="preserve"> </w:t>
      </w:r>
      <w:r w:rsidRPr="00D51902">
        <w:rPr>
          <w:rFonts w:ascii="Calibri" w:hAnsi="Calibri" w:cs="Calibri"/>
          <w:lang w:val="en-IN"/>
        </w:rPr>
        <w:t xml:space="preserve">Normalising the scheme's sanctioned transformer capacity of 8,100 kVA to a single block and applying a power factor of 0.8, load factor of 0.4, and 10 hours of daily supply yields an indicative annual electricity consumption of 200,888 kWh/year, corresponding to an EPI of approximately 121.7 kWh/m²·year. This substantially exceeds the GRIHA benchmark of 70 kWh/m²·year for composite-climate residential buildings, and no points are claimed. As this estimate </w:t>
      </w:r>
      <w:r w:rsidR="009577F0">
        <w:rPr>
          <w:rFonts w:ascii="Calibri" w:hAnsi="Calibri" w:cs="Calibri"/>
          <w:lang w:val="en-IN"/>
        </w:rPr>
        <w:t>is based on</w:t>
      </w:r>
      <w:r w:rsidRPr="00D51902">
        <w:rPr>
          <w:rFonts w:ascii="Calibri" w:hAnsi="Calibri" w:cs="Calibri"/>
          <w:lang w:val="en-IN"/>
        </w:rPr>
        <w:t xml:space="preserve"> sanctioned transformer capacity rather than detailed energy simulation, it is treated as a conservative screening </w:t>
      </w:r>
      <w:r w:rsidR="00F071EB" w:rsidRPr="00D51902">
        <w:rPr>
          <w:rFonts w:ascii="Calibri" w:hAnsi="Calibri" w:cs="Calibri"/>
          <w:lang w:val="en-IN"/>
        </w:rPr>
        <w:t>value, yet it</w:t>
      </w:r>
      <w:r w:rsidRPr="00D51902">
        <w:rPr>
          <w:rFonts w:ascii="Calibri" w:hAnsi="Calibri" w:cs="Calibri"/>
          <w:lang w:val="en-IN"/>
        </w:rPr>
        <w:t xml:space="preserve"> signals that demand-side efficiency measures and detailed energy </w:t>
      </w:r>
      <w:proofErr w:type="spellStart"/>
      <w:r w:rsidR="009577F0">
        <w:rPr>
          <w:rFonts w:ascii="Calibri" w:hAnsi="Calibri" w:cs="Calibri"/>
          <w:lang w:val="en-IN"/>
        </w:rPr>
        <w:t>modeling</w:t>
      </w:r>
      <w:proofErr w:type="spellEnd"/>
      <w:r w:rsidRPr="00D51902">
        <w:rPr>
          <w:rFonts w:ascii="Calibri" w:hAnsi="Calibri" w:cs="Calibri"/>
          <w:lang w:val="en-IN"/>
        </w:rPr>
        <w:t xml:space="preserve"> are critical requirements for future PMAY-U designs seeking GRIHA compliance.</w:t>
      </w:r>
    </w:p>
    <w:p w14:paraId="7EBCE4C2" w14:textId="1A09C38F" w:rsidR="00B17372" w:rsidRPr="00D51902" w:rsidRDefault="00B17372" w:rsidP="00D51902">
      <w:pPr>
        <w:pStyle w:val="ListParagraph"/>
        <w:keepNext/>
        <w:numPr>
          <w:ilvl w:val="0"/>
          <w:numId w:val="11"/>
        </w:numPr>
        <w:spacing w:after="40" w:line="240" w:lineRule="auto"/>
        <w:jc w:val="both"/>
        <w:rPr>
          <w:rFonts w:ascii="Calibri" w:hAnsi="Calibri" w:cs="Calibri"/>
          <w:lang w:val="en-IN"/>
        </w:rPr>
      </w:pPr>
      <w:r w:rsidRPr="00D51902">
        <w:rPr>
          <w:rFonts w:ascii="Calibri" w:hAnsi="Calibri" w:cs="Calibri"/>
          <w:i/>
          <w:iCs/>
          <w:lang w:val="en-IN"/>
        </w:rPr>
        <w:t>Criterion 8.1.1</w:t>
      </w:r>
      <w:r w:rsidR="00F071EB" w:rsidRPr="00D51902">
        <w:rPr>
          <w:rFonts w:ascii="Calibri" w:hAnsi="Calibri" w:cs="Calibri"/>
          <w:i/>
          <w:iCs/>
          <w:lang w:val="en-IN"/>
        </w:rPr>
        <w:t xml:space="preserve">: </w:t>
      </w:r>
      <w:r w:rsidRPr="00D51902">
        <w:rPr>
          <w:rFonts w:ascii="Calibri" w:hAnsi="Calibri" w:cs="Calibri"/>
          <w:i/>
          <w:iCs/>
          <w:lang w:val="en-IN"/>
        </w:rPr>
        <w:t>Renewable Energy (</w:t>
      </w:r>
      <w:r w:rsidR="001520AF">
        <w:rPr>
          <w:rFonts w:ascii="Calibri" w:hAnsi="Calibri" w:cs="Calibri"/>
          <w:i/>
          <w:iCs/>
          <w:lang w:val="en-IN"/>
        </w:rPr>
        <w:t>5</w:t>
      </w:r>
      <w:r w:rsidRPr="00D51902">
        <w:rPr>
          <w:rFonts w:ascii="Calibri" w:hAnsi="Calibri" w:cs="Calibri"/>
          <w:i/>
          <w:iCs/>
          <w:lang w:val="en-IN"/>
        </w:rPr>
        <w:t>/5):</w:t>
      </w:r>
      <w:r w:rsidRPr="00D51902">
        <w:rPr>
          <w:rFonts w:ascii="Calibri" w:hAnsi="Calibri" w:cs="Calibri"/>
          <w:lang w:val="en-IN"/>
        </w:rPr>
        <w:t xml:space="preserve"> The </w:t>
      </w:r>
      <w:r w:rsidR="00F071EB" w:rsidRPr="00D51902">
        <w:rPr>
          <w:rFonts w:ascii="Calibri" w:hAnsi="Calibri" w:cs="Calibri"/>
          <w:lang w:val="en-IN"/>
        </w:rPr>
        <w:t>40kW</w:t>
      </w:r>
      <w:r w:rsidRPr="00D51902">
        <w:rPr>
          <w:rFonts w:ascii="Calibri" w:hAnsi="Calibri" w:cs="Calibri"/>
          <w:lang w:val="en-IN"/>
        </w:rPr>
        <w:t xml:space="preserve"> rooftop solar PV system, generating an estimated 73,000 kWh/year, offsets approximately 36.3% of the block's estimated annual electricity demand. Cross-referencing with GRIHA v6 Table 8.1c, however, the applicable point band for 24-hour residential buildings begins at 10% (1 point), with the maximum 5 points requiring a 25% contribution. Since the RE fraction exceeds 25%, the project is entitled to the full 5 points under this criterion.</w:t>
      </w:r>
    </w:p>
    <w:p w14:paraId="2FA0E375" w14:textId="0D8C33A4" w:rsidR="00B17372" w:rsidRPr="00D51902" w:rsidRDefault="00B17372" w:rsidP="00D51902">
      <w:pPr>
        <w:pStyle w:val="ListParagraph"/>
        <w:keepNext/>
        <w:numPr>
          <w:ilvl w:val="0"/>
          <w:numId w:val="11"/>
        </w:numPr>
        <w:spacing w:after="40" w:line="240" w:lineRule="auto"/>
        <w:jc w:val="both"/>
        <w:rPr>
          <w:rFonts w:ascii="Calibri" w:hAnsi="Calibri" w:cs="Calibri"/>
          <w:lang w:val="en-IN"/>
        </w:rPr>
      </w:pPr>
      <w:r w:rsidRPr="00D51902">
        <w:rPr>
          <w:rFonts w:ascii="Calibri" w:hAnsi="Calibri" w:cs="Calibri"/>
          <w:i/>
          <w:iCs/>
          <w:lang w:val="en-IN"/>
        </w:rPr>
        <w:t>Criteria 14.1.1 and 15.1.1</w:t>
      </w:r>
      <w:r w:rsidR="00F071EB" w:rsidRPr="00D51902">
        <w:rPr>
          <w:rFonts w:ascii="Calibri" w:hAnsi="Calibri" w:cs="Calibri"/>
          <w:i/>
          <w:iCs/>
          <w:lang w:val="en-IN"/>
        </w:rPr>
        <w:t xml:space="preserve">: </w:t>
      </w:r>
      <w:r w:rsidRPr="00D51902">
        <w:rPr>
          <w:rFonts w:ascii="Calibri" w:hAnsi="Calibri" w:cs="Calibri"/>
          <w:i/>
          <w:iCs/>
          <w:lang w:val="en-IN"/>
        </w:rPr>
        <w:t>Wastewater and Stormwater (0/</w:t>
      </w:r>
      <w:r w:rsidR="006A7F69">
        <w:rPr>
          <w:rFonts w:ascii="Calibri" w:hAnsi="Calibri" w:cs="Calibri"/>
          <w:i/>
          <w:iCs/>
          <w:lang w:val="en-IN"/>
        </w:rPr>
        <w:t>5</w:t>
      </w:r>
      <w:r w:rsidRPr="00D51902">
        <w:rPr>
          <w:rFonts w:ascii="Calibri" w:hAnsi="Calibri" w:cs="Calibri"/>
          <w:i/>
          <w:iCs/>
          <w:lang w:val="en-IN"/>
        </w:rPr>
        <w:t>):</w:t>
      </w:r>
      <w:r w:rsidRPr="00D51902">
        <w:rPr>
          <w:rFonts w:ascii="Calibri" w:hAnsi="Calibri" w:cs="Calibri"/>
          <w:lang w:val="en-IN"/>
        </w:rPr>
        <w:t xml:space="preserve"> The on-site STP supplies treated water meeting only approximately 31% of total site water demand, falling short of the 100% </w:t>
      </w:r>
      <w:r w:rsidRPr="00D51902">
        <w:rPr>
          <w:rFonts w:ascii="Calibri" w:hAnsi="Calibri" w:cs="Calibri"/>
          <w:lang w:val="en-IN"/>
        </w:rPr>
        <w:lastRenderedPageBreak/>
        <w:t xml:space="preserve">treatment coverage required under Criterion 14.1.1. For stormwater, the 10 recharge pits provide a combined capacity of 588.7 m³ against a design storm </w:t>
      </w:r>
      <w:r w:rsidR="00F41680" w:rsidRPr="00D51902">
        <w:rPr>
          <w:rFonts w:ascii="Calibri" w:hAnsi="Calibri" w:cs="Calibri"/>
          <w:lang w:val="en-IN"/>
        </w:rPr>
        <w:t xml:space="preserve">runoff volume of 2,968 m³, </w:t>
      </w:r>
      <w:r w:rsidR="00B06875">
        <w:rPr>
          <w:rFonts w:ascii="Calibri" w:hAnsi="Calibri" w:cs="Calibri"/>
          <w:lang w:val="en-IN"/>
        </w:rPr>
        <w:t xml:space="preserve">resulting in an on-site management ratio of approximately 19.8%, which is </w:t>
      </w:r>
      <w:r w:rsidRPr="00D51902">
        <w:rPr>
          <w:rFonts w:ascii="Calibri" w:hAnsi="Calibri" w:cs="Calibri"/>
          <w:lang w:val="en-IN"/>
        </w:rPr>
        <w:t>below even the minimum 25% threshold for point eligibility under Criterion 15.1.1. Both shortfalls reflect infrastructure constraints characteristic of cost-limited EWS housing and represent priority areas for design intervention in future implementations.</w:t>
      </w:r>
    </w:p>
    <w:p w14:paraId="4A42D872" w14:textId="61323046" w:rsidR="00B17372" w:rsidRPr="00D51902" w:rsidRDefault="00B17372" w:rsidP="00D51902">
      <w:pPr>
        <w:pStyle w:val="ListParagraph"/>
        <w:keepNext/>
        <w:numPr>
          <w:ilvl w:val="0"/>
          <w:numId w:val="11"/>
        </w:numPr>
        <w:spacing w:after="40" w:line="240" w:lineRule="auto"/>
        <w:jc w:val="both"/>
        <w:rPr>
          <w:rFonts w:ascii="Calibri" w:hAnsi="Calibri" w:cs="Calibri"/>
          <w:lang w:val="en-IN"/>
        </w:rPr>
      </w:pPr>
      <w:r w:rsidRPr="00D51902">
        <w:rPr>
          <w:rFonts w:ascii="Calibri" w:hAnsi="Calibri" w:cs="Calibri"/>
          <w:i/>
          <w:iCs/>
          <w:lang w:val="en-IN"/>
        </w:rPr>
        <w:t>Criterion 19.1.3</w:t>
      </w:r>
      <w:r w:rsidR="00F071EB" w:rsidRPr="00D51902">
        <w:rPr>
          <w:rFonts w:ascii="Calibri" w:hAnsi="Calibri" w:cs="Calibri"/>
          <w:i/>
          <w:iCs/>
          <w:lang w:val="en-IN"/>
        </w:rPr>
        <w:t xml:space="preserve">: </w:t>
      </w:r>
      <w:r w:rsidRPr="00D51902">
        <w:rPr>
          <w:rFonts w:ascii="Calibri" w:hAnsi="Calibri" w:cs="Calibri"/>
          <w:i/>
          <w:iCs/>
          <w:lang w:val="en-IN"/>
        </w:rPr>
        <w:t>Alternative Walling Materials (1/1):</w:t>
      </w:r>
      <w:r w:rsidRPr="00D51902">
        <w:rPr>
          <w:rFonts w:ascii="Calibri" w:hAnsi="Calibri" w:cs="Calibri"/>
          <w:lang w:val="en-IN"/>
        </w:rPr>
        <w:t xml:space="preserve"> AAC blocks are confirmed across all internal and external wall types via BOQ and project documentation. Subject to verification of </w:t>
      </w:r>
      <w:r w:rsidR="00F071EB" w:rsidRPr="00D51902">
        <w:rPr>
          <w:rFonts w:ascii="Calibri" w:hAnsi="Calibri" w:cs="Calibri"/>
          <w:lang w:val="en-IN"/>
        </w:rPr>
        <w:t>GRIHA-recognized green product certification with a minimum 40% fly ash content, the criterion is satisfied,</w:t>
      </w:r>
      <w:r w:rsidRPr="00D51902">
        <w:rPr>
          <w:rFonts w:ascii="Calibri" w:hAnsi="Calibri" w:cs="Calibri"/>
          <w:lang w:val="en-IN"/>
        </w:rPr>
        <w:t xml:space="preserve"> and the full 1 point is awarded.</w:t>
      </w:r>
    </w:p>
    <w:p w14:paraId="7A3F378D" w14:textId="11C8AE66" w:rsidR="00093235" w:rsidRPr="00155721" w:rsidRDefault="00B17372" w:rsidP="00093235">
      <w:pPr>
        <w:pStyle w:val="ListParagraph"/>
        <w:keepNext/>
        <w:numPr>
          <w:ilvl w:val="0"/>
          <w:numId w:val="11"/>
        </w:numPr>
        <w:spacing w:after="40" w:line="240" w:lineRule="auto"/>
        <w:jc w:val="both"/>
        <w:rPr>
          <w:rFonts w:ascii="Calibri" w:hAnsi="Calibri" w:cs="Calibri"/>
          <w:lang w:val="en-IN"/>
        </w:rPr>
      </w:pPr>
      <w:r w:rsidRPr="00D51902">
        <w:rPr>
          <w:rFonts w:ascii="Calibri" w:hAnsi="Calibri" w:cs="Calibri"/>
          <w:i/>
          <w:iCs/>
          <w:lang w:val="en-IN"/>
        </w:rPr>
        <w:t>Criterion 21.1.1</w:t>
      </w:r>
      <w:r w:rsidR="00F071EB" w:rsidRPr="00D51902">
        <w:rPr>
          <w:rFonts w:ascii="Calibri" w:hAnsi="Calibri" w:cs="Calibri"/>
          <w:i/>
          <w:iCs/>
          <w:lang w:val="en-IN"/>
        </w:rPr>
        <w:t xml:space="preserve">: </w:t>
      </w:r>
      <w:r w:rsidRPr="00D51902">
        <w:rPr>
          <w:rFonts w:ascii="Calibri" w:hAnsi="Calibri" w:cs="Calibri"/>
          <w:i/>
          <w:iCs/>
          <w:lang w:val="en-IN"/>
        </w:rPr>
        <w:t>Embodied GWP Reduction (</w:t>
      </w:r>
      <w:r w:rsidR="006A7F69">
        <w:rPr>
          <w:rFonts w:ascii="Calibri" w:hAnsi="Calibri" w:cs="Calibri"/>
          <w:i/>
          <w:iCs/>
          <w:lang w:val="en-IN"/>
        </w:rPr>
        <w:t>-</w:t>
      </w:r>
      <w:r w:rsidRPr="00D51902">
        <w:rPr>
          <w:rFonts w:ascii="Calibri" w:hAnsi="Calibri" w:cs="Calibri"/>
          <w:i/>
          <w:iCs/>
          <w:lang w:val="en-IN"/>
        </w:rPr>
        <w:t>/5):</w:t>
      </w:r>
      <w:r w:rsidRPr="00D51902">
        <w:rPr>
          <w:rFonts w:ascii="Calibri" w:hAnsi="Calibri" w:cs="Calibri"/>
          <w:lang w:val="en-IN"/>
        </w:rPr>
        <w:t xml:space="preserve"> The </w:t>
      </w:r>
      <w:r w:rsidR="00C44796">
        <w:rPr>
          <w:rFonts w:ascii="Calibri" w:hAnsi="Calibri" w:cs="Calibri"/>
          <w:lang w:val="en-IN"/>
        </w:rPr>
        <w:t xml:space="preserve">BIM-LCA </w:t>
      </w:r>
      <w:r w:rsidRPr="00D51902">
        <w:rPr>
          <w:rFonts w:ascii="Calibri" w:hAnsi="Calibri" w:cs="Calibri"/>
          <w:lang w:val="en-IN"/>
        </w:rPr>
        <w:t xml:space="preserve">workflow successfully generated design-case embodied GWP values for primary materials through the Revit–One Click LCA integration. However, the official GRIHA baseline GWP dataset required </w:t>
      </w:r>
      <w:r w:rsidR="00B06875">
        <w:rPr>
          <w:rFonts w:ascii="Calibri" w:hAnsi="Calibri" w:cs="Calibri"/>
          <w:lang w:val="en-IN"/>
        </w:rPr>
        <w:t>to compute the percentage reduction in Table 21.1c was unavailable on</w:t>
      </w:r>
      <w:r w:rsidRPr="00D51902">
        <w:rPr>
          <w:rFonts w:ascii="Calibri" w:hAnsi="Calibri" w:cs="Calibri"/>
          <w:lang w:val="en-IN"/>
        </w:rPr>
        <w:t xml:space="preserve"> the LCA platform used, precluding formal point allocation.</w:t>
      </w:r>
      <w:r w:rsidR="005221A7">
        <w:rPr>
          <w:rFonts w:ascii="Calibri" w:hAnsi="Calibri" w:cs="Calibri"/>
          <w:lang w:val="en-IN"/>
        </w:rPr>
        <w:t xml:space="preserve"> </w:t>
      </w:r>
      <w:r w:rsidR="005221A7" w:rsidRPr="005221A7">
        <w:rPr>
          <w:rFonts w:ascii="Calibri" w:hAnsi="Calibri" w:cs="Calibri"/>
        </w:rPr>
        <w:t>The design-stage emissions data generated are complete and audit-ready and can support future GRIHA appraisal processes, subject to validation using GRIHA’s prescribed methodology and baseline datasets.</w:t>
      </w:r>
    </w:p>
    <w:p w14:paraId="680D1985" w14:textId="77777777" w:rsidR="008A3297" w:rsidRPr="00C7591C" w:rsidRDefault="008A3297" w:rsidP="00C7591C">
      <w:pPr>
        <w:keepNext/>
        <w:spacing w:after="40" w:line="240" w:lineRule="auto"/>
        <w:jc w:val="both"/>
        <w:rPr>
          <w:rFonts w:ascii="Calibri" w:hAnsi="Calibri" w:cs="Calibri"/>
          <w:lang w:val="en-IN"/>
        </w:rPr>
      </w:pPr>
      <w:r w:rsidRPr="00C7591C">
        <w:rPr>
          <w:rFonts w:ascii="Calibri" w:hAnsi="Calibri" w:cs="Calibri"/>
        </w:rPr>
        <w:t>It is important to note that the appraisal scores presented here are derived from indicative, early-design-stage estimation methods rather than the detailed dynamic energy simulation and other formulations required for formal GRIHA certification; they are intended to demonstrate the feasibility of embedding sustainability appraisal logic into the design workflow itself, rather than to represent a certifiable compliance outcome.</w:t>
      </w:r>
    </w:p>
    <w:p w14:paraId="59D9A189" w14:textId="43FEDA78" w:rsidR="00F41680" w:rsidRDefault="00B17372" w:rsidP="00B17372">
      <w:pPr>
        <w:keepNext/>
        <w:spacing w:after="40" w:line="240" w:lineRule="auto"/>
        <w:jc w:val="both"/>
        <w:rPr>
          <w:rFonts w:ascii="Calibri" w:hAnsi="Calibri" w:cs="Calibri"/>
          <w:lang w:val="en-IN"/>
        </w:rPr>
      </w:pPr>
      <w:r w:rsidRPr="00F41680">
        <w:rPr>
          <w:rFonts w:ascii="Calibri" w:hAnsi="Calibri" w:cs="Calibri"/>
          <w:b/>
          <w:bCs/>
          <w:lang w:val="en-IN"/>
        </w:rPr>
        <w:t>Life-Cycle Carbon Profile</w:t>
      </w:r>
    </w:p>
    <w:p w14:paraId="6D723E03" w14:textId="01239A5B" w:rsidR="00684C1B" w:rsidRDefault="00684C1B" w:rsidP="00684C1B">
      <w:pPr>
        <w:keepNext/>
        <w:spacing w:after="40" w:line="240" w:lineRule="auto"/>
        <w:ind w:firstLine="720"/>
        <w:jc w:val="both"/>
        <w:rPr>
          <w:rFonts w:ascii="Calibri" w:hAnsi="Calibri" w:cs="Calibri"/>
          <w:lang w:val="en-IN"/>
        </w:rPr>
      </w:pPr>
      <w:r w:rsidRPr="00CF7D5D">
        <w:rPr>
          <w:rFonts w:ascii="Calibri" w:hAnsi="Calibri" w:cs="Calibri"/>
          <w:lang w:val="en-IN"/>
        </w:rPr>
        <w:t xml:space="preserve">To quantify long-term environmental impacts, a cradle-to-grave Life Cycle Assessment (LCA) was conducted across a 60-year study period using One Click LCA. The assessment scope covers product manufacturing (A1–A3), construction/installation (A5), replacement cycles (B4–B5), operational energy use (B6), operational water consumption (B7), and end-of-life disposal (C1–C4). Over the 60-year lifespan, the total GWP intensity was calculated at </w:t>
      </w:r>
      <m:oMath>
        <m:r>
          <w:rPr>
            <w:rFonts w:ascii="Cambria Math" w:hAnsi="Cambria Math" w:cs="Calibri"/>
            <w:lang w:val="en-IN"/>
          </w:rPr>
          <m:t>∼5,250</m:t>
        </m:r>
        <m:sSub>
          <m:sSubPr>
            <m:ctrlPr>
              <w:rPr>
                <w:rFonts w:ascii="Cambria Math" w:hAnsi="Cambria Math" w:cs="Calibri"/>
                <w:lang w:val="en-IN"/>
              </w:rPr>
            </m:ctrlPr>
          </m:sSubPr>
          <m:e>
            <m:r>
              <m:rPr>
                <m:nor/>
              </m:rPr>
              <w:rPr>
                <w:rFonts w:ascii="Calibri" w:hAnsi="Calibri" w:cs="Calibri"/>
                <w:lang w:val="en-IN"/>
              </w:rPr>
              <m:t> kg CO</m:t>
            </m:r>
          </m:e>
          <m:sub>
            <m:r>
              <w:rPr>
                <w:rFonts w:ascii="Cambria Math" w:hAnsi="Cambria Math" w:cs="Calibri"/>
                <w:lang w:val="en-IN"/>
              </w:rPr>
              <m:t>2</m:t>
            </m:r>
          </m:sub>
        </m:sSub>
        <m:sSup>
          <m:sSupPr>
            <m:ctrlPr>
              <w:rPr>
                <w:rFonts w:ascii="Cambria Math" w:hAnsi="Cambria Math" w:cs="Calibri"/>
                <w:lang w:val="en-IN"/>
              </w:rPr>
            </m:ctrlPr>
          </m:sSupPr>
          <m:e>
            <m:r>
              <m:rPr>
                <m:nor/>
              </m:rPr>
              <w:rPr>
                <w:rFonts w:ascii="Calibri" w:hAnsi="Calibri" w:cs="Calibri"/>
                <w:lang w:val="en-IN"/>
              </w:rPr>
              <m:t>e/m</m:t>
            </m:r>
          </m:e>
          <m:sup>
            <m:r>
              <w:rPr>
                <w:rFonts w:ascii="Cambria Math" w:hAnsi="Cambria Math" w:cs="Calibri"/>
                <w:lang w:val="en-IN"/>
              </w:rPr>
              <m:t>2</m:t>
            </m:r>
          </m:sup>
        </m:sSup>
      </m:oMath>
      <w:r w:rsidRPr="00CF7D5D">
        <w:rPr>
          <w:rFonts w:ascii="Calibri" w:hAnsi="Calibri" w:cs="Calibri"/>
          <w:lang w:val="en-IN"/>
        </w:rPr>
        <w:t xml:space="preserve"> of gross internal floor area (</w:t>
      </w:r>
      <m:oMath>
        <m:r>
          <w:rPr>
            <w:rFonts w:ascii="Cambria Math" w:hAnsi="Cambria Math" w:cs="Calibri"/>
            <w:lang w:val="en-IN"/>
          </w:rPr>
          <m:t>1,520</m:t>
        </m:r>
        <m:sSup>
          <m:sSupPr>
            <m:ctrlPr>
              <w:rPr>
                <w:rFonts w:ascii="Cambria Math" w:hAnsi="Cambria Math" w:cs="Calibri"/>
                <w:lang w:val="en-IN"/>
              </w:rPr>
            </m:ctrlPr>
          </m:sSupPr>
          <m:e>
            <m:r>
              <m:rPr>
                <m:nor/>
              </m:rPr>
              <w:rPr>
                <w:rFonts w:ascii="Calibri" w:hAnsi="Calibri" w:cs="Calibri"/>
                <w:lang w:val="en-IN"/>
              </w:rPr>
              <m:t> m</m:t>
            </m:r>
          </m:e>
          <m:sup>
            <m:r>
              <w:rPr>
                <w:rFonts w:ascii="Cambria Math" w:hAnsi="Cambria Math" w:cs="Calibri"/>
                <w:lang w:val="en-IN"/>
              </w:rPr>
              <m:t>2</m:t>
            </m:r>
          </m:sup>
        </m:sSup>
      </m:oMath>
      <w:r w:rsidRPr="00CF7D5D">
        <w:rPr>
          <w:rFonts w:ascii="Calibri" w:hAnsi="Calibri" w:cs="Calibri"/>
          <w:lang w:val="en-IN"/>
        </w:rPr>
        <w:t xml:space="preserve">). Operational energy (Stage B6) dominates the total life-cycle footprint, accounting for </w:t>
      </w:r>
      <m:oMath>
        <m:r>
          <w:rPr>
            <w:rFonts w:ascii="Cambria Math" w:hAnsi="Cambria Math" w:cs="Calibri"/>
            <w:lang w:val="en-IN"/>
          </w:rPr>
          <m:t>95.7%</m:t>
        </m:r>
      </m:oMath>
      <w:r w:rsidRPr="00CF7D5D">
        <w:rPr>
          <w:rFonts w:ascii="Calibri" w:hAnsi="Calibri" w:cs="Calibri"/>
          <w:lang w:val="en-IN"/>
        </w:rPr>
        <w:t xml:space="preserve"> (</w:t>
      </w:r>
      <m:oMath>
        <m:r>
          <w:rPr>
            <w:rFonts w:ascii="Cambria Math" w:hAnsi="Cambria Math" w:cs="Calibri"/>
            <w:lang w:val="en-IN"/>
          </w:rPr>
          <m:t>8.80×</m:t>
        </m:r>
        <m:sSup>
          <m:sSupPr>
            <m:ctrlPr>
              <w:rPr>
                <w:rFonts w:ascii="Cambria Math" w:hAnsi="Cambria Math" w:cs="Calibri"/>
                <w:lang w:val="en-IN"/>
              </w:rPr>
            </m:ctrlPr>
          </m:sSupPr>
          <m:e>
            <m:r>
              <w:rPr>
                <w:rFonts w:ascii="Cambria Math" w:hAnsi="Cambria Math" w:cs="Calibri"/>
                <w:lang w:val="en-IN"/>
              </w:rPr>
              <m:t>10</m:t>
            </m:r>
          </m:e>
          <m:sup>
            <m:r>
              <w:rPr>
                <w:rFonts w:ascii="Cambria Math" w:hAnsi="Cambria Math" w:cs="Calibri"/>
                <w:lang w:val="en-IN"/>
              </w:rPr>
              <m:t>6</m:t>
            </m:r>
          </m:sup>
        </m:sSup>
        <m:sSub>
          <m:sSubPr>
            <m:ctrlPr>
              <w:rPr>
                <w:rFonts w:ascii="Cambria Math" w:hAnsi="Cambria Math" w:cs="Calibri"/>
                <w:lang w:val="en-IN"/>
              </w:rPr>
            </m:ctrlPr>
          </m:sSubPr>
          <m:e>
            <m:r>
              <m:rPr>
                <m:nor/>
              </m:rPr>
              <w:rPr>
                <w:rFonts w:ascii="Calibri" w:hAnsi="Calibri" w:cs="Calibri"/>
                <w:lang w:val="en-IN"/>
              </w:rPr>
              <m:t> kg CO</m:t>
            </m:r>
          </m:e>
          <m:sub>
            <m:r>
              <w:rPr>
                <w:rFonts w:ascii="Cambria Math" w:hAnsi="Cambria Math" w:cs="Calibri"/>
                <w:lang w:val="en-IN"/>
              </w:rPr>
              <m:t>2</m:t>
            </m:r>
          </m:sub>
        </m:sSub>
        <m:r>
          <m:rPr>
            <m:nor/>
          </m:rPr>
          <w:rPr>
            <w:rFonts w:ascii="Calibri" w:hAnsi="Calibri" w:cs="Calibri"/>
            <w:lang w:val="en-IN"/>
          </w:rPr>
          <m:t>e</m:t>
        </m:r>
      </m:oMath>
      <w:r w:rsidRPr="00CF7D5D">
        <w:rPr>
          <w:rFonts w:ascii="Calibri" w:hAnsi="Calibri" w:cs="Calibri"/>
          <w:lang w:val="en-IN"/>
        </w:rPr>
        <w:t xml:space="preserve">) of emissions. This operational dominance is primarily driven by grid electricity consumption </w:t>
      </w:r>
      <w:proofErr w:type="spellStart"/>
      <w:r w:rsidRPr="00CF7D5D">
        <w:rPr>
          <w:rFonts w:ascii="Calibri" w:hAnsi="Calibri" w:cs="Calibri"/>
          <w:lang w:val="en-IN"/>
        </w:rPr>
        <w:t>modeled</w:t>
      </w:r>
      <w:proofErr w:type="spellEnd"/>
      <w:r w:rsidRPr="00CF7D5D">
        <w:rPr>
          <w:rFonts w:ascii="Calibri" w:hAnsi="Calibri" w:cs="Calibri"/>
          <w:lang w:val="en-IN"/>
        </w:rPr>
        <w:t xml:space="preserve"> under the national grid emission factor for India (</w:t>
      </w:r>
      <m:oMath>
        <m:r>
          <w:rPr>
            <w:rFonts w:ascii="Cambria Math" w:hAnsi="Cambria Math" w:cs="Calibri"/>
            <w:lang w:val="en-IN"/>
          </w:rPr>
          <m:t>0.716</m:t>
        </m:r>
        <m:sSub>
          <m:sSubPr>
            <m:ctrlPr>
              <w:rPr>
                <w:rFonts w:ascii="Cambria Math" w:hAnsi="Cambria Math" w:cs="Calibri"/>
                <w:lang w:val="en-IN"/>
              </w:rPr>
            </m:ctrlPr>
          </m:sSubPr>
          <m:e>
            <m:r>
              <m:rPr>
                <m:nor/>
              </m:rPr>
              <w:rPr>
                <w:rFonts w:ascii="Calibri" w:hAnsi="Calibri" w:cs="Calibri"/>
                <w:lang w:val="en-IN"/>
              </w:rPr>
              <m:t> kg CO</m:t>
            </m:r>
          </m:e>
          <m:sub>
            <m:r>
              <w:rPr>
                <w:rFonts w:ascii="Cambria Math" w:hAnsi="Cambria Math" w:cs="Calibri"/>
                <w:lang w:val="en-IN"/>
              </w:rPr>
              <m:t>2</m:t>
            </m:r>
          </m:sub>
        </m:sSub>
        <m:r>
          <m:rPr>
            <m:nor/>
          </m:rPr>
          <w:rPr>
            <w:rFonts w:ascii="Calibri" w:hAnsi="Calibri" w:cs="Calibri"/>
            <w:lang w:val="en-IN"/>
          </w:rPr>
          <m:t>e/kWh</m:t>
        </m:r>
      </m:oMath>
      <w:r>
        <w:rPr>
          <w:rFonts w:ascii="Calibri" w:eastAsiaTheme="minorEastAsia" w:hAnsi="Calibri" w:cs="Calibri"/>
          <w:lang w:val="en-IN"/>
        </w:rPr>
        <w:t>)</w:t>
      </w:r>
      <w:r w:rsidRPr="00CF7D5D">
        <w:rPr>
          <w:rFonts w:ascii="Calibri" w:hAnsi="Calibri" w:cs="Calibri"/>
          <w:lang w:val="en-IN"/>
        </w:rPr>
        <w:t xml:space="preserve">, as embedded in the software’s localized regional dataset. In contrast, initial embodied carbon (A1–A3) contributes </w:t>
      </w:r>
      <m:oMath>
        <m:r>
          <w:rPr>
            <w:rFonts w:ascii="Cambria Math" w:hAnsi="Cambria Math" w:cs="Calibri"/>
            <w:lang w:val="en-IN"/>
          </w:rPr>
          <m:t>2.62%</m:t>
        </m:r>
      </m:oMath>
      <w:r w:rsidRPr="00CF7D5D">
        <w:rPr>
          <w:rFonts w:ascii="Calibri" w:hAnsi="Calibri" w:cs="Calibri"/>
          <w:lang w:val="en-IN"/>
        </w:rPr>
        <w:t xml:space="preserve"> (</w:t>
      </w:r>
      <m:oMath>
        <m:r>
          <w:rPr>
            <w:rFonts w:ascii="Cambria Math" w:hAnsi="Cambria Math" w:cs="Calibri"/>
            <w:lang w:val="en-IN"/>
          </w:rPr>
          <m:t>240</m:t>
        </m:r>
        <m:sSub>
          <m:sSubPr>
            <m:ctrlPr>
              <w:rPr>
                <w:rFonts w:ascii="Cambria Math" w:hAnsi="Cambria Math" w:cs="Calibri"/>
                <w:lang w:val="en-IN"/>
              </w:rPr>
            </m:ctrlPr>
          </m:sSubPr>
          <m:e>
            <m:r>
              <m:rPr>
                <m:nor/>
              </m:rPr>
              <w:rPr>
                <w:rFonts w:ascii="Calibri" w:hAnsi="Calibri" w:cs="Calibri"/>
                <w:lang w:val="en-IN"/>
              </w:rPr>
              <m:t> t CO</m:t>
            </m:r>
          </m:e>
          <m:sub>
            <m:r>
              <w:rPr>
                <w:rFonts w:ascii="Cambria Math" w:hAnsi="Cambria Math" w:cs="Calibri"/>
                <w:lang w:val="en-IN"/>
              </w:rPr>
              <m:t>2</m:t>
            </m:r>
          </m:sub>
        </m:sSub>
        <m:r>
          <m:rPr>
            <m:nor/>
          </m:rPr>
          <w:rPr>
            <w:rFonts w:ascii="Calibri" w:hAnsi="Calibri" w:cs="Calibri"/>
            <w:lang w:val="en-IN"/>
          </w:rPr>
          <m:t>e</m:t>
        </m:r>
      </m:oMath>
      <w:r w:rsidRPr="00CF7D5D">
        <w:rPr>
          <w:rFonts w:ascii="Calibri" w:hAnsi="Calibri" w:cs="Calibri"/>
          <w:lang w:val="en-IN"/>
        </w:rPr>
        <w:t xml:space="preserve">), resulting in an embodied carbon intensity of </w:t>
      </w:r>
      <m:oMath>
        <m:r>
          <w:rPr>
            <w:rFonts w:ascii="Cambria Math" w:hAnsi="Cambria Math" w:cs="Calibri"/>
            <w:lang w:val="en-IN"/>
          </w:rPr>
          <m:t>274</m:t>
        </m:r>
        <m:sSub>
          <m:sSubPr>
            <m:ctrlPr>
              <w:rPr>
                <w:rFonts w:ascii="Cambria Math" w:hAnsi="Cambria Math" w:cs="Calibri"/>
                <w:lang w:val="en-IN"/>
              </w:rPr>
            </m:ctrlPr>
          </m:sSubPr>
          <m:e>
            <m:r>
              <m:rPr>
                <m:nor/>
              </m:rPr>
              <w:rPr>
                <w:rFonts w:ascii="Calibri" w:hAnsi="Calibri" w:cs="Calibri"/>
                <w:lang w:val="en-IN"/>
              </w:rPr>
              <m:t> kg CO</m:t>
            </m:r>
          </m:e>
          <m:sub>
            <m:r>
              <w:rPr>
                <w:rFonts w:ascii="Cambria Math" w:hAnsi="Cambria Math" w:cs="Calibri"/>
                <w:lang w:val="en-IN"/>
              </w:rPr>
              <m:t>2</m:t>
            </m:r>
          </m:sub>
        </m:sSub>
        <m:sSup>
          <m:sSupPr>
            <m:ctrlPr>
              <w:rPr>
                <w:rFonts w:ascii="Cambria Math" w:hAnsi="Cambria Math" w:cs="Calibri"/>
                <w:lang w:val="en-IN"/>
              </w:rPr>
            </m:ctrlPr>
          </m:sSupPr>
          <m:e>
            <m:r>
              <m:rPr>
                <m:nor/>
              </m:rPr>
              <w:rPr>
                <w:rFonts w:ascii="Calibri" w:hAnsi="Calibri" w:cs="Calibri"/>
                <w:lang w:val="en-IN"/>
              </w:rPr>
              <m:t>e/m</m:t>
            </m:r>
          </m:e>
          <m:sup>
            <m:r>
              <w:rPr>
                <w:rFonts w:ascii="Cambria Math" w:hAnsi="Cambria Math" w:cs="Calibri"/>
                <w:lang w:val="en-IN"/>
              </w:rPr>
              <m:t>2</m:t>
            </m:r>
          </m:sup>
        </m:sSup>
      </m:oMath>
      <w:r w:rsidRPr="00CF7D5D">
        <w:rPr>
          <w:rFonts w:ascii="Calibri" w:hAnsi="Calibri" w:cs="Calibri"/>
          <w:lang w:val="en-IN"/>
        </w:rPr>
        <w:t xml:space="preserve"> (excluding MEP), which corresponds to an 'A' rating against national residential benchmarks</w:t>
      </w:r>
      <w:r w:rsidRPr="003B19EC">
        <w:rPr>
          <w:rFonts w:ascii="Calibri" w:hAnsi="Calibri" w:cs="Calibri"/>
          <w:lang w:val="en-IN"/>
        </w:rPr>
        <w:t>.</w:t>
      </w:r>
      <w:r>
        <w:rPr>
          <w:rFonts w:ascii="Calibri" w:hAnsi="Calibri" w:cs="Calibri"/>
          <w:lang w:val="en-IN"/>
        </w:rPr>
        <w:t xml:space="preserve"> </w:t>
      </w:r>
      <w:r>
        <w:rPr>
          <w:rFonts w:ascii="Calibri" w:hAnsi="Calibri" w:cs="Calibri"/>
          <w:lang w:val="en-IN"/>
        </w:rPr>
        <w:fldChar w:fldCharType="begin"/>
      </w:r>
      <w:r>
        <w:rPr>
          <w:rFonts w:ascii="Calibri" w:hAnsi="Calibri" w:cs="Calibri"/>
          <w:lang w:val="en-IN"/>
        </w:rPr>
        <w:instrText xml:space="preserve"> REF _Ref230598116 \h </w:instrText>
      </w:r>
      <w:r>
        <w:rPr>
          <w:rFonts w:ascii="Calibri" w:hAnsi="Calibri" w:cs="Calibri"/>
          <w:lang w:val="en-IN"/>
        </w:rPr>
      </w:r>
      <w:r>
        <w:rPr>
          <w:rFonts w:ascii="Calibri" w:hAnsi="Calibri" w:cs="Calibri"/>
          <w:lang w:val="en-IN"/>
        </w:rPr>
        <w:fldChar w:fldCharType="separate"/>
      </w:r>
      <w:r w:rsidRPr="00047459">
        <w:rPr>
          <w:rFonts w:ascii="Calibri" w:hAnsi="Calibri" w:cs="Calibri"/>
          <w:sz w:val="20"/>
          <w:szCs w:val="20"/>
        </w:rPr>
        <w:t xml:space="preserve">Figure </w:t>
      </w:r>
      <w:r w:rsidRPr="00047459">
        <w:rPr>
          <w:rFonts w:ascii="Calibri" w:hAnsi="Calibri" w:cs="Calibri"/>
          <w:noProof/>
          <w:sz w:val="20"/>
          <w:szCs w:val="20"/>
        </w:rPr>
        <w:t>3</w:t>
      </w:r>
      <w:r>
        <w:rPr>
          <w:rFonts w:ascii="Calibri" w:hAnsi="Calibri" w:cs="Calibri"/>
          <w:lang w:val="en-IN"/>
        </w:rPr>
        <w:fldChar w:fldCharType="end"/>
      </w:r>
      <w:r>
        <w:rPr>
          <w:rFonts w:ascii="Calibri" w:hAnsi="Calibri" w:cs="Calibri"/>
          <w:lang w:val="en-IN"/>
        </w:rPr>
        <w:t xml:space="preserve"> </w:t>
      </w:r>
      <w:r w:rsidRPr="00047459">
        <w:rPr>
          <w:rFonts w:ascii="Calibri" w:hAnsi="Calibri" w:cs="Calibri"/>
        </w:rPr>
        <w:t>illustrates the distribution of life cycle GWP across different resource types for the representative PMAY-U block</w:t>
      </w:r>
      <w:r>
        <w:rPr>
          <w:rFonts w:ascii="Calibri" w:hAnsi="Calibri" w:cs="Calibri"/>
        </w:rPr>
        <w:t>.</w:t>
      </w:r>
    </w:p>
    <w:p w14:paraId="398256B9" w14:textId="7EC0BBFE" w:rsidR="00037316" w:rsidRPr="00B17372" w:rsidRDefault="00037316" w:rsidP="00037316">
      <w:pPr>
        <w:keepNext/>
        <w:spacing w:after="40" w:line="240" w:lineRule="auto"/>
        <w:jc w:val="center"/>
        <w:rPr>
          <w:sz w:val="20"/>
          <w:szCs w:val="20"/>
        </w:rPr>
      </w:pPr>
      <w:r w:rsidRPr="00037316">
        <w:rPr>
          <w:noProof/>
          <w:sz w:val="20"/>
          <w:szCs w:val="20"/>
        </w:rPr>
        <w:drawing>
          <wp:inline distT="0" distB="0" distL="0" distR="0" wp14:anchorId="42F8E89F" wp14:editId="53A82FCB">
            <wp:extent cx="2322195" cy="1804129"/>
            <wp:effectExtent l="19050" t="19050" r="20955" b="24765"/>
            <wp:docPr id="1330543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543987" name=""/>
                    <pic:cNvPicPr/>
                  </pic:nvPicPr>
                  <pic:blipFill>
                    <a:blip r:embed="rId10"/>
                    <a:stretch>
                      <a:fillRect/>
                    </a:stretch>
                  </pic:blipFill>
                  <pic:spPr>
                    <a:xfrm>
                      <a:off x="0" y="0"/>
                      <a:ext cx="2471537" cy="1920154"/>
                    </a:xfrm>
                    <a:prstGeom prst="rect">
                      <a:avLst/>
                    </a:prstGeom>
                    <a:ln>
                      <a:solidFill>
                        <a:schemeClr val="tx1"/>
                      </a:solidFill>
                    </a:ln>
                  </pic:spPr>
                </pic:pic>
              </a:graphicData>
            </a:graphic>
          </wp:inline>
        </w:drawing>
      </w:r>
    </w:p>
    <w:p w14:paraId="39F9D37D" w14:textId="6741175D" w:rsidR="00F41680" w:rsidRPr="00047459" w:rsidRDefault="00047459" w:rsidP="00047459">
      <w:pPr>
        <w:pStyle w:val="Caption"/>
        <w:jc w:val="center"/>
        <w:rPr>
          <w:rFonts w:ascii="Calibri" w:hAnsi="Calibri" w:cs="Calibri"/>
          <w:color w:val="auto"/>
          <w:sz w:val="4"/>
          <w:szCs w:val="4"/>
        </w:rPr>
      </w:pPr>
      <w:bookmarkStart w:id="8" w:name="_Ref230598116"/>
      <w:r w:rsidRPr="00047459">
        <w:rPr>
          <w:rFonts w:ascii="Calibri" w:hAnsi="Calibri" w:cs="Calibri"/>
          <w:color w:val="auto"/>
          <w:sz w:val="20"/>
          <w:szCs w:val="20"/>
        </w:rPr>
        <w:t xml:space="preserve">Figure </w:t>
      </w:r>
      <w:r w:rsidRPr="00047459">
        <w:rPr>
          <w:rFonts w:ascii="Calibri" w:hAnsi="Calibri" w:cs="Calibri"/>
          <w:color w:val="auto"/>
          <w:sz w:val="20"/>
          <w:szCs w:val="20"/>
        </w:rPr>
        <w:fldChar w:fldCharType="begin"/>
      </w:r>
      <w:r w:rsidRPr="00047459">
        <w:rPr>
          <w:rFonts w:ascii="Calibri" w:hAnsi="Calibri" w:cs="Calibri"/>
          <w:color w:val="auto"/>
          <w:sz w:val="20"/>
          <w:szCs w:val="20"/>
        </w:rPr>
        <w:instrText xml:space="preserve"> SEQ Figure \* ARABIC </w:instrText>
      </w:r>
      <w:r w:rsidRPr="00047459">
        <w:rPr>
          <w:rFonts w:ascii="Calibri" w:hAnsi="Calibri" w:cs="Calibri"/>
          <w:color w:val="auto"/>
          <w:sz w:val="20"/>
          <w:szCs w:val="20"/>
        </w:rPr>
        <w:fldChar w:fldCharType="separate"/>
      </w:r>
      <w:r w:rsidRPr="00047459">
        <w:rPr>
          <w:rFonts w:ascii="Calibri" w:hAnsi="Calibri" w:cs="Calibri"/>
          <w:noProof/>
          <w:color w:val="auto"/>
          <w:sz w:val="20"/>
          <w:szCs w:val="20"/>
        </w:rPr>
        <w:t>3</w:t>
      </w:r>
      <w:r w:rsidRPr="00047459">
        <w:rPr>
          <w:rFonts w:ascii="Calibri" w:hAnsi="Calibri" w:cs="Calibri"/>
          <w:color w:val="auto"/>
          <w:sz w:val="20"/>
          <w:szCs w:val="20"/>
        </w:rPr>
        <w:fldChar w:fldCharType="end"/>
      </w:r>
      <w:bookmarkEnd w:id="8"/>
      <w:r w:rsidRPr="00047459">
        <w:rPr>
          <w:rFonts w:ascii="Calibri" w:hAnsi="Calibri" w:cs="Calibri"/>
          <w:color w:val="auto"/>
          <w:sz w:val="20"/>
          <w:szCs w:val="20"/>
        </w:rPr>
        <w:t>: Distribution of life cycle GWP by resource type for the representative PMAY-U block.</w:t>
      </w:r>
    </w:p>
    <w:p w14:paraId="22A73B4A" w14:textId="77777777"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lastRenderedPageBreak/>
        <w:t>4. CONCLUSION</w:t>
      </w:r>
    </w:p>
    <w:p w14:paraId="7E6B227F" w14:textId="38155779" w:rsidR="00EA1B86" w:rsidRPr="00EA1B86" w:rsidRDefault="00EA1B86" w:rsidP="00F409CA">
      <w:pPr>
        <w:spacing w:after="40" w:line="240" w:lineRule="auto"/>
        <w:ind w:firstLine="720"/>
        <w:jc w:val="both"/>
        <w:rPr>
          <w:rFonts w:ascii="Calibri" w:hAnsi="Calibri" w:cs="Calibri"/>
          <w:lang w:val="en-IN"/>
        </w:rPr>
      </w:pPr>
      <w:r w:rsidRPr="00EA1B86">
        <w:rPr>
          <w:rFonts w:ascii="Calibri" w:hAnsi="Calibri" w:cs="Calibri"/>
          <w:lang w:val="en-IN"/>
        </w:rPr>
        <w:t xml:space="preserve">The study demonstrates the applicability of a rating-oriented BIM-LCA integrated workflow for lifecycle-based sustainability assessment of PMAY-type public housing in India. The proposed framework enabled automated generation of spatial, thermal, and material datasets with a level of traceability and analytical depth that conventional BOQ-based approaches cannot provide. The direct use of BIM-LCA outputs across selected, applicable GRIHA appraisal criteria further demonstrates the potential of integrated digital workflows to provide structured decision-support evidence for sustainability appraisal. The lifecycle assessment results indicate that operational energy use is the dominant contributor to environmental impact, accounting for approximately </w:t>
      </w:r>
      <m:oMath>
        <m:r>
          <w:rPr>
            <w:rFonts w:ascii="Cambria Math" w:hAnsi="Cambria Math" w:cs="Calibri"/>
            <w:lang w:val="en-IN"/>
          </w:rPr>
          <m:t>95.7%</m:t>
        </m:r>
      </m:oMath>
      <w:r w:rsidRPr="00EA1B86">
        <w:rPr>
          <w:rFonts w:ascii="Calibri" w:hAnsi="Calibri" w:cs="Calibri"/>
          <w:lang w:val="en-IN"/>
        </w:rPr>
        <w:t xml:space="preserve"> of </w:t>
      </w:r>
      <w:r w:rsidR="00F409CA" w:rsidRPr="00F409CA">
        <w:rPr>
          <w:rFonts w:ascii="Calibri" w:hAnsi="Calibri" w:cs="Calibri"/>
          <w:lang w:val="en-IN"/>
        </w:rPr>
        <w:t xml:space="preserve">total life-cycle carbon </w:t>
      </w:r>
      <w:r w:rsidR="00115C3F" w:rsidRPr="00F409CA">
        <w:rPr>
          <w:rFonts w:ascii="Calibri" w:hAnsi="Calibri" w:cs="Calibri"/>
          <w:lang w:val="en-IN"/>
        </w:rPr>
        <w:t>emissions</w:t>
      </w:r>
      <w:r w:rsidR="00115C3F">
        <w:rPr>
          <w:rFonts w:ascii="Calibri" w:hAnsi="Calibri" w:cs="Calibri"/>
          <w:lang w:val="en-IN"/>
        </w:rPr>
        <w:t xml:space="preserve"> and</w:t>
      </w:r>
      <w:r w:rsidR="00F409CA" w:rsidRPr="00F409CA">
        <w:rPr>
          <w:rFonts w:ascii="Calibri" w:hAnsi="Calibri" w:cs="Calibri"/>
          <w:lang w:val="en-IN"/>
        </w:rPr>
        <w:t xml:space="preserve"> representing more than </w:t>
      </w:r>
      <m:oMath>
        <m:r>
          <w:rPr>
            <w:rFonts w:ascii="Cambria Math" w:hAnsi="Cambria Math" w:cs="Calibri"/>
            <w:lang w:val="en-IN"/>
          </w:rPr>
          <m:t>8.8</m:t>
        </m:r>
        <m:sSub>
          <m:sSubPr>
            <m:ctrlPr>
              <w:rPr>
                <w:rFonts w:ascii="Cambria Math" w:hAnsi="Cambria Math" w:cs="Calibri"/>
                <w:lang w:val="en-IN"/>
              </w:rPr>
            </m:ctrlPr>
          </m:sSubPr>
          <m:e>
            <m:r>
              <m:rPr>
                <m:nor/>
              </m:rPr>
              <w:rPr>
                <w:rFonts w:ascii="Calibri" w:hAnsi="Calibri" w:cs="Calibri"/>
                <w:lang w:val="en-IN"/>
              </w:rPr>
              <m:t> million kg CO</m:t>
            </m:r>
          </m:e>
          <m:sub>
            <m:r>
              <w:rPr>
                <w:rFonts w:ascii="Cambria Math" w:hAnsi="Cambria Math" w:cs="Calibri"/>
                <w:lang w:val="en-IN"/>
              </w:rPr>
              <m:t>2</m:t>
            </m:r>
          </m:sub>
        </m:sSub>
        <m:r>
          <m:rPr>
            <m:nor/>
          </m:rPr>
          <w:rPr>
            <w:rFonts w:ascii="Calibri" w:hAnsi="Calibri" w:cs="Calibri"/>
            <w:lang w:val="en-IN"/>
          </w:rPr>
          <m:t>e</m:t>
        </m:r>
      </m:oMath>
      <w:r w:rsidR="00F409CA" w:rsidRPr="00F409CA">
        <w:rPr>
          <w:rFonts w:ascii="Calibri" w:hAnsi="Calibri" w:cs="Calibri"/>
          <w:lang w:val="en-IN"/>
        </w:rPr>
        <w:t xml:space="preserve"> over the 60-year assessment period.</w:t>
      </w:r>
      <w:r w:rsidR="00F409CA">
        <w:rPr>
          <w:rFonts w:ascii="Calibri" w:hAnsi="Calibri" w:cs="Calibri"/>
          <w:lang w:val="en-IN"/>
        </w:rPr>
        <w:t xml:space="preserve"> </w:t>
      </w:r>
      <w:r w:rsidRPr="00EA1B86">
        <w:rPr>
          <w:rFonts w:ascii="Calibri" w:hAnsi="Calibri" w:cs="Calibri"/>
          <w:lang w:val="en-IN"/>
        </w:rPr>
        <w:t xml:space="preserve">At the embodied stage, concrete and masonry materials accounted for the largest share of product-stage impacts, together representing more than </w:t>
      </w:r>
      <m:oMath>
        <m:r>
          <w:rPr>
            <w:rFonts w:ascii="Cambria Math" w:hAnsi="Cambria Math" w:cs="Calibri"/>
            <w:lang w:val="en-IN"/>
          </w:rPr>
          <m:t>57%</m:t>
        </m:r>
      </m:oMath>
      <w:r w:rsidRPr="00EA1B86">
        <w:rPr>
          <w:rFonts w:ascii="Calibri" w:hAnsi="Calibri" w:cs="Calibri"/>
          <w:lang w:val="en-IN"/>
        </w:rPr>
        <w:t>. These findings highlight the importance of simultaneously addressing operational efficiency and material optimization to achieve meaningful decarbonization in affordable housing projects.</w:t>
      </w:r>
    </w:p>
    <w:p w14:paraId="6F1769D4" w14:textId="69C5B0F9" w:rsidR="00EA1B86" w:rsidRPr="00EA1B86" w:rsidRDefault="00EA1B86" w:rsidP="00EA1B86">
      <w:pPr>
        <w:spacing w:after="40" w:line="240" w:lineRule="auto"/>
        <w:ind w:firstLine="720"/>
        <w:jc w:val="both"/>
        <w:rPr>
          <w:rFonts w:ascii="Calibri" w:hAnsi="Calibri" w:cs="Calibri"/>
          <w:lang w:val="en-IN"/>
        </w:rPr>
      </w:pPr>
      <w:r w:rsidRPr="00EA1B86">
        <w:rPr>
          <w:rFonts w:ascii="Calibri" w:hAnsi="Calibri" w:cs="Calibri"/>
          <w:lang w:val="en-IN"/>
        </w:rPr>
        <w:t>Despite the advantages of the integrated workflow, the low overall appraisal performance under the selected criteria reflects broader infrastructural and design limitations commonly associated with cost-constrained EWS housing developments. Gaps in stormwater management and energy performance highlight the need to integrate sustainability-oriented performance thresholds during early planning and scheme approval, rather than relying solely on post-design evaluation mechanisms. The workflow is inherently scalable: normalization from a 47-block identical scheme to a single representative block creates a reusable unit dataset applicable across analogous PMAY-U typologies nationally. Future priorities include the development and integration of Indian-specific EPDs into standard LCA platforms, publication of GRIHA baseline GWP datasets to enable formal scoring under Criterion 21.1.1, and the systematic cross-mapping of BIM-LCA outputs to parallel rating frameworks, including IGBC, EDGE, and Envision, with a view to developing semi-automated decision-support tools for large-scale public housing programs.</w:t>
      </w:r>
    </w:p>
    <w:p w14:paraId="27DB1F53" w14:textId="77777777" w:rsidR="00D6057A" w:rsidRPr="00D6057A" w:rsidRDefault="00D6057A" w:rsidP="006E77D5">
      <w:pPr>
        <w:spacing w:after="40" w:line="240" w:lineRule="auto"/>
        <w:rPr>
          <w:rFonts w:ascii="Calibri" w:hAnsi="Calibri" w:cs="Calibri"/>
        </w:rPr>
      </w:pPr>
    </w:p>
    <w:p w14:paraId="1C4D7BD6" w14:textId="77777777"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t xml:space="preserve">REFERENCES </w:t>
      </w:r>
    </w:p>
    <w:sdt>
      <w:sdtPr>
        <w:rPr>
          <w:rFonts w:ascii="Calibri" w:hAnsi="Calibri" w:cs="Calibri"/>
          <w:color w:val="000000"/>
        </w:rPr>
        <w:tag w:val="MENDELEY_BIBLIOGRAPHY"/>
        <w:id w:val="325167665"/>
        <w:placeholder>
          <w:docPart w:val="DefaultPlaceholder_-1854013440"/>
        </w:placeholder>
      </w:sdtPr>
      <w:sdtEndPr/>
      <w:sdtContent>
        <w:p w14:paraId="5CB121A9" w14:textId="77777777" w:rsidR="006F0B51" w:rsidRPr="006F0B51" w:rsidRDefault="006F0B51" w:rsidP="006F0B51">
          <w:pPr>
            <w:ind w:left="510" w:hanging="510"/>
            <w:jc w:val="both"/>
            <w:divId w:val="1229731075"/>
            <w:rPr>
              <w:rFonts w:ascii="Calibri" w:eastAsia="Times New Roman" w:hAnsi="Calibri" w:cs="Calibri"/>
              <w:color w:val="000000"/>
              <w:kern w:val="0"/>
              <w:szCs w:val="24"/>
              <w14:ligatures w14:val="none"/>
            </w:rPr>
          </w:pPr>
          <w:r w:rsidRPr="006F0B51">
            <w:rPr>
              <w:rFonts w:ascii="Calibri" w:eastAsia="Times New Roman" w:hAnsi="Calibri" w:cs="Calibri"/>
              <w:color w:val="000000"/>
            </w:rPr>
            <w:t xml:space="preserve">Ajayi, S.O., Oyedele, L.O. and Ilori, O.M. (2019) ‘Changing significance of embodied energy: A comparative study of material specifications and building energy sources’, </w:t>
          </w:r>
          <w:r w:rsidRPr="006F0B51">
            <w:rPr>
              <w:rFonts w:ascii="Calibri" w:eastAsia="Times New Roman" w:hAnsi="Calibri" w:cs="Calibri"/>
              <w:i/>
              <w:iCs/>
              <w:color w:val="000000"/>
            </w:rPr>
            <w:t>Journal of Building Engineering</w:t>
          </w:r>
          <w:r w:rsidRPr="006F0B51">
            <w:rPr>
              <w:rFonts w:ascii="Calibri" w:eastAsia="Times New Roman" w:hAnsi="Calibri" w:cs="Calibri"/>
              <w:color w:val="000000"/>
            </w:rPr>
            <w:t>, 23, pp. 324–333. Available at: https://doi.org/10.1016/j.jobe.2019.02.008.</w:t>
          </w:r>
        </w:p>
        <w:p w14:paraId="12652DAF" w14:textId="77777777" w:rsidR="006F0B51" w:rsidRPr="006F0B51" w:rsidRDefault="006F0B51" w:rsidP="006F0B51">
          <w:pPr>
            <w:ind w:left="510" w:hanging="510"/>
            <w:jc w:val="both"/>
            <w:divId w:val="1372731935"/>
            <w:rPr>
              <w:rFonts w:ascii="Calibri" w:eastAsia="Times New Roman" w:hAnsi="Calibri" w:cs="Calibri"/>
              <w:color w:val="000000"/>
            </w:rPr>
          </w:pPr>
          <w:r w:rsidRPr="006F0B51">
            <w:rPr>
              <w:rFonts w:ascii="Calibri" w:eastAsia="Times New Roman" w:hAnsi="Calibri" w:cs="Calibri"/>
              <w:color w:val="000000"/>
            </w:rPr>
            <w:t xml:space="preserve">Forth, K., Abualdenien, J. and Borrmann, A. (2023) ‘Calculation of embodied GHG emissions in early building design stages using BIM and NLP-based semantic model healing’, </w:t>
          </w:r>
          <w:r w:rsidRPr="006F0B51">
            <w:rPr>
              <w:rFonts w:ascii="Calibri" w:eastAsia="Times New Roman" w:hAnsi="Calibri" w:cs="Calibri"/>
              <w:i/>
              <w:iCs/>
              <w:color w:val="000000"/>
            </w:rPr>
            <w:t>Energy and Buildings</w:t>
          </w:r>
          <w:r w:rsidRPr="006F0B51">
            <w:rPr>
              <w:rFonts w:ascii="Calibri" w:eastAsia="Times New Roman" w:hAnsi="Calibri" w:cs="Calibri"/>
              <w:color w:val="000000"/>
            </w:rPr>
            <w:t>, 284. Available at: https://doi.org/10.1016/j.enbuild.2023.112837.</w:t>
          </w:r>
        </w:p>
        <w:p w14:paraId="4E964B85" w14:textId="77777777" w:rsidR="006F0B51" w:rsidRPr="006F0B51" w:rsidRDefault="006F0B51" w:rsidP="006F0B51">
          <w:pPr>
            <w:ind w:left="510" w:hanging="510"/>
            <w:jc w:val="both"/>
            <w:divId w:val="1114254279"/>
            <w:rPr>
              <w:rFonts w:ascii="Calibri" w:eastAsia="Times New Roman" w:hAnsi="Calibri" w:cs="Calibri"/>
              <w:color w:val="000000"/>
            </w:rPr>
          </w:pPr>
          <w:r w:rsidRPr="006F0B51">
            <w:rPr>
              <w:rFonts w:ascii="Calibri" w:eastAsia="Times New Roman" w:hAnsi="Calibri" w:cs="Calibri"/>
              <w:color w:val="000000"/>
            </w:rPr>
            <w:t xml:space="preserve">Forth, K., Hollberg, A. and Borrmann, A. (2023) ‘BIM4EarlyLCA: An interactive visualization approach for early design support based on uncertain LCA results using open BIM’, </w:t>
          </w:r>
          <w:r w:rsidRPr="006F0B51">
            <w:rPr>
              <w:rFonts w:ascii="Calibri" w:eastAsia="Times New Roman" w:hAnsi="Calibri" w:cs="Calibri"/>
              <w:i/>
              <w:iCs/>
              <w:color w:val="000000"/>
            </w:rPr>
            <w:t>Developments in the Built Environment</w:t>
          </w:r>
          <w:r w:rsidRPr="006F0B51">
            <w:rPr>
              <w:rFonts w:ascii="Calibri" w:eastAsia="Times New Roman" w:hAnsi="Calibri" w:cs="Calibri"/>
              <w:color w:val="000000"/>
            </w:rPr>
            <w:t>, 16. Available at: https://doi.org/10.1016/j.dibe.2023.100263.</w:t>
          </w:r>
        </w:p>
        <w:p w14:paraId="76DC08F3" w14:textId="77777777" w:rsidR="006F0B51" w:rsidRPr="006F0B51" w:rsidRDefault="006F0B51" w:rsidP="006F0B51">
          <w:pPr>
            <w:ind w:left="510" w:hanging="510"/>
            <w:jc w:val="both"/>
            <w:divId w:val="1103185175"/>
            <w:rPr>
              <w:rFonts w:ascii="Calibri" w:eastAsia="Times New Roman" w:hAnsi="Calibri" w:cs="Calibri"/>
              <w:color w:val="000000"/>
            </w:rPr>
          </w:pPr>
          <w:r w:rsidRPr="006F0B51">
            <w:rPr>
              <w:rFonts w:ascii="Calibri" w:eastAsia="Times New Roman" w:hAnsi="Calibri" w:cs="Calibri"/>
              <w:color w:val="000000"/>
            </w:rPr>
            <w:t xml:space="preserve">Ganesh, P.S. (2024) ‘An Assessment of Residential Building Materials Impact on Environment Using BIM through a Case Study Approach’, </w:t>
          </w:r>
          <w:r w:rsidRPr="006F0B51">
            <w:rPr>
              <w:rFonts w:ascii="Calibri" w:eastAsia="Times New Roman" w:hAnsi="Calibri" w:cs="Calibri"/>
              <w:i/>
              <w:iCs/>
              <w:color w:val="000000"/>
            </w:rPr>
            <w:t>International Journal for Research in Applied Science and Engineering Technology</w:t>
          </w:r>
          <w:r w:rsidRPr="006F0B51">
            <w:rPr>
              <w:rFonts w:ascii="Calibri" w:eastAsia="Times New Roman" w:hAnsi="Calibri" w:cs="Calibri"/>
              <w:color w:val="000000"/>
            </w:rPr>
            <w:t>, 12(3), pp. 362–369. Available at: https://doi.org/10.22214/ijraset.2024.58804.</w:t>
          </w:r>
        </w:p>
        <w:p w14:paraId="72505819" w14:textId="77777777" w:rsidR="006F0B51" w:rsidRPr="006F0B51" w:rsidRDefault="006F0B51" w:rsidP="006F0B51">
          <w:pPr>
            <w:ind w:left="510" w:hanging="510"/>
            <w:jc w:val="both"/>
            <w:divId w:val="1739747071"/>
            <w:rPr>
              <w:rFonts w:ascii="Calibri" w:eastAsia="Times New Roman" w:hAnsi="Calibri" w:cs="Calibri"/>
              <w:color w:val="000000"/>
            </w:rPr>
          </w:pPr>
          <w:r w:rsidRPr="006F0B51">
            <w:rPr>
              <w:rFonts w:ascii="Calibri" w:eastAsia="Times New Roman" w:hAnsi="Calibri" w:cs="Calibri"/>
              <w:color w:val="000000"/>
            </w:rPr>
            <w:t>GRIHA Council (2025) ‘GRIHA Version 6.0’. Available at: https://www.grihaindia.org/sites/default/files/pdf/Manuals/GRIHA-Version-6-V1.pdf (Accessed: 13 May 2026).</w:t>
          </w:r>
        </w:p>
        <w:p w14:paraId="0F50A0CF" w14:textId="77777777" w:rsidR="006F0B51" w:rsidRPr="006F0B51" w:rsidRDefault="006F0B51" w:rsidP="006F0B51">
          <w:pPr>
            <w:ind w:left="510" w:hanging="510"/>
            <w:jc w:val="both"/>
            <w:divId w:val="2138184963"/>
            <w:rPr>
              <w:rFonts w:ascii="Calibri" w:eastAsia="Times New Roman" w:hAnsi="Calibri" w:cs="Calibri"/>
              <w:color w:val="000000"/>
            </w:rPr>
          </w:pPr>
          <w:r w:rsidRPr="006F0B51">
            <w:rPr>
              <w:rFonts w:ascii="Calibri" w:eastAsia="Times New Roman" w:hAnsi="Calibri" w:cs="Calibri"/>
              <w:color w:val="000000"/>
            </w:rPr>
            <w:lastRenderedPageBreak/>
            <w:t xml:space="preserve">Guízar Dena, A.J., García Hípola, M. del C. and Fernández Bandera, C. (2025) ‘Building Information Model (BIM) and Life Cycle Analysis tools: A comparative study with specialized software for environmental performance of buildings’, </w:t>
          </w:r>
          <w:r w:rsidRPr="006F0B51">
            <w:rPr>
              <w:rFonts w:ascii="Calibri" w:eastAsia="Times New Roman" w:hAnsi="Calibri" w:cs="Calibri"/>
              <w:i/>
              <w:iCs/>
              <w:color w:val="000000"/>
            </w:rPr>
            <w:t>Proceedings of Building Simulation 2025: 19th Conference of IBPSA</w:t>
          </w:r>
          <w:r w:rsidRPr="006F0B51">
            <w:rPr>
              <w:rFonts w:ascii="Calibri" w:eastAsia="Times New Roman" w:hAnsi="Calibri" w:cs="Calibri"/>
              <w:color w:val="000000"/>
            </w:rPr>
            <w:t>. IBPSA. Available at: https://doi.org/10.26868/25222708.2025.1316.</w:t>
          </w:r>
        </w:p>
        <w:p w14:paraId="2335E411" w14:textId="77777777" w:rsidR="006F0B51" w:rsidRPr="006F0B51" w:rsidRDefault="006F0B51" w:rsidP="006F0B51">
          <w:pPr>
            <w:ind w:left="510" w:hanging="510"/>
            <w:jc w:val="both"/>
            <w:divId w:val="680814727"/>
            <w:rPr>
              <w:rFonts w:ascii="Calibri" w:eastAsia="Times New Roman" w:hAnsi="Calibri" w:cs="Calibri"/>
              <w:color w:val="000000"/>
            </w:rPr>
          </w:pPr>
          <w:r w:rsidRPr="006F0B51">
            <w:rPr>
              <w:rFonts w:ascii="Calibri" w:eastAsia="Times New Roman" w:hAnsi="Calibri" w:cs="Calibri"/>
              <w:color w:val="000000"/>
            </w:rPr>
            <w:t xml:space="preserve">Jayaram, S. </w:t>
          </w:r>
          <w:r w:rsidRPr="006F0B51">
            <w:rPr>
              <w:rFonts w:ascii="Calibri" w:eastAsia="Times New Roman" w:hAnsi="Calibri" w:cs="Calibri"/>
              <w:i/>
              <w:iCs/>
              <w:color w:val="000000"/>
            </w:rPr>
            <w:t>et al.</w:t>
          </w:r>
          <w:r w:rsidRPr="006F0B51">
            <w:rPr>
              <w:rFonts w:ascii="Calibri" w:eastAsia="Times New Roman" w:hAnsi="Calibri" w:cs="Calibri"/>
              <w:color w:val="000000"/>
            </w:rPr>
            <w:t xml:space="preserve"> (2025) ‘Steering Building Design in India towards a low-carbon future’. Available at: https://doi.org/10.26868/25222708.2025.1374.</w:t>
          </w:r>
        </w:p>
        <w:p w14:paraId="657B22DC" w14:textId="77777777" w:rsidR="006F0B51" w:rsidRPr="006F0B51" w:rsidRDefault="006F0B51" w:rsidP="006F0B51">
          <w:pPr>
            <w:ind w:left="510" w:hanging="510"/>
            <w:jc w:val="both"/>
            <w:divId w:val="1201674749"/>
            <w:rPr>
              <w:rFonts w:ascii="Calibri" w:eastAsia="Times New Roman" w:hAnsi="Calibri" w:cs="Calibri"/>
              <w:color w:val="000000"/>
            </w:rPr>
          </w:pPr>
          <w:r w:rsidRPr="006F0B51">
            <w:rPr>
              <w:rFonts w:ascii="Calibri" w:eastAsia="Times New Roman" w:hAnsi="Calibri" w:cs="Calibri"/>
              <w:color w:val="000000"/>
            </w:rPr>
            <w:t xml:space="preserve">Kumar, D. </w:t>
          </w:r>
          <w:r w:rsidRPr="006F0B51">
            <w:rPr>
              <w:rFonts w:ascii="Calibri" w:eastAsia="Times New Roman" w:hAnsi="Calibri" w:cs="Calibri"/>
              <w:i/>
              <w:iCs/>
              <w:color w:val="000000"/>
            </w:rPr>
            <w:t>et al.</w:t>
          </w:r>
          <w:r w:rsidRPr="006F0B51">
            <w:rPr>
              <w:rFonts w:ascii="Calibri" w:eastAsia="Times New Roman" w:hAnsi="Calibri" w:cs="Calibri"/>
              <w:color w:val="000000"/>
            </w:rPr>
            <w:t xml:space="preserve"> (2025) ‘A Whole-Life Carbon Assessment of a Single-Family House in North India Using BIM-LCA Integration’, </w:t>
          </w:r>
          <w:r w:rsidRPr="006F0B51">
            <w:rPr>
              <w:rFonts w:ascii="Calibri" w:eastAsia="Times New Roman" w:hAnsi="Calibri" w:cs="Calibri"/>
              <w:i/>
              <w:iCs/>
              <w:color w:val="000000"/>
            </w:rPr>
            <w:t>Buildings</w:t>
          </w:r>
          <w:r w:rsidRPr="006F0B51">
            <w:rPr>
              <w:rFonts w:ascii="Calibri" w:eastAsia="Times New Roman" w:hAnsi="Calibri" w:cs="Calibri"/>
              <w:color w:val="000000"/>
            </w:rPr>
            <w:t>, 15(13). Available at: https://doi.org/10.3390/buildings15132195.</w:t>
          </w:r>
        </w:p>
        <w:p w14:paraId="3FF54516" w14:textId="77777777" w:rsidR="006F0B51" w:rsidRPr="006F0B51" w:rsidRDefault="006F0B51" w:rsidP="006F0B51">
          <w:pPr>
            <w:ind w:left="510" w:hanging="510"/>
            <w:jc w:val="both"/>
            <w:divId w:val="490021626"/>
            <w:rPr>
              <w:rFonts w:ascii="Calibri" w:eastAsia="Times New Roman" w:hAnsi="Calibri" w:cs="Calibri"/>
              <w:color w:val="000000"/>
            </w:rPr>
          </w:pPr>
          <w:r w:rsidRPr="006F0B51">
            <w:rPr>
              <w:rFonts w:ascii="Calibri" w:eastAsia="Times New Roman" w:hAnsi="Calibri" w:cs="Calibri"/>
              <w:color w:val="000000"/>
            </w:rPr>
            <w:t xml:space="preserve">Kurian, R. </w:t>
          </w:r>
          <w:r w:rsidRPr="006F0B51">
            <w:rPr>
              <w:rFonts w:ascii="Calibri" w:eastAsia="Times New Roman" w:hAnsi="Calibri" w:cs="Calibri"/>
              <w:i/>
              <w:iCs/>
              <w:color w:val="000000"/>
            </w:rPr>
            <w:t>et al.</w:t>
          </w:r>
          <w:r w:rsidRPr="006F0B51">
            <w:rPr>
              <w:rFonts w:ascii="Calibri" w:eastAsia="Times New Roman" w:hAnsi="Calibri" w:cs="Calibri"/>
              <w:color w:val="000000"/>
            </w:rPr>
            <w:t xml:space="preserve"> (2021) ‘Estimation of carbon footprint of residential building in warm humid climate of india through BIM’, </w:t>
          </w:r>
          <w:r w:rsidRPr="006F0B51">
            <w:rPr>
              <w:rFonts w:ascii="Calibri" w:eastAsia="Times New Roman" w:hAnsi="Calibri" w:cs="Calibri"/>
              <w:i/>
              <w:iCs/>
              <w:color w:val="000000"/>
            </w:rPr>
            <w:t>Energies</w:t>
          </w:r>
          <w:r w:rsidRPr="006F0B51">
            <w:rPr>
              <w:rFonts w:ascii="Calibri" w:eastAsia="Times New Roman" w:hAnsi="Calibri" w:cs="Calibri"/>
              <w:color w:val="000000"/>
            </w:rPr>
            <w:t>, 14(14). Available at: https://doi.org/10.3390/en14144237.</w:t>
          </w:r>
        </w:p>
        <w:p w14:paraId="3F683DCD" w14:textId="77777777" w:rsidR="006F0B51" w:rsidRPr="006F0B51" w:rsidRDefault="006F0B51" w:rsidP="006F0B51">
          <w:pPr>
            <w:ind w:left="510" w:hanging="510"/>
            <w:jc w:val="both"/>
            <w:divId w:val="111824703"/>
            <w:rPr>
              <w:rFonts w:ascii="Calibri" w:eastAsia="Times New Roman" w:hAnsi="Calibri" w:cs="Calibri"/>
              <w:color w:val="000000"/>
            </w:rPr>
          </w:pPr>
          <w:r w:rsidRPr="006F0B51">
            <w:rPr>
              <w:rFonts w:ascii="Calibri" w:eastAsia="Times New Roman" w:hAnsi="Calibri" w:cs="Calibri"/>
              <w:color w:val="000000"/>
            </w:rPr>
            <w:t xml:space="preserve">Marrero, M. </w:t>
          </w:r>
          <w:r w:rsidRPr="006F0B51">
            <w:rPr>
              <w:rFonts w:ascii="Calibri" w:eastAsia="Times New Roman" w:hAnsi="Calibri" w:cs="Calibri"/>
              <w:i/>
              <w:iCs/>
              <w:color w:val="000000"/>
            </w:rPr>
            <w:t>et al.</w:t>
          </w:r>
          <w:r w:rsidRPr="006F0B51">
            <w:rPr>
              <w:rFonts w:ascii="Calibri" w:eastAsia="Times New Roman" w:hAnsi="Calibri" w:cs="Calibri"/>
              <w:color w:val="000000"/>
            </w:rPr>
            <w:t xml:space="preserve"> (2020) ‘BIM-LCA integration for the environmental impact assessment of the urbanization process’, </w:t>
          </w:r>
          <w:r w:rsidRPr="006F0B51">
            <w:rPr>
              <w:rFonts w:ascii="Calibri" w:eastAsia="Times New Roman" w:hAnsi="Calibri" w:cs="Calibri"/>
              <w:i/>
              <w:iCs/>
              <w:color w:val="000000"/>
            </w:rPr>
            <w:t>Sustainability (Switzerland)</w:t>
          </w:r>
          <w:r w:rsidRPr="006F0B51">
            <w:rPr>
              <w:rFonts w:ascii="Calibri" w:eastAsia="Times New Roman" w:hAnsi="Calibri" w:cs="Calibri"/>
              <w:color w:val="000000"/>
            </w:rPr>
            <w:t>. MDPI. Available at: https://doi.org/10.3390/su12104196.</w:t>
          </w:r>
        </w:p>
        <w:p w14:paraId="1D17AF07" w14:textId="77777777" w:rsidR="006F0B51" w:rsidRPr="006F0B51" w:rsidRDefault="006F0B51" w:rsidP="006F0B51">
          <w:pPr>
            <w:ind w:left="510" w:hanging="510"/>
            <w:jc w:val="both"/>
            <w:divId w:val="2031174331"/>
            <w:rPr>
              <w:rFonts w:ascii="Calibri" w:eastAsia="Times New Roman" w:hAnsi="Calibri" w:cs="Calibri"/>
              <w:color w:val="000000"/>
            </w:rPr>
          </w:pPr>
          <w:r w:rsidRPr="006F0B51">
            <w:rPr>
              <w:rFonts w:ascii="Calibri" w:eastAsia="Times New Roman" w:hAnsi="Calibri" w:cs="Calibri"/>
              <w:color w:val="000000"/>
            </w:rPr>
            <w:t xml:space="preserve">Marzouk, M., Azab, S. and Metawie, M. (2016) ‘Framework for sustainable low-income housing projects using building information modeling’, </w:t>
          </w:r>
          <w:r w:rsidRPr="006F0B51">
            <w:rPr>
              <w:rFonts w:ascii="Calibri" w:eastAsia="Times New Roman" w:hAnsi="Calibri" w:cs="Calibri"/>
              <w:i/>
              <w:iCs/>
              <w:color w:val="000000"/>
            </w:rPr>
            <w:t>Journal of Environmental Informatics</w:t>
          </w:r>
          <w:r w:rsidRPr="006F0B51">
            <w:rPr>
              <w:rFonts w:ascii="Calibri" w:eastAsia="Times New Roman" w:hAnsi="Calibri" w:cs="Calibri"/>
              <w:color w:val="000000"/>
            </w:rPr>
            <w:t>, 28(1), pp. 25–38. Available at: https://doi.org/10.3808/jei.201600332.</w:t>
          </w:r>
        </w:p>
        <w:p w14:paraId="30A252F2" w14:textId="77777777" w:rsidR="006F0B51" w:rsidRPr="006F0B51" w:rsidRDefault="006F0B51" w:rsidP="006F0B51">
          <w:pPr>
            <w:ind w:left="510" w:hanging="510"/>
            <w:jc w:val="both"/>
            <w:divId w:val="1869638859"/>
            <w:rPr>
              <w:rFonts w:ascii="Calibri" w:eastAsia="Times New Roman" w:hAnsi="Calibri" w:cs="Calibri"/>
              <w:color w:val="000000"/>
            </w:rPr>
          </w:pPr>
          <w:r w:rsidRPr="006F0B51">
            <w:rPr>
              <w:rFonts w:ascii="Calibri" w:eastAsia="Times New Roman" w:hAnsi="Calibri" w:cs="Calibri"/>
              <w:color w:val="000000"/>
            </w:rPr>
            <w:t xml:space="preserve">Namaki, P. </w:t>
          </w:r>
          <w:r w:rsidRPr="006F0B51">
            <w:rPr>
              <w:rFonts w:ascii="Calibri" w:eastAsia="Times New Roman" w:hAnsi="Calibri" w:cs="Calibri"/>
              <w:i/>
              <w:iCs/>
              <w:color w:val="000000"/>
            </w:rPr>
            <w:t>et al.</w:t>
          </w:r>
          <w:r w:rsidRPr="006F0B51">
            <w:rPr>
              <w:rFonts w:ascii="Calibri" w:eastAsia="Times New Roman" w:hAnsi="Calibri" w:cs="Calibri"/>
              <w:color w:val="000000"/>
            </w:rPr>
            <w:t xml:space="preserve"> (2024) ‘An Integrated Building Information Modeling and Life-Cycle Assessment Approach to Facilitate Design Decisions on Sustainable Building Projects in Canada’, </w:t>
          </w:r>
          <w:r w:rsidRPr="006F0B51">
            <w:rPr>
              <w:rFonts w:ascii="Calibri" w:eastAsia="Times New Roman" w:hAnsi="Calibri" w:cs="Calibri"/>
              <w:i/>
              <w:iCs/>
              <w:color w:val="000000"/>
            </w:rPr>
            <w:t>Sustainability (Switzerland</w:t>
          </w:r>
          <w:proofErr w:type="gramStart"/>
          <w:r w:rsidRPr="006F0B51">
            <w:rPr>
              <w:rFonts w:ascii="Calibri" w:eastAsia="Times New Roman" w:hAnsi="Calibri" w:cs="Calibri"/>
              <w:i/>
              <w:iCs/>
              <w:color w:val="000000"/>
            </w:rPr>
            <w:t xml:space="preserve">) </w:t>
          </w:r>
          <w:r w:rsidRPr="006F0B51">
            <w:rPr>
              <w:rFonts w:ascii="Calibri" w:eastAsia="Times New Roman" w:hAnsi="Calibri" w:cs="Calibri"/>
              <w:color w:val="000000"/>
            </w:rPr>
            <w:t>,</w:t>
          </w:r>
          <w:proofErr w:type="gramEnd"/>
          <w:r w:rsidRPr="006F0B51">
            <w:rPr>
              <w:rFonts w:ascii="Calibri" w:eastAsia="Times New Roman" w:hAnsi="Calibri" w:cs="Calibri"/>
              <w:color w:val="000000"/>
            </w:rPr>
            <w:t xml:space="preserve"> 16(11). Available at: https://doi.org/10.3390/su16114718.</w:t>
          </w:r>
        </w:p>
        <w:p w14:paraId="5E54D89E" w14:textId="77777777" w:rsidR="006F0B51" w:rsidRPr="006F0B51" w:rsidRDefault="006F0B51" w:rsidP="006F0B51">
          <w:pPr>
            <w:ind w:left="510" w:hanging="510"/>
            <w:jc w:val="both"/>
            <w:divId w:val="1004357291"/>
            <w:rPr>
              <w:rFonts w:ascii="Calibri" w:eastAsia="Times New Roman" w:hAnsi="Calibri" w:cs="Calibri"/>
              <w:color w:val="000000"/>
            </w:rPr>
          </w:pPr>
          <w:r w:rsidRPr="006F0B51">
            <w:rPr>
              <w:rFonts w:ascii="Calibri" w:eastAsia="Times New Roman" w:hAnsi="Calibri" w:cs="Calibri"/>
              <w:color w:val="000000"/>
            </w:rPr>
            <w:t xml:space="preserve">Revelo Cáceres, N., Garcia-Martinez, A. and Gómez de Cózar, J.C. (2023) ‘Use of GIS and BIM tools in determining the life cycle impact of urban systems. Case study: Residential buildings which apply the Eco-Efficiency Matrix in the city of Quito, Ecuador’, </w:t>
          </w:r>
          <w:r w:rsidRPr="006F0B51">
            <w:rPr>
              <w:rFonts w:ascii="Calibri" w:eastAsia="Times New Roman" w:hAnsi="Calibri" w:cs="Calibri"/>
              <w:i/>
              <w:iCs/>
              <w:color w:val="000000"/>
            </w:rPr>
            <w:t>Journal of Cleaner Production</w:t>
          </w:r>
          <w:r w:rsidRPr="006F0B51">
            <w:rPr>
              <w:rFonts w:ascii="Calibri" w:eastAsia="Times New Roman" w:hAnsi="Calibri" w:cs="Calibri"/>
              <w:color w:val="000000"/>
            </w:rPr>
            <w:t>, 383. Available at: https://doi.org/10.1016/j.jclepro.2022.135485.</w:t>
          </w:r>
        </w:p>
        <w:p w14:paraId="780702E8" w14:textId="77777777" w:rsidR="006F0B51" w:rsidRPr="006F0B51" w:rsidRDefault="006F0B51" w:rsidP="006F0B51">
          <w:pPr>
            <w:ind w:left="510" w:hanging="510"/>
            <w:jc w:val="both"/>
            <w:divId w:val="212080751"/>
            <w:rPr>
              <w:rFonts w:ascii="Calibri" w:eastAsia="Times New Roman" w:hAnsi="Calibri" w:cs="Calibri"/>
              <w:color w:val="000000"/>
            </w:rPr>
          </w:pPr>
          <w:r w:rsidRPr="006F0B51">
            <w:rPr>
              <w:rFonts w:ascii="Calibri" w:eastAsia="Times New Roman" w:hAnsi="Calibri" w:cs="Calibri"/>
              <w:color w:val="000000"/>
            </w:rPr>
            <w:t>Sawalkar</w:t>
          </w:r>
          <w:r w:rsidRPr="006F0B51">
            <w:rPr>
              <w:rFonts w:ascii="Calibri" w:eastAsia="Times New Roman" w:hAnsi="Calibri" w:cs="Calibri"/>
              <w:color w:val="000000"/>
              <w:vertAlign w:val="superscript"/>
            </w:rPr>
            <w:t>1</w:t>
          </w:r>
          <w:r w:rsidRPr="006F0B51">
            <w:rPr>
              <w:rFonts w:ascii="Calibri" w:eastAsia="Times New Roman" w:hAnsi="Calibri" w:cs="Calibri"/>
              <w:color w:val="000000"/>
            </w:rPr>
            <w:t>, Y.S. and Wayal</w:t>
          </w:r>
          <w:r w:rsidRPr="006F0B51">
            <w:rPr>
              <w:rFonts w:ascii="Calibri" w:eastAsia="Times New Roman" w:hAnsi="Calibri" w:cs="Calibri"/>
              <w:color w:val="000000"/>
              <w:vertAlign w:val="superscript"/>
            </w:rPr>
            <w:t>2</w:t>
          </w:r>
          <w:r w:rsidRPr="006F0B51">
            <w:rPr>
              <w:rFonts w:ascii="Calibri" w:eastAsia="Times New Roman" w:hAnsi="Calibri" w:cs="Calibri"/>
              <w:color w:val="000000"/>
            </w:rPr>
            <w:t>, A.S. (2025) ‘Assessing the Carbon Footprint and proposing net zero emissions in Urban Construction using BIM Tools’. Available at: https://doi.org/10.21203/rs.3.rs-6935520/v1.</w:t>
          </w:r>
        </w:p>
        <w:p w14:paraId="4007727F" w14:textId="77777777" w:rsidR="006F0B51" w:rsidRPr="006F0B51" w:rsidRDefault="006F0B51" w:rsidP="006F0B51">
          <w:pPr>
            <w:ind w:left="510" w:hanging="510"/>
            <w:jc w:val="both"/>
            <w:divId w:val="398676535"/>
            <w:rPr>
              <w:rFonts w:ascii="Calibri" w:eastAsia="Times New Roman" w:hAnsi="Calibri" w:cs="Calibri"/>
              <w:color w:val="000000"/>
            </w:rPr>
          </w:pPr>
          <w:r w:rsidRPr="006F0B51">
            <w:rPr>
              <w:rFonts w:ascii="Calibri" w:eastAsia="Times New Roman" w:hAnsi="Calibri" w:cs="Calibri"/>
              <w:color w:val="000000"/>
            </w:rPr>
            <w:t xml:space="preserve">Zhang, Y. </w:t>
          </w:r>
          <w:r w:rsidRPr="006F0B51">
            <w:rPr>
              <w:rFonts w:ascii="Calibri" w:eastAsia="Times New Roman" w:hAnsi="Calibri" w:cs="Calibri"/>
              <w:i/>
              <w:iCs/>
              <w:color w:val="000000"/>
            </w:rPr>
            <w:t>et al.</w:t>
          </w:r>
          <w:r w:rsidRPr="006F0B51">
            <w:rPr>
              <w:rFonts w:ascii="Calibri" w:eastAsia="Times New Roman" w:hAnsi="Calibri" w:cs="Calibri"/>
              <w:color w:val="000000"/>
            </w:rPr>
            <w:t xml:space="preserve"> (2022) ‘BIM-based approach for the integrated assessment of life cycle carbon emission intensity and life cycle costs’, </w:t>
          </w:r>
          <w:r w:rsidRPr="006F0B51">
            <w:rPr>
              <w:rFonts w:ascii="Calibri" w:eastAsia="Times New Roman" w:hAnsi="Calibri" w:cs="Calibri"/>
              <w:i/>
              <w:iCs/>
              <w:color w:val="000000"/>
            </w:rPr>
            <w:t>Building and Environment</w:t>
          </w:r>
          <w:r w:rsidRPr="006F0B51">
            <w:rPr>
              <w:rFonts w:ascii="Calibri" w:eastAsia="Times New Roman" w:hAnsi="Calibri" w:cs="Calibri"/>
              <w:color w:val="000000"/>
            </w:rPr>
            <w:t>, 226. Available at: https://doi.org/10.1016/j.buildenv.2022.109691.</w:t>
          </w:r>
        </w:p>
        <w:p w14:paraId="411D3E1B" w14:textId="78C0417C" w:rsidR="005076E1" w:rsidRPr="00D6057A" w:rsidRDefault="006F0B51" w:rsidP="006F0B51">
          <w:pPr>
            <w:spacing w:after="0" w:line="240" w:lineRule="auto"/>
            <w:ind w:left="510" w:hanging="510"/>
            <w:jc w:val="both"/>
            <w:rPr>
              <w:rFonts w:ascii="Calibri" w:hAnsi="Calibri" w:cs="Calibri"/>
            </w:rPr>
          </w:pPr>
          <w:r w:rsidRPr="006F0B51">
            <w:rPr>
              <w:rFonts w:ascii="Calibri" w:eastAsia="Times New Roman" w:hAnsi="Calibri" w:cs="Calibri"/>
              <w:color w:val="000000"/>
            </w:rPr>
            <w:t> </w:t>
          </w:r>
        </w:p>
      </w:sdtContent>
    </w:sdt>
    <w:sectPr w:rsidR="005076E1" w:rsidRPr="00D6057A">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48A3A" w14:textId="77777777" w:rsidR="00F03F47" w:rsidRDefault="00F03F47" w:rsidP="005076E1">
      <w:pPr>
        <w:spacing w:after="0" w:line="240" w:lineRule="auto"/>
      </w:pPr>
      <w:r>
        <w:separator/>
      </w:r>
    </w:p>
  </w:endnote>
  <w:endnote w:type="continuationSeparator" w:id="0">
    <w:p w14:paraId="7C37E042" w14:textId="77777777" w:rsidR="00F03F47" w:rsidRDefault="00F03F47"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18183" w14:textId="77777777" w:rsidR="00F03F47" w:rsidRDefault="00F03F47" w:rsidP="005076E1">
      <w:pPr>
        <w:spacing w:after="0" w:line="240" w:lineRule="auto"/>
      </w:pPr>
      <w:r>
        <w:separator/>
      </w:r>
    </w:p>
  </w:footnote>
  <w:footnote w:type="continuationSeparator" w:id="0">
    <w:p w14:paraId="5EC99892" w14:textId="77777777" w:rsidR="00F03F47" w:rsidRDefault="00F03F47"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702CB"/>
    <w:multiLevelType w:val="hybridMultilevel"/>
    <w:tmpl w:val="AC1C52B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29F67BB3"/>
    <w:multiLevelType w:val="hybridMultilevel"/>
    <w:tmpl w:val="C6E23E26"/>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325C42A8"/>
    <w:multiLevelType w:val="hybridMultilevel"/>
    <w:tmpl w:val="83361168"/>
    <w:lvl w:ilvl="0" w:tplc="40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E5B56F5"/>
    <w:multiLevelType w:val="hybridMultilevel"/>
    <w:tmpl w:val="855C9FC0"/>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283372C"/>
    <w:multiLevelType w:val="hybridMultilevel"/>
    <w:tmpl w:val="9588ECA0"/>
    <w:lvl w:ilvl="0" w:tplc="203ABEF2">
      <w:start w:val="3"/>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57730DE0"/>
    <w:multiLevelType w:val="hybridMultilevel"/>
    <w:tmpl w:val="F350DE5E"/>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59FF4206"/>
    <w:multiLevelType w:val="hybridMultilevel"/>
    <w:tmpl w:val="5FEC580E"/>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801410"/>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8884233"/>
    <w:multiLevelType w:val="hybridMultilevel"/>
    <w:tmpl w:val="4DAAEB9E"/>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523710480">
    <w:abstractNumId w:val="7"/>
  </w:num>
  <w:num w:numId="2" w16cid:durableId="971980657">
    <w:abstractNumId w:val="9"/>
  </w:num>
  <w:num w:numId="3" w16cid:durableId="1498154654">
    <w:abstractNumId w:val="8"/>
  </w:num>
  <w:num w:numId="4" w16cid:durableId="2114402606">
    <w:abstractNumId w:val="4"/>
  </w:num>
  <w:num w:numId="5" w16cid:durableId="624771098">
    <w:abstractNumId w:val="5"/>
  </w:num>
  <w:num w:numId="6" w16cid:durableId="1388381866">
    <w:abstractNumId w:val="6"/>
  </w:num>
  <w:num w:numId="7" w16cid:durableId="474838166">
    <w:abstractNumId w:val="10"/>
  </w:num>
  <w:num w:numId="8" w16cid:durableId="1314990617">
    <w:abstractNumId w:val="3"/>
  </w:num>
  <w:num w:numId="9" w16cid:durableId="101347342">
    <w:abstractNumId w:val="1"/>
  </w:num>
  <w:num w:numId="10" w16cid:durableId="1560508151">
    <w:abstractNumId w:val="2"/>
  </w:num>
  <w:num w:numId="11" w16cid:durableId="1403485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254D"/>
    <w:rsid w:val="0000392B"/>
    <w:rsid w:val="000063B5"/>
    <w:rsid w:val="00010F51"/>
    <w:rsid w:val="00015A42"/>
    <w:rsid w:val="00020CDF"/>
    <w:rsid w:val="000278D0"/>
    <w:rsid w:val="000300EF"/>
    <w:rsid w:val="000348FC"/>
    <w:rsid w:val="00037316"/>
    <w:rsid w:val="0003744E"/>
    <w:rsid w:val="00044FD1"/>
    <w:rsid w:val="00047459"/>
    <w:rsid w:val="00051939"/>
    <w:rsid w:val="0005273A"/>
    <w:rsid w:val="00053090"/>
    <w:rsid w:val="00054B09"/>
    <w:rsid w:val="00060481"/>
    <w:rsid w:val="00060954"/>
    <w:rsid w:val="000647A9"/>
    <w:rsid w:val="00065247"/>
    <w:rsid w:val="0007587A"/>
    <w:rsid w:val="0008282C"/>
    <w:rsid w:val="0008405E"/>
    <w:rsid w:val="00093235"/>
    <w:rsid w:val="000A0E58"/>
    <w:rsid w:val="000A340C"/>
    <w:rsid w:val="000A5634"/>
    <w:rsid w:val="000B04B2"/>
    <w:rsid w:val="000B17AC"/>
    <w:rsid w:val="000B7A15"/>
    <w:rsid w:val="000C01D9"/>
    <w:rsid w:val="000C02A6"/>
    <w:rsid w:val="000C13C7"/>
    <w:rsid w:val="000C1C56"/>
    <w:rsid w:val="000C4979"/>
    <w:rsid w:val="000C521E"/>
    <w:rsid w:val="000C5449"/>
    <w:rsid w:val="000C68B9"/>
    <w:rsid w:val="000D3722"/>
    <w:rsid w:val="000E1AE2"/>
    <w:rsid w:val="000E7CAC"/>
    <w:rsid w:val="000F0459"/>
    <w:rsid w:val="000F33FE"/>
    <w:rsid w:val="000F4D29"/>
    <w:rsid w:val="0010794B"/>
    <w:rsid w:val="00115C3F"/>
    <w:rsid w:val="00120495"/>
    <w:rsid w:val="001327E6"/>
    <w:rsid w:val="001337BA"/>
    <w:rsid w:val="00140A07"/>
    <w:rsid w:val="00144C34"/>
    <w:rsid w:val="001520AF"/>
    <w:rsid w:val="00155721"/>
    <w:rsid w:val="00161BFF"/>
    <w:rsid w:val="00166DE1"/>
    <w:rsid w:val="001740F3"/>
    <w:rsid w:val="001755F7"/>
    <w:rsid w:val="001802AD"/>
    <w:rsid w:val="00194D42"/>
    <w:rsid w:val="00196840"/>
    <w:rsid w:val="001A7BB6"/>
    <w:rsid w:val="001B4BBA"/>
    <w:rsid w:val="001B69B5"/>
    <w:rsid w:val="001B6D44"/>
    <w:rsid w:val="001C178D"/>
    <w:rsid w:val="001C4710"/>
    <w:rsid w:val="001D0623"/>
    <w:rsid w:val="001D4F66"/>
    <w:rsid w:val="001E7D59"/>
    <w:rsid w:val="001F2053"/>
    <w:rsid w:val="001F3C8D"/>
    <w:rsid w:val="0020483B"/>
    <w:rsid w:val="00204C4F"/>
    <w:rsid w:val="00227255"/>
    <w:rsid w:val="00232C57"/>
    <w:rsid w:val="00240174"/>
    <w:rsid w:val="00241327"/>
    <w:rsid w:val="00243EB5"/>
    <w:rsid w:val="00251C45"/>
    <w:rsid w:val="00262AF0"/>
    <w:rsid w:val="00263437"/>
    <w:rsid w:val="00263DB4"/>
    <w:rsid w:val="00277C8D"/>
    <w:rsid w:val="00280561"/>
    <w:rsid w:val="00282119"/>
    <w:rsid w:val="00282D33"/>
    <w:rsid w:val="002854A2"/>
    <w:rsid w:val="002855E9"/>
    <w:rsid w:val="00287E10"/>
    <w:rsid w:val="0029446D"/>
    <w:rsid w:val="002A2BE1"/>
    <w:rsid w:val="002A37CB"/>
    <w:rsid w:val="002A3C2B"/>
    <w:rsid w:val="002A41E0"/>
    <w:rsid w:val="002B05BA"/>
    <w:rsid w:val="002B5CA7"/>
    <w:rsid w:val="002B73AF"/>
    <w:rsid w:val="002C799A"/>
    <w:rsid w:val="002D08D9"/>
    <w:rsid w:val="002D1D75"/>
    <w:rsid w:val="002F2A03"/>
    <w:rsid w:val="002F41AB"/>
    <w:rsid w:val="002F4BA6"/>
    <w:rsid w:val="002F525C"/>
    <w:rsid w:val="00302800"/>
    <w:rsid w:val="00304A6D"/>
    <w:rsid w:val="00311A13"/>
    <w:rsid w:val="003202F7"/>
    <w:rsid w:val="00321C43"/>
    <w:rsid w:val="003246A3"/>
    <w:rsid w:val="00337AF7"/>
    <w:rsid w:val="003445D9"/>
    <w:rsid w:val="00344B95"/>
    <w:rsid w:val="00350518"/>
    <w:rsid w:val="00351682"/>
    <w:rsid w:val="00351979"/>
    <w:rsid w:val="0036105C"/>
    <w:rsid w:val="00370674"/>
    <w:rsid w:val="0037163B"/>
    <w:rsid w:val="003735E0"/>
    <w:rsid w:val="0037555C"/>
    <w:rsid w:val="003831BF"/>
    <w:rsid w:val="00386F22"/>
    <w:rsid w:val="003A7B61"/>
    <w:rsid w:val="003B19EC"/>
    <w:rsid w:val="003B3B43"/>
    <w:rsid w:val="003B5002"/>
    <w:rsid w:val="003C1FD1"/>
    <w:rsid w:val="003D7CDA"/>
    <w:rsid w:val="003E0D06"/>
    <w:rsid w:val="003E27E7"/>
    <w:rsid w:val="003E4677"/>
    <w:rsid w:val="003F3427"/>
    <w:rsid w:val="003F748D"/>
    <w:rsid w:val="00404FDA"/>
    <w:rsid w:val="00410852"/>
    <w:rsid w:val="004141C7"/>
    <w:rsid w:val="00415CE5"/>
    <w:rsid w:val="00417112"/>
    <w:rsid w:val="00427E41"/>
    <w:rsid w:val="00432967"/>
    <w:rsid w:val="0043715A"/>
    <w:rsid w:val="0043728B"/>
    <w:rsid w:val="004411F8"/>
    <w:rsid w:val="0044215E"/>
    <w:rsid w:val="00445F1D"/>
    <w:rsid w:val="004465BE"/>
    <w:rsid w:val="0046568F"/>
    <w:rsid w:val="00470733"/>
    <w:rsid w:val="004844AC"/>
    <w:rsid w:val="004903F9"/>
    <w:rsid w:val="00493966"/>
    <w:rsid w:val="004969B0"/>
    <w:rsid w:val="004B406D"/>
    <w:rsid w:val="004B4D68"/>
    <w:rsid w:val="004B5BA0"/>
    <w:rsid w:val="004C1DA0"/>
    <w:rsid w:val="004C395F"/>
    <w:rsid w:val="004E09BF"/>
    <w:rsid w:val="004E6C0F"/>
    <w:rsid w:val="004F7B28"/>
    <w:rsid w:val="005003D9"/>
    <w:rsid w:val="005041E3"/>
    <w:rsid w:val="005076E1"/>
    <w:rsid w:val="005134C0"/>
    <w:rsid w:val="00513C71"/>
    <w:rsid w:val="00521A41"/>
    <w:rsid w:val="005221A7"/>
    <w:rsid w:val="0052465E"/>
    <w:rsid w:val="00526092"/>
    <w:rsid w:val="00527871"/>
    <w:rsid w:val="005306E1"/>
    <w:rsid w:val="00532B24"/>
    <w:rsid w:val="00540296"/>
    <w:rsid w:val="005457D0"/>
    <w:rsid w:val="00547655"/>
    <w:rsid w:val="00552731"/>
    <w:rsid w:val="00552D80"/>
    <w:rsid w:val="00560AE8"/>
    <w:rsid w:val="00573039"/>
    <w:rsid w:val="005906C7"/>
    <w:rsid w:val="0059694D"/>
    <w:rsid w:val="00597A62"/>
    <w:rsid w:val="005B49A1"/>
    <w:rsid w:val="005C6EB4"/>
    <w:rsid w:val="005D5713"/>
    <w:rsid w:val="005D6402"/>
    <w:rsid w:val="005F04AB"/>
    <w:rsid w:val="005F6149"/>
    <w:rsid w:val="0060266F"/>
    <w:rsid w:val="00602EA8"/>
    <w:rsid w:val="00615CFE"/>
    <w:rsid w:val="0061661F"/>
    <w:rsid w:val="0063017D"/>
    <w:rsid w:val="006378AF"/>
    <w:rsid w:val="006411BA"/>
    <w:rsid w:val="00645B5D"/>
    <w:rsid w:val="00645E47"/>
    <w:rsid w:val="00650761"/>
    <w:rsid w:val="00654E34"/>
    <w:rsid w:val="00656FBF"/>
    <w:rsid w:val="006645F2"/>
    <w:rsid w:val="00680A68"/>
    <w:rsid w:val="00681B85"/>
    <w:rsid w:val="0068311F"/>
    <w:rsid w:val="00684C1B"/>
    <w:rsid w:val="006A2DC1"/>
    <w:rsid w:val="006A7F69"/>
    <w:rsid w:val="006B0EC3"/>
    <w:rsid w:val="006B2435"/>
    <w:rsid w:val="006C4FB1"/>
    <w:rsid w:val="006E77D5"/>
    <w:rsid w:val="006F0B51"/>
    <w:rsid w:val="006F26A1"/>
    <w:rsid w:val="006F4C3F"/>
    <w:rsid w:val="0070271E"/>
    <w:rsid w:val="00707730"/>
    <w:rsid w:val="00710EB4"/>
    <w:rsid w:val="007110DC"/>
    <w:rsid w:val="007119EE"/>
    <w:rsid w:val="00711BB2"/>
    <w:rsid w:val="007142FC"/>
    <w:rsid w:val="00715A2D"/>
    <w:rsid w:val="0073061A"/>
    <w:rsid w:val="00734906"/>
    <w:rsid w:val="0074250F"/>
    <w:rsid w:val="007430D9"/>
    <w:rsid w:val="00743F8C"/>
    <w:rsid w:val="00745734"/>
    <w:rsid w:val="00745B97"/>
    <w:rsid w:val="00755088"/>
    <w:rsid w:val="00760DF8"/>
    <w:rsid w:val="0077736B"/>
    <w:rsid w:val="00781159"/>
    <w:rsid w:val="00783B56"/>
    <w:rsid w:val="00783F62"/>
    <w:rsid w:val="00784FBF"/>
    <w:rsid w:val="00793595"/>
    <w:rsid w:val="007A11D2"/>
    <w:rsid w:val="007A399E"/>
    <w:rsid w:val="007A4C59"/>
    <w:rsid w:val="007A6C58"/>
    <w:rsid w:val="007D21AB"/>
    <w:rsid w:val="007D2A8F"/>
    <w:rsid w:val="007D69C5"/>
    <w:rsid w:val="007F5ADE"/>
    <w:rsid w:val="008012C1"/>
    <w:rsid w:val="00812C75"/>
    <w:rsid w:val="00824143"/>
    <w:rsid w:val="00836A50"/>
    <w:rsid w:val="00840F2B"/>
    <w:rsid w:val="00841F1C"/>
    <w:rsid w:val="00842A40"/>
    <w:rsid w:val="00844205"/>
    <w:rsid w:val="00870972"/>
    <w:rsid w:val="0087145C"/>
    <w:rsid w:val="008770EE"/>
    <w:rsid w:val="008805DF"/>
    <w:rsid w:val="008814B9"/>
    <w:rsid w:val="00883DC1"/>
    <w:rsid w:val="00883FD7"/>
    <w:rsid w:val="00885399"/>
    <w:rsid w:val="00896628"/>
    <w:rsid w:val="00897EFE"/>
    <w:rsid w:val="008A3297"/>
    <w:rsid w:val="008A35F8"/>
    <w:rsid w:val="008A7202"/>
    <w:rsid w:val="008C20A5"/>
    <w:rsid w:val="008C5E19"/>
    <w:rsid w:val="008D4233"/>
    <w:rsid w:val="008E49D4"/>
    <w:rsid w:val="008E5053"/>
    <w:rsid w:val="008E7760"/>
    <w:rsid w:val="00925DCB"/>
    <w:rsid w:val="00926A94"/>
    <w:rsid w:val="009312A3"/>
    <w:rsid w:val="00951E68"/>
    <w:rsid w:val="009529DE"/>
    <w:rsid w:val="00952DAC"/>
    <w:rsid w:val="0095709E"/>
    <w:rsid w:val="009577F0"/>
    <w:rsid w:val="00960DDD"/>
    <w:rsid w:val="00961925"/>
    <w:rsid w:val="00962B6A"/>
    <w:rsid w:val="00963290"/>
    <w:rsid w:val="009645EA"/>
    <w:rsid w:val="00966792"/>
    <w:rsid w:val="00972E1A"/>
    <w:rsid w:val="00975700"/>
    <w:rsid w:val="00993A02"/>
    <w:rsid w:val="009A0E65"/>
    <w:rsid w:val="009A6722"/>
    <w:rsid w:val="009B0DBC"/>
    <w:rsid w:val="009B169D"/>
    <w:rsid w:val="009B7D0F"/>
    <w:rsid w:val="009C1407"/>
    <w:rsid w:val="009D0092"/>
    <w:rsid w:val="009D2B87"/>
    <w:rsid w:val="009D2E9B"/>
    <w:rsid w:val="009D50B0"/>
    <w:rsid w:val="009E1E7C"/>
    <w:rsid w:val="009E6C5E"/>
    <w:rsid w:val="009F24E1"/>
    <w:rsid w:val="00A07172"/>
    <w:rsid w:val="00A1441D"/>
    <w:rsid w:val="00A2349B"/>
    <w:rsid w:val="00A2786D"/>
    <w:rsid w:val="00A34ECC"/>
    <w:rsid w:val="00A44D5E"/>
    <w:rsid w:val="00A526F5"/>
    <w:rsid w:val="00A5296B"/>
    <w:rsid w:val="00A52ED0"/>
    <w:rsid w:val="00A61CEC"/>
    <w:rsid w:val="00A655D2"/>
    <w:rsid w:val="00A7341B"/>
    <w:rsid w:val="00A80498"/>
    <w:rsid w:val="00A806C4"/>
    <w:rsid w:val="00A819A4"/>
    <w:rsid w:val="00A83FAF"/>
    <w:rsid w:val="00A95923"/>
    <w:rsid w:val="00A97AC0"/>
    <w:rsid w:val="00AA7F4E"/>
    <w:rsid w:val="00AB05DE"/>
    <w:rsid w:val="00AB3EB1"/>
    <w:rsid w:val="00AC3817"/>
    <w:rsid w:val="00AC6D26"/>
    <w:rsid w:val="00AC7D05"/>
    <w:rsid w:val="00AD466A"/>
    <w:rsid w:val="00AE30D6"/>
    <w:rsid w:val="00AF1E67"/>
    <w:rsid w:val="00B02053"/>
    <w:rsid w:val="00B06875"/>
    <w:rsid w:val="00B17372"/>
    <w:rsid w:val="00B21CF5"/>
    <w:rsid w:val="00B22817"/>
    <w:rsid w:val="00B30FB0"/>
    <w:rsid w:val="00B330D2"/>
    <w:rsid w:val="00B42868"/>
    <w:rsid w:val="00B44DD3"/>
    <w:rsid w:val="00B50317"/>
    <w:rsid w:val="00B54F00"/>
    <w:rsid w:val="00B56F48"/>
    <w:rsid w:val="00B57F9C"/>
    <w:rsid w:val="00B63497"/>
    <w:rsid w:val="00B66FF1"/>
    <w:rsid w:val="00B67828"/>
    <w:rsid w:val="00B74CC7"/>
    <w:rsid w:val="00B82841"/>
    <w:rsid w:val="00B84B78"/>
    <w:rsid w:val="00B9071A"/>
    <w:rsid w:val="00B9433C"/>
    <w:rsid w:val="00BA35DF"/>
    <w:rsid w:val="00BA69D7"/>
    <w:rsid w:val="00BC3DF5"/>
    <w:rsid w:val="00BD7BB0"/>
    <w:rsid w:val="00BE72EE"/>
    <w:rsid w:val="00C128B1"/>
    <w:rsid w:val="00C20599"/>
    <w:rsid w:val="00C2341F"/>
    <w:rsid w:val="00C3050C"/>
    <w:rsid w:val="00C318A6"/>
    <w:rsid w:val="00C35FAD"/>
    <w:rsid w:val="00C44796"/>
    <w:rsid w:val="00C5293A"/>
    <w:rsid w:val="00C52F5C"/>
    <w:rsid w:val="00C63EA1"/>
    <w:rsid w:val="00C72034"/>
    <w:rsid w:val="00C7591C"/>
    <w:rsid w:val="00C7743D"/>
    <w:rsid w:val="00C77A0B"/>
    <w:rsid w:val="00C77D2D"/>
    <w:rsid w:val="00C80FD8"/>
    <w:rsid w:val="00C87DA0"/>
    <w:rsid w:val="00C90700"/>
    <w:rsid w:val="00C95EA4"/>
    <w:rsid w:val="00CA1ED9"/>
    <w:rsid w:val="00CB0ADB"/>
    <w:rsid w:val="00CB5DAF"/>
    <w:rsid w:val="00CC008D"/>
    <w:rsid w:val="00CC4E23"/>
    <w:rsid w:val="00CD3D5C"/>
    <w:rsid w:val="00CD5E23"/>
    <w:rsid w:val="00CE3431"/>
    <w:rsid w:val="00CF7D5D"/>
    <w:rsid w:val="00D013C3"/>
    <w:rsid w:val="00D0236A"/>
    <w:rsid w:val="00D102E7"/>
    <w:rsid w:val="00D10BD0"/>
    <w:rsid w:val="00D135CE"/>
    <w:rsid w:val="00D27101"/>
    <w:rsid w:val="00D3118F"/>
    <w:rsid w:val="00D36684"/>
    <w:rsid w:val="00D40468"/>
    <w:rsid w:val="00D407C5"/>
    <w:rsid w:val="00D408FE"/>
    <w:rsid w:val="00D44255"/>
    <w:rsid w:val="00D44D3A"/>
    <w:rsid w:val="00D45197"/>
    <w:rsid w:val="00D469FF"/>
    <w:rsid w:val="00D47123"/>
    <w:rsid w:val="00D51902"/>
    <w:rsid w:val="00D51E51"/>
    <w:rsid w:val="00D6057A"/>
    <w:rsid w:val="00D675D8"/>
    <w:rsid w:val="00D712E9"/>
    <w:rsid w:val="00D8137A"/>
    <w:rsid w:val="00D92304"/>
    <w:rsid w:val="00D95B82"/>
    <w:rsid w:val="00D97273"/>
    <w:rsid w:val="00DA4F87"/>
    <w:rsid w:val="00DB30F0"/>
    <w:rsid w:val="00DB4009"/>
    <w:rsid w:val="00DC2D2A"/>
    <w:rsid w:val="00DC7807"/>
    <w:rsid w:val="00DD4075"/>
    <w:rsid w:val="00DE067A"/>
    <w:rsid w:val="00DF303D"/>
    <w:rsid w:val="00DF375B"/>
    <w:rsid w:val="00E01747"/>
    <w:rsid w:val="00E04D79"/>
    <w:rsid w:val="00E07250"/>
    <w:rsid w:val="00E13502"/>
    <w:rsid w:val="00E250BD"/>
    <w:rsid w:val="00E25709"/>
    <w:rsid w:val="00E278AD"/>
    <w:rsid w:val="00E37D05"/>
    <w:rsid w:val="00E4624F"/>
    <w:rsid w:val="00E50A73"/>
    <w:rsid w:val="00E51667"/>
    <w:rsid w:val="00E547AD"/>
    <w:rsid w:val="00E61B96"/>
    <w:rsid w:val="00E65CD7"/>
    <w:rsid w:val="00E66E1D"/>
    <w:rsid w:val="00E67F52"/>
    <w:rsid w:val="00E72EE0"/>
    <w:rsid w:val="00E75B0F"/>
    <w:rsid w:val="00E75E27"/>
    <w:rsid w:val="00E8014F"/>
    <w:rsid w:val="00E8080A"/>
    <w:rsid w:val="00E93409"/>
    <w:rsid w:val="00E96D03"/>
    <w:rsid w:val="00EA1B86"/>
    <w:rsid w:val="00EA377D"/>
    <w:rsid w:val="00EA7935"/>
    <w:rsid w:val="00EB1919"/>
    <w:rsid w:val="00EB510C"/>
    <w:rsid w:val="00EC0593"/>
    <w:rsid w:val="00EC220C"/>
    <w:rsid w:val="00ED24D5"/>
    <w:rsid w:val="00EE0088"/>
    <w:rsid w:val="00EF136C"/>
    <w:rsid w:val="00EF181A"/>
    <w:rsid w:val="00EF5A8F"/>
    <w:rsid w:val="00EF675C"/>
    <w:rsid w:val="00F03A80"/>
    <w:rsid w:val="00F03F47"/>
    <w:rsid w:val="00F071EB"/>
    <w:rsid w:val="00F103B8"/>
    <w:rsid w:val="00F1183B"/>
    <w:rsid w:val="00F15F3A"/>
    <w:rsid w:val="00F2628C"/>
    <w:rsid w:val="00F33048"/>
    <w:rsid w:val="00F350B2"/>
    <w:rsid w:val="00F409CA"/>
    <w:rsid w:val="00F41680"/>
    <w:rsid w:val="00F41BBE"/>
    <w:rsid w:val="00F44190"/>
    <w:rsid w:val="00F50D14"/>
    <w:rsid w:val="00F64284"/>
    <w:rsid w:val="00F656FA"/>
    <w:rsid w:val="00F67E00"/>
    <w:rsid w:val="00F70A0B"/>
    <w:rsid w:val="00F750EA"/>
    <w:rsid w:val="00F759EC"/>
    <w:rsid w:val="00FA5164"/>
    <w:rsid w:val="00FB5F45"/>
    <w:rsid w:val="00FC33BE"/>
    <w:rsid w:val="00FD36F5"/>
    <w:rsid w:val="00FD505D"/>
    <w:rsid w:val="00FD59CD"/>
    <w:rsid w:val="00FD5C34"/>
    <w:rsid w:val="00FE0CDB"/>
    <w:rsid w:val="00FE2D31"/>
    <w:rsid w:val="00FE633A"/>
    <w:rsid w:val="00FF29F1"/>
    <w:rsid w:val="00FF75DD"/>
    <w:rsid w:val="00FF7939"/>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5116090C-4BFF-403F-8628-E2DF98EB5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character" w:styleId="CommentReference">
    <w:name w:val="annotation reference"/>
    <w:basedOn w:val="DefaultParagraphFont"/>
    <w:uiPriority w:val="99"/>
    <w:semiHidden/>
    <w:unhideWhenUsed/>
    <w:rsid w:val="002A3C2B"/>
    <w:rPr>
      <w:sz w:val="16"/>
      <w:szCs w:val="16"/>
    </w:rPr>
  </w:style>
  <w:style w:type="paragraph" w:styleId="CommentText">
    <w:name w:val="annotation text"/>
    <w:basedOn w:val="Normal"/>
    <w:link w:val="CommentTextChar"/>
    <w:uiPriority w:val="99"/>
    <w:unhideWhenUsed/>
    <w:rsid w:val="002A3C2B"/>
    <w:pPr>
      <w:spacing w:line="240" w:lineRule="auto"/>
    </w:pPr>
    <w:rPr>
      <w:sz w:val="20"/>
      <w:szCs w:val="20"/>
    </w:rPr>
  </w:style>
  <w:style w:type="character" w:customStyle="1" w:styleId="CommentTextChar">
    <w:name w:val="Comment Text Char"/>
    <w:basedOn w:val="DefaultParagraphFont"/>
    <w:link w:val="CommentText"/>
    <w:uiPriority w:val="99"/>
    <w:rsid w:val="002A3C2B"/>
    <w:rPr>
      <w:sz w:val="20"/>
      <w:szCs w:val="20"/>
    </w:rPr>
  </w:style>
  <w:style w:type="paragraph" w:styleId="CommentSubject">
    <w:name w:val="annotation subject"/>
    <w:basedOn w:val="CommentText"/>
    <w:next w:val="CommentText"/>
    <w:link w:val="CommentSubjectChar"/>
    <w:uiPriority w:val="99"/>
    <w:semiHidden/>
    <w:unhideWhenUsed/>
    <w:rsid w:val="002A3C2B"/>
    <w:rPr>
      <w:b/>
      <w:bCs/>
    </w:rPr>
  </w:style>
  <w:style w:type="character" w:customStyle="1" w:styleId="CommentSubjectChar">
    <w:name w:val="Comment Subject Char"/>
    <w:basedOn w:val="CommentTextChar"/>
    <w:link w:val="CommentSubject"/>
    <w:uiPriority w:val="99"/>
    <w:semiHidden/>
    <w:rsid w:val="002A3C2B"/>
    <w:rPr>
      <w:b/>
      <w:bCs/>
      <w:sz w:val="20"/>
      <w:szCs w:val="20"/>
    </w:rPr>
  </w:style>
  <w:style w:type="table" w:styleId="TableGrid">
    <w:name w:val="Table Grid"/>
    <w:basedOn w:val="TableNormal"/>
    <w:uiPriority w:val="39"/>
    <w:rsid w:val="002D08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E633A"/>
    <w:pPr>
      <w:spacing w:after="200" w:line="240" w:lineRule="auto"/>
    </w:pPr>
    <w:rPr>
      <w:i/>
      <w:iCs/>
      <w:color w:val="0E2841" w:themeColor="text2"/>
      <w:sz w:val="18"/>
      <w:szCs w:val="18"/>
    </w:rPr>
  </w:style>
  <w:style w:type="paragraph" w:styleId="NormalWeb">
    <w:name w:val="Normal (Web)"/>
    <w:basedOn w:val="Normal"/>
    <w:uiPriority w:val="99"/>
    <w:unhideWhenUsed/>
    <w:rsid w:val="00C90700"/>
    <w:pPr>
      <w:spacing w:before="100" w:beforeAutospacing="1" w:after="100" w:afterAutospacing="1" w:line="240" w:lineRule="auto"/>
    </w:pPr>
    <w:rPr>
      <w:rFonts w:ascii="Times New Roman" w:eastAsia="Times New Roman" w:hAnsi="Times New Roman" w:cs="Times New Roman"/>
      <w:kern w:val="0"/>
      <w:sz w:val="24"/>
      <w:szCs w:val="24"/>
      <w:lang w:val="en-IN" w:eastAsia="en-IN"/>
      <w14:ligatures w14:val="none"/>
    </w:rPr>
  </w:style>
  <w:style w:type="character" w:styleId="PlaceholderText">
    <w:name w:val="Placeholder Text"/>
    <w:basedOn w:val="DefaultParagraphFont"/>
    <w:uiPriority w:val="99"/>
    <w:semiHidden/>
    <w:rsid w:val="00844205"/>
    <w:rPr>
      <w:color w:val="666666"/>
    </w:rPr>
  </w:style>
  <w:style w:type="paragraph" w:styleId="Revision">
    <w:name w:val="Revision"/>
    <w:hidden/>
    <w:uiPriority w:val="99"/>
    <w:semiHidden/>
    <w:rsid w:val="00C87DA0"/>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5994">
      <w:marLeft w:val="480"/>
      <w:marRight w:val="0"/>
      <w:marTop w:val="0"/>
      <w:marBottom w:val="0"/>
      <w:divBdr>
        <w:top w:val="none" w:sz="0" w:space="0" w:color="auto"/>
        <w:left w:val="none" w:sz="0" w:space="0" w:color="auto"/>
        <w:bottom w:val="none" w:sz="0" w:space="0" w:color="auto"/>
        <w:right w:val="none" w:sz="0" w:space="0" w:color="auto"/>
      </w:divBdr>
    </w:div>
    <w:div w:id="12073187">
      <w:marLeft w:val="0"/>
      <w:marRight w:val="0"/>
      <w:marTop w:val="0"/>
      <w:marBottom w:val="0"/>
      <w:divBdr>
        <w:top w:val="none" w:sz="0" w:space="0" w:color="auto"/>
        <w:left w:val="none" w:sz="0" w:space="0" w:color="auto"/>
        <w:bottom w:val="none" w:sz="0" w:space="0" w:color="auto"/>
        <w:right w:val="none" w:sz="0" w:space="0" w:color="auto"/>
      </w:divBdr>
    </w:div>
    <w:div w:id="16666744">
      <w:marLeft w:val="0"/>
      <w:marRight w:val="0"/>
      <w:marTop w:val="0"/>
      <w:marBottom w:val="0"/>
      <w:divBdr>
        <w:top w:val="none" w:sz="0" w:space="0" w:color="auto"/>
        <w:left w:val="none" w:sz="0" w:space="0" w:color="auto"/>
        <w:bottom w:val="none" w:sz="0" w:space="0" w:color="auto"/>
        <w:right w:val="none" w:sz="0" w:space="0" w:color="auto"/>
      </w:divBdr>
    </w:div>
    <w:div w:id="35012669">
      <w:marLeft w:val="0"/>
      <w:marRight w:val="0"/>
      <w:marTop w:val="0"/>
      <w:marBottom w:val="0"/>
      <w:divBdr>
        <w:top w:val="none" w:sz="0" w:space="0" w:color="auto"/>
        <w:left w:val="none" w:sz="0" w:space="0" w:color="auto"/>
        <w:bottom w:val="none" w:sz="0" w:space="0" w:color="auto"/>
        <w:right w:val="none" w:sz="0" w:space="0" w:color="auto"/>
      </w:divBdr>
    </w:div>
    <w:div w:id="71124610">
      <w:marLeft w:val="480"/>
      <w:marRight w:val="0"/>
      <w:marTop w:val="0"/>
      <w:marBottom w:val="0"/>
      <w:divBdr>
        <w:top w:val="none" w:sz="0" w:space="0" w:color="auto"/>
        <w:left w:val="none" w:sz="0" w:space="0" w:color="auto"/>
        <w:bottom w:val="none" w:sz="0" w:space="0" w:color="auto"/>
        <w:right w:val="none" w:sz="0" w:space="0" w:color="auto"/>
      </w:divBdr>
    </w:div>
    <w:div w:id="86659897">
      <w:marLeft w:val="480"/>
      <w:marRight w:val="0"/>
      <w:marTop w:val="0"/>
      <w:marBottom w:val="0"/>
      <w:divBdr>
        <w:top w:val="none" w:sz="0" w:space="0" w:color="auto"/>
        <w:left w:val="none" w:sz="0" w:space="0" w:color="auto"/>
        <w:bottom w:val="none" w:sz="0" w:space="0" w:color="auto"/>
        <w:right w:val="none" w:sz="0" w:space="0" w:color="auto"/>
      </w:divBdr>
    </w:div>
    <w:div w:id="111824703">
      <w:marLeft w:val="0"/>
      <w:marRight w:val="0"/>
      <w:marTop w:val="0"/>
      <w:marBottom w:val="0"/>
      <w:divBdr>
        <w:top w:val="none" w:sz="0" w:space="0" w:color="auto"/>
        <w:left w:val="none" w:sz="0" w:space="0" w:color="auto"/>
        <w:bottom w:val="none" w:sz="0" w:space="0" w:color="auto"/>
        <w:right w:val="none" w:sz="0" w:space="0" w:color="auto"/>
      </w:divBdr>
    </w:div>
    <w:div w:id="120656446">
      <w:marLeft w:val="480"/>
      <w:marRight w:val="0"/>
      <w:marTop w:val="0"/>
      <w:marBottom w:val="0"/>
      <w:divBdr>
        <w:top w:val="none" w:sz="0" w:space="0" w:color="auto"/>
        <w:left w:val="none" w:sz="0" w:space="0" w:color="auto"/>
        <w:bottom w:val="none" w:sz="0" w:space="0" w:color="auto"/>
        <w:right w:val="none" w:sz="0" w:space="0" w:color="auto"/>
      </w:divBdr>
    </w:div>
    <w:div w:id="123740313">
      <w:marLeft w:val="0"/>
      <w:marRight w:val="0"/>
      <w:marTop w:val="0"/>
      <w:marBottom w:val="0"/>
      <w:divBdr>
        <w:top w:val="none" w:sz="0" w:space="0" w:color="auto"/>
        <w:left w:val="none" w:sz="0" w:space="0" w:color="auto"/>
        <w:bottom w:val="none" w:sz="0" w:space="0" w:color="auto"/>
        <w:right w:val="none" w:sz="0" w:space="0" w:color="auto"/>
      </w:divBdr>
    </w:div>
    <w:div w:id="127168187">
      <w:marLeft w:val="0"/>
      <w:marRight w:val="0"/>
      <w:marTop w:val="0"/>
      <w:marBottom w:val="0"/>
      <w:divBdr>
        <w:top w:val="none" w:sz="0" w:space="0" w:color="auto"/>
        <w:left w:val="none" w:sz="0" w:space="0" w:color="auto"/>
        <w:bottom w:val="none" w:sz="0" w:space="0" w:color="auto"/>
        <w:right w:val="none" w:sz="0" w:space="0" w:color="auto"/>
      </w:divBdr>
    </w:div>
    <w:div w:id="135882723">
      <w:marLeft w:val="0"/>
      <w:marRight w:val="0"/>
      <w:marTop w:val="0"/>
      <w:marBottom w:val="0"/>
      <w:divBdr>
        <w:top w:val="none" w:sz="0" w:space="0" w:color="auto"/>
        <w:left w:val="none" w:sz="0" w:space="0" w:color="auto"/>
        <w:bottom w:val="none" w:sz="0" w:space="0" w:color="auto"/>
        <w:right w:val="none" w:sz="0" w:space="0" w:color="auto"/>
      </w:divBdr>
    </w:div>
    <w:div w:id="140121502">
      <w:marLeft w:val="0"/>
      <w:marRight w:val="0"/>
      <w:marTop w:val="0"/>
      <w:marBottom w:val="0"/>
      <w:divBdr>
        <w:top w:val="none" w:sz="0" w:space="0" w:color="auto"/>
        <w:left w:val="none" w:sz="0" w:space="0" w:color="auto"/>
        <w:bottom w:val="none" w:sz="0" w:space="0" w:color="auto"/>
        <w:right w:val="none" w:sz="0" w:space="0" w:color="auto"/>
      </w:divBdr>
    </w:div>
    <w:div w:id="159152301">
      <w:marLeft w:val="0"/>
      <w:marRight w:val="0"/>
      <w:marTop w:val="0"/>
      <w:marBottom w:val="0"/>
      <w:divBdr>
        <w:top w:val="none" w:sz="0" w:space="0" w:color="auto"/>
        <w:left w:val="none" w:sz="0" w:space="0" w:color="auto"/>
        <w:bottom w:val="none" w:sz="0" w:space="0" w:color="auto"/>
        <w:right w:val="none" w:sz="0" w:space="0" w:color="auto"/>
      </w:divBdr>
    </w:div>
    <w:div w:id="180362981">
      <w:marLeft w:val="480"/>
      <w:marRight w:val="0"/>
      <w:marTop w:val="0"/>
      <w:marBottom w:val="0"/>
      <w:divBdr>
        <w:top w:val="none" w:sz="0" w:space="0" w:color="auto"/>
        <w:left w:val="none" w:sz="0" w:space="0" w:color="auto"/>
        <w:bottom w:val="none" w:sz="0" w:space="0" w:color="auto"/>
        <w:right w:val="none" w:sz="0" w:space="0" w:color="auto"/>
      </w:divBdr>
    </w:div>
    <w:div w:id="212080751">
      <w:marLeft w:val="0"/>
      <w:marRight w:val="0"/>
      <w:marTop w:val="0"/>
      <w:marBottom w:val="0"/>
      <w:divBdr>
        <w:top w:val="none" w:sz="0" w:space="0" w:color="auto"/>
        <w:left w:val="none" w:sz="0" w:space="0" w:color="auto"/>
        <w:bottom w:val="none" w:sz="0" w:space="0" w:color="auto"/>
        <w:right w:val="none" w:sz="0" w:space="0" w:color="auto"/>
      </w:divBdr>
    </w:div>
    <w:div w:id="215555887">
      <w:marLeft w:val="480"/>
      <w:marRight w:val="0"/>
      <w:marTop w:val="0"/>
      <w:marBottom w:val="0"/>
      <w:divBdr>
        <w:top w:val="none" w:sz="0" w:space="0" w:color="auto"/>
        <w:left w:val="none" w:sz="0" w:space="0" w:color="auto"/>
        <w:bottom w:val="none" w:sz="0" w:space="0" w:color="auto"/>
        <w:right w:val="none" w:sz="0" w:space="0" w:color="auto"/>
      </w:divBdr>
    </w:div>
    <w:div w:id="215633001">
      <w:marLeft w:val="0"/>
      <w:marRight w:val="0"/>
      <w:marTop w:val="0"/>
      <w:marBottom w:val="0"/>
      <w:divBdr>
        <w:top w:val="none" w:sz="0" w:space="0" w:color="auto"/>
        <w:left w:val="none" w:sz="0" w:space="0" w:color="auto"/>
        <w:bottom w:val="none" w:sz="0" w:space="0" w:color="auto"/>
        <w:right w:val="none" w:sz="0" w:space="0" w:color="auto"/>
      </w:divBdr>
    </w:div>
    <w:div w:id="230702300">
      <w:marLeft w:val="480"/>
      <w:marRight w:val="0"/>
      <w:marTop w:val="0"/>
      <w:marBottom w:val="0"/>
      <w:divBdr>
        <w:top w:val="none" w:sz="0" w:space="0" w:color="auto"/>
        <w:left w:val="none" w:sz="0" w:space="0" w:color="auto"/>
        <w:bottom w:val="none" w:sz="0" w:space="0" w:color="auto"/>
        <w:right w:val="none" w:sz="0" w:space="0" w:color="auto"/>
      </w:divBdr>
    </w:div>
    <w:div w:id="240138545">
      <w:marLeft w:val="0"/>
      <w:marRight w:val="0"/>
      <w:marTop w:val="0"/>
      <w:marBottom w:val="0"/>
      <w:divBdr>
        <w:top w:val="none" w:sz="0" w:space="0" w:color="auto"/>
        <w:left w:val="none" w:sz="0" w:space="0" w:color="auto"/>
        <w:bottom w:val="none" w:sz="0" w:space="0" w:color="auto"/>
        <w:right w:val="none" w:sz="0" w:space="0" w:color="auto"/>
      </w:divBdr>
    </w:div>
    <w:div w:id="243027391">
      <w:marLeft w:val="480"/>
      <w:marRight w:val="0"/>
      <w:marTop w:val="0"/>
      <w:marBottom w:val="0"/>
      <w:divBdr>
        <w:top w:val="none" w:sz="0" w:space="0" w:color="auto"/>
        <w:left w:val="none" w:sz="0" w:space="0" w:color="auto"/>
        <w:bottom w:val="none" w:sz="0" w:space="0" w:color="auto"/>
        <w:right w:val="none" w:sz="0" w:space="0" w:color="auto"/>
      </w:divBdr>
    </w:div>
    <w:div w:id="266738662">
      <w:marLeft w:val="0"/>
      <w:marRight w:val="0"/>
      <w:marTop w:val="0"/>
      <w:marBottom w:val="0"/>
      <w:divBdr>
        <w:top w:val="none" w:sz="0" w:space="0" w:color="auto"/>
        <w:left w:val="none" w:sz="0" w:space="0" w:color="auto"/>
        <w:bottom w:val="none" w:sz="0" w:space="0" w:color="auto"/>
        <w:right w:val="none" w:sz="0" w:space="0" w:color="auto"/>
      </w:divBdr>
    </w:div>
    <w:div w:id="283730868">
      <w:marLeft w:val="480"/>
      <w:marRight w:val="0"/>
      <w:marTop w:val="0"/>
      <w:marBottom w:val="0"/>
      <w:divBdr>
        <w:top w:val="none" w:sz="0" w:space="0" w:color="auto"/>
        <w:left w:val="none" w:sz="0" w:space="0" w:color="auto"/>
        <w:bottom w:val="none" w:sz="0" w:space="0" w:color="auto"/>
        <w:right w:val="none" w:sz="0" w:space="0" w:color="auto"/>
      </w:divBdr>
    </w:div>
    <w:div w:id="311645401">
      <w:marLeft w:val="0"/>
      <w:marRight w:val="0"/>
      <w:marTop w:val="0"/>
      <w:marBottom w:val="0"/>
      <w:divBdr>
        <w:top w:val="none" w:sz="0" w:space="0" w:color="auto"/>
        <w:left w:val="none" w:sz="0" w:space="0" w:color="auto"/>
        <w:bottom w:val="none" w:sz="0" w:space="0" w:color="auto"/>
        <w:right w:val="none" w:sz="0" w:space="0" w:color="auto"/>
      </w:divBdr>
    </w:div>
    <w:div w:id="317005650">
      <w:marLeft w:val="480"/>
      <w:marRight w:val="0"/>
      <w:marTop w:val="0"/>
      <w:marBottom w:val="0"/>
      <w:divBdr>
        <w:top w:val="none" w:sz="0" w:space="0" w:color="auto"/>
        <w:left w:val="none" w:sz="0" w:space="0" w:color="auto"/>
        <w:bottom w:val="none" w:sz="0" w:space="0" w:color="auto"/>
        <w:right w:val="none" w:sz="0" w:space="0" w:color="auto"/>
      </w:divBdr>
    </w:div>
    <w:div w:id="398676535">
      <w:marLeft w:val="0"/>
      <w:marRight w:val="0"/>
      <w:marTop w:val="0"/>
      <w:marBottom w:val="0"/>
      <w:divBdr>
        <w:top w:val="none" w:sz="0" w:space="0" w:color="auto"/>
        <w:left w:val="none" w:sz="0" w:space="0" w:color="auto"/>
        <w:bottom w:val="none" w:sz="0" w:space="0" w:color="auto"/>
        <w:right w:val="none" w:sz="0" w:space="0" w:color="auto"/>
      </w:divBdr>
    </w:div>
    <w:div w:id="403261712">
      <w:marLeft w:val="0"/>
      <w:marRight w:val="0"/>
      <w:marTop w:val="0"/>
      <w:marBottom w:val="0"/>
      <w:divBdr>
        <w:top w:val="none" w:sz="0" w:space="0" w:color="auto"/>
        <w:left w:val="none" w:sz="0" w:space="0" w:color="auto"/>
        <w:bottom w:val="none" w:sz="0" w:space="0" w:color="auto"/>
        <w:right w:val="none" w:sz="0" w:space="0" w:color="auto"/>
      </w:divBdr>
    </w:div>
    <w:div w:id="406152699">
      <w:marLeft w:val="480"/>
      <w:marRight w:val="0"/>
      <w:marTop w:val="0"/>
      <w:marBottom w:val="0"/>
      <w:divBdr>
        <w:top w:val="none" w:sz="0" w:space="0" w:color="auto"/>
        <w:left w:val="none" w:sz="0" w:space="0" w:color="auto"/>
        <w:bottom w:val="none" w:sz="0" w:space="0" w:color="auto"/>
        <w:right w:val="none" w:sz="0" w:space="0" w:color="auto"/>
      </w:divBdr>
    </w:div>
    <w:div w:id="425882129">
      <w:marLeft w:val="0"/>
      <w:marRight w:val="0"/>
      <w:marTop w:val="0"/>
      <w:marBottom w:val="0"/>
      <w:divBdr>
        <w:top w:val="none" w:sz="0" w:space="0" w:color="auto"/>
        <w:left w:val="none" w:sz="0" w:space="0" w:color="auto"/>
        <w:bottom w:val="none" w:sz="0" w:space="0" w:color="auto"/>
        <w:right w:val="none" w:sz="0" w:space="0" w:color="auto"/>
      </w:divBdr>
    </w:div>
    <w:div w:id="443159063">
      <w:marLeft w:val="0"/>
      <w:marRight w:val="0"/>
      <w:marTop w:val="0"/>
      <w:marBottom w:val="0"/>
      <w:divBdr>
        <w:top w:val="none" w:sz="0" w:space="0" w:color="auto"/>
        <w:left w:val="none" w:sz="0" w:space="0" w:color="auto"/>
        <w:bottom w:val="none" w:sz="0" w:space="0" w:color="auto"/>
        <w:right w:val="none" w:sz="0" w:space="0" w:color="auto"/>
      </w:divBdr>
    </w:div>
    <w:div w:id="456333563">
      <w:marLeft w:val="480"/>
      <w:marRight w:val="0"/>
      <w:marTop w:val="0"/>
      <w:marBottom w:val="0"/>
      <w:divBdr>
        <w:top w:val="none" w:sz="0" w:space="0" w:color="auto"/>
        <w:left w:val="none" w:sz="0" w:space="0" w:color="auto"/>
        <w:bottom w:val="none" w:sz="0" w:space="0" w:color="auto"/>
        <w:right w:val="none" w:sz="0" w:space="0" w:color="auto"/>
      </w:divBdr>
    </w:div>
    <w:div w:id="456995982">
      <w:marLeft w:val="0"/>
      <w:marRight w:val="0"/>
      <w:marTop w:val="0"/>
      <w:marBottom w:val="0"/>
      <w:divBdr>
        <w:top w:val="none" w:sz="0" w:space="0" w:color="auto"/>
        <w:left w:val="none" w:sz="0" w:space="0" w:color="auto"/>
        <w:bottom w:val="none" w:sz="0" w:space="0" w:color="auto"/>
        <w:right w:val="none" w:sz="0" w:space="0" w:color="auto"/>
      </w:divBdr>
    </w:div>
    <w:div w:id="457995845">
      <w:marLeft w:val="0"/>
      <w:marRight w:val="0"/>
      <w:marTop w:val="0"/>
      <w:marBottom w:val="0"/>
      <w:divBdr>
        <w:top w:val="none" w:sz="0" w:space="0" w:color="auto"/>
        <w:left w:val="none" w:sz="0" w:space="0" w:color="auto"/>
        <w:bottom w:val="none" w:sz="0" w:space="0" w:color="auto"/>
        <w:right w:val="none" w:sz="0" w:space="0" w:color="auto"/>
      </w:divBdr>
    </w:div>
    <w:div w:id="472328192">
      <w:marLeft w:val="0"/>
      <w:marRight w:val="0"/>
      <w:marTop w:val="0"/>
      <w:marBottom w:val="0"/>
      <w:divBdr>
        <w:top w:val="none" w:sz="0" w:space="0" w:color="auto"/>
        <w:left w:val="none" w:sz="0" w:space="0" w:color="auto"/>
        <w:bottom w:val="none" w:sz="0" w:space="0" w:color="auto"/>
        <w:right w:val="none" w:sz="0" w:space="0" w:color="auto"/>
      </w:divBdr>
    </w:div>
    <w:div w:id="490021626">
      <w:marLeft w:val="0"/>
      <w:marRight w:val="0"/>
      <w:marTop w:val="0"/>
      <w:marBottom w:val="0"/>
      <w:divBdr>
        <w:top w:val="none" w:sz="0" w:space="0" w:color="auto"/>
        <w:left w:val="none" w:sz="0" w:space="0" w:color="auto"/>
        <w:bottom w:val="none" w:sz="0" w:space="0" w:color="auto"/>
        <w:right w:val="none" w:sz="0" w:space="0" w:color="auto"/>
      </w:divBdr>
    </w:div>
    <w:div w:id="505486349">
      <w:marLeft w:val="0"/>
      <w:marRight w:val="0"/>
      <w:marTop w:val="0"/>
      <w:marBottom w:val="0"/>
      <w:divBdr>
        <w:top w:val="none" w:sz="0" w:space="0" w:color="auto"/>
        <w:left w:val="none" w:sz="0" w:space="0" w:color="auto"/>
        <w:bottom w:val="none" w:sz="0" w:space="0" w:color="auto"/>
        <w:right w:val="none" w:sz="0" w:space="0" w:color="auto"/>
      </w:divBdr>
    </w:div>
    <w:div w:id="507330513">
      <w:marLeft w:val="0"/>
      <w:marRight w:val="0"/>
      <w:marTop w:val="0"/>
      <w:marBottom w:val="0"/>
      <w:divBdr>
        <w:top w:val="none" w:sz="0" w:space="0" w:color="auto"/>
        <w:left w:val="none" w:sz="0" w:space="0" w:color="auto"/>
        <w:bottom w:val="none" w:sz="0" w:space="0" w:color="auto"/>
        <w:right w:val="none" w:sz="0" w:space="0" w:color="auto"/>
      </w:divBdr>
    </w:div>
    <w:div w:id="518734658">
      <w:marLeft w:val="0"/>
      <w:marRight w:val="0"/>
      <w:marTop w:val="0"/>
      <w:marBottom w:val="0"/>
      <w:divBdr>
        <w:top w:val="none" w:sz="0" w:space="0" w:color="auto"/>
        <w:left w:val="none" w:sz="0" w:space="0" w:color="auto"/>
        <w:bottom w:val="none" w:sz="0" w:space="0" w:color="auto"/>
        <w:right w:val="none" w:sz="0" w:space="0" w:color="auto"/>
      </w:divBdr>
    </w:div>
    <w:div w:id="528034263">
      <w:marLeft w:val="0"/>
      <w:marRight w:val="0"/>
      <w:marTop w:val="0"/>
      <w:marBottom w:val="0"/>
      <w:divBdr>
        <w:top w:val="none" w:sz="0" w:space="0" w:color="auto"/>
        <w:left w:val="none" w:sz="0" w:space="0" w:color="auto"/>
        <w:bottom w:val="none" w:sz="0" w:space="0" w:color="auto"/>
        <w:right w:val="none" w:sz="0" w:space="0" w:color="auto"/>
      </w:divBdr>
    </w:div>
    <w:div w:id="539900180">
      <w:marLeft w:val="0"/>
      <w:marRight w:val="0"/>
      <w:marTop w:val="0"/>
      <w:marBottom w:val="0"/>
      <w:divBdr>
        <w:top w:val="none" w:sz="0" w:space="0" w:color="auto"/>
        <w:left w:val="none" w:sz="0" w:space="0" w:color="auto"/>
        <w:bottom w:val="none" w:sz="0" w:space="0" w:color="auto"/>
        <w:right w:val="none" w:sz="0" w:space="0" w:color="auto"/>
      </w:divBdr>
    </w:div>
    <w:div w:id="552237335">
      <w:marLeft w:val="0"/>
      <w:marRight w:val="0"/>
      <w:marTop w:val="0"/>
      <w:marBottom w:val="0"/>
      <w:divBdr>
        <w:top w:val="none" w:sz="0" w:space="0" w:color="auto"/>
        <w:left w:val="none" w:sz="0" w:space="0" w:color="auto"/>
        <w:bottom w:val="none" w:sz="0" w:space="0" w:color="auto"/>
        <w:right w:val="none" w:sz="0" w:space="0" w:color="auto"/>
      </w:divBdr>
    </w:div>
    <w:div w:id="569385897">
      <w:marLeft w:val="0"/>
      <w:marRight w:val="0"/>
      <w:marTop w:val="0"/>
      <w:marBottom w:val="0"/>
      <w:divBdr>
        <w:top w:val="none" w:sz="0" w:space="0" w:color="auto"/>
        <w:left w:val="none" w:sz="0" w:space="0" w:color="auto"/>
        <w:bottom w:val="none" w:sz="0" w:space="0" w:color="auto"/>
        <w:right w:val="none" w:sz="0" w:space="0" w:color="auto"/>
      </w:divBdr>
    </w:div>
    <w:div w:id="573320599">
      <w:marLeft w:val="0"/>
      <w:marRight w:val="0"/>
      <w:marTop w:val="0"/>
      <w:marBottom w:val="0"/>
      <w:divBdr>
        <w:top w:val="none" w:sz="0" w:space="0" w:color="auto"/>
        <w:left w:val="none" w:sz="0" w:space="0" w:color="auto"/>
        <w:bottom w:val="none" w:sz="0" w:space="0" w:color="auto"/>
        <w:right w:val="none" w:sz="0" w:space="0" w:color="auto"/>
      </w:divBdr>
    </w:div>
    <w:div w:id="602686509">
      <w:marLeft w:val="0"/>
      <w:marRight w:val="0"/>
      <w:marTop w:val="0"/>
      <w:marBottom w:val="0"/>
      <w:divBdr>
        <w:top w:val="none" w:sz="0" w:space="0" w:color="auto"/>
        <w:left w:val="none" w:sz="0" w:space="0" w:color="auto"/>
        <w:bottom w:val="none" w:sz="0" w:space="0" w:color="auto"/>
        <w:right w:val="none" w:sz="0" w:space="0" w:color="auto"/>
      </w:divBdr>
    </w:div>
    <w:div w:id="625163103">
      <w:marLeft w:val="0"/>
      <w:marRight w:val="0"/>
      <w:marTop w:val="0"/>
      <w:marBottom w:val="0"/>
      <w:divBdr>
        <w:top w:val="none" w:sz="0" w:space="0" w:color="auto"/>
        <w:left w:val="none" w:sz="0" w:space="0" w:color="auto"/>
        <w:bottom w:val="none" w:sz="0" w:space="0" w:color="auto"/>
        <w:right w:val="none" w:sz="0" w:space="0" w:color="auto"/>
      </w:divBdr>
    </w:div>
    <w:div w:id="633296735">
      <w:marLeft w:val="0"/>
      <w:marRight w:val="0"/>
      <w:marTop w:val="0"/>
      <w:marBottom w:val="0"/>
      <w:divBdr>
        <w:top w:val="none" w:sz="0" w:space="0" w:color="auto"/>
        <w:left w:val="none" w:sz="0" w:space="0" w:color="auto"/>
        <w:bottom w:val="none" w:sz="0" w:space="0" w:color="auto"/>
        <w:right w:val="none" w:sz="0" w:space="0" w:color="auto"/>
      </w:divBdr>
    </w:div>
    <w:div w:id="661783441">
      <w:marLeft w:val="0"/>
      <w:marRight w:val="0"/>
      <w:marTop w:val="0"/>
      <w:marBottom w:val="0"/>
      <w:divBdr>
        <w:top w:val="none" w:sz="0" w:space="0" w:color="auto"/>
        <w:left w:val="none" w:sz="0" w:space="0" w:color="auto"/>
        <w:bottom w:val="none" w:sz="0" w:space="0" w:color="auto"/>
        <w:right w:val="none" w:sz="0" w:space="0" w:color="auto"/>
      </w:divBdr>
    </w:div>
    <w:div w:id="680814727">
      <w:marLeft w:val="0"/>
      <w:marRight w:val="0"/>
      <w:marTop w:val="0"/>
      <w:marBottom w:val="0"/>
      <w:divBdr>
        <w:top w:val="none" w:sz="0" w:space="0" w:color="auto"/>
        <w:left w:val="none" w:sz="0" w:space="0" w:color="auto"/>
        <w:bottom w:val="none" w:sz="0" w:space="0" w:color="auto"/>
        <w:right w:val="none" w:sz="0" w:space="0" w:color="auto"/>
      </w:divBdr>
    </w:div>
    <w:div w:id="687292803">
      <w:marLeft w:val="0"/>
      <w:marRight w:val="0"/>
      <w:marTop w:val="0"/>
      <w:marBottom w:val="0"/>
      <w:divBdr>
        <w:top w:val="none" w:sz="0" w:space="0" w:color="auto"/>
        <w:left w:val="none" w:sz="0" w:space="0" w:color="auto"/>
        <w:bottom w:val="none" w:sz="0" w:space="0" w:color="auto"/>
        <w:right w:val="none" w:sz="0" w:space="0" w:color="auto"/>
      </w:divBdr>
    </w:div>
    <w:div w:id="695422549">
      <w:marLeft w:val="0"/>
      <w:marRight w:val="0"/>
      <w:marTop w:val="0"/>
      <w:marBottom w:val="0"/>
      <w:divBdr>
        <w:top w:val="none" w:sz="0" w:space="0" w:color="auto"/>
        <w:left w:val="none" w:sz="0" w:space="0" w:color="auto"/>
        <w:bottom w:val="none" w:sz="0" w:space="0" w:color="auto"/>
        <w:right w:val="none" w:sz="0" w:space="0" w:color="auto"/>
      </w:divBdr>
    </w:div>
    <w:div w:id="695740721">
      <w:marLeft w:val="0"/>
      <w:marRight w:val="0"/>
      <w:marTop w:val="0"/>
      <w:marBottom w:val="0"/>
      <w:divBdr>
        <w:top w:val="none" w:sz="0" w:space="0" w:color="auto"/>
        <w:left w:val="none" w:sz="0" w:space="0" w:color="auto"/>
        <w:bottom w:val="none" w:sz="0" w:space="0" w:color="auto"/>
        <w:right w:val="none" w:sz="0" w:space="0" w:color="auto"/>
      </w:divBdr>
    </w:div>
    <w:div w:id="699817322">
      <w:marLeft w:val="0"/>
      <w:marRight w:val="0"/>
      <w:marTop w:val="0"/>
      <w:marBottom w:val="0"/>
      <w:divBdr>
        <w:top w:val="none" w:sz="0" w:space="0" w:color="auto"/>
        <w:left w:val="none" w:sz="0" w:space="0" w:color="auto"/>
        <w:bottom w:val="none" w:sz="0" w:space="0" w:color="auto"/>
        <w:right w:val="none" w:sz="0" w:space="0" w:color="auto"/>
      </w:divBdr>
    </w:div>
    <w:div w:id="705371338">
      <w:marLeft w:val="0"/>
      <w:marRight w:val="0"/>
      <w:marTop w:val="0"/>
      <w:marBottom w:val="0"/>
      <w:divBdr>
        <w:top w:val="none" w:sz="0" w:space="0" w:color="auto"/>
        <w:left w:val="none" w:sz="0" w:space="0" w:color="auto"/>
        <w:bottom w:val="none" w:sz="0" w:space="0" w:color="auto"/>
        <w:right w:val="none" w:sz="0" w:space="0" w:color="auto"/>
      </w:divBdr>
    </w:div>
    <w:div w:id="754209090">
      <w:marLeft w:val="0"/>
      <w:marRight w:val="0"/>
      <w:marTop w:val="0"/>
      <w:marBottom w:val="0"/>
      <w:divBdr>
        <w:top w:val="none" w:sz="0" w:space="0" w:color="auto"/>
        <w:left w:val="none" w:sz="0" w:space="0" w:color="auto"/>
        <w:bottom w:val="none" w:sz="0" w:space="0" w:color="auto"/>
        <w:right w:val="none" w:sz="0" w:space="0" w:color="auto"/>
      </w:divBdr>
    </w:div>
    <w:div w:id="775904237">
      <w:marLeft w:val="480"/>
      <w:marRight w:val="0"/>
      <w:marTop w:val="0"/>
      <w:marBottom w:val="0"/>
      <w:divBdr>
        <w:top w:val="none" w:sz="0" w:space="0" w:color="auto"/>
        <w:left w:val="none" w:sz="0" w:space="0" w:color="auto"/>
        <w:bottom w:val="none" w:sz="0" w:space="0" w:color="auto"/>
        <w:right w:val="none" w:sz="0" w:space="0" w:color="auto"/>
      </w:divBdr>
    </w:div>
    <w:div w:id="779104775">
      <w:marLeft w:val="0"/>
      <w:marRight w:val="0"/>
      <w:marTop w:val="0"/>
      <w:marBottom w:val="0"/>
      <w:divBdr>
        <w:top w:val="none" w:sz="0" w:space="0" w:color="auto"/>
        <w:left w:val="none" w:sz="0" w:space="0" w:color="auto"/>
        <w:bottom w:val="none" w:sz="0" w:space="0" w:color="auto"/>
        <w:right w:val="none" w:sz="0" w:space="0" w:color="auto"/>
      </w:divBdr>
    </w:div>
    <w:div w:id="788822793">
      <w:marLeft w:val="480"/>
      <w:marRight w:val="0"/>
      <w:marTop w:val="0"/>
      <w:marBottom w:val="0"/>
      <w:divBdr>
        <w:top w:val="none" w:sz="0" w:space="0" w:color="auto"/>
        <w:left w:val="none" w:sz="0" w:space="0" w:color="auto"/>
        <w:bottom w:val="none" w:sz="0" w:space="0" w:color="auto"/>
        <w:right w:val="none" w:sz="0" w:space="0" w:color="auto"/>
      </w:divBdr>
    </w:div>
    <w:div w:id="795022953">
      <w:marLeft w:val="0"/>
      <w:marRight w:val="0"/>
      <w:marTop w:val="0"/>
      <w:marBottom w:val="0"/>
      <w:divBdr>
        <w:top w:val="none" w:sz="0" w:space="0" w:color="auto"/>
        <w:left w:val="none" w:sz="0" w:space="0" w:color="auto"/>
        <w:bottom w:val="none" w:sz="0" w:space="0" w:color="auto"/>
        <w:right w:val="none" w:sz="0" w:space="0" w:color="auto"/>
      </w:divBdr>
    </w:div>
    <w:div w:id="799105975">
      <w:marLeft w:val="0"/>
      <w:marRight w:val="0"/>
      <w:marTop w:val="0"/>
      <w:marBottom w:val="0"/>
      <w:divBdr>
        <w:top w:val="none" w:sz="0" w:space="0" w:color="auto"/>
        <w:left w:val="none" w:sz="0" w:space="0" w:color="auto"/>
        <w:bottom w:val="none" w:sz="0" w:space="0" w:color="auto"/>
        <w:right w:val="none" w:sz="0" w:space="0" w:color="auto"/>
      </w:divBdr>
    </w:div>
    <w:div w:id="826550964">
      <w:marLeft w:val="0"/>
      <w:marRight w:val="0"/>
      <w:marTop w:val="0"/>
      <w:marBottom w:val="0"/>
      <w:divBdr>
        <w:top w:val="none" w:sz="0" w:space="0" w:color="auto"/>
        <w:left w:val="none" w:sz="0" w:space="0" w:color="auto"/>
        <w:bottom w:val="none" w:sz="0" w:space="0" w:color="auto"/>
        <w:right w:val="none" w:sz="0" w:space="0" w:color="auto"/>
      </w:divBdr>
    </w:div>
    <w:div w:id="835611341">
      <w:marLeft w:val="480"/>
      <w:marRight w:val="0"/>
      <w:marTop w:val="0"/>
      <w:marBottom w:val="0"/>
      <w:divBdr>
        <w:top w:val="none" w:sz="0" w:space="0" w:color="auto"/>
        <w:left w:val="none" w:sz="0" w:space="0" w:color="auto"/>
        <w:bottom w:val="none" w:sz="0" w:space="0" w:color="auto"/>
        <w:right w:val="none" w:sz="0" w:space="0" w:color="auto"/>
      </w:divBdr>
    </w:div>
    <w:div w:id="840050360">
      <w:marLeft w:val="480"/>
      <w:marRight w:val="0"/>
      <w:marTop w:val="0"/>
      <w:marBottom w:val="0"/>
      <w:divBdr>
        <w:top w:val="none" w:sz="0" w:space="0" w:color="auto"/>
        <w:left w:val="none" w:sz="0" w:space="0" w:color="auto"/>
        <w:bottom w:val="none" w:sz="0" w:space="0" w:color="auto"/>
        <w:right w:val="none" w:sz="0" w:space="0" w:color="auto"/>
      </w:divBdr>
    </w:div>
    <w:div w:id="849564370">
      <w:marLeft w:val="480"/>
      <w:marRight w:val="0"/>
      <w:marTop w:val="0"/>
      <w:marBottom w:val="0"/>
      <w:divBdr>
        <w:top w:val="none" w:sz="0" w:space="0" w:color="auto"/>
        <w:left w:val="none" w:sz="0" w:space="0" w:color="auto"/>
        <w:bottom w:val="none" w:sz="0" w:space="0" w:color="auto"/>
        <w:right w:val="none" w:sz="0" w:space="0" w:color="auto"/>
      </w:divBdr>
    </w:div>
    <w:div w:id="859126921">
      <w:marLeft w:val="480"/>
      <w:marRight w:val="0"/>
      <w:marTop w:val="0"/>
      <w:marBottom w:val="0"/>
      <w:divBdr>
        <w:top w:val="none" w:sz="0" w:space="0" w:color="auto"/>
        <w:left w:val="none" w:sz="0" w:space="0" w:color="auto"/>
        <w:bottom w:val="none" w:sz="0" w:space="0" w:color="auto"/>
        <w:right w:val="none" w:sz="0" w:space="0" w:color="auto"/>
      </w:divBdr>
    </w:div>
    <w:div w:id="861553843">
      <w:marLeft w:val="0"/>
      <w:marRight w:val="0"/>
      <w:marTop w:val="0"/>
      <w:marBottom w:val="0"/>
      <w:divBdr>
        <w:top w:val="none" w:sz="0" w:space="0" w:color="auto"/>
        <w:left w:val="none" w:sz="0" w:space="0" w:color="auto"/>
        <w:bottom w:val="none" w:sz="0" w:space="0" w:color="auto"/>
        <w:right w:val="none" w:sz="0" w:space="0" w:color="auto"/>
      </w:divBdr>
    </w:div>
    <w:div w:id="881744704">
      <w:marLeft w:val="0"/>
      <w:marRight w:val="0"/>
      <w:marTop w:val="0"/>
      <w:marBottom w:val="0"/>
      <w:divBdr>
        <w:top w:val="none" w:sz="0" w:space="0" w:color="auto"/>
        <w:left w:val="none" w:sz="0" w:space="0" w:color="auto"/>
        <w:bottom w:val="none" w:sz="0" w:space="0" w:color="auto"/>
        <w:right w:val="none" w:sz="0" w:space="0" w:color="auto"/>
      </w:divBdr>
    </w:div>
    <w:div w:id="899093941">
      <w:marLeft w:val="0"/>
      <w:marRight w:val="0"/>
      <w:marTop w:val="0"/>
      <w:marBottom w:val="0"/>
      <w:divBdr>
        <w:top w:val="none" w:sz="0" w:space="0" w:color="auto"/>
        <w:left w:val="none" w:sz="0" w:space="0" w:color="auto"/>
        <w:bottom w:val="none" w:sz="0" w:space="0" w:color="auto"/>
        <w:right w:val="none" w:sz="0" w:space="0" w:color="auto"/>
      </w:divBdr>
    </w:div>
    <w:div w:id="904487780">
      <w:marLeft w:val="0"/>
      <w:marRight w:val="0"/>
      <w:marTop w:val="0"/>
      <w:marBottom w:val="0"/>
      <w:divBdr>
        <w:top w:val="none" w:sz="0" w:space="0" w:color="auto"/>
        <w:left w:val="none" w:sz="0" w:space="0" w:color="auto"/>
        <w:bottom w:val="none" w:sz="0" w:space="0" w:color="auto"/>
        <w:right w:val="none" w:sz="0" w:space="0" w:color="auto"/>
      </w:divBdr>
    </w:div>
    <w:div w:id="909658527">
      <w:marLeft w:val="0"/>
      <w:marRight w:val="0"/>
      <w:marTop w:val="0"/>
      <w:marBottom w:val="0"/>
      <w:divBdr>
        <w:top w:val="none" w:sz="0" w:space="0" w:color="auto"/>
        <w:left w:val="none" w:sz="0" w:space="0" w:color="auto"/>
        <w:bottom w:val="none" w:sz="0" w:space="0" w:color="auto"/>
        <w:right w:val="none" w:sz="0" w:space="0" w:color="auto"/>
      </w:divBdr>
    </w:div>
    <w:div w:id="916086770">
      <w:marLeft w:val="0"/>
      <w:marRight w:val="0"/>
      <w:marTop w:val="0"/>
      <w:marBottom w:val="0"/>
      <w:divBdr>
        <w:top w:val="none" w:sz="0" w:space="0" w:color="auto"/>
        <w:left w:val="none" w:sz="0" w:space="0" w:color="auto"/>
        <w:bottom w:val="none" w:sz="0" w:space="0" w:color="auto"/>
        <w:right w:val="none" w:sz="0" w:space="0" w:color="auto"/>
      </w:divBdr>
    </w:div>
    <w:div w:id="997928174">
      <w:marLeft w:val="0"/>
      <w:marRight w:val="0"/>
      <w:marTop w:val="0"/>
      <w:marBottom w:val="0"/>
      <w:divBdr>
        <w:top w:val="none" w:sz="0" w:space="0" w:color="auto"/>
        <w:left w:val="none" w:sz="0" w:space="0" w:color="auto"/>
        <w:bottom w:val="none" w:sz="0" w:space="0" w:color="auto"/>
        <w:right w:val="none" w:sz="0" w:space="0" w:color="auto"/>
      </w:divBdr>
    </w:div>
    <w:div w:id="1004357291">
      <w:marLeft w:val="0"/>
      <w:marRight w:val="0"/>
      <w:marTop w:val="0"/>
      <w:marBottom w:val="0"/>
      <w:divBdr>
        <w:top w:val="none" w:sz="0" w:space="0" w:color="auto"/>
        <w:left w:val="none" w:sz="0" w:space="0" w:color="auto"/>
        <w:bottom w:val="none" w:sz="0" w:space="0" w:color="auto"/>
        <w:right w:val="none" w:sz="0" w:space="0" w:color="auto"/>
      </w:divBdr>
    </w:div>
    <w:div w:id="1037435592">
      <w:marLeft w:val="0"/>
      <w:marRight w:val="0"/>
      <w:marTop w:val="0"/>
      <w:marBottom w:val="0"/>
      <w:divBdr>
        <w:top w:val="none" w:sz="0" w:space="0" w:color="auto"/>
        <w:left w:val="none" w:sz="0" w:space="0" w:color="auto"/>
        <w:bottom w:val="none" w:sz="0" w:space="0" w:color="auto"/>
        <w:right w:val="none" w:sz="0" w:space="0" w:color="auto"/>
      </w:divBdr>
    </w:div>
    <w:div w:id="1039670457">
      <w:marLeft w:val="0"/>
      <w:marRight w:val="0"/>
      <w:marTop w:val="0"/>
      <w:marBottom w:val="0"/>
      <w:divBdr>
        <w:top w:val="none" w:sz="0" w:space="0" w:color="auto"/>
        <w:left w:val="none" w:sz="0" w:space="0" w:color="auto"/>
        <w:bottom w:val="none" w:sz="0" w:space="0" w:color="auto"/>
        <w:right w:val="none" w:sz="0" w:space="0" w:color="auto"/>
      </w:divBdr>
    </w:div>
    <w:div w:id="1072897350">
      <w:marLeft w:val="0"/>
      <w:marRight w:val="0"/>
      <w:marTop w:val="0"/>
      <w:marBottom w:val="0"/>
      <w:divBdr>
        <w:top w:val="none" w:sz="0" w:space="0" w:color="auto"/>
        <w:left w:val="none" w:sz="0" w:space="0" w:color="auto"/>
        <w:bottom w:val="none" w:sz="0" w:space="0" w:color="auto"/>
        <w:right w:val="none" w:sz="0" w:space="0" w:color="auto"/>
      </w:divBdr>
    </w:div>
    <w:div w:id="1103185175">
      <w:marLeft w:val="0"/>
      <w:marRight w:val="0"/>
      <w:marTop w:val="0"/>
      <w:marBottom w:val="0"/>
      <w:divBdr>
        <w:top w:val="none" w:sz="0" w:space="0" w:color="auto"/>
        <w:left w:val="none" w:sz="0" w:space="0" w:color="auto"/>
        <w:bottom w:val="none" w:sz="0" w:space="0" w:color="auto"/>
        <w:right w:val="none" w:sz="0" w:space="0" w:color="auto"/>
      </w:divBdr>
    </w:div>
    <w:div w:id="1114254279">
      <w:marLeft w:val="0"/>
      <w:marRight w:val="0"/>
      <w:marTop w:val="0"/>
      <w:marBottom w:val="0"/>
      <w:divBdr>
        <w:top w:val="none" w:sz="0" w:space="0" w:color="auto"/>
        <w:left w:val="none" w:sz="0" w:space="0" w:color="auto"/>
        <w:bottom w:val="none" w:sz="0" w:space="0" w:color="auto"/>
        <w:right w:val="none" w:sz="0" w:space="0" w:color="auto"/>
      </w:divBdr>
    </w:div>
    <w:div w:id="1118066667">
      <w:marLeft w:val="480"/>
      <w:marRight w:val="0"/>
      <w:marTop w:val="0"/>
      <w:marBottom w:val="0"/>
      <w:divBdr>
        <w:top w:val="none" w:sz="0" w:space="0" w:color="auto"/>
        <w:left w:val="none" w:sz="0" w:space="0" w:color="auto"/>
        <w:bottom w:val="none" w:sz="0" w:space="0" w:color="auto"/>
        <w:right w:val="none" w:sz="0" w:space="0" w:color="auto"/>
      </w:divBdr>
    </w:div>
    <w:div w:id="1129132860">
      <w:marLeft w:val="480"/>
      <w:marRight w:val="0"/>
      <w:marTop w:val="0"/>
      <w:marBottom w:val="0"/>
      <w:divBdr>
        <w:top w:val="none" w:sz="0" w:space="0" w:color="auto"/>
        <w:left w:val="none" w:sz="0" w:space="0" w:color="auto"/>
        <w:bottom w:val="none" w:sz="0" w:space="0" w:color="auto"/>
        <w:right w:val="none" w:sz="0" w:space="0" w:color="auto"/>
      </w:divBdr>
    </w:div>
    <w:div w:id="1144615901">
      <w:marLeft w:val="0"/>
      <w:marRight w:val="0"/>
      <w:marTop w:val="0"/>
      <w:marBottom w:val="0"/>
      <w:divBdr>
        <w:top w:val="none" w:sz="0" w:space="0" w:color="auto"/>
        <w:left w:val="none" w:sz="0" w:space="0" w:color="auto"/>
        <w:bottom w:val="none" w:sz="0" w:space="0" w:color="auto"/>
        <w:right w:val="none" w:sz="0" w:space="0" w:color="auto"/>
      </w:divBdr>
    </w:div>
    <w:div w:id="1168012572">
      <w:marLeft w:val="0"/>
      <w:marRight w:val="0"/>
      <w:marTop w:val="0"/>
      <w:marBottom w:val="0"/>
      <w:divBdr>
        <w:top w:val="none" w:sz="0" w:space="0" w:color="auto"/>
        <w:left w:val="none" w:sz="0" w:space="0" w:color="auto"/>
        <w:bottom w:val="none" w:sz="0" w:space="0" w:color="auto"/>
        <w:right w:val="none" w:sz="0" w:space="0" w:color="auto"/>
      </w:divBdr>
    </w:div>
    <w:div w:id="1180000145">
      <w:marLeft w:val="0"/>
      <w:marRight w:val="0"/>
      <w:marTop w:val="0"/>
      <w:marBottom w:val="0"/>
      <w:divBdr>
        <w:top w:val="none" w:sz="0" w:space="0" w:color="auto"/>
        <w:left w:val="none" w:sz="0" w:space="0" w:color="auto"/>
        <w:bottom w:val="none" w:sz="0" w:space="0" w:color="auto"/>
        <w:right w:val="none" w:sz="0" w:space="0" w:color="auto"/>
      </w:divBdr>
    </w:div>
    <w:div w:id="1193692991">
      <w:marLeft w:val="0"/>
      <w:marRight w:val="0"/>
      <w:marTop w:val="0"/>
      <w:marBottom w:val="0"/>
      <w:divBdr>
        <w:top w:val="none" w:sz="0" w:space="0" w:color="auto"/>
        <w:left w:val="none" w:sz="0" w:space="0" w:color="auto"/>
        <w:bottom w:val="none" w:sz="0" w:space="0" w:color="auto"/>
        <w:right w:val="none" w:sz="0" w:space="0" w:color="auto"/>
      </w:divBdr>
    </w:div>
    <w:div w:id="1201674749">
      <w:marLeft w:val="0"/>
      <w:marRight w:val="0"/>
      <w:marTop w:val="0"/>
      <w:marBottom w:val="0"/>
      <w:divBdr>
        <w:top w:val="none" w:sz="0" w:space="0" w:color="auto"/>
        <w:left w:val="none" w:sz="0" w:space="0" w:color="auto"/>
        <w:bottom w:val="none" w:sz="0" w:space="0" w:color="auto"/>
        <w:right w:val="none" w:sz="0" w:space="0" w:color="auto"/>
      </w:divBdr>
    </w:div>
    <w:div w:id="1219437276">
      <w:marLeft w:val="0"/>
      <w:marRight w:val="0"/>
      <w:marTop w:val="0"/>
      <w:marBottom w:val="0"/>
      <w:divBdr>
        <w:top w:val="none" w:sz="0" w:space="0" w:color="auto"/>
        <w:left w:val="none" w:sz="0" w:space="0" w:color="auto"/>
        <w:bottom w:val="none" w:sz="0" w:space="0" w:color="auto"/>
        <w:right w:val="none" w:sz="0" w:space="0" w:color="auto"/>
      </w:divBdr>
    </w:div>
    <w:div w:id="1220288435">
      <w:marLeft w:val="480"/>
      <w:marRight w:val="0"/>
      <w:marTop w:val="0"/>
      <w:marBottom w:val="0"/>
      <w:divBdr>
        <w:top w:val="none" w:sz="0" w:space="0" w:color="auto"/>
        <w:left w:val="none" w:sz="0" w:space="0" w:color="auto"/>
        <w:bottom w:val="none" w:sz="0" w:space="0" w:color="auto"/>
        <w:right w:val="none" w:sz="0" w:space="0" w:color="auto"/>
      </w:divBdr>
    </w:div>
    <w:div w:id="1222330177">
      <w:marLeft w:val="0"/>
      <w:marRight w:val="0"/>
      <w:marTop w:val="0"/>
      <w:marBottom w:val="0"/>
      <w:divBdr>
        <w:top w:val="none" w:sz="0" w:space="0" w:color="auto"/>
        <w:left w:val="none" w:sz="0" w:space="0" w:color="auto"/>
        <w:bottom w:val="none" w:sz="0" w:space="0" w:color="auto"/>
        <w:right w:val="none" w:sz="0" w:space="0" w:color="auto"/>
      </w:divBdr>
    </w:div>
    <w:div w:id="1229731075">
      <w:marLeft w:val="0"/>
      <w:marRight w:val="0"/>
      <w:marTop w:val="0"/>
      <w:marBottom w:val="0"/>
      <w:divBdr>
        <w:top w:val="none" w:sz="0" w:space="0" w:color="auto"/>
        <w:left w:val="none" w:sz="0" w:space="0" w:color="auto"/>
        <w:bottom w:val="none" w:sz="0" w:space="0" w:color="auto"/>
        <w:right w:val="none" w:sz="0" w:space="0" w:color="auto"/>
      </w:divBdr>
    </w:div>
    <w:div w:id="1231890174">
      <w:marLeft w:val="480"/>
      <w:marRight w:val="0"/>
      <w:marTop w:val="0"/>
      <w:marBottom w:val="0"/>
      <w:divBdr>
        <w:top w:val="none" w:sz="0" w:space="0" w:color="auto"/>
        <w:left w:val="none" w:sz="0" w:space="0" w:color="auto"/>
        <w:bottom w:val="none" w:sz="0" w:space="0" w:color="auto"/>
        <w:right w:val="none" w:sz="0" w:space="0" w:color="auto"/>
      </w:divBdr>
    </w:div>
    <w:div w:id="1238323456">
      <w:marLeft w:val="0"/>
      <w:marRight w:val="0"/>
      <w:marTop w:val="0"/>
      <w:marBottom w:val="0"/>
      <w:divBdr>
        <w:top w:val="none" w:sz="0" w:space="0" w:color="auto"/>
        <w:left w:val="none" w:sz="0" w:space="0" w:color="auto"/>
        <w:bottom w:val="none" w:sz="0" w:space="0" w:color="auto"/>
        <w:right w:val="none" w:sz="0" w:space="0" w:color="auto"/>
      </w:divBdr>
    </w:div>
    <w:div w:id="1240410618">
      <w:marLeft w:val="0"/>
      <w:marRight w:val="0"/>
      <w:marTop w:val="0"/>
      <w:marBottom w:val="0"/>
      <w:divBdr>
        <w:top w:val="none" w:sz="0" w:space="0" w:color="auto"/>
        <w:left w:val="none" w:sz="0" w:space="0" w:color="auto"/>
        <w:bottom w:val="none" w:sz="0" w:space="0" w:color="auto"/>
        <w:right w:val="none" w:sz="0" w:space="0" w:color="auto"/>
      </w:divBdr>
    </w:div>
    <w:div w:id="1241135370">
      <w:marLeft w:val="480"/>
      <w:marRight w:val="0"/>
      <w:marTop w:val="0"/>
      <w:marBottom w:val="0"/>
      <w:divBdr>
        <w:top w:val="none" w:sz="0" w:space="0" w:color="auto"/>
        <w:left w:val="none" w:sz="0" w:space="0" w:color="auto"/>
        <w:bottom w:val="none" w:sz="0" w:space="0" w:color="auto"/>
        <w:right w:val="none" w:sz="0" w:space="0" w:color="auto"/>
      </w:divBdr>
    </w:div>
    <w:div w:id="1258751046">
      <w:marLeft w:val="480"/>
      <w:marRight w:val="0"/>
      <w:marTop w:val="0"/>
      <w:marBottom w:val="0"/>
      <w:divBdr>
        <w:top w:val="none" w:sz="0" w:space="0" w:color="auto"/>
        <w:left w:val="none" w:sz="0" w:space="0" w:color="auto"/>
        <w:bottom w:val="none" w:sz="0" w:space="0" w:color="auto"/>
        <w:right w:val="none" w:sz="0" w:space="0" w:color="auto"/>
      </w:divBdr>
    </w:div>
    <w:div w:id="1294288098">
      <w:marLeft w:val="0"/>
      <w:marRight w:val="0"/>
      <w:marTop w:val="0"/>
      <w:marBottom w:val="0"/>
      <w:divBdr>
        <w:top w:val="none" w:sz="0" w:space="0" w:color="auto"/>
        <w:left w:val="none" w:sz="0" w:space="0" w:color="auto"/>
        <w:bottom w:val="none" w:sz="0" w:space="0" w:color="auto"/>
        <w:right w:val="none" w:sz="0" w:space="0" w:color="auto"/>
      </w:divBdr>
    </w:div>
    <w:div w:id="1320812573">
      <w:marLeft w:val="0"/>
      <w:marRight w:val="0"/>
      <w:marTop w:val="0"/>
      <w:marBottom w:val="0"/>
      <w:divBdr>
        <w:top w:val="none" w:sz="0" w:space="0" w:color="auto"/>
        <w:left w:val="none" w:sz="0" w:space="0" w:color="auto"/>
        <w:bottom w:val="none" w:sz="0" w:space="0" w:color="auto"/>
        <w:right w:val="none" w:sz="0" w:space="0" w:color="auto"/>
      </w:divBdr>
    </w:div>
    <w:div w:id="1361933630">
      <w:marLeft w:val="0"/>
      <w:marRight w:val="0"/>
      <w:marTop w:val="0"/>
      <w:marBottom w:val="0"/>
      <w:divBdr>
        <w:top w:val="none" w:sz="0" w:space="0" w:color="auto"/>
        <w:left w:val="none" w:sz="0" w:space="0" w:color="auto"/>
        <w:bottom w:val="none" w:sz="0" w:space="0" w:color="auto"/>
        <w:right w:val="none" w:sz="0" w:space="0" w:color="auto"/>
      </w:divBdr>
    </w:div>
    <w:div w:id="1363434476">
      <w:marLeft w:val="0"/>
      <w:marRight w:val="0"/>
      <w:marTop w:val="0"/>
      <w:marBottom w:val="0"/>
      <w:divBdr>
        <w:top w:val="none" w:sz="0" w:space="0" w:color="auto"/>
        <w:left w:val="none" w:sz="0" w:space="0" w:color="auto"/>
        <w:bottom w:val="none" w:sz="0" w:space="0" w:color="auto"/>
        <w:right w:val="none" w:sz="0" w:space="0" w:color="auto"/>
      </w:divBdr>
    </w:div>
    <w:div w:id="1372731935">
      <w:marLeft w:val="0"/>
      <w:marRight w:val="0"/>
      <w:marTop w:val="0"/>
      <w:marBottom w:val="0"/>
      <w:divBdr>
        <w:top w:val="none" w:sz="0" w:space="0" w:color="auto"/>
        <w:left w:val="none" w:sz="0" w:space="0" w:color="auto"/>
        <w:bottom w:val="none" w:sz="0" w:space="0" w:color="auto"/>
        <w:right w:val="none" w:sz="0" w:space="0" w:color="auto"/>
      </w:divBdr>
    </w:div>
    <w:div w:id="1396008126">
      <w:marLeft w:val="0"/>
      <w:marRight w:val="0"/>
      <w:marTop w:val="0"/>
      <w:marBottom w:val="0"/>
      <w:divBdr>
        <w:top w:val="none" w:sz="0" w:space="0" w:color="auto"/>
        <w:left w:val="none" w:sz="0" w:space="0" w:color="auto"/>
        <w:bottom w:val="none" w:sz="0" w:space="0" w:color="auto"/>
        <w:right w:val="none" w:sz="0" w:space="0" w:color="auto"/>
      </w:divBdr>
    </w:div>
    <w:div w:id="1409186779">
      <w:marLeft w:val="0"/>
      <w:marRight w:val="0"/>
      <w:marTop w:val="0"/>
      <w:marBottom w:val="0"/>
      <w:divBdr>
        <w:top w:val="none" w:sz="0" w:space="0" w:color="auto"/>
        <w:left w:val="none" w:sz="0" w:space="0" w:color="auto"/>
        <w:bottom w:val="none" w:sz="0" w:space="0" w:color="auto"/>
        <w:right w:val="none" w:sz="0" w:space="0" w:color="auto"/>
      </w:divBdr>
    </w:div>
    <w:div w:id="1415590549">
      <w:marLeft w:val="480"/>
      <w:marRight w:val="0"/>
      <w:marTop w:val="0"/>
      <w:marBottom w:val="0"/>
      <w:divBdr>
        <w:top w:val="none" w:sz="0" w:space="0" w:color="auto"/>
        <w:left w:val="none" w:sz="0" w:space="0" w:color="auto"/>
        <w:bottom w:val="none" w:sz="0" w:space="0" w:color="auto"/>
        <w:right w:val="none" w:sz="0" w:space="0" w:color="auto"/>
      </w:divBdr>
    </w:div>
    <w:div w:id="1415778111">
      <w:marLeft w:val="0"/>
      <w:marRight w:val="0"/>
      <w:marTop w:val="0"/>
      <w:marBottom w:val="0"/>
      <w:divBdr>
        <w:top w:val="none" w:sz="0" w:space="0" w:color="auto"/>
        <w:left w:val="none" w:sz="0" w:space="0" w:color="auto"/>
        <w:bottom w:val="none" w:sz="0" w:space="0" w:color="auto"/>
        <w:right w:val="none" w:sz="0" w:space="0" w:color="auto"/>
      </w:divBdr>
    </w:div>
    <w:div w:id="1425151445">
      <w:marLeft w:val="0"/>
      <w:marRight w:val="0"/>
      <w:marTop w:val="0"/>
      <w:marBottom w:val="0"/>
      <w:divBdr>
        <w:top w:val="none" w:sz="0" w:space="0" w:color="auto"/>
        <w:left w:val="none" w:sz="0" w:space="0" w:color="auto"/>
        <w:bottom w:val="none" w:sz="0" w:space="0" w:color="auto"/>
        <w:right w:val="none" w:sz="0" w:space="0" w:color="auto"/>
      </w:divBdr>
    </w:div>
    <w:div w:id="1447845766">
      <w:marLeft w:val="0"/>
      <w:marRight w:val="0"/>
      <w:marTop w:val="0"/>
      <w:marBottom w:val="0"/>
      <w:divBdr>
        <w:top w:val="none" w:sz="0" w:space="0" w:color="auto"/>
        <w:left w:val="none" w:sz="0" w:space="0" w:color="auto"/>
        <w:bottom w:val="none" w:sz="0" w:space="0" w:color="auto"/>
        <w:right w:val="none" w:sz="0" w:space="0" w:color="auto"/>
      </w:divBdr>
    </w:div>
    <w:div w:id="1462923712">
      <w:marLeft w:val="480"/>
      <w:marRight w:val="0"/>
      <w:marTop w:val="0"/>
      <w:marBottom w:val="0"/>
      <w:divBdr>
        <w:top w:val="none" w:sz="0" w:space="0" w:color="auto"/>
        <w:left w:val="none" w:sz="0" w:space="0" w:color="auto"/>
        <w:bottom w:val="none" w:sz="0" w:space="0" w:color="auto"/>
        <w:right w:val="none" w:sz="0" w:space="0" w:color="auto"/>
      </w:divBdr>
    </w:div>
    <w:div w:id="1471819989">
      <w:marLeft w:val="480"/>
      <w:marRight w:val="0"/>
      <w:marTop w:val="0"/>
      <w:marBottom w:val="0"/>
      <w:divBdr>
        <w:top w:val="none" w:sz="0" w:space="0" w:color="auto"/>
        <w:left w:val="none" w:sz="0" w:space="0" w:color="auto"/>
        <w:bottom w:val="none" w:sz="0" w:space="0" w:color="auto"/>
        <w:right w:val="none" w:sz="0" w:space="0" w:color="auto"/>
      </w:divBdr>
    </w:div>
    <w:div w:id="1476675676">
      <w:marLeft w:val="0"/>
      <w:marRight w:val="0"/>
      <w:marTop w:val="0"/>
      <w:marBottom w:val="0"/>
      <w:divBdr>
        <w:top w:val="none" w:sz="0" w:space="0" w:color="auto"/>
        <w:left w:val="none" w:sz="0" w:space="0" w:color="auto"/>
        <w:bottom w:val="none" w:sz="0" w:space="0" w:color="auto"/>
        <w:right w:val="none" w:sz="0" w:space="0" w:color="auto"/>
      </w:divBdr>
    </w:div>
    <w:div w:id="1509370695">
      <w:marLeft w:val="0"/>
      <w:marRight w:val="0"/>
      <w:marTop w:val="0"/>
      <w:marBottom w:val="0"/>
      <w:divBdr>
        <w:top w:val="none" w:sz="0" w:space="0" w:color="auto"/>
        <w:left w:val="none" w:sz="0" w:space="0" w:color="auto"/>
        <w:bottom w:val="none" w:sz="0" w:space="0" w:color="auto"/>
        <w:right w:val="none" w:sz="0" w:space="0" w:color="auto"/>
      </w:divBdr>
    </w:div>
    <w:div w:id="1513182390">
      <w:marLeft w:val="0"/>
      <w:marRight w:val="0"/>
      <w:marTop w:val="0"/>
      <w:marBottom w:val="0"/>
      <w:divBdr>
        <w:top w:val="none" w:sz="0" w:space="0" w:color="auto"/>
        <w:left w:val="none" w:sz="0" w:space="0" w:color="auto"/>
        <w:bottom w:val="none" w:sz="0" w:space="0" w:color="auto"/>
        <w:right w:val="none" w:sz="0" w:space="0" w:color="auto"/>
      </w:divBdr>
    </w:div>
    <w:div w:id="1514808072">
      <w:marLeft w:val="0"/>
      <w:marRight w:val="0"/>
      <w:marTop w:val="0"/>
      <w:marBottom w:val="0"/>
      <w:divBdr>
        <w:top w:val="none" w:sz="0" w:space="0" w:color="auto"/>
        <w:left w:val="none" w:sz="0" w:space="0" w:color="auto"/>
        <w:bottom w:val="none" w:sz="0" w:space="0" w:color="auto"/>
        <w:right w:val="none" w:sz="0" w:space="0" w:color="auto"/>
      </w:divBdr>
    </w:div>
    <w:div w:id="1539317115">
      <w:marLeft w:val="480"/>
      <w:marRight w:val="0"/>
      <w:marTop w:val="0"/>
      <w:marBottom w:val="0"/>
      <w:divBdr>
        <w:top w:val="none" w:sz="0" w:space="0" w:color="auto"/>
        <w:left w:val="none" w:sz="0" w:space="0" w:color="auto"/>
        <w:bottom w:val="none" w:sz="0" w:space="0" w:color="auto"/>
        <w:right w:val="none" w:sz="0" w:space="0" w:color="auto"/>
      </w:divBdr>
    </w:div>
    <w:div w:id="1587499398">
      <w:marLeft w:val="0"/>
      <w:marRight w:val="0"/>
      <w:marTop w:val="0"/>
      <w:marBottom w:val="0"/>
      <w:divBdr>
        <w:top w:val="none" w:sz="0" w:space="0" w:color="auto"/>
        <w:left w:val="none" w:sz="0" w:space="0" w:color="auto"/>
        <w:bottom w:val="none" w:sz="0" w:space="0" w:color="auto"/>
        <w:right w:val="none" w:sz="0" w:space="0" w:color="auto"/>
      </w:divBdr>
    </w:div>
    <w:div w:id="1591964415">
      <w:marLeft w:val="480"/>
      <w:marRight w:val="0"/>
      <w:marTop w:val="0"/>
      <w:marBottom w:val="0"/>
      <w:divBdr>
        <w:top w:val="none" w:sz="0" w:space="0" w:color="auto"/>
        <w:left w:val="none" w:sz="0" w:space="0" w:color="auto"/>
        <w:bottom w:val="none" w:sz="0" w:space="0" w:color="auto"/>
        <w:right w:val="none" w:sz="0" w:space="0" w:color="auto"/>
      </w:divBdr>
    </w:div>
    <w:div w:id="1593275251">
      <w:marLeft w:val="0"/>
      <w:marRight w:val="0"/>
      <w:marTop w:val="0"/>
      <w:marBottom w:val="0"/>
      <w:divBdr>
        <w:top w:val="none" w:sz="0" w:space="0" w:color="auto"/>
        <w:left w:val="none" w:sz="0" w:space="0" w:color="auto"/>
        <w:bottom w:val="none" w:sz="0" w:space="0" w:color="auto"/>
        <w:right w:val="none" w:sz="0" w:space="0" w:color="auto"/>
      </w:divBdr>
    </w:div>
    <w:div w:id="1606958195">
      <w:marLeft w:val="480"/>
      <w:marRight w:val="0"/>
      <w:marTop w:val="0"/>
      <w:marBottom w:val="0"/>
      <w:divBdr>
        <w:top w:val="none" w:sz="0" w:space="0" w:color="auto"/>
        <w:left w:val="none" w:sz="0" w:space="0" w:color="auto"/>
        <w:bottom w:val="none" w:sz="0" w:space="0" w:color="auto"/>
        <w:right w:val="none" w:sz="0" w:space="0" w:color="auto"/>
      </w:divBdr>
    </w:div>
    <w:div w:id="1643460069">
      <w:marLeft w:val="0"/>
      <w:marRight w:val="0"/>
      <w:marTop w:val="0"/>
      <w:marBottom w:val="0"/>
      <w:divBdr>
        <w:top w:val="none" w:sz="0" w:space="0" w:color="auto"/>
        <w:left w:val="none" w:sz="0" w:space="0" w:color="auto"/>
        <w:bottom w:val="none" w:sz="0" w:space="0" w:color="auto"/>
        <w:right w:val="none" w:sz="0" w:space="0" w:color="auto"/>
      </w:divBdr>
    </w:div>
    <w:div w:id="1671518123">
      <w:marLeft w:val="0"/>
      <w:marRight w:val="0"/>
      <w:marTop w:val="0"/>
      <w:marBottom w:val="0"/>
      <w:divBdr>
        <w:top w:val="none" w:sz="0" w:space="0" w:color="auto"/>
        <w:left w:val="none" w:sz="0" w:space="0" w:color="auto"/>
        <w:bottom w:val="none" w:sz="0" w:space="0" w:color="auto"/>
        <w:right w:val="none" w:sz="0" w:space="0" w:color="auto"/>
      </w:divBdr>
    </w:div>
    <w:div w:id="1687099952">
      <w:marLeft w:val="0"/>
      <w:marRight w:val="0"/>
      <w:marTop w:val="0"/>
      <w:marBottom w:val="0"/>
      <w:divBdr>
        <w:top w:val="none" w:sz="0" w:space="0" w:color="auto"/>
        <w:left w:val="none" w:sz="0" w:space="0" w:color="auto"/>
        <w:bottom w:val="none" w:sz="0" w:space="0" w:color="auto"/>
        <w:right w:val="none" w:sz="0" w:space="0" w:color="auto"/>
      </w:divBdr>
    </w:div>
    <w:div w:id="1701734200">
      <w:marLeft w:val="0"/>
      <w:marRight w:val="0"/>
      <w:marTop w:val="0"/>
      <w:marBottom w:val="0"/>
      <w:divBdr>
        <w:top w:val="none" w:sz="0" w:space="0" w:color="auto"/>
        <w:left w:val="none" w:sz="0" w:space="0" w:color="auto"/>
        <w:bottom w:val="none" w:sz="0" w:space="0" w:color="auto"/>
        <w:right w:val="none" w:sz="0" w:space="0" w:color="auto"/>
      </w:divBdr>
    </w:div>
    <w:div w:id="1728216379">
      <w:marLeft w:val="480"/>
      <w:marRight w:val="0"/>
      <w:marTop w:val="0"/>
      <w:marBottom w:val="0"/>
      <w:divBdr>
        <w:top w:val="none" w:sz="0" w:space="0" w:color="auto"/>
        <w:left w:val="none" w:sz="0" w:space="0" w:color="auto"/>
        <w:bottom w:val="none" w:sz="0" w:space="0" w:color="auto"/>
        <w:right w:val="none" w:sz="0" w:space="0" w:color="auto"/>
      </w:divBdr>
    </w:div>
    <w:div w:id="1732314813">
      <w:marLeft w:val="0"/>
      <w:marRight w:val="0"/>
      <w:marTop w:val="0"/>
      <w:marBottom w:val="0"/>
      <w:divBdr>
        <w:top w:val="none" w:sz="0" w:space="0" w:color="auto"/>
        <w:left w:val="none" w:sz="0" w:space="0" w:color="auto"/>
        <w:bottom w:val="none" w:sz="0" w:space="0" w:color="auto"/>
        <w:right w:val="none" w:sz="0" w:space="0" w:color="auto"/>
      </w:divBdr>
    </w:div>
    <w:div w:id="1734498993">
      <w:marLeft w:val="0"/>
      <w:marRight w:val="0"/>
      <w:marTop w:val="0"/>
      <w:marBottom w:val="0"/>
      <w:divBdr>
        <w:top w:val="none" w:sz="0" w:space="0" w:color="auto"/>
        <w:left w:val="none" w:sz="0" w:space="0" w:color="auto"/>
        <w:bottom w:val="none" w:sz="0" w:space="0" w:color="auto"/>
        <w:right w:val="none" w:sz="0" w:space="0" w:color="auto"/>
      </w:divBdr>
    </w:div>
    <w:div w:id="1739747071">
      <w:marLeft w:val="0"/>
      <w:marRight w:val="0"/>
      <w:marTop w:val="0"/>
      <w:marBottom w:val="0"/>
      <w:divBdr>
        <w:top w:val="none" w:sz="0" w:space="0" w:color="auto"/>
        <w:left w:val="none" w:sz="0" w:space="0" w:color="auto"/>
        <w:bottom w:val="none" w:sz="0" w:space="0" w:color="auto"/>
        <w:right w:val="none" w:sz="0" w:space="0" w:color="auto"/>
      </w:divBdr>
    </w:div>
    <w:div w:id="1743988775">
      <w:marLeft w:val="0"/>
      <w:marRight w:val="0"/>
      <w:marTop w:val="0"/>
      <w:marBottom w:val="0"/>
      <w:divBdr>
        <w:top w:val="none" w:sz="0" w:space="0" w:color="auto"/>
        <w:left w:val="none" w:sz="0" w:space="0" w:color="auto"/>
        <w:bottom w:val="none" w:sz="0" w:space="0" w:color="auto"/>
        <w:right w:val="none" w:sz="0" w:space="0" w:color="auto"/>
      </w:divBdr>
    </w:div>
    <w:div w:id="1746681792">
      <w:marLeft w:val="0"/>
      <w:marRight w:val="0"/>
      <w:marTop w:val="0"/>
      <w:marBottom w:val="0"/>
      <w:divBdr>
        <w:top w:val="none" w:sz="0" w:space="0" w:color="auto"/>
        <w:left w:val="none" w:sz="0" w:space="0" w:color="auto"/>
        <w:bottom w:val="none" w:sz="0" w:space="0" w:color="auto"/>
        <w:right w:val="none" w:sz="0" w:space="0" w:color="auto"/>
      </w:divBdr>
    </w:div>
    <w:div w:id="1792359776">
      <w:marLeft w:val="0"/>
      <w:marRight w:val="0"/>
      <w:marTop w:val="0"/>
      <w:marBottom w:val="0"/>
      <w:divBdr>
        <w:top w:val="none" w:sz="0" w:space="0" w:color="auto"/>
        <w:left w:val="none" w:sz="0" w:space="0" w:color="auto"/>
        <w:bottom w:val="none" w:sz="0" w:space="0" w:color="auto"/>
        <w:right w:val="none" w:sz="0" w:space="0" w:color="auto"/>
      </w:divBdr>
    </w:div>
    <w:div w:id="1803769714">
      <w:marLeft w:val="0"/>
      <w:marRight w:val="0"/>
      <w:marTop w:val="0"/>
      <w:marBottom w:val="0"/>
      <w:divBdr>
        <w:top w:val="none" w:sz="0" w:space="0" w:color="auto"/>
        <w:left w:val="none" w:sz="0" w:space="0" w:color="auto"/>
        <w:bottom w:val="none" w:sz="0" w:space="0" w:color="auto"/>
        <w:right w:val="none" w:sz="0" w:space="0" w:color="auto"/>
      </w:divBdr>
    </w:div>
    <w:div w:id="1805807069">
      <w:marLeft w:val="480"/>
      <w:marRight w:val="0"/>
      <w:marTop w:val="0"/>
      <w:marBottom w:val="0"/>
      <w:divBdr>
        <w:top w:val="none" w:sz="0" w:space="0" w:color="auto"/>
        <w:left w:val="none" w:sz="0" w:space="0" w:color="auto"/>
        <w:bottom w:val="none" w:sz="0" w:space="0" w:color="auto"/>
        <w:right w:val="none" w:sz="0" w:space="0" w:color="auto"/>
      </w:divBdr>
    </w:div>
    <w:div w:id="1822841836">
      <w:marLeft w:val="0"/>
      <w:marRight w:val="0"/>
      <w:marTop w:val="0"/>
      <w:marBottom w:val="0"/>
      <w:divBdr>
        <w:top w:val="none" w:sz="0" w:space="0" w:color="auto"/>
        <w:left w:val="none" w:sz="0" w:space="0" w:color="auto"/>
        <w:bottom w:val="none" w:sz="0" w:space="0" w:color="auto"/>
        <w:right w:val="none" w:sz="0" w:space="0" w:color="auto"/>
      </w:divBdr>
    </w:div>
    <w:div w:id="1828090892">
      <w:marLeft w:val="480"/>
      <w:marRight w:val="0"/>
      <w:marTop w:val="0"/>
      <w:marBottom w:val="0"/>
      <w:divBdr>
        <w:top w:val="none" w:sz="0" w:space="0" w:color="auto"/>
        <w:left w:val="none" w:sz="0" w:space="0" w:color="auto"/>
        <w:bottom w:val="none" w:sz="0" w:space="0" w:color="auto"/>
        <w:right w:val="none" w:sz="0" w:space="0" w:color="auto"/>
      </w:divBdr>
    </w:div>
    <w:div w:id="1844011000">
      <w:marLeft w:val="0"/>
      <w:marRight w:val="0"/>
      <w:marTop w:val="0"/>
      <w:marBottom w:val="0"/>
      <w:divBdr>
        <w:top w:val="none" w:sz="0" w:space="0" w:color="auto"/>
        <w:left w:val="none" w:sz="0" w:space="0" w:color="auto"/>
        <w:bottom w:val="none" w:sz="0" w:space="0" w:color="auto"/>
        <w:right w:val="none" w:sz="0" w:space="0" w:color="auto"/>
      </w:divBdr>
    </w:div>
    <w:div w:id="1847555464">
      <w:marLeft w:val="0"/>
      <w:marRight w:val="0"/>
      <w:marTop w:val="0"/>
      <w:marBottom w:val="0"/>
      <w:divBdr>
        <w:top w:val="none" w:sz="0" w:space="0" w:color="auto"/>
        <w:left w:val="none" w:sz="0" w:space="0" w:color="auto"/>
        <w:bottom w:val="none" w:sz="0" w:space="0" w:color="auto"/>
        <w:right w:val="none" w:sz="0" w:space="0" w:color="auto"/>
      </w:divBdr>
    </w:div>
    <w:div w:id="1853183506">
      <w:marLeft w:val="480"/>
      <w:marRight w:val="0"/>
      <w:marTop w:val="0"/>
      <w:marBottom w:val="0"/>
      <w:divBdr>
        <w:top w:val="none" w:sz="0" w:space="0" w:color="auto"/>
        <w:left w:val="none" w:sz="0" w:space="0" w:color="auto"/>
        <w:bottom w:val="none" w:sz="0" w:space="0" w:color="auto"/>
        <w:right w:val="none" w:sz="0" w:space="0" w:color="auto"/>
      </w:divBdr>
    </w:div>
    <w:div w:id="1855679673">
      <w:marLeft w:val="0"/>
      <w:marRight w:val="0"/>
      <w:marTop w:val="0"/>
      <w:marBottom w:val="0"/>
      <w:divBdr>
        <w:top w:val="none" w:sz="0" w:space="0" w:color="auto"/>
        <w:left w:val="none" w:sz="0" w:space="0" w:color="auto"/>
        <w:bottom w:val="none" w:sz="0" w:space="0" w:color="auto"/>
        <w:right w:val="none" w:sz="0" w:space="0" w:color="auto"/>
      </w:divBdr>
    </w:div>
    <w:div w:id="1868135526">
      <w:marLeft w:val="480"/>
      <w:marRight w:val="0"/>
      <w:marTop w:val="0"/>
      <w:marBottom w:val="0"/>
      <w:divBdr>
        <w:top w:val="none" w:sz="0" w:space="0" w:color="auto"/>
        <w:left w:val="none" w:sz="0" w:space="0" w:color="auto"/>
        <w:bottom w:val="none" w:sz="0" w:space="0" w:color="auto"/>
        <w:right w:val="none" w:sz="0" w:space="0" w:color="auto"/>
      </w:divBdr>
    </w:div>
    <w:div w:id="1869638859">
      <w:marLeft w:val="0"/>
      <w:marRight w:val="0"/>
      <w:marTop w:val="0"/>
      <w:marBottom w:val="0"/>
      <w:divBdr>
        <w:top w:val="none" w:sz="0" w:space="0" w:color="auto"/>
        <w:left w:val="none" w:sz="0" w:space="0" w:color="auto"/>
        <w:bottom w:val="none" w:sz="0" w:space="0" w:color="auto"/>
        <w:right w:val="none" w:sz="0" w:space="0" w:color="auto"/>
      </w:divBdr>
    </w:div>
    <w:div w:id="1872299722">
      <w:marLeft w:val="480"/>
      <w:marRight w:val="0"/>
      <w:marTop w:val="0"/>
      <w:marBottom w:val="0"/>
      <w:divBdr>
        <w:top w:val="none" w:sz="0" w:space="0" w:color="auto"/>
        <w:left w:val="none" w:sz="0" w:space="0" w:color="auto"/>
        <w:bottom w:val="none" w:sz="0" w:space="0" w:color="auto"/>
        <w:right w:val="none" w:sz="0" w:space="0" w:color="auto"/>
      </w:divBdr>
    </w:div>
    <w:div w:id="1898584165">
      <w:marLeft w:val="480"/>
      <w:marRight w:val="0"/>
      <w:marTop w:val="0"/>
      <w:marBottom w:val="0"/>
      <w:divBdr>
        <w:top w:val="none" w:sz="0" w:space="0" w:color="auto"/>
        <w:left w:val="none" w:sz="0" w:space="0" w:color="auto"/>
        <w:bottom w:val="none" w:sz="0" w:space="0" w:color="auto"/>
        <w:right w:val="none" w:sz="0" w:space="0" w:color="auto"/>
      </w:divBdr>
    </w:div>
    <w:div w:id="1901213081">
      <w:marLeft w:val="0"/>
      <w:marRight w:val="0"/>
      <w:marTop w:val="0"/>
      <w:marBottom w:val="0"/>
      <w:divBdr>
        <w:top w:val="none" w:sz="0" w:space="0" w:color="auto"/>
        <w:left w:val="none" w:sz="0" w:space="0" w:color="auto"/>
        <w:bottom w:val="none" w:sz="0" w:space="0" w:color="auto"/>
        <w:right w:val="none" w:sz="0" w:space="0" w:color="auto"/>
      </w:divBdr>
    </w:div>
    <w:div w:id="1933931985">
      <w:marLeft w:val="0"/>
      <w:marRight w:val="0"/>
      <w:marTop w:val="0"/>
      <w:marBottom w:val="0"/>
      <w:divBdr>
        <w:top w:val="none" w:sz="0" w:space="0" w:color="auto"/>
        <w:left w:val="none" w:sz="0" w:space="0" w:color="auto"/>
        <w:bottom w:val="none" w:sz="0" w:space="0" w:color="auto"/>
        <w:right w:val="none" w:sz="0" w:space="0" w:color="auto"/>
      </w:divBdr>
    </w:div>
    <w:div w:id="1952667827">
      <w:marLeft w:val="0"/>
      <w:marRight w:val="0"/>
      <w:marTop w:val="0"/>
      <w:marBottom w:val="0"/>
      <w:divBdr>
        <w:top w:val="none" w:sz="0" w:space="0" w:color="auto"/>
        <w:left w:val="none" w:sz="0" w:space="0" w:color="auto"/>
        <w:bottom w:val="none" w:sz="0" w:space="0" w:color="auto"/>
        <w:right w:val="none" w:sz="0" w:space="0" w:color="auto"/>
      </w:divBdr>
    </w:div>
    <w:div w:id="1953319960">
      <w:marLeft w:val="0"/>
      <w:marRight w:val="0"/>
      <w:marTop w:val="0"/>
      <w:marBottom w:val="0"/>
      <w:divBdr>
        <w:top w:val="none" w:sz="0" w:space="0" w:color="auto"/>
        <w:left w:val="none" w:sz="0" w:space="0" w:color="auto"/>
        <w:bottom w:val="none" w:sz="0" w:space="0" w:color="auto"/>
        <w:right w:val="none" w:sz="0" w:space="0" w:color="auto"/>
      </w:divBdr>
    </w:div>
    <w:div w:id="1981181969">
      <w:marLeft w:val="0"/>
      <w:marRight w:val="0"/>
      <w:marTop w:val="0"/>
      <w:marBottom w:val="0"/>
      <w:divBdr>
        <w:top w:val="none" w:sz="0" w:space="0" w:color="auto"/>
        <w:left w:val="none" w:sz="0" w:space="0" w:color="auto"/>
        <w:bottom w:val="none" w:sz="0" w:space="0" w:color="auto"/>
        <w:right w:val="none" w:sz="0" w:space="0" w:color="auto"/>
      </w:divBdr>
    </w:div>
    <w:div w:id="1996300205">
      <w:marLeft w:val="0"/>
      <w:marRight w:val="0"/>
      <w:marTop w:val="0"/>
      <w:marBottom w:val="0"/>
      <w:divBdr>
        <w:top w:val="none" w:sz="0" w:space="0" w:color="auto"/>
        <w:left w:val="none" w:sz="0" w:space="0" w:color="auto"/>
        <w:bottom w:val="none" w:sz="0" w:space="0" w:color="auto"/>
        <w:right w:val="none" w:sz="0" w:space="0" w:color="auto"/>
      </w:divBdr>
    </w:div>
    <w:div w:id="2015496668">
      <w:marLeft w:val="480"/>
      <w:marRight w:val="0"/>
      <w:marTop w:val="0"/>
      <w:marBottom w:val="0"/>
      <w:divBdr>
        <w:top w:val="none" w:sz="0" w:space="0" w:color="auto"/>
        <w:left w:val="none" w:sz="0" w:space="0" w:color="auto"/>
        <w:bottom w:val="none" w:sz="0" w:space="0" w:color="auto"/>
        <w:right w:val="none" w:sz="0" w:space="0" w:color="auto"/>
      </w:divBdr>
    </w:div>
    <w:div w:id="2025746575">
      <w:marLeft w:val="0"/>
      <w:marRight w:val="0"/>
      <w:marTop w:val="0"/>
      <w:marBottom w:val="0"/>
      <w:divBdr>
        <w:top w:val="none" w:sz="0" w:space="0" w:color="auto"/>
        <w:left w:val="none" w:sz="0" w:space="0" w:color="auto"/>
        <w:bottom w:val="none" w:sz="0" w:space="0" w:color="auto"/>
        <w:right w:val="none" w:sz="0" w:space="0" w:color="auto"/>
      </w:divBdr>
    </w:div>
    <w:div w:id="2031174331">
      <w:marLeft w:val="0"/>
      <w:marRight w:val="0"/>
      <w:marTop w:val="0"/>
      <w:marBottom w:val="0"/>
      <w:divBdr>
        <w:top w:val="none" w:sz="0" w:space="0" w:color="auto"/>
        <w:left w:val="none" w:sz="0" w:space="0" w:color="auto"/>
        <w:bottom w:val="none" w:sz="0" w:space="0" w:color="auto"/>
        <w:right w:val="none" w:sz="0" w:space="0" w:color="auto"/>
      </w:divBdr>
    </w:div>
    <w:div w:id="2035962430">
      <w:marLeft w:val="480"/>
      <w:marRight w:val="0"/>
      <w:marTop w:val="0"/>
      <w:marBottom w:val="0"/>
      <w:divBdr>
        <w:top w:val="none" w:sz="0" w:space="0" w:color="auto"/>
        <w:left w:val="none" w:sz="0" w:space="0" w:color="auto"/>
        <w:bottom w:val="none" w:sz="0" w:space="0" w:color="auto"/>
        <w:right w:val="none" w:sz="0" w:space="0" w:color="auto"/>
      </w:divBdr>
    </w:div>
    <w:div w:id="2042591086">
      <w:marLeft w:val="0"/>
      <w:marRight w:val="0"/>
      <w:marTop w:val="0"/>
      <w:marBottom w:val="0"/>
      <w:divBdr>
        <w:top w:val="none" w:sz="0" w:space="0" w:color="auto"/>
        <w:left w:val="none" w:sz="0" w:space="0" w:color="auto"/>
        <w:bottom w:val="none" w:sz="0" w:space="0" w:color="auto"/>
        <w:right w:val="none" w:sz="0" w:space="0" w:color="auto"/>
      </w:divBdr>
    </w:div>
    <w:div w:id="2083261076">
      <w:marLeft w:val="0"/>
      <w:marRight w:val="0"/>
      <w:marTop w:val="0"/>
      <w:marBottom w:val="0"/>
      <w:divBdr>
        <w:top w:val="none" w:sz="0" w:space="0" w:color="auto"/>
        <w:left w:val="none" w:sz="0" w:space="0" w:color="auto"/>
        <w:bottom w:val="none" w:sz="0" w:space="0" w:color="auto"/>
        <w:right w:val="none" w:sz="0" w:space="0" w:color="auto"/>
      </w:divBdr>
    </w:div>
    <w:div w:id="2102220887">
      <w:marLeft w:val="480"/>
      <w:marRight w:val="0"/>
      <w:marTop w:val="0"/>
      <w:marBottom w:val="0"/>
      <w:divBdr>
        <w:top w:val="none" w:sz="0" w:space="0" w:color="auto"/>
        <w:left w:val="none" w:sz="0" w:space="0" w:color="auto"/>
        <w:bottom w:val="none" w:sz="0" w:space="0" w:color="auto"/>
        <w:right w:val="none" w:sz="0" w:space="0" w:color="auto"/>
      </w:divBdr>
    </w:div>
    <w:div w:id="2114011972">
      <w:marLeft w:val="0"/>
      <w:marRight w:val="0"/>
      <w:marTop w:val="0"/>
      <w:marBottom w:val="0"/>
      <w:divBdr>
        <w:top w:val="none" w:sz="0" w:space="0" w:color="auto"/>
        <w:left w:val="none" w:sz="0" w:space="0" w:color="auto"/>
        <w:bottom w:val="none" w:sz="0" w:space="0" w:color="auto"/>
        <w:right w:val="none" w:sz="0" w:space="0" w:color="auto"/>
      </w:divBdr>
    </w:div>
    <w:div w:id="2119062477">
      <w:marLeft w:val="0"/>
      <w:marRight w:val="0"/>
      <w:marTop w:val="0"/>
      <w:marBottom w:val="0"/>
      <w:divBdr>
        <w:top w:val="none" w:sz="0" w:space="0" w:color="auto"/>
        <w:left w:val="none" w:sz="0" w:space="0" w:color="auto"/>
        <w:bottom w:val="none" w:sz="0" w:space="0" w:color="auto"/>
        <w:right w:val="none" w:sz="0" w:space="0" w:color="auto"/>
      </w:divBdr>
    </w:div>
    <w:div w:id="2119370837">
      <w:marLeft w:val="480"/>
      <w:marRight w:val="0"/>
      <w:marTop w:val="0"/>
      <w:marBottom w:val="0"/>
      <w:divBdr>
        <w:top w:val="none" w:sz="0" w:space="0" w:color="auto"/>
        <w:left w:val="none" w:sz="0" w:space="0" w:color="auto"/>
        <w:bottom w:val="none" w:sz="0" w:space="0" w:color="auto"/>
        <w:right w:val="none" w:sz="0" w:space="0" w:color="auto"/>
      </w:divBdr>
    </w:div>
    <w:div w:id="2119909539">
      <w:marLeft w:val="480"/>
      <w:marRight w:val="0"/>
      <w:marTop w:val="0"/>
      <w:marBottom w:val="0"/>
      <w:divBdr>
        <w:top w:val="none" w:sz="0" w:space="0" w:color="auto"/>
        <w:left w:val="none" w:sz="0" w:space="0" w:color="auto"/>
        <w:bottom w:val="none" w:sz="0" w:space="0" w:color="auto"/>
        <w:right w:val="none" w:sz="0" w:space="0" w:color="auto"/>
      </w:divBdr>
    </w:div>
    <w:div w:id="2120679791">
      <w:marLeft w:val="0"/>
      <w:marRight w:val="0"/>
      <w:marTop w:val="0"/>
      <w:marBottom w:val="0"/>
      <w:divBdr>
        <w:top w:val="none" w:sz="0" w:space="0" w:color="auto"/>
        <w:left w:val="none" w:sz="0" w:space="0" w:color="auto"/>
        <w:bottom w:val="none" w:sz="0" w:space="0" w:color="auto"/>
        <w:right w:val="none" w:sz="0" w:space="0" w:color="auto"/>
      </w:divBdr>
    </w:div>
    <w:div w:id="213818496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C09855F-43C1-41E9-BC74-05E33F610BF3}"/>
      </w:docPartPr>
      <w:docPartBody>
        <w:p w:rsidR="001D6231" w:rsidRDefault="0079452A">
          <w:r w:rsidRPr="0092371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52A"/>
    <w:rsid w:val="00020CDF"/>
    <w:rsid w:val="000420A8"/>
    <w:rsid w:val="0008405E"/>
    <w:rsid w:val="000E5D60"/>
    <w:rsid w:val="00110EB9"/>
    <w:rsid w:val="001374F0"/>
    <w:rsid w:val="00153B4A"/>
    <w:rsid w:val="001D6231"/>
    <w:rsid w:val="0023455F"/>
    <w:rsid w:val="00386D5F"/>
    <w:rsid w:val="00427E41"/>
    <w:rsid w:val="00482C80"/>
    <w:rsid w:val="00490D4F"/>
    <w:rsid w:val="006338E3"/>
    <w:rsid w:val="00654E34"/>
    <w:rsid w:val="00696409"/>
    <w:rsid w:val="0079452A"/>
    <w:rsid w:val="007C7166"/>
    <w:rsid w:val="007D2A8F"/>
    <w:rsid w:val="008012C1"/>
    <w:rsid w:val="008A7202"/>
    <w:rsid w:val="008C5E19"/>
    <w:rsid w:val="00952DAC"/>
    <w:rsid w:val="00972D4A"/>
    <w:rsid w:val="009B0DBC"/>
    <w:rsid w:val="009C3043"/>
    <w:rsid w:val="009E38E4"/>
    <w:rsid w:val="00A046DF"/>
    <w:rsid w:val="00A95923"/>
    <w:rsid w:val="00B50317"/>
    <w:rsid w:val="00BD7BB0"/>
    <w:rsid w:val="00C2341F"/>
    <w:rsid w:val="00C44E57"/>
    <w:rsid w:val="00D6603D"/>
    <w:rsid w:val="00D675D8"/>
    <w:rsid w:val="00D74C50"/>
    <w:rsid w:val="00E93409"/>
    <w:rsid w:val="00F16DB2"/>
    <w:rsid w:val="00F41E21"/>
    <w:rsid w:val="00FF75D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6D5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 dockstate="right" visibility="0" width="438"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5D24F620-F667-4245-ABEA-0B7F0B4E61EF}">
  <we:reference id="WA200000368" version="1.0.0.0" store="Omex" storeType="OMEX"/>
  <we:alternateReferences>
    <we:reference id="WA200000368" version="1.0.0.0" store="WA200000368" storeType="OMEX"/>
  </we:alternateReferences>
  <we:properties>
    <we:property name="documentId" value="&quot;542c25aa604dacdc&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F0EA5098-4787-40CE-9F91-2BD5A8A8DCE1}">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79604902164"/>
    <we:property name="MENDELEY_CITATIONS" value="[{&quot;citationID&quot;:&quot;MENDELEY_CITATION_2fc9fdaf-3541-42ae-8ba9-178e9c739c23&quot;,&quot;properties&quot;:{&quot;noteIndex&quot;:0},&quot;isEdited&quot;:false,&quot;manualOverride&quot;:{&quot;isManuallyOverridden&quot;:false,&quot;citeprocText&quot;:&quot;(Forth, Hollberg and Borrmann, 2023; Kumar &lt;i&gt;et al.&lt;/i&gt;, 2025)&quot;,&quot;manualOverrideText&quot;:&quot;&quot;},&quot;citationTag&quot;:&quot;MENDELEY_CITATION_v3_eyJjaXRhdGlvbklEIjoiTUVOREVMRVlfQ0lUQVRJT05fMmZjOWZkYWYtMzU0MS00MmFlLThiYTktMTc4ZTljNzM5YzIzIiwicHJvcGVydGllcyI6eyJub3RlSW5kZXgiOjB9LCJpc0VkaXRlZCI6ZmFsc2UsIm1hbnVhbE92ZXJyaWRlIjp7ImlzTWFudWFsbHlPdmVycmlkZGVuIjpmYWxzZSwiY2l0ZXByb2NUZXh0IjoiKEZvcnRoLCBIb2xsYmVyZyBhbmQgQm9ycm1hbm4sIDIwMjM7IEt1bWFyIDxpPmV0IGFsLjwvaT4sIDIwMjUpIiwibWFudWFsT3ZlcnJpZGVUZXh0IjoiIn0sImNpdGF0aW9uSXRlbXMiOlt7ImlkIjoiOWVhMWQwYzAtNzY4Yy0zMzBmLWIxZDQtMGYyOTNkZGRjOWYzIiwiaXRlbURhdGEiOnsidHlwZSI6ImFydGljbGUtam91cm5hbCIsImlkIjoiOWVhMWQwYzAtNzY4Yy0zMzBmLWIxZDQtMGYyOTNkZGRjOWYzIiwidGl0bGUiOiJCSU00RWFybHlMQ0E6IEFuIGludGVyYWN0aXZlIHZpc3VhbGl6YXRpb24gYXBwcm9hY2ggZm9yIGVhcmx5IGRlc2lnbiBzdXBwb3J0IGJhc2VkIG9uIHVuY2VydGFpbiBMQ0EgcmVzdWx0cyB1c2luZyBvcGVuIEJJTSIsImF1dGhvciI6W3siZmFtaWx5IjoiRm9ydGgiLCJnaXZlbiI6Ikthc2ltaXIiLCJwYXJzZS1uYW1lcyI6ZmFsc2UsImRyb3BwaW5nLXBhcnRpY2xlIjoiIiwibm9uLWRyb3BwaW5nLXBhcnRpY2xlIjoiIn0seyJmYW1pbHkiOiJIb2xsYmVyZyIsImdpdmVuIjoiQWxleGFuZGVyIiwicGFyc2UtbmFtZXMiOmZhbHNlLCJkcm9wcGluZy1wYXJ0aWNsZSI6IiIsIm5vbi1kcm9wcGluZy1wYXJ0aWNsZSI6IiJ9LHsiZmFtaWx5IjoiQm9ycm1hbm4iLCJnaXZlbiI6IkFuZHLDqSIsInBhcnNlLW5hbWVzIjpmYWxzZSwiZHJvcHBpbmctcGFydGljbGUiOiIiLCJub24tZHJvcHBpbmctcGFydGljbGUiOiIifV0sImNvbnRhaW5lci10aXRsZSI6IkRldmVsb3BtZW50cyBpbiB0aGUgQnVpbHQgRW52aXJvbm1lbnQiLCJET0kiOiIxMC4xMDE2L2ouZGliZS4yMDIzLjEwMDI2MyIsIklTU04iOiIyNjY2MTY1OSIsImlzc3VlZCI6eyJkYXRlLXBhcnRzIjpbWzIwMjMsMTIsMV1dfSwiYWJzdHJhY3QiOiJUbyBtZWV0IHRoZSBFdXJvcGVhbiBjbGltYXRlIGdvYWxzIGluIHRoZSBidWlsZGluZyBzZWN0b3IsIGEgaG9saXN0aWMgb3B0aW1pemF0aW9uIG9mIGVtYm9kaWVkIGdyZWVuaG91c2UgZ2FzIChHSEcpIGVtaXNzaW9ucyB1c2luZyB0aGUgbWV0aG9kIG9mIGxpZmUgY3ljbGUgYXNzZXNzbWVudHMgKExDQSkgYXJlIG5lY2Vzc2FyeS4gVGhlIGVhcmx5IGRlc2lnbiBzdGFnZXMgaGF2ZSBoaWdoIGltcGFjdCBvbiB0aGUgZmluYWwgcGVyZm9ybWFuY2Ugb2YgdGhlIGJ1aWxkaW5ncyBhbmQgYXJlIGNoYXJhY3Rlcml6ZWQgYnkgaGlnaCB1bmNlcnRhaW50eSBkdWUgdG8gdGhlIGxhY2sgb2YgaW5mb3JtYXRpb24gYW5kIG5vdCB5ZXQgdGFrZW4gZGVjaXNpb25zLiBGdXJ0aGVybW9yZSwgbW9zdCBjdXJyZW50IExDQSBhcHByb2FjaGVzIGJhc2VkIG9uIEJ1aWxkaW5nIEluZm9ybWF0aW9uIE1vZGVscyAoQklNKSByZXF1aXJlIGhpZ2ggZXhwZXJ0aXNlIGFuZCBleHBlcmllbmNlIGluIGJvdGggQklNIGFuZCBMQ0EgYW5kIGRvIG5vdCBmb2xsb3cgYW4gaW50dWl0aXZlIHZpc3VhbGl6YXRpb24gYXBwcm9hY2ggZm9yIG90aGVyIHN0YWtlaG9sZGVycyBhbmQgbm9uLWV4cGVydHMuIFRoaXMgcGFwZXIgcHJlc2VudHMgYSBub3ZlbCBkZXNpZ24tZGVjaXNpb24tbWFraW5nIGFwcHJvYWNoIGZvciByZWR1Y2luZyBlbWJvZGllZCBHSEcgZW1pc3Npb25zIGJ5IGludGVyYWN0aXZlLCBtb2RlbC1iYXNlZCB2aXN1YWxpemF0aW9ucyBvZiB1bmNlcnRhaW4gTENBIHJlc3VsdHMuIFRoZSBwcm9wb3NlZCB3b3JrZmxvdyBpcyBiYXNlZCBvbiBvcGVuIEJJTSBkYXRhIGZvcm1hdHMsIHN1Y2ggYXMgSW5kdXN0cnkgRm91bmRhdGlvbiBDbGFzc2VzIChJRkMpIGFuZCBCSU0gQ29sbGFib3JhdGlvbiBGb3JtYXQgKEJDRiksIGFuZCBpcyBkZXZlbG9wZWQgZm9yIGRlY2lzaW9uIHN1cHBvcnQgZm9yIG5vbi1MQ0EgZXhwZXJ0cyBpbiB0aGUgZWFybHkgZGVzaWduIHN0YWdlcy4gV2l0aCB0aGUgaGVscCBvZiBhIHVzZXIgc3R1ZHksIHRoZSBwcm90b3R5cGljYWwgaW1wbGVtZW50YXRpb24gaXMgdGVzdGVkIGJ5IDEwMyBwYXJ0aWNpcGFudHMgd2l0aCBkaWZmZXJlbnQgbGV2ZWxzIG9mIGV4cGVyaWVuY2UgaW4gQklNIGFuZCBMQ0EgYmFzZWQgb24gYSBjYXNlIHN0dWR5LiBXZSBldmFsdWF0ZSB0aGUgcHJvcG9zZWQgYXBwcm9hY2ggcmVnYXJkaW5nIHRoZSBzdXBwb3J0IG9mIG9wZW4gQklNIGRhdGEgZm9ybWF0cywgZGlmZmVyZW50IExDQSB2aXN1YWxpemF0aW9uIHN0cmF0ZWdpZXMsIGFuZCB0aGUgaW50dWl0aXZlbmVzcyBvZiBkaWZmZXJlbnQgYXBwcm9hY2hlcyB0byB2aXN1YWxpemluZyB1bmNlcnRhaW4gTENBIHJlc3VsdHMuIFRoZSB1c2VyIHN0dWR5IHJlc3VsdHMgc2hvdyBhIGJyb2FkIGFjY2VwdGFuY2UgYW5kIG5lZWQgZm9yIG9wZW4gQklNIGRhdGEgZm9ybWF0cyBhbmQgbW9kZWwtYmFzZWQgTENBIHZpc3VhbGl6YXRpb24gYnV0IGxlc3MgZm9yIHZpc3VhbGl6aW5nIHVuY2VydGFpbnRpZXMsIHdoaWNoIG5lZWRzIGZ1cnRoZXIgcmVzZWFyY2guIEluIGNvbmNsdXNpb24sIHRoaXMgaW50ZXJhY3RpdmUsIG1vZGVsLWJhc2VkIHZpc3VhbGl6YXRpb24gYXBwcm9hY2ggdXNpbmcgY29sb3IgY29kaW5nIHN1cHBvcnRzIG5vbi1MQ0EgZXhwZXJ0cyBpbiB0aGUgZGVzaWduIGRlY2lzaW9uLW1ha2luZyBwcm9jZXNzIGluIGVhcmx5IGRlc2lnbiBzdGFnZXMuIiwicHVibGlzaGVyIjoiRWxzZXZpZXIgTHRkIiwidm9sdW1lIjoiMTYiLCJjb250YWluZXItdGl0bGUtc2hvcnQiOiIifSwiaXNUZW1wb3JhcnkiOmZhbHNlfSx7ImlkIjoiOWFhNjRiMTktMzJkMi0zYWIyLTk4ODYtMjg5OTQ2MTI1ODIzIiwiaXRlbURhdGEiOnsidHlwZSI6ImFydGljbGUtam91cm5hbCIsImlkIjoiOWFhNjRiMTktMzJkMi0zYWIyLTk4ODYtMjg5OTQ2MTI1ODIzIiwidGl0bGUiOiJBIFdob2xlLUxpZmUgQ2FyYm9uIEFzc2Vzc21lbnQgb2YgYSBTaW5nbGUtRmFtaWx5IEhvdXNlIGluIE5vcnRoIEluZGlhIFVzaW5nIEJJTS1MQ0EgSW50ZWdyYXRpb24iLCJhdXRob3IiOlt7ImZhbWlseSI6Ikt1bWFyIiwiZ2l2ZW4iOiJEZWVwYWsiLCJwYXJzZS1uYW1lcyI6ZmFsc2UsImRyb3BwaW5nLXBhcnRpY2xlIjoiIiwibm9uLWRyb3BwaW5nLXBhcnRpY2xlIjoiIn0seyJmYW1pbHkiOiJNYXVyeWEiLCJnaXZlbiI6IktyYW50aSBLdW1hciIsInBhcnNlLW5hbWVzIjpmYWxzZSwiZHJvcHBpbmctcGFydGljbGUiOiIiLCJub24tZHJvcHBpbmctcGFydGljbGUiOiIifSx7ImZhbWlseSI6Ik1hbmRhbCIsImdpdmVuIjoiU2hhaWxlbmRyYSBLLiIsInBhcnNlLW5hbWVzIjpmYWxzZSwiZHJvcHBpbmctcGFydGljbGUiOiIiLCJub24tZHJvcHBpbmctcGFydGljbGUiOiIifSx7ImZhbWlseSI6IkhhbGRlciIsImdpdmVuIjoiTmFuZGluaSIsInBhcnNlLW5hbWVzIjpmYWxzZSwiZHJvcHBpbmctcGFydGljbGUiOiIiLCJub24tZHJvcHBpbmctcGFydGljbGUiOiIifSx7ImZhbWlseSI6Ik1pciIsImdpdmVuIjoiQmFzaXQgQWZhcSIsInBhcnNlLW5hbWVzIjpmYWxzZSwiZHJvcHBpbmctcGFydGljbGUiOiIiLCJub24tZHJvcHBpbmctcGFydGljbGUiOiIifSx7ImZhbWlseSI6Ik51cmRpYXdhdGkiLCJnaXZlbiI6IkFuaXNzYSIsInBhcnNlLW5hbWVzIjpmYWxzZSwiZHJvcHBpbmctcGFydGljbGUiOiIiLCJub24tZHJvcHBpbmctcGFydGljbGUiOiIifSx7ImZhbWlseSI6IkFsLUdoYW1kaSIsImdpdmVuIjoiU2FtaSBHLiIsInBhcnNlLW5hbWVzIjpmYWxzZSwiZHJvcHBpbmctcGFydGljbGUiOiIiLCJub24tZHJvcHBpbmctcGFydGljbGUiOiIifV0sImNvbnRhaW5lci10aXRsZSI6IkJ1aWxkaW5ncyIsIkRPSSI6IjEwLjMzOTAvYnVpbGRpbmdzMTUxMzIxOTUiLCJJU1NOIjoiMjA3NTUzMDkiLCJpc3N1ZWQiOnsiZGF0ZS1wYXJ0cyI6W1syMDI1LDcsMV1dfSwiYWJzdHJhY3QiOiJBcyB0aGUgcG9wdWxhdGlvbiBpbmNyZWFzZXMsIHRoZSBncm93aW5nIGRlbWFuZCBmb3IgcmVzaWRlbnRpYWwgaG91c2luZyBlc2NhbGF0ZXMgY29uc3RydWN0aW9uIGFjdGl2aXRpZXMsIHNpZ25pZmljYW50bHkgaW1wYWN0aW5nIGdsb2JhbCB3YXJtaW5nIGJ5IGNvbnRyaWJ1dGluZyA0MiUgb2YgcHJpbWFyeSBlbmVyZ3kgdXNlIGFuZCAzOSUgb2YgZ2xvYmFsIGdyZWVuaG91c2UgZ2FzIChHSEcpIGVtaXNzaW9ucy4gVGhpcyBzdHVkeSBhZGRyZXNzZXMgYSBnYXAgaW4gcmVzZWFyY2ggb24gbGlmZWN5Y2xlIGFzc2Vzc21lbnQgKExDQSkgZm9yIEluZGlhbiByZXNpZGVudGlhbCBidWlsZGluZ3MgYnkgZXZhbHVhdGluZyB0aGUgZnVsbCBjcmFkbGUtdG8tZ3JhdmUgY2FyYm9uIGZvb3RwcmludCBvZiBhIHR5cGljYWwgc2luZ2xlLWZhbWlseSBob3VzZSBpbiBOb3J0aGVybiBJbmRpYS4gQSBCSU0tYmFzZWQgTENBIGZyYW1ld29yayB3YXMgYXBwbGllZCB0byBhIDExMCBtMiBzaW5nbGUtZmFtaWx5IGR3ZWxsaW5nIG92ZXIgYSA2MC15ZWFyIGxpZmUgc3Bhbi4gT3BlcmF0aW9uYWwgdXNlIHBlcmZvcm1hbmNlIGFuZCBjbGltYXRlIGFuYWx5c2lzIHdhcyBldmFsdWF0ZWQgdmlhIGNvdmUgdG9vbC4gVGhlIHRvdGFsIGNhcmJvbiBmb290cHJpbnQgb3ZlciBhIDYwLXllYXIgbGlmZXNwYW4gd2FzIGFwcHJveGltYXRlbHkgNTg4NCBrZyBDTzJlLCB3aXRoIG9wZXJhdGlvbmFsIGVuZXJneSB1c2UgYWNjb3VudGluZyBmb3IgYWJvdXQgODclIGFuZCBlbWJvZGllZCBjYXJib24gYXBwcm94aW1hdGVseSAxMSUuIEFkZGl0aW9uYWwgaW1wYWN0cyBjYW1lIGZyb20gbWFpbnRlbmFuY2UgYW5kIHJlcGxhY2VtZW50cy4gRW5lcmd5IHVzYWdlIHdhcyBjYWxjdWxhdGVkIGFzIDcxLjc2IGtXaC9tMi95ZWFyIGFuZCB3YXRlciB1c2FnZSBhcyAyMzIuMiBtMy95ZWFyLiBFbmVyZ3kgY29uc3VtcHRpb24gd2FzIHRoZSBiaWdnZXN0IGRyaXZlciBvZiBlbWlzc2lvbnMsIGJ1dCBzdWJzdGFudGlhbCBpbXBhY3RzIGFsc28gc3RlbW1lZCBmcm9tIG1hdGVyaWFsIHByb2R1Y3Rpb24uIENlbWVudC1iYXNlZCBjb21wb25lbnRzIGFuZCBzdGVlbCB3ZXJlIHRoZSBsYXJnZXN0IGVtYm9kaWVkIGNhcmJvbiBjb250cmlidXRvcnMuIFVuZGVyIHRoZSBidXNpbmVzcy1hcy11c3VhbCAoQkFVKSBzY2VuYXJpbywgdGhlIG9wZXJhdGlvbmFsIGVtaXNzaW9ucyByZWFjaCBhcHByb3hpbWF0ZWx5IDY2OCwwMDAga2cgQ08yZSB3aXRoIEhWQUMgYW5kIDQ4MiwwMDAga2cgQ08yZSB3aXRob3V0IEhWQUMuIFRoZSBmaW5kaW5ncyBoaWdobGlnaHQgdGhlIG5lY2Vzc2l0eSBvZiBpbnRlZ3JhdGluZyBlbWJvZGllZCBjYXJib24gY29uc2lkZXJhdGlvbnMgYWxvbmdzaWRlIG9wZXJhdGlvbmFsIGVuZXJneSBlZmZpY2llbmN5IGluIEluZGlh4oCZcyBidWlsZGluZyBjb2RlcywgZW1waGFzaXppbmcgcmVkdWN0aW9ucyBpbiBlbmVyZ3kgY29uc3VtcHRpb24gYW5kIHRoZSBhZG9wdGlvbiBvZiBsb3ctY2FyYm9uIG1hdGVyaWFscyB0byBtaXRpZ2F0ZSB0aGUgZW52aXJvbm1lbnRhbCBpbXBhY3Qgb2YgcmVzaWRlbnRpYWwgYnVpbGRpbmdzLiBGdXR1cmUgd29yayBzaG91bGQgZm9jdXMgb24gdGhlIGR5bmFtaWMgbW9kZWxpbmcgb2YgZWxlY3RyaWNpdHkgZGVjYXJib25pemF0aW9uLCBpbXByb3ZlZCByZWdpb25hbCBkYXRhc2V0cywgYW5kIHNjZW5hcmlvLWJhc2VkIExDQSB0byBiZXR0ZXIgc3VwcG9ydCBJbmRpYeKAmXMgdHJhbnNpdGlvbiB0byBuZXQtemVybyBlbWlzc2lvbnMgYnkgMjA3MC4iLCJwdWJsaXNoZXIiOiJNdWx0aWRpc2NpcGxpbmFyeSBEaWdpdGFsIFB1Ymxpc2hpbmcgSW5zdGl0dXRlIChNRFBJKSIsImlzc3VlIjoiMTMiLCJ2b2x1bWUiOiIxNSIsImNvbnRhaW5lci10aXRsZS1zaG9ydCI6IiJ9LCJpc1RlbXBvcmFyeSI6ZmFsc2V9XX0=&quot;,&quot;citationItems&quot;:[{&quot;id&quot;:&quot;9ea1d0c0-768c-330f-b1d4-0f293dddc9f3&quot;,&quot;itemData&quot;:{&quot;type&quot;:&quot;article-journal&quot;,&quot;id&quot;:&quot;9ea1d0c0-768c-330f-b1d4-0f293dddc9f3&quot;,&quot;title&quot;:&quot;BIM4EarlyLCA: An interactive visualization approach for early design support based on uncertain LCA results using open BIM&quot;,&quot;author&quot;:[{&quot;family&quot;:&quot;Forth&quot;,&quot;given&quot;:&quot;Kasimir&quot;,&quot;parse-names&quot;:false,&quot;dropping-particle&quot;:&quot;&quot;,&quot;non-dropping-particle&quot;:&quot;&quot;},{&quot;family&quot;:&quot;Hollberg&quot;,&quot;given&quot;:&quot;Alexander&quot;,&quot;parse-names&quot;:false,&quot;dropping-particle&quot;:&quot;&quot;,&quot;non-dropping-particle&quot;:&quot;&quot;},{&quot;family&quot;:&quot;Borrmann&quot;,&quot;given&quot;:&quot;André&quot;,&quot;parse-names&quot;:false,&quot;dropping-particle&quot;:&quot;&quot;,&quot;non-dropping-particle&quot;:&quot;&quot;}],&quot;container-title&quot;:&quot;Developments in the Built Environment&quot;,&quot;DOI&quot;:&quot;10.1016/j.dibe.2023.100263&quot;,&quot;ISSN&quot;:&quot;26661659&quot;,&quot;issued&quot;:{&quot;date-parts&quot;:[[2023,12,1]]},&quot;abstract&quot;:&quot;To meet the European climate goals in the building sector, a holistic optimization of embodied greenhouse gas (GHG) emissions using the method of life cycle assessments (LCA) are necessary. The early design stages have high impact on the final performance of the buildings and are characterized by high uncertainty due to the lack of information and not yet taken decisions. Furthermore, most current LCA approaches based on Building Information Models (BIM) require high expertise and experience in both BIM and LCA and do not follow an intuitive visualization approach for other stakeholders and non-experts. This paper presents a novel design-decision-making approach for reducing embodied GHG emissions by interactive, model-based visualizations of uncertain LCA results. The proposed workflow is based on open BIM data formats, such as Industry Foundation Classes (IFC) and BIM Collaboration Format (BCF), and is developed for decision support for non-LCA experts in the early design stages. With the help of a user study, the prototypical implementation is tested by 103 participants with different levels of experience in BIM and LCA based on a case study. We evaluate the proposed approach regarding the support of open BIM data formats, different LCA visualization strategies, and the intuitiveness of different approaches to visualizing uncertain LCA results. The user study results show a broad acceptance and need for open BIM data formats and model-based LCA visualization but less for visualizing uncertainties, which needs further research. In conclusion, this interactive, model-based visualization approach using color coding supports non-LCA experts in the design decision-making process in early design stages.&quot;,&quot;publisher&quot;:&quot;Elsevier Ltd&quot;,&quot;volume&quot;:&quot;16&quot;,&quot;container-title-short&quot;:&quot;&quot;},&quot;isTemporary&quot;:false},{&quot;id&quot;:&quot;9aa64b19-32d2-3ab2-9886-289946125823&quot;,&quot;itemData&quot;:{&quot;type&quot;:&quot;article-journal&quot;,&quot;id&quot;:&quot;9aa64b19-32d2-3ab2-9886-289946125823&quot;,&quot;title&quot;:&quot;A Whole-Life Carbon Assessment of a Single-Family House in North India Using BIM-LCA Integration&quot;,&quot;author&quot;:[{&quot;family&quot;:&quot;Kumar&quot;,&quot;given&quot;:&quot;Deepak&quot;,&quot;parse-names&quot;:false,&quot;dropping-particle&quot;:&quot;&quot;,&quot;non-dropping-particle&quot;:&quot;&quot;},{&quot;family&quot;:&quot;Maurya&quot;,&quot;given&quot;:&quot;Kranti Kumar&quot;,&quot;parse-names&quot;:false,&quot;dropping-particle&quot;:&quot;&quot;,&quot;non-dropping-particle&quot;:&quot;&quot;},{&quot;family&quot;:&quot;Mandal&quot;,&quot;given&quot;:&quot;Shailendra K.&quot;,&quot;parse-names&quot;:false,&quot;dropping-particle&quot;:&quot;&quot;,&quot;non-dropping-particle&quot;:&quot;&quot;},{&quot;family&quot;:&quot;Halder&quot;,&quot;given&quot;:&quot;Nandini&quot;,&quot;parse-names&quot;:false,&quot;dropping-particle&quot;:&quot;&quot;,&quot;non-dropping-particle&quot;:&quot;&quot;},{&quot;family&quot;:&quot;Mir&quot;,&quot;given&quot;:&quot;Basit Afaq&quot;,&quot;parse-names&quot;:false,&quot;dropping-particle&quot;:&quot;&quot;,&quot;non-dropping-particle&quot;:&quot;&quot;},{&quot;family&quot;:&quot;Nurdiawati&quot;,&quot;given&quot;:&quot;Anissa&quot;,&quot;parse-names&quot;:false,&quot;dropping-particle&quot;:&quot;&quot;,&quot;non-dropping-particle&quot;:&quot;&quot;},{&quot;family&quot;:&quot;Al-Ghamdi&quot;,&quot;given&quot;:&quot;Sami G.&quot;,&quot;parse-names&quot;:false,&quot;dropping-particle&quot;:&quot;&quot;,&quot;non-dropping-particle&quot;:&quot;&quot;}],&quot;container-title&quot;:&quot;Buildings&quot;,&quot;DOI&quot;:&quot;10.3390/buildings15132195&quot;,&quot;ISSN&quot;:&quot;20755309&quot;,&quot;issued&quot;:{&quot;date-parts&quot;:[[2025,7,1]]},&quot;abstract&quot;:&quot;As the population increases, the growing demand for residential housing escalates construction activities, significantly impacting global warming by contributing 42% of primary energy use and 39% of global greenhouse gas (GHG) emissions. This study addresses a gap in research on lifecycle assessment (LCA) for Indian residential buildings by evaluating the full cradle-to-grave carbon footprint of a typical single-family house in Northern India. A BIM-based LCA framework was applied to a 110 m2 single-family dwelling over a 60-year life span. Operational use performance and climate analysis was evaluated via cove tool. The total carbon footprint over a 60-year lifespan was approximately 5884 kg CO2e, with operational energy use accounting for about 87% and embodied carbon approximately 11%. Additional impacts came from maintenance and replacements. Energy usage was calculated as 71.76 kWh/m2/year and water usage as 232.2 m3/year. Energy consumption was the biggest driver of emissions, but substantial impacts also stemmed from material production. Cement-based components and steel were the largest embodied carbon contributors. Under the business-as-usual (BAU) scenario, the operational emissions reach approximately 668,000 kg CO2e with HVAC and 482,000 kg CO2e without HVAC. The findings highlight the necessity of integrating embodied carbon considerations alongside operational energy efficiency in India’s building codes, emphasizing reductions in energy consumption and the adoption of low-carbon materials to mitigate the environmental impact of residential buildings. Future work should focus on the dynamic modeling of electricity decarbonization, improved regional datasets, and scenario-based LCA to better support India’s transition to net-zero emissions by 2070.&quot;,&quot;publisher&quot;:&quot;Multidisciplinary Digital Publishing Institute (MDPI)&quot;,&quot;issue&quot;:&quot;13&quot;,&quot;volume&quot;:&quot;15&quot;,&quot;container-title-short&quot;:&quot;&quot;},&quot;isTemporary&quot;:false}]},{&quot;citationID&quot;:&quot;MENDELEY_CITATION_0b567cb5-85b7-4d20-8534-8624ab7e0773&quot;,&quot;properties&quot;:{&quot;noteIndex&quot;:0},&quot;isEdited&quot;:false,&quot;manualOverride&quot;:{&quot;isManuallyOverridden&quot;:false,&quot;citeprocText&quot;:&quot;(Jayaram &lt;i&gt;et al.&lt;/i&gt;, 2025)&quot;,&quot;manualOverrideText&quot;:&quot;&quot;},&quot;citationTag&quot;:&quot;MENDELEY_CITATION_v3_eyJjaXRhdGlvbklEIjoiTUVOREVMRVlfQ0lUQVRJT05fMGI1NjdjYjUtODViNy00ZDIwLTg1MzQtODYyNGFiN2UwNzczIiwicHJvcGVydGllcyI6eyJub3RlSW5kZXgiOjB9LCJpc0VkaXRlZCI6ZmFsc2UsIm1hbnVhbE92ZXJyaWRlIjp7ImlzTWFudWFsbHlPdmVycmlkZGVuIjpmYWxzZSwiY2l0ZXByb2NUZXh0IjoiKEpheWFyYW0gPGk+ZXQgYWwuPC9pPiwgMjAyNSkiLCJtYW51YWxPdmVycmlkZVRleHQiOiIifSwiY2l0YXRpb25JdGVtcyI6W3siaWQiOiJhMWNiNTYyNC0xMWI3LTM0MDEtYmIzNC02YTU1NTQ2MDg2OWQiLCJpdGVtRGF0YSI6eyJ0eXBlIjoiYXJ0aWNsZS1qb3VybmFsIiwiaWQiOiJhMWNiNTYyNC0xMWI3LTM0MDEtYmIzNC02YTU1NTQ2MDg2OWQiLCJ0aXRsZSI6IlN0ZWVyaW5nIEJ1aWxkaW5nIERlc2lnbiBpbiBJbmRpYSB0b3dhcmRzIGEgbG93LWNhcmJvbiBmdXR1cmUiLCJhdXRob3IiOlt7ImZhbWlseSI6IkpheWFyYW0iLCJnaXZlbiI6IlNyZWVqaXRoIiwicGFyc2UtbmFtZXMiOmZhbHNlLCJkcm9wcGluZy1wYXJ0aWNsZSI6IiIsIm5vbi1kcm9wcGluZy1wYXJ0aWNsZSI6IiJ9LHsiZmFtaWx5IjoiR29zd2FtaSIsImdpdmVuIjoiU2hhaWxlZSIsInBhcnNlLW5hbWVzIjpmYWxzZSwiZHJvcHBpbmctcGFydGljbGUiOiIiLCJub24tZHJvcHBpbmctcGFydGljbGUiOiIifSx7ImZhbWlseSI6IlZhZGFwYWxsaSIsImdpdmVuIjoiU3JlZWthdnlhIiwicGFyc2UtbmFtZXMiOmZhbHNlLCJkcm9wcGluZy1wYXJ0aWNsZSI6IiIsIm5vbi1kcm9wcGluZy1wYXJ0aWNsZSI6IiJ9LHsiZmFtaWx5IjoiUGFuZGV5IiwiZ2l2ZW4iOiJCcmlqZXNoIiwicGFyc2UtbmFtZXMiOmZhbHNlLCJkcm9wcGluZy1wYXJ0aWNsZSI6IiIsIm5vbi1kcm9wcGluZy1wYXJ0aWNsZSI6IiJ9LHsiZmFtaWx5IjoiU2FpbmkiLCJnaXZlbiI6IkhpbWFuc2h1IiwicGFyc2UtbmFtZXMiOmZhbHNlLCJkcm9wcGluZy1wYXJ0aWNsZSI6IiIsIm5vbi1kcm9wcGluZy1wYXJ0aWNsZSI6IiJ9XSwiRE9JIjoiMTAuMjY4NjgvMjUyMjI3MDguMjAyNS4xMzc0IiwiVVJMIjoiaHR0cHM6Ly9kb2kub3JnLzEwLjI2ODY4LzI1MjIyNzA4LjIwMjUuMTM3NCIsImlzc3VlZCI6eyJkYXRlLXBhcnRzIjpbWzIwMjVdXX0sImFic3RyYWN0IjoiUmFwaWQgdXJiYW5pc2F0aW9uIGluIEluZGlhIGlzIGRyaXZpbmcgdW5wcmVjZWRlbnRlZCBncm93dGggaW4gdGhlIGJ1aWxkaW5nIHNlY3RvciwgbGVhZGluZyB0byBhbiBleHBvbmVudGlhbCByaXNlIGluIGJ1aWxkaW5nIGNvbnN0cnVjdGlvbiBtYXRlcmlhbCBkZW1hbmQgYW5kIHRoZXJlYnksIGFzc29jaWF0ZWQgY2FyYm9uIGVtaXNzaW9ucy4gV2l0aCBidWlsZGluZ3MgY29udHJpYnV0aW5nIG5lYXJseSA0MiUgb2YgdGhlIGNvdW50cnkncyB0b3RhbCBncmVlbmhvdXNlIGdhcyAoR0hHKSBlbWlzc2lvbnMsIHRoZSBzZWN0b3IgdXJnZW50bHkgbmVlZHMgZGVjYXJib25pemF0aW9uLiBUaGlzIHN0dWR5IGFwcGxpZXMgYSBMaWZlIEN5Y2xlIEFzc2Vzc21lbnQgKExDQSkgc2ltdWxhdGlvbiBwcm90b2NvbCB0byBxdWFudGlmeSB3aG9sZS1idWlsZGluZyBjYXJib24gZW1pc3Npb25zLCBpbnRlZ3JhdGluZyBib3RoIGVtYm9kaWVkIGFuZCBvcGVyYXRpb25hbCBjYXJib24gaW1wYWN0cy4gVGhlIHNpbXVsYXRpb24gcHJvdG9jb2wgd2FzIGRldmVsb3BlZCBhbmQgYXBwbGllZCB0byBhIHNtYWxsIG9mZmljZSBidWlsZGluZyBpbiBhIGNvbXBvc2l0ZSBjbGltYXRlIHRvIGVzdGFibGlzaCBhIGJhc2VsaW5lIGFuZCBhc3Nlc3MgdGhlIGltcGFjdHMgb2Ygc3Vic3RpdHV0aW5nIGNvbnZlbnRpb25hbCBtYXRlcmlhbHMgd2l0aCBsb3ctY2FyYm9uIGFuZCBoaWdoLXBlcmZvcm1hbmNlIGFsdGVybmF0aXZlcy4gUmVzdWx0cyBpbmRpY2F0ZSB0aGF0IGhpZ2gtcGVyZm9ybWFuY2Ugc29sdXRpb25zIChIUFMpIGNhbiBhY2hpZXZlIHVwIHRvIDEyJSBjYXJib24gcmVkdWN0aW9uIHBvdGVudGlhbCwgd2l0aCB3YWxsaW5nIHN5c3RlbXMgc3VjaCBhcyBBQUMgYmxvY2tzIGRlbW9uc3RyYXRpbmcgdXAgdG8gODYlIHJlZHVjdGlvbiBpbiBlbWJvZGllZCBjYXJib24uIFRoZXNlIGludGVydmVudGlvbnMgYWRkcmVzcyBvbmx5IDI2JSBvZiB0aGUgdG90YWwgZW1pc3Npb25zLCBoaWdobGlnaHRpbmcgdGhlIG5lZWQgZm9yIGFkZGl0aW9uYWwgc3RyYXRlZ2llcywgcGFydGljdWxhcmx5IGZvciBzeXN0ZW1zIHRoYXQgdXNlIGNlbWVudCBhbmQgcmVhZHktbWl4IGNvbmNyZXRlLiBUaGUgc3R1ZHkgZW1waGFzaXNlcyB0aGUgbmVlZCB0byBkZXZlbG9wIEluZGlhLXNwZWNpZmljIExDQSBwcm90b2NvbHMgZm9yIGNhcmJvbiBjYWxjdWxhdGlvbnMgYW5kIHRoZSBuZWNlc3NpdHkgb2YgbWFpbnN0cmVhbWluZyBMQ0EgaW4gSW5kaWEncyBidWlsZGluZyBzZWN0b3IsIGFkdm9jYXRpbmcgZm9yIHJlZ3VsYXRvcnkgbWFuZGF0ZXMgYW5kIGV4cGFuZGVkIG1hdGVyaWFsIGRhdGFiYXNlcyB0byBkcml2ZSBpbmZvcm1lZCBkZWNpc2lvbi1tYWtpbmcgdG93YXJkIGEgbG93LWNhcmJvbiBmdXR1cmUuIEtleSBJbm5vdmF0aW9ucyDigKIgQW4gSW5kaWEtc3BlY2lmaWMgTENBIGZyYW1ld29yayBmb3IgV2hvbGUtQnVpbGRpbmcgRGVzaWduIHdhcyBkZXZlbG9wZWQga2VlcGluZyBJU08gMTQwNDAvNDQgYXMgdGhlIGZvdW5kYXRpb24uIOKAoiBBIENhcmJvbiBhc3Nlc3NtZW50IHNvZnR3YXJlIHdvcmtmbG93IHdhcyBkZXZlbG9wZWQgd2hpY2ggY2FuIGFpZCBpbiBwZXJmb3JtaW5nIGVtYm9kaWVkIGNhcmJvbiBjYWxjdWxhdGlvbnMgZm9yIGJ1aWxkaW5ncyBhbG9uZyB3aXRoIEVuZXJneSBzaW11bGF0aW9ucy4gUHJhY3RpY2FsIEltcGxpY2F0aW9ucyBUaGlzIHN0dWR5IGVuYWJsZXMgZGF0YS1kcml2ZW4gZGVjaXNpb24tbWFraW5nIGZvciBsb3ctY2FyYm9uIGNvbnN0cnVjdGlvbiBieSBwcm92aWRpbmcgcXVhbnRpZmlhYmxlIGRhdGEgb24gY2FyYm9uIHdoaWNoIGNhbiBoZWxwIGFyY2hpdGVjdHMsIGRldmVsb3BlcnMgYW5kIHBvbGljeW1ha2VycyBtYWtlIGluZm9ybWVkIGNob2ljZXMgb24gbWF0ZXJpYWxzLiBUaGUgTENBIHNpbXVsYXRpb24gcHJvdG9jb2wgZnJhbWV3b3JrIHRoYXQgaXMgZGV2ZWxvcGVkIG9mZmVycyBhIHJlcGxpY2FibGUgbWV0aG9kb2xvZ3kgZm9yIHZhcmlvdXMgYnVpbGRpbmcgdHlwZXMuIFRoZSBzdHVkeSBhbHNvIGhpZ2hsaWdodHMgdGhhdCBzeXN0ZW1hdGljIHN1YnN0aXR1dGlvbnMgY2FuIGhlbHAgaW4gaWRlbnRpZnlpbmcgaG90c3BvdHMgZm9yIGNhcmJvbiBlbWlzc2lvbnMgYW5kIGhlbHAgbWl0aWdhdGUgdGhlbS4gSXQgYWxzbyByZWluZm9yY2VzIHRoZSBuZWVkIGZvciBtYW5kYXRvcnkgTENBcyBpbiBJbmRpYSdzIE5hdGlvbmFsIEJ1aWxkaW5nIENvZGUgKE5CQykgd2hpY2ggY2FuIHByb3ZpZGUgYSBzdHJvbmcgY2FzZSBmb3IgaW5jZW50aXZlcyBhbmQgZ3JlZW4gY2VydGlmaWNhdGlvbnMgdG8gZGV2ZWxvcGVycyBhZG9wdGluZyBsb3ctY2FyYm9uIG1hdGVyaWFscyBhbmQgaGlnaC1wZXJmb3JtYW5jZSBzb2x1dGlvbnMuIiwiY29udGFpbmVyLXRpdGxlLXNob3J0IjoiIn0sImlzVGVtcG9yYXJ5IjpmYWxzZX1dfQ==&quot;,&quot;citationItems&quot;:[{&quot;id&quot;:&quot;a1cb5624-11b7-3401-bb34-6a555460869d&quot;,&quot;itemData&quot;:{&quot;type&quot;:&quot;article-journal&quot;,&quot;id&quot;:&quot;a1cb5624-11b7-3401-bb34-6a555460869d&quot;,&quot;title&quot;:&quot;Steering Building Design in India towards a low-carbon future&quot;,&quot;author&quot;:[{&quot;family&quot;:&quot;Jayaram&quot;,&quot;given&quot;:&quot;Sreejith&quot;,&quot;parse-names&quot;:false,&quot;dropping-particle&quot;:&quot;&quot;,&quot;non-dropping-particle&quot;:&quot;&quot;},{&quot;family&quot;:&quot;Goswami&quot;,&quot;given&quot;:&quot;Shailee&quot;,&quot;parse-names&quot;:false,&quot;dropping-particle&quot;:&quot;&quot;,&quot;non-dropping-particle&quot;:&quot;&quot;},{&quot;family&quot;:&quot;Vadapalli&quot;,&quot;given&quot;:&quot;Sreekavya&quot;,&quot;parse-names&quot;:false,&quot;dropping-particle&quot;:&quot;&quot;,&quot;non-dropping-particle&quot;:&quot;&quot;},{&quot;family&quot;:&quot;Pandey&quot;,&quot;given&quot;:&quot;Brijesh&quot;,&quot;parse-names&quot;:false,&quot;dropping-particle&quot;:&quot;&quot;,&quot;non-dropping-particle&quot;:&quot;&quot;},{&quot;family&quot;:&quot;Saini&quot;,&quot;given&quot;:&quot;Himanshu&quot;,&quot;parse-names&quot;:false,&quot;dropping-particle&quot;:&quot;&quot;,&quot;non-dropping-particle&quot;:&quot;&quot;}],&quot;DOI&quot;:&quot;10.26868/25222708.2025.1374&quot;,&quot;URL&quot;:&quot;https://doi.org/10.26868/25222708.2025.1374&quot;,&quot;issued&quot;:{&quot;date-parts&quot;:[[2025]]},&quot;abstract&quot;:&quot;Rapid urbanisation in India is driving unprecedented growth in the building sector, leading to an exponential rise in building construction material demand and thereby, associated carbon emissions. With buildings contributing nearly 42% of the country's total greenhouse gas (GHG) emissions, the sector urgently needs decarbonization. This study applies a Life Cycle Assessment (LCA) simulation protocol to quantify whole-building carbon emissions, integrating both embodied and operational carbon impacts. The simulation protocol was developed and applied to a small office building in a composite climate to establish a baseline and assess the impacts of substituting conventional materials with low-carbon and high-performance alternatives. Results indicate that high-performance solutions (HPS) can achieve up to 12% carbon reduction potential, with walling systems such as AAC blocks demonstrating up to 86% reduction in embodied carbon. These interventions address only 26% of the total emissions, highlighting the need for additional strategies, particularly for systems that use cement and ready-mix concrete. The study emphasises the need to develop India-specific LCA protocols for carbon calculations and the necessity of mainstreaming LCA in India's building sector, advocating for regulatory mandates and expanded material databases to drive informed decision-making toward a low-carbon future. Key Innovations • An India-specific LCA framework for Whole-Building Design was developed keeping ISO 14040/44 as the foundation. • A Carbon assessment software workflow was developed which can aid in performing embodied carbon calculations for buildings along with Energy simulations. Practical Implications This study enables data-driven decision-making for low-carbon construction by providing quantifiable data on carbon which can help architects, developers and policymakers make informed choices on materials. The LCA simulation protocol framework that is developed offers a replicable methodology for various building types. The study also highlights that systematic substitutions can help in identifying hotspots for carbon emissions and help mitigate them. It also reinforces the need for mandatory LCAs in India's National Building Code (NBC) which can provide a strong case for incentives and green certifications to developers adopting low-carbon materials and high-performance solutions.&quot;,&quot;container-title-short&quot;:&quot;&quot;},&quot;isTemporary&quot;:false}]},{&quot;citationID&quot;:&quot;MENDELEY_CITATION_014f9c68-ba6d-493f-9d66-d61a05cc04ad&quot;,&quot;properties&quot;:{&quot;noteIndex&quot;:0},&quot;isEdited&quot;:false,&quot;manualOverride&quot;:{&quot;isManuallyOverridden&quot;:false,&quot;citeprocText&quot;:&quot;(Kumar &lt;i&gt;et al.&lt;/i&gt;, 2025)&quot;,&quot;manualOverrideText&quot;:&quot;&quot;},&quot;citationTag&quot;:&quot;MENDELEY_CITATION_v3_eyJjaXRhdGlvbklEIjoiTUVOREVMRVlfQ0lUQVRJT05fMDE0ZjljNjgtYmE2ZC00OTNmLTlkNjYtZDYxYTA1Y2MwNGFkIiwicHJvcGVydGllcyI6eyJub3RlSW5kZXgiOjB9LCJpc0VkaXRlZCI6ZmFsc2UsIm1hbnVhbE92ZXJyaWRlIjp7ImlzTWFudWFsbHlPdmVycmlkZGVuIjpmYWxzZSwiY2l0ZXByb2NUZXh0IjoiKEt1bWFyIDxpPmV0IGFsLjwvaT4sIDIwMjUpIiwibWFudWFsT3ZlcnJpZGVUZXh0IjoiIn0sImNpdGF0aW9uSXRlbXMiOlt7ImlkIjoiOWFhNjRiMTktMzJkMi0zYWIyLTk4ODYtMjg5OTQ2MTI1ODIzIiwiaXRlbURhdGEiOnsidHlwZSI6ImFydGljbGUtam91cm5hbCIsImlkIjoiOWFhNjRiMTktMzJkMi0zYWIyLTk4ODYtMjg5OTQ2MTI1ODIzIiwidGl0bGUiOiJBIFdob2xlLUxpZmUgQ2FyYm9uIEFzc2Vzc21lbnQgb2YgYSBTaW5nbGUtRmFtaWx5IEhvdXNlIGluIE5vcnRoIEluZGlhIFVzaW5nIEJJTS1MQ0EgSW50ZWdyYXRpb24iLCJhdXRob3IiOlt7ImZhbWlseSI6Ikt1bWFyIiwiZ2l2ZW4iOiJEZWVwYWsiLCJwYXJzZS1uYW1lcyI6ZmFsc2UsImRyb3BwaW5nLXBhcnRpY2xlIjoiIiwibm9uLWRyb3BwaW5nLXBhcnRpY2xlIjoiIn0seyJmYW1pbHkiOiJNYXVyeWEiLCJnaXZlbiI6IktyYW50aSBLdW1hciIsInBhcnNlLW5hbWVzIjpmYWxzZSwiZHJvcHBpbmctcGFydGljbGUiOiIiLCJub24tZHJvcHBpbmctcGFydGljbGUiOiIifSx7ImZhbWlseSI6Ik1hbmRhbCIsImdpdmVuIjoiU2hhaWxlbmRyYSBLLiIsInBhcnNlLW5hbWVzIjpmYWxzZSwiZHJvcHBpbmctcGFydGljbGUiOiIiLCJub24tZHJvcHBpbmctcGFydGljbGUiOiIifSx7ImZhbWlseSI6IkhhbGRlciIsImdpdmVuIjoiTmFuZGluaSIsInBhcnNlLW5hbWVzIjpmYWxzZSwiZHJvcHBpbmctcGFydGljbGUiOiIiLCJub24tZHJvcHBpbmctcGFydGljbGUiOiIifSx7ImZhbWlseSI6Ik1pciIsImdpdmVuIjoiQmFzaXQgQWZhcSIsInBhcnNlLW5hbWVzIjpmYWxzZSwiZHJvcHBpbmctcGFydGljbGUiOiIiLCJub24tZHJvcHBpbmctcGFydGljbGUiOiIifSx7ImZhbWlseSI6Ik51cmRpYXdhdGkiLCJnaXZlbiI6IkFuaXNzYSIsInBhcnNlLW5hbWVzIjpmYWxzZSwiZHJvcHBpbmctcGFydGljbGUiOiIiLCJub24tZHJvcHBpbmctcGFydGljbGUiOiIifSx7ImZhbWlseSI6IkFsLUdoYW1kaSIsImdpdmVuIjoiU2FtaSBHLiIsInBhcnNlLW5hbWVzIjpmYWxzZSwiZHJvcHBpbmctcGFydGljbGUiOiIiLCJub24tZHJvcHBpbmctcGFydGljbGUiOiIifV0sImNvbnRhaW5lci10aXRsZSI6IkJ1aWxkaW5ncyIsIkRPSSI6IjEwLjMzOTAvYnVpbGRpbmdzMTUxMzIxOTUiLCJJU1NOIjoiMjA3NTUzMDkiLCJpc3N1ZWQiOnsiZGF0ZS1wYXJ0cyI6W1syMDI1LDcsMV1dfSwiYWJzdHJhY3QiOiJBcyB0aGUgcG9wdWxhdGlvbiBpbmNyZWFzZXMsIHRoZSBncm93aW5nIGRlbWFuZCBmb3IgcmVzaWRlbnRpYWwgaG91c2luZyBlc2NhbGF0ZXMgY29uc3RydWN0aW9uIGFjdGl2aXRpZXMsIHNpZ25pZmljYW50bHkgaW1wYWN0aW5nIGdsb2JhbCB3YXJtaW5nIGJ5IGNvbnRyaWJ1dGluZyA0MiUgb2YgcHJpbWFyeSBlbmVyZ3kgdXNlIGFuZCAzOSUgb2YgZ2xvYmFsIGdyZWVuaG91c2UgZ2FzIChHSEcpIGVtaXNzaW9ucy4gVGhpcyBzdHVkeSBhZGRyZXNzZXMgYSBnYXAgaW4gcmVzZWFyY2ggb24gbGlmZWN5Y2xlIGFzc2Vzc21lbnQgKExDQSkgZm9yIEluZGlhbiByZXNpZGVudGlhbCBidWlsZGluZ3MgYnkgZXZhbHVhdGluZyB0aGUgZnVsbCBjcmFkbGUtdG8tZ3JhdmUgY2FyYm9uIGZvb3RwcmludCBvZiBhIHR5cGljYWwgc2luZ2xlLWZhbWlseSBob3VzZSBpbiBOb3J0aGVybiBJbmRpYS4gQSBCSU0tYmFzZWQgTENBIGZyYW1ld29yayB3YXMgYXBwbGllZCB0byBhIDExMCBtMiBzaW5nbGUtZmFtaWx5IGR3ZWxsaW5nIG92ZXIgYSA2MC15ZWFyIGxpZmUgc3Bhbi4gT3BlcmF0aW9uYWwgdXNlIHBlcmZvcm1hbmNlIGFuZCBjbGltYXRlIGFuYWx5c2lzIHdhcyBldmFsdWF0ZWQgdmlhIGNvdmUgdG9vbC4gVGhlIHRvdGFsIGNhcmJvbiBmb290cHJpbnQgb3ZlciBhIDYwLXllYXIgbGlmZXNwYW4gd2FzIGFwcHJveGltYXRlbHkgNTg4NCBrZyBDTzJlLCB3aXRoIG9wZXJhdGlvbmFsIGVuZXJneSB1c2UgYWNjb3VudGluZyBmb3IgYWJvdXQgODclIGFuZCBlbWJvZGllZCBjYXJib24gYXBwcm94aW1hdGVseSAxMSUuIEFkZGl0aW9uYWwgaW1wYWN0cyBjYW1lIGZyb20gbWFpbnRlbmFuY2UgYW5kIHJlcGxhY2VtZW50cy4gRW5lcmd5IHVzYWdlIHdhcyBjYWxjdWxhdGVkIGFzIDcxLjc2IGtXaC9tMi95ZWFyIGFuZCB3YXRlciB1c2FnZSBhcyAyMzIuMiBtMy95ZWFyLiBFbmVyZ3kgY29uc3VtcHRpb24gd2FzIHRoZSBiaWdnZXN0IGRyaXZlciBvZiBlbWlzc2lvbnMsIGJ1dCBzdWJzdGFudGlhbCBpbXBhY3RzIGFsc28gc3RlbW1lZCBmcm9tIG1hdGVyaWFsIHByb2R1Y3Rpb24uIENlbWVudC1iYXNlZCBjb21wb25lbnRzIGFuZCBzdGVlbCB3ZXJlIHRoZSBsYXJnZXN0IGVtYm9kaWVkIGNhcmJvbiBjb250cmlidXRvcnMuIFVuZGVyIHRoZSBidXNpbmVzcy1hcy11c3VhbCAoQkFVKSBzY2VuYXJpbywgdGhlIG9wZXJhdGlvbmFsIGVtaXNzaW9ucyByZWFjaCBhcHByb3hpbWF0ZWx5IDY2OCwwMDAga2cgQ08yZSB3aXRoIEhWQUMgYW5kIDQ4MiwwMDAga2cgQ08yZSB3aXRob3V0IEhWQUMuIFRoZSBmaW5kaW5ncyBoaWdobGlnaHQgdGhlIG5lY2Vzc2l0eSBvZiBpbnRlZ3JhdGluZyBlbWJvZGllZCBjYXJib24gY29uc2lkZXJhdGlvbnMgYWxvbmdzaWRlIG9wZXJhdGlvbmFsIGVuZXJneSBlZmZpY2llbmN5IGluIEluZGlh4oCZcyBidWlsZGluZyBjb2RlcywgZW1waGFzaXppbmcgcmVkdWN0aW9ucyBpbiBlbmVyZ3kgY29uc3VtcHRpb24gYW5kIHRoZSBhZG9wdGlvbiBvZiBsb3ctY2FyYm9uIG1hdGVyaWFscyB0byBtaXRpZ2F0ZSB0aGUgZW52aXJvbm1lbnRhbCBpbXBhY3Qgb2YgcmVzaWRlbnRpYWwgYnVpbGRpbmdzLiBGdXR1cmUgd29yayBzaG91bGQgZm9jdXMgb24gdGhlIGR5bmFtaWMgbW9kZWxpbmcgb2YgZWxlY3RyaWNpdHkgZGVjYXJib25pemF0aW9uLCBpbXByb3ZlZCByZWdpb25hbCBkYXRhc2V0cywgYW5kIHNjZW5hcmlvLWJhc2VkIExDQSB0byBiZXR0ZXIgc3VwcG9ydCBJbmRpYeKAmXMgdHJhbnNpdGlvbiB0byBuZXQtemVybyBlbWlzc2lvbnMgYnkgMjA3MC4iLCJwdWJsaXNoZXIiOiJNdWx0aWRpc2NpcGxpbmFyeSBEaWdpdGFsIFB1Ymxpc2hpbmcgSW5zdGl0dXRlIChNRFBJKSIsImlzc3VlIjoiMTMiLCJ2b2x1bWUiOiIxNSIsImNvbnRhaW5lci10aXRsZS1zaG9ydCI6IiJ9LCJpc1RlbXBvcmFyeSI6ZmFsc2V9XX0=&quot;,&quot;citationItems&quot;:[{&quot;id&quot;:&quot;9aa64b19-32d2-3ab2-9886-289946125823&quot;,&quot;itemData&quot;:{&quot;type&quot;:&quot;article-journal&quot;,&quot;id&quot;:&quot;9aa64b19-32d2-3ab2-9886-289946125823&quot;,&quot;title&quot;:&quot;A Whole-Life Carbon Assessment of a Single-Family House in North India Using BIM-LCA Integration&quot;,&quot;author&quot;:[{&quot;family&quot;:&quot;Kumar&quot;,&quot;given&quot;:&quot;Deepak&quot;,&quot;parse-names&quot;:false,&quot;dropping-particle&quot;:&quot;&quot;,&quot;non-dropping-particle&quot;:&quot;&quot;},{&quot;family&quot;:&quot;Maurya&quot;,&quot;given&quot;:&quot;Kranti Kumar&quot;,&quot;parse-names&quot;:false,&quot;dropping-particle&quot;:&quot;&quot;,&quot;non-dropping-particle&quot;:&quot;&quot;},{&quot;family&quot;:&quot;Mandal&quot;,&quot;given&quot;:&quot;Shailendra K.&quot;,&quot;parse-names&quot;:false,&quot;dropping-particle&quot;:&quot;&quot;,&quot;non-dropping-particle&quot;:&quot;&quot;},{&quot;family&quot;:&quot;Halder&quot;,&quot;given&quot;:&quot;Nandini&quot;,&quot;parse-names&quot;:false,&quot;dropping-particle&quot;:&quot;&quot;,&quot;non-dropping-particle&quot;:&quot;&quot;},{&quot;family&quot;:&quot;Mir&quot;,&quot;given&quot;:&quot;Basit Afaq&quot;,&quot;parse-names&quot;:false,&quot;dropping-particle&quot;:&quot;&quot;,&quot;non-dropping-particle&quot;:&quot;&quot;},{&quot;family&quot;:&quot;Nurdiawati&quot;,&quot;given&quot;:&quot;Anissa&quot;,&quot;parse-names&quot;:false,&quot;dropping-particle&quot;:&quot;&quot;,&quot;non-dropping-particle&quot;:&quot;&quot;},{&quot;family&quot;:&quot;Al-Ghamdi&quot;,&quot;given&quot;:&quot;Sami G.&quot;,&quot;parse-names&quot;:false,&quot;dropping-particle&quot;:&quot;&quot;,&quot;non-dropping-particle&quot;:&quot;&quot;}],&quot;container-title&quot;:&quot;Buildings&quot;,&quot;DOI&quot;:&quot;10.3390/buildings15132195&quot;,&quot;ISSN&quot;:&quot;20755309&quot;,&quot;issued&quot;:{&quot;date-parts&quot;:[[2025,7,1]]},&quot;abstract&quot;:&quot;As the population increases, the growing demand for residential housing escalates construction activities, significantly impacting global warming by contributing 42% of primary energy use and 39% of global greenhouse gas (GHG) emissions. This study addresses a gap in research on lifecycle assessment (LCA) for Indian residential buildings by evaluating the full cradle-to-grave carbon footprint of a typical single-family house in Northern India. A BIM-based LCA framework was applied to a 110 m2 single-family dwelling over a 60-year life span. Operational use performance and climate analysis was evaluated via cove tool. The total carbon footprint over a 60-year lifespan was approximately 5884 kg CO2e, with operational energy use accounting for about 87% and embodied carbon approximately 11%. Additional impacts came from maintenance and replacements. Energy usage was calculated as 71.76 kWh/m2/year and water usage as 232.2 m3/year. Energy consumption was the biggest driver of emissions, but substantial impacts also stemmed from material production. Cement-based components and steel were the largest embodied carbon contributors. Under the business-as-usual (BAU) scenario, the operational emissions reach approximately 668,000 kg CO2e with HVAC and 482,000 kg CO2e without HVAC. The findings highlight the necessity of integrating embodied carbon considerations alongside operational energy efficiency in India’s building codes, emphasizing reductions in energy consumption and the adoption of low-carbon materials to mitigate the environmental impact of residential buildings. Future work should focus on the dynamic modeling of electricity decarbonization, improved regional datasets, and scenario-based LCA to better support India’s transition to net-zero emissions by 2070.&quot;,&quot;publisher&quot;:&quot;Multidisciplinary Digital Publishing Institute (MDPI)&quot;,&quot;issue&quot;:&quot;13&quot;,&quot;volume&quot;:&quot;15&quot;,&quot;container-title-short&quot;:&quot;&quot;},&quot;isTemporary&quot;:false}]},{&quot;citationID&quot;:&quot;MENDELEY_CITATION_510bc4fc-7da8-429d-9431-9e9e60ab15e9&quot;,&quot;properties&quot;:{&quot;noteIndex&quot;:0},&quot;isEdited&quot;:false,&quot;manualOverride&quot;:{&quot;isManuallyOverridden&quot;:false,&quot;citeprocText&quot;:&quot;(Zhang &lt;i&gt;et al.&lt;/i&gt;, 2022)&quot;,&quot;manualOverrideText&quot;:&quot;&quot;},&quot;citationTag&quot;:&quot;MENDELEY_CITATION_v3_eyJjaXRhdGlvbklEIjoiTUVOREVMRVlfQ0lUQVRJT05fNTEwYmM0ZmMtN2RhOC00MjlkLTk0MzEtOWU5ZTYwYWIxNWU5IiwicHJvcGVydGllcyI6eyJub3RlSW5kZXgiOjB9LCJpc0VkaXRlZCI6ZmFsc2UsIm1hbnVhbE92ZXJyaWRlIjp7ImlzTWFudWFsbHlPdmVycmlkZGVuIjpmYWxzZSwiY2l0ZXByb2NUZXh0IjoiKFpoYW5nIDxpPmV0IGFsLjwvaT4sIDIwMjIpIiwibWFudWFsT3ZlcnJpZGVUZXh0IjoiIn0sImNpdGF0aW9uSXRlbXMiOlt7ImlkIjoiMzVkZWJmMzQtYzliMy0zMjYzLTk1YWEtNDlmOTY2ZmJlMmQwIiwiaXRlbURhdGEiOnsidHlwZSI6ImFydGljbGUtam91cm5hbCIsImlkIjoiMzVkZWJmMzQtYzliMy0zMjYzLTk1YWEtNDlmOTY2ZmJlMmQwIiwidGl0bGUiOiJCSU0tYmFzZWQgYXBwcm9hY2ggZm9yIHRoZSBpbnRlZ3JhdGVkIGFzc2Vzc21lbnQgb2YgbGlmZSBjeWNsZSBjYXJib24gZW1pc3Npb24gaW50ZW5zaXR5IGFuZCBsaWZlIGN5Y2xlIGNvc3RzIiwiYXV0aG9yIjpbeyJmYW1pbHkiOiJaaGFuZyIsImdpdmVuIjoiWXViaW5nIiwicGFyc2UtbmFtZXMiOmZhbHNlLCJkcm9wcGluZy1wYXJ0aWNsZSI6IiIsIm5vbi1kcm9wcGluZy1wYXJ0aWNsZSI6IiJ9LHsiZmFtaWx5IjoiSmlhbmciLCJnaXZlbiI6IlhpYW95YW4iLCJwYXJzZS1uYW1lcyI6ZmFsc2UsImRyb3BwaW5nLXBhcnRpY2xlIjoiIiwibm9uLWRyb3BwaW5nLXBhcnRpY2xlIjoiIn0seyJmYW1pbHkiOiJDdWkiLCJnaXZlbiI6IkNhaXl1biIsInBhcnNlLW5hbWVzIjpmYWxzZSwiZHJvcHBpbmctcGFydGljbGUiOiIiLCJub24tZHJvcHBpbmctcGFydGljbGUiOiIifSx7ImZhbWlseSI6IlNraXRtb3JlIiwiZ2l2ZW4iOiJNYXJ0aW4iLCJwYXJzZS1uYW1lcyI6ZmFsc2UsImRyb3BwaW5nLXBhcnRpY2xlIjoiIiwibm9uLWRyb3BwaW5nLXBhcnRpY2xlIjoiIn1dLCJjb250YWluZXItdGl0bGUiOiJCdWlsZGluZyBhbmQgRW52aXJvbm1lbnQiLCJjb250YWluZXItdGl0bGUtc2hvcnQiOiJCdWlsZC4gRW52aXJvbi4iLCJET0kiOiIxMC4xMDE2L2ouYnVpbGRlbnYuMjAyMi4xMDk2OTEiLCJJU1NOIjoiMDM2MDEzMjMiLCJpc3N1ZWQiOnsiZGF0ZS1wYXJ0cyI6W1syMDIyLDEyLDFdXX0sImFic3RyYWN0IjoiVGhlIGNvbnN0cnVjdGlvbiBpbmR1c3RyeSBpcyB3ZWxsIGtub3duIGZvciBnZW5lcmF0aW5nIGEgbGFyZ2UgYW1vdW50IG9mIGNhcmJvbiBlbWlzc2lvbnMgYW5kIHRoaXMsIHRvZ2V0aGVyIHdpdGggaHVnZSBjb3N0cyBvZiBidWlsZGluZ3MgZHVyaW5nIHRoZWlyIGxpZmUgY3ljbGUsIHNlcmlvdXNseSBhZmZlY3RzIGl0cyBlbnZpcm9ubWVudGFsIGFuZCBlY29ub21pYyBzdXN0YWluYWJpbGl0eS4gVGhhdCByZWR1Y2luZyB0aGUgZm9ybWVyIHRlbmRzIHRvIGluY3JlYXNlIHRoZSBsYXR0ZXIgaXMgYSBoaWdobHkgc2lnbmlmaWNhbnQgcHJvYmxlbSBleGFjZXJiYXRpbmcgdGhlIHNpdHVhdGlvbi4gRmluZGluZyBhIHNvbHV0aW9uIHdpdGggdGhlIGxvd2VzdCBjYXJib24gZW1pc3Npb24gYXQgYSBjZXJ0YWluIGNvc3QgaXMgYW4gdXJnZW50IHByb2JsZW0gdG8gYmUgc29sdmVkLiBSZXNlYXJjaCB0byBkYXRlIGFpbWVkIGF0IHJlbWVkeWluZyB0aGUgc2l0dWF0aW9uLCBob3dldmVyLCBoYXMgYmVlbiBsYXJnZWx5IGZvY3VzZWQgb24gZWl0aGVyIHRyZWF0aW5nIHRoZSB0d28gaXNzdWVzIGluZGVwZW5kZW50bHkgb3IgcGFydGlhbGx5IGNvbmpvaW5lZCwgd2l0aCBsaXR0bGUgcHJvZ3Jlc3MgaW4gdGhlaXIgaW50ZWdyYXRlZCBhc3Nlc3NtZW50LiBJbiByZXNwb25zZSwgdGhpcyBzdHVkeSBwcmVzZW50cyBhIG1ldGhvZCBmb3IgaW50ZWdyYXRpbmcgdGhlIGxpZmUgY3ljbGUgY2FyYm9uIGVtaXNzaW9ucyAoTENDRSkgYW5kIGxpZmUgY3ljbGUgY29zdHMgKExDQykgb2YgYnVpbGRpbmdzIHRvIGFzc2VzcyB0aGVpciBsaWZlIGN5Y2xlIGNhcmJvbiBlbWlzc2lvbiBpbnRlbnNpdHkgKENFSSkgYmFzZWQgb24gQklNIHRlY2hub2xvZ3kuIFRocm91Z2ggYSBwdWJsaWMgYnVpbGRpbmcgaW4gQ2hpbmEgYXMgYSBjYXNlIHN0dWR5LCB0aGUgZmVhc2liaWxpdHkgb2YgdGhlIG1ldGhvZCBpcyB2ZXJpZmllZCwgdGhlIGtleSBzdGFnZXMgb2YgYnVpbGRpbmcgY2FyYm9uIGVtaXNzaW9ucyBhcmUgYW5hbHl6ZWQgdXNpbmcgQ0VJLCBhbmQgdGhlIGNvbnZlcnNpb24gb2YgaGlnaCBjYXJib24gZW1pc3Npb24gbWF0ZXJpYWxzIHRvIGxvdyBjYXJib24gZW1pc3Npb24gbWF0ZXJpYWxzIGlzIGV4cGxvcmVkLiBUaGUgcHJvcG9zZWQgbWV0aG9kb2xvZ3kgYW5kIGZyYW1ld29yayBwcm92aWRlIHNvbHV0aW9ucyBhbmQgaWRlYXMgZm9yIGFjaGlldmluZyBvcHRpbWFsIGNvc3RzIGNvbW1lbnN1cmF0ZSB3aXRoIGxvdyBjYXJib24gZW1pc3Npb25zIHRocm91Z2hvdXQgdGhlIGJ1aWxkaW5nIGxpZmUgY3ljbGUsIGZhY2lsaXRhdGluZyB0aGUgYXNzZXNzbWVudCBvZiBjYXJib24gZW1pc3Npb25zIGF0IHRoZSBkZWNpc2lvbi1tYWtpbmcgYW5kIGRlc2lnbiBzdGFnZXMsIGFjaGlldmluZyB0aGUgb3B0aW1pemF0aW9uIG9mIGJ1aWxkaW5nIGNhcmJvbiBlbWlzc2lvbnMgYW5kIGNvc3RzLCBhbmQgZW5oYW5jaW5nIGJ1aWxkaW5nIGxpZmUgY3ljbGUgc3VzdGFpbmFiaWxpdHkuIiwicHVibGlzaGVyIjoiRWxzZXZpZXIgTHRkIiwidm9sdW1lIjoiMjI2In0sImlzVGVtcG9yYXJ5IjpmYWxzZX1dfQ==&quot;,&quot;citationItems&quot;:[{&quot;id&quot;:&quot;35debf34-c9b3-3263-95aa-49f966fbe2d0&quot;,&quot;itemData&quot;:{&quot;type&quot;:&quot;article-journal&quot;,&quot;id&quot;:&quot;35debf34-c9b3-3263-95aa-49f966fbe2d0&quot;,&quot;title&quot;:&quot;BIM-based approach for the integrated assessment of life cycle carbon emission intensity and life cycle costs&quot;,&quot;author&quot;:[{&quot;family&quot;:&quot;Zhang&quot;,&quot;given&quot;:&quot;Yubing&quot;,&quot;parse-names&quot;:false,&quot;dropping-particle&quot;:&quot;&quot;,&quot;non-dropping-particle&quot;:&quot;&quot;},{&quot;family&quot;:&quot;Jiang&quot;,&quot;given&quot;:&quot;Xiaoyan&quot;,&quot;parse-names&quot;:false,&quot;dropping-particle&quot;:&quot;&quot;,&quot;non-dropping-particle&quot;:&quot;&quot;},{&quot;family&quot;:&quot;Cui&quot;,&quot;given&quot;:&quot;Caiyun&quot;,&quot;parse-names&quot;:false,&quot;dropping-particle&quot;:&quot;&quot;,&quot;non-dropping-particle&quot;:&quot;&quot;},{&quot;family&quot;:&quot;Skitmore&quot;,&quot;given&quot;:&quot;Martin&quot;,&quot;parse-names&quot;:false,&quot;dropping-particle&quot;:&quot;&quot;,&quot;non-dropping-particle&quot;:&quot;&quot;}],&quot;container-title&quot;:&quot;Building and Environment&quot;,&quot;container-title-short&quot;:&quot;Build. Environ.&quot;,&quot;DOI&quot;:&quot;10.1016/j.buildenv.2022.109691&quot;,&quot;ISSN&quot;:&quot;03601323&quot;,&quot;issued&quot;:{&quot;date-parts&quot;:[[2022,12,1]]},&quot;abstract&quot;:&quot;The construction industry is well known for generating a large amount of carbon emissions and this, together with huge costs of buildings during their life cycle, seriously affects its environmental and economic sustainability. That reducing the former tends to increase the latter is a highly significant problem exacerbating the situation. Finding a solution with the lowest carbon emission at a certain cost is an urgent problem to be solved. Research to date aimed at remedying the situation, however, has been largely focused on either treating the two issues independently or partially conjoined, with little progress in their integrated assessment. In response, this study presents a method for integrating the life cycle carbon emissions (LCCE) and life cycle costs (LCC) of buildings to assess their life cycle carbon emission intensity (CEI) based on BIM technology. Through a public building in China as a case study, the feasibility of the method is verified, the key stages of building carbon emissions are analyzed using CEI, and the conversion of high carbon emission materials to low carbon emission materials is explored. The proposed methodology and framework provide solutions and ideas for achieving optimal costs commensurate with low carbon emissions throughout the building life cycle, facilitating the assessment of carbon emissions at the decision-making and design stages, achieving the optimization of building carbon emissions and costs, and enhancing building life cycle sustainability.&quot;,&quot;publisher&quot;:&quot;Elsevier Ltd&quot;,&quot;volume&quot;:&quot;226&quot;},&quot;isTemporary&quot;:false}]},{&quot;citationID&quot;:&quot;MENDELEY_CITATION_2be058d4-544e-409f-9782-729a787f6909&quot;,&quot;properties&quot;:{&quot;noteIndex&quot;:0},&quot;isEdited&quot;:false,&quot;manualOverride&quot;:{&quot;isManuallyOverridden&quot;:false,&quot;citeprocText&quot;:&quot;(Revelo Cáceres, Garcia-Martinez and Gómez de Cózar, 2023; Sawalkar&lt;sup&gt;1&lt;/sup&gt; and Wayal&lt;sup&gt;2&lt;/sup&gt;, 2025)&quot;,&quot;manualOverrideText&quot;:&quot;&quot;},&quot;citationTag&quot;:&quot;MENDELEY_CITATION_v3_eyJjaXRhdGlvbklEIjoiTUVOREVMRVlfQ0lUQVRJT05fMmJlMDU4ZDQtNTQ0ZS00MDlmLTk3ODItNzI5YTc4N2Y2OTA5IiwicHJvcGVydGllcyI6eyJub3RlSW5kZXgiOjB9LCJpc0VkaXRlZCI6ZmFsc2UsIm1hbnVhbE92ZXJyaWRlIjp7ImlzTWFudWFsbHlPdmVycmlkZGVuIjpmYWxzZSwiY2l0ZXByb2NUZXh0IjoiKFJldmVsbyBDw6FjZXJlcywgR2FyY2lhLU1hcnRpbmV6IGFuZCBHw7NtZXogZGUgQ8OzemFyLCAyMDIzOyBTYXdhbGthcjxzdXA+MTwvc3VwPiBhbmQgV2F5YWw8c3VwPjI8L3N1cD4sIDIwMjUpIiwibWFudWFsT3ZlcnJpZGVUZXh0IjoiIn0sImNpdGF0aW9uSXRlbXMiOlt7ImlkIjoiYmVmY2MzMTEtNmNjYy0zZTYwLTk3OWUtMmM5MTBlZDhkNjAzIiwiaXRlbURhdGEiOnsidHlwZSI6ImFydGljbGUiLCJpZCI6ImJlZmNjMzExLTZjY2MtM2U2MC05NzllLTJjOTEwZWQ4ZDYwMyIsInRpdGxlIjoiQXNzZXNzaW5nIHRoZSBDYXJib24gRm9vdHByaW50IGFuZCBwcm9wb3NpbmcgbmV0IHplcm8gZW1pc3Npb25zIGluIFVyYmFuIENvbnN0cnVjdGlvbiB1c2luZyBCSU0gVG9vbHMiLCJhdXRob3IiOlt7ImZhbWlseSI6IlNhd2Fsa2FywrkiLCJnaXZlbiI6IllvZ2VzaCBTLiIsInBhcnNlLW5hbWVzIjpmYWxzZSwiZHJvcHBpbmctcGFydGljbGUiOiIiLCJub24tZHJvcHBpbmctcGFydGljbGUiOiIifSx7ImZhbWlseSI6IldheWFswrIiLCJnaXZlbiI6IkFiaGF5a3VtYXIgUy4iLCJwYXJzZS1uYW1lcyI6ZmFsc2UsImRyb3BwaW5nLXBhcnRpY2xlIjoiIiwibm9uLWRyb3BwaW5nLXBhcnRpY2xlIjoiIn1dLCJET0kiOiIxMC4yMTIwMy9ycy4zLnJzLTY5MzU1MjAvdjEiLCJVUkwiOiJodHRwczovL3d3dy5yZXNlYXJjaHNxdWFyZS5jb20vYXJ0aWNsZS9ycy02OTM1NTIwL3YxIiwiaXNzdWVkIjp7ImRhdGUtcGFydHMiOltbMjAyNSw2LDIzXV19LCJhYnN0cmFjdCI6IjxwPlRoZSBjb25zdHJ1Y3Rpb24gaW5kdXN0cnkgc2lnbmlmaWNhbnRseSBjb250cmlidXRlcyB0byBnbG9iYWwgY2FyYm9uIGVtaXNzaW9ucywgYWNjb3VudGluZyBmb3IgbmVhcmx5IDQwJSBvZiBlbmVyZ3ktcmVsYXRlZCBDT+KCgiBlbWlzc2lvbnMuIFRoaXMgc3R1ZHkgZm9jdXNlcyBvbiBhc3Nlc3NpbmcgdGhlIGVtYm9kaWVkIGNhcmJvbiBmb290cHJpbnQgb2YgYSAyNC1zdG9yZXkgY29tbWVyY2lhbCBoaWdoLXJpc2UgaW4gV2FyZCBSLU5vcnRoLCBEYWhpc2FyLCBNdW1iYWksIHVzaW5nIEJ1aWxkaW5nIEluZm9ybWF0aW9uIE1vZGVsaW5nIChCSU0pIHRocm91Z2ggQXV0b2Rlc2sgUmV2aXQgYW5kIExpZmUgQ3ljbGUgQXNzZXNzbWVudCAoTENBKSB2aWEgT3BlbkxDQS4gS2V5IGNvbnN0cnVjdGlvbiBtYXRlcmlhbHMgYW5hbHl6ZWQgaW5jbHVkZSByZWluZm9yY2VtZW50IHN0ZWVsLCBNNTAgYW5kIE03MC1ncmFkZSByZWFkeS1taXggY29uY3JldGUgKFJNQyksIEFBQyBibG9ja3MsIHNodXR0ZXJpbmcgcGx5d29vZCwgd29vZGVuIHBsYXRlcywgYW5kIGJpbmRpbmcgd2lyZXMuIFRoZSB0b3RhbCBlbWJvZGllZCBjYXJib24gZW1pc3Npb25zIGR1cmluZyB0aGUgY29uc3RydWN0aW9uIHBoYXNlIHdlcmUgZXN0aW1hdGVkIGF0IDEyLDM1NS40NCB0b25uZXMgb2YgQ0/igoIgZXF1aXZhbGVudCAodENP4oKCZSksIHdpdGggc3RlZWwgYW5kIE01MC1ncmFkZSBjb25jcmV0ZSBhbG9uZSBjb250cmlidXRpbmcgb3ZlciA4NSUuIFRvIG1pdGlnYXRlIGVtaXNzaW9ucywgdGhlIHN0dWR5IHByb3Bvc2VkIHByYWN0aWNhbCwgZWNvLWZyaWVuZGx5IGFsdGVybmF0aXZlcyBzdWNoIGFzIHJlY3ljbGVkIHN0ZWVsLCBncmVlbiBjb25jcmV0ZSB1c2luZyBmbHkgYXNoIG9yIEdHQlMsIGNlbGx1bGFyIGxpZ2h0d2VpZ2h0IGNvbmNyZXRlIChDTEMpIGJsb2NrcywgRlJQIGJhcnMsIHJldXNhYmxlIG1ldGFsIGZvcm13b3JrLCBhbmQgYmFtYm9vIG9yIHJlY3ljbGVkIHBsYXN0aWMgY29tcG9uZW50cy4gSW1wbGVtZW50aW5nIHRoZXNlIHN1YnN0aXR1dGlvbnMgbGVkIHRvIGEgMjYlIHJlZHVjdGlvbiwgbG93ZXJpbmcgdG90YWwgZW1pc3Npb25zIHRvIDksMTQ2LjUyIHRDT+KCgmUuIFRoZSBzdHVkeSBlbXBoYXNpemVzIHRoZSB0cmFuc2Zvcm1hdGl2ZSBwb3RlbnRpYWwgb2YgQklNLUxDQSBpbnRlZ3JhdGlvbiBpbiBzdXBwb3J0aW5nIGRhdGEtZHJpdmVuIGRlY2lzaW9ucyBmb3Igc3VzdGFpbmFibGUgY29uc3RydWN0aW9uLiBCeSBvcHRpbWl6aW5nIG1hdGVyaWFsIHNlbGVjdGlvbiBhbmQgaW5jb3Jwb3JhdGluZyBsb3ctY2FyYm9uIHN0cmF0ZWdpZXMsIHRoZSBjb25zdHJ1Y3Rpb24gaW5kdXN0cnkgY2FuIGFsaWduIHdpdGggZ2xvYmFsIG5ldC16ZXJvIHRhcmdldHMuIFRoaXMgYXBwcm9hY2ggcHJlc2VudHMgYSByZXBsaWNhYmxlIG1vZGVsIGZvciByZWR1Y2luZyBlbWlzc2lvbnMgaW4gZnV0dXJlIHVyYmFuIGluZnJhc3RydWN0dXJlIHByb2plY3RzIGluIEluZGlhLjwvcD4iLCJjb250YWluZXItdGl0bGUtc2hvcnQiOiIifSwiaXNUZW1wb3JhcnkiOmZhbHNlfSx7ImlkIjoiYjZmNjIzZWItYzI1Zi0zZDQ3LWE5NGItNjNmNzRmNTUxYzcyIiwiaXRlbURhdGEiOnsidHlwZSI6ImFydGljbGUtam91cm5hbCIsImlkIjoiYjZmNjIzZWItYzI1Zi0zZDQ3LWE5NGItNjNmNzRmNTUxYzcyIiwidGl0bGUiOiJVc2Ugb2YgR0lTIGFuZCBCSU0gdG9vbHMgaW4gZGV0ZXJtaW5pbmcgdGhlIGxpZmUgY3ljbGUgaW1wYWN0IG9mIHVyYmFuIHN5c3RlbXMuIENhc2Ugc3R1ZHk6IFJlc2lkZW50aWFsIGJ1aWxkaW5ncyB3aGljaCBhcHBseSB0aGUgRWNvLUVmZmljaWVuY3kgTWF0cml4IGluIHRoZSBjaXR5IG9mIFF1aXRvLCBFY3VhZG9yIiwiYXV0aG9yIjpbeyJmYW1pbHkiOiJSZXZlbG8gQ8OhY2VyZXMiLCJnaXZlbiI6Ik5lbGx5IiwicGFyc2UtbmFtZXMiOmZhbHNlLCJkcm9wcGluZy1wYXJ0aWNsZSI6IiIsIm5vbi1kcm9wcGluZy1wYXJ0aWNsZSI6IiJ9LHsiZmFtaWx5IjoiR2FyY2lhLU1hcnRpbmV6IiwiZ2l2ZW4iOiJBbnRvbmlvIiwicGFyc2UtbmFtZXMiOmZhbHNlLCJkcm9wcGluZy1wYXJ0aWNsZSI6IiIsIm5vbi1kcm9wcGluZy1wYXJ0aWNsZSI6IiJ9LHsiZmFtaWx5IjoiR8OzbWV6IGRlIEPDs3phciIsImdpdmVuIjoiSnVhbiBDYXJsb3MiLCJwYXJzZS1uYW1lcyI6ZmFsc2UsImRyb3BwaW5nLXBhcnRpY2xlIjoiIiwibm9uLWRyb3BwaW5nLXBhcnRpY2xlIjoiIn1dLCJjb250YWluZXItdGl0bGUiOiJKb3VybmFsIG9mIENsZWFuZXIgUHJvZHVjdGlvbiIsImNvbnRhaW5lci10aXRsZS1zaG9ydCI6IkouIENsZWFuLiBQcm9kLiIsIkRPSSI6IjEwLjEwMTYvai5qY2xlcHJvLjIwMjIuMTM1NDg1IiwiSVNTTiI6IjA5NTk2NTI2IiwiaXNzdWVkIjp7ImRhdGUtcGFydHMiOltbMjAyMywxLDEwXV19LCJhYnN0cmFjdCI6Ik9mIHRoZSBudW1lcm91cyBlZmZlY3RzIG9mIGh1bWFuIGFjdGl2aXR5IHdpdGggYSBkaXJlY3QgaW1wYWN0IG9uIGNoYW5nZXMgaW4gdGhlIGVudmlyb25tZW50LCBvbmUgb2YgdGhlIG1haW4gYWN0aXZpdGllcyBpcyBjb25zdHJ1Y3Rpb24sIHdoaWNoIGdlbmVyYXRlcyBhcHByb3hpbWF0ZWx5IDMzJSBvZiBDTzIgZW1pc3Npb25zIGludG8gdGhlIGF0bW9zcGhlcmUgYW5kIGNvbnRyaWJ1dGVzIHRvIGFuIGluY3JlYXNlIGluIGVudmlyb25tZW50YWwgaW1wYWN0LiBBdCBwcmVzZW50LCBpbnRlcmVzdCBpbiByZWR1Y2luZyB0aGVzZSBlbWlzc2lvbnMgaGFzIGxlZCB0byB0aGUgZGV2ZWxvcG1lbnQgb2YgdmFyaW91cyB0b29scyB0byBxdWFudGlmeSwgZXZhbHVhdGUgYW5kIGNvbnRyb2wgZW52aXJvbm1lbnRhbCBpbXBhY3QuIEFtb25nIHRoZSBiZXR0ZXIta25vd24gb25lcywgTGlmZSBDeWNsZSBBbmFseXNpcyAoTENBKSBpcyBmcmVxdWVudGx5IGxpbmtlZCB0byBCSU0gbW9kZWxsaW5nLiBUaGUgY2l0aWVzIGFyZSByZXNwb25zaWJsZSBmb3IgNzUlIG9mIGNhcmJvbiBlbWlzc2lvbnMsIGZvciB0aGF0IHJlYXNvbiwgdGhpcyBwYXBlciBhaW1zIHRvIGFuYWx5c2Ugd2hldGhlciB1cmJhbiBjb25jZW50cmF0aW9uIG9mIGhpZ2gtcmlzZSBibG9ja3MuIFVzaW5nIHRoZSBHSVMgdG9vbCB0byBnZW9ncmFwaGljYWxseSB2aXN1YWxpemUgdGhlIHVyYmFuIHN5c3RlbSBvZiB0aGUgc3R1ZHkgYXJlYSwgdGhlIG1haW4gZGlzcGxhY2VtZW50IHJvdXRlcyB3ZXJlIGxvY2F0ZWQgYWNjb3JkaW5nIHRvIHRoZSB0eXBlcyBvZiB0cmFuc3BvcnQgdXNlZCBhbmQgdGhlIGxvY2F0aW9uIG9mIHR3byBzdHVkeSBzaXRlcyBpbiB0aGUgSHlwZXJjZW50cmUgb2YgUXVpdG8gY29uc2lkZXJlZCBhcyBwb2ludHMgb2Ygb3JpZ2luIGZvciB0aGVzZSB0cmlwcy4gVGhlc2UgZGF0YSB3ZXJlIGVudGVyZWQgaW4gc2V2ZXJhbCB0YWJsZXMgdG8gYXNjZXJ0YWluIHRoZSBvdmVyYWxsIGltcGFjdCBpbiB0aGUgdXNlIHBoYXNlIGF0IGNpdHkgbGV2ZWwuIFRoZSBpbXBhY3Qgb2YgdGhlIGJ1aWxkaW5nIGluIHRoZSBwcm9kdWN0aW9uLCBjb25zdHJ1Y3Rpb24sIGRlLWNvbnN0cnVjdGlvbiBhbmQgcmVjeWNsaW5nIHBoYXNlcyB3YXMgYWRkZWQgYXQgYSBsYXRlciBzdGFnZS4gVGhlIHVzZSBvZiB0aGUgdGhyZWUgdG9vbHMgLSBMQ0EsIEJJTSBhbmQgR0lTIC0gYWxsb3dlZCB1cyB0byBlc3RhYmxpc2ggdGhhdCB0aGUgaGlnaGVzdCBudW1iZXIgb2YgaW1wYWN0cyBvY2N1cnMgaW4gdGhlIHVzZSBwaGFzZSwgZ2l2ZW4gdGhlIGhpZ2ggY29uc3VtcHRpb24gb2Ygb3BlcmF0aW9uYWwgZW5lcmd5LiBGaW5hbGx5LCBpdCB3YXMgY29uY2x1ZGVkIHRoYXQgaW4gUXVpdG8sIGEgY2l0eSBtb2RlbCBjb25jZW50cmF0ZWQgaW4gaGVpZ2h0LCBkaXNwbGF5cyBsZXNzIGVudmlyb25tZW50YWwgaW1wYWN0IGNvbXBhcmVkIHRvIHVuY29udHJvbGxlZCB1cmJhbiBleHRlbnNpb24uIEl0IGlzIHRoZXJlZm9yZSBlc3NlbnRpYWwgdG8gbG9jYWxseSBpbXBsZW1lbnQgdG9vbHMsIHN1Y2ggYXMgdGhlIEVjby1FZmZpY2llbmN5IE1hdHJpeCwgd2hpY2ggY29udHJpYnV0ZSB0byB0aGUgc3VzdGFpbmFibGUgZGV2ZWxvcG1lbnQgb2YgdGhlIGNpdHkuIiwicHVibGlzaGVyIjoiRWxzZXZpZXIgTHRkIiwidm9sdW1lIjoiMzgzIn0sImlzVGVtcG9yYXJ5IjpmYWxzZX1dfQ==&quot;,&quot;citationItems&quot;:[{&quot;id&quot;:&quot;befcc311-6ccc-3e60-979e-2c910ed8d603&quot;,&quot;itemData&quot;:{&quot;type&quot;:&quot;article&quot;,&quot;id&quot;:&quot;befcc311-6ccc-3e60-979e-2c910ed8d603&quot;,&quot;title&quot;:&quot;Assessing the Carbon Footprint and proposing net zero emissions in Urban Construction using BIM Tools&quot;,&quot;author&quot;:[{&quot;family&quot;:&quot;Sawalkar¹&quot;,&quot;given&quot;:&quot;Yogesh S.&quot;,&quot;parse-names&quot;:false,&quot;dropping-particle&quot;:&quot;&quot;,&quot;non-dropping-particle&quot;:&quot;&quot;},{&quot;family&quot;:&quot;Wayal²&quot;,&quot;given&quot;:&quot;Abhaykumar S.&quot;,&quot;parse-names&quot;:false,&quot;dropping-particle&quot;:&quot;&quot;,&quot;non-dropping-particle&quot;:&quot;&quot;}],&quot;DOI&quot;:&quot;10.21203/rs.3.rs-6935520/v1&quot;,&quot;URL&quot;:&quot;https://www.researchsquare.com/article/rs-6935520/v1&quot;,&quot;issued&quot;:{&quot;date-parts&quot;:[[2025,6,23]]},&quot;abstract&quot;:&quot;&lt;p&gt;The construction industry significantly contributes to global carbon emissions, accounting for nearly 40% of energy-related CO₂ emissions. This study focuses on assessing the embodied carbon footprint of a 24-storey commercial high-rise in Ward R-North, Dahisar, Mumbai, using Building Information Modeling (BIM) through Autodesk Revit and Life Cycle Assessment (LCA) via OpenLCA. Key construction materials analyzed include reinforcement steel, M50 and M70-grade ready-mix concrete (RMC), AAC blocks, shuttering plywood, wooden plates, and binding wires. The total embodied carbon emissions during the construction phase were estimated at 12,355.44 tonnes of CO₂ equivalent (tCO₂e), with steel and M50-grade concrete alone contributing over 85%. To mitigate emissions, the study proposed practical, eco-friendly alternatives such as recycled steel, green concrete using fly ash or GGBS, cellular lightweight concrete (CLC) blocks, FRP bars, reusable metal formwork, and bamboo or recycled plastic components. Implementing these substitutions led to a 26% reduction, lowering total emissions to 9,146.52 tCO₂e. The study emphasizes the transformative potential of BIM-LCA integration in supporting data-driven decisions for sustainable construction. By optimizing material selection and incorporating low-carbon strategies, the construction industry can align with global net-zero targets. This approach presents a replicable model for reducing emissions in future urban infrastructure projects in India.&lt;/p&gt;&quot;,&quot;container-title-short&quot;:&quot;&quot;},&quot;isTemporary&quot;:false},{&quot;id&quot;:&quot;b6f623eb-c25f-3d47-a94b-63f74f551c72&quot;,&quot;itemData&quot;:{&quot;type&quot;:&quot;article-journal&quot;,&quot;id&quot;:&quot;b6f623eb-c25f-3d47-a94b-63f74f551c72&quot;,&quot;title&quot;:&quot;Use of GIS and BIM tools in determining the life cycle impact of urban systems. Case study: Residential buildings which apply the Eco-Efficiency Matrix in the city of Quito, Ecuador&quot;,&quot;author&quot;:[{&quot;family&quot;:&quot;Revelo Cáceres&quot;,&quot;given&quot;:&quot;Nelly&quot;,&quot;parse-names&quot;:false,&quot;dropping-particle&quot;:&quot;&quot;,&quot;non-dropping-particle&quot;:&quot;&quot;},{&quot;family&quot;:&quot;Garcia-Martinez&quot;,&quot;given&quot;:&quot;Antonio&quot;,&quot;parse-names&quot;:false,&quot;dropping-particle&quot;:&quot;&quot;,&quot;non-dropping-particle&quot;:&quot;&quot;},{&quot;family&quot;:&quot;Gómez de Cózar&quot;,&quot;given&quot;:&quot;Juan Carlos&quot;,&quot;parse-names&quot;:false,&quot;dropping-particle&quot;:&quot;&quot;,&quot;non-dropping-particle&quot;:&quot;&quot;}],&quot;container-title&quot;:&quot;Journal of Cleaner Production&quot;,&quot;container-title-short&quot;:&quot;J. Clean. Prod.&quot;,&quot;DOI&quot;:&quot;10.1016/j.jclepro.2022.135485&quot;,&quot;ISSN&quot;:&quot;09596526&quot;,&quot;issued&quot;:{&quot;date-parts&quot;:[[2023,1,10]]},&quot;abstract&quot;:&quot;Of the numerous effects of human activity with a direct impact on changes in the environment, one of the main activities is construction, which generates approximately 33% of CO2 emissions into the atmosphere and contributes to an increase in environmental impact. At present, interest in reducing these emissions has led to the development of various tools to quantify, evaluate and control environmental impact. Among the better-known ones, Life Cycle Analysis (LCA) is frequently linked to BIM modelling. The cities are responsible for 75% of carbon emissions, for that reason, this paper aims to analyse whether urban concentration of high-rise blocks. Using the GIS tool to geographically visualize the urban system of the study area, the main displacement routes were located according to the types of transport used and the location of two study sites in the Hypercentre of Quito considered as points of origin for these trips. These data were entered in several tables to ascertain the overall impact in the use phase at city level. The impact of the building in the production, construction, de-construction and recycling phases was added at a later stage. The use of the three tools - LCA, BIM and GIS - allowed us to establish that the highest number of impacts occurs in the use phase, given the high consumption of operational energy. Finally, it was concluded that in Quito, a city model concentrated in height, displays less environmental impact compared to uncontrolled urban extension. It is therefore essential to locally implement tools, such as the Eco-Efficiency Matrix, which contribute to the sustainable development of the city.&quot;,&quot;publisher&quot;:&quot;Elsevier Ltd&quot;,&quot;volume&quot;:&quot;383&quot;},&quot;isTemporary&quot;:false}]},{&quot;citationID&quot;:&quot;MENDELEY_CITATION_783e64ef-6fc6-4163-8200-77d2913a12bf&quot;,&quot;properties&quot;:{&quot;noteIndex&quot;:0},&quot;isEdited&quot;:false,&quot;manualOverride&quot;:{&quot;isManuallyOverridden&quot;:false,&quot;citeprocText&quot;:&quot;(Kurian &lt;i&gt;et al.&lt;/i&gt;, 2021; Ganesh, 2024)&quot;,&quot;manualOverrideText&quot;:&quot;&quot;},&quot;citationTag&quot;:&quot;MENDELEY_CITATION_v3_eyJjaXRhdGlvbklEIjoiTUVOREVMRVlfQ0lUQVRJT05fNzgzZTY0ZWYtNmZjNi00MTYzLTgyMDAtNzdkMjkxM2ExMmJmIiwicHJvcGVydGllcyI6eyJub3RlSW5kZXgiOjB9LCJpc0VkaXRlZCI6ZmFsc2UsIm1hbnVhbE92ZXJyaWRlIjp7ImlzTWFudWFsbHlPdmVycmlkZGVuIjpmYWxzZSwiY2l0ZXByb2NUZXh0IjoiKEt1cmlhbiA8aT5ldCBhbC48L2k+LCAyMDIxOyBHYW5lc2gsIDIwMjQpIiwibWFudWFsT3ZlcnJpZGVUZXh0IjoiIn0sImNpdGF0aW9uSXRlbXMiOlt7ImlkIjoiNTRjYjgzMmYtZjdhOS0zNDU2LThjZTMtYjM5Yzg1ZDg1OGVkIiwiaXRlbURhdGEiOnsidHlwZSI6ImFydGljbGUtam91cm5hbCIsImlkIjoiNTRjYjgzMmYtZjdhOS0zNDU2LThjZTMtYjM5Yzg1ZDg1OGVkIiwidGl0bGUiOiJFc3RpbWF0aW9uIG9mIGNhcmJvbiBmb290cHJpbnQgb2YgcmVzaWRlbnRpYWwgYnVpbGRpbmcgaW4gd2FybSBodW1pZCBjbGltYXRlIG9mIGluZGlhIHRocm91Z2ggQklNIiwiYXV0aG9yIjpbeyJmYW1pbHkiOiJLdXJpYW4iLCJnaXZlbiI6IlJvc2FsaXlhIiwicGFyc2UtbmFtZXMiOmZhbHNlLCJkcm9wcGluZy1wYXJ0aWNsZSI6IiIsIm5vbi1kcm9wcGluZy1wYXJ0aWNsZSI6IiJ9LHsiZmFtaWx5IjoiS3Vsa2FybmkiLCJnaXZlbiI6Iktpc2hvciBTaXRhcmFtIiwicGFyc2UtbmFtZXMiOmZhbHNlLCJkcm9wcGluZy1wYXJ0aWNsZSI6IiIsIm5vbi1kcm9wcGluZy1wYXJ0aWNsZSI6IiJ9LHsiZmFtaWx5IjoiUmFtYW5pIiwiZ2l2ZW4iOiJQcmFzYW5uYSBWZW5rYXRlc2FuIiwicGFyc2UtbmFtZXMiOmZhbHNlLCJkcm9wcGluZy1wYXJ0aWNsZSI6IiIsIm5vbi1kcm9wcGluZy1wYXJ0aWNsZSI6IiJ9LHsiZmFtaWx5IjoiTWVlbmEiLCJnaXZlbiI6IkNoYW5kYW4gU3dhcm9vcCIsInBhcnNlLW5hbWVzIjpmYWxzZSwiZHJvcHBpbmctcGFydGljbGUiOiIiLCJub24tZHJvcHBpbmctcGFydGljbGUiOiIifSx7ImZhbWlseSI6Ikt1bWFyIiwiZ2l2ZW4iOiJBc2hvayIsInBhcnNlLW5hbWVzIjpmYWxzZSwiZHJvcHBpbmctcGFydGljbGUiOiIiLCJub24tZHJvcHBpbmctcGFydGljbGUiOiIifSx7ImZhbWlseSI6IkNvenpvbGlubyIsImdpdmVuIjoiUmFmZmFlbGxvIiwicGFyc2UtbmFtZXMiOmZhbHNlLCJkcm9wcGluZy1wYXJ0aWNsZSI6IiIsIm5vbi1kcm9wcGluZy1wYXJ0aWNsZSI6IiJ9XSwiY29udGFpbmVyLXRpdGxlIjoiRW5lcmdpZXMiLCJjb250YWluZXItdGl0bGUtc2hvcnQiOiJFbmVyZ2llcyAoQmFzZWwpLiIsIkRPSSI6IjEwLjMzOTAvZW4xNDE0NDIzNyIsIklTU04iOiIxOTk2MTA3MyIsImlzc3VlZCI6eyJkYXRlLXBhcnRzIjpbWzIwMjEsNywyXV19LCJhYnN0cmFjdCI6IkluIHJlY2VudCB5ZWFycyBBc2lhbiBOYXRpb25zIHNob3dlZCBjb25jZXJuIG92ZXIgdGhlIExpZmUgQ3ljbGUgQXNzZXNzbWVudCAoTENBKSBvZiB0aGVpciBjaXZpbCBpbmZyYXN0cnVjdHVyZS4gVGhpcyBzdHVkeSBwcmVzZW50cyBhIGNvbnRleHR1YWwgaW52ZXN0aWdhdGlvbiBvZiBhIHJlc2lkZW50aWFsIGFwYXJ0bWVudCBjb21wbGV4IGluIHRoZSB0ZXJyaXRvcnkgb2YgdGhlIHNvdXRoZXJuIHBhcnQgb2YgSW5kaWEuIFRoZSBMQ0EgaXMgcGVyZm9ybWVkIHRocm91Z2ggQnVpbGRpbmcgSW5mb3JtYXRpb24gTW9kZWxsaW5nIChCSU0pIHNvZnR3YXJlIGVtYmVkZGVkIHdpdGggRW52aXJvbm1lbnRhbCBQcm9kdWN0IERlY2xhcmF0aW9ucyAoRVBEcykgb2YgbWF0ZXJpYWxzIHV0aWxpemVkIGluIGNvbnN0cnVjdGlvbiwgdHJhbnNwb3J0YXRpb24gb2YgbWF0ZXJpYWxzIGFuZCBvcGVyYXRpb25hbCBlbmVyZ3kgdXNlIHRocm91Z2hvdXQgdGhlIGJ1aWxkaW5nIGxpZmVjeWNsZS4gVGhlIHJlc3VsdHMgb2YgdGhlIHN0dWR5IGlsbHVzdHJhdGUgdGhhdCBjZW1lbnQgaXMgdGhlIG1hdGVyaWFsIHRoYXQgbW9zdCBjb250cmlidXRlcyB0byBjYXJib24gZW1pc3Npb25zIGFtb25nIHRoZSBvdGhlciBtYXRlcmlhbHMgbG9va2VkIGF0IGluIHRoaXMgc3R1ZHkuIFRoZSBvcGVyYXRpb25hbCBzdGFnZSBjb250cmlidXRlZCB0aGUgaGlnaGVzdCBhbW91bnQgb2YgY2FyYm9uIGVtaXNzaW9ucy4gVGhpcyBzdHVkeSBlbXBoYXNpemVzIHZhcmlhdGlvbiBpbiB0aGUgTENBIHJlc3VsdHMgYmFzZWQgb24gdGhlIHNlbGVjdGlvbiBvZiBhIGNvbWJpbmF0aW9uIG9mIGRlZmluaXRlIHNvZnR3YXJlLWRhdGFiYXNlIGNvbWJpbmF0aW9ucyBhbmQgbWFudWFsLWRhdGFiYXNlIGNvbXB1dGF0aW9ucyB1c2VkLiBGb3IgdGhpcywgdGhyZWUgTENBIGRhdGFiYXNlcyB3ZXJlIGFkb3B0ZWQgKEdhQmkgZGF0YWJhc2UgYW5kIGVjb2ludmVudCBkYXRhYmFzZXMgdGhyb3VnaCBPbmUgQ2xpY2sgTENBIHNvZnR3YXJlKSwgYW5kIHRoZSBJQ0UgZGF0YWJhc2Ugd2FzIHVzZWQgZm9yIG1hbnVhbCBjYWxjdWxhdGlvbnMuIFRoZSBJQ0UgZGF0YWJhc2Ugc2hvd2VkIHJlYWxpc3RpYyB2YWx1ZSBjb21wYXJpbmcgdGhlIEdhQmkgYW5kIGVjb2ludmVudCBkYXRhYmFzZXMuIFRoZSBmaW5kaW5ncyBvZiB0aGlzIHN0dWR5IGFyZSB2YWx1YWJsZSBmb3IgdGhlIHBvbGljeW1ha2VycyBhbmQgcHJhY3RpdGlvbmVycyB0byBhY2NvbXBsaXNoIG9wdGltaXphdGlvbiBvZiBHcmVlbmhvdXNlIEdhcyAoR0hHKSBlbWlzc2lvbnMgb3ZlciB0aGUgYnVpbGRpbmcgbGlmZSBjeWNsZS4iLCJwdWJsaXNoZXIiOiJNdWx0aWRpc2NpcGxpbmFyeSBEaWdpdGFsIFB1Ymxpc2hpbmcgSW5zdGl0dXRlIChNRFBJKSIsImlzc3VlIjoiMTQiLCJ2b2x1bWUiOiIxNCJ9LCJpc1RlbXBvcmFyeSI6ZmFsc2V9LHsiaWQiOiJiYjVlMWQwOS02OGU1LTNkNjMtOTU0Yy0xZGM5YjE3OGVjZDIiLCJpdGVtRGF0YSI6eyJ0eXBlIjoiYXJ0aWNsZS1qb3VybmFsIiwiaWQiOiJiYjVlMWQwOS02OGU1LTNkNjMtOTU0Yy0xZGM5YjE3OGVjZDIiLCJ0aXRsZSI6IkFuIEFzc2Vzc21lbnQgb2YgUmVzaWRlbnRpYWwgQnVpbGRpbmcgTWF0ZXJpYWxzIEltcGFjdCBvbiBFbnZpcm9ubWVudCBVc2luZyBCSU0gdGhyb3VnaCBhIENhc2UgU3R1ZHkgQXBwcm9hY2giLCJhdXRob3IiOlt7ImZhbWlseSI6IkdhbmVzaCIsImdpdmVuIjoiUC4gU2FpIiwicGFyc2UtbmFtZXMiOmZhbHNlLCJkcm9wcGluZy1wYXJ0aWNsZSI6IiIsIm5vbi1kcm9wcGluZy1wYXJ0aWNsZSI6IiJ9XSwiY29udGFpbmVyLXRpdGxlIjoiSW50ZXJuYXRpb25hbCBKb3VybmFsIGZvciBSZXNlYXJjaCBpbiBBcHBsaWVkIFNjaWVuY2UgYW5kIEVuZ2luZWVyaW5nIFRlY2hub2xvZ3kiLCJjb250YWluZXItdGl0bGUtc2hvcnQiOiJJbnQuIEouIFJlcy4gQXBwbC4gU2NpLiBFbmcuIFRlY2hub2wuIiwiRE9JIjoiMTAuMjIyMTQvaWpyYXNldC4yMDI0LjU4ODA0IiwiaXNzdWVkIjp7ImRhdGUtcGFydHMiOltbMjAyNCwzLDMxXV19LCJwYWdlIjoiMzYyLTM2OSIsImFic3RyYWN0IjoiQWJzdHJhY3Q6IEJ1aWxkaW5nIGNvbnN0cnVjdGlvbiBjYW4gcmVzdWx0IGluIGNhcmJvbiBlbWlzc2lvbnMgdGhhdCBoYXZlIGEgc3Vic3RhbnRpYWwgbmVnYXRpdmUgaW5mbHVlbmNlIG9uIHRoZSBlbnZpcm9ubWVudC4gU3R1ZGllcyBzaG93IHRoYXQgNDAlIG9mIGdsb2JhbCBDbzIgZW1pc3Npb25zIGVhY2ggeWVhciBhcmUgY2F1c2VkIGJ5IHRoZSBidWlsdCBlbnZpcm9ubWVudCBhbmQgQ2VtZW50IGlzIGEgd2lkZWx5IHV0aWxpemVkIGJ1aWxkaW5nIGluZ3JlZGllbnQgaW4gdGhlIGNvbnN0cnVjdGlvbiBpbmR1c3RyeSwgYW4gZXNzZW50aWFsIHBhcnQgb2YgdGhlIGNvbmNyZXRlIG1peC4gQXBwcm94aW1hdGVseSA3ICUgb2YgdGhlIGNhcmJvbiBlbWlzc2lvbnMgaW4gdGhlIHdvcmxkIGFyZSBjYXVzZWQgYnkgY2VtZW50LiBCeSBzdWJzdGl0dXRpbmcgbG93LWVtaXNzaW9uIGFuZCBzdXN0YWluYWJsZSBidWlsZGluZyBtYXRlcmlhbHMgZm9yIHRob3NlIHdpdGggaGlnaGVyIGNhcmJvbiBlbWlzc2lvbnMsIHRoZSBidWlsZGluZydzIGNhcmJvbiBlbWlzc2lvbnMgY2FuIGJlIGRlY3JlYXNlZC4gVXNpbmcgbWF0ZXJpYWxzIHRoYXQgYXJlIGxvbmctbGFzdGluZyBhbmQgaGF2ZSBsb3cgZW1ib2RpZWQgY2FyYm9uIHdoZW4gYXJlIHNvdXJjZWQgZXRoaWNhbGx5LiBSZWR1Y2VkIGNhcmJvbiBlbWlzc2lvbnMgZnJvbSBjb25zdHJ1Y3Rpb24gbWF0ZXJpYWxzIGNhbiBiZSBhY2hpZXZlZCBpbiBsYXJnZSBwYXJ0IGJ5IGVhcmx5IGRlY2lzaW9uIG1ha2luZyBpbiBBRUMgcGhhc2VzLiBJbiB0aGlzIHBhcGVyIGFuIGFzc2Vzc21lbnQgb2YgcmVzaWRlbnRpYWwgYnVpbGRpbmcgbWF0ZXJpYWxzIGltcGFjdCBvbiBlbnZpcm9ubWVudCBpcyBjYXJyaWVkIGJ5IHVzaW5nIEJJTSBhbmQgTENBIHRvb2xzIGFuZCBkaWZmZXJlbmNlIGluIGVtYm9kaWVkIGVuZXJneSBpcyBvYnNlcnZlZCBieSBvcHRpbWl6aW5nIHRoZSBidWlsZGluZyBwbGFuIiwicHVibGlzaGVyIjoiSW50ZXJuYXRpb25hbCBKb3VybmFsIGZvciBSZXNlYXJjaCBpbiBBcHBsaWVkIFNjaWVuY2UgYW5kIEVuZ2luZWVyaW5nIFRlY2hub2xvZ3kgKElKUkFTRVQpIiwiaXNzdWUiOiIzIiwidm9sdW1lIjoiMTIifSwiaXNUZW1wb3JhcnkiOmZhbHNlfV19&quot;,&quot;citationItems&quot;:[{&quot;id&quot;:&quot;54cb832f-f7a9-3456-8ce3-b39c85d858ed&quot;,&quot;itemData&quot;:{&quot;type&quot;:&quot;article-journal&quot;,&quot;id&quot;:&quot;54cb832f-f7a9-3456-8ce3-b39c85d858ed&quot;,&quot;title&quot;:&quot;Estimation of carbon footprint of residential building in warm humid climate of india through BIM&quot;,&quot;author&quot;:[{&quot;family&quot;:&quot;Kurian&quot;,&quot;given&quot;:&quot;Rosaliya&quot;,&quot;parse-names&quot;:false,&quot;dropping-particle&quot;:&quot;&quot;,&quot;non-dropping-particle&quot;:&quot;&quot;},{&quot;family&quot;:&quot;Kulkarni&quot;,&quot;given&quot;:&quot;Kishor Sitaram&quot;,&quot;parse-names&quot;:false,&quot;dropping-particle&quot;:&quot;&quot;,&quot;non-dropping-particle&quot;:&quot;&quot;},{&quot;family&quot;:&quot;Ramani&quot;,&quot;given&quot;:&quot;Prasanna Venkatesan&quot;,&quot;parse-names&quot;:false,&quot;dropping-particle&quot;:&quot;&quot;,&quot;non-dropping-particle&quot;:&quot;&quot;},{&quot;family&quot;:&quot;Meena&quot;,&quot;given&quot;:&quot;Chandan Swaroop&quot;,&quot;parse-names&quot;:false,&quot;dropping-particle&quot;:&quot;&quot;,&quot;non-dropping-particle&quot;:&quot;&quot;},{&quot;family&quot;:&quot;Kumar&quot;,&quot;given&quot;:&quot;Ashok&quot;,&quot;parse-names&quot;:false,&quot;dropping-particle&quot;:&quot;&quot;,&quot;non-dropping-particle&quot;:&quot;&quot;},{&quot;family&quot;:&quot;Cozzolino&quot;,&quot;given&quot;:&quot;Raffaello&quot;,&quot;parse-names&quot;:false,&quot;dropping-particle&quot;:&quot;&quot;,&quot;non-dropping-particle&quot;:&quot;&quot;}],&quot;container-title&quot;:&quot;Energies&quot;,&quot;container-title-short&quot;:&quot;Energies (Basel).&quot;,&quot;DOI&quot;:&quot;10.3390/en14144237&quot;,&quot;ISSN&quot;:&quot;19961073&quot;,&quot;issued&quot;:{&quot;date-parts&quot;:[[2021,7,2]]},&quot;abstract&quot;:&quot;In recent years Asian Nations showed concern over the Life Cycle Assessment (LCA) of their civil infrastructure. This study presents a contextual investigation of a residential apartment complex in the territory of the southern part of India. The LCA is performed through Building Information Modelling (BIM) software embedded with Environmental Product Declarations (EPDs) of materials utilized in construction, transportation of materials and operational energy use throughout the building lifecycle. The results of the study illustrate that cement is the material that most contributes to carbon emissions among the other materials looked at in this study. The operational stage contributed the highest amount of carbon emissions. This study emphasizes variation in the LCA results based on the selection of a combination of definite software-database combinations and manual-database computations used. For this, three LCA databases were adopted (GaBi database and ecoinvent databases through One Click LCA software), and the ICE database was used for manual calculations. The ICE database showed realistic value comparing the GaBi and ecoinvent databases. The findings of this study are valuable for the policymakers and practitioners to accomplish optimization of Greenhouse Gas (GHG) emissions over the building life cycle.&quot;,&quot;publisher&quot;:&quot;Multidisciplinary Digital Publishing Institute (MDPI)&quot;,&quot;issue&quot;:&quot;14&quot;,&quot;volume&quot;:&quot;14&quot;},&quot;isTemporary&quot;:false},{&quot;id&quot;:&quot;bb5e1d09-68e5-3d63-954c-1dc9b178ecd2&quot;,&quot;itemData&quot;:{&quot;type&quot;:&quot;article-journal&quot;,&quot;id&quot;:&quot;bb5e1d09-68e5-3d63-954c-1dc9b178ecd2&quot;,&quot;title&quot;:&quot;An Assessment of Residential Building Materials Impact on Environment Using BIM through a Case Study Approach&quot;,&quot;author&quot;:[{&quot;family&quot;:&quot;Ganesh&quot;,&quot;given&quot;:&quot;P. Sai&quot;,&quot;parse-names&quot;:false,&quot;dropping-particle&quot;:&quot;&quot;,&quot;non-dropping-particle&quot;:&quot;&quot;}],&quot;container-title&quot;:&quot;International Journal for Research in Applied Science and Engineering Technology&quot;,&quot;container-title-short&quot;:&quot;Int. J. Res. Appl. Sci. Eng. Technol.&quot;,&quot;DOI&quot;:&quot;10.22214/ijraset.2024.58804&quot;,&quot;issued&quot;:{&quot;date-parts&quot;:[[2024,3,31]]},&quot;page&quot;:&quot;362-369&quot;,&quot;abstract&quot;:&quot;Abstract: Building construction can result in carbon emissions that have a substantial negative influence on the environment. Studies show that 40% of global Co2 emissions each year are caused by the built environment and Cement is a widely utilized building ingredient in the construction industry, an essential part of the concrete mix. Approximately 7 % of the carbon emissions in the world are caused by cement. By substituting low-emission and sustainable building materials for those with higher carbon emissions, the building's carbon emissions can be decreased. Using materials that are long-lasting and have low embodied carbon when are sourced ethically. Reduced carbon emissions from construction materials can be achieved in large part by early decision making in AEC phases. In this paper an assessment of residential building materials impact on environment is carried by using BIM and LCA tools and difference in embodied energy is observed by optimizing the building plan&quot;,&quot;publisher&quot;:&quot;International Journal for Research in Applied Science and Engineering Technology (IJRASET)&quot;,&quot;issue&quot;:&quot;3&quot;,&quot;volume&quot;:&quot;12&quot;},&quot;isTemporary&quot;:false}]},{&quot;citationID&quot;:&quot;MENDELEY_CITATION_8f37640b-fa02-48e4-a515-e62812a72742&quot;,&quot;properties&quot;:{&quot;noteIndex&quot;:0},&quot;isEdited&quot;:false,&quot;manualOverride&quot;:{&quot;isManuallyOverridden&quot;:false,&quot;citeprocText&quot;:&quot;(Marzouk, Azab and Metawie, 2016; Forth, Abualdenien and Borrmann, 2023)&quot;,&quot;manualOverrideText&quot;:&quot;&quot;},&quot;citationTag&quot;:&quot;MENDELEY_CITATION_v3_eyJjaXRhdGlvbklEIjoiTUVOREVMRVlfQ0lUQVRJT05fOGYzNzY0MGItZmEwMi00OGU0LWE1MTUtZTYyODEyYTcyNzQyIiwicHJvcGVydGllcyI6eyJub3RlSW5kZXgiOjB9LCJpc0VkaXRlZCI6ZmFsc2UsIm1hbnVhbE92ZXJyaWRlIjp7ImlzTWFudWFsbHlPdmVycmlkZGVuIjpmYWxzZSwiY2l0ZXByb2NUZXh0IjoiKE1hcnpvdWssIEF6YWIgYW5kIE1ldGF3aWUsIDIwMTY7IEZvcnRoLCBBYnVhbGRlbmllbiBhbmQgQm9ycm1hbm4sIDIwMjMpIiwibWFudWFsT3ZlcnJpZGVUZXh0IjoiIn0sImNpdGF0aW9uSXRlbXMiOlt7ImlkIjoiNmU2Y2FiNTUtMjQ4YS0zMzk1LWIzYmYtZTljZjRkOThkYmZiIiwiaXRlbURhdGEiOnsidHlwZSI6ImFydGljbGUtam91cm5hbCIsImlkIjoiNmU2Y2FiNTUtMjQ4YS0zMzk1LWIzYmYtZTljZjRkOThkYmZiIiwidGl0bGUiOiJGcmFtZXdvcmsgZm9yIHN1c3RhaW5hYmxlIGxvdy1pbmNvbWUgaG91c2luZyBwcm9qZWN0cyB1c2luZyBidWlsZGluZyBpbmZvcm1hdGlvbiBtb2RlbGluZyIsImF1dGhvciI6W3siZmFtaWx5IjoiTWFyem91ayIsImdpdmVuIjoiTS4iLCJwYXJzZS1uYW1lcyI6ZmFsc2UsImRyb3BwaW5nLXBhcnRpY2xlIjoiIiwibm9uLWRyb3BwaW5nLXBhcnRpY2xlIjoiIn0seyJmYW1pbHkiOiJBemFiIiwiZ2l2ZW4iOiJTLiIsInBhcnNlLW5hbWVzIjpmYWxzZSwiZHJvcHBpbmctcGFydGljbGUiOiIiLCJub24tZHJvcHBpbmctcGFydGljbGUiOiIifSx7ImZhbWlseSI6Ik1ldGF3aWUiLCJnaXZlbiI6Ik0uIiwicGFyc2UtbmFtZXMiOmZhbHNlLCJkcm9wcGluZy1wYXJ0aWNsZSI6IiIsIm5vbi1kcm9wcGluZy1wYXJ0aWNsZSI6IiJ9XSwiY29udGFpbmVyLXRpdGxlIjoiSm91cm5hbCBvZiBFbnZpcm9ubWVudGFsIEluZm9ybWF0aWNzIiwiRE9JIjoiMTAuMzgwOC9qZWkuMjAxNjAwMzMyIiwiSVNTTiI6IjE2ODQ4Nzk5IiwiaXNzdWVkIjp7ImRhdGUtcGFydHMiOltbMjAxNiw5LDFdXX0sInBhZ2UiOiIyNS0zOCIsImFic3RyYWN0IjoiR292ZXJubWVudHMgaW4gZGV2ZWxvcGluZyBjb3VudHJpZXMgc2VydmUgbG93IGluY29tZSBwZW9wbGUgYnkgY29uc3RydWN0aW5nIGxvdyBpbmNvbWUgaG91c2luZyBwcm9qZWN0cy4gTW9zdCBvZiB0b3RhbCBsaWZlIGN5Y2xlIGNvc3QgKExDQykgb2YgdGhlc2UgcHJvamVjdHMgaXMgaW5jdXJyZWQgZHVyaW5nIHRoZSBvcGVyYXRpb25hbCBwaGFzZSwgbWFraW5nIHRoZXNlIHByb2plY3RzIGxvc2UgdGhlaXIgZWNvbm9taWMgYXNwZWN0IG9mIHN1c3RhaW5hYmlsaXR5LiBEZWNyZWFzaW5nIHRoZSBjb3N0IG9mIGxvdyBpbmNvbWUgaG91c2luZyBwcm9qZWN0cyBhbmQgdGFraW5nIGludG8gY29uc2lkZXJhdGlvbiB0aGUgYXZhaWxhYmxlIHJlc291cmNlcyBhcmUgdHdvIGNydS1jaWFsIGZhY2V0cyB0aGF0IHNob3VsZCBiZSB0YWtlbiBpbnRvIGNvbnNpZGVyYXRpb24uIFRoZXJlZm9yZSwgdGhpcyBwYXBlciBmb2N1c2VzIG9uIHR3byBhc3BlY3RzIG9mIHRoZSBzdXN0YWluYWJpbGl0eSBvZiBidWlsZGluZyB0aHJvdWdoIGl0cyBsaWZlIGN5Y2xlLCB3aGljaCBhcmUgZW52aXJvbm1lbnRhbCBhbmQgZWNvbm9taWMgYXNwZWN0cyB1c2luZyBlbnZpcm9ubWVudGFsbHkgZnJpZW5kbHkgbWF0ZXJpYWxzIGluIGNvbnN0cnVjdGlvbi4gVG8gYWNjb21wbGlzaCB0aGlzIGFpbSwgYSBmcmFtZXdvcmsgaXMgZGV2ZWxvcGVkIHRoYXQgaW50ZWdyYXRlcyBCdWlsZGluZyBJbmZvcm1hdGlvbiBNb2RlbGluZyAoQklNKSB3aXRoIGNvbXB1dGVyIHNpbXVsYXRpb24sIG9wdGltaXphdGlvbiBhbmQgc3lzdGVtIGR5bmFtaWNzIGluIExvdyBJbmNvbWUgSG91c2luZyAoTElIKSBwcm9qZWN0cy4gVGhlIGRldmVsb3BlZCBmcmFtZXdvcmsgaGVscHMgaW4gZGV0ZXJtaW5pbmcgTElIIHByb2plY3QgZHVyYXRpb24gYW5kIHNlbGVjdGluZyB0aGUgb3B0aW11bSBhbHRlcm5hdGl2ZSB3aXRoIHRvIG1hdGVyaWFsIHN5c3RlbXMuIFRoZSBzdXN0YWluYWJpbGl0eSBhc3BlY3RzIG9mIGJ1aWxkaW5nIGFyZSBhY2hpZXZlZCBieSBjb25zaWRlcmluZyBhIExDQyBvZiB0aGVzZSBidWlsZGluZ3MgYW5kIHRoZSBudW1iZXIgb2YgcG9pbnRzIHRoYXQgY2FuIGJlIGF3YXJkZWQgdW5kZXIgdGhlIExlYWRlcnNoaXAgaW4gRW5lcmd5IGFuZCBFbnZpcm9ubWVudGFsIERlc2lnbiAoTEVFRCkgcmEtdGluZyBzeXN0ZW0uIEl0IGFpZHMgZ292ZXJubWVudCBhbmQvb3IgY29udHJhY3RvcnMgaW4gYWRvcHRpbmcgQklNIHRlY2hub2xvZ3kgdG8gbWluaW1pemUgbGlmZSBjeWNsZSBjb3N0IHdoaWxlIGFjaGlldmluZyBtYXhpbXVtIExFRUQgbWF0ZXJpYWxzIGNyZWRpdHMgcG9pbnRzIGZvciBMSUggcHJvamVjdHMuIFNvY2lhbCBIb3VzaW5nIHByb2plY3QgaW4gQmFkciBDaXR5LUVneXB0IGlzIGNvbnNpZGVyZWQgYXMgYSBjYXNlIHN0dWR5IHRvIGRlbW9uLXN0cmF0ZSB0aGUgdXNlIG9mIHRoZSBkZXZlbG9wZWQgcHJvdG90eXBlIGFuZCB0byBpbGx1c3RyYXRlIGl0cyBlc3NlbnRpYWwgZmVhdHVyZXMuIFRoZSByZXN1bHRzIGhhdmUgc2hvd24gdGhhdCBzZWxlY3Rpb24gb2Ygc3VzdGFpbmFibGUtYnVpbGRpbmcgbWF0ZXJpYWxzIGZvciB0aGUgY29uc3RydWN0aW9uIGhhcyBhIGNydWNpYWwgcm9sZSBpbiB0aGUgZm9ybWF0aW9uIG9mIGEgc3VzdGFpbmFibGUgYnVpbGRpbmcgYXMgdGhleSBhZmZlY3QgdGhlIHBlcmZvcm1hbmNlIG9mIGJ1aWxkaW5nLiBUaGVyZWZvcmUsIHRoZSBFZ3lwdGlhbiBnb3Zlcm5tZW50IHNob3VsZCBjb25zaWRlciBidWlsZGluZyBtYXRlcmlhbHMgd2l0aCBzdXN0YWluYWJsZSBwcm9wZXJ0aWVzIGFuZCBhIGxvdyBMQ0MgaW4gdGhlIGRlLXNpZ24gcGhhc2UgdG8gbWl0aWdhdGUgdGhlIG5lZ2F0aXZlIGltcGFjdHMgb2YgTElIIHByb2plY3RzLiIsInB1Ymxpc2hlciI6IkludGVybmF0aW9uYWwgU29jaWV0eSBmb3IgRW52aXJvbm1lbnRhbCBJbmZvcm1hdGlvbiBTY2llbmNlcyIsImlzc3VlIjoiMSIsInZvbHVtZSI6IjI4IiwiY29udGFpbmVyLXRpdGxlLXNob3J0IjoiIn0sImlzVGVtcG9yYXJ5IjpmYWxzZX0seyJpZCI6ImE1MDc2ZTcxLTNhMTktMzYzMy1iZDRmLTg1OWIzYjNiZjA5YSIsIml0ZW1EYXRhIjp7InR5cGUiOiJhcnRpY2xlLWpvdXJuYWwiLCJpZCI6ImE1MDc2ZTcxLTNhMTktMzYzMy1iZDRmLTg1OWIzYjNiZjA5YSIsInRpdGxlIjoiQ2FsY3VsYXRpb24gb2YgZW1ib2RpZWQgR0hHIGVtaXNzaW9ucyBpbiBlYXJseSBidWlsZGluZyBkZXNpZ24gc3RhZ2VzIHVzaW5nIEJJTSBhbmQgTkxQLWJhc2VkIHNlbWFudGljIG1vZGVsIGhlYWxpbmciLCJhdXRob3IiOlt7ImZhbWlseSI6IkZvcnRoIiwiZ2l2ZW4iOiJLYXNpbWlyIiwicGFyc2UtbmFtZXMiOmZhbHNlLCJkcm9wcGluZy1wYXJ0aWNsZSI6IiIsIm5vbi1kcm9wcGluZy1wYXJ0aWNsZSI6IiJ9LHsiZmFtaWx5IjoiQWJ1YWxkZW5pZW4iLCJnaXZlbiI6IkppbW15IiwicGFyc2UtbmFtZXMiOmZhbHNlLCJkcm9wcGluZy1wYXJ0aWNsZSI6IiIsIm5vbi1kcm9wcGluZy1wYXJ0aWNsZSI6IiJ9LHsiZmFtaWx5IjoiQm9ycm1hbm4iLCJnaXZlbiI6IkFuZHLDqSIsInBhcnNlLW5hbWVzIjpmYWxzZSwiZHJvcHBpbmctcGFydGljbGUiOiIiLCJub24tZHJvcHBpbmctcGFydGljbGUiOiIifV0sImNvbnRhaW5lci10aXRsZSI6IkVuZXJneSBhbmQgQnVpbGRpbmdzIiwiY29udGFpbmVyLXRpdGxlLXNob3J0IjoiRW5lcmd5IEJ1aWxkLiIsIkRPSSI6IjEwLjEwMTYvai5lbmJ1aWxkLjIwMjMuMTEyODM3IiwiSVNTTiI6IjAzNzg3Nzg4IiwiaXNzdWVkIjp7ImRhdGUtcGFydHMiOltbMjAyMyw0LDFdXX0sImFic3RyYWN0IjoiVG8gcmVhY2ggdGhlIGdvYWxzIG9mIGxpbWl0aW5nIGdsb2JhbCB3YXJtaW5nLCB0aGUgZW1ib2RpZWQgZ3JlZW5ob3VzZSBnYXMgKEdIRykgZW1pc3Npb25zIG9mIG5ldyBidWlsZGluZ3MgbmVlZCB0byBiZSBxdWFudGlmaWVkIGFuZCBvcHRpbWl6ZWQgaW4gdGhlIHZlcnkgZWFybHkgZGVzaWduIHN0YWdlcywgZHVyaW5nIHdoaWNoIGRlc2lnbiBkZWNpc2lvbnMgc2lnbmlmaWNhbnRseSBpbmZsdWVuY2UgdGhlIHN1Y2Nlc3Mgb2YgcHJvamVjdHMgaW4gYWNoaWV2aW5nIHRoZWlyIHBlcmZvcm1hbmNlIGdvYWxzLiBTZW1hbnRpY2FsbHkgcmljaCBidWlsZGluZyBpbmZvcm1hdGlvbiBtb2RlbHMgKEJJTSkgZW5hYmxlIHRvIHBlcmZvcm0gYW4gYXV0b21hdGVkIHF1YW50aXR5IHRha2Utb2ZmIG9mIHRoZSByZWxldmFudCBlbGVtZW50cyBmb3IgY2FsY3VsYXRpbmcgYSB3aG9sZSBidWlsZGluZyBsaWZlIGN5Y2xlIGFzc2Vzc21lbnQgKExDQSkuIEhvd2V2ZXIsIGltcHJlY2lzZSB0eXBlIGFuZCBwcm9wZXJ0eSBpbmZvcm1hdGlvbiBvZnRlbiBmb3VuZCBpbiB0b2RheSdzIEJJTSBwcmFjdGljZSBoaW5kZXJzIGEgc2VhbWxlc3MgcHJvY2Vzc2luZyBmb3IgZG93bnN0cmVhbSBhcHBsaWNhdGlvbnMuIEF0IHRoZSBzYW1lIHRpbWUsIHRoZSBlYXJseSBkZXNpZ24gc3RhZ2VzIGFyZSBjaGFyYWN0ZXJpemVkIGJ5IGhpZ2ggdW5jZXJ0YWludHkgZHVlIHRvIHRoZSBsYWNrIG9mIGluZm9ybWF0aW9uIGFuZCBrbm93bGVkZ2UsIG1ha2luZyBhIGhvbGlzdGljIGFuZCBjb25zaXN0ZW50IExDQSBmb3Igc3VwcG9ydGluZyBkZXNpZ24gZGVjaXNpb25zIGFuZCBvcHRpbWl6aW5nIHBlcmZvcm1hbmNlIGNoYWxsZW5naW5nLiBJbiBhc3Nlc3NpbmcgdGhpcyBvZnRlbiB2YWd1ZSBpbmZvcm1hdGlvbiwgaXQgaXMgZXNzZW50aWFsIHRvIGNvbnNpZGVyIGRpZmZlcmVudCBsZXZlbHMgb2YgZWxlbWVudCBhbmQgbWF0ZXJpYWwgaW5mb3JtYXRpb24gZm9yIG1hdGNoaW5nIEJJTSB0byBMQ0EgZGF0YS4gRm9yIGV4YW1wbGUsIHRoZSBzdHJ1Y3R1cmFsIHByb3BlcnRpZXMgb2YgY29uY3JldGUgYXJlIG5vdCB5ZXQgZGVmaW5lZCBpbiBlYXJseSBkZXNpZ24gc3RhZ2VzIGFuZCBzaG91bGQgaW5zdGVhZCBiZSBjb25zaWRlcmVkIGFzIGEgcmFuZ2Ugb2YgbWF0ZXJpYWwgb3B0aW9ucyBkdWUgdG8gZGlmZmVyZW50IGNvbXByZXNzaXZlIHN0cmVuZ3RoIGNsYXNzZXMuIFRoaXMgcGFwZXIgcHJlc2VudHMgYSBub3ZlbCBtZXRob2RvbG9neSBmb3IgYXV0b21hdGljYWxseSBtYXRjaGluZyB0aGUgY29hcnNlIGluZm9ybWF0aW9uIGF2YWlsYWJsZSBpbiBCSU0gbW9kZWxzIG9mIHRoZSBlYXJseSBkZXNpZ24gc3RhZ2VzIHRvIHRoZSByZXNwZWN0aXZlIGVudHJpZXMgaW4gTENBIGRhdGFiYXNlcyBhcyBhIGJhc2lzIGZvciBhIGZ1bGx5IGF1dG9tYXRlZCBjYWxjdWxhdGlvbiBwcm9jZXNzIG9mIHRoZSBlbWJvZGllZCBHSEcgZW1pc3Npb25zIG9mIG5ldyBidWlsZGluZ3MuIFRoaXMgYXBwcm9hY2ggc29sdmVzIHRoZSBleGlzdGluZyBnYXAgaW4gdGhlIGF1dG9tYXRpb24gcHJvY2VzcyBvZiBtYW51YWxseSBlbnJpY2hpbmcgQklNIG1vZGVscyBhbmQgYWRkaW5nIGluZm9ybWF0aW9uIG9mIExDQSBkYXRhIGFuZCBtaXNzaW5nIGxheWVycyBvZiB2YWd1ZSBtb2RlbHMuIEluIG1vcmUgZGV0YWlsLCB0aGUgcHJvcG9zZWQgbWV0aG9kIGlzIGJhc2VkIG9uIE5hdHVyYWwgTGFuZ3VhZ2UgUHJvY2Vzc2luZyAoTkxQKSwgdXNpbmcgZGlmZmVyZW50IHN0cmF0ZWdpZXMgdG8gaW5jcmVhc2UgcGVyZm9ybWFuY2UgaW4gbWF0Y2hpbmcgZWxlbWVudHMgYW5kIG1hdGVyaWFscyBmcm9tIGEgQklNIG1vZGVsIHRvIGEga25vd2xlZGdlIGRhdGFiYXNlIHRvIGVucmljaCBlbnZpcm9ubWVudGFsIGluZGljYXRvcnMgb2YgY29tbW9ubHkgdXNlZCBlbGVtZW50c+KAmSBtYXRlcmlhbHMuIFRoZSBrbm93bGVkZ2UgZGF0YWJhc2UgY29udGFpbnMgYWxsIG1pc3NpbmcgaW5mb3JtYXRpb24gZm9yIExDQXMgYW5kIGhhcyBkaWZmZXJlbnQgbGV2ZWxzIG9mIGluZm9ybWF0aW9uIGZvciBhIHJhbmdlIG9mIHNldmVyYWwgcG90ZW50aWFsIGRlc2lnbiBvcHRpb25zIG9mIGVsZW1lbnRzIGFuZCBtYXRlcmlhbHMsIGluY2x1ZGluZyB0aGVpciBkZXBlbmRlbmNpZXMuIEFjY29yZGluZ2x5LCB0aGlzIHBhcGVyIGludmVzdGlnYXRlcyBtdWx0aXBsZSBOTFAgdGVjaG5pcXVlcyBhbmQgZXZhbHVhdGVzIHRoZSBwZXJmb3JtYW5jZSBvZiBzdGF0ZS1vZi10aGUtYXJ0IGRlZXAgbGVhcm5pbmcgbW9kZWxzIHN1Y2ggYXMgR2VybWFOZXQsIFNwYUN5LCBvciBCRVJULiBGb2xsb3dpbmcgdGhpcywgdGhlIG1vc3QgcGVyZm9ybWFudCBOTFAgYXBwcm9hY2ggaXMgdXNlZCB0byBwcm92aWRlIGFuIGF1dG9tYXRpYyB3b3JrZmxvdyBmb3IgbWF0Y2hpbmcgSW5kdXN0cnkgRm91bmRhdGlvbiBDbGFzc2VzIChJRkMpIGVsZW1lbnRzIHRvIHRoZSBrbm93bGVkZ2UgZGF0YWJhc2UsIGZhY2lsaXRhdGluZyBhIHNlYW1sZXNzIExDQSBpbiB0aGUgZWFybHkgc3RhZ2VzIG9mIGRlc2lnbi4gRm9yIGZpdmUgZGlmZmVyZW50IGNhc2Ugc3R1ZGllcywgdGhlIHBlcmZvcm1hbmNlcyBvZiB0aGUgcHJvcG9zZWQgbWF0Y2hpbmcgbWV0aG9kIGFyZSBhbmFseXplZC4gRmluYWxseSwgb25lIGNhc2Ugc3R1ZHkgaXMgc2VsZWN0ZWQgdG8gY29tcGFyZSB0aGUgZW1ib2RpZWQgZW1pc3Npb25zIHJlc3VsdHMgdG8gdGhvc2Ugb2YgdGhlIGNvbnZlbnRpb25hbCBwcm9jZXNzLiIsInB1Ymxpc2hlciI6IkVsc2V2aWVyIEx0ZCIsInZvbHVtZSI6IjI4NCJ9LCJpc1RlbXBvcmFyeSI6ZmFsc2V9XX0=&quot;,&quot;citationItems&quot;:[{&quot;id&quot;:&quot;6e6cab55-248a-3395-b3bf-e9cf4d98dbfb&quot;,&quot;itemData&quot;:{&quot;type&quot;:&quot;article-journal&quot;,&quot;id&quot;:&quot;6e6cab55-248a-3395-b3bf-e9cf4d98dbfb&quot;,&quot;title&quot;:&quot;Framework for sustainable low-income housing projects using building information modeling&quot;,&quot;author&quot;:[{&quot;family&quot;:&quot;Marzouk&quot;,&quot;given&quot;:&quot;M.&quot;,&quot;parse-names&quot;:false,&quot;dropping-particle&quot;:&quot;&quot;,&quot;non-dropping-particle&quot;:&quot;&quot;},{&quot;family&quot;:&quot;Azab&quot;,&quot;given&quot;:&quot;S.&quot;,&quot;parse-names&quot;:false,&quot;dropping-particle&quot;:&quot;&quot;,&quot;non-dropping-particle&quot;:&quot;&quot;},{&quot;family&quot;:&quot;Metawie&quot;,&quot;given&quot;:&quot;M.&quot;,&quot;parse-names&quot;:false,&quot;dropping-particle&quot;:&quot;&quot;,&quot;non-dropping-particle&quot;:&quot;&quot;}],&quot;container-title&quot;:&quot;Journal of Environmental Informatics&quot;,&quot;DOI&quot;:&quot;10.3808/jei.201600332&quot;,&quot;ISSN&quot;:&quot;16848799&quot;,&quot;issued&quot;:{&quot;date-parts&quot;:[[2016,9,1]]},&quot;page&quot;:&quot;25-38&quot;,&quot;abstract&quot;:&quot;Governments in developing countries serve low income people by constructing low income housing projects. Most of total life cycle cost (LCC) of these projects is incurred during the operational phase, making these projects lose their economic aspect of sustainability. Decreasing the cost of low income housing projects and taking into consideration the available resources are two cru-cial facets that should be taken into consideration. Therefore, this paper focuses on two aspects of the sustainability of building through its life cycle, which are environmental and economic aspects using environmentally friendly materials in construction. To accomplish this aim, a framework is developed that integrates Building Information Modeling (BIM) with computer simulation, optimization and system dynamics in Low Income Housing (LIH) projects. The developed framework helps in determining LIH project duration and selecting the optimum alternative with to material systems. The sustainability aspects of building are achieved by considering a LCC of these buildings and the number of points that can be awarded under the Leadership in Energy and Environmental Design (LEED) ra-ting system. It aids government and/or contractors in adopting BIM technology to minimize life cycle cost while achieving maximum LEED materials credits points for LIH projects. Social Housing project in Badr City-Egypt is considered as a case study to demon-strate the use of the developed prototype and to illustrate its essential features. The results have shown that selection of sustainable-building materials for the construction has a crucial role in the formation of a sustainable building as they affect the performance of building. Therefore, the Egyptian government should consider building materials with sustainable properties and a low LCC in the de-sign phase to mitigate the negative impacts of LIH projects.&quot;,&quot;publisher&quot;:&quot;International Society for Environmental Information Sciences&quot;,&quot;issue&quot;:&quot;1&quot;,&quot;volume&quot;:&quot;28&quot;,&quot;container-title-short&quot;:&quot;&quot;},&quot;isTemporary&quot;:false},{&quot;id&quot;:&quot;a5076e71-3a19-3633-bd4f-859b3b3bf09a&quot;,&quot;itemData&quot;:{&quot;type&quot;:&quot;article-journal&quot;,&quot;id&quot;:&quot;a5076e71-3a19-3633-bd4f-859b3b3bf09a&quot;,&quot;title&quot;:&quot;Calculation of embodied GHG emissions in early building design stages using BIM and NLP-based semantic model healing&quot;,&quot;author&quot;:[{&quot;family&quot;:&quot;Forth&quot;,&quot;given&quot;:&quot;Kasimir&quot;,&quot;parse-names&quot;:false,&quot;dropping-particle&quot;:&quot;&quot;,&quot;non-dropping-particle&quot;:&quot;&quot;},{&quot;family&quot;:&quot;Abualdenien&quot;,&quot;given&quot;:&quot;Jimmy&quot;,&quot;parse-names&quot;:false,&quot;dropping-particle&quot;:&quot;&quot;,&quot;non-dropping-particle&quot;:&quot;&quot;},{&quot;family&quot;:&quot;Borrmann&quot;,&quot;given&quot;:&quot;André&quot;,&quot;parse-names&quot;:false,&quot;dropping-particle&quot;:&quot;&quot;,&quot;non-dropping-particle&quot;:&quot;&quot;}],&quot;container-title&quot;:&quot;Energy and Buildings&quot;,&quot;container-title-short&quot;:&quot;Energy Build.&quot;,&quot;DOI&quot;:&quot;10.1016/j.enbuild.2023.112837&quot;,&quot;ISSN&quot;:&quot;03787788&quot;,&quot;issued&quot;:{&quot;date-parts&quot;:[[2023,4,1]]},&quot;abstract&quot;:&quot;To reach the goals of limiting global warming, the embodied greenhouse gas (GHG) emissions of new buildings need to be quantified and optimized in the very early design stages, during which design decisions significantly influence the success of projects in achieving their performance goals. Semantically rich building information models (BIM) enable to perform an automated quantity take-off of the relevant elements for calculating a whole building life cycle assessment (LCA). However, imprecise type and property information often found in today's BIM practice hinders a seamless processing for downstream applications. At the same time, the early design stages are characterized by high uncertainty due to the lack of information and knowledge, making a holistic and consistent LCA for supporting design decisions and optimizing performance challenging. In assessing this often vague information, it is essential to consider different levels of element and material information for matching BIM to LCA data. For example, the structural properties of concrete are not yet defined in early design stages and should instead be considered as a range of material options due to different compressive strength classes. This paper presents a novel methodology for automatically matching the coarse information available in BIM models of the early design stages to the respective entries in LCA databases as a basis for a fully automated calculation process of the embodied GHG emissions of new buildings. This approach solves the existing gap in the automation process of manually enriching BIM models and adding information of LCA data and missing layers of vague models. In more detail, the proposed method is based on Natural Language Processing (NLP), using different strategies to increase performance in matching elements and materials from a BIM model to a knowledge database to enrich environmental indicators of commonly used elements’ materials. The knowledge database contains all missing information for LCAs and has different levels of information for a range of several potential design options of elements and materials, including their dependencies. Accordingly, this paper investigates multiple NLP techniques and evaluates the performance of state-of-the-art deep learning models such as GermaNet, SpaCy, or BERT. Following this, the most performant NLP approach is used to provide an automatic workflow for matching Industry Foundation Classes (IFC) elements to the knowledge database, facilitating a seamless LCA in the early stages of design. For five different case studies, the performances of the proposed matching method are analyzed. Finally, one case study is selected to compare the embodied emissions results to those of the conventional process.&quot;,&quot;publisher&quot;:&quot;Elsevier Ltd&quot;,&quot;volume&quot;:&quot;284&quot;},&quot;isTemporary&quot;:false}]},{&quot;citationID&quot;:&quot;MENDELEY_CITATION_2890b14e-be3d-4b2f-977c-8381a0d21656&quot;,&quot;properties&quot;:{&quot;noteIndex&quot;:0},&quot;isEdited&quot;:false,&quot;manualOverride&quot;:{&quot;isManuallyOverridden&quot;:false,&quot;citeprocText&quot;:&quot;(Namaki &lt;i&gt;et al.&lt;/i&gt;, 2024)&quot;,&quot;manualOverrideText&quot;:&quot;&quot;},&quot;citationTag&quot;:&quot;MENDELEY_CITATION_v3_eyJjaXRhdGlvbklEIjoiTUVOREVMRVlfQ0lUQVRJT05fMjg5MGIxNGUtYmUzZC00YjJmLTk3N2MtODM4MWEwZDIxNjU2IiwicHJvcGVydGllcyI6eyJub3RlSW5kZXgiOjB9LCJpc0VkaXRlZCI6ZmFsc2UsIm1hbnVhbE92ZXJyaWRlIjp7ImlzTWFudWFsbHlPdmVycmlkZGVuIjpmYWxzZSwiY2l0ZXByb2NUZXh0IjoiKE5hbWFraSA8aT5ldCBhbC48L2k+LCAyMDI0KSIsIm1hbnVhbE92ZXJyaWRlVGV4dCI6IiJ9LCJjaXRhdGlvbkl0ZW1zIjpbeyJpZCI6IjM2NjIwN2IxLTU4ZmYtM2Y1My1hMWZmLTc1MmNjY2ZiNmM4NyIsIml0ZW1EYXRhIjp7InR5cGUiOiJhcnRpY2xlLWpvdXJuYWwiLCJpZCI6IjM2NjIwN2IxLTU4ZmYtM2Y1My1hMWZmLTc1MmNjY2ZiNmM4NyIsInRpdGxlIjoiQW4gSW50ZWdyYXRlZCBCdWlsZGluZyBJbmZvcm1hdGlvbiBNb2RlbGluZyBhbmQgTGlmZS1DeWNsZSBBc3Nlc3NtZW50IEFwcHJvYWNoIHRvIEZhY2lsaXRhdGUgRGVzaWduIERlY2lzaW9ucyBvbiBTdXN0YWluYWJsZSBCdWlsZGluZyBQcm9qZWN0cyBpbiBDYW5hZGEiLCJhdXRob3IiOlt7ImZhbWlseSI6Ik5hbWFraSIsImdpdmVuIjoiUGFyc2EiLCJwYXJzZS1uYW1lcyI6ZmFsc2UsImRyb3BwaW5nLXBhcnRpY2xlIjoiIiwibm9uLWRyb3BwaW5nLXBhcnRpY2xlIjoiIn0seyJmYW1pbHkiOiJWZWdlc25hIiwiZ2l2ZW4iOiJCaGF2eWEgU3JlZSIsInBhcnNlLW5hbWVzIjpmYWxzZSwiZHJvcHBpbmctcGFydGljbGUiOiIiLCJub24tZHJvcHBpbmctcGFydGljbGUiOiIifSx7ImZhbWlseSI6IkJpZ2RlbGxvdSIsImdpdmVuIjoiU2FlaWRlIiwicGFyc2UtbmFtZXMiOmZhbHNlLCJkcm9wcGluZy1wYXJ0aWNsZSI6IiIsIm5vbi1kcm9wcGluZy1wYXJ0aWNsZSI6IiJ9LHsiZmFtaWx5IjoiQ2hlbiIsImdpdmVuIjoiUnVpemhpIiwicGFyc2UtbmFtZXMiOmZhbHNlLCJkcm9wcGluZy1wYXJ0aWNsZSI6IiIsIm5vbi1kcm9wcGluZy1wYXJ0aWNsZSI6IiJ9LHsiZmFtaWx5IjoiQ2hlbiIsImdpdmVuIjoiUWlhbiIsInBhcnNlLW5hbWVzIjpmYWxzZSwiZHJvcHBpbmctcGFydGljbGUiOiIiLCJub24tZHJvcHBpbmctcGFydGljbGUiOiIifV0sImNvbnRhaW5lci10aXRsZSI6IlN1c3RhaW5hYmlsaXR5IChTd2l0emVybGFuZCkgIiwiRE9JIjoiMTAuMzM5MC9zdTE2MTE0NzE4IiwiSVNTTiI6IjIwNzExMDUwIiwiaXNzdWVkIjp7ImRhdGUtcGFydHMiOltbMjAyNCw2LDFdXX0sImFic3RyYWN0IjoiSW4gdGhlIGNvbnRleHQgb2YgdGhlIGRpZ2l0YWwgYW5kIHN1c3RhaW5hYmxlIHRyYW5zZm9ybWF0aW9uIG9mIGJ1aWxkaW5nIHByb2plY3RzLCB0aGUgaW50ZWdyYXRlZCBhcHByb2FjaCBvZiBCdWlsZGluZyBJbmZvcm1hdGlvbiBNb2RlbGluZyAoQklNKSBhbmQgbGlmZS1jeWNsZSBhc3Nlc3NtZW50IChMQ0EpIGhhcyBiZWVuIHdpZGVseSBzdHVkaWVkLiBSZWNlbnQgYWR2YW5jZW1lbnRzIGluIHN1Y2ggaW50ZWdyYXRlZCBtb2RlbGluZyBwcm9jZXNzZXMgYW5kIHRlY2huaXF1ZXMgaGF2ZSBub3QgeWV0IHByb3ZpZGVkIHJlbGlhYmxlIGFuZCByb2J1c3QgZGVjaXNpb24tbWFraW5nIGNhcGFiaWxpdGllcyBmb3IgZGVzaWduZXJzIHRvIGludHVpdGl2ZWx5IGNob29zZSBiZXR3ZWVuIG1hdGVyaWFsIGFsdGVybmF0aXZlcy4gVGhpcyBzdHVkeSBkZXZlbG9wcyBhIG5ldyBkZXNpZ24gZnJhbWV3b3JrIHRoYXQgaW50ZWdyYXRlcyBCSU0sIExDQSwgYW5kIG11bHRpLWNyaXRlcmlhIGRlY2lzaW9uLW1ha2luZyAoTUNETSkgYWxnb3JpdGhtcyB0byBmYWNpbGl0YXRlIHN1c3RhaW5hYmxlIGRlc2lnbiBwcm9jZXNzZXMgaW4gYnVpbGRpbmcgcHJvamVjdHMuIEEgY2FzZSBzdHVkeSB1c2luZyBhIHNpbmdsZS1mYW1pbHkgaG91c2luZyBwcm9qZWN0IGluIHRoZSBCcml0aXNoIENvbHVtYmlhIHByb3ZpbmNlIG9mIENhbmFkYSB3YXMgaW1wbGVtZW50ZWQgdG8gdGVzdCB0aGUgZGVzaWducyB0byBkZW1vbnN0cmF0ZSB0aGUgZWZmZWN0aXZlbmVzcyBvZiB0aGUgcHJvcG9zZWQgaW50ZWdyYXRlZCBmcmFtZXdvcmssIGluY2x1ZGluZyBhIHRocmVlLXdheSBjb21wYXJpc29uIG9mIGRlc2lnbiBzY2VuYXJpb3PigJRjb252ZW50aW9uYWwgaG90LXJvbGwgc3RlZWwsIHJlY3ljbGVkIHN0ZWVsLCBhbmQgdGltYmVyLiBUaGUgcmVzdWx0cyBpbmRpY2F0ZSBhIHNpZ25pZmljYW50IHBlcmZvcm1hbmNlIGltcHJvdmVtZW50IHdpdGggdGhlIGFkb3B0aW9uIG9mIHJlY3ljbGVkIHN0cnVjdHVyYWwgc3RlZWwgbWF0ZXJpYWxzLCBzdXJwYXNzaW5nIGNvbnZlbnRpb25hbCBzdGVlbCBkZXNpZ25zIGFuZCBkZW1vbnN0cmF0aW5nIGEgc2ltaWxhciBwZXJmb3JtYW5jZSB0byB0aGF0IG9mIHRpbWJlciBkZXNpZ25zLiBUaGUgc3R1ZHkgdW5kZXJzY29yZXMgdGhlIGltcG9ydGFuY2Ugb2YgaW5mb3JtZWQgZGVjaXNpb24tbWFraW5nIGluIG1hdGVyaWFsIHNlbGVjdGlvbiwgZHJpdmVuIGJ5IHRoZSBxdWFudGl0YXRpdmUgYW5hbHlzaXMgb2YgZGlnaXRhbCBkZXNpZ25zIGFuZCBtdWx0aS1jcml0ZXJpYSBldmFsdWF0aW9uIChlLmcuLCBzb2NpYWwgY2FyYm9uIGNvc3QpLiBUaGlzIGludGVncmF0ZWQgZnJhbWV3b3JrIG9mZmVycyBhIHZhbHVhYmxlIHRvb2wgZm9yIGRlc2lnbmVycywgZW5naW5lZXJzLCBhbmQgYnVpbGRlcnMgdG8gYWNoaWV2ZSBzdXN0YWluYWJpbGl0eSB3aGVuIGRlc2lnbmluZyBidWlsZGluZyBwcm9qZWN0cyB0aHJvdWdoIHRoZSBzeXN0ZW1hdGljIGFuZCByYXBpZCBjb21wYXJpc29uIG9mIGVudmlyb25tZW50YWwgcGVyZm9ybWFuY2UuIiwicHVibGlzaGVyIjoiTXVsdGlkaXNjaXBsaW5hcnkgRGlnaXRhbCBQdWJsaXNoaW5nIEluc3RpdHV0ZSAoTURQSSkiLCJpc3N1ZSI6IjExIiwidm9sdW1lIjoiMTYiLCJjb250YWluZXItdGl0bGUtc2hvcnQiOiIifSwiaXNUZW1wb3JhcnkiOmZhbHNlfV19&quot;,&quot;citationItems&quot;:[{&quot;id&quot;:&quot;366207b1-58ff-3f53-a1ff-752cccfb6c87&quot;,&quot;itemData&quot;:{&quot;type&quot;:&quot;article-journal&quot;,&quot;id&quot;:&quot;366207b1-58ff-3f53-a1ff-752cccfb6c87&quot;,&quot;title&quot;:&quot;An Integrated Building Information Modeling and Life-Cycle Assessment Approach to Facilitate Design Decisions on Sustainable Building Projects in Canada&quot;,&quot;author&quot;:[{&quot;family&quot;:&quot;Namaki&quot;,&quot;given&quot;:&quot;Parsa&quot;,&quot;parse-names&quot;:false,&quot;dropping-particle&quot;:&quot;&quot;,&quot;non-dropping-particle&quot;:&quot;&quot;},{&quot;family&quot;:&quot;Vegesna&quot;,&quot;given&quot;:&quot;Bhavya Sree&quot;,&quot;parse-names&quot;:false,&quot;dropping-particle&quot;:&quot;&quot;,&quot;non-dropping-particle&quot;:&quot;&quot;},{&quot;family&quot;:&quot;Bigdellou&quot;,&quot;given&quot;:&quot;Saeide&quot;,&quot;parse-names&quot;:false,&quot;dropping-particle&quot;:&quot;&quot;,&quot;non-dropping-particle&quot;:&quot;&quot;},{&quot;family&quot;:&quot;Chen&quot;,&quot;given&quot;:&quot;Ruizhi&quot;,&quot;parse-names&quot;:false,&quot;dropping-particle&quot;:&quot;&quot;,&quot;non-dropping-particle&quot;:&quot;&quot;},{&quot;family&quot;:&quot;Chen&quot;,&quot;given&quot;:&quot;Qian&quot;,&quot;parse-names&quot;:false,&quot;dropping-particle&quot;:&quot;&quot;,&quot;non-dropping-particle&quot;:&quot;&quot;}],&quot;container-title&quot;:&quot;Sustainability (Switzerland) &quot;,&quot;DOI&quot;:&quot;10.3390/su16114718&quot;,&quot;ISSN&quot;:&quot;20711050&quot;,&quot;issued&quot;:{&quot;date-parts&quot;:[[2024,6,1]]},&quot;abstract&quot;:&quot;In the context of the digital and sustainable transformation of building projects, the integrated approach of Building Information Modeling (BIM) and life-cycle assessment (LCA) has been widely studied. Recent advancements in such integrated modeling processes and techniques have not yet provided reliable and robust decision-making capabilities for designers to intuitively choose between material alternatives. This study develops a new design framework that integrates BIM, LCA, and multi-criteria decision-making (MCDM) algorithms to facilitate sustainable design processes in building projects. A case study using a single-family housing project in the British Columbia province of Canada was implemented to test the designs to demonstrate the effectiveness of the proposed integrated framework, including a three-way comparison of design scenarios—conventional hot-roll steel, recycled steel, and timber. The results indicate a significant performance improvement with the adoption of recycled structural steel materials, surpassing conventional steel designs and demonstrating a similar performance to that of timber designs. The study underscores the importance of informed decision-making in material selection, driven by the quantitative analysis of digital designs and multi-criteria evaluation (e.g., social carbon cost). This integrated framework offers a valuable tool for designers, engineers, and builders to achieve sustainability when designing building projects through the systematic and rapid comparison of environmental performance.&quot;,&quot;publisher&quot;:&quot;Multidisciplinary Digital Publishing Institute (MDPI)&quot;,&quot;issue&quot;:&quot;11&quot;,&quot;volume&quot;:&quot;16&quot;,&quot;container-title-short&quot;:&quot;&quot;},&quot;isTemporary&quot;:false}]},{&quot;citationID&quot;:&quot;MENDELEY_CITATION_7acf9055-b6bb-4c5e-8025-857d32121496&quot;,&quot;properties&quot;:{&quot;noteIndex&quot;:0},&quot;isEdited&quot;:false,&quot;manualOverride&quot;:{&quot;isManuallyOverridden&quot;:false,&quot;citeprocText&quot;:&quot;(Guízar Dena, García Hípola and Fernández Bandera, 2025)&quot;,&quot;manualOverrideText&quot;:&quot;&quot;},&quot;citationTag&quot;:&quot;MENDELEY_CITATION_v3_eyJjaXRhdGlvbklEIjoiTUVOREVMRVlfQ0lUQVRJT05fN2FjZjkwNTUtYjZiYi00YzVlLTgwMjUtODU3ZDMyMTIxNDk2IiwicHJvcGVydGllcyI6eyJub3RlSW5kZXgiOjB9LCJpc0VkaXRlZCI6ZmFsc2UsIm1hbnVhbE92ZXJyaWRlIjp7ImlzTWFudWFsbHlPdmVycmlkZGVuIjpmYWxzZSwiY2l0ZXByb2NUZXh0IjoiKEd1w616YXIgRGVuYSwgR2FyY8OtYSBIw61wb2xhIGFuZCBGZXJuw6FuZGV6IEJhbmRlcmEsIDIwMjUpIiwibWFudWFsT3ZlcnJpZGVUZXh0IjoiIn0sImNpdGF0aW9uSXRlbXMiOlt7ImlkIjoiMTVmNDM1YzItOWJjNC0zZTAxLThiY2YtMWMzZDQxOTgwYTA5IiwiaXRlbURhdGEiOnsidHlwZSI6InBhcGVyLWNvbmZlcmVuY2UiLCJpZCI6IjE1ZjQzNWMyLTliYzQtM2UwMS04YmNmLTFjM2Q0MTk4MGEwOSIsInRpdGxlIjoiQnVpbGRpbmcgSW5mb3JtYXRpb24gTW9kZWwgKEJJTSkgYW5kIExpZmUgQ3ljbGUgQW5hbHlzaXMgdG9vbHM6IEEgY29tcGFyYXRpdmUgc3R1ZHkgd2l0aCBzcGVjaWFsaXplZCBzb2Z0d2FyZSBmb3IgZW52aXJvbm1lbnRhbCBwZXJmb3JtYW5jZSBvZiBidWlsZGluZ3MiLCJhdXRob3IiOlt7ImZhbWlseSI6Ikd1w616YXIgRGVuYSIsImdpdmVuIjoiQW5kcsOpcyBKb25hdGhhbiIsInBhcnNlLW5hbWVzIjpmYWxzZSwiZHJvcHBpbmctcGFydGljbGUiOiIiLCJub24tZHJvcHBpbmctcGFydGljbGUiOiIifSx7ImZhbWlseSI6IkdhcmPDrWEgSMOtcG9sYSIsImdpdmVuIjoiTWFyw61hIGRlbCBDYXJtZW4iLCJwYXJzZS1uYW1lcyI6ZmFsc2UsImRyb3BwaW5nLXBhcnRpY2xlIjoiIiwibm9uLWRyb3BwaW5nLXBhcnRpY2xlIjoiIn0seyJmYW1pbHkiOiJGZXJuw6FuZGV6IEJhbmRlcmEiLCJnaXZlbiI6IkNhcmxvcyIsInBhcnNlLW5hbWVzIjpmYWxzZSwiZHJvcHBpbmctcGFydGljbGUiOiIiLCJub24tZHJvcHBpbmctcGFydGljbGUiOiIifV0sImNvbnRhaW5lci10aXRsZSI6IlByb2NlZWRpbmdzIG9mIEJ1aWxkaW5nIFNpbXVsYXRpb24gMjAyNTogMTl0aCBDb25mZXJlbmNlIG9mIElCUFNBIiwiRE9JIjoiMTAuMjY4NjgvMjUyMjI3MDguMjAyNS4xMzE2IiwiSVNCTiI6Ijk3ODE3NzUwNTIwNDMiLCJJU1NOIjoiMjUyMjI3MDgiLCJpc3N1ZWQiOnsiZGF0ZS1wYXJ0cyI6W1syMDI1LDExLDI2XV19LCJwdWJsaXNoZXIiOiJJQlBTQSIsInZvbHVtZSI6IjE5IiwiY29udGFpbmVyLXRpdGxlLXNob3J0IjoiIn0sImlzVGVtcG9yYXJ5IjpmYWxzZX1dfQ==&quot;,&quot;citationItems&quot;:[{&quot;id&quot;:&quot;15f435c2-9bc4-3e01-8bcf-1c3d41980a09&quot;,&quot;itemData&quot;:{&quot;type&quot;:&quot;paper-conference&quot;,&quot;id&quot;:&quot;15f435c2-9bc4-3e01-8bcf-1c3d41980a09&quot;,&quot;title&quot;:&quot;Building Information Model (BIM) and Life Cycle Analysis tools: A comparative study with specialized software for environmental performance of buildings&quot;,&quot;author&quot;:[{&quot;family&quot;:&quot;Guízar Dena&quot;,&quot;given&quot;:&quot;Andrés Jonathan&quot;,&quot;parse-names&quot;:false,&quot;dropping-particle&quot;:&quot;&quot;,&quot;non-dropping-particle&quot;:&quot;&quot;},{&quot;family&quot;:&quot;García Hípola&quot;,&quot;given&quot;:&quot;María del Carmen&quot;,&quot;parse-names&quot;:false,&quot;dropping-particle&quot;:&quot;&quot;,&quot;non-dropping-particle&quot;:&quot;&quot;},{&quot;family&quot;:&quot;Fernández Bandera&quot;,&quot;given&quot;:&quot;Carlos&quot;,&quot;parse-names&quot;:false,&quot;dropping-particle&quot;:&quot;&quot;,&quot;non-dropping-particle&quot;:&quot;&quot;}],&quot;container-title&quot;:&quot;Proceedings of Building Simulation 2025: 19th Conference of IBPSA&quot;,&quot;DOI&quot;:&quot;10.26868/25222708.2025.1316&quot;,&quot;ISBN&quot;:&quot;9781775052043&quot;,&quot;ISSN&quot;:&quot;25222708&quot;,&quot;issued&quot;:{&quot;date-parts&quot;:[[2025,11,26]]},&quot;publisher&quot;:&quot;IBPSA&quot;,&quot;volume&quot;:&quot;19&quot;,&quot;container-title-short&quot;:&quot;&quot;},&quot;isTemporary&quot;:false}]},{&quot;citationID&quot;:&quot;MENDELEY_CITATION_1919fab9-7acf-47fc-b558-96328afd38f7&quot;,&quot;properties&quot;:{&quot;noteIndex&quot;:0},&quot;isEdited&quot;:false,&quot;manualOverride&quot;:{&quot;isManuallyOverridden&quot;:false,&quot;citeprocText&quot;:&quot;(Ajayi, Oyedele and Ilori, 2019)&quot;,&quot;manualOverrideText&quot;:&quot;&quot;},&quot;citationTag&quot;:&quot;MENDELEY_CITATION_v3_eyJjaXRhdGlvbklEIjoiTUVOREVMRVlfQ0lUQVRJT05fMTkxOWZhYjktN2FjZi00N2ZjLWI1NTgtOTYzMjhhZmQzOGY3IiwicHJvcGVydGllcyI6eyJub3RlSW5kZXgiOjB9LCJpc0VkaXRlZCI6ZmFsc2UsIm1hbnVhbE92ZXJyaWRlIjp7ImlzTWFudWFsbHlPdmVycmlkZGVuIjpmYWxzZSwiY2l0ZXByb2NUZXh0IjoiKEFqYXlpLCBPeWVkZWxlIGFuZCBJbG9yaSwgMjAxOSkiLCJtYW51YWxPdmVycmlkZVRleHQiOiIifSwiY2l0YXRpb25JdGVtcyI6W3siaWQiOiIwN2MxMTE4Zi0wOWVmLTNiYjktYWQ2YS1hZDUzZTU4MDI0ZTciLCJpdGVtRGF0YSI6eyJ0eXBlIjoiYXJ0aWNsZS1qb3VybmFsIiwiaWQiOiIwN2MxMTE4Zi0wOWVmLTNiYjktYWQ2YS1hZDUzZTU4MDI0ZTciLCJ0aXRsZSI6IkNoYW5naW5nIHNpZ25pZmljYW5jZSBvZiBlbWJvZGllZCBlbmVyZ3k6IEEgY29tcGFyYXRpdmUgc3R1ZHkgb2YgbWF0ZXJpYWwgc3BlY2lmaWNhdGlvbnMgYW5kIGJ1aWxkaW5nIGVuZXJneSBzb3VyY2VzIiwiYXV0aG9yIjpbeyJmYW1pbHkiOiJBamF5aSIsImdpdmVuIjoiU2FoZWVkIE8uIiwicGFyc2UtbmFtZXMiOmZhbHNlLCJkcm9wcGluZy1wYXJ0aWNsZSI6IiIsIm5vbi1kcm9wcGluZy1wYXJ0aWNsZSI6IiJ9LHsiZmFtaWx5IjoiT3llZGVsZSIsImdpdmVuIjoiTHVrdW1vbiBPLiIsInBhcnNlLW5hbWVzIjpmYWxzZSwiZHJvcHBpbmctcGFydGljbGUiOiIiLCJub24tZHJvcHBpbmctcGFydGljbGUiOiIifSx7ImZhbWlseSI6Iklsb3JpIiwiZ2l2ZW4iOiJPbHVzZWd1biBNLiIsInBhcnNlLW5hbWVzIjpmYWxzZSwiZHJvcHBpbmctcGFydGljbGUiOiIiLCJub24tZHJvcHBpbmctcGFydGljbGUiOiIifV0sImNvbnRhaW5lci10aXRsZSI6IkpvdXJuYWwgb2YgQnVpbGRpbmcgRW5naW5lZXJpbmciLCJET0kiOiIxMC4xMDE2L2ouam9iZS4yMDE5LjAyLjAwOCIsIklTU04iOiIyMzUyNzEwMiIsImlzc3VlZCI6eyJkYXRlLXBhcnRzIjpbWzIwMTksNSwxXV19LCJwYWdlIjoiMzI0LTMzMyIsImFic3RyYWN0IjoiRGVzcGl0ZSB0aGUgaW5jcmVhc2luZyBzaWduaWZpY2FuY2Ugb2YgZW1ib2RpZWQgaW1wYWN0cyBvZiBidWlsZGluZ3MsIGVmZm9ydHMgdG8gcmVkdWNlIHRoZWlyIGVudmlyb25tZW50YWwgZm9vdHByaW50cyBoYXZlIGJlZW4gY29uY2VudHJhdGVkIG9uIHRoZSBvcGVyYXRpb25hbCBpbXBhY3RzIG9mIGJ1aWxkaW5ncy4gVGhpcyBzdHVkeSBpbnZlc3RpZ2F0ZXMgdGhlIGNoYW5naW5nIHNpZ25pZmljYW5jZSBvZiBlbWJvZGllZCBjYXJib24gb3ZlciB0aGUgZW50aXJlIGxpZmUgY3ljbGUgb2Ygd2hvbGUgYnVpbGRpbmdzLiBBIGNhc2Ugc3R1ZHkgb2YgYW4gb2ZmaWNlIGJ1aWxkaW5nIHdhcyBtb2RlbGxlZCB3aXRoIFJldml0LCBhbmQgc2Vuc2l0aXZpdHkgYW5hbHlzZXMgb2YgdGhlIG1vZGVsbGVkIGJ1aWxkaW5nIHdlcmUgcGVyZm9ybWVkIGJ5IHZhcnlpbmcgdGhlIG1hdGVyaWFsIHNwZWNpZmljYXRpb24gYW5kIGVuZXJneSB1c2UgcGF0dGVybiBmb3Igc2V2ZW4gb3RoZXIgdHlwb2xvZ2llcy4gVXNpbmcgUmV2aXQsIEJJTVdBU1RFIHRvb2wsIEFUSEVOQSBJbXBhY3QgRXN0aW1hdG9yIGFuZCBHcmVlbiBCdWlsZGluZyBTdHVkaW8sIGNvbXBhcmF0aXZlIGxpZmUtY3ljbGUgYW5hbHlzZXMgd2VyZSBjYXJyaWVkIG91dCBmb3IgdGhlIGVpZ2h0IGJ1aWxkaW5nIHR5cG9sb2dpZXMuIFRoZSBzdHVkeSBzdWdnZXN0cyB0aGF0IG5vdHdpdGhzdGFuZGluZyB0aGUgZW5vcm1vdXMgaW1wYWN0cyBvZiB0aGUgb3BlcmF0aW9uYWwgc3RhZ2Ugb24gbGlmZS1jeWNsZSBjYXJib24gb2YgZm9zc2lsIGZ1ZWwtYmFzZWQgYnVpbGRpbmdzLCBlbWJvZGllZCBpbXBhY3RzIGNvdWxkIHZhcnkgYmV0d2VlbiA4LjQlIGFuZCAyMi4zJS4gQSBrZXkgZGV0ZXJtaW5hbnQgb2YgdGhlIHByb3BvcnRpb25hbCBpbXBhY3RzIG9mIGVtYm9kaWVkIGVuZXJneSBpcyB0aGUgbmF0dXJlIG9mIG1hdGVyaWFscyB1c2VkIGZvciBidWlsZGluZyBjb25zdHJ1Y3Rpb24uIFNpbWlsYXJseSwgZW1ib2RpZWQgaW1wYWN0cyBvZiBidWlsZGluZ3MgYmVjb21lIG1vcmUgc2lnbmlmaWNhbnQgYW5kIGNvdWxkIGNvbnRyaWJ1dGUgdXAgdG8gNjAlIG9mIHRoZWlyIGxpZmUgY3ljbGUgaW1wYWN0cyBhcyB0aGV5IGJlY29tZSBtb3JlIGVuZXJneS1lZmZpY2llbnQgZHVyaW5nIHRoZWlyIG9wZXJhdGlvbmFsIHN0YWdlLiBBcyB0aGUgc3R1ZHkgY29uZmlybXMgdGhlIHZhcnlpbmcgc2lnbmlmaWNhbmNlIG9mIGVtYm9kaWVkIGVuZXJneSBhcyBjb25zdHJ1Y3Rpb24gbWF0ZXJpYWxzIGFuZCBlbmVyZ3kgdXNlIHBhdHRlcm5zIGNoYW5nZSwgaXQgaW1wbGllcyB0aGUgbmVlZCBmb3IgcG9saWN5IG1lYXN1cmVzIGJhc2VkIG9uIGEgd2hvbGUgbGlmZSBhc3Nlc3NtZW50IG1ldGhvZG9sb2d5LCBpbnN0ZWFkIG9mIHRoZSB1c3VhbCB3YXlzIG9mIGdpdmluZyBzb2xlIGltcG9ydGFuY2UgdG8gdGhlIG9wZXJhdGlvbmFsIGltcGFjdHMgb2YgYnVpbGRpbmdzLiBXaXRoIGJ1aWxkaW5ncyBiZWNvbWluZyBtb3JlIGVuZXJneS1lZmZpY2llbnQgZHVyaW5nIHRoZWlyIG9wZXJhdGlvbmFsIHN0YWdlLCB0aGVyZSBpcyBhbiB1cmdlbnQgbmVlZCBmb3IgYW4gaW5jcmVhc2VkIGZvY3VzIG9uIHRoZSBlbWJvZGllZCBpbXBhY3RzIG9mIGJ1aWxkaW5ncywgZXNwZWNpYWxseSBhcyByZW5ld2FibGUgZW5lcmd5IHJlc291cmNlcyBhcmUgYmVjb21pbmcgd2lkZWx5IGFkb3B0ZWQuIiwicHVibGlzaGVyIjoiRWxzZXZpZXIgTHRkIiwidm9sdW1lIjoiMjMiLCJjb250YWluZXItdGl0bGUtc2hvcnQiOiIifSwiaXNUZW1wb3JhcnkiOmZhbHNlfV19&quot;,&quot;citationItems&quot;:[{&quot;id&quot;:&quot;07c1118f-09ef-3bb9-ad6a-ad53e58024e7&quot;,&quot;itemData&quot;:{&quot;type&quot;:&quot;article-journal&quot;,&quot;id&quot;:&quot;07c1118f-09ef-3bb9-ad6a-ad53e58024e7&quot;,&quot;title&quot;:&quot;Changing significance of embodied energy: A comparative study of material specifications and building energy sources&quot;,&quot;author&quot;:[{&quot;family&quot;:&quot;Ajayi&quot;,&quot;given&quot;:&quot;Saheed O.&quot;,&quot;parse-names&quot;:false,&quot;dropping-particle&quot;:&quot;&quot;,&quot;non-dropping-particle&quot;:&quot;&quot;},{&quot;family&quot;:&quot;Oyedele&quot;,&quot;given&quot;:&quot;Lukumon O.&quot;,&quot;parse-names&quot;:false,&quot;dropping-particle&quot;:&quot;&quot;,&quot;non-dropping-particle&quot;:&quot;&quot;},{&quot;family&quot;:&quot;Ilori&quot;,&quot;given&quot;:&quot;Olusegun M.&quot;,&quot;parse-names&quot;:false,&quot;dropping-particle&quot;:&quot;&quot;,&quot;non-dropping-particle&quot;:&quot;&quot;}],&quot;container-title&quot;:&quot;Journal of Building Engineering&quot;,&quot;DOI&quot;:&quot;10.1016/j.jobe.2019.02.008&quot;,&quot;ISSN&quot;:&quot;23527102&quot;,&quot;issued&quot;:{&quot;date-parts&quot;:[[2019,5,1]]},&quot;page&quot;:&quot;324-333&quot;,&quot;abstract&quot;:&quot;Despite the increasing significance of embodied impacts of buildings, efforts to reduce their environmental footprints have been concentrated on the operational impacts of buildings. This study investigates the changing significance of embodied carbon over the entire life cycle of whole buildings. A case study of an office building was modelled with Revit, and sensitivity analyses of the modelled building were performed by varying the material specification and energy use pattern for seven other typologies. Using Revit, BIMWASTE tool, ATHENA Impact Estimator and Green Building Studio, comparative life-cycle analyses were carried out for the eight building typologies. The study suggests that notwithstanding the enormous impacts of the operational stage on life-cycle carbon of fossil fuel-based buildings, embodied impacts could vary between 8.4% and 22.3%. A key determinant of the proportional impacts of embodied energy is the nature of materials used for building construction. Similarly, embodied impacts of buildings become more significant and could contribute up to 60% of their life cycle impacts as they become more energy-efficient during their operational stage. As the study confirms the varying significance of embodied energy as construction materials and energy use patterns change, it implies the need for policy measures based on a whole life assessment methodology, instead of the usual ways of giving sole importance to the operational impacts of buildings. With buildings becoming more energy-efficient during their operational stage, there is an urgent need for an increased focus on the embodied impacts of buildings, especially as renewable energy resources are becoming widely adopted.&quot;,&quot;publisher&quot;:&quot;Elsevier Ltd&quot;,&quot;volume&quot;:&quot;23&quot;,&quot;container-title-short&quot;:&quot;&quot;},&quot;isTemporary&quot;:false}]},{&quot;citationID&quot;:&quot;MENDELEY_CITATION_42c06fd3-46f2-4e28-84eb-90d677e1495f&quot;,&quot;properties&quot;:{&quot;noteIndex&quot;:0},&quot;isEdited&quot;:false,&quot;manualOverride&quot;:{&quot;isManuallyOverridden&quot;:false,&quot;citeprocText&quot;:&quot;(Marrero &lt;i&gt;et al.&lt;/i&gt;, 2020)&quot;,&quot;manualOverrideText&quot;:&quot;&quot;},&quot;citationTag&quot;:&quot;MENDELEY_CITATION_v3_eyJjaXRhdGlvbklEIjoiTUVOREVMRVlfQ0lUQVRJT05fNDJjMDZmZDMtNDZmMi00ZTI4LTg0ZWItOTBkNjc3ZTE0OTVmIiwicHJvcGVydGllcyI6eyJub3RlSW5kZXgiOjB9LCJpc0VkaXRlZCI6ZmFsc2UsIm1hbnVhbE92ZXJyaWRlIjp7ImlzTWFudWFsbHlPdmVycmlkZGVuIjpmYWxzZSwiY2l0ZXByb2NUZXh0IjoiKE1hcnJlcm8gPGk+ZXQgYWwuPC9pPiwgMjAyMCkiLCJtYW51YWxPdmVycmlkZVRleHQiOiIifSwiY2l0YXRpb25JdGVtcyI6W3siaWQiOiI4MThjMTA1NC0xYmYxLTM2NTQtODczNi04NDhiY2YyZmEyODkiLCJpdGVtRGF0YSI6eyJ0eXBlIjoiYXJ0aWNsZSIsImlkIjoiODE4YzEwNTQtMWJmMS0zNjU0LTg3MzYtODQ4YmNmMmZhMjg5IiwidGl0bGUiOiJCSU0tTENBIGludGVncmF0aW9uIGZvciB0aGUgZW52aXJvbm1lbnRhbCBpbXBhY3QgYXNzZXNzbWVudCBvZiB0aGUgdXJiYW5pemF0aW9uIHByb2Nlc3MiLCJhdXRob3IiOlt7ImZhbWlseSI6Ik1hcnJlcm8iLCJnaXZlbiI6Ik1hZGVseW4iLCJwYXJzZS1uYW1lcyI6ZmFsc2UsImRyb3BwaW5nLXBhcnRpY2xlIjoiIiwibm9uLWRyb3BwaW5nLXBhcnRpY2xlIjoiIn0seyJmYW1pbHkiOiJXb2p0YXNpZXdpY3oiLCJnaXZlbiI6Ik1hY2llaiIsInBhcnNlLW5hbWVzIjpmYWxzZSwiZHJvcHBpbmctcGFydGljbGUiOiIiLCJub24tZHJvcHBpbmctcGFydGljbGUiOiIifSx7ImZhbWlseSI6Ik1hcnTDrW5lei1Sb2NhbW9yYSIsImdpdmVuIjoiQWxlamFuZHJvIiwicGFyc2UtbmFtZXMiOmZhbHNlLCJkcm9wcGluZy1wYXJ0aWNsZSI6IiIsIm5vbi1kcm9wcGluZy1wYXJ0aWNsZSI6IiJ9LHsiZmFtaWx5IjoiU29sw61zLUd1em3DoW4iLCJnaXZlbiI6IkphaW1lIiwicGFyc2UtbmFtZXMiOmZhbHNlLCJkcm9wcGluZy1wYXJ0aWNsZSI6IiIsIm5vbi1kcm9wcGluZy1wYXJ0aWNsZSI6IiJ9LHsiZmFtaWx5IjoiQWxiYS1Sb2Ryw61ndWV6IiwiZ2l2ZW4iOiJNLiBEZXNpcsOpZSIsInBhcnNlLW5hbWVzIjpmYWxzZSwiZHJvcHBpbmctcGFydGljbGUiOiIiLCJub24tZHJvcHBpbmctcGFydGljbGUiOiIifV0sImNvbnRhaW5lci10aXRsZSI6IlN1c3RhaW5hYmlsaXR5IChTd2l0emVybGFuZCkiLCJET0kiOiIxMC4zMzkwL3N1MTIxMDQxOTYiLCJJU1NOIjoiMjA3MTEwNTAiLCJpc3N1ZWQiOnsiZGF0ZS1wYXJ0cyI6W1syMDIwLDUsMV1dfSwiYWJzdHJhY3QiOiJUaGUgY29uc3RydWN0aW9uIHNlY3RvciBpcyBvbmUgb2YgdGhlIG1vc3QgcG9sbHV0aW5nIGluZHVzdHJpZXMsIGdlbmVyYXRpbmcgYmV0d2VlbiAzMCUgYW5kIDQwJSBvZiB0aGUgd29ybGR3aWRlIGVudmlyb25tZW50YWwgYnVyZGVuIGluIHRlcm1zIG9mIHJhdyBtYXRlcmlhbHMsIGRpcmVjdCBhbmQgaW5kaXJlY3QgZW5lcmd5IGNvbnN1bXB0aW9uLCB3YXN0ZSwgYW5kIENPMiBlbWlzc2lvbnMuIFJlY2VudCBhZHZhbmNlcyBpbiBjb21wdXRlciBzY2llbmNlIGFuZCBkYXRhIG1hbmFnZW1lbnQgaGF2ZSBmYWNpbGl0YXRlZCB0aGUgZXZhbHVhdGlvbiBvZiBwcmVzZW50IGFuZCBmdXR1cmUgaW1wYWN0cywgdGh1cyBpbXByb3ZpbmcgdGhlIHN1c3RhaW5hYmlsaXR5IG9mIGFyY2hpdGVjdHVyYWwgZGVzaWducy4gUG93ZXJmdWwgc29mdHdhcmUgdG9vbHMsIHN1Y2ggYXMgQnVpbGRpbmcgSW5mb3JtYXRpb24gTW9kZWxsaW5nIChCSU0pLCBhbGxvdyBlbnZpcm9ubWVudGFsIGluZGljYXRvcnMgdG8gYmUgaW5jb3Jwb3JhdGVkIGludG8gdGhlIGNvbnN0cnVjdGlvbiBlbGVtZW50cyB0aGF0IG1ha2UgdXAgdGhlIHByb2plY3QgdG8gZXZhbHVhdGUgaXQgZHVyaW5nIHRoZSBkZXNpZ24gc3RhZ2UuIEluIHRoaXMgd29yaywgdGhlIHN0YXRlIG9mIHRoZSBhcnQgb2YgZWNvbG9naWNhbCBpbmRpY2F0b3IgYXBwbGljYXRpb24gdGhyb3VnaCBCSU0gcGxhdGZvcm1zIGlzIHN0dWRpZWQuIEJhcnJpZXJzIGFuZCB1bmNlcnRhaW50aWVzIGFyZSBhbHNvIGlkZW50aWZpZWQuIFN1YnNlcXVlbnRseSwgYSBtb2RlbCBpcyBwcm9wb3NlZCB0byBldmFsdWF0ZSB0aGUgZW52aXJvbm1lbnRhbCBpbXBhY3Qgb2YgYW4gdXJiYW5pemF0aW9uIHByb2Nlc3Mgb3IgYSBwcm9qZWN0IHRocm91Z2ggc2V2ZXJhbCBlY29sb2dpY2FsIGluZGljYXRvcnMgKGNhcmJvbiBmb290cHJpbnQsIHdhdGVyIGZvb3RwcmludCwgYW5kIGVtYm9kaWVkIGVuZXJneSkuIFRvIHBlcmZvcm0gdGhpcyBhbmFseXNpcywgdGhlIG1vc3QgaW1wb3J0YW50IGFzcGVjdCBpcyB0byBkZXRlcm1pbmUgdGhlIHF1YW50aXRpZXMgb2YgZWFjaCBjb25zdHJ1Y3Rpb24gZWxlbWVudCBhbmQgdGhlaXIgY2xlYXIgZGVjb21wb3NpdGlvbiBpbnRvIHN1YmVsZW1lbnRzLCBzaW5jZSBib3RoIGFzcGVjdHMgYWRkIGNlcnRhaW50eSB0byB0aGUgYW5hbHlzaXMuIEZvciB0aGlzIHB1cnBvc2UsIGNvbnN0cnVjdGlvbiBjb3N0IGRhdGFiYXNlcyBhcmUgYSBnb29kIGluc3RydW1lbnQgZm9yIGludHJvZHVjaW5nIGVudmlyb25tZW50YWwgYXdhcmVuZXNzLiBUaGUgcmVsaWFiaWxpdHkgb2YgTENBIGRhdGEsIHdoaWNoIGNhbiBiZSBvYnRhaW5lZCBmcm9tIGdlbmVyaWMgZGF0YWJhc2VzIG9yIGVjb2xhYmVscyBzdWNoIGFzIGVudmlyb25tZW50YWwgcHJvZHVjdCBkZWNsYXJhdGlvbnMsIGJlY29tZXMgY3J1Y2lhbC4iLCJwdWJsaXNoZXIiOiJNRFBJIiwiaXNzdWUiOiIxMCIsInZvbHVtZSI6IjEyIiwiY29udGFpbmVyLXRpdGxlLXNob3J0IjoiIn0sImlzVGVtcG9yYXJ5IjpmYWxzZX1dfQ==&quot;,&quot;citationItems&quot;:[{&quot;id&quot;:&quot;818c1054-1bf1-3654-8736-848bcf2fa289&quot;,&quot;itemData&quot;:{&quot;type&quot;:&quot;article&quot;,&quot;id&quot;:&quot;818c1054-1bf1-3654-8736-848bcf2fa289&quot;,&quot;title&quot;:&quot;BIM-LCA integration for the environmental impact assessment of the urbanization process&quot;,&quot;author&quot;:[{&quot;family&quot;:&quot;Marrero&quot;,&quot;given&quot;:&quot;Madelyn&quot;,&quot;parse-names&quot;:false,&quot;dropping-particle&quot;:&quot;&quot;,&quot;non-dropping-particle&quot;:&quot;&quot;},{&quot;family&quot;:&quot;Wojtasiewicz&quot;,&quot;given&quot;:&quot;Maciej&quot;,&quot;parse-names&quot;:false,&quot;dropping-particle&quot;:&quot;&quot;,&quot;non-dropping-particle&quot;:&quot;&quot;},{&quot;family&quot;:&quot;Martínez-Rocamora&quot;,&quot;given&quot;:&quot;Alejandro&quot;,&quot;parse-names&quot;:false,&quot;dropping-particle&quot;:&quot;&quot;,&quot;non-dropping-particle&quot;:&quot;&quot;},{&quot;family&quot;:&quot;Solís-Guzmán&quot;,&quot;given&quot;:&quot;Jaime&quot;,&quot;parse-names&quot;:false,&quot;dropping-particle&quot;:&quot;&quot;,&quot;non-dropping-particle&quot;:&quot;&quot;},{&quot;family&quot;:&quot;Alba-Rodríguez&quot;,&quot;given&quot;:&quot;M. Desirée&quot;,&quot;parse-names&quot;:false,&quot;dropping-particle&quot;:&quot;&quot;,&quot;non-dropping-particle&quot;:&quot;&quot;}],&quot;container-title&quot;:&quot;Sustainability (Switzerland)&quot;,&quot;DOI&quot;:&quot;10.3390/su12104196&quot;,&quot;ISSN&quot;:&quot;20711050&quot;,&quot;issued&quot;:{&quot;date-parts&quot;:[[2020,5,1]]},&quot;abstract&quot;:&quot;The construction sector is one of the most polluting industries, generating between 30% and 40% of the worldwide environmental burden in terms of raw materials, direct and indirect energy consumption, waste, and CO2 emissions. Recent advances in computer science and data management have facilitated the evaluation of present and future impacts, thus improving the sustainability of architectural designs. Powerful software tools, such as Building Information Modelling (BIM), allow environmental indicators to be incorporated into the construction elements that make up the project to evaluate it during the design stage. In this work, the state of the art of ecological indicator application through BIM platforms is studied. Barriers and uncertainties are also identified. Subsequently, a model is proposed to evaluate the environmental impact of an urbanization process or a project through several ecological indicators (carbon footprint, water footprint, and embodied energy). To perform this analysis, the most important aspect is to determine the quantities of each construction element and their clear decomposition into subelements, since both aspects add certainty to the analysis. For this purpose, construction cost databases are a good instrument for introducing environmental awareness. The reliability of LCA data, which can be obtained from generic databases or ecolabels such as environmental product declarations, becomes crucial.&quot;,&quot;publisher&quot;:&quot;MDPI&quot;,&quot;issue&quot;:&quot;10&quot;,&quot;volume&quot;:&quot;12&quot;,&quot;container-title-short&quot;:&quot;&quot;},&quot;isTemporary&quot;:false}]},{&quot;citationID&quot;:&quot;MENDELEY_CITATION_bf622586-b8ae-4723-a0b2-7a9ee20309c1&quot;,&quot;properties&quot;:{&quot;noteIndex&quot;:0},&quot;isEdited&quot;:false,&quot;manualOverride&quot;:{&quot;isManuallyOverridden&quot;:false,&quot;citeprocText&quot;:&quot;(GRIHA Council, 2025)&quot;,&quot;manualOverrideText&quot;:&quot;&quot;},&quot;citationTag&quot;:&quot;MENDELEY_CITATION_v3_eyJjaXRhdGlvbklEIjoiTUVOREVMRVlfQ0lUQVRJT05fYmY2MjI1ODYtYjhhZS00NzIzLWEwYjItN2E5ZWUyMDMwOWMxIiwicHJvcGVydGllcyI6eyJub3RlSW5kZXgiOjB9LCJpc0VkaXRlZCI6ZmFsc2UsIm1hbnVhbE92ZXJyaWRlIjp7ImlzTWFudWFsbHlPdmVycmlkZGVuIjpmYWxzZSwiY2l0ZXByb2NUZXh0IjoiKEdSSUhBIENvdW5jaWwsIDIwMjUpIiwibWFudWFsT3ZlcnJpZGVUZXh0IjoiIn0sImNpdGF0aW9uSXRlbXMiOlt7ImlkIjoiZjkzNDRkZDktNzg0ZC0zYWU0LWI1ZTQtZmNjYTc0OWIxNmNkIiwiaXRlbURhdGEiOnsidHlwZSI6ImFydGljbGUtam91cm5hbCIsImlkIjoiZjkzNDRkZDktNzg0ZC0zYWU0LWI1ZTQtZmNjYTc0OWIxNmNkIiwidGl0bGUiOiJHUklIQSBWZXJzaW9uIDYuMCIsImF1dGhvciI6W3siZmFtaWx5IjoiR1JJSEEgQ291bmNpbCIsImdpdmVuIjoiIiwicGFyc2UtbmFtZXMiOmZhbHNlLCJkcm9wcGluZy1wYXJ0aWNsZSI6IiIsIm5vbi1kcm9wcGluZy1wYXJ0aWNsZSI6IiJ9XSwiYWNjZXNzZWQiOnsiZGF0ZS1wYXJ0cyI6W1syMDI2LDUsMTNdXX0sIlVSTCI6Imh0dHBzOi8vd3d3LmdyaWhhaW5kaWEub3JnL3NpdGVzL2RlZmF1bHQvZmlsZXMvcGRmL01hbnVhbHMvR1JJSEEtVmVyc2lvbi02LVYxLnBkZiIsImlzc3VlZCI6eyJkYXRlLXBhcnRzIjpbWzIwMjUsOV1dfSwiY29udGFpbmVyLXRpdGxlLXNob3J0IjoiIn0sImlzVGVtcG9yYXJ5IjpmYWxzZX1dfQ==&quot;,&quot;citationItems&quot;:[{&quot;id&quot;:&quot;f9344dd9-784d-3ae4-b5e4-fcca749b16cd&quot;,&quot;itemData&quot;:{&quot;type&quot;:&quot;article-journal&quot;,&quot;id&quot;:&quot;f9344dd9-784d-3ae4-b5e4-fcca749b16cd&quot;,&quot;title&quot;:&quot;GRIHA Version 6.0&quot;,&quot;author&quot;:[{&quot;family&quot;:&quot;GRIHA Council&quot;,&quot;given&quot;:&quot;&quot;,&quot;parse-names&quot;:false,&quot;dropping-particle&quot;:&quot;&quot;,&quot;non-dropping-particle&quot;:&quot;&quot;}],&quot;accessed&quot;:{&quot;date-parts&quot;:[[2026,5,13]]},&quot;URL&quot;:&quot;https://www.grihaindia.org/sites/default/files/pdf/Manuals/GRIHA-Version-6-V1.pdf&quot;,&quot;issued&quot;:{&quot;date-parts&quot;:[[2025,9]]},&quot;container-title-short&quot;:&quot;&quot;},&quot;isTemporary&quot;:false}]}]"/>
    <we:property name="MENDELEY_CITATIONS_LOCALE_CODE" value="&quot;en-GB&quot;"/>
    <we:property name="MENDELEY_CITATIONS_STYLE" value="{&quot;id&quot;:&quot;https://www.zotero.org/styles/harvard-cite-them-right&quot;,&quot;title&quot;:&quot;Cite Them Right 12th edition (author-date/Harvard)&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90F5B-D9A4-41CC-B593-589448A87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4668</Words>
  <Characters>26611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Anagha Divakaran</cp:lastModifiedBy>
  <cp:revision>2</cp:revision>
  <cp:lastPrinted>2026-05-25T04:52:00Z</cp:lastPrinted>
  <dcterms:created xsi:type="dcterms:W3CDTF">2026-09-15T10:10:00Z</dcterms:created>
  <dcterms:modified xsi:type="dcterms:W3CDTF">2026-09-15T10:10:00Z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